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1"/>
        <w:sectPr>
          <w:headerReference r:id="rId5" w:type="first"/>
          <w:footerReference r:id="rId8"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720" w:num="1"/>
          <w:titlePg/>
          <w:docGrid w:type="lines" w:linePitch="312" w:charSpace="0"/>
        </w:sectPr>
      </w:pPr>
      <w:bookmarkStart w:id="0" w:name="SectionMark0"/>
      <w: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8890000</wp:posOffset>
                </wp:positionV>
                <wp:extent cx="6121400" cy="0"/>
                <wp:effectExtent l="0" t="6350" r="0" b="6350"/>
                <wp:wrapNone/>
                <wp:docPr id="10" name="直线 11"/>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直线 11" o:spid="_x0000_s1026" o:spt="20" style="position:absolute;left:0pt;margin-left:0pt;margin-top:700pt;height:0pt;width:482pt;z-index:251668480;mso-width-relative:page;mso-height-relative:page;" filled="f" stroked="t" coordsize="21600,21600" o:gfxdata="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yxL5WNIAAAAKAQAADwAAAAAAAAABACAAAAAiAAAAZHJzL2Rv&#10;d25yZXYueG1sUEsBAhQAFAAAAAgAh07iQNxdNGzOAQAAkAMAAA4AAAAAAAAAAQAgAAAAIQEAAGRy&#10;cy9lMm9Eb2MueG1sUEsFBgAAAAAGAAYAWQEAAGEFAAAAAA==&#10;">
                <v:fill on="f" focussize="0,0"/>
                <v:stroke weight="1pt" color="#800008" joinstyle="round"/>
                <v:imagedata o:title=""/>
                <o:lock v:ext="edit" aspectratio="f"/>
              </v:lin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2273300</wp:posOffset>
                </wp:positionV>
                <wp:extent cx="6121400" cy="0"/>
                <wp:effectExtent l="0" t="6350" r="0" b="6350"/>
                <wp:wrapNone/>
                <wp:docPr id="9" name="直线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直线 10" o:spid="_x0000_s1026" o:spt="20" style="position:absolute;left:0pt;margin-left:0pt;margin-top:179pt;height:0pt;width:482pt;z-index:251667456;mso-width-relative:page;mso-height-relative:page;" filled="f"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Eor7UAAAACAEAAA8AAAAAAAAAAQAgAAAAIgAAAGRycy9k&#10;b3ducmV2LnhtbFBLAQIUABQAAAAIAIdO4kAnyOEDzQEAAI8DAAAOAAAAAAAAAAEAIAAAACMBAABk&#10;cnMvZTJvRG9jLnhtbFBLBQYAAAAABgAGAFkBAABiBQAAAAA=&#10;">
                <v:fill on="f" focussize="0,0"/>
                <v:stroke weight="1pt" color="#800008" joinstyle="round"/>
                <v:imagedata o:title=""/>
                <o:lock v:ext="edit" aspectratio="f"/>
              </v:line>
            </w:pict>
          </mc:Fallback>
        </mc:AlternateContent>
      </w:r>
      <w:r>
        <mc:AlternateContent>
          <mc:Choice Requires="wps">
            <w:drawing>
              <wp:anchor distT="0" distB="0" distL="114300" distR="114300" simplePos="0" relativeHeight="251666432" behindDoc="0" locked="1" layoutInCell="1" allowOverlap="1">
                <wp:simplePos x="0" y="0"/>
                <wp:positionH relativeFrom="margin">
                  <wp:posOffset>0</wp:posOffset>
                </wp:positionH>
                <wp:positionV relativeFrom="margin">
                  <wp:posOffset>9108440</wp:posOffset>
                </wp:positionV>
                <wp:extent cx="6120130" cy="363220"/>
                <wp:effectExtent l="0" t="0" r="1270" b="5080"/>
                <wp:wrapNone/>
                <wp:docPr id="8" name="fmFrame7"/>
                <wp:cNvGraphicFramePr/>
                <a:graphic xmlns:a="http://schemas.openxmlformats.org/drawingml/2006/main">
                  <a:graphicData uri="http://schemas.microsoft.com/office/word/2010/wordprocessingShape">
                    <wps:wsp>
                      <wps:cNvSpPr txBox="1"/>
                      <wps:spPr>
                        <a:xfrm>
                          <a:off x="0" y="0"/>
                          <a:ext cx="6120130" cy="363220"/>
                        </a:xfrm>
                        <a:prstGeom prst="rect">
                          <a:avLst/>
                        </a:prstGeom>
                        <a:solidFill>
                          <a:srgbClr val="FFFFFF"/>
                        </a:solidFill>
                        <a:ln>
                          <a:noFill/>
                        </a:ln>
                      </wps:spPr>
                      <wps:txbx>
                        <w:txbxContent>
                          <w:p>
                            <w:pPr>
                              <w:pStyle w:val="92"/>
                            </w:pPr>
                            <w:r>
                              <w:rPr>
                                <w:rStyle w:val="47"/>
                                <w:rFonts w:hint="eastAsia"/>
                              </w:rPr>
                              <w:t>河北省市场监督管理局 发布</w:t>
                            </w:r>
                          </w:p>
                        </w:txbxContent>
                      </wps:txbx>
                      <wps:bodyPr wrap="square" lIns="0" tIns="0" rIns="0" bIns="0" upright="1"/>
                    </wps:wsp>
                  </a:graphicData>
                </a:graphic>
              </wp:anchor>
            </w:drawing>
          </mc:Choice>
          <mc:Fallback>
            <w:pict>
              <v:shape id="fmFrame7" o:spid="_x0000_s1026" o:spt="202" type="#_x0000_t202" style="position:absolute;left:0pt;margin-left:0pt;margin-top:717.2pt;height:28.6pt;width:481.9pt;mso-position-horizontal-relative:margin;mso-position-vertical-relative:margin;z-index:251666432;mso-width-relative:page;mso-height-relative:page;" fillcolor="#FFFFFF" filled="t" stroked="f" coordsize="21600,21600" o:gfxdata="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JVgbr2AAA&#10;AAoBAAAPAAAAAAAAAAEAIAAAACIAAABkcnMvZG93bnJldi54bWxQSwECFAAUAAAACACHTuJAElj0&#10;aawBAABYAwAADgAAAAAAAAABACAAAAAnAQAAZHJzL2Uyb0RvYy54bWxQSwUGAAAAAAYABgBZAQAA&#10;RQUAAAAA&#10;">
                <v:fill on="t" focussize="0,0"/>
                <v:stroke on="f"/>
                <v:imagedata o:title=""/>
                <o:lock v:ext="edit" aspectratio="f"/>
                <v:textbox inset="0mm,0mm,0mm,0mm">
                  <w:txbxContent>
                    <w:p>
                      <w:pPr>
                        <w:pStyle w:val="92"/>
                      </w:pPr>
                      <w:r>
                        <w:rPr>
                          <w:rStyle w:val="47"/>
                          <w:rFonts w:hint="eastAsia"/>
                        </w:rPr>
                        <w:t>河北省市场监督管理局 发布</w:t>
                      </w:r>
                    </w:p>
                  </w:txbxContent>
                </v:textbox>
                <w10:anchorlock/>
              </v:shape>
            </w:pict>
          </mc:Fallback>
        </mc:AlternateContent>
      </w:r>
      <w:r>
        <mc:AlternateContent>
          <mc:Choice Requires="wps">
            <w:drawing>
              <wp:anchor distT="0" distB="0" distL="114300" distR="114300" simplePos="0" relativeHeight="251665408" behindDoc="0" locked="1" layoutInCell="1" allowOverlap="1">
                <wp:simplePos x="0" y="0"/>
                <wp:positionH relativeFrom="margin">
                  <wp:posOffset>4100830</wp:posOffset>
                </wp:positionH>
                <wp:positionV relativeFrom="margin">
                  <wp:posOffset>8563610</wp:posOffset>
                </wp:positionV>
                <wp:extent cx="2019300" cy="312420"/>
                <wp:effectExtent l="0" t="0" r="0" b="5080"/>
                <wp:wrapNone/>
                <wp:docPr id="7" name="fmFrame6"/>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pPr>
                              <w:pStyle w:val="98"/>
                            </w:pPr>
                            <w:r>
                              <w:rPr>
                                <w:rFonts w:hint="eastAsia"/>
                              </w:rPr>
                              <w:t>2</w:t>
                            </w:r>
                            <w:r>
                              <w:t>02</w:t>
                            </w:r>
                            <w:r>
                              <w:rPr>
                                <w:rFonts w:hint="eastAsia"/>
                              </w:rPr>
                              <w:t>4-××-××实施</w:t>
                            </w:r>
                          </w:p>
                        </w:txbxContent>
                      </wps:txbx>
                      <wps:bodyPr wrap="square" lIns="0" tIns="0" rIns="0" bIns="0" upright="1"/>
                    </wps:wsp>
                  </a:graphicData>
                </a:graphic>
              </wp:anchor>
            </w:drawing>
          </mc:Choice>
          <mc:Fallback>
            <w:pict>
              <v:shape id="fmFrame6" o:spid="_x0000_s1026" o:spt="202" type="#_x0000_t202" style="position:absolute;left:0pt;margin-left:322.9pt;margin-top:674.3pt;height:24.6pt;width:159pt;mso-position-horizontal-relative:margin;mso-position-vertical-relative:margin;z-index:251665408;mso-width-relative:page;mso-height-relative:page;" fillcolor="#FFFFFF" filled="t" stroked="f" coordsize="21600,21600" o:gfxdata="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C/arX&#10;2gAAAA0BAAAPAAAAAAAAAAEAIAAAACIAAABkcnMvZG93bnJldi54bWxQSwECFAAUAAAACACHTuJA&#10;84sfZ60BAABYAwAADgAAAAAAAAABACAAAAApAQAAZHJzL2Uyb0RvYy54bWxQSwUGAAAAAAYABgBZ&#10;AQAASAUAAAAA&#10;">
                <v:fill on="t" focussize="0,0"/>
                <v:stroke on="f"/>
                <v:imagedata o:title=""/>
                <o:lock v:ext="edit" aspectratio="f"/>
                <v:textbox inset="0mm,0mm,0mm,0mm">
                  <w:txbxContent>
                    <w:p>
                      <w:pPr>
                        <w:pStyle w:val="98"/>
                      </w:pPr>
                      <w:r>
                        <w:rPr>
                          <w:rFonts w:hint="eastAsia"/>
                        </w:rPr>
                        <w:t>2</w:t>
                      </w:r>
                      <w:r>
                        <w:t>02</w:t>
                      </w:r>
                      <w:r>
                        <w:rPr>
                          <w:rFonts w:hint="eastAsia"/>
                        </w:rPr>
                        <w:t>4-××-××实施</w:t>
                      </w:r>
                    </w:p>
                  </w:txbxContent>
                </v:textbox>
                <w10:anchorlock/>
              </v:shap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8563610</wp:posOffset>
                </wp:positionV>
                <wp:extent cx="2019300" cy="312420"/>
                <wp:effectExtent l="0" t="0" r="0" b="5080"/>
                <wp:wrapNone/>
                <wp:docPr id="6" name="fmFrame5"/>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pPr>
                              <w:pStyle w:val="87"/>
                            </w:pPr>
                            <w:r>
                              <w:rPr>
                                <w:rFonts w:hint="eastAsia"/>
                              </w:rPr>
                              <w:t>2</w:t>
                            </w:r>
                            <w:r>
                              <w:t>02</w:t>
                            </w:r>
                            <w:r>
                              <w:rPr>
                                <w:rFonts w:hint="eastAsia"/>
                              </w:rPr>
                              <w:t>4-××-××发布</w:t>
                            </w:r>
                          </w:p>
                        </w:txbxContent>
                      </wps:txbx>
                      <wps:bodyPr wrap="square" lIns="0" tIns="0" rIns="0" bIns="0" upright="1"/>
                    </wps:wsp>
                  </a:graphicData>
                </a:graphic>
              </wp:anchor>
            </w:drawing>
          </mc:Choice>
          <mc:Fallback>
            <w:pict>
              <v:shape id="fmFrame5" o:spid="_x0000_s1026" o:spt="202" type="#_x0000_t202" style="position:absolute;left:0pt;margin-left:0pt;margin-top:674.3pt;height:24.6pt;width:159pt;mso-position-horizontal-relative:margin;mso-position-vertical-relative:margin;z-index:251664384;mso-width-relative:page;mso-height-relative:page;" fillcolor="#FFFFFF" filled="t" stroked="f" coordsize="21600,21600" o:gfxdata="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XzbKiNgA&#10;AAAKAQAADwAAAAAAAAABACAAAAAiAAAAZHJzL2Rvd25yZXYueG1sUEsBAhQAFAAAAAgAh07iQH7U&#10;5O2tAQAAWAMAAA4AAAAAAAAAAQAgAAAAJwEAAGRycy9lMm9Eb2MueG1sUEsFBgAAAAAGAAYAWQEA&#10;AEYFAAAAAA==&#10;">
                <v:fill on="t" focussize="0,0"/>
                <v:stroke on="f"/>
                <v:imagedata o:title=""/>
                <o:lock v:ext="edit" aspectratio="f"/>
                <v:textbox inset="0mm,0mm,0mm,0mm">
                  <w:txbxContent>
                    <w:p>
                      <w:pPr>
                        <w:pStyle w:val="87"/>
                      </w:pPr>
                      <w:r>
                        <w:rPr>
                          <w:rFonts w:hint="eastAsia"/>
                        </w:rPr>
                        <w:t>2</w:t>
                      </w:r>
                      <w:r>
                        <w:t>02</w:t>
                      </w:r>
                      <w:r>
                        <w:rPr>
                          <w:rFonts w:hint="eastAsia"/>
                        </w:rPr>
                        <w:t>4-××-××发布</w:t>
                      </w: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3106420</wp:posOffset>
                </wp:positionV>
                <wp:extent cx="5969000" cy="5210175"/>
                <wp:effectExtent l="0" t="0" r="0" b="9525"/>
                <wp:wrapNone/>
                <wp:docPr id="5" name="fmFrame4"/>
                <wp:cNvGraphicFramePr/>
                <a:graphic xmlns:a="http://schemas.openxmlformats.org/drawingml/2006/main">
                  <a:graphicData uri="http://schemas.microsoft.com/office/word/2010/wordprocessingShape">
                    <wps:wsp>
                      <wps:cNvSpPr txBox="1"/>
                      <wps:spPr>
                        <a:xfrm>
                          <a:off x="0" y="0"/>
                          <a:ext cx="5969000" cy="5210175"/>
                        </a:xfrm>
                        <a:prstGeom prst="rect">
                          <a:avLst/>
                        </a:prstGeom>
                        <a:solidFill>
                          <a:srgbClr val="FFFFFF"/>
                        </a:solidFill>
                        <a:ln>
                          <a:noFill/>
                        </a:ln>
                      </wps:spPr>
                      <wps:txbx>
                        <w:txbxContent>
                          <w:p>
                            <w:pPr>
                              <w:pStyle w:val="71"/>
                              <w:spacing w:after="468" w:afterLines="150" w:line="360" w:lineRule="auto"/>
                              <w:rPr>
                                <w:rFonts w:ascii="黑体" w:hAnsi="黑体" w:eastAsia="黑体"/>
                              </w:rPr>
                            </w:pPr>
                            <w:r>
                              <w:rPr>
                                <w:rFonts w:hint="eastAsia" w:ascii="黑体" w:hAnsi="黑体" w:eastAsia="黑体"/>
                                <w:sz w:val="52"/>
                                <w:szCs w:val="52"/>
                              </w:rPr>
                              <w:t>设施农业温室气体排放防控技术规程</w:t>
                            </w:r>
                          </w:p>
                          <w:p>
                            <w:pPr>
                              <w:pStyle w:val="71"/>
                            </w:pPr>
                          </w:p>
                        </w:txbxContent>
                      </wps:txbx>
                      <wps:bodyPr wrap="square" lIns="0" tIns="0" rIns="0" bIns="0" upright="1"/>
                    </wps:wsp>
                  </a:graphicData>
                </a:graphic>
              </wp:anchor>
            </w:drawing>
          </mc:Choice>
          <mc:Fallback>
            <w:pict>
              <v:shape id="fmFrame4" o:spid="_x0000_s1026" o:spt="202" type="#_x0000_t202" style="position:absolute;left:0pt;margin-left:0pt;margin-top:244.6pt;height:410.25pt;width:470pt;mso-position-horizontal-relative:margin;mso-position-vertical-relative:margin;z-index:251663360;mso-width-relative:page;mso-height-relative:page;" fillcolor="#FFFFFF" filled="t" stroked="f" coordsize="21600,21600" o:gfxdata="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BA97F2AAA&#10;AAkBAAAPAAAAAAAAAAEAIAAAACIAAABkcnMvZG93bnJldi54bWxQSwECFAAUAAAACACHTuJAsnK0&#10;WawBAABZAwAADgAAAAAAAAABACAAAAAnAQAAZHJzL2Uyb0RvYy54bWxQSwUGAAAAAAYABgBZAQAA&#10;RQUAAAAA&#10;">
                <v:fill on="t" focussize="0,0"/>
                <v:stroke on="f"/>
                <v:imagedata o:title=""/>
                <o:lock v:ext="edit" aspectratio="f"/>
                <v:textbox inset="0mm,0mm,0mm,0mm">
                  <w:txbxContent>
                    <w:p>
                      <w:pPr>
                        <w:pStyle w:val="71"/>
                        <w:spacing w:after="468" w:afterLines="150" w:line="360" w:lineRule="auto"/>
                        <w:rPr>
                          <w:rFonts w:ascii="黑体" w:hAnsi="黑体" w:eastAsia="黑体"/>
                        </w:rPr>
                      </w:pPr>
                      <w:r>
                        <w:rPr>
                          <w:rFonts w:hint="eastAsia" w:ascii="黑体" w:hAnsi="黑体" w:eastAsia="黑体"/>
                          <w:sz w:val="52"/>
                          <w:szCs w:val="52"/>
                        </w:rPr>
                        <w:t>设施农业温室气体排放防控技术规程</w:t>
                      </w:r>
                    </w:p>
                    <w:p>
                      <w:pPr>
                        <w:pStyle w:val="71"/>
                      </w:pPr>
                    </w:p>
                  </w:txbxContent>
                </v:textbox>
                <w10:anchorlock/>
              </v:shape>
            </w:pict>
          </mc:Fallback>
        </mc:AlternateContent>
      </w:r>
      <w: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1386840</wp:posOffset>
                </wp:positionV>
                <wp:extent cx="5802630" cy="693420"/>
                <wp:effectExtent l="0" t="0" r="1270" b="5080"/>
                <wp:wrapNone/>
                <wp:docPr id="4" name="fmFrame3"/>
                <wp:cNvGraphicFramePr/>
                <a:graphic xmlns:a="http://schemas.openxmlformats.org/drawingml/2006/main">
                  <a:graphicData uri="http://schemas.microsoft.com/office/word/2010/wordprocessingShape">
                    <wps:wsp>
                      <wps:cNvSpPr txBox="1"/>
                      <wps:spPr>
                        <a:xfrm>
                          <a:off x="0" y="0"/>
                          <a:ext cx="5802630" cy="693420"/>
                        </a:xfrm>
                        <a:prstGeom prst="rect">
                          <a:avLst/>
                        </a:prstGeom>
                        <a:solidFill>
                          <a:srgbClr val="FFFFFF"/>
                        </a:solidFill>
                        <a:ln>
                          <a:noFill/>
                        </a:ln>
                      </wps:spPr>
                      <wps:txbx>
                        <w:txbxContent>
                          <w:p>
                            <w:pPr>
                              <w:pStyle w:val="64"/>
                            </w:pPr>
                            <w:r>
                              <w:rPr>
                                <w:rFonts w:hint="eastAsia"/>
                              </w:rPr>
                              <w:t>DB13/T</w:t>
                            </w:r>
                            <w:r>
                              <w:t>—</w:t>
                            </w:r>
                          </w:p>
                        </w:txbxContent>
                      </wps:txbx>
                      <wps:bodyPr wrap="square" lIns="0" tIns="0" rIns="0" bIns="0" upright="1"/>
                    </wps:wsp>
                  </a:graphicData>
                </a:graphic>
              </wp:anchor>
            </w:drawing>
          </mc:Choice>
          <mc:Fallback>
            <w:pict>
              <v:shape id="fmFrame3" o:spid="_x0000_s1026" o:spt="202" type="#_x0000_t202" style="position:absolute;left:0pt;margin-left:0pt;margin-top:109.2pt;height:54.6pt;width:456.9pt;mso-position-horizontal-relative:margin;mso-position-vertical-relative:margin;z-index:251662336;mso-width-relative:page;mso-height-relative:page;" fillcolor="#FFFFFF" filled="t" stroked="f" coordsize="21600,21600" o:gfxdata="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0aNcg&#10;2AAAAAgBAAAPAAAAAAAAAAEAIAAAACIAAABkcnMvZG93bnJldi54bWxQSwECFAAUAAAACACHTuJA&#10;IPH0Bq8BAABYAwAADgAAAAAAAAABACAAAAAnAQAAZHJzL2Uyb0RvYy54bWxQSwUGAAAAAAYABgBZ&#10;AQAASAUAAAAA&#10;">
                <v:fill on="t" focussize="0,0"/>
                <v:stroke on="f"/>
                <v:imagedata o:title=""/>
                <o:lock v:ext="edit" aspectratio="f"/>
                <v:textbox inset="0mm,0mm,0mm,0mm">
                  <w:txbxContent>
                    <w:p>
                      <w:pPr>
                        <w:pStyle w:val="64"/>
                      </w:pPr>
                      <w:r>
                        <w:rPr>
                          <w:rFonts w:hint="eastAsia"/>
                        </w:rPr>
                        <w:t>DB13/T</w:t>
                      </w:r>
                      <w:r>
                        <w:t>—</w:t>
                      </w: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2800350</wp:posOffset>
                </wp:positionH>
                <wp:positionV relativeFrom="margin">
                  <wp:posOffset>99060</wp:posOffset>
                </wp:positionV>
                <wp:extent cx="3175000" cy="720090"/>
                <wp:effectExtent l="0" t="0" r="0" b="3810"/>
                <wp:wrapNone/>
                <wp:docPr id="3" name="fmFrame8"/>
                <wp:cNvGraphicFramePr/>
                <a:graphic xmlns:a="http://schemas.openxmlformats.org/drawingml/2006/main">
                  <a:graphicData uri="http://schemas.microsoft.com/office/word/2010/wordprocessingShape">
                    <wps:wsp>
                      <wps:cNvSpPr txBox="1"/>
                      <wps:spPr>
                        <a:xfrm>
                          <a:off x="0" y="0"/>
                          <a:ext cx="3175000" cy="720090"/>
                        </a:xfrm>
                        <a:prstGeom prst="rect">
                          <a:avLst/>
                        </a:prstGeom>
                        <a:solidFill>
                          <a:srgbClr val="FFFFFF"/>
                        </a:solidFill>
                        <a:ln>
                          <a:noFill/>
                        </a:ln>
                      </wps:spPr>
                      <wps:txbx>
                        <w:txbxContent>
                          <w:p>
                            <w:pPr>
                              <w:pStyle w:val="78"/>
                            </w:pPr>
                            <w:r>
                              <w:rPr>
                                <w:rFonts w:hint="eastAsia"/>
                              </w:rPr>
                              <w:t>DB13</w:t>
                            </w:r>
                            <w:r>
                              <w:t>/</w:t>
                            </w:r>
                          </w:p>
                        </w:txbxContent>
                      </wps:txbx>
                      <wps:bodyPr wrap="square" lIns="0" tIns="0" rIns="0" bIns="0" upright="1"/>
                    </wps:wsp>
                  </a:graphicData>
                </a:graphic>
              </wp:anchor>
            </w:drawing>
          </mc:Choice>
          <mc:Fallback>
            <w:pict>
              <v:shape id="fmFrame8" o:spid="_x0000_s1026" o:spt="202" type="#_x0000_t202" style="position:absolute;left:0pt;margin-left:220.5pt;margin-top:7.8pt;height:56.7pt;width:250pt;mso-position-horizontal-relative:margin;mso-position-vertical-relative:margin;z-index:251661312;mso-width-relative:page;mso-height-relative:page;" fillcolor="#FFFFFF" filled="t" stroked="f" coordsize="21600,21600" o:gfxdata="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1heldcA&#10;AAAKAQAADwAAAAAAAAABACAAAAAiAAAAZHJzL2Rvd25yZXYueG1sUEsBAhQAFAAAAAgAh07iQEq9&#10;4X6uAQAAWAMAAA4AAAAAAAAAAQAgAAAAJgEAAGRycy9lMm9Eb2MueG1sUEsFBgAAAAAGAAYAWQEA&#10;AEYFAAAAAA==&#10;">
                <v:fill on="t" focussize="0,0"/>
                <v:stroke on="f"/>
                <v:imagedata o:title=""/>
                <o:lock v:ext="edit" aspectratio="f"/>
                <v:textbox inset="0mm,0mm,0mm,0mm">
                  <w:txbxContent>
                    <w:p>
                      <w:pPr>
                        <w:pStyle w:val="78"/>
                      </w:pPr>
                      <w:r>
                        <w:rPr>
                          <w:rFonts w:hint="eastAsia"/>
                        </w:rPr>
                        <w:t>DB13</w:t>
                      </w:r>
                      <w:r>
                        <w:t>/</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1270" b="2540"/>
                <wp:wrapNone/>
                <wp:docPr id="2" name="fmFrame2"/>
                <wp:cNvGraphicFramePr/>
                <a:graphic xmlns:a="http://schemas.openxmlformats.org/drawingml/2006/main">
                  <a:graphicData uri="http://schemas.microsoft.com/office/word/2010/wordprocessingShape">
                    <wps:wsp>
                      <wps:cNvSpPr txBox="1"/>
                      <wps:spPr>
                        <a:xfrm>
                          <a:off x="0" y="0"/>
                          <a:ext cx="6120130" cy="391160"/>
                        </a:xfrm>
                        <a:prstGeom prst="rect">
                          <a:avLst/>
                        </a:prstGeom>
                        <a:solidFill>
                          <a:srgbClr val="FFFFFF"/>
                        </a:solidFill>
                        <a:ln>
                          <a:noFill/>
                        </a:ln>
                      </wps:spPr>
                      <wps:txbx>
                        <w:txbxContent>
                          <w:p>
                            <w:pPr>
                              <w:pStyle w:val="77"/>
                            </w:pPr>
                            <w:r>
                              <w:rPr>
                                <w:rFonts w:hint="eastAsia"/>
                              </w:rPr>
                              <w:t>河北省地方标准</w:t>
                            </w:r>
                          </w:p>
                        </w:txbxContent>
                      </wps:txbx>
                      <wps:bodyPr wrap="square" lIns="0" tIns="0" rIns="0" bIns="0" upright="1"/>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GDkcF1wAA&#10;AAgBAAAPAAAAAAAAAAEAIAAAACIAAABkcnMvZG93bnJldi54bWxQSwECFAAUAAAACACHTuJAc44h&#10;Sq0BAABYAwAADgAAAAAAAAABACAAAAAmAQAAZHJzL2Uyb0RvYy54bWxQSwUGAAAAAAYABgBZAQAA&#10;RQUAAAAA&#10;">
                <v:fill on="t" focussize="0,0"/>
                <v:stroke on="f"/>
                <v:imagedata o:title=""/>
                <o:lock v:ext="edit" aspectratio="f"/>
                <v:textbox inset="0mm,0mm,0mm,0mm">
                  <w:txbxContent>
                    <w:p>
                      <w:pPr>
                        <w:pStyle w:val="77"/>
                      </w:pPr>
                      <w:r>
                        <w:rPr>
                          <w:rFonts w:hint="eastAsia"/>
                        </w:rPr>
                        <w:t>河北省地方标准</w:t>
                      </w: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0" b="2540"/>
                <wp:wrapNone/>
                <wp:docPr id="1" name="fmFrame1"/>
                <wp:cNvGraphicFramePr/>
                <a:graphic xmlns:a="http://schemas.openxmlformats.org/drawingml/2006/main">
                  <a:graphicData uri="http://schemas.microsoft.com/office/word/2010/wordprocessingShape">
                    <wps:wsp>
                      <wps:cNvSpPr txBox="1"/>
                      <wps:spPr>
                        <a:xfrm>
                          <a:off x="0" y="0"/>
                          <a:ext cx="2540000" cy="657860"/>
                        </a:xfrm>
                        <a:prstGeom prst="rect">
                          <a:avLst/>
                        </a:prstGeom>
                        <a:solidFill>
                          <a:srgbClr val="FFFFFF"/>
                        </a:solidFill>
                        <a:ln>
                          <a:noFill/>
                        </a:ln>
                      </wps:spPr>
                      <wps:txbx>
                        <w:txbxContent>
                          <w:p>
                            <w:pPr>
                              <w:pStyle w:val="86"/>
                            </w:pPr>
                          </w:p>
                          <w:p>
                            <w:pPr>
                              <w:pStyle w:val="86"/>
                              <w:rPr>
                                <w:rFonts w:hint="eastAsia"/>
                              </w:rPr>
                            </w:pPr>
                            <w:r>
                              <w:rPr>
                                <w:rFonts w:hint="eastAsia"/>
                              </w:rPr>
                              <w:t>H64</w:t>
                            </w:r>
                          </w:p>
                        </w:txbxContent>
                      </wps:txbx>
                      <wps:bodyPr wrap="square" lIns="0" tIns="0" rIns="0" bIns="0" upright="1"/>
                    </wps:wsp>
                  </a:graphicData>
                </a:graphic>
              </wp:anchor>
            </w:drawing>
          </mc:Choice>
          <mc:Fallback>
            <w:pict>
              <v:shape id="fmFrame1"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F7Mvg0wAAAAUBAAAP&#10;AAAAAAAAAAEAIAAAACIAAABkcnMvZG93bnJldi54bWxQSwECFAAUAAAACACHTuJARnXpfKsBAABY&#10;AwAADgAAAAAAAAABACAAAAAiAQAAZHJzL2Uyb0RvYy54bWxQSwUGAAAAAAYABgBZAQAAPwUAAAAA&#10;">
                <v:fill on="t" focussize="0,0"/>
                <v:stroke on="f"/>
                <v:imagedata o:title=""/>
                <o:lock v:ext="edit" aspectratio="f"/>
                <v:textbox inset="0mm,0mm,0mm,0mm">
                  <w:txbxContent>
                    <w:p>
                      <w:pPr>
                        <w:pStyle w:val="86"/>
                      </w:pPr>
                    </w:p>
                    <w:p>
                      <w:pPr>
                        <w:pStyle w:val="86"/>
                        <w:rPr>
                          <w:rFonts w:hint="eastAsia"/>
                        </w:rPr>
                      </w:pPr>
                      <w:r>
                        <w:rPr>
                          <w:rFonts w:hint="eastAsia"/>
                        </w:rPr>
                        <w:t>H64</w:t>
                      </w:r>
                    </w:p>
                  </w:txbxContent>
                </v:textbox>
                <w10:anchorlock/>
              </v:shape>
            </w:pict>
          </mc:Fallback>
        </mc:AlternateContent>
      </w:r>
    </w:p>
    <w:bookmarkEnd w:id="0"/>
    <w:p>
      <w:pPr>
        <w:pStyle w:val="51"/>
        <w:numPr>
          <w:ilvl w:val="0"/>
          <w:numId w:val="0"/>
        </w:numPr>
      </w:pPr>
      <w:bookmarkStart w:id="1" w:name="_Toc95741239"/>
      <w:bookmarkStart w:id="2" w:name="SectionMark2"/>
      <w:r>
        <w:rPr>
          <w:rFonts w:hint="eastAsia"/>
        </w:rPr>
        <w:t>前    言</w:t>
      </w:r>
      <w:bookmarkEnd w:id="1"/>
      <w:r>
        <w:rPr>
          <w:rFonts w:hint="eastAsia"/>
        </w:rPr>
        <w:t xml:space="preserve">   </w:t>
      </w:r>
    </w:p>
    <w:p>
      <w:pPr>
        <w:pStyle w:val="46"/>
        <w:ind w:firstLine="420"/>
        <w:rPr>
          <w:rFonts w:hint="eastAsia"/>
        </w:rPr>
      </w:pPr>
    </w:p>
    <w:p>
      <w:pPr>
        <w:pStyle w:val="46"/>
        <w:ind w:firstLine="420"/>
        <w:rPr>
          <w:rFonts w:hint="eastAsia"/>
          <w:szCs w:val="21"/>
        </w:rPr>
      </w:pPr>
      <w:r>
        <w:rPr>
          <w:rFonts w:hint="eastAsia"/>
          <w:szCs w:val="21"/>
        </w:rPr>
        <w:t>本文件按照GB/T 1.1-2020《标准化工作导则 第一部分：标准化文件的结构和起草规则》的规定起草。</w:t>
      </w:r>
    </w:p>
    <w:p>
      <w:pPr>
        <w:pStyle w:val="46"/>
        <w:ind w:firstLine="420"/>
      </w:pPr>
      <w:r>
        <w:rPr>
          <w:rFonts w:hint="eastAsia"/>
        </w:rPr>
        <w:t>本文件由河北省农业农村厅提出。</w:t>
      </w:r>
    </w:p>
    <w:p>
      <w:pPr>
        <w:ind w:firstLine="420" w:firstLineChars="200"/>
        <w:rPr>
          <w:rFonts w:hint="eastAsia"/>
          <w:szCs w:val="21"/>
        </w:rPr>
      </w:pPr>
      <w:r>
        <w:rPr>
          <w:rFonts w:hint="eastAsia"/>
          <w:szCs w:val="21"/>
        </w:rPr>
        <w:t>本文件起草单位：河北省农林科学院农业资源环境研究所、河北农业大学、河北省设施果蔬产业研究院、饶阳县农业局、永清县农业局等。</w:t>
      </w:r>
    </w:p>
    <w:p>
      <w:pPr>
        <w:pStyle w:val="46"/>
        <w:ind w:firstLine="420"/>
        <w:rPr>
          <w:rFonts w:hint="eastAsia"/>
        </w:rPr>
      </w:pPr>
      <w:r>
        <w:rPr>
          <w:rFonts w:hint="eastAsia"/>
          <w:szCs w:val="21"/>
        </w:rPr>
        <w:t>本文件主要起草人：王凌、刘蕾、王策、肖广敏、孙世友、李博文、茹淑华、张国印、王雪晴、赵欧亚、郜静、李玭、</w:t>
      </w:r>
      <w:r>
        <w:rPr>
          <w:rFonts w:hint="eastAsia"/>
          <w:szCs w:val="21"/>
          <w:lang w:eastAsia="zh-CN"/>
        </w:rPr>
        <w:t>侯利敏、</w:t>
      </w:r>
      <w:r>
        <w:rPr>
          <w:rFonts w:hint="eastAsia"/>
          <w:szCs w:val="21"/>
        </w:rPr>
        <w:t>赵英男、靳列维、周宏业、李彦爽、马理。</w:t>
      </w:r>
    </w:p>
    <w:p>
      <w:pPr>
        <w:pStyle w:val="46"/>
        <w:ind w:firstLine="420"/>
      </w:pPr>
    </w:p>
    <w:bookmarkEnd w:id="2"/>
    <w:p>
      <w:pPr>
        <w:pStyle w:val="101"/>
        <w:spacing w:before="0" w:after="0"/>
        <w:rPr>
          <w:rFonts w:hint="eastAsia" w:ascii="方正仿宋_GBK" w:hAnsi="方正仿宋_GBK" w:eastAsia="方正仿宋_GBK" w:cs="方正仿宋_GBK"/>
          <w:sz w:val="28"/>
          <w:szCs w:val="28"/>
        </w:rPr>
      </w:pPr>
      <w:bookmarkStart w:id="3" w:name="SectionMark4"/>
    </w:p>
    <w:p>
      <w:pPr>
        <w:pStyle w:val="101"/>
        <w:spacing w:before="0" w:after="0"/>
        <w:rPr>
          <w:rFonts w:hint="eastAsia" w:ascii="方正仿宋_GBK" w:hAnsi="方正仿宋_GBK" w:eastAsia="方正仿宋_GBK" w:cs="方正仿宋_GBK"/>
          <w:sz w:val="28"/>
          <w:szCs w:val="28"/>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46"/>
        <w:ind w:firstLine="420"/>
        <w:rPr>
          <w:rFonts w:hint="eastAsia"/>
        </w:rPr>
      </w:pPr>
    </w:p>
    <w:p>
      <w:pPr>
        <w:pStyle w:val="101"/>
        <w:rPr>
          <w:rFonts w:hint="eastAsia"/>
        </w:rPr>
      </w:pPr>
      <w:bookmarkStart w:id="4" w:name="_Toc95741240"/>
    </w:p>
    <w:bookmarkEnd w:id="4"/>
    <w:p>
      <w:pPr>
        <w:pStyle w:val="51"/>
        <w:numPr>
          <w:ilvl w:val="0"/>
          <w:numId w:val="0"/>
        </w:numPr>
        <w:rPr>
          <w:rFonts w:hint="eastAsia"/>
        </w:rPr>
      </w:pPr>
      <w:r>
        <w:rPr>
          <w:rFonts w:hint="eastAsia"/>
        </w:rPr>
        <w:t>设施农业温室气体排放防控技术规程</w:t>
      </w:r>
    </w:p>
    <w:p>
      <w:pPr>
        <w:pStyle w:val="89"/>
        <w:spacing w:before="156" w:after="156"/>
        <w:rPr>
          <w:rFonts w:hint="eastAsia" w:ascii="方正仿宋_GBK" w:hAnsi="方正仿宋_GBK" w:eastAsia="方正仿宋_GBK" w:cs="方正仿宋_GBK"/>
          <w:b/>
          <w:bCs/>
          <w:color w:val="FF0000"/>
          <w:sz w:val="28"/>
          <w:szCs w:val="28"/>
        </w:rPr>
      </w:pPr>
      <w:bookmarkStart w:id="5" w:name="_Toc95741241"/>
      <w:r>
        <w:rPr>
          <w:rFonts w:hint="eastAsia"/>
        </w:rPr>
        <w:t>范围</w:t>
      </w:r>
      <w:bookmarkEnd w:id="5"/>
      <w:r>
        <w:rPr>
          <w:rFonts w:hint="eastAsia"/>
        </w:rPr>
        <w:t xml:space="preserve">   </w:t>
      </w:r>
      <w:r>
        <w:rPr>
          <w:rFonts w:hint="eastAsia"/>
          <w:color w:val="FF0000"/>
        </w:rPr>
        <w:t xml:space="preserve">  </w:t>
      </w:r>
    </w:p>
    <w:p>
      <w:pPr>
        <w:ind w:firstLine="420" w:firstLineChars="200"/>
        <w:rPr>
          <w:rFonts w:ascii="宋体" w:hAnsi="宋体"/>
        </w:rPr>
      </w:pPr>
      <w:r>
        <w:rPr>
          <w:rFonts w:hint="eastAsia" w:ascii="宋体" w:hAnsi="宋体"/>
        </w:rPr>
        <w:t>本文件界定了设施农业温室气体排放防控技术的适用范围、规范性引用文件、术语和定义、设施农业栽培的主要蔬菜类型（瓜果类、叶菜类、根菜类）和水果品</w:t>
      </w:r>
      <w:r>
        <w:rPr>
          <w:rFonts w:hint="eastAsia" w:ascii="宋体" w:hAnsi="宋体"/>
          <w:lang w:eastAsia="zh-CN"/>
        </w:rPr>
        <w:t>类</w:t>
      </w:r>
      <w:r>
        <w:rPr>
          <w:rFonts w:hint="eastAsia" w:ascii="宋体" w:hAnsi="宋体"/>
        </w:rPr>
        <w:t>(</w:t>
      </w:r>
      <w:r>
        <w:rPr>
          <w:rFonts w:hint="eastAsia" w:ascii="宋体" w:hAnsi="宋体"/>
          <w:lang w:eastAsia="zh-CN"/>
        </w:rPr>
        <w:t>主要指</w:t>
      </w:r>
      <w:r>
        <w:rPr>
          <w:rFonts w:hint="eastAsia" w:ascii="宋体" w:hAnsi="宋体"/>
        </w:rPr>
        <w:t>葡萄等)、施肥、</w:t>
      </w:r>
      <w:r>
        <w:rPr>
          <w:rFonts w:ascii="宋体" w:hAnsi="宋体"/>
        </w:rPr>
        <w:t>灌水</w:t>
      </w:r>
      <w:r>
        <w:rPr>
          <w:rFonts w:hint="eastAsia" w:ascii="宋体" w:hAnsi="宋体"/>
        </w:rPr>
        <w:t>、排风通气等生产环节影响温室气体排放的防控技术。</w:t>
      </w:r>
    </w:p>
    <w:p>
      <w:pPr>
        <w:tabs>
          <w:tab w:val="left" w:pos="1094"/>
        </w:tabs>
        <w:ind w:firstLine="420" w:firstLineChars="200"/>
        <w:rPr>
          <w:rFonts w:ascii="宋体" w:hAnsi="宋体"/>
        </w:rPr>
      </w:pPr>
      <w:r>
        <w:rPr>
          <w:rFonts w:hint="eastAsia" w:ascii="宋体" w:hAnsi="宋体"/>
        </w:rPr>
        <w:t>本文件适用于除承德和张家口坝上地区以外的</w:t>
      </w:r>
      <w:r>
        <w:rPr>
          <w:rFonts w:hint="eastAsia" w:ascii="宋体" w:hAnsi="宋体"/>
          <w:lang w:eastAsia="zh-CN"/>
        </w:rPr>
        <w:t>主要</w:t>
      </w:r>
      <w:r>
        <w:rPr>
          <w:rFonts w:hint="eastAsia" w:ascii="宋体" w:hAnsi="宋体"/>
        </w:rPr>
        <w:t>河北省设施农业种植的蔬菜</w:t>
      </w:r>
      <w:r>
        <w:rPr>
          <w:rFonts w:hint="eastAsia" w:ascii="宋体" w:hAnsi="宋体"/>
          <w:lang w:eastAsia="zh-CN"/>
        </w:rPr>
        <w:t>和水果</w:t>
      </w:r>
      <w:r>
        <w:rPr>
          <w:rFonts w:hint="eastAsia" w:ascii="宋体" w:hAnsi="宋体"/>
        </w:rPr>
        <w:t>。华北地区平原地区的设施农业可参照使用。</w:t>
      </w:r>
    </w:p>
    <w:p>
      <w:pPr>
        <w:pStyle w:val="89"/>
        <w:spacing w:before="156" w:after="156"/>
        <w:rPr>
          <w:rFonts w:hint="eastAsia" w:ascii="Times New Roman" w:hAnsi="Times New Roman" w:eastAsia="宋体" w:cs="Times New Roman"/>
          <w:kern w:val="0"/>
          <w:sz w:val="24"/>
          <w:szCs w:val="24"/>
          <w:lang w:val="en-US" w:eastAsia="zh-CN" w:bidi="ar-SA"/>
        </w:rPr>
      </w:pPr>
      <w:bookmarkStart w:id="6" w:name="_Toc95741242"/>
      <w:r>
        <w:rPr>
          <w:rFonts w:hint="eastAsia"/>
        </w:rPr>
        <w:t>规范性引用</w:t>
      </w:r>
      <w:r>
        <w:rPr>
          <w:rFonts w:hint="eastAsia" w:ascii="Times New Roman" w:hAnsi="Times New Roman" w:eastAsia="宋体" w:cs="Times New Roman"/>
          <w:kern w:val="0"/>
          <w:sz w:val="24"/>
          <w:szCs w:val="24"/>
          <w:lang w:val="en-US" w:eastAsia="zh-CN" w:bidi="ar-SA"/>
        </w:rPr>
        <w:t>文件</w:t>
      </w:r>
      <w:bookmarkEnd w:id="6"/>
      <w:r>
        <w:rPr>
          <w:rFonts w:hint="eastAsia" w:ascii="Times New Roman" w:hAnsi="Times New Roman" w:eastAsia="宋体" w:cs="Times New Roman"/>
          <w:kern w:val="0"/>
          <w:sz w:val="24"/>
          <w:szCs w:val="24"/>
          <w:lang w:val="en-US" w:eastAsia="zh-CN" w:bidi="ar-SA"/>
        </w:rPr>
        <w:t xml:space="preserve">     </w:t>
      </w:r>
    </w:p>
    <w:p>
      <w:pPr>
        <w:pStyle w:val="4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 2009版：“下列文件对于本文件的应用是必不可少的。凡是注日期的引用文件，仅注日期的版本适用于本文件。凡是不注日期的引用文件，其最新版本（包括所有的修改单）适用于本文件”）</w:t>
      </w:r>
    </w:p>
    <w:p>
      <w:pPr>
        <w:pStyle w:val="26"/>
        <w:widowControl/>
        <w:spacing w:before="0" w:beforeAutospacing="0" w:after="0" w:afterAutospacing="0"/>
        <w:rPr>
          <w:rFonts w:hint="eastAsia" w:ascii="Times New Roman" w:hAnsi="Times New Roman"/>
          <w:color w:val="000000"/>
        </w:rPr>
      </w:pPr>
    </w:p>
    <w:p>
      <w:pPr>
        <w:pStyle w:val="26"/>
        <w:widowControl/>
        <w:spacing w:before="0" w:beforeAutospacing="0" w:after="0" w:afterAutospacing="0"/>
        <w:rPr>
          <w:rFonts w:hint="eastAsia" w:ascii="Times New Roman" w:hAnsi="Times New Roman"/>
          <w:color w:val="000000"/>
          <w:sz w:val="21"/>
          <w:szCs w:val="21"/>
        </w:rPr>
      </w:pPr>
      <w:r>
        <w:rPr>
          <w:rFonts w:hint="eastAsia" w:ascii="Times New Roman" w:hAnsi="Times New Roman"/>
          <w:color w:val="000000"/>
          <w:sz w:val="21"/>
          <w:szCs w:val="21"/>
        </w:rPr>
        <w:t>GB 16715（所有部分）瓜菜作物种子</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 xml:space="preserve">GB 5084 </w:t>
      </w:r>
      <w:r>
        <w:rPr>
          <w:rFonts w:ascii="Times New Roman" w:hAnsi="宋体"/>
          <w:color w:val="000000"/>
          <w:sz w:val="21"/>
          <w:szCs w:val="21"/>
        </w:rPr>
        <w:t>农田灌溉水质量标准要求</w:t>
      </w:r>
      <w:r>
        <w:rPr>
          <w:rFonts w:ascii="Times New Roman" w:hAnsi="Times New Roman"/>
          <w:color w:val="000000"/>
          <w:sz w:val="21"/>
          <w:szCs w:val="21"/>
        </w:rPr>
        <w:t xml:space="preserve"> </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 xml:space="preserve">GB 15063 </w:t>
      </w:r>
      <w:r>
        <w:rPr>
          <w:rFonts w:ascii="Times New Roman" w:hAnsi="宋体"/>
          <w:color w:val="000000"/>
          <w:sz w:val="21"/>
          <w:szCs w:val="21"/>
        </w:rPr>
        <w:t>复混肥料（复合肥料）</w:t>
      </w:r>
      <w:r>
        <w:rPr>
          <w:rFonts w:ascii="Times New Roman" w:hAnsi="Times New Roman"/>
          <w:color w:val="000000"/>
          <w:sz w:val="21"/>
          <w:szCs w:val="21"/>
        </w:rPr>
        <w:t xml:space="preserve"> </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 xml:space="preserve">GB/T 23348-2009 </w:t>
      </w:r>
      <w:r>
        <w:rPr>
          <w:rFonts w:ascii="Times New Roman" w:hAnsi="宋体"/>
          <w:color w:val="000000"/>
          <w:sz w:val="21"/>
          <w:szCs w:val="21"/>
        </w:rPr>
        <w:t>缓释肥料</w:t>
      </w:r>
      <w:r>
        <w:rPr>
          <w:rFonts w:ascii="Times New Roman" w:hAnsi="Times New Roman"/>
          <w:color w:val="000000"/>
          <w:sz w:val="21"/>
          <w:szCs w:val="21"/>
        </w:rPr>
        <w:t xml:space="preserve"> </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 xml:space="preserve">GB 18877 </w:t>
      </w:r>
      <w:r>
        <w:rPr>
          <w:rFonts w:ascii="Times New Roman" w:hAnsi="宋体"/>
          <w:color w:val="000000"/>
          <w:sz w:val="21"/>
          <w:szCs w:val="21"/>
        </w:rPr>
        <w:t>有机</w:t>
      </w:r>
      <w:r>
        <w:rPr>
          <w:rFonts w:ascii="Times New Roman" w:hAnsi="Times New Roman"/>
          <w:color w:val="000000"/>
          <w:sz w:val="21"/>
          <w:szCs w:val="21"/>
        </w:rPr>
        <w:t>-</w:t>
      </w:r>
      <w:r>
        <w:rPr>
          <w:rFonts w:ascii="Times New Roman" w:hAnsi="宋体"/>
          <w:color w:val="000000"/>
          <w:sz w:val="21"/>
          <w:szCs w:val="21"/>
        </w:rPr>
        <w:t>无机复混肥料</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 xml:space="preserve">GB 20287 </w:t>
      </w:r>
      <w:r>
        <w:rPr>
          <w:rFonts w:ascii="Times New Roman" w:hAnsi="宋体"/>
          <w:color w:val="000000"/>
          <w:sz w:val="21"/>
          <w:szCs w:val="21"/>
        </w:rPr>
        <w:t>农用微生物菌剂</w:t>
      </w:r>
    </w:p>
    <w:p>
      <w:pPr>
        <w:pStyle w:val="26"/>
        <w:widowControl/>
        <w:spacing w:before="0" w:beforeAutospacing="0" w:after="0" w:afterAutospacing="0"/>
        <w:rPr>
          <w:rFonts w:hint="eastAsia" w:ascii="Times New Roman" w:hAnsi="宋体"/>
          <w:color w:val="000000"/>
          <w:sz w:val="21"/>
          <w:szCs w:val="21"/>
        </w:rPr>
      </w:pPr>
      <w:r>
        <w:rPr>
          <w:rFonts w:ascii="Times New Roman" w:hAnsi="Times New Roman"/>
          <w:color w:val="000000"/>
          <w:sz w:val="21"/>
          <w:szCs w:val="21"/>
        </w:rPr>
        <w:t xml:space="preserve">NY/T 391 </w:t>
      </w:r>
      <w:r>
        <w:rPr>
          <w:rFonts w:ascii="Times New Roman" w:hAnsi="宋体"/>
          <w:color w:val="000000"/>
          <w:sz w:val="21"/>
          <w:szCs w:val="21"/>
        </w:rPr>
        <w:t>绿色食品</w:t>
      </w:r>
      <w:r>
        <w:rPr>
          <w:rFonts w:ascii="Times New Roman" w:hAnsi="Times New Roman"/>
          <w:color w:val="000000"/>
          <w:sz w:val="21"/>
          <w:szCs w:val="21"/>
        </w:rPr>
        <w:t xml:space="preserve"> </w:t>
      </w:r>
      <w:r>
        <w:rPr>
          <w:rFonts w:ascii="Times New Roman" w:hAnsi="宋体"/>
          <w:color w:val="000000"/>
          <w:sz w:val="21"/>
          <w:szCs w:val="21"/>
        </w:rPr>
        <w:t>产地环境质量</w:t>
      </w:r>
    </w:p>
    <w:p>
      <w:pPr>
        <w:pStyle w:val="26"/>
        <w:widowControl/>
        <w:spacing w:before="0" w:beforeAutospacing="0" w:after="0" w:afterAutospacing="0"/>
        <w:rPr>
          <w:rFonts w:hint="eastAsia" w:ascii="Times New Roman" w:hAnsi="Times New Roman"/>
          <w:color w:val="000000"/>
          <w:sz w:val="21"/>
          <w:szCs w:val="21"/>
        </w:rPr>
      </w:pPr>
      <w:r>
        <w:rPr>
          <w:rFonts w:hint="eastAsia" w:ascii="Times New Roman" w:hAnsi="Times New Roman"/>
          <w:color w:val="000000"/>
          <w:sz w:val="21"/>
          <w:szCs w:val="21"/>
        </w:rPr>
        <w:t>NY/T 469-2001 葡萄苗木</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 xml:space="preserve">NY/T 496 </w:t>
      </w:r>
      <w:r>
        <w:rPr>
          <w:rFonts w:ascii="Times New Roman" w:hAnsi="宋体"/>
          <w:color w:val="000000"/>
          <w:sz w:val="21"/>
          <w:szCs w:val="21"/>
        </w:rPr>
        <w:t>肥料合理使用准则</w:t>
      </w:r>
      <w:r>
        <w:rPr>
          <w:rFonts w:ascii="Times New Roman" w:hAnsi="Times New Roman"/>
          <w:color w:val="000000"/>
          <w:sz w:val="21"/>
          <w:szCs w:val="21"/>
        </w:rPr>
        <w:t xml:space="preserve"> </w:t>
      </w:r>
      <w:r>
        <w:rPr>
          <w:rFonts w:ascii="Times New Roman" w:hAnsi="宋体"/>
          <w:color w:val="000000"/>
          <w:sz w:val="21"/>
          <w:szCs w:val="21"/>
        </w:rPr>
        <w:t>通则</w:t>
      </w:r>
      <w:r>
        <w:rPr>
          <w:rFonts w:ascii="Times New Roman" w:hAnsi="Times New Roman"/>
          <w:color w:val="000000"/>
          <w:sz w:val="21"/>
          <w:szCs w:val="21"/>
        </w:rPr>
        <w:t xml:space="preserve"> </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 xml:space="preserve">NY 525-2012 </w:t>
      </w:r>
      <w:r>
        <w:rPr>
          <w:rFonts w:ascii="Times New Roman" w:hAnsi="宋体"/>
          <w:color w:val="000000"/>
          <w:sz w:val="21"/>
          <w:szCs w:val="21"/>
        </w:rPr>
        <w:t>有机肥料</w:t>
      </w:r>
      <w:r>
        <w:rPr>
          <w:rFonts w:ascii="Times New Roman" w:hAnsi="Times New Roman"/>
          <w:color w:val="000000"/>
          <w:sz w:val="21"/>
          <w:szCs w:val="21"/>
        </w:rPr>
        <w:t xml:space="preserve"> </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NY/T 798</w:t>
      </w:r>
      <w:r>
        <w:rPr>
          <w:rFonts w:hint="eastAsia" w:ascii="Times New Roman" w:hAnsi="Times New Roman"/>
          <w:color w:val="000000"/>
          <w:sz w:val="21"/>
          <w:szCs w:val="21"/>
          <w:lang w:val="en-US" w:eastAsia="zh-CN"/>
        </w:rPr>
        <w:t>-2015</w:t>
      </w:r>
      <w:r>
        <w:rPr>
          <w:rFonts w:ascii="Times New Roman" w:hAnsi="Times New Roman"/>
          <w:color w:val="000000"/>
          <w:sz w:val="21"/>
          <w:szCs w:val="21"/>
        </w:rPr>
        <w:t xml:space="preserve"> </w:t>
      </w:r>
      <w:r>
        <w:rPr>
          <w:rFonts w:ascii="Times New Roman" w:hAnsi="宋体"/>
          <w:color w:val="000000"/>
          <w:sz w:val="21"/>
          <w:szCs w:val="21"/>
        </w:rPr>
        <w:t>复合微生物肥料</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NY 884</w:t>
      </w:r>
      <w:r>
        <w:rPr>
          <w:rFonts w:hint="eastAsia" w:ascii="Times New Roman" w:hAnsi="Times New Roman"/>
          <w:color w:val="000000"/>
          <w:sz w:val="21"/>
          <w:szCs w:val="21"/>
          <w:lang w:val="en-US" w:eastAsia="zh-CN"/>
        </w:rPr>
        <w:t>-2012</w:t>
      </w:r>
      <w:r>
        <w:rPr>
          <w:rFonts w:ascii="Times New Roman" w:hAnsi="Times New Roman"/>
          <w:color w:val="000000"/>
          <w:sz w:val="21"/>
          <w:szCs w:val="21"/>
        </w:rPr>
        <w:t xml:space="preserve"> </w:t>
      </w:r>
      <w:r>
        <w:rPr>
          <w:rFonts w:ascii="Times New Roman" w:hAnsi="宋体"/>
          <w:color w:val="000000"/>
          <w:sz w:val="21"/>
          <w:szCs w:val="21"/>
        </w:rPr>
        <w:t>生物有机肥</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NY 1106</w:t>
      </w:r>
      <w:r>
        <w:rPr>
          <w:rFonts w:hint="eastAsia" w:ascii="Times New Roman" w:hAnsi="Times New Roman"/>
          <w:color w:val="000000"/>
          <w:sz w:val="21"/>
          <w:szCs w:val="21"/>
          <w:lang w:val="en-US" w:eastAsia="zh-CN"/>
        </w:rPr>
        <w:t>-2010</w:t>
      </w:r>
      <w:r>
        <w:rPr>
          <w:rFonts w:ascii="Times New Roman" w:hAnsi="Times New Roman"/>
          <w:color w:val="000000"/>
          <w:sz w:val="21"/>
          <w:szCs w:val="21"/>
        </w:rPr>
        <w:t xml:space="preserve"> </w:t>
      </w:r>
      <w:r>
        <w:rPr>
          <w:rFonts w:ascii="Times New Roman" w:hAnsi="宋体"/>
          <w:color w:val="000000"/>
          <w:sz w:val="21"/>
          <w:szCs w:val="21"/>
        </w:rPr>
        <w:t>含腐植酸水溶肥料</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NY 1107</w:t>
      </w:r>
      <w:r>
        <w:rPr>
          <w:rFonts w:hint="eastAsia" w:ascii="Times New Roman" w:hAnsi="Times New Roman"/>
          <w:color w:val="000000"/>
          <w:sz w:val="21"/>
          <w:szCs w:val="21"/>
          <w:lang w:val="en-US" w:eastAsia="zh-CN"/>
        </w:rPr>
        <w:t>-2020</w:t>
      </w:r>
      <w:r>
        <w:rPr>
          <w:rFonts w:ascii="Times New Roman" w:hAnsi="Times New Roman"/>
          <w:color w:val="000000"/>
          <w:sz w:val="21"/>
          <w:szCs w:val="21"/>
        </w:rPr>
        <w:t xml:space="preserve"> 大量元素水溶肥料</w:t>
      </w:r>
    </w:p>
    <w:p>
      <w:pPr>
        <w:pStyle w:val="26"/>
        <w:widowControl/>
        <w:spacing w:before="0" w:beforeAutospacing="0" w:after="0" w:afterAutospacing="0"/>
        <w:rPr>
          <w:rFonts w:ascii="Times New Roman" w:hAnsi="Times New Roman"/>
          <w:color w:val="000000"/>
          <w:sz w:val="21"/>
          <w:szCs w:val="21"/>
        </w:rPr>
      </w:pPr>
      <w:r>
        <w:rPr>
          <w:rFonts w:hint="eastAsia" w:ascii="Times New Roman" w:hAnsi="Times New Roman"/>
          <w:color w:val="000000"/>
          <w:sz w:val="21"/>
          <w:szCs w:val="21"/>
        </w:rPr>
        <w:t>NY/T 2624</w:t>
      </w:r>
      <w:r>
        <w:rPr>
          <w:rFonts w:hint="eastAsia" w:ascii="Times New Roman" w:hAnsi="Times New Roman"/>
          <w:color w:val="000000"/>
          <w:sz w:val="21"/>
          <w:szCs w:val="21"/>
          <w:lang w:val="en-US" w:eastAsia="zh-CN"/>
        </w:rPr>
        <w:t>-2014</w:t>
      </w:r>
      <w:r>
        <w:rPr>
          <w:rFonts w:hint="eastAsia" w:ascii="Times New Roman" w:hAnsi="Times New Roman"/>
          <w:color w:val="000000"/>
          <w:sz w:val="21"/>
          <w:szCs w:val="21"/>
        </w:rPr>
        <w:t xml:space="preserve"> 水肥一体化技术规范 总则</w:t>
      </w:r>
    </w:p>
    <w:p>
      <w:pPr>
        <w:pStyle w:val="26"/>
        <w:widowControl/>
        <w:spacing w:before="0" w:beforeAutospacing="0" w:after="0" w:afterAutospacing="0"/>
        <w:rPr>
          <w:rFonts w:hint="eastAsia" w:ascii="Times New Roman" w:hAnsi="Times New Roman"/>
          <w:sz w:val="21"/>
          <w:szCs w:val="21"/>
        </w:rPr>
      </w:pPr>
      <w:r>
        <w:rPr>
          <w:rFonts w:hint="eastAsia" w:ascii="Times New Roman" w:hAnsi="Times New Roman"/>
          <w:sz w:val="21"/>
          <w:szCs w:val="21"/>
        </w:rPr>
        <w:t>NY/T 3244-2018 设施蔬菜灌溉施肥技术通则</w:t>
      </w:r>
    </w:p>
    <w:p>
      <w:pPr>
        <w:pStyle w:val="26"/>
        <w:widowControl/>
        <w:spacing w:before="0" w:beforeAutospacing="0" w:after="0" w:afterAutospacing="0"/>
        <w:rPr>
          <w:rFonts w:hint="eastAsia" w:ascii="Times New Roman" w:hAnsi="Times New Roman"/>
          <w:color w:val="FF0000"/>
          <w:sz w:val="21"/>
          <w:szCs w:val="21"/>
        </w:rPr>
      </w:pPr>
      <w:r>
        <w:rPr>
          <w:rFonts w:ascii="Times New Roman" w:hAnsi="Times New Roman"/>
          <w:color w:val="000000"/>
          <w:sz w:val="21"/>
          <w:szCs w:val="21"/>
        </w:rPr>
        <w:t>NY/T 3263.1-2018 绿色防控技术规程 第1部分：温室果蔬(草莓、番茄)</w:t>
      </w:r>
      <w:r>
        <w:rPr>
          <w:rFonts w:hint="eastAsia" w:ascii="Times New Roman" w:hAnsi="Times New Roman"/>
          <w:color w:val="FF0000"/>
          <w:sz w:val="21"/>
          <w:szCs w:val="21"/>
        </w:rPr>
        <w:t xml:space="preserve"> </w:t>
      </w:r>
    </w:p>
    <w:p>
      <w:pPr>
        <w:pStyle w:val="26"/>
        <w:widowControl/>
        <w:spacing w:before="0" w:beforeAutospacing="0" w:after="0" w:afterAutospacing="0"/>
        <w:rPr>
          <w:rFonts w:hint="default" w:ascii="Times New Roman" w:hAnsi="Times New Roman" w:eastAsia="宋体"/>
          <w:color w:val="FF0000"/>
          <w:sz w:val="21"/>
          <w:szCs w:val="21"/>
          <w:highlight w:val="none"/>
          <w:lang w:val="en-US" w:eastAsia="zh-CN"/>
        </w:rPr>
      </w:pPr>
      <w:r>
        <w:rPr>
          <w:rFonts w:ascii="Times New Roman" w:hAnsi="Times New Roman"/>
          <w:color w:val="000000"/>
          <w:sz w:val="21"/>
          <w:szCs w:val="21"/>
          <w:highlight w:val="none"/>
        </w:rPr>
        <w:t>NY/T</w:t>
      </w:r>
      <w:r>
        <w:rPr>
          <w:rFonts w:hint="eastAsia" w:ascii="Times New Roman" w:hAnsi="Times New Roman"/>
          <w:color w:val="000000"/>
          <w:sz w:val="21"/>
          <w:szCs w:val="21"/>
          <w:highlight w:val="none"/>
          <w:lang w:val="en-US" w:eastAsia="zh-CN"/>
        </w:rPr>
        <w:t xml:space="preserve"> 3504-2019 肥料增效剂：硝化抑制剂及使用规程</w:t>
      </w:r>
    </w:p>
    <w:p>
      <w:pPr>
        <w:pStyle w:val="26"/>
        <w:widowControl/>
        <w:spacing w:before="0" w:beforeAutospacing="0" w:after="0" w:afterAutospacing="0"/>
        <w:rPr>
          <w:rFonts w:hint="eastAsia" w:ascii="Times New Roman" w:hAnsi="Times New Roman"/>
          <w:color w:val="000000"/>
          <w:sz w:val="21"/>
          <w:szCs w:val="21"/>
        </w:rPr>
      </w:pPr>
      <w:r>
        <w:rPr>
          <w:rFonts w:hint="eastAsia" w:ascii="Times New Roman" w:hAnsi="Times New Roman"/>
          <w:color w:val="000000"/>
          <w:sz w:val="21"/>
          <w:szCs w:val="21"/>
        </w:rPr>
        <w:t>NY/T 3628-2020 设施葡萄栽培技术规程</w:t>
      </w:r>
    </w:p>
    <w:p>
      <w:pPr>
        <w:pStyle w:val="26"/>
        <w:widowControl/>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 xml:space="preserve">NY/T 3832-2021 </w:t>
      </w:r>
      <w:r>
        <w:rPr>
          <w:rFonts w:hint="eastAsia" w:ascii="Times New Roman" w:hAnsi="Times New Roman"/>
          <w:color w:val="000000"/>
          <w:sz w:val="21"/>
          <w:szCs w:val="21"/>
        </w:rPr>
        <w:t>设施蔬菜施肥量控制技术指南</w:t>
      </w:r>
    </w:p>
    <w:p>
      <w:pPr>
        <w:pStyle w:val="26"/>
        <w:widowControl/>
        <w:spacing w:before="0" w:beforeAutospacing="0" w:after="0" w:afterAutospacing="0"/>
        <w:rPr>
          <w:rFonts w:hint="eastAsia" w:ascii="Times New Roman" w:hAnsi="Times New Roman"/>
          <w:color w:val="000000"/>
          <w:sz w:val="21"/>
          <w:szCs w:val="21"/>
        </w:rPr>
      </w:pPr>
      <w:r>
        <w:rPr>
          <w:rFonts w:hint="eastAsia" w:ascii="Times New Roman" w:hAnsi="Times New Roman"/>
          <w:color w:val="000000"/>
          <w:sz w:val="21"/>
          <w:szCs w:val="21"/>
        </w:rPr>
        <w:t>NY/T 3848-2021 设施草莓生产技术规程</w:t>
      </w:r>
    </w:p>
    <w:p>
      <w:pPr>
        <w:pStyle w:val="26"/>
        <w:widowControl/>
        <w:spacing w:before="0" w:beforeAutospacing="0" w:after="0" w:afterAutospacing="0"/>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DB 11/T 162-2021 主要果菜类蔬菜设施生产技术规程</w:t>
      </w:r>
    </w:p>
    <w:p>
      <w:pPr>
        <w:pStyle w:val="26"/>
        <w:widowControl/>
        <w:spacing w:before="0" w:beforeAutospacing="0" w:after="0" w:afterAutospacing="0"/>
        <w:rPr>
          <w:rFonts w:ascii="Times New Roman" w:hAnsi="Times New Roman"/>
          <w:color w:val="000000"/>
          <w:sz w:val="21"/>
          <w:szCs w:val="21"/>
        </w:rPr>
      </w:pPr>
      <w:r>
        <w:rPr>
          <w:rFonts w:hint="eastAsia" w:ascii="Times New Roman" w:hAnsi="Times New Roman"/>
          <w:color w:val="000000"/>
          <w:sz w:val="21"/>
          <w:szCs w:val="21"/>
        </w:rPr>
        <w:t>DB</w:t>
      </w:r>
      <w:r>
        <w:rPr>
          <w:rFonts w:hint="eastAsia" w:ascii="Times New Roman" w:hAnsi="Times New Roman"/>
          <w:color w:val="000000"/>
          <w:sz w:val="21"/>
          <w:szCs w:val="21"/>
          <w:lang w:val="en-US" w:eastAsia="zh-CN"/>
        </w:rPr>
        <w:t xml:space="preserve"> </w:t>
      </w:r>
      <w:r>
        <w:rPr>
          <w:rFonts w:hint="eastAsia" w:ascii="Times New Roman" w:hAnsi="Times New Roman"/>
          <w:color w:val="000000"/>
          <w:sz w:val="21"/>
          <w:szCs w:val="21"/>
        </w:rPr>
        <w:t>13</w:t>
      </w:r>
      <w:r>
        <w:rPr>
          <w:rFonts w:hint="eastAsia" w:ascii="Times New Roman" w:hAnsi="Times New Roman"/>
          <w:color w:val="000000"/>
          <w:sz w:val="21"/>
          <w:szCs w:val="21"/>
          <w:lang w:val="en-US" w:eastAsia="zh-CN"/>
        </w:rPr>
        <w:t>/</w:t>
      </w:r>
      <w:r>
        <w:rPr>
          <w:rFonts w:hint="eastAsia" w:ascii="Times New Roman" w:hAnsi="Times New Roman"/>
          <w:color w:val="000000"/>
          <w:sz w:val="21"/>
          <w:szCs w:val="21"/>
        </w:rPr>
        <w:t>T 1137-2009日光温室黄瓜、番茄节水灌溉技术规程</w:t>
      </w:r>
    </w:p>
    <w:p>
      <w:pPr>
        <w:pStyle w:val="26"/>
        <w:widowControl/>
        <w:spacing w:before="0" w:beforeAutospacing="0" w:after="0" w:afterAutospacing="0"/>
        <w:rPr>
          <w:rFonts w:hint="eastAsia" w:ascii="Times New Roman" w:hAnsi="Times New Roman"/>
          <w:color w:val="000000"/>
          <w:sz w:val="21"/>
          <w:szCs w:val="21"/>
        </w:rPr>
      </w:pPr>
      <w:r>
        <w:rPr>
          <w:rFonts w:hint="eastAsia" w:ascii="Times New Roman" w:hAnsi="Times New Roman"/>
          <w:color w:val="000000"/>
          <w:sz w:val="21"/>
          <w:szCs w:val="21"/>
        </w:rPr>
        <w:t>DB</w:t>
      </w:r>
      <w:r>
        <w:rPr>
          <w:rFonts w:hint="eastAsia" w:ascii="Times New Roman" w:hAnsi="Times New Roman"/>
          <w:color w:val="000000"/>
          <w:sz w:val="21"/>
          <w:szCs w:val="21"/>
          <w:lang w:val="en-US" w:eastAsia="zh-CN"/>
        </w:rPr>
        <w:t xml:space="preserve"> </w:t>
      </w:r>
      <w:r>
        <w:rPr>
          <w:rFonts w:hint="eastAsia" w:ascii="Times New Roman" w:hAnsi="Times New Roman"/>
          <w:color w:val="000000"/>
          <w:sz w:val="21"/>
          <w:szCs w:val="21"/>
        </w:rPr>
        <w:t>13</w:t>
      </w:r>
      <w:r>
        <w:rPr>
          <w:rFonts w:hint="eastAsia" w:ascii="Times New Roman" w:hAnsi="Times New Roman"/>
          <w:color w:val="000000"/>
          <w:sz w:val="21"/>
          <w:szCs w:val="21"/>
          <w:lang w:val="en-US" w:eastAsia="zh-CN"/>
        </w:rPr>
        <w:t>/</w:t>
      </w:r>
      <w:r>
        <w:rPr>
          <w:rFonts w:hint="eastAsia" w:ascii="Times New Roman" w:hAnsi="Times New Roman"/>
          <w:color w:val="000000"/>
          <w:sz w:val="21"/>
          <w:szCs w:val="21"/>
        </w:rPr>
        <w:t>T 5197-2020</w:t>
      </w:r>
      <w:r>
        <w:rPr>
          <w:rFonts w:ascii="Times New Roman" w:hAnsi="Times New Roman"/>
          <w:color w:val="000000"/>
          <w:sz w:val="21"/>
          <w:szCs w:val="21"/>
        </w:rPr>
        <w:t xml:space="preserve"> </w:t>
      </w:r>
      <w:r>
        <w:rPr>
          <w:rFonts w:hint="eastAsia" w:ascii="Times New Roman" w:hAnsi="Times New Roman"/>
          <w:color w:val="000000"/>
          <w:sz w:val="21"/>
          <w:szCs w:val="21"/>
        </w:rPr>
        <w:t>日光温室越冬长季节黄瓜化肥农药减施技术规程</w:t>
      </w:r>
    </w:p>
    <w:p>
      <w:pPr>
        <w:pStyle w:val="26"/>
        <w:widowControl/>
        <w:spacing w:before="0" w:beforeAutospacing="0" w:after="0" w:afterAutospacing="0"/>
        <w:rPr>
          <w:rFonts w:hint="eastAsia" w:ascii="Times New Roman" w:hAnsi="Times New Roman"/>
          <w:color w:val="000000"/>
          <w:sz w:val="21"/>
          <w:szCs w:val="21"/>
        </w:rPr>
      </w:pPr>
      <w:r>
        <w:rPr>
          <w:rFonts w:hint="eastAsia" w:ascii="Times New Roman" w:hAnsi="Times New Roman"/>
          <w:color w:val="000000"/>
          <w:sz w:val="21"/>
          <w:szCs w:val="21"/>
        </w:rPr>
        <w:t>DB</w:t>
      </w:r>
      <w:r>
        <w:rPr>
          <w:rFonts w:hint="eastAsia" w:ascii="Times New Roman" w:hAnsi="Times New Roman"/>
          <w:color w:val="000000"/>
          <w:sz w:val="21"/>
          <w:szCs w:val="21"/>
          <w:lang w:val="en-US" w:eastAsia="zh-CN"/>
        </w:rPr>
        <w:t xml:space="preserve"> </w:t>
      </w:r>
      <w:r>
        <w:rPr>
          <w:rFonts w:hint="eastAsia" w:ascii="Times New Roman" w:hAnsi="Times New Roman"/>
          <w:color w:val="000000"/>
          <w:sz w:val="21"/>
          <w:szCs w:val="21"/>
        </w:rPr>
        <w:t>13</w:t>
      </w:r>
      <w:r>
        <w:rPr>
          <w:rFonts w:hint="eastAsia" w:ascii="Times New Roman" w:hAnsi="Times New Roman"/>
          <w:color w:val="000000"/>
          <w:sz w:val="21"/>
          <w:szCs w:val="21"/>
          <w:lang w:val="en-US" w:eastAsia="zh-CN"/>
        </w:rPr>
        <w:t>/</w:t>
      </w:r>
      <w:r>
        <w:rPr>
          <w:rFonts w:hint="eastAsia" w:ascii="Times New Roman" w:hAnsi="Times New Roman"/>
          <w:color w:val="000000"/>
          <w:sz w:val="21"/>
          <w:szCs w:val="21"/>
        </w:rPr>
        <w:t>T 5284-2020 设施葡萄化肥农药减施技术规程</w:t>
      </w:r>
    </w:p>
    <w:p>
      <w:pPr>
        <w:pStyle w:val="26"/>
        <w:widowControl/>
        <w:spacing w:before="0" w:beforeAutospacing="0" w:after="0" w:afterAutospacing="0"/>
        <w:rPr>
          <w:rFonts w:hint="eastAsia" w:ascii="Times New Roman" w:hAnsi="Times New Roman"/>
          <w:color w:val="000000"/>
        </w:rPr>
      </w:pPr>
      <w:r>
        <w:rPr>
          <w:rFonts w:hint="eastAsia" w:ascii="Times New Roman" w:hAnsi="Times New Roman"/>
          <w:color w:val="000000"/>
          <w:sz w:val="21"/>
          <w:szCs w:val="21"/>
        </w:rPr>
        <w:t>DB</w:t>
      </w:r>
      <w:r>
        <w:rPr>
          <w:rFonts w:hint="eastAsia" w:ascii="Times New Roman" w:hAnsi="Times New Roman"/>
          <w:color w:val="000000"/>
          <w:sz w:val="21"/>
          <w:szCs w:val="21"/>
          <w:lang w:val="en-US" w:eastAsia="zh-CN"/>
        </w:rPr>
        <w:t xml:space="preserve"> </w:t>
      </w:r>
      <w:r>
        <w:rPr>
          <w:rFonts w:hint="eastAsia" w:ascii="Times New Roman" w:hAnsi="Times New Roman"/>
          <w:color w:val="000000"/>
          <w:sz w:val="21"/>
          <w:szCs w:val="21"/>
        </w:rPr>
        <w:t>14</w:t>
      </w:r>
      <w:r>
        <w:rPr>
          <w:rFonts w:hint="eastAsia" w:ascii="Times New Roman" w:hAnsi="Times New Roman"/>
          <w:color w:val="000000"/>
          <w:sz w:val="21"/>
          <w:szCs w:val="21"/>
          <w:lang w:val="en-US" w:eastAsia="zh-CN"/>
        </w:rPr>
        <w:t>/</w:t>
      </w:r>
      <w:r>
        <w:rPr>
          <w:rFonts w:hint="eastAsia" w:ascii="Times New Roman" w:hAnsi="Times New Roman"/>
          <w:color w:val="000000"/>
          <w:sz w:val="21"/>
          <w:szCs w:val="21"/>
        </w:rPr>
        <w:t>T 1617-2018 设施草莓连茬种植土壤处理技术规程</w:t>
      </w:r>
    </w:p>
    <w:p>
      <w:pPr>
        <w:pStyle w:val="26"/>
        <w:widowControl/>
        <w:spacing w:before="0" w:beforeAutospacing="0" w:after="0" w:afterAutospacing="0"/>
        <w:rPr>
          <w:rFonts w:hint="eastAsia" w:ascii="Times New Roman" w:hAnsi="Times New Roman"/>
          <w:color w:val="000000"/>
        </w:rPr>
      </w:pPr>
    </w:p>
    <w:p>
      <w:pPr>
        <w:pStyle w:val="89"/>
        <w:spacing w:before="156" w:after="156"/>
        <w:rPr>
          <w:rFonts w:hint="eastAsia"/>
          <w:sz w:val="28"/>
          <w:szCs w:val="28"/>
        </w:rPr>
      </w:pPr>
      <w:bookmarkStart w:id="7" w:name="_Toc95741243"/>
      <w:r>
        <w:rPr>
          <w:rFonts w:hint="eastAsia"/>
        </w:rPr>
        <w:t>术语和定义</w:t>
      </w:r>
      <w:bookmarkEnd w:id="7"/>
      <w:r>
        <w:rPr>
          <w:rFonts w:hint="eastAsia"/>
        </w:rPr>
        <w:t xml:space="preserve">   </w:t>
      </w:r>
      <w:r>
        <w:rPr>
          <w:rFonts w:hint="eastAsia"/>
          <w:sz w:val="28"/>
          <w:szCs w:val="28"/>
        </w:rPr>
        <w:t xml:space="preserve"> </w:t>
      </w:r>
    </w:p>
    <w:p>
      <w:pPr>
        <w:pStyle w:val="46"/>
        <w:ind w:firstLine="420"/>
        <w:rPr>
          <w:rFonts w:ascii="Times New Roman"/>
          <w:color w:val="000000"/>
          <w:szCs w:val="21"/>
        </w:rPr>
      </w:pPr>
      <w:r>
        <w:rPr>
          <w:color w:val="000000"/>
          <w:szCs w:val="21"/>
        </w:rPr>
        <w:t xml:space="preserve">温室气体 </w:t>
      </w:r>
      <w:r>
        <w:rPr>
          <w:rFonts w:ascii="Times New Roman"/>
          <w:color w:val="000000"/>
          <w:szCs w:val="21"/>
        </w:rPr>
        <w:t>（GHG Greenhouse Gas）： 指任何会吸收和释放红外线辐射并存在</w:t>
      </w:r>
      <w:r>
        <w:rPr>
          <w:rFonts w:hint="eastAsia" w:ascii="Times New Roman"/>
          <w:color w:val="000000"/>
          <w:szCs w:val="21"/>
          <w:lang w:val="en-US" w:eastAsia="zh-CN"/>
        </w:rPr>
        <w:t>大气</w:t>
      </w:r>
      <w:r>
        <w:rPr>
          <w:rFonts w:ascii="Times New Roman"/>
          <w:color w:val="000000"/>
          <w:szCs w:val="21"/>
        </w:rPr>
        <w:t>中的气体。《</w:t>
      </w:r>
      <w:r>
        <w:rPr>
          <w:rFonts w:ascii="Times New Roman"/>
          <w:color w:val="000000"/>
          <w:szCs w:val="21"/>
        </w:rPr>
        <w:fldChar w:fldCharType="begin"/>
      </w:r>
      <w:r>
        <w:rPr>
          <w:rFonts w:ascii="Times New Roman"/>
          <w:color w:val="000000"/>
          <w:szCs w:val="21"/>
        </w:rPr>
        <w:instrText xml:space="preserve"> HYPERLINK "https://baike.baidu.com/item/%E8%81%94%E5%90%88%E5%9B%BD%E6%B0%94%E5%80%99%E5%8F%98%E5%8C%96%E6%A1%86%E6%9E%B6%E5%85%AC%E7%BA%A6?fromModule=lemma_inlink" \t "_blank" </w:instrText>
      </w:r>
      <w:r>
        <w:rPr>
          <w:rFonts w:ascii="Times New Roman"/>
          <w:color w:val="000000"/>
          <w:szCs w:val="21"/>
        </w:rPr>
        <w:fldChar w:fldCharType="separate"/>
      </w:r>
      <w:r>
        <w:rPr>
          <w:rFonts w:ascii="Times New Roman"/>
          <w:color w:val="000000"/>
          <w:szCs w:val="21"/>
        </w:rPr>
        <w:t>联合国气候变化框架公约</w:t>
      </w:r>
      <w:r>
        <w:rPr>
          <w:rFonts w:ascii="Times New Roman"/>
          <w:color w:val="000000"/>
          <w:szCs w:val="21"/>
        </w:rPr>
        <w:fldChar w:fldCharType="end"/>
      </w:r>
      <w:r>
        <w:rPr>
          <w:rFonts w:ascii="Times New Roman"/>
          <w:color w:val="000000"/>
          <w:szCs w:val="21"/>
        </w:rPr>
        <w:t>的京都议定书》中规定</w:t>
      </w:r>
      <w:r>
        <w:rPr>
          <w:rFonts w:hint="eastAsia" w:ascii="Times New Roman"/>
          <w:color w:val="000000"/>
          <w:szCs w:val="21"/>
        </w:rPr>
        <w:t>需要</w:t>
      </w:r>
      <w:r>
        <w:rPr>
          <w:rFonts w:ascii="Times New Roman"/>
          <w:color w:val="000000"/>
          <w:szCs w:val="21"/>
        </w:rPr>
        <w:t>控制的6种温室气体为：二氧化碳（CO</w:t>
      </w:r>
      <w:r>
        <w:rPr>
          <w:rFonts w:hint="eastAsia" w:ascii="Times New Roman"/>
          <w:color w:val="000000"/>
          <w:szCs w:val="21"/>
          <w:vertAlign w:val="subscript"/>
        </w:rPr>
        <w:t>2</w:t>
      </w:r>
      <w:r>
        <w:rPr>
          <w:rFonts w:ascii="Times New Roman"/>
          <w:color w:val="000000"/>
          <w:szCs w:val="21"/>
        </w:rPr>
        <w:t>）、甲烷（CH</w:t>
      </w:r>
      <w:r>
        <w:rPr>
          <w:rFonts w:hint="eastAsia" w:ascii="Times New Roman"/>
          <w:color w:val="000000"/>
          <w:szCs w:val="21"/>
          <w:vertAlign w:val="subscript"/>
        </w:rPr>
        <w:t>4</w:t>
      </w:r>
      <w:r>
        <w:rPr>
          <w:rFonts w:ascii="Times New Roman"/>
          <w:color w:val="000000"/>
          <w:szCs w:val="21"/>
        </w:rPr>
        <w:t>）、氧化亚氮（N</w:t>
      </w:r>
      <w:r>
        <w:rPr>
          <w:rFonts w:hint="eastAsia" w:ascii="Times New Roman"/>
          <w:color w:val="000000"/>
          <w:szCs w:val="21"/>
          <w:vertAlign w:val="subscript"/>
        </w:rPr>
        <w:t>2</w:t>
      </w:r>
      <w:r>
        <w:rPr>
          <w:rFonts w:ascii="Times New Roman"/>
          <w:color w:val="000000"/>
          <w:szCs w:val="21"/>
        </w:rPr>
        <w:t>O）、氢氟碳化合物（HFCs） 、全氟碳化合物（PFCs）、六氟化硫（SF</w:t>
      </w:r>
      <w:r>
        <w:rPr>
          <w:rFonts w:ascii="Times New Roman"/>
          <w:color w:val="000000"/>
          <w:szCs w:val="21"/>
          <w:vertAlign w:val="subscript"/>
        </w:rPr>
        <w:t>6</w:t>
      </w:r>
      <w:r>
        <w:rPr>
          <w:rFonts w:ascii="Times New Roman"/>
          <w:color w:val="000000"/>
          <w:szCs w:val="21"/>
        </w:rPr>
        <w:t>）。</w:t>
      </w:r>
    </w:p>
    <w:p>
      <w:pPr>
        <w:pStyle w:val="46"/>
        <w:ind w:firstLine="420"/>
        <w:rPr>
          <w:rFonts w:hint="eastAsia"/>
        </w:rPr>
      </w:pPr>
    </w:p>
    <w:p>
      <w:pPr>
        <w:pStyle w:val="89"/>
        <w:spacing w:before="156" w:after="156"/>
      </w:pPr>
      <w:bookmarkStart w:id="8" w:name="_Toc95741244"/>
      <w:bookmarkStart w:id="9" w:name="_Toc29066787"/>
      <w:r>
        <w:rPr>
          <w:rFonts w:hint="eastAsia"/>
        </w:rPr>
        <w:t>设施栽培的主要蔬菜品种、茬口及栽培时间</w:t>
      </w:r>
      <w:bookmarkEnd w:id="8"/>
    </w:p>
    <w:bookmarkEnd w:id="9"/>
    <w:p>
      <w:pPr>
        <w:pStyle w:val="46"/>
        <w:ind w:firstLine="420"/>
      </w:pPr>
      <w:r>
        <w:rPr>
          <w:rFonts w:hint="eastAsia" w:ascii="宋体" w:hAnsi="Times New Roman" w:eastAsia="宋体" w:cs="Times New Roman"/>
          <w:lang w:eastAsia="zh-CN"/>
        </w:rPr>
        <w:t>在符合</w:t>
      </w:r>
      <w:r>
        <w:rPr>
          <w:rFonts w:hint="eastAsia" w:ascii="宋体" w:hAnsi="Times New Roman" w:eastAsia="宋体" w:cs="Times New Roman"/>
          <w:lang w:val="en-US" w:eastAsia="zh-CN"/>
        </w:rPr>
        <w:t>温室果蔬产地环境质量评价标准的地区，</w:t>
      </w:r>
      <w:r>
        <w:rPr>
          <w:rFonts w:ascii="宋体" w:hAnsi="Times New Roman" w:eastAsia="宋体" w:cs="Times New Roman"/>
        </w:rPr>
        <w:t>根据</w:t>
      </w:r>
      <w:r>
        <w:t>不同地域、不同</w:t>
      </w:r>
      <w:r>
        <w:rPr>
          <w:rFonts w:hint="eastAsia"/>
          <w:lang w:eastAsia="zh-CN"/>
        </w:rPr>
        <w:t>果</w:t>
      </w:r>
      <w:r>
        <w:t>蔬品种、茬口安排，确定育苗及定植时间</w:t>
      </w:r>
      <w:r>
        <w:rPr>
          <w:rFonts w:hint="eastAsia"/>
        </w:rPr>
        <w:t>，见表1</w:t>
      </w:r>
      <w:r>
        <w:t>。</w:t>
      </w:r>
    </w:p>
    <w:p>
      <w:pPr>
        <w:widowControl/>
        <w:numPr>
          <w:ilvl w:val="0"/>
          <w:numId w:val="13"/>
        </w:numPr>
        <w:spacing w:line="360" w:lineRule="exact"/>
        <w:jc w:val="center"/>
        <w:rPr>
          <w:rFonts w:hAnsi="宋体"/>
          <w:color w:val="000000"/>
          <w:szCs w:val="21"/>
        </w:rPr>
      </w:pPr>
      <w:r>
        <w:rPr>
          <w:rFonts w:hAnsi="宋体"/>
          <w:color w:val="000000"/>
          <w:szCs w:val="21"/>
        </w:rPr>
        <w:t xml:space="preserve">表1 </w:t>
      </w:r>
      <w:r>
        <w:rPr>
          <w:rFonts w:hint="eastAsia" w:hAnsi="宋体"/>
          <w:color w:val="000000"/>
          <w:szCs w:val="21"/>
        </w:rPr>
        <w:t xml:space="preserve"> 设施农业主要蔬菜品种、茬口</w:t>
      </w:r>
      <w:r>
        <w:rPr>
          <w:rFonts w:hint="eastAsia" w:ascii="黑体"/>
        </w:rPr>
        <w:t>及栽培</w:t>
      </w:r>
      <w:r>
        <w:rPr>
          <w:rFonts w:hint="eastAsia"/>
        </w:rPr>
        <w:t>时间</w:t>
      </w:r>
    </w:p>
    <w:tbl>
      <w:tblPr>
        <w:tblStyle w:val="41"/>
        <w:tblW w:w="9356" w:type="dxa"/>
        <w:jc w:val="center"/>
        <w:tblInd w:w="0" w:type="dxa"/>
        <w:tblLayout w:type="fixed"/>
        <w:tblCellMar>
          <w:top w:w="0" w:type="dxa"/>
          <w:left w:w="108" w:type="dxa"/>
          <w:bottom w:w="0" w:type="dxa"/>
          <w:right w:w="108" w:type="dxa"/>
        </w:tblCellMar>
      </w:tblPr>
      <w:tblGrid>
        <w:gridCol w:w="692"/>
        <w:gridCol w:w="1084"/>
        <w:gridCol w:w="1311"/>
        <w:gridCol w:w="1028"/>
        <w:gridCol w:w="1697"/>
        <w:gridCol w:w="1843"/>
        <w:gridCol w:w="1701"/>
      </w:tblGrid>
      <w:tr>
        <w:tblPrEx>
          <w:tblLayout w:type="fixed"/>
          <w:tblCellMar>
            <w:top w:w="0" w:type="dxa"/>
            <w:left w:w="108" w:type="dxa"/>
            <w:bottom w:w="0" w:type="dxa"/>
            <w:right w:w="108" w:type="dxa"/>
          </w:tblCellMar>
        </w:tblPrEx>
        <w:trPr>
          <w:jc w:val="center"/>
        </w:trPr>
        <w:tc>
          <w:tcPr>
            <w:tcW w:w="692" w:type="dxa"/>
            <w:tcBorders>
              <w:top w:val="single" w:color="auto" w:sz="4" w:space="0"/>
              <w:bottom w:val="single" w:color="auto" w:sz="4" w:space="0"/>
            </w:tcBorders>
            <w:vAlign w:val="top"/>
          </w:tcPr>
          <w:p>
            <w:pPr>
              <w:widowControl/>
              <w:spacing w:line="280" w:lineRule="exact"/>
              <w:jc w:val="left"/>
              <w:rPr>
                <w:rFonts w:hAnsi="宋体"/>
                <w:color w:val="000000"/>
                <w:szCs w:val="21"/>
              </w:rPr>
            </w:pPr>
            <w:r>
              <w:rPr>
                <w:rFonts w:hint="eastAsia" w:hAnsi="宋体"/>
                <w:color w:val="000000"/>
                <w:szCs w:val="21"/>
              </w:rPr>
              <w:t>茬口</w:t>
            </w:r>
          </w:p>
        </w:tc>
        <w:tc>
          <w:tcPr>
            <w:tcW w:w="1084" w:type="dxa"/>
            <w:tcBorders>
              <w:top w:val="single" w:color="auto" w:sz="4" w:space="0"/>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蔬菜种类</w:t>
            </w:r>
          </w:p>
        </w:tc>
        <w:tc>
          <w:tcPr>
            <w:tcW w:w="1311" w:type="dxa"/>
            <w:tcBorders>
              <w:top w:val="single" w:color="auto" w:sz="4" w:space="0"/>
              <w:bottom w:val="single" w:color="auto" w:sz="4" w:space="0"/>
            </w:tcBorders>
            <w:vAlign w:val="top"/>
          </w:tcPr>
          <w:p>
            <w:pPr>
              <w:pStyle w:val="46"/>
              <w:widowControl w:val="0"/>
              <w:spacing w:line="280" w:lineRule="exact"/>
              <w:ind w:firstLine="0" w:firstLineChars="0"/>
              <w:rPr>
                <w:rFonts w:hint="default" w:ascii="Times New Roman" w:eastAsia="宋体"/>
                <w:color w:val="000000"/>
                <w:szCs w:val="21"/>
                <w:lang w:val="en-US" w:eastAsia="zh-CN"/>
              </w:rPr>
            </w:pPr>
            <w:r>
              <w:rPr>
                <w:rFonts w:hint="eastAsia" w:ascii="Times New Roman"/>
                <w:color w:val="000000"/>
                <w:szCs w:val="21"/>
              </w:rPr>
              <w:t>播种</w:t>
            </w:r>
            <w:r>
              <w:rPr>
                <w:rFonts w:hint="eastAsia" w:ascii="Times New Roman"/>
                <w:color w:val="000000"/>
                <w:szCs w:val="21"/>
                <w:lang w:val="en-US" w:eastAsia="zh-CN"/>
              </w:rPr>
              <w:t>/扦插（月）</w:t>
            </w:r>
          </w:p>
        </w:tc>
        <w:tc>
          <w:tcPr>
            <w:tcW w:w="1028" w:type="dxa"/>
            <w:tcBorders>
              <w:top w:val="single" w:color="auto" w:sz="4" w:space="0"/>
              <w:bottom w:val="single" w:color="auto" w:sz="4" w:space="0"/>
            </w:tcBorders>
            <w:vAlign w:val="top"/>
          </w:tcPr>
          <w:p>
            <w:pPr>
              <w:pStyle w:val="46"/>
              <w:widowControl w:val="0"/>
              <w:spacing w:line="280" w:lineRule="exact"/>
              <w:ind w:firstLine="0" w:firstLineChars="0"/>
              <w:rPr>
                <w:rFonts w:hint="eastAsia" w:ascii="Times New Roman" w:eastAsia="宋体"/>
                <w:color w:val="000000"/>
                <w:szCs w:val="21"/>
                <w:lang w:val="en-US" w:eastAsia="zh-CN"/>
              </w:rPr>
            </w:pPr>
            <w:r>
              <w:rPr>
                <w:rFonts w:hint="eastAsia" w:ascii="Times New Roman"/>
                <w:color w:val="000000"/>
                <w:szCs w:val="21"/>
              </w:rPr>
              <w:t>苗龄</w:t>
            </w:r>
            <w:r>
              <w:rPr>
                <w:rFonts w:hint="eastAsia" w:ascii="Times New Roman"/>
                <w:color w:val="000000"/>
                <w:szCs w:val="21"/>
                <w:lang w:val="en-US" w:eastAsia="zh-CN"/>
              </w:rPr>
              <w:t>/天</w:t>
            </w:r>
          </w:p>
        </w:tc>
        <w:tc>
          <w:tcPr>
            <w:tcW w:w="1697" w:type="dxa"/>
            <w:tcBorders>
              <w:top w:val="single" w:color="auto" w:sz="4" w:space="0"/>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定植期（</w:t>
            </w:r>
            <w:bookmarkStart w:id="44" w:name="_GoBack"/>
            <w:bookmarkEnd w:id="44"/>
            <w:r>
              <w:rPr>
                <w:rFonts w:hint="eastAsia" w:ascii="Times New Roman"/>
                <w:color w:val="000000"/>
                <w:szCs w:val="21"/>
              </w:rPr>
              <w:t>月/旬）</w:t>
            </w:r>
          </w:p>
        </w:tc>
        <w:tc>
          <w:tcPr>
            <w:tcW w:w="1843" w:type="dxa"/>
            <w:tcBorders>
              <w:top w:val="single" w:color="auto" w:sz="4" w:space="0"/>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收获期（月/旬）</w:t>
            </w:r>
          </w:p>
        </w:tc>
        <w:tc>
          <w:tcPr>
            <w:tcW w:w="1701" w:type="dxa"/>
            <w:tcBorders>
              <w:top w:val="single" w:color="auto" w:sz="4" w:space="0"/>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结束期（月/旬）</w:t>
            </w:r>
          </w:p>
        </w:tc>
      </w:tr>
      <w:tr>
        <w:tblPrEx>
          <w:tblLayout w:type="fixed"/>
          <w:tblCellMar>
            <w:top w:w="0" w:type="dxa"/>
            <w:left w:w="108" w:type="dxa"/>
            <w:bottom w:w="0" w:type="dxa"/>
            <w:right w:w="108" w:type="dxa"/>
          </w:tblCellMar>
        </w:tblPrEx>
        <w:trPr>
          <w:trHeight w:val="271" w:hRule="atLeast"/>
          <w:jc w:val="center"/>
        </w:trPr>
        <w:tc>
          <w:tcPr>
            <w:tcW w:w="692" w:type="dxa"/>
            <w:vMerge w:val="restart"/>
            <w:tcBorders>
              <w:top w:val="single" w:color="auto" w:sz="4" w:space="0"/>
            </w:tcBorders>
            <w:vAlign w:val="top"/>
          </w:tcPr>
          <w:p>
            <w:pPr>
              <w:widowControl/>
              <w:spacing w:line="280" w:lineRule="exact"/>
              <w:jc w:val="left"/>
              <w:rPr>
                <w:rFonts w:hAnsi="宋体"/>
                <w:color w:val="000000"/>
                <w:szCs w:val="21"/>
              </w:rPr>
            </w:pPr>
          </w:p>
          <w:p>
            <w:pPr>
              <w:widowControl/>
              <w:spacing w:line="280" w:lineRule="exact"/>
              <w:jc w:val="left"/>
              <w:rPr>
                <w:rFonts w:hAnsi="宋体"/>
                <w:color w:val="000000"/>
                <w:szCs w:val="21"/>
              </w:rPr>
            </w:pPr>
          </w:p>
          <w:p>
            <w:pPr>
              <w:widowControl/>
              <w:spacing w:line="280" w:lineRule="exact"/>
              <w:jc w:val="left"/>
              <w:rPr>
                <w:rFonts w:hAnsi="宋体"/>
                <w:color w:val="000000"/>
                <w:szCs w:val="21"/>
              </w:rPr>
            </w:pPr>
            <w:r>
              <w:rPr>
                <w:rFonts w:hint="eastAsia" w:hAnsi="宋体"/>
                <w:color w:val="000000"/>
                <w:szCs w:val="21"/>
              </w:rPr>
              <w:t>冬春茬</w:t>
            </w:r>
          </w:p>
        </w:tc>
        <w:tc>
          <w:tcPr>
            <w:tcW w:w="1084" w:type="dxa"/>
            <w:tcBorders>
              <w:top w:val="single" w:color="auto" w:sz="4" w:space="0"/>
            </w:tcBorders>
            <w:vAlign w:val="top"/>
          </w:tcPr>
          <w:p>
            <w:pPr>
              <w:widowControl/>
              <w:spacing w:line="280" w:lineRule="exact"/>
              <w:jc w:val="left"/>
              <w:rPr>
                <w:rFonts w:hint="eastAsia" w:hAnsi="宋体" w:eastAsia="宋体"/>
                <w:color w:val="000000"/>
                <w:szCs w:val="21"/>
                <w:lang w:eastAsia="zh-CN"/>
              </w:rPr>
            </w:pPr>
            <w:r>
              <w:rPr>
                <w:rFonts w:hint="eastAsia" w:hAnsi="宋体"/>
                <w:color w:val="000000"/>
                <w:szCs w:val="21"/>
              </w:rPr>
              <w:t>番茄</w:t>
            </w:r>
          </w:p>
        </w:tc>
        <w:tc>
          <w:tcPr>
            <w:tcW w:w="1311"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9/</w:t>
            </w:r>
            <w:r>
              <w:rPr>
                <w:rFonts w:hint="eastAsia" w:ascii="Times New Roman"/>
                <w:color w:val="000000"/>
                <w:szCs w:val="21"/>
              </w:rPr>
              <w:t>上中</w:t>
            </w:r>
          </w:p>
        </w:tc>
        <w:tc>
          <w:tcPr>
            <w:tcW w:w="1028"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5</w:t>
            </w:r>
            <w:r>
              <w:rPr>
                <w:rFonts w:ascii="Times New Roman"/>
                <w:color w:val="000000"/>
                <w:szCs w:val="21"/>
              </w:rPr>
              <w:t>0</w:t>
            </w:r>
            <w:r>
              <w:rPr>
                <w:rFonts w:hint="eastAsia" w:ascii="Times New Roman"/>
                <w:color w:val="000000"/>
                <w:szCs w:val="21"/>
              </w:rPr>
              <w:t>~</w:t>
            </w:r>
            <w:r>
              <w:rPr>
                <w:rFonts w:ascii="Times New Roman"/>
                <w:color w:val="000000"/>
                <w:szCs w:val="21"/>
              </w:rPr>
              <w:t>60</w:t>
            </w:r>
          </w:p>
        </w:tc>
        <w:tc>
          <w:tcPr>
            <w:tcW w:w="1697"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1/</w:t>
            </w:r>
            <w:r>
              <w:rPr>
                <w:rFonts w:hint="eastAsia" w:ascii="Times New Roman"/>
                <w:color w:val="000000"/>
                <w:szCs w:val="21"/>
              </w:rPr>
              <w:t>上中</w:t>
            </w:r>
          </w:p>
        </w:tc>
        <w:tc>
          <w:tcPr>
            <w:tcW w:w="1843"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上</w:t>
            </w:r>
          </w:p>
        </w:tc>
        <w:tc>
          <w:tcPr>
            <w:tcW w:w="1701"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6/</w:t>
            </w:r>
            <w:r>
              <w:rPr>
                <w:rFonts w:hint="eastAsia" w:ascii="Times New Roman"/>
                <w:color w:val="000000"/>
                <w:szCs w:val="21"/>
              </w:rPr>
              <w:t>中下</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茄子</w:t>
            </w:r>
            <w:r>
              <w:rPr>
                <w:rFonts w:hint="eastAsia" w:hAnsi="宋体"/>
                <w:color w:val="000000"/>
                <w:szCs w:val="21"/>
                <w:highlight w:val="none"/>
                <w:lang w:eastAsia="zh-CN"/>
              </w:rPr>
              <w:t>、草莓</w:t>
            </w:r>
          </w:p>
        </w:tc>
        <w:tc>
          <w:tcPr>
            <w:tcW w:w="131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9/</w:t>
            </w:r>
            <w:r>
              <w:rPr>
                <w:rFonts w:hint="eastAsia" w:ascii="Times New Roman"/>
                <w:color w:val="000000"/>
                <w:szCs w:val="21"/>
              </w:rPr>
              <w:t>上至</w:t>
            </w:r>
            <w:r>
              <w:rPr>
                <w:rFonts w:ascii="Times New Roman"/>
                <w:color w:val="000000"/>
                <w:szCs w:val="21"/>
              </w:rPr>
              <w:t>10/</w:t>
            </w:r>
            <w:r>
              <w:rPr>
                <w:rFonts w:hint="eastAsia" w:ascii="Times New Roman"/>
                <w:color w:val="000000"/>
                <w:szCs w:val="21"/>
              </w:rPr>
              <w:t>中</w:t>
            </w:r>
          </w:p>
        </w:tc>
        <w:tc>
          <w:tcPr>
            <w:tcW w:w="1028"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6</w:t>
            </w:r>
            <w:r>
              <w:rPr>
                <w:rFonts w:ascii="Times New Roman"/>
                <w:color w:val="000000"/>
                <w:szCs w:val="21"/>
              </w:rPr>
              <w:t>0</w:t>
            </w:r>
            <w:r>
              <w:rPr>
                <w:rFonts w:hint="eastAsia" w:ascii="Times New Roman"/>
                <w:color w:val="000000"/>
                <w:szCs w:val="21"/>
              </w:rPr>
              <w:t>~</w:t>
            </w:r>
            <w:r>
              <w:rPr>
                <w:rFonts w:ascii="Times New Roman"/>
                <w:color w:val="000000"/>
                <w:szCs w:val="21"/>
              </w:rPr>
              <w:t>70</w:t>
            </w:r>
          </w:p>
        </w:tc>
        <w:tc>
          <w:tcPr>
            <w:tcW w:w="1697"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1/</w:t>
            </w:r>
            <w:r>
              <w:rPr>
                <w:rFonts w:hint="eastAsia" w:ascii="Times New Roman"/>
                <w:color w:val="000000"/>
                <w:szCs w:val="21"/>
              </w:rPr>
              <w:t>中至1</w:t>
            </w:r>
            <w:r>
              <w:rPr>
                <w:rFonts w:ascii="Times New Roman"/>
                <w:color w:val="000000"/>
                <w:szCs w:val="21"/>
              </w:rPr>
              <w:t>2/</w:t>
            </w:r>
            <w:r>
              <w:rPr>
                <w:rFonts w:hint="eastAsia" w:ascii="Times New Roman"/>
                <w:color w:val="000000"/>
                <w:szCs w:val="21"/>
              </w:rPr>
              <w:t>中</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上至2</w:t>
            </w:r>
            <w:r>
              <w:rPr>
                <w:rFonts w:ascii="Times New Roman"/>
                <w:color w:val="000000"/>
                <w:szCs w:val="21"/>
              </w:rPr>
              <w:t>/</w:t>
            </w:r>
            <w:r>
              <w:rPr>
                <w:rFonts w:hint="eastAsia" w:ascii="Times New Roman"/>
                <w:color w:val="000000"/>
                <w:szCs w:val="21"/>
              </w:rPr>
              <w:t>下</w:t>
            </w:r>
          </w:p>
        </w:tc>
        <w:tc>
          <w:tcPr>
            <w:tcW w:w="170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6/</w:t>
            </w:r>
            <w:r>
              <w:rPr>
                <w:rFonts w:hint="eastAsia" w:ascii="Times New Roman"/>
                <w:color w:val="000000"/>
                <w:szCs w:val="21"/>
              </w:rPr>
              <w:t>下至</w:t>
            </w:r>
            <w:r>
              <w:rPr>
                <w:rFonts w:ascii="Times New Roman"/>
                <w:color w:val="000000"/>
                <w:szCs w:val="21"/>
              </w:rPr>
              <w:t>7/</w:t>
            </w:r>
            <w:r>
              <w:rPr>
                <w:rFonts w:hint="eastAsia" w:ascii="Times New Roman"/>
                <w:color w:val="000000"/>
                <w:szCs w:val="21"/>
              </w:rPr>
              <w:t>上</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甜辣椒</w:t>
            </w:r>
          </w:p>
        </w:tc>
        <w:tc>
          <w:tcPr>
            <w:tcW w:w="131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8/</w:t>
            </w:r>
            <w:r>
              <w:rPr>
                <w:rFonts w:hint="eastAsia" w:ascii="Times New Roman"/>
                <w:color w:val="000000"/>
                <w:szCs w:val="21"/>
              </w:rPr>
              <w:t>下至</w:t>
            </w:r>
            <w:r>
              <w:rPr>
                <w:rFonts w:ascii="Times New Roman"/>
                <w:color w:val="000000"/>
                <w:szCs w:val="21"/>
              </w:rPr>
              <w:t>9/</w:t>
            </w:r>
            <w:r>
              <w:rPr>
                <w:rFonts w:hint="eastAsia" w:ascii="Times New Roman"/>
                <w:color w:val="000000"/>
                <w:szCs w:val="21"/>
              </w:rPr>
              <w:t>上</w:t>
            </w:r>
          </w:p>
        </w:tc>
        <w:tc>
          <w:tcPr>
            <w:tcW w:w="1028"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7</w:t>
            </w:r>
            <w:r>
              <w:rPr>
                <w:rFonts w:ascii="Times New Roman"/>
                <w:color w:val="000000"/>
                <w:szCs w:val="21"/>
              </w:rPr>
              <w:t>0</w:t>
            </w:r>
            <w:r>
              <w:rPr>
                <w:rFonts w:hint="eastAsia" w:ascii="Times New Roman"/>
                <w:color w:val="000000"/>
                <w:szCs w:val="21"/>
              </w:rPr>
              <w:t>~</w:t>
            </w:r>
            <w:r>
              <w:rPr>
                <w:rFonts w:ascii="Times New Roman"/>
                <w:color w:val="000000"/>
                <w:szCs w:val="21"/>
              </w:rPr>
              <w:t>80</w:t>
            </w:r>
          </w:p>
        </w:tc>
        <w:tc>
          <w:tcPr>
            <w:tcW w:w="1697"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1/</w:t>
            </w:r>
            <w:r>
              <w:rPr>
                <w:rFonts w:hint="eastAsia" w:ascii="Times New Roman"/>
                <w:color w:val="000000"/>
                <w:szCs w:val="21"/>
              </w:rPr>
              <w:t>中下</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上</w:t>
            </w:r>
          </w:p>
        </w:tc>
        <w:tc>
          <w:tcPr>
            <w:tcW w:w="170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6/</w:t>
            </w:r>
            <w:r>
              <w:rPr>
                <w:rFonts w:hint="eastAsia" w:ascii="Times New Roman"/>
                <w:color w:val="000000"/>
                <w:szCs w:val="21"/>
              </w:rPr>
              <w:t>下至</w:t>
            </w:r>
            <w:r>
              <w:rPr>
                <w:rFonts w:ascii="Times New Roman"/>
                <w:color w:val="000000"/>
                <w:szCs w:val="21"/>
              </w:rPr>
              <w:t>7/</w:t>
            </w:r>
            <w:r>
              <w:rPr>
                <w:rFonts w:hint="eastAsia" w:ascii="Times New Roman"/>
                <w:color w:val="000000"/>
                <w:szCs w:val="21"/>
              </w:rPr>
              <w:t>上</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黄瓜</w:t>
            </w:r>
          </w:p>
        </w:tc>
        <w:tc>
          <w:tcPr>
            <w:tcW w:w="131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0/</w:t>
            </w:r>
            <w:r>
              <w:rPr>
                <w:rFonts w:hint="eastAsia" w:ascii="Times New Roman"/>
                <w:color w:val="000000"/>
                <w:szCs w:val="21"/>
              </w:rPr>
              <w:t>中至1</w:t>
            </w:r>
            <w:r>
              <w:rPr>
                <w:rFonts w:ascii="Times New Roman"/>
                <w:color w:val="000000"/>
                <w:szCs w:val="21"/>
              </w:rPr>
              <w:t>1/</w:t>
            </w:r>
            <w:r>
              <w:rPr>
                <w:rFonts w:hint="eastAsia" w:ascii="Times New Roman"/>
                <w:color w:val="000000"/>
                <w:szCs w:val="21"/>
              </w:rPr>
              <w:t>上</w:t>
            </w:r>
          </w:p>
        </w:tc>
        <w:tc>
          <w:tcPr>
            <w:tcW w:w="1028"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3</w:t>
            </w:r>
            <w:r>
              <w:rPr>
                <w:rFonts w:ascii="Times New Roman"/>
                <w:color w:val="000000"/>
                <w:szCs w:val="21"/>
              </w:rPr>
              <w:t>5</w:t>
            </w:r>
          </w:p>
        </w:tc>
        <w:tc>
          <w:tcPr>
            <w:tcW w:w="1697"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1/</w:t>
            </w:r>
            <w:r>
              <w:rPr>
                <w:rFonts w:hint="eastAsia" w:ascii="Times New Roman"/>
                <w:color w:val="000000"/>
                <w:szCs w:val="21"/>
              </w:rPr>
              <w:t>下至1</w:t>
            </w:r>
            <w:r>
              <w:rPr>
                <w:rFonts w:ascii="Times New Roman"/>
                <w:color w:val="000000"/>
                <w:szCs w:val="21"/>
              </w:rPr>
              <w:t>2/</w:t>
            </w:r>
            <w:r>
              <w:rPr>
                <w:rFonts w:hint="eastAsia" w:ascii="Times New Roman"/>
                <w:color w:val="000000"/>
                <w:szCs w:val="21"/>
              </w:rPr>
              <w:t>初</w:t>
            </w:r>
          </w:p>
        </w:tc>
        <w:tc>
          <w:tcPr>
            <w:tcW w:w="1843"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w:t>
            </w:r>
            <w:r>
              <w:rPr>
                <w:rFonts w:hint="eastAsia" w:ascii="Times New Roman"/>
                <w:color w:val="000000"/>
                <w:szCs w:val="21"/>
              </w:rPr>
              <w:t>上中</w:t>
            </w:r>
          </w:p>
        </w:tc>
        <w:tc>
          <w:tcPr>
            <w:tcW w:w="170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5</w:t>
            </w:r>
            <w:r>
              <w:rPr>
                <w:rFonts w:ascii="Times New Roman"/>
                <w:color w:val="000000"/>
                <w:szCs w:val="21"/>
              </w:rPr>
              <w:t>/</w:t>
            </w:r>
            <w:r>
              <w:rPr>
                <w:rFonts w:hint="eastAsia" w:ascii="Times New Roman"/>
                <w:color w:val="000000"/>
                <w:szCs w:val="21"/>
              </w:rPr>
              <w:t>下至7</w:t>
            </w:r>
            <w:r>
              <w:rPr>
                <w:rFonts w:ascii="Times New Roman"/>
                <w:color w:val="000000"/>
                <w:szCs w:val="21"/>
              </w:rPr>
              <w:t>/</w:t>
            </w:r>
            <w:r>
              <w:rPr>
                <w:rFonts w:hint="eastAsia" w:ascii="Times New Roman"/>
                <w:color w:val="000000"/>
                <w:szCs w:val="21"/>
              </w:rPr>
              <w:t>上</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西葫芦</w:t>
            </w:r>
          </w:p>
        </w:tc>
        <w:tc>
          <w:tcPr>
            <w:tcW w:w="131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0/</w:t>
            </w:r>
            <w:r>
              <w:rPr>
                <w:rFonts w:hint="eastAsia" w:ascii="Times New Roman"/>
                <w:color w:val="000000"/>
                <w:szCs w:val="21"/>
              </w:rPr>
              <w:t>上至1</w:t>
            </w:r>
            <w:r>
              <w:rPr>
                <w:rFonts w:ascii="Times New Roman"/>
                <w:color w:val="000000"/>
                <w:szCs w:val="21"/>
              </w:rPr>
              <w:t>1/</w:t>
            </w:r>
            <w:r>
              <w:rPr>
                <w:rFonts w:hint="eastAsia" w:ascii="Times New Roman"/>
                <w:color w:val="000000"/>
                <w:szCs w:val="21"/>
              </w:rPr>
              <w:t>上</w:t>
            </w:r>
          </w:p>
        </w:tc>
        <w:tc>
          <w:tcPr>
            <w:tcW w:w="1028"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3</w:t>
            </w:r>
            <w:r>
              <w:rPr>
                <w:rFonts w:ascii="Times New Roman"/>
                <w:color w:val="000000"/>
                <w:szCs w:val="21"/>
              </w:rPr>
              <w:t>5</w:t>
            </w:r>
          </w:p>
        </w:tc>
        <w:tc>
          <w:tcPr>
            <w:tcW w:w="1697"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1/</w:t>
            </w:r>
            <w:r>
              <w:rPr>
                <w:rFonts w:hint="eastAsia" w:ascii="Times New Roman"/>
                <w:color w:val="000000"/>
                <w:szCs w:val="21"/>
              </w:rPr>
              <w:t>上至1</w:t>
            </w:r>
            <w:r>
              <w:rPr>
                <w:rFonts w:ascii="Times New Roman"/>
                <w:color w:val="000000"/>
                <w:szCs w:val="21"/>
              </w:rPr>
              <w:t>2/</w:t>
            </w:r>
            <w:r>
              <w:rPr>
                <w:rFonts w:hint="eastAsia" w:ascii="Times New Roman"/>
                <w:color w:val="000000"/>
                <w:szCs w:val="21"/>
              </w:rPr>
              <w:t>上</w:t>
            </w:r>
          </w:p>
        </w:tc>
        <w:tc>
          <w:tcPr>
            <w:tcW w:w="1843"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2/</w:t>
            </w:r>
            <w:r>
              <w:rPr>
                <w:rFonts w:hint="eastAsia" w:ascii="Times New Roman"/>
                <w:color w:val="000000"/>
                <w:szCs w:val="21"/>
              </w:rPr>
              <w:t>上至翌年1</w:t>
            </w:r>
            <w:r>
              <w:rPr>
                <w:rFonts w:ascii="Times New Roman"/>
                <w:color w:val="000000"/>
                <w:szCs w:val="21"/>
              </w:rPr>
              <w:t>/</w:t>
            </w:r>
            <w:r>
              <w:rPr>
                <w:rFonts w:hint="eastAsia" w:ascii="Times New Roman"/>
                <w:color w:val="000000"/>
                <w:szCs w:val="21"/>
              </w:rPr>
              <w:t>上</w:t>
            </w:r>
          </w:p>
        </w:tc>
        <w:tc>
          <w:tcPr>
            <w:tcW w:w="170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5</w:t>
            </w:r>
            <w:r>
              <w:rPr>
                <w:rFonts w:ascii="Times New Roman"/>
                <w:color w:val="000000"/>
                <w:szCs w:val="21"/>
              </w:rPr>
              <w:t>/</w:t>
            </w:r>
            <w:r>
              <w:rPr>
                <w:rFonts w:hint="eastAsia" w:ascii="Times New Roman"/>
                <w:color w:val="000000"/>
                <w:szCs w:val="21"/>
              </w:rPr>
              <w:t>上至</w:t>
            </w:r>
            <w:r>
              <w:rPr>
                <w:rFonts w:ascii="Times New Roman"/>
                <w:color w:val="000000"/>
                <w:szCs w:val="21"/>
              </w:rPr>
              <w:t>6/</w:t>
            </w:r>
            <w:r>
              <w:rPr>
                <w:rFonts w:hint="eastAsia" w:ascii="Times New Roman"/>
                <w:color w:val="000000"/>
                <w:szCs w:val="21"/>
              </w:rPr>
              <w:t>上</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int="eastAsia" w:hAnsi="宋体" w:eastAsia="宋体"/>
                <w:color w:val="000000"/>
                <w:szCs w:val="21"/>
                <w:lang w:eastAsia="zh-CN"/>
              </w:rPr>
            </w:pPr>
            <w:r>
              <w:rPr>
                <w:rFonts w:hint="eastAsia" w:hAnsi="宋体"/>
                <w:color w:val="000000"/>
                <w:szCs w:val="21"/>
              </w:rPr>
              <w:t>甜瓜</w:t>
            </w:r>
            <w:r>
              <w:rPr>
                <w:rFonts w:hint="eastAsia" w:hAnsi="宋体"/>
                <w:color w:val="000000"/>
                <w:szCs w:val="21"/>
                <w:lang w:eastAsia="zh-CN"/>
              </w:rPr>
              <w:t>、</w:t>
            </w:r>
            <w:r>
              <w:rPr>
                <w:rFonts w:hint="eastAsia" w:hAnsi="宋体"/>
                <w:color w:val="000000"/>
                <w:szCs w:val="21"/>
                <w:highlight w:val="none"/>
                <w:lang w:eastAsia="zh-CN"/>
              </w:rPr>
              <w:t>葡萄、</w:t>
            </w:r>
          </w:p>
        </w:tc>
        <w:tc>
          <w:tcPr>
            <w:tcW w:w="131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0/</w:t>
            </w:r>
            <w:r>
              <w:rPr>
                <w:rFonts w:hint="eastAsia" w:ascii="Times New Roman"/>
                <w:color w:val="000000"/>
                <w:szCs w:val="21"/>
              </w:rPr>
              <w:t>下至1</w:t>
            </w:r>
            <w:r>
              <w:rPr>
                <w:rFonts w:ascii="Times New Roman"/>
                <w:color w:val="000000"/>
                <w:szCs w:val="21"/>
              </w:rPr>
              <w:t>1/</w:t>
            </w:r>
            <w:r>
              <w:rPr>
                <w:rFonts w:hint="eastAsia" w:ascii="Times New Roman"/>
                <w:color w:val="000000"/>
                <w:szCs w:val="21"/>
              </w:rPr>
              <w:t>上</w:t>
            </w:r>
          </w:p>
        </w:tc>
        <w:tc>
          <w:tcPr>
            <w:tcW w:w="1028"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3</w:t>
            </w:r>
            <w:r>
              <w:rPr>
                <w:rFonts w:ascii="Times New Roman"/>
                <w:color w:val="000000"/>
                <w:szCs w:val="21"/>
              </w:rPr>
              <w:t>0</w:t>
            </w:r>
          </w:p>
        </w:tc>
        <w:tc>
          <w:tcPr>
            <w:tcW w:w="1697"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1/</w:t>
            </w:r>
            <w:r>
              <w:rPr>
                <w:rFonts w:hint="eastAsia" w:ascii="Times New Roman"/>
                <w:color w:val="000000"/>
                <w:szCs w:val="21"/>
              </w:rPr>
              <w:t>下至1</w:t>
            </w:r>
            <w:r>
              <w:rPr>
                <w:rFonts w:ascii="Times New Roman"/>
                <w:color w:val="000000"/>
                <w:szCs w:val="21"/>
              </w:rPr>
              <w:t>2/</w:t>
            </w:r>
            <w:r>
              <w:rPr>
                <w:rFonts w:hint="eastAsia" w:ascii="Times New Roman"/>
                <w:color w:val="000000"/>
                <w:szCs w:val="21"/>
              </w:rPr>
              <w:t>上</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2/</w:t>
            </w:r>
            <w:r>
              <w:rPr>
                <w:rFonts w:hint="eastAsia" w:ascii="Times New Roman"/>
                <w:color w:val="000000"/>
                <w:szCs w:val="21"/>
              </w:rPr>
              <w:t>上中</w:t>
            </w:r>
          </w:p>
        </w:tc>
        <w:tc>
          <w:tcPr>
            <w:tcW w:w="1701" w:type="dxa"/>
            <w:vAlign w:val="top"/>
          </w:tcPr>
          <w:p>
            <w:pPr>
              <w:pStyle w:val="46"/>
              <w:widowControl w:val="0"/>
              <w:spacing w:line="280" w:lineRule="exact"/>
              <w:ind w:firstLine="0" w:firstLineChars="0"/>
              <w:rPr>
                <w:rFonts w:ascii="Times New Roman"/>
                <w:color w:val="000000"/>
                <w:szCs w:val="21"/>
              </w:rPr>
            </w:pP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ascii="等线" w:hAnsi="等线" w:eastAsia="等线"/>
                <w:szCs w:val="21"/>
              </w:rPr>
              <w:t>芸豆</w:t>
            </w:r>
          </w:p>
        </w:tc>
        <w:tc>
          <w:tcPr>
            <w:tcW w:w="131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上中直播</w:t>
            </w:r>
          </w:p>
        </w:tc>
        <w:tc>
          <w:tcPr>
            <w:tcW w:w="1028" w:type="dxa"/>
            <w:vAlign w:val="top"/>
          </w:tcPr>
          <w:p>
            <w:pPr>
              <w:pStyle w:val="46"/>
              <w:widowControl w:val="0"/>
              <w:spacing w:line="280" w:lineRule="exact"/>
              <w:ind w:firstLine="0" w:firstLineChars="0"/>
              <w:rPr>
                <w:rFonts w:ascii="Times New Roman"/>
                <w:color w:val="000000"/>
                <w:szCs w:val="21"/>
              </w:rPr>
            </w:pPr>
          </w:p>
        </w:tc>
        <w:tc>
          <w:tcPr>
            <w:tcW w:w="1697" w:type="dxa"/>
            <w:vAlign w:val="top"/>
          </w:tcPr>
          <w:p>
            <w:pPr>
              <w:pStyle w:val="46"/>
              <w:widowControl w:val="0"/>
              <w:spacing w:line="280" w:lineRule="exact"/>
              <w:ind w:firstLine="0" w:firstLineChars="0"/>
              <w:rPr>
                <w:rFonts w:ascii="Times New Roman"/>
                <w:color w:val="000000"/>
                <w:szCs w:val="21"/>
              </w:rPr>
            </w:pPr>
          </w:p>
        </w:tc>
        <w:tc>
          <w:tcPr>
            <w:tcW w:w="1843"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3</w:t>
            </w:r>
            <w:r>
              <w:rPr>
                <w:rFonts w:ascii="Times New Roman"/>
                <w:color w:val="000000"/>
                <w:szCs w:val="21"/>
              </w:rPr>
              <w:t>/</w:t>
            </w:r>
            <w:r>
              <w:rPr>
                <w:rFonts w:hint="eastAsia" w:ascii="Times New Roman"/>
                <w:color w:val="000000"/>
                <w:szCs w:val="21"/>
              </w:rPr>
              <w:t>上中</w:t>
            </w:r>
          </w:p>
        </w:tc>
        <w:tc>
          <w:tcPr>
            <w:tcW w:w="1701" w:type="dxa"/>
            <w:vAlign w:val="top"/>
          </w:tcPr>
          <w:p>
            <w:pPr>
              <w:pStyle w:val="46"/>
              <w:widowControl w:val="0"/>
              <w:spacing w:line="280" w:lineRule="exact"/>
              <w:ind w:firstLine="0" w:firstLineChars="0"/>
              <w:rPr>
                <w:rFonts w:ascii="Times New Roman"/>
                <w:color w:val="000000"/>
                <w:szCs w:val="21"/>
              </w:rPr>
            </w:pP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ascii="等线" w:hAnsi="等线" w:eastAsia="等线"/>
                <w:szCs w:val="21"/>
              </w:rPr>
            </w:pPr>
            <w:r>
              <w:rPr>
                <w:rFonts w:hint="eastAsia" w:ascii="等线" w:hAnsi="等线" w:eastAsia="等线"/>
                <w:szCs w:val="21"/>
              </w:rPr>
              <w:t>豇豆</w:t>
            </w:r>
          </w:p>
        </w:tc>
        <w:tc>
          <w:tcPr>
            <w:tcW w:w="131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w:t>
            </w:r>
            <w:r>
              <w:rPr>
                <w:rFonts w:hint="eastAsia" w:ascii="Times New Roman"/>
                <w:color w:val="000000"/>
                <w:szCs w:val="21"/>
              </w:rPr>
              <w:t>中下直播</w:t>
            </w:r>
          </w:p>
        </w:tc>
        <w:tc>
          <w:tcPr>
            <w:tcW w:w="1028" w:type="dxa"/>
            <w:vAlign w:val="top"/>
          </w:tcPr>
          <w:p>
            <w:pPr>
              <w:pStyle w:val="46"/>
              <w:widowControl w:val="0"/>
              <w:spacing w:line="280" w:lineRule="exact"/>
              <w:ind w:firstLine="0" w:firstLineChars="0"/>
              <w:rPr>
                <w:rFonts w:ascii="Times New Roman"/>
                <w:color w:val="000000"/>
                <w:szCs w:val="21"/>
              </w:rPr>
            </w:pPr>
          </w:p>
        </w:tc>
        <w:tc>
          <w:tcPr>
            <w:tcW w:w="1697" w:type="dxa"/>
            <w:vAlign w:val="top"/>
          </w:tcPr>
          <w:p>
            <w:pPr>
              <w:pStyle w:val="46"/>
              <w:widowControl w:val="0"/>
              <w:spacing w:line="280" w:lineRule="exact"/>
              <w:ind w:firstLine="0" w:firstLineChars="0"/>
              <w:rPr>
                <w:rFonts w:ascii="Times New Roman"/>
                <w:color w:val="000000"/>
                <w:szCs w:val="21"/>
              </w:rPr>
            </w:pPr>
          </w:p>
        </w:tc>
        <w:tc>
          <w:tcPr>
            <w:tcW w:w="1843"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3</w:t>
            </w:r>
            <w:r>
              <w:rPr>
                <w:rFonts w:ascii="Times New Roman"/>
                <w:color w:val="000000"/>
                <w:szCs w:val="21"/>
              </w:rPr>
              <w:t>/</w:t>
            </w:r>
            <w:r>
              <w:rPr>
                <w:rFonts w:hint="eastAsia" w:ascii="Times New Roman"/>
                <w:color w:val="000000"/>
                <w:szCs w:val="21"/>
              </w:rPr>
              <w:t>中下</w:t>
            </w:r>
          </w:p>
        </w:tc>
        <w:tc>
          <w:tcPr>
            <w:tcW w:w="1701" w:type="dxa"/>
            <w:vAlign w:val="top"/>
          </w:tcPr>
          <w:p>
            <w:pPr>
              <w:pStyle w:val="46"/>
              <w:widowControl w:val="0"/>
              <w:spacing w:line="280" w:lineRule="exact"/>
              <w:ind w:firstLine="0" w:firstLineChars="0"/>
              <w:rPr>
                <w:rFonts w:ascii="Times New Roman"/>
                <w:color w:val="000000"/>
                <w:szCs w:val="21"/>
              </w:rPr>
            </w:pPr>
          </w:p>
        </w:tc>
      </w:tr>
      <w:tr>
        <w:tblPrEx>
          <w:tblLayout w:type="fixed"/>
          <w:tblCellMar>
            <w:top w:w="0" w:type="dxa"/>
            <w:left w:w="108" w:type="dxa"/>
            <w:bottom w:w="0" w:type="dxa"/>
            <w:right w:w="108" w:type="dxa"/>
          </w:tblCellMar>
        </w:tblPrEx>
        <w:trPr>
          <w:jc w:val="center"/>
        </w:trPr>
        <w:tc>
          <w:tcPr>
            <w:tcW w:w="692" w:type="dxa"/>
            <w:vMerge w:val="restart"/>
            <w:tcBorders>
              <w:top w:val="single" w:color="auto" w:sz="4" w:space="0"/>
            </w:tcBorders>
            <w:vAlign w:val="top"/>
          </w:tcPr>
          <w:p>
            <w:pPr>
              <w:widowControl/>
              <w:spacing w:line="280" w:lineRule="exact"/>
              <w:jc w:val="left"/>
              <w:rPr>
                <w:rFonts w:hAnsi="宋体"/>
                <w:color w:val="000000"/>
                <w:szCs w:val="21"/>
              </w:rPr>
            </w:pPr>
          </w:p>
          <w:p>
            <w:pPr>
              <w:widowControl/>
              <w:spacing w:line="280" w:lineRule="exact"/>
              <w:jc w:val="left"/>
              <w:rPr>
                <w:rFonts w:hAnsi="宋体"/>
                <w:color w:val="000000"/>
                <w:szCs w:val="21"/>
              </w:rPr>
            </w:pPr>
          </w:p>
          <w:p>
            <w:pPr>
              <w:widowControl/>
              <w:spacing w:line="280" w:lineRule="exact"/>
              <w:jc w:val="left"/>
              <w:rPr>
                <w:rFonts w:hAnsi="宋体"/>
                <w:color w:val="000000"/>
                <w:szCs w:val="21"/>
              </w:rPr>
            </w:pPr>
          </w:p>
          <w:p>
            <w:pPr>
              <w:widowControl/>
              <w:spacing w:line="280" w:lineRule="exact"/>
              <w:jc w:val="left"/>
              <w:rPr>
                <w:rFonts w:hAnsi="宋体"/>
                <w:color w:val="000000"/>
                <w:szCs w:val="21"/>
              </w:rPr>
            </w:pPr>
            <w:r>
              <w:rPr>
                <w:rFonts w:hint="eastAsia" w:hAnsi="宋体"/>
                <w:color w:val="000000"/>
                <w:szCs w:val="21"/>
              </w:rPr>
              <w:t>春茬</w:t>
            </w:r>
          </w:p>
        </w:tc>
        <w:tc>
          <w:tcPr>
            <w:tcW w:w="1084" w:type="dxa"/>
            <w:tcBorders>
              <w:top w:val="single" w:color="auto" w:sz="4" w:space="0"/>
            </w:tcBorders>
            <w:vAlign w:val="top"/>
          </w:tcPr>
          <w:p>
            <w:pPr>
              <w:widowControl/>
              <w:spacing w:line="280" w:lineRule="exact"/>
              <w:jc w:val="left"/>
              <w:rPr>
                <w:rFonts w:hint="eastAsia" w:hAnsi="宋体" w:eastAsia="宋体"/>
                <w:color w:val="000000"/>
                <w:szCs w:val="21"/>
                <w:lang w:eastAsia="zh-CN"/>
              </w:rPr>
            </w:pPr>
            <w:r>
              <w:rPr>
                <w:rFonts w:hint="eastAsia" w:hAnsi="宋体"/>
                <w:szCs w:val="21"/>
              </w:rPr>
              <w:t>番茄</w:t>
            </w:r>
          </w:p>
        </w:tc>
        <w:tc>
          <w:tcPr>
            <w:tcW w:w="1311"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szCs w:val="21"/>
              </w:rPr>
              <w:t>11/</w:t>
            </w:r>
            <w:r>
              <w:rPr>
                <w:rFonts w:hint="eastAsia" w:ascii="Times New Roman"/>
                <w:szCs w:val="21"/>
              </w:rPr>
              <w:t>中下</w:t>
            </w:r>
          </w:p>
        </w:tc>
        <w:tc>
          <w:tcPr>
            <w:tcW w:w="1028"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szCs w:val="21"/>
              </w:rPr>
              <w:t>60</w:t>
            </w:r>
            <w:r>
              <w:rPr>
                <w:rFonts w:hint="eastAsia" w:ascii="Times New Roman"/>
                <w:szCs w:val="21"/>
              </w:rPr>
              <w:t>~</w:t>
            </w:r>
            <w:r>
              <w:rPr>
                <w:rFonts w:ascii="Times New Roman"/>
                <w:szCs w:val="21"/>
              </w:rPr>
              <w:t>70</w:t>
            </w:r>
          </w:p>
        </w:tc>
        <w:tc>
          <w:tcPr>
            <w:tcW w:w="1697"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szCs w:val="21"/>
              </w:rPr>
              <w:t>1/</w:t>
            </w:r>
            <w:r>
              <w:rPr>
                <w:rFonts w:hint="eastAsia" w:ascii="Times New Roman"/>
                <w:szCs w:val="21"/>
              </w:rPr>
              <w:t>中至2</w:t>
            </w:r>
            <w:r>
              <w:rPr>
                <w:rFonts w:ascii="Times New Roman"/>
                <w:szCs w:val="21"/>
              </w:rPr>
              <w:t>/</w:t>
            </w:r>
            <w:r>
              <w:rPr>
                <w:rFonts w:hint="eastAsia" w:ascii="Times New Roman"/>
                <w:szCs w:val="21"/>
              </w:rPr>
              <w:t>初</w:t>
            </w:r>
          </w:p>
        </w:tc>
        <w:tc>
          <w:tcPr>
            <w:tcW w:w="1843"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szCs w:val="21"/>
              </w:rPr>
              <w:t>3/</w:t>
            </w:r>
            <w:r>
              <w:rPr>
                <w:rFonts w:hint="eastAsia" w:ascii="Times New Roman"/>
                <w:szCs w:val="21"/>
              </w:rPr>
              <w:t>下至4</w:t>
            </w:r>
            <w:r>
              <w:rPr>
                <w:rFonts w:ascii="Times New Roman"/>
                <w:szCs w:val="21"/>
              </w:rPr>
              <w:t>/</w:t>
            </w:r>
            <w:r>
              <w:rPr>
                <w:rFonts w:hint="eastAsia" w:ascii="Times New Roman"/>
                <w:szCs w:val="21"/>
              </w:rPr>
              <w:t>上</w:t>
            </w:r>
          </w:p>
        </w:tc>
        <w:tc>
          <w:tcPr>
            <w:tcW w:w="1701"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szCs w:val="21"/>
              </w:rPr>
              <w:t>6/</w:t>
            </w:r>
            <w:r>
              <w:rPr>
                <w:rFonts w:hint="eastAsia" w:ascii="Times New Roman"/>
                <w:szCs w:val="21"/>
              </w:rPr>
              <w:t>中</w:t>
            </w:r>
          </w:p>
        </w:tc>
      </w:tr>
      <w:tr>
        <w:tblPrEx>
          <w:tblLayout w:type="fixed"/>
          <w:tblCellMar>
            <w:top w:w="0" w:type="dxa"/>
            <w:left w:w="108" w:type="dxa"/>
            <w:bottom w:w="0" w:type="dxa"/>
            <w:right w:w="108" w:type="dxa"/>
          </w:tblCellMar>
        </w:tblPrEx>
        <w:trPr>
          <w:jc w:val="center"/>
        </w:trPr>
        <w:tc>
          <w:tcPr>
            <w:tcW w:w="692" w:type="dxa"/>
            <w:vMerge w:val="continue"/>
            <w:tcBorders>
              <w:top w:val="single" w:color="auto" w:sz="4" w:space="0"/>
            </w:tcBorders>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szCs w:val="21"/>
              </w:rPr>
            </w:pPr>
            <w:r>
              <w:rPr>
                <w:rFonts w:hint="eastAsia" w:hAnsi="宋体"/>
                <w:color w:val="000000"/>
                <w:szCs w:val="21"/>
              </w:rPr>
              <w:t>茄子</w:t>
            </w:r>
            <w:r>
              <w:rPr>
                <w:rFonts w:hint="eastAsia" w:hAnsi="宋体"/>
                <w:szCs w:val="21"/>
                <w:highlight w:val="none"/>
                <w:lang w:eastAsia="zh-CN"/>
              </w:rPr>
              <w:t>、葡萄</w:t>
            </w:r>
          </w:p>
        </w:tc>
        <w:tc>
          <w:tcPr>
            <w:tcW w:w="1311" w:type="dxa"/>
            <w:vAlign w:val="top"/>
          </w:tcPr>
          <w:p>
            <w:pPr>
              <w:pStyle w:val="46"/>
              <w:widowControl w:val="0"/>
              <w:spacing w:line="280" w:lineRule="exact"/>
              <w:ind w:firstLine="0" w:firstLineChars="0"/>
              <w:rPr>
                <w:rFonts w:ascii="Times New Roman"/>
                <w:szCs w:val="21"/>
              </w:rPr>
            </w:pPr>
            <w:r>
              <w:rPr>
                <w:rFonts w:ascii="Times New Roman"/>
                <w:szCs w:val="21"/>
              </w:rPr>
              <w:t>10/</w:t>
            </w:r>
            <w:r>
              <w:rPr>
                <w:rFonts w:hint="eastAsia" w:ascii="Times New Roman"/>
                <w:szCs w:val="21"/>
              </w:rPr>
              <w:t>下至</w:t>
            </w:r>
            <w:r>
              <w:rPr>
                <w:rFonts w:ascii="Times New Roman"/>
                <w:szCs w:val="21"/>
              </w:rPr>
              <w:t>12/</w:t>
            </w:r>
            <w:r>
              <w:rPr>
                <w:rFonts w:hint="eastAsia" w:ascii="Times New Roman"/>
                <w:szCs w:val="21"/>
              </w:rPr>
              <w:t>上</w:t>
            </w:r>
          </w:p>
        </w:tc>
        <w:tc>
          <w:tcPr>
            <w:tcW w:w="1028" w:type="dxa"/>
            <w:vAlign w:val="top"/>
          </w:tcPr>
          <w:p>
            <w:pPr>
              <w:pStyle w:val="46"/>
              <w:widowControl w:val="0"/>
              <w:spacing w:line="280" w:lineRule="exact"/>
              <w:ind w:firstLine="0" w:firstLineChars="0"/>
              <w:rPr>
                <w:rFonts w:ascii="Times New Roman"/>
                <w:szCs w:val="21"/>
              </w:rPr>
            </w:pPr>
            <w:r>
              <w:rPr>
                <w:rFonts w:ascii="Times New Roman"/>
                <w:szCs w:val="21"/>
              </w:rPr>
              <w:t>80</w:t>
            </w:r>
            <w:r>
              <w:rPr>
                <w:rFonts w:hint="eastAsia" w:ascii="Times New Roman"/>
                <w:szCs w:val="21"/>
              </w:rPr>
              <w:t>~</w:t>
            </w:r>
            <w:r>
              <w:rPr>
                <w:rFonts w:ascii="Times New Roman"/>
                <w:szCs w:val="21"/>
              </w:rPr>
              <w:t>100</w:t>
            </w:r>
          </w:p>
        </w:tc>
        <w:tc>
          <w:tcPr>
            <w:tcW w:w="1697" w:type="dxa"/>
            <w:vAlign w:val="top"/>
          </w:tcPr>
          <w:p>
            <w:pPr>
              <w:pStyle w:val="46"/>
              <w:widowControl w:val="0"/>
              <w:spacing w:line="280" w:lineRule="exact"/>
              <w:ind w:firstLine="0" w:firstLineChars="0"/>
              <w:rPr>
                <w:rFonts w:ascii="Times New Roman"/>
                <w:szCs w:val="21"/>
              </w:rPr>
            </w:pPr>
            <w:r>
              <w:rPr>
                <w:rFonts w:hint="eastAsia" w:ascii="Times New Roman"/>
                <w:szCs w:val="21"/>
              </w:rPr>
              <w:t>2</w:t>
            </w:r>
            <w:r>
              <w:rPr>
                <w:rFonts w:ascii="Times New Roman"/>
                <w:szCs w:val="21"/>
              </w:rPr>
              <w:t>/</w:t>
            </w:r>
            <w:r>
              <w:rPr>
                <w:rFonts w:hint="eastAsia" w:ascii="Times New Roman"/>
                <w:szCs w:val="21"/>
              </w:rPr>
              <w:t>初至2</w:t>
            </w:r>
            <w:r>
              <w:rPr>
                <w:rFonts w:ascii="Times New Roman"/>
                <w:szCs w:val="21"/>
              </w:rPr>
              <w:t>/</w:t>
            </w:r>
            <w:r>
              <w:rPr>
                <w:rFonts w:hint="eastAsia" w:ascii="Times New Roman"/>
                <w:szCs w:val="21"/>
              </w:rPr>
              <w:t>中下</w:t>
            </w:r>
          </w:p>
        </w:tc>
        <w:tc>
          <w:tcPr>
            <w:tcW w:w="1843" w:type="dxa"/>
            <w:vAlign w:val="top"/>
          </w:tcPr>
          <w:p>
            <w:pPr>
              <w:pStyle w:val="46"/>
              <w:widowControl w:val="0"/>
              <w:spacing w:line="280" w:lineRule="exact"/>
              <w:ind w:firstLine="0" w:firstLineChars="0"/>
              <w:rPr>
                <w:rFonts w:ascii="Times New Roman"/>
                <w:szCs w:val="21"/>
              </w:rPr>
            </w:pPr>
            <w:r>
              <w:rPr>
                <w:rFonts w:ascii="Times New Roman"/>
                <w:szCs w:val="21"/>
              </w:rPr>
              <w:t>3/</w:t>
            </w:r>
            <w:r>
              <w:rPr>
                <w:rFonts w:hint="eastAsia" w:ascii="Times New Roman"/>
                <w:szCs w:val="21"/>
              </w:rPr>
              <w:t>中下</w:t>
            </w:r>
          </w:p>
        </w:tc>
        <w:tc>
          <w:tcPr>
            <w:tcW w:w="1701" w:type="dxa"/>
            <w:vAlign w:val="top"/>
          </w:tcPr>
          <w:p>
            <w:pPr>
              <w:pStyle w:val="46"/>
              <w:widowControl w:val="0"/>
              <w:spacing w:line="280" w:lineRule="exact"/>
              <w:ind w:firstLine="0" w:firstLineChars="0"/>
              <w:rPr>
                <w:rFonts w:ascii="Times New Roman"/>
                <w:szCs w:val="21"/>
              </w:rPr>
            </w:pPr>
            <w:r>
              <w:rPr>
                <w:rFonts w:ascii="Times New Roman"/>
                <w:szCs w:val="21"/>
              </w:rPr>
              <w:t>6</w:t>
            </w:r>
            <w:r>
              <w:rPr>
                <w:rFonts w:hint="eastAsia" w:ascii="Times New Roman"/>
                <w:szCs w:val="21"/>
              </w:rPr>
              <w:t>月</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szCs w:val="21"/>
              </w:rPr>
              <w:t>甜辣椒</w:t>
            </w:r>
          </w:p>
        </w:tc>
        <w:tc>
          <w:tcPr>
            <w:tcW w:w="1311" w:type="dxa"/>
            <w:vAlign w:val="top"/>
          </w:tcPr>
          <w:p>
            <w:pPr>
              <w:pStyle w:val="46"/>
              <w:widowControl w:val="0"/>
              <w:spacing w:line="280" w:lineRule="exact"/>
              <w:ind w:firstLine="0" w:firstLineChars="0"/>
              <w:rPr>
                <w:rFonts w:ascii="Times New Roman"/>
                <w:color w:val="000000"/>
                <w:szCs w:val="21"/>
              </w:rPr>
            </w:pPr>
            <w:r>
              <w:rPr>
                <w:rFonts w:ascii="Times New Roman"/>
                <w:szCs w:val="21"/>
              </w:rPr>
              <w:t>10/</w:t>
            </w:r>
            <w:r>
              <w:rPr>
                <w:rFonts w:hint="eastAsia" w:ascii="Times New Roman"/>
                <w:szCs w:val="21"/>
              </w:rPr>
              <w:t>下至</w:t>
            </w:r>
            <w:r>
              <w:rPr>
                <w:rFonts w:ascii="Times New Roman"/>
                <w:szCs w:val="21"/>
              </w:rPr>
              <w:t>12/</w:t>
            </w:r>
            <w:r>
              <w:rPr>
                <w:rFonts w:hint="eastAsia" w:ascii="Times New Roman"/>
                <w:szCs w:val="21"/>
              </w:rPr>
              <w:t>上</w:t>
            </w:r>
          </w:p>
        </w:tc>
        <w:tc>
          <w:tcPr>
            <w:tcW w:w="1028" w:type="dxa"/>
            <w:vAlign w:val="top"/>
          </w:tcPr>
          <w:p>
            <w:pPr>
              <w:pStyle w:val="46"/>
              <w:widowControl w:val="0"/>
              <w:spacing w:line="280" w:lineRule="exact"/>
              <w:ind w:firstLine="0" w:firstLineChars="0"/>
              <w:rPr>
                <w:rFonts w:ascii="Times New Roman"/>
                <w:color w:val="000000"/>
                <w:szCs w:val="21"/>
              </w:rPr>
            </w:pPr>
            <w:r>
              <w:rPr>
                <w:rFonts w:ascii="Times New Roman"/>
                <w:szCs w:val="21"/>
              </w:rPr>
              <w:t>80</w:t>
            </w:r>
            <w:r>
              <w:rPr>
                <w:rFonts w:hint="eastAsia" w:ascii="Times New Roman"/>
                <w:szCs w:val="21"/>
              </w:rPr>
              <w:t>~</w:t>
            </w:r>
            <w:r>
              <w:rPr>
                <w:rFonts w:ascii="Times New Roman"/>
                <w:szCs w:val="21"/>
              </w:rPr>
              <w:t>100</w:t>
            </w:r>
          </w:p>
        </w:tc>
        <w:tc>
          <w:tcPr>
            <w:tcW w:w="1697" w:type="dxa"/>
            <w:vAlign w:val="top"/>
          </w:tcPr>
          <w:p>
            <w:pPr>
              <w:pStyle w:val="46"/>
              <w:widowControl w:val="0"/>
              <w:spacing w:line="280" w:lineRule="exact"/>
              <w:ind w:firstLine="0" w:firstLineChars="0"/>
              <w:rPr>
                <w:rFonts w:ascii="Times New Roman"/>
                <w:color w:val="000000"/>
                <w:szCs w:val="21"/>
              </w:rPr>
            </w:pPr>
            <w:r>
              <w:rPr>
                <w:rFonts w:hint="eastAsia" w:ascii="Times New Roman"/>
                <w:szCs w:val="21"/>
              </w:rPr>
              <w:t>2</w:t>
            </w:r>
            <w:r>
              <w:rPr>
                <w:rFonts w:ascii="Times New Roman"/>
                <w:szCs w:val="21"/>
              </w:rPr>
              <w:t>/</w:t>
            </w:r>
            <w:r>
              <w:rPr>
                <w:rFonts w:hint="eastAsia" w:ascii="Times New Roman"/>
                <w:szCs w:val="21"/>
              </w:rPr>
              <w:t>初至2</w:t>
            </w:r>
            <w:r>
              <w:rPr>
                <w:rFonts w:ascii="Times New Roman"/>
                <w:szCs w:val="21"/>
              </w:rPr>
              <w:t>/</w:t>
            </w:r>
            <w:r>
              <w:rPr>
                <w:rFonts w:hint="eastAsia" w:ascii="Times New Roman"/>
                <w:szCs w:val="21"/>
              </w:rPr>
              <w:t>中下</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szCs w:val="21"/>
              </w:rPr>
              <w:t>3/</w:t>
            </w:r>
            <w:r>
              <w:rPr>
                <w:rFonts w:hint="eastAsia" w:ascii="Times New Roman"/>
                <w:szCs w:val="21"/>
              </w:rPr>
              <w:t>中下</w:t>
            </w:r>
          </w:p>
        </w:tc>
        <w:tc>
          <w:tcPr>
            <w:tcW w:w="1701" w:type="dxa"/>
            <w:vAlign w:val="top"/>
          </w:tcPr>
          <w:p>
            <w:pPr>
              <w:pStyle w:val="46"/>
              <w:widowControl w:val="0"/>
              <w:spacing w:line="280" w:lineRule="exact"/>
              <w:ind w:firstLine="0" w:firstLineChars="0"/>
              <w:rPr>
                <w:rFonts w:ascii="Times New Roman"/>
                <w:color w:val="000000"/>
                <w:szCs w:val="21"/>
              </w:rPr>
            </w:pPr>
            <w:r>
              <w:rPr>
                <w:rFonts w:ascii="Times New Roman"/>
                <w:szCs w:val="21"/>
              </w:rPr>
              <w:t>5</w:t>
            </w:r>
            <w:r>
              <w:rPr>
                <w:rFonts w:hint="eastAsia" w:ascii="Times New Roman"/>
                <w:szCs w:val="21"/>
              </w:rPr>
              <w:t>月以后</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黄瓜</w:t>
            </w:r>
          </w:p>
        </w:tc>
        <w:tc>
          <w:tcPr>
            <w:tcW w:w="131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0/</w:t>
            </w:r>
            <w:r>
              <w:rPr>
                <w:rFonts w:hint="eastAsia" w:ascii="Times New Roman"/>
                <w:color w:val="000000"/>
                <w:szCs w:val="21"/>
              </w:rPr>
              <w:t>中下</w:t>
            </w:r>
          </w:p>
        </w:tc>
        <w:tc>
          <w:tcPr>
            <w:tcW w:w="1028"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40</w:t>
            </w:r>
          </w:p>
        </w:tc>
        <w:tc>
          <w:tcPr>
            <w:tcW w:w="1697"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中至</w:t>
            </w:r>
            <w:r>
              <w:rPr>
                <w:rFonts w:ascii="Times New Roman"/>
                <w:color w:val="000000"/>
                <w:szCs w:val="21"/>
              </w:rPr>
              <w:t>2/</w:t>
            </w:r>
            <w:r>
              <w:rPr>
                <w:rFonts w:hint="eastAsia" w:ascii="Times New Roman"/>
                <w:color w:val="000000"/>
                <w:szCs w:val="21"/>
              </w:rPr>
              <w:t>初</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2/</w:t>
            </w:r>
            <w:r>
              <w:rPr>
                <w:rFonts w:hint="eastAsia" w:ascii="Times New Roman"/>
                <w:color w:val="000000"/>
                <w:szCs w:val="21"/>
              </w:rPr>
              <w:t>中下</w:t>
            </w:r>
          </w:p>
        </w:tc>
        <w:tc>
          <w:tcPr>
            <w:tcW w:w="170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6/</w:t>
            </w:r>
            <w:r>
              <w:rPr>
                <w:rFonts w:hint="eastAsia" w:ascii="Times New Roman"/>
                <w:color w:val="000000"/>
                <w:szCs w:val="21"/>
              </w:rPr>
              <w:t>下</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西葫芦</w:t>
            </w:r>
          </w:p>
        </w:tc>
        <w:tc>
          <w:tcPr>
            <w:tcW w:w="131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1</w:t>
            </w:r>
            <w:r>
              <w:rPr>
                <w:rFonts w:ascii="Times New Roman"/>
                <w:color w:val="000000"/>
                <w:szCs w:val="21"/>
              </w:rPr>
              <w:t>/</w:t>
            </w:r>
            <w:r>
              <w:rPr>
                <w:rFonts w:hint="eastAsia" w:ascii="Times New Roman"/>
                <w:color w:val="000000"/>
                <w:szCs w:val="21"/>
              </w:rPr>
              <w:t>上</w:t>
            </w:r>
          </w:p>
        </w:tc>
        <w:tc>
          <w:tcPr>
            <w:tcW w:w="1028"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3</w:t>
            </w:r>
            <w:r>
              <w:rPr>
                <w:rFonts w:ascii="Times New Roman"/>
                <w:color w:val="000000"/>
                <w:szCs w:val="21"/>
              </w:rPr>
              <w:t>5</w:t>
            </w:r>
          </w:p>
        </w:tc>
        <w:tc>
          <w:tcPr>
            <w:tcW w:w="1697"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2/</w:t>
            </w:r>
            <w:r>
              <w:rPr>
                <w:rFonts w:hint="eastAsia" w:ascii="Times New Roman"/>
                <w:color w:val="000000"/>
                <w:szCs w:val="21"/>
              </w:rPr>
              <w:t>上</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3/</w:t>
            </w:r>
            <w:r>
              <w:rPr>
                <w:rFonts w:hint="eastAsia" w:ascii="Times New Roman"/>
                <w:color w:val="000000"/>
                <w:szCs w:val="21"/>
              </w:rPr>
              <w:t>中</w:t>
            </w:r>
          </w:p>
        </w:tc>
        <w:tc>
          <w:tcPr>
            <w:tcW w:w="1701" w:type="dxa"/>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5</w:t>
            </w:r>
            <w:r>
              <w:rPr>
                <w:rFonts w:ascii="Times New Roman"/>
                <w:color w:val="000000"/>
                <w:szCs w:val="21"/>
              </w:rPr>
              <w:t>/</w:t>
            </w:r>
            <w:r>
              <w:rPr>
                <w:rFonts w:hint="eastAsia" w:ascii="Times New Roman"/>
                <w:color w:val="000000"/>
                <w:szCs w:val="21"/>
              </w:rPr>
              <w:t>中至</w:t>
            </w:r>
            <w:r>
              <w:rPr>
                <w:rFonts w:ascii="Times New Roman"/>
                <w:color w:val="000000"/>
                <w:szCs w:val="21"/>
              </w:rPr>
              <w:t>6/</w:t>
            </w:r>
            <w:r>
              <w:rPr>
                <w:rFonts w:hint="eastAsia" w:ascii="Times New Roman"/>
                <w:color w:val="000000"/>
                <w:szCs w:val="21"/>
              </w:rPr>
              <w:t>中</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szCs w:val="21"/>
              </w:rPr>
              <w:t>甜瓜</w:t>
            </w:r>
          </w:p>
        </w:tc>
        <w:tc>
          <w:tcPr>
            <w:tcW w:w="1311" w:type="dxa"/>
            <w:vAlign w:val="top"/>
          </w:tcPr>
          <w:p>
            <w:pPr>
              <w:pStyle w:val="46"/>
              <w:widowControl w:val="0"/>
              <w:spacing w:line="280" w:lineRule="exact"/>
              <w:ind w:firstLine="0" w:firstLineChars="0"/>
              <w:rPr>
                <w:rFonts w:ascii="Times New Roman"/>
                <w:color w:val="000000"/>
                <w:szCs w:val="21"/>
              </w:rPr>
            </w:pPr>
            <w:r>
              <w:rPr>
                <w:rFonts w:hint="eastAsia" w:ascii="Times New Roman"/>
                <w:szCs w:val="21"/>
              </w:rPr>
              <w:t>1</w:t>
            </w:r>
            <w:r>
              <w:rPr>
                <w:rFonts w:ascii="Times New Roman"/>
                <w:szCs w:val="21"/>
              </w:rPr>
              <w:t>2/</w:t>
            </w:r>
            <w:r>
              <w:rPr>
                <w:rFonts w:hint="eastAsia" w:ascii="Times New Roman"/>
                <w:szCs w:val="21"/>
              </w:rPr>
              <w:t>下至翌年</w:t>
            </w:r>
            <w:r>
              <w:rPr>
                <w:rFonts w:ascii="Times New Roman"/>
                <w:szCs w:val="21"/>
              </w:rPr>
              <w:t>1/</w:t>
            </w:r>
            <w:r>
              <w:rPr>
                <w:rFonts w:hint="eastAsia" w:ascii="Times New Roman"/>
                <w:szCs w:val="21"/>
              </w:rPr>
              <w:t>上</w:t>
            </w:r>
          </w:p>
        </w:tc>
        <w:tc>
          <w:tcPr>
            <w:tcW w:w="1028" w:type="dxa"/>
            <w:vAlign w:val="top"/>
          </w:tcPr>
          <w:p>
            <w:pPr>
              <w:pStyle w:val="46"/>
              <w:widowControl w:val="0"/>
              <w:spacing w:line="280" w:lineRule="exact"/>
              <w:ind w:firstLine="0" w:firstLineChars="0"/>
              <w:rPr>
                <w:rFonts w:ascii="Times New Roman"/>
                <w:color w:val="000000"/>
                <w:szCs w:val="21"/>
              </w:rPr>
            </w:pPr>
            <w:r>
              <w:rPr>
                <w:rFonts w:hint="eastAsia" w:ascii="Times New Roman"/>
                <w:szCs w:val="21"/>
              </w:rPr>
              <w:t>3</w:t>
            </w:r>
            <w:r>
              <w:rPr>
                <w:rFonts w:ascii="Times New Roman"/>
                <w:szCs w:val="21"/>
              </w:rPr>
              <w:t>0</w:t>
            </w:r>
          </w:p>
        </w:tc>
        <w:tc>
          <w:tcPr>
            <w:tcW w:w="1697" w:type="dxa"/>
            <w:vAlign w:val="top"/>
          </w:tcPr>
          <w:p>
            <w:pPr>
              <w:pStyle w:val="46"/>
              <w:widowControl w:val="0"/>
              <w:spacing w:line="280" w:lineRule="exact"/>
              <w:ind w:firstLine="0" w:firstLineChars="0"/>
              <w:rPr>
                <w:rFonts w:ascii="Times New Roman"/>
                <w:color w:val="000000"/>
                <w:szCs w:val="21"/>
              </w:rPr>
            </w:pPr>
            <w:r>
              <w:rPr>
                <w:rFonts w:hint="eastAsia" w:ascii="Times New Roman"/>
                <w:szCs w:val="21"/>
              </w:rPr>
              <w:t>1</w:t>
            </w:r>
            <w:r>
              <w:rPr>
                <w:rFonts w:ascii="Times New Roman"/>
                <w:szCs w:val="21"/>
              </w:rPr>
              <w:t>/</w:t>
            </w:r>
            <w:r>
              <w:rPr>
                <w:rFonts w:hint="eastAsia" w:ascii="Times New Roman"/>
                <w:szCs w:val="21"/>
              </w:rPr>
              <w:t>下至</w:t>
            </w:r>
            <w:r>
              <w:rPr>
                <w:rFonts w:ascii="Times New Roman"/>
                <w:szCs w:val="21"/>
              </w:rPr>
              <w:t>2/</w:t>
            </w:r>
            <w:r>
              <w:rPr>
                <w:rFonts w:hint="eastAsia" w:ascii="Times New Roman"/>
                <w:szCs w:val="21"/>
              </w:rPr>
              <w:t>上</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szCs w:val="21"/>
              </w:rPr>
              <w:t>4/</w:t>
            </w:r>
            <w:r>
              <w:rPr>
                <w:rFonts w:hint="eastAsia" w:ascii="Times New Roman"/>
                <w:szCs w:val="21"/>
              </w:rPr>
              <w:t>上中</w:t>
            </w:r>
          </w:p>
        </w:tc>
        <w:tc>
          <w:tcPr>
            <w:tcW w:w="1701" w:type="dxa"/>
            <w:vAlign w:val="top"/>
          </w:tcPr>
          <w:p>
            <w:pPr>
              <w:pStyle w:val="46"/>
              <w:widowControl w:val="0"/>
              <w:spacing w:line="280" w:lineRule="exact"/>
              <w:ind w:firstLine="0" w:firstLineChars="0"/>
              <w:rPr>
                <w:rFonts w:ascii="Times New Roman"/>
                <w:color w:val="000000"/>
                <w:szCs w:val="21"/>
              </w:rPr>
            </w:pPr>
          </w:p>
        </w:tc>
      </w:tr>
      <w:tr>
        <w:tblPrEx>
          <w:tblLayout w:type="fixed"/>
          <w:tblCellMar>
            <w:top w:w="0" w:type="dxa"/>
            <w:left w:w="108" w:type="dxa"/>
            <w:bottom w:w="0" w:type="dxa"/>
            <w:right w:w="108" w:type="dxa"/>
          </w:tblCellMar>
        </w:tblPrEx>
        <w:trPr>
          <w:jc w:val="center"/>
        </w:trPr>
        <w:tc>
          <w:tcPr>
            <w:tcW w:w="692" w:type="dxa"/>
            <w:vMerge w:val="restart"/>
            <w:tcBorders>
              <w:top w:val="single" w:color="auto" w:sz="4" w:space="0"/>
            </w:tcBorders>
            <w:vAlign w:val="top"/>
          </w:tcPr>
          <w:p>
            <w:pPr>
              <w:widowControl/>
              <w:spacing w:line="280" w:lineRule="exact"/>
              <w:jc w:val="left"/>
              <w:rPr>
                <w:rFonts w:hAnsi="宋体"/>
                <w:color w:val="000000"/>
                <w:szCs w:val="21"/>
              </w:rPr>
            </w:pPr>
          </w:p>
          <w:p>
            <w:pPr>
              <w:widowControl/>
              <w:spacing w:line="280" w:lineRule="exact"/>
              <w:jc w:val="left"/>
              <w:rPr>
                <w:rFonts w:hAnsi="宋体"/>
                <w:color w:val="000000"/>
                <w:szCs w:val="21"/>
              </w:rPr>
            </w:pPr>
            <w:r>
              <w:rPr>
                <w:rFonts w:hint="eastAsia" w:hAnsi="宋体"/>
                <w:color w:val="000000"/>
                <w:szCs w:val="21"/>
              </w:rPr>
              <w:t>秋冬茬</w:t>
            </w:r>
          </w:p>
        </w:tc>
        <w:tc>
          <w:tcPr>
            <w:tcW w:w="1084" w:type="dxa"/>
            <w:tcBorders>
              <w:top w:val="single" w:color="auto" w:sz="4" w:space="0"/>
            </w:tcBorders>
            <w:vAlign w:val="top"/>
          </w:tcPr>
          <w:p>
            <w:pPr>
              <w:widowControl/>
              <w:spacing w:line="280" w:lineRule="exact"/>
              <w:jc w:val="left"/>
              <w:rPr>
                <w:rFonts w:hAnsi="宋体"/>
                <w:color w:val="000000"/>
                <w:szCs w:val="21"/>
              </w:rPr>
            </w:pPr>
            <w:r>
              <w:rPr>
                <w:rFonts w:hint="eastAsia" w:hAnsi="宋体"/>
                <w:color w:val="000000"/>
                <w:szCs w:val="21"/>
              </w:rPr>
              <w:t>番茄</w:t>
            </w:r>
          </w:p>
        </w:tc>
        <w:tc>
          <w:tcPr>
            <w:tcW w:w="1311"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7/</w:t>
            </w:r>
            <w:r>
              <w:rPr>
                <w:rFonts w:hint="eastAsia" w:ascii="Times New Roman"/>
                <w:color w:val="000000"/>
                <w:szCs w:val="21"/>
              </w:rPr>
              <w:t>下</w:t>
            </w:r>
          </w:p>
        </w:tc>
        <w:tc>
          <w:tcPr>
            <w:tcW w:w="1028"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30</w:t>
            </w:r>
          </w:p>
        </w:tc>
        <w:tc>
          <w:tcPr>
            <w:tcW w:w="1697"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8/</w:t>
            </w:r>
            <w:r>
              <w:rPr>
                <w:rFonts w:hint="eastAsia" w:ascii="Times New Roman"/>
                <w:color w:val="000000"/>
                <w:szCs w:val="21"/>
              </w:rPr>
              <w:t>中下</w:t>
            </w:r>
          </w:p>
        </w:tc>
        <w:tc>
          <w:tcPr>
            <w:tcW w:w="1843"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11/</w:t>
            </w:r>
            <w:r>
              <w:rPr>
                <w:rFonts w:hint="eastAsia" w:ascii="Times New Roman"/>
                <w:color w:val="000000"/>
                <w:szCs w:val="21"/>
              </w:rPr>
              <w:t>中</w:t>
            </w:r>
          </w:p>
        </w:tc>
        <w:tc>
          <w:tcPr>
            <w:tcW w:w="1701"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中至</w:t>
            </w:r>
            <w:r>
              <w:rPr>
                <w:rFonts w:ascii="Times New Roman"/>
                <w:color w:val="000000"/>
                <w:szCs w:val="21"/>
              </w:rPr>
              <w:t>2/</w:t>
            </w:r>
            <w:r>
              <w:rPr>
                <w:rFonts w:hint="eastAsia" w:ascii="Times New Roman"/>
                <w:color w:val="000000"/>
                <w:szCs w:val="21"/>
              </w:rPr>
              <w:t>中</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甜辣椒</w:t>
            </w:r>
          </w:p>
        </w:tc>
        <w:tc>
          <w:tcPr>
            <w:tcW w:w="131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7/</w:t>
            </w:r>
            <w:r>
              <w:rPr>
                <w:rFonts w:hint="eastAsia" w:ascii="Times New Roman"/>
                <w:color w:val="000000"/>
                <w:szCs w:val="21"/>
              </w:rPr>
              <w:t>中下</w:t>
            </w:r>
          </w:p>
        </w:tc>
        <w:tc>
          <w:tcPr>
            <w:tcW w:w="1028"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30</w:t>
            </w:r>
          </w:p>
        </w:tc>
        <w:tc>
          <w:tcPr>
            <w:tcW w:w="1697"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8/</w:t>
            </w:r>
            <w:r>
              <w:rPr>
                <w:rFonts w:hint="eastAsia" w:ascii="Times New Roman"/>
                <w:color w:val="000000"/>
                <w:szCs w:val="21"/>
              </w:rPr>
              <w:t>中下</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10/</w:t>
            </w:r>
            <w:r>
              <w:rPr>
                <w:rFonts w:hint="eastAsia" w:ascii="Times New Roman"/>
                <w:color w:val="000000"/>
                <w:szCs w:val="21"/>
              </w:rPr>
              <w:t>下</w:t>
            </w:r>
          </w:p>
        </w:tc>
        <w:tc>
          <w:tcPr>
            <w:tcW w:w="170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2/</w:t>
            </w:r>
            <w:r>
              <w:rPr>
                <w:rFonts w:hint="eastAsia" w:ascii="Times New Roman"/>
                <w:color w:val="000000"/>
                <w:szCs w:val="21"/>
              </w:rPr>
              <w:t>中下</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黄瓜</w:t>
            </w:r>
          </w:p>
        </w:tc>
        <w:tc>
          <w:tcPr>
            <w:tcW w:w="131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9/</w:t>
            </w:r>
            <w:r>
              <w:rPr>
                <w:rFonts w:hint="eastAsia" w:ascii="Times New Roman"/>
                <w:color w:val="000000"/>
                <w:szCs w:val="21"/>
              </w:rPr>
              <w:t>中</w:t>
            </w:r>
          </w:p>
        </w:tc>
        <w:tc>
          <w:tcPr>
            <w:tcW w:w="1028"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30</w:t>
            </w:r>
          </w:p>
        </w:tc>
        <w:tc>
          <w:tcPr>
            <w:tcW w:w="1697"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8/</w:t>
            </w:r>
            <w:r>
              <w:rPr>
                <w:rFonts w:hint="eastAsia" w:ascii="Times New Roman"/>
                <w:color w:val="000000"/>
                <w:szCs w:val="21"/>
              </w:rPr>
              <w:t>中</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1</w:t>
            </w:r>
            <w:r>
              <w:rPr>
                <w:rFonts w:ascii="Times New Roman"/>
                <w:color w:val="000000"/>
                <w:szCs w:val="21"/>
              </w:rPr>
              <w:t>/</w:t>
            </w:r>
            <w:r>
              <w:rPr>
                <w:rFonts w:hint="eastAsia" w:ascii="Times New Roman"/>
                <w:color w:val="000000"/>
                <w:szCs w:val="21"/>
              </w:rPr>
              <w:t>中</w:t>
            </w:r>
          </w:p>
        </w:tc>
        <w:tc>
          <w:tcPr>
            <w:tcW w:w="170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中至</w:t>
            </w:r>
            <w:r>
              <w:rPr>
                <w:rFonts w:ascii="Times New Roman"/>
                <w:color w:val="000000"/>
                <w:szCs w:val="21"/>
              </w:rPr>
              <w:t>2/</w:t>
            </w:r>
            <w:r>
              <w:rPr>
                <w:rFonts w:hint="eastAsia" w:ascii="Times New Roman"/>
                <w:color w:val="000000"/>
                <w:szCs w:val="21"/>
              </w:rPr>
              <w:t>中</w:t>
            </w:r>
          </w:p>
        </w:tc>
      </w:tr>
      <w:tr>
        <w:tblPrEx>
          <w:tblLayout w:type="fixed"/>
          <w:tblCellMar>
            <w:top w:w="0" w:type="dxa"/>
            <w:left w:w="108" w:type="dxa"/>
            <w:bottom w:w="0" w:type="dxa"/>
            <w:right w:w="108" w:type="dxa"/>
          </w:tblCellMar>
        </w:tblPrEx>
        <w:trPr>
          <w:jc w:val="center"/>
        </w:trPr>
        <w:tc>
          <w:tcPr>
            <w:tcW w:w="692" w:type="dxa"/>
            <w:vMerge w:val="continue"/>
            <w:tcBorders>
              <w:bottom w:val="single" w:color="auto" w:sz="4" w:space="0"/>
            </w:tcBorders>
            <w:vAlign w:val="top"/>
          </w:tcPr>
          <w:p>
            <w:pPr>
              <w:widowControl/>
              <w:spacing w:line="280" w:lineRule="exact"/>
              <w:jc w:val="left"/>
              <w:rPr>
                <w:rFonts w:hAnsi="宋体"/>
                <w:color w:val="000000"/>
                <w:szCs w:val="21"/>
              </w:rPr>
            </w:pPr>
          </w:p>
        </w:tc>
        <w:tc>
          <w:tcPr>
            <w:tcW w:w="1084" w:type="dxa"/>
            <w:tcBorders>
              <w:bottom w:val="single" w:color="auto" w:sz="4" w:space="0"/>
            </w:tcBorders>
            <w:vAlign w:val="top"/>
          </w:tcPr>
          <w:p>
            <w:pPr>
              <w:widowControl/>
              <w:spacing w:line="280" w:lineRule="exact"/>
              <w:jc w:val="left"/>
              <w:rPr>
                <w:rFonts w:hAnsi="宋体"/>
                <w:color w:val="000000"/>
                <w:szCs w:val="21"/>
              </w:rPr>
            </w:pPr>
            <w:r>
              <w:rPr>
                <w:rFonts w:hint="eastAsia" w:hAnsi="宋体"/>
                <w:color w:val="000000"/>
                <w:szCs w:val="21"/>
              </w:rPr>
              <w:t>甜瓜</w:t>
            </w:r>
          </w:p>
        </w:tc>
        <w:tc>
          <w:tcPr>
            <w:tcW w:w="1311"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8/</w:t>
            </w:r>
            <w:r>
              <w:rPr>
                <w:rFonts w:hint="eastAsia" w:ascii="Times New Roman"/>
                <w:color w:val="000000"/>
                <w:szCs w:val="21"/>
              </w:rPr>
              <w:t>下至</w:t>
            </w:r>
            <w:r>
              <w:rPr>
                <w:rFonts w:ascii="Times New Roman"/>
                <w:color w:val="000000"/>
                <w:szCs w:val="21"/>
              </w:rPr>
              <w:t>9/</w:t>
            </w:r>
            <w:r>
              <w:rPr>
                <w:rFonts w:hint="eastAsia" w:ascii="Times New Roman"/>
                <w:color w:val="000000"/>
                <w:szCs w:val="21"/>
              </w:rPr>
              <w:t>上</w:t>
            </w:r>
          </w:p>
        </w:tc>
        <w:tc>
          <w:tcPr>
            <w:tcW w:w="1028"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hint="eastAsia" w:ascii="Times New Roman"/>
                <w:color w:val="000000"/>
                <w:szCs w:val="21"/>
              </w:rPr>
              <w:t>3</w:t>
            </w:r>
            <w:r>
              <w:rPr>
                <w:rFonts w:ascii="Times New Roman"/>
                <w:color w:val="000000"/>
                <w:szCs w:val="21"/>
              </w:rPr>
              <w:t>0</w:t>
            </w:r>
          </w:p>
        </w:tc>
        <w:tc>
          <w:tcPr>
            <w:tcW w:w="1697"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9/</w:t>
            </w:r>
            <w:r>
              <w:rPr>
                <w:rFonts w:hint="eastAsia" w:ascii="Times New Roman"/>
                <w:color w:val="000000"/>
                <w:szCs w:val="21"/>
              </w:rPr>
              <w:t>下至</w:t>
            </w:r>
            <w:r>
              <w:rPr>
                <w:rFonts w:ascii="Times New Roman"/>
                <w:color w:val="000000"/>
                <w:szCs w:val="21"/>
              </w:rPr>
              <w:t>10/</w:t>
            </w:r>
            <w:r>
              <w:rPr>
                <w:rFonts w:hint="eastAsia" w:ascii="Times New Roman"/>
                <w:color w:val="000000"/>
                <w:szCs w:val="21"/>
              </w:rPr>
              <w:t>上</w:t>
            </w:r>
          </w:p>
        </w:tc>
        <w:tc>
          <w:tcPr>
            <w:tcW w:w="1843"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2/</w:t>
            </w:r>
            <w:r>
              <w:rPr>
                <w:rFonts w:hint="eastAsia" w:ascii="Times New Roman"/>
                <w:color w:val="000000"/>
                <w:szCs w:val="21"/>
              </w:rPr>
              <w:t>上中</w:t>
            </w:r>
          </w:p>
        </w:tc>
        <w:tc>
          <w:tcPr>
            <w:tcW w:w="1701"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p>
        </w:tc>
      </w:tr>
      <w:tr>
        <w:tblPrEx>
          <w:tblLayout w:type="fixed"/>
          <w:tblCellMar>
            <w:top w:w="0" w:type="dxa"/>
            <w:left w:w="108" w:type="dxa"/>
            <w:bottom w:w="0" w:type="dxa"/>
            <w:right w:w="108" w:type="dxa"/>
          </w:tblCellMar>
        </w:tblPrEx>
        <w:trPr>
          <w:jc w:val="center"/>
        </w:trPr>
        <w:tc>
          <w:tcPr>
            <w:tcW w:w="692" w:type="dxa"/>
            <w:vMerge w:val="restart"/>
            <w:tcBorders>
              <w:top w:val="single" w:color="auto" w:sz="4" w:space="0"/>
            </w:tcBorders>
            <w:vAlign w:val="top"/>
          </w:tcPr>
          <w:p>
            <w:pPr>
              <w:widowControl/>
              <w:spacing w:line="280" w:lineRule="exact"/>
              <w:jc w:val="left"/>
              <w:rPr>
                <w:rFonts w:eastAsia="等线"/>
                <w:kern w:val="0"/>
              </w:rPr>
            </w:pPr>
          </w:p>
          <w:p>
            <w:pPr>
              <w:widowControl/>
              <w:spacing w:line="280" w:lineRule="exact"/>
              <w:jc w:val="left"/>
              <w:rPr>
                <w:rFonts w:hAnsi="宋体"/>
                <w:color w:val="000000"/>
                <w:szCs w:val="21"/>
              </w:rPr>
            </w:pPr>
            <w:r>
              <w:rPr>
                <w:rFonts w:eastAsia="等线"/>
                <w:kern w:val="0"/>
              </w:rPr>
              <w:t>越冬茬</w:t>
            </w:r>
          </w:p>
        </w:tc>
        <w:tc>
          <w:tcPr>
            <w:tcW w:w="1084" w:type="dxa"/>
            <w:tcBorders>
              <w:top w:val="single" w:color="auto" w:sz="4" w:space="0"/>
            </w:tcBorders>
            <w:vAlign w:val="top"/>
          </w:tcPr>
          <w:p>
            <w:pPr>
              <w:widowControl/>
              <w:spacing w:line="280" w:lineRule="exact"/>
              <w:jc w:val="left"/>
              <w:rPr>
                <w:rFonts w:hAnsi="宋体"/>
                <w:color w:val="000000"/>
                <w:szCs w:val="21"/>
              </w:rPr>
            </w:pPr>
            <w:r>
              <w:rPr>
                <w:rFonts w:hint="eastAsia" w:hAnsi="宋体"/>
                <w:color w:val="000000"/>
                <w:szCs w:val="21"/>
              </w:rPr>
              <w:t>番茄</w:t>
            </w:r>
          </w:p>
        </w:tc>
        <w:tc>
          <w:tcPr>
            <w:tcW w:w="1311"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eastAsia="等线"/>
              </w:rPr>
              <w:t>8</w:t>
            </w:r>
            <w:r>
              <w:rPr>
                <w:rFonts w:hint="eastAsia" w:ascii="Times New Roman" w:eastAsia="等线"/>
              </w:rPr>
              <w:t>/中</w:t>
            </w:r>
            <w:r>
              <w:rPr>
                <w:rFonts w:ascii="Times New Roman" w:eastAsia="等线"/>
              </w:rPr>
              <w:t>~9</w:t>
            </w:r>
            <w:r>
              <w:rPr>
                <w:rFonts w:hint="eastAsia" w:ascii="Times New Roman" w:eastAsia="等线"/>
              </w:rPr>
              <w:t>/上中</w:t>
            </w:r>
          </w:p>
        </w:tc>
        <w:tc>
          <w:tcPr>
            <w:tcW w:w="1028"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35</w:t>
            </w:r>
            <w:r>
              <w:rPr>
                <w:rFonts w:hint="eastAsia" w:ascii="Times New Roman"/>
                <w:color w:val="000000"/>
                <w:szCs w:val="21"/>
              </w:rPr>
              <w:t>~</w:t>
            </w:r>
            <w:r>
              <w:rPr>
                <w:rFonts w:ascii="Times New Roman"/>
                <w:color w:val="000000"/>
                <w:szCs w:val="21"/>
              </w:rPr>
              <w:t>40</w:t>
            </w:r>
          </w:p>
        </w:tc>
        <w:tc>
          <w:tcPr>
            <w:tcW w:w="1697"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eastAsia="等线"/>
              </w:rPr>
              <w:t>9/</w:t>
            </w:r>
            <w:r>
              <w:rPr>
                <w:rFonts w:hint="eastAsia" w:ascii="Times New Roman" w:eastAsia="等线"/>
              </w:rPr>
              <w:t>下至</w:t>
            </w:r>
            <w:r>
              <w:rPr>
                <w:rFonts w:ascii="Times New Roman" w:eastAsia="等线"/>
              </w:rPr>
              <w:t>10</w:t>
            </w:r>
            <w:r>
              <w:rPr>
                <w:rFonts w:hint="eastAsia" w:ascii="Times New Roman" w:eastAsia="等线"/>
              </w:rPr>
              <w:t>/</w:t>
            </w:r>
            <w:r>
              <w:rPr>
                <w:rFonts w:ascii="Times New Roman" w:eastAsia="等线"/>
              </w:rPr>
              <w:t>上</w:t>
            </w:r>
          </w:p>
        </w:tc>
        <w:tc>
          <w:tcPr>
            <w:tcW w:w="1843"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eastAsia="等线"/>
              </w:rPr>
              <w:t>1</w:t>
            </w:r>
            <w:r>
              <w:rPr>
                <w:rFonts w:hint="eastAsia" w:ascii="Times New Roman" w:eastAsia="等线"/>
              </w:rPr>
              <w:t>/下至</w:t>
            </w:r>
            <w:r>
              <w:rPr>
                <w:rFonts w:ascii="Times New Roman" w:eastAsia="等线"/>
              </w:rPr>
              <w:t>2/</w:t>
            </w:r>
            <w:r>
              <w:rPr>
                <w:rFonts w:hint="eastAsia" w:ascii="Times New Roman" w:eastAsia="等线"/>
              </w:rPr>
              <w:t>上</w:t>
            </w:r>
          </w:p>
        </w:tc>
        <w:tc>
          <w:tcPr>
            <w:tcW w:w="1701" w:type="dxa"/>
            <w:tcBorders>
              <w:top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6/</w:t>
            </w:r>
            <w:r>
              <w:rPr>
                <w:rFonts w:hint="eastAsia" w:ascii="Times New Roman"/>
                <w:color w:val="000000"/>
                <w:szCs w:val="21"/>
              </w:rPr>
              <w:t>中下</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茄子</w:t>
            </w:r>
          </w:p>
        </w:tc>
        <w:tc>
          <w:tcPr>
            <w:tcW w:w="1311" w:type="dxa"/>
            <w:vAlign w:val="top"/>
          </w:tcPr>
          <w:p>
            <w:pPr>
              <w:pStyle w:val="46"/>
              <w:widowControl w:val="0"/>
              <w:spacing w:line="280" w:lineRule="exact"/>
              <w:ind w:firstLine="0" w:firstLineChars="0"/>
              <w:rPr>
                <w:rFonts w:ascii="Times New Roman"/>
                <w:color w:val="000000"/>
                <w:szCs w:val="21"/>
              </w:rPr>
            </w:pPr>
            <w:r>
              <w:rPr>
                <w:rFonts w:ascii="Times New Roman" w:eastAsia="等线"/>
              </w:rPr>
              <w:t>8</w:t>
            </w:r>
            <w:r>
              <w:rPr>
                <w:rFonts w:hint="eastAsia" w:ascii="Times New Roman" w:eastAsia="等线"/>
              </w:rPr>
              <w:t>/上中</w:t>
            </w:r>
          </w:p>
        </w:tc>
        <w:tc>
          <w:tcPr>
            <w:tcW w:w="1028"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50</w:t>
            </w:r>
            <w:r>
              <w:rPr>
                <w:rFonts w:hint="eastAsia" w:ascii="Times New Roman"/>
                <w:color w:val="000000"/>
                <w:szCs w:val="21"/>
              </w:rPr>
              <w:t>~</w:t>
            </w:r>
            <w:r>
              <w:rPr>
                <w:rFonts w:ascii="Times New Roman"/>
                <w:color w:val="000000"/>
                <w:szCs w:val="21"/>
              </w:rPr>
              <w:t>60</w:t>
            </w:r>
          </w:p>
        </w:tc>
        <w:tc>
          <w:tcPr>
            <w:tcW w:w="1697" w:type="dxa"/>
            <w:vAlign w:val="top"/>
          </w:tcPr>
          <w:p>
            <w:pPr>
              <w:pStyle w:val="46"/>
              <w:widowControl w:val="0"/>
              <w:spacing w:line="280" w:lineRule="exact"/>
              <w:ind w:firstLine="0" w:firstLineChars="0"/>
              <w:rPr>
                <w:rFonts w:ascii="Times New Roman"/>
                <w:color w:val="000000"/>
                <w:szCs w:val="21"/>
              </w:rPr>
            </w:pPr>
            <w:r>
              <w:rPr>
                <w:rFonts w:ascii="Times New Roman" w:eastAsia="等线"/>
              </w:rPr>
              <w:t>9/</w:t>
            </w:r>
            <w:r>
              <w:rPr>
                <w:rFonts w:hint="eastAsia" w:ascii="Times New Roman" w:eastAsia="等线"/>
              </w:rPr>
              <w:t>下至</w:t>
            </w:r>
            <w:r>
              <w:rPr>
                <w:rFonts w:ascii="Times New Roman" w:eastAsia="等线"/>
              </w:rPr>
              <w:t>10</w:t>
            </w:r>
            <w:r>
              <w:rPr>
                <w:rFonts w:hint="eastAsia" w:ascii="Times New Roman" w:eastAsia="等线"/>
              </w:rPr>
              <w:t>/</w:t>
            </w:r>
            <w:r>
              <w:rPr>
                <w:rFonts w:ascii="Times New Roman" w:eastAsia="等线"/>
              </w:rPr>
              <w:t>上</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eastAsia="等线"/>
              </w:rPr>
              <w:t>1</w:t>
            </w:r>
            <w:r>
              <w:rPr>
                <w:rFonts w:hint="eastAsia" w:ascii="Times New Roman" w:eastAsia="等线"/>
              </w:rPr>
              <w:t>/下至</w:t>
            </w:r>
            <w:r>
              <w:rPr>
                <w:rFonts w:ascii="Times New Roman" w:eastAsia="等线"/>
              </w:rPr>
              <w:t>2/</w:t>
            </w:r>
            <w:r>
              <w:rPr>
                <w:rFonts w:hint="eastAsia" w:ascii="Times New Roman" w:eastAsia="等线"/>
              </w:rPr>
              <w:t>上</w:t>
            </w:r>
          </w:p>
        </w:tc>
        <w:tc>
          <w:tcPr>
            <w:tcW w:w="170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6/</w:t>
            </w:r>
            <w:r>
              <w:rPr>
                <w:rFonts w:hint="eastAsia" w:ascii="Times New Roman"/>
                <w:color w:val="000000"/>
                <w:szCs w:val="21"/>
              </w:rPr>
              <w:t>中下</w:t>
            </w:r>
          </w:p>
        </w:tc>
      </w:tr>
      <w:tr>
        <w:tblPrEx>
          <w:tblLayout w:type="fixed"/>
          <w:tblCellMar>
            <w:top w:w="0" w:type="dxa"/>
            <w:left w:w="108" w:type="dxa"/>
            <w:bottom w:w="0" w:type="dxa"/>
            <w:right w:w="108" w:type="dxa"/>
          </w:tblCellMar>
        </w:tblPrEx>
        <w:trPr>
          <w:jc w:val="center"/>
        </w:trPr>
        <w:tc>
          <w:tcPr>
            <w:tcW w:w="692" w:type="dxa"/>
            <w:vMerge w:val="continue"/>
            <w:vAlign w:val="top"/>
          </w:tcPr>
          <w:p>
            <w:pPr>
              <w:widowControl/>
              <w:spacing w:line="280" w:lineRule="exact"/>
              <w:jc w:val="left"/>
              <w:rPr>
                <w:rFonts w:hAnsi="宋体"/>
                <w:color w:val="000000"/>
                <w:szCs w:val="21"/>
              </w:rPr>
            </w:pPr>
          </w:p>
        </w:tc>
        <w:tc>
          <w:tcPr>
            <w:tcW w:w="1084" w:type="dxa"/>
            <w:vAlign w:val="top"/>
          </w:tcPr>
          <w:p>
            <w:pPr>
              <w:widowControl/>
              <w:spacing w:line="280" w:lineRule="exact"/>
              <w:jc w:val="left"/>
              <w:rPr>
                <w:rFonts w:hAnsi="宋体"/>
                <w:color w:val="000000"/>
                <w:szCs w:val="21"/>
              </w:rPr>
            </w:pPr>
            <w:r>
              <w:rPr>
                <w:rFonts w:hint="eastAsia" w:hAnsi="宋体"/>
                <w:color w:val="000000"/>
                <w:szCs w:val="21"/>
              </w:rPr>
              <w:t>甜辣椒</w:t>
            </w:r>
          </w:p>
        </w:tc>
        <w:tc>
          <w:tcPr>
            <w:tcW w:w="1311" w:type="dxa"/>
            <w:vAlign w:val="top"/>
          </w:tcPr>
          <w:p>
            <w:pPr>
              <w:pStyle w:val="46"/>
              <w:widowControl w:val="0"/>
              <w:spacing w:line="280" w:lineRule="exact"/>
              <w:ind w:firstLine="0" w:firstLineChars="0"/>
              <w:rPr>
                <w:rFonts w:ascii="Times New Roman"/>
                <w:color w:val="000000"/>
                <w:szCs w:val="21"/>
              </w:rPr>
            </w:pPr>
            <w:r>
              <w:rPr>
                <w:rFonts w:ascii="Times New Roman" w:eastAsia="等线"/>
              </w:rPr>
              <w:t>8</w:t>
            </w:r>
            <w:r>
              <w:rPr>
                <w:rFonts w:hint="eastAsia" w:ascii="Times New Roman" w:eastAsia="等线"/>
              </w:rPr>
              <w:t>/上中</w:t>
            </w:r>
          </w:p>
        </w:tc>
        <w:tc>
          <w:tcPr>
            <w:tcW w:w="1028"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50</w:t>
            </w:r>
            <w:r>
              <w:rPr>
                <w:rFonts w:hint="eastAsia" w:ascii="Times New Roman"/>
                <w:color w:val="000000"/>
                <w:szCs w:val="21"/>
              </w:rPr>
              <w:t>~</w:t>
            </w:r>
            <w:r>
              <w:rPr>
                <w:rFonts w:ascii="Times New Roman"/>
                <w:color w:val="000000"/>
                <w:szCs w:val="21"/>
              </w:rPr>
              <w:t>60</w:t>
            </w:r>
          </w:p>
        </w:tc>
        <w:tc>
          <w:tcPr>
            <w:tcW w:w="1697" w:type="dxa"/>
            <w:vAlign w:val="top"/>
          </w:tcPr>
          <w:p>
            <w:pPr>
              <w:pStyle w:val="46"/>
              <w:widowControl w:val="0"/>
              <w:spacing w:line="280" w:lineRule="exact"/>
              <w:ind w:firstLine="0" w:firstLineChars="0"/>
              <w:rPr>
                <w:rFonts w:ascii="Times New Roman"/>
                <w:color w:val="000000"/>
                <w:szCs w:val="21"/>
              </w:rPr>
            </w:pPr>
            <w:r>
              <w:rPr>
                <w:rFonts w:ascii="Times New Roman" w:eastAsia="等线"/>
              </w:rPr>
              <w:t>9/</w:t>
            </w:r>
            <w:r>
              <w:rPr>
                <w:rFonts w:hint="eastAsia" w:ascii="Times New Roman" w:eastAsia="等线"/>
              </w:rPr>
              <w:t>下至</w:t>
            </w:r>
            <w:r>
              <w:rPr>
                <w:rFonts w:ascii="Times New Roman" w:eastAsia="等线"/>
              </w:rPr>
              <w:t>10</w:t>
            </w:r>
            <w:r>
              <w:rPr>
                <w:rFonts w:hint="eastAsia" w:ascii="Times New Roman" w:eastAsia="等线"/>
              </w:rPr>
              <w:t>/</w:t>
            </w:r>
            <w:r>
              <w:rPr>
                <w:rFonts w:ascii="Times New Roman" w:eastAsia="等线"/>
              </w:rPr>
              <w:t>上</w:t>
            </w:r>
          </w:p>
        </w:tc>
        <w:tc>
          <w:tcPr>
            <w:tcW w:w="1843" w:type="dxa"/>
            <w:vAlign w:val="top"/>
          </w:tcPr>
          <w:p>
            <w:pPr>
              <w:pStyle w:val="46"/>
              <w:widowControl w:val="0"/>
              <w:spacing w:line="280" w:lineRule="exact"/>
              <w:ind w:firstLine="0" w:firstLineChars="0"/>
              <w:rPr>
                <w:rFonts w:ascii="Times New Roman"/>
                <w:color w:val="000000"/>
                <w:szCs w:val="21"/>
              </w:rPr>
            </w:pPr>
            <w:r>
              <w:rPr>
                <w:rFonts w:ascii="Times New Roman" w:eastAsia="等线"/>
              </w:rPr>
              <w:t>1</w:t>
            </w:r>
            <w:r>
              <w:rPr>
                <w:rFonts w:hint="eastAsia" w:ascii="Times New Roman" w:eastAsia="等线"/>
              </w:rPr>
              <w:t>/下至</w:t>
            </w:r>
            <w:r>
              <w:rPr>
                <w:rFonts w:ascii="Times New Roman" w:eastAsia="等线"/>
              </w:rPr>
              <w:t>2/</w:t>
            </w:r>
            <w:r>
              <w:rPr>
                <w:rFonts w:hint="eastAsia" w:ascii="Times New Roman" w:eastAsia="等线"/>
              </w:rPr>
              <w:t>上</w:t>
            </w:r>
          </w:p>
        </w:tc>
        <w:tc>
          <w:tcPr>
            <w:tcW w:w="1701" w:type="dxa"/>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6/</w:t>
            </w:r>
            <w:r>
              <w:rPr>
                <w:rFonts w:hint="eastAsia" w:ascii="Times New Roman"/>
                <w:color w:val="000000"/>
                <w:szCs w:val="21"/>
              </w:rPr>
              <w:t>中下</w:t>
            </w:r>
          </w:p>
        </w:tc>
      </w:tr>
      <w:tr>
        <w:tblPrEx>
          <w:tblLayout w:type="fixed"/>
          <w:tblCellMar>
            <w:top w:w="0" w:type="dxa"/>
            <w:left w:w="108" w:type="dxa"/>
            <w:bottom w:w="0" w:type="dxa"/>
            <w:right w:w="108" w:type="dxa"/>
          </w:tblCellMar>
        </w:tblPrEx>
        <w:trPr>
          <w:jc w:val="center"/>
        </w:trPr>
        <w:tc>
          <w:tcPr>
            <w:tcW w:w="692" w:type="dxa"/>
            <w:vMerge w:val="continue"/>
            <w:tcBorders>
              <w:bottom w:val="single" w:color="auto" w:sz="4" w:space="0"/>
            </w:tcBorders>
            <w:vAlign w:val="top"/>
          </w:tcPr>
          <w:p>
            <w:pPr>
              <w:widowControl/>
              <w:spacing w:line="280" w:lineRule="exact"/>
              <w:jc w:val="left"/>
              <w:rPr>
                <w:rFonts w:hAnsi="宋体"/>
                <w:color w:val="000000"/>
                <w:szCs w:val="21"/>
              </w:rPr>
            </w:pPr>
          </w:p>
        </w:tc>
        <w:tc>
          <w:tcPr>
            <w:tcW w:w="1084" w:type="dxa"/>
            <w:tcBorders>
              <w:bottom w:val="single" w:color="auto" w:sz="4" w:space="0"/>
            </w:tcBorders>
            <w:vAlign w:val="top"/>
          </w:tcPr>
          <w:p>
            <w:pPr>
              <w:widowControl/>
              <w:spacing w:line="280" w:lineRule="exact"/>
              <w:jc w:val="left"/>
              <w:rPr>
                <w:rFonts w:hAnsi="宋体"/>
                <w:color w:val="000000"/>
                <w:szCs w:val="21"/>
              </w:rPr>
            </w:pPr>
            <w:r>
              <w:rPr>
                <w:rFonts w:hint="eastAsia" w:hAnsi="宋体"/>
                <w:color w:val="000000"/>
                <w:szCs w:val="21"/>
              </w:rPr>
              <w:t>黄瓜</w:t>
            </w:r>
          </w:p>
        </w:tc>
        <w:tc>
          <w:tcPr>
            <w:tcW w:w="1311"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9/</w:t>
            </w:r>
            <w:r>
              <w:rPr>
                <w:rFonts w:hint="eastAsia" w:ascii="Times New Roman"/>
                <w:color w:val="000000"/>
                <w:szCs w:val="21"/>
              </w:rPr>
              <w:t>上</w:t>
            </w:r>
          </w:p>
        </w:tc>
        <w:tc>
          <w:tcPr>
            <w:tcW w:w="1028"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30</w:t>
            </w:r>
          </w:p>
        </w:tc>
        <w:tc>
          <w:tcPr>
            <w:tcW w:w="1697"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10/</w:t>
            </w:r>
            <w:r>
              <w:rPr>
                <w:rFonts w:hint="eastAsia" w:ascii="Times New Roman"/>
                <w:color w:val="000000"/>
                <w:szCs w:val="21"/>
              </w:rPr>
              <w:t>上</w:t>
            </w:r>
          </w:p>
        </w:tc>
        <w:tc>
          <w:tcPr>
            <w:tcW w:w="1843"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1</w:t>
            </w:r>
            <w:r>
              <w:rPr>
                <w:rFonts w:hint="eastAsia" w:ascii="Times New Roman"/>
                <w:color w:val="000000"/>
                <w:szCs w:val="21"/>
              </w:rPr>
              <w:t>1</w:t>
            </w:r>
            <w:r>
              <w:rPr>
                <w:rFonts w:ascii="Times New Roman"/>
                <w:color w:val="000000"/>
                <w:szCs w:val="21"/>
              </w:rPr>
              <w:t>/</w:t>
            </w:r>
            <w:r>
              <w:rPr>
                <w:rFonts w:hint="eastAsia" w:ascii="Times New Roman"/>
                <w:color w:val="000000"/>
                <w:szCs w:val="21"/>
              </w:rPr>
              <w:t>中</w:t>
            </w:r>
          </w:p>
        </w:tc>
        <w:tc>
          <w:tcPr>
            <w:tcW w:w="1701" w:type="dxa"/>
            <w:tcBorders>
              <w:bottom w:val="single" w:color="auto" w:sz="4" w:space="0"/>
            </w:tcBorders>
            <w:vAlign w:val="top"/>
          </w:tcPr>
          <w:p>
            <w:pPr>
              <w:pStyle w:val="46"/>
              <w:widowControl w:val="0"/>
              <w:spacing w:line="280" w:lineRule="exact"/>
              <w:ind w:firstLine="0" w:firstLineChars="0"/>
              <w:rPr>
                <w:rFonts w:ascii="Times New Roman"/>
                <w:color w:val="000000"/>
                <w:szCs w:val="21"/>
              </w:rPr>
            </w:pPr>
            <w:r>
              <w:rPr>
                <w:rFonts w:ascii="Times New Roman"/>
                <w:color w:val="000000"/>
                <w:szCs w:val="21"/>
              </w:rPr>
              <w:t>6/</w:t>
            </w:r>
            <w:r>
              <w:rPr>
                <w:rFonts w:hint="eastAsia" w:ascii="Times New Roman"/>
                <w:color w:val="000000"/>
                <w:szCs w:val="21"/>
              </w:rPr>
              <w:t>上</w:t>
            </w:r>
          </w:p>
        </w:tc>
      </w:tr>
    </w:tbl>
    <w:p>
      <w:pPr>
        <w:numPr>
          <w:ilvl w:val="0"/>
          <w:numId w:val="13"/>
        </w:numPr>
        <w:rPr>
          <w:rFonts w:eastAsia="等线"/>
          <w:kern w:val="0"/>
        </w:rPr>
      </w:pPr>
    </w:p>
    <w:p>
      <w:pPr>
        <w:pStyle w:val="89"/>
        <w:spacing w:before="156" w:after="156"/>
      </w:pPr>
      <w:bookmarkStart w:id="10" w:name="_Toc29066789"/>
      <w:bookmarkStart w:id="11" w:name="_Toc95741245"/>
      <w:r>
        <w:t>集约化</w:t>
      </w:r>
      <w:r>
        <w:rPr>
          <w:rFonts w:hint="eastAsia"/>
        </w:rPr>
        <w:t>育苗</w:t>
      </w:r>
      <w:bookmarkEnd w:id="10"/>
      <w:bookmarkEnd w:id="11"/>
      <w:r>
        <w:rPr>
          <w:rFonts w:hint="eastAsia"/>
        </w:rPr>
        <w:t>技术</w:t>
      </w:r>
    </w:p>
    <w:p>
      <w:pPr>
        <w:pStyle w:val="89"/>
        <w:numPr>
          <w:ilvl w:val="0"/>
          <w:numId w:val="13"/>
        </w:numPr>
        <w:spacing w:before="156" w:after="156"/>
        <w:rPr>
          <w:szCs w:val="22"/>
        </w:rPr>
      </w:pPr>
      <w:bookmarkStart w:id="12" w:name="_Toc95741246"/>
      <w:bookmarkStart w:id="13" w:name="_Toc29066788"/>
      <w:r>
        <w:rPr>
          <w:szCs w:val="22"/>
        </w:rPr>
        <w:t>5.1</w:t>
      </w:r>
      <w:r>
        <w:rPr>
          <w:rFonts w:hint="eastAsia"/>
          <w:szCs w:val="22"/>
        </w:rPr>
        <w:t>品种选择</w:t>
      </w:r>
      <w:bookmarkEnd w:id="12"/>
      <w:bookmarkEnd w:id="13"/>
    </w:p>
    <w:p>
      <w:pPr>
        <w:numPr>
          <w:ilvl w:val="0"/>
          <w:numId w:val="13"/>
        </w:numPr>
        <w:ind w:firstLine="420" w:firstLineChars="200"/>
        <w:rPr>
          <w:rFonts w:ascii="宋体" w:hAnsi="宋体"/>
          <w:kern w:val="0"/>
        </w:rPr>
      </w:pPr>
      <w:r>
        <w:rPr>
          <w:rFonts w:hint="eastAsia" w:ascii="宋体" w:hAnsi="宋体"/>
          <w:kern w:val="0"/>
        </w:rPr>
        <w:t>根据品种、季节及茬口安排，选用抗病、优质、高产、商品性好、适合市场需求的蔬菜品种。</w:t>
      </w:r>
    </w:p>
    <w:p>
      <w:pPr>
        <w:numPr>
          <w:ilvl w:val="0"/>
          <w:numId w:val="13"/>
        </w:numPr>
        <w:ind w:firstLine="420" w:firstLineChars="200"/>
        <w:rPr>
          <w:rFonts w:ascii="宋体" w:hAnsi="宋体"/>
          <w:kern w:val="0"/>
        </w:rPr>
      </w:pPr>
      <w:r>
        <w:rPr>
          <w:rFonts w:hint="eastAsia" w:ascii="宋体" w:hAnsi="宋体"/>
          <w:kern w:val="0"/>
        </w:rPr>
        <w:t>选用种子应符合 GB 16715 规定的质量标准。</w:t>
      </w:r>
    </w:p>
    <w:p>
      <w:pPr>
        <w:pStyle w:val="89"/>
        <w:numPr>
          <w:ilvl w:val="0"/>
          <w:numId w:val="13"/>
        </w:numPr>
        <w:spacing w:before="156" w:after="156"/>
        <w:rPr>
          <w:szCs w:val="22"/>
        </w:rPr>
      </w:pPr>
      <w:bookmarkStart w:id="14" w:name="_Toc95741247"/>
      <w:r>
        <w:rPr>
          <w:szCs w:val="22"/>
        </w:rPr>
        <w:t>5.1育苗方式</w:t>
      </w:r>
      <w:bookmarkEnd w:id="14"/>
    </w:p>
    <w:p>
      <w:pPr>
        <w:numPr>
          <w:ilvl w:val="0"/>
          <w:numId w:val="13"/>
        </w:numPr>
        <w:ind w:firstLine="420" w:firstLineChars="200"/>
        <w:rPr>
          <w:rFonts w:ascii="宋体" w:hAnsi="宋体"/>
          <w:kern w:val="0"/>
        </w:rPr>
      </w:pPr>
      <w:r>
        <w:rPr>
          <w:rFonts w:ascii="宋体" w:hAnsi="宋体"/>
          <w:kern w:val="0"/>
        </w:rPr>
        <w:t>宜采用集约化育苗</w:t>
      </w:r>
      <w:r>
        <w:rPr>
          <w:rFonts w:hint="eastAsia" w:ascii="宋体" w:hAnsi="宋体"/>
          <w:kern w:val="0"/>
        </w:rPr>
        <w:t>方式，育苗场可利用播种机播种</w:t>
      </w:r>
      <w:r>
        <w:rPr>
          <w:rFonts w:ascii="宋体" w:hAnsi="宋体"/>
          <w:kern w:val="0"/>
        </w:rPr>
        <w:t>。</w:t>
      </w:r>
    </w:p>
    <w:p>
      <w:pPr>
        <w:pStyle w:val="89"/>
        <w:numPr>
          <w:ilvl w:val="0"/>
          <w:numId w:val="13"/>
        </w:numPr>
        <w:spacing w:before="156" w:after="156"/>
        <w:rPr>
          <w:szCs w:val="22"/>
        </w:rPr>
      </w:pPr>
      <w:bookmarkStart w:id="15" w:name="_Toc95741248"/>
      <w:r>
        <w:rPr>
          <w:szCs w:val="22"/>
        </w:rPr>
        <w:t>5.2育苗设施</w:t>
      </w:r>
      <w:bookmarkEnd w:id="15"/>
    </w:p>
    <w:p>
      <w:pPr>
        <w:numPr>
          <w:ilvl w:val="0"/>
          <w:numId w:val="13"/>
        </w:numPr>
        <w:ind w:firstLine="420" w:firstLineChars="200"/>
        <w:rPr>
          <w:rFonts w:ascii="宋体" w:hAnsi="宋体"/>
          <w:kern w:val="0"/>
        </w:rPr>
      </w:pPr>
      <w:r>
        <w:rPr>
          <w:rFonts w:ascii="宋体" w:hAnsi="宋体"/>
          <w:kern w:val="0"/>
        </w:rPr>
        <w:t>根据季节不同选用温室、大棚等育苗设施，夏秋季育苗应配有防虫遮阳设施，放风口及门口安装40~60目防虫网；播种前7~10天进行育苗设施消毒</w:t>
      </w:r>
      <w:r>
        <w:rPr>
          <w:rFonts w:hint="eastAsia" w:ascii="宋体" w:hAnsi="宋体"/>
          <w:kern w:val="0"/>
        </w:rPr>
        <w:t>及</w:t>
      </w:r>
      <w:r>
        <w:rPr>
          <w:rFonts w:ascii="宋体" w:hAnsi="宋体"/>
          <w:kern w:val="0"/>
        </w:rPr>
        <w:t>铺设。</w:t>
      </w:r>
    </w:p>
    <w:p>
      <w:pPr>
        <w:pStyle w:val="89"/>
        <w:numPr>
          <w:ilvl w:val="0"/>
          <w:numId w:val="13"/>
        </w:numPr>
        <w:spacing w:before="156" w:after="156"/>
        <w:rPr>
          <w:szCs w:val="22"/>
        </w:rPr>
      </w:pPr>
      <w:bookmarkStart w:id="16" w:name="_Toc95741249"/>
      <w:r>
        <w:rPr>
          <w:szCs w:val="22"/>
        </w:rPr>
        <w:t>5.3</w:t>
      </w:r>
      <w:bookmarkEnd w:id="16"/>
      <w:bookmarkStart w:id="17" w:name="_Toc95741250"/>
      <w:r>
        <w:rPr>
          <w:rFonts w:hint="eastAsia"/>
          <w:szCs w:val="22"/>
        </w:rPr>
        <w:t>育苗</w:t>
      </w:r>
      <w:bookmarkEnd w:id="17"/>
    </w:p>
    <w:p>
      <w:pPr>
        <w:numPr>
          <w:ilvl w:val="0"/>
          <w:numId w:val="13"/>
        </w:numPr>
        <w:ind w:firstLine="420" w:firstLineChars="200"/>
        <w:rPr>
          <w:rFonts w:ascii="宋体" w:hAnsi="宋体"/>
          <w:kern w:val="0"/>
        </w:rPr>
      </w:pPr>
      <w:r>
        <w:rPr>
          <w:rFonts w:hint="eastAsia" w:ascii="宋体" w:hAnsi="宋体"/>
          <w:kern w:val="0"/>
        </w:rPr>
        <w:t>蔬菜穴盘育苗应符合</w:t>
      </w:r>
      <w:r>
        <w:rPr>
          <w:rFonts w:ascii="宋体" w:hAnsi="宋体"/>
          <w:kern w:val="0"/>
        </w:rPr>
        <w:t xml:space="preserve">NY/T 2119-2012 </w:t>
      </w:r>
      <w:r>
        <w:rPr>
          <w:rFonts w:hint="eastAsia" w:ascii="宋体" w:hAnsi="宋体"/>
          <w:kern w:val="0"/>
        </w:rPr>
        <w:t>蔬菜穴盘育苗通则。</w:t>
      </w:r>
    </w:p>
    <w:p>
      <w:pPr>
        <w:numPr>
          <w:ilvl w:val="0"/>
          <w:numId w:val="13"/>
        </w:numPr>
        <w:ind w:firstLine="420" w:firstLineChars="200"/>
        <w:rPr>
          <w:rFonts w:hint="eastAsia" w:ascii="等线" w:hAnsi="等线" w:eastAsia="等线"/>
          <w:kern w:val="0"/>
        </w:rPr>
      </w:pPr>
      <w:r>
        <w:rPr>
          <w:rFonts w:hint="eastAsia" w:ascii="宋体" w:hAnsi="宋体"/>
          <w:kern w:val="0"/>
        </w:rPr>
        <w:t>茄果类蔬菜穴盘育苗应符合</w:t>
      </w:r>
      <w:r>
        <w:rPr>
          <w:rFonts w:ascii="宋体" w:hAnsi="宋体"/>
          <w:kern w:val="0"/>
        </w:rPr>
        <w:t xml:space="preserve">NY/T 2312-2013 </w:t>
      </w:r>
      <w:r>
        <w:rPr>
          <w:rFonts w:hint="eastAsia" w:ascii="宋体" w:hAnsi="宋体"/>
          <w:kern w:val="0"/>
        </w:rPr>
        <w:t>茄果类蔬菜穴盘育苗技术规程。</w:t>
      </w:r>
    </w:p>
    <w:p>
      <w:pPr>
        <w:numPr>
          <w:ilvl w:val="0"/>
          <w:numId w:val="13"/>
        </w:numPr>
        <w:ind w:firstLine="420" w:firstLineChars="200"/>
        <w:rPr>
          <w:rFonts w:ascii="等线" w:hAnsi="等线" w:eastAsia="等线"/>
          <w:kern w:val="0"/>
        </w:rPr>
      </w:pPr>
      <w:r>
        <w:rPr>
          <w:rFonts w:hint="eastAsia" w:ascii="宋体" w:hAnsi="宋体"/>
          <w:kern w:val="0"/>
        </w:rPr>
        <w:t>选用水肥一体化方式，减少化学肥料分解释放的温室气体排放。</w:t>
      </w:r>
    </w:p>
    <w:p>
      <w:pPr>
        <w:pStyle w:val="89"/>
        <w:numPr>
          <w:ilvl w:val="0"/>
          <w:numId w:val="13"/>
        </w:numPr>
        <w:spacing w:before="156" w:after="156"/>
        <w:rPr>
          <w:szCs w:val="22"/>
        </w:rPr>
      </w:pPr>
      <w:bookmarkStart w:id="18" w:name="_Toc95741251"/>
      <w:r>
        <w:rPr>
          <w:szCs w:val="22"/>
        </w:rPr>
        <w:t>6 授粉</w:t>
      </w:r>
      <w:bookmarkEnd w:id="18"/>
      <w:r>
        <w:rPr>
          <w:rFonts w:hint="eastAsia"/>
          <w:szCs w:val="22"/>
        </w:rPr>
        <w:t>技术</w:t>
      </w:r>
    </w:p>
    <w:p>
      <w:pPr>
        <w:numPr>
          <w:ilvl w:val="0"/>
          <w:numId w:val="13"/>
        </w:numPr>
        <w:ind w:firstLine="420" w:firstLineChars="200"/>
        <w:rPr>
          <w:rFonts w:ascii="宋体" w:hAnsi="宋体"/>
          <w:kern w:val="0"/>
        </w:rPr>
      </w:pPr>
      <w:r>
        <w:rPr>
          <w:rFonts w:hint="eastAsia" w:ascii="宋体" w:hAnsi="宋体"/>
          <w:kern w:val="0"/>
        </w:rPr>
        <w:t>番茄、甜</w:t>
      </w:r>
      <w:r>
        <w:rPr>
          <w:rFonts w:hint="eastAsia" w:ascii="宋体" w:hAnsi="宋体"/>
          <w:kern w:val="0"/>
          <w:lang w:eastAsia="zh-CN"/>
        </w:rPr>
        <w:t>瓜、</w:t>
      </w:r>
      <w:r>
        <w:rPr>
          <w:rFonts w:hint="eastAsia" w:ascii="宋体" w:hAnsi="宋体"/>
          <w:kern w:val="0"/>
        </w:rPr>
        <w:t>辣椒</w:t>
      </w:r>
      <w:r>
        <w:rPr>
          <w:rFonts w:hint="eastAsia" w:ascii="宋体" w:hAnsi="宋体"/>
          <w:kern w:val="0"/>
          <w:lang w:eastAsia="zh-CN"/>
        </w:rPr>
        <w:t>等</w:t>
      </w:r>
      <w:r>
        <w:rPr>
          <w:rFonts w:ascii="宋体" w:hAnsi="宋体"/>
          <w:kern w:val="0"/>
        </w:rPr>
        <w:t>推荐使用熊蜂授粉和番茄电动授粉器授粉</w:t>
      </w:r>
      <w:r>
        <w:rPr>
          <w:rFonts w:hint="eastAsia" w:ascii="宋体" w:hAnsi="宋体"/>
          <w:kern w:val="0"/>
        </w:rPr>
        <w:t>，尽量避免使用化学药物，以减少其分解产生的温室气体排放。</w:t>
      </w:r>
    </w:p>
    <w:p>
      <w:pPr>
        <w:pStyle w:val="89"/>
        <w:numPr>
          <w:ilvl w:val="0"/>
          <w:numId w:val="13"/>
        </w:numPr>
        <w:spacing w:before="156" w:after="156"/>
        <w:rPr>
          <w:szCs w:val="22"/>
        </w:rPr>
      </w:pPr>
      <w:bookmarkStart w:id="19" w:name="_Toc95741252"/>
      <w:r>
        <w:rPr>
          <w:szCs w:val="22"/>
        </w:rPr>
        <w:t>6.1熊蜂授粉</w:t>
      </w:r>
      <w:bookmarkEnd w:id="19"/>
    </w:p>
    <w:p>
      <w:pPr>
        <w:numPr>
          <w:ilvl w:val="0"/>
          <w:numId w:val="13"/>
        </w:numPr>
        <w:ind w:firstLine="420" w:firstLineChars="200"/>
        <w:rPr>
          <w:rFonts w:ascii="宋体" w:hAnsi="宋体"/>
          <w:kern w:val="0"/>
        </w:rPr>
      </w:pPr>
      <w:r>
        <w:rPr>
          <w:rFonts w:hint="eastAsia" w:ascii="宋体" w:hAnsi="宋体"/>
          <w:kern w:val="0"/>
        </w:rPr>
        <w:t>温室番茄熊蜂授粉遵照NY/T 3045-2016 《设施番茄熊蜂授粉技术规程》中华人民共和国农业部标准执行。</w:t>
      </w:r>
    </w:p>
    <w:p>
      <w:pPr>
        <w:numPr>
          <w:ilvl w:val="0"/>
          <w:numId w:val="13"/>
        </w:numPr>
        <w:ind w:firstLine="420" w:firstLineChars="200"/>
        <w:rPr>
          <w:rFonts w:ascii="宋体" w:hAnsi="宋体"/>
          <w:kern w:val="0"/>
        </w:rPr>
      </w:pPr>
      <w:r>
        <w:rPr>
          <w:rFonts w:hint="eastAsia" w:ascii="宋体" w:hAnsi="宋体"/>
          <w:kern w:val="0"/>
        </w:rPr>
        <w:t>温室甜瓜熊蜂授粉遵照DB13/T 2154-2014 《设施甜瓜熊蜂授粉技术规程》河北省质量技术监督局标准执行。</w:t>
      </w:r>
    </w:p>
    <w:p>
      <w:pPr>
        <w:pStyle w:val="89"/>
        <w:numPr>
          <w:ilvl w:val="0"/>
          <w:numId w:val="13"/>
        </w:numPr>
        <w:spacing w:before="156" w:after="156"/>
        <w:rPr>
          <w:szCs w:val="22"/>
        </w:rPr>
      </w:pPr>
      <w:bookmarkStart w:id="20" w:name="_Toc95741253"/>
      <w:r>
        <w:rPr>
          <w:szCs w:val="22"/>
        </w:rPr>
        <w:t>6.2  番茄电动授粉器授粉</w:t>
      </w:r>
      <w:bookmarkEnd w:id="20"/>
    </w:p>
    <w:p>
      <w:pPr>
        <w:pStyle w:val="89"/>
        <w:numPr>
          <w:ilvl w:val="0"/>
          <w:numId w:val="13"/>
        </w:numPr>
        <w:spacing w:before="156" w:after="156"/>
        <w:rPr>
          <w:szCs w:val="22"/>
        </w:rPr>
      </w:pPr>
      <w:bookmarkStart w:id="21" w:name="_Toc95741254"/>
      <w:r>
        <w:rPr>
          <w:rFonts w:hint="eastAsia"/>
          <w:szCs w:val="22"/>
          <w:lang w:val="en-US" w:eastAsia="zh-CN"/>
        </w:rPr>
        <w:t xml:space="preserve">  </w:t>
      </w:r>
      <w:r>
        <w:rPr>
          <w:rFonts w:hint="eastAsia"/>
          <w:szCs w:val="22"/>
        </w:rPr>
        <w:t>6</w:t>
      </w:r>
      <w:r>
        <w:rPr>
          <w:szCs w:val="22"/>
        </w:rPr>
        <w:t>.2.1锂电型电动授粉器使用方法</w:t>
      </w:r>
      <w:bookmarkEnd w:id="21"/>
    </w:p>
    <w:p>
      <w:pPr>
        <w:numPr>
          <w:ilvl w:val="0"/>
          <w:numId w:val="13"/>
        </w:numPr>
        <w:ind w:firstLine="420" w:firstLineChars="200"/>
        <w:rPr>
          <w:rFonts w:ascii="宋体" w:hAnsi="宋体"/>
          <w:kern w:val="0"/>
        </w:rPr>
      </w:pPr>
      <w:r>
        <w:rPr>
          <w:rFonts w:ascii="宋体" w:hAnsi="宋体"/>
          <w:kern w:val="0"/>
        </w:rPr>
        <w:t>打开授粉器电源开关，将授粉器的振动钢针在花穗柄部轻触0.5~1秒钟，一触即可，注意不要直接放到花朵或果实上，以免造成伤害。</w:t>
      </w:r>
    </w:p>
    <w:p>
      <w:pPr>
        <w:pStyle w:val="89"/>
        <w:numPr>
          <w:ilvl w:val="0"/>
          <w:numId w:val="13"/>
        </w:numPr>
        <w:spacing w:before="156" w:after="156"/>
        <w:rPr>
          <w:szCs w:val="22"/>
        </w:rPr>
      </w:pPr>
      <w:bookmarkStart w:id="22" w:name="_Toc95741255"/>
      <w:r>
        <w:rPr>
          <w:rFonts w:hint="eastAsia"/>
          <w:szCs w:val="22"/>
          <w:lang w:val="en-US" w:eastAsia="zh-CN"/>
        </w:rPr>
        <w:t xml:space="preserve">  </w:t>
      </w:r>
      <w:r>
        <w:rPr>
          <w:rFonts w:hint="eastAsia"/>
          <w:szCs w:val="22"/>
        </w:rPr>
        <w:t>6</w:t>
      </w:r>
      <w:r>
        <w:rPr>
          <w:szCs w:val="22"/>
        </w:rPr>
        <w:t>.2.2授粉时间</w:t>
      </w:r>
      <w:bookmarkEnd w:id="22"/>
    </w:p>
    <w:p>
      <w:pPr>
        <w:numPr>
          <w:ilvl w:val="0"/>
          <w:numId w:val="13"/>
        </w:numPr>
        <w:ind w:firstLine="420" w:firstLineChars="200"/>
        <w:rPr>
          <w:rFonts w:ascii="宋体" w:hAnsi="宋体"/>
          <w:kern w:val="0"/>
        </w:rPr>
      </w:pPr>
      <w:r>
        <w:rPr>
          <w:rFonts w:ascii="宋体" w:hAnsi="宋体"/>
          <w:kern w:val="0"/>
        </w:rPr>
        <w:t>上午9:00到下午3:00之间。</w:t>
      </w:r>
    </w:p>
    <w:p>
      <w:pPr>
        <w:pStyle w:val="89"/>
        <w:numPr>
          <w:ilvl w:val="0"/>
          <w:numId w:val="13"/>
        </w:numPr>
        <w:spacing w:before="156" w:after="156"/>
        <w:rPr>
          <w:szCs w:val="22"/>
        </w:rPr>
      </w:pPr>
      <w:bookmarkStart w:id="23" w:name="_Toc95741256"/>
      <w:r>
        <w:rPr>
          <w:rFonts w:hint="eastAsia"/>
          <w:szCs w:val="22"/>
          <w:lang w:val="en-US" w:eastAsia="zh-CN"/>
        </w:rPr>
        <w:t xml:space="preserve">  </w:t>
      </w:r>
      <w:r>
        <w:rPr>
          <w:rFonts w:hint="eastAsia"/>
          <w:szCs w:val="22"/>
        </w:rPr>
        <w:t>6</w:t>
      </w:r>
      <w:r>
        <w:rPr>
          <w:szCs w:val="22"/>
        </w:rPr>
        <w:t>.2.3授粉次数</w:t>
      </w:r>
      <w:bookmarkEnd w:id="23"/>
    </w:p>
    <w:p>
      <w:pPr>
        <w:numPr>
          <w:ilvl w:val="0"/>
          <w:numId w:val="13"/>
        </w:numPr>
        <w:ind w:firstLine="420" w:firstLineChars="200"/>
        <w:rPr>
          <w:rFonts w:ascii="宋体" w:hAnsi="宋体"/>
          <w:kern w:val="0"/>
        </w:rPr>
      </w:pPr>
      <w:r>
        <w:rPr>
          <w:rFonts w:ascii="宋体" w:hAnsi="宋体"/>
          <w:kern w:val="0"/>
        </w:rPr>
        <w:t>2~3天一次，可根据开花生长情况灵活掌握。</w:t>
      </w:r>
    </w:p>
    <w:p>
      <w:pPr>
        <w:pStyle w:val="89"/>
        <w:numPr>
          <w:ilvl w:val="0"/>
          <w:numId w:val="13"/>
        </w:numPr>
        <w:spacing w:before="156" w:after="156"/>
        <w:rPr>
          <w:szCs w:val="22"/>
        </w:rPr>
      </w:pPr>
      <w:bookmarkStart w:id="24" w:name="_Toc95741257"/>
      <w:r>
        <w:rPr>
          <w:szCs w:val="22"/>
        </w:rPr>
        <w:t xml:space="preserve">6.3 </w:t>
      </w:r>
      <w:r>
        <w:rPr>
          <w:rFonts w:hint="eastAsia"/>
          <w:szCs w:val="22"/>
        </w:rPr>
        <w:t>人工授粉</w:t>
      </w:r>
      <w:bookmarkEnd w:id="24"/>
    </w:p>
    <w:p>
      <w:pPr>
        <w:numPr>
          <w:ilvl w:val="0"/>
          <w:numId w:val="13"/>
        </w:numPr>
        <w:ind w:firstLine="420" w:firstLineChars="200"/>
        <w:rPr>
          <w:rFonts w:ascii="宋体" w:hAnsi="宋体"/>
          <w:kern w:val="0"/>
        </w:rPr>
      </w:pPr>
      <w:r>
        <w:rPr>
          <w:rFonts w:hint="eastAsia" w:ascii="宋体" w:hAnsi="宋体"/>
          <w:kern w:val="0"/>
        </w:rPr>
        <w:t>设施甜瓜也可进行人工授粉，于晴日上午9~</w:t>
      </w:r>
      <w:r>
        <w:rPr>
          <w:rFonts w:ascii="宋体" w:hAnsi="宋体"/>
          <w:kern w:val="0"/>
        </w:rPr>
        <w:t>10</w:t>
      </w:r>
      <w:r>
        <w:rPr>
          <w:rFonts w:hint="eastAsia" w:ascii="宋体" w:hAnsi="宋体"/>
          <w:kern w:val="0"/>
        </w:rPr>
        <w:t>时进行，1朵雄花可为2~</w:t>
      </w:r>
      <w:r>
        <w:rPr>
          <w:rFonts w:ascii="宋体" w:hAnsi="宋体"/>
          <w:kern w:val="0"/>
        </w:rPr>
        <w:t>4</w:t>
      </w:r>
      <w:r>
        <w:rPr>
          <w:rFonts w:hint="eastAsia" w:ascii="宋体" w:hAnsi="宋体"/>
          <w:kern w:val="0"/>
        </w:rPr>
        <w:t>朵雌花授粉，或将花粉采集于小玻璃器皿內，用干燥毛笔蘸花粉往柱头上涂抹。</w:t>
      </w:r>
    </w:p>
    <w:p>
      <w:pPr>
        <w:pStyle w:val="89"/>
        <w:numPr>
          <w:ilvl w:val="0"/>
          <w:numId w:val="13"/>
        </w:numPr>
        <w:spacing w:before="156" w:after="156"/>
        <w:rPr>
          <w:szCs w:val="22"/>
        </w:rPr>
      </w:pPr>
      <w:bookmarkStart w:id="25" w:name="_Toc95741258"/>
      <w:r>
        <w:rPr>
          <w:szCs w:val="22"/>
        </w:rPr>
        <w:t xml:space="preserve">6.4 </w:t>
      </w:r>
      <w:r>
        <w:rPr>
          <w:rFonts w:hint="eastAsia"/>
          <w:szCs w:val="22"/>
        </w:rPr>
        <w:t>植物</w:t>
      </w:r>
      <w:r>
        <w:rPr>
          <w:szCs w:val="22"/>
        </w:rPr>
        <w:t>生长调节剂</w:t>
      </w:r>
      <w:r>
        <w:rPr>
          <w:rFonts w:hint="eastAsia"/>
          <w:szCs w:val="22"/>
        </w:rPr>
        <w:t>授粉</w:t>
      </w:r>
      <w:bookmarkEnd w:id="25"/>
    </w:p>
    <w:p>
      <w:pPr>
        <w:numPr>
          <w:ilvl w:val="0"/>
          <w:numId w:val="13"/>
        </w:numPr>
        <w:ind w:firstLine="420" w:firstLineChars="200"/>
        <w:rPr>
          <w:rFonts w:ascii="宋体" w:hAnsi="宋体"/>
          <w:kern w:val="0"/>
        </w:rPr>
      </w:pPr>
      <w:r>
        <w:rPr>
          <w:rFonts w:hint="eastAsia" w:ascii="宋体" w:hAnsi="宋体"/>
          <w:kern w:val="0"/>
        </w:rPr>
        <w:t>冬季设施内气温不足</w:t>
      </w:r>
      <w:r>
        <w:rPr>
          <w:rFonts w:ascii="宋体" w:hAnsi="宋体"/>
          <w:kern w:val="0"/>
        </w:rPr>
        <w:t>13°C</w:t>
      </w:r>
      <w:r>
        <w:rPr>
          <w:rFonts w:hint="eastAsia" w:ascii="宋体" w:hAnsi="宋体"/>
          <w:kern w:val="0"/>
        </w:rPr>
        <w:t>、夏季气温高于3</w:t>
      </w:r>
      <w:r>
        <w:rPr>
          <w:rFonts w:ascii="宋体" w:hAnsi="宋体"/>
          <w:kern w:val="0"/>
        </w:rPr>
        <w:t>0°C</w:t>
      </w:r>
      <w:r>
        <w:rPr>
          <w:rFonts w:hint="eastAsia" w:ascii="宋体" w:hAnsi="宋体"/>
          <w:kern w:val="0"/>
        </w:rPr>
        <w:t>时，利用</w:t>
      </w:r>
      <w:r>
        <w:rPr>
          <w:rFonts w:hint="eastAsia" w:ascii="宋体" w:hAnsi="宋体"/>
          <w:kern w:val="0"/>
          <w:lang w:eastAsia="zh-CN"/>
        </w:rPr>
        <w:t>植物</w:t>
      </w:r>
      <w:r>
        <w:rPr>
          <w:rFonts w:hint="eastAsia" w:ascii="宋体" w:hAnsi="宋体"/>
          <w:kern w:val="0"/>
        </w:rPr>
        <w:t>生长调节剂保花保果。</w:t>
      </w:r>
    </w:p>
    <w:p>
      <w:pPr>
        <w:pStyle w:val="89"/>
        <w:numPr>
          <w:ilvl w:val="0"/>
          <w:numId w:val="13"/>
        </w:numPr>
        <w:spacing w:before="156" w:after="156"/>
        <w:rPr>
          <w:szCs w:val="22"/>
        </w:rPr>
      </w:pPr>
      <w:bookmarkStart w:id="26" w:name="_Toc95741259"/>
      <w:r>
        <w:rPr>
          <w:rFonts w:hint="eastAsia"/>
          <w:szCs w:val="22"/>
        </w:rPr>
        <w:t>7</w:t>
      </w:r>
      <w:r>
        <w:rPr>
          <w:szCs w:val="22"/>
        </w:rPr>
        <w:t>施肥</w:t>
      </w:r>
      <w:bookmarkEnd w:id="26"/>
      <w:r>
        <w:rPr>
          <w:rFonts w:hint="eastAsia"/>
          <w:szCs w:val="22"/>
        </w:rPr>
        <w:t>技术</w:t>
      </w:r>
    </w:p>
    <w:p>
      <w:pPr>
        <w:pStyle w:val="89"/>
        <w:numPr>
          <w:ilvl w:val="0"/>
          <w:numId w:val="13"/>
        </w:numPr>
        <w:spacing w:before="156" w:after="156"/>
        <w:rPr>
          <w:szCs w:val="22"/>
        </w:rPr>
      </w:pPr>
      <w:bookmarkStart w:id="27" w:name="_Toc95741260"/>
      <w:r>
        <w:rPr>
          <w:rFonts w:hint="eastAsia"/>
          <w:szCs w:val="22"/>
          <w:lang w:val="en-US" w:eastAsia="zh-CN"/>
        </w:rPr>
        <w:t xml:space="preserve">  </w:t>
      </w:r>
      <w:r>
        <w:rPr>
          <w:szCs w:val="22"/>
        </w:rPr>
        <w:t>7.1施肥量</w:t>
      </w:r>
      <w:bookmarkEnd w:id="27"/>
    </w:p>
    <w:p>
      <w:pPr>
        <w:pStyle w:val="46"/>
        <w:ind w:firstLine="420"/>
        <w:rPr>
          <w:rFonts w:hAnsi="宋体"/>
          <w:szCs w:val="21"/>
          <w:lang w:bidi="ar"/>
        </w:rPr>
      </w:pPr>
      <w:r>
        <w:rPr>
          <w:rFonts w:hAnsi="宋体"/>
          <w:szCs w:val="21"/>
          <w:lang w:bidi="ar"/>
        </w:rPr>
        <w:t>根据</w:t>
      </w:r>
      <w:r>
        <w:rPr>
          <w:rFonts w:hint="eastAsia" w:hAnsi="宋体"/>
          <w:szCs w:val="24"/>
        </w:rPr>
        <w:t>设施</w:t>
      </w:r>
      <w:r>
        <w:rPr>
          <w:rFonts w:hAnsi="宋体"/>
          <w:szCs w:val="21"/>
          <w:lang w:bidi="ar"/>
        </w:rPr>
        <w:t>蔬菜种类、目标产量</w:t>
      </w:r>
      <w:r>
        <w:rPr>
          <w:rFonts w:hint="eastAsia" w:hAnsi="宋体"/>
          <w:szCs w:val="21"/>
          <w:lang w:bidi="ar"/>
        </w:rPr>
        <w:t>、</w:t>
      </w:r>
      <w:r>
        <w:rPr>
          <w:rFonts w:hAnsi="宋体"/>
          <w:szCs w:val="21"/>
          <w:lang w:bidi="ar"/>
        </w:rPr>
        <w:t>肥力水平和</w:t>
      </w:r>
      <w:r>
        <w:rPr>
          <w:rFonts w:hint="eastAsia" w:hAnsi="宋体"/>
          <w:szCs w:val="21"/>
          <w:lang w:bidi="ar"/>
        </w:rPr>
        <w:t>种植茬口</w:t>
      </w:r>
      <w:r>
        <w:rPr>
          <w:rFonts w:hAnsi="宋体"/>
          <w:szCs w:val="21"/>
          <w:lang w:bidi="ar"/>
        </w:rPr>
        <w:t>确定</w:t>
      </w:r>
      <w:r>
        <w:rPr>
          <w:rFonts w:hint="eastAsia" w:hAnsi="宋体"/>
          <w:szCs w:val="21"/>
          <w:lang w:bidi="ar"/>
        </w:rPr>
        <w:t>施肥量，氮磷钾施肥量和有机肥用量按照</w:t>
      </w:r>
      <w:r>
        <w:rPr>
          <w:rFonts w:hint="eastAsia" w:hAnsi="宋体"/>
        </w:rPr>
        <w:t>NY/T 496</w:t>
      </w:r>
      <w:r>
        <w:rPr>
          <w:rFonts w:hint="eastAsia" w:hAnsi="宋体"/>
          <w:szCs w:val="21"/>
          <w:lang w:bidi="ar"/>
        </w:rPr>
        <w:t>执行，施肥量</w:t>
      </w:r>
      <w:r>
        <w:rPr>
          <w:rFonts w:hAnsi="宋体"/>
          <w:szCs w:val="21"/>
          <w:lang w:bidi="ar"/>
        </w:rPr>
        <w:t>10%~30%氮肥、40%~60%磷肥、20%~40%钾肥在</w:t>
      </w:r>
      <w:r>
        <w:rPr>
          <w:rFonts w:hint="eastAsia" w:hAnsi="宋体"/>
          <w:szCs w:val="21"/>
          <w:lang w:bidi="ar"/>
        </w:rPr>
        <w:t>蔬菜</w:t>
      </w:r>
      <w:r>
        <w:rPr>
          <w:rFonts w:hAnsi="宋体"/>
          <w:szCs w:val="21"/>
          <w:lang w:bidi="ar"/>
        </w:rPr>
        <w:t>定植</w:t>
      </w:r>
      <w:r>
        <w:rPr>
          <w:rFonts w:hint="eastAsia" w:hAnsi="宋体"/>
          <w:szCs w:val="21"/>
          <w:lang w:bidi="ar"/>
        </w:rPr>
        <w:t xml:space="preserve">前作为基肥施入，其余为追肥。 </w:t>
      </w:r>
      <w:r>
        <w:rPr>
          <w:rFonts w:hAnsi="宋体"/>
          <w:szCs w:val="21"/>
          <w:lang w:bidi="ar"/>
        </w:rPr>
        <w:t xml:space="preserve">  </w:t>
      </w:r>
    </w:p>
    <w:p>
      <w:pPr>
        <w:pStyle w:val="89"/>
        <w:numPr>
          <w:ilvl w:val="0"/>
          <w:numId w:val="13"/>
        </w:numPr>
        <w:spacing w:before="156" w:after="156"/>
        <w:rPr>
          <w:szCs w:val="22"/>
        </w:rPr>
      </w:pPr>
      <w:bookmarkStart w:id="28" w:name="_Toc95741261"/>
      <w:r>
        <w:rPr>
          <w:rFonts w:hint="eastAsia"/>
          <w:szCs w:val="22"/>
          <w:lang w:val="en-US" w:eastAsia="zh-CN"/>
        </w:rPr>
        <w:t xml:space="preserve">  </w:t>
      </w:r>
      <w:r>
        <w:rPr>
          <w:szCs w:val="22"/>
        </w:rPr>
        <w:t>7.2施肥</w:t>
      </w:r>
      <w:r>
        <w:rPr>
          <w:rFonts w:hint="eastAsia"/>
          <w:szCs w:val="22"/>
        </w:rPr>
        <w:t>方法</w:t>
      </w:r>
      <w:bookmarkEnd w:id="28"/>
    </w:p>
    <w:p>
      <w:pPr>
        <w:pStyle w:val="46"/>
        <w:ind w:firstLine="420"/>
        <w:rPr>
          <w:rFonts w:hAnsi="宋体"/>
          <w:szCs w:val="21"/>
          <w:lang w:bidi="ar"/>
        </w:rPr>
      </w:pPr>
      <w:r>
        <w:rPr>
          <w:rFonts w:hint="eastAsia" w:hAnsi="宋体"/>
          <w:szCs w:val="21"/>
          <w:lang w:bidi="ar"/>
        </w:rPr>
        <w:t>施肥方法</w:t>
      </w:r>
      <w:r>
        <w:rPr>
          <w:rFonts w:hAnsi="宋体"/>
          <w:szCs w:val="21"/>
          <w:lang w:bidi="ar"/>
        </w:rPr>
        <w:t>包括基肥、追肥和</w:t>
      </w:r>
      <w:r>
        <w:rPr>
          <w:rFonts w:hint="eastAsia" w:hAnsi="宋体"/>
          <w:szCs w:val="21"/>
          <w:lang w:bidi="ar"/>
        </w:rPr>
        <w:t>根外追肥</w:t>
      </w:r>
      <w:r>
        <w:rPr>
          <w:rFonts w:hAnsi="宋体"/>
          <w:szCs w:val="21"/>
          <w:lang w:bidi="ar"/>
        </w:rPr>
        <w:t>。</w:t>
      </w:r>
    </w:p>
    <w:p>
      <w:pPr>
        <w:pStyle w:val="89"/>
        <w:numPr>
          <w:ilvl w:val="0"/>
          <w:numId w:val="13"/>
        </w:numPr>
        <w:spacing w:before="156" w:after="156"/>
        <w:rPr>
          <w:szCs w:val="22"/>
        </w:rPr>
      </w:pPr>
      <w:bookmarkStart w:id="29" w:name="_Toc95741262"/>
      <w:r>
        <w:rPr>
          <w:rFonts w:hint="eastAsia"/>
          <w:szCs w:val="22"/>
          <w:lang w:val="en-US" w:eastAsia="zh-CN"/>
        </w:rPr>
        <w:t xml:space="preserve">    </w:t>
      </w:r>
      <w:r>
        <w:rPr>
          <w:szCs w:val="22"/>
        </w:rPr>
        <w:t>7.2.1基肥</w:t>
      </w:r>
      <w:bookmarkEnd w:id="29"/>
    </w:p>
    <w:p>
      <w:pPr>
        <w:pStyle w:val="46"/>
        <w:ind w:firstLine="420"/>
        <w:rPr>
          <w:rFonts w:hint="eastAsia" w:hAnsi="宋体"/>
          <w:szCs w:val="21"/>
          <w:highlight w:val="none"/>
          <w:lang w:bidi="ar"/>
        </w:rPr>
      </w:pPr>
      <w:r>
        <w:rPr>
          <w:rFonts w:hAnsi="宋体"/>
          <w:szCs w:val="21"/>
          <w:lang w:bidi="ar"/>
        </w:rPr>
        <w:t>基肥种类包括</w:t>
      </w:r>
      <w:r>
        <w:rPr>
          <w:rFonts w:hint="eastAsia" w:hAnsi="宋体"/>
          <w:szCs w:val="21"/>
          <w:lang w:bidi="ar"/>
        </w:rPr>
        <w:t>膜发酵</w:t>
      </w:r>
      <w:r>
        <w:rPr>
          <w:rFonts w:hAnsi="宋体"/>
          <w:szCs w:val="21"/>
          <w:lang w:bidi="ar"/>
        </w:rPr>
        <w:t>腐熟的</w:t>
      </w:r>
      <w:r>
        <w:rPr>
          <w:rFonts w:hint="eastAsia" w:hAnsi="宋体"/>
          <w:szCs w:val="21"/>
          <w:lang w:bidi="ar"/>
        </w:rPr>
        <w:t>粪肥</w:t>
      </w:r>
      <w:r>
        <w:rPr>
          <w:rFonts w:hAnsi="宋体"/>
          <w:szCs w:val="21"/>
          <w:lang w:bidi="ar"/>
        </w:rPr>
        <w:t>、有机肥</w:t>
      </w:r>
      <w:r>
        <w:rPr>
          <w:rFonts w:hint="eastAsia" w:hAnsi="宋体"/>
          <w:szCs w:val="21"/>
          <w:lang w:bidi="ar"/>
        </w:rPr>
        <w:t>料、作物秸秆等</w:t>
      </w:r>
      <w:r>
        <w:rPr>
          <w:rFonts w:hAnsi="宋体"/>
          <w:szCs w:val="21"/>
          <w:lang w:bidi="ar"/>
        </w:rPr>
        <w:t>，</w:t>
      </w:r>
      <w:r>
        <w:rPr>
          <w:rFonts w:hint="eastAsia" w:hAnsi="宋体"/>
          <w:szCs w:val="21"/>
          <w:lang w:bidi="ar"/>
        </w:rPr>
        <w:t>基施方式为</w:t>
      </w:r>
      <w:r>
        <w:rPr>
          <w:rFonts w:hAnsi="宋体"/>
          <w:szCs w:val="21"/>
          <w:lang w:bidi="ar"/>
        </w:rPr>
        <w:t>定植前结合整地</w:t>
      </w:r>
      <w:r>
        <w:rPr>
          <w:rFonts w:hint="eastAsia" w:hAnsi="宋体"/>
          <w:szCs w:val="21"/>
          <w:lang w:bidi="ar"/>
        </w:rPr>
        <w:t>撒施、沟施或穴施。</w:t>
      </w:r>
    </w:p>
    <w:p>
      <w:pPr>
        <w:pStyle w:val="46"/>
        <w:ind w:firstLine="420"/>
        <w:rPr>
          <w:rFonts w:hint="eastAsia" w:hAnsi="宋体"/>
          <w:szCs w:val="21"/>
          <w:lang w:eastAsia="zh-CN" w:bidi="ar"/>
        </w:rPr>
      </w:pPr>
      <w:r>
        <w:rPr>
          <w:rFonts w:hint="eastAsia" w:hAnsi="宋体"/>
          <w:szCs w:val="21"/>
          <w:highlight w:val="none"/>
          <w:lang w:eastAsia="zh-CN" w:bidi="ar"/>
        </w:rPr>
        <w:t>高肥力设施：腐熟的农家肥</w:t>
      </w:r>
      <w:r>
        <w:rPr>
          <w:rFonts w:hint="eastAsia" w:hAnsi="宋体"/>
          <w:szCs w:val="21"/>
          <w:highlight w:val="none"/>
          <w:lang w:val="en-US" w:eastAsia="zh-CN" w:bidi="ar"/>
        </w:rPr>
        <w:t>3-4 m</w:t>
      </w:r>
      <w:r>
        <w:rPr>
          <w:rFonts w:hint="eastAsia" w:hAnsi="宋体"/>
          <w:szCs w:val="21"/>
          <w:highlight w:val="none"/>
          <w:vertAlign w:val="superscript"/>
          <w:lang w:val="en-US" w:eastAsia="zh-CN" w:bidi="ar"/>
        </w:rPr>
        <w:t>3</w:t>
      </w:r>
      <w:r>
        <w:rPr>
          <w:rFonts w:hint="eastAsia" w:hAnsi="宋体"/>
          <w:szCs w:val="21"/>
          <w:lang w:bidi="ar"/>
        </w:rPr>
        <w:t>/亩</w:t>
      </w:r>
      <w:r>
        <w:rPr>
          <w:rFonts w:hint="eastAsia" w:hAnsi="宋体"/>
          <w:szCs w:val="21"/>
          <w:lang w:eastAsia="zh-CN" w:bidi="ar"/>
        </w:rPr>
        <w:t>或有机物料</w:t>
      </w:r>
      <w:r>
        <w:rPr>
          <w:rFonts w:hint="eastAsia" w:hAnsi="宋体"/>
          <w:szCs w:val="21"/>
          <w:lang w:val="en-US" w:eastAsia="zh-CN" w:bidi="ar"/>
        </w:rPr>
        <w:t>1500-2000kg</w:t>
      </w:r>
      <w:r>
        <w:rPr>
          <w:rFonts w:hint="eastAsia" w:hAnsi="宋体"/>
          <w:szCs w:val="21"/>
          <w:lang w:bidi="ar"/>
        </w:rPr>
        <w:t>/亩,</w:t>
      </w:r>
      <w:r>
        <w:rPr>
          <w:rFonts w:hint="eastAsia" w:hAnsi="宋体"/>
          <w:szCs w:val="21"/>
          <w:lang w:eastAsia="zh-CN" w:bidi="ar"/>
        </w:rPr>
        <w:t>应选择秸秆类、牛粪羊粪等碳氮比较高的有机物料，不施化肥。</w:t>
      </w:r>
    </w:p>
    <w:p>
      <w:pPr>
        <w:pStyle w:val="46"/>
        <w:ind w:firstLine="420"/>
        <w:rPr>
          <w:rFonts w:hint="eastAsia" w:hAnsi="宋体"/>
          <w:szCs w:val="21"/>
          <w:highlight w:val="none"/>
          <w:lang w:bidi="ar"/>
        </w:rPr>
      </w:pPr>
      <w:r>
        <w:rPr>
          <w:rFonts w:hint="eastAsia" w:hAnsi="宋体"/>
          <w:szCs w:val="21"/>
          <w:highlight w:val="none"/>
          <w:lang w:eastAsia="zh-CN" w:bidi="ar"/>
        </w:rPr>
        <w:t>中肥力设施：腐熟的农家肥</w:t>
      </w:r>
      <w:r>
        <w:rPr>
          <w:rFonts w:hint="eastAsia" w:hAnsi="宋体"/>
          <w:szCs w:val="21"/>
          <w:highlight w:val="none"/>
          <w:lang w:val="en-US" w:eastAsia="zh-CN" w:bidi="ar"/>
        </w:rPr>
        <w:t>4-5 m</w:t>
      </w:r>
      <w:r>
        <w:rPr>
          <w:rFonts w:hint="eastAsia" w:hAnsi="宋体"/>
          <w:szCs w:val="21"/>
          <w:highlight w:val="none"/>
          <w:vertAlign w:val="superscript"/>
          <w:lang w:val="en-US" w:eastAsia="zh-CN" w:bidi="ar"/>
        </w:rPr>
        <w:t>3</w:t>
      </w:r>
      <w:r>
        <w:rPr>
          <w:rFonts w:hint="eastAsia" w:hAnsi="宋体"/>
          <w:szCs w:val="21"/>
          <w:lang w:bidi="ar"/>
        </w:rPr>
        <w:t>/亩</w:t>
      </w:r>
      <w:r>
        <w:rPr>
          <w:rFonts w:hint="eastAsia" w:hAnsi="宋体"/>
          <w:szCs w:val="21"/>
          <w:lang w:eastAsia="zh-CN" w:bidi="ar"/>
        </w:rPr>
        <w:t>或有机物料</w:t>
      </w:r>
      <w:r>
        <w:rPr>
          <w:rFonts w:hint="eastAsia" w:hAnsi="宋体"/>
          <w:szCs w:val="21"/>
          <w:lang w:val="en-US" w:eastAsia="zh-CN" w:bidi="ar"/>
        </w:rPr>
        <w:t>2000-2500kg</w:t>
      </w:r>
      <w:r>
        <w:rPr>
          <w:rFonts w:hint="eastAsia" w:hAnsi="宋体"/>
          <w:szCs w:val="21"/>
          <w:lang w:bidi="ar"/>
        </w:rPr>
        <w:t>/亩,</w:t>
      </w:r>
      <w:r>
        <w:rPr>
          <w:rFonts w:hint="eastAsia" w:hAnsi="宋体"/>
          <w:szCs w:val="21"/>
          <w:lang w:eastAsia="zh-CN" w:bidi="ar"/>
        </w:rPr>
        <w:t>增施氮磷钾平衡复合肥料</w:t>
      </w:r>
      <w:r>
        <w:rPr>
          <w:rFonts w:hint="eastAsia" w:hAnsi="宋体"/>
          <w:szCs w:val="21"/>
          <w:lang w:val="en-US" w:eastAsia="zh-CN" w:bidi="ar"/>
        </w:rPr>
        <w:t>20-30kg</w:t>
      </w:r>
      <w:r>
        <w:rPr>
          <w:rFonts w:hint="eastAsia" w:hAnsi="宋体"/>
          <w:szCs w:val="21"/>
          <w:lang w:bidi="ar"/>
        </w:rPr>
        <w:t>/亩</w:t>
      </w:r>
      <w:r>
        <w:rPr>
          <w:rFonts w:hint="eastAsia" w:hAnsi="宋体"/>
          <w:szCs w:val="21"/>
          <w:lang w:eastAsia="zh-CN" w:bidi="ar"/>
        </w:rPr>
        <w:t>，</w:t>
      </w:r>
      <w:r>
        <w:rPr>
          <w:rFonts w:hint="eastAsia" w:hAnsi="宋体"/>
          <w:szCs w:val="21"/>
          <w:lang w:bidi="ar"/>
        </w:rPr>
        <w:t>并辅以施用</w:t>
      </w:r>
      <w:r>
        <w:rPr>
          <w:rFonts w:hint="eastAsia" w:hAnsi="宋体"/>
          <w:szCs w:val="21"/>
          <w:lang w:eastAsia="zh-CN" w:bidi="ar"/>
        </w:rPr>
        <w:t>质量分数</w:t>
      </w:r>
      <w:r>
        <w:rPr>
          <w:rFonts w:hint="eastAsia" w:hAnsi="宋体"/>
          <w:szCs w:val="21"/>
          <w:lang w:bidi="ar"/>
        </w:rPr>
        <w:t>10-15%的硝化抑制剂</w:t>
      </w:r>
      <w:r>
        <w:rPr>
          <w:rFonts w:hint="eastAsia" w:hAnsi="宋体"/>
          <w:szCs w:val="21"/>
          <w:lang w:eastAsia="zh-CN" w:bidi="ar"/>
        </w:rPr>
        <w:t>，如</w:t>
      </w:r>
      <w:r>
        <w:rPr>
          <w:rFonts w:hint="eastAsia" w:hAnsi="宋体"/>
          <w:szCs w:val="21"/>
          <w:lang w:val="en-US" w:eastAsia="zh-CN" w:bidi="ar"/>
        </w:rPr>
        <w:t>DCD或DMPP等</w:t>
      </w:r>
      <w:r>
        <w:rPr>
          <w:rFonts w:hint="eastAsia" w:hAnsi="宋体"/>
          <w:szCs w:val="21"/>
          <w:highlight w:val="none"/>
          <w:lang w:bidi="ar"/>
        </w:rPr>
        <w:t>。</w:t>
      </w:r>
    </w:p>
    <w:p>
      <w:pPr>
        <w:pStyle w:val="46"/>
        <w:ind w:firstLine="420"/>
        <w:rPr>
          <w:rFonts w:hint="eastAsia" w:hAnsi="宋体"/>
          <w:szCs w:val="21"/>
          <w:lang w:bidi="ar"/>
        </w:rPr>
      </w:pPr>
      <w:r>
        <w:rPr>
          <w:rFonts w:hint="eastAsia" w:hAnsi="宋体"/>
          <w:szCs w:val="21"/>
          <w:highlight w:val="none"/>
          <w:lang w:eastAsia="zh-CN" w:bidi="ar"/>
        </w:rPr>
        <w:t>低肥力设施：腐熟的农家肥</w:t>
      </w:r>
      <w:r>
        <w:rPr>
          <w:rFonts w:hint="eastAsia" w:hAnsi="宋体"/>
          <w:szCs w:val="21"/>
          <w:highlight w:val="none"/>
          <w:lang w:val="en-US" w:eastAsia="zh-CN" w:bidi="ar"/>
        </w:rPr>
        <w:t>6-7 m</w:t>
      </w:r>
      <w:r>
        <w:rPr>
          <w:rFonts w:hint="eastAsia" w:hAnsi="宋体"/>
          <w:szCs w:val="21"/>
          <w:highlight w:val="none"/>
          <w:vertAlign w:val="superscript"/>
          <w:lang w:val="en-US" w:eastAsia="zh-CN" w:bidi="ar"/>
        </w:rPr>
        <w:t>3</w:t>
      </w:r>
      <w:r>
        <w:rPr>
          <w:rFonts w:hint="eastAsia" w:hAnsi="宋体"/>
          <w:szCs w:val="21"/>
          <w:lang w:bidi="ar"/>
        </w:rPr>
        <w:t>/亩</w:t>
      </w:r>
      <w:r>
        <w:rPr>
          <w:rFonts w:hint="eastAsia" w:hAnsi="宋体"/>
          <w:szCs w:val="21"/>
          <w:lang w:eastAsia="zh-CN" w:bidi="ar"/>
        </w:rPr>
        <w:t>或有机物料</w:t>
      </w:r>
      <w:r>
        <w:rPr>
          <w:rFonts w:hint="eastAsia" w:hAnsi="宋体"/>
          <w:szCs w:val="21"/>
          <w:lang w:val="en-US" w:eastAsia="zh-CN" w:bidi="ar"/>
        </w:rPr>
        <w:t>2500-3000kg</w:t>
      </w:r>
      <w:r>
        <w:rPr>
          <w:rFonts w:hint="eastAsia" w:hAnsi="宋体"/>
          <w:szCs w:val="21"/>
          <w:lang w:bidi="ar"/>
        </w:rPr>
        <w:t>/亩,</w:t>
      </w:r>
      <w:r>
        <w:rPr>
          <w:rFonts w:hint="eastAsia" w:hAnsi="宋体"/>
          <w:szCs w:val="21"/>
          <w:lang w:eastAsia="zh-CN" w:bidi="ar"/>
        </w:rPr>
        <w:t>应选择鸡粪、猪粪等氮磷养分含量较高的有机物料，增施氮磷钾平衡复合肥料</w:t>
      </w:r>
      <w:r>
        <w:rPr>
          <w:rFonts w:hint="eastAsia" w:hAnsi="宋体"/>
          <w:szCs w:val="21"/>
          <w:lang w:val="en-US" w:eastAsia="zh-CN" w:bidi="ar"/>
        </w:rPr>
        <w:t>30-40kg</w:t>
      </w:r>
      <w:r>
        <w:rPr>
          <w:rFonts w:hint="eastAsia" w:hAnsi="宋体"/>
          <w:szCs w:val="21"/>
          <w:lang w:bidi="ar"/>
        </w:rPr>
        <w:t>/亩</w:t>
      </w:r>
      <w:r>
        <w:rPr>
          <w:rFonts w:hint="eastAsia" w:hAnsi="宋体"/>
          <w:szCs w:val="21"/>
          <w:lang w:eastAsia="zh-CN" w:bidi="ar"/>
        </w:rPr>
        <w:t>，</w:t>
      </w:r>
      <w:r>
        <w:rPr>
          <w:rFonts w:hint="eastAsia" w:hAnsi="宋体"/>
          <w:szCs w:val="21"/>
          <w:lang w:bidi="ar"/>
        </w:rPr>
        <w:t>并辅以施用</w:t>
      </w:r>
      <w:r>
        <w:rPr>
          <w:rFonts w:hint="eastAsia" w:hAnsi="宋体"/>
          <w:szCs w:val="21"/>
          <w:lang w:eastAsia="zh-CN" w:bidi="ar"/>
        </w:rPr>
        <w:t>质量分数</w:t>
      </w:r>
      <w:r>
        <w:rPr>
          <w:rFonts w:hint="eastAsia" w:hAnsi="宋体"/>
          <w:szCs w:val="21"/>
          <w:lang w:bidi="ar"/>
        </w:rPr>
        <w:t>10-15%的硝化抑制剂</w:t>
      </w:r>
      <w:r>
        <w:rPr>
          <w:rFonts w:hint="eastAsia" w:hAnsi="宋体"/>
          <w:szCs w:val="21"/>
          <w:lang w:eastAsia="zh-CN" w:bidi="ar"/>
        </w:rPr>
        <w:t>，如</w:t>
      </w:r>
      <w:r>
        <w:rPr>
          <w:rFonts w:hint="eastAsia" w:hAnsi="宋体"/>
          <w:szCs w:val="21"/>
          <w:lang w:val="en-US" w:eastAsia="zh-CN" w:bidi="ar"/>
        </w:rPr>
        <w:t>DCD或DMPP等</w:t>
      </w:r>
      <w:r>
        <w:rPr>
          <w:rFonts w:hint="eastAsia" w:hAnsi="宋体"/>
          <w:szCs w:val="21"/>
          <w:lang w:eastAsia="zh-CN" w:bidi="ar"/>
        </w:rPr>
        <w:t>。</w:t>
      </w:r>
    </w:p>
    <w:p>
      <w:pPr>
        <w:pStyle w:val="89"/>
        <w:numPr>
          <w:ilvl w:val="0"/>
          <w:numId w:val="13"/>
        </w:numPr>
        <w:spacing w:before="156" w:after="156"/>
        <w:rPr>
          <w:szCs w:val="22"/>
        </w:rPr>
      </w:pPr>
      <w:bookmarkStart w:id="30" w:name="_Toc95741263"/>
      <w:r>
        <w:rPr>
          <w:szCs w:val="22"/>
        </w:rPr>
        <w:t>7.2.2 追肥</w:t>
      </w:r>
      <w:bookmarkEnd w:id="30"/>
    </w:p>
    <w:p>
      <w:pPr>
        <w:pStyle w:val="46"/>
        <w:ind w:firstLine="420"/>
        <w:rPr>
          <w:rFonts w:hAnsi="宋体"/>
          <w:szCs w:val="21"/>
          <w:lang w:bidi="ar"/>
        </w:rPr>
      </w:pPr>
      <w:r>
        <w:rPr>
          <w:rFonts w:hint="eastAsia" w:hAnsi="宋体"/>
          <w:szCs w:val="21"/>
          <w:lang w:bidi="ar"/>
        </w:rPr>
        <w:t>追肥</w:t>
      </w:r>
      <w:r>
        <w:rPr>
          <w:rFonts w:hAnsi="宋体"/>
          <w:szCs w:val="21"/>
          <w:lang w:bidi="ar"/>
        </w:rPr>
        <w:t>种类包括</w:t>
      </w:r>
      <w:r>
        <w:rPr>
          <w:rFonts w:hint="eastAsia" w:hAnsi="宋体"/>
          <w:szCs w:val="21"/>
          <w:lang w:bidi="ar"/>
        </w:rPr>
        <w:t>低氮高钾复合肥、水溶肥料或单质肥料</w:t>
      </w:r>
      <w:r>
        <w:rPr>
          <w:rFonts w:hAnsi="宋体"/>
          <w:szCs w:val="21"/>
          <w:lang w:bidi="ar"/>
        </w:rPr>
        <w:t>等，</w:t>
      </w:r>
      <w:r>
        <w:rPr>
          <w:rFonts w:hint="eastAsia" w:hAnsi="宋体"/>
          <w:szCs w:val="21"/>
          <w:lang w:bidi="ar"/>
        </w:rPr>
        <w:t>追肥量随土壤肥力和</w:t>
      </w:r>
      <w:r>
        <w:rPr>
          <w:rFonts w:hAnsi="宋体"/>
          <w:szCs w:val="21"/>
          <w:lang w:bidi="ar"/>
        </w:rPr>
        <w:t>追肥</w:t>
      </w:r>
      <w:r>
        <w:rPr>
          <w:rFonts w:hint="eastAsia" w:hAnsi="宋体"/>
          <w:szCs w:val="21"/>
          <w:lang w:bidi="ar"/>
        </w:rPr>
        <w:t>方式的不同而存在差异,推荐罐体溶解随水冲施或水肥一体化</w:t>
      </w:r>
      <w:r>
        <w:rPr>
          <w:rFonts w:hint="eastAsia" w:hAnsi="宋体"/>
        </w:rPr>
        <w:t>，</w:t>
      </w:r>
      <w:r>
        <w:rPr>
          <w:rFonts w:hint="eastAsia" w:hAnsi="宋体"/>
          <w:szCs w:val="21"/>
          <w:lang w:bidi="ar"/>
        </w:rPr>
        <w:t>并辅以施用</w:t>
      </w:r>
      <w:r>
        <w:rPr>
          <w:rFonts w:hint="eastAsia" w:hAnsi="宋体"/>
          <w:szCs w:val="21"/>
          <w:lang w:eastAsia="zh-CN" w:bidi="ar"/>
        </w:rPr>
        <w:t>质量分数</w:t>
      </w:r>
      <w:r>
        <w:rPr>
          <w:rFonts w:hint="eastAsia" w:hAnsi="宋体"/>
          <w:szCs w:val="21"/>
          <w:lang w:bidi="ar"/>
        </w:rPr>
        <w:t>10-15%的硝化抑制剂</w:t>
      </w:r>
      <w:r>
        <w:rPr>
          <w:rFonts w:hint="eastAsia" w:hAnsi="宋体"/>
          <w:szCs w:val="21"/>
          <w:lang w:eastAsia="zh-CN" w:bidi="ar"/>
        </w:rPr>
        <w:t>，</w:t>
      </w:r>
      <w:r>
        <w:rPr>
          <w:rFonts w:hint="eastAsia" w:hAnsi="宋体"/>
        </w:rPr>
        <w:t>减少化学肥料分解释放的</w:t>
      </w:r>
      <w:r>
        <w:rPr>
          <w:rFonts w:hint="eastAsia" w:hAnsi="宋体"/>
          <w:lang w:eastAsia="zh-CN"/>
        </w:rPr>
        <w:t>产生</w:t>
      </w:r>
      <w:r>
        <w:rPr>
          <w:rFonts w:hint="eastAsia" w:hAnsi="宋体"/>
        </w:rPr>
        <w:t>温室气体。</w:t>
      </w:r>
    </w:p>
    <w:p>
      <w:pPr>
        <w:pStyle w:val="89"/>
        <w:numPr>
          <w:ilvl w:val="0"/>
          <w:numId w:val="13"/>
        </w:numPr>
        <w:spacing w:before="156" w:after="156"/>
        <w:rPr>
          <w:szCs w:val="22"/>
        </w:rPr>
      </w:pPr>
      <w:bookmarkStart w:id="31" w:name="_Toc95741264"/>
      <w:r>
        <w:rPr>
          <w:szCs w:val="22"/>
        </w:rPr>
        <w:t>7.2.3</w:t>
      </w:r>
      <w:r>
        <w:rPr>
          <w:rFonts w:hint="eastAsia"/>
          <w:szCs w:val="22"/>
        </w:rPr>
        <w:t>根外追肥</w:t>
      </w:r>
      <w:bookmarkEnd w:id="31"/>
    </w:p>
    <w:p>
      <w:pPr>
        <w:pStyle w:val="46"/>
        <w:ind w:firstLine="420"/>
        <w:rPr>
          <w:rFonts w:hAnsi="宋体"/>
          <w:szCs w:val="21"/>
          <w:lang w:bidi="ar"/>
        </w:rPr>
      </w:pPr>
      <w:r>
        <w:rPr>
          <w:rFonts w:hint="eastAsia" w:hAnsi="宋体"/>
          <w:szCs w:val="21"/>
          <w:lang w:bidi="ar"/>
        </w:rPr>
        <w:t>采用</w:t>
      </w:r>
      <w:r>
        <w:rPr>
          <w:rFonts w:hAnsi="宋体"/>
          <w:szCs w:val="21"/>
          <w:lang w:bidi="ar"/>
        </w:rPr>
        <w:t>叶面</w:t>
      </w:r>
      <w:r>
        <w:rPr>
          <w:rFonts w:hint="eastAsia" w:hAnsi="宋体"/>
          <w:szCs w:val="21"/>
          <w:lang w:bidi="ar"/>
        </w:rPr>
        <w:t>喷施，肥料种类选择高溶解度、无挥发的磷酸二氢钾、微量元素肥料、含</w:t>
      </w:r>
      <w:r>
        <w:rPr>
          <w:rFonts w:hAnsi="宋体"/>
          <w:szCs w:val="21"/>
          <w:lang w:bidi="ar"/>
        </w:rPr>
        <w:t>氨基酸或腐</w:t>
      </w:r>
      <w:r>
        <w:rPr>
          <w:rFonts w:hint="eastAsia" w:hAnsi="宋体"/>
          <w:szCs w:val="21"/>
          <w:lang w:bidi="ar"/>
        </w:rPr>
        <w:t>植</w:t>
      </w:r>
      <w:r>
        <w:rPr>
          <w:rFonts w:hAnsi="宋体"/>
          <w:szCs w:val="21"/>
          <w:lang w:bidi="ar"/>
        </w:rPr>
        <w:t>酸</w:t>
      </w:r>
      <w:r>
        <w:rPr>
          <w:rFonts w:hint="eastAsia" w:hAnsi="宋体"/>
          <w:szCs w:val="21"/>
          <w:lang w:bidi="ar"/>
        </w:rPr>
        <w:t>等的水溶型肥料。</w:t>
      </w:r>
    </w:p>
    <w:p>
      <w:pPr>
        <w:pStyle w:val="89"/>
        <w:numPr>
          <w:ilvl w:val="0"/>
          <w:numId w:val="13"/>
        </w:numPr>
        <w:spacing w:before="156" w:after="156"/>
        <w:rPr>
          <w:szCs w:val="22"/>
        </w:rPr>
      </w:pPr>
      <w:bookmarkStart w:id="32" w:name="_Toc95741265"/>
      <w:r>
        <w:rPr>
          <w:szCs w:val="22"/>
        </w:rPr>
        <w:t xml:space="preserve">7.3  </w:t>
      </w:r>
      <w:r>
        <w:rPr>
          <w:rFonts w:hint="eastAsia"/>
          <w:szCs w:val="22"/>
        </w:rPr>
        <w:t>水肥一体化调控技术</w:t>
      </w:r>
      <w:bookmarkEnd w:id="32"/>
    </w:p>
    <w:p>
      <w:pPr>
        <w:pStyle w:val="89"/>
        <w:numPr>
          <w:ilvl w:val="0"/>
          <w:numId w:val="13"/>
        </w:numPr>
        <w:spacing w:before="156" w:after="156"/>
        <w:rPr>
          <w:szCs w:val="22"/>
        </w:rPr>
      </w:pPr>
      <w:bookmarkStart w:id="33" w:name="_Toc95741266"/>
      <w:r>
        <w:rPr>
          <w:szCs w:val="22"/>
        </w:rPr>
        <w:t>7.3.1</w:t>
      </w:r>
      <w:r>
        <w:rPr>
          <w:rFonts w:hint="eastAsia"/>
          <w:szCs w:val="22"/>
        </w:rPr>
        <w:t>水肥一体化</w:t>
      </w:r>
      <w:r>
        <w:rPr>
          <w:szCs w:val="22"/>
        </w:rPr>
        <w:t>施肥</w:t>
      </w:r>
      <w:r>
        <w:rPr>
          <w:rFonts w:hint="eastAsia"/>
          <w:szCs w:val="22"/>
        </w:rPr>
        <w:t>方法</w:t>
      </w:r>
      <w:bookmarkEnd w:id="33"/>
    </w:p>
    <w:p>
      <w:pPr>
        <w:pStyle w:val="46"/>
        <w:ind w:firstLine="420"/>
        <w:rPr>
          <w:rFonts w:hAnsi="宋体"/>
          <w:color w:val="00B050"/>
        </w:rPr>
      </w:pPr>
      <w:r>
        <w:rPr>
          <w:rFonts w:hAnsi="宋体"/>
          <w:szCs w:val="21"/>
          <w:lang w:bidi="ar"/>
        </w:rPr>
        <w:t>水肥一体化施肥按照清水、施肥、清水的步骤进行，清水15 min~20 min后施肥，施肥结束后用清水继续灌溉15 min~20 min。水肥使用符合水肥一体化技术规范总则NY/T 2624</w:t>
      </w:r>
      <w:r>
        <w:rPr>
          <w:rFonts w:hint="eastAsia" w:hAnsi="宋体"/>
          <w:szCs w:val="21"/>
          <w:lang w:bidi="ar"/>
        </w:rPr>
        <w:t>的规定</w:t>
      </w:r>
      <w:r>
        <w:rPr>
          <w:rFonts w:hAnsi="宋体"/>
          <w:szCs w:val="21"/>
          <w:lang w:bidi="ar"/>
        </w:rPr>
        <w:t>。</w:t>
      </w:r>
    </w:p>
    <w:p>
      <w:pPr>
        <w:pStyle w:val="89"/>
        <w:numPr>
          <w:ilvl w:val="0"/>
          <w:numId w:val="13"/>
        </w:numPr>
        <w:spacing w:before="156" w:after="156"/>
        <w:rPr>
          <w:szCs w:val="22"/>
        </w:rPr>
      </w:pPr>
      <w:bookmarkStart w:id="34" w:name="_Toc95741267"/>
      <w:r>
        <w:rPr>
          <w:rFonts w:hint="eastAsia"/>
          <w:szCs w:val="22"/>
        </w:rPr>
        <w:t>7</w:t>
      </w:r>
      <w:r>
        <w:rPr>
          <w:szCs w:val="22"/>
        </w:rPr>
        <w:t xml:space="preserve">.3.2 </w:t>
      </w:r>
      <w:r>
        <w:rPr>
          <w:rFonts w:hint="eastAsia"/>
          <w:szCs w:val="22"/>
        </w:rPr>
        <w:t>茄果类蔬菜水肥一体化施肥</w:t>
      </w:r>
      <w:bookmarkEnd w:id="34"/>
    </w:p>
    <w:p>
      <w:pPr>
        <w:pStyle w:val="46"/>
        <w:ind w:firstLine="420"/>
        <w:rPr>
          <w:rFonts w:hAnsi="宋体"/>
          <w:szCs w:val="21"/>
          <w:lang w:bidi="ar"/>
        </w:rPr>
      </w:pPr>
      <w:r>
        <w:rPr>
          <w:rFonts w:hint="eastAsia" w:hAnsi="宋体"/>
          <w:szCs w:val="21"/>
          <w:lang w:bidi="ar"/>
        </w:rPr>
        <w:t>中等肥力土壤条件下，设施茄果类蔬菜</w:t>
      </w:r>
      <w:r>
        <w:rPr>
          <w:rFonts w:hAnsi="宋体"/>
          <w:szCs w:val="21"/>
          <w:lang w:bidi="ar"/>
        </w:rPr>
        <w:t>按照每穗</w:t>
      </w:r>
      <w:r>
        <w:rPr>
          <w:rFonts w:hint="eastAsia" w:hAnsi="宋体"/>
          <w:szCs w:val="21"/>
          <w:lang w:bidi="ar"/>
        </w:rPr>
        <w:t>果实</w:t>
      </w:r>
      <w:r>
        <w:rPr>
          <w:rFonts w:hAnsi="宋体"/>
          <w:szCs w:val="21"/>
          <w:lang w:bidi="ar"/>
        </w:rPr>
        <w:t>膨大到</w:t>
      </w:r>
      <w:r>
        <w:rPr>
          <w:rFonts w:hint="eastAsia" w:hAnsi="宋体"/>
          <w:szCs w:val="21"/>
          <w:lang w:bidi="ar"/>
        </w:rPr>
        <w:t>直径2-3cm</w:t>
      </w:r>
      <w:r>
        <w:rPr>
          <w:rFonts w:hAnsi="宋体"/>
          <w:szCs w:val="21"/>
          <w:lang w:bidi="ar"/>
        </w:rPr>
        <w:t>时追肥，秋冬茬、冬春茬全生育期追肥7次~9次，越冬长茬追肥10次~12次，选用高钾型滴灌专用肥（N-P</w:t>
      </w:r>
      <w:r>
        <w:rPr>
          <w:rFonts w:hAnsi="宋体"/>
          <w:szCs w:val="21"/>
          <w:vertAlign w:val="subscript"/>
          <w:lang w:bidi="ar"/>
        </w:rPr>
        <w:t>2</w:t>
      </w:r>
      <w:r>
        <w:rPr>
          <w:rFonts w:hAnsi="宋体"/>
          <w:szCs w:val="21"/>
          <w:lang w:bidi="ar"/>
        </w:rPr>
        <w:t>O</w:t>
      </w:r>
      <w:r>
        <w:rPr>
          <w:rFonts w:hAnsi="宋体"/>
          <w:szCs w:val="21"/>
          <w:vertAlign w:val="subscript"/>
          <w:lang w:bidi="ar"/>
        </w:rPr>
        <w:t>5</w:t>
      </w:r>
      <w:r>
        <w:rPr>
          <w:rFonts w:hAnsi="宋体"/>
          <w:szCs w:val="21"/>
          <w:lang w:bidi="ar"/>
        </w:rPr>
        <w:t>-K</w:t>
      </w:r>
      <w:r>
        <w:rPr>
          <w:rFonts w:hAnsi="宋体"/>
          <w:szCs w:val="21"/>
          <w:vertAlign w:val="subscript"/>
          <w:lang w:bidi="ar"/>
        </w:rPr>
        <w:t>2</w:t>
      </w:r>
      <w:r>
        <w:rPr>
          <w:rFonts w:hAnsi="宋体"/>
          <w:szCs w:val="21"/>
          <w:lang w:bidi="ar"/>
        </w:rPr>
        <w:t>O配方为18-7-25），每667 m</w:t>
      </w:r>
      <w:r>
        <w:rPr>
          <w:rFonts w:hAnsi="宋体"/>
          <w:szCs w:val="21"/>
          <w:vertAlign w:val="superscript"/>
          <w:lang w:bidi="ar"/>
        </w:rPr>
        <w:t>2</w:t>
      </w:r>
      <w:r>
        <w:rPr>
          <w:rFonts w:hAnsi="宋体"/>
          <w:szCs w:val="21"/>
          <w:lang w:bidi="ar"/>
        </w:rPr>
        <w:t>每次8~12 kg。配合追肥施用微生物菌剂2~3次，每次每亩</w:t>
      </w:r>
      <w:r>
        <w:rPr>
          <w:rFonts w:hint="eastAsia" w:hAnsi="宋体"/>
          <w:szCs w:val="21"/>
          <w:lang w:val="en-US" w:eastAsia="zh-CN" w:bidi="ar"/>
        </w:rPr>
        <w:t>施用固体颗粒肥（有效活菌数</w:t>
      </w:r>
      <w:r>
        <w:rPr>
          <w:rFonts w:hint="default" w:ascii="Arial" w:hAnsi="Arial" w:cs="Arial"/>
          <w:szCs w:val="21"/>
          <w:lang w:val="en-US" w:eastAsia="zh-CN" w:bidi="ar"/>
        </w:rPr>
        <w:t>≥</w:t>
      </w:r>
      <w:r>
        <w:rPr>
          <w:rFonts w:hint="eastAsia" w:hAnsi="宋体"/>
          <w:szCs w:val="21"/>
          <w:lang w:val="en-US" w:eastAsia="zh-CN" w:bidi="ar"/>
        </w:rPr>
        <w:t xml:space="preserve">2亿cfu/g) </w:t>
      </w:r>
      <w:r>
        <w:rPr>
          <w:rFonts w:hAnsi="宋体"/>
          <w:szCs w:val="21"/>
          <w:lang w:bidi="ar"/>
        </w:rPr>
        <w:t>2~3 kg。</w:t>
      </w:r>
      <w:r>
        <w:rPr>
          <w:rFonts w:hint="eastAsia" w:hAnsi="宋体"/>
          <w:szCs w:val="21"/>
          <w:lang w:bidi="ar"/>
        </w:rPr>
        <w:t>施肥总量符合设施蔬菜施肥量控制技术指南</w:t>
      </w:r>
      <w:r>
        <w:rPr>
          <w:rFonts w:hAnsi="宋体"/>
          <w:szCs w:val="21"/>
          <w:lang w:bidi="ar"/>
        </w:rPr>
        <w:t>NY/T 3832-2021</w:t>
      </w:r>
      <w:r>
        <w:rPr>
          <w:rFonts w:hint="eastAsia" w:hAnsi="宋体"/>
          <w:szCs w:val="21"/>
          <w:lang w:bidi="ar"/>
        </w:rPr>
        <w:t>的规定。</w:t>
      </w:r>
    </w:p>
    <w:p>
      <w:pPr>
        <w:pStyle w:val="89"/>
        <w:numPr>
          <w:ilvl w:val="0"/>
          <w:numId w:val="13"/>
        </w:numPr>
        <w:spacing w:before="156" w:after="156"/>
        <w:rPr>
          <w:szCs w:val="22"/>
        </w:rPr>
      </w:pPr>
      <w:bookmarkStart w:id="35" w:name="_Toc95741268"/>
      <w:r>
        <w:rPr>
          <w:rFonts w:hint="eastAsia"/>
          <w:szCs w:val="22"/>
        </w:rPr>
        <w:t>7</w:t>
      </w:r>
      <w:r>
        <w:rPr>
          <w:szCs w:val="22"/>
        </w:rPr>
        <w:t>.3.3瓜类蔬菜</w:t>
      </w:r>
      <w:r>
        <w:rPr>
          <w:rFonts w:hint="eastAsia"/>
          <w:szCs w:val="22"/>
        </w:rPr>
        <w:t>水肥一体化施肥</w:t>
      </w:r>
      <w:bookmarkEnd w:id="35"/>
    </w:p>
    <w:p>
      <w:pPr>
        <w:pStyle w:val="46"/>
        <w:ind w:firstLine="420"/>
        <w:rPr>
          <w:rFonts w:hAnsi="宋体"/>
          <w:szCs w:val="21"/>
          <w:lang w:bidi="ar"/>
        </w:rPr>
      </w:pPr>
      <w:r>
        <w:rPr>
          <w:rFonts w:hAnsi="宋体"/>
          <w:szCs w:val="21"/>
          <w:lang w:bidi="ar"/>
        </w:rPr>
        <w:t>日光温室瓜类蔬菜初瓜期开始追肥，秋冬茬、冬春茬</w:t>
      </w:r>
      <w:r>
        <w:rPr>
          <w:rFonts w:hint="eastAsia" w:hAnsi="宋体"/>
          <w:szCs w:val="21"/>
          <w:lang w:bidi="ar"/>
        </w:rPr>
        <w:t>第一个瓜长的1</w:t>
      </w:r>
      <w:r>
        <w:rPr>
          <w:rFonts w:hAnsi="宋体"/>
          <w:szCs w:val="21"/>
          <w:lang w:bidi="ar"/>
        </w:rPr>
        <w:t>0~20cm</w:t>
      </w:r>
      <w:r>
        <w:rPr>
          <w:rFonts w:hint="eastAsia" w:hAnsi="宋体"/>
          <w:szCs w:val="21"/>
          <w:lang w:bidi="ar"/>
        </w:rPr>
        <w:t>时开始浇水追肥，第2条瓜膨大时，进行第二次追肥，结果盛期每亩复合肥1</w:t>
      </w:r>
      <w:r>
        <w:rPr>
          <w:rFonts w:hAnsi="宋体"/>
          <w:szCs w:val="21"/>
          <w:lang w:bidi="ar"/>
        </w:rPr>
        <w:t>0</w:t>
      </w:r>
      <w:r>
        <w:rPr>
          <w:rFonts w:hint="eastAsia" w:hAnsi="宋体"/>
          <w:szCs w:val="21"/>
          <w:lang w:bidi="ar"/>
        </w:rPr>
        <w:t>~</w:t>
      </w:r>
      <w:r>
        <w:rPr>
          <w:rFonts w:hAnsi="宋体"/>
          <w:szCs w:val="21"/>
          <w:lang w:bidi="ar"/>
        </w:rPr>
        <w:t>14kg</w:t>
      </w:r>
      <w:r>
        <w:rPr>
          <w:rFonts w:hint="eastAsia" w:hAnsi="宋体"/>
          <w:szCs w:val="21"/>
          <w:lang w:bidi="ar"/>
        </w:rPr>
        <w:t>。</w:t>
      </w:r>
      <w:r>
        <w:rPr>
          <w:rFonts w:hAnsi="宋体"/>
          <w:szCs w:val="21"/>
          <w:lang w:bidi="ar"/>
        </w:rPr>
        <w:t>全生育期</w:t>
      </w:r>
      <w:r>
        <w:rPr>
          <w:rFonts w:hint="eastAsia" w:hAnsi="宋体"/>
          <w:szCs w:val="21"/>
          <w:lang w:bidi="ar"/>
        </w:rPr>
        <w:t>根据留穗数量，浇一次水追一次肥。</w:t>
      </w:r>
    </w:p>
    <w:p>
      <w:pPr>
        <w:pStyle w:val="46"/>
        <w:ind w:firstLine="420"/>
        <w:rPr>
          <w:rFonts w:hint="eastAsia" w:hAnsi="宋体"/>
        </w:rPr>
      </w:pPr>
      <w:r>
        <w:rPr>
          <w:rFonts w:hint="eastAsia" w:hAnsi="宋体"/>
        </w:rPr>
        <w:t>长季节</w:t>
      </w:r>
      <w:r>
        <w:rPr>
          <w:rFonts w:hAnsi="宋体"/>
          <w:szCs w:val="21"/>
          <w:lang w:bidi="ar"/>
        </w:rPr>
        <w:t>瓜类蔬菜</w:t>
      </w:r>
      <w:r>
        <w:rPr>
          <w:rFonts w:hint="eastAsia" w:hAnsi="宋体"/>
        </w:rPr>
        <w:t>按照DB13_T5197-2020技术规程执行。</w:t>
      </w:r>
    </w:p>
    <w:p>
      <w:pPr>
        <w:pStyle w:val="89"/>
        <w:numPr>
          <w:ilvl w:val="0"/>
          <w:numId w:val="13"/>
        </w:numPr>
        <w:spacing w:before="156" w:after="156"/>
        <w:rPr>
          <w:szCs w:val="22"/>
        </w:rPr>
      </w:pPr>
      <w:bookmarkStart w:id="36" w:name="_Toc95741269"/>
      <w:r>
        <w:rPr>
          <w:szCs w:val="22"/>
        </w:rPr>
        <w:t>7.4  膜下沟灌施肥</w:t>
      </w:r>
      <w:bookmarkEnd w:id="36"/>
    </w:p>
    <w:p>
      <w:pPr>
        <w:pStyle w:val="89"/>
        <w:numPr>
          <w:ilvl w:val="0"/>
          <w:numId w:val="13"/>
        </w:numPr>
        <w:spacing w:before="156" w:after="156"/>
        <w:rPr>
          <w:szCs w:val="22"/>
        </w:rPr>
      </w:pPr>
      <w:bookmarkStart w:id="37" w:name="_Toc95741270"/>
      <w:r>
        <w:rPr>
          <w:rFonts w:hint="eastAsia"/>
          <w:szCs w:val="22"/>
        </w:rPr>
        <w:t>7</w:t>
      </w:r>
      <w:r>
        <w:rPr>
          <w:szCs w:val="22"/>
        </w:rPr>
        <w:t>.4.1茄果类蔬菜膜下沟灌施肥</w:t>
      </w:r>
      <w:bookmarkEnd w:id="37"/>
    </w:p>
    <w:p>
      <w:pPr>
        <w:pStyle w:val="46"/>
        <w:numPr>
          <w:ilvl w:val="0"/>
          <w:numId w:val="13"/>
        </w:numPr>
        <w:ind w:firstLine="420"/>
        <w:rPr>
          <w:rFonts w:hAnsi="宋体"/>
          <w:szCs w:val="21"/>
          <w:lang w:bidi="ar"/>
        </w:rPr>
      </w:pPr>
      <w:r>
        <w:rPr>
          <w:rFonts w:hint="eastAsia" w:hAnsi="宋体"/>
          <w:szCs w:val="21"/>
          <w:lang w:bidi="ar"/>
        </w:rPr>
        <w:t>在不具备水肥一体化条件的地区，可采用膜下沟灌以减少温室气体排放。</w:t>
      </w:r>
      <w:r>
        <w:rPr>
          <w:rFonts w:hAnsi="宋体"/>
          <w:szCs w:val="21"/>
          <w:lang w:bidi="ar"/>
        </w:rPr>
        <w:t>茄果类蔬菜按照每穗果膨大到</w:t>
      </w:r>
      <w:r>
        <w:rPr>
          <w:rFonts w:hint="eastAsia" w:hAnsi="宋体"/>
          <w:szCs w:val="21"/>
          <w:lang w:bidi="ar"/>
        </w:rPr>
        <w:t>直径2-3cm</w:t>
      </w:r>
      <w:r>
        <w:rPr>
          <w:rFonts w:hAnsi="宋体"/>
          <w:szCs w:val="21"/>
          <w:lang w:bidi="ar"/>
        </w:rPr>
        <w:t>时追肥，秋冬茬、冬春茬全生育期追肥追肥6次~8次，越冬长茬追肥9次~11次，选用高钾型专用肥（N-P</w:t>
      </w:r>
      <w:r>
        <w:rPr>
          <w:rFonts w:hAnsi="宋体"/>
          <w:szCs w:val="21"/>
          <w:vertAlign w:val="subscript"/>
          <w:lang w:bidi="ar"/>
        </w:rPr>
        <w:t>2</w:t>
      </w:r>
      <w:r>
        <w:rPr>
          <w:rFonts w:hAnsi="宋体"/>
          <w:szCs w:val="21"/>
          <w:lang w:bidi="ar"/>
        </w:rPr>
        <w:t>O</w:t>
      </w:r>
      <w:r>
        <w:rPr>
          <w:rFonts w:hAnsi="宋体"/>
          <w:szCs w:val="21"/>
          <w:vertAlign w:val="subscript"/>
          <w:lang w:bidi="ar"/>
        </w:rPr>
        <w:t>5</w:t>
      </w:r>
      <w:r>
        <w:rPr>
          <w:rFonts w:hAnsi="宋体"/>
          <w:szCs w:val="21"/>
          <w:lang w:bidi="ar"/>
        </w:rPr>
        <w:t>-K</w:t>
      </w:r>
      <w:r>
        <w:rPr>
          <w:rFonts w:hAnsi="宋体"/>
          <w:szCs w:val="21"/>
          <w:vertAlign w:val="subscript"/>
          <w:lang w:bidi="ar"/>
        </w:rPr>
        <w:t>2</w:t>
      </w:r>
      <w:r>
        <w:rPr>
          <w:rFonts w:hAnsi="宋体"/>
          <w:szCs w:val="21"/>
          <w:lang w:bidi="ar"/>
        </w:rPr>
        <w:t>O配方为18-7-25），每667 m</w:t>
      </w:r>
      <w:r>
        <w:rPr>
          <w:rFonts w:hAnsi="宋体"/>
          <w:szCs w:val="21"/>
          <w:vertAlign w:val="superscript"/>
          <w:lang w:bidi="ar"/>
        </w:rPr>
        <w:t>2</w:t>
      </w:r>
      <w:r>
        <w:rPr>
          <w:rFonts w:hAnsi="宋体"/>
          <w:szCs w:val="21"/>
          <w:lang w:bidi="ar"/>
        </w:rPr>
        <w:t>每次10~15 kg。配合追肥施用微生物菌剂2~3次，每次每亩</w:t>
      </w:r>
      <w:r>
        <w:rPr>
          <w:rFonts w:hint="eastAsia" w:hAnsi="宋体"/>
          <w:szCs w:val="21"/>
          <w:lang w:val="en-US" w:eastAsia="zh-CN" w:bidi="ar"/>
        </w:rPr>
        <w:t>施用固体颗粒肥（有效活菌数</w:t>
      </w:r>
      <w:r>
        <w:rPr>
          <w:rFonts w:hint="default" w:ascii="Arial" w:hAnsi="Arial" w:cs="Arial"/>
          <w:szCs w:val="21"/>
          <w:lang w:val="en-US" w:eastAsia="zh-CN" w:bidi="ar"/>
        </w:rPr>
        <w:t>≥</w:t>
      </w:r>
      <w:r>
        <w:rPr>
          <w:rFonts w:hint="eastAsia" w:hAnsi="宋体"/>
          <w:szCs w:val="21"/>
          <w:lang w:val="en-US" w:eastAsia="zh-CN" w:bidi="ar"/>
        </w:rPr>
        <w:t xml:space="preserve">2亿cfu/g) </w:t>
      </w:r>
      <w:r>
        <w:rPr>
          <w:rFonts w:hAnsi="宋体"/>
          <w:szCs w:val="21"/>
          <w:lang w:bidi="ar"/>
        </w:rPr>
        <w:t>2~3 kg。</w:t>
      </w:r>
    </w:p>
    <w:p>
      <w:pPr>
        <w:pStyle w:val="89"/>
        <w:numPr>
          <w:ilvl w:val="0"/>
          <w:numId w:val="13"/>
        </w:numPr>
        <w:spacing w:before="156" w:after="156"/>
        <w:rPr>
          <w:szCs w:val="22"/>
        </w:rPr>
      </w:pPr>
      <w:bookmarkStart w:id="38" w:name="_Toc95741271"/>
      <w:r>
        <w:rPr>
          <w:rFonts w:hint="eastAsia"/>
          <w:szCs w:val="22"/>
        </w:rPr>
        <w:t>7</w:t>
      </w:r>
      <w:r>
        <w:rPr>
          <w:szCs w:val="22"/>
        </w:rPr>
        <w:t>.4.2瓜类蔬菜膜下沟灌施肥</w:t>
      </w:r>
      <w:bookmarkEnd w:id="38"/>
    </w:p>
    <w:p>
      <w:pPr>
        <w:pStyle w:val="46"/>
        <w:numPr>
          <w:ilvl w:val="0"/>
          <w:numId w:val="13"/>
        </w:numPr>
        <w:ind w:firstLine="420"/>
        <w:rPr>
          <w:rFonts w:hAnsi="宋体"/>
          <w:szCs w:val="21"/>
        </w:rPr>
      </w:pPr>
      <w:r>
        <w:rPr>
          <w:rFonts w:hAnsi="宋体"/>
          <w:szCs w:val="21"/>
          <w:lang w:bidi="ar"/>
        </w:rPr>
        <w:t>瓜类蔬菜初瓜期开始追肥，秋冬茬、冬春茬全生育期</w:t>
      </w:r>
      <w:r>
        <w:rPr>
          <w:rFonts w:hint="eastAsia" w:hAnsi="宋体"/>
          <w:szCs w:val="21"/>
          <w:lang w:bidi="ar"/>
        </w:rPr>
        <w:t>隔次灌水</w:t>
      </w:r>
      <w:r>
        <w:rPr>
          <w:rFonts w:hAnsi="宋体"/>
          <w:szCs w:val="21"/>
          <w:lang w:bidi="ar"/>
        </w:rPr>
        <w:t>追肥</w:t>
      </w:r>
      <w:r>
        <w:rPr>
          <w:rFonts w:hAnsi="宋体"/>
          <w:szCs w:val="21"/>
        </w:rPr>
        <w:t>。</w:t>
      </w:r>
    </w:p>
    <w:p>
      <w:pPr>
        <w:pStyle w:val="89"/>
        <w:numPr>
          <w:ilvl w:val="0"/>
          <w:numId w:val="13"/>
        </w:numPr>
        <w:spacing w:before="156" w:after="156"/>
        <w:rPr>
          <w:rFonts w:hint="eastAsia"/>
          <w:szCs w:val="22"/>
          <w:lang w:eastAsia="zh-CN"/>
        </w:rPr>
      </w:pPr>
      <w:bookmarkStart w:id="39" w:name="_Toc95741272"/>
      <w:r>
        <w:rPr>
          <w:szCs w:val="22"/>
        </w:rPr>
        <w:t xml:space="preserve">7.5  </w:t>
      </w:r>
      <w:bookmarkEnd w:id="39"/>
      <w:r>
        <w:rPr>
          <w:rFonts w:hint="eastAsia"/>
          <w:szCs w:val="22"/>
        </w:rPr>
        <w:t>设施</w:t>
      </w:r>
      <w:r>
        <w:rPr>
          <w:rFonts w:hint="eastAsia"/>
          <w:szCs w:val="22"/>
          <w:lang w:eastAsia="zh-CN"/>
        </w:rPr>
        <w:t>温度</w:t>
      </w:r>
    </w:p>
    <w:p>
      <w:pPr>
        <w:pStyle w:val="46"/>
        <w:ind w:firstLine="0" w:firstLineChars="0"/>
        <w:rPr>
          <w:rFonts w:hint="default" w:hAnsi="宋体"/>
          <w:szCs w:val="24"/>
          <w:lang w:val="en-US" w:eastAsia="zh-CN"/>
        </w:rPr>
      </w:pPr>
      <w:r>
        <w:rPr>
          <w:rFonts w:hint="eastAsia" w:hAnsi="宋体"/>
          <w:szCs w:val="24"/>
          <w:lang w:val="en-US" w:eastAsia="zh-CN"/>
        </w:rPr>
        <w:t xml:space="preserve">    设施内温度应控制在12℃-30℃范围内，如超过30℃应及时通风降温；相对湿度控制在60%-80%。设施通风口处需安装防虫网，避免外侵昆虫进入及授粉熊蜂外逃。</w:t>
      </w:r>
    </w:p>
    <w:p>
      <w:pPr>
        <w:pStyle w:val="46"/>
        <w:ind w:firstLine="0" w:firstLineChars="0"/>
        <w:rPr>
          <w:rFonts w:hAnsi="宋体"/>
          <w:szCs w:val="21"/>
        </w:rPr>
      </w:pPr>
    </w:p>
    <w:p>
      <w:pPr>
        <w:pStyle w:val="89"/>
        <w:numPr>
          <w:ilvl w:val="0"/>
          <w:numId w:val="13"/>
        </w:numPr>
        <w:spacing w:before="156" w:after="156"/>
        <w:rPr>
          <w:szCs w:val="22"/>
        </w:rPr>
      </w:pPr>
      <w:bookmarkStart w:id="40" w:name="_Toc95741273"/>
      <w:r>
        <w:rPr>
          <w:szCs w:val="22"/>
        </w:rPr>
        <w:t>8 灌水</w:t>
      </w:r>
      <w:bookmarkEnd w:id="40"/>
    </w:p>
    <w:p>
      <w:pPr>
        <w:pStyle w:val="89"/>
        <w:numPr>
          <w:ilvl w:val="0"/>
          <w:numId w:val="13"/>
        </w:numPr>
        <w:spacing w:before="156" w:after="156"/>
        <w:rPr>
          <w:szCs w:val="22"/>
        </w:rPr>
      </w:pPr>
      <w:bookmarkStart w:id="41" w:name="_Toc95741274"/>
      <w:r>
        <w:rPr>
          <w:rFonts w:hint="eastAsia"/>
          <w:szCs w:val="22"/>
        </w:rPr>
        <w:t>8</w:t>
      </w:r>
      <w:r>
        <w:rPr>
          <w:szCs w:val="22"/>
        </w:rPr>
        <w:t>.1</w:t>
      </w:r>
      <w:r>
        <w:rPr>
          <w:rFonts w:hint="eastAsia"/>
          <w:szCs w:val="22"/>
        </w:rPr>
        <w:t>灌水方法</w:t>
      </w:r>
      <w:bookmarkEnd w:id="41"/>
    </w:p>
    <w:p>
      <w:pPr>
        <w:pStyle w:val="46"/>
        <w:numPr>
          <w:ilvl w:val="0"/>
          <w:numId w:val="13"/>
        </w:numPr>
        <w:ind w:firstLine="420"/>
        <w:rPr>
          <w:rFonts w:hAnsi="宋体"/>
          <w:szCs w:val="21"/>
          <w:lang w:bidi="ar"/>
        </w:rPr>
      </w:pPr>
      <w:r>
        <w:rPr>
          <w:rFonts w:hint="eastAsia" w:hAnsi="宋体"/>
          <w:szCs w:val="21"/>
          <w:lang w:bidi="ar"/>
        </w:rPr>
        <w:t>推荐</w:t>
      </w:r>
      <w:r>
        <w:rPr>
          <w:rFonts w:hAnsi="宋体"/>
          <w:szCs w:val="21"/>
          <w:lang w:bidi="ar"/>
        </w:rPr>
        <w:t>采用膜下滴灌</w:t>
      </w:r>
      <w:r>
        <w:rPr>
          <w:rFonts w:hint="eastAsia" w:hAnsi="宋体"/>
          <w:szCs w:val="21"/>
          <w:lang w:bidi="ar"/>
        </w:rPr>
        <w:t>。</w:t>
      </w:r>
      <w:r>
        <w:rPr>
          <w:rFonts w:hAnsi="宋体"/>
          <w:szCs w:val="21"/>
          <w:lang w:bidi="ar"/>
        </w:rPr>
        <w:t>定植后及时浇水，</w:t>
      </w:r>
      <w:r>
        <w:rPr>
          <w:rFonts w:hint="eastAsia" w:hAnsi="宋体"/>
          <w:szCs w:val="21"/>
          <w:lang w:val="en-US" w:eastAsia="zh-CN" w:bidi="ar"/>
        </w:rPr>
        <w:t>5</w:t>
      </w:r>
      <w:r>
        <w:rPr>
          <w:rFonts w:hAnsi="宋体"/>
          <w:szCs w:val="21"/>
          <w:lang w:bidi="ar"/>
        </w:rPr>
        <w:t xml:space="preserve"> d～</w:t>
      </w:r>
      <w:r>
        <w:rPr>
          <w:rFonts w:hint="eastAsia" w:hAnsi="宋体"/>
          <w:szCs w:val="21"/>
          <w:lang w:val="en-US" w:eastAsia="zh-CN" w:bidi="ar"/>
        </w:rPr>
        <w:t>7</w:t>
      </w:r>
      <w:r>
        <w:rPr>
          <w:rFonts w:hAnsi="宋体"/>
          <w:szCs w:val="21"/>
          <w:lang w:bidi="ar"/>
        </w:rPr>
        <w:t xml:space="preserve"> d 后浇缓苗水；</w:t>
      </w:r>
      <w:r>
        <w:rPr>
          <w:rFonts w:hint="eastAsia" w:hAnsi="宋体"/>
          <w:szCs w:val="21"/>
          <w:lang w:bidi="ar"/>
        </w:rPr>
        <w:t>及时中耕蹲苗，进入结果（结瓜）盛期，每隔</w:t>
      </w:r>
      <w:r>
        <w:rPr>
          <w:rFonts w:hint="eastAsia" w:hAnsi="宋体"/>
          <w:szCs w:val="21"/>
          <w:lang w:val="en-US" w:eastAsia="zh-CN" w:bidi="ar"/>
        </w:rPr>
        <w:t>8</w:t>
      </w:r>
      <w:r>
        <w:rPr>
          <w:rFonts w:hint="eastAsia" w:hAnsi="宋体"/>
          <w:szCs w:val="21"/>
          <w:lang w:bidi="ar"/>
        </w:rPr>
        <w:t>~</w:t>
      </w:r>
      <w:r>
        <w:rPr>
          <w:rFonts w:hint="eastAsia" w:hAnsi="宋体"/>
          <w:szCs w:val="21"/>
          <w:lang w:val="en-US" w:eastAsia="zh-CN" w:bidi="ar"/>
        </w:rPr>
        <w:t>10</w:t>
      </w:r>
      <w:r>
        <w:rPr>
          <w:rFonts w:hAnsi="宋体"/>
          <w:szCs w:val="21"/>
          <w:lang w:bidi="ar"/>
        </w:rPr>
        <w:t>d</w:t>
      </w:r>
      <w:r>
        <w:rPr>
          <w:rFonts w:hint="eastAsia" w:hAnsi="宋体"/>
          <w:szCs w:val="21"/>
          <w:lang w:bidi="ar"/>
        </w:rPr>
        <w:t>浇一次水。</w:t>
      </w:r>
    </w:p>
    <w:p>
      <w:pPr>
        <w:pStyle w:val="46"/>
        <w:numPr>
          <w:ilvl w:val="0"/>
          <w:numId w:val="13"/>
        </w:numPr>
        <w:ind w:firstLine="420"/>
        <w:rPr>
          <w:rFonts w:ascii="Times New Roman" w:eastAsia="等线"/>
          <w:szCs w:val="21"/>
          <w:lang w:bidi="ar"/>
        </w:rPr>
      </w:pPr>
      <w:r>
        <w:rPr>
          <w:rFonts w:hAnsi="宋体"/>
          <w:szCs w:val="21"/>
          <w:lang w:bidi="ar"/>
        </w:rPr>
        <w:t>土壤相对湿度冬春季保持在 60%～70%，夏秋季保持在 75%～85%。</w:t>
      </w:r>
    </w:p>
    <w:p>
      <w:pPr>
        <w:pStyle w:val="89"/>
        <w:numPr>
          <w:ilvl w:val="0"/>
          <w:numId w:val="13"/>
        </w:numPr>
        <w:spacing w:before="156" w:after="156"/>
        <w:rPr>
          <w:szCs w:val="22"/>
        </w:rPr>
      </w:pPr>
      <w:bookmarkStart w:id="42" w:name="_Toc95741275"/>
      <w:r>
        <w:rPr>
          <w:rFonts w:hint="eastAsia"/>
          <w:szCs w:val="22"/>
        </w:rPr>
        <w:t>8</w:t>
      </w:r>
      <w:r>
        <w:rPr>
          <w:szCs w:val="22"/>
        </w:rPr>
        <w:t>.2</w:t>
      </w:r>
      <w:r>
        <w:rPr>
          <w:rFonts w:hint="eastAsia"/>
          <w:szCs w:val="22"/>
        </w:rPr>
        <w:t>灌水量</w:t>
      </w:r>
      <w:bookmarkEnd w:id="42"/>
    </w:p>
    <w:p>
      <w:pPr>
        <w:pStyle w:val="46"/>
        <w:numPr>
          <w:ilvl w:val="0"/>
          <w:numId w:val="13"/>
        </w:numPr>
        <w:ind w:firstLine="420"/>
        <w:rPr>
          <w:rFonts w:hAnsi="宋体"/>
          <w:szCs w:val="21"/>
          <w:lang w:bidi="ar"/>
        </w:rPr>
      </w:pPr>
      <w:r>
        <w:rPr>
          <w:rFonts w:hAnsi="宋体"/>
          <w:szCs w:val="21"/>
          <w:lang w:bidi="ar"/>
        </w:rPr>
        <w:t>日光温室蔬菜全生育期灌溉以少量多次、根层灌溉为原则，水肥一体化每667 m</w:t>
      </w:r>
      <w:r>
        <w:rPr>
          <w:rFonts w:hAnsi="宋体"/>
          <w:szCs w:val="21"/>
          <w:vertAlign w:val="superscript"/>
          <w:lang w:bidi="ar"/>
        </w:rPr>
        <w:t>2</w:t>
      </w:r>
      <w:r>
        <w:rPr>
          <w:rFonts w:hAnsi="宋体"/>
          <w:szCs w:val="21"/>
          <w:lang w:bidi="ar"/>
        </w:rPr>
        <w:t>灌水量控制在10 m</w:t>
      </w:r>
      <w:r>
        <w:rPr>
          <w:rFonts w:hAnsi="宋体"/>
          <w:szCs w:val="21"/>
          <w:vertAlign w:val="superscript"/>
          <w:lang w:bidi="ar"/>
        </w:rPr>
        <w:t>3</w:t>
      </w:r>
      <w:r>
        <w:rPr>
          <w:rFonts w:hAnsi="宋体"/>
          <w:szCs w:val="21"/>
          <w:lang w:bidi="ar"/>
        </w:rPr>
        <w:t>/次~12 m</w:t>
      </w:r>
      <w:r>
        <w:rPr>
          <w:rFonts w:hAnsi="宋体"/>
          <w:szCs w:val="21"/>
          <w:vertAlign w:val="superscript"/>
          <w:lang w:bidi="ar"/>
        </w:rPr>
        <w:t>3</w:t>
      </w:r>
      <w:r>
        <w:rPr>
          <w:rFonts w:hAnsi="宋体"/>
          <w:szCs w:val="21"/>
          <w:lang w:bidi="ar"/>
        </w:rPr>
        <w:t>/次</w:t>
      </w:r>
      <w:r>
        <w:rPr>
          <w:rFonts w:hint="eastAsia" w:hAnsi="宋体"/>
          <w:szCs w:val="21"/>
          <w:lang w:bidi="ar"/>
        </w:rPr>
        <w:t>；</w:t>
      </w:r>
      <w:r>
        <w:rPr>
          <w:rFonts w:hAnsi="宋体"/>
          <w:szCs w:val="21"/>
          <w:lang w:bidi="ar"/>
        </w:rPr>
        <w:t>膜下沟灌每667 m</w:t>
      </w:r>
      <w:r>
        <w:rPr>
          <w:rFonts w:hAnsi="宋体"/>
          <w:szCs w:val="21"/>
          <w:vertAlign w:val="superscript"/>
          <w:lang w:bidi="ar"/>
        </w:rPr>
        <w:t>2</w:t>
      </w:r>
      <w:r>
        <w:rPr>
          <w:rFonts w:hAnsi="宋体"/>
          <w:szCs w:val="21"/>
          <w:lang w:bidi="ar"/>
        </w:rPr>
        <w:t>灌水量控制在15 m</w:t>
      </w:r>
      <w:r>
        <w:rPr>
          <w:rFonts w:hAnsi="宋体"/>
          <w:szCs w:val="21"/>
          <w:vertAlign w:val="superscript"/>
          <w:lang w:bidi="ar"/>
        </w:rPr>
        <w:t>3</w:t>
      </w:r>
      <w:r>
        <w:rPr>
          <w:rFonts w:hAnsi="宋体"/>
          <w:szCs w:val="21"/>
          <w:lang w:bidi="ar"/>
        </w:rPr>
        <w:t>/次~18 m</w:t>
      </w:r>
      <w:r>
        <w:rPr>
          <w:rFonts w:hAnsi="宋体"/>
          <w:szCs w:val="21"/>
          <w:vertAlign w:val="superscript"/>
          <w:lang w:bidi="ar"/>
        </w:rPr>
        <w:t>3</w:t>
      </w:r>
      <w:r>
        <w:rPr>
          <w:rFonts w:hAnsi="宋体"/>
          <w:szCs w:val="21"/>
          <w:lang w:bidi="ar"/>
        </w:rPr>
        <w:t>/次，每隔1次水追肥1次。</w:t>
      </w:r>
    </w:p>
    <w:p>
      <w:pPr>
        <w:pStyle w:val="46"/>
        <w:ind w:firstLine="420"/>
        <w:rPr>
          <w:rFonts w:ascii="Times New Roman" w:eastAsia="等线"/>
          <w:szCs w:val="21"/>
          <w:lang w:bidi="ar"/>
        </w:rPr>
      </w:pPr>
      <w:r>
        <w:rPr>
          <w:rFonts w:hAnsi="宋体"/>
          <w:szCs w:val="21"/>
          <w:lang w:bidi="ar"/>
        </w:rPr>
        <w:t>黄瓜、番茄灌水参照规程DB13_T1137</w:t>
      </w:r>
      <w:r>
        <w:rPr>
          <w:rFonts w:hint="eastAsia" w:hAnsi="宋体"/>
          <w:szCs w:val="21"/>
          <w:lang w:bidi="ar"/>
        </w:rPr>
        <w:t>执行</w:t>
      </w:r>
      <w:r>
        <w:rPr>
          <w:rFonts w:hAnsi="宋体"/>
          <w:szCs w:val="21"/>
          <w:lang w:bidi="ar"/>
        </w:rPr>
        <w:t>。</w:t>
      </w:r>
    </w:p>
    <w:p>
      <w:pPr>
        <w:pStyle w:val="89"/>
        <w:numPr>
          <w:ilvl w:val="0"/>
          <w:numId w:val="13"/>
        </w:numPr>
        <w:spacing w:before="156" w:after="156"/>
        <w:rPr>
          <w:rFonts w:hint="eastAsia"/>
          <w:szCs w:val="22"/>
        </w:rPr>
      </w:pPr>
      <w:bookmarkStart w:id="43" w:name="_Toc95741276"/>
      <w:r>
        <w:rPr>
          <w:szCs w:val="22"/>
        </w:rPr>
        <w:t>9</w:t>
      </w:r>
      <w:r>
        <w:rPr>
          <w:rFonts w:hint="eastAsia"/>
          <w:szCs w:val="22"/>
        </w:rPr>
        <w:t xml:space="preserve"> </w:t>
      </w:r>
      <w:r>
        <w:rPr>
          <w:szCs w:val="22"/>
        </w:rPr>
        <w:t xml:space="preserve"> </w:t>
      </w:r>
      <w:bookmarkEnd w:id="43"/>
      <w:r>
        <w:rPr>
          <w:rFonts w:hint="eastAsia"/>
          <w:szCs w:val="22"/>
        </w:rPr>
        <w:t>产后残体无害化处理</w:t>
      </w:r>
    </w:p>
    <w:p>
      <w:pPr>
        <w:pStyle w:val="89"/>
        <w:numPr>
          <w:ilvl w:val="0"/>
          <w:numId w:val="13"/>
        </w:numPr>
        <w:spacing w:before="156" w:after="156"/>
        <w:rPr>
          <w:rFonts w:hint="eastAsia"/>
          <w:szCs w:val="22"/>
        </w:rPr>
      </w:pPr>
      <w:r>
        <w:rPr>
          <w:rFonts w:hint="eastAsia"/>
          <w:szCs w:val="22"/>
          <w:lang w:val="en-US" w:eastAsia="zh-CN"/>
        </w:rPr>
        <w:t xml:space="preserve">  </w:t>
      </w:r>
      <w:r>
        <w:rPr>
          <w:rFonts w:hint="eastAsia"/>
          <w:szCs w:val="22"/>
        </w:rPr>
        <w:t>9.1 秸秆原位还田处理</w:t>
      </w:r>
    </w:p>
    <w:p>
      <w:pPr>
        <w:pStyle w:val="26"/>
        <w:widowControl/>
        <w:spacing w:before="0" w:beforeAutospacing="0" w:after="0" w:afterAutospacing="0"/>
        <w:ind w:firstLine="480"/>
        <w:rPr>
          <w:rFonts w:hint="default" w:ascii="宋体" w:hAnsi="宋体"/>
          <w:sz w:val="21"/>
          <w:szCs w:val="21"/>
          <w:lang w:val="en-US"/>
        </w:rPr>
      </w:pPr>
      <w:r>
        <w:rPr>
          <w:rFonts w:hint="eastAsia" w:ascii="宋体" w:hAnsi="宋体"/>
          <w:sz w:val="21"/>
          <w:szCs w:val="21"/>
          <w:lang w:bidi="ar"/>
        </w:rPr>
        <w:t>蔬菜收获后，清除病害植株，移出设施外并施药剂灌穴；关闭设施通风口，用20%异硫氰酸烯丙酯水乳剂喷雾或高效低毒的杀虫杀菌烟剂熏蒸处理，密闭设施2d-3d，室内白天维持在70℃-80℃，之后放风排气。用蔬菜秸秆还田机将蔬菜秸秆切碎、灭茬，均匀撒施有机肥料2-3m</w:t>
      </w:r>
      <w:r>
        <w:rPr>
          <w:rFonts w:hint="eastAsia" w:ascii="宋体" w:hAnsi="宋体"/>
          <w:sz w:val="21"/>
          <w:szCs w:val="21"/>
          <w:vertAlign w:val="superscript"/>
          <w:lang w:bidi="ar"/>
        </w:rPr>
        <w:t>3</w:t>
      </w:r>
      <w:r>
        <w:rPr>
          <w:rFonts w:hAnsi="宋体"/>
          <w:sz w:val="21"/>
          <w:szCs w:val="21"/>
          <w:lang w:bidi="ar"/>
        </w:rPr>
        <w:t>/</w:t>
      </w:r>
      <w:r>
        <w:rPr>
          <w:rFonts w:hint="eastAsia" w:hAnsi="宋体"/>
          <w:sz w:val="21"/>
          <w:szCs w:val="21"/>
          <w:lang w:bidi="ar"/>
        </w:rPr>
        <w:t>亩</w:t>
      </w:r>
      <w:r>
        <w:rPr>
          <w:rFonts w:hint="eastAsia" w:hAnsi="宋体"/>
          <w:sz w:val="21"/>
          <w:szCs w:val="21"/>
          <w:lang w:eastAsia="zh-CN" w:bidi="ar"/>
        </w:rPr>
        <w:t>及</w:t>
      </w:r>
      <w:r>
        <w:rPr>
          <w:rFonts w:hint="eastAsia" w:hAnsi="宋体"/>
          <w:sz w:val="21"/>
          <w:szCs w:val="21"/>
          <w:lang w:val="en-US" w:eastAsia="zh-CN" w:bidi="ar"/>
        </w:rPr>
        <w:t>10kg/亩的腐熟菌剂。施用旋耕机深翻土层30cm以上，使蔬菜秸秆、腐熟菌剂等与土壤混匀。浇透水后覆盖地膜，密闭设施，发酵15d-20d。结束后，设施进行放风2d-3d，并进行二次旋耕。有机肥料应符合NY 525规定。</w:t>
      </w:r>
    </w:p>
    <w:p>
      <w:pPr>
        <w:pStyle w:val="89"/>
        <w:numPr>
          <w:ilvl w:val="0"/>
          <w:numId w:val="13"/>
        </w:numPr>
        <w:spacing w:before="156" w:after="156"/>
        <w:rPr>
          <w:rFonts w:hint="default" w:eastAsia="宋体"/>
          <w:lang w:val="en-US" w:eastAsia="zh-CN"/>
        </w:rPr>
      </w:pPr>
      <w:r>
        <w:rPr>
          <w:rFonts w:hint="eastAsia"/>
          <w:lang w:val="en-US" w:eastAsia="zh-CN"/>
        </w:rPr>
        <w:t xml:space="preserve">   9.2 堆沤处理</w:t>
      </w:r>
    </w:p>
    <w:p>
      <w:pPr>
        <w:pStyle w:val="26"/>
        <w:widowControl/>
        <w:spacing w:before="0" w:beforeAutospacing="0" w:after="0" w:afterAutospacing="0"/>
        <w:ind w:firstLine="480"/>
        <w:rPr>
          <w:rFonts w:hint="eastAsia" w:ascii="宋体" w:hAnsi="宋体"/>
          <w:sz w:val="21"/>
          <w:szCs w:val="21"/>
          <w:lang w:bidi="ar"/>
        </w:rPr>
      </w:pPr>
      <w:r>
        <w:rPr>
          <w:rFonts w:hint="eastAsia" w:ascii="宋体" w:hAnsi="宋体"/>
          <w:sz w:val="21"/>
          <w:szCs w:val="21"/>
          <w:lang w:bidi="ar"/>
        </w:rPr>
        <w:t>夏季利用覆膜高温堆，其他季节利用发酵池、臭氧处理等方式集中杀灭植株残体携带的病虫。</w:t>
      </w:r>
    </w:p>
    <w:p>
      <w:pPr>
        <w:pStyle w:val="26"/>
        <w:widowControl/>
        <w:spacing w:before="0" w:beforeAutospacing="0" w:after="0" w:afterAutospacing="0"/>
        <w:rPr>
          <w:rFonts w:hint="eastAsia" w:ascii="宋体" w:hAnsi="宋体"/>
          <w:sz w:val="21"/>
          <w:szCs w:val="21"/>
          <w:lang w:bidi="ar"/>
        </w:rPr>
      </w:pPr>
      <w:r>
        <w:rPr>
          <w:rFonts w:hint="eastAsia" w:ascii="宋体" w:hAnsi="宋体"/>
          <w:sz w:val="21"/>
          <w:szCs w:val="21"/>
          <w:lang w:bidi="ar"/>
        </w:rPr>
        <w:t>臭氧处理：利用臭氧发生装置对拉秧蔬菜等带病虫植株残体进行无害化处理。</w:t>
      </w:r>
    </w:p>
    <w:p>
      <w:pPr>
        <w:pStyle w:val="26"/>
        <w:widowControl/>
        <w:spacing w:before="0" w:beforeAutospacing="0" w:after="0" w:afterAutospacing="0"/>
        <w:ind w:firstLine="480"/>
        <w:rPr>
          <w:rFonts w:hint="eastAsia" w:ascii="宋体" w:hAnsi="宋体"/>
          <w:sz w:val="21"/>
          <w:szCs w:val="21"/>
          <w:lang w:bidi="ar"/>
        </w:rPr>
      </w:pPr>
      <w:r>
        <w:rPr>
          <w:rFonts w:hint="eastAsia" w:ascii="宋体" w:hAnsi="宋体"/>
          <w:sz w:val="21"/>
          <w:szCs w:val="21"/>
          <w:lang w:bidi="ar"/>
        </w:rPr>
        <w:t>高温堆沤：夏季选择高于地面能够照射阳光的防渗堆沤池地点，将植株残体集中堆放后，</w:t>
      </w:r>
      <w:r>
        <w:rPr>
          <w:rFonts w:hint="eastAsia" w:ascii="宋体" w:hAnsi="宋体"/>
          <w:sz w:val="21"/>
          <w:szCs w:val="21"/>
          <w:lang w:eastAsia="zh-CN" w:bidi="ar"/>
        </w:rPr>
        <w:t>摞成</w:t>
      </w:r>
      <w:r>
        <w:rPr>
          <w:rFonts w:hint="eastAsia" w:ascii="宋体" w:hAnsi="宋体"/>
          <w:sz w:val="21"/>
          <w:szCs w:val="21"/>
          <w:lang w:val="en-US" w:eastAsia="zh-CN" w:bidi="ar"/>
        </w:rPr>
        <w:t>50-70cm高，</w:t>
      </w:r>
      <w:r>
        <w:rPr>
          <w:rFonts w:hint="eastAsia" w:ascii="宋体" w:hAnsi="宋体"/>
          <w:sz w:val="21"/>
          <w:szCs w:val="21"/>
          <w:lang w:bidi="ar"/>
        </w:rPr>
        <w:t>覆盖</w:t>
      </w:r>
      <w:r>
        <w:rPr>
          <w:rFonts w:hint="eastAsia" w:ascii="宋体" w:hAnsi="宋体"/>
          <w:sz w:val="21"/>
          <w:szCs w:val="21"/>
          <w:lang w:eastAsia="zh-CN" w:bidi="ar"/>
        </w:rPr>
        <w:t>大于</w:t>
      </w:r>
      <w:r>
        <w:rPr>
          <w:rFonts w:hint="eastAsia" w:ascii="宋体" w:hAnsi="宋体"/>
          <w:sz w:val="21"/>
          <w:szCs w:val="21"/>
          <w:lang w:val="en-US" w:eastAsia="zh-CN" w:bidi="ar"/>
        </w:rPr>
        <w:t>0.03mm的</w:t>
      </w:r>
      <w:r>
        <w:rPr>
          <w:rFonts w:hint="eastAsia" w:ascii="宋体" w:hAnsi="宋体"/>
          <w:sz w:val="21"/>
          <w:szCs w:val="21"/>
          <w:lang w:bidi="ar"/>
        </w:rPr>
        <w:t>透明、抗老化的塑料膜，四周用土壤压实，如膜有破损需用透明胶带粘补，让太阳直射，进行高温密闭堆沤，如晴好高温天数多，堆沤10d-20d，如阴雨天数多，则需适情况延长。</w:t>
      </w:r>
    </w:p>
    <w:p>
      <w:pPr>
        <w:pStyle w:val="26"/>
        <w:widowControl/>
        <w:spacing w:before="0" w:beforeAutospacing="0" w:after="0" w:afterAutospacing="0"/>
        <w:ind w:firstLine="480"/>
        <w:rPr>
          <w:rFonts w:hint="eastAsia" w:ascii="宋体" w:hAnsi="宋体"/>
          <w:sz w:val="21"/>
          <w:szCs w:val="21"/>
          <w:lang w:bidi="ar"/>
        </w:rPr>
      </w:pPr>
      <w:r>
        <w:rPr>
          <w:rFonts w:hint="eastAsia" w:ascii="宋体" w:hAnsi="宋体"/>
          <w:sz w:val="21"/>
          <w:szCs w:val="21"/>
          <w:lang w:bidi="ar"/>
        </w:rPr>
        <w:t>发酵处理：有条件的地区，可将植物残体粉碎后，与发酵菌、有机肥等一起在发酵池中发酵，循环再利用。</w:t>
      </w:r>
    </w:p>
    <w:p>
      <w:pPr>
        <w:pStyle w:val="26"/>
        <w:widowControl/>
        <w:spacing w:before="0" w:beforeAutospacing="0" w:after="0" w:afterAutospacing="0"/>
        <w:ind w:firstLine="480"/>
        <w:rPr>
          <w:rFonts w:hint="eastAsia" w:ascii="宋体" w:hAnsi="宋体"/>
          <w:sz w:val="21"/>
          <w:szCs w:val="21"/>
          <w:lang w:bidi="ar"/>
        </w:rPr>
      </w:pPr>
    </w:p>
    <w:bookmarkEnd w:id="3"/>
    <w:p>
      <w:pPr>
        <w:ind w:left="480" w:right="105" w:firstLine="480"/>
        <w:jc w:val="left"/>
        <w:rPr>
          <w:rFonts w:ascii="Times New Roman" w:hAnsi="Times New Roman"/>
          <w:sz w:val="24"/>
          <w:u w:val="thick"/>
        </w:rPr>
      </w:pPr>
      <w:r>
        <w:rPr>
          <w:rFonts w:ascii="Times New Roman" w:hAnsi="Times New Roman"/>
          <w:sz w:val="24"/>
        </w:rPr>
        <w:t xml:space="preserve">     </w:t>
      </w:r>
      <w:r>
        <w:rPr>
          <w:rFonts w:ascii="Times New Roman" w:hAnsi="Times New Roman"/>
          <w:sz w:val="24"/>
          <w:u w:val="thick"/>
        </w:rPr>
        <w:t xml:space="preserve">                                   </w:t>
      </w:r>
    </w:p>
    <w:p>
      <w:pPr>
        <w:pStyle w:val="26"/>
        <w:widowControl/>
        <w:spacing w:before="0" w:beforeAutospacing="0" w:after="0" w:afterAutospacing="0"/>
        <w:rPr>
          <w:rFonts w:hint="eastAsia" w:ascii="Times New Roman" w:hAnsi="Times New Roman"/>
          <w:color w:val="FF0000"/>
        </w:rPr>
      </w:pPr>
    </w:p>
    <w:sectPr>
      <w:headerReference r:id="rId9" w:type="default"/>
      <w:footerReference r:id="rId10" w:type="default"/>
      <w:pgSz w:w="11907" w:h="16839"/>
      <w:pgMar w:top="1418" w:right="1134" w:bottom="1134" w:left="1418" w:header="1418"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altName w:val="微软雅黑"/>
    <w:panose1 w:val="02000000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rPr>
        <w:rStyle w:val="30"/>
      </w:rPr>
    </w:pPr>
    <w:r>
      <w:fldChar w:fldCharType="begin"/>
    </w:r>
    <w:r>
      <w:rPr>
        <w:rStyle w:val="30"/>
      </w:rPr>
      <w:instrText xml:space="preserve">PAGE  </w:instrText>
    </w:r>
    <w:r>
      <w:fldChar w:fldCharType="separate"/>
    </w:r>
    <w:r>
      <w:rPr>
        <w:rStyle w:val="30"/>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0"/>
      </w:rPr>
    </w:pPr>
    <w:r>
      <w:fldChar w:fldCharType="begin"/>
    </w:r>
    <w:r>
      <w:rPr>
        <w:rStyle w:val="30"/>
      </w:rPr>
      <w:instrText xml:space="preserve">PAGE  </w:instrText>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rPr>
        <w:rStyle w:val="30"/>
      </w:rPr>
    </w:pPr>
    <w:r>
      <w:fldChar w:fldCharType="begin"/>
    </w:r>
    <w:r>
      <w:rPr>
        <w:rStyle w:val="30"/>
      </w:rPr>
      <w:instrText xml:space="preserve">PAGE  </w:instrText>
    </w:r>
    <w:r>
      <w:fldChar w:fldCharType="separate"/>
    </w:r>
    <w:r>
      <w:rPr>
        <w:rStyle w:val="30"/>
      </w:rPr>
      <w:t>7</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pPr>
    <w:r>
      <w:t>Q/01××× ××—2004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4"/>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rPr>
        <w:rFonts w:hint="eastAsia"/>
      </w:rPr>
    </w:pPr>
    <w:r>
      <w:rPr>
        <w:rFonts w:hint="eastAsia"/>
      </w:rPr>
      <w:t>DB13/T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multilevel"/>
    <w:tmpl w:val="0000000C"/>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bullet"/>
      <w:lvlText w:val=""/>
      <w:lvlJc w:val="left"/>
      <w:pPr>
        <w:ind w:left="0" w:firstLine="0"/>
      </w:pPr>
      <w:rPr>
        <w:rFonts w:hint="default" w:ascii="Wingdings" w:hAnsi="Wingdings"/>
        <w:b w:val="0"/>
        <w:i w:val="0"/>
        <w:sz w:val="21"/>
      </w:rPr>
    </w:lvl>
    <w:lvl w:ilvl="2" w:tentative="0">
      <w:start w:val="1"/>
      <w:numFmt w:val="decimal"/>
      <w:suff w:val="nothing"/>
      <w:lvlText w:val="%1%2.%3　"/>
      <w:lvlJc w:val="left"/>
      <w:pPr>
        <w:ind w:left="709"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AE367E9"/>
    <w:multiLevelType w:val="multilevel"/>
    <w:tmpl w:val="0AE367E9"/>
    <w:lvl w:ilvl="0" w:tentative="0">
      <w:start w:val="1"/>
      <w:numFmt w:val="none"/>
      <w:pStyle w:val="88"/>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46806F7D"/>
    <w:multiLevelType w:val="multilevel"/>
    <w:tmpl w:val="46806F7D"/>
    <w:lvl w:ilvl="0" w:tentative="0">
      <w:start w:val="1"/>
      <w:numFmt w:val="none"/>
      <w:pStyle w:val="97"/>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46D22D8F"/>
    <w:multiLevelType w:val="multilevel"/>
    <w:tmpl w:val="46D22D8F"/>
    <w:lvl w:ilvl="0" w:tentative="0">
      <w:start w:val="1"/>
      <w:numFmt w:val="none"/>
      <w:pStyle w:val="80"/>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96E4D7B"/>
    <w:multiLevelType w:val="multilevel"/>
    <w:tmpl w:val="496E4D7B"/>
    <w:lvl w:ilvl="0" w:tentative="0">
      <w:start w:val="1"/>
      <w:numFmt w:val="none"/>
      <w:pStyle w:val="100"/>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F302902"/>
    <w:multiLevelType w:val="multilevel"/>
    <w:tmpl w:val="4F302902"/>
    <w:lvl w:ilvl="0" w:tentative="0">
      <w:start w:val="1"/>
      <w:numFmt w:val="none"/>
      <w:pStyle w:val="96"/>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57C2AF5"/>
    <w:multiLevelType w:val="multilevel"/>
    <w:tmpl w:val="557C2AF5"/>
    <w:lvl w:ilvl="0" w:tentative="0">
      <w:start w:val="1"/>
      <w:numFmt w:val="decimal"/>
      <w:pStyle w:val="8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6350366A"/>
    <w:multiLevelType w:val="multilevel"/>
    <w:tmpl w:val="6350366A"/>
    <w:lvl w:ilvl="0" w:tentative="0">
      <w:start w:val="1"/>
      <w:numFmt w:val="none"/>
      <w:pStyle w:val="76"/>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646260FA"/>
    <w:multiLevelType w:val="multilevel"/>
    <w:tmpl w:val="646260FA"/>
    <w:lvl w:ilvl="0" w:tentative="0">
      <w:start w:val="1"/>
      <w:numFmt w:val="decimal"/>
      <w:pStyle w:val="7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657D3FBC"/>
    <w:multiLevelType w:val="multilevel"/>
    <w:tmpl w:val="657D3FBC"/>
    <w:lvl w:ilvl="0" w:tentative="0">
      <w:start w:val="1"/>
      <w:numFmt w:val="upperLetter"/>
      <w:pStyle w:val="69"/>
      <w:suff w:val="nothing"/>
      <w:lvlText w:val="附　录　%1"/>
      <w:lvlJc w:val="left"/>
      <w:pPr>
        <w:ind w:left="0" w:firstLine="0"/>
      </w:pPr>
      <w:rPr>
        <w:rFonts w:hint="eastAsia" w:ascii="黑体" w:hAnsi="Times New Roman" w:eastAsia="黑体"/>
        <w:b w:val="0"/>
        <w:i w:val="0"/>
        <w:sz w:val="21"/>
      </w:rPr>
    </w:lvl>
    <w:lvl w:ilvl="1" w:tentative="0">
      <w:start w:val="1"/>
      <w:numFmt w:val="decimal"/>
      <w:pStyle w:val="55"/>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54"/>
      <w:suff w:val="nothing"/>
      <w:lvlText w:val="%1.%2.%3　"/>
      <w:lvlJc w:val="left"/>
      <w:pPr>
        <w:ind w:left="0" w:firstLine="0"/>
      </w:pPr>
      <w:rPr>
        <w:rFonts w:hint="eastAsia" w:ascii="黑体" w:hAnsi="Times New Roman" w:eastAsia="黑体"/>
        <w:b w:val="0"/>
        <w:i w:val="0"/>
        <w:sz w:val="21"/>
      </w:rPr>
    </w:lvl>
    <w:lvl w:ilvl="3" w:tentative="0">
      <w:start w:val="1"/>
      <w:numFmt w:val="decimal"/>
      <w:pStyle w:val="53"/>
      <w:suff w:val="nothing"/>
      <w:lvlText w:val="%1.%2.%3.%4　"/>
      <w:lvlJc w:val="left"/>
      <w:pPr>
        <w:ind w:left="0" w:firstLine="0"/>
      </w:pPr>
      <w:rPr>
        <w:rFonts w:hint="eastAsia" w:ascii="黑体" w:hAnsi="Times New Roman" w:eastAsia="黑体"/>
        <w:b w:val="0"/>
        <w:i w:val="0"/>
        <w:sz w:val="21"/>
      </w:rPr>
    </w:lvl>
    <w:lvl w:ilvl="4" w:tentative="0">
      <w:start w:val="1"/>
      <w:numFmt w:val="decimal"/>
      <w:pStyle w:val="57"/>
      <w:suff w:val="nothing"/>
      <w:lvlText w:val="%1.%2.%3.%4.%5　"/>
      <w:lvlJc w:val="left"/>
      <w:pPr>
        <w:ind w:left="0" w:firstLine="0"/>
      </w:pPr>
      <w:rPr>
        <w:rFonts w:hint="eastAsia" w:ascii="黑体" w:hAnsi="Times New Roman" w:eastAsia="黑体"/>
        <w:b w:val="0"/>
        <w:i w:val="0"/>
        <w:sz w:val="21"/>
      </w:rPr>
    </w:lvl>
    <w:lvl w:ilvl="5" w:tentative="0">
      <w:start w:val="1"/>
      <w:numFmt w:val="decimal"/>
      <w:pStyle w:val="56"/>
      <w:suff w:val="nothing"/>
      <w:lvlText w:val="%1.%2.%3.%4.%5.%6　"/>
      <w:lvlJc w:val="left"/>
      <w:pPr>
        <w:ind w:left="0" w:firstLine="0"/>
      </w:pPr>
      <w:rPr>
        <w:rFonts w:hint="eastAsia" w:ascii="黑体" w:hAnsi="Times New Roman" w:eastAsia="黑体"/>
        <w:b w:val="0"/>
        <w:i w:val="0"/>
        <w:sz w:val="21"/>
      </w:rPr>
    </w:lvl>
    <w:lvl w:ilvl="6" w:tentative="0">
      <w:start w:val="1"/>
      <w:numFmt w:val="decimal"/>
      <w:pStyle w:val="8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6CEA2025"/>
    <w:multiLevelType w:val="multilevel"/>
    <w:tmpl w:val="6CEA2025"/>
    <w:lvl w:ilvl="0" w:tentative="0">
      <w:start w:val="1"/>
      <w:numFmt w:val="none"/>
      <w:pStyle w:val="51"/>
      <w:suff w:val="nothing"/>
      <w:lvlText w:val="%1"/>
      <w:lvlJc w:val="left"/>
      <w:pPr>
        <w:ind w:left="0" w:firstLine="0"/>
      </w:pPr>
      <w:rPr>
        <w:rFonts w:hint="default" w:ascii="Times New Roman" w:hAnsi="Times New Roman"/>
        <w:b/>
        <w:i w:val="0"/>
        <w:sz w:val="21"/>
      </w:rPr>
    </w:lvl>
    <w:lvl w:ilvl="1" w:tentative="0">
      <w:start w:val="1"/>
      <w:numFmt w:val="decimal"/>
      <w:pStyle w:val="89"/>
      <w:suff w:val="nothing"/>
      <w:lvlText w:val="%1%2　"/>
      <w:lvlJc w:val="left"/>
      <w:pPr>
        <w:ind w:left="0" w:firstLine="0"/>
      </w:pPr>
      <w:rPr>
        <w:rFonts w:hint="eastAsia" w:ascii="黑体" w:hAnsi="Times New Roman" w:eastAsia="黑体"/>
        <w:b w:val="0"/>
        <w:i w:val="0"/>
        <w:sz w:val="21"/>
      </w:rPr>
    </w:lvl>
    <w:lvl w:ilvl="2" w:tentative="0">
      <w:start w:val="1"/>
      <w:numFmt w:val="decimal"/>
      <w:pStyle w:val="59"/>
      <w:suff w:val="nothing"/>
      <w:lvlText w:val="%1%2.%3　"/>
      <w:lvlJc w:val="left"/>
      <w:pPr>
        <w:ind w:left="0" w:firstLine="0"/>
      </w:pPr>
      <w:rPr>
        <w:rFonts w:hint="eastAsia" w:ascii="黑体" w:hAnsi="Times New Roman" w:eastAsia="黑体"/>
        <w:b w:val="0"/>
        <w:i w:val="0"/>
        <w:sz w:val="21"/>
      </w:rPr>
    </w:lvl>
    <w:lvl w:ilvl="3" w:tentative="0">
      <w:start w:val="1"/>
      <w:numFmt w:val="decimal"/>
      <w:pStyle w:val="58"/>
      <w:suff w:val="nothing"/>
      <w:lvlText w:val="%1%2.%3.%4　"/>
      <w:lvlJc w:val="left"/>
      <w:pPr>
        <w:ind w:left="426" w:firstLine="0"/>
      </w:pPr>
      <w:rPr>
        <w:rFonts w:hint="eastAsia" w:ascii="黑体" w:hAnsi="Times New Roman" w:eastAsia="黑体"/>
        <w:b w:val="0"/>
        <w:i w:val="0"/>
        <w:sz w:val="21"/>
      </w:rPr>
    </w:lvl>
    <w:lvl w:ilvl="4" w:tentative="0">
      <w:start w:val="1"/>
      <w:numFmt w:val="decimal"/>
      <w:pStyle w:val="68"/>
      <w:suff w:val="nothing"/>
      <w:lvlText w:val="%1%2.%3.%4.%5　"/>
      <w:lvlJc w:val="left"/>
      <w:pPr>
        <w:ind w:left="0" w:firstLine="0"/>
      </w:pPr>
      <w:rPr>
        <w:rFonts w:hint="eastAsia" w:ascii="黑体" w:hAnsi="Times New Roman" w:eastAsia="黑体"/>
        <w:b w:val="0"/>
        <w:i w:val="0"/>
        <w:sz w:val="21"/>
      </w:rPr>
    </w:lvl>
    <w:lvl w:ilvl="5" w:tentative="0">
      <w:start w:val="1"/>
      <w:numFmt w:val="decimal"/>
      <w:pStyle w:val="74"/>
      <w:suff w:val="nothing"/>
      <w:lvlText w:val="%1%2.%3.%4.%5.%6　"/>
      <w:lvlJc w:val="left"/>
      <w:pPr>
        <w:ind w:left="0" w:firstLine="0"/>
      </w:pPr>
      <w:rPr>
        <w:rFonts w:hint="eastAsia" w:ascii="黑体" w:hAnsi="Times New Roman" w:eastAsia="黑体"/>
        <w:b w:val="0"/>
        <w:i w:val="0"/>
        <w:sz w:val="21"/>
      </w:rPr>
    </w:lvl>
    <w:lvl w:ilvl="6" w:tentative="0">
      <w:start w:val="1"/>
      <w:numFmt w:val="decimal"/>
      <w:pStyle w:val="9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6DBF04F4"/>
    <w:multiLevelType w:val="multilevel"/>
    <w:tmpl w:val="6DBF04F4"/>
    <w:lvl w:ilvl="0" w:tentative="0">
      <w:start w:val="1"/>
      <w:numFmt w:val="none"/>
      <w:pStyle w:val="83"/>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76933334"/>
    <w:multiLevelType w:val="multilevel"/>
    <w:tmpl w:val="76933334"/>
    <w:lvl w:ilvl="0" w:tentative="0">
      <w:start w:val="1"/>
      <w:numFmt w:val="none"/>
      <w:pStyle w:val="49"/>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2"/>
  </w:num>
  <w:num w:numId="2">
    <w:abstractNumId w:val="10"/>
  </w:num>
  <w:num w:numId="3">
    <w:abstractNumId w:val="9"/>
  </w:num>
  <w:num w:numId="4">
    <w:abstractNumId w:val="8"/>
  </w:num>
  <w:num w:numId="5">
    <w:abstractNumId w:val="7"/>
  </w:num>
  <w:num w:numId="6">
    <w:abstractNumId w:val="3"/>
  </w:num>
  <w:num w:numId="7">
    <w:abstractNumId w:val="11"/>
  </w:num>
  <w:num w:numId="8">
    <w:abstractNumId w:val="6"/>
  </w:num>
  <w:num w:numId="9">
    <w:abstractNumId w:val="1"/>
  </w:num>
  <w:num w:numId="10">
    <w:abstractNumId w:val="5"/>
  </w:num>
  <w:num w:numId="11">
    <w:abstractNumId w:val="2"/>
  </w:num>
  <w:num w:numId="12">
    <w:abstractNumId w:val="4"/>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4OTgzN2QzM2IzZDkyYzBkYjUyMmIyYWY5YmM2MDcifQ=="/>
  </w:docVars>
  <w:rsids>
    <w:rsidRoot w:val="00AE2C75"/>
    <w:rsid w:val="00020EDC"/>
    <w:rsid w:val="00057A3B"/>
    <w:rsid w:val="00063025"/>
    <w:rsid w:val="0008782A"/>
    <w:rsid w:val="000A7348"/>
    <w:rsid w:val="000B5620"/>
    <w:rsid w:val="000E68C1"/>
    <w:rsid w:val="000F2C5A"/>
    <w:rsid w:val="00121162"/>
    <w:rsid w:val="001374D4"/>
    <w:rsid w:val="00140848"/>
    <w:rsid w:val="001747FD"/>
    <w:rsid w:val="001762D3"/>
    <w:rsid w:val="001A0F16"/>
    <w:rsid w:val="001D59A5"/>
    <w:rsid w:val="001E08B9"/>
    <w:rsid w:val="00234290"/>
    <w:rsid w:val="00234796"/>
    <w:rsid w:val="00277653"/>
    <w:rsid w:val="00284FD9"/>
    <w:rsid w:val="002A244E"/>
    <w:rsid w:val="002B2A2C"/>
    <w:rsid w:val="002B6EE2"/>
    <w:rsid w:val="002C0403"/>
    <w:rsid w:val="002E4560"/>
    <w:rsid w:val="002F0435"/>
    <w:rsid w:val="00305CC1"/>
    <w:rsid w:val="003216FE"/>
    <w:rsid w:val="00336183"/>
    <w:rsid w:val="00347364"/>
    <w:rsid w:val="00353DDD"/>
    <w:rsid w:val="0038551B"/>
    <w:rsid w:val="003A12A5"/>
    <w:rsid w:val="003F4CCB"/>
    <w:rsid w:val="00402FFA"/>
    <w:rsid w:val="004076F7"/>
    <w:rsid w:val="004169D2"/>
    <w:rsid w:val="00417745"/>
    <w:rsid w:val="004214C9"/>
    <w:rsid w:val="0045346F"/>
    <w:rsid w:val="00480BDA"/>
    <w:rsid w:val="004820FB"/>
    <w:rsid w:val="004847FF"/>
    <w:rsid w:val="00487718"/>
    <w:rsid w:val="004A5973"/>
    <w:rsid w:val="004B441A"/>
    <w:rsid w:val="004F0B98"/>
    <w:rsid w:val="004F4244"/>
    <w:rsid w:val="00503455"/>
    <w:rsid w:val="0050709C"/>
    <w:rsid w:val="0052112F"/>
    <w:rsid w:val="00527BED"/>
    <w:rsid w:val="00541CE6"/>
    <w:rsid w:val="005B4087"/>
    <w:rsid w:val="005C7886"/>
    <w:rsid w:val="005E6FBA"/>
    <w:rsid w:val="005F4422"/>
    <w:rsid w:val="00602475"/>
    <w:rsid w:val="00630900"/>
    <w:rsid w:val="00632E6B"/>
    <w:rsid w:val="00643EC1"/>
    <w:rsid w:val="0065361D"/>
    <w:rsid w:val="00675745"/>
    <w:rsid w:val="00676C94"/>
    <w:rsid w:val="0068601D"/>
    <w:rsid w:val="006B1ED0"/>
    <w:rsid w:val="006B6F55"/>
    <w:rsid w:val="006C6B52"/>
    <w:rsid w:val="006E2ED9"/>
    <w:rsid w:val="00736725"/>
    <w:rsid w:val="00743A96"/>
    <w:rsid w:val="0075388A"/>
    <w:rsid w:val="00776923"/>
    <w:rsid w:val="007879BA"/>
    <w:rsid w:val="00795FB2"/>
    <w:rsid w:val="007A0C19"/>
    <w:rsid w:val="007A2304"/>
    <w:rsid w:val="007B0CB2"/>
    <w:rsid w:val="007D111D"/>
    <w:rsid w:val="007E0BA9"/>
    <w:rsid w:val="007F64BE"/>
    <w:rsid w:val="0080117D"/>
    <w:rsid w:val="00826B21"/>
    <w:rsid w:val="008306EB"/>
    <w:rsid w:val="00833483"/>
    <w:rsid w:val="00863FA1"/>
    <w:rsid w:val="00882A68"/>
    <w:rsid w:val="008912F6"/>
    <w:rsid w:val="008B30F0"/>
    <w:rsid w:val="008F1A23"/>
    <w:rsid w:val="009131C3"/>
    <w:rsid w:val="009179B3"/>
    <w:rsid w:val="00937648"/>
    <w:rsid w:val="00940836"/>
    <w:rsid w:val="009571AC"/>
    <w:rsid w:val="00986171"/>
    <w:rsid w:val="009B1684"/>
    <w:rsid w:val="009B17AB"/>
    <w:rsid w:val="009C2422"/>
    <w:rsid w:val="009C4733"/>
    <w:rsid w:val="009E7754"/>
    <w:rsid w:val="009F5AE5"/>
    <w:rsid w:val="00A15190"/>
    <w:rsid w:val="00A25E12"/>
    <w:rsid w:val="00A313B6"/>
    <w:rsid w:val="00A32F26"/>
    <w:rsid w:val="00A544B2"/>
    <w:rsid w:val="00A61617"/>
    <w:rsid w:val="00A840F0"/>
    <w:rsid w:val="00AA2197"/>
    <w:rsid w:val="00AB02FB"/>
    <w:rsid w:val="00AC0E2E"/>
    <w:rsid w:val="00AC68C2"/>
    <w:rsid w:val="00AD1B5D"/>
    <w:rsid w:val="00AE12E6"/>
    <w:rsid w:val="00AE2C75"/>
    <w:rsid w:val="00AF4460"/>
    <w:rsid w:val="00B1683B"/>
    <w:rsid w:val="00B512BA"/>
    <w:rsid w:val="00B60E4A"/>
    <w:rsid w:val="00B66E47"/>
    <w:rsid w:val="00BA098D"/>
    <w:rsid w:val="00BA09E5"/>
    <w:rsid w:val="00BA7570"/>
    <w:rsid w:val="00BB1770"/>
    <w:rsid w:val="00BC0589"/>
    <w:rsid w:val="00BC4085"/>
    <w:rsid w:val="00BD7935"/>
    <w:rsid w:val="00BF6586"/>
    <w:rsid w:val="00C0036E"/>
    <w:rsid w:val="00C02321"/>
    <w:rsid w:val="00C03AF3"/>
    <w:rsid w:val="00C050DC"/>
    <w:rsid w:val="00C379A2"/>
    <w:rsid w:val="00C54F0B"/>
    <w:rsid w:val="00C7623D"/>
    <w:rsid w:val="00CB64AD"/>
    <w:rsid w:val="00CC59B2"/>
    <w:rsid w:val="00CC7DCD"/>
    <w:rsid w:val="00CE008F"/>
    <w:rsid w:val="00CE4476"/>
    <w:rsid w:val="00D029A9"/>
    <w:rsid w:val="00D17344"/>
    <w:rsid w:val="00D1760C"/>
    <w:rsid w:val="00D227C8"/>
    <w:rsid w:val="00D40F42"/>
    <w:rsid w:val="00D62036"/>
    <w:rsid w:val="00D652BB"/>
    <w:rsid w:val="00D659FD"/>
    <w:rsid w:val="00D67C7F"/>
    <w:rsid w:val="00D848BF"/>
    <w:rsid w:val="00DD2C3F"/>
    <w:rsid w:val="00DE7513"/>
    <w:rsid w:val="00E518DC"/>
    <w:rsid w:val="00E62D4B"/>
    <w:rsid w:val="00E771FD"/>
    <w:rsid w:val="00E90598"/>
    <w:rsid w:val="00E938D2"/>
    <w:rsid w:val="00EA24D7"/>
    <w:rsid w:val="00EC4575"/>
    <w:rsid w:val="00ED227C"/>
    <w:rsid w:val="00EF0DE6"/>
    <w:rsid w:val="00EF1326"/>
    <w:rsid w:val="00F242DD"/>
    <w:rsid w:val="00F550E3"/>
    <w:rsid w:val="00F96C89"/>
    <w:rsid w:val="00F97C5C"/>
    <w:rsid w:val="00FB2523"/>
    <w:rsid w:val="00FD15D2"/>
    <w:rsid w:val="03C80F3B"/>
    <w:rsid w:val="03EE781F"/>
    <w:rsid w:val="04325780"/>
    <w:rsid w:val="04FE0FAA"/>
    <w:rsid w:val="05F93D31"/>
    <w:rsid w:val="07300408"/>
    <w:rsid w:val="0B0E6C52"/>
    <w:rsid w:val="0B8958D6"/>
    <w:rsid w:val="0BDF0DC9"/>
    <w:rsid w:val="0D64519F"/>
    <w:rsid w:val="107558D4"/>
    <w:rsid w:val="11685030"/>
    <w:rsid w:val="14C175A1"/>
    <w:rsid w:val="1CF72DC5"/>
    <w:rsid w:val="1E066F7A"/>
    <w:rsid w:val="1E3C7030"/>
    <w:rsid w:val="1EC81222"/>
    <w:rsid w:val="1F1857CD"/>
    <w:rsid w:val="20131241"/>
    <w:rsid w:val="205B1830"/>
    <w:rsid w:val="218D2764"/>
    <w:rsid w:val="22DB274D"/>
    <w:rsid w:val="24C13D83"/>
    <w:rsid w:val="24D14A0D"/>
    <w:rsid w:val="253D75B7"/>
    <w:rsid w:val="25E307A0"/>
    <w:rsid w:val="288151F1"/>
    <w:rsid w:val="289F2F77"/>
    <w:rsid w:val="29A033F0"/>
    <w:rsid w:val="2AD30F10"/>
    <w:rsid w:val="2D2808E4"/>
    <w:rsid w:val="2D2C10B2"/>
    <w:rsid w:val="2D6217C0"/>
    <w:rsid w:val="2F4469D9"/>
    <w:rsid w:val="2FAF03FB"/>
    <w:rsid w:val="30C962AE"/>
    <w:rsid w:val="310E13E8"/>
    <w:rsid w:val="315C77E9"/>
    <w:rsid w:val="31BF271E"/>
    <w:rsid w:val="332D7E53"/>
    <w:rsid w:val="33435986"/>
    <w:rsid w:val="335F7E1E"/>
    <w:rsid w:val="33E10DA7"/>
    <w:rsid w:val="34666505"/>
    <w:rsid w:val="360D0E13"/>
    <w:rsid w:val="37CD472A"/>
    <w:rsid w:val="389B744F"/>
    <w:rsid w:val="392E6836"/>
    <w:rsid w:val="392F1F38"/>
    <w:rsid w:val="394939CA"/>
    <w:rsid w:val="3C980473"/>
    <w:rsid w:val="3E2C341B"/>
    <w:rsid w:val="3E677537"/>
    <w:rsid w:val="3E9359FD"/>
    <w:rsid w:val="4019767A"/>
    <w:rsid w:val="41994106"/>
    <w:rsid w:val="423573BA"/>
    <w:rsid w:val="42A12895"/>
    <w:rsid w:val="42AD5092"/>
    <w:rsid w:val="44196129"/>
    <w:rsid w:val="44676533"/>
    <w:rsid w:val="4663071E"/>
    <w:rsid w:val="47CD31F0"/>
    <w:rsid w:val="482051EE"/>
    <w:rsid w:val="486F369E"/>
    <w:rsid w:val="48B00FD8"/>
    <w:rsid w:val="4B26519A"/>
    <w:rsid w:val="4C271955"/>
    <w:rsid w:val="4C9C4C49"/>
    <w:rsid w:val="4CC0667A"/>
    <w:rsid w:val="4DA46C7E"/>
    <w:rsid w:val="4F92648D"/>
    <w:rsid w:val="506C5337"/>
    <w:rsid w:val="50A65C05"/>
    <w:rsid w:val="51D05D76"/>
    <w:rsid w:val="52D02EA8"/>
    <w:rsid w:val="53931D98"/>
    <w:rsid w:val="55B74125"/>
    <w:rsid w:val="56236CD8"/>
    <w:rsid w:val="59356DD5"/>
    <w:rsid w:val="596C50CA"/>
    <w:rsid w:val="59AF144B"/>
    <w:rsid w:val="5A3D24FE"/>
    <w:rsid w:val="5A551748"/>
    <w:rsid w:val="5A8C7D92"/>
    <w:rsid w:val="5ABF0A64"/>
    <w:rsid w:val="5BBCDE0E"/>
    <w:rsid w:val="5C221441"/>
    <w:rsid w:val="5CD850E4"/>
    <w:rsid w:val="5D766854"/>
    <w:rsid w:val="5D9F6069"/>
    <w:rsid w:val="5F397C10"/>
    <w:rsid w:val="631F01D9"/>
    <w:rsid w:val="63353235"/>
    <w:rsid w:val="65A8337A"/>
    <w:rsid w:val="6682481B"/>
    <w:rsid w:val="66CD18CC"/>
    <w:rsid w:val="685A0558"/>
    <w:rsid w:val="68DD0023"/>
    <w:rsid w:val="69FD7BF8"/>
    <w:rsid w:val="6A135869"/>
    <w:rsid w:val="6B0706A1"/>
    <w:rsid w:val="6BB22A30"/>
    <w:rsid w:val="6E0D3196"/>
    <w:rsid w:val="6E531662"/>
    <w:rsid w:val="6E6E4EAC"/>
    <w:rsid w:val="6F26603C"/>
    <w:rsid w:val="718D4DB6"/>
    <w:rsid w:val="71B12313"/>
    <w:rsid w:val="71EE4BF4"/>
    <w:rsid w:val="7285115C"/>
    <w:rsid w:val="73BB0416"/>
    <w:rsid w:val="74211CBF"/>
    <w:rsid w:val="746F2AF2"/>
    <w:rsid w:val="766B7BA0"/>
    <w:rsid w:val="779F76BE"/>
    <w:rsid w:val="77BD1806"/>
    <w:rsid w:val="77E37121"/>
    <w:rsid w:val="78EB5718"/>
    <w:rsid w:val="799D1DF3"/>
    <w:rsid w:val="7A207ED6"/>
    <w:rsid w:val="7A243E7B"/>
    <w:rsid w:val="7BEC5AD3"/>
    <w:rsid w:val="7CBE79B2"/>
    <w:rsid w:val="7D392B11"/>
    <w:rsid w:val="7D582410"/>
    <w:rsid w:val="7DCD003B"/>
    <w:rsid w:val="7DEE348C"/>
    <w:rsid w:val="7EFB5F25"/>
    <w:rsid w:val="7F5F10A9"/>
    <w:rsid w:val="7F757D95"/>
    <w:rsid w:val="7F995CDC"/>
    <w:rsid w:val="7F9F2FAC"/>
    <w:rsid w:val="7FD962FE"/>
    <w:rsid w:val="97FD3DBA"/>
    <w:rsid w:val="9EFD1980"/>
    <w:rsid w:val="A7E9C5E2"/>
    <w:rsid w:val="ADB4A1B1"/>
    <w:rsid w:val="B7FB8208"/>
    <w:rsid w:val="E7777108"/>
    <w:rsid w:val="EFFB680B"/>
    <w:rsid w:val="F381A189"/>
    <w:rsid w:val="F7CFFA95"/>
    <w:rsid w:val="FADF8E07"/>
    <w:rsid w:val="FEDFB9F1"/>
    <w:rsid w:val="FFDDF7E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28">
    <w:name w:val="Default Paragraph Font"/>
    <w:semiHidden/>
    <w:qFormat/>
    <w:uiPriority w:val="0"/>
  </w:style>
  <w:style w:type="table" w:default="1" w:styleId="41">
    <w:name w:val="Normal Table"/>
    <w:semiHidden/>
    <w:qFormat/>
    <w:uiPriority w:val="0"/>
    <w:tblPr>
      <w:tblLayout w:type="fixed"/>
      <w:tblCellMar>
        <w:top w:w="0" w:type="dxa"/>
        <w:left w:w="108" w:type="dxa"/>
        <w:bottom w:w="0" w:type="dxa"/>
        <w:right w:w="108" w:type="dxa"/>
      </w:tblCellMar>
    </w:tblPr>
  </w:style>
  <w:style w:type="paragraph" w:styleId="11">
    <w:name w:val="toc 7"/>
    <w:basedOn w:val="12"/>
    <w:next w:val="1"/>
    <w:semiHidden/>
    <w:qFormat/>
    <w:uiPriority w:val="0"/>
  </w:style>
  <w:style w:type="paragraph" w:styleId="12">
    <w:name w:val="toc 6"/>
    <w:basedOn w:val="13"/>
    <w:next w:val="1"/>
    <w:semiHidden/>
    <w:qFormat/>
    <w:uiPriority w:val="0"/>
  </w:style>
  <w:style w:type="paragraph" w:styleId="13">
    <w:name w:val="toc 5"/>
    <w:basedOn w:val="14"/>
    <w:next w:val="1"/>
    <w:semiHidden/>
    <w:qFormat/>
    <w:uiPriority w:val="0"/>
  </w:style>
  <w:style w:type="paragraph" w:styleId="14">
    <w:name w:val="toc 4"/>
    <w:basedOn w:val="15"/>
    <w:next w:val="1"/>
    <w:semiHidden/>
    <w:qFormat/>
    <w:uiPriority w:val="0"/>
  </w:style>
  <w:style w:type="paragraph" w:styleId="15">
    <w:name w:val="toc 3"/>
    <w:basedOn w:val="16"/>
    <w:next w:val="1"/>
    <w:qFormat/>
    <w:uiPriority w:val="39"/>
  </w:style>
  <w:style w:type="paragraph" w:styleId="16">
    <w:name w:val="toc 2"/>
    <w:basedOn w:val="17"/>
    <w:next w:val="1"/>
    <w:qFormat/>
    <w:uiPriority w:val="39"/>
  </w:style>
  <w:style w:type="paragraph" w:styleId="17">
    <w:name w:val="toc 1"/>
    <w:next w:val="1"/>
    <w:qFormat/>
    <w:uiPriority w:val="39"/>
    <w:pPr>
      <w:jc w:val="both"/>
    </w:pPr>
    <w:rPr>
      <w:rFonts w:ascii="宋体" w:hAnsi="Times New Roman" w:eastAsia="宋体" w:cs="Times New Roman"/>
      <w:sz w:val="21"/>
      <w:lang w:val="en-US" w:eastAsia="zh-CN" w:bidi="ar-SA"/>
    </w:rPr>
  </w:style>
  <w:style w:type="paragraph" w:styleId="18">
    <w:name w:val="HTML Address"/>
    <w:basedOn w:val="1"/>
    <w:qFormat/>
    <w:uiPriority w:val="0"/>
    <w:rPr>
      <w:i/>
      <w:iCs/>
    </w:rPr>
  </w:style>
  <w:style w:type="paragraph" w:styleId="19">
    <w:name w:val="toc 8"/>
    <w:basedOn w:val="11"/>
    <w:next w:val="1"/>
    <w:semiHidden/>
    <w:qFormat/>
    <w:uiPriority w:val="0"/>
  </w:style>
  <w:style w:type="paragraph" w:styleId="20">
    <w:name w:val="Date"/>
    <w:basedOn w:val="1"/>
    <w:next w:val="1"/>
    <w:link w:val="43"/>
    <w:qFormat/>
    <w:uiPriority w:val="0"/>
    <w:pPr>
      <w:ind w:left="100" w:leftChars="2500"/>
    </w:pPr>
  </w:style>
  <w:style w:type="paragraph" w:styleId="21">
    <w:name w:val="footer"/>
    <w:basedOn w:val="1"/>
    <w:qFormat/>
    <w:uiPriority w:val="0"/>
    <w:pPr>
      <w:tabs>
        <w:tab w:val="center" w:pos="4153"/>
        <w:tab w:val="right" w:pos="8306"/>
      </w:tabs>
      <w:snapToGrid w:val="0"/>
      <w:ind w:right="210" w:rightChars="100"/>
      <w:jc w:val="right"/>
    </w:pPr>
    <w:rPr>
      <w:sz w:val="18"/>
      <w:szCs w:val="18"/>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footnote text"/>
    <w:basedOn w:val="1"/>
    <w:semiHidden/>
    <w:qFormat/>
    <w:uiPriority w:val="0"/>
    <w:pPr>
      <w:snapToGrid w:val="0"/>
      <w:jc w:val="left"/>
    </w:pPr>
    <w:rPr>
      <w:sz w:val="18"/>
      <w:szCs w:val="18"/>
    </w:rPr>
  </w:style>
  <w:style w:type="paragraph" w:styleId="24">
    <w:name w:val="toc 9"/>
    <w:basedOn w:val="19"/>
    <w:next w:val="1"/>
    <w:semiHidden/>
    <w:qFormat/>
    <w:uiPriority w:val="0"/>
  </w:style>
  <w:style w:type="paragraph" w:styleId="25">
    <w:name w:val="HTML Preformatted"/>
    <w:basedOn w:val="1"/>
    <w:qFormat/>
    <w:uiPriority w:val="0"/>
    <w:rPr>
      <w:rFonts w:ascii="Courier New" w:hAnsi="Courier New" w:cs="Courier New"/>
      <w:sz w:val="20"/>
      <w:szCs w:val="20"/>
    </w:rPr>
  </w:style>
  <w:style w:type="paragraph" w:styleId="26">
    <w:name w:val="Normal (Web)"/>
    <w:basedOn w:val="1"/>
    <w:qFormat/>
    <w:uiPriority w:val="0"/>
    <w:pPr>
      <w:spacing w:before="100" w:beforeAutospacing="1" w:after="100" w:afterAutospacing="1"/>
      <w:jc w:val="left"/>
    </w:pPr>
    <w:rPr>
      <w:rFonts w:ascii="Calibri" w:hAnsi="Calibri"/>
      <w:kern w:val="0"/>
      <w:sz w:val="24"/>
    </w:rPr>
  </w:style>
  <w:style w:type="paragraph" w:styleId="27">
    <w:name w:val="Title"/>
    <w:basedOn w:val="1"/>
    <w:qFormat/>
    <w:uiPriority w:val="0"/>
    <w:pPr>
      <w:spacing w:before="240" w:after="60"/>
      <w:jc w:val="center"/>
      <w:outlineLvl w:val="0"/>
    </w:pPr>
    <w:rPr>
      <w:rFonts w:ascii="Arial" w:hAnsi="Arial" w:cs="Arial"/>
      <w:b/>
      <w:bCs/>
      <w:sz w:val="32"/>
      <w:szCs w:val="32"/>
    </w:rPr>
  </w:style>
  <w:style w:type="character" w:styleId="29">
    <w:name w:val="Strong"/>
    <w:basedOn w:val="28"/>
    <w:qFormat/>
    <w:uiPriority w:val="0"/>
    <w:rPr>
      <w:b/>
      <w:bCs/>
    </w:rPr>
  </w:style>
  <w:style w:type="character" w:styleId="30">
    <w:name w:val="page number"/>
    <w:qFormat/>
    <w:uiPriority w:val="0"/>
    <w:rPr>
      <w:rFonts w:ascii="Times New Roman" w:hAnsi="Times New Roman" w:eastAsia="宋体"/>
      <w:sz w:val="18"/>
    </w:rPr>
  </w:style>
  <w:style w:type="character" w:styleId="31">
    <w:name w:val="HTML Definition"/>
    <w:qFormat/>
    <w:uiPriority w:val="0"/>
    <w:rPr>
      <w:i/>
      <w:iCs/>
    </w:rPr>
  </w:style>
  <w:style w:type="character" w:styleId="32">
    <w:name w:val="HTML Typewriter"/>
    <w:qFormat/>
    <w:uiPriority w:val="0"/>
    <w:rPr>
      <w:rFonts w:ascii="Courier New" w:hAnsi="Courier New"/>
      <w:sz w:val="20"/>
      <w:szCs w:val="20"/>
    </w:rPr>
  </w:style>
  <w:style w:type="character" w:styleId="33">
    <w:name w:val="HTML Acronym"/>
    <w:qFormat/>
    <w:uiPriority w:val="0"/>
  </w:style>
  <w:style w:type="character" w:styleId="34">
    <w:name w:val="HTML Variable"/>
    <w:qFormat/>
    <w:uiPriority w:val="0"/>
    <w:rPr>
      <w:i/>
      <w:iCs/>
    </w:rPr>
  </w:style>
  <w:style w:type="character" w:styleId="35">
    <w:name w:val="Hyperlink"/>
    <w:qFormat/>
    <w:uiPriority w:val="99"/>
    <w:rPr>
      <w:rFonts w:ascii="Times New Roman" w:hAnsi="Times New Roman" w:eastAsia="宋体"/>
      <w:color w:val="auto"/>
      <w:spacing w:val="0"/>
      <w:w w:val="100"/>
      <w:position w:val="0"/>
      <w:sz w:val="21"/>
      <w:u w:val="none"/>
      <w:vertAlign w:val="baseline"/>
    </w:rPr>
  </w:style>
  <w:style w:type="character" w:styleId="36">
    <w:name w:val="HTML Code"/>
    <w:qFormat/>
    <w:uiPriority w:val="0"/>
    <w:rPr>
      <w:rFonts w:ascii="Courier New" w:hAnsi="Courier New"/>
      <w:sz w:val="20"/>
      <w:szCs w:val="20"/>
    </w:rPr>
  </w:style>
  <w:style w:type="character" w:styleId="37">
    <w:name w:val="HTML Cite"/>
    <w:qFormat/>
    <w:uiPriority w:val="0"/>
    <w:rPr>
      <w:i/>
      <w:iCs/>
    </w:rPr>
  </w:style>
  <w:style w:type="character" w:styleId="38">
    <w:name w:val="footnote reference"/>
    <w:semiHidden/>
    <w:qFormat/>
    <w:uiPriority w:val="0"/>
    <w:rPr>
      <w:vertAlign w:val="superscript"/>
    </w:rPr>
  </w:style>
  <w:style w:type="character" w:styleId="39">
    <w:name w:val="HTML Keyboard"/>
    <w:qFormat/>
    <w:uiPriority w:val="0"/>
    <w:rPr>
      <w:rFonts w:ascii="Courier New" w:hAnsi="Courier New"/>
      <w:sz w:val="20"/>
      <w:szCs w:val="20"/>
    </w:rPr>
  </w:style>
  <w:style w:type="character" w:styleId="40">
    <w:name w:val="HTML Sample"/>
    <w:qFormat/>
    <w:uiPriority w:val="0"/>
    <w:rPr>
      <w:rFonts w:ascii="Courier New" w:hAnsi="Courier New"/>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43">
    <w:name w:val="日期 字符"/>
    <w:link w:val="20"/>
    <w:qFormat/>
    <w:uiPriority w:val="0"/>
    <w:rPr>
      <w:kern w:val="2"/>
      <w:sz w:val="21"/>
      <w:szCs w:val="24"/>
    </w:rPr>
  </w:style>
  <w:style w:type="character" w:customStyle="1" w:styleId="44">
    <w:name w:val="个人答复风格"/>
    <w:qFormat/>
    <w:uiPriority w:val="0"/>
    <w:rPr>
      <w:rFonts w:ascii="Arial" w:hAnsi="Arial" w:eastAsia="宋体" w:cs="Arial"/>
      <w:color w:val="auto"/>
      <w:sz w:val="20"/>
    </w:rPr>
  </w:style>
  <w:style w:type="character" w:customStyle="1" w:styleId="45">
    <w:name w:val="段 Char"/>
    <w:link w:val="46"/>
    <w:qFormat/>
    <w:uiPriority w:val="0"/>
    <w:rPr>
      <w:rFonts w:ascii="宋体" w:eastAsia="宋体"/>
      <w:sz w:val="21"/>
      <w:lang w:val="en-US" w:eastAsia="zh-CN" w:bidi="ar-SA"/>
    </w:rPr>
  </w:style>
  <w:style w:type="paragraph" w:customStyle="1" w:styleId="46">
    <w:name w:val="段"/>
    <w:link w:val="4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7">
    <w:name w:val="发布"/>
    <w:qFormat/>
    <w:uiPriority w:val="0"/>
    <w:rPr>
      <w:rFonts w:ascii="黑体" w:eastAsia="黑体"/>
      <w:spacing w:val="22"/>
      <w:w w:val="100"/>
      <w:position w:val="3"/>
      <w:sz w:val="28"/>
    </w:rPr>
  </w:style>
  <w:style w:type="character" w:customStyle="1" w:styleId="48">
    <w:name w:val="个人撰写风格"/>
    <w:qFormat/>
    <w:uiPriority w:val="0"/>
    <w:rPr>
      <w:rFonts w:ascii="Arial" w:hAnsi="Arial" w:eastAsia="宋体" w:cs="Arial"/>
      <w:color w:val="auto"/>
      <w:sz w:val="20"/>
    </w:rPr>
  </w:style>
  <w:style w:type="paragraph" w:customStyle="1" w:styleId="49">
    <w:name w:val="列项——（一级）"/>
    <w:qFormat/>
    <w:uiPriority w:val="0"/>
    <w:pPr>
      <w:widowControl w:val="0"/>
      <w:numPr>
        <w:ilvl w:val="0"/>
        <w:numId w:val="1"/>
      </w:numPr>
      <w:tabs>
        <w:tab w:val="left" w:pos="854"/>
        <w:tab w:val="clear" w:pos="1140"/>
      </w:tabs>
      <w:ind w:leftChars="200" w:hangingChars="200"/>
      <w:jc w:val="both"/>
    </w:pPr>
    <w:rPr>
      <w:rFonts w:ascii="宋体" w:hAnsi="Times New Roman" w:eastAsia="宋体" w:cs="Times New Roman"/>
      <w:sz w:val="21"/>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51">
    <w:name w:val="前言、引言标题"/>
    <w:next w:val="1"/>
    <w:qFormat/>
    <w:uiPriority w:val="0"/>
    <w:pPr>
      <w:numPr>
        <w:ilvl w:val="0"/>
        <w:numId w:val="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5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53">
    <w:name w:val="附录二级条标题"/>
    <w:basedOn w:val="54"/>
    <w:next w:val="46"/>
    <w:qFormat/>
    <w:uiPriority w:val="0"/>
    <w:pPr>
      <w:numPr>
        <w:ilvl w:val="3"/>
        <w:numId w:val="3"/>
      </w:numPr>
      <w:outlineLvl w:val="3"/>
    </w:pPr>
  </w:style>
  <w:style w:type="paragraph" w:customStyle="1" w:styleId="54">
    <w:name w:val="附录一级条标题"/>
    <w:basedOn w:val="55"/>
    <w:next w:val="46"/>
    <w:qFormat/>
    <w:uiPriority w:val="0"/>
    <w:pPr>
      <w:numPr>
        <w:ilvl w:val="2"/>
        <w:numId w:val="3"/>
      </w:numPr>
      <w:autoSpaceDN w:val="0"/>
      <w:spacing w:before="0" w:beforeLines="0" w:after="0" w:afterLines="0"/>
      <w:outlineLvl w:val="2"/>
    </w:pPr>
  </w:style>
  <w:style w:type="paragraph" w:customStyle="1" w:styleId="55">
    <w:name w:val="附录章标题"/>
    <w:next w:val="46"/>
    <w:qFormat/>
    <w:uiPriority w:val="0"/>
    <w:pPr>
      <w:numPr>
        <w:ilvl w:val="1"/>
        <w:numId w:val="3"/>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56">
    <w:name w:val="附录四级条标题"/>
    <w:basedOn w:val="57"/>
    <w:next w:val="46"/>
    <w:qFormat/>
    <w:uiPriority w:val="0"/>
    <w:pPr>
      <w:numPr>
        <w:ilvl w:val="5"/>
        <w:numId w:val="3"/>
      </w:numPr>
      <w:outlineLvl w:val="5"/>
    </w:pPr>
  </w:style>
  <w:style w:type="paragraph" w:customStyle="1" w:styleId="57">
    <w:name w:val="附录三级条标题"/>
    <w:basedOn w:val="53"/>
    <w:next w:val="46"/>
    <w:qFormat/>
    <w:uiPriority w:val="0"/>
    <w:pPr>
      <w:numPr>
        <w:ilvl w:val="4"/>
        <w:numId w:val="3"/>
      </w:numPr>
      <w:outlineLvl w:val="4"/>
    </w:pPr>
  </w:style>
  <w:style w:type="paragraph" w:customStyle="1" w:styleId="58">
    <w:name w:val="二级条标题"/>
    <w:basedOn w:val="59"/>
    <w:next w:val="46"/>
    <w:qFormat/>
    <w:uiPriority w:val="0"/>
    <w:pPr>
      <w:numPr>
        <w:ilvl w:val="3"/>
        <w:numId w:val="2"/>
      </w:numPr>
      <w:outlineLvl w:val="3"/>
    </w:pPr>
  </w:style>
  <w:style w:type="paragraph" w:customStyle="1" w:styleId="59">
    <w:name w:val="一级条标题"/>
    <w:next w:val="46"/>
    <w:qFormat/>
    <w:uiPriority w:val="0"/>
    <w:pPr>
      <w:numPr>
        <w:ilvl w:val="2"/>
        <w:numId w:val="2"/>
      </w:numPr>
      <w:outlineLvl w:val="2"/>
    </w:pPr>
    <w:rPr>
      <w:rFonts w:ascii="Times New Roman" w:hAnsi="Times New Roman" w:eastAsia="黑体" w:cs="Times New Roman"/>
      <w:sz w:val="21"/>
      <w:lang w:val="en-US" w:eastAsia="zh-CN" w:bidi="ar-SA"/>
    </w:rPr>
  </w:style>
  <w:style w:type="paragraph" w:customStyle="1" w:styleId="60">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61">
    <w:name w:val="参考文献、索引标题"/>
    <w:basedOn w:val="51"/>
    <w:next w:val="1"/>
    <w:qFormat/>
    <w:uiPriority w:val="0"/>
    <w:pPr>
      <w:numPr>
        <w:ilvl w:val="0"/>
        <w:numId w:val="0"/>
      </w:numPr>
      <w:spacing w:after="200"/>
    </w:pPr>
    <w:rPr>
      <w:sz w:val="21"/>
    </w:rPr>
  </w:style>
  <w:style w:type="paragraph" w:customStyle="1" w:styleId="62">
    <w:name w:val="封面标准代替信息"/>
    <w:basedOn w:val="63"/>
    <w:qFormat/>
    <w:uiPriority w:val="0"/>
    <w:pPr>
      <w:spacing w:before="57"/>
    </w:pPr>
    <w:rPr>
      <w:rFonts w:ascii="宋体"/>
      <w:sz w:val="21"/>
    </w:rPr>
  </w:style>
  <w:style w:type="paragraph" w:customStyle="1" w:styleId="63">
    <w:name w:val="封面标准号2"/>
    <w:basedOn w:val="64"/>
    <w:qFormat/>
    <w:uiPriority w:val="0"/>
    <w:pPr>
      <w:framePr w:w="9138" w:h="1244" w:hRule="exact" w:wrap="around" w:vAnchor="page" w:hAnchor="margin" w:y="2908"/>
      <w:adjustRightInd w:val="0"/>
      <w:spacing w:before="357" w:line="280" w:lineRule="exact"/>
    </w:pPr>
  </w:style>
  <w:style w:type="paragraph" w:customStyle="1" w:styleId="64">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65">
    <w:name w:val="标准书眉_偶数页"/>
    <w:basedOn w:val="66"/>
    <w:next w:val="1"/>
    <w:qFormat/>
    <w:uiPriority w:val="0"/>
    <w:pPr>
      <w:tabs>
        <w:tab w:val="center" w:pos="4154"/>
        <w:tab w:val="right" w:pos="8306"/>
      </w:tabs>
      <w:jc w:val="left"/>
    </w:pPr>
  </w:style>
  <w:style w:type="paragraph" w:customStyle="1" w:styleId="66">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67">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68">
    <w:name w:val="三级条标题"/>
    <w:basedOn w:val="58"/>
    <w:next w:val="46"/>
    <w:qFormat/>
    <w:uiPriority w:val="0"/>
    <w:pPr>
      <w:numPr>
        <w:ilvl w:val="4"/>
        <w:numId w:val="2"/>
      </w:numPr>
      <w:outlineLvl w:val="4"/>
    </w:pPr>
  </w:style>
  <w:style w:type="paragraph" w:customStyle="1" w:styleId="69">
    <w:name w:val="附录标识"/>
    <w:basedOn w:val="51"/>
    <w:qFormat/>
    <w:uiPriority w:val="0"/>
    <w:pPr>
      <w:numPr>
        <w:ilvl w:val="0"/>
        <w:numId w:val="3"/>
      </w:numPr>
      <w:tabs>
        <w:tab w:val="left" w:pos="6405"/>
      </w:tabs>
      <w:spacing w:after="200"/>
    </w:pPr>
    <w:rPr>
      <w:sz w:val="21"/>
    </w:rPr>
  </w:style>
  <w:style w:type="paragraph" w:customStyle="1" w:styleId="70">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71">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72">
    <w:name w:val="正文表标题"/>
    <w:next w:val="46"/>
    <w:qFormat/>
    <w:uiPriority w:val="0"/>
    <w:pPr>
      <w:numPr>
        <w:ilvl w:val="0"/>
        <w:numId w:val="4"/>
      </w:numPr>
      <w:jc w:val="center"/>
    </w:pPr>
    <w:rPr>
      <w:rFonts w:ascii="黑体" w:hAnsi="Times New Roman" w:eastAsia="黑体" w:cs="Times New Roman"/>
      <w:sz w:val="21"/>
      <w:lang w:val="en-US" w:eastAsia="zh-CN" w:bidi="ar-SA"/>
    </w:rPr>
  </w:style>
  <w:style w:type="paragraph" w:customStyle="1" w:styleId="73">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74">
    <w:name w:val="四级条标题"/>
    <w:basedOn w:val="68"/>
    <w:next w:val="46"/>
    <w:qFormat/>
    <w:uiPriority w:val="0"/>
    <w:pPr>
      <w:numPr>
        <w:ilvl w:val="5"/>
        <w:numId w:val="2"/>
      </w:numPr>
      <w:outlineLvl w:val="5"/>
    </w:pPr>
  </w:style>
  <w:style w:type="paragraph" w:customStyle="1" w:styleId="7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76">
    <w:name w:val="列项●（二级）"/>
    <w:qFormat/>
    <w:uiPriority w:val="0"/>
    <w:pPr>
      <w:numPr>
        <w:ilvl w:val="0"/>
        <w:numId w:val="5"/>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77">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78">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79">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0">
    <w:name w:val="列项◆（三级）"/>
    <w:qFormat/>
    <w:uiPriority w:val="0"/>
    <w:pPr>
      <w:numPr>
        <w:ilvl w:val="0"/>
        <w:numId w:val="6"/>
      </w:numPr>
      <w:ind w:left="800" w:leftChars="600" w:hanging="200" w:hangingChars="200"/>
    </w:pPr>
    <w:rPr>
      <w:rFonts w:ascii="宋体" w:hAnsi="Times New Roman" w:eastAsia="宋体" w:cs="Times New Roman"/>
      <w:sz w:val="21"/>
      <w:lang w:val="en-US" w:eastAsia="zh-CN" w:bidi="ar-SA"/>
    </w:rPr>
  </w:style>
  <w:style w:type="paragraph" w:customStyle="1" w:styleId="81">
    <w:name w:val="封面正文"/>
    <w:qFormat/>
    <w:uiPriority w:val="0"/>
    <w:pPr>
      <w:jc w:val="both"/>
    </w:pPr>
    <w:rPr>
      <w:rFonts w:ascii="Times New Roman" w:hAnsi="Times New Roman" w:eastAsia="宋体" w:cs="Times New Roman"/>
      <w:lang w:val="en-US" w:eastAsia="zh-CN" w:bidi="ar-SA"/>
    </w:rPr>
  </w:style>
  <w:style w:type="paragraph" w:customStyle="1" w:styleId="82">
    <w:name w:val="发布部门"/>
    <w:next w:val="46"/>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83">
    <w:name w:val="注："/>
    <w:next w:val="46"/>
    <w:qFormat/>
    <w:uiPriority w:val="0"/>
    <w:pPr>
      <w:widowControl w:val="0"/>
      <w:numPr>
        <w:ilvl w:val="0"/>
        <w:numId w:val="7"/>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84">
    <w:name w:val="正文图标题"/>
    <w:next w:val="46"/>
    <w:qFormat/>
    <w:uiPriority w:val="0"/>
    <w:pPr>
      <w:numPr>
        <w:ilvl w:val="0"/>
        <w:numId w:val="8"/>
      </w:numPr>
      <w:jc w:val="center"/>
    </w:pPr>
    <w:rPr>
      <w:rFonts w:ascii="黑体" w:hAnsi="Times New Roman" w:eastAsia="黑体" w:cs="Times New Roman"/>
      <w:sz w:val="21"/>
      <w:lang w:val="en-US" w:eastAsia="zh-CN" w:bidi="ar-SA"/>
    </w:rPr>
  </w:style>
  <w:style w:type="paragraph" w:customStyle="1" w:styleId="85">
    <w:name w:val="附录五级条标题"/>
    <w:basedOn w:val="56"/>
    <w:next w:val="46"/>
    <w:qFormat/>
    <w:uiPriority w:val="0"/>
    <w:pPr>
      <w:numPr>
        <w:ilvl w:val="6"/>
        <w:numId w:val="3"/>
      </w:numPr>
      <w:outlineLvl w:val="6"/>
    </w:pPr>
  </w:style>
  <w:style w:type="paragraph" w:customStyle="1" w:styleId="8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87">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88">
    <w:name w:val="示例"/>
    <w:next w:val="46"/>
    <w:qFormat/>
    <w:uiPriority w:val="0"/>
    <w:pPr>
      <w:numPr>
        <w:ilvl w:val="0"/>
        <w:numId w:val="9"/>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89">
    <w:name w:val="章标题"/>
    <w:next w:val="46"/>
    <w:qFormat/>
    <w:uiPriority w:val="0"/>
    <w:pPr>
      <w:numPr>
        <w:ilvl w:val="1"/>
        <w:numId w:val="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90">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91">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92">
    <w:name w:val="其他发布部门"/>
    <w:basedOn w:val="82"/>
    <w:qFormat/>
    <w:uiPriority w:val="0"/>
    <w:pPr>
      <w:spacing w:line="0" w:lineRule="atLeast"/>
    </w:pPr>
    <w:rPr>
      <w:rFonts w:ascii="黑体" w:eastAsia="黑体"/>
      <w:b w:val="0"/>
    </w:rPr>
  </w:style>
  <w:style w:type="paragraph" w:customStyle="1" w:styleId="93">
    <w:name w:val="五级条标题"/>
    <w:basedOn w:val="74"/>
    <w:next w:val="46"/>
    <w:qFormat/>
    <w:uiPriority w:val="0"/>
    <w:pPr>
      <w:numPr>
        <w:ilvl w:val="6"/>
        <w:numId w:val="2"/>
      </w:numPr>
      <w:outlineLvl w:val="6"/>
    </w:pPr>
  </w:style>
  <w:style w:type="paragraph" w:customStyle="1" w:styleId="94">
    <w:name w:val="标准书眉一"/>
    <w:qFormat/>
    <w:uiPriority w:val="0"/>
    <w:pPr>
      <w:jc w:val="both"/>
    </w:pPr>
    <w:rPr>
      <w:rFonts w:ascii="Times New Roman" w:hAnsi="Times New Roman" w:eastAsia="宋体" w:cs="Times New Roman"/>
      <w:lang w:val="en-US" w:eastAsia="zh-CN" w:bidi="ar-SA"/>
    </w:rPr>
  </w:style>
  <w:style w:type="paragraph" w:customStyle="1" w:styleId="95">
    <w:name w:val="条文脚注"/>
    <w:basedOn w:val="23"/>
    <w:qFormat/>
    <w:uiPriority w:val="0"/>
    <w:pPr>
      <w:ind w:left="780" w:leftChars="200" w:hanging="360" w:hangingChars="200"/>
      <w:jc w:val="both"/>
    </w:pPr>
    <w:rPr>
      <w:rFonts w:ascii="宋体"/>
    </w:rPr>
  </w:style>
  <w:style w:type="paragraph" w:customStyle="1" w:styleId="96">
    <w:name w:val="附录表标题"/>
    <w:next w:val="46"/>
    <w:qFormat/>
    <w:uiPriority w:val="0"/>
    <w:pPr>
      <w:numPr>
        <w:ilvl w:val="0"/>
        <w:numId w:val="10"/>
      </w:numPr>
      <w:jc w:val="center"/>
      <w:textAlignment w:val="baseline"/>
    </w:pPr>
    <w:rPr>
      <w:rFonts w:ascii="黑体" w:hAnsi="Times New Roman" w:eastAsia="黑体" w:cs="Times New Roman"/>
      <w:kern w:val="21"/>
      <w:sz w:val="21"/>
      <w:lang w:val="en-US" w:eastAsia="zh-CN" w:bidi="ar-SA"/>
    </w:rPr>
  </w:style>
  <w:style w:type="paragraph" w:customStyle="1" w:styleId="97">
    <w:name w:val="附录图标题"/>
    <w:next w:val="46"/>
    <w:qFormat/>
    <w:uiPriority w:val="0"/>
    <w:pPr>
      <w:numPr>
        <w:ilvl w:val="0"/>
        <w:numId w:val="11"/>
      </w:numPr>
      <w:jc w:val="center"/>
    </w:pPr>
    <w:rPr>
      <w:rFonts w:ascii="黑体" w:hAnsi="Times New Roman" w:eastAsia="黑体" w:cs="Times New Roman"/>
      <w:sz w:val="21"/>
      <w:lang w:val="en-US" w:eastAsia="zh-CN" w:bidi="ar-SA"/>
    </w:rPr>
  </w:style>
  <w:style w:type="paragraph" w:customStyle="1" w:styleId="98">
    <w:name w:val="实施日期"/>
    <w:basedOn w:val="87"/>
    <w:qFormat/>
    <w:uiPriority w:val="0"/>
    <w:pPr>
      <w:framePr w:hSpace="0" w:xAlign="right"/>
      <w:jc w:val="right"/>
    </w:pPr>
  </w:style>
  <w:style w:type="paragraph" w:customStyle="1" w:styleId="99">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00">
    <w:name w:val="注×："/>
    <w:qFormat/>
    <w:uiPriority w:val="0"/>
    <w:pPr>
      <w:widowControl w:val="0"/>
      <w:numPr>
        <w:ilvl w:val="0"/>
        <w:numId w:val="12"/>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01">
    <w:name w:val="目次、标准名称标题"/>
    <w:basedOn w:val="51"/>
    <w:next w:val="46"/>
    <w:qFormat/>
    <w:uiPriority w:val="0"/>
    <w:pPr>
      <w:numPr>
        <w:ilvl w:val="0"/>
        <w:numId w:val="0"/>
      </w:numPr>
      <w:spacing w:line="460" w:lineRule="exact"/>
    </w:pPr>
  </w:style>
  <w:style w:type="paragraph" w:customStyle="1" w:styleId="102">
    <w:name w:val="图表脚注"/>
    <w:next w:val="46"/>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03">
    <w:name w:val="列出段落"/>
    <w:basedOn w:val="1"/>
    <w:qFormat/>
    <w:uiPriority w:val="99"/>
    <w:pPr>
      <w:ind w:firstLine="420" w:firstLineChars="200"/>
    </w:pPr>
    <w:rPr>
      <w:rFonts w:ascii="Calibri" w:hAnsi="Calibri"/>
    </w:rPr>
  </w:style>
  <w:style w:type="paragraph" w:customStyle="1" w:styleId="104">
    <w:name w:val="TOC 标题"/>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bCs w:val="0"/>
      <w:color w:val="2E74B5"/>
      <w:kern w:val="0"/>
      <w:sz w:val="32"/>
      <w:szCs w:val="32"/>
    </w:rPr>
  </w:style>
  <w:style w:type="character" w:customStyle="1" w:styleId="105">
    <w:name w:val="tsname"/>
    <w:basedOn w:val="28"/>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631;&#20934;&#27169;&#26495;\tds2.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tds2</Template>
  <Company>CNIS</Company>
  <Pages>8</Pages>
  <Words>4016</Words>
  <Characters>5008</Characters>
  <Lines>36</Lines>
  <Paragraphs>10</Paragraphs>
  <TotalTime>1</TotalTime>
  <ScaleCrop>false</ScaleCrop>
  <LinksUpToDate>false</LinksUpToDate>
  <CharactersWithSpaces>5221</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2024-02-17T09:30:00Z</dcterms:created>
  <dc:creator>陈泽滨</dc:creator>
  <cp:lastModifiedBy>lenovo</cp:lastModifiedBy>
  <dcterms:modified xsi:type="dcterms:W3CDTF">2024-06-28T06:38:05Z</dcterms:modified>
  <dc:title> </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2052-10.8.2.6990</vt:lpwstr>
  </property>
  <property fmtid="{D5CDD505-2E9C-101B-9397-08002B2CF9AE}" pid="4" name="ICV">
    <vt:lpwstr>1565A890E2EE43979E034C996413B508_13</vt:lpwstr>
  </property>
</Properties>
</file>