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128F" w:rsidRDefault="00814FAF">
      <w:pPr>
        <w:pStyle w:val="a9"/>
        <w:framePr w:wrap="around"/>
        <w:rPr>
          <w:rFonts w:ascii="Times New Roman"/>
        </w:rPr>
      </w:pPr>
      <w:r>
        <w:rPr>
          <w:rFonts w:ascii="Times New Roman"/>
        </w:rPr>
        <w:t>ICS</w:t>
      </w:r>
      <w:r>
        <w:rPr>
          <w:rFonts w:ascii="Times New Roman" w:eastAsia="MS Gothic"/>
        </w:rPr>
        <w:t> </w:t>
      </w:r>
      <w:r>
        <w:rPr>
          <w:rFonts w:ascii="Times New Roman"/>
        </w:rPr>
        <w:t xml:space="preserve"> </w:t>
      </w:r>
    </w:p>
    <w:p w:rsidR="008A128F" w:rsidRDefault="00814FAF">
      <w:pPr>
        <w:pStyle w:val="a9"/>
        <w:framePr w:wrap="around"/>
        <w:rPr>
          <w:rFonts w:ascii="Times New Roman"/>
        </w:rPr>
      </w:pPr>
      <w:bookmarkStart w:id="0" w:name="WXFLH"/>
      <w:r>
        <w:rPr>
          <w:rFonts w:ascii="Times New Roman"/>
        </w:rPr>
        <w:t>B05</w:t>
      </w:r>
      <w:bookmarkEnd w:id="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4"/>
      </w:tblGrid>
      <w:tr w:rsidR="008A128F">
        <w:tc>
          <w:tcPr>
            <w:tcW w:w="9854" w:type="dxa"/>
            <w:tcBorders>
              <w:top w:val="nil"/>
              <w:left w:val="nil"/>
              <w:bottom w:val="nil"/>
              <w:right w:val="nil"/>
            </w:tcBorders>
          </w:tcPr>
          <w:p w:rsidR="008A128F" w:rsidRDefault="008A128F">
            <w:pPr>
              <w:pStyle w:val="a9"/>
              <w:framePr w:wrap="around"/>
              <w:rPr>
                <w:rFonts w:ascii="Times New Roman"/>
              </w:rPr>
            </w:pPr>
          </w:p>
        </w:tc>
      </w:tr>
    </w:tbl>
    <w:p w:rsidR="008A128F" w:rsidRDefault="00814FAF">
      <w:pPr>
        <w:pStyle w:val="aa"/>
        <w:framePr w:wrap="around"/>
      </w:pPr>
      <w:r>
        <w:t>DB13</w:t>
      </w:r>
    </w:p>
    <w:p w:rsidR="008A128F" w:rsidRDefault="00814FAF">
      <w:pPr>
        <w:pStyle w:val="ab"/>
        <w:framePr w:wrap="around"/>
        <w:rPr>
          <w:rFonts w:ascii="Times New Roman" w:hAnsi="Times New Roman"/>
        </w:rPr>
      </w:pPr>
      <w:bookmarkStart w:id="1" w:name="c4"/>
      <w:r>
        <w:rPr>
          <w:rFonts w:ascii="Times New Roman" w:hAnsi="Times New Roman"/>
        </w:rPr>
        <w:t>河北省地方标准</w:t>
      </w:r>
      <w:bookmarkEnd w:id="1"/>
    </w:p>
    <w:p w:rsidR="008A128F" w:rsidRDefault="00814FAF">
      <w:pPr>
        <w:pStyle w:val="20"/>
        <w:framePr w:wrap="around"/>
        <w:rPr>
          <w:rFonts w:ascii="Times New Roman"/>
        </w:rPr>
      </w:pPr>
      <w:r>
        <w:rPr>
          <w:rFonts w:ascii="Times New Roman"/>
        </w:rPr>
        <w:t xml:space="preserve">DB </w:t>
      </w:r>
      <w:bookmarkStart w:id="2" w:name="StdNo0"/>
      <w:r>
        <w:rPr>
          <w:rFonts w:ascii="Times New Roman"/>
        </w:rPr>
        <w:t>13</w:t>
      </w:r>
      <w:bookmarkEnd w:id="2"/>
      <w:r>
        <w:rPr>
          <w:rFonts w:ascii="Times New Roman"/>
        </w:rPr>
        <w:t xml:space="preserve">/ </w:t>
      </w:r>
      <w:bookmarkStart w:id="3" w:name="StdNo1"/>
      <w:r>
        <w:rPr>
          <w:rFonts w:ascii="Times New Roman"/>
        </w:rPr>
        <w:t>XXXXX</w:t>
      </w:r>
      <w:bookmarkEnd w:id="3"/>
      <w:r>
        <w:rPr>
          <w:rFonts w:ascii="Times New Roman"/>
        </w:rPr>
        <w:t>—2024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40"/>
      </w:tblGrid>
      <w:tr w:rsidR="008A128F">
        <w:tc>
          <w:tcPr>
            <w:tcW w:w="9356" w:type="dxa"/>
            <w:tcBorders>
              <w:top w:val="nil"/>
              <w:left w:val="nil"/>
              <w:bottom w:val="nil"/>
              <w:right w:val="nil"/>
            </w:tcBorders>
          </w:tcPr>
          <w:p w:rsidR="008A128F" w:rsidRDefault="008A128F">
            <w:pPr>
              <w:pStyle w:val="ac"/>
              <w:framePr w:wrap="around"/>
              <w:rPr>
                <w:rFonts w:ascii="Times New Roman"/>
              </w:rPr>
            </w:pPr>
          </w:p>
        </w:tc>
      </w:tr>
    </w:tbl>
    <w:p w:rsidR="008A128F" w:rsidRDefault="008A128F">
      <w:pPr>
        <w:pStyle w:val="20"/>
        <w:framePr w:wrap="around"/>
        <w:rPr>
          <w:rFonts w:ascii="Times New Roman"/>
        </w:rPr>
      </w:pPr>
    </w:p>
    <w:p w:rsidR="008A128F" w:rsidRDefault="008A128F">
      <w:pPr>
        <w:pStyle w:val="20"/>
        <w:framePr w:wrap="around"/>
        <w:rPr>
          <w:rFonts w:ascii="Times New Roman"/>
        </w:rPr>
      </w:pPr>
    </w:p>
    <w:p w:rsidR="008A128F" w:rsidRDefault="00814FAF">
      <w:pPr>
        <w:framePr w:w="9639" w:h="6851" w:hRule="exact" w:wrap="around" w:vAnchor="page" w:hAnchor="page" w:x="1153" w:y="6078" w:anchorLock="1"/>
        <w:spacing w:beforeLines="50" w:before="156" w:afterLines="50" w:after="156"/>
        <w:ind w:firstLineChars="100" w:firstLine="520"/>
        <w:jc w:val="center"/>
        <w:rPr>
          <w:rFonts w:eastAsia="黑体"/>
          <w:sz w:val="52"/>
          <w:szCs w:val="52"/>
        </w:rPr>
      </w:pPr>
      <w:bookmarkStart w:id="4" w:name="StdName"/>
      <w:r w:rsidRPr="00EA13FE">
        <w:rPr>
          <w:rFonts w:eastAsia="黑体" w:hint="eastAsia"/>
          <w:sz w:val="52"/>
          <w:szCs w:val="52"/>
        </w:rPr>
        <w:t>中药材林下种植与仿野生抚育技术规程</w:t>
      </w:r>
    </w:p>
    <w:p w:rsidR="008A128F" w:rsidRDefault="00814FAF">
      <w:pPr>
        <w:pStyle w:val="ad"/>
        <w:framePr w:h="6851" w:hRule="exact" w:wrap="around" w:x="1153" w:y="6078"/>
      </w:pPr>
      <w:r>
        <w:t>（</w:t>
      </w:r>
      <w:r>
        <w:rPr>
          <w:rFonts w:hint="eastAsia"/>
        </w:rPr>
        <w:t>征求意见稿</w:t>
      </w:r>
      <w:r>
        <w:t>）</w:t>
      </w:r>
    </w:p>
    <w:p w:rsidR="008A128F" w:rsidRDefault="008A128F">
      <w:pPr>
        <w:framePr w:w="9639" w:h="6851" w:hRule="exact" w:wrap="around" w:vAnchor="page" w:hAnchor="page" w:x="1153" w:y="6078" w:anchorLock="1"/>
        <w:ind w:firstLineChars="300" w:firstLine="1560"/>
        <w:rPr>
          <w:rFonts w:eastAsia="黑体"/>
          <w:sz w:val="52"/>
          <w:szCs w:val="52"/>
        </w:rPr>
      </w:pPr>
    </w:p>
    <w:p w:rsidR="008A128F" w:rsidRDefault="008A128F">
      <w:pPr>
        <w:pStyle w:val="ad"/>
        <w:framePr w:h="6851" w:hRule="exact" w:wrap="around" w:x="1153" w:y="6078"/>
      </w:pPr>
    </w:p>
    <w:p w:rsidR="008A128F" w:rsidRDefault="008A128F">
      <w:pPr>
        <w:pStyle w:val="ad"/>
        <w:framePr w:h="6851" w:hRule="exact" w:wrap="around" w:x="1153" w:y="6078"/>
      </w:pPr>
    </w:p>
    <w:p w:rsidR="008A128F" w:rsidRDefault="008A128F">
      <w:pPr>
        <w:pStyle w:val="ad"/>
        <w:framePr w:h="6851" w:hRule="exact" w:wrap="around" w:x="1153" w:y="6078"/>
      </w:pPr>
    </w:p>
    <w:p w:rsidR="008A128F" w:rsidRDefault="00814FAF">
      <w:pPr>
        <w:pStyle w:val="ae"/>
        <w:framePr w:wrap="around"/>
      </w:pPr>
      <w:bookmarkStart w:id="5" w:name="FY"/>
      <w:bookmarkEnd w:id="4"/>
      <w:r>
        <w:t>202</w:t>
      </w:r>
      <w:bookmarkEnd w:id="5"/>
      <w:r>
        <w:t xml:space="preserve">4- XX - </w:t>
      </w:r>
      <w:bookmarkStart w:id="6" w:name="FD"/>
      <w:r>
        <w:t>XX</w:t>
      </w:r>
      <w:bookmarkEnd w:id="6"/>
      <w:r>
        <w:t>发布</w:t>
      </w:r>
      <w:r>
        <w:rPr>
          <w:noProof/>
        </w:rPr>
        <mc:AlternateContent>
          <mc:Choice Requires="wps">
            <w:drawing>
              <wp:anchor distT="0" distB="0" distL="114300" distR="114300" simplePos="0" relativeHeight="251660288" behindDoc="0" locked="1" layoutInCell="1" allowOverlap="1">
                <wp:simplePos x="0" y="0"/>
                <wp:positionH relativeFrom="column">
                  <wp:posOffset>-635</wp:posOffset>
                </wp:positionH>
                <wp:positionV relativeFrom="page">
                  <wp:posOffset>9250680</wp:posOffset>
                </wp:positionV>
                <wp:extent cx="6120130" cy="0"/>
                <wp:effectExtent l="0" t="4445" r="0" b="508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2" o:spid="_x0000_s1026" o:spt="20" style="position:absolute;left:0pt;margin-left:-0.05pt;margin-top:728.4pt;height:0pt;width:481.9pt;mso-position-vertical-relative:page;z-index:251660288;mso-width-relative:page;mso-height-relative:page;" filled="f" stroked="t" coordsize="21600,21600" o:gfxdata="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NlQRanWAAAACwEAAA8AAAAAAAAAAQAgAAAAOAAAAGRycy9kb3ducmV2&#10;LnhtbFBLAQIUABQAAAAIAIdO4kAeGyPYrwEAAFQDAAAOAAAAAAAAAAEAIAAAADsBAABkcnMvZTJv&#10;RG9jLnhtbFBLBQYAAAAABgAGAFkBAABcBQAAAAA=&#10;">
                <v:fill on="f" focussize="0,0"/>
                <v:stroke color="#000000" joinstyle="round"/>
                <v:imagedata o:title=""/>
                <o:lock v:ext="edit" aspectratio="f"/>
                <w10:anchorlock/>
              </v:line>
            </w:pict>
          </mc:Fallback>
        </mc:AlternateContent>
      </w:r>
    </w:p>
    <w:p w:rsidR="008A128F" w:rsidRDefault="00814FAF">
      <w:pPr>
        <w:pStyle w:val="af"/>
        <w:framePr w:wrap="around"/>
      </w:pPr>
      <w:bookmarkStart w:id="7" w:name="SY"/>
      <w:r>
        <w:t>202</w:t>
      </w:r>
      <w:bookmarkEnd w:id="7"/>
      <w:r>
        <w:t xml:space="preserve">4-XX - </w:t>
      </w:r>
      <w:bookmarkStart w:id="8" w:name="SD"/>
      <w:r>
        <w:t>XX</w:t>
      </w:r>
      <w:bookmarkEnd w:id="8"/>
      <w:r>
        <w:t>实施</w:t>
      </w:r>
    </w:p>
    <w:bookmarkStart w:id="9" w:name="fm"/>
    <w:p w:rsidR="008A128F" w:rsidRDefault="00814FAF">
      <w:pPr>
        <w:pStyle w:val="af0"/>
        <w:framePr w:wrap="around"/>
        <w:rPr>
          <w:rFonts w:ascii="Times New Roman"/>
        </w:rPr>
      </w:pPr>
      <w:r>
        <w:rPr>
          <w:rFonts w:ascii="Times New Roman"/>
          <w:noProof/>
          <w:w w:val="100"/>
        </w:rPr>
        <mc:AlternateContent>
          <mc:Choice Requires="wps">
            <w:drawing>
              <wp:anchor distT="0" distB="0" distL="114300" distR="114300" simplePos="0" relativeHeight="251661312" behindDoc="1" locked="0" layoutInCell="1" allowOverlap="1">
                <wp:simplePos x="0" y="0"/>
                <wp:positionH relativeFrom="column">
                  <wp:posOffset>4413885</wp:posOffset>
                </wp:positionH>
                <wp:positionV relativeFrom="paragraph">
                  <wp:posOffset>-7435215</wp:posOffset>
                </wp:positionV>
                <wp:extent cx="1143000" cy="228600"/>
                <wp:effectExtent l="0" t="0" r="0" b="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txbx>
                        <w:txbxContent>
                          <w:p w:rsidR="008A128F" w:rsidRDefault="008A128F"/>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rect id="Rectangle 4" o:spid="_x0000_s1026" o:spt="1" style="position:absolute;left:0pt;margin-left:347.55pt;margin-top:-585.45pt;height:18pt;width:90pt;z-index:-251655168;mso-width-relative:page;mso-height-relative:page;" fillcolor="#FFFFFF" filled="t" stroked="f" coordsize="21600,21600" o:gfxdata="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DfyYoR2gAAAA8BAAAPAAAA&#10;AAAAAAEAIAAAADgAAABkcnMvZG93bnJldi54bWxQSwECFAAUAAAACACHTuJAqf93af0BAADwAwAA&#10;DgAAAAAAAAABACAAAAA/AQAAZHJzL2Uyb0RvYy54bWxQSwUGAAAAAAYABgBZAQAArgUAAAAA&#10;">
                <v:fill on="t" focussize="0,0"/>
                <v:stroke on="f"/>
                <v:imagedata o:title=""/>
                <o:lock v:ext="edit" aspectratio="f"/>
                <v:textbox>
                  <w:txbxContent>
                    <w:p/>
                  </w:txbxContent>
                </v:textbox>
              </v:rect>
            </w:pict>
          </mc:Fallback>
        </mc:AlternateContent>
      </w:r>
      <w:r>
        <w:rPr>
          <w:rFonts w:ascii="Times New Roman"/>
          <w:noProof/>
          <w:w w:val="100"/>
        </w:rPr>
        <mc:AlternateContent>
          <mc:Choice Requires="wps">
            <w:drawing>
              <wp:anchor distT="0" distB="0" distL="114300" distR="114300" simplePos="0" relativeHeight="251662336" behindDoc="0" locked="0" layoutInCell="1" allowOverlap="1">
                <wp:simplePos x="0" y="0"/>
                <wp:positionH relativeFrom="column">
                  <wp:posOffset>-464820</wp:posOffset>
                </wp:positionH>
                <wp:positionV relativeFrom="paragraph">
                  <wp:posOffset>-7021195</wp:posOffset>
                </wp:positionV>
                <wp:extent cx="6120130" cy="0"/>
                <wp:effectExtent l="0" t="4445" r="0" b="508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3" o:spid="_x0000_s1026" o:spt="20" style="position:absolute;left:0pt;margin-left:-36.6pt;margin-top:-552.85pt;height:0pt;width:481.9pt;z-index:251662336;mso-width-relative:page;mso-height-relative:page;" filled="f" stroked="t" coordsize="21600,21600" o:gfxdata="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OyWRoNgAAAAPAQAADwAAAAAAAAABACAAAAA4AAAAZHJzL2Rvd25y&#10;ZXYueG1sUEsBAhQAFAAAAAgAh07iQOn5V8CvAQAAVAMAAA4AAAAAAAAAAQAgAAAAPQEAAGRycy9l&#10;Mm9Eb2MueG1sUEsFBgAAAAAGAAYAWQEAAF4FAAAAAA==&#10;">
                <v:fill on="f" focussize="0,0"/>
                <v:stroke color="#000000" joinstyle="round"/>
                <v:imagedata o:title=""/>
                <o:lock v:ext="edit" aspectratio="f"/>
              </v:line>
            </w:pict>
          </mc:Fallback>
        </mc:AlternateContent>
      </w:r>
      <w:r>
        <w:rPr>
          <w:rFonts w:ascii="Times New Roman"/>
        </w:rPr>
        <w:t>河北省市场监督管理局</w:t>
      </w:r>
      <w:bookmarkEnd w:id="9"/>
      <w:r>
        <w:rPr>
          <w:rFonts w:ascii="Times New Roman"/>
        </w:rPr>
        <w:t>  </w:t>
      </w:r>
      <w:r>
        <w:rPr>
          <w:rStyle w:val="af1"/>
          <w:rFonts w:ascii="Times New Roman"/>
        </w:rPr>
        <w:t>发布</w:t>
      </w:r>
    </w:p>
    <w:p w:rsidR="008A128F" w:rsidRDefault="008A128F">
      <w:pPr>
        <w:textAlignment w:val="baseline"/>
        <w:rPr>
          <w:rFonts w:eastAsia="黑体"/>
          <w:sz w:val="32"/>
          <w:szCs w:val="32"/>
        </w:rPr>
        <w:sectPr w:rsidR="008A128F">
          <w:headerReference w:type="default" r:id="rId7"/>
          <w:footerReference w:type="default" r:id="rId8"/>
          <w:pgSz w:w="11906" w:h="16838"/>
          <w:pgMar w:top="567" w:right="1134" w:bottom="1134" w:left="1418" w:header="1418" w:footer="1134" w:gutter="0"/>
          <w:pgNumType w:fmt="upperRoman" w:start="1"/>
          <w:cols w:space="720"/>
          <w:docGrid w:type="lines" w:linePitch="312"/>
        </w:sectPr>
      </w:pPr>
    </w:p>
    <w:p w:rsidR="008A128F" w:rsidRDefault="00814FAF">
      <w:pPr>
        <w:rPr>
          <w:rFonts w:eastAsia="黑体"/>
          <w:sz w:val="32"/>
          <w:szCs w:val="32"/>
          <w:highlight w:val="yellow"/>
        </w:rPr>
        <w:sectPr w:rsidR="008A128F">
          <w:footerReference w:type="default" r:id="rId9"/>
          <w:type w:val="continuous"/>
          <w:pgSz w:w="11906" w:h="16838"/>
          <w:pgMar w:top="567" w:right="1134" w:bottom="1134" w:left="1418" w:header="1418" w:footer="1134" w:gutter="0"/>
          <w:pgNumType w:fmt="upperRoman" w:start="1"/>
          <w:cols w:space="720"/>
          <w:docGrid w:type="lines" w:linePitch="312"/>
        </w:sectPr>
      </w:pPr>
      <w:r>
        <w:rPr>
          <w:noProof/>
          <w:highlight w:val="yellow"/>
        </w:rPr>
        <mc:AlternateContent>
          <mc:Choice Requires="wps">
            <w:drawing>
              <wp:anchor distT="0" distB="0" distL="114300" distR="114300" simplePos="0" relativeHeight="251664384" behindDoc="0" locked="0" layoutInCell="1" allowOverlap="1">
                <wp:simplePos x="0" y="0"/>
                <wp:positionH relativeFrom="margin">
                  <wp:align>left</wp:align>
                </wp:positionH>
                <wp:positionV relativeFrom="paragraph">
                  <wp:posOffset>7675880</wp:posOffset>
                </wp:positionV>
                <wp:extent cx="6120130" cy="0"/>
                <wp:effectExtent l="0" t="0" r="33020" b="1905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3" o:spid="_x0000_s1026" o:spt="20" style="position:absolute;left:0pt;margin-top:604.4pt;height:0pt;width:481.9pt;mso-position-horizontal:left;mso-position-horizontal-relative:margin;z-index:251664384;mso-width-relative:page;mso-height-relative:page;" filled="f" stroked="t" coordsize="21600,21600" o:gfxdata="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KJ8vBPVAAAACgEAAA8AAAAAAAAAAQAgAAAAOAAAAGRycy9kb3ducmV2&#10;LnhtbFBLAQIUABQAAAAIAIdO4kAZ3gStsAEAAFQDAAAOAAAAAAAAAAEAIAAAADoBAABkcnMvZTJv&#10;RG9jLnhtbFBLBQYAAAAABgAGAFkBAABcBQAAAAA=&#10;">
                <v:fill on="f" focussize="0,0"/>
                <v:stroke color="#000000" joinstyle="round"/>
                <v:imagedata o:title=""/>
                <o:lock v:ext="edit" aspectratio="f"/>
              </v:line>
            </w:pict>
          </mc:Fallback>
        </mc:AlternateContent>
      </w:r>
    </w:p>
    <w:p w:rsidR="008A128F" w:rsidRDefault="00814FAF">
      <w:pPr>
        <w:jc w:val="center"/>
        <w:textAlignment w:val="baseline"/>
        <w:outlineLvl w:val="1"/>
        <w:rPr>
          <w:rFonts w:eastAsia="黑体"/>
          <w:sz w:val="32"/>
          <w:szCs w:val="32"/>
        </w:rPr>
      </w:pPr>
      <w:bookmarkStart w:id="10" w:name="_Toc161151101"/>
      <w:r>
        <w:rPr>
          <w:rFonts w:eastAsia="黑体"/>
          <w:sz w:val="32"/>
          <w:szCs w:val="32"/>
        </w:rPr>
        <w:lastRenderedPageBreak/>
        <w:t>前</w:t>
      </w:r>
      <w:bookmarkStart w:id="11" w:name="BKQY"/>
      <w:r>
        <w:rPr>
          <w:rFonts w:eastAsia="黑体"/>
          <w:sz w:val="32"/>
          <w:szCs w:val="32"/>
        </w:rPr>
        <w:t>  </w:t>
      </w:r>
      <w:r>
        <w:rPr>
          <w:rFonts w:eastAsia="黑体"/>
          <w:sz w:val="32"/>
          <w:szCs w:val="32"/>
        </w:rPr>
        <w:t>言</w:t>
      </w:r>
      <w:bookmarkEnd w:id="10"/>
      <w:bookmarkEnd w:id="11"/>
    </w:p>
    <w:p w:rsidR="008A128F" w:rsidRDefault="00814FAF">
      <w:pPr>
        <w:snapToGrid w:val="0"/>
        <w:ind w:firstLineChars="200" w:firstLine="420"/>
        <w:textAlignment w:val="baseline"/>
        <w:rPr>
          <w:kern w:val="0"/>
          <w:szCs w:val="21"/>
        </w:rPr>
      </w:pPr>
      <w:r>
        <w:rPr>
          <w:kern w:val="0"/>
          <w:szCs w:val="21"/>
        </w:rPr>
        <w:t>本文件按照</w:t>
      </w:r>
      <w:r>
        <w:rPr>
          <w:kern w:val="0"/>
          <w:szCs w:val="21"/>
        </w:rPr>
        <w:t xml:space="preserve"> GB/T 1.1-2020</w:t>
      </w:r>
      <w:r>
        <w:rPr>
          <w:kern w:val="0"/>
          <w:szCs w:val="21"/>
        </w:rPr>
        <w:t>《标准化工作导则</w:t>
      </w:r>
      <w:r>
        <w:rPr>
          <w:kern w:val="0"/>
          <w:szCs w:val="21"/>
        </w:rPr>
        <w:t xml:space="preserve"> </w:t>
      </w:r>
      <w:r>
        <w:rPr>
          <w:kern w:val="0"/>
          <w:szCs w:val="21"/>
        </w:rPr>
        <w:t>第</w:t>
      </w:r>
      <w:r>
        <w:rPr>
          <w:kern w:val="0"/>
          <w:szCs w:val="21"/>
        </w:rPr>
        <w:t xml:space="preserve"> 1 </w:t>
      </w:r>
      <w:r>
        <w:rPr>
          <w:kern w:val="0"/>
          <w:szCs w:val="21"/>
        </w:rPr>
        <w:t>部分：标准化文件的结构与起草规则》的规定起草。</w:t>
      </w:r>
    </w:p>
    <w:p w:rsidR="008A128F" w:rsidRDefault="00814FAF">
      <w:pPr>
        <w:snapToGrid w:val="0"/>
        <w:ind w:firstLineChars="200" w:firstLine="420"/>
        <w:textAlignment w:val="baseline"/>
        <w:rPr>
          <w:kern w:val="0"/>
          <w:szCs w:val="21"/>
        </w:rPr>
      </w:pPr>
      <w:r>
        <w:rPr>
          <w:kern w:val="0"/>
          <w:szCs w:val="21"/>
        </w:rPr>
        <w:t>本文件提出单位：河北省科学技术厅。</w:t>
      </w:r>
    </w:p>
    <w:p w:rsidR="008A128F" w:rsidRDefault="00814FAF">
      <w:pPr>
        <w:snapToGrid w:val="0"/>
        <w:ind w:firstLineChars="200" w:firstLine="420"/>
        <w:textAlignment w:val="baseline"/>
        <w:rPr>
          <w:kern w:val="0"/>
          <w:szCs w:val="21"/>
        </w:rPr>
      </w:pPr>
      <w:r>
        <w:rPr>
          <w:kern w:val="0"/>
          <w:szCs w:val="21"/>
        </w:rPr>
        <w:t>本文件起草单位：河北省农林科学院生物技术与食品科学研究所、河北省科技创新服务中心</w:t>
      </w:r>
      <w:r>
        <w:rPr>
          <w:rFonts w:hint="eastAsia"/>
          <w:kern w:val="0"/>
          <w:szCs w:val="21"/>
        </w:rPr>
        <w:t>、</w:t>
      </w:r>
      <w:r>
        <w:rPr>
          <w:kern w:val="0"/>
          <w:szCs w:val="21"/>
        </w:rPr>
        <w:t>河北省中医药科学院</w:t>
      </w:r>
      <w:r>
        <w:rPr>
          <w:rFonts w:hint="eastAsia"/>
          <w:kern w:val="0"/>
          <w:szCs w:val="21"/>
        </w:rPr>
        <w:t>、河北省农林科学院经济作物研究所、</w:t>
      </w:r>
      <w:r>
        <w:rPr>
          <w:kern w:val="0"/>
          <w:szCs w:val="21"/>
        </w:rPr>
        <w:t>河北省中医药</w:t>
      </w:r>
      <w:r>
        <w:rPr>
          <w:rFonts w:hint="eastAsia"/>
          <w:kern w:val="0"/>
          <w:szCs w:val="21"/>
        </w:rPr>
        <w:t>发展中心</w:t>
      </w:r>
      <w:r>
        <w:rPr>
          <w:kern w:val="0"/>
          <w:szCs w:val="21"/>
        </w:rPr>
        <w:t>。</w:t>
      </w:r>
    </w:p>
    <w:p w:rsidR="008A128F" w:rsidRDefault="00814FAF">
      <w:pPr>
        <w:snapToGrid w:val="0"/>
        <w:ind w:firstLineChars="200" w:firstLine="420"/>
        <w:textAlignment w:val="baseline"/>
        <w:rPr>
          <w:kern w:val="0"/>
          <w:szCs w:val="21"/>
        </w:rPr>
      </w:pPr>
      <w:r>
        <w:rPr>
          <w:kern w:val="0"/>
          <w:szCs w:val="21"/>
        </w:rPr>
        <w:t>本文件主要起草人：</w:t>
      </w:r>
      <w:r>
        <w:rPr>
          <w:rFonts w:hint="eastAsia"/>
          <w:kern w:val="0"/>
          <w:szCs w:val="21"/>
        </w:rPr>
        <w:t>章丽、</w:t>
      </w:r>
      <w:r>
        <w:rPr>
          <w:kern w:val="0"/>
          <w:szCs w:val="21"/>
        </w:rPr>
        <w:t>及华、滕慧颖</w:t>
      </w:r>
      <w:r>
        <w:rPr>
          <w:rFonts w:hint="eastAsia"/>
          <w:kern w:val="0"/>
          <w:szCs w:val="21"/>
        </w:rPr>
        <w:t>、</w:t>
      </w:r>
      <w:r>
        <w:rPr>
          <w:kern w:val="0"/>
          <w:szCs w:val="21"/>
        </w:rPr>
        <w:t>李娜、</w:t>
      </w:r>
      <w:r>
        <w:rPr>
          <w:rFonts w:hint="eastAsia"/>
          <w:kern w:val="0"/>
          <w:szCs w:val="21"/>
        </w:rPr>
        <w:t>裴林</w:t>
      </w:r>
      <w:r>
        <w:rPr>
          <w:kern w:val="0"/>
          <w:szCs w:val="21"/>
        </w:rPr>
        <w:t>、何培</w:t>
      </w:r>
      <w:r>
        <w:rPr>
          <w:rFonts w:hint="eastAsia"/>
          <w:kern w:val="0"/>
          <w:szCs w:val="21"/>
        </w:rPr>
        <w:t>、刘灵娣、</w:t>
      </w:r>
      <w:r>
        <w:rPr>
          <w:rFonts w:ascii="宋体" w:hAnsi="宋体" w:hint="eastAsia"/>
          <w:sz w:val="24"/>
        </w:rPr>
        <w:t>姜涛、</w:t>
      </w:r>
      <w:r>
        <w:rPr>
          <w:rFonts w:hint="eastAsia"/>
          <w:kern w:val="0"/>
          <w:szCs w:val="21"/>
        </w:rPr>
        <w:t>欧阳艳飞。</w:t>
      </w:r>
    </w:p>
    <w:p w:rsidR="008A128F" w:rsidRDefault="00814FAF">
      <w:pPr>
        <w:snapToGrid w:val="0"/>
        <w:ind w:firstLineChars="200" w:firstLine="420"/>
        <w:textAlignment w:val="baseline"/>
        <w:rPr>
          <w:kern w:val="0"/>
          <w:szCs w:val="21"/>
        </w:rPr>
      </w:pPr>
      <w:r>
        <w:rPr>
          <w:kern w:val="0"/>
          <w:szCs w:val="21"/>
        </w:rPr>
        <w:t>本文件为首次提出。</w:t>
      </w:r>
    </w:p>
    <w:p w:rsidR="008A128F" w:rsidRDefault="008A128F">
      <w:pPr>
        <w:rPr>
          <w:szCs w:val="21"/>
        </w:rPr>
      </w:pPr>
    </w:p>
    <w:p w:rsidR="008A128F" w:rsidRDefault="008A128F">
      <w:pPr>
        <w:rPr>
          <w:szCs w:val="21"/>
        </w:rPr>
      </w:pPr>
    </w:p>
    <w:p w:rsidR="008A128F" w:rsidRDefault="008A128F">
      <w:pPr>
        <w:rPr>
          <w:szCs w:val="21"/>
        </w:rPr>
      </w:pPr>
    </w:p>
    <w:p w:rsidR="008A128F" w:rsidRDefault="008A128F">
      <w:pPr>
        <w:rPr>
          <w:szCs w:val="21"/>
        </w:rPr>
      </w:pPr>
    </w:p>
    <w:p w:rsidR="008A128F" w:rsidRDefault="008A128F">
      <w:pPr>
        <w:rPr>
          <w:szCs w:val="21"/>
        </w:rPr>
      </w:pPr>
    </w:p>
    <w:p w:rsidR="008A128F" w:rsidRDefault="008A128F">
      <w:pPr>
        <w:rPr>
          <w:szCs w:val="21"/>
        </w:rPr>
      </w:pPr>
    </w:p>
    <w:p w:rsidR="008A128F" w:rsidRDefault="008A128F">
      <w:pPr>
        <w:rPr>
          <w:szCs w:val="21"/>
        </w:rPr>
      </w:pPr>
    </w:p>
    <w:p w:rsidR="008A128F" w:rsidRDefault="008A128F">
      <w:pPr>
        <w:rPr>
          <w:szCs w:val="21"/>
        </w:rPr>
      </w:pPr>
    </w:p>
    <w:p w:rsidR="008A128F" w:rsidRDefault="008A128F">
      <w:pPr>
        <w:rPr>
          <w:szCs w:val="21"/>
        </w:rPr>
      </w:pPr>
    </w:p>
    <w:p w:rsidR="008A128F" w:rsidRDefault="008A128F">
      <w:pPr>
        <w:rPr>
          <w:szCs w:val="21"/>
        </w:rPr>
      </w:pPr>
    </w:p>
    <w:p w:rsidR="008A128F" w:rsidRDefault="008A128F">
      <w:pPr>
        <w:rPr>
          <w:szCs w:val="21"/>
        </w:rPr>
      </w:pPr>
    </w:p>
    <w:p w:rsidR="008A128F" w:rsidRDefault="008A128F">
      <w:pPr>
        <w:rPr>
          <w:szCs w:val="21"/>
        </w:rPr>
      </w:pPr>
    </w:p>
    <w:p w:rsidR="008A128F" w:rsidRDefault="008A128F">
      <w:pPr>
        <w:rPr>
          <w:szCs w:val="21"/>
        </w:rPr>
      </w:pPr>
    </w:p>
    <w:p w:rsidR="008A128F" w:rsidRDefault="008A128F">
      <w:pPr>
        <w:jc w:val="center"/>
        <w:rPr>
          <w:szCs w:val="21"/>
        </w:rPr>
      </w:pPr>
    </w:p>
    <w:p w:rsidR="008A128F" w:rsidRDefault="008A128F">
      <w:pPr>
        <w:rPr>
          <w:szCs w:val="21"/>
        </w:rPr>
      </w:pPr>
    </w:p>
    <w:p w:rsidR="008A128F" w:rsidRDefault="008A128F">
      <w:pPr>
        <w:rPr>
          <w:szCs w:val="21"/>
        </w:rPr>
      </w:pPr>
    </w:p>
    <w:p w:rsidR="008A128F" w:rsidRDefault="008A128F">
      <w:pPr>
        <w:rPr>
          <w:szCs w:val="21"/>
        </w:rPr>
        <w:sectPr w:rsidR="008A128F">
          <w:footerReference w:type="default" r:id="rId10"/>
          <w:pgSz w:w="11906" w:h="16838"/>
          <w:pgMar w:top="567" w:right="1134" w:bottom="1134" w:left="1418" w:header="1418" w:footer="1134" w:gutter="0"/>
          <w:pgNumType w:fmt="upperRoman" w:start="1"/>
          <w:cols w:space="720"/>
          <w:docGrid w:type="lines" w:linePitch="312"/>
        </w:sectPr>
      </w:pPr>
    </w:p>
    <w:p w:rsidR="008A128F" w:rsidRPr="00EA13FE" w:rsidRDefault="00814FAF">
      <w:pPr>
        <w:jc w:val="center"/>
        <w:rPr>
          <w:rFonts w:eastAsia="黑体"/>
          <w:sz w:val="32"/>
          <w:szCs w:val="32"/>
        </w:rPr>
      </w:pPr>
      <w:r w:rsidRPr="00EA13FE">
        <w:rPr>
          <w:rFonts w:eastAsia="黑体" w:hint="eastAsia"/>
          <w:sz w:val="32"/>
          <w:szCs w:val="32"/>
        </w:rPr>
        <w:lastRenderedPageBreak/>
        <w:t>中药材林下种植与仿野生抚育技术规程</w:t>
      </w:r>
    </w:p>
    <w:p w:rsidR="008A128F" w:rsidRDefault="008A128F">
      <w:pPr>
        <w:jc w:val="center"/>
        <w:textAlignment w:val="baseline"/>
        <w:rPr>
          <w:rFonts w:eastAsia="黑体"/>
          <w:sz w:val="32"/>
          <w:szCs w:val="32"/>
        </w:rPr>
      </w:pPr>
    </w:p>
    <w:p w:rsidR="008A128F" w:rsidRDefault="00814FAF">
      <w:pPr>
        <w:pStyle w:val="af2"/>
      </w:pPr>
      <w:bookmarkStart w:id="12" w:name="_Toc161151102"/>
      <w:r>
        <w:t xml:space="preserve">1 </w:t>
      </w:r>
      <w:r>
        <w:t>范围</w:t>
      </w:r>
      <w:bookmarkEnd w:id="12"/>
    </w:p>
    <w:p w:rsidR="008A128F" w:rsidRDefault="00814FAF">
      <w:pPr>
        <w:adjustRightInd w:val="0"/>
        <w:snapToGrid w:val="0"/>
        <w:spacing w:line="360" w:lineRule="auto"/>
        <w:ind w:firstLineChars="200" w:firstLine="420"/>
        <w:rPr>
          <w:kern w:val="0"/>
          <w:szCs w:val="21"/>
        </w:rPr>
      </w:pPr>
      <w:r>
        <w:rPr>
          <w:kern w:val="0"/>
          <w:szCs w:val="21"/>
        </w:rPr>
        <w:t>本文件规定了中药材林下种植</w:t>
      </w:r>
      <w:r>
        <w:rPr>
          <w:rFonts w:hint="eastAsia"/>
          <w:kern w:val="0"/>
          <w:szCs w:val="21"/>
        </w:rPr>
        <w:t>与</w:t>
      </w:r>
      <w:r>
        <w:rPr>
          <w:kern w:val="0"/>
          <w:szCs w:val="21"/>
        </w:rPr>
        <w:t>仿野生栽培的产地环境要求、栽培关键技术、病虫害防治、采收、档案管理等技术要求。</w:t>
      </w:r>
    </w:p>
    <w:p w:rsidR="008A128F" w:rsidRDefault="00814FAF">
      <w:pPr>
        <w:adjustRightInd w:val="0"/>
        <w:snapToGrid w:val="0"/>
        <w:spacing w:line="360" w:lineRule="auto"/>
        <w:ind w:firstLineChars="200" w:firstLine="420"/>
        <w:textAlignment w:val="baseline"/>
        <w:rPr>
          <w:kern w:val="0"/>
          <w:szCs w:val="21"/>
        </w:rPr>
      </w:pPr>
      <w:r>
        <w:rPr>
          <w:kern w:val="0"/>
          <w:szCs w:val="21"/>
        </w:rPr>
        <w:t>本文件适用于河北省境内中药材林下种植与仿野生栽培。</w:t>
      </w:r>
    </w:p>
    <w:p w:rsidR="008A128F" w:rsidRDefault="00814FAF">
      <w:pPr>
        <w:pStyle w:val="af2"/>
      </w:pPr>
      <w:bookmarkStart w:id="13" w:name="_Toc161151103"/>
      <w:r>
        <w:t xml:space="preserve">2 </w:t>
      </w:r>
      <w:r>
        <w:t>规范性引用文件</w:t>
      </w:r>
      <w:bookmarkEnd w:id="13"/>
    </w:p>
    <w:p w:rsidR="008A128F" w:rsidRDefault="00814FAF">
      <w:pPr>
        <w:adjustRightInd w:val="0"/>
        <w:snapToGrid w:val="0"/>
        <w:spacing w:line="360" w:lineRule="auto"/>
        <w:ind w:firstLineChars="200" w:firstLine="420"/>
        <w:rPr>
          <w:kern w:val="0"/>
          <w:szCs w:val="21"/>
        </w:rPr>
      </w:pPr>
      <w:r>
        <w:rPr>
          <w:kern w:val="0"/>
          <w:szCs w:val="21"/>
        </w:rPr>
        <w:t>下列文件中的内容通过文中的规范性引用而构成本文件必不可少的条款。其中，注日期的引用文件，仅该日期对应的版本适用于本文件；不注日期的引用文件，其最新版本</w:t>
      </w:r>
      <w:r>
        <w:rPr>
          <w:kern w:val="0"/>
          <w:szCs w:val="21"/>
        </w:rPr>
        <w:t>(</w:t>
      </w:r>
      <w:r>
        <w:rPr>
          <w:kern w:val="0"/>
          <w:szCs w:val="21"/>
        </w:rPr>
        <w:t>包括所有的修改单</w:t>
      </w:r>
      <w:r>
        <w:rPr>
          <w:kern w:val="0"/>
          <w:szCs w:val="21"/>
        </w:rPr>
        <w:t>)</w:t>
      </w:r>
      <w:r>
        <w:rPr>
          <w:kern w:val="0"/>
          <w:szCs w:val="21"/>
        </w:rPr>
        <w:t>适用于本文件。</w:t>
      </w:r>
    </w:p>
    <w:p w:rsidR="008A128F" w:rsidRDefault="00814FAF">
      <w:pPr>
        <w:adjustRightInd w:val="0"/>
        <w:snapToGrid w:val="0"/>
        <w:spacing w:line="360" w:lineRule="auto"/>
        <w:ind w:firstLineChars="200" w:firstLine="420"/>
        <w:rPr>
          <w:kern w:val="0"/>
          <w:szCs w:val="21"/>
        </w:rPr>
      </w:pPr>
      <w:r>
        <w:rPr>
          <w:kern w:val="0"/>
          <w:szCs w:val="21"/>
        </w:rPr>
        <w:t xml:space="preserve">GB 3095 </w:t>
      </w:r>
      <w:r>
        <w:rPr>
          <w:kern w:val="0"/>
          <w:szCs w:val="21"/>
        </w:rPr>
        <w:t>环境空气质量标准</w:t>
      </w:r>
    </w:p>
    <w:p w:rsidR="008A128F" w:rsidRDefault="00814FAF">
      <w:pPr>
        <w:adjustRightInd w:val="0"/>
        <w:snapToGrid w:val="0"/>
        <w:spacing w:line="360" w:lineRule="auto"/>
        <w:ind w:firstLineChars="200" w:firstLine="420"/>
        <w:rPr>
          <w:kern w:val="0"/>
          <w:szCs w:val="21"/>
        </w:rPr>
      </w:pPr>
      <w:r>
        <w:rPr>
          <w:kern w:val="0"/>
          <w:szCs w:val="21"/>
        </w:rPr>
        <w:t xml:space="preserve">GB 5084 </w:t>
      </w:r>
      <w:r>
        <w:rPr>
          <w:kern w:val="0"/>
          <w:szCs w:val="21"/>
        </w:rPr>
        <w:t>农田灌溉水质标准</w:t>
      </w:r>
    </w:p>
    <w:p w:rsidR="008A128F" w:rsidRDefault="00814FAF">
      <w:pPr>
        <w:adjustRightInd w:val="0"/>
        <w:snapToGrid w:val="0"/>
        <w:spacing w:line="360" w:lineRule="auto"/>
        <w:ind w:firstLineChars="200" w:firstLine="420"/>
        <w:rPr>
          <w:kern w:val="0"/>
          <w:szCs w:val="21"/>
        </w:rPr>
      </w:pPr>
      <w:r>
        <w:rPr>
          <w:kern w:val="0"/>
          <w:szCs w:val="21"/>
        </w:rPr>
        <w:t xml:space="preserve">GB 15618 </w:t>
      </w:r>
      <w:r>
        <w:rPr>
          <w:kern w:val="0"/>
          <w:szCs w:val="21"/>
        </w:rPr>
        <w:t>土壤环境质量</w:t>
      </w:r>
      <w:r>
        <w:rPr>
          <w:kern w:val="0"/>
          <w:szCs w:val="21"/>
        </w:rPr>
        <w:t xml:space="preserve"> </w:t>
      </w:r>
      <w:r>
        <w:rPr>
          <w:kern w:val="0"/>
          <w:szCs w:val="21"/>
        </w:rPr>
        <w:t>农用地土壤污染风险管</w:t>
      </w:r>
      <w:proofErr w:type="gramStart"/>
      <w:r>
        <w:rPr>
          <w:kern w:val="0"/>
          <w:szCs w:val="21"/>
        </w:rPr>
        <w:t>控标准</w:t>
      </w:r>
      <w:proofErr w:type="gramEnd"/>
      <w:r>
        <w:rPr>
          <w:kern w:val="0"/>
          <w:szCs w:val="21"/>
        </w:rPr>
        <w:t>(</w:t>
      </w:r>
      <w:r>
        <w:rPr>
          <w:kern w:val="0"/>
          <w:szCs w:val="21"/>
        </w:rPr>
        <w:t>试行</w:t>
      </w:r>
      <w:r>
        <w:rPr>
          <w:kern w:val="0"/>
          <w:szCs w:val="21"/>
        </w:rPr>
        <w:t>)</w:t>
      </w:r>
    </w:p>
    <w:p w:rsidR="008A128F" w:rsidRDefault="00814FAF">
      <w:pPr>
        <w:adjustRightInd w:val="0"/>
        <w:snapToGrid w:val="0"/>
        <w:spacing w:line="360" w:lineRule="auto"/>
        <w:ind w:firstLineChars="200" w:firstLine="420"/>
        <w:rPr>
          <w:kern w:val="0"/>
          <w:szCs w:val="21"/>
        </w:rPr>
      </w:pPr>
      <w:r>
        <w:rPr>
          <w:kern w:val="0"/>
          <w:szCs w:val="21"/>
        </w:rPr>
        <w:t xml:space="preserve">GB 20287 </w:t>
      </w:r>
      <w:r>
        <w:rPr>
          <w:kern w:val="0"/>
          <w:szCs w:val="21"/>
        </w:rPr>
        <w:t>农用微生物菌剂</w:t>
      </w:r>
    </w:p>
    <w:p w:rsidR="008A128F" w:rsidRPr="00EA13FE" w:rsidRDefault="00814FAF">
      <w:pPr>
        <w:adjustRightInd w:val="0"/>
        <w:snapToGrid w:val="0"/>
        <w:spacing w:line="360" w:lineRule="auto"/>
        <w:ind w:firstLineChars="200" w:firstLine="420"/>
        <w:rPr>
          <w:kern w:val="0"/>
          <w:szCs w:val="21"/>
        </w:rPr>
      </w:pPr>
      <w:bookmarkStart w:id="14" w:name="_GoBack"/>
      <w:bookmarkEnd w:id="14"/>
      <w:r w:rsidRPr="00EA13FE">
        <w:rPr>
          <w:kern w:val="0"/>
          <w:szCs w:val="21"/>
        </w:rPr>
        <w:t xml:space="preserve">NY/T 798 </w:t>
      </w:r>
      <w:r w:rsidRPr="00EA13FE">
        <w:rPr>
          <w:kern w:val="0"/>
          <w:szCs w:val="21"/>
        </w:rPr>
        <w:t>复合微生物肥料</w:t>
      </w:r>
    </w:p>
    <w:p w:rsidR="008A128F" w:rsidRDefault="00814FAF">
      <w:pPr>
        <w:adjustRightInd w:val="0"/>
        <w:snapToGrid w:val="0"/>
        <w:spacing w:line="360" w:lineRule="auto"/>
        <w:ind w:firstLineChars="200" w:firstLine="420"/>
        <w:rPr>
          <w:kern w:val="0"/>
          <w:szCs w:val="21"/>
        </w:rPr>
      </w:pPr>
      <w:r>
        <w:rPr>
          <w:kern w:val="0"/>
          <w:szCs w:val="21"/>
        </w:rPr>
        <w:t xml:space="preserve">NY/T 1868 </w:t>
      </w:r>
      <w:r>
        <w:rPr>
          <w:kern w:val="0"/>
          <w:szCs w:val="21"/>
        </w:rPr>
        <w:t>肥料合理使用准则</w:t>
      </w:r>
      <w:r>
        <w:rPr>
          <w:kern w:val="0"/>
          <w:szCs w:val="21"/>
        </w:rPr>
        <w:t xml:space="preserve"> </w:t>
      </w:r>
      <w:r>
        <w:rPr>
          <w:kern w:val="0"/>
          <w:szCs w:val="21"/>
        </w:rPr>
        <w:t>有机肥料</w:t>
      </w:r>
    </w:p>
    <w:p w:rsidR="008A128F" w:rsidRDefault="00814FAF">
      <w:pPr>
        <w:pStyle w:val="af2"/>
      </w:pPr>
      <w:r>
        <w:t xml:space="preserve">3 </w:t>
      </w:r>
      <w:r>
        <w:rPr>
          <w:rFonts w:hint="eastAsia"/>
        </w:rPr>
        <w:t>术语和定义</w:t>
      </w:r>
    </w:p>
    <w:p w:rsidR="008A128F" w:rsidRDefault="00814FAF">
      <w:pPr>
        <w:adjustRightInd w:val="0"/>
        <w:snapToGrid w:val="0"/>
        <w:spacing w:beforeLines="50" w:before="156" w:afterLines="50" w:after="156" w:line="360" w:lineRule="auto"/>
        <w:outlineLvl w:val="2"/>
        <w:rPr>
          <w:rFonts w:eastAsia="黑体"/>
        </w:rPr>
      </w:pPr>
      <w:r>
        <w:rPr>
          <w:rFonts w:eastAsia="黑体" w:hint="eastAsia"/>
        </w:rPr>
        <w:t>3.1</w:t>
      </w:r>
      <w:r>
        <w:rPr>
          <w:rFonts w:eastAsia="黑体" w:hint="eastAsia"/>
        </w:rPr>
        <w:t>林下种植</w:t>
      </w:r>
    </w:p>
    <w:p w:rsidR="008A128F" w:rsidRDefault="00814FAF">
      <w:pPr>
        <w:adjustRightInd w:val="0"/>
        <w:snapToGrid w:val="0"/>
        <w:spacing w:line="360" w:lineRule="auto"/>
        <w:ind w:firstLineChars="200" w:firstLine="420"/>
        <w:rPr>
          <w:kern w:val="0"/>
          <w:szCs w:val="21"/>
        </w:rPr>
      </w:pPr>
      <w:r>
        <w:rPr>
          <w:rFonts w:hint="eastAsia"/>
          <w:kern w:val="0"/>
          <w:szCs w:val="21"/>
        </w:rPr>
        <w:t>将乔木或灌木与中药材结合的立体种植模式。</w:t>
      </w:r>
    </w:p>
    <w:p w:rsidR="008A128F" w:rsidRDefault="00814FAF">
      <w:pPr>
        <w:adjustRightInd w:val="0"/>
        <w:snapToGrid w:val="0"/>
        <w:spacing w:beforeLines="50" w:before="156" w:afterLines="50" w:after="156" w:line="360" w:lineRule="auto"/>
        <w:outlineLvl w:val="2"/>
        <w:rPr>
          <w:rFonts w:eastAsia="黑体"/>
        </w:rPr>
      </w:pPr>
      <w:r>
        <w:rPr>
          <w:rFonts w:eastAsia="黑体" w:hint="eastAsia"/>
        </w:rPr>
        <w:t>3.</w:t>
      </w:r>
      <w:r>
        <w:rPr>
          <w:rFonts w:eastAsia="黑体"/>
        </w:rPr>
        <w:t>2</w:t>
      </w:r>
      <w:r>
        <w:rPr>
          <w:rFonts w:eastAsia="黑体" w:hint="eastAsia"/>
        </w:rPr>
        <w:t>仿野生栽培</w:t>
      </w:r>
    </w:p>
    <w:p w:rsidR="008A128F" w:rsidRDefault="00814FAF">
      <w:pPr>
        <w:adjustRightInd w:val="0"/>
        <w:snapToGrid w:val="0"/>
        <w:spacing w:line="360" w:lineRule="auto"/>
        <w:ind w:firstLineChars="200" w:firstLine="420"/>
        <w:rPr>
          <w:kern w:val="0"/>
          <w:szCs w:val="21"/>
        </w:rPr>
      </w:pPr>
      <w:r>
        <w:rPr>
          <w:rFonts w:hint="eastAsia"/>
          <w:kern w:val="0"/>
          <w:szCs w:val="21"/>
        </w:rPr>
        <w:t>依据药用植物生长特性及对生态环境条件的要求，在其原生境或相类似的环境中，人为或自然增加其种群数量</w:t>
      </w:r>
      <w:r>
        <w:rPr>
          <w:kern w:val="0"/>
          <w:szCs w:val="21"/>
        </w:rPr>
        <w:t>的一种</w:t>
      </w:r>
      <w:r>
        <w:rPr>
          <w:rFonts w:hint="eastAsia"/>
          <w:kern w:val="0"/>
          <w:szCs w:val="21"/>
        </w:rPr>
        <w:t>中</w:t>
      </w:r>
      <w:r>
        <w:rPr>
          <w:kern w:val="0"/>
          <w:szCs w:val="21"/>
        </w:rPr>
        <w:t>药材生产方式</w:t>
      </w:r>
      <w:r>
        <w:rPr>
          <w:rFonts w:hint="eastAsia"/>
          <w:kern w:val="0"/>
          <w:szCs w:val="21"/>
        </w:rPr>
        <w:t>。</w:t>
      </w:r>
    </w:p>
    <w:p w:rsidR="008A128F" w:rsidRPr="00EA13FE" w:rsidRDefault="00EA13FE">
      <w:pPr>
        <w:pStyle w:val="af2"/>
      </w:pPr>
      <w:bookmarkStart w:id="15" w:name="_Toc161151104"/>
      <w:r w:rsidRPr="00EA13FE">
        <w:t>4</w:t>
      </w:r>
      <w:r w:rsidR="00814FAF" w:rsidRPr="00EA13FE">
        <w:t xml:space="preserve"> </w:t>
      </w:r>
      <w:r w:rsidR="00814FAF" w:rsidRPr="00EA13FE">
        <w:t>产地环境</w:t>
      </w:r>
      <w:bookmarkEnd w:id="15"/>
      <w:r w:rsidR="00814FAF" w:rsidRPr="00EA13FE">
        <w:rPr>
          <w:rFonts w:hint="eastAsia"/>
        </w:rPr>
        <w:t>规定</w:t>
      </w:r>
    </w:p>
    <w:p w:rsidR="008A128F" w:rsidRDefault="00814FAF">
      <w:pPr>
        <w:adjustRightInd w:val="0"/>
        <w:snapToGrid w:val="0"/>
        <w:spacing w:line="360" w:lineRule="auto"/>
        <w:ind w:firstLineChars="200" w:firstLine="420"/>
        <w:rPr>
          <w:kern w:val="0"/>
          <w:szCs w:val="21"/>
        </w:rPr>
      </w:pPr>
      <w:r>
        <w:rPr>
          <w:kern w:val="0"/>
          <w:szCs w:val="21"/>
        </w:rPr>
        <w:t>生产基地选择大气、水质、土壤等条件符合国家法定标准的无污染地区，产地的空气质量符合</w:t>
      </w:r>
      <w:r>
        <w:rPr>
          <w:kern w:val="0"/>
          <w:szCs w:val="21"/>
        </w:rPr>
        <w:t>GB 3095</w:t>
      </w:r>
      <w:r>
        <w:rPr>
          <w:kern w:val="0"/>
          <w:szCs w:val="21"/>
        </w:rPr>
        <w:t>的规定，灌溉水质量符合</w:t>
      </w:r>
      <w:r>
        <w:rPr>
          <w:kern w:val="0"/>
          <w:szCs w:val="21"/>
        </w:rPr>
        <w:t>GB 5084</w:t>
      </w:r>
      <w:r>
        <w:rPr>
          <w:kern w:val="0"/>
          <w:szCs w:val="21"/>
        </w:rPr>
        <w:t>的规定，土壤质量符合</w:t>
      </w:r>
      <w:r>
        <w:rPr>
          <w:kern w:val="0"/>
          <w:szCs w:val="21"/>
        </w:rPr>
        <w:t>GB 15618</w:t>
      </w:r>
      <w:r>
        <w:rPr>
          <w:kern w:val="0"/>
          <w:szCs w:val="21"/>
        </w:rPr>
        <w:t>的规定。</w:t>
      </w:r>
    </w:p>
    <w:p w:rsidR="008A128F" w:rsidRPr="00EA13FE" w:rsidRDefault="00EA13FE">
      <w:pPr>
        <w:pStyle w:val="af2"/>
      </w:pPr>
      <w:bookmarkStart w:id="16" w:name="_Toc161151105"/>
      <w:r w:rsidRPr="00EA13FE">
        <w:t>5</w:t>
      </w:r>
      <w:r w:rsidR="00814FAF" w:rsidRPr="00EA13FE">
        <w:t xml:space="preserve"> </w:t>
      </w:r>
      <w:r w:rsidR="00814FAF" w:rsidRPr="00EA13FE">
        <w:t>栽培关键技术</w:t>
      </w:r>
      <w:bookmarkEnd w:id="16"/>
    </w:p>
    <w:p w:rsidR="008A128F" w:rsidRDefault="00EA13FE">
      <w:pPr>
        <w:adjustRightInd w:val="0"/>
        <w:snapToGrid w:val="0"/>
        <w:spacing w:beforeLines="50" w:before="156" w:afterLines="50" w:after="156" w:line="360" w:lineRule="auto"/>
        <w:outlineLvl w:val="2"/>
        <w:rPr>
          <w:rFonts w:eastAsia="黑体"/>
        </w:rPr>
      </w:pPr>
      <w:bookmarkStart w:id="17" w:name="_Toc161151106"/>
      <w:r>
        <w:rPr>
          <w:rFonts w:eastAsia="黑体"/>
        </w:rPr>
        <w:t>5</w:t>
      </w:r>
      <w:r w:rsidR="00814FAF">
        <w:rPr>
          <w:rFonts w:eastAsia="黑体"/>
        </w:rPr>
        <w:t xml:space="preserve">.1 </w:t>
      </w:r>
      <w:r w:rsidR="00814FAF">
        <w:rPr>
          <w:rFonts w:eastAsia="黑体" w:hint="eastAsia"/>
        </w:rPr>
        <w:t>林下种植</w:t>
      </w:r>
      <w:bookmarkEnd w:id="17"/>
    </w:p>
    <w:p w:rsidR="008A128F" w:rsidRDefault="00EA13FE">
      <w:pPr>
        <w:adjustRightInd w:val="0"/>
        <w:snapToGrid w:val="0"/>
        <w:spacing w:beforeLines="50" w:before="156" w:afterLines="50" w:after="156" w:line="360" w:lineRule="auto"/>
        <w:outlineLvl w:val="3"/>
        <w:rPr>
          <w:rFonts w:eastAsia="黑体"/>
        </w:rPr>
      </w:pPr>
      <w:r>
        <w:rPr>
          <w:rFonts w:eastAsia="黑体"/>
        </w:rPr>
        <w:lastRenderedPageBreak/>
        <w:t>5</w:t>
      </w:r>
      <w:r w:rsidR="00814FAF">
        <w:rPr>
          <w:rFonts w:eastAsia="黑体" w:hint="eastAsia"/>
        </w:rPr>
        <w:t>.1.1</w:t>
      </w:r>
      <w:r w:rsidR="00814FAF">
        <w:rPr>
          <w:rFonts w:eastAsia="黑体"/>
        </w:rPr>
        <w:t>品种选择</w:t>
      </w:r>
    </w:p>
    <w:p w:rsidR="008A128F" w:rsidRDefault="00814FAF">
      <w:pPr>
        <w:adjustRightInd w:val="0"/>
        <w:snapToGrid w:val="0"/>
        <w:spacing w:line="360" w:lineRule="auto"/>
        <w:ind w:firstLineChars="200" w:firstLine="420"/>
        <w:rPr>
          <w:kern w:val="0"/>
          <w:szCs w:val="21"/>
        </w:rPr>
      </w:pPr>
      <w:r>
        <w:rPr>
          <w:kern w:val="0"/>
          <w:szCs w:val="21"/>
        </w:rPr>
        <w:t>选择种质来源明确、符合国家标准的种子种苗及其他繁殖材料。优先选择本地区道地品种、优良乡土品种和种植试验成功的引种品种。</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.1.2 </w:t>
      </w:r>
      <w:r w:rsidR="00814FAF">
        <w:rPr>
          <w:rFonts w:eastAsia="黑体"/>
        </w:rPr>
        <w:t>选地</w:t>
      </w:r>
    </w:p>
    <w:p w:rsidR="008A128F" w:rsidRDefault="00814FAF">
      <w:pPr>
        <w:adjustRightInd w:val="0"/>
        <w:snapToGrid w:val="0"/>
        <w:spacing w:line="360" w:lineRule="auto"/>
        <w:ind w:firstLineChars="200" w:firstLine="420"/>
        <w:rPr>
          <w:kern w:val="0"/>
          <w:szCs w:val="21"/>
        </w:rPr>
      </w:pPr>
      <w:r>
        <w:rPr>
          <w:kern w:val="0"/>
          <w:szCs w:val="21"/>
        </w:rPr>
        <w:t>优先选择中药材道地产区；在非道地产区，选定的栽培区应与目标中药材品种原生境土壤、气候等条件类似，并充分论证其种植适宜性。</w:t>
      </w:r>
      <w:r>
        <w:rPr>
          <w:rFonts w:hint="eastAsia"/>
          <w:kern w:val="0"/>
          <w:szCs w:val="21"/>
        </w:rPr>
        <w:t>优先利用商品林地，避开禁止利用的林地，在限制利用的林地合理利用林地资源和森林景观资源，适度开展林下种植。</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hint="eastAsia"/>
        </w:rPr>
        <w:t>.</w:t>
      </w:r>
      <w:r w:rsidR="00814FAF">
        <w:rPr>
          <w:rFonts w:eastAsia="黑体"/>
        </w:rPr>
        <w:t xml:space="preserve">1.3 </w:t>
      </w:r>
      <w:r w:rsidR="00814FAF">
        <w:rPr>
          <w:rFonts w:eastAsia="黑体" w:hint="eastAsia"/>
        </w:rPr>
        <w:t>整</w:t>
      </w:r>
      <w:r w:rsidR="00814FAF">
        <w:rPr>
          <w:rFonts w:eastAsia="黑体"/>
        </w:rPr>
        <w:t>地</w:t>
      </w:r>
    </w:p>
    <w:p w:rsidR="008A128F" w:rsidRDefault="00814FAF">
      <w:pPr>
        <w:adjustRightInd w:val="0"/>
        <w:snapToGrid w:val="0"/>
        <w:spacing w:line="360" w:lineRule="auto"/>
        <w:ind w:firstLineChars="200" w:firstLine="420"/>
        <w:rPr>
          <w:kern w:val="0"/>
          <w:szCs w:val="21"/>
        </w:rPr>
      </w:pPr>
      <w:r>
        <w:rPr>
          <w:kern w:val="0"/>
          <w:szCs w:val="21"/>
        </w:rPr>
        <w:t>栽培前按照林地等高线，根据林地地形和林木株行距大小，以带状或块状清理种植区域的杂草及枯落物</w:t>
      </w:r>
      <w:r>
        <w:rPr>
          <w:rFonts w:hint="eastAsia"/>
          <w:kern w:val="0"/>
          <w:szCs w:val="21"/>
        </w:rPr>
        <w:t>，依照植物生长特性进行翻</w:t>
      </w:r>
      <w:r>
        <w:rPr>
          <w:kern w:val="0"/>
          <w:szCs w:val="21"/>
        </w:rPr>
        <w:t>耕</w:t>
      </w:r>
      <w:r>
        <w:rPr>
          <w:rFonts w:hint="eastAsia"/>
          <w:kern w:val="0"/>
          <w:szCs w:val="21"/>
        </w:rPr>
        <w:t>、</w:t>
      </w:r>
      <w:r>
        <w:rPr>
          <w:kern w:val="0"/>
          <w:szCs w:val="21"/>
        </w:rPr>
        <w:t>挖坑</w:t>
      </w:r>
      <w:r>
        <w:rPr>
          <w:rFonts w:hint="eastAsia"/>
          <w:kern w:val="0"/>
          <w:szCs w:val="21"/>
        </w:rPr>
        <w:t>、</w:t>
      </w:r>
      <w:r>
        <w:rPr>
          <w:rFonts w:hint="eastAsia"/>
          <w:szCs w:val="21"/>
        </w:rPr>
        <w:t>作畦</w:t>
      </w:r>
      <w:r>
        <w:rPr>
          <w:rFonts w:hint="eastAsia"/>
          <w:kern w:val="0"/>
          <w:szCs w:val="21"/>
        </w:rPr>
        <w:t>或</w:t>
      </w:r>
      <w:r>
        <w:rPr>
          <w:kern w:val="0"/>
          <w:szCs w:val="21"/>
        </w:rPr>
        <w:t>整穴等。</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.1.4 </w:t>
      </w:r>
      <w:r w:rsidR="00814FAF">
        <w:rPr>
          <w:rFonts w:eastAsia="黑体"/>
        </w:rPr>
        <w:t>施肥</w:t>
      </w:r>
    </w:p>
    <w:p w:rsidR="008A128F" w:rsidRDefault="00814FAF">
      <w:pPr>
        <w:adjustRightInd w:val="0"/>
        <w:snapToGrid w:val="0"/>
        <w:spacing w:line="360" w:lineRule="auto"/>
        <w:ind w:firstLineChars="200" w:firstLine="420"/>
        <w:rPr>
          <w:kern w:val="0"/>
          <w:szCs w:val="21"/>
        </w:rPr>
      </w:pPr>
      <w:r>
        <w:rPr>
          <w:rFonts w:hint="eastAsia"/>
          <w:kern w:val="0"/>
          <w:szCs w:val="21"/>
        </w:rPr>
        <w:t>结合整地</w:t>
      </w:r>
      <w:r>
        <w:rPr>
          <w:kern w:val="0"/>
          <w:szCs w:val="21"/>
        </w:rPr>
        <w:t>撒施</w:t>
      </w:r>
      <w:r>
        <w:rPr>
          <w:rFonts w:hint="eastAsia"/>
          <w:kern w:val="0"/>
          <w:szCs w:val="21"/>
        </w:rPr>
        <w:t>基肥，在土壤肥力降低导致野生中药材生长不良</w:t>
      </w:r>
      <w:r>
        <w:rPr>
          <w:kern w:val="0"/>
          <w:szCs w:val="21"/>
        </w:rPr>
        <w:t>的情况下可进行中耕追肥。尽量选用原生</w:t>
      </w:r>
      <w:r>
        <w:rPr>
          <w:rFonts w:hint="eastAsia"/>
          <w:kern w:val="0"/>
          <w:szCs w:val="21"/>
        </w:rPr>
        <w:t>境</w:t>
      </w:r>
      <w:r>
        <w:rPr>
          <w:kern w:val="0"/>
          <w:szCs w:val="21"/>
        </w:rPr>
        <w:t>区</w:t>
      </w:r>
      <w:r>
        <w:rPr>
          <w:kern w:val="0"/>
          <w:szCs w:val="21"/>
        </w:rPr>
        <w:t>域内的腐殖质进行养分补充，</w:t>
      </w:r>
      <w:r>
        <w:rPr>
          <w:rFonts w:hint="eastAsia"/>
          <w:kern w:val="0"/>
          <w:szCs w:val="21"/>
        </w:rPr>
        <w:t>可</w:t>
      </w:r>
      <w:r>
        <w:rPr>
          <w:kern w:val="0"/>
          <w:szCs w:val="21"/>
        </w:rPr>
        <w:t>施用植物源生物有机肥、碳基肥和生物液体肥</w:t>
      </w:r>
      <w:r>
        <w:rPr>
          <w:rFonts w:hint="eastAsia"/>
          <w:kern w:val="0"/>
          <w:szCs w:val="21"/>
        </w:rPr>
        <w:t>，</w:t>
      </w:r>
      <w:r>
        <w:rPr>
          <w:kern w:val="0"/>
          <w:szCs w:val="21"/>
        </w:rPr>
        <w:t>禁止施用化学肥料及有害物质超标的肥料</w:t>
      </w:r>
      <w:r>
        <w:rPr>
          <w:rFonts w:hint="eastAsia"/>
          <w:kern w:val="0"/>
          <w:szCs w:val="21"/>
        </w:rPr>
        <w:t>。</w:t>
      </w:r>
      <w:r>
        <w:rPr>
          <w:kern w:val="0"/>
          <w:szCs w:val="21"/>
        </w:rPr>
        <w:t>肥料使用按照</w:t>
      </w:r>
      <w:r>
        <w:rPr>
          <w:kern w:val="0"/>
          <w:szCs w:val="21"/>
        </w:rPr>
        <w:t>GB 20287</w:t>
      </w:r>
      <w:r>
        <w:rPr>
          <w:kern w:val="0"/>
          <w:szCs w:val="21"/>
        </w:rPr>
        <w:t>、</w:t>
      </w:r>
      <w:r>
        <w:rPr>
          <w:kern w:val="0"/>
          <w:szCs w:val="21"/>
        </w:rPr>
        <w:t>NY/T 798</w:t>
      </w:r>
      <w:r>
        <w:rPr>
          <w:kern w:val="0"/>
          <w:szCs w:val="21"/>
        </w:rPr>
        <w:t>和</w:t>
      </w:r>
      <w:r>
        <w:rPr>
          <w:kern w:val="0"/>
          <w:szCs w:val="21"/>
        </w:rPr>
        <w:t>NY/T 1868</w:t>
      </w:r>
      <w:r>
        <w:rPr>
          <w:kern w:val="0"/>
          <w:szCs w:val="21"/>
        </w:rPr>
        <w:t>的规定执行。</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.1.5 </w:t>
      </w:r>
      <w:r w:rsidR="00814FAF">
        <w:rPr>
          <w:rFonts w:eastAsia="黑体"/>
        </w:rPr>
        <w:t>播种</w:t>
      </w:r>
    </w:p>
    <w:p w:rsidR="008A128F" w:rsidRDefault="00814FAF">
      <w:pPr>
        <w:adjustRightInd w:val="0"/>
        <w:snapToGrid w:val="0"/>
        <w:spacing w:line="360" w:lineRule="auto"/>
        <w:ind w:firstLineChars="200" w:firstLine="420"/>
        <w:rPr>
          <w:kern w:val="0"/>
          <w:szCs w:val="21"/>
        </w:rPr>
      </w:pPr>
      <w:r>
        <w:rPr>
          <w:kern w:val="0"/>
          <w:szCs w:val="21"/>
        </w:rPr>
        <w:t>根据气候类型、林草中药材生长特性，适时播种（扦插、移栽），充分利用自然条件促进药材生长，并</w:t>
      </w:r>
      <w:r>
        <w:rPr>
          <w:rFonts w:hint="eastAsia"/>
          <w:kern w:val="0"/>
          <w:szCs w:val="21"/>
        </w:rPr>
        <w:t>抑</w:t>
      </w:r>
      <w:r>
        <w:rPr>
          <w:kern w:val="0"/>
          <w:szCs w:val="21"/>
        </w:rPr>
        <w:t>制杂草的生长。</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.1.6 </w:t>
      </w:r>
      <w:r w:rsidR="00814FAF">
        <w:rPr>
          <w:rFonts w:eastAsia="黑体"/>
        </w:rPr>
        <w:t>合理密植</w:t>
      </w:r>
    </w:p>
    <w:p w:rsidR="008A128F" w:rsidRDefault="00814FAF">
      <w:pPr>
        <w:adjustRightInd w:val="0"/>
        <w:snapToGrid w:val="0"/>
        <w:spacing w:line="360" w:lineRule="auto"/>
        <w:ind w:firstLineChars="200" w:firstLine="420"/>
        <w:rPr>
          <w:kern w:val="0"/>
          <w:szCs w:val="21"/>
        </w:rPr>
      </w:pPr>
      <w:r>
        <w:rPr>
          <w:kern w:val="0"/>
          <w:szCs w:val="21"/>
        </w:rPr>
        <w:t>对于幼苗（株）密度过大的栽培地</w:t>
      </w:r>
      <w:r>
        <w:rPr>
          <w:rFonts w:hint="eastAsia"/>
          <w:kern w:val="0"/>
          <w:szCs w:val="21"/>
        </w:rPr>
        <w:t>可进行间苗</w:t>
      </w:r>
      <w:r>
        <w:rPr>
          <w:kern w:val="0"/>
          <w:szCs w:val="21"/>
        </w:rPr>
        <w:t>；对于出苗不整齐或缺苗断垄的栽培地，可</w:t>
      </w:r>
      <w:proofErr w:type="gramStart"/>
      <w:r>
        <w:rPr>
          <w:kern w:val="0"/>
          <w:szCs w:val="21"/>
        </w:rPr>
        <w:t>采用移密补</w:t>
      </w:r>
      <w:proofErr w:type="gramEnd"/>
      <w:r>
        <w:rPr>
          <w:kern w:val="0"/>
          <w:szCs w:val="21"/>
        </w:rPr>
        <w:t>稀、移栽补植、二次播种等方法，确保合理密度。</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.1.7 </w:t>
      </w:r>
      <w:r w:rsidR="00814FAF">
        <w:rPr>
          <w:rFonts w:eastAsia="黑体"/>
        </w:rPr>
        <w:t>植株整理</w:t>
      </w:r>
    </w:p>
    <w:p w:rsidR="008A128F" w:rsidRDefault="00814FAF">
      <w:pPr>
        <w:adjustRightInd w:val="0"/>
        <w:snapToGrid w:val="0"/>
        <w:spacing w:line="360" w:lineRule="auto"/>
        <w:ind w:firstLineChars="200" w:firstLine="420"/>
        <w:rPr>
          <w:kern w:val="0"/>
          <w:szCs w:val="21"/>
        </w:rPr>
      </w:pPr>
      <w:r>
        <w:rPr>
          <w:kern w:val="0"/>
          <w:szCs w:val="21"/>
        </w:rPr>
        <w:t>采用物理的方法对</w:t>
      </w:r>
      <w:r>
        <w:rPr>
          <w:rFonts w:hint="eastAsia"/>
          <w:kern w:val="0"/>
          <w:szCs w:val="21"/>
        </w:rPr>
        <w:t>中药材</w:t>
      </w:r>
      <w:r>
        <w:rPr>
          <w:kern w:val="0"/>
          <w:szCs w:val="21"/>
        </w:rPr>
        <w:t>植株进行适当的剪截和</w:t>
      </w:r>
      <w:proofErr w:type="gramStart"/>
      <w:r>
        <w:rPr>
          <w:kern w:val="0"/>
          <w:szCs w:val="21"/>
        </w:rPr>
        <w:t>疏删</w:t>
      </w:r>
      <w:proofErr w:type="gramEnd"/>
      <w:r>
        <w:rPr>
          <w:kern w:val="0"/>
          <w:szCs w:val="21"/>
        </w:rPr>
        <w:t>，促进药用部位的生长。对严重影响药材生长的其他植物，进行去除、修剪等作业，改善</w:t>
      </w:r>
      <w:r>
        <w:rPr>
          <w:rFonts w:hint="eastAsia"/>
          <w:kern w:val="0"/>
          <w:szCs w:val="21"/>
        </w:rPr>
        <w:t>中</w:t>
      </w:r>
      <w:r>
        <w:rPr>
          <w:kern w:val="0"/>
          <w:szCs w:val="21"/>
        </w:rPr>
        <w:t>药材植株生长空间条件。</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.1.8 </w:t>
      </w:r>
      <w:r w:rsidR="00814FAF">
        <w:rPr>
          <w:rFonts w:eastAsia="黑体"/>
        </w:rPr>
        <w:t>水分管理</w:t>
      </w:r>
    </w:p>
    <w:p w:rsidR="008A128F" w:rsidRDefault="00814FAF">
      <w:pPr>
        <w:adjustRightInd w:val="0"/>
        <w:snapToGrid w:val="0"/>
        <w:spacing w:line="360" w:lineRule="auto"/>
        <w:ind w:firstLineChars="200" w:firstLine="420"/>
        <w:rPr>
          <w:kern w:val="0"/>
          <w:szCs w:val="21"/>
        </w:rPr>
      </w:pPr>
      <w:r>
        <w:rPr>
          <w:rFonts w:hint="eastAsia"/>
          <w:kern w:val="0"/>
          <w:szCs w:val="21"/>
        </w:rPr>
        <w:t>有条件的，</w:t>
      </w:r>
      <w:r>
        <w:rPr>
          <w:kern w:val="0"/>
          <w:szCs w:val="21"/>
        </w:rPr>
        <w:t>在</w:t>
      </w:r>
      <w:r>
        <w:rPr>
          <w:rFonts w:hint="eastAsia"/>
          <w:kern w:val="0"/>
          <w:szCs w:val="21"/>
        </w:rPr>
        <w:t>播种、育苗、移苗定植阶段可以进行适量浇水。有</w:t>
      </w:r>
      <w:r>
        <w:rPr>
          <w:kern w:val="0"/>
          <w:szCs w:val="21"/>
        </w:rPr>
        <w:t>水浇条件的</w:t>
      </w:r>
      <w:proofErr w:type="gramStart"/>
      <w:r>
        <w:rPr>
          <w:rFonts w:hint="eastAsia"/>
          <w:kern w:val="0"/>
          <w:szCs w:val="21"/>
        </w:rPr>
        <w:t>遇干早</w:t>
      </w:r>
      <w:proofErr w:type="gramEnd"/>
      <w:r>
        <w:rPr>
          <w:rFonts w:hint="eastAsia"/>
          <w:kern w:val="0"/>
          <w:szCs w:val="21"/>
        </w:rPr>
        <w:t>及时浇水，低洼</w:t>
      </w:r>
      <w:r>
        <w:rPr>
          <w:kern w:val="0"/>
          <w:szCs w:val="21"/>
        </w:rPr>
        <w:t>地块</w:t>
      </w:r>
      <w:r>
        <w:rPr>
          <w:rFonts w:hint="eastAsia"/>
          <w:kern w:val="0"/>
          <w:szCs w:val="21"/>
        </w:rPr>
        <w:t>雨后及时排除积水。</w:t>
      </w:r>
    </w:p>
    <w:p w:rsidR="008A128F" w:rsidRDefault="00EA13FE">
      <w:pPr>
        <w:adjustRightInd w:val="0"/>
        <w:snapToGrid w:val="0"/>
        <w:spacing w:beforeLines="50" w:before="156" w:afterLines="50" w:after="156" w:line="360" w:lineRule="auto"/>
        <w:outlineLvl w:val="2"/>
        <w:rPr>
          <w:rFonts w:eastAsia="黑体"/>
        </w:rPr>
      </w:pPr>
      <w:bookmarkStart w:id="18" w:name="_Toc161151107"/>
      <w:r>
        <w:rPr>
          <w:rFonts w:eastAsia="黑体"/>
        </w:rPr>
        <w:t>5</w:t>
      </w:r>
      <w:r w:rsidR="00814FAF">
        <w:rPr>
          <w:rFonts w:eastAsia="黑体" w:hint="eastAsia"/>
        </w:rPr>
        <w:t>.2</w:t>
      </w:r>
      <w:r w:rsidR="00814FAF">
        <w:rPr>
          <w:rFonts w:eastAsia="黑体"/>
        </w:rPr>
        <w:t xml:space="preserve"> </w:t>
      </w:r>
      <w:r w:rsidR="00814FAF">
        <w:rPr>
          <w:rFonts w:eastAsia="黑体" w:hint="eastAsia"/>
        </w:rPr>
        <w:t>仿野生栽培</w:t>
      </w:r>
      <w:bookmarkEnd w:id="18"/>
    </w:p>
    <w:p w:rsidR="008A128F" w:rsidRDefault="00EA13FE">
      <w:pPr>
        <w:adjustRightInd w:val="0"/>
        <w:snapToGrid w:val="0"/>
        <w:spacing w:beforeLines="50" w:before="156" w:afterLines="50" w:after="156" w:line="360" w:lineRule="auto"/>
        <w:outlineLvl w:val="3"/>
        <w:rPr>
          <w:rFonts w:eastAsia="黑体"/>
        </w:rPr>
      </w:pPr>
      <w:r>
        <w:rPr>
          <w:rFonts w:eastAsia="黑体"/>
        </w:rPr>
        <w:lastRenderedPageBreak/>
        <w:t>5</w:t>
      </w:r>
      <w:r w:rsidR="00814FAF">
        <w:rPr>
          <w:rFonts w:eastAsia="黑体" w:hint="eastAsia"/>
        </w:rPr>
        <w:t>.2.1</w:t>
      </w:r>
      <w:r w:rsidR="00814FAF">
        <w:rPr>
          <w:rFonts w:eastAsia="黑体"/>
        </w:rPr>
        <w:t>品种选择</w:t>
      </w:r>
    </w:p>
    <w:p w:rsidR="008A128F" w:rsidRDefault="00814FAF">
      <w:pPr>
        <w:adjustRightInd w:val="0"/>
        <w:snapToGrid w:val="0"/>
        <w:spacing w:line="360" w:lineRule="auto"/>
        <w:ind w:firstLineChars="200" w:firstLine="420"/>
        <w:rPr>
          <w:kern w:val="0"/>
          <w:szCs w:val="21"/>
        </w:rPr>
      </w:pPr>
      <w:r>
        <w:rPr>
          <w:kern w:val="0"/>
          <w:szCs w:val="21"/>
        </w:rPr>
        <w:t>根据中药材</w:t>
      </w:r>
      <w:r>
        <w:rPr>
          <w:rFonts w:hint="eastAsia"/>
          <w:kern w:val="0"/>
          <w:szCs w:val="21"/>
        </w:rPr>
        <w:t>生长习性</w:t>
      </w:r>
      <w:r>
        <w:rPr>
          <w:kern w:val="0"/>
          <w:szCs w:val="21"/>
        </w:rPr>
        <w:t>，选择具有一定资源数量、栽培价值和生产潜力的中药材种类作为栽培对象。</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.2.2 </w:t>
      </w:r>
      <w:r w:rsidR="00814FAF">
        <w:rPr>
          <w:rFonts w:eastAsia="黑体"/>
        </w:rPr>
        <w:t>选地</w:t>
      </w:r>
    </w:p>
    <w:p w:rsidR="008A128F" w:rsidRDefault="00814FAF">
      <w:pPr>
        <w:adjustRightInd w:val="0"/>
        <w:snapToGrid w:val="0"/>
        <w:spacing w:line="360" w:lineRule="auto"/>
        <w:ind w:firstLineChars="200" w:firstLine="420"/>
        <w:rPr>
          <w:kern w:val="0"/>
          <w:szCs w:val="21"/>
        </w:rPr>
      </w:pPr>
      <w:r>
        <w:rPr>
          <w:kern w:val="0"/>
          <w:szCs w:val="21"/>
        </w:rPr>
        <w:t>优先选择中药材道地产区；在非道地产区，选定的栽培区应与目标中药材品种原生境土壤、气候等条件类似，并充分论证其种植适宜性。</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hint="eastAsia"/>
        </w:rPr>
        <w:t>.</w:t>
      </w:r>
      <w:r w:rsidR="00814FAF">
        <w:rPr>
          <w:rFonts w:eastAsia="黑体"/>
        </w:rPr>
        <w:t xml:space="preserve">2.3 </w:t>
      </w:r>
      <w:r w:rsidR="00814FAF">
        <w:rPr>
          <w:rFonts w:eastAsia="黑体" w:hint="eastAsia"/>
        </w:rPr>
        <w:t>整</w:t>
      </w:r>
      <w:r w:rsidR="00814FAF">
        <w:rPr>
          <w:rFonts w:eastAsia="黑体"/>
        </w:rPr>
        <w:t>地</w:t>
      </w:r>
    </w:p>
    <w:p w:rsidR="008A128F" w:rsidRDefault="00814FAF">
      <w:pPr>
        <w:adjustRightInd w:val="0"/>
        <w:snapToGrid w:val="0"/>
        <w:spacing w:line="360" w:lineRule="auto"/>
        <w:ind w:firstLineChars="200" w:firstLine="420"/>
        <w:rPr>
          <w:kern w:val="0"/>
          <w:szCs w:val="21"/>
        </w:rPr>
      </w:pPr>
      <w:r>
        <w:rPr>
          <w:kern w:val="0"/>
          <w:szCs w:val="21"/>
        </w:rPr>
        <w:t>栽培前按照林地等高线，根据林地地形和林木株行距大小，以带状或块状清理种植区域的杂草及枯落物</w:t>
      </w:r>
      <w:r>
        <w:rPr>
          <w:rFonts w:hint="eastAsia"/>
          <w:kern w:val="0"/>
          <w:szCs w:val="21"/>
        </w:rPr>
        <w:t>，根据植物生长特性进行</w:t>
      </w:r>
      <w:r>
        <w:rPr>
          <w:kern w:val="0"/>
          <w:szCs w:val="21"/>
        </w:rPr>
        <w:t>深耕</w:t>
      </w:r>
      <w:r>
        <w:rPr>
          <w:rFonts w:hint="eastAsia"/>
          <w:kern w:val="0"/>
          <w:szCs w:val="21"/>
        </w:rPr>
        <w:t>、</w:t>
      </w:r>
      <w:r>
        <w:rPr>
          <w:kern w:val="0"/>
          <w:szCs w:val="21"/>
        </w:rPr>
        <w:t>挖坑</w:t>
      </w:r>
      <w:r>
        <w:rPr>
          <w:rFonts w:hint="eastAsia"/>
          <w:kern w:val="0"/>
          <w:szCs w:val="21"/>
        </w:rPr>
        <w:t>、</w:t>
      </w:r>
      <w:r>
        <w:rPr>
          <w:rFonts w:hint="eastAsia"/>
          <w:szCs w:val="21"/>
        </w:rPr>
        <w:t>作畦</w:t>
      </w:r>
      <w:r>
        <w:rPr>
          <w:rFonts w:hint="eastAsia"/>
          <w:kern w:val="0"/>
          <w:szCs w:val="21"/>
        </w:rPr>
        <w:t>或</w:t>
      </w:r>
      <w:r>
        <w:rPr>
          <w:kern w:val="0"/>
          <w:szCs w:val="21"/>
        </w:rPr>
        <w:t>整穴等</w:t>
      </w:r>
      <w:r>
        <w:rPr>
          <w:rFonts w:hint="eastAsia"/>
          <w:kern w:val="0"/>
          <w:szCs w:val="21"/>
        </w:rPr>
        <w:t>，生长期间不再对土壤进行</w:t>
      </w:r>
      <w:r>
        <w:rPr>
          <w:kern w:val="0"/>
          <w:szCs w:val="21"/>
        </w:rPr>
        <w:t>耕作。</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.2.4 </w:t>
      </w:r>
      <w:r w:rsidR="00814FAF">
        <w:rPr>
          <w:rFonts w:eastAsia="黑体"/>
        </w:rPr>
        <w:t>施肥</w:t>
      </w:r>
    </w:p>
    <w:p w:rsidR="008A128F" w:rsidRDefault="00814FAF">
      <w:pPr>
        <w:adjustRightInd w:val="0"/>
        <w:snapToGrid w:val="0"/>
        <w:spacing w:line="360" w:lineRule="auto"/>
        <w:ind w:firstLineChars="200" w:firstLine="420"/>
        <w:rPr>
          <w:kern w:val="0"/>
          <w:szCs w:val="21"/>
        </w:rPr>
      </w:pPr>
      <w:r>
        <w:rPr>
          <w:rFonts w:hint="eastAsia"/>
          <w:kern w:val="0"/>
          <w:szCs w:val="21"/>
        </w:rPr>
        <w:t>结合整地</w:t>
      </w:r>
      <w:r>
        <w:rPr>
          <w:kern w:val="0"/>
          <w:szCs w:val="21"/>
        </w:rPr>
        <w:t>撒施</w:t>
      </w:r>
      <w:r>
        <w:rPr>
          <w:rFonts w:hint="eastAsia"/>
          <w:kern w:val="0"/>
          <w:szCs w:val="21"/>
        </w:rPr>
        <w:t>基底肥</w:t>
      </w:r>
      <w:r>
        <w:rPr>
          <w:kern w:val="0"/>
          <w:szCs w:val="21"/>
        </w:rPr>
        <w:t>。尽量选用原生</w:t>
      </w:r>
      <w:r>
        <w:rPr>
          <w:rFonts w:hint="eastAsia"/>
          <w:kern w:val="0"/>
          <w:szCs w:val="21"/>
        </w:rPr>
        <w:t>境</w:t>
      </w:r>
      <w:r>
        <w:rPr>
          <w:kern w:val="0"/>
          <w:szCs w:val="21"/>
        </w:rPr>
        <w:t>区域内的腐殖质进行养分补充，</w:t>
      </w:r>
      <w:r>
        <w:rPr>
          <w:rFonts w:hint="eastAsia"/>
          <w:kern w:val="0"/>
          <w:szCs w:val="21"/>
        </w:rPr>
        <w:t>可</w:t>
      </w:r>
      <w:r>
        <w:rPr>
          <w:kern w:val="0"/>
          <w:szCs w:val="21"/>
        </w:rPr>
        <w:t>施用植物源生物有机肥、碳基肥和生物液体肥</w:t>
      </w:r>
      <w:r>
        <w:rPr>
          <w:rFonts w:hint="eastAsia"/>
          <w:kern w:val="0"/>
          <w:szCs w:val="21"/>
        </w:rPr>
        <w:t>，</w:t>
      </w:r>
      <w:r>
        <w:rPr>
          <w:kern w:val="0"/>
          <w:szCs w:val="21"/>
        </w:rPr>
        <w:t>禁止施用化学肥料及有害物质超标的肥料</w:t>
      </w:r>
      <w:r>
        <w:rPr>
          <w:rFonts w:hint="eastAsia"/>
          <w:kern w:val="0"/>
          <w:szCs w:val="21"/>
        </w:rPr>
        <w:t>。</w:t>
      </w:r>
      <w:r>
        <w:rPr>
          <w:kern w:val="0"/>
          <w:szCs w:val="21"/>
        </w:rPr>
        <w:t>肥料使用按照</w:t>
      </w:r>
      <w:r>
        <w:rPr>
          <w:kern w:val="0"/>
          <w:szCs w:val="21"/>
        </w:rPr>
        <w:t>GB 20287</w:t>
      </w:r>
      <w:r>
        <w:rPr>
          <w:kern w:val="0"/>
          <w:szCs w:val="21"/>
        </w:rPr>
        <w:t>、</w:t>
      </w:r>
      <w:r>
        <w:rPr>
          <w:kern w:val="0"/>
          <w:szCs w:val="21"/>
        </w:rPr>
        <w:t>NY/T 7</w:t>
      </w:r>
      <w:r>
        <w:rPr>
          <w:kern w:val="0"/>
          <w:szCs w:val="21"/>
        </w:rPr>
        <w:t>98</w:t>
      </w:r>
      <w:r>
        <w:rPr>
          <w:kern w:val="0"/>
          <w:szCs w:val="21"/>
        </w:rPr>
        <w:t>和</w:t>
      </w:r>
      <w:r>
        <w:rPr>
          <w:kern w:val="0"/>
          <w:szCs w:val="21"/>
        </w:rPr>
        <w:t>NY/T 1868</w:t>
      </w:r>
      <w:r>
        <w:rPr>
          <w:kern w:val="0"/>
          <w:szCs w:val="21"/>
        </w:rPr>
        <w:t>的规定执行。</w:t>
      </w:r>
      <w:r>
        <w:rPr>
          <w:rFonts w:hint="eastAsia"/>
          <w:kern w:val="0"/>
          <w:szCs w:val="21"/>
        </w:rPr>
        <w:t>生长期间不再进行土壤追施肥料。</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.2.5 </w:t>
      </w:r>
      <w:r w:rsidR="00814FAF">
        <w:rPr>
          <w:rFonts w:eastAsia="黑体"/>
        </w:rPr>
        <w:t>播种</w:t>
      </w:r>
    </w:p>
    <w:p w:rsidR="008A128F" w:rsidRDefault="00814FAF">
      <w:pPr>
        <w:adjustRightInd w:val="0"/>
        <w:snapToGrid w:val="0"/>
        <w:spacing w:line="360" w:lineRule="auto"/>
        <w:ind w:firstLineChars="200" w:firstLine="420"/>
        <w:rPr>
          <w:kern w:val="0"/>
          <w:szCs w:val="21"/>
        </w:rPr>
      </w:pPr>
      <w:r>
        <w:rPr>
          <w:kern w:val="0"/>
          <w:szCs w:val="21"/>
        </w:rPr>
        <w:t>根据气候类型、林草中药材生长特性和杂草生长习性</w:t>
      </w:r>
      <w:r>
        <w:rPr>
          <w:rFonts w:hint="eastAsia"/>
          <w:kern w:val="0"/>
          <w:szCs w:val="21"/>
        </w:rPr>
        <w:t>、种群密度和分布</w:t>
      </w:r>
      <w:r>
        <w:rPr>
          <w:kern w:val="0"/>
          <w:szCs w:val="21"/>
        </w:rPr>
        <w:t>，适时播种（扦插、移栽），充分利用自然条件促进</w:t>
      </w:r>
      <w:r>
        <w:rPr>
          <w:rFonts w:hint="eastAsia"/>
          <w:kern w:val="0"/>
          <w:szCs w:val="21"/>
        </w:rPr>
        <w:t>中</w:t>
      </w:r>
      <w:r>
        <w:rPr>
          <w:kern w:val="0"/>
          <w:szCs w:val="21"/>
        </w:rPr>
        <w:t>药材生长。</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.2.6 </w:t>
      </w:r>
      <w:r w:rsidR="00814FAF">
        <w:rPr>
          <w:rFonts w:eastAsia="黑体"/>
        </w:rPr>
        <w:t>合理密植</w:t>
      </w:r>
    </w:p>
    <w:p w:rsidR="008A128F" w:rsidRDefault="00814FAF">
      <w:pPr>
        <w:adjustRightInd w:val="0"/>
        <w:snapToGrid w:val="0"/>
        <w:spacing w:line="360" w:lineRule="auto"/>
        <w:ind w:firstLineChars="200" w:firstLine="420"/>
        <w:rPr>
          <w:kern w:val="0"/>
          <w:szCs w:val="21"/>
        </w:rPr>
      </w:pPr>
      <w:r>
        <w:rPr>
          <w:kern w:val="0"/>
          <w:szCs w:val="21"/>
        </w:rPr>
        <w:t>对于幼苗（株）密度过大的栽培地，</w:t>
      </w:r>
      <w:r>
        <w:rPr>
          <w:rFonts w:hint="eastAsia"/>
          <w:kern w:val="0"/>
          <w:szCs w:val="21"/>
        </w:rPr>
        <w:t>需要</w:t>
      </w:r>
      <w:r>
        <w:rPr>
          <w:kern w:val="0"/>
          <w:szCs w:val="21"/>
        </w:rPr>
        <w:t>移除部分幼苗（株）；对于出苗不整齐或缺苗断垄的栽培地，可</w:t>
      </w:r>
      <w:proofErr w:type="gramStart"/>
      <w:r>
        <w:rPr>
          <w:kern w:val="0"/>
          <w:szCs w:val="21"/>
        </w:rPr>
        <w:t>采用移密补</w:t>
      </w:r>
      <w:proofErr w:type="gramEnd"/>
      <w:r>
        <w:rPr>
          <w:kern w:val="0"/>
          <w:szCs w:val="21"/>
        </w:rPr>
        <w:t>稀、移栽补植、二次播种等方法，</w:t>
      </w:r>
      <w:r>
        <w:rPr>
          <w:rFonts w:hint="eastAsia"/>
          <w:kern w:val="0"/>
          <w:szCs w:val="21"/>
        </w:rPr>
        <w:t>确保密度达到能够采集利用程度。</w:t>
      </w:r>
      <w:r>
        <w:rPr>
          <w:kern w:val="0"/>
          <w:szCs w:val="21"/>
        </w:rPr>
        <w:t>。</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.2.7 </w:t>
      </w:r>
      <w:r w:rsidR="00814FAF">
        <w:rPr>
          <w:rFonts w:eastAsia="黑体"/>
        </w:rPr>
        <w:t>植株整理</w:t>
      </w:r>
    </w:p>
    <w:p w:rsidR="008A128F" w:rsidRDefault="00814FAF">
      <w:pPr>
        <w:adjustRightInd w:val="0"/>
        <w:snapToGrid w:val="0"/>
        <w:spacing w:line="360" w:lineRule="auto"/>
        <w:ind w:firstLineChars="200" w:firstLine="420"/>
        <w:rPr>
          <w:kern w:val="0"/>
          <w:szCs w:val="21"/>
        </w:rPr>
      </w:pPr>
      <w:r>
        <w:rPr>
          <w:kern w:val="0"/>
          <w:szCs w:val="21"/>
        </w:rPr>
        <w:t>采用物理的方法对林草中药材植株进行适当的剪截和</w:t>
      </w:r>
      <w:proofErr w:type="gramStart"/>
      <w:r>
        <w:rPr>
          <w:kern w:val="0"/>
          <w:szCs w:val="21"/>
        </w:rPr>
        <w:t>疏删</w:t>
      </w:r>
      <w:proofErr w:type="gramEnd"/>
      <w:r>
        <w:rPr>
          <w:kern w:val="0"/>
          <w:szCs w:val="21"/>
        </w:rPr>
        <w:t>，促进药用部位的生长。对严重影响</w:t>
      </w:r>
      <w:r>
        <w:rPr>
          <w:rFonts w:hint="eastAsia"/>
          <w:kern w:val="0"/>
          <w:szCs w:val="21"/>
        </w:rPr>
        <w:t>中</w:t>
      </w:r>
      <w:r>
        <w:rPr>
          <w:kern w:val="0"/>
          <w:szCs w:val="21"/>
        </w:rPr>
        <w:t>药材生长的其他植物，进行去除、修剪等作业，改善</w:t>
      </w:r>
      <w:r>
        <w:rPr>
          <w:rFonts w:hint="eastAsia"/>
          <w:kern w:val="0"/>
          <w:szCs w:val="21"/>
        </w:rPr>
        <w:t>中</w:t>
      </w:r>
      <w:r>
        <w:rPr>
          <w:kern w:val="0"/>
          <w:szCs w:val="21"/>
        </w:rPr>
        <w:t>药材植物生长空间条件。</w:t>
      </w:r>
    </w:p>
    <w:p w:rsidR="008A128F" w:rsidRDefault="00EA13FE">
      <w:pPr>
        <w:adjustRightInd w:val="0"/>
        <w:snapToGrid w:val="0"/>
        <w:spacing w:beforeLines="50" w:before="156" w:afterLines="50" w:after="156" w:line="360" w:lineRule="auto"/>
        <w:outlineLvl w:val="3"/>
        <w:rPr>
          <w:rFonts w:eastAsia="黑体"/>
        </w:rPr>
      </w:pPr>
      <w:r>
        <w:rPr>
          <w:rFonts w:eastAsia="黑体"/>
        </w:rPr>
        <w:t>5</w:t>
      </w:r>
      <w:r w:rsidR="00814FAF">
        <w:rPr>
          <w:rFonts w:eastAsia="黑体"/>
        </w:rPr>
        <w:t xml:space="preserve">.2.8 </w:t>
      </w:r>
      <w:r w:rsidR="00814FAF">
        <w:rPr>
          <w:rFonts w:eastAsia="黑体"/>
        </w:rPr>
        <w:t>水分管理</w:t>
      </w:r>
    </w:p>
    <w:p w:rsidR="008A128F" w:rsidRDefault="00814FAF">
      <w:pPr>
        <w:adjustRightInd w:val="0"/>
        <w:snapToGrid w:val="0"/>
        <w:spacing w:line="360" w:lineRule="auto"/>
        <w:ind w:firstLineChars="200" w:firstLine="420"/>
        <w:rPr>
          <w:kern w:val="0"/>
          <w:szCs w:val="21"/>
        </w:rPr>
      </w:pPr>
      <w:r>
        <w:rPr>
          <w:rFonts w:hint="eastAsia"/>
          <w:kern w:val="0"/>
          <w:szCs w:val="21"/>
        </w:rPr>
        <w:t>有条件的，</w:t>
      </w:r>
      <w:r>
        <w:rPr>
          <w:kern w:val="0"/>
          <w:szCs w:val="21"/>
        </w:rPr>
        <w:t>在</w:t>
      </w:r>
      <w:r>
        <w:rPr>
          <w:rFonts w:hint="eastAsia"/>
          <w:kern w:val="0"/>
          <w:szCs w:val="21"/>
        </w:rPr>
        <w:t>播种、育苗、移苗定植阶段可以进行适量浇水。生长期间主要依靠自然降水，</w:t>
      </w:r>
      <w:r>
        <w:rPr>
          <w:kern w:val="0"/>
          <w:szCs w:val="21"/>
        </w:rPr>
        <w:t>在严重干旱影响中药材存活的情况下，可适当节水灌溉。低洼易涝区根据需要设置简易排水设施。</w:t>
      </w:r>
    </w:p>
    <w:p w:rsidR="008A128F" w:rsidRPr="00EA13FE" w:rsidRDefault="00EA13FE">
      <w:pPr>
        <w:pStyle w:val="af2"/>
      </w:pPr>
      <w:bookmarkStart w:id="19" w:name="_Toc161151108"/>
      <w:r w:rsidRPr="00EA13FE">
        <w:t>6</w:t>
      </w:r>
      <w:r w:rsidR="00814FAF" w:rsidRPr="00EA13FE">
        <w:t xml:space="preserve"> </w:t>
      </w:r>
      <w:r w:rsidR="00814FAF" w:rsidRPr="00EA13FE">
        <w:t>病虫害防治</w:t>
      </w:r>
      <w:bookmarkEnd w:id="19"/>
    </w:p>
    <w:p w:rsidR="008A128F" w:rsidRDefault="00814FAF">
      <w:pPr>
        <w:adjustRightInd w:val="0"/>
        <w:snapToGrid w:val="0"/>
        <w:spacing w:line="360" w:lineRule="auto"/>
        <w:ind w:firstLineChars="200" w:firstLine="420"/>
        <w:rPr>
          <w:kern w:val="0"/>
          <w:szCs w:val="21"/>
        </w:rPr>
      </w:pPr>
      <w:r>
        <w:rPr>
          <w:rFonts w:hint="eastAsia"/>
          <w:kern w:val="0"/>
          <w:szCs w:val="21"/>
        </w:rPr>
        <w:t>对有害生物以预防为主，选用物理防治、生物防治等绿色防控技术防治，</w:t>
      </w:r>
      <w:r>
        <w:rPr>
          <w:kern w:val="0"/>
          <w:szCs w:val="21"/>
        </w:rPr>
        <w:t>禁止使用化学合成农药。</w:t>
      </w:r>
    </w:p>
    <w:p w:rsidR="008A128F" w:rsidRDefault="00EA13FE">
      <w:pPr>
        <w:adjustRightInd w:val="0"/>
        <w:snapToGrid w:val="0"/>
        <w:spacing w:beforeLines="50" w:before="156" w:afterLines="50" w:after="156" w:line="360" w:lineRule="auto"/>
        <w:outlineLvl w:val="2"/>
        <w:rPr>
          <w:rFonts w:eastAsia="黑体"/>
        </w:rPr>
      </w:pPr>
      <w:bookmarkStart w:id="20" w:name="_Toc161151109"/>
      <w:r>
        <w:rPr>
          <w:rFonts w:eastAsia="黑体"/>
        </w:rPr>
        <w:lastRenderedPageBreak/>
        <w:t>6</w:t>
      </w:r>
      <w:r w:rsidR="00814FAF">
        <w:rPr>
          <w:rFonts w:eastAsia="黑体"/>
        </w:rPr>
        <w:t xml:space="preserve">.1 </w:t>
      </w:r>
      <w:r w:rsidR="00814FAF">
        <w:rPr>
          <w:rFonts w:eastAsia="黑体"/>
        </w:rPr>
        <w:t>物理防治</w:t>
      </w:r>
      <w:bookmarkEnd w:id="20"/>
    </w:p>
    <w:p w:rsidR="008A128F" w:rsidRDefault="00814FAF">
      <w:pPr>
        <w:adjustRightInd w:val="0"/>
        <w:snapToGrid w:val="0"/>
        <w:spacing w:line="360" w:lineRule="auto"/>
        <w:ind w:firstLineChars="200" w:firstLine="420"/>
        <w:rPr>
          <w:kern w:val="0"/>
          <w:szCs w:val="21"/>
        </w:rPr>
      </w:pPr>
      <w:r>
        <w:rPr>
          <w:kern w:val="0"/>
          <w:szCs w:val="21"/>
        </w:rPr>
        <w:t>对于昆虫可采用黑光灯诱杀、粘虫板（纸）、电击法、诱杀剂</w:t>
      </w:r>
      <w:r>
        <w:rPr>
          <w:kern w:val="0"/>
          <w:szCs w:val="21"/>
        </w:rPr>
        <w:t>+</w:t>
      </w:r>
      <w:r>
        <w:rPr>
          <w:kern w:val="0"/>
          <w:szCs w:val="21"/>
        </w:rPr>
        <w:t>水淹、电子驱虫、隔离网等物理方法；对于病害可采用温汤浸种、翻晒土壤、密度</w:t>
      </w:r>
      <w:r>
        <w:rPr>
          <w:kern w:val="0"/>
          <w:szCs w:val="21"/>
        </w:rPr>
        <w:t>调控等简单方法，及时去除病株病叶，避免重复</w:t>
      </w:r>
      <w:proofErr w:type="gramStart"/>
      <w:r>
        <w:rPr>
          <w:kern w:val="0"/>
          <w:szCs w:val="21"/>
        </w:rPr>
        <w:t>侵染</w:t>
      </w:r>
      <w:proofErr w:type="gramEnd"/>
      <w:r>
        <w:rPr>
          <w:kern w:val="0"/>
          <w:szCs w:val="21"/>
        </w:rPr>
        <w:t>。</w:t>
      </w:r>
    </w:p>
    <w:p w:rsidR="008A128F" w:rsidRDefault="00EA13FE">
      <w:pPr>
        <w:adjustRightInd w:val="0"/>
        <w:snapToGrid w:val="0"/>
        <w:spacing w:beforeLines="50" w:before="156" w:afterLines="50" w:after="156" w:line="360" w:lineRule="auto"/>
        <w:outlineLvl w:val="2"/>
        <w:rPr>
          <w:rFonts w:eastAsia="黑体"/>
        </w:rPr>
      </w:pPr>
      <w:bookmarkStart w:id="21" w:name="_Toc161151110"/>
      <w:r>
        <w:rPr>
          <w:rFonts w:eastAsia="黑体"/>
        </w:rPr>
        <w:t>6</w:t>
      </w:r>
      <w:r w:rsidR="00814FAF">
        <w:rPr>
          <w:rFonts w:eastAsia="黑体"/>
        </w:rPr>
        <w:t xml:space="preserve">.2 </w:t>
      </w:r>
      <w:r w:rsidR="00814FAF">
        <w:rPr>
          <w:rFonts w:eastAsia="黑体"/>
        </w:rPr>
        <w:t>生物防治</w:t>
      </w:r>
      <w:bookmarkEnd w:id="21"/>
    </w:p>
    <w:p w:rsidR="008A128F" w:rsidRDefault="00814FAF">
      <w:pPr>
        <w:adjustRightInd w:val="0"/>
        <w:snapToGrid w:val="0"/>
        <w:spacing w:line="360" w:lineRule="auto"/>
        <w:ind w:firstLineChars="200" w:firstLine="420"/>
        <w:rPr>
          <w:kern w:val="0"/>
          <w:szCs w:val="21"/>
        </w:rPr>
      </w:pPr>
      <w:r>
        <w:rPr>
          <w:kern w:val="0"/>
          <w:szCs w:val="21"/>
        </w:rPr>
        <w:t>对于昆虫可采用引入天敌、生物农药、趋避剂、趋避植物、</w:t>
      </w:r>
      <w:proofErr w:type="gramStart"/>
      <w:r>
        <w:rPr>
          <w:kern w:val="0"/>
          <w:szCs w:val="21"/>
        </w:rPr>
        <w:t>诱生植</w:t>
      </w:r>
      <w:proofErr w:type="gramEnd"/>
      <w:r>
        <w:rPr>
          <w:kern w:val="0"/>
          <w:szCs w:val="21"/>
        </w:rPr>
        <w:t>物等；对于病害可采用抗病品种、生物农药、特异性伴生植物等。</w:t>
      </w:r>
    </w:p>
    <w:p w:rsidR="008A128F" w:rsidRPr="00EA13FE" w:rsidRDefault="00EA13FE">
      <w:pPr>
        <w:pStyle w:val="af2"/>
      </w:pPr>
      <w:bookmarkStart w:id="22" w:name="_Toc161151111"/>
      <w:r w:rsidRPr="00EA13FE">
        <w:t>7</w:t>
      </w:r>
      <w:r w:rsidR="00814FAF" w:rsidRPr="00EA13FE">
        <w:t xml:space="preserve"> </w:t>
      </w:r>
      <w:r w:rsidR="00814FAF" w:rsidRPr="00EA13FE">
        <w:t>采收与初加工</w:t>
      </w:r>
      <w:bookmarkEnd w:id="22"/>
    </w:p>
    <w:p w:rsidR="008A128F" w:rsidRDefault="00EA13FE">
      <w:pPr>
        <w:adjustRightInd w:val="0"/>
        <w:snapToGrid w:val="0"/>
        <w:spacing w:beforeLines="50" w:before="156" w:afterLines="50" w:after="156" w:line="360" w:lineRule="auto"/>
        <w:outlineLvl w:val="2"/>
        <w:rPr>
          <w:rFonts w:eastAsia="黑体"/>
        </w:rPr>
      </w:pPr>
      <w:bookmarkStart w:id="23" w:name="_Toc161151112"/>
      <w:r>
        <w:rPr>
          <w:rFonts w:eastAsia="黑体"/>
        </w:rPr>
        <w:t>7</w:t>
      </w:r>
      <w:r w:rsidR="00814FAF">
        <w:rPr>
          <w:rFonts w:eastAsia="黑体"/>
        </w:rPr>
        <w:t xml:space="preserve">.1 </w:t>
      </w:r>
      <w:r w:rsidR="00814FAF">
        <w:rPr>
          <w:rFonts w:eastAsia="黑体"/>
        </w:rPr>
        <w:t>采收</w:t>
      </w:r>
      <w:bookmarkEnd w:id="23"/>
    </w:p>
    <w:p w:rsidR="008A128F" w:rsidRDefault="00814FAF">
      <w:pPr>
        <w:adjustRightInd w:val="0"/>
        <w:snapToGrid w:val="0"/>
        <w:spacing w:line="360" w:lineRule="auto"/>
        <w:ind w:firstLineChars="200" w:firstLine="420"/>
        <w:rPr>
          <w:kern w:val="0"/>
          <w:szCs w:val="21"/>
        </w:rPr>
      </w:pPr>
      <w:r>
        <w:rPr>
          <w:kern w:val="0"/>
          <w:szCs w:val="21"/>
        </w:rPr>
        <w:t>根据中药材品种、用途及其采收要求，科学安排采收时间，适时、规范采收。</w:t>
      </w:r>
    </w:p>
    <w:p w:rsidR="008A128F" w:rsidRDefault="00EA13FE">
      <w:pPr>
        <w:adjustRightInd w:val="0"/>
        <w:snapToGrid w:val="0"/>
        <w:spacing w:beforeLines="50" w:before="156" w:afterLines="50" w:after="156" w:line="360" w:lineRule="auto"/>
        <w:outlineLvl w:val="2"/>
        <w:rPr>
          <w:rFonts w:eastAsia="黑体"/>
        </w:rPr>
      </w:pPr>
      <w:bookmarkStart w:id="24" w:name="_Toc161151113"/>
      <w:r>
        <w:rPr>
          <w:rFonts w:eastAsia="黑体"/>
        </w:rPr>
        <w:t>7</w:t>
      </w:r>
      <w:r w:rsidR="00814FAF">
        <w:rPr>
          <w:rFonts w:eastAsia="黑体"/>
        </w:rPr>
        <w:t xml:space="preserve">.2 </w:t>
      </w:r>
      <w:r w:rsidR="00814FAF">
        <w:rPr>
          <w:rFonts w:eastAsia="黑体"/>
        </w:rPr>
        <w:t>初加工</w:t>
      </w:r>
      <w:bookmarkEnd w:id="24"/>
    </w:p>
    <w:p w:rsidR="008A128F" w:rsidRDefault="00814FAF">
      <w:pPr>
        <w:adjustRightInd w:val="0"/>
        <w:snapToGrid w:val="0"/>
        <w:spacing w:line="360" w:lineRule="auto"/>
        <w:ind w:firstLineChars="200" w:firstLine="420"/>
        <w:rPr>
          <w:kern w:val="0"/>
          <w:szCs w:val="21"/>
        </w:rPr>
      </w:pPr>
      <w:r>
        <w:rPr>
          <w:kern w:val="0"/>
          <w:szCs w:val="21"/>
        </w:rPr>
        <w:t>中药材采收后，应按产地初加工技术规程就地进行拣选、清洗、去除非药用部位、干燥及特殊处理等初步加工。</w:t>
      </w:r>
    </w:p>
    <w:p w:rsidR="008A128F" w:rsidRPr="00EA13FE" w:rsidRDefault="00EA13FE">
      <w:pPr>
        <w:pStyle w:val="af2"/>
      </w:pPr>
      <w:bookmarkStart w:id="25" w:name="_Toc161151114"/>
      <w:r w:rsidRPr="00EA13FE">
        <w:t>8</w:t>
      </w:r>
      <w:r w:rsidR="00814FAF" w:rsidRPr="00EA13FE">
        <w:t xml:space="preserve"> </w:t>
      </w:r>
      <w:r w:rsidR="00814FAF" w:rsidRPr="00EA13FE">
        <w:t>档案管理</w:t>
      </w:r>
      <w:bookmarkEnd w:id="25"/>
    </w:p>
    <w:p w:rsidR="008A128F" w:rsidRDefault="00EA13FE">
      <w:pPr>
        <w:adjustRightInd w:val="0"/>
        <w:snapToGrid w:val="0"/>
        <w:spacing w:beforeLines="50" w:before="156" w:afterLines="50" w:after="156" w:line="360" w:lineRule="auto"/>
        <w:outlineLvl w:val="2"/>
        <w:rPr>
          <w:rFonts w:eastAsia="黑体"/>
        </w:rPr>
      </w:pPr>
      <w:bookmarkStart w:id="26" w:name="_Toc161151115"/>
      <w:r>
        <w:rPr>
          <w:rFonts w:eastAsia="黑体"/>
        </w:rPr>
        <w:t>8</w:t>
      </w:r>
      <w:r w:rsidR="00814FAF">
        <w:rPr>
          <w:rFonts w:eastAsia="黑体"/>
        </w:rPr>
        <w:t xml:space="preserve">.1 </w:t>
      </w:r>
      <w:r w:rsidR="00814FAF">
        <w:rPr>
          <w:rFonts w:eastAsia="黑体"/>
        </w:rPr>
        <w:t>基础资料</w:t>
      </w:r>
      <w:bookmarkEnd w:id="26"/>
    </w:p>
    <w:p w:rsidR="008A128F" w:rsidRDefault="00814FAF">
      <w:pPr>
        <w:adjustRightInd w:val="0"/>
        <w:snapToGrid w:val="0"/>
        <w:spacing w:line="360" w:lineRule="auto"/>
        <w:ind w:firstLineChars="200" w:firstLine="420"/>
        <w:rPr>
          <w:kern w:val="0"/>
          <w:szCs w:val="21"/>
        </w:rPr>
      </w:pPr>
      <w:r>
        <w:rPr>
          <w:kern w:val="0"/>
          <w:szCs w:val="21"/>
        </w:rPr>
        <w:t>包括种植区域的林分类型、空气质量、水源、土壤等环境资料。</w:t>
      </w:r>
      <w:r>
        <w:rPr>
          <w:kern w:val="0"/>
          <w:szCs w:val="21"/>
        </w:rPr>
        <w:t xml:space="preserve"> </w:t>
      </w:r>
    </w:p>
    <w:p w:rsidR="008A128F" w:rsidRDefault="00EA13FE">
      <w:pPr>
        <w:adjustRightInd w:val="0"/>
        <w:snapToGrid w:val="0"/>
        <w:spacing w:beforeLines="50" w:before="156" w:afterLines="50" w:after="156" w:line="360" w:lineRule="auto"/>
        <w:outlineLvl w:val="2"/>
        <w:rPr>
          <w:rFonts w:eastAsia="黑体"/>
        </w:rPr>
      </w:pPr>
      <w:bookmarkStart w:id="27" w:name="_Toc161151116"/>
      <w:r>
        <w:rPr>
          <w:rFonts w:eastAsia="黑体"/>
        </w:rPr>
        <w:t>8</w:t>
      </w:r>
      <w:r w:rsidR="00814FAF">
        <w:rPr>
          <w:rFonts w:eastAsia="黑体"/>
        </w:rPr>
        <w:t xml:space="preserve">.2 </w:t>
      </w:r>
      <w:r w:rsidR="00814FAF">
        <w:rPr>
          <w:rFonts w:eastAsia="黑体"/>
        </w:rPr>
        <w:t>生产管理</w:t>
      </w:r>
      <w:bookmarkEnd w:id="27"/>
    </w:p>
    <w:p w:rsidR="008A128F" w:rsidRDefault="00814FAF">
      <w:pPr>
        <w:adjustRightInd w:val="0"/>
        <w:snapToGrid w:val="0"/>
        <w:spacing w:line="360" w:lineRule="auto"/>
        <w:ind w:firstLineChars="200" w:firstLine="420"/>
        <w:rPr>
          <w:kern w:val="0"/>
          <w:szCs w:val="21"/>
        </w:rPr>
      </w:pPr>
      <w:r>
        <w:rPr>
          <w:kern w:val="0"/>
          <w:szCs w:val="21"/>
        </w:rPr>
        <w:t>包括种苗来源、种苗处理方法、种苗栽植密度、病虫害防治、土肥水光管理、林分抚育措施，以及采挖加工记录等。</w:t>
      </w:r>
    </w:p>
    <w:p w:rsidR="008A128F" w:rsidRDefault="00EA13FE">
      <w:pPr>
        <w:adjustRightInd w:val="0"/>
        <w:snapToGrid w:val="0"/>
        <w:spacing w:beforeLines="50" w:before="156" w:afterLines="50" w:after="156" w:line="360" w:lineRule="auto"/>
        <w:outlineLvl w:val="2"/>
        <w:rPr>
          <w:rFonts w:eastAsia="黑体"/>
        </w:rPr>
      </w:pPr>
      <w:bookmarkStart w:id="28" w:name="_Toc161151117"/>
      <w:r>
        <w:rPr>
          <w:rFonts w:eastAsia="黑体"/>
        </w:rPr>
        <w:t>8</w:t>
      </w:r>
      <w:r w:rsidR="00814FAF">
        <w:rPr>
          <w:rFonts w:eastAsia="黑体"/>
        </w:rPr>
        <w:t xml:space="preserve">.3 </w:t>
      </w:r>
      <w:r w:rsidR="00814FAF">
        <w:rPr>
          <w:rFonts w:eastAsia="黑体"/>
        </w:rPr>
        <w:t>档案管理</w:t>
      </w:r>
      <w:bookmarkEnd w:id="28"/>
    </w:p>
    <w:p w:rsidR="008A128F" w:rsidRDefault="00814FAF">
      <w:pPr>
        <w:adjustRightInd w:val="0"/>
        <w:snapToGrid w:val="0"/>
        <w:spacing w:line="360" w:lineRule="auto"/>
        <w:ind w:firstLineChars="200" w:firstLine="420"/>
        <w:rPr>
          <w:kern w:val="0"/>
          <w:szCs w:val="21"/>
        </w:rPr>
      </w:pPr>
      <w:r>
        <w:rPr>
          <w:kern w:val="0"/>
          <w:szCs w:val="21"/>
        </w:rPr>
        <w:t>所有基础资料、生产管理资料等均应建立可追溯档案。</w:t>
      </w:r>
    </w:p>
    <w:p w:rsidR="008A128F" w:rsidRDefault="008A128F">
      <w:pPr>
        <w:adjustRightInd w:val="0"/>
        <w:snapToGrid w:val="0"/>
        <w:spacing w:line="360" w:lineRule="auto"/>
        <w:rPr>
          <w:kern w:val="0"/>
          <w:szCs w:val="21"/>
        </w:rPr>
      </w:pPr>
    </w:p>
    <w:sectPr w:rsidR="008A128F">
      <w:footerReference w:type="default" r:id="rId11"/>
      <w:pgSz w:w="11906" w:h="16838"/>
      <w:pgMar w:top="567" w:right="1134" w:bottom="1134" w:left="1418" w:header="1418" w:footer="1134"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4FAF" w:rsidRDefault="00814FAF">
      <w:r>
        <w:separator/>
      </w:r>
    </w:p>
  </w:endnote>
  <w:endnote w:type="continuationSeparator" w:id="0">
    <w:p w:rsidR="00814FAF" w:rsidRDefault="00814F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ZFangSong-Z02">
    <w:altName w:val="Arial Unicode MS"/>
    <w:charset w:val="86"/>
    <w:family w:val="swiss"/>
    <w:pitch w:val="default"/>
    <w:sig w:usb0="00000000" w:usb1="08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22155665"/>
      <w:docPartObj>
        <w:docPartGallery w:val="AutoText"/>
      </w:docPartObj>
    </w:sdtPr>
    <w:sdtEndPr/>
    <w:sdtContent>
      <w:p w:rsidR="008A128F" w:rsidRDefault="00814FAF">
        <w:pPr>
          <w:pStyle w:val="a4"/>
          <w:jc w:val="center"/>
        </w:pPr>
        <w:r>
          <w:fldChar w:fldCharType="begin"/>
        </w:r>
        <w:r>
          <w:instrText>PAGE   \* MERGEFORMAT</w:instrText>
        </w:r>
        <w:r>
          <w:fldChar w:fldCharType="separate"/>
        </w:r>
        <w:r w:rsidR="00EA13FE" w:rsidRPr="00EA13FE">
          <w:rPr>
            <w:noProof/>
            <w:lang w:val="zh-CN"/>
          </w:rPr>
          <w:t>I</w:t>
        </w:r>
        <w:r>
          <w:fldChar w:fldCharType="end"/>
        </w:r>
      </w:p>
    </w:sdtContent>
  </w:sdt>
  <w:p w:rsidR="008A128F" w:rsidRDefault="008A128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28F" w:rsidRDefault="008A128F">
    <w:pPr>
      <w:pStyle w:val="a4"/>
      <w:jc w:val="center"/>
    </w:pPr>
  </w:p>
  <w:p w:rsidR="008A128F" w:rsidRDefault="008A128F">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5770789"/>
      <w:docPartObj>
        <w:docPartGallery w:val="AutoText"/>
      </w:docPartObj>
    </w:sdtPr>
    <w:sdtEndPr/>
    <w:sdtContent>
      <w:p w:rsidR="008A128F" w:rsidRDefault="00814FAF">
        <w:pPr>
          <w:pStyle w:val="a4"/>
          <w:jc w:val="center"/>
        </w:pPr>
        <w:r>
          <w:fldChar w:fldCharType="begin"/>
        </w:r>
        <w:r>
          <w:instrText>PAGE   \* MERGEFORMAT</w:instrText>
        </w:r>
        <w:r>
          <w:fldChar w:fldCharType="separate"/>
        </w:r>
        <w:r w:rsidR="00EA13FE" w:rsidRPr="00EA13FE">
          <w:rPr>
            <w:noProof/>
            <w:lang w:val="zh-CN"/>
          </w:rPr>
          <w:t>I</w:t>
        </w:r>
        <w:r>
          <w:fldChar w:fldCharType="end"/>
        </w:r>
      </w:p>
    </w:sdtContent>
  </w:sdt>
  <w:p w:rsidR="008A128F" w:rsidRDefault="008A128F">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28F" w:rsidRDefault="00814FAF">
    <w:pPr>
      <w:pStyle w:val="a4"/>
      <w:jc w:val="center"/>
    </w:pPr>
    <w:r>
      <w:rPr>
        <w:lang w:val="zh-CN"/>
      </w:rPr>
      <w:fldChar w:fldCharType="begin"/>
    </w:r>
    <w:r>
      <w:rPr>
        <w:lang w:val="zh-CN"/>
      </w:rPr>
      <w:instrText xml:space="preserve"> PAGE   \* MERGEFORMAT </w:instrText>
    </w:r>
    <w:r>
      <w:rPr>
        <w:lang w:val="zh-CN"/>
      </w:rPr>
      <w:fldChar w:fldCharType="separate"/>
    </w:r>
    <w:r w:rsidR="00EA13FE">
      <w:rPr>
        <w:noProof/>
        <w:lang w:val="zh-CN"/>
      </w:rPr>
      <w:t>4</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4FAF" w:rsidRDefault="00814FAF">
      <w:r>
        <w:separator/>
      </w:r>
    </w:p>
  </w:footnote>
  <w:footnote w:type="continuationSeparator" w:id="0">
    <w:p w:rsidR="00814FAF" w:rsidRDefault="00814F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128F" w:rsidRDefault="00814FAF">
    <w:pPr>
      <w:pStyle w:val="af5"/>
    </w:pPr>
    <w:r>
      <w:t>DB13/ XXXXX</w:t>
    </w:r>
    <w:r>
      <w:t>—</w:t>
    </w:r>
    <w:r>
      <w:t>20</w:t>
    </w:r>
    <w:r>
      <w:rPr>
        <w:rFonts w:hint="eastAsia"/>
      </w:rPr>
      <w:t>2</w:t>
    </w:r>
    <w:r>
      <w:t>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I4NjE5NzcxZTY0N2M5MGY0ZGEyOTAzNTRlZTc3OGYifQ=="/>
  </w:docVars>
  <w:rsids>
    <w:rsidRoot w:val="6D782A42"/>
    <w:rsid w:val="000530AC"/>
    <w:rsid w:val="00066E34"/>
    <w:rsid w:val="000759C8"/>
    <w:rsid w:val="00081923"/>
    <w:rsid w:val="0009297C"/>
    <w:rsid w:val="000D297E"/>
    <w:rsid w:val="000D5DDB"/>
    <w:rsid w:val="000D5F5A"/>
    <w:rsid w:val="000F06E1"/>
    <w:rsid w:val="000F4CB4"/>
    <w:rsid w:val="00111325"/>
    <w:rsid w:val="001273EC"/>
    <w:rsid w:val="00165CD4"/>
    <w:rsid w:val="00174DBD"/>
    <w:rsid w:val="00175525"/>
    <w:rsid w:val="001835E3"/>
    <w:rsid w:val="001A1DE7"/>
    <w:rsid w:val="001B142E"/>
    <w:rsid w:val="001D07EA"/>
    <w:rsid w:val="001D2997"/>
    <w:rsid w:val="001D4531"/>
    <w:rsid w:val="00205467"/>
    <w:rsid w:val="002105EF"/>
    <w:rsid w:val="002549A9"/>
    <w:rsid w:val="00271554"/>
    <w:rsid w:val="00284A20"/>
    <w:rsid w:val="00290720"/>
    <w:rsid w:val="002A0644"/>
    <w:rsid w:val="002A6353"/>
    <w:rsid w:val="002D274E"/>
    <w:rsid w:val="00311E3C"/>
    <w:rsid w:val="00317909"/>
    <w:rsid w:val="0033448F"/>
    <w:rsid w:val="00370F37"/>
    <w:rsid w:val="0038488D"/>
    <w:rsid w:val="0038567E"/>
    <w:rsid w:val="003A7EBD"/>
    <w:rsid w:val="003D2BEB"/>
    <w:rsid w:val="003F7245"/>
    <w:rsid w:val="00417F3A"/>
    <w:rsid w:val="004279FE"/>
    <w:rsid w:val="004372A3"/>
    <w:rsid w:val="00442B46"/>
    <w:rsid w:val="00494128"/>
    <w:rsid w:val="00496E73"/>
    <w:rsid w:val="004A70E1"/>
    <w:rsid w:val="004B3367"/>
    <w:rsid w:val="004B592B"/>
    <w:rsid w:val="004D0C2C"/>
    <w:rsid w:val="004D5363"/>
    <w:rsid w:val="004F49DD"/>
    <w:rsid w:val="004F79EA"/>
    <w:rsid w:val="0050338F"/>
    <w:rsid w:val="00503C72"/>
    <w:rsid w:val="00534E13"/>
    <w:rsid w:val="00537806"/>
    <w:rsid w:val="005442C2"/>
    <w:rsid w:val="0054459F"/>
    <w:rsid w:val="005534E2"/>
    <w:rsid w:val="00560CDE"/>
    <w:rsid w:val="00597F37"/>
    <w:rsid w:val="005C08E0"/>
    <w:rsid w:val="005C7052"/>
    <w:rsid w:val="005D4A9A"/>
    <w:rsid w:val="005E708B"/>
    <w:rsid w:val="005F5445"/>
    <w:rsid w:val="006027A4"/>
    <w:rsid w:val="00620AFA"/>
    <w:rsid w:val="0063026C"/>
    <w:rsid w:val="00664940"/>
    <w:rsid w:val="00693077"/>
    <w:rsid w:val="00695562"/>
    <w:rsid w:val="00703641"/>
    <w:rsid w:val="00757E70"/>
    <w:rsid w:val="00764877"/>
    <w:rsid w:val="00783729"/>
    <w:rsid w:val="00783A48"/>
    <w:rsid w:val="007A4016"/>
    <w:rsid w:val="007A4609"/>
    <w:rsid w:val="007C2C71"/>
    <w:rsid w:val="007C36F0"/>
    <w:rsid w:val="007D28F4"/>
    <w:rsid w:val="007E7ED0"/>
    <w:rsid w:val="00804B4A"/>
    <w:rsid w:val="00806FF8"/>
    <w:rsid w:val="00814FAF"/>
    <w:rsid w:val="008626E0"/>
    <w:rsid w:val="00895B72"/>
    <w:rsid w:val="008A128F"/>
    <w:rsid w:val="008B310E"/>
    <w:rsid w:val="008C36BB"/>
    <w:rsid w:val="008D0C3C"/>
    <w:rsid w:val="009213D9"/>
    <w:rsid w:val="00940B6B"/>
    <w:rsid w:val="0096546F"/>
    <w:rsid w:val="00966677"/>
    <w:rsid w:val="00981AFD"/>
    <w:rsid w:val="00986E51"/>
    <w:rsid w:val="0099586B"/>
    <w:rsid w:val="009A7033"/>
    <w:rsid w:val="009B2113"/>
    <w:rsid w:val="009C0AC5"/>
    <w:rsid w:val="009C14BB"/>
    <w:rsid w:val="009C58D0"/>
    <w:rsid w:val="009D5946"/>
    <w:rsid w:val="009F6F58"/>
    <w:rsid w:val="00A04515"/>
    <w:rsid w:val="00A52ADD"/>
    <w:rsid w:val="00A60E4D"/>
    <w:rsid w:val="00A87603"/>
    <w:rsid w:val="00A9632E"/>
    <w:rsid w:val="00AB17ED"/>
    <w:rsid w:val="00AC5482"/>
    <w:rsid w:val="00AD0366"/>
    <w:rsid w:val="00AF60E9"/>
    <w:rsid w:val="00B454E6"/>
    <w:rsid w:val="00B540E5"/>
    <w:rsid w:val="00B55916"/>
    <w:rsid w:val="00B8365C"/>
    <w:rsid w:val="00BA08FA"/>
    <w:rsid w:val="00BA784F"/>
    <w:rsid w:val="00BA7AAA"/>
    <w:rsid w:val="00BC5734"/>
    <w:rsid w:val="00BD73F3"/>
    <w:rsid w:val="00BF3A88"/>
    <w:rsid w:val="00C2302A"/>
    <w:rsid w:val="00C30912"/>
    <w:rsid w:val="00C410BC"/>
    <w:rsid w:val="00C41D41"/>
    <w:rsid w:val="00C64565"/>
    <w:rsid w:val="00C821E1"/>
    <w:rsid w:val="00C82473"/>
    <w:rsid w:val="00C8295E"/>
    <w:rsid w:val="00CA099B"/>
    <w:rsid w:val="00CD7256"/>
    <w:rsid w:val="00D0139E"/>
    <w:rsid w:val="00D1649F"/>
    <w:rsid w:val="00D41055"/>
    <w:rsid w:val="00D47862"/>
    <w:rsid w:val="00D56318"/>
    <w:rsid w:val="00D76345"/>
    <w:rsid w:val="00D82843"/>
    <w:rsid w:val="00DB0F18"/>
    <w:rsid w:val="00DB3118"/>
    <w:rsid w:val="00DD767D"/>
    <w:rsid w:val="00DD7BA1"/>
    <w:rsid w:val="00DE1AEF"/>
    <w:rsid w:val="00DE4901"/>
    <w:rsid w:val="00E01C70"/>
    <w:rsid w:val="00E20DE8"/>
    <w:rsid w:val="00E56208"/>
    <w:rsid w:val="00E73010"/>
    <w:rsid w:val="00E93461"/>
    <w:rsid w:val="00EA07BD"/>
    <w:rsid w:val="00EA13FE"/>
    <w:rsid w:val="00EB0C7E"/>
    <w:rsid w:val="00EB4139"/>
    <w:rsid w:val="00ED072E"/>
    <w:rsid w:val="00EE73A6"/>
    <w:rsid w:val="00EF6150"/>
    <w:rsid w:val="00EF7FD5"/>
    <w:rsid w:val="00F2238A"/>
    <w:rsid w:val="00F36739"/>
    <w:rsid w:val="00F67F1B"/>
    <w:rsid w:val="00F73B20"/>
    <w:rsid w:val="00F91E20"/>
    <w:rsid w:val="00F9238C"/>
    <w:rsid w:val="00FA51FD"/>
    <w:rsid w:val="00FE4D1F"/>
    <w:rsid w:val="00FF0A10"/>
    <w:rsid w:val="00FF708C"/>
    <w:rsid w:val="6D782A42"/>
    <w:rsid w:val="7DFFA8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340342D2-0206-4B2E-A5BB-AD9ADD82E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qFormat="1"/>
    <w:lsdException w:name="toc 3" w:uiPriority="39"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qFormat/>
    <w:pPr>
      <w:ind w:leftChars="400" w:left="840"/>
    </w:pPr>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2">
    <w:name w:val="toc 2"/>
    <w:basedOn w:val="a"/>
    <w:next w:val="a"/>
    <w:uiPriority w:val="39"/>
    <w:qFormat/>
    <w:pPr>
      <w:tabs>
        <w:tab w:val="right" w:leader="dot" w:pos="9344"/>
      </w:tabs>
      <w:spacing w:line="360" w:lineRule="auto"/>
      <w:ind w:leftChars="200" w:left="420"/>
    </w:pPr>
  </w:style>
  <w:style w:type="table" w:styleId="a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Emphasis"/>
    <w:basedOn w:val="a0"/>
    <w:uiPriority w:val="20"/>
    <w:qFormat/>
    <w:rPr>
      <w:i/>
      <w:iCs/>
    </w:rPr>
  </w:style>
  <w:style w:type="character" w:styleId="a8">
    <w:name w:val="Hyperlink"/>
    <w:basedOn w:val="a0"/>
    <w:uiPriority w:val="99"/>
    <w:unhideWhenUsed/>
    <w:qFormat/>
    <w:rPr>
      <w:color w:val="0026E5" w:themeColor="hyperlink"/>
      <w:u w:val="single"/>
    </w:rPr>
  </w:style>
  <w:style w:type="paragraph" w:customStyle="1" w:styleId="a9">
    <w:name w:val="文献分类号"/>
    <w:qFormat/>
    <w:pPr>
      <w:framePr w:hSpace="180" w:vSpace="180" w:wrap="around" w:hAnchor="margin" w:y="1" w:anchorLock="1"/>
      <w:widowControl w:val="0"/>
      <w:textAlignment w:val="center"/>
    </w:pPr>
    <w:rPr>
      <w:rFonts w:ascii="黑体" w:eastAsia="黑体" w:hAnsi="Times New Roman" w:cs="Times New Roman"/>
      <w:sz w:val="21"/>
      <w:szCs w:val="21"/>
    </w:rPr>
  </w:style>
  <w:style w:type="paragraph" w:customStyle="1" w:styleId="aa">
    <w:name w:val="其他标准标志"/>
    <w:basedOn w:val="a"/>
    <w:qFormat/>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ab">
    <w:name w:val="其他标准称谓"/>
    <w:next w:val="a"/>
    <w:qFormat/>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20">
    <w:name w:val="封面标准号2"/>
    <w:qFormat/>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rPr>
  </w:style>
  <w:style w:type="paragraph" w:customStyle="1" w:styleId="ac">
    <w:name w:val="封面标准代替信息"/>
    <w:qFormat/>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rPr>
  </w:style>
  <w:style w:type="paragraph" w:customStyle="1" w:styleId="ad">
    <w:name w:val="封面标准英文名称"/>
    <w:basedOn w:val="a"/>
    <w:qFormat/>
    <w:pPr>
      <w:framePr w:w="9639" w:h="6917" w:hRule="exact" w:wrap="around" w:vAnchor="page" w:hAnchor="page" w:xAlign="center" w:y="6408" w:anchorLock="1"/>
      <w:spacing w:before="370" w:line="400" w:lineRule="exact"/>
      <w:jc w:val="center"/>
      <w:textAlignment w:val="center"/>
    </w:pPr>
    <w:rPr>
      <w:rFonts w:eastAsia="黑体"/>
      <w:kern w:val="0"/>
      <w:sz w:val="28"/>
      <w:szCs w:val="28"/>
    </w:rPr>
  </w:style>
  <w:style w:type="paragraph" w:customStyle="1" w:styleId="ae">
    <w:name w:val="其他发布日期"/>
    <w:basedOn w:val="a"/>
    <w:qFormat/>
    <w:pPr>
      <w:framePr w:w="3997" w:h="471" w:hRule="exact" w:vSpace="181" w:wrap="around" w:vAnchor="page" w:hAnchor="page" w:x="1419" w:y="14097" w:anchorLock="1"/>
      <w:widowControl/>
      <w:jc w:val="left"/>
    </w:pPr>
    <w:rPr>
      <w:rFonts w:eastAsia="黑体"/>
      <w:kern w:val="0"/>
      <w:sz w:val="28"/>
      <w:szCs w:val="20"/>
    </w:rPr>
  </w:style>
  <w:style w:type="paragraph" w:customStyle="1" w:styleId="af">
    <w:name w:val="其他实施日期"/>
    <w:basedOn w:val="a"/>
    <w:qFormat/>
    <w:pPr>
      <w:framePr w:w="3997" w:h="471" w:hRule="exact" w:vSpace="181" w:wrap="around" w:vAnchor="page" w:hAnchor="page" w:x="7089" w:y="14097" w:anchorLock="1"/>
      <w:widowControl/>
      <w:jc w:val="right"/>
    </w:pPr>
    <w:rPr>
      <w:rFonts w:eastAsia="黑体"/>
      <w:kern w:val="0"/>
      <w:sz w:val="28"/>
      <w:szCs w:val="20"/>
    </w:rPr>
  </w:style>
  <w:style w:type="paragraph" w:customStyle="1" w:styleId="af0">
    <w:name w:val="其他发布部门"/>
    <w:basedOn w:val="a"/>
    <w:qFormat/>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character" w:customStyle="1" w:styleId="af1">
    <w:name w:val="发布"/>
    <w:basedOn w:val="a0"/>
    <w:qFormat/>
    <w:rPr>
      <w:rFonts w:ascii="黑体" w:eastAsia="黑体"/>
      <w:spacing w:val="85"/>
      <w:w w:val="100"/>
      <w:position w:val="3"/>
      <w:sz w:val="28"/>
      <w:szCs w:val="28"/>
    </w:rPr>
  </w:style>
  <w:style w:type="paragraph" w:customStyle="1" w:styleId="af2">
    <w:name w:val="章标题"/>
    <w:next w:val="af3"/>
    <w:qFormat/>
    <w:pPr>
      <w:adjustRightInd w:val="0"/>
      <w:snapToGrid w:val="0"/>
      <w:spacing w:beforeLines="50" w:before="156" w:afterLines="50" w:after="156" w:line="360" w:lineRule="auto"/>
      <w:jc w:val="both"/>
      <w:textAlignment w:val="baseline"/>
      <w:outlineLvl w:val="1"/>
    </w:pPr>
    <w:rPr>
      <w:rFonts w:ascii="黑体" w:eastAsia="黑体" w:hAnsi="黑体" w:cs="Times New Roman"/>
      <w:bCs/>
      <w:kern w:val="2"/>
      <w:sz w:val="21"/>
      <w:szCs w:val="22"/>
    </w:rPr>
  </w:style>
  <w:style w:type="paragraph" w:customStyle="1" w:styleId="af3">
    <w:name w:val="段"/>
    <w:qFormat/>
    <w:pPr>
      <w:tabs>
        <w:tab w:val="center" w:pos="4201"/>
        <w:tab w:val="right" w:leader="dot" w:pos="9298"/>
      </w:tabs>
      <w:autoSpaceDE w:val="0"/>
      <w:autoSpaceDN w:val="0"/>
      <w:ind w:firstLineChars="200" w:firstLine="420"/>
      <w:jc w:val="both"/>
    </w:pPr>
    <w:rPr>
      <w:rFonts w:ascii="宋体" w:eastAsia="宋体" w:hAnsi="Calibri" w:cs="宋体"/>
      <w:kern w:val="2"/>
      <w:sz w:val="21"/>
      <w:szCs w:val="22"/>
    </w:rPr>
  </w:style>
  <w:style w:type="paragraph" w:styleId="af4">
    <w:name w:val="List Paragraph"/>
    <w:basedOn w:val="a"/>
    <w:uiPriority w:val="99"/>
    <w:qFormat/>
    <w:pPr>
      <w:widowControl/>
      <w:ind w:firstLineChars="200" w:firstLine="420"/>
      <w:jc w:val="left"/>
    </w:pPr>
    <w:rPr>
      <w:rFonts w:asciiTheme="minorHAnsi" w:eastAsiaTheme="minorEastAsia" w:hAnsiTheme="minorHAnsi" w:cstheme="minorBidi"/>
      <w:kern w:val="0"/>
      <w:sz w:val="22"/>
      <w:szCs w:val="22"/>
      <w:lang w:eastAsia="en-US"/>
    </w:rPr>
  </w:style>
  <w:style w:type="paragraph" w:customStyle="1" w:styleId="af5">
    <w:name w:val="标准书眉_奇数页"/>
    <w:next w:val="a"/>
    <w:qFormat/>
    <w:pPr>
      <w:tabs>
        <w:tab w:val="center" w:pos="4154"/>
        <w:tab w:val="right" w:pos="8306"/>
      </w:tabs>
      <w:spacing w:after="220"/>
      <w:jc w:val="right"/>
    </w:pPr>
    <w:rPr>
      <w:rFonts w:ascii="黑体" w:eastAsia="黑体" w:hAnsi="Times New Roman" w:cs="Times New Roman"/>
      <w:sz w:val="21"/>
      <w:szCs w:val="21"/>
    </w:rPr>
  </w:style>
  <w:style w:type="character" w:customStyle="1" w:styleId="Char">
    <w:name w:val="批注框文本 Char"/>
    <w:basedOn w:val="a0"/>
    <w:link w:val="a3"/>
    <w:qFormat/>
    <w:rPr>
      <w:rFonts w:ascii="Times New Roman" w:eastAsia="宋体" w:hAnsi="Times New Roman" w:cs="Times New Roman"/>
      <w:kern w:val="2"/>
      <w:sz w:val="18"/>
      <w:szCs w:val="18"/>
    </w:rPr>
  </w:style>
  <w:style w:type="paragraph" w:customStyle="1" w:styleId="Default">
    <w:name w:val="Default"/>
    <w:qFormat/>
    <w:pPr>
      <w:widowControl w:val="0"/>
      <w:autoSpaceDE w:val="0"/>
      <w:autoSpaceDN w:val="0"/>
      <w:adjustRightInd w:val="0"/>
    </w:pPr>
    <w:rPr>
      <w:rFonts w:ascii="FZFangSong-Z02" w:hAnsi="FZFangSong-Z02" w:cs="FZFangSong-Z02"/>
      <w:color w:val="000000"/>
      <w:sz w:val="24"/>
      <w:szCs w:val="24"/>
    </w:rPr>
  </w:style>
  <w:style w:type="character" w:customStyle="1" w:styleId="Char1">
    <w:name w:val="页眉 Char"/>
    <w:basedOn w:val="a0"/>
    <w:link w:val="a5"/>
    <w:qFormat/>
    <w:rPr>
      <w:rFonts w:ascii="Times New Roman" w:eastAsia="宋体" w:hAnsi="Times New Roman" w:cs="Times New Roman"/>
      <w:kern w:val="2"/>
      <w:sz w:val="18"/>
      <w:szCs w:val="18"/>
    </w:rPr>
  </w:style>
  <w:style w:type="character" w:customStyle="1" w:styleId="1Char">
    <w:name w:val="标题 1 Char"/>
    <w:basedOn w:val="a0"/>
    <w:link w:val="1"/>
    <w:qFormat/>
    <w:rPr>
      <w:rFonts w:ascii="Times New Roman" w:eastAsia="宋体" w:hAnsi="Times New Roman" w:cs="Times New Roman"/>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D53A0" w:themeColor="accent1" w:themeShade="BF"/>
      <w:kern w:val="0"/>
      <w:sz w:val="32"/>
      <w:szCs w:val="32"/>
    </w:rPr>
  </w:style>
  <w:style w:type="character" w:customStyle="1" w:styleId="ql-font-songti">
    <w:name w:val="ql-font-songti"/>
    <w:basedOn w:val="a0"/>
    <w:qFormat/>
  </w:style>
  <w:style w:type="character" w:customStyle="1" w:styleId="Char0">
    <w:name w:val="页脚 Char"/>
    <w:basedOn w:val="a0"/>
    <w:link w:val="a4"/>
    <w:uiPriority w:val="99"/>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418</Words>
  <Characters>2386</Characters>
  <Application>Microsoft Office Word</Application>
  <DocSecurity>0</DocSecurity>
  <Lines>19</Lines>
  <Paragraphs>5</Paragraphs>
  <ScaleCrop>false</ScaleCrop>
  <Company>微软中国</Company>
  <LinksUpToDate>false</LinksUpToDate>
  <CharactersWithSpaces>2799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Thy</dc:creator>
  <cp:lastModifiedBy>微软用户</cp:lastModifiedBy>
  <cp:revision>48</cp:revision>
  <dcterms:created xsi:type="dcterms:W3CDTF">2024-03-12T09:55:00Z</dcterms:created>
  <dcterms:modified xsi:type="dcterms:W3CDTF">2024-06-06T07:01:00Z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FE77F099A0A148B59BB0FDB7A5BA6B72_11</vt:lpwstr>
  </property>
</Properties>
</file>