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XXXX.6</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3008.8-2018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第6部分：人力资源培训服务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6:Human recourse</w:t>
      </w:r>
      <w:r>
        <w:rPr>
          <w:rFonts w:hint="eastAsia" w:ascii="黑体" w:hAnsi="黑体" w:eastAsia="黑体"/>
          <w:szCs w:val="28"/>
        </w:rPr>
        <w:t>s</w:t>
      </w:r>
      <w:r>
        <w:rPr>
          <w:rFonts w:ascii="黑体" w:hAnsi="黑体" w:eastAsia="黑体"/>
          <w:szCs w:val="28"/>
        </w:rPr>
        <w:t xml:space="preserve"> </w:t>
      </w:r>
      <w:r>
        <w:rPr>
          <w:rFonts w:hint="eastAsia" w:ascii="黑体" w:hAnsi="黑体" w:eastAsia="黑体"/>
          <w:szCs w:val="28"/>
        </w:rPr>
        <w:t>t</w:t>
      </w:r>
      <w:r>
        <w:rPr>
          <w:rFonts w:ascii="黑体" w:hAnsi="黑体" w:eastAsia="黑体"/>
          <w:szCs w:val="28"/>
        </w:rPr>
        <w:t>raining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7410"/>
      <w:bookmarkStart w:id="23" w:name="_Toc149229129"/>
      <w:bookmarkStart w:id="24" w:name="_Toc149486590"/>
      <w:bookmarkStart w:id="25" w:name="_Toc149220192"/>
      <w:bookmarkStart w:id="26" w:name="_Toc149409024"/>
      <w:bookmarkStart w:id="27" w:name="_Toc149235242"/>
      <w:bookmarkStart w:id="28" w:name="_Toc149486923"/>
      <w:bookmarkStart w:id="29" w:name="_Toc149486207"/>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"_Toc149923304" </w:instrText>
      </w:r>
      <w:r>
        <w:fldChar w:fldCharType="separate"/>
      </w:r>
      <w:r>
        <w:rPr>
          <w:rStyle w:val="32"/>
        </w:rPr>
        <w:t>前言</w:t>
      </w:r>
      <w:r>
        <w:tab/>
      </w:r>
      <w:r>
        <w:fldChar w:fldCharType="begin"/>
      </w:r>
      <w:r>
        <w:instrText xml:space="preserve"> PAGEREF _Toc149923304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"_Toc149923305" </w:instrText>
      </w:r>
      <w:r>
        <w:fldChar w:fldCharType="separate"/>
      </w:r>
      <w:r>
        <w:rPr>
          <w:rStyle w:val="32"/>
        </w:rPr>
        <w:t>1  范围</w:t>
      </w:r>
      <w:r>
        <w:tab/>
      </w:r>
      <w:r>
        <w:fldChar w:fldCharType="begin"/>
      </w:r>
      <w:r>
        <w:instrText xml:space="preserve"> PAGEREF _Toc149923305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"_Toc149923306" </w:instrText>
      </w:r>
      <w:r>
        <w:fldChar w:fldCharType="separate"/>
      </w:r>
      <w:r>
        <w:rPr>
          <w:rStyle w:val="32"/>
        </w:rPr>
        <w:t>2  规范性引用文件</w:t>
      </w:r>
      <w:r>
        <w:tab/>
      </w:r>
      <w:r>
        <w:fldChar w:fldCharType="begin"/>
      </w:r>
      <w:r>
        <w:instrText xml:space="preserve"> PAGEREF _Toc149923306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"_Toc149923307" </w:instrText>
      </w:r>
      <w:r>
        <w:fldChar w:fldCharType="separate"/>
      </w:r>
      <w:r>
        <w:rPr>
          <w:rStyle w:val="32"/>
        </w:rPr>
        <w:t>3  术语和定义</w:t>
      </w:r>
      <w:r>
        <w:tab/>
      </w:r>
      <w:r>
        <w:fldChar w:fldCharType="begin"/>
      </w:r>
      <w:r>
        <w:instrText xml:space="preserve"> PAGEREF _Toc149923307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"_Toc149923308" </w:instrText>
      </w:r>
      <w:r>
        <w:fldChar w:fldCharType="separate"/>
      </w:r>
      <w:r>
        <w:rPr>
          <w:rStyle w:val="32"/>
        </w:rPr>
        <w:t>4  基本要求</w:t>
      </w:r>
      <w:r>
        <w:tab/>
      </w:r>
      <w:r>
        <w:fldChar w:fldCharType="begin"/>
      </w:r>
      <w:r>
        <w:instrText xml:space="preserve"> PAGEREF _Toc149923308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"_Toc149923309" </w:instrText>
      </w:r>
      <w:r>
        <w:fldChar w:fldCharType="separate"/>
      </w:r>
      <w:r>
        <w:rPr>
          <w:rStyle w:val="32"/>
        </w:rPr>
        <w:t>5  培训内容</w:t>
      </w:r>
      <w:r>
        <w:tab/>
      </w:r>
      <w:r>
        <w:fldChar w:fldCharType="begin"/>
      </w:r>
      <w:r>
        <w:instrText xml:space="preserve"> PAGEREF _Toc149923309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"_Toc149923310" </w:instrText>
      </w:r>
      <w:r>
        <w:fldChar w:fldCharType="separate"/>
      </w:r>
      <w:r>
        <w:rPr>
          <w:rStyle w:val="32"/>
        </w:rPr>
        <w:t>6  服务流程</w:t>
      </w:r>
      <w:r>
        <w:tab/>
      </w:r>
      <w:r>
        <w:fldChar w:fldCharType="begin"/>
      </w:r>
      <w:r>
        <w:instrText xml:space="preserve"> PAGEREF _Toc149923310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"_Toc149923311" </w:instrText>
      </w:r>
      <w:r>
        <w:fldChar w:fldCharType="separate"/>
      </w:r>
      <w:r>
        <w:rPr>
          <w:rStyle w:val="32"/>
        </w:rPr>
        <w:t>7  服务评价与改进</w:t>
      </w:r>
      <w:r>
        <w:tab/>
      </w:r>
      <w:r>
        <w:fldChar w:fldCharType="begin"/>
      </w:r>
      <w:r>
        <w:instrText xml:space="preserve"> PAGEREF _Toc149923311 \h </w:instrText>
      </w:r>
      <w:r>
        <w:fldChar w:fldCharType="separate"/>
      </w:r>
      <w:r>
        <w:t>3</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30" w:name="_Toc149923304"/>
      <w:bookmarkStart w:id="31" w:name="BookMark2"/>
      <w:r>
        <w:rPr>
          <w:spacing w:val="320"/>
        </w:rPr>
        <w:t>前</w:t>
      </w:r>
      <w:r>
        <w:t>言</w:t>
      </w:r>
      <w:bookmarkEnd w:id="22"/>
      <w:bookmarkEnd w:id="23"/>
      <w:bookmarkEnd w:id="24"/>
      <w:bookmarkEnd w:id="25"/>
      <w:bookmarkEnd w:id="26"/>
      <w:bookmarkEnd w:id="27"/>
      <w:bookmarkEnd w:id="28"/>
      <w:bookmarkEnd w:id="29"/>
      <w:bookmarkEnd w:id="30"/>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6</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本部分代替了DBXX/T 3008.8—2018《人力资源服务规范 第8部分：培训服务》，除编辑性修改外，主要技术变化如下：</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——将“培训服务”更改为“人力资源培训服务”；</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——更改了“术语和定义”中部分</w:t>
      </w:r>
      <w:r>
        <w:rPr>
          <w:color w:val="000000" w:themeColor="text1"/>
          <w14:textFill>
            <w14:solidFill>
              <w14:schemeClr w14:val="tx1"/>
            </w14:solidFill>
          </w14:textFill>
        </w:rPr>
        <w:t>内容</w:t>
      </w:r>
      <w:r>
        <w:rPr>
          <w:rFonts w:hint="eastAsia"/>
          <w:color w:val="000000" w:themeColor="text1"/>
          <w14:textFill>
            <w14:solidFill>
              <w14:schemeClr w14:val="tx1"/>
            </w14:solidFill>
          </w14:textFill>
        </w:rPr>
        <w:t>（见3.1，DBXX/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的3.1）；</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——增加了“从业人员”的部分内容（见4.1，DBXX/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的4.1）；</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——增加了“培训机构”的部分内容（见4.2，DBXX/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的4.2）；</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——删除了“广告宣传”“培训</w:t>
      </w:r>
      <w:r>
        <w:rPr>
          <w:color w:val="000000" w:themeColor="text1"/>
          <w14:textFill>
            <w14:solidFill>
              <w14:schemeClr w14:val="tx1"/>
            </w14:solidFill>
          </w14:textFill>
        </w:rPr>
        <w:t>师资</w:t>
      </w:r>
      <w:r>
        <w:rPr>
          <w:rFonts w:hint="eastAsia"/>
          <w:color w:val="000000" w:themeColor="text1"/>
          <w14:textFill>
            <w14:solidFill>
              <w14:schemeClr w14:val="tx1"/>
            </w14:solidFill>
          </w14:textFill>
        </w:rPr>
        <w:t>”“培训</w:t>
      </w:r>
      <w:r>
        <w:rPr>
          <w:color w:val="000000" w:themeColor="text1"/>
          <w14:textFill>
            <w14:solidFill>
              <w14:schemeClr w14:val="tx1"/>
            </w14:solidFill>
          </w14:textFill>
        </w:rPr>
        <w:t>教材</w:t>
      </w:r>
      <w:r>
        <w:rPr>
          <w:rFonts w:hint="eastAsia"/>
          <w:color w:val="000000" w:themeColor="text1"/>
          <w14:textFill>
            <w14:solidFill>
              <w14:schemeClr w14:val="tx1"/>
            </w14:solidFill>
          </w14:textFill>
        </w:rPr>
        <w:t>”“设</w:t>
      </w:r>
      <w:r>
        <w:rPr>
          <w:color w:val="000000" w:themeColor="text1"/>
          <w14:textFill>
            <w14:solidFill>
              <w14:schemeClr w14:val="tx1"/>
            </w14:solidFill>
          </w14:textFill>
        </w:rPr>
        <w:t>施设备</w:t>
      </w:r>
      <w:r>
        <w:rPr>
          <w:rFonts w:hint="eastAsia"/>
          <w:color w:val="000000" w:themeColor="text1"/>
          <w14:textFill>
            <w14:solidFill>
              <w14:schemeClr w14:val="tx1"/>
            </w14:solidFill>
          </w14:textFill>
        </w:rPr>
        <w:t>”的内容（见DBXX/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的4.4、4.5、4.6、4.7）；</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w:t>
      </w:r>
      <w:r>
        <w:rPr>
          <w:color w:val="000000" w:themeColor="text1"/>
          <w14:textFill>
            <w14:solidFill>
              <w14:schemeClr w14:val="tx1"/>
            </w14:solidFill>
          </w14:textFill>
        </w:rPr>
        <w:t>改</w:t>
      </w:r>
      <w:r>
        <w:rPr>
          <w:rFonts w:hint="eastAsia"/>
          <w:color w:val="000000" w:themeColor="text1"/>
          <w14:textFill>
            <w14:solidFill>
              <w14:schemeClr w14:val="tx1"/>
            </w14:solidFill>
          </w14:textFill>
        </w:rPr>
        <w:t>了“培训内容”的部分内容（见第5章</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的第5章）；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——更改了“编制</w:t>
      </w:r>
      <w:r>
        <w:rPr>
          <w:color w:val="000000" w:themeColor="text1"/>
          <w14:textFill>
            <w14:solidFill>
              <w14:schemeClr w14:val="tx1"/>
            </w14:solidFill>
          </w14:textFill>
        </w:rPr>
        <w:t>培训方案</w:t>
      </w:r>
      <w:r>
        <w:rPr>
          <w:rFonts w:hint="eastAsia"/>
          <w:color w:val="000000" w:themeColor="text1"/>
          <w14:textFill>
            <w14:solidFill>
              <w14:schemeClr w14:val="tx1"/>
            </w14:solidFill>
          </w14:textFill>
        </w:rPr>
        <w:t>”的部分内容（见6.1.2，DBXX/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的6.</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——更改了“培训准备”的部分内容（见6.2，DBXX/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的6.2）；</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——更改了“培训过程”的部分内容（见6.3，，DBXX/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的6.3）；</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——更改了“培训变更或取消”的部分内容（见6.4，DBXX/</w:t>
      </w:r>
      <w:r>
        <w:rPr>
          <w:color w:val="000000" w:themeColor="text1"/>
          <w14:textFill>
            <w14:solidFill>
              <w14:schemeClr w14:val="tx1"/>
            </w14:solidFill>
          </w14:textFill>
        </w:rPr>
        <w:t>T 3008.8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的6.4）。</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兴冀人才资源开发有限公司、河北轨道职业技术学院实训中心。</w:t>
      </w:r>
    </w:p>
    <w:p>
      <w:pPr>
        <w:pStyle w:val="56"/>
        <w:ind w:firstLine="420"/>
      </w:pPr>
      <w:r>
        <w:rPr>
          <w:rFonts w:hint="eastAsia"/>
        </w:rPr>
        <w:t>本部分主要起草人：辛向阳、张宇泉、石晓明、巫嫕、王守成、刘芳、张望红、谢琳、于丽、陈丽、李青、沈志歈、闫华、孙悦、吴晓军、张牮、杨琨。</w:t>
      </w:r>
    </w:p>
    <w:p>
      <w:pPr>
        <w:pStyle w:val="56"/>
        <w:ind w:firstLine="420"/>
      </w:pPr>
      <w:r>
        <w:rPr>
          <w:rFonts w:hint="eastAsia"/>
        </w:rPr>
        <w:t>本部分所代替的标准历次版本发布情况为：</w:t>
      </w:r>
    </w:p>
    <w:p>
      <w:pPr>
        <w:pStyle w:val="56"/>
        <w:ind w:firstLine="420"/>
        <w:rPr>
          <w:rFonts w:hAnsi="宋体"/>
          <w:lang w:val="de-DE"/>
        </w:rPr>
      </w:pPr>
      <w:bookmarkStart w:id="144" w:name="_GoBack"/>
      <w:bookmarkEnd w:id="144"/>
      <w:r>
        <w:rPr>
          <w:rFonts w:hint="eastAsia"/>
        </w:rPr>
        <w:t>——</w:t>
      </w:r>
      <w:r>
        <w:t>DBXX/T 3008.8—2018</w:t>
      </w:r>
    </w:p>
    <w:p>
      <w:pPr>
        <w:pStyle w:val="56"/>
        <w:ind w:firstLine="420"/>
        <w:rPr>
          <w:rFonts w:hAnsi="宋体"/>
          <w:lang w:val="de-DE"/>
        </w:rPr>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31"/>
    <w:p>
      <w:pPr>
        <w:spacing w:line="20" w:lineRule="exact"/>
        <w:jc w:val="center"/>
        <w:rPr>
          <w:rFonts w:ascii="黑体" w:hAnsi="黑体" w:eastAsia="黑体"/>
          <w:sz w:val="32"/>
          <w:szCs w:val="32"/>
        </w:rPr>
      </w:pPr>
      <w:bookmarkStart w:id="32"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3" w:name="NEW_STAND_NAME"/>
          <w:r>
            <w:rPr>
              <w:rFonts w:hint="eastAsia"/>
            </w:rPr>
            <w:t>人力资源服务规范</w:t>
          </w:r>
        </w:p>
        <w:p>
          <w:pPr>
            <w:pStyle w:val="177"/>
            <w:spacing w:before="3" w:beforeLines="1" w:after="680"/>
          </w:pPr>
          <w:r>
            <w:rPr>
              <w:rFonts w:hint="eastAsia"/>
            </w:rPr>
            <w:t>第</w:t>
          </w:r>
          <w:r>
            <w:t>6部分：人力资源培训服务</w:t>
          </w:r>
        </w:p>
      </w:sdtContent>
    </w:sdt>
    <w:bookmarkEnd w:id="33"/>
    <w:p>
      <w:pPr>
        <w:pStyle w:val="104"/>
        <w:spacing w:before="312" w:after="312"/>
        <w:rPr>
          <w:color w:val="000000" w:themeColor="text1"/>
          <w14:textFill>
            <w14:solidFill>
              <w14:schemeClr w14:val="tx1"/>
            </w14:solidFill>
          </w14:textFill>
        </w:rPr>
      </w:pPr>
      <w:bookmarkStart w:id="34" w:name="_Toc149923305"/>
      <w:bookmarkStart w:id="35" w:name="_Toc24884211"/>
      <w:bookmarkStart w:id="36" w:name="_Toc149486924"/>
      <w:bookmarkStart w:id="37" w:name="_Toc26986530"/>
      <w:bookmarkStart w:id="38" w:name="_Toc149486591"/>
      <w:bookmarkStart w:id="39" w:name="_Toc24884218"/>
      <w:bookmarkStart w:id="40" w:name="_Toc97191423"/>
      <w:bookmarkStart w:id="41" w:name="_Toc149486208"/>
      <w:bookmarkStart w:id="42" w:name="_Toc26986771"/>
      <w:bookmarkStart w:id="43" w:name="_Toc149409025"/>
      <w:bookmarkStart w:id="44" w:name="_Toc149220194"/>
      <w:bookmarkStart w:id="45" w:name="_Toc149229130"/>
      <w:bookmarkStart w:id="46" w:name="_Toc17233333"/>
      <w:bookmarkStart w:id="47" w:name="_Toc26648465"/>
      <w:bookmarkStart w:id="48" w:name="_Toc17233325"/>
      <w:bookmarkStart w:id="49" w:name="_Toc26718930"/>
      <w:bookmarkStart w:id="50" w:name="_Toc149235243"/>
      <w:bookmarkStart w:id="51" w:name="_Toc149227411"/>
      <w:r>
        <w:rPr>
          <w:rFonts w:hint="eastAsia"/>
          <w:color w:val="000000" w:themeColor="text1"/>
          <w14:textFill>
            <w14:solidFill>
              <w14:schemeClr w14:val="tx1"/>
            </w14:solidFill>
          </w14:textFill>
        </w:rPr>
        <w:t>范围</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pPr>
        <w:pStyle w:val="56"/>
        <w:ind w:firstLine="420"/>
      </w:pPr>
      <w:bookmarkStart w:id="52" w:name="_Toc149409026"/>
      <w:bookmarkStart w:id="53" w:name="_Toc149486592"/>
      <w:bookmarkStart w:id="54" w:name="_Toc26986531"/>
      <w:bookmarkStart w:id="55" w:name="_Toc17233326"/>
      <w:bookmarkStart w:id="56" w:name="_Toc26986772"/>
      <w:bookmarkStart w:id="57" w:name="_Toc149229131"/>
      <w:bookmarkStart w:id="58" w:name="_Toc24884212"/>
      <w:bookmarkStart w:id="59" w:name="_Toc149486209"/>
      <w:bookmarkStart w:id="60" w:name="_Toc149235244"/>
      <w:bookmarkStart w:id="61" w:name="_Toc26718931"/>
      <w:bookmarkStart w:id="62" w:name="_Toc149220195"/>
      <w:bookmarkStart w:id="63" w:name="_Toc24884219"/>
      <w:bookmarkStart w:id="64" w:name="_Toc149227412"/>
      <w:bookmarkStart w:id="65" w:name="_Toc17233334"/>
      <w:bookmarkStart w:id="66" w:name="_Toc97191424"/>
      <w:bookmarkStart w:id="67" w:name="_Toc26648466"/>
      <w:r>
        <w:rPr>
          <w:rFonts w:hint="eastAsia"/>
        </w:rPr>
        <w:t>本部分规定了人力资源培训服务的基本要求、培训内容、服务流程、服务评价与改进。</w:t>
      </w:r>
    </w:p>
    <w:p>
      <w:pPr>
        <w:pStyle w:val="56"/>
        <w:ind w:firstLine="420"/>
      </w:pPr>
      <w:r>
        <w:rPr>
          <w:rFonts w:hint="eastAsia"/>
        </w:rPr>
        <w:t>本部分适用于人力资源服务机构（以下简称“服务机构”）开展人力资源培训服务。</w:t>
      </w:r>
    </w:p>
    <w:p>
      <w:pPr>
        <w:pStyle w:val="104"/>
        <w:spacing w:before="312" w:after="312"/>
      </w:pPr>
      <w:bookmarkStart w:id="68" w:name="_Toc149923306"/>
      <w:bookmarkStart w:id="69" w:name="_Toc149486925"/>
      <w:r>
        <w:rPr>
          <w:rFonts w:hint="eastAsia"/>
        </w:rPr>
        <w:t>规范性引用文件</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sdt>
      <w:sdtPr>
        <w:rPr>
          <w:rFonts w:hint="eastAsia"/>
          <w:color w:val="000000" w:themeColor="text1"/>
          <w14:textFill>
            <w14:solidFill>
              <w14:schemeClr w14:val="tx1"/>
            </w14:solidFill>
          </w14:textFill>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rPr>
          <w:color w:val="000000" w:themeColor="text1"/>
          <w14:textFill>
            <w14:solidFill>
              <w14:schemeClr w14:val="tx1"/>
            </w14:solidFill>
          </w14:textFill>
        </w:rPr>
      </w:pPr>
      <w:bookmarkStart w:id="70" w:name="_Toc97191425"/>
      <w:bookmarkStart w:id="71" w:name="_Toc149220196"/>
      <w:r>
        <w:rPr>
          <w:rFonts w:hint="eastAsia"/>
          <w:color w:val="000000" w:themeColor="text1"/>
          <w14:textFill>
            <w14:solidFill>
              <w14:schemeClr w14:val="tx1"/>
            </w14:solidFill>
          </w14:textFill>
        </w:rPr>
        <w:t>GB/T 32624—2016  人力资源培训服务规范</w:t>
      </w:r>
    </w:p>
    <w:p>
      <w:pPr>
        <w:pStyle w:val="231"/>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DBXX/T </w:t>
      </w:r>
      <w:r>
        <w:rPr>
          <w:color w:val="000000" w:themeColor="text1"/>
          <w14:textFill>
            <w14:solidFill>
              <w14:schemeClr w14:val="tx1"/>
            </w14:solidFill>
          </w14:textFill>
        </w:rPr>
        <w:t>XXXX.1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XXXX</w:t>
      </w:r>
      <w:r>
        <w:rPr>
          <w:rFonts w:hint="eastAsia"/>
          <w:color w:val="000000" w:themeColor="text1"/>
          <w14:textFill>
            <w14:solidFill>
              <w14:schemeClr w14:val="tx1"/>
            </w14:solidFill>
          </w14:textFill>
        </w:rPr>
        <w:t xml:space="preserve">  人力资源服务规范 第1部分：通则</w:t>
      </w:r>
    </w:p>
    <w:bookmarkEnd w:id="70"/>
    <w:bookmarkEnd w:id="71"/>
    <w:p>
      <w:pPr>
        <w:pStyle w:val="104"/>
        <w:spacing w:before="312" w:after="312"/>
        <w:rPr>
          <w:color w:val="000000" w:themeColor="text1"/>
          <w14:textFill>
            <w14:solidFill>
              <w14:schemeClr w14:val="tx1"/>
            </w14:solidFill>
          </w14:textFill>
        </w:rPr>
      </w:pPr>
      <w:bookmarkStart w:id="72" w:name="_Toc149486210"/>
      <w:bookmarkStart w:id="73" w:name="_Toc149229132"/>
      <w:bookmarkStart w:id="74" w:name="_Toc149486926"/>
      <w:bookmarkStart w:id="75" w:name="_Toc149409027"/>
      <w:bookmarkStart w:id="76" w:name="_Toc149235245"/>
      <w:bookmarkStart w:id="77" w:name="_Toc149923307"/>
      <w:bookmarkStart w:id="78" w:name="_Toc149486593"/>
      <w:r>
        <w:rPr>
          <w:rFonts w:hint="eastAsia"/>
          <w:color w:val="000000" w:themeColor="text1"/>
          <w14:textFill>
            <w14:solidFill>
              <w14:schemeClr w14:val="tx1"/>
            </w14:solidFill>
          </w14:textFill>
        </w:rPr>
        <w:t>术语和定义</w:t>
      </w:r>
      <w:bookmarkEnd w:id="72"/>
      <w:bookmarkEnd w:id="73"/>
      <w:bookmarkEnd w:id="74"/>
      <w:bookmarkEnd w:id="75"/>
      <w:bookmarkEnd w:id="76"/>
      <w:bookmarkEnd w:id="77"/>
      <w:bookmarkEnd w:id="78"/>
    </w:p>
    <w:sdt>
      <w:sdtPr>
        <w:rPr>
          <w:rFonts w:hint="eastAsia"/>
          <w:color w:val="000000" w:themeColor="text1"/>
          <w14:textFill>
            <w14:solidFill>
              <w14:schemeClr w14:val="tx1"/>
            </w14:solidFill>
          </w14:textFill>
        </w:r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下列术语和定义适用于本文件。</w:t>
          </w:r>
        </w:p>
      </w:sdtContent>
    </w:sdt>
    <w:p>
      <w:pPr>
        <w:pStyle w:val="223"/>
        <w:ind w:left="420" w:hanging="420" w:hangingChars="200"/>
        <w:rPr>
          <w:rFonts w:ascii="黑体" w:hAnsi="黑体" w:eastAsia="黑体"/>
          <w:color w:val="000000" w:themeColor="text1"/>
          <w14:textFill>
            <w14:solidFill>
              <w14:schemeClr w14:val="tx1"/>
            </w14:solidFill>
          </w14:textFill>
        </w:rPr>
      </w:pPr>
      <w:bookmarkStart w:id="79" w:name="_Toc147683748"/>
      <w:bookmarkStart w:id="80" w:name="_Toc343724352"/>
      <w:bookmarkStart w:id="81" w:name="_Toc149235246"/>
      <w:bookmarkStart w:id="82" w:name="_Toc149407846"/>
      <w:bookmarkStart w:id="83" w:name="_Toc149409028"/>
      <w:bookmarkStart w:id="84" w:name="_Toc343853574"/>
      <w:r>
        <w:rPr>
          <w:rFonts w:ascii="黑体" w:hAnsi="黑体" w:eastAsia="黑体"/>
        </w:rPr>
        <w:br w:type="textWrapping"/>
      </w:r>
      <w:bookmarkStart w:id="85" w:name="_Toc149486594"/>
      <w:bookmarkStart w:id="86" w:name="_Toc149465697"/>
      <w:bookmarkStart w:id="87" w:name="_Toc149236874"/>
      <w:bookmarkStart w:id="88" w:name="_Toc149238462"/>
      <w:bookmarkStart w:id="89" w:name="_Toc343855319"/>
      <w:bookmarkStart w:id="90" w:name="_Toc343725235"/>
      <w:r>
        <w:rPr>
          <w:rFonts w:hint="eastAsia" w:ascii="黑体" w:hAnsi="黑体" w:eastAsia="黑体"/>
          <w:color w:val="000000" w:themeColor="text1"/>
          <w14:textFill>
            <w14:solidFill>
              <w14:schemeClr w14:val="tx1"/>
            </w14:solidFill>
          </w14:textFill>
        </w:rPr>
        <w:t>人力资源培训</w:t>
      </w:r>
      <w:r>
        <w:rPr>
          <w:rFonts w:ascii="黑体" w:hAnsi="黑体" w:eastAsia="黑体"/>
          <w:color w:val="000000" w:themeColor="text1"/>
          <w14:textFill>
            <w14:solidFill>
              <w14:schemeClr w14:val="tx1"/>
            </w14:solidFill>
          </w14:textFill>
        </w:rPr>
        <w:t>服务</w:t>
      </w:r>
      <w:r>
        <w:rPr>
          <w:rFonts w:hint="eastAsia" w:ascii="黑体" w:hAnsi="黑体" w:eastAsia="黑体"/>
          <w:color w:val="000000" w:themeColor="text1"/>
          <w14:textFill>
            <w14:solidFill>
              <w14:schemeClr w14:val="tx1"/>
            </w14:solidFill>
          </w14:textFill>
        </w:rPr>
        <w:t xml:space="preserve"> human</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resources</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training service</w:t>
      </w:r>
    </w:p>
    <w:p>
      <w:pPr>
        <w:widowControl/>
        <w:tabs>
          <w:tab w:val="center" w:pos="4201"/>
          <w:tab w:val="right" w:leader="dot" w:pos="9298"/>
        </w:tabs>
        <w:autoSpaceDE w:val="0"/>
        <w:autoSpaceDN w:val="0"/>
        <w:adjustRightInd/>
        <w:spacing w:line="240" w:lineRule="auto"/>
        <w:ind w:firstLine="42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为</w:t>
      </w:r>
      <w:r>
        <w:rPr>
          <w:rFonts w:ascii="宋体" w:hAnsi="Times New Roman"/>
          <w:color w:val="000000" w:themeColor="text1"/>
          <w:kern w:val="0"/>
          <w:szCs w:val="20"/>
          <w14:textFill>
            <w14:solidFill>
              <w14:schemeClr w14:val="tx1"/>
            </w14:solidFill>
          </w14:textFill>
        </w:rPr>
        <w:t>满足或提高培训对象在工作中需要的能力</w:t>
      </w:r>
      <w:r>
        <w:rPr>
          <w:rFonts w:hint="eastAsia" w:ascii="宋体" w:hAnsi="Times New Roman"/>
          <w:color w:val="000000" w:themeColor="text1"/>
          <w:kern w:val="0"/>
          <w:szCs w:val="20"/>
          <w14:textFill>
            <w14:solidFill>
              <w14:schemeClr w14:val="tx1"/>
            </w14:solidFill>
          </w14:textFill>
        </w:rPr>
        <w:t>和</w:t>
      </w:r>
      <w:r>
        <w:rPr>
          <w:rFonts w:ascii="宋体" w:hAnsi="Times New Roman"/>
          <w:color w:val="000000" w:themeColor="text1"/>
          <w:kern w:val="0"/>
          <w:szCs w:val="20"/>
          <w14:textFill>
            <w14:solidFill>
              <w14:schemeClr w14:val="tx1"/>
            </w14:solidFill>
          </w14:textFill>
        </w:rPr>
        <w:t>素质</w:t>
      </w:r>
      <w:r>
        <w:rPr>
          <w:rFonts w:hint="eastAsia" w:ascii="宋体" w:hAnsi="Times New Roman"/>
          <w:color w:val="000000" w:themeColor="text1"/>
          <w:kern w:val="0"/>
          <w:szCs w:val="20"/>
          <w14:textFill>
            <w14:solidFill>
              <w14:schemeClr w14:val="tx1"/>
            </w14:solidFill>
          </w14:textFill>
        </w:rPr>
        <w:t>而</w:t>
      </w:r>
      <w:r>
        <w:rPr>
          <w:rFonts w:ascii="宋体" w:hAnsi="Times New Roman"/>
          <w:color w:val="000000" w:themeColor="text1"/>
          <w:kern w:val="0"/>
          <w:szCs w:val="20"/>
          <w14:textFill>
            <w14:solidFill>
              <w14:schemeClr w14:val="tx1"/>
            </w14:solidFill>
          </w14:textFill>
        </w:rPr>
        <w:t>提供的培养和训练过程。</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[GB/T 3</w:t>
      </w:r>
      <w:r>
        <w:rPr>
          <w:rFonts w:ascii="宋体" w:hAnsi="Times New Roman"/>
          <w:color w:val="000000" w:themeColor="text1"/>
          <w:kern w:val="0"/>
          <w:szCs w:val="20"/>
          <w14:textFill>
            <w14:solidFill>
              <w14:schemeClr w14:val="tx1"/>
            </w14:solidFill>
          </w14:textFill>
        </w:rPr>
        <w:t>2624</w:t>
      </w:r>
      <w:r>
        <w:rPr>
          <w:rFonts w:hint="eastAsia" w:ascii="宋体" w:hAnsi="Times New Roman"/>
          <w:color w:val="000000" w:themeColor="text1"/>
          <w:kern w:val="0"/>
          <w:szCs w:val="20"/>
          <w14:textFill>
            <w14:solidFill>
              <w14:schemeClr w14:val="tx1"/>
            </w14:solidFill>
          </w14:textFill>
        </w:rPr>
        <w:t>—</w:t>
      </w:r>
      <w:r>
        <w:rPr>
          <w:rFonts w:ascii="宋体" w:hAnsi="Times New Roman"/>
          <w:color w:val="000000" w:themeColor="text1"/>
          <w:kern w:val="0"/>
          <w:szCs w:val="20"/>
          <w14:textFill>
            <w14:solidFill>
              <w14:schemeClr w14:val="tx1"/>
            </w14:solidFill>
          </w14:textFill>
        </w:rPr>
        <w:t>2016</w:t>
      </w:r>
      <w:r>
        <w:rPr>
          <w:rFonts w:hint="eastAsia" w:ascii="宋体" w:hAnsi="Times New Roman"/>
          <w:color w:val="000000" w:themeColor="text1"/>
          <w:kern w:val="0"/>
          <w:szCs w:val="20"/>
          <w14:textFill>
            <w14:solidFill>
              <w14:schemeClr w14:val="tx1"/>
            </w14:solidFill>
          </w14:textFill>
        </w:rPr>
        <w:t>，定义2.1]</w:t>
      </w:r>
    </w:p>
    <w:p>
      <w:pPr>
        <w:pStyle w:val="179"/>
      </w:pPr>
      <w:r>
        <w:t>培训形式</w:t>
      </w:r>
      <w:r>
        <w:rPr>
          <w:rFonts w:hint="eastAsia"/>
        </w:rPr>
        <w:t>分</w:t>
      </w:r>
      <w:r>
        <w:t>为线上</w:t>
      </w:r>
      <w:r>
        <w:rPr>
          <w:rFonts w:hint="eastAsia"/>
        </w:rPr>
        <w:t>和线</w:t>
      </w:r>
      <w:r>
        <w:t>下两种</w:t>
      </w:r>
      <w:r>
        <w:rPr>
          <w:rFonts w:hint="eastAsia"/>
        </w:rPr>
        <w:t>；培训</w:t>
      </w:r>
      <w:r>
        <w:t>来源</w:t>
      </w:r>
      <w:r>
        <w:rPr>
          <w:rFonts w:hint="eastAsia"/>
        </w:rPr>
        <w:t>分</w:t>
      </w:r>
      <w:r>
        <w:t>为社会培训和委托培训</w:t>
      </w:r>
      <w:r>
        <w:rPr>
          <w:rFonts w:hint="eastAsia"/>
        </w:rPr>
        <w:t>。</w:t>
      </w:r>
    </w:p>
    <w:p>
      <w:pPr>
        <w:pStyle w:val="104"/>
        <w:spacing w:before="312" w:after="312"/>
        <w:rPr>
          <w:color w:val="000000" w:themeColor="text1"/>
          <w14:textFill>
            <w14:solidFill>
              <w14:schemeClr w14:val="tx1"/>
            </w14:solidFill>
          </w14:textFill>
        </w:rPr>
      </w:pPr>
      <w:bookmarkStart w:id="91" w:name="_Toc149486927"/>
      <w:bookmarkStart w:id="92" w:name="_Toc149308557"/>
      <w:bookmarkStart w:id="93" w:name="_Toc149923308"/>
      <w:r>
        <w:rPr>
          <w:rFonts w:hint="eastAsia"/>
          <w:color w:val="000000" w:themeColor="text1"/>
          <w14:textFill>
            <w14:solidFill>
              <w14:schemeClr w14:val="tx1"/>
            </w14:solidFill>
          </w14:textFill>
        </w:rPr>
        <w:t>基本要求</w:t>
      </w:r>
      <w:bookmarkEnd w:id="91"/>
      <w:bookmarkEnd w:id="92"/>
      <w:bookmarkEnd w:id="93"/>
    </w:p>
    <w:p>
      <w:pPr>
        <w:pStyle w:val="105"/>
        <w:spacing w:before="156" w:after="156"/>
        <w:rPr>
          <w:color w:val="000000" w:themeColor="text1"/>
          <w14:textFill>
            <w14:solidFill>
              <w14:schemeClr w14:val="tx1"/>
            </w14:solidFill>
          </w14:textFill>
        </w:rPr>
      </w:pPr>
      <w:bookmarkStart w:id="94" w:name="_Toc343724863"/>
      <w:bookmarkStart w:id="95" w:name="_Toc332123670"/>
      <w:r>
        <w:rPr>
          <w:rFonts w:hint="eastAsia"/>
          <w:color w:val="000000" w:themeColor="text1"/>
          <w14:textFill>
            <w14:solidFill>
              <w14:schemeClr w14:val="tx1"/>
            </w14:solidFill>
          </w14:textFill>
        </w:rPr>
        <w:t>从业人员</w:t>
      </w:r>
      <w:bookmarkEnd w:id="94"/>
      <w:bookmarkEnd w:id="95"/>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从业人员应具备如下条件：</w:t>
      </w:r>
    </w:p>
    <w:p>
      <w:pPr>
        <w:pStyle w:val="174"/>
        <w:rPr>
          <w:color w:val="000000" w:themeColor="text1"/>
          <w14:textFill>
            <w14:solidFill>
              <w14:schemeClr w14:val="tx1"/>
            </w14:solidFill>
          </w14:textFill>
        </w:rPr>
      </w:pPr>
      <w:bookmarkStart w:id="96" w:name="_Toc332123671"/>
      <w:r>
        <w:rPr>
          <w:rFonts w:hint="eastAsia"/>
          <w:color w:val="000000" w:themeColor="text1"/>
          <w14:textFill>
            <w14:solidFill>
              <w14:schemeClr w14:val="tx1"/>
            </w14:solidFill>
          </w14:textFill>
        </w:rPr>
        <w:t>熟悉培训项目流程</w:t>
      </w:r>
      <w:bookmarkEnd w:id="96"/>
      <w:r>
        <w:rPr>
          <w:rFonts w:hint="eastAsia"/>
          <w:color w:val="000000" w:themeColor="text1"/>
          <w14:textFill>
            <w14:solidFill>
              <w14:schemeClr w14:val="tx1"/>
            </w14:solidFill>
          </w14:textFill>
        </w:rPr>
        <w:t>；</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熟悉线上培训网络、AAP等使用；</w:t>
      </w:r>
    </w:p>
    <w:p>
      <w:pPr>
        <w:pStyle w:val="174"/>
        <w:rPr>
          <w:rFonts w:hAnsi="宋体"/>
          <w:color w:val="000000" w:themeColor="text1"/>
          <w14:textFill>
            <w14:solidFill>
              <w14:schemeClr w14:val="tx1"/>
            </w14:solidFill>
          </w14:textFill>
        </w:rPr>
      </w:pPr>
      <w:bookmarkStart w:id="97" w:name="_Toc332123672"/>
      <w:r>
        <w:rPr>
          <w:rFonts w:hint="eastAsia"/>
          <w:color w:val="000000" w:themeColor="text1"/>
          <w14:textFill>
            <w14:solidFill>
              <w14:schemeClr w14:val="tx1"/>
            </w14:solidFill>
          </w14:textFill>
        </w:rPr>
        <w:t>具有</w:t>
      </w:r>
      <w:r>
        <w:rPr>
          <w:rFonts w:hint="eastAsia" w:hAnsi="宋体"/>
          <w:color w:val="000000" w:themeColor="text1"/>
          <w14:textFill>
            <w14:solidFill>
              <w14:schemeClr w14:val="tx1"/>
            </w14:solidFill>
          </w14:textFill>
        </w:rPr>
        <w:t>良好的组织、管理、沟通与协调能力</w:t>
      </w:r>
      <w:bookmarkEnd w:id="97"/>
      <w:r>
        <w:rPr>
          <w:rFonts w:hint="eastAsia" w:hAnsi="宋体"/>
          <w:color w:val="000000" w:themeColor="text1"/>
          <w14:textFill>
            <w14:solidFill>
              <w14:schemeClr w14:val="tx1"/>
            </w14:solidFill>
          </w14:textFill>
        </w:rPr>
        <w:t>；</w:t>
      </w:r>
    </w:p>
    <w:p>
      <w:pPr>
        <w:pStyle w:val="174"/>
        <w:rPr>
          <w:rFonts w:hAnsi="宋体"/>
          <w:color w:val="000000" w:themeColor="text1"/>
          <w14:textFill>
            <w14:solidFill>
              <w14:schemeClr w14:val="tx1"/>
            </w14:solidFill>
          </w14:textFill>
        </w:rPr>
      </w:pPr>
      <w:bookmarkStart w:id="98" w:name="_Toc332123673"/>
      <w:r>
        <w:rPr>
          <w:rFonts w:hint="eastAsia"/>
          <w:color w:val="000000" w:themeColor="text1"/>
          <w14:textFill>
            <w14:solidFill>
              <w14:schemeClr w14:val="tx1"/>
            </w14:solidFill>
          </w14:textFill>
        </w:rPr>
        <w:t>具有</w:t>
      </w:r>
      <w:r>
        <w:rPr>
          <w:rFonts w:hint="eastAsia" w:hAnsi="宋体"/>
          <w:color w:val="000000" w:themeColor="text1"/>
          <w14:textFill>
            <w14:solidFill>
              <w14:schemeClr w14:val="tx1"/>
            </w14:solidFill>
          </w14:textFill>
        </w:rPr>
        <w:t>较强的责任心。</w:t>
      </w:r>
      <w:bookmarkEnd w:id="98"/>
    </w:p>
    <w:p>
      <w:pPr>
        <w:pStyle w:val="105"/>
        <w:spacing w:before="156" w:after="156"/>
        <w:rPr>
          <w:color w:val="000000" w:themeColor="text1"/>
          <w14:textFill>
            <w14:solidFill>
              <w14:schemeClr w14:val="tx1"/>
            </w14:solidFill>
          </w14:textFill>
        </w:rPr>
      </w:pPr>
      <w:bookmarkStart w:id="99" w:name="_Toc332123687"/>
      <w:bookmarkStart w:id="100" w:name="_Toc343724876"/>
      <w:r>
        <w:rPr>
          <w:rFonts w:hint="eastAsia"/>
          <w:color w:val="000000" w:themeColor="text1"/>
          <w14:textFill>
            <w14:solidFill>
              <w14:schemeClr w14:val="tx1"/>
            </w14:solidFill>
          </w14:textFill>
        </w:rPr>
        <w:t>培训机构</w:t>
      </w:r>
      <w:bookmarkEnd w:id="99"/>
      <w:bookmarkEnd w:id="100"/>
    </w:p>
    <w:p>
      <w:pPr>
        <w:pStyle w:val="165"/>
        <w:rPr>
          <w:rFonts w:ascii="黑体"/>
          <w:color w:val="000000" w:themeColor="text1"/>
          <w14:textFill>
            <w14:solidFill>
              <w14:schemeClr w14:val="tx1"/>
            </w14:solidFill>
          </w14:textFill>
        </w:rPr>
      </w:pPr>
      <w:r>
        <w:rPr>
          <w:rFonts w:hint="eastAsia"/>
          <w:color w:val="000000" w:themeColor="text1"/>
          <w14:textFill>
            <w14:solidFill>
              <w14:schemeClr w14:val="tx1"/>
            </w14:solidFill>
          </w14:textFill>
        </w:rPr>
        <w:t>具有独立的培训教室和固定的服务场所。</w:t>
      </w:r>
    </w:p>
    <w:p>
      <w:pPr>
        <w:pStyle w:val="165"/>
        <w:rPr>
          <w:rFonts w:ascii="黑体"/>
          <w:color w:val="000000" w:themeColor="text1"/>
          <w14:textFill>
            <w14:solidFill>
              <w14:schemeClr w14:val="tx1"/>
            </w14:solidFill>
          </w14:textFill>
        </w:rPr>
      </w:pPr>
      <w:r>
        <w:rPr>
          <w:rFonts w:hint="eastAsia" w:ascii="黑体"/>
          <w:color w:val="000000" w:themeColor="text1"/>
          <w14:textFill>
            <w14:solidFill>
              <w14:schemeClr w14:val="tx1"/>
            </w14:solidFill>
          </w14:textFill>
        </w:rPr>
        <w:t>建立或租用线上培训系统、APP等平台。</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具有健全的教学与管理制度。</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具有专职培训管理人员和签约培训教师。</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制定突发事件应急预案。内容包括但不限于：</w:t>
      </w:r>
    </w:p>
    <w:p>
      <w:pPr>
        <w:pStyle w:val="174"/>
        <w:numPr>
          <w:ilvl w:val="0"/>
          <w:numId w:val="32"/>
        </w:numPr>
        <w:rPr>
          <w:color w:val="000000" w:themeColor="text1"/>
          <w14:textFill>
            <w14:solidFill>
              <w14:schemeClr w14:val="tx1"/>
            </w14:solidFill>
          </w14:textFill>
        </w:rPr>
      </w:pPr>
      <w:r>
        <w:rPr>
          <w:rFonts w:hint="eastAsia"/>
          <w:color w:val="000000" w:themeColor="text1"/>
          <w14:textFill>
            <w14:solidFill>
              <w14:schemeClr w14:val="tx1"/>
            </w14:solidFill>
          </w14:textFill>
        </w:rPr>
        <w:t>组织机构和责任人；</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对自然灾害、设施设备故障处理预案；</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线上培训系统故障处理预案；</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对伤病救助处理预案；</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其他紧急情况的处理预案。</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建立培训项目日志，做好培训活动的记录。</w:t>
      </w:r>
    </w:p>
    <w:p>
      <w:pPr>
        <w:pStyle w:val="105"/>
        <w:spacing w:before="156" w:after="156"/>
        <w:rPr>
          <w:color w:val="000000" w:themeColor="text1"/>
          <w14:textFill>
            <w14:solidFill>
              <w14:schemeClr w14:val="tx1"/>
            </w14:solidFill>
          </w14:textFill>
        </w:rPr>
      </w:pPr>
      <w:bookmarkStart w:id="101" w:name="_Toc343724877"/>
      <w:bookmarkStart w:id="102" w:name="_Toc332123688"/>
      <w:r>
        <w:rPr>
          <w:rFonts w:hint="eastAsia"/>
          <w:color w:val="000000" w:themeColor="text1"/>
          <w14:textFill>
            <w14:solidFill>
              <w14:schemeClr w14:val="tx1"/>
            </w14:solidFill>
          </w14:textFill>
        </w:rPr>
        <w:t>培训场</w:t>
      </w:r>
      <w:bookmarkEnd w:id="101"/>
      <w:bookmarkEnd w:id="102"/>
      <w:r>
        <w:rPr>
          <w:rFonts w:hint="eastAsia"/>
          <w:color w:val="000000" w:themeColor="text1"/>
          <w14:textFill>
            <w14:solidFill>
              <w14:schemeClr w14:val="tx1"/>
            </w14:solidFill>
          </w14:textFill>
        </w:rPr>
        <w:t>所</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场所面积应满足培训项目要求，并与参训人数相适应。</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场所设施应符合安全、消防要求。</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场所的照明和通风良好，远离噪声等干扰，温度适宜。</w:t>
      </w:r>
    </w:p>
    <w:p>
      <w:pPr>
        <w:pStyle w:val="10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数据库</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数据库按照GB/T 32624—</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 xml:space="preserve"> 3.4执行。</w:t>
      </w:r>
    </w:p>
    <w:p>
      <w:pPr>
        <w:pStyle w:val="104"/>
        <w:spacing w:before="312" w:after="312"/>
        <w:rPr>
          <w:color w:val="000000" w:themeColor="text1"/>
          <w14:textFill>
            <w14:solidFill>
              <w14:schemeClr w14:val="tx1"/>
            </w14:solidFill>
          </w14:textFill>
        </w:rPr>
      </w:pPr>
      <w:bookmarkStart w:id="103" w:name="_Toc343724864"/>
      <w:bookmarkStart w:id="104" w:name="_Toc332123674"/>
      <w:bookmarkStart w:id="105" w:name="_Toc343853762"/>
      <w:bookmarkStart w:id="106" w:name="_Toc149923309"/>
      <w:bookmarkStart w:id="107" w:name="_Toc149308558"/>
      <w:bookmarkStart w:id="108" w:name="_Toc149486928"/>
      <w:r>
        <w:rPr>
          <w:rFonts w:hint="eastAsia"/>
          <w:color w:val="000000" w:themeColor="text1"/>
          <w14:textFill>
            <w14:solidFill>
              <w14:schemeClr w14:val="tx1"/>
            </w14:solidFill>
          </w14:textFill>
        </w:rPr>
        <w:t>培训内容</w:t>
      </w:r>
      <w:bookmarkEnd w:id="103"/>
      <w:bookmarkEnd w:id="104"/>
      <w:bookmarkEnd w:id="105"/>
      <w:bookmarkEnd w:id="106"/>
      <w:bookmarkEnd w:id="107"/>
      <w:bookmarkEnd w:id="108"/>
    </w:p>
    <w:p>
      <w:pPr>
        <w:pStyle w:val="56"/>
        <w:ind w:firstLine="42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内容包括但</w:t>
      </w:r>
      <w:r>
        <w:rPr>
          <w:color w:val="000000" w:themeColor="text1"/>
          <w14:textFill>
            <w14:solidFill>
              <w14:schemeClr w14:val="tx1"/>
            </w14:solidFill>
          </w14:textFill>
        </w:rPr>
        <w:t>不限于</w:t>
      </w:r>
      <w:r>
        <w:rPr>
          <w:rFonts w:hint="eastAsia"/>
          <w:color w:val="000000" w:themeColor="text1"/>
          <w14:textFill>
            <w14:solidFill>
              <w14:schemeClr w14:val="tx1"/>
            </w14:solidFill>
          </w14:textFill>
        </w:rPr>
        <w:t>：</w:t>
      </w:r>
    </w:p>
    <w:p>
      <w:pPr>
        <w:pStyle w:val="174"/>
        <w:numPr>
          <w:ilvl w:val="0"/>
          <w:numId w:val="33"/>
        </w:numPr>
      </w:pPr>
      <w:bookmarkStart w:id="109" w:name="_Toc343724866"/>
      <w:bookmarkStart w:id="110" w:name="_Toc332123676"/>
      <w:r>
        <w:rPr>
          <w:rFonts w:hint="eastAsia"/>
        </w:rPr>
        <w:t>人力资源和社会保障相关法律法规、规章制度、政策文件培训</w:t>
      </w:r>
      <w:bookmarkEnd w:id="109"/>
      <w:bookmarkEnd w:id="110"/>
      <w:r>
        <w:rPr>
          <w:rFonts w:hint="eastAsia"/>
        </w:rPr>
        <w:t>；</w:t>
      </w:r>
    </w:p>
    <w:p>
      <w:pPr>
        <w:pStyle w:val="174"/>
        <w:numPr>
          <w:ilvl w:val="0"/>
          <w:numId w:val="33"/>
        </w:numPr>
      </w:pPr>
      <w:bookmarkStart w:id="111" w:name="_Toc332123677"/>
      <w:bookmarkStart w:id="112" w:name="_Toc343724867"/>
      <w:r>
        <w:rPr>
          <w:rFonts w:hint="eastAsia"/>
        </w:rPr>
        <w:t>人力资源和社会保障理论与实务培训</w:t>
      </w:r>
      <w:bookmarkEnd w:id="111"/>
      <w:bookmarkEnd w:id="112"/>
      <w:r>
        <w:rPr>
          <w:rFonts w:hint="eastAsia"/>
        </w:rPr>
        <w:t>；</w:t>
      </w:r>
    </w:p>
    <w:p>
      <w:pPr>
        <w:pStyle w:val="174"/>
        <w:numPr>
          <w:ilvl w:val="0"/>
          <w:numId w:val="33"/>
        </w:numPr>
      </w:pPr>
      <w:bookmarkStart w:id="113" w:name="_Toc332123679"/>
      <w:bookmarkStart w:id="114" w:name="_Toc343724869"/>
      <w:bookmarkStart w:id="115" w:name="_Toc343724868"/>
      <w:bookmarkStart w:id="116" w:name="_Toc332123678"/>
      <w:r>
        <w:rPr>
          <w:rFonts w:hint="eastAsia"/>
        </w:rPr>
        <w:t>员工能力素质培训</w:t>
      </w:r>
      <w:bookmarkEnd w:id="113"/>
      <w:bookmarkEnd w:id="114"/>
      <w:r>
        <w:rPr>
          <w:rFonts w:hint="eastAsia"/>
        </w:rPr>
        <w:t>；</w:t>
      </w:r>
    </w:p>
    <w:p>
      <w:pPr>
        <w:pStyle w:val="174"/>
        <w:numPr>
          <w:ilvl w:val="0"/>
          <w:numId w:val="33"/>
        </w:numPr>
      </w:pPr>
      <w:bookmarkStart w:id="117" w:name="_Toc332123680"/>
      <w:bookmarkStart w:id="118" w:name="_Toc343724870"/>
      <w:r>
        <w:rPr>
          <w:rFonts w:hint="eastAsia"/>
        </w:rPr>
        <w:t>管理能力培训</w:t>
      </w:r>
      <w:bookmarkEnd w:id="117"/>
      <w:bookmarkEnd w:id="118"/>
      <w:r>
        <w:rPr>
          <w:rFonts w:hint="eastAsia"/>
        </w:rPr>
        <w:t>；</w:t>
      </w:r>
    </w:p>
    <w:p>
      <w:pPr>
        <w:pStyle w:val="174"/>
        <w:numPr>
          <w:ilvl w:val="0"/>
          <w:numId w:val="33"/>
        </w:numPr>
      </w:pPr>
      <w:bookmarkStart w:id="119" w:name="_Toc343724872"/>
      <w:bookmarkStart w:id="120" w:name="_Toc332123682"/>
      <w:r>
        <w:rPr>
          <w:rFonts w:hint="eastAsia"/>
        </w:rPr>
        <w:t>岗位培训</w:t>
      </w:r>
      <w:bookmarkEnd w:id="119"/>
      <w:bookmarkEnd w:id="120"/>
      <w:r>
        <w:rPr>
          <w:rFonts w:hint="eastAsia"/>
        </w:rPr>
        <w:t>；</w:t>
      </w:r>
    </w:p>
    <w:p>
      <w:pPr>
        <w:pStyle w:val="174"/>
        <w:numPr>
          <w:ilvl w:val="0"/>
          <w:numId w:val="33"/>
        </w:numPr>
      </w:pPr>
      <w:r>
        <w:rPr>
          <w:rFonts w:hint="eastAsia"/>
        </w:rPr>
        <w:t>职业道德和诚信</w:t>
      </w:r>
      <w:r>
        <w:t>服务</w:t>
      </w:r>
      <w:r>
        <w:rPr>
          <w:rFonts w:hint="eastAsia"/>
        </w:rPr>
        <w:t>培训</w:t>
      </w:r>
      <w:bookmarkEnd w:id="115"/>
      <w:bookmarkEnd w:id="116"/>
      <w:r>
        <w:rPr>
          <w:rFonts w:hint="eastAsia"/>
        </w:rPr>
        <w:t>；</w:t>
      </w:r>
    </w:p>
    <w:p>
      <w:pPr>
        <w:pStyle w:val="174"/>
        <w:numPr>
          <w:ilvl w:val="0"/>
          <w:numId w:val="33"/>
        </w:numPr>
        <w:rPr>
          <w:rFonts w:ascii="黑体" w:eastAsia="黑体"/>
        </w:rPr>
      </w:pPr>
      <w:bookmarkStart w:id="121" w:name="_Toc343724871"/>
      <w:bookmarkStart w:id="122" w:name="_Toc332123681"/>
      <w:r>
        <w:rPr>
          <w:rFonts w:hint="eastAsia"/>
        </w:rPr>
        <w:t>就业指导、创业和职业发展培训</w:t>
      </w:r>
      <w:bookmarkEnd w:id="121"/>
      <w:bookmarkEnd w:id="122"/>
      <w:r>
        <w:rPr>
          <w:rFonts w:hint="eastAsia"/>
        </w:rPr>
        <w:t>；</w:t>
      </w:r>
    </w:p>
    <w:p>
      <w:pPr>
        <w:pStyle w:val="174"/>
        <w:numPr>
          <w:ilvl w:val="0"/>
          <w:numId w:val="33"/>
        </w:numPr>
        <w:rPr>
          <w:rFonts w:ascii="黑体" w:eastAsia="黑体"/>
        </w:rPr>
      </w:pPr>
      <w:r>
        <w:rPr>
          <w:rFonts w:hint="eastAsia"/>
        </w:rPr>
        <w:t>职称、职业资格、职业技能等级考前培训；</w:t>
      </w:r>
    </w:p>
    <w:p>
      <w:pPr>
        <w:pStyle w:val="174"/>
        <w:numPr>
          <w:ilvl w:val="0"/>
          <w:numId w:val="33"/>
        </w:numPr>
      </w:pPr>
      <w:r>
        <w:rPr>
          <w:rFonts w:hint="eastAsia"/>
        </w:rPr>
        <w:t>其他</w:t>
      </w:r>
      <w:r>
        <w:t>培训</w:t>
      </w:r>
      <w:r>
        <w:rPr>
          <w:rFonts w:hint="eastAsia"/>
        </w:rPr>
        <w:t>。</w:t>
      </w:r>
    </w:p>
    <w:p>
      <w:pPr>
        <w:pStyle w:val="104"/>
        <w:spacing w:before="312" w:after="312"/>
        <w:rPr>
          <w:color w:val="000000" w:themeColor="text1"/>
          <w14:textFill>
            <w14:solidFill>
              <w14:schemeClr w14:val="tx1"/>
            </w14:solidFill>
          </w14:textFill>
        </w:rPr>
      </w:pPr>
      <w:bookmarkStart w:id="123" w:name="_Toc343724882"/>
      <w:bookmarkStart w:id="124" w:name="_Toc149486929"/>
      <w:bookmarkStart w:id="125" w:name="_Toc149308559"/>
      <w:bookmarkStart w:id="126" w:name="_Toc332123693"/>
      <w:bookmarkStart w:id="127" w:name="_Toc343853763"/>
      <w:bookmarkStart w:id="128" w:name="_Toc149923310"/>
      <w:r>
        <w:rPr>
          <w:rFonts w:hint="eastAsia"/>
          <w:color w:val="000000" w:themeColor="text1"/>
          <w14:textFill>
            <w14:solidFill>
              <w14:schemeClr w14:val="tx1"/>
            </w14:solidFill>
          </w14:textFill>
        </w:rPr>
        <w:t>服务流程</w:t>
      </w:r>
      <w:bookmarkEnd w:id="123"/>
      <w:bookmarkEnd w:id="124"/>
      <w:bookmarkEnd w:id="125"/>
      <w:bookmarkEnd w:id="126"/>
      <w:bookmarkEnd w:id="127"/>
      <w:bookmarkEnd w:id="128"/>
    </w:p>
    <w:p>
      <w:pPr>
        <w:pStyle w:val="105"/>
        <w:spacing w:before="156" w:after="156"/>
        <w:rPr>
          <w:color w:val="000000" w:themeColor="text1"/>
          <w14:textFill>
            <w14:solidFill>
              <w14:schemeClr w14:val="tx1"/>
            </w14:solidFill>
          </w14:textFill>
        </w:rPr>
      </w:pPr>
      <w:bookmarkStart w:id="129" w:name="_Toc332123694"/>
      <w:bookmarkStart w:id="130" w:name="_Toc343724883"/>
      <w:r>
        <w:rPr>
          <w:rFonts w:hint="eastAsia"/>
          <w:color w:val="000000" w:themeColor="text1"/>
          <w14:textFill>
            <w14:solidFill>
              <w14:schemeClr w14:val="tx1"/>
            </w14:solidFill>
          </w14:textFill>
        </w:rPr>
        <w:t>培训策划</w:t>
      </w:r>
      <w:bookmarkEnd w:id="129"/>
      <w:bookmarkEnd w:id="130"/>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培训需求分析。培训需求分析包括客户委托培训需求分析和社会培训需求分析。</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编制培训方案。内容包括但不限于：</w:t>
      </w:r>
    </w:p>
    <w:p>
      <w:pPr>
        <w:pStyle w:val="174"/>
        <w:numPr>
          <w:ilvl w:val="0"/>
          <w:numId w:val="34"/>
        </w:numPr>
        <w:rPr>
          <w:color w:val="000000" w:themeColor="text1"/>
          <w14:textFill>
            <w14:solidFill>
              <w14:schemeClr w14:val="tx1"/>
            </w14:solidFill>
          </w14:textFill>
        </w:rPr>
      </w:pPr>
      <w:r>
        <w:rPr>
          <w:rFonts w:hint="eastAsia"/>
          <w:color w:val="000000" w:themeColor="text1"/>
          <w14:textFill>
            <w14:solidFill>
              <w14:schemeClr w14:val="tx1"/>
            </w14:solidFill>
          </w14:textFill>
        </w:rPr>
        <w:t>项目主题与内容；</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项目负责人；</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培训对象与规模；</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培训对象素质能力；</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培训课程体系框架；</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培训师资素质能力；</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培训方式与方法；</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培训时间与地点；</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经费预算。</w:t>
      </w:r>
    </w:p>
    <w:p>
      <w:pPr>
        <w:pStyle w:val="105"/>
        <w:spacing w:before="156" w:after="156"/>
        <w:rPr>
          <w:color w:val="000000" w:themeColor="text1"/>
          <w14:textFill>
            <w14:solidFill>
              <w14:schemeClr w14:val="tx1"/>
            </w14:solidFill>
          </w14:textFill>
        </w:rPr>
      </w:pPr>
      <w:bookmarkStart w:id="131" w:name="_Toc343724884"/>
      <w:bookmarkStart w:id="132" w:name="_Toc332123695"/>
      <w:r>
        <w:rPr>
          <w:rFonts w:hint="eastAsia"/>
          <w:color w:val="000000" w:themeColor="text1"/>
          <w14:textFill>
            <w14:solidFill>
              <w14:schemeClr w14:val="tx1"/>
            </w14:solidFill>
          </w14:textFill>
        </w:rPr>
        <w:t>培训准备</w:t>
      </w:r>
      <w:bookmarkEnd w:id="131"/>
      <w:bookmarkEnd w:id="132"/>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匹配培训资源，选用与培训内容适合的教材、培训教师、设备等，确定培训项目。</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组织编写或选用教材、教具。可选定正式出版的教材或自编教材。</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选择线下培训场所或线上培训平台。</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选用培训教师，</w:t>
      </w:r>
      <w:r>
        <w:rPr>
          <w:color w:val="000000" w:themeColor="text1"/>
          <w14:textFill>
            <w14:solidFill>
              <w14:schemeClr w14:val="tx1"/>
            </w14:solidFill>
          </w14:textFill>
        </w:rPr>
        <w:t>沟通培训内容</w:t>
      </w:r>
      <w:r>
        <w:rPr>
          <w:rFonts w:hint="eastAsia"/>
          <w:color w:val="000000" w:themeColor="text1"/>
          <w14:textFill>
            <w14:solidFill>
              <w14:schemeClr w14:val="tx1"/>
            </w14:solidFill>
          </w14:textFill>
        </w:rPr>
        <w:t>。</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招收学员。</w:t>
      </w:r>
    </w:p>
    <w:p>
      <w:pPr>
        <w:pStyle w:val="105"/>
        <w:spacing w:before="156" w:after="156"/>
        <w:rPr>
          <w:color w:val="000000" w:themeColor="text1"/>
          <w14:textFill>
            <w14:solidFill>
              <w14:schemeClr w14:val="tx1"/>
            </w14:solidFill>
          </w14:textFill>
        </w:rPr>
      </w:pPr>
      <w:bookmarkStart w:id="133" w:name="_Toc332123696"/>
      <w:bookmarkStart w:id="134" w:name="_Toc343724885"/>
      <w:r>
        <w:rPr>
          <w:rFonts w:hint="eastAsia"/>
          <w:color w:val="000000" w:themeColor="text1"/>
          <w14:textFill>
            <w14:solidFill>
              <w14:schemeClr w14:val="tx1"/>
            </w14:solidFill>
          </w14:textFill>
        </w:rPr>
        <w:t>培训过程</w:t>
      </w:r>
      <w:bookmarkEnd w:id="133"/>
      <w:bookmarkEnd w:id="134"/>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布置线下培训场所或线上培训系统平台，线</w:t>
      </w:r>
      <w:r>
        <w:rPr>
          <w:color w:val="000000" w:themeColor="text1"/>
          <w14:textFill>
            <w14:solidFill>
              <w14:schemeClr w14:val="tx1"/>
            </w14:solidFill>
          </w14:textFill>
        </w:rPr>
        <w:t>上培训</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保持网络畅通</w:t>
      </w:r>
      <w:r>
        <w:rPr>
          <w:rFonts w:hint="eastAsia"/>
          <w:color w:val="000000" w:themeColor="text1"/>
          <w14:textFill>
            <w14:solidFill>
              <w14:schemeClr w14:val="tx1"/>
            </w14:solidFill>
          </w14:textFill>
        </w:rPr>
        <w:t>。</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按培训方案实施培训。</w:t>
      </w:r>
    </w:p>
    <w:p>
      <w:pPr>
        <w:pStyle w:val="165"/>
        <w:rPr>
          <w:color w:val="000000" w:themeColor="text1"/>
          <w14:textFill>
            <w14:solidFill>
              <w14:schemeClr w14:val="tx1"/>
            </w14:solidFill>
          </w14:textFill>
        </w:rPr>
      </w:pPr>
      <w:r>
        <w:rPr>
          <w:rFonts w:hint="eastAsia"/>
          <w:color w:val="000000" w:themeColor="text1"/>
          <w14:textFill>
            <w14:solidFill>
              <w14:schemeClr w14:val="tx1"/>
            </w14:solidFill>
          </w14:textFill>
        </w:rPr>
        <w:t>对学员实施考核。</w:t>
      </w:r>
    </w:p>
    <w:p>
      <w:pPr>
        <w:pStyle w:val="10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培训变更或取消</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培训因故变更或取消应及时通知学员及相关人员，并妥善处理相关事宜。</w:t>
      </w:r>
    </w:p>
    <w:p>
      <w:pPr>
        <w:pStyle w:val="105"/>
        <w:spacing w:before="156" w:after="156"/>
        <w:rPr>
          <w:color w:val="000000" w:themeColor="text1"/>
          <w14:textFill>
            <w14:solidFill>
              <w14:schemeClr w14:val="tx1"/>
            </w14:solidFill>
          </w14:textFill>
        </w:rPr>
      </w:pPr>
      <w:bookmarkStart w:id="135" w:name="_Toc343724886"/>
      <w:bookmarkStart w:id="136" w:name="_Toc332123697"/>
      <w:r>
        <w:rPr>
          <w:rFonts w:hint="eastAsia"/>
          <w:color w:val="000000" w:themeColor="text1"/>
          <w14:textFill>
            <w14:solidFill>
              <w14:schemeClr w14:val="tx1"/>
            </w14:solidFill>
          </w14:textFill>
        </w:rPr>
        <w:t>培训评估</w:t>
      </w:r>
      <w:bookmarkEnd w:id="135"/>
      <w:bookmarkEnd w:id="136"/>
    </w:p>
    <w:p>
      <w:pPr>
        <w:pStyle w:val="6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确定评估内容</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评估内容包括但</w:t>
      </w:r>
      <w:r>
        <w:rPr>
          <w:color w:val="000000" w:themeColor="text1"/>
          <w14:textFill>
            <w14:solidFill>
              <w14:schemeClr w14:val="tx1"/>
            </w14:solidFill>
          </w14:textFill>
        </w:rPr>
        <w:t>不限于</w:t>
      </w:r>
      <w:r>
        <w:rPr>
          <w:rFonts w:hint="eastAsia"/>
          <w:color w:val="000000" w:themeColor="text1"/>
          <w14:textFill>
            <w14:solidFill>
              <w14:schemeClr w14:val="tx1"/>
            </w14:solidFill>
          </w14:textFill>
        </w:rPr>
        <w:t>培训内容与课程安排、培训质量与培训效果、完成培训工作的效率、工作人员服务质量、教师授课质量。</w:t>
      </w:r>
    </w:p>
    <w:p>
      <w:pPr>
        <w:pStyle w:val="6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确定评估类型</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评估类型包括但</w:t>
      </w:r>
      <w:r>
        <w:rPr>
          <w:color w:val="000000" w:themeColor="text1"/>
          <w14:textFill>
            <w14:solidFill>
              <w14:schemeClr w14:val="tx1"/>
            </w14:solidFill>
          </w14:textFill>
        </w:rPr>
        <w:t>不限于</w:t>
      </w:r>
      <w:r>
        <w:rPr>
          <w:rFonts w:hint="eastAsia"/>
          <w:color w:val="000000" w:themeColor="text1"/>
          <w14:textFill>
            <w14:solidFill>
              <w14:schemeClr w14:val="tx1"/>
            </w14:solidFill>
          </w14:textFill>
        </w:rPr>
        <w:t>自我评估、委托培训客户对培训效果进行评估、学员对授课教师与项目管理进行评估。</w:t>
      </w:r>
    </w:p>
    <w:p>
      <w:pPr>
        <w:pStyle w:val="6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确定评估方法</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评估方法包括但</w:t>
      </w:r>
      <w:r>
        <w:rPr>
          <w:color w:val="000000" w:themeColor="text1"/>
          <w14:textFill>
            <w14:solidFill>
              <w14:schemeClr w14:val="tx1"/>
            </w14:solidFill>
          </w14:textFill>
        </w:rPr>
        <w:t>不限于</w:t>
      </w:r>
      <w:r>
        <w:rPr>
          <w:rFonts w:hint="eastAsia"/>
          <w:color w:val="000000" w:themeColor="text1"/>
          <w14:textFill>
            <w14:solidFill>
              <w14:schemeClr w14:val="tx1"/>
            </w14:solidFill>
          </w14:textFill>
        </w:rPr>
        <w:t>访谈、座谈会、满意度调查。</w:t>
      </w:r>
    </w:p>
    <w:p>
      <w:pPr>
        <w:pStyle w:val="105"/>
        <w:spacing w:before="156" w:after="156"/>
        <w:rPr>
          <w:color w:val="000000" w:themeColor="text1"/>
          <w14:textFill>
            <w14:solidFill>
              <w14:schemeClr w14:val="tx1"/>
            </w14:solidFill>
          </w14:textFill>
        </w:rPr>
      </w:pPr>
      <w:bookmarkStart w:id="137" w:name="_Toc343724887"/>
      <w:r>
        <w:rPr>
          <w:rFonts w:hint="eastAsia"/>
          <w:color w:val="000000" w:themeColor="text1"/>
          <w14:textFill>
            <w14:solidFill>
              <w14:schemeClr w14:val="tx1"/>
            </w14:solidFill>
          </w14:textFill>
        </w:rPr>
        <w:t>材料归档</w:t>
      </w:r>
      <w:bookmarkEnd w:id="137"/>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归档材料，内容包括但</w:t>
      </w:r>
      <w:r>
        <w:rPr>
          <w:color w:val="000000" w:themeColor="text1"/>
          <w14:textFill>
            <w14:solidFill>
              <w14:schemeClr w14:val="tx1"/>
            </w14:solidFill>
          </w14:textFill>
        </w:rPr>
        <w:t>不限于</w:t>
      </w:r>
      <w:r>
        <w:rPr>
          <w:rFonts w:hint="eastAsia"/>
          <w:color w:val="000000" w:themeColor="text1"/>
          <w14:textFill>
            <w14:solidFill>
              <w14:schemeClr w14:val="tx1"/>
            </w14:solidFill>
          </w14:textFill>
        </w:rPr>
        <w:t>：</w:t>
      </w:r>
    </w:p>
    <w:p>
      <w:pPr>
        <w:pStyle w:val="174"/>
        <w:numPr>
          <w:ilvl w:val="0"/>
          <w:numId w:val="35"/>
        </w:numPr>
        <w:rPr>
          <w:color w:val="000000" w:themeColor="text1"/>
          <w14:textFill>
            <w14:solidFill>
              <w14:schemeClr w14:val="tx1"/>
            </w14:solidFill>
          </w14:textFill>
        </w:rPr>
      </w:pPr>
      <w:r>
        <w:rPr>
          <w:rFonts w:hint="eastAsia"/>
          <w:color w:val="000000" w:themeColor="text1"/>
          <w14:textFill>
            <w14:solidFill>
              <w14:schemeClr w14:val="tx1"/>
            </w14:solidFill>
          </w14:textFill>
        </w:rPr>
        <w:t>项目立项、审批报告与批复；</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项目日志；</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培训教材、</w:t>
      </w:r>
      <w:r>
        <w:rPr>
          <w:color w:val="000000" w:themeColor="text1"/>
          <w14:textFill>
            <w14:solidFill>
              <w14:schemeClr w14:val="tx1"/>
            </w14:solidFill>
          </w14:textFill>
        </w:rPr>
        <w:t>课件</w:t>
      </w:r>
      <w:r>
        <w:rPr>
          <w:rFonts w:hint="eastAsia"/>
          <w:color w:val="000000" w:themeColor="text1"/>
          <w14:textFill>
            <w14:solidFill>
              <w14:schemeClr w14:val="tx1"/>
            </w14:solidFill>
          </w14:textFill>
        </w:rPr>
        <w:t>与相关资料；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图片与音像资料；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培训评估资料。</w:t>
      </w:r>
    </w:p>
    <w:p>
      <w:pPr>
        <w:pStyle w:val="104"/>
        <w:spacing w:before="312" w:after="312"/>
        <w:rPr>
          <w:color w:val="000000" w:themeColor="text1"/>
          <w14:textFill>
            <w14:solidFill>
              <w14:schemeClr w14:val="tx1"/>
            </w14:solidFill>
          </w14:textFill>
        </w:rPr>
      </w:pPr>
      <w:bookmarkStart w:id="138" w:name="_Toc149923311"/>
      <w:bookmarkStart w:id="139" w:name="_Toc149486930"/>
      <w:bookmarkStart w:id="140" w:name="_Toc149308560"/>
      <w:bookmarkStart w:id="141" w:name="_Toc343724888"/>
      <w:bookmarkStart w:id="142" w:name="_Toc343853764"/>
      <w:r>
        <w:rPr>
          <w:rFonts w:hint="eastAsia"/>
          <w:color w:val="000000" w:themeColor="text1"/>
          <w14:textFill>
            <w14:solidFill>
              <w14:schemeClr w14:val="tx1"/>
            </w14:solidFill>
          </w14:textFill>
        </w:rPr>
        <w:t>服务评价与改进</w:t>
      </w:r>
      <w:bookmarkEnd w:id="138"/>
      <w:bookmarkEnd w:id="139"/>
      <w:bookmarkEnd w:id="140"/>
      <w:bookmarkEnd w:id="141"/>
      <w:bookmarkEnd w:id="142"/>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服务机构进行人力资源培训服务应建立项目评价机制，人力资源培训项目的服务评价与改进除符合</w:t>
      </w:r>
      <w:r>
        <w:rPr>
          <w:rFonts w:ascii="宋体" w:hAnsi="Times New Roman"/>
          <w:color w:val="000000" w:themeColor="text1"/>
          <w:kern w:val="0"/>
          <w:szCs w:val="20"/>
          <w14:textFill>
            <w14:solidFill>
              <w14:schemeClr w14:val="tx1"/>
            </w14:solidFill>
          </w14:textFill>
        </w:rPr>
        <w:t>DBXX/T XXXX.1</w:t>
      </w:r>
      <w:r>
        <w:rPr>
          <w:rFonts w:hint="eastAsia" w:ascii="宋体" w:hAnsi="宋体"/>
          <w:color w:val="000000" w:themeColor="text1"/>
          <w:kern w:val="0"/>
          <w:szCs w:val="20"/>
          <w14:textFill>
            <w14:solidFill>
              <w14:schemeClr w14:val="tx1"/>
            </w14:solidFill>
          </w14:textFill>
        </w:rPr>
        <w:t>—</w:t>
      </w:r>
      <w:r>
        <w:rPr>
          <w:rFonts w:ascii="宋体" w:hAnsi="Times New Roman"/>
          <w:color w:val="000000" w:themeColor="text1"/>
          <w:kern w:val="0"/>
          <w:szCs w:val="20"/>
          <w14:textFill>
            <w14:solidFill>
              <w14:schemeClr w14:val="tx1"/>
            </w14:solidFill>
          </w14:textFill>
        </w:rPr>
        <w:t>202X</w:t>
      </w:r>
      <w:r>
        <w:rPr>
          <w:rFonts w:hint="eastAsia" w:ascii="宋体" w:hAnsi="Times New Roman"/>
          <w:color w:val="000000" w:themeColor="text1"/>
          <w:kern w:val="0"/>
          <w:szCs w:val="20"/>
          <w14:textFill>
            <w14:solidFill>
              <w14:schemeClr w14:val="tx1"/>
            </w14:solidFill>
          </w14:textFill>
        </w:rPr>
        <w:t>第10章的相关规定外，还应满足下列要求：</w:t>
      </w:r>
    </w:p>
    <w:p>
      <w:pPr>
        <w:pStyle w:val="174"/>
        <w:numPr>
          <w:ilvl w:val="0"/>
          <w:numId w:val="36"/>
        </w:numPr>
        <w:rPr>
          <w:color w:val="000000" w:themeColor="text1"/>
          <w14:textFill>
            <w14:solidFill>
              <w14:schemeClr w14:val="tx1"/>
            </w14:solidFill>
          </w14:textFill>
        </w:rPr>
      </w:pPr>
      <w:r>
        <w:rPr>
          <w:rFonts w:hint="eastAsia"/>
          <w:color w:val="000000" w:themeColor="text1"/>
          <w14:textFill>
            <w14:solidFill>
              <w14:schemeClr w14:val="tx1"/>
            </w14:solidFill>
          </w14:textFill>
        </w:rPr>
        <w:t>对培训项目进行全面总结；</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项目实施结束后开展客户满意度调查；</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及时处理客户投诉，向当事人反馈处理结果。</w:t>
      </w:r>
    </w:p>
    <w:bookmarkEnd w:id="32"/>
    <w:bookmarkEnd w:id="79"/>
    <w:bookmarkEnd w:id="80"/>
    <w:bookmarkEnd w:id="81"/>
    <w:bookmarkEnd w:id="82"/>
    <w:bookmarkEnd w:id="83"/>
    <w:bookmarkEnd w:id="84"/>
    <w:bookmarkEnd w:id="85"/>
    <w:bookmarkEnd w:id="86"/>
    <w:bookmarkEnd w:id="87"/>
    <w:bookmarkEnd w:id="88"/>
    <w:bookmarkEnd w:id="89"/>
    <w:bookmarkEnd w:id="90"/>
    <w:p>
      <w:pPr>
        <w:pStyle w:val="56"/>
        <w:ind w:firstLine="0" w:firstLineChars="0"/>
        <w:jc w:val="center"/>
      </w:pPr>
      <w:bookmarkStart w:id="143"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2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43"/>
    </w:p>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XXXX.6—202X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XXXX.6—202X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XXXX.6—202X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XXXX.6—202X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XXXX.6—202X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XXXX.6—202X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0CVBjnbGXuPlnSw0YFziBrzSBx9wdYU4kRInvX8msYnCcmrgAKOUwdG6cuUNMl9ENPwCM0MYJ53sn/o+1ozZUA==" w:salt="AyrawsuObdoAXGd/Xn5QLQ=="/>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6899"/>
    <w:rsid w:val="00007B3A"/>
    <w:rsid w:val="00007BAB"/>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280D"/>
    <w:rsid w:val="000539DD"/>
    <w:rsid w:val="00053BD3"/>
    <w:rsid w:val="000556ED"/>
    <w:rsid w:val="00055FE2"/>
    <w:rsid w:val="0005616F"/>
    <w:rsid w:val="00060C2E"/>
    <w:rsid w:val="00061033"/>
    <w:rsid w:val="000619E9"/>
    <w:rsid w:val="000622D4"/>
    <w:rsid w:val="0006357D"/>
    <w:rsid w:val="00063D7F"/>
    <w:rsid w:val="00067F1E"/>
    <w:rsid w:val="00071C5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42F"/>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01B6"/>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F62"/>
    <w:rsid w:val="001852C9"/>
    <w:rsid w:val="00190087"/>
    <w:rsid w:val="001913C4"/>
    <w:rsid w:val="001930F5"/>
    <w:rsid w:val="0019348F"/>
    <w:rsid w:val="00193A07"/>
    <w:rsid w:val="00194C95"/>
    <w:rsid w:val="00195C34"/>
    <w:rsid w:val="00196EF5"/>
    <w:rsid w:val="001A1A53"/>
    <w:rsid w:val="001A234A"/>
    <w:rsid w:val="001A4CF3"/>
    <w:rsid w:val="001A702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35AE"/>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1689"/>
    <w:rsid w:val="00202AA4"/>
    <w:rsid w:val="002031F7"/>
    <w:rsid w:val="002040E6"/>
    <w:rsid w:val="0020527B"/>
    <w:rsid w:val="00205F2C"/>
    <w:rsid w:val="00210B15"/>
    <w:rsid w:val="002142EA"/>
    <w:rsid w:val="002204BB"/>
    <w:rsid w:val="00221B79"/>
    <w:rsid w:val="00221C6B"/>
    <w:rsid w:val="002253A1"/>
    <w:rsid w:val="00225B4F"/>
    <w:rsid w:val="00225CF8"/>
    <w:rsid w:val="0022794E"/>
    <w:rsid w:val="002339EA"/>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76D"/>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3E8B"/>
    <w:rsid w:val="002D42B5"/>
    <w:rsid w:val="002D4F1A"/>
    <w:rsid w:val="002D5BC8"/>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3CC7"/>
    <w:rsid w:val="00317988"/>
    <w:rsid w:val="003221B4"/>
    <w:rsid w:val="0032258D"/>
    <w:rsid w:val="00322E62"/>
    <w:rsid w:val="00324D13"/>
    <w:rsid w:val="00324D2A"/>
    <w:rsid w:val="00324EDD"/>
    <w:rsid w:val="00325943"/>
    <w:rsid w:val="003331E4"/>
    <w:rsid w:val="00336C64"/>
    <w:rsid w:val="00337162"/>
    <w:rsid w:val="0034194F"/>
    <w:rsid w:val="00344605"/>
    <w:rsid w:val="003474AA"/>
    <w:rsid w:val="00350D1D"/>
    <w:rsid w:val="00352C83"/>
    <w:rsid w:val="003615D2"/>
    <w:rsid w:val="00362D2E"/>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5702"/>
    <w:rsid w:val="003B09AD"/>
    <w:rsid w:val="003B1F18"/>
    <w:rsid w:val="003B5BF0"/>
    <w:rsid w:val="003B60BF"/>
    <w:rsid w:val="003B6BE3"/>
    <w:rsid w:val="003C010C"/>
    <w:rsid w:val="003C04B7"/>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3102"/>
    <w:rsid w:val="00404869"/>
    <w:rsid w:val="00405884"/>
    <w:rsid w:val="00407D39"/>
    <w:rsid w:val="0041477A"/>
    <w:rsid w:val="004167A3"/>
    <w:rsid w:val="00432DAA"/>
    <w:rsid w:val="00434305"/>
    <w:rsid w:val="00435DF7"/>
    <w:rsid w:val="00437B0B"/>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AE6"/>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C65"/>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7E6"/>
    <w:rsid w:val="00573D9E"/>
    <w:rsid w:val="005801E3"/>
    <w:rsid w:val="00581802"/>
    <w:rsid w:val="005836A8"/>
    <w:rsid w:val="0058409C"/>
    <w:rsid w:val="00584262"/>
    <w:rsid w:val="00586630"/>
    <w:rsid w:val="00587ADD"/>
    <w:rsid w:val="00591E27"/>
    <w:rsid w:val="00596160"/>
    <w:rsid w:val="005966E2"/>
    <w:rsid w:val="005969FD"/>
    <w:rsid w:val="00597007"/>
    <w:rsid w:val="005A0966"/>
    <w:rsid w:val="005A11B7"/>
    <w:rsid w:val="005A260B"/>
    <w:rsid w:val="005A4597"/>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2335"/>
    <w:rsid w:val="005E34CA"/>
    <w:rsid w:val="005E3C18"/>
    <w:rsid w:val="005E4868"/>
    <w:rsid w:val="005E6812"/>
    <w:rsid w:val="005E7881"/>
    <w:rsid w:val="005E78E0"/>
    <w:rsid w:val="005F0D9C"/>
    <w:rsid w:val="005F284E"/>
    <w:rsid w:val="005F4712"/>
    <w:rsid w:val="006015CE"/>
    <w:rsid w:val="00604784"/>
    <w:rsid w:val="00605C3A"/>
    <w:rsid w:val="00606419"/>
    <w:rsid w:val="00607D29"/>
    <w:rsid w:val="00612952"/>
    <w:rsid w:val="00614AA9"/>
    <w:rsid w:val="00614CC1"/>
    <w:rsid w:val="00615A9D"/>
    <w:rsid w:val="00617387"/>
    <w:rsid w:val="006205D6"/>
    <w:rsid w:val="00622BB1"/>
    <w:rsid w:val="006252D8"/>
    <w:rsid w:val="006259BC"/>
    <w:rsid w:val="0062636B"/>
    <w:rsid w:val="00626D2E"/>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7B03"/>
    <w:rsid w:val="00693951"/>
    <w:rsid w:val="00695D22"/>
    <w:rsid w:val="006A07AA"/>
    <w:rsid w:val="006A1913"/>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0724"/>
    <w:rsid w:val="0078114B"/>
    <w:rsid w:val="00781DD2"/>
    <w:rsid w:val="00783ECF"/>
    <w:rsid w:val="0078413A"/>
    <w:rsid w:val="007959E8"/>
    <w:rsid w:val="00795E9C"/>
    <w:rsid w:val="007A0521"/>
    <w:rsid w:val="007A2E12"/>
    <w:rsid w:val="007A3475"/>
    <w:rsid w:val="007A41C8"/>
    <w:rsid w:val="007A54CE"/>
    <w:rsid w:val="007A6FD9"/>
    <w:rsid w:val="007A7FCE"/>
    <w:rsid w:val="007A7FFA"/>
    <w:rsid w:val="007B04EB"/>
    <w:rsid w:val="007B0D4F"/>
    <w:rsid w:val="007B4B1D"/>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76BD"/>
    <w:rsid w:val="007E0BF1"/>
    <w:rsid w:val="007F0ED8"/>
    <w:rsid w:val="007F0F63"/>
    <w:rsid w:val="007F2555"/>
    <w:rsid w:val="007F75CE"/>
    <w:rsid w:val="008013A4"/>
    <w:rsid w:val="008027CE"/>
    <w:rsid w:val="00802F42"/>
    <w:rsid w:val="00804383"/>
    <w:rsid w:val="00804BB7"/>
    <w:rsid w:val="00804D41"/>
    <w:rsid w:val="008100F7"/>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97"/>
    <w:rsid w:val="00850F25"/>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87C"/>
    <w:rsid w:val="008D0CE8"/>
    <w:rsid w:val="008D2D1D"/>
    <w:rsid w:val="008D4099"/>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3EAC"/>
    <w:rsid w:val="009145AE"/>
    <w:rsid w:val="009146CE"/>
    <w:rsid w:val="00914CA7"/>
    <w:rsid w:val="00915C3E"/>
    <w:rsid w:val="009161A8"/>
    <w:rsid w:val="00921A4E"/>
    <w:rsid w:val="009245F5"/>
    <w:rsid w:val="009249EC"/>
    <w:rsid w:val="009273B3"/>
    <w:rsid w:val="009305B5"/>
    <w:rsid w:val="00935C3F"/>
    <w:rsid w:val="009429D5"/>
    <w:rsid w:val="00942BF1"/>
    <w:rsid w:val="00945180"/>
    <w:rsid w:val="00945428"/>
    <w:rsid w:val="0094607B"/>
    <w:rsid w:val="00953604"/>
    <w:rsid w:val="0095496B"/>
    <w:rsid w:val="009610DC"/>
    <w:rsid w:val="00961490"/>
    <w:rsid w:val="0096381A"/>
    <w:rsid w:val="00965E04"/>
    <w:rsid w:val="009674AD"/>
    <w:rsid w:val="00970728"/>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462"/>
    <w:rsid w:val="009A72AD"/>
    <w:rsid w:val="009B09E0"/>
    <w:rsid w:val="009B0BC5"/>
    <w:rsid w:val="009B0BF3"/>
    <w:rsid w:val="009B1247"/>
    <w:rsid w:val="009B46F9"/>
    <w:rsid w:val="009B6029"/>
    <w:rsid w:val="009B6971"/>
    <w:rsid w:val="009C0807"/>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9F1BDE"/>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5A87"/>
    <w:rsid w:val="00A36DD1"/>
    <w:rsid w:val="00A4006C"/>
    <w:rsid w:val="00A40091"/>
    <w:rsid w:val="00A4030F"/>
    <w:rsid w:val="00A41C79"/>
    <w:rsid w:val="00A41CB5"/>
    <w:rsid w:val="00A42CDF"/>
    <w:rsid w:val="00A4452E"/>
    <w:rsid w:val="00A4472C"/>
    <w:rsid w:val="00A44E69"/>
    <w:rsid w:val="00A4661E"/>
    <w:rsid w:val="00A46A21"/>
    <w:rsid w:val="00A55BD6"/>
    <w:rsid w:val="00A55D50"/>
    <w:rsid w:val="00A57142"/>
    <w:rsid w:val="00A648CD"/>
    <w:rsid w:val="00A6537A"/>
    <w:rsid w:val="00A67866"/>
    <w:rsid w:val="00A70B07"/>
    <w:rsid w:val="00A723F8"/>
    <w:rsid w:val="00A77CCB"/>
    <w:rsid w:val="00A81163"/>
    <w:rsid w:val="00A83D8D"/>
    <w:rsid w:val="00A8446B"/>
    <w:rsid w:val="00A8473F"/>
    <w:rsid w:val="00A862D6"/>
    <w:rsid w:val="00A8715E"/>
    <w:rsid w:val="00A9295B"/>
    <w:rsid w:val="00A936E1"/>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E7C1C"/>
    <w:rsid w:val="00AF0C18"/>
    <w:rsid w:val="00AF47C5"/>
    <w:rsid w:val="00AF5398"/>
    <w:rsid w:val="00B049AF"/>
    <w:rsid w:val="00B07242"/>
    <w:rsid w:val="00B10534"/>
    <w:rsid w:val="00B113DB"/>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5C7C"/>
    <w:rsid w:val="00BF74A6"/>
    <w:rsid w:val="00C013AD"/>
    <w:rsid w:val="00C01793"/>
    <w:rsid w:val="00C04904"/>
    <w:rsid w:val="00C056B3"/>
    <w:rsid w:val="00C103E5"/>
    <w:rsid w:val="00C13319"/>
    <w:rsid w:val="00C13EE9"/>
    <w:rsid w:val="00C21540"/>
    <w:rsid w:val="00C21906"/>
    <w:rsid w:val="00C21BFA"/>
    <w:rsid w:val="00C22148"/>
    <w:rsid w:val="00C24C8D"/>
    <w:rsid w:val="00C25FE2"/>
    <w:rsid w:val="00C26A8A"/>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C22"/>
    <w:rsid w:val="00C92D03"/>
    <w:rsid w:val="00C9319C"/>
    <w:rsid w:val="00C9435D"/>
    <w:rsid w:val="00C94DF2"/>
    <w:rsid w:val="00C96741"/>
    <w:rsid w:val="00CA2D1B"/>
    <w:rsid w:val="00CA375D"/>
    <w:rsid w:val="00CA662A"/>
    <w:rsid w:val="00CA72C3"/>
    <w:rsid w:val="00CA7AFD"/>
    <w:rsid w:val="00CA7C3C"/>
    <w:rsid w:val="00CB0189"/>
    <w:rsid w:val="00CB0BA2"/>
    <w:rsid w:val="00CB1A42"/>
    <w:rsid w:val="00CB1B0C"/>
    <w:rsid w:val="00CB2C0B"/>
    <w:rsid w:val="00CB517D"/>
    <w:rsid w:val="00CB6A87"/>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21A9"/>
    <w:rsid w:val="00CE30EA"/>
    <w:rsid w:val="00CF048A"/>
    <w:rsid w:val="00CF155A"/>
    <w:rsid w:val="00CF2947"/>
    <w:rsid w:val="00CF686F"/>
    <w:rsid w:val="00CF6E60"/>
    <w:rsid w:val="00CF7BCA"/>
    <w:rsid w:val="00D008FD"/>
    <w:rsid w:val="00D02019"/>
    <w:rsid w:val="00D0321C"/>
    <w:rsid w:val="00D035EC"/>
    <w:rsid w:val="00D06AB1"/>
    <w:rsid w:val="00D072ED"/>
    <w:rsid w:val="00D07A16"/>
    <w:rsid w:val="00D1067E"/>
    <w:rsid w:val="00D10F50"/>
    <w:rsid w:val="00D11272"/>
    <w:rsid w:val="00D12084"/>
    <w:rsid w:val="00D126F5"/>
    <w:rsid w:val="00D13AD5"/>
    <w:rsid w:val="00D1489E"/>
    <w:rsid w:val="00D16401"/>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1DE8"/>
    <w:rsid w:val="00D654F7"/>
    <w:rsid w:val="00D663FB"/>
    <w:rsid w:val="00D66846"/>
    <w:rsid w:val="00D675FB"/>
    <w:rsid w:val="00D71F25"/>
    <w:rsid w:val="00D72A9C"/>
    <w:rsid w:val="00D76032"/>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065C"/>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46F18"/>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EF7EAB"/>
    <w:rsid w:val="00F06D37"/>
    <w:rsid w:val="00F07B9D"/>
    <w:rsid w:val="00F11586"/>
    <w:rsid w:val="00F1183B"/>
    <w:rsid w:val="00F11C9F"/>
    <w:rsid w:val="00F12263"/>
    <w:rsid w:val="00F1409D"/>
    <w:rsid w:val="00F14214"/>
    <w:rsid w:val="00F157A9"/>
    <w:rsid w:val="00F25BB6"/>
    <w:rsid w:val="00F25EE2"/>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45896BF6"/>
    <w:rsid w:val="464D2B5D"/>
    <w:rsid w:val="72CBBEA5"/>
    <w:rsid w:val="7EF55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 w:type="paragraph" w:customStyle="1" w:styleId="238">
    <w:name w:val="附录一级条标题"/>
    <w:basedOn w:val="239"/>
    <w:next w:val="231"/>
    <w:qFormat/>
    <w:uiPriority w:val="0"/>
    <w:pPr>
      <w:tabs>
        <w:tab w:val="left" w:pos="360"/>
      </w:tabs>
      <w:autoSpaceDN w:val="0"/>
      <w:spacing w:before="50" w:beforeLines="50" w:after="50" w:afterLines="50"/>
      <w:outlineLvl w:val="2"/>
    </w:pPr>
  </w:style>
  <w:style w:type="paragraph" w:customStyle="1" w:styleId="239">
    <w:name w:val="附录章标题"/>
    <w:next w:val="23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Calibri" w:eastAsia="黑体" w:cs="Times New Roman"/>
      <w:kern w:val="21"/>
      <w:sz w:val="21"/>
      <w:lang w:val="en-US" w:eastAsia="zh-CN" w:bidi="ar-SA"/>
    </w:rPr>
  </w:style>
  <w:style w:type="paragraph" w:customStyle="1" w:styleId="240">
    <w:name w:val="子标号"/>
    <w:basedOn w:val="1"/>
    <w:qFormat/>
    <w:uiPriority w:val="0"/>
    <w:pPr>
      <w:tabs>
        <w:tab w:val="left" w:pos="839"/>
      </w:tabs>
      <w:adjustRightInd/>
      <w:spacing w:line="240" w:lineRule="auto"/>
    </w:pPr>
    <w:rPr>
      <w:rFonts w:hint="eastAsia"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jpeg"/><Relationship Id="rId24" Type="http://schemas.openxmlformats.org/officeDocument/2006/relationships/image" Target="media/image1.tiff"/><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D1E5B"/>
    <w:rsid w:val="000E41BA"/>
    <w:rsid w:val="000F5C48"/>
    <w:rsid w:val="00114042"/>
    <w:rsid w:val="002F57FC"/>
    <w:rsid w:val="00307C3D"/>
    <w:rsid w:val="00326058"/>
    <w:rsid w:val="003746E5"/>
    <w:rsid w:val="0037733B"/>
    <w:rsid w:val="003F4B35"/>
    <w:rsid w:val="004B18FD"/>
    <w:rsid w:val="004B78EC"/>
    <w:rsid w:val="00526B5A"/>
    <w:rsid w:val="006E4402"/>
    <w:rsid w:val="00701AC7"/>
    <w:rsid w:val="0093375B"/>
    <w:rsid w:val="009C179D"/>
    <w:rsid w:val="00A051BD"/>
    <w:rsid w:val="00AC0A3D"/>
    <w:rsid w:val="00B23188"/>
    <w:rsid w:val="00B235A4"/>
    <w:rsid w:val="00C24CFC"/>
    <w:rsid w:val="00CF2C54"/>
    <w:rsid w:val="00D018D4"/>
    <w:rsid w:val="00D64C50"/>
    <w:rsid w:val="00E9517D"/>
    <w:rsid w:val="00E97CDC"/>
    <w:rsid w:val="00EE6599"/>
    <w:rsid w:val="00F052D6"/>
    <w:rsid w:val="00F22A11"/>
    <w:rsid w:val="00F27790"/>
    <w:rsid w:val="00F352AD"/>
    <w:rsid w:val="00FA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9</Pages>
  <Words>597</Words>
  <Characters>3403</Characters>
  <Lines>28</Lines>
  <Paragraphs>7</Paragraphs>
  <TotalTime>0</TotalTime>
  <ScaleCrop>false</ScaleCrop>
  <LinksUpToDate>false</LinksUpToDate>
  <CharactersWithSpaces>3993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2023-10-29T23:44:00Z</dcterms:created>
  <dc:creator>Crystal</dc:creator>
  <dc:description>&lt;config cover="true" show_menu="true" version="1.0.0" doctype="SDKXY"&gt;_x000d_
&lt;/config&gt;</dc:description>
  <cp:lastModifiedBy>qhtf</cp:lastModifiedBy>
  <cp:lastPrinted>2020-08-31T02:00:00Z</cp:lastPrinted>
  <dcterms:modified xsi:type="dcterms:W3CDTF">2024-05-22T11:44:51Z</dcterms:modified>
  <dc:title>地方标准</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AB93FE54FA334FED92FB05CFC0A6E0F9_12</vt:lpwstr>
  </property>
</Properties>
</file>