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ectPr>
          <w:headerReference r:id="rId5" w:type="first"/>
          <w:headerReference r:id="rId3" w:type="default"/>
          <w:footerReference r:id="rId6" w:type="default"/>
          <w:headerReference r:id="rId4" w:type="even"/>
          <w:footerReference r:id="rId7" w:type="even"/>
          <w:pgSz w:w="11907" w:h="16839"/>
          <w:pgMar w:top="567" w:right="851" w:bottom="1361" w:left="1418" w:header="0" w:footer="0" w:gutter="0"/>
          <w:pgNumType w:start="1"/>
          <w:cols w:space="720" w:num="1"/>
          <w:titlePg/>
          <w:docGrid w:type="lines" w:linePitch="312" w:charSpace="0"/>
        </w:sectPr>
      </w:pPr>
      <w:bookmarkStart w:id="0" w:name="SectionMark0"/>
      <w:bookmarkStart w:id="1" w:name="SectionMark4"/>
      <w: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8890000</wp:posOffset>
                </wp:positionV>
                <wp:extent cx="6121400" cy="0"/>
                <wp:effectExtent l="0" t="0" r="0" b="0"/>
                <wp:wrapNone/>
                <wp:docPr id="8" name="直接连接符 8"/>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700pt;height:0pt;width:482pt;z-index:251667456;mso-width-relative:page;mso-height-relative:page;" filled="f" stroked="t" coordsize="21600,21600" o:gfxdata="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FgAAAGRycy9QSwECFAAUAAAACACHTuJAyxL5WNIAAAAKAQAA&#10;DwAAAAAAAAABACAAAAA4AAAAZHJzL2Rvd25yZXYueG1sUEsBAhQAFAAAAAgAh07iQPCT6Z7QAQAA&#10;iwMAAA4AAAAAAAAAAQAgAAAANwEAAGRycy9lMm9Eb2MueG1sUEsFBgAAAAAGAAYAWQEAAHkFAAAA&#10;AA==&#10;">
                <v:fill on="f" focussize="0,0"/>
                <v:stroke weight="1pt" color="#800008" joinstyle="round"/>
                <v:imagedata o:title=""/>
                <o:lock v:ext="edit" aspectratio="f"/>
              </v:lin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2273300</wp:posOffset>
                </wp:positionV>
                <wp:extent cx="6121400" cy="0"/>
                <wp:effectExtent l="0" t="0" r="0" b="0"/>
                <wp:wrapNone/>
                <wp:docPr id="10" name="直接连接符 10"/>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79pt;height:0pt;width:482pt;z-index:251666432;mso-width-relative:page;mso-height-relative:page;" filled="f" stroked="t" coordsize="21600,21600" o:gfxdata="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E/Eor7UAAAA&#10;CAEAAA8AAAAAAAAAAQAgAAAAOAAAAGRycy9kb3ducmV2LnhtbFBLAQIUABQAAAAIAIdO4kByVJW0&#10;0gEAAI0DAAAOAAAAAAAAAAEAIAAAADkBAABkcnMvZTJvRG9jLnhtbFBLBQYAAAAABgAGAFkBAAB9&#10;BQAAAAA=&#10;">
                <v:fill on="f" focussize="0,0"/>
                <v:stroke weight="1pt" color="#800008" joinstyle="round"/>
                <v:imagedata o:title=""/>
                <o:lock v:ext="edit" aspectratio="f"/>
              </v:line>
            </w:pict>
          </mc:Fallback>
        </mc:AlternateContent>
      </w:r>
      <w:r>
        <mc:AlternateContent>
          <mc:Choice Requires="wps">
            <w:drawing>
              <wp:anchor distT="0" distB="0" distL="114300" distR="114300" simplePos="0" relativeHeight="251665408" behindDoc="0" locked="1" layoutInCell="1" allowOverlap="1">
                <wp:simplePos x="0" y="0"/>
                <wp:positionH relativeFrom="margin">
                  <wp:posOffset>0</wp:posOffset>
                </wp:positionH>
                <wp:positionV relativeFrom="margin">
                  <wp:posOffset>9108440</wp:posOffset>
                </wp:positionV>
                <wp:extent cx="6120130" cy="363220"/>
                <wp:effectExtent l="0" t="0" r="13970" b="17780"/>
                <wp:wrapNone/>
                <wp:docPr id="5" name="文本框 5"/>
                <wp:cNvGraphicFramePr/>
                <a:graphic xmlns:a="http://schemas.openxmlformats.org/drawingml/2006/main">
                  <a:graphicData uri="http://schemas.microsoft.com/office/word/2010/wordprocessingShape">
                    <wps:wsp>
                      <wps:cNvSpPr txBox="true"/>
                      <wps:spPr>
                        <a:xfrm>
                          <a:off x="0" y="0"/>
                          <a:ext cx="6120130" cy="363220"/>
                        </a:xfrm>
                        <a:prstGeom prst="rect">
                          <a:avLst/>
                        </a:prstGeom>
                        <a:solidFill>
                          <a:srgbClr val="FFFFFF"/>
                        </a:solidFill>
                        <a:ln>
                          <a:noFill/>
                        </a:ln>
                      </wps:spPr>
                      <wps:txbx>
                        <w:txbxContent>
                          <w:p>
                            <w:pPr>
                              <w:pStyle w:val="21"/>
                              <w:rPr>
                                <w:rStyle w:val="24"/>
                                <w:rFonts w:hAnsi="黑体"/>
                                <w:b/>
                              </w:rPr>
                            </w:pPr>
                            <w:r>
                              <w:rPr>
                                <w:rStyle w:val="23"/>
                                <w:rFonts w:hint="eastAsia" w:hAnsi="黑体"/>
                                <w:b w:val="0"/>
                                <w:sz w:val="28"/>
                                <w:szCs w:val="28"/>
                              </w:rPr>
                              <w:t>河北省</w:t>
                            </w:r>
                            <w:r>
                              <w:rPr>
                                <w:rStyle w:val="23"/>
                                <w:rFonts w:hint="eastAsia" w:ascii="黑体" w:hAnsi="黑体"/>
                                <w:b w:val="0"/>
                                <w:sz w:val="28"/>
                                <w:szCs w:val="28"/>
                              </w:rPr>
                              <w:t>市场监督管理局</w:t>
                            </w:r>
                            <w:r>
                              <w:rPr>
                                <w:rStyle w:val="24"/>
                                <w:rFonts w:hint="eastAsia" w:hAnsi="黑体"/>
                                <w:b/>
                              </w:rPr>
                              <w:t xml:space="preserve"> </w:t>
                            </w:r>
                            <w:r>
                              <w:rPr>
                                <w:rStyle w:val="24"/>
                                <w:rFonts w:hint="eastAsia" w:hAnsi="黑体"/>
                              </w:rPr>
                              <w:t>发布</w:t>
                            </w:r>
                          </w:p>
                        </w:txbxContent>
                      </wps:txbx>
                      <wps:bodyPr lIns="0" tIns="0" rIns="0" bIns="0" upright="true"/>
                    </wps:wsp>
                  </a:graphicData>
                </a:graphic>
              </wp:anchor>
            </w:drawing>
          </mc:Choice>
          <mc:Fallback>
            <w:pict>
              <v:shape id="_x0000_s1026" o:spid="_x0000_s1026" o:spt="202" type="#_x0000_t202" style="position:absolute;left:0pt;margin-left:0pt;margin-top:717.2pt;height:28.6pt;width:481.9pt;mso-position-horizontal-relative:margin;mso-position-vertical-relative:margin;z-index:251665408;mso-width-relative:page;mso-height-relative:page;" fillcolor="#FFFFFF" filled="t" stroked="f" coordsize="21600,21600" o:gfxdata="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&#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BYAAABkcnMvUEsBAhQAFAAAAAgAh07iQIlWBuvYAAAACgEAAA8AAAAAAAAAAQAgAAAAOAAAAGRy&#10;cy9kb3ducmV2LnhtbFBLAQIUABQAAAAIAIdO4kAwqyZhtgEAAFMDAAAOAAAAAAAAAAEAIAAAAD0B&#10;AABkcnMvZTJvRG9jLnhtbFBLBQYAAAAABgAGAFkBAABlBQAAAAA=&#10;">
                <v:fill on="t" focussize="0,0"/>
                <v:stroke on="f"/>
                <v:imagedata o:title=""/>
                <o:lock v:ext="edit" aspectratio="f"/>
                <v:textbox inset="0mm,0mm,0mm,0mm">
                  <w:txbxContent>
                    <w:p>
                      <w:pPr>
                        <w:pStyle w:val="21"/>
                        <w:rPr>
                          <w:rStyle w:val="24"/>
                          <w:rFonts w:hAnsi="黑体"/>
                          <w:b/>
                        </w:rPr>
                      </w:pPr>
                      <w:r>
                        <w:rPr>
                          <w:rStyle w:val="23"/>
                          <w:rFonts w:hint="eastAsia" w:hAnsi="黑体"/>
                          <w:b w:val="0"/>
                          <w:sz w:val="28"/>
                          <w:szCs w:val="28"/>
                        </w:rPr>
                        <w:t>河北省</w:t>
                      </w:r>
                      <w:r>
                        <w:rPr>
                          <w:rStyle w:val="23"/>
                          <w:rFonts w:hint="eastAsia" w:ascii="黑体" w:hAnsi="黑体"/>
                          <w:b w:val="0"/>
                          <w:sz w:val="28"/>
                          <w:szCs w:val="28"/>
                        </w:rPr>
                        <w:t>市场监督管理局</w:t>
                      </w:r>
                      <w:r>
                        <w:rPr>
                          <w:rStyle w:val="24"/>
                          <w:rFonts w:hint="eastAsia" w:hAnsi="黑体"/>
                          <w:b/>
                        </w:rPr>
                        <w:t xml:space="preserve"> </w:t>
                      </w:r>
                      <w:r>
                        <w:rPr>
                          <w:rStyle w:val="24"/>
                          <w:rFonts w:hint="eastAsia" w:hAnsi="黑体"/>
                        </w:rPr>
                        <w:t>发布</w:t>
                      </w:r>
                    </w:p>
                  </w:txbxContent>
                </v:textbox>
                <w10:anchorlock/>
              </v:shape>
            </w:pict>
          </mc:Fallback>
        </mc:AlternateContent>
      </w:r>
      <w:r>
        <mc:AlternateContent>
          <mc:Choice Requires="wps">
            <w:drawing>
              <wp:anchor distT="0" distB="0" distL="114300" distR="114300" simplePos="0" relativeHeight="251664384" behindDoc="0" locked="1" layoutInCell="1" allowOverlap="1">
                <wp:simplePos x="0" y="0"/>
                <wp:positionH relativeFrom="margin">
                  <wp:posOffset>4100830</wp:posOffset>
                </wp:positionH>
                <wp:positionV relativeFrom="margin">
                  <wp:posOffset>8563610</wp:posOffset>
                </wp:positionV>
                <wp:extent cx="2019300" cy="312420"/>
                <wp:effectExtent l="0" t="0" r="0" b="11430"/>
                <wp:wrapNone/>
                <wp:docPr id="9" name="文本框 9"/>
                <wp:cNvGraphicFramePr/>
                <a:graphic xmlns:a="http://schemas.openxmlformats.org/drawingml/2006/main">
                  <a:graphicData uri="http://schemas.microsoft.com/office/word/2010/wordprocessingShape">
                    <wps:wsp>
                      <wps:cNvSpPr txBox="true"/>
                      <wps:spPr>
                        <a:xfrm>
                          <a:off x="0" y="0"/>
                          <a:ext cx="2019300" cy="312420"/>
                        </a:xfrm>
                        <a:prstGeom prst="rect">
                          <a:avLst/>
                        </a:prstGeom>
                        <a:solidFill>
                          <a:srgbClr val="FFFFFF"/>
                        </a:solidFill>
                        <a:ln>
                          <a:noFill/>
                        </a:ln>
                      </wps:spPr>
                      <wps:txbx>
                        <w:txbxContent>
                          <w:p>
                            <w:pPr>
                              <w:pStyle w:val="25"/>
                              <w:rPr>
                                <w:rFonts w:ascii="黑体" w:hAnsi="黑体"/>
                              </w:rPr>
                            </w:pPr>
                            <w:r>
                              <w:rPr>
                                <w:rFonts w:hint="eastAsia" w:ascii="黑体" w:hAnsi="黑体"/>
                              </w:rPr>
                              <w:t>XXXX-XX- XX实施</w:t>
                            </w:r>
                          </w:p>
                          <w:p>
                            <w:pPr>
                              <w:pStyle w:val="25"/>
                              <w:rPr>
                                <w:b/>
                                <w:bCs/>
                              </w:rPr>
                            </w:pPr>
                            <w:r>
                              <w:rPr>
                                <w:rFonts w:hint="eastAsia"/>
                                <w:b/>
                                <w:bCs/>
                              </w:rPr>
                              <w:t>实施</w:t>
                            </w:r>
                          </w:p>
                        </w:txbxContent>
                      </wps:txbx>
                      <wps:bodyPr lIns="0" tIns="0" rIns="0" bIns="0" upright="true"/>
                    </wps:wsp>
                  </a:graphicData>
                </a:graphic>
              </wp:anchor>
            </w:drawing>
          </mc:Choice>
          <mc:Fallback>
            <w:pict>
              <v:shape id="_x0000_s1026" o:spid="_x0000_s1026" o:spt="202" type="#_x0000_t202" style="position:absolute;left:0pt;margin-left:322.9pt;margin-top:674.3pt;height:24.6pt;width:159pt;mso-position-horizontal-relative:margin;mso-position-vertical-relative:margin;z-index:251664384;mso-width-relative:page;mso-height-relative:page;" fillcolor="#FFFFFF" filled="t" stroked="f" coordsize="21600,21600" o:gfxdata="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FgAAAGRycy9QSwECFAAUAAAACACHTuJAQv2q19oAAAANAQAADwAAAAAAAAABACAAAAA4AAAA&#10;ZHJzL2Rvd25yZXYueG1sUEsBAhQAFAAAAAgAh07iQMHit+G2AQAAUwMAAA4AAAAAAAAAAQAgAAAA&#10;PwEAAGRycy9lMm9Eb2MueG1sUEsFBgAAAAAGAAYAWQEAAGcFAAAAAA==&#10;">
                <v:fill on="t" focussize="0,0"/>
                <v:stroke on="f"/>
                <v:imagedata o:title=""/>
                <o:lock v:ext="edit" aspectratio="f"/>
                <v:textbox inset="0mm,0mm,0mm,0mm">
                  <w:txbxContent>
                    <w:p>
                      <w:pPr>
                        <w:pStyle w:val="25"/>
                        <w:rPr>
                          <w:rFonts w:ascii="黑体" w:hAnsi="黑体"/>
                        </w:rPr>
                      </w:pPr>
                      <w:r>
                        <w:rPr>
                          <w:rFonts w:hint="eastAsia" w:ascii="黑体" w:hAnsi="黑体"/>
                        </w:rPr>
                        <w:t>XXXX-XX- XX实施</w:t>
                      </w:r>
                    </w:p>
                    <w:p>
                      <w:pPr>
                        <w:pStyle w:val="25"/>
                        <w:rPr>
                          <w:b/>
                          <w:bCs/>
                        </w:rPr>
                      </w:pPr>
                      <w:r>
                        <w:rPr>
                          <w:rFonts w:hint="eastAsia"/>
                          <w:b/>
                          <w:bCs/>
                        </w:rPr>
                        <w:t>实施</w:t>
                      </w:r>
                    </w:p>
                  </w:txbxContent>
                </v:textbox>
                <w10:anchorlock/>
              </v:shape>
            </w:pict>
          </mc:Fallback>
        </mc:AlternateContent>
      </w:r>
      <w:r>
        <mc:AlternateContent>
          <mc:Choice Requires="wps">
            <w:drawing>
              <wp:anchor distT="0" distB="0" distL="114300" distR="114300" simplePos="0" relativeHeight="251663360" behindDoc="0" locked="1" layoutInCell="1" allowOverlap="1">
                <wp:simplePos x="0" y="0"/>
                <wp:positionH relativeFrom="margin">
                  <wp:posOffset>0</wp:posOffset>
                </wp:positionH>
                <wp:positionV relativeFrom="margin">
                  <wp:posOffset>8563610</wp:posOffset>
                </wp:positionV>
                <wp:extent cx="2019300" cy="312420"/>
                <wp:effectExtent l="0" t="0" r="0" b="11430"/>
                <wp:wrapNone/>
                <wp:docPr id="3" name="文本框 3"/>
                <wp:cNvGraphicFramePr/>
                <a:graphic xmlns:a="http://schemas.openxmlformats.org/drawingml/2006/main">
                  <a:graphicData uri="http://schemas.microsoft.com/office/word/2010/wordprocessingShape">
                    <wps:wsp>
                      <wps:cNvSpPr txBox="true"/>
                      <wps:spPr>
                        <a:xfrm>
                          <a:off x="0" y="0"/>
                          <a:ext cx="2019300" cy="312420"/>
                        </a:xfrm>
                        <a:prstGeom prst="rect">
                          <a:avLst/>
                        </a:prstGeom>
                        <a:solidFill>
                          <a:srgbClr val="FFFFFF"/>
                        </a:solidFill>
                        <a:ln>
                          <a:noFill/>
                        </a:ln>
                      </wps:spPr>
                      <wps:txbx>
                        <w:txbxContent>
                          <w:p>
                            <w:pPr>
                              <w:pStyle w:val="26"/>
                              <w:rPr>
                                <w:rFonts w:ascii="黑体" w:hAnsi="黑体"/>
                              </w:rPr>
                            </w:pPr>
                            <w:r>
                              <w:rPr>
                                <w:rFonts w:hint="eastAsia" w:ascii="黑体" w:hAnsi="黑体"/>
                              </w:rPr>
                              <w:t>XXXX-XX- XX发布</w:t>
                            </w:r>
                          </w:p>
                        </w:txbxContent>
                      </wps:txbx>
                      <wps:bodyPr lIns="0" tIns="0" rIns="0" bIns="0" upright="true"/>
                    </wps:wsp>
                  </a:graphicData>
                </a:graphic>
              </wp:anchor>
            </w:drawing>
          </mc:Choice>
          <mc:Fallback>
            <w:pict>
              <v:shape id="_x0000_s1026" o:spid="_x0000_s1026" o:spt="202" type="#_x0000_t202" style="position:absolute;left:0pt;margin-left:0pt;margin-top:674.3pt;height:24.6pt;width:159pt;mso-position-horizontal-relative:margin;mso-position-vertical-relative:margin;z-index:251663360;mso-width-relative:page;mso-height-relative:page;" fillcolor="#FFFFFF" filled="t" stroked="f" coordsize="21600,21600" o:gfxdata="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FgAAAGRycy9QSwECFAAUAAAACACHTuJAXzbKiNgAAAAKAQAADwAAAAAAAAABACAAAAA4AAAAZHJz&#10;L2Rvd25yZXYueG1sUEsBAhQAFAAAAAgAh07iQC3hKPi1AQAAUwMAAA4AAAAAAAAAAQAgAAAAPQEA&#10;AGRycy9lMm9Eb2MueG1sUEsFBgAAAAAGAAYAWQEAAGQFAAAAAA==&#10;">
                <v:fill on="t" focussize="0,0"/>
                <v:stroke on="f"/>
                <v:imagedata o:title=""/>
                <o:lock v:ext="edit" aspectratio="f"/>
                <v:textbox inset="0mm,0mm,0mm,0mm">
                  <w:txbxContent>
                    <w:p>
                      <w:pPr>
                        <w:pStyle w:val="26"/>
                        <w:rPr>
                          <w:rFonts w:ascii="黑体" w:hAnsi="黑体"/>
                        </w:rPr>
                      </w:pPr>
                      <w:r>
                        <w:rPr>
                          <w:rFonts w:hint="eastAsia" w:ascii="黑体" w:hAnsi="黑体"/>
                        </w:rPr>
                        <w:t>XXXX-XX- XX发布</w:t>
                      </w:r>
                    </w:p>
                  </w:txbxContent>
                </v:textbox>
                <w10:anchorlock/>
              </v:shape>
            </w:pict>
          </mc:Fallback>
        </mc:AlternateContent>
      </w:r>
      <w:bookmarkStart w:id="5" w:name="_GoBack"/>
      <w:bookmarkEnd w:id="5"/>
      <w:r>
        <mc:AlternateContent>
          <mc:Choice Requires="wps">
            <w:drawing>
              <wp:anchor distT="0" distB="0" distL="114300" distR="114300" simplePos="0" relativeHeight="251662336" behindDoc="0" locked="1" layoutInCell="1" allowOverlap="1">
                <wp:simplePos x="0" y="0"/>
                <wp:positionH relativeFrom="margin">
                  <wp:posOffset>0</wp:posOffset>
                </wp:positionH>
                <wp:positionV relativeFrom="margin">
                  <wp:posOffset>4097655</wp:posOffset>
                </wp:positionV>
                <wp:extent cx="5969000" cy="3707765"/>
                <wp:effectExtent l="0" t="0" r="12700" b="6985"/>
                <wp:wrapNone/>
                <wp:docPr id="4" name="文本框 4"/>
                <wp:cNvGraphicFramePr/>
                <a:graphic xmlns:a="http://schemas.openxmlformats.org/drawingml/2006/main">
                  <a:graphicData uri="http://schemas.microsoft.com/office/word/2010/wordprocessingShape">
                    <wps:wsp>
                      <wps:cNvSpPr txBox="true"/>
                      <wps:spPr>
                        <a:xfrm>
                          <a:off x="0" y="0"/>
                          <a:ext cx="5969000" cy="3707765"/>
                        </a:xfrm>
                        <a:prstGeom prst="rect">
                          <a:avLst/>
                        </a:prstGeom>
                        <a:solidFill>
                          <a:srgbClr val="FFFFFF"/>
                        </a:solidFill>
                        <a:ln>
                          <a:noFill/>
                        </a:ln>
                      </wps:spPr>
                      <wps:txbx>
                        <w:txbxContent>
                          <w:p>
                            <w:pPr>
                              <w:pStyle w:val="27"/>
                              <w:rPr>
                                <w:sz w:val="52"/>
                              </w:rPr>
                            </w:pPr>
                            <w:r>
                              <w:rPr>
                                <w:rFonts w:hint="eastAsia"/>
                                <w:sz w:val="52"/>
                              </w:rPr>
                              <w:t>梨树黑星病绿色防控技术规程</w:t>
                            </w:r>
                          </w:p>
                          <w:p>
                            <w:pPr>
                              <w:pStyle w:val="29"/>
                              <w:rPr>
                                <w:rFonts w:hint="eastAsia" w:ascii="黑体" w:eastAsia="黑体"/>
                                <w:sz w:val="24"/>
                                <w:szCs w:val="24"/>
                                <w:lang w:val="en" w:eastAsia="zh-CN"/>
                              </w:rPr>
                            </w:pPr>
                            <w:r>
                              <w:rPr>
                                <w:rFonts w:hint="eastAsia" w:eastAsia="黑体"/>
                                <w:color w:val="000000"/>
                                <w:sz w:val="24"/>
                                <w:szCs w:val="24"/>
                                <w:lang w:val="en" w:eastAsia="zh-CN"/>
                              </w:rPr>
                              <w:t>（征求意见稿）</w:t>
                            </w:r>
                          </w:p>
                        </w:txbxContent>
                      </wps:txbx>
                      <wps:bodyPr lIns="0" tIns="0" rIns="0" bIns="0" upright="true"/>
                    </wps:wsp>
                  </a:graphicData>
                </a:graphic>
              </wp:anchor>
            </w:drawing>
          </mc:Choice>
          <mc:Fallback>
            <w:pict>
              <v:shape id="_x0000_s1026" o:spid="_x0000_s1026" o:spt="202" type="#_x0000_t202" style="position:absolute;left:0pt;margin-left:0pt;margin-top:322.65pt;height:291.95pt;width:470pt;mso-position-horizontal-relative:margin;mso-position-vertical-relative:margin;z-index:251662336;mso-width-relative:page;mso-height-relative:page;" fillcolor="#FFFFFF" filled="t" stroked="f" coordsize="21600,21600" o:gfxdata="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WAAAAZHJzL1BLAQIUABQAAAAIAIdO4kCpjBLc2AAAAAkBAAAPAAAAAAAAAAEAIAAAADgAAABk&#10;cnMvZG93bnJldi54bWxQSwECFAAUAAAACACHTuJAN3t2BbcBAABUAwAADgAAAAAAAAABACAAAAA9&#10;AQAAZHJzL2Uyb0RvYy54bWxQSwUGAAAAAAYABgBZAQAAZgUAAAAA&#10;">
                <v:fill on="t" focussize="0,0"/>
                <v:stroke on="f"/>
                <v:imagedata o:title=""/>
                <o:lock v:ext="edit" aspectratio="f"/>
                <v:textbox inset="0mm,0mm,0mm,0mm">
                  <w:txbxContent>
                    <w:p>
                      <w:pPr>
                        <w:pStyle w:val="27"/>
                        <w:rPr>
                          <w:sz w:val="52"/>
                        </w:rPr>
                      </w:pPr>
                      <w:r>
                        <w:rPr>
                          <w:rFonts w:hint="eastAsia"/>
                          <w:sz w:val="52"/>
                        </w:rPr>
                        <w:t>梨树黑星病绿色防控技术规程</w:t>
                      </w:r>
                    </w:p>
                    <w:p>
                      <w:pPr>
                        <w:pStyle w:val="29"/>
                        <w:rPr>
                          <w:rFonts w:hint="eastAsia" w:ascii="黑体" w:eastAsia="黑体"/>
                          <w:sz w:val="24"/>
                          <w:szCs w:val="24"/>
                          <w:lang w:val="en" w:eastAsia="zh-CN"/>
                        </w:rPr>
                      </w:pPr>
                      <w:r>
                        <w:rPr>
                          <w:rFonts w:hint="eastAsia" w:eastAsia="黑体"/>
                          <w:color w:val="000000"/>
                          <w:sz w:val="24"/>
                          <w:szCs w:val="24"/>
                          <w:lang w:val="en" w:eastAsia="zh-CN"/>
                        </w:rPr>
                        <w:t>（征求意见稿）</w:t>
                      </w:r>
                    </w:p>
                  </w:txbxContent>
                </v:textbox>
                <w10:anchorlock/>
              </v:shape>
            </w:pict>
          </mc:Fallback>
        </mc:AlternateContent>
      </w:r>
      <w:r>
        <mc:AlternateContent>
          <mc:Choice Requires="wps">
            <w:drawing>
              <wp:anchor distT="0" distB="0" distL="114300" distR="114300" simplePos="0" relativeHeight="251658240" behindDoc="1" locked="1" layoutInCell="1" allowOverlap="1">
                <wp:simplePos x="0" y="0"/>
                <wp:positionH relativeFrom="margin">
                  <wp:posOffset>266700</wp:posOffset>
                </wp:positionH>
                <wp:positionV relativeFrom="margin">
                  <wp:posOffset>1302385</wp:posOffset>
                </wp:positionV>
                <wp:extent cx="5667375" cy="1471295"/>
                <wp:effectExtent l="0" t="0" r="9525" b="14605"/>
                <wp:wrapNone/>
                <wp:docPr id="1" name="文本框 1"/>
                <wp:cNvGraphicFramePr/>
                <a:graphic xmlns:a="http://schemas.openxmlformats.org/drawingml/2006/main">
                  <a:graphicData uri="http://schemas.microsoft.com/office/word/2010/wordprocessingShape">
                    <wps:wsp>
                      <wps:cNvSpPr txBox="true"/>
                      <wps:spPr>
                        <a:xfrm>
                          <a:off x="0" y="0"/>
                          <a:ext cx="5667375" cy="1471295"/>
                        </a:xfrm>
                        <a:prstGeom prst="rect">
                          <a:avLst/>
                        </a:prstGeom>
                        <a:solidFill>
                          <a:srgbClr val="FFFFFF"/>
                        </a:solidFill>
                        <a:ln>
                          <a:noFill/>
                        </a:ln>
                      </wps:spPr>
                      <wps:txbx>
                        <w:txbxContent>
                          <w:p>
                            <w:pPr>
                              <w:pStyle w:val="30"/>
                              <w:spacing w:line="300" w:lineRule="exact"/>
                              <w:rPr>
                                <w:b/>
                                <w:bCs/>
                              </w:rPr>
                            </w:pPr>
                          </w:p>
                          <w:p>
                            <w:pPr>
                              <w:pStyle w:val="30"/>
                              <w:rPr>
                                <w:rFonts w:ascii="黑体" w:hAnsi="黑体" w:eastAsia="黑体"/>
                                <w:lang w:val="en"/>
                              </w:rPr>
                            </w:pPr>
                            <w:r>
                              <w:rPr>
                                <w:rFonts w:hint="eastAsia" w:ascii="黑体" w:hAnsi="黑体" w:eastAsia="黑体"/>
                              </w:rPr>
                              <w:t>DB xx/T XXX-202</w:t>
                            </w:r>
                            <w:r>
                              <w:rPr>
                                <w:rFonts w:ascii="黑体" w:hAnsi="黑体" w:eastAsia="黑体"/>
                                <w:lang w:val="en"/>
                              </w:rPr>
                              <w:t>3</w:t>
                            </w:r>
                          </w:p>
                          <w:p>
                            <w:pPr>
                              <w:pStyle w:val="30"/>
                              <w:spacing w:before="0" w:line="400" w:lineRule="exact"/>
                              <w:rPr>
                                <w:b/>
                                <w:bCs/>
                              </w:rPr>
                            </w:pPr>
                          </w:p>
                          <w:p>
                            <w:pPr>
                              <w:pStyle w:val="30"/>
                              <w:wordWrap w:val="0"/>
                              <w:rPr>
                                <w:b/>
                                <w:bCs/>
                              </w:rPr>
                            </w:pPr>
                            <w:r>
                              <w:rPr>
                                <w:rFonts w:hint="eastAsia"/>
                                <w:b/>
                                <w:bCs/>
                              </w:rPr>
                              <w:t xml:space="preserve">   </w:t>
                            </w:r>
                          </w:p>
                          <w:p>
                            <w:pPr>
                              <w:pStyle w:val="30"/>
                              <w:rPr>
                                <w:b/>
                                <w:bCs/>
                              </w:rPr>
                            </w:pPr>
                          </w:p>
                        </w:txbxContent>
                      </wps:txbx>
                      <wps:bodyPr lIns="0" tIns="0" rIns="0" bIns="0" upright="true"/>
                    </wps:wsp>
                  </a:graphicData>
                </a:graphic>
              </wp:anchor>
            </w:drawing>
          </mc:Choice>
          <mc:Fallback>
            <w:pict>
              <v:shape id="_x0000_s1026" o:spid="_x0000_s1026" o:spt="202" type="#_x0000_t202" style="position:absolute;left:0pt;margin-left:21pt;margin-top:102.55pt;height:115.85pt;width:446.25pt;mso-position-horizontal-relative:margin;mso-position-vertical-relative:margin;z-index:-251658240;mso-width-relative:page;mso-height-relative:page;" fillcolor="#FFFFFF" filled="t" stroked="f" coordsize="21600,21600" o:gfxdata="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WAAAAZHJzL1BLAQIUABQAAAAIAIdO4kC3Ff/Q2QAAAAoBAAAPAAAAAAAAAAEAIAAAADgAAABk&#10;cnMvZG93bnJldi54bWxQSwECFAAUAAAACACHTuJAHIRIqLYBAABUAwAADgAAAAAAAAABACAAAAA+&#10;AQAAZHJzL2Uyb0RvYy54bWxQSwUGAAAAAAYABgBZAQAAZgUAAAAA&#10;">
                <v:fill on="t" focussize="0,0"/>
                <v:stroke on="f"/>
                <v:imagedata o:title=""/>
                <o:lock v:ext="edit" aspectratio="f"/>
                <v:textbox inset="0mm,0mm,0mm,0mm">
                  <w:txbxContent>
                    <w:p>
                      <w:pPr>
                        <w:pStyle w:val="30"/>
                        <w:spacing w:line="300" w:lineRule="exact"/>
                        <w:rPr>
                          <w:b/>
                          <w:bCs/>
                        </w:rPr>
                      </w:pPr>
                    </w:p>
                    <w:p>
                      <w:pPr>
                        <w:pStyle w:val="30"/>
                        <w:rPr>
                          <w:rFonts w:ascii="黑体" w:hAnsi="黑体" w:eastAsia="黑体"/>
                          <w:lang w:val="en"/>
                        </w:rPr>
                      </w:pPr>
                      <w:r>
                        <w:rPr>
                          <w:rFonts w:hint="eastAsia" w:ascii="黑体" w:hAnsi="黑体" w:eastAsia="黑体"/>
                        </w:rPr>
                        <w:t>DB xx/T XXX-202</w:t>
                      </w:r>
                      <w:r>
                        <w:rPr>
                          <w:rFonts w:ascii="黑体" w:hAnsi="黑体" w:eastAsia="黑体"/>
                          <w:lang w:val="en"/>
                        </w:rPr>
                        <w:t>3</w:t>
                      </w:r>
                    </w:p>
                    <w:p>
                      <w:pPr>
                        <w:pStyle w:val="30"/>
                        <w:spacing w:before="0" w:line="400" w:lineRule="exact"/>
                        <w:rPr>
                          <w:b/>
                          <w:bCs/>
                        </w:rPr>
                      </w:pPr>
                    </w:p>
                    <w:p>
                      <w:pPr>
                        <w:pStyle w:val="30"/>
                        <w:wordWrap w:val="0"/>
                        <w:rPr>
                          <w:b/>
                          <w:bCs/>
                        </w:rPr>
                      </w:pPr>
                      <w:r>
                        <w:rPr>
                          <w:rFonts w:hint="eastAsia"/>
                          <w:b/>
                          <w:bCs/>
                        </w:rPr>
                        <w:t xml:space="preserve">   </w:t>
                      </w:r>
                    </w:p>
                    <w:p>
                      <w:pPr>
                        <w:pStyle w:val="30"/>
                        <w:rPr>
                          <w:b/>
                          <w:bCs/>
                        </w:rPr>
                      </w:pPr>
                    </w:p>
                  </w:txbxContent>
                </v:textbox>
                <w10:anchorlock/>
              </v:shape>
            </w:pict>
          </mc:Fallback>
        </mc:AlternateContent>
      </w:r>
      <w:r>
        <mc:AlternateContent>
          <mc:Choice Requires="wps">
            <w:drawing>
              <wp:anchor distT="0" distB="0" distL="114300" distR="114300" simplePos="0" relativeHeight="251661312" behindDoc="0" locked="1" layoutInCell="1" allowOverlap="1">
                <wp:simplePos x="0" y="0"/>
                <wp:positionH relativeFrom="margin">
                  <wp:posOffset>2933700</wp:posOffset>
                </wp:positionH>
                <wp:positionV relativeFrom="margin">
                  <wp:posOffset>107315</wp:posOffset>
                </wp:positionV>
                <wp:extent cx="3175000" cy="720090"/>
                <wp:effectExtent l="0" t="0" r="6350" b="3810"/>
                <wp:wrapNone/>
                <wp:docPr id="6" name="文本框 6"/>
                <wp:cNvGraphicFramePr/>
                <a:graphic xmlns:a="http://schemas.openxmlformats.org/drawingml/2006/main">
                  <a:graphicData uri="http://schemas.microsoft.com/office/word/2010/wordprocessingShape">
                    <wps:wsp>
                      <wps:cNvSpPr txBox="true"/>
                      <wps:spPr>
                        <a:xfrm>
                          <a:off x="0" y="0"/>
                          <a:ext cx="3175000" cy="720090"/>
                        </a:xfrm>
                        <a:prstGeom prst="rect">
                          <a:avLst/>
                        </a:prstGeom>
                        <a:solidFill>
                          <a:srgbClr val="FFFFFF"/>
                        </a:solidFill>
                        <a:ln>
                          <a:noFill/>
                        </a:ln>
                      </wps:spPr>
                      <wps:txbx>
                        <w:txbxContent>
                          <w:p>
                            <w:pPr>
                              <w:pStyle w:val="31"/>
                            </w:pPr>
                            <w:r>
                              <w:rPr>
                                <w:rFonts w:hint="eastAsia"/>
                              </w:rPr>
                              <w:t>DBxx</w:t>
                            </w:r>
                          </w:p>
                        </w:txbxContent>
                      </wps:txbx>
                      <wps:bodyPr lIns="0" tIns="0" rIns="0" bIns="0" upright="true"/>
                    </wps:wsp>
                  </a:graphicData>
                </a:graphic>
              </wp:anchor>
            </w:drawing>
          </mc:Choice>
          <mc:Fallback>
            <w:pict>
              <v:shape id="_x0000_s1026" o:spid="_x0000_s1026" o:spt="202" type="#_x0000_t202" style="position:absolute;left:0pt;margin-left:231pt;margin-top:8.45pt;height:56.7pt;width:250pt;mso-position-horizontal-relative:margin;mso-position-vertical-relative:margin;z-index:251661312;mso-width-relative:page;mso-height-relative:page;" fillcolor="#FFFFFF" filled="t" stroked="f" coordsize="21600,21600" o:gfxdata="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FgAAAGRycy9QSwECFAAUAAAACACHTuJAaWNze9cAAAAKAQAADwAAAAAAAAABACAAAAA4AAAAZHJz&#10;L2Rvd25yZXYueG1sUEsBAhQAFAAAAAgAh07iQJF7iCe2AQAAUwMAAA4AAAAAAAAAAQAgAAAAPAEA&#10;AGRycy9lMm9Eb2MueG1sUEsFBgAAAAAGAAYAWQEAAGQFAAAAAA==&#10;">
                <v:fill on="t" focussize="0,0"/>
                <v:stroke on="f"/>
                <v:imagedata o:title=""/>
                <o:lock v:ext="edit" aspectratio="f"/>
                <v:textbox inset="0mm,0mm,0mm,0mm">
                  <w:txbxContent>
                    <w:p>
                      <w:pPr>
                        <w:pStyle w:val="31"/>
                      </w:pPr>
                      <w:r>
                        <w:rPr>
                          <w:rFonts w:hint="eastAsia"/>
                        </w:rPr>
                        <w:t>DBxx</w:t>
                      </w:r>
                    </w:p>
                  </w:txbxContent>
                </v:textbox>
                <w10:anchorlock/>
              </v:shape>
            </w:pict>
          </mc:Fallback>
        </mc:AlternateContent>
      </w:r>
      <w:r>
        <mc:AlternateContent>
          <mc:Choice Requires="wps">
            <w:drawing>
              <wp:anchor distT="0" distB="0" distL="114300" distR="114300" simplePos="0" relativeHeight="251660288" behindDoc="0" locked="1" layoutInCell="1" allowOverlap="1">
                <wp:simplePos x="0" y="0"/>
                <wp:positionH relativeFrom="margin">
                  <wp:posOffset>0</wp:posOffset>
                </wp:positionH>
                <wp:positionV relativeFrom="margin">
                  <wp:posOffset>1010920</wp:posOffset>
                </wp:positionV>
                <wp:extent cx="6120130" cy="574040"/>
                <wp:effectExtent l="0" t="0" r="13970" b="16510"/>
                <wp:wrapNone/>
                <wp:docPr id="2" name="文本框 2"/>
                <wp:cNvGraphicFramePr/>
                <a:graphic xmlns:a="http://schemas.openxmlformats.org/drawingml/2006/main">
                  <a:graphicData uri="http://schemas.microsoft.com/office/word/2010/wordprocessingShape">
                    <wps:wsp>
                      <wps:cNvSpPr txBox="true"/>
                      <wps:spPr>
                        <a:xfrm>
                          <a:off x="0" y="0"/>
                          <a:ext cx="6120130" cy="574040"/>
                        </a:xfrm>
                        <a:prstGeom prst="rect">
                          <a:avLst/>
                        </a:prstGeom>
                        <a:solidFill>
                          <a:srgbClr val="FFFFFF"/>
                        </a:solidFill>
                        <a:ln>
                          <a:noFill/>
                        </a:ln>
                      </wps:spPr>
                      <wps:txbx>
                        <w:txbxContent>
                          <w:p>
                            <w:pPr>
                              <w:pStyle w:val="32"/>
                            </w:pPr>
                            <w:r>
                              <w:rPr>
                                <w:rFonts w:hint="eastAsia"/>
                              </w:rPr>
                              <w:t>河北省地方标准</w:t>
                            </w:r>
                          </w:p>
                        </w:txbxContent>
                      </wps:txbx>
                      <wps:bodyPr lIns="0" tIns="0" rIns="0" bIns="0" upright="true"/>
                    </wps:wsp>
                  </a:graphicData>
                </a:graphic>
              </wp:anchor>
            </w:drawing>
          </mc:Choice>
          <mc:Fallback>
            <w:pict>
              <v:shape id="_x0000_s1026" o:spid="_x0000_s1026" o:spt="202" type="#_x0000_t202" style="position:absolute;left:0pt;margin-left:0pt;margin-top:79.6pt;height:45.2pt;width:481.9pt;mso-position-horizontal-relative:margin;mso-position-vertical-relative:margin;z-index:251660288;mso-width-relative:page;mso-height-relative:page;" fillcolor="#FFFFFF" filled="t" stroked="f" coordsize="21600,21600" o:gfxdata="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FgAAAGRycy9QSwECFAAUAAAACACHTuJA4vC7n9cAAAAIAQAADwAAAAAAAAABACAAAAA4AAAAZHJz&#10;L2Rvd25yZXYueG1sUEsBAhQAFAAAAAgAh07iQGLcGdS2AQAAUwMAAA4AAAAAAAAAAQAgAAAAPAEA&#10;AGRycy9lMm9Eb2MueG1sUEsFBgAAAAAGAAYAWQEAAGQFAAAAAA==&#10;">
                <v:fill on="t" focussize="0,0"/>
                <v:stroke on="f"/>
                <v:imagedata o:title=""/>
                <o:lock v:ext="edit" aspectratio="f"/>
                <v:textbox inset="0mm,0mm,0mm,0mm">
                  <w:txbxContent>
                    <w:p>
                      <w:pPr>
                        <w:pStyle w:val="32"/>
                      </w:pPr>
                      <w:r>
                        <w:rPr>
                          <w:rFonts w:hint="eastAsia"/>
                        </w:rPr>
                        <w:t>河北省地方标准</w:t>
                      </w:r>
                    </w:p>
                  </w:txbxContent>
                </v:textbox>
                <w10:anchorlock/>
              </v:shape>
            </w:pict>
          </mc:Fallback>
        </mc:AlternateContent>
      </w:r>
      <w:r>
        <mc:AlternateContent>
          <mc:Choice Requires="wps">
            <w:drawing>
              <wp:anchor distT="0" distB="0" distL="114300" distR="114300" simplePos="0" relativeHeight="251659264" behindDoc="0" locked="1" layoutInCell="1" allowOverlap="1">
                <wp:simplePos x="0" y="0"/>
                <wp:positionH relativeFrom="margin">
                  <wp:posOffset>0</wp:posOffset>
                </wp:positionH>
                <wp:positionV relativeFrom="margin">
                  <wp:posOffset>0</wp:posOffset>
                </wp:positionV>
                <wp:extent cx="2540000" cy="657860"/>
                <wp:effectExtent l="0" t="0" r="12700" b="8890"/>
                <wp:wrapNone/>
                <wp:docPr id="7" name="文本框 7"/>
                <wp:cNvGraphicFramePr/>
                <a:graphic xmlns:a="http://schemas.openxmlformats.org/drawingml/2006/main">
                  <a:graphicData uri="http://schemas.microsoft.com/office/word/2010/wordprocessingShape">
                    <wps:wsp>
                      <wps:cNvSpPr txBox="true"/>
                      <wps:spPr>
                        <a:xfrm>
                          <a:off x="0" y="0"/>
                          <a:ext cx="2540000" cy="657860"/>
                        </a:xfrm>
                        <a:prstGeom prst="rect">
                          <a:avLst/>
                        </a:prstGeom>
                        <a:solidFill>
                          <a:srgbClr val="FFFFFF"/>
                        </a:solidFill>
                        <a:ln>
                          <a:noFill/>
                        </a:ln>
                      </wps:spPr>
                      <wps:txbx>
                        <w:txbxContent>
                          <w:p>
                            <w:pPr>
                              <w:pStyle w:val="33"/>
                            </w:pPr>
                            <w:r>
                              <w:t>ICS</w:t>
                            </w:r>
                          </w:p>
                          <w:p>
                            <w:pPr>
                              <w:pStyle w:val="33"/>
                            </w:pPr>
                            <w:r>
                              <w:rPr>
                                <w:rFonts w:hint="eastAsia"/>
                              </w:rPr>
                              <w:t>备案号：</w:t>
                            </w:r>
                          </w:p>
                        </w:txbxContent>
                      </wps:txbx>
                      <wps:bodyPr lIns="0" tIns="0" rIns="0" bIns="0" upright="true"/>
                    </wps:wsp>
                  </a:graphicData>
                </a:graphic>
              </wp:anchor>
            </w:drawing>
          </mc:Choice>
          <mc:Fallback>
            <w:pict>
              <v:shape id="_x0000_s1026" o:spid="_x0000_s1026" o:spt="202" type="#_x0000_t202" style="position:absolute;left:0pt;margin-left:0pt;margin-top:0pt;height:51.8pt;width:200pt;mso-position-horizontal-relative:margin;mso-position-vertical-relative:margin;z-index:251659264;mso-width-relative:page;mso-height-relative:page;" fillcolor="#FFFFFF" filled="t" stroked="f" coordsize="21600,21600" o:gfxdata="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MXsy+DTAAAABQEAAA8AAAAAAAAAAQAgAAAAOAAAAGRycy9k&#10;b3ducmV2LnhtbFBLAQIUABQAAAAIAIdO4kB+iPOvuAEAAFMDAAAOAAAAAAAAAAEAIAAAADgBAABk&#10;cnMvZTJvRG9jLnhtbFBLBQYAAAAABgAGAFkBAABiBQAAAAA=&#10;">
                <v:fill on="t" focussize="0,0"/>
                <v:stroke on="f"/>
                <v:imagedata o:title=""/>
                <o:lock v:ext="edit" aspectratio="f"/>
                <v:textbox inset="0mm,0mm,0mm,0mm">
                  <w:txbxContent>
                    <w:p>
                      <w:pPr>
                        <w:pStyle w:val="33"/>
                      </w:pPr>
                      <w:r>
                        <w:t>ICS</w:t>
                      </w:r>
                    </w:p>
                    <w:p>
                      <w:pPr>
                        <w:pStyle w:val="33"/>
                      </w:pPr>
                      <w:r>
                        <w:rPr>
                          <w:rFonts w:hint="eastAsia"/>
                        </w:rPr>
                        <w:t>备案号：</w:t>
                      </w:r>
                    </w:p>
                  </w:txbxContent>
                </v:textbox>
                <w10:anchorlock/>
              </v:shape>
            </w:pict>
          </mc:Fallback>
        </mc:AlternateContent>
      </w:r>
    </w:p>
    <w:bookmarkEnd w:id="0"/>
    <w:p>
      <w:pPr>
        <w:pStyle w:val="19"/>
        <w:rPr>
          <w:rFonts w:ascii="Times New Roman"/>
        </w:rPr>
      </w:pPr>
      <w:bookmarkStart w:id="2" w:name="SectionMark1"/>
    </w:p>
    <w:p/>
    <w:p/>
    <w:p/>
    <w:p/>
    <w:p/>
    <w:p/>
    <w:p/>
    <w:p/>
    <w:p>
      <w:pPr>
        <w:ind w:right="525"/>
        <w:jc w:val="right"/>
        <w:sectPr>
          <w:headerReference r:id="rId8" w:type="default"/>
          <w:footerReference r:id="rId10" w:type="default"/>
          <w:headerReference r:id="rId9" w:type="even"/>
          <w:footerReference r:id="rId11" w:type="even"/>
          <w:type w:val="continuous"/>
          <w:pgSz w:w="11907" w:h="16839"/>
          <w:pgMar w:top="1418" w:right="1134" w:bottom="1134" w:left="1418" w:header="1418" w:footer="851" w:gutter="0"/>
          <w:pgNumType w:fmt="upperRoman" w:start="1"/>
          <w:cols w:space="720" w:num="1"/>
          <w:docGrid w:type="lines" w:linePitch="312" w:charSpace="0"/>
        </w:sectPr>
      </w:pPr>
    </w:p>
    <w:bookmarkEnd w:id="2"/>
    <w:p>
      <w:pPr>
        <w:pStyle w:val="11"/>
        <w:rPr>
          <w:rFonts w:ascii="Times New Roman"/>
        </w:rPr>
      </w:pPr>
      <w:r>
        <w:rPr>
          <w:rFonts w:ascii="Times New Roman"/>
        </w:rPr>
        <w:t>前    言</w:t>
      </w:r>
    </w:p>
    <w:p>
      <w:pPr>
        <w:ind w:firstLine="420" w:firstLineChars="200"/>
        <w:rPr>
          <w:szCs w:val="21"/>
        </w:rPr>
      </w:pPr>
      <w:r>
        <w:rPr>
          <w:szCs w:val="21"/>
        </w:rPr>
        <w:t>本文件按GB/T1.1-2020《标准化工作导则 第1部分：标准化文件的结构和起草规则》的规定起草。</w:t>
      </w:r>
    </w:p>
    <w:p>
      <w:pPr>
        <w:ind w:firstLine="420" w:firstLineChars="200"/>
      </w:pPr>
      <w:r>
        <w:t>本文件由</w:t>
      </w:r>
      <w:r>
        <w:rPr>
          <w:rFonts w:hint="eastAsia"/>
        </w:rPr>
        <w:t>河北省农业农村厅</w:t>
      </w:r>
      <w:r>
        <w:t>提出。</w:t>
      </w:r>
    </w:p>
    <w:p>
      <w:pPr>
        <w:ind w:firstLine="420" w:firstLineChars="200"/>
        <w:rPr>
          <w:szCs w:val="21"/>
        </w:rPr>
      </w:pPr>
      <w:r>
        <w:rPr>
          <w:szCs w:val="21"/>
        </w:rPr>
        <w:t>本文件起草单位：河北吕端农业科技有限公司、廊坊市植保植检站、廊坊师范学院。</w:t>
      </w:r>
    </w:p>
    <w:p>
      <w:pPr>
        <w:ind w:firstLine="420" w:firstLineChars="200"/>
        <w:sectPr>
          <w:footerReference r:id="rId12" w:type="default"/>
          <w:pgSz w:w="11907" w:h="16839"/>
          <w:pgMar w:top="1418" w:right="1134" w:bottom="1134" w:left="1418" w:header="1418" w:footer="851" w:gutter="0"/>
          <w:pgNumType w:fmt="upperRoman" w:start="1"/>
          <w:cols w:space="720" w:num="1"/>
          <w:docGrid w:type="lines" w:linePitch="312" w:charSpace="0"/>
        </w:sectPr>
      </w:pPr>
      <w:r>
        <w:t>本文件主要起草人：刘玥、纪莉景、武盛、张金华、唐道磊、荆微微、张丽丽、步朝辉、李银环、金钊、尤海坡、车瑞香</w:t>
      </w:r>
    </w:p>
    <w:p>
      <w:pPr>
        <w:ind w:firstLine="640" w:firstLineChars="200"/>
        <w:jc w:val="center"/>
        <w:rPr>
          <w:sz w:val="32"/>
          <w:szCs w:val="32"/>
        </w:rPr>
      </w:pPr>
      <w:r>
        <w:rPr>
          <w:sz w:val="32"/>
          <w:szCs w:val="32"/>
        </w:rPr>
        <w:t>梨树黑星病绿色防控技术规程</w:t>
      </w:r>
    </w:p>
    <w:p>
      <w:pPr>
        <w:pStyle w:val="14"/>
        <w:numPr>
          <w:ilvl w:val="1"/>
          <w:numId w:val="0"/>
        </w:numPr>
        <w:spacing w:before="156" w:after="156" w:line="400" w:lineRule="exact"/>
        <w:rPr>
          <w:rFonts w:ascii="Times New Roman"/>
          <w:szCs w:val="21"/>
        </w:rPr>
      </w:pPr>
      <w:r>
        <w:rPr>
          <w:rFonts w:ascii="Times New Roman"/>
          <w:szCs w:val="21"/>
        </w:rPr>
        <w:t>1 范围</w:t>
      </w:r>
    </w:p>
    <w:p>
      <w:pPr>
        <w:ind w:firstLine="420" w:firstLineChars="200"/>
        <w:rPr>
          <w:szCs w:val="21"/>
        </w:rPr>
      </w:pPr>
      <w:r>
        <w:rPr>
          <w:szCs w:val="21"/>
        </w:rPr>
        <w:t>本文件规定了梨树黑星病绿色防控的</w:t>
      </w:r>
      <w:r>
        <w:rPr>
          <w:rFonts w:hint="eastAsia"/>
          <w:szCs w:val="21"/>
        </w:rPr>
        <w:t>术语和定义、防控原则和防控措施</w:t>
      </w:r>
      <w:r>
        <w:rPr>
          <w:szCs w:val="21"/>
        </w:rPr>
        <w:t>。</w:t>
      </w:r>
    </w:p>
    <w:p>
      <w:pPr>
        <w:ind w:firstLine="420" w:firstLineChars="200"/>
        <w:rPr>
          <w:szCs w:val="21"/>
        </w:rPr>
      </w:pPr>
      <w:r>
        <w:rPr>
          <w:szCs w:val="21"/>
        </w:rPr>
        <w:t>本标准适用于梨树生产过程中黑星病的绿色防控。</w:t>
      </w:r>
    </w:p>
    <w:p>
      <w:pPr>
        <w:pStyle w:val="14"/>
        <w:numPr>
          <w:ilvl w:val="1"/>
          <w:numId w:val="0"/>
        </w:numPr>
        <w:spacing w:before="156" w:after="156" w:line="400" w:lineRule="exact"/>
        <w:rPr>
          <w:rFonts w:ascii="Times New Roman"/>
          <w:szCs w:val="21"/>
        </w:rPr>
      </w:pPr>
      <w:r>
        <w:rPr>
          <w:rFonts w:ascii="Times New Roman"/>
          <w:szCs w:val="21"/>
        </w:rPr>
        <w:t>2 规范性引用文件</w:t>
      </w:r>
    </w:p>
    <w:p>
      <w:pPr>
        <w:pStyle w:val="10"/>
        <w:ind w:firstLine="420"/>
        <w:rPr>
          <w:rFonts w:ascii="Times New Roman"/>
          <w:szCs w:val="21"/>
        </w:rPr>
      </w:pPr>
      <w:r>
        <w:rPr>
          <w:rFonts w:ascii="Times New Roman"/>
          <w:szCs w:val="21"/>
        </w:rPr>
        <w:t>下列文件对于本文件的应用是必不可少的。凡是注日期的引用文件，仅注日期的版本适用于本文件。凡是不注日期的引用文件，其最新版本（包括所有的修改单）适用于本文件。</w:t>
      </w:r>
    </w:p>
    <w:p>
      <w:pPr>
        <w:pStyle w:val="10"/>
        <w:ind w:firstLine="420"/>
        <w:rPr>
          <w:rFonts w:ascii="Times New Roman"/>
          <w:szCs w:val="21"/>
        </w:rPr>
      </w:pPr>
      <w:r>
        <w:rPr>
          <w:rFonts w:ascii="Times New Roman"/>
          <w:szCs w:val="21"/>
        </w:rPr>
        <w:t>GB/T 8321（所有部分）农药合理使用准则</w:t>
      </w:r>
    </w:p>
    <w:p>
      <w:pPr>
        <w:pStyle w:val="10"/>
        <w:ind w:firstLine="420"/>
        <w:rPr>
          <w:rFonts w:ascii="Times New Roman"/>
          <w:szCs w:val="21"/>
        </w:rPr>
      </w:pPr>
      <w:r>
        <w:rPr>
          <w:rFonts w:ascii="Times New Roman"/>
          <w:szCs w:val="21"/>
        </w:rPr>
        <w:t>NY 475 梨苗木</w:t>
      </w:r>
    </w:p>
    <w:p>
      <w:pPr>
        <w:pStyle w:val="10"/>
        <w:ind w:firstLine="420"/>
        <w:rPr>
          <w:rFonts w:ascii="Times New Roman"/>
          <w:szCs w:val="21"/>
        </w:rPr>
      </w:pPr>
      <w:bookmarkStart w:id="3" w:name="_Hlk165319031"/>
      <w:r>
        <w:rPr>
          <w:rFonts w:ascii="Times New Roman"/>
          <w:szCs w:val="21"/>
        </w:rPr>
        <w:t>NY/T 2849</w:t>
      </w:r>
      <w:bookmarkEnd w:id="3"/>
      <w:r>
        <w:rPr>
          <w:rFonts w:ascii="Times New Roman"/>
          <w:szCs w:val="21"/>
        </w:rPr>
        <w:t xml:space="preserve"> 风送式喷雾机施药技术规范</w:t>
      </w:r>
    </w:p>
    <w:p>
      <w:pPr>
        <w:pStyle w:val="10"/>
        <w:ind w:firstLine="420"/>
        <w:rPr>
          <w:rFonts w:ascii="Times New Roman"/>
          <w:szCs w:val="21"/>
        </w:rPr>
      </w:pPr>
    </w:p>
    <w:p>
      <w:pPr>
        <w:pStyle w:val="14"/>
        <w:numPr>
          <w:ilvl w:val="1"/>
          <w:numId w:val="0"/>
        </w:numPr>
        <w:spacing w:before="156" w:after="156" w:line="400" w:lineRule="exact"/>
        <w:rPr>
          <w:rFonts w:ascii="Times New Roman"/>
          <w:szCs w:val="21"/>
        </w:rPr>
      </w:pPr>
      <w:r>
        <w:rPr>
          <w:rFonts w:ascii="Times New Roman"/>
          <w:szCs w:val="21"/>
        </w:rPr>
        <w:t>3 术语和定义</w:t>
      </w:r>
    </w:p>
    <w:p>
      <w:pPr>
        <w:pStyle w:val="10"/>
        <w:ind w:firstLine="420" w:firstLineChars="0"/>
        <w:rPr>
          <w:rFonts w:ascii="Times New Roman"/>
          <w:szCs w:val="21"/>
        </w:rPr>
      </w:pPr>
      <w:r>
        <w:rPr>
          <w:rFonts w:ascii="Times New Roman"/>
          <w:szCs w:val="21"/>
        </w:rPr>
        <w:t>下列术语和定义适用于本文件。</w:t>
      </w:r>
    </w:p>
    <w:p>
      <w:pPr>
        <w:pStyle w:val="14"/>
        <w:numPr>
          <w:ilvl w:val="1"/>
          <w:numId w:val="0"/>
        </w:numPr>
        <w:spacing w:before="156" w:after="156" w:line="400" w:lineRule="exact"/>
        <w:rPr>
          <w:rFonts w:ascii="Times New Roman"/>
          <w:szCs w:val="21"/>
        </w:rPr>
      </w:pPr>
      <w:r>
        <w:rPr>
          <w:rFonts w:ascii="Times New Roman"/>
          <w:szCs w:val="21"/>
        </w:rPr>
        <w:t xml:space="preserve">3.1 绿色防控 </w:t>
      </w:r>
    </w:p>
    <w:p>
      <w:pPr>
        <w:pStyle w:val="10"/>
        <w:ind w:firstLine="420"/>
        <w:rPr>
          <w:rFonts w:ascii="Times New Roman"/>
          <w:szCs w:val="21"/>
        </w:rPr>
      </w:pPr>
      <w:r>
        <w:rPr>
          <w:rFonts w:ascii="Times New Roman"/>
        </w:rPr>
        <w:t>绿色防控是指以确保农业生产、农产品质量和农业生态环境安全为目标，以减少化学农药使用为目的，优先采取生态控制、生物防治</w:t>
      </w:r>
      <w:r>
        <w:rPr>
          <w:rFonts w:hint="eastAsia" w:ascii="Times New Roman"/>
        </w:rPr>
        <w:t>、</w:t>
      </w:r>
      <w:r>
        <w:rPr>
          <w:rFonts w:ascii="Times New Roman"/>
        </w:rPr>
        <w:t>物理防治</w:t>
      </w:r>
      <w:r>
        <w:rPr>
          <w:rFonts w:hint="eastAsia" w:ascii="Times New Roman"/>
        </w:rPr>
        <w:t>和科学用药</w:t>
      </w:r>
      <w:r>
        <w:rPr>
          <w:rFonts w:ascii="Times New Roman"/>
        </w:rPr>
        <w:t>等环境友好型技术措施控制农作物病虫为害的行为。</w:t>
      </w:r>
    </w:p>
    <w:p>
      <w:pPr>
        <w:pStyle w:val="14"/>
        <w:numPr>
          <w:ilvl w:val="1"/>
          <w:numId w:val="0"/>
        </w:numPr>
        <w:spacing w:before="156" w:after="156" w:line="400" w:lineRule="exact"/>
        <w:rPr>
          <w:rFonts w:ascii="Times New Roman"/>
          <w:szCs w:val="21"/>
        </w:rPr>
      </w:pPr>
      <w:r>
        <w:rPr>
          <w:rFonts w:ascii="Times New Roman"/>
          <w:szCs w:val="21"/>
        </w:rPr>
        <w:t>4 防控原则</w:t>
      </w:r>
    </w:p>
    <w:p>
      <w:pPr>
        <w:pStyle w:val="10"/>
        <w:ind w:firstLine="420"/>
        <w:rPr>
          <w:rFonts w:ascii="Times New Roman"/>
          <w:szCs w:val="21"/>
        </w:rPr>
      </w:pPr>
      <w:r>
        <w:rPr>
          <w:rFonts w:ascii="Times New Roman"/>
          <w:szCs w:val="21"/>
        </w:rPr>
        <w:t>坚持“预防为主，综合防治”的植保方针，遵循“绿色植保，公共植保”的现代植保理念，在保障果品质量安全和农业生态环境安全的前提下，梨树黑星病的防治坚持“以农业防治为基础，优先采用物理防治和生物防治技术，按照病害发生规律</w:t>
      </w:r>
      <w:r>
        <w:rPr>
          <w:rFonts w:hint="eastAsia" w:ascii="Times New Roman"/>
          <w:szCs w:val="21"/>
        </w:rPr>
        <w:t>科学</w:t>
      </w:r>
      <w:r>
        <w:rPr>
          <w:rFonts w:ascii="Times New Roman"/>
          <w:szCs w:val="21"/>
        </w:rPr>
        <w:t>使用化学防治技术”，协调应用农业、物理、生物和化学等各种治理手段的绿色防控策略开展防控工作，减少农药的使用次数和使用量，实现病害可持续治理，保障产品质量安全，保护生态环境。</w:t>
      </w:r>
    </w:p>
    <w:p>
      <w:pPr>
        <w:pStyle w:val="14"/>
        <w:numPr>
          <w:ilvl w:val="1"/>
          <w:numId w:val="0"/>
        </w:numPr>
        <w:spacing w:before="156" w:after="156" w:line="400" w:lineRule="exact"/>
        <w:rPr>
          <w:rFonts w:ascii="Times New Roman"/>
          <w:szCs w:val="21"/>
        </w:rPr>
      </w:pPr>
      <w:r>
        <w:rPr>
          <w:rFonts w:ascii="Times New Roman"/>
          <w:szCs w:val="21"/>
        </w:rPr>
        <w:t>5 防控措施</w:t>
      </w:r>
    </w:p>
    <w:p>
      <w:pPr>
        <w:pStyle w:val="14"/>
        <w:numPr>
          <w:ilvl w:val="1"/>
          <w:numId w:val="0"/>
        </w:numPr>
        <w:spacing w:before="156" w:after="156" w:line="400" w:lineRule="exact"/>
        <w:rPr>
          <w:rFonts w:ascii="Times New Roman"/>
          <w:szCs w:val="21"/>
        </w:rPr>
      </w:pPr>
      <w:r>
        <w:rPr>
          <w:rFonts w:ascii="Times New Roman"/>
          <w:szCs w:val="21"/>
        </w:rPr>
        <w:t xml:space="preserve">5.1 </w:t>
      </w:r>
      <w:r>
        <w:rPr>
          <w:rFonts w:hint="eastAsia" w:ascii="Times New Roman"/>
          <w:szCs w:val="21"/>
        </w:rPr>
        <w:t>优选抗病品种</w:t>
      </w:r>
    </w:p>
    <w:p>
      <w:pPr>
        <w:pStyle w:val="10"/>
        <w:ind w:firstLine="420"/>
        <w:rPr>
          <w:rFonts w:ascii="Times New Roman"/>
        </w:rPr>
      </w:pPr>
      <w:r>
        <w:rPr>
          <w:rFonts w:ascii="Times New Roman"/>
        </w:rPr>
        <w:t>新建园或高接换头首选抗病优良品种，对于梨树黑星病，一般以中国梨最感病、日本梨次之、而西洋梨品种抗性最强，其中以西洋梨、雪花梨、蜜梨抗黑星病菌侵染能力较强；选用健康优质苗木，苗木标准应符合NY 475要求。</w:t>
      </w:r>
    </w:p>
    <w:p>
      <w:pPr>
        <w:pStyle w:val="14"/>
        <w:numPr>
          <w:ilvl w:val="1"/>
          <w:numId w:val="0"/>
        </w:numPr>
        <w:spacing w:before="156" w:after="156" w:line="400" w:lineRule="exact"/>
        <w:rPr>
          <w:rFonts w:ascii="Times New Roman"/>
          <w:szCs w:val="21"/>
        </w:rPr>
      </w:pPr>
      <w:r>
        <w:rPr>
          <w:rFonts w:ascii="Times New Roman"/>
          <w:szCs w:val="21"/>
        </w:rPr>
        <w:t>5.2 农业防治</w:t>
      </w:r>
    </w:p>
    <w:p>
      <w:pPr>
        <w:pStyle w:val="14"/>
        <w:numPr>
          <w:ilvl w:val="1"/>
          <w:numId w:val="0"/>
        </w:numPr>
        <w:spacing w:before="156" w:after="156" w:line="400" w:lineRule="exact"/>
        <w:rPr>
          <w:rFonts w:ascii="Times New Roman"/>
          <w:szCs w:val="21"/>
        </w:rPr>
      </w:pPr>
      <w:r>
        <w:rPr>
          <w:rFonts w:ascii="Times New Roman"/>
          <w:szCs w:val="21"/>
        </w:rPr>
        <w:t>5.2.1 果园清洁</w:t>
      </w:r>
    </w:p>
    <w:p>
      <w:pPr>
        <w:pStyle w:val="10"/>
        <w:ind w:firstLine="420"/>
        <w:rPr>
          <w:rFonts w:ascii="Times New Roman"/>
          <w:szCs w:val="21"/>
        </w:rPr>
      </w:pPr>
      <w:r>
        <w:rPr>
          <w:rFonts w:ascii="Times New Roman"/>
          <w:szCs w:val="21"/>
        </w:rPr>
        <w:t>果树越冬前，彻底清洁果园，把落叶、病果、枯枝和杂草清扫干净，进行深埋等无害化处理，降低病菌越冬基数；全园地上及树体喷5波美度石硫合剂或与5%尿素混合液。</w:t>
      </w:r>
    </w:p>
    <w:p>
      <w:pPr>
        <w:pStyle w:val="14"/>
        <w:numPr>
          <w:ilvl w:val="1"/>
          <w:numId w:val="0"/>
        </w:numPr>
        <w:spacing w:before="156" w:after="156" w:line="400" w:lineRule="exact"/>
        <w:rPr>
          <w:rFonts w:ascii="Times New Roman"/>
          <w:szCs w:val="21"/>
        </w:rPr>
      </w:pPr>
      <w:r>
        <w:rPr>
          <w:rFonts w:ascii="Times New Roman"/>
          <w:szCs w:val="21"/>
        </w:rPr>
        <w:t>5.2.2人工剪除病芽梢</w:t>
      </w:r>
    </w:p>
    <w:p>
      <w:pPr>
        <w:pStyle w:val="10"/>
        <w:ind w:firstLine="420"/>
        <w:rPr>
          <w:rFonts w:ascii="Times New Roman"/>
        </w:rPr>
      </w:pPr>
      <w:r>
        <w:rPr>
          <w:rFonts w:ascii="Times New Roman"/>
          <w:szCs w:val="21"/>
        </w:rPr>
        <w:t>入春后，剪除病梢，铲除越冬病菌，从新梢生长之初开始，及时检查并剪除新发病芽梢，防止病菌侵染蔓延，对上年发病重的区域和单株要更加注意，剪除病芽、病梢的同时，及时喷施1</w:t>
      </w:r>
      <w:r>
        <w:rPr>
          <w:rFonts w:hint="eastAsia" w:hAnsi="宋体" w:cs="宋体"/>
          <w:szCs w:val="21"/>
        </w:rPr>
        <w:t>∶</w:t>
      </w:r>
      <w:r>
        <w:rPr>
          <w:rFonts w:ascii="Times New Roman"/>
          <w:szCs w:val="21"/>
        </w:rPr>
        <w:t>2</w:t>
      </w:r>
      <w:r>
        <w:rPr>
          <w:rFonts w:hint="eastAsia" w:hAnsi="宋体" w:cs="宋体"/>
          <w:szCs w:val="21"/>
        </w:rPr>
        <w:t>∶</w:t>
      </w:r>
      <w:r>
        <w:rPr>
          <w:rFonts w:ascii="Times New Roman"/>
          <w:szCs w:val="21"/>
        </w:rPr>
        <w:t>200</w:t>
      </w:r>
      <w:r>
        <w:rPr>
          <w:rFonts w:hint="eastAsia" w:ascii="Times New Roman"/>
          <w:szCs w:val="21"/>
        </w:rPr>
        <w:t xml:space="preserve"> ~ </w:t>
      </w:r>
      <w:r>
        <w:rPr>
          <w:rFonts w:ascii="Times New Roman"/>
          <w:szCs w:val="21"/>
        </w:rPr>
        <w:t>240倍波尔多液或50%多菌灵可湿性粉剂500</w:t>
      </w:r>
      <w:r>
        <w:rPr>
          <w:rFonts w:hint="eastAsia" w:ascii="Times New Roman"/>
          <w:szCs w:val="21"/>
        </w:rPr>
        <w:t xml:space="preserve"> ~ </w:t>
      </w:r>
      <w:r>
        <w:rPr>
          <w:rFonts w:ascii="Times New Roman"/>
          <w:szCs w:val="21"/>
        </w:rPr>
        <w:t>600倍液加以保护。</w:t>
      </w:r>
    </w:p>
    <w:p>
      <w:pPr>
        <w:pStyle w:val="14"/>
        <w:numPr>
          <w:ilvl w:val="1"/>
          <w:numId w:val="0"/>
        </w:numPr>
        <w:spacing w:before="156" w:after="156" w:line="400" w:lineRule="exact"/>
        <w:rPr>
          <w:rFonts w:ascii="Times New Roman"/>
          <w:szCs w:val="21"/>
        </w:rPr>
      </w:pPr>
      <w:r>
        <w:rPr>
          <w:rFonts w:ascii="Times New Roman"/>
          <w:szCs w:val="21"/>
        </w:rPr>
        <w:t>5.2.3合理修剪及疏果稀叶</w:t>
      </w:r>
    </w:p>
    <w:p>
      <w:pPr>
        <w:pStyle w:val="10"/>
        <w:ind w:firstLine="420"/>
        <w:rPr>
          <w:rFonts w:ascii="Times New Roman"/>
          <w:szCs w:val="21"/>
        </w:rPr>
      </w:pPr>
      <w:r>
        <w:rPr>
          <w:rFonts w:ascii="Times New Roman"/>
          <w:szCs w:val="21"/>
        </w:rPr>
        <w:t>在生长季节要及时对树冠内部进行合理修剪，及时疏除徒长枝、过密枝，使树体保持良好的通风透光条件，增强树势，提高抗病性；对栽植过密的梨园，在延长枝生长互相交叉后应适当间伐，适时进行疏果和稀叶，减少果实和叶片之间的接触面积，阻止病原菌传播蔓延。</w:t>
      </w:r>
    </w:p>
    <w:p>
      <w:pPr>
        <w:pStyle w:val="14"/>
        <w:numPr>
          <w:ilvl w:val="1"/>
          <w:numId w:val="0"/>
        </w:numPr>
        <w:spacing w:before="156" w:after="156" w:line="400" w:lineRule="exact"/>
        <w:rPr>
          <w:rFonts w:ascii="Times New Roman"/>
          <w:szCs w:val="21"/>
        </w:rPr>
      </w:pPr>
      <w:r>
        <w:rPr>
          <w:rFonts w:ascii="Times New Roman"/>
          <w:szCs w:val="21"/>
        </w:rPr>
        <w:t>5.2.4 合理施肥</w:t>
      </w:r>
    </w:p>
    <w:p>
      <w:pPr>
        <w:pStyle w:val="10"/>
        <w:ind w:firstLine="420"/>
        <w:rPr>
          <w:rFonts w:ascii="Times New Roman"/>
          <w:szCs w:val="21"/>
        </w:rPr>
      </w:pPr>
      <w:r>
        <w:rPr>
          <w:rFonts w:ascii="Times New Roman"/>
          <w:szCs w:val="21"/>
        </w:rPr>
        <w:t>在梨树采收后，增施有机肥料，注重氮、磷、钾配合施肥，增加钙、镁、锌、硼等微量元素供给，促使树势生长健壮，提高抗病力；在生长季节，随杀虫剂、杀菌剂叶面喷施微肥，避免偏施氮肥造成枝条徒长。</w:t>
      </w:r>
    </w:p>
    <w:p>
      <w:pPr>
        <w:pStyle w:val="14"/>
        <w:numPr>
          <w:ilvl w:val="1"/>
          <w:numId w:val="0"/>
        </w:numPr>
        <w:spacing w:before="156" w:after="156" w:line="400" w:lineRule="exact"/>
        <w:rPr>
          <w:rFonts w:ascii="Times New Roman"/>
          <w:szCs w:val="21"/>
        </w:rPr>
      </w:pPr>
      <w:r>
        <w:rPr>
          <w:rFonts w:ascii="Times New Roman"/>
          <w:szCs w:val="21"/>
        </w:rPr>
        <w:t xml:space="preserve">5.3 </w:t>
      </w:r>
      <w:r>
        <w:rPr>
          <w:rFonts w:hint="eastAsia" w:ascii="Times New Roman"/>
          <w:szCs w:val="21"/>
        </w:rPr>
        <w:t>物理防治</w:t>
      </w:r>
    </w:p>
    <w:p>
      <w:pPr>
        <w:pStyle w:val="10"/>
        <w:ind w:firstLine="420"/>
        <w:rPr>
          <w:rFonts w:ascii="Times New Roman"/>
          <w:szCs w:val="21"/>
        </w:rPr>
      </w:pPr>
      <w:r>
        <w:rPr>
          <w:rFonts w:ascii="Times New Roman"/>
          <w:szCs w:val="21"/>
        </w:rPr>
        <w:t>根据品种特性选用合适的具有防治病害及入袋害虫作用的梨果专用袋，在落花后</w:t>
      </w:r>
      <w:r>
        <w:rPr>
          <w:rFonts w:hint="eastAsia" w:ascii="Times New Roman"/>
          <w:szCs w:val="21"/>
        </w:rPr>
        <w:t xml:space="preserve">20 d ~ </w:t>
      </w:r>
      <w:r>
        <w:rPr>
          <w:rFonts w:ascii="Times New Roman"/>
          <w:szCs w:val="21"/>
        </w:rPr>
        <w:t>45</w:t>
      </w:r>
      <w:r>
        <w:rPr>
          <w:rFonts w:hint="eastAsia" w:ascii="Times New Roman"/>
          <w:szCs w:val="21"/>
        </w:rPr>
        <w:t xml:space="preserve"> d</w:t>
      </w:r>
      <w:r>
        <w:rPr>
          <w:rFonts w:ascii="Times New Roman"/>
          <w:szCs w:val="21"/>
        </w:rPr>
        <w:t>内完成</w:t>
      </w:r>
      <w:r>
        <w:rPr>
          <w:rFonts w:hint="eastAsia" w:ascii="Times New Roman"/>
          <w:szCs w:val="21"/>
        </w:rPr>
        <w:t>套袋</w:t>
      </w:r>
      <w:r>
        <w:rPr>
          <w:rFonts w:ascii="Times New Roman"/>
          <w:szCs w:val="21"/>
        </w:rPr>
        <w:t>，套袋时间在晴天上午10时至下午4时，但要避开中午高温期。套袋前喷施1次苯醚甲环唑，</w:t>
      </w:r>
      <w:r>
        <w:rPr>
          <w:rFonts w:hint="eastAsia" w:ascii="Times New Roman"/>
          <w:szCs w:val="21"/>
        </w:rPr>
        <w:t>喷施浓度参见附录A，</w:t>
      </w:r>
      <w:r>
        <w:rPr>
          <w:rFonts w:ascii="Times New Roman"/>
          <w:szCs w:val="21"/>
        </w:rPr>
        <w:t>待药液干后立即进行套袋，并在一周之内完成，以提高果品质量、降低农药残留，防止病菌侵染果实，从而减少中后期喷药次数。</w:t>
      </w:r>
    </w:p>
    <w:p>
      <w:pPr>
        <w:pStyle w:val="14"/>
        <w:numPr>
          <w:ilvl w:val="1"/>
          <w:numId w:val="0"/>
        </w:numPr>
        <w:spacing w:before="156" w:after="156" w:line="400" w:lineRule="exact"/>
        <w:rPr>
          <w:rFonts w:ascii="Times New Roman"/>
          <w:szCs w:val="21"/>
        </w:rPr>
      </w:pPr>
      <w:r>
        <w:rPr>
          <w:rFonts w:ascii="Times New Roman"/>
          <w:szCs w:val="21"/>
        </w:rPr>
        <w:t>5.4 生物防治</w:t>
      </w:r>
    </w:p>
    <w:p>
      <w:pPr>
        <w:pStyle w:val="10"/>
        <w:ind w:firstLine="420"/>
        <w:rPr>
          <w:rFonts w:ascii="Times New Roman"/>
          <w:szCs w:val="21"/>
        </w:rPr>
      </w:pPr>
      <w:r>
        <w:rPr>
          <w:rFonts w:ascii="Times New Roman"/>
          <w:szCs w:val="21"/>
        </w:rPr>
        <w:t>在梨树黑星病发生初期，可参照附录A采用生物农药苦参碱喷雾防治，同时，在田间喷施药剂过程中，也可以参照附录A喷施植物诱抗剂氨基寡糖素，提高梨树植株对黑星病菌的抗性。</w:t>
      </w:r>
    </w:p>
    <w:p>
      <w:pPr>
        <w:pStyle w:val="14"/>
        <w:numPr>
          <w:ilvl w:val="1"/>
          <w:numId w:val="0"/>
        </w:numPr>
        <w:spacing w:before="156" w:after="156" w:line="400" w:lineRule="exact"/>
        <w:rPr>
          <w:rFonts w:ascii="Times New Roman"/>
          <w:szCs w:val="21"/>
        </w:rPr>
      </w:pPr>
      <w:r>
        <w:rPr>
          <w:rFonts w:ascii="Times New Roman"/>
          <w:szCs w:val="21"/>
        </w:rPr>
        <w:t>5.5 化学防治</w:t>
      </w:r>
    </w:p>
    <w:p>
      <w:pPr>
        <w:pStyle w:val="14"/>
        <w:numPr>
          <w:ilvl w:val="1"/>
          <w:numId w:val="0"/>
        </w:numPr>
        <w:spacing w:before="156" w:after="156" w:line="400" w:lineRule="exact"/>
        <w:rPr>
          <w:rFonts w:ascii="Times New Roman"/>
          <w:szCs w:val="21"/>
        </w:rPr>
      </w:pPr>
      <w:r>
        <w:rPr>
          <w:rFonts w:ascii="Times New Roman"/>
          <w:szCs w:val="21"/>
        </w:rPr>
        <w:t>5.5.1 病害发生情况监测</w:t>
      </w:r>
    </w:p>
    <w:p>
      <w:pPr>
        <w:pStyle w:val="10"/>
        <w:ind w:firstLine="420"/>
        <w:rPr>
          <w:rFonts w:ascii="Times New Roman"/>
          <w:szCs w:val="21"/>
        </w:rPr>
      </w:pPr>
      <w:r>
        <w:rPr>
          <w:rFonts w:ascii="Times New Roman"/>
          <w:szCs w:val="21"/>
        </w:rPr>
        <w:t>做好梨树黑星病发生情况监测和调查，进行梨树关键生育期病害发生情况预报，</w:t>
      </w:r>
      <w:r>
        <w:rPr>
          <w:rFonts w:hint="eastAsia" w:ascii="Times New Roman"/>
          <w:szCs w:val="21"/>
        </w:rPr>
        <w:t>以期能够</w:t>
      </w:r>
      <w:r>
        <w:rPr>
          <w:rFonts w:ascii="Times New Roman"/>
          <w:szCs w:val="21"/>
        </w:rPr>
        <w:t>在梨树初芽萌动至开花期、幼果期、果实膨大期</w:t>
      </w:r>
      <w:r>
        <w:rPr>
          <w:rFonts w:hint="eastAsia" w:ascii="Times New Roman"/>
          <w:szCs w:val="21"/>
        </w:rPr>
        <w:t>、雨季前</w:t>
      </w:r>
      <w:r>
        <w:rPr>
          <w:rFonts w:ascii="Times New Roman"/>
          <w:szCs w:val="21"/>
        </w:rPr>
        <w:t>等病害发生关键时期</w:t>
      </w:r>
      <w:r>
        <w:rPr>
          <w:rFonts w:hint="eastAsia" w:ascii="Times New Roman"/>
          <w:szCs w:val="21"/>
        </w:rPr>
        <w:t>进行</w:t>
      </w:r>
      <w:r>
        <w:rPr>
          <w:rFonts w:ascii="Times New Roman"/>
          <w:szCs w:val="21"/>
        </w:rPr>
        <w:t>精准用药防控。</w:t>
      </w:r>
    </w:p>
    <w:p>
      <w:pPr>
        <w:pStyle w:val="14"/>
        <w:numPr>
          <w:ilvl w:val="1"/>
          <w:numId w:val="0"/>
        </w:numPr>
        <w:spacing w:before="156" w:after="156" w:line="400" w:lineRule="exact"/>
        <w:rPr>
          <w:rFonts w:ascii="Times New Roman"/>
          <w:szCs w:val="21"/>
        </w:rPr>
      </w:pPr>
      <w:r>
        <w:rPr>
          <w:rFonts w:ascii="Times New Roman"/>
          <w:szCs w:val="21"/>
        </w:rPr>
        <w:t>5.5.2 高效施药药械和助剂</w:t>
      </w:r>
    </w:p>
    <w:p>
      <w:pPr>
        <w:pStyle w:val="10"/>
        <w:ind w:firstLine="420"/>
        <w:rPr>
          <w:rFonts w:ascii="Times New Roman"/>
          <w:szCs w:val="21"/>
        </w:rPr>
      </w:pPr>
      <w:r>
        <w:rPr>
          <w:rFonts w:ascii="Times New Roman"/>
          <w:szCs w:val="21"/>
        </w:rPr>
        <w:t>根据梨园树形结构，选择适宜的风送式喷雾机等高效施药器械进行田间施药，</w:t>
      </w:r>
      <w:r>
        <w:rPr>
          <w:rFonts w:hint="eastAsia" w:ascii="Times New Roman"/>
          <w:szCs w:val="21"/>
        </w:rPr>
        <w:t>具体按照</w:t>
      </w:r>
      <w:r>
        <w:rPr>
          <w:rFonts w:ascii="Times New Roman"/>
          <w:szCs w:val="21"/>
        </w:rPr>
        <w:t>NY/T 2849</w:t>
      </w:r>
      <w:r>
        <w:rPr>
          <w:rFonts w:hint="eastAsia" w:ascii="Times New Roman"/>
          <w:szCs w:val="21"/>
        </w:rPr>
        <w:t>规范执行，</w:t>
      </w:r>
      <w:r>
        <w:rPr>
          <w:rFonts w:ascii="Times New Roman"/>
          <w:szCs w:val="21"/>
        </w:rPr>
        <w:t>确保田间施药细致、均匀、周到，药液中可加入有机硅助剂以提高药效，在雨季用药时，最好加入展着剂或选用耐雨水冲刷药剂，施药后6小时内遇雨要重新补喷。</w:t>
      </w:r>
    </w:p>
    <w:p>
      <w:pPr>
        <w:pStyle w:val="14"/>
        <w:numPr>
          <w:ilvl w:val="1"/>
          <w:numId w:val="0"/>
        </w:numPr>
        <w:spacing w:before="156" w:after="156" w:line="400" w:lineRule="exact"/>
        <w:rPr>
          <w:rFonts w:ascii="Times New Roman"/>
          <w:szCs w:val="21"/>
        </w:rPr>
      </w:pPr>
      <w:r>
        <w:rPr>
          <w:rFonts w:ascii="Times New Roman"/>
          <w:szCs w:val="21"/>
        </w:rPr>
        <w:t>5.5.3 梨树黑星病发生关键期合理用药</w:t>
      </w:r>
    </w:p>
    <w:p>
      <w:pPr>
        <w:ind w:firstLine="420" w:firstLineChars="200"/>
        <w:rPr>
          <w:rFonts w:hint="eastAsia"/>
        </w:rPr>
      </w:pPr>
      <w:r>
        <w:rPr>
          <w:szCs w:val="21"/>
        </w:rPr>
        <w:t>从萌芽期到采收期，根据当年病害监测情况及气候条件，在病害发生关键时期选取相应的杀菌剂单剂及其混剂，可加氨基寡糖素等诱抗剂以及磷酸二氢钾或液体硼或水溶肥混合喷施。用药注意内吸剂和保护剂合理轮换、交替用药，注意用药安全，严格执行农药安全间隔期，具体遵循GB/T 8321的规定执行。梨树黑星病登记药剂及使用方法见附录A。</w:t>
      </w:r>
      <w:bookmarkEnd w:id="1"/>
    </w:p>
    <w:p>
      <w:pPr>
        <w:jc w:val="center"/>
      </w:pPr>
      <w:r>
        <w:t>附录A</w:t>
      </w:r>
    </w:p>
    <w:p>
      <w:pPr>
        <w:jc w:val="center"/>
      </w:pPr>
      <w:r>
        <w:t>梨树黑星病登记药剂及使用方法</w:t>
      </w:r>
    </w:p>
    <w:p>
      <w:pPr>
        <w:jc w:val="center"/>
      </w:pPr>
      <w:r>
        <w:t>表A 梨树黑星病登记药剂及使用方法</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2"/>
        <w:gridCol w:w="1372"/>
        <w:gridCol w:w="2284"/>
        <w:gridCol w:w="2712"/>
        <w:gridCol w:w="1145"/>
        <w:gridCol w:w="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pct"/>
          </w:tcPr>
          <w:p>
            <w:pPr>
              <w:jc w:val="center"/>
            </w:pPr>
            <w:r>
              <w:t>药剂类型</w:t>
            </w:r>
          </w:p>
        </w:tc>
        <w:tc>
          <w:tcPr>
            <w:tcW w:w="717" w:type="pct"/>
          </w:tcPr>
          <w:p>
            <w:pPr>
              <w:jc w:val="center"/>
            </w:pPr>
            <w:bookmarkStart w:id="4" w:name="_Hlk128660553"/>
            <w:r>
              <w:t>药剂名称</w:t>
            </w:r>
          </w:p>
        </w:tc>
        <w:tc>
          <w:tcPr>
            <w:tcW w:w="1193" w:type="pct"/>
          </w:tcPr>
          <w:p>
            <w:pPr>
              <w:jc w:val="center"/>
            </w:pPr>
            <w:r>
              <w:t>有效成分含量及剂型</w:t>
            </w:r>
          </w:p>
        </w:tc>
        <w:tc>
          <w:tcPr>
            <w:tcW w:w="1417" w:type="pct"/>
          </w:tcPr>
          <w:p>
            <w:pPr>
              <w:jc w:val="center"/>
            </w:pPr>
            <w:r>
              <w:t>用药</w:t>
            </w:r>
            <w:r>
              <w:rPr>
                <w:rFonts w:hint="eastAsia"/>
              </w:rPr>
              <w:t>量</w:t>
            </w:r>
          </w:p>
        </w:tc>
        <w:tc>
          <w:tcPr>
            <w:tcW w:w="598" w:type="pct"/>
          </w:tcPr>
          <w:p>
            <w:pPr>
              <w:jc w:val="center"/>
            </w:pPr>
            <w:r>
              <w:t>使用方法</w:t>
            </w:r>
          </w:p>
        </w:tc>
        <w:tc>
          <w:tcPr>
            <w:tcW w:w="358" w:type="pct"/>
          </w:tcPr>
          <w:p>
            <w:pPr>
              <w:jc w:val="center"/>
            </w:pPr>
            <w:r>
              <w:t>毒性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pct"/>
            <w:tcBorders>
              <w:bottom w:val="single" w:color="auto" w:sz="2" w:space="0"/>
            </w:tcBorders>
          </w:tcPr>
          <w:p>
            <w:pPr>
              <w:jc w:val="center"/>
            </w:pPr>
            <w:r>
              <w:t>生物药剂</w:t>
            </w:r>
          </w:p>
        </w:tc>
        <w:tc>
          <w:tcPr>
            <w:tcW w:w="717" w:type="pct"/>
            <w:tcBorders>
              <w:bottom w:val="single" w:color="auto" w:sz="2" w:space="0"/>
            </w:tcBorders>
          </w:tcPr>
          <w:p>
            <w:pPr>
              <w:jc w:val="center"/>
            </w:pPr>
            <w:r>
              <w:t>苦参碱</w:t>
            </w:r>
          </w:p>
        </w:tc>
        <w:tc>
          <w:tcPr>
            <w:tcW w:w="1193" w:type="pct"/>
            <w:tcBorders>
              <w:bottom w:val="single" w:color="auto" w:sz="2" w:space="0"/>
            </w:tcBorders>
          </w:tcPr>
          <w:p>
            <w:pPr>
              <w:jc w:val="center"/>
            </w:pPr>
            <w:r>
              <w:t>0.</w:t>
            </w:r>
            <w:r>
              <w:rPr>
                <w:rFonts w:hint="eastAsia"/>
              </w:rPr>
              <w:t>3</w:t>
            </w:r>
            <w:r>
              <w:t>%水剂</w:t>
            </w:r>
          </w:p>
        </w:tc>
        <w:tc>
          <w:tcPr>
            <w:tcW w:w="1417" w:type="pct"/>
            <w:tcBorders>
              <w:bottom w:val="single" w:color="auto" w:sz="2" w:space="0"/>
            </w:tcBorders>
          </w:tcPr>
          <w:p>
            <w:pPr>
              <w:jc w:val="center"/>
            </w:pPr>
            <w:r>
              <w:rPr>
                <w:rFonts w:hint="eastAsia"/>
              </w:rPr>
              <w:t>6</w:t>
            </w:r>
            <w:r>
              <w:t>00-</w:t>
            </w:r>
            <w:r>
              <w:rPr>
                <w:rFonts w:hint="eastAsia"/>
              </w:rPr>
              <w:t>8</w:t>
            </w:r>
            <w:r>
              <w:t>00倍</w:t>
            </w:r>
            <w:r>
              <w:rPr>
                <w:rFonts w:hint="eastAsia"/>
              </w:rPr>
              <w:t>液</w:t>
            </w:r>
          </w:p>
        </w:tc>
        <w:tc>
          <w:tcPr>
            <w:tcW w:w="598" w:type="pct"/>
            <w:tcBorders>
              <w:bottom w:val="single" w:color="auto" w:sz="2" w:space="0"/>
            </w:tcBorders>
          </w:tcPr>
          <w:p>
            <w:pPr>
              <w:jc w:val="center"/>
            </w:pPr>
            <w:r>
              <w:t>喷雾</w:t>
            </w:r>
          </w:p>
        </w:tc>
        <w:tc>
          <w:tcPr>
            <w:tcW w:w="358" w:type="pct"/>
            <w:tcBorders>
              <w:bottom w:val="single" w:color="auto" w:sz="2" w:space="0"/>
            </w:tcBorders>
          </w:tcPr>
          <w:p>
            <w:pPr>
              <w:jc w:val="center"/>
            </w:pPr>
            <w:r>
              <w:t>低毒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pct"/>
            <w:tcBorders>
              <w:top w:val="single" w:color="auto" w:sz="2" w:space="0"/>
              <w:left w:val="single" w:color="auto" w:sz="2" w:space="0"/>
              <w:bottom w:val="single" w:color="auto" w:sz="2" w:space="0"/>
              <w:right w:val="single" w:color="auto" w:sz="2" w:space="0"/>
            </w:tcBorders>
          </w:tcPr>
          <w:p>
            <w:pPr>
              <w:jc w:val="center"/>
            </w:pPr>
            <w:r>
              <w:t>植物诱抗剂</w:t>
            </w:r>
          </w:p>
        </w:tc>
        <w:tc>
          <w:tcPr>
            <w:tcW w:w="717" w:type="pct"/>
            <w:tcBorders>
              <w:top w:val="single" w:color="auto" w:sz="2" w:space="0"/>
              <w:left w:val="single" w:color="auto" w:sz="2" w:space="0"/>
              <w:bottom w:val="single" w:color="auto" w:sz="2" w:space="0"/>
              <w:right w:val="single" w:color="auto" w:sz="2" w:space="0"/>
            </w:tcBorders>
          </w:tcPr>
          <w:p>
            <w:pPr>
              <w:jc w:val="center"/>
            </w:pPr>
            <w:r>
              <w:t>氨基寡糖素</w:t>
            </w:r>
          </w:p>
        </w:tc>
        <w:tc>
          <w:tcPr>
            <w:tcW w:w="1193" w:type="pct"/>
            <w:tcBorders>
              <w:top w:val="single" w:color="auto" w:sz="2" w:space="0"/>
              <w:left w:val="single" w:color="auto" w:sz="2" w:space="0"/>
              <w:bottom w:val="single" w:color="auto" w:sz="2" w:space="0"/>
              <w:right w:val="single" w:color="auto" w:sz="2" w:space="0"/>
            </w:tcBorders>
          </w:tcPr>
          <w:p>
            <w:pPr>
              <w:jc w:val="center"/>
            </w:pPr>
            <w:r>
              <w:t>5%水剂</w:t>
            </w:r>
          </w:p>
        </w:tc>
        <w:tc>
          <w:tcPr>
            <w:tcW w:w="1417" w:type="pct"/>
            <w:tcBorders>
              <w:top w:val="single" w:color="auto" w:sz="2" w:space="0"/>
              <w:left w:val="single" w:color="auto" w:sz="2" w:space="0"/>
              <w:bottom w:val="single" w:color="auto" w:sz="2" w:space="0"/>
              <w:right w:val="single" w:color="auto" w:sz="2" w:space="0"/>
            </w:tcBorders>
          </w:tcPr>
          <w:p>
            <w:pPr>
              <w:jc w:val="center"/>
            </w:pPr>
            <w:r>
              <w:t>500-667倍</w:t>
            </w:r>
            <w:r>
              <w:rPr>
                <w:rFonts w:hint="eastAsia"/>
              </w:rPr>
              <w:t>液</w:t>
            </w:r>
          </w:p>
        </w:tc>
        <w:tc>
          <w:tcPr>
            <w:tcW w:w="598" w:type="pct"/>
            <w:tcBorders>
              <w:top w:val="single" w:color="auto" w:sz="2" w:space="0"/>
              <w:left w:val="single" w:color="auto" w:sz="2" w:space="0"/>
              <w:bottom w:val="single" w:color="auto" w:sz="2" w:space="0"/>
              <w:right w:val="single" w:color="auto" w:sz="2" w:space="0"/>
            </w:tcBorders>
          </w:tcPr>
          <w:p>
            <w:pPr>
              <w:jc w:val="center"/>
            </w:pPr>
            <w:r>
              <w:t>喷雾</w:t>
            </w:r>
          </w:p>
        </w:tc>
        <w:tc>
          <w:tcPr>
            <w:tcW w:w="358" w:type="pct"/>
            <w:tcBorders>
              <w:top w:val="single" w:color="auto" w:sz="2" w:space="0"/>
              <w:left w:val="single" w:color="auto" w:sz="2" w:space="0"/>
              <w:bottom w:val="single" w:color="auto" w:sz="2" w:space="0"/>
              <w:right w:val="single" w:color="auto" w:sz="2" w:space="0"/>
            </w:tcBorders>
          </w:tcPr>
          <w:p>
            <w:pPr>
              <w:jc w:val="center"/>
            </w:pPr>
            <w:r>
              <w:t>低毒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17" w:type="pct"/>
            <w:vMerge w:val="restart"/>
            <w:tcBorders>
              <w:top w:val="single" w:color="auto" w:sz="2" w:space="0"/>
            </w:tcBorders>
            <w:vAlign w:val="center"/>
          </w:tcPr>
          <w:p>
            <w:pPr>
              <w:jc w:val="center"/>
            </w:pPr>
            <w:r>
              <w:t>化学药剂</w:t>
            </w:r>
          </w:p>
        </w:tc>
        <w:tc>
          <w:tcPr>
            <w:tcW w:w="717" w:type="pct"/>
            <w:tcBorders>
              <w:top w:val="single" w:color="auto" w:sz="2" w:space="0"/>
            </w:tcBorders>
          </w:tcPr>
          <w:p>
            <w:pPr>
              <w:jc w:val="center"/>
            </w:pPr>
            <w:r>
              <w:t>丙森锌</w:t>
            </w:r>
          </w:p>
        </w:tc>
        <w:tc>
          <w:tcPr>
            <w:tcW w:w="1193" w:type="pct"/>
            <w:tcBorders>
              <w:top w:val="single" w:color="auto" w:sz="2" w:space="0"/>
            </w:tcBorders>
          </w:tcPr>
          <w:p>
            <w:pPr>
              <w:jc w:val="center"/>
            </w:pPr>
            <w:r>
              <w:t>70%可湿性粉剂</w:t>
            </w:r>
          </w:p>
        </w:tc>
        <w:tc>
          <w:tcPr>
            <w:tcW w:w="1417" w:type="pct"/>
            <w:tcBorders>
              <w:top w:val="single" w:color="auto" w:sz="2" w:space="0"/>
            </w:tcBorders>
          </w:tcPr>
          <w:p>
            <w:pPr>
              <w:jc w:val="center"/>
            </w:pPr>
            <w:r>
              <w:t>600-700倍</w:t>
            </w:r>
            <w:r>
              <w:rPr>
                <w:rFonts w:hint="eastAsia"/>
              </w:rPr>
              <w:t>液</w:t>
            </w:r>
          </w:p>
        </w:tc>
        <w:tc>
          <w:tcPr>
            <w:tcW w:w="598" w:type="pct"/>
            <w:tcBorders>
              <w:top w:val="single" w:color="auto" w:sz="2" w:space="0"/>
            </w:tcBorders>
          </w:tcPr>
          <w:p>
            <w:pPr>
              <w:jc w:val="center"/>
            </w:pPr>
            <w:r>
              <w:t>喷雾</w:t>
            </w:r>
          </w:p>
        </w:tc>
        <w:tc>
          <w:tcPr>
            <w:tcW w:w="358" w:type="pct"/>
            <w:tcBorders>
              <w:top w:val="single" w:color="auto" w:sz="2" w:space="0"/>
            </w:tcBorders>
          </w:tcPr>
          <w:p>
            <w:pPr>
              <w:jc w:val="center"/>
            </w:pPr>
            <w:r>
              <w:t>微毒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pct"/>
            <w:vMerge w:val="continue"/>
          </w:tcPr>
          <w:p>
            <w:pPr>
              <w:jc w:val="center"/>
            </w:pPr>
          </w:p>
        </w:tc>
        <w:tc>
          <w:tcPr>
            <w:tcW w:w="717" w:type="pct"/>
          </w:tcPr>
          <w:p>
            <w:pPr>
              <w:jc w:val="center"/>
            </w:pPr>
            <w:r>
              <w:t>苯菌灵</w:t>
            </w:r>
          </w:p>
        </w:tc>
        <w:tc>
          <w:tcPr>
            <w:tcW w:w="1193" w:type="pct"/>
          </w:tcPr>
          <w:p>
            <w:pPr>
              <w:jc w:val="center"/>
            </w:pPr>
            <w:r>
              <w:t>50%可湿性粉剂</w:t>
            </w:r>
          </w:p>
        </w:tc>
        <w:tc>
          <w:tcPr>
            <w:tcW w:w="1417" w:type="pct"/>
          </w:tcPr>
          <w:p>
            <w:pPr>
              <w:jc w:val="center"/>
            </w:pPr>
            <w:r>
              <w:t>750-1000倍</w:t>
            </w:r>
            <w:r>
              <w:rPr>
                <w:rFonts w:hint="eastAsia"/>
              </w:rPr>
              <w:t>液</w:t>
            </w:r>
          </w:p>
        </w:tc>
        <w:tc>
          <w:tcPr>
            <w:tcW w:w="598" w:type="pct"/>
          </w:tcPr>
          <w:p>
            <w:pPr>
              <w:jc w:val="center"/>
            </w:pPr>
            <w:r>
              <w:t>喷雾</w:t>
            </w:r>
          </w:p>
        </w:tc>
        <w:tc>
          <w:tcPr>
            <w:tcW w:w="358" w:type="pct"/>
          </w:tcPr>
          <w:p>
            <w:pPr>
              <w:jc w:val="center"/>
            </w:pPr>
            <w:r>
              <w:t>低毒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pct"/>
            <w:vMerge w:val="continue"/>
          </w:tcPr>
          <w:p>
            <w:pPr>
              <w:jc w:val="center"/>
            </w:pPr>
          </w:p>
        </w:tc>
        <w:tc>
          <w:tcPr>
            <w:tcW w:w="717" w:type="pct"/>
          </w:tcPr>
          <w:p>
            <w:pPr>
              <w:jc w:val="center"/>
            </w:pPr>
            <w:r>
              <w:t>亚胺唑</w:t>
            </w:r>
          </w:p>
        </w:tc>
        <w:tc>
          <w:tcPr>
            <w:tcW w:w="1193" w:type="pct"/>
          </w:tcPr>
          <w:p>
            <w:pPr>
              <w:jc w:val="center"/>
            </w:pPr>
            <w:r>
              <w:t>15%可湿性粉剂</w:t>
            </w:r>
          </w:p>
        </w:tc>
        <w:tc>
          <w:tcPr>
            <w:tcW w:w="1417" w:type="pct"/>
          </w:tcPr>
          <w:p>
            <w:pPr>
              <w:jc w:val="center"/>
            </w:pPr>
            <w:r>
              <w:t>3000-3500倍</w:t>
            </w:r>
            <w:r>
              <w:rPr>
                <w:rFonts w:hint="eastAsia"/>
              </w:rPr>
              <w:t>液</w:t>
            </w:r>
          </w:p>
        </w:tc>
        <w:tc>
          <w:tcPr>
            <w:tcW w:w="598" w:type="pct"/>
          </w:tcPr>
          <w:p>
            <w:pPr>
              <w:jc w:val="center"/>
            </w:pPr>
            <w:r>
              <w:t>喷雾</w:t>
            </w:r>
          </w:p>
        </w:tc>
        <w:tc>
          <w:tcPr>
            <w:tcW w:w="358" w:type="pct"/>
          </w:tcPr>
          <w:p>
            <w:pPr>
              <w:jc w:val="center"/>
            </w:pPr>
            <w:r>
              <w:t>低毒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pct"/>
            <w:vMerge w:val="continue"/>
          </w:tcPr>
          <w:p>
            <w:pPr>
              <w:jc w:val="center"/>
            </w:pPr>
          </w:p>
        </w:tc>
        <w:tc>
          <w:tcPr>
            <w:tcW w:w="717" w:type="pct"/>
          </w:tcPr>
          <w:p>
            <w:pPr>
              <w:jc w:val="center"/>
            </w:pPr>
            <w:r>
              <w:t>己唑醇</w:t>
            </w:r>
          </w:p>
        </w:tc>
        <w:tc>
          <w:tcPr>
            <w:tcW w:w="1193" w:type="pct"/>
          </w:tcPr>
          <w:p>
            <w:pPr>
              <w:jc w:val="center"/>
            </w:pPr>
            <w:r>
              <w:t>5%悬浮剂</w:t>
            </w:r>
          </w:p>
        </w:tc>
        <w:tc>
          <w:tcPr>
            <w:tcW w:w="1417" w:type="pct"/>
          </w:tcPr>
          <w:p>
            <w:pPr>
              <w:jc w:val="center"/>
            </w:pPr>
            <w:r>
              <w:t>1000-1500倍</w:t>
            </w:r>
            <w:r>
              <w:rPr>
                <w:rFonts w:hint="eastAsia"/>
              </w:rPr>
              <w:t>液</w:t>
            </w:r>
          </w:p>
        </w:tc>
        <w:tc>
          <w:tcPr>
            <w:tcW w:w="598" w:type="pct"/>
          </w:tcPr>
          <w:p>
            <w:pPr>
              <w:jc w:val="center"/>
            </w:pPr>
            <w:r>
              <w:t>喷雾</w:t>
            </w:r>
          </w:p>
        </w:tc>
        <w:tc>
          <w:tcPr>
            <w:tcW w:w="358" w:type="pct"/>
          </w:tcPr>
          <w:p>
            <w:pPr>
              <w:jc w:val="center"/>
            </w:pPr>
            <w:r>
              <w:t>低毒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17" w:type="pct"/>
            <w:vMerge w:val="continue"/>
          </w:tcPr>
          <w:p>
            <w:pPr>
              <w:jc w:val="center"/>
            </w:pPr>
          </w:p>
        </w:tc>
        <w:tc>
          <w:tcPr>
            <w:tcW w:w="717" w:type="pct"/>
          </w:tcPr>
          <w:p>
            <w:pPr>
              <w:jc w:val="center"/>
            </w:pPr>
            <w:r>
              <w:t>烯唑醇</w:t>
            </w:r>
          </w:p>
        </w:tc>
        <w:tc>
          <w:tcPr>
            <w:tcW w:w="1193" w:type="pct"/>
          </w:tcPr>
          <w:p>
            <w:pPr>
              <w:jc w:val="center"/>
            </w:pPr>
            <w:r>
              <w:t>50%水分散粒剂</w:t>
            </w:r>
          </w:p>
        </w:tc>
        <w:tc>
          <w:tcPr>
            <w:tcW w:w="1417" w:type="pct"/>
          </w:tcPr>
          <w:p>
            <w:pPr>
              <w:jc w:val="center"/>
            </w:pPr>
            <w:r>
              <w:t>10000-15000倍</w:t>
            </w:r>
            <w:r>
              <w:rPr>
                <w:rFonts w:hint="eastAsia"/>
              </w:rPr>
              <w:t>液</w:t>
            </w:r>
          </w:p>
        </w:tc>
        <w:tc>
          <w:tcPr>
            <w:tcW w:w="598" w:type="pct"/>
          </w:tcPr>
          <w:p>
            <w:pPr>
              <w:jc w:val="center"/>
            </w:pPr>
            <w:r>
              <w:t>喷雾</w:t>
            </w:r>
          </w:p>
        </w:tc>
        <w:tc>
          <w:tcPr>
            <w:tcW w:w="358" w:type="pct"/>
          </w:tcPr>
          <w:p>
            <w:pPr>
              <w:jc w:val="center"/>
            </w:pPr>
            <w:r>
              <w:t>低毒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pct"/>
            <w:vMerge w:val="continue"/>
          </w:tcPr>
          <w:p>
            <w:pPr>
              <w:jc w:val="center"/>
            </w:pPr>
          </w:p>
        </w:tc>
        <w:tc>
          <w:tcPr>
            <w:tcW w:w="717" w:type="pct"/>
          </w:tcPr>
          <w:p>
            <w:pPr>
              <w:jc w:val="center"/>
            </w:pPr>
            <w:r>
              <w:t>氟菌唑</w:t>
            </w:r>
          </w:p>
        </w:tc>
        <w:tc>
          <w:tcPr>
            <w:tcW w:w="1193" w:type="pct"/>
          </w:tcPr>
          <w:p>
            <w:pPr>
              <w:jc w:val="center"/>
            </w:pPr>
            <w:r>
              <w:t>30%可湿性粉剂</w:t>
            </w:r>
          </w:p>
        </w:tc>
        <w:tc>
          <w:tcPr>
            <w:tcW w:w="1417" w:type="pct"/>
          </w:tcPr>
          <w:p>
            <w:pPr>
              <w:jc w:val="center"/>
            </w:pPr>
            <w:r>
              <w:t>3000-4000倍</w:t>
            </w:r>
            <w:r>
              <w:rPr>
                <w:rFonts w:hint="eastAsia"/>
              </w:rPr>
              <w:t>液</w:t>
            </w:r>
          </w:p>
        </w:tc>
        <w:tc>
          <w:tcPr>
            <w:tcW w:w="598" w:type="pct"/>
          </w:tcPr>
          <w:p>
            <w:pPr>
              <w:jc w:val="center"/>
            </w:pPr>
            <w:r>
              <w:t>喷雾</w:t>
            </w:r>
          </w:p>
        </w:tc>
        <w:tc>
          <w:tcPr>
            <w:tcW w:w="358" w:type="pct"/>
          </w:tcPr>
          <w:p>
            <w:pPr>
              <w:jc w:val="center"/>
            </w:pPr>
            <w:r>
              <w:t>低毒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pct"/>
            <w:vMerge w:val="continue"/>
            <w:vAlign w:val="center"/>
          </w:tcPr>
          <w:p>
            <w:pPr>
              <w:jc w:val="center"/>
            </w:pPr>
          </w:p>
        </w:tc>
        <w:tc>
          <w:tcPr>
            <w:tcW w:w="717" w:type="pct"/>
          </w:tcPr>
          <w:p>
            <w:pPr>
              <w:jc w:val="center"/>
            </w:pPr>
            <w:r>
              <w:t>氟硅唑</w:t>
            </w:r>
          </w:p>
        </w:tc>
        <w:tc>
          <w:tcPr>
            <w:tcW w:w="1193" w:type="pct"/>
          </w:tcPr>
          <w:p>
            <w:pPr>
              <w:jc w:val="center"/>
            </w:pPr>
            <w:r>
              <w:t>10%水乳剂</w:t>
            </w:r>
          </w:p>
        </w:tc>
        <w:tc>
          <w:tcPr>
            <w:tcW w:w="1417" w:type="pct"/>
          </w:tcPr>
          <w:p>
            <w:pPr>
              <w:jc w:val="center"/>
            </w:pPr>
            <w:r>
              <w:t>2000-2500倍</w:t>
            </w:r>
            <w:r>
              <w:rPr>
                <w:rFonts w:hint="eastAsia"/>
              </w:rPr>
              <w:t>液</w:t>
            </w:r>
          </w:p>
        </w:tc>
        <w:tc>
          <w:tcPr>
            <w:tcW w:w="598" w:type="pct"/>
          </w:tcPr>
          <w:p>
            <w:pPr>
              <w:jc w:val="center"/>
            </w:pPr>
            <w:r>
              <w:t>喷雾</w:t>
            </w:r>
          </w:p>
        </w:tc>
        <w:tc>
          <w:tcPr>
            <w:tcW w:w="358" w:type="pct"/>
          </w:tcPr>
          <w:p>
            <w:pPr>
              <w:jc w:val="center"/>
            </w:pPr>
            <w:r>
              <w:t>低毒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pct"/>
            <w:vMerge w:val="continue"/>
          </w:tcPr>
          <w:p>
            <w:pPr>
              <w:jc w:val="center"/>
            </w:pPr>
          </w:p>
        </w:tc>
        <w:tc>
          <w:tcPr>
            <w:tcW w:w="717" w:type="pct"/>
          </w:tcPr>
          <w:p>
            <w:pPr>
              <w:jc w:val="center"/>
            </w:pPr>
            <w:r>
              <w:t>戊唑醇</w:t>
            </w:r>
          </w:p>
        </w:tc>
        <w:tc>
          <w:tcPr>
            <w:tcW w:w="1193" w:type="pct"/>
          </w:tcPr>
          <w:p>
            <w:pPr>
              <w:jc w:val="center"/>
            </w:pPr>
            <w:r>
              <w:t>430克/升悬浮剂</w:t>
            </w:r>
          </w:p>
        </w:tc>
        <w:tc>
          <w:tcPr>
            <w:tcW w:w="1417" w:type="pct"/>
          </w:tcPr>
          <w:p>
            <w:pPr>
              <w:jc w:val="center"/>
            </w:pPr>
            <w:r>
              <w:t>3000-4000倍</w:t>
            </w:r>
            <w:r>
              <w:rPr>
                <w:rFonts w:hint="eastAsia"/>
              </w:rPr>
              <w:t>液</w:t>
            </w:r>
          </w:p>
        </w:tc>
        <w:tc>
          <w:tcPr>
            <w:tcW w:w="598" w:type="pct"/>
          </w:tcPr>
          <w:p>
            <w:pPr>
              <w:jc w:val="center"/>
            </w:pPr>
            <w:r>
              <w:t>喷雾</w:t>
            </w:r>
          </w:p>
        </w:tc>
        <w:tc>
          <w:tcPr>
            <w:tcW w:w="358" w:type="pct"/>
          </w:tcPr>
          <w:p>
            <w:pPr>
              <w:jc w:val="center"/>
            </w:pPr>
            <w:r>
              <w:t>低毒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17" w:type="pct"/>
            <w:vMerge w:val="continue"/>
          </w:tcPr>
          <w:p>
            <w:pPr>
              <w:jc w:val="center"/>
            </w:pPr>
          </w:p>
        </w:tc>
        <w:tc>
          <w:tcPr>
            <w:tcW w:w="717" w:type="pct"/>
          </w:tcPr>
          <w:p>
            <w:pPr>
              <w:jc w:val="center"/>
            </w:pPr>
            <w:r>
              <w:t>苯醚甲环唑</w:t>
            </w:r>
          </w:p>
        </w:tc>
        <w:tc>
          <w:tcPr>
            <w:tcW w:w="1193" w:type="pct"/>
          </w:tcPr>
          <w:p>
            <w:pPr>
              <w:jc w:val="center"/>
            </w:pPr>
            <w:r>
              <w:t>25%水乳剂</w:t>
            </w:r>
          </w:p>
        </w:tc>
        <w:tc>
          <w:tcPr>
            <w:tcW w:w="1417" w:type="pct"/>
          </w:tcPr>
          <w:p>
            <w:pPr>
              <w:jc w:val="center"/>
            </w:pPr>
            <w:r>
              <w:t>8000-9000倍</w:t>
            </w:r>
            <w:r>
              <w:rPr>
                <w:rFonts w:hint="eastAsia"/>
              </w:rPr>
              <w:t>液</w:t>
            </w:r>
          </w:p>
        </w:tc>
        <w:tc>
          <w:tcPr>
            <w:tcW w:w="598" w:type="pct"/>
          </w:tcPr>
          <w:p>
            <w:pPr>
              <w:jc w:val="center"/>
            </w:pPr>
            <w:r>
              <w:t>喷雾</w:t>
            </w:r>
          </w:p>
        </w:tc>
        <w:tc>
          <w:tcPr>
            <w:tcW w:w="358" w:type="pct"/>
          </w:tcPr>
          <w:p>
            <w:pPr>
              <w:jc w:val="center"/>
            </w:pPr>
            <w:r>
              <w:t>低毒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pct"/>
            <w:vMerge w:val="continue"/>
          </w:tcPr>
          <w:p>
            <w:pPr>
              <w:jc w:val="center"/>
            </w:pPr>
          </w:p>
        </w:tc>
        <w:tc>
          <w:tcPr>
            <w:tcW w:w="717" w:type="pct"/>
          </w:tcPr>
          <w:p>
            <w:pPr>
              <w:jc w:val="center"/>
            </w:pPr>
            <w:r>
              <w:t>腈菌唑</w:t>
            </w:r>
          </w:p>
        </w:tc>
        <w:tc>
          <w:tcPr>
            <w:tcW w:w="1193" w:type="pct"/>
          </w:tcPr>
          <w:p>
            <w:pPr>
              <w:jc w:val="center"/>
            </w:pPr>
            <w:r>
              <w:t>40%悬浮剂</w:t>
            </w:r>
          </w:p>
        </w:tc>
        <w:tc>
          <w:tcPr>
            <w:tcW w:w="1417" w:type="pct"/>
          </w:tcPr>
          <w:p>
            <w:pPr>
              <w:jc w:val="center"/>
            </w:pPr>
            <w:r>
              <w:t>8000-10000倍</w:t>
            </w:r>
            <w:r>
              <w:rPr>
                <w:rFonts w:hint="eastAsia"/>
              </w:rPr>
              <w:t>液</w:t>
            </w:r>
          </w:p>
        </w:tc>
        <w:tc>
          <w:tcPr>
            <w:tcW w:w="598" w:type="pct"/>
          </w:tcPr>
          <w:p>
            <w:pPr>
              <w:jc w:val="center"/>
            </w:pPr>
            <w:r>
              <w:t>喷雾</w:t>
            </w:r>
          </w:p>
        </w:tc>
        <w:tc>
          <w:tcPr>
            <w:tcW w:w="358" w:type="pct"/>
          </w:tcPr>
          <w:p>
            <w:pPr>
              <w:jc w:val="center"/>
            </w:pPr>
            <w:r>
              <w:t>低毒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pct"/>
            <w:vMerge w:val="continue"/>
          </w:tcPr>
          <w:p>
            <w:pPr>
              <w:jc w:val="center"/>
            </w:pPr>
          </w:p>
        </w:tc>
        <w:tc>
          <w:tcPr>
            <w:tcW w:w="717" w:type="pct"/>
          </w:tcPr>
          <w:p>
            <w:pPr>
              <w:jc w:val="center"/>
            </w:pPr>
            <w:r>
              <w:t>多菌灵</w:t>
            </w:r>
          </w:p>
        </w:tc>
        <w:tc>
          <w:tcPr>
            <w:tcW w:w="1193" w:type="pct"/>
          </w:tcPr>
          <w:p>
            <w:pPr>
              <w:jc w:val="center"/>
            </w:pPr>
            <w:r>
              <w:t>40%悬浮剂</w:t>
            </w:r>
          </w:p>
        </w:tc>
        <w:tc>
          <w:tcPr>
            <w:tcW w:w="1417" w:type="pct"/>
          </w:tcPr>
          <w:p>
            <w:pPr>
              <w:jc w:val="center"/>
            </w:pPr>
            <w:r>
              <w:t>400-600倍</w:t>
            </w:r>
            <w:r>
              <w:rPr>
                <w:rFonts w:hint="eastAsia"/>
              </w:rPr>
              <w:t>液</w:t>
            </w:r>
          </w:p>
        </w:tc>
        <w:tc>
          <w:tcPr>
            <w:tcW w:w="598" w:type="pct"/>
          </w:tcPr>
          <w:p>
            <w:pPr>
              <w:jc w:val="center"/>
            </w:pPr>
            <w:r>
              <w:t>喷雾</w:t>
            </w:r>
          </w:p>
        </w:tc>
        <w:tc>
          <w:tcPr>
            <w:tcW w:w="358" w:type="pct"/>
          </w:tcPr>
          <w:p>
            <w:pPr>
              <w:jc w:val="center"/>
            </w:pPr>
            <w:r>
              <w:t>低毒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pct"/>
            <w:vMerge w:val="continue"/>
          </w:tcPr>
          <w:p>
            <w:pPr>
              <w:jc w:val="center"/>
            </w:pPr>
          </w:p>
        </w:tc>
        <w:tc>
          <w:tcPr>
            <w:tcW w:w="717" w:type="pct"/>
          </w:tcPr>
          <w:p>
            <w:pPr>
              <w:jc w:val="center"/>
            </w:pPr>
            <w:r>
              <w:t>代森锰锌</w:t>
            </w:r>
          </w:p>
        </w:tc>
        <w:tc>
          <w:tcPr>
            <w:tcW w:w="1193" w:type="pct"/>
          </w:tcPr>
          <w:p>
            <w:pPr>
              <w:jc w:val="center"/>
            </w:pPr>
            <w:r>
              <w:t>80%可湿性粉剂</w:t>
            </w:r>
          </w:p>
        </w:tc>
        <w:tc>
          <w:tcPr>
            <w:tcW w:w="1417" w:type="pct"/>
          </w:tcPr>
          <w:p>
            <w:pPr>
              <w:jc w:val="center"/>
            </w:pPr>
            <w:r>
              <w:t>600-1000倍</w:t>
            </w:r>
            <w:r>
              <w:rPr>
                <w:rFonts w:hint="eastAsia"/>
              </w:rPr>
              <w:t>液</w:t>
            </w:r>
          </w:p>
        </w:tc>
        <w:tc>
          <w:tcPr>
            <w:tcW w:w="598" w:type="pct"/>
          </w:tcPr>
          <w:p>
            <w:pPr>
              <w:jc w:val="center"/>
            </w:pPr>
            <w:r>
              <w:t>喷雾</w:t>
            </w:r>
          </w:p>
        </w:tc>
        <w:tc>
          <w:tcPr>
            <w:tcW w:w="358" w:type="pct"/>
          </w:tcPr>
          <w:p>
            <w:pPr>
              <w:jc w:val="center"/>
            </w:pPr>
            <w:r>
              <w:t>低毒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17" w:type="pct"/>
            <w:vMerge w:val="continue"/>
          </w:tcPr>
          <w:p>
            <w:pPr>
              <w:jc w:val="center"/>
            </w:pPr>
          </w:p>
        </w:tc>
        <w:tc>
          <w:tcPr>
            <w:tcW w:w="717" w:type="pct"/>
          </w:tcPr>
          <w:p>
            <w:pPr>
              <w:jc w:val="center"/>
            </w:pPr>
            <w:r>
              <w:t>代森联</w:t>
            </w:r>
          </w:p>
        </w:tc>
        <w:tc>
          <w:tcPr>
            <w:tcW w:w="1193" w:type="pct"/>
          </w:tcPr>
          <w:p>
            <w:pPr>
              <w:jc w:val="center"/>
            </w:pPr>
            <w:r>
              <w:t>70%水分散粒剂</w:t>
            </w:r>
          </w:p>
        </w:tc>
        <w:tc>
          <w:tcPr>
            <w:tcW w:w="1417" w:type="pct"/>
          </w:tcPr>
          <w:p>
            <w:pPr>
              <w:jc w:val="center"/>
            </w:pPr>
            <w:r>
              <w:t>500-700倍</w:t>
            </w:r>
            <w:r>
              <w:rPr>
                <w:rFonts w:hint="eastAsia"/>
              </w:rPr>
              <w:t>液</w:t>
            </w:r>
          </w:p>
        </w:tc>
        <w:tc>
          <w:tcPr>
            <w:tcW w:w="598" w:type="pct"/>
          </w:tcPr>
          <w:p>
            <w:pPr>
              <w:jc w:val="center"/>
            </w:pPr>
            <w:r>
              <w:t>喷雾</w:t>
            </w:r>
          </w:p>
        </w:tc>
        <w:tc>
          <w:tcPr>
            <w:tcW w:w="358" w:type="pct"/>
          </w:tcPr>
          <w:p>
            <w:pPr>
              <w:jc w:val="center"/>
            </w:pPr>
            <w:r>
              <w:t>低毒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pct"/>
            <w:vMerge w:val="continue"/>
          </w:tcPr>
          <w:p>
            <w:pPr>
              <w:jc w:val="center"/>
            </w:pPr>
          </w:p>
        </w:tc>
        <w:tc>
          <w:tcPr>
            <w:tcW w:w="717" w:type="pct"/>
          </w:tcPr>
          <w:p>
            <w:pPr>
              <w:jc w:val="center"/>
            </w:pPr>
            <w:r>
              <w:t>甲基硫菌灵</w:t>
            </w:r>
          </w:p>
        </w:tc>
        <w:tc>
          <w:tcPr>
            <w:tcW w:w="1193" w:type="pct"/>
          </w:tcPr>
          <w:p>
            <w:pPr>
              <w:jc w:val="center"/>
            </w:pPr>
            <w:r>
              <w:t>70%可湿性粉剂</w:t>
            </w:r>
          </w:p>
        </w:tc>
        <w:tc>
          <w:tcPr>
            <w:tcW w:w="1417" w:type="pct"/>
          </w:tcPr>
          <w:p>
            <w:pPr>
              <w:jc w:val="center"/>
            </w:pPr>
            <w:r>
              <w:t>1600-2000倍</w:t>
            </w:r>
            <w:r>
              <w:rPr>
                <w:rFonts w:hint="eastAsia"/>
              </w:rPr>
              <w:t>液</w:t>
            </w:r>
          </w:p>
        </w:tc>
        <w:tc>
          <w:tcPr>
            <w:tcW w:w="598" w:type="pct"/>
          </w:tcPr>
          <w:p>
            <w:pPr>
              <w:jc w:val="center"/>
            </w:pPr>
            <w:r>
              <w:t>喷雾</w:t>
            </w:r>
          </w:p>
        </w:tc>
        <w:tc>
          <w:tcPr>
            <w:tcW w:w="358" w:type="pct"/>
          </w:tcPr>
          <w:p>
            <w:pPr>
              <w:jc w:val="center"/>
            </w:pPr>
            <w:r>
              <w:t>低毒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pct"/>
            <w:vMerge w:val="continue"/>
          </w:tcPr>
          <w:p>
            <w:pPr>
              <w:jc w:val="center"/>
            </w:pPr>
          </w:p>
        </w:tc>
        <w:tc>
          <w:tcPr>
            <w:tcW w:w="717" w:type="pct"/>
          </w:tcPr>
          <w:p>
            <w:pPr>
              <w:jc w:val="center"/>
            </w:pPr>
            <w:r>
              <w:t>醚菌酯</w:t>
            </w:r>
          </w:p>
        </w:tc>
        <w:tc>
          <w:tcPr>
            <w:tcW w:w="1193" w:type="pct"/>
          </w:tcPr>
          <w:p>
            <w:pPr>
              <w:jc w:val="center"/>
            </w:pPr>
            <w:r>
              <w:t>50%水分散粒剂</w:t>
            </w:r>
          </w:p>
        </w:tc>
        <w:tc>
          <w:tcPr>
            <w:tcW w:w="1417" w:type="pct"/>
          </w:tcPr>
          <w:p>
            <w:pPr>
              <w:jc w:val="center"/>
            </w:pPr>
            <w:r>
              <w:t>3000-5000倍</w:t>
            </w:r>
            <w:r>
              <w:rPr>
                <w:rFonts w:hint="eastAsia"/>
              </w:rPr>
              <w:t>液</w:t>
            </w:r>
          </w:p>
        </w:tc>
        <w:tc>
          <w:tcPr>
            <w:tcW w:w="598" w:type="pct"/>
          </w:tcPr>
          <w:p>
            <w:pPr>
              <w:jc w:val="center"/>
            </w:pPr>
            <w:r>
              <w:t>喷雾</w:t>
            </w:r>
          </w:p>
        </w:tc>
        <w:tc>
          <w:tcPr>
            <w:tcW w:w="358" w:type="pct"/>
          </w:tcPr>
          <w:p>
            <w:pPr>
              <w:jc w:val="center"/>
            </w:pPr>
            <w:r>
              <w:rPr>
                <w:color w:val="000000" w:themeColor="text1"/>
                <w14:textFill>
                  <w14:solidFill>
                    <w14:schemeClr w14:val="tx1"/>
                  </w14:solidFill>
                </w14:textFill>
              </w:rPr>
              <w:t>低</w:t>
            </w:r>
            <w:r>
              <w:t>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pct"/>
            <w:vMerge w:val="continue"/>
          </w:tcPr>
          <w:p>
            <w:pPr>
              <w:jc w:val="center"/>
            </w:pPr>
          </w:p>
        </w:tc>
        <w:tc>
          <w:tcPr>
            <w:tcW w:w="717" w:type="pct"/>
          </w:tcPr>
          <w:p>
            <w:pPr>
              <w:jc w:val="center"/>
            </w:pPr>
            <w:r>
              <w:t>克菌丹</w:t>
            </w:r>
          </w:p>
        </w:tc>
        <w:tc>
          <w:tcPr>
            <w:tcW w:w="1193" w:type="pct"/>
          </w:tcPr>
          <w:p>
            <w:pPr>
              <w:jc w:val="center"/>
            </w:pPr>
            <w:r>
              <w:t>50%可湿性粉剂</w:t>
            </w:r>
          </w:p>
        </w:tc>
        <w:tc>
          <w:tcPr>
            <w:tcW w:w="1417" w:type="pct"/>
          </w:tcPr>
          <w:p>
            <w:pPr>
              <w:jc w:val="center"/>
            </w:pPr>
            <w:r>
              <w:t>500-700倍</w:t>
            </w:r>
            <w:r>
              <w:rPr>
                <w:rFonts w:hint="eastAsia"/>
              </w:rPr>
              <w:t>液</w:t>
            </w:r>
          </w:p>
        </w:tc>
        <w:tc>
          <w:tcPr>
            <w:tcW w:w="598" w:type="pct"/>
          </w:tcPr>
          <w:p>
            <w:pPr>
              <w:jc w:val="center"/>
            </w:pPr>
            <w:r>
              <w:t>喷雾</w:t>
            </w:r>
          </w:p>
        </w:tc>
        <w:tc>
          <w:tcPr>
            <w:tcW w:w="358" w:type="pct"/>
          </w:tcPr>
          <w:p>
            <w:pPr>
              <w:jc w:val="center"/>
            </w:pPr>
            <w:r>
              <w:t>低毒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pct"/>
            <w:vMerge w:val="continue"/>
          </w:tcPr>
          <w:p>
            <w:pPr>
              <w:jc w:val="center"/>
            </w:pPr>
          </w:p>
        </w:tc>
        <w:tc>
          <w:tcPr>
            <w:tcW w:w="717" w:type="pct"/>
            <w:tcBorders>
              <w:bottom w:val="single" w:color="auto" w:sz="4" w:space="0"/>
            </w:tcBorders>
          </w:tcPr>
          <w:p>
            <w:pPr>
              <w:jc w:val="center"/>
            </w:pPr>
            <w:r>
              <w:t>噻霉酮</w:t>
            </w:r>
          </w:p>
        </w:tc>
        <w:tc>
          <w:tcPr>
            <w:tcW w:w="1193" w:type="pct"/>
            <w:tcBorders>
              <w:bottom w:val="single" w:color="auto" w:sz="4" w:space="0"/>
            </w:tcBorders>
          </w:tcPr>
          <w:p>
            <w:pPr>
              <w:jc w:val="center"/>
            </w:pPr>
            <w:r>
              <w:t>1.5%水乳剂</w:t>
            </w:r>
          </w:p>
        </w:tc>
        <w:tc>
          <w:tcPr>
            <w:tcW w:w="1417" w:type="pct"/>
            <w:tcBorders>
              <w:bottom w:val="single" w:color="auto" w:sz="4" w:space="0"/>
            </w:tcBorders>
          </w:tcPr>
          <w:p>
            <w:pPr>
              <w:jc w:val="center"/>
            </w:pPr>
            <w:r>
              <w:t>800-1000倍</w:t>
            </w:r>
            <w:r>
              <w:rPr>
                <w:rFonts w:hint="eastAsia"/>
              </w:rPr>
              <w:t>液</w:t>
            </w:r>
          </w:p>
        </w:tc>
        <w:tc>
          <w:tcPr>
            <w:tcW w:w="598" w:type="pct"/>
            <w:tcBorders>
              <w:bottom w:val="single" w:color="auto" w:sz="4" w:space="0"/>
            </w:tcBorders>
          </w:tcPr>
          <w:p>
            <w:pPr>
              <w:jc w:val="center"/>
            </w:pPr>
            <w:r>
              <w:t>喷雾</w:t>
            </w:r>
          </w:p>
        </w:tc>
        <w:tc>
          <w:tcPr>
            <w:tcW w:w="358" w:type="pct"/>
            <w:tcBorders>
              <w:bottom w:val="single" w:color="auto" w:sz="4" w:space="0"/>
            </w:tcBorders>
          </w:tcPr>
          <w:p>
            <w:pPr>
              <w:jc w:val="center"/>
            </w:pPr>
            <w:r>
              <w:t>低毒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pct"/>
            <w:vMerge w:val="continue"/>
          </w:tcPr>
          <w:p>
            <w:pPr>
              <w:jc w:val="center"/>
            </w:pPr>
          </w:p>
        </w:tc>
        <w:tc>
          <w:tcPr>
            <w:tcW w:w="717" w:type="pct"/>
          </w:tcPr>
          <w:p>
            <w:pPr>
              <w:jc w:val="center"/>
            </w:pPr>
            <w:r>
              <w:t>碱式硫酸铜</w:t>
            </w:r>
          </w:p>
        </w:tc>
        <w:tc>
          <w:tcPr>
            <w:tcW w:w="1193" w:type="pct"/>
          </w:tcPr>
          <w:p>
            <w:pPr>
              <w:jc w:val="center"/>
            </w:pPr>
            <w:r>
              <w:t>30%悬浮剂</w:t>
            </w:r>
          </w:p>
        </w:tc>
        <w:tc>
          <w:tcPr>
            <w:tcW w:w="1417" w:type="pct"/>
          </w:tcPr>
          <w:p>
            <w:pPr>
              <w:jc w:val="center"/>
            </w:pPr>
            <w:r>
              <w:t>300-430倍</w:t>
            </w:r>
            <w:r>
              <w:rPr>
                <w:rFonts w:hint="eastAsia"/>
              </w:rPr>
              <w:t>液</w:t>
            </w:r>
          </w:p>
        </w:tc>
        <w:tc>
          <w:tcPr>
            <w:tcW w:w="598" w:type="pct"/>
          </w:tcPr>
          <w:p>
            <w:pPr>
              <w:jc w:val="center"/>
            </w:pPr>
            <w:r>
              <w:t>喷雾</w:t>
            </w:r>
          </w:p>
        </w:tc>
        <w:tc>
          <w:tcPr>
            <w:tcW w:w="358" w:type="pct"/>
          </w:tcPr>
          <w:p>
            <w:pPr>
              <w:jc w:val="center"/>
            </w:pPr>
            <w:r>
              <w:t>低毒</w:t>
            </w:r>
          </w:p>
        </w:tc>
      </w:tr>
      <w:bookmarkEnd w:id="4"/>
    </w:tbl>
    <w:p>
      <w:pPr>
        <w:jc w:val="center"/>
      </w:pPr>
      <w:r>
        <w:t xml:space="preserve"> </w:t>
      </w:r>
    </w:p>
    <w:p>
      <w:pPr>
        <w:jc w:val="center"/>
      </w:pPr>
    </w:p>
    <w:p/>
    <w:p/>
    <w:p/>
    <w:sectPr>
      <w:footerReference r:id="rId13" w:type="default"/>
      <w:pgSz w:w="11907" w:h="16839"/>
      <w:pgMar w:top="1418" w:right="1134" w:bottom="1134" w:left="1418" w:header="1418" w:footer="851" w:gutter="0"/>
      <w:pgNumType w:fmt="upperRoman"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仿宋_GB2312"/>
    <w:panose1 w:val="00000000000000000000"/>
    <w:charset w:val="86"/>
    <w:family w:val="auto"/>
    <w:pitch w:val="default"/>
    <w:sig w:usb0="00000000" w:usb1="00000000" w:usb2="00000000" w:usb3="00000000" w:csb0="00000000" w:csb1="00000000"/>
  </w:font>
  <w:font w:name="等线">
    <w:altName w:val="仿宋_GB2312"/>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rPr>
        <w:rStyle w:val="8"/>
      </w:rPr>
    </w:pPr>
    <w:r>
      <w:rPr>
        <w:rStyle w:val="8"/>
      </w:rPr>
      <w:fldChar w:fldCharType="begin"/>
    </w:r>
    <w:r>
      <w:rPr>
        <w:rStyle w:val="8"/>
      </w:rPr>
      <w:instrText xml:space="preserve">PAGE  </w:instrText>
    </w:r>
    <w:r>
      <w:rPr>
        <w:rStyle w:val="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Style w:val="8"/>
      </w:rPr>
    </w:pPr>
    <w:r>
      <w:rPr>
        <w:rStyle w:val="8"/>
      </w:rPr>
      <w:fldChar w:fldCharType="begin"/>
    </w:r>
    <w:r>
      <w:rPr>
        <w:rStyle w:val="8"/>
      </w:rPr>
      <w:instrText xml:space="preserve">PAGE  </w:instrText>
    </w:r>
    <w:r>
      <w:rPr>
        <w:rStyle w:val="8"/>
      </w:rPr>
      <w:fldChar w:fldCharType="separate"/>
    </w:r>
    <w:r>
      <w:rPr>
        <w:rStyle w:val="8"/>
      </w:rPr>
      <w:t>I</w:t>
    </w:r>
    <w:r>
      <w:rPr>
        <w:rStyle w:val="8"/>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rPr>
        <w:rStyle w:val="8"/>
      </w:rPr>
    </w:pPr>
    <w:r>
      <w:rPr>
        <w:rStyle w:val="8"/>
      </w:rPr>
      <w:fldChar w:fldCharType="begin"/>
    </w:r>
    <w:r>
      <w:rPr>
        <w:rStyle w:val="8"/>
      </w:rPr>
      <w:instrText xml:space="preserve">PAGE  </w:instrText>
    </w:r>
    <w:r>
      <w:rPr>
        <w:rStyle w:val="8"/>
      </w:rPr>
      <w:fldChar w:fldCharType="separate"/>
    </w:r>
    <w:r>
      <w:rPr>
        <w:rStyle w:val="8"/>
      </w:rPr>
      <w:t>II</w:t>
    </w:r>
    <w:r>
      <w:rPr>
        <w:rStyle w:val="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Style w:val="8"/>
      </w:rPr>
    </w:pPr>
    <w:r>
      <w:fldChar w:fldCharType="begin"/>
    </w:r>
    <w:r>
      <w:rPr>
        <w:rStyle w:val="8"/>
      </w:rPr>
      <w:instrText xml:space="preserve">PAGE  </w:instrText>
    </w:r>
    <w:r>
      <w:fldChar w:fldCharType="separate"/>
    </w:r>
    <w:r>
      <w:rPr>
        <w:rStyle w:val="8"/>
      </w:rPr>
      <w:t>I</w:t>
    </w:r>
    <w:r>
      <w:fldChar w:fldCharType="end"/>
    </w:r>
  </w:p>
  <w:p>
    <w:pPr>
      <w:rPr>
        <w:rStyle w:val="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Style w:val="8"/>
      </w:rPr>
    </w:pPr>
    <w:r>
      <w:fldChar w:fldCharType="begin"/>
    </w:r>
    <w:r>
      <w:rPr>
        <w:rStyle w:val="8"/>
      </w:rPr>
      <w:instrText xml:space="preserve">PAGE  </w:instrText>
    </w:r>
    <w:r>
      <w:fldChar w:fldCharType="separate"/>
    </w:r>
    <w:r>
      <w:rPr>
        <w:rStyle w:val="8"/>
      </w:rPr>
      <w:t>I</w:t>
    </w:r>
    <w:r>
      <w:fldChar w:fldCharType="end"/>
    </w:r>
  </w:p>
  <w:p>
    <w:pPr>
      <w:rPr>
        <w:rStyle w:val="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t>Q/HMS HMS 02—2002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Pr>
    <w:r>
      <w:t>Q/HMS HMS 02—2002</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right"/>
    </w:pPr>
    <w:r>
      <w:rPr>
        <w:rFonts w:hint="eastAsia"/>
      </w:rPr>
      <w:t xml:space="preserve">DBxx/T </w:t>
    </w:r>
    <w:r>
      <w:rPr>
        <w:rFonts w:hint="eastAsia" w:ascii="宋体" w:hAnsi="宋体"/>
      </w:rPr>
      <w:t>XXX</w:t>
    </w:r>
    <w:r>
      <w:t>—20</w:t>
    </w:r>
    <w:r>
      <w:rPr>
        <w:rFonts w:hint="eastAsia"/>
      </w:rPr>
      <w:t>XX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ind w:firstLine="7350" w:firstLineChars="3500"/>
    </w:pPr>
    <w:r>
      <w:rPr>
        <w:rFonts w:hint="eastAsia"/>
      </w:rPr>
      <w:t>DBxx/T</w:t>
    </w:r>
    <w:r>
      <w:rPr>
        <w:rFonts w:hint="eastAsia" w:ascii="宋体" w:hAnsi="宋体"/>
      </w:rPr>
      <w:t>XXX</w:t>
    </w:r>
    <w:r>
      <w:t>—20</w:t>
    </w:r>
    <w:r>
      <w:rPr>
        <w:rFonts w:hint="eastAsia"/>
      </w:rPr>
      <w:t>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EA2025"/>
    <w:multiLevelType w:val="multilevel"/>
    <w:tmpl w:val="6CEA2025"/>
    <w:lvl w:ilvl="0" w:tentative="0">
      <w:start w:val="1"/>
      <w:numFmt w:val="none"/>
      <w:pStyle w:val="11"/>
      <w:suff w:val="nothing"/>
      <w:lvlText w:val="%1"/>
      <w:lvlJc w:val="left"/>
      <w:pPr>
        <w:ind w:left="0" w:firstLine="0"/>
      </w:pPr>
      <w:rPr>
        <w:rFonts w:hint="default" w:ascii="Times New Roman" w:hAnsi="Times New Roman"/>
        <w:b/>
        <w:i w:val="0"/>
        <w:sz w:val="21"/>
      </w:rPr>
    </w:lvl>
    <w:lvl w:ilvl="1" w:tentative="0">
      <w:start w:val="1"/>
      <w:numFmt w:val="decimal"/>
      <w:pStyle w:val="14"/>
      <w:suff w:val="nothing"/>
      <w:lvlText w:val="%1%2　"/>
      <w:lvlJc w:val="left"/>
      <w:pPr>
        <w:ind w:left="210" w:firstLine="0"/>
      </w:pPr>
      <w:rPr>
        <w:rFonts w:hint="eastAsia" w:ascii="黑体" w:hAnsi="Times New Roman" w:eastAsia="黑体"/>
        <w:b w:val="0"/>
        <w:i w:val="0"/>
        <w:sz w:val="21"/>
      </w:rPr>
    </w:lvl>
    <w:lvl w:ilvl="2" w:tentative="0">
      <w:start w:val="1"/>
      <w:numFmt w:val="decimal"/>
      <w:pStyle w:val="9"/>
      <w:suff w:val="nothing"/>
      <w:lvlText w:val="%1%2.%3　"/>
      <w:lvlJc w:val="left"/>
      <w:pPr>
        <w:ind w:left="315" w:firstLine="0"/>
      </w:pPr>
      <w:rPr>
        <w:rFonts w:hint="eastAsia" w:ascii="黑体" w:hAnsi="Times New Roman" w:eastAsia="黑体"/>
        <w:b w:val="0"/>
        <w:i w:val="0"/>
        <w:sz w:val="21"/>
      </w:rPr>
    </w:lvl>
    <w:lvl w:ilvl="3" w:tentative="0">
      <w:start w:val="1"/>
      <w:numFmt w:val="decimal"/>
      <w:suff w:val="nothing"/>
      <w:lvlText w:val="%1%2.%3.%4　"/>
      <w:lvlJc w:val="left"/>
      <w:pPr>
        <w:ind w:left="525"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1F3D"/>
    <w:rsid w:val="000002D9"/>
    <w:rsid w:val="00002C08"/>
    <w:rsid w:val="000061D0"/>
    <w:rsid w:val="00011CA5"/>
    <w:rsid w:val="00011F6E"/>
    <w:rsid w:val="00020EB7"/>
    <w:rsid w:val="000215F7"/>
    <w:rsid w:val="00023BE8"/>
    <w:rsid w:val="00025FE7"/>
    <w:rsid w:val="00027995"/>
    <w:rsid w:val="00033EBF"/>
    <w:rsid w:val="00044379"/>
    <w:rsid w:val="00047B1B"/>
    <w:rsid w:val="000721FC"/>
    <w:rsid w:val="000813EF"/>
    <w:rsid w:val="00092C3A"/>
    <w:rsid w:val="000940CC"/>
    <w:rsid w:val="00096118"/>
    <w:rsid w:val="000A0622"/>
    <w:rsid w:val="000A42DA"/>
    <w:rsid w:val="000B1AE4"/>
    <w:rsid w:val="000B2E0A"/>
    <w:rsid w:val="000C11C6"/>
    <w:rsid w:val="000C1F78"/>
    <w:rsid w:val="000E3DD3"/>
    <w:rsid w:val="000E783B"/>
    <w:rsid w:val="000F3366"/>
    <w:rsid w:val="001124E8"/>
    <w:rsid w:val="001125BC"/>
    <w:rsid w:val="00121BF6"/>
    <w:rsid w:val="001376C1"/>
    <w:rsid w:val="00140FDF"/>
    <w:rsid w:val="00147DFC"/>
    <w:rsid w:val="001519E2"/>
    <w:rsid w:val="00163AB8"/>
    <w:rsid w:val="001661F4"/>
    <w:rsid w:val="0017060F"/>
    <w:rsid w:val="0018592B"/>
    <w:rsid w:val="0019500F"/>
    <w:rsid w:val="0019713E"/>
    <w:rsid w:val="001A6B48"/>
    <w:rsid w:val="001B4548"/>
    <w:rsid w:val="001F28CC"/>
    <w:rsid w:val="001F4FA6"/>
    <w:rsid w:val="002032A1"/>
    <w:rsid w:val="002046A2"/>
    <w:rsid w:val="00205DF0"/>
    <w:rsid w:val="0021062A"/>
    <w:rsid w:val="00216141"/>
    <w:rsid w:val="0023758F"/>
    <w:rsid w:val="00244D92"/>
    <w:rsid w:val="00246D08"/>
    <w:rsid w:val="002506AC"/>
    <w:rsid w:val="00252A19"/>
    <w:rsid w:val="00267076"/>
    <w:rsid w:val="0028157A"/>
    <w:rsid w:val="002849F6"/>
    <w:rsid w:val="002A55DA"/>
    <w:rsid w:val="002A6D2E"/>
    <w:rsid w:val="002C4654"/>
    <w:rsid w:val="002D0D6D"/>
    <w:rsid w:val="002E1428"/>
    <w:rsid w:val="002F15D2"/>
    <w:rsid w:val="003058D1"/>
    <w:rsid w:val="0031692F"/>
    <w:rsid w:val="003257B7"/>
    <w:rsid w:val="003258D0"/>
    <w:rsid w:val="00331FE9"/>
    <w:rsid w:val="00344449"/>
    <w:rsid w:val="00344A2D"/>
    <w:rsid w:val="00345E2A"/>
    <w:rsid w:val="003515B1"/>
    <w:rsid w:val="00356F34"/>
    <w:rsid w:val="003576C7"/>
    <w:rsid w:val="003616FB"/>
    <w:rsid w:val="00375C08"/>
    <w:rsid w:val="003867B9"/>
    <w:rsid w:val="00392373"/>
    <w:rsid w:val="003B41BA"/>
    <w:rsid w:val="003B455C"/>
    <w:rsid w:val="003C3635"/>
    <w:rsid w:val="003C6E46"/>
    <w:rsid w:val="003E1255"/>
    <w:rsid w:val="00400BC3"/>
    <w:rsid w:val="004073C8"/>
    <w:rsid w:val="0040764C"/>
    <w:rsid w:val="0041263D"/>
    <w:rsid w:val="004264CC"/>
    <w:rsid w:val="00441310"/>
    <w:rsid w:val="0044456E"/>
    <w:rsid w:val="0044760C"/>
    <w:rsid w:val="0045642E"/>
    <w:rsid w:val="00462D39"/>
    <w:rsid w:val="00466CE1"/>
    <w:rsid w:val="00491D30"/>
    <w:rsid w:val="004A5EC3"/>
    <w:rsid w:val="004B07B7"/>
    <w:rsid w:val="004B4F01"/>
    <w:rsid w:val="004C0CA5"/>
    <w:rsid w:val="004D0510"/>
    <w:rsid w:val="004D092D"/>
    <w:rsid w:val="004D35C1"/>
    <w:rsid w:val="004E5EFA"/>
    <w:rsid w:val="005079D8"/>
    <w:rsid w:val="00515D36"/>
    <w:rsid w:val="00522F6D"/>
    <w:rsid w:val="00530CE0"/>
    <w:rsid w:val="0054385A"/>
    <w:rsid w:val="00546106"/>
    <w:rsid w:val="0055040C"/>
    <w:rsid w:val="00553553"/>
    <w:rsid w:val="00556080"/>
    <w:rsid w:val="00557896"/>
    <w:rsid w:val="005632E0"/>
    <w:rsid w:val="00570DF5"/>
    <w:rsid w:val="00572959"/>
    <w:rsid w:val="005743AB"/>
    <w:rsid w:val="00582755"/>
    <w:rsid w:val="00590204"/>
    <w:rsid w:val="005930C8"/>
    <w:rsid w:val="005940CE"/>
    <w:rsid w:val="005B3DBC"/>
    <w:rsid w:val="005C24B7"/>
    <w:rsid w:val="005C5824"/>
    <w:rsid w:val="005C6D23"/>
    <w:rsid w:val="005D08EF"/>
    <w:rsid w:val="005D1D9F"/>
    <w:rsid w:val="005D2D37"/>
    <w:rsid w:val="005E4D0E"/>
    <w:rsid w:val="005F249F"/>
    <w:rsid w:val="00605A29"/>
    <w:rsid w:val="00615180"/>
    <w:rsid w:val="00623533"/>
    <w:rsid w:val="00625209"/>
    <w:rsid w:val="00633AEF"/>
    <w:rsid w:val="006421AF"/>
    <w:rsid w:val="00644DE0"/>
    <w:rsid w:val="00645294"/>
    <w:rsid w:val="00651AE6"/>
    <w:rsid w:val="00657A06"/>
    <w:rsid w:val="006606A2"/>
    <w:rsid w:val="006657E4"/>
    <w:rsid w:val="006731E8"/>
    <w:rsid w:val="0067511F"/>
    <w:rsid w:val="00675A8C"/>
    <w:rsid w:val="006811F0"/>
    <w:rsid w:val="00687DE3"/>
    <w:rsid w:val="006B34C8"/>
    <w:rsid w:val="006B55B0"/>
    <w:rsid w:val="006B5CDF"/>
    <w:rsid w:val="006D05F2"/>
    <w:rsid w:val="006D3C92"/>
    <w:rsid w:val="006E2E31"/>
    <w:rsid w:val="006E544E"/>
    <w:rsid w:val="006F652F"/>
    <w:rsid w:val="006F6FAC"/>
    <w:rsid w:val="0070390D"/>
    <w:rsid w:val="00704715"/>
    <w:rsid w:val="00704C49"/>
    <w:rsid w:val="00724586"/>
    <w:rsid w:val="00735883"/>
    <w:rsid w:val="00740093"/>
    <w:rsid w:val="00745068"/>
    <w:rsid w:val="00765D61"/>
    <w:rsid w:val="00772CF2"/>
    <w:rsid w:val="00787ABF"/>
    <w:rsid w:val="00792D60"/>
    <w:rsid w:val="007A3664"/>
    <w:rsid w:val="007B4E3C"/>
    <w:rsid w:val="007C72D0"/>
    <w:rsid w:val="007E247D"/>
    <w:rsid w:val="007E622B"/>
    <w:rsid w:val="007E7D02"/>
    <w:rsid w:val="007F2471"/>
    <w:rsid w:val="007F60E1"/>
    <w:rsid w:val="00803E85"/>
    <w:rsid w:val="00803E8C"/>
    <w:rsid w:val="0080602E"/>
    <w:rsid w:val="00817C56"/>
    <w:rsid w:val="0083393B"/>
    <w:rsid w:val="00834488"/>
    <w:rsid w:val="00837CE2"/>
    <w:rsid w:val="00842A41"/>
    <w:rsid w:val="00845DC5"/>
    <w:rsid w:val="00846B89"/>
    <w:rsid w:val="00851F7F"/>
    <w:rsid w:val="00855603"/>
    <w:rsid w:val="00857832"/>
    <w:rsid w:val="00864AB4"/>
    <w:rsid w:val="00867B23"/>
    <w:rsid w:val="008774E4"/>
    <w:rsid w:val="00882D6F"/>
    <w:rsid w:val="00886CE4"/>
    <w:rsid w:val="00890B09"/>
    <w:rsid w:val="008A6C15"/>
    <w:rsid w:val="008E15B7"/>
    <w:rsid w:val="008E2E3E"/>
    <w:rsid w:val="008E61B1"/>
    <w:rsid w:val="00901CCF"/>
    <w:rsid w:val="00902617"/>
    <w:rsid w:val="00930137"/>
    <w:rsid w:val="0093067B"/>
    <w:rsid w:val="0094598B"/>
    <w:rsid w:val="00964627"/>
    <w:rsid w:val="00973D9A"/>
    <w:rsid w:val="00980341"/>
    <w:rsid w:val="00986E0B"/>
    <w:rsid w:val="00986F4B"/>
    <w:rsid w:val="00990A2A"/>
    <w:rsid w:val="009A3998"/>
    <w:rsid w:val="009A730D"/>
    <w:rsid w:val="009B0826"/>
    <w:rsid w:val="009C00A2"/>
    <w:rsid w:val="009C1C89"/>
    <w:rsid w:val="009C56F5"/>
    <w:rsid w:val="009D5F03"/>
    <w:rsid w:val="009D6747"/>
    <w:rsid w:val="009D7874"/>
    <w:rsid w:val="009F25DB"/>
    <w:rsid w:val="009F7030"/>
    <w:rsid w:val="00A05807"/>
    <w:rsid w:val="00A0696B"/>
    <w:rsid w:val="00A11E68"/>
    <w:rsid w:val="00A137F4"/>
    <w:rsid w:val="00A168B0"/>
    <w:rsid w:val="00A23FB5"/>
    <w:rsid w:val="00A40B8F"/>
    <w:rsid w:val="00A45184"/>
    <w:rsid w:val="00A50E8C"/>
    <w:rsid w:val="00A548FD"/>
    <w:rsid w:val="00A70302"/>
    <w:rsid w:val="00A70477"/>
    <w:rsid w:val="00AA043A"/>
    <w:rsid w:val="00AB0304"/>
    <w:rsid w:val="00AC456C"/>
    <w:rsid w:val="00AC490A"/>
    <w:rsid w:val="00AE21E1"/>
    <w:rsid w:val="00AE303D"/>
    <w:rsid w:val="00AE43D5"/>
    <w:rsid w:val="00AF19FA"/>
    <w:rsid w:val="00B0671A"/>
    <w:rsid w:val="00B12784"/>
    <w:rsid w:val="00B13AA8"/>
    <w:rsid w:val="00B17620"/>
    <w:rsid w:val="00B214B2"/>
    <w:rsid w:val="00B256A8"/>
    <w:rsid w:val="00B32A4D"/>
    <w:rsid w:val="00B50BDC"/>
    <w:rsid w:val="00B51AE8"/>
    <w:rsid w:val="00B749C3"/>
    <w:rsid w:val="00B801F6"/>
    <w:rsid w:val="00B87E3C"/>
    <w:rsid w:val="00B925E2"/>
    <w:rsid w:val="00B92649"/>
    <w:rsid w:val="00B97CDC"/>
    <w:rsid w:val="00BA12E7"/>
    <w:rsid w:val="00BA62D4"/>
    <w:rsid w:val="00BA7E3D"/>
    <w:rsid w:val="00BB20CC"/>
    <w:rsid w:val="00BD5E04"/>
    <w:rsid w:val="00BD67DE"/>
    <w:rsid w:val="00BE6FD6"/>
    <w:rsid w:val="00BF02B1"/>
    <w:rsid w:val="00BF1974"/>
    <w:rsid w:val="00BF27D8"/>
    <w:rsid w:val="00BF7709"/>
    <w:rsid w:val="00C027B6"/>
    <w:rsid w:val="00C11F3D"/>
    <w:rsid w:val="00C20F9B"/>
    <w:rsid w:val="00C23347"/>
    <w:rsid w:val="00C30846"/>
    <w:rsid w:val="00C367B1"/>
    <w:rsid w:val="00C36C1E"/>
    <w:rsid w:val="00C432D3"/>
    <w:rsid w:val="00C51462"/>
    <w:rsid w:val="00C656D7"/>
    <w:rsid w:val="00C7071F"/>
    <w:rsid w:val="00C777B7"/>
    <w:rsid w:val="00C847F5"/>
    <w:rsid w:val="00C8606B"/>
    <w:rsid w:val="00C91A48"/>
    <w:rsid w:val="00C92FFD"/>
    <w:rsid w:val="00C94BEF"/>
    <w:rsid w:val="00CA169C"/>
    <w:rsid w:val="00CB1BE6"/>
    <w:rsid w:val="00CB2034"/>
    <w:rsid w:val="00CB3825"/>
    <w:rsid w:val="00CC017D"/>
    <w:rsid w:val="00CC385F"/>
    <w:rsid w:val="00CC64B7"/>
    <w:rsid w:val="00CC6523"/>
    <w:rsid w:val="00CD0B83"/>
    <w:rsid w:val="00CE1AD6"/>
    <w:rsid w:val="00CE704B"/>
    <w:rsid w:val="00D035E3"/>
    <w:rsid w:val="00D03DA0"/>
    <w:rsid w:val="00D271DE"/>
    <w:rsid w:val="00D4207E"/>
    <w:rsid w:val="00D464B1"/>
    <w:rsid w:val="00D54E7E"/>
    <w:rsid w:val="00D620F1"/>
    <w:rsid w:val="00D66E9A"/>
    <w:rsid w:val="00D73240"/>
    <w:rsid w:val="00D76F94"/>
    <w:rsid w:val="00D90E0A"/>
    <w:rsid w:val="00D94054"/>
    <w:rsid w:val="00DA0105"/>
    <w:rsid w:val="00DA5BF5"/>
    <w:rsid w:val="00DC0FE2"/>
    <w:rsid w:val="00DC48CB"/>
    <w:rsid w:val="00DD0EFC"/>
    <w:rsid w:val="00DE5976"/>
    <w:rsid w:val="00DF0E6F"/>
    <w:rsid w:val="00DF6465"/>
    <w:rsid w:val="00E06478"/>
    <w:rsid w:val="00E071B5"/>
    <w:rsid w:val="00E17493"/>
    <w:rsid w:val="00E22D71"/>
    <w:rsid w:val="00E40D2B"/>
    <w:rsid w:val="00E54BA3"/>
    <w:rsid w:val="00E602C0"/>
    <w:rsid w:val="00E743A3"/>
    <w:rsid w:val="00E81652"/>
    <w:rsid w:val="00E818FB"/>
    <w:rsid w:val="00E9749C"/>
    <w:rsid w:val="00EC1810"/>
    <w:rsid w:val="00EC58CB"/>
    <w:rsid w:val="00EF2848"/>
    <w:rsid w:val="00F00B0F"/>
    <w:rsid w:val="00F0759E"/>
    <w:rsid w:val="00F119D7"/>
    <w:rsid w:val="00F1542F"/>
    <w:rsid w:val="00F20533"/>
    <w:rsid w:val="00F20CB8"/>
    <w:rsid w:val="00F30E7F"/>
    <w:rsid w:val="00F556BE"/>
    <w:rsid w:val="00F60167"/>
    <w:rsid w:val="00F645F3"/>
    <w:rsid w:val="00F7524A"/>
    <w:rsid w:val="00F807EC"/>
    <w:rsid w:val="00F82A2D"/>
    <w:rsid w:val="00F8376F"/>
    <w:rsid w:val="00F94A59"/>
    <w:rsid w:val="00FA7181"/>
    <w:rsid w:val="00FB3061"/>
    <w:rsid w:val="00FC3B3C"/>
    <w:rsid w:val="00FC44AC"/>
    <w:rsid w:val="00FC7B53"/>
    <w:rsid w:val="00FD68A2"/>
    <w:rsid w:val="00FE11E5"/>
    <w:rsid w:val="00FF07D6"/>
    <w:rsid w:val="0C7B490A"/>
    <w:rsid w:val="4DEF4682"/>
    <w:rsid w:val="6FFAFFBE"/>
    <w:rsid w:val="7FF6D3C9"/>
    <w:rsid w:val="ACEF2B0E"/>
    <w:rsid w:val="CF3B4F26"/>
    <w:rsid w:val="DFBB7A15"/>
    <w:rsid w:val="E8DFB3E7"/>
    <w:rsid w:val="FF6A17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7"/>
    <w:semiHidden/>
    <w:unhideWhenUsed/>
    <w:qFormat/>
    <w:uiPriority w:val="99"/>
    <w:pPr>
      <w:ind w:left="100" w:leftChars="2500"/>
    </w:pPr>
  </w:style>
  <w:style w:type="paragraph" w:styleId="3">
    <w:name w:val="footer"/>
    <w:basedOn w:val="1"/>
    <w:link w:val="16"/>
    <w:unhideWhenUsed/>
    <w:qFormat/>
    <w:uiPriority w:val="99"/>
    <w:pPr>
      <w:tabs>
        <w:tab w:val="center" w:pos="4153"/>
        <w:tab w:val="right" w:pos="8306"/>
      </w:tabs>
      <w:snapToGrid w:val="0"/>
      <w:jc w:val="left"/>
    </w:pPr>
    <w:rPr>
      <w:sz w:val="18"/>
      <w:szCs w:val="18"/>
    </w:rPr>
  </w:style>
  <w:style w:type="paragraph" w:styleId="4">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qFormat/>
    <w:uiPriority w:val="0"/>
    <w:rPr>
      <w:rFonts w:ascii="Times New Roman" w:hAnsi="Times New Roman" w:eastAsia="宋体"/>
      <w:sz w:val="18"/>
    </w:rPr>
  </w:style>
  <w:style w:type="paragraph" w:customStyle="1" w:styleId="9">
    <w:name w:val="一级条标题"/>
    <w:next w:val="10"/>
    <w:qFormat/>
    <w:uiPriority w:val="0"/>
    <w:pPr>
      <w:numPr>
        <w:ilvl w:val="2"/>
        <w:numId w:val="1"/>
      </w:numPr>
      <w:outlineLvl w:val="2"/>
    </w:pPr>
    <w:rPr>
      <w:rFonts w:ascii="Times New Roman" w:hAnsi="Times New Roman" w:eastAsia="黑体" w:cs="Times New Roman"/>
      <w:sz w:val="21"/>
      <w:lang w:val="en-US" w:eastAsia="zh-CN" w:bidi="ar-SA"/>
    </w:rPr>
  </w:style>
  <w:style w:type="paragraph" w:customStyle="1" w:styleId="10">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1">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2">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13">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14">
    <w:name w:val="章标题"/>
    <w:next w:val="10"/>
    <w:qFormat/>
    <w:uiPriority w:val="0"/>
    <w:pPr>
      <w:numPr>
        <w:ilvl w:val="1"/>
        <w:numId w:val="1"/>
      </w:numPr>
      <w:spacing w:before="50" w:beforeLines="50" w:after="50" w:afterLines="50"/>
      <w:jc w:val="both"/>
      <w:outlineLvl w:val="1"/>
    </w:pPr>
    <w:rPr>
      <w:rFonts w:ascii="黑体" w:hAnsi="Times New Roman" w:eastAsia="黑体" w:cs="Times New Roman"/>
      <w:sz w:val="21"/>
      <w:lang w:val="en-US" w:eastAsia="zh-CN" w:bidi="ar-SA"/>
    </w:rPr>
  </w:style>
  <w:style w:type="character" w:customStyle="1" w:styleId="15">
    <w:name w:val="页眉 字符"/>
    <w:basedOn w:val="7"/>
    <w:link w:val="4"/>
    <w:qFormat/>
    <w:uiPriority w:val="99"/>
    <w:rPr>
      <w:rFonts w:ascii="Times New Roman" w:hAnsi="Times New Roman" w:eastAsia="宋体" w:cs="Times New Roman"/>
      <w:sz w:val="18"/>
      <w:szCs w:val="18"/>
    </w:rPr>
  </w:style>
  <w:style w:type="character" w:customStyle="1" w:styleId="16">
    <w:name w:val="页脚 字符"/>
    <w:basedOn w:val="7"/>
    <w:link w:val="3"/>
    <w:qFormat/>
    <w:uiPriority w:val="99"/>
    <w:rPr>
      <w:rFonts w:ascii="Times New Roman" w:hAnsi="Times New Roman" w:eastAsia="宋体" w:cs="Times New Roman"/>
      <w:sz w:val="18"/>
      <w:szCs w:val="18"/>
    </w:rPr>
  </w:style>
  <w:style w:type="character" w:customStyle="1" w:styleId="17">
    <w:name w:val="日期 字符"/>
    <w:basedOn w:val="7"/>
    <w:link w:val="2"/>
    <w:semiHidden/>
    <w:qFormat/>
    <w:uiPriority w:val="99"/>
    <w:rPr>
      <w:rFonts w:ascii="Times New Roman" w:hAnsi="Times New Roman" w:eastAsia="宋体" w:cs="Times New Roman"/>
      <w:szCs w:val="24"/>
    </w:rPr>
  </w:style>
  <w:style w:type="paragraph" w:customStyle="1" w:styleId="18">
    <w:name w:val="封面正文"/>
    <w:qFormat/>
    <w:uiPriority w:val="0"/>
    <w:pPr>
      <w:jc w:val="both"/>
    </w:pPr>
    <w:rPr>
      <w:rFonts w:ascii="Times New Roman" w:hAnsi="Times New Roman" w:eastAsia="宋体" w:cs="Times New Roman"/>
      <w:lang w:val="en-US" w:eastAsia="zh-CN" w:bidi="ar-SA"/>
    </w:rPr>
  </w:style>
  <w:style w:type="paragraph" w:customStyle="1" w:styleId="19">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20">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1">
    <w:name w:val="其他发布部门"/>
    <w:basedOn w:val="22"/>
    <w:qFormat/>
    <w:uiPriority w:val="0"/>
    <w:pPr>
      <w:spacing w:line="0" w:lineRule="atLeast"/>
    </w:pPr>
    <w:rPr>
      <w:rFonts w:ascii="黑体" w:eastAsia="黑体"/>
      <w:b w:val="0"/>
    </w:rPr>
  </w:style>
  <w:style w:type="paragraph" w:customStyle="1" w:styleId="22">
    <w:name w:val="发布部门"/>
    <w:next w:val="10"/>
    <w:link w:val="23"/>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character" w:customStyle="1" w:styleId="23">
    <w:name w:val="发布部门 Char"/>
    <w:link w:val="22"/>
    <w:qFormat/>
    <w:uiPriority w:val="0"/>
    <w:rPr>
      <w:rFonts w:ascii="宋体"/>
      <w:b/>
      <w:spacing w:val="20"/>
      <w:w w:val="135"/>
      <w:sz w:val="36"/>
      <w:lang w:val="en-US" w:eastAsia="zh-CN" w:bidi="ar-SA"/>
    </w:rPr>
  </w:style>
  <w:style w:type="character" w:customStyle="1" w:styleId="24">
    <w:name w:val="发布"/>
    <w:qFormat/>
    <w:uiPriority w:val="0"/>
    <w:rPr>
      <w:rFonts w:ascii="黑体" w:eastAsia="黑体"/>
      <w:spacing w:val="22"/>
      <w:w w:val="100"/>
      <w:position w:val="3"/>
      <w:sz w:val="28"/>
    </w:rPr>
  </w:style>
  <w:style w:type="paragraph" w:customStyle="1" w:styleId="25">
    <w:name w:val="实施日期"/>
    <w:basedOn w:val="26"/>
    <w:qFormat/>
    <w:uiPriority w:val="0"/>
    <w:pPr>
      <w:framePr w:hSpace="0" w:xAlign="right"/>
      <w:jc w:val="right"/>
    </w:pPr>
  </w:style>
  <w:style w:type="paragraph" w:customStyle="1" w:styleId="26">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27">
    <w:name w:val="目次、标准名称标题"/>
    <w:basedOn w:val="11"/>
    <w:next w:val="10"/>
    <w:qFormat/>
    <w:uiPriority w:val="0"/>
    <w:pPr>
      <w:numPr>
        <w:numId w:val="0"/>
      </w:numPr>
      <w:spacing w:line="460" w:lineRule="exact"/>
    </w:pPr>
  </w:style>
  <w:style w:type="paragraph" w:customStyle="1" w:styleId="28">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29">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30">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31">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3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33">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34">
    <w:name w:val="标准书眉_偶数页"/>
    <w:basedOn w:val="13"/>
    <w:next w:val="1"/>
    <w:qFormat/>
    <w:uiPriority w:val="0"/>
    <w:pPr>
      <w:jc w:val="left"/>
    </w:pPr>
  </w:style>
  <w:style w:type="paragraph" w:customStyle="1" w:styleId="35">
    <w:name w:val="标准书眉一"/>
    <w:qFormat/>
    <w:uiPriority w:val="0"/>
    <w:pPr>
      <w:jc w:val="both"/>
    </w:pPr>
    <w:rPr>
      <w:rFonts w:ascii="Times New Roman" w:hAnsi="Times New Roman" w:eastAsia="宋体" w:cs="Times New Roman"/>
      <w:lang w:val="en-US" w:eastAsia="zh-CN" w:bidi="ar-SA"/>
    </w:rPr>
  </w:style>
  <w:style w:type="paragraph" w:customStyle="1" w:styleId="36">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37">
    <w:name w:val="修订1"/>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412</Words>
  <Characters>2350</Characters>
  <Lines>19</Lines>
  <Paragraphs>5</Paragraphs>
  <TotalTime>3</TotalTime>
  <ScaleCrop>false</ScaleCrop>
  <LinksUpToDate>false</LinksUpToDate>
  <CharactersWithSpaces>2757</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2024-04-29T21:02:00Z</dcterms:created>
  <dc:creator>du lixin</dc:creator>
  <cp:lastModifiedBy>uos</cp:lastModifiedBy>
  <cp:lastPrinted>2023-08-20T09:13:00Z</cp:lastPrinted>
  <dcterms:modified xsi:type="dcterms:W3CDTF">2024-06-03T09:51:54Z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