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3"/>
        <w:framePr w:wrap="around"/>
      </w:pPr>
      <w:r>
        <w:rPr>
          <w:rFonts w:ascii="Times New Roman"/>
        </w:rPr>
        <w:t>ICS</w:t>
      </w:r>
      <w:r>
        <w:rPr>
          <w:rFonts w:hAnsi="黑体"/>
        </w:rPr>
        <w:t xml:space="preserve"> XX.XX</w:t>
      </w:r>
    </w:p>
    <w:p>
      <w:pPr>
        <w:pStyle w:val="123"/>
        <w:framePr w:wrap="around"/>
      </w:pPr>
      <w:bookmarkStart w:id="0" w:name="WXFLH"/>
      <w:r>
        <w:t xml:space="preserve">CCS X XX </w:t>
      </w:r>
      <w:bookmarkEnd w:id="0"/>
    </w:p>
    <w:tbl>
      <w:tblPr>
        <w:tblStyle w:val="33"/>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3"/>
              <w:framePr w:wrap="around"/>
            </w:pPr>
            <w: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3120;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mdh1NUAAAAHAQAADwAAAAAAAAABACAAAAAi&#10;AAAAZHJzL2Rvd25yZXYueG1sUEsBAhQAFAAAAAgAh07iQBz2sFoNAgAAIQQAAA4AAAAAAAAAAQAg&#10;AAAAJAEAAGRycy9lMm9Eb2MueG1sUEsFBgAAAAAGAAYAWQEAAKMFAAAAAA==&#10;">
                      <v:fill on="t" focussize="0,0"/>
                      <v:stroke on="f"/>
                      <v:imagedata o:title=""/>
                      <o:lock v:ext="edit" aspectratio="f"/>
                    </v:rect>
                  </w:pict>
                </mc:Fallback>
              </mc:AlternateContent>
            </w:r>
          </w:p>
        </w:tc>
      </w:tr>
    </w:tbl>
    <w:p>
      <w:pPr>
        <w:pStyle w:val="109"/>
        <w:framePr w:wrap="around"/>
      </w:pPr>
      <w:r>
        <w:t>DB13</w:t>
      </w:r>
    </w:p>
    <w:p>
      <w:pPr>
        <w:pStyle w:val="110"/>
        <w:framePr w:wrap="around"/>
      </w:pPr>
      <w:r>
        <w:rPr>
          <w:rFonts w:hint="eastAsia"/>
        </w:rPr>
        <w:t>河北省地方标准</w:t>
      </w:r>
    </w:p>
    <w:p>
      <w:pPr>
        <w:pStyle w:val="47"/>
        <w:framePr w:wrap="around"/>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2"/>
    </w:p>
    <w:tbl>
      <w:tblPr>
        <w:tblStyle w:val="33"/>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6"/>
              <w:framePr w:wrap="around"/>
            </w:pPr>
            <w:bookmarkStart w:id="3"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bookmarkEnd w:id="3"/>
          </w:p>
        </w:tc>
      </w:tr>
    </w:tbl>
    <w:p>
      <w:pPr>
        <w:pStyle w:val="47"/>
        <w:framePr w:wrap="around"/>
        <w:rPr>
          <w:rFonts w:hAnsi="黑体"/>
        </w:rPr>
      </w:pPr>
    </w:p>
    <w:p>
      <w:pPr>
        <w:pStyle w:val="47"/>
        <w:framePr w:wrap="around"/>
        <w:rPr>
          <w:rFonts w:hAnsi="黑体"/>
        </w:rPr>
      </w:pPr>
    </w:p>
    <w:p>
      <w:pPr>
        <w:pStyle w:val="78"/>
        <w:framePr w:wrap="around"/>
      </w:pPr>
      <w:r>
        <w:rPr>
          <w:rFonts w:hint="eastAsia"/>
        </w:rPr>
        <w:t>社区基层家政服务站建设和服务规范</w:t>
      </w:r>
      <w:r>
        <w:br w:type="textWrapping"/>
      </w:r>
    </w:p>
    <w:p>
      <w:pPr>
        <w:pStyle w:val="79"/>
        <w:framePr w:wrap="around"/>
      </w:pPr>
      <w:r>
        <w:rPr>
          <w:rFonts w:hint="eastAsia"/>
        </w:rPr>
        <w:t>Domestic service Construction and service specification</w:t>
      </w:r>
    </w:p>
    <w:p>
      <w:pPr>
        <w:pStyle w:val="80"/>
        <w:framePr w:wrap="around"/>
      </w:pPr>
    </w:p>
    <w:tbl>
      <w:tblPr>
        <w:tblStyle w:val="33"/>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1"/>
              <w:framePr w:wrap="around"/>
            </w:pP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r>
              <w:rPr>
                <w:rFonts w:hint="eastAsia"/>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2"/>
              <w:framePr w:wrap="around"/>
              <w:ind w:left="1308" w:leftChars="623"/>
              <w:jc w:val="left"/>
              <w:rPr>
                <w:color w:val="00B0F0"/>
              </w:rPr>
            </w:pPr>
            <w:r>
              <w:rPr>
                <w:rFonts w:hint="eastAsia"/>
                <w:color w:val="00B0F0"/>
              </w:rPr>
              <w:t>（文件编制各阶段草案稿的封面）</w:t>
            </w:r>
          </w:p>
          <w:p>
            <w:pPr>
              <w:pStyle w:val="82"/>
              <w:framePr w:wrap="around"/>
              <w:ind w:left="1308" w:leftChars="623"/>
              <w:jc w:val="left"/>
              <w:rPr>
                <w:rFonts w:ascii="黑体" w:hAnsi="黑体" w:eastAsia="黑体"/>
              </w:rPr>
            </w:pPr>
            <w:r>
              <w:rPr>
                <w:rFonts w:hint="eastAsia" w:ascii="黑体" w:hAnsi="黑体" w:eastAsia="黑体"/>
              </w:rPr>
              <w:t>在提交反馈意见时，请将您知道的相关专利连同支持性文件一并附上。</w:t>
            </w:r>
          </w:p>
        </w:tc>
      </w:tr>
    </w:tbl>
    <w:p>
      <w:pPr>
        <w:pStyle w:val="131"/>
        <w:framePr w:wrap="around" w:hAnchor="page" w:x="1396" w:y="14191"/>
      </w:pPr>
      <w:r>
        <w:rPr>
          <w:rFonts w:hint="eastAsia" w:ascii="黑体"/>
        </w:rPr>
        <w:t>2024</w:t>
      </w:r>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4"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hint="eastAsia"/>
        </w:rPr>
        <w:t>发布</w:t>
      </w:r>
    </w:p>
    <w:p>
      <w:pPr>
        <w:pStyle w:val="132"/>
        <w:framePr w:wrap="around" w:hAnchor="page" w:x="7066" w:y="14116"/>
      </w:pPr>
      <w:r>
        <w:rPr>
          <w:rFonts w:hint="eastAsia" w:ascii="黑体"/>
        </w:rPr>
        <w:t>2024</w:t>
      </w:r>
      <w:r>
        <w:t xml:space="preserve"> </w:t>
      </w:r>
      <w:r>
        <w:rPr>
          <w:rFonts w:ascii="黑体"/>
        </w:rPr>
        <w:t>-</w:t>
      </w:r>
      <w:r>
        <w:t xml:space="preserve"> </w:t>
      </w:r>
      <w:bookmarkStart w:id="5"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实施</w:t>
      </w:r>
    </w:p>
    <w:p>
      <w:pPr>
        <w:pStyle w:val="111"/>
        <w:framePr w:wrap="around"/>
      </w:pPr>
      <w:r>
        <w:rPr>
          <w:rFonts w:hint="eastAsia"/>
        </w:rPr>
        <w:t>河北省市场监督管理局</w:t>
      </w:r>
      <w:r>
        <w:rPr>
          <w:rFonts w:hAnsi="黑体"/>
        </w:rPr>
        <w:t>   </w:t>
      </w:r>
      <w:r>
        <w:rPr>
          <w:rStyle w:val="73"/>
          <w:rFonts w:hint="eastAsia"/>
        </w:rPr>
        <w:t>发布</w:t>
      </w:r>
    </w:p>
    <w:p>
      <w:pPr>
        <w:pStyle w:val="24"/>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438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0"/>
      </w:pPr>
      <w:r>
        <w:rPr>
          <w:rFonts w:hint="eastAsia"/>
        </w:rPr>
        <w:t>目</w:t>
      </w:r>
      <w:r>
        <w:rPr>
          <w:rFonts w:hAnsi="黑体"/>
        </w:rPr>
        <w:t>  </w:t>
      </w:r>
      <w:r>
        <w:rPr>
          <w:rFonts w:hint="eastAsia"/>
        </w:rPr>
        <w:t>次</w:t>
      </w:r>
    </w:p>
    <w:p>
      <w:pPr>
        <w:pStyle w:val="20"/>
        <w:spacing w:before="78" w:after="78"/>
        <w:rPr>
          <w:rFonts w:asciiTheme="minorHAnsi" w:hAnsiTheme="minorHAnsi" w:eastAsiaTheme="minorEastAsia" w:cstheme="minorBidi"/>
          <w:szCs w:val="22"/>
        </w:rPr>
      </w:pPr>
      <w:r>
        <w:rPr>
          <w:rFonts w:hAnsi="宋体"/>
          <w:kern w:val="0"/>
          <w:szCs w:val="28"/>
        </w:rPr>
        <w:fldChar w:fldCharType="begin"/>
      </w:r>
      <w:r>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r>
        <w:fldChar w:fldCharType="begin"/>
      </w:r>
      <w:r>
        <w:instrText xml:space="preserve"> HYPERLINK \l "_Toc166505697" </w:instrText>
      </w:r>
      <w:r>
        <w:fldChar w:fldCharType="separate"/>
      </w:r>
      <w:r>
        <w:rPr>
          <w:rStyle w:val="39"/>
        </w:rPr>
        <w:t>前</w:t>
      </w:r>
      <w:r>
        <w:rPr>
          <w:rStyle w:val="39"/>
          <w:rFonts w:hAnsi="黑体"/>
        </w:rPr>
        <w:t>  </w:t>
      </w:r>
      <w:r>
        <w:rPr>
          <w:rStyle w:val="39"/>
        </w:rPr>
        <w:t>言</w:t>
      </w:r>
      <w:r>
        <w:tab/>
      </w:r>
      <w:r>
        <w:fldChar w:fldCharType="begin"/>
      </w:r>
      <w:r>
        <w:instrText xml:space="preserve"> PAGEREF _Toc166505697 \h </w:instrText>
      </w:r>
      <w:r>
        <w:fldChar w:fldCharType="separate"/>
      </w:r>
      <w:r>
        <w:t>II</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"_Toc166505698" </w:instrText>
      </w:r>
      <w:r>
        <w:fldChar w:fldCharType="separate"/>
      </w:r>
      <w:r>
        <w:rPr>
          <w:rStyle w:val="39"/>
        </w:rPr>
        <w:t>1 范围</w:t>
      </w:r>
      <w:r>
        <w:tab/>
      </w:r>
      <w:r>
        <w:fldChar w:fldCharType="begin"/>
      </w:r>
      <w:r>
        <w:instrText xml:space="preserve"> PAGEREF _Toc166505698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"_Toc166505699" </w:instrText>
      </w:r>
      <w:r>
        <w:fldChar w:fldCharType="separate"/>
      </w:r>
      <w:r>
        <w:rPr>
          <w:rStyle w:val="39"/>
        </w:rPr>
        <w:t>2 规范性引用文件</w:t>
      </w:r>
      <w:r>
        <w:tab/>
      </w:r>
      <w:r>
        <w:fldChar w:fldCharType="begin"/>
      </w:r>
      <w:r>
        <w:instrText xml:space="preserve"> PAGEREF _Toc166505699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"_Toc166505700" </w:instrText>
      </w:r>
      <w:r>
        <w:fldChar w:fldCharType="separate"/>
      </w:r>
      <w:r>
        <w:rPr>
          <w:rStyle w:val="39"/>
        </w:rPr>
        <w:t>3 术语和定义</w:t>
      </w:r>
      <w:r>
        <w:tab/>
      </w:r>
      <w:r>
        <w:fldChar w:fldCharType="begin"/>
      </w:r>
      <w:r>
        <w:instrText xml:space="preserve"> PAGEREF _Toc166505700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"_Toc166505701" </w:instrText>
      </w:r>
      <w:r>
        <w:fldChar w:fldCharType="separate"/>
      </w:r>
      <w:r>
        <w:rPr>
          <w:rStyle w:val="39"/>
        </w:rPr>
        <w:t>4 建设要求</w:t>
      </w:r>
      <w:r>
        <w:tab/>
      </w:r>
      <w:r>
        <w:fldChar w:fldCharType="begin"/>
      </w:r>
      <w:r>
        <w:instrText xml:space="preserve"> PAGEREF _Toc166505701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"_Toc166505702" </w:instrText>
      </w:r>
      <w:r>
        <w:fldChar w:fldCharType="separate"/>
      </w:r>
      <w:r>
        <w:rPr>
          <w:rStyle w:val="39"/>
          <w:rFonts w:hAnsi="黑体"/>
        </w:rPr>
        <w:t>4.1</w:t>
      </w:r>
      <w:r>
        <w:rPr>
          <w:rStyle w:val="39"/>
        </w:rPr>
        <w:t xml:space="preserve"> 建设主体</w:t>
      </w:r>
      <w:r>
        <w:tab/>
      </w:r>
      <w:r>
        <w:fldChar w:fldCharType="begin"/>
      </w:r>
      <w:r>
        <w:instrText xml:space="preserve"> PAGEREF _Toc166505702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"_Toc166505703" </w:instrText>
      </w:r>
      <w:r>
        <w:fldChar w:fldCharType="separate"/>
      </w:r>
      <w:r>
        <w:rPr>
          <w:rStyle w:val="39"/>
          <w:rFonts w:hAnsi="黑体"/>
        </w:rPr>
        <w:t>4.2</w:t>
      </w:r>
      <w:r>
        <w:rPr>
          <w:rStyle w:val="39"/>
        </w:rPr>
        <w:t xml:space="preserve"> 布局选址</w:t>
      </w:r>
      <w:r>
        <w:tab/>
      </w:r>
      <w:r>
        <w:fldChar w:fldCharType="begin"/>
      </w:r>
      <w:r>
        <w:instrText xml:space="preserve"> PAGEREF _Toc166505703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"_Toc166505704" </w:instrText>
      </w:r>
      <w:r>
        <w:fldChar w:fldCharType="separate"/>
      </w:r>
      <w:r>
        <w:rPr>
          <w:rStyle w:val="39"/>
          <w:rFonts w:hAnsi="黑体"/>
        </w:rPr>
        <w:t>4.3</w:t>
      </w:r>
      <w:r>
        <w:rPr>
          <w:rStyle w:val="39"/>
        </w:rPr>
        <w:t xml:space="preserve"> 场地要求。</w:t>
      </w:r>
      <w:r>
        <w:tab/>
      </w:r>
      <w:r>
        <w:fldChar w:fldCharType="begin"/>
      </w:r>
      <w:r>
        <w:instrText xml:space="preserve"> PAGEREF _Toc166505704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"_Toc166505705" </w:instrText>
      </w:r>
      <w:r>
        <w:fldChar w:fldCharType="separate"/>
      </w:r>
      <w:r>
        <w:rPr>
          <w:rStyle w:val="39"/>
        </w:rPr>
        <w:t>5 日常管理</w:t>
      </w:r>
      <w:r>
        <w:tab/>
      </w:r>
      <w:r>
        <w:fldChar w:fldCharType="begin"/>
      </w:r>
      <w:r>
        <w:instrText xml:space="preserve"> PAGEREF _Toc166505705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"_Toc166505706" </w:instrText>
      </w:r>
      <w:r>
        <w:fldChar w:fldCharType="separate"/>
      </w:r>
      <w:r>
        <w:rPr>
          <w:rStyle w:val="39"/>
          <w:rFonts w:hAnsi="黑体"/>
        </w:rPr>
        <w:t>5.1</w:t>
      </w:r>
      <w:r>
        <w:rPr>
          <w:rStyle w:val="39"/>
        </w:rPr>
        <w:t xml:space="preserve"> 运营模式</w:t>
      </w:r>
      <w:r>
        <w:tab/>
      </w:r>
      <w:r>
        <w:fldChar w:fldCharType="begin"/>
      </w:r>
      <w:r>
        <w:instrText xml:space="preserve"> PAGEREF _Toc166505706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"_Toc166505707" </w:instrText>
      </w:r>
      <w:r>
        <w:fldChar w:fldCharType="separate"/>
      </w:r>
      <w:r>
        <w:rPr>
          <w:rStyle w:val="39"/>
          <w:rFonts w:hAnsi="黑体"/>
        </w:rPr>
        <w:t>5.2</w:t>
      </w:r>
      <w:r>
        <w:rPr>
          <w:rStyle w:val="39"/>
        </w:rPr>
        <w:t xml:space="preserve"> 人员管理</w:t>
      </w:r>
      <w:r>
        <w:tab/>
      </w:r>
      <w:r>
        <w:fldChar w:fldCharType="begin"/>
      </w:r>
      <w:r>
        <w:instrText xml:space="preserve"> PAGEREF _Toc166505707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"_Toc166505708" </w:instrText>
      </w:r>
      <w:r>
        <w:fldChar w:fldCharType="separate"/>
      </w:r>
      <w:r>
        <w:rPr>
          <w:rStyle w:val="39"/>
          <w:rFonts w:hAnsi="黑体"/>
        </w:rPr>
        <w:t>5.3</w:t>
      </w:r>
      <w:r>
        <w:rPr>
          <w:rStyle w:val="39"/>
        </w:rPr>
        <w:t xml:space="preserve"> 制度建设</w:t>
      </w:r>
      <w:r>
        <w:tab/>
      </w:r>
      <w:r>
        <w:fldChar w:fldCharType="begin"/>
      </w:r>
      <w:r>
        <w:instrText xml:space="preserve"> PAGEREF _Toc166505708 \h </w:instrText>
      </w:r>
      <w:r>
        <w:fldChar w:fldCharType="separate"/>
      </w:r>
      <w:r>
        <w:t>2</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"_Toc166505709" </w:instrText>
      </w:r>
      <w:r>
        <w:fldChar w:fldCharType="separate"/>
      </w:r>
      <w:r>
        <w:rPr>
          <w:rStyle w:val="39"/>
        </w:rPr>
        <w:t>6 服务内容</w:t>
      </w:r>
      <w:r>
        <w:tab/>
      </w:r>
      <w:r>
        <w:fldChar w:fldCharType="begin"/>
      </w:r>
      <w:r>
        <w:instrText xml:space="preserve"> PAGEREF _Toc166505709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"_Toc166505710" </w:instrText>
      </w:r>
      <w:r>
        <w:fldChar w:fldCharType="separate"/>
      </w:r>
      <w:r>
        <w:rPr>
          <w:rStyle w:val="39"/>
          <w:rFonts w:hAnsi="黑体"/>
        </w:rPr>
        <w:t>6.1</w:t>
      </w:r>
      <w:r>
        <w:rPr>
          <w:rStyle w:val="39"/>
        </w:rPr>
        <w:t xml:space="preserve"> 居家服务</w:t>
      </w:r>
      <w:r>
        <w:tab/>
      </w:r>
      <w:r>
        <w:fldChar w:fldCharType="begin"/>
      </w:r>
      <w:r>
        <w:instrText xml:space="preserve"> PAGEREF _Toc166505710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"_Toc166505711" </w:instrText>
      </w:r>
      <w:r>
        <w:fldChar w:fldCharType="separate"/>
      </w:r>
      <w:r>
        <w:rPr>
          <w:rStyle w:val="39"/>
          <w:rFonts w:hAnsi="黑体"/>
        </w:rPr>
        <w:t>6.2</w:t>
      </w:r>
      <w:r>
        <w:rPr>
          <w:rStyle w:val="39"/>
        </w:rPr>
        <w:t xml:space="preserve"> 母婴服务</w:t>
      </w:r>
      <w:r>
        <w:tab/>
      </w:r>
      <w:r>
        <w:fldChar w:fldCharType="begin"/>
      </w:r>
      <w:r>
        <w:instrText xml:space="preserve"> PAGEREF _Toc166505711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"_Toc166505712" </w:instrText>
      </w:r>
      <w:r>
        <w:fldChar w:fldCharType="separate"/>
      </w:r>
      <w:r>
        <w:rPr>
          <w:rStyle w:val="39"/>
          <w:rFonts w:hAnsi="黑体"/>
        </w:rPr>
        <w:t>6.3</w:t>
      </w:r>
      <w:r>
        <w:rPr>
          <w:rStyle w:val="39"/>
        </w:rPr>
        <w:t xml:space="preserve"> 养老服务</w:t>
      </w:r>
      <w:r>
        <w:tab/>
      </w:r>
      <w:r>
        <w:fldChar w:fldCharType="begin"/>
      </w:r>
      <w:r>
        <w:instrText xml:space="preserve"> PAGEREF _Toc166505712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"_Toc166505713" </w:instrText>
      </w:r>
      <w:r>
        <w:fldChar w:fldCharType="separate"/>
      </w:r>
      <w:r>
        <w:rPr>
          <w:rStyle w:val="39"/>
          <w:rFonts w:hAnsi="黑体"/>
        </w:rPr>
        <w:t>6.4</w:t>
      </w:r>
      <w:r>
        <w:rPr>
          <w:rStyle w:val="39"/>
        </w:rPr>
        <w:t xml:space="preserve"> 医疗护理服务</w:t>
      </w:r>
      <w:r>
        <w:tab/>
      </w:r>
      <w:r>
        <w:fldChar w:fldCharType="begin"/>
      </w:r>
      <w:r>
        <w:instrText xml:space="preserve"> PAGEREF _Toc166505713 \h </w:instrText>
      </w:r>
      <w:r>
        <w:fldChar w:fldCharType="separate"/>
      </w:r>
      <w:r>
        <w:t>3</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"_Toc166505714" </w:instrText>
      </w:r>
      <w:r>
        <w:fldChar w:fldCharType="separate"/>
      </w:r>
      <w:r>
        <w:rPr>
          <w:rStyle w:val="39"/>
        </w:rPr>
        <w:t>7 服务评价与改进</w:t>
      </w:r>
      <w:r>
        <w:tab/>
      </w:r>
      <w:r>
        <w:fldChar w:fldCharType="begin"/>
      </w:r>
      <w:r>
        <w:instrText xml:space="preserve"> PAGEREF _Toc166505714 \h </w:instrText>
      </w:r>
      <w:r>
        <w:fldChar w:fldCharType="separate"/>
      </w:r>
      <w:r>
        <w:t>3</w:t>
      </w:r>
      <w:r>
        <w:fldChar w:fldCharType="end"/>
      </w:r>
      <w:r>
        <w:fldChar w:fldCharType="end"/>
      </w:r>
    </w:p>
    <w:p>
      <w:pPr>
        <w:tabs>
          <w:tab w:val="left" w:pos="8647"/>
        </w:tabs>
        <w:ind w:firstLine="420" w:firstLineChars="200"/>
        <w:rPr>
          <w:rFonts w:ascii="宋体" w:hAnsi="宋体"/>
          <w:color w:val="0070C0"/>
          <w:szCs w:val="28"/>
        </w:rPr>
      </w:pPr>
      <w:r>
        <w:rPr>
          <w:rFonts w:ascii="宋体" w:hAnsi="宋体"/>
          <w:kern w:val="0"/>
          <w:szCs w:val="28"/>
        </w:rPr>
        <w:fldChar w:fldCharType="end"/>
      </w:r>
      <w:r>
        <w:rPr>
          <w:rFonts w:hint="eastAsia" w:ascii="宋体" w:hAnsi="宋体"/>
          <w:color w:val="0070C0"/>
          <w:kern w:val="0"/>
          <w:szCs w:val="28"/>
        </w:rPr>
        <w:t>（采用</w:t>
      </w:r>
      <w:r>
        <w:rPr>
          <w:rFonts w:ascii="宋体" w:hAnsi="宋体"/>
          <w:color w:val="0070C0"/>
          <w:kern w:val="0"/>
          <w:szCs w:val="28"/>
        </w:rPr>
        <w:t>更新目录</w:t>
      </w:r>
      <w:r>
        <w:rPr>
          <w:rFonts w:hint="eastAsia" w:ascii="宋体" w:hAnsi="宋体"/>
          <w:color w:val="0070C0"/>
          <w:kern w:val="0"/>
          <w:szCs w:val="28"/>
        </w:rPr>
        <w:t>）</w:t>
      </w:r>
    </w:p>
    <w:p>
      <w:pPr>
        <w:pStyle w:val="112"/>
      </w:pPr>
      <w:bookmarkStart w:id="7" w:name="_Toc166505697"/>
      <w:bookmarkStart w:id="8" w:name="_Toc475694823"/>
      <w:r>
        <w:rPr>
          <w:rFonts w:hint="eastAsia"/>
        </w:rPr>
        <w:t>前</w:t>
      </w:r>
      <w:bookmarkStart w:id="9" w:name="BKQY"/>
      <w:r>
        <w:rPr>
          <w:rFonts w:hAnsi="黑体"/>
        </w:rPr>
        <w:t>  </w:t>
      </w:r>
      <w:r>
        <w:rPr>
          <w:rFonts w:hint="eastAsia"/>
        </w:rPr>
        <w:t>言</w:t>
      </w:r>
      <w:bookmarkEnd w:id="7"/>
      <w:bookmarkEnd w:id="8"/>
      <w:bookmarkEnd w:id="9"/>
    </w:p>
    <w:p>
      <w:pPr>
        <w:ind w:firstLine="420" w:firstLineChars="200"/>
        <w:rPr>
          <w:rFonts w:ascii="宋体" w:hAnsi="宋体"/>
          <w:szCs w:val="28"/>
        </w:rPr>
      </w:pPr>
      <w:r>
        <w:rPr>
          <w:rFonts w:hint="eastAsia" w:ascii="宋体" w:hAnsi="宋体"/>
          <w:szCs w:val="28"/>
        </w:rPr>
        <w:t>本文件按照GB/T 1.1—20</w:t>
      </w:r>
      <w:r>
        <w:rPr>
          <w:rFonts w:ascii="宋体" w:hAnsi="宋体"/>
          <w:szCs w:val="28"/>
        </w:rPr>
        <w:t>20</w:t>
      </w:r>
      <w:r>
        <w:rPr>
          <w:rFonts w:hint="eastAsia" w:ascii="宋体" w:hAnsi="宋体"/>
          <w:szCs w:val="28"/>
        </w:rPr>
        <w:t>《标准化工作导则 第1部分：标准化文件的结构和起草规则》的规定起草。</w:t>
      </w:r>
    </w:p>
    <w:p>
      <w:pPr>
        <w:ind w:firstLine="420" w:firstLineChars="200"/>
        <w:rPr>
          <w:rFonts w:ascii="宋体"/>
          <w:kern w:val="0"/>
          <w:szCs w:val="20"/>
        </w:rPr>
      </w:pPr>
      <w:r>
        <w:rPr>
          <w:rFonts w:hint="eastAsia" w:ascii="宋体"/>
          <w:kern w:val="0"/>
          <w:szCs w:val="20"/>
        </w:rPr>
        <w:t>请注意本文件的某些内容可能涉及专利。本文件的发布机构不承担识别专利的责任。</w:t>
      </w:r>
    </w:p>
    <w:p>
      <w:pPr>
        <w:ind w:firstLine="420" w:firstLineChars="200"/>
        <w:rPr>
          <w:rFonts w:ascii="宋体" w:hAnsi="宋体"/>
          <w:szCs w:val="28"/>
        </w:rPr>
      </w:pPr>
      <w:r>
        <w:rPr>
          <w:rFonts w:hint="eastAsia" w:ascii="宋体" w:hAnsi="宋体"/>
          <w:szCs w:val="28"/>
        </w:rPr>
        <w:t>本文件由</w:t>
      </w:r>
      <w:r>
        <w:rPr>
          <w:rFonts w:hint="eastAsia"/>
        </w:rPr>
        <w:t>河北省商务厅</w:t>
      </w:r>
      <w:r>
        <w:rPr>
          <w:rFonts w:hint="eastAsia" w:ascii="宋体" w:hAnsi="宋体"/>
          <w:szCs w:val="28"/>
        </w:rPr>
        <w:t>提出并归口。</w:t>
      </w:r>
    </w:p>
    <w:p>
      <w:pPr>
        <w:ind w:firstLine="420" w:firstLineChars="200"/>
        <w:rPr>
          <w:rFonts w:ascii="宋体" w:hAnsi="宋体"/>
          <w:szCs w:val="28"/>
        </w:rPr>
      </w:pPr>
      <w:r>
        <w:rPr>
          <w:rFonts w:hint="eastAsia" w:ascii="宋体" w:hAnsi="宋体"/>
          <w:szCs w:val="28"/>
        </w:rPr>
        <w:t>本文件</w:t>
      </w:r>
      <w:r>
        <w:rPr>
          <w:rFonts w:ascii="宋体" w:hAnsi="宋体"/>
          <w:szCs w:val="28"/>
        </w:rPr>
        <w:t>起草单位：</w:t>
      </w:r>
      <w:r>
        <w:rPr>
          <w:rFonts w:hint="eastAsia" w:ascii="宋体" w:hAnsi="宋体"/>
          <w:szCs w:val="28"/>
        </w:rPr>
        <w:t>河北省家政行业协会、石家庄沐瑾家政服务公司、柏坡缘(河北)家政服务有限公司。</w:t>
      </w:r>
    </w:p>
    <w:p>
      <w:pPr>
        <w:ind w:firstLine="420" w:firstLineChars="200"/>
        <w:rPr>
          <w:rFonts w:ascii="宋体" w:hAnsi="宋体"/>
          <w:szCs w:val="28"/>
        </w:rPr>
      </w:pPr>
      <w:r>
        <w:rPr>
          <w:rFonts w:hint="eastAsia" w:ascii="宋体" w:hAnsi="宋体"/>
          <w:szCs w:val="28"/>
        </w:rPr>
        <w:t>本文件主要起草人：。</w:t>
      </w:r>
    </w:p>
    <w:p>
      <w:pPr>
        <w:pStyle w:val="24"/>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0"/>
      </w:pPr>
      <w:r>
        <w:rPr>
          <w:rFonts w:hint="eastAsia"/>
        </w:rPr>
        <w:t>社区基层家政服务站建设和服务规范</w:t>
      </w:r>
    </w:p>
    <w:p>
      <w:pPr>
        <w:pStyle w:val="45"/>
      </w:pPr>
      <w:bookmarkStart w:id="10" w:name="_Toc475694825"/>
      <w:bookmarkStart w:id="11" w:name="_Toc166505698"/>
      <w:r>
        <w:rPr>
          <w:rFonts w:hint="eastAsia"/>
        </w:rPr>
        <w:t>范围</w:t>
      </w:r>
      <w:bookmarkEnd w:id="10"/>
      <w:bookmarkEnd w:id="11"/>
    </w:p>
    <w:p>
      <w:pPr>
        <w:pStyle w:val="24"/>
        <w:tabs>
          <w:tab w:val="clear" w:pos="4201"/>
          <w:tab w:val="clear" w:pos="9298"/>
        </w:tabs>
      </w:pPr>
      <w:r>
        <w:rPr>
          <w:rFonts w:hint="eastAsia"/>
        </w:rPr>
        <w:t>本文件规定了社区基层家政服务站的建设</w:t>
      </w:r>
      <w:r>
        <w:t>要求、</w:t>
      </w:r>
      <w:r>
        <w:rPr>
          <w:rFonts w:hint="eastAsia"/>
        </w:rPr>
        <w:t>日常</w:t>
      </w:r>
      <w:r>
        <w:t>管理、</w:t>
      </w:r>
      <w:r>
        <w:rPr>
          <w:rFonts w:hint="eastAsia"/>
        </w:rPr>
        <w:t>服务</w:t>
      </w:r>
      <w:r>
        <w:t>内容和服务评价与改进的要求</w:t>
      </w:r>
      <w:r>
        <w:rPr>
          <w:rFonts w:hint="eastAsia"/>
        </w:rPr>
        <w:t>。</w:t>
      </w:r>
    </w:p>
    <w:p>
      <w:pPr>
        <w:pStyle w:val="24"/>
      </w:pPr>
      <w:r>
        <w:rPr>
          <w:rFonts w:hint="eastAsia"/>
        </w:rPr>
        <w:t>本文件适用于社区基层家政服务站建设和服务的管理。</w:t>
      </w:r>
    </w:p>
    <w:p>
      <w:pPr>
        <w:pStyle w:val="45"/>
      </w:pPr>
      <w:bookmarkStart w:id="12" w:name="_Toc166505699"/>
      <w:bookmarkStart w:id="13" w:name="_Toc475694826"/>
      <w:r>
        <w:rPr>
          <w:rFonts w:hint="eastAsia"/>
        </w:rPr>
        <w:t>规范性引用文件</w:t>
      </w:r>
      <w:bookmarkEnd w:id="12"/>
      <w:bookmarkEnd w:id="13"/>
    </w:p>
    <w:p>
      <w:pPr>
        <w:pStyle w:val="24"/>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4"/>
      </w:pPr>
      <w:r>
        <w:rPr>
          <w:rFonts w:hint="eastAsia"/>
        </w:rPr>
        <w:t xml:space="preserve">GB/T 20647.8 社区服务指南 第8部分：家政服务 </w:t>
      </w:r>
    </w:p>
    <w:p>
      <w:pPr>
        <w:pStyle w:val="45"/>
      </w:pPr>
      <w:bookmarkStart w:id="14" w:name="_Toc475694827"/>
      <w:bookmarkStart w:id="15" w:name="_Toc166505700"/>
      <w:r>
        <w:rPr>
          <w:rFonts w:hint="eastAsia"/>
        </w:rPr>
        <w:t>术语和定义</w:t>
      </w:r>
      <w:bookmarkEnd w:id="14"/>
      <w:bookmarkEnd w:id="15"/>
    </w:p>
    <w:p>
      <w:pPr>
        <w:pStyle w:val="24"/>
        <w:rPr>
          <w:color w:val="000000"/>
        </w:rPr>
      </w:pPr>
      <w:r>
        <w:rPr>
          <w:rFonts w:hint="eastAsia"/>
          <w:color w:val="000000"/>
        </w:rPr>
        <w:t>下列术语和定义适用于本文件。</w:t>
      </w:r>
    </w:p>
    <w:p>
      <w:pPr>
        <w:pStyle w:val="145"/>
      </w:pPr>
    </w:p>
    <w:p>
      <w:pPr>
        <w:pStyle w:val="147"/>
      </w:pPr>
      <w:r>
        <w:rPr>
          <w:rFonts w:hint="eastAsia"/>
        </w:rPr>
        <w:t>社区基层</w:t>
      </w:r>
      <w:r>
        <w:t>家政服务站</w:t>
      </w:r>
      <w:r>
        <w:rPr>
          <w:rFonts w:hint="eastAsia"/>
        </w:rPr>
        <w:t xml:space="preserve"> </w:t>
      </w:r>
      <w:r>
        <w:t>community domestic service station</w:t>
      </w:r>
    </w:p>
    <w:p>
      <w:pPr>
        <w:pStyle w:val="24"/>
      </w:pPr>
      <w:r>
        <w:rPr>
          <w:rFonts w:hint="eastAsia"/>
        </w:rPr>
        <w:t>通过整合政府职能部门、社会组织、家政企业等力量，融合社工服务站、社区卫生服务中心等资源，发挥街(镇)各级党组织、志愿者队伍以及企业的作用，为区域内居民提供多层次、多样化、专业化家政服务的服务站点。</w:t>
      </w:r>
    </w:p>
    <w:p>
      <w:pPr>
        <w:pStyle w:val="45"/>
      </w:pPr>
      <w:bookmarkStart w:id="16" w:name="_Toc166505701"/>
      <w:r>
        <w:rPr>
          <w:rFonts w:hint="eastAsia"/>
        </w:rPr>
        <w:t>建设要求</w:t>
      </w:r>
      <w:bookmarkEnd w:id="16"/>
    </w:p>
    <w:p>
      <w:pPr>
        <w:pStyle w:val="42"/>
        <w:spacing w:before="156" w:after="156"/>
      </w:pPr>
      <w:bookmarkStart w:id="17" w:name="_Toc166505702"/>
      <w:r>
        <w:rPr>
          <w:rFonts w:hint="eastAsia"/>
        </w:rPr>
        <w:t>建设</w:t>
      </w:r>
      <w:r>
        <w:t>主体</w:t>
      </w:r>
      <w:bookmarkEnd w:id="17"/>
    </w:p>
    <w:p>
      <w:pPr>
        <w:pStyle w:val="24"/>
      </w:pPr>
      <w:r>
        <w:rPr>
          <w:rFonts w:hint="eastAsia"/>
        </w:rPr>
        <w:t>应综合考虑居民数量、服务需求等情况，选择</w:t>
      </w:r>
      <w:r>
        <w:t>条件成熟的街道负责承建</w:t>
      </w:r>
      <w:r>
        <w:rPr>
          <w:rFonts w:hint="eastAsia"/>
        </w:rPr>
        <w:t>社区</w:t>
      </w:r>
      <w:r>
        <w:t>基层家政服务站。</w:t>
      </w:r>
    </w:p>
    <w:p>
      <w:pPr>
        <w:pStyle w:val="42"/>
        <w:spacing w:before="156" w:after="156"/>
      </w:pPr>
      <w:bookmarkStart w:id="18" w:name="_Toc166505703"/>
      <w:r>
        <w:rPr>
          <w:rFonts w:hint="eastAsia"/>
        </w:rPr>
        <w:t>布局选址</w:t>
      </w:r>
      <w:bookmarkEnd w:id="18"/>
    </w:p>
    <w:p>
      <w:pPr>
        <w:pStyle w:val="24"/>
      </w:pPr>
      <w:r>
        <w:rPr>
          <w:rFonts w:hint="eastAsia"/>
        </w:rPr>
        <w:t>社区</w:t>
      </w:r>
      <w:r>
        <w:t>基层家政</w:t>
      </w:r>
      <w:r>
        <w:rPr>
          <w:rFonts w:hint="eastAsia"/>
        </w:rPr>
        <w:t>基层服务站应充分整合现有资源，优先考虑在党群服务中心开辟专门空间独立设置，也可在员工制家政服务企业或其他可利用场地综合设置。</w:t>
      </w:r>
    </w:p>
    <w:p>
      <w:pPr>
        <w:pStyle w:val="42"/>
        <w:spacing w:before="156" w:after="156"/>
      </w:pPr>
      <w:bookmarkStart w:id="19" w:name="_Toc166505704"/>
      <w:r>
        <w:rPr>
          <w:rFonts w:hint="eastAsia"/>
        </w:rPr>
        <w:t>场地要求</w:t>
      </w:r>
      <w:bookmarkEnd w:id="19"/>
    </w:p>
    <w:p>
      <w:pPr>
        <w:pStyle w:val="24"/>
      </w:pPr>
      <w:r>
        <w:rPr>
          <w:rFonts w:hint="eastAsia"/>
        </w:rPr>
        <w:t>社区基层家政服务站可与现有办公和服务群众场地共用，具备相对独立办公空间或工作卡位，配备所</w:t>
      </w:r>
      <w:r>
        <w:rPr>
          <w:rFonts w:hint="eastAsia"/>
          <w:lang w:eastAsia="zh-CN"/>
        </w:rPr>
        <w:t>需</w:t>
      </w:r>
      <w:r>
        <w:rPr>
          <w:rFonts w:hint="eastAsia"/>
        </w:rPr>
        <w:t>硬件设施，服务站可利用面积（含共用场地面积）不宜少于20平方米。</w:t>
      </w:r>
    </w:p>
    <w:p>
      <w:pPr>
        <w:pStyle w:val="45"/>
      </w:pPr>
      <w:bookmarkStart w:id="20" w:name="_Toc166505705"/>
      <w:r>
        <w:rPr>
          <w:rFonts w:hint="eastAsia"/>
        </w:rPr>
        <w:t>日常管理</w:t>
      </w:r>
      <w:bookmarkEnd w:id="20"/>
    </w:p>
    <w:p>
      <w:pPr>
        <w:pStyle w:val="42"/>
        <w:spacing w:before="156" w:after="156"/>
      </w:pPr>
      <w:bookmarkStart w:id="21" w:name="_Toc166505706"/>
      <w:r>
        <w:rPr>
          <w:rFonts w:hint="eastAsia"/>
        </w:rPr>
        <w:t>运营模式</w:t>
      </w:r>
      <w:bookmarkEnd w:id="21"/>
    </w:p>
    <w:p>
      <w:pPr>
        <w:pStyle w:val="24"/>
      </w:pPr>
      <w:r>
        <w:rPr>
          <w:rFonts w:hint="eastAsia"/>
        </w:rPr>
        <w:t>社区基层家政服务站日常管理由各街道负责。各街道或社区可通过引进家政企业驻点、联合社工机构、购买专业机构服务或由街道（社区）直接管理等方式运营服务站。</w:t>
      </w:r>
    </w:p>
    <w:p>
      <w:pPr>
        <w:pStyle w:val="42"/>
        <w:spacing w:before="156" w:after="156"/>
      </w:pPr>
      <w:bookmarkStart w:id="22" w:name="_Toc166505707"/>
      <w:r>
        <w:rPr>
          <w:rFonts w:hint="eastAsia"/>
        </w:rPr>
        <w:t>人员管理</w:t>
      </w:r>
      <w:bookmarkEnd w:id="22"/>
    </w:p>
    <w:p>
      <w:pPr>
        <w:pStyle w:val="146"/>
      </w:pPr>
      <w:r>
        <w:rPr>
          <w:rFonts w:hint="eastAsia"/>
        </w:rPr>
        <w:t>社区基层家政服务站至少配备2名及以上运营管理人员，可统筹安排街道工作人员、社区专职工作者、社工负责，也可由合作运营机构具体安排。</w:t>
      </w:r>
    </w:p>
    <w:p>
      <w:pPr>
        <w:pStyle w:val="146"/>
      </w:pPr>
      <w:r>
        <w:rPr>
          <w:rFonts w:hint="eastAsia"/>
        </w:rPr>
        <w:t>运营管理人员应明确岗位责任，统一工作着装，规范服务流程。</w:t>
      </w:r>
    </w:p>
    <w:p>
      <w:pPr>
        <w:pStyle w:val="146"/>
      </w:pPr>
      <w:r>
        <w:rPr>
          <w:rFonts w:hint="eastAsia"/>
        </w:rPr>
        <w:t>通过社区基层服务站提供服务的家政服务员应具备对应服务所需的职业资格、培训经历等。</w:t>
      </w:r>
    </w:p>
    <w:p>
      <w:pPr>
        <w:pStyle w:val="42"/>
        <w:spacing w:before="156" w:after="156"/>
      </w:pPr>
      <w:bookmarkStart w:id="23" w:name="_Toc166505708"/>
      <w:r>
        <w:rPr>
          <w:rFonts w:hint="eastAsia"/>
        </w:rPr>
        <w:t>制度建设</w:t>
      </w:r>
      <w:bookmarkEnd w:id="23"/>
    </w:p>
    <w:p>
      <w:pPr>
        <w:pStyle w:val="146"/>
      </w:pPr>
      <w:r>
        <w:rPr>
          <w:rFonts w:hint="eastAsia"/>
        </w:rPr>
        <w:t>应建立健全明确、清晰、合理的组织架构、发展规划。</w:t>
      </w:r>
    </w:p>
    <w:p>
      <w:pPr>
        <w:pStyle w:val="146"/>
      </w:pPr>
      <w:r>
        <w:rPr>
          <w:rFonts w:hint="eastAsia"/>
        </w:rPr>
        <w:t>应建立健全服务管理、人员管理、财务管理、档案管理、应急管理等日常管理和运行工作制度。</w:t>
      </w:r>
    </w:p>
    <w:p>
      <w:pPr>
        <w:pStyle w:val="146"/>
      </w:pPr>
      <w:r>
        <w:rPr>
          <w:rFonts w:hint="eastAsia"/>
        </w:rPr>
        <w:t>应建立完善</w:t>
      </w:r>
      <w:r>
        <w:t>的工作</w:t>
      </w:r>
      <w:r>
        <w:rPr>
          <w:rFonts w:hint="eastAsia"/>
        </w:rPr>
        <w:t>流程</w:t>
      </w:r>
      <w:r>
        <w:t>、岗位标准，服务项目、服务规范、收费标准、投诉流程等制度应在墙上醒目位置公开。</w:t>
      </w:r>
    </w:p>
    <w:p>
      <w:pPr>
        <w:pStyle w:val="45"/>
      </w:pPr>
      <w:bookmarkStart w:id="24" w:name="_Toc166505709"/>
      <w:r>
        <w:rPr>
          <w:rFonts w:hint="eastAsia"/>
        </w:rPr>
        <w:t>服务内容</w:t>
      </w:r>
      <w:bookmarkEnd w:id="24"/>
    </w:p>
    <w:p>
      <w:pPr>
        <w:pStyle w:val="42"/>
        <w:spacing w:before="156" w:after="156"/>
      </w:pPr>
      <w:bookmarkStart w:id="25" w:name="_Toc166505710"/>
      <w:r>
        <w:rPr>
          <w:rFonts w:hint="eastAsia"/>
        </w:rPr>
        <w:t>居家服务</w:t>
      </w:r>
      <w:bookmarkEnd w:id="25"/>
    </w:p>
    <w:p>
      <w:pPr>
        <w:pStyle w:val="24"/>
      </w:pPr>
      <w:r>
        <w:t>居家服务主要包括以下内容：</w:t>
      </w:r>
    </w:p>
    <w:p>
      <w:pPr>
        <w:pStyle w:val="48"/>
      </w:pPr>
      <w:r>
        <w:rPr>
          <w:rFonts w:hint="eastAsia"/>
        </w:rPr>
        <w:t>清洁服务：</w:t>
      </w:r>
    </w:p>
    <w:p>
      <w:pPr>
        <w:pStyle w:val="49"/>
      </w:pPr>
      <w:r>
        <w:rPr>
          <w:rFonts w:hint="eastAsia"/>
        </w:rPr>
        <w:t>居家清洁：对客厅、卧室、厨房、洗浴间、卫生间等居家环境进行清扫；</w:t>
      </w:r>
    </w:p>
    <w:p>
      <w:pPr>
        <w:pStyle w:val="49"/>
      </w:pPr>
      <w:r>
        <w:t>物品整理：物品收纳整理、床铺、被褥等。</w:t>
      </w:r>
    </w:p>
    <w:p>
      <w:pPr>
        <w:pStyle w:val="48"/>
      </w:pPr>
      <w:r>
        <w:rPr>
          <w:rFonts w:hint="eastAsia"/>
        </w:rPr>
        <w:t>洗涤服务：清洗与晾晒衣物</w:t>
      </w:r>
      <w:r>
        <w:t>、床上用品、窗帘、毛巾等；</w:t>
      </w:r>
    </w:p>
    <w:p>
      <w:pPr>
        <w:pStyle w:val="48"/>
      </w:pPr>
      <w:r>
        <w:rPr>
          <w:rFonts w:hint="eastAsia"/>
        </w:rPr>
        <w:t>陪伴就医：代预约挂号</w:t>
      </w:r>
      <w:r>
        <w:t>、陪诊、协助与医生沟通、取药、缴费、陪同往返、协助出行等；</w:t>
      </w:r>
    </w:p>
    <w:p>
      <w:pPr>
        <w:pStyle w:val="48"/>
      </w:pPr>
      <w:r>
        <w:t>陪同外出：户外活动陪伴，陪同行动不便的服务对象到户外活动，包括但不限于参加社区活动、散步、购物等；</w:t>
      </w:r>
    </w:p>
    <w:p>
      <w:pPr>
        <w:pStyle w:val="48"/>
      </w:pPr>
      <w:r>
        <w:t>上门做餐：代买食材、清洗烹饪、协助不便的服务对象进食、餐后卫生等；</w:t>
      </w:r>
    </w:p>
    <w:p>
      <w:pPr>
        <w:pStyle w:val="48"/>
      </w:pPr>
      <w:r>
        <w:t>代办服务：代纳水电、煤气、话费等；代收寄快递；代买生活必需品；协助报修设备及物品；协助申请相关事务等；</w:t>
      </w:r>
    </w:p>
    <w:p>
      <w:pPr>
        <w:pStyle w:val="48"/>
      </w:pPr>
      <w:r>
        <w:t>日常提示：根据医嘱或家属要求按时提醒服务对象吃药、取药、提醒就医或办理相关事务；</w:t>
      </w:r>
    </w:p>
    <w:p>
      <w:pPr>
        <w:pStyle w:val="48"/>
      </w:pPr>
      <w:r>
        <w:t>情感关怀：陪同聊天、定期上门或电话探访。</w:t>
      </w:r>
    </w:p>
    <w:p>
      <w:pPr>
        <w:pStyle w:val="42"/>
        <w:spacing w:before="156" w:after="156"/>
      </w:pPr>
      <w:bookmarkStart w:id="26" w:name="_Toc166505711"/>
      <w:r>
        <w:t>母婴服务</w:t>
      </w:r>
      <w:bookmarkEnd w:id="26"/>
    </w:p>
    <w:p>
      <w:pPr>
        <w:pStyle w:val="48"/>
        <w:numPr>
          <w:ilvl w:val="0"/>
          <w:numId w:val="0"/>
        </w:numPr>
        <w:ind w:left="833" w:hanging="408"/>
      </w:pPr>
      <w:r>
        <w:t>主要包括以下内容：</w:t>
      </w:r>
    </w:p>
    <w:p>
      <w:pPr>
        <w:pStyle w:val="48"/>
      </w:pPr>
      <w:r>
        <w:rPr>
          <w:rFonts w:hint="eastAsia"/>
        </w:rPr>
        <w:t>婴儿护理：</w:t>
      </w:r>
    </w:p>
    <w:p>
      <w:pPr>
        <w:pStyle w:val="49"/>
      </w:pPr>
      <w:r>
        <w:rPr>
          <w:rFonts w:hint="eastAsia"/>
        </w:rPr>
        <w:t>基本护理：婴儿的喂养、洗澡、换洗尿布、洗涤衣物、穿脱衣服、拆洗被褥及日常护理；婴儿喂养用品消毒；</w:t>
      </w:r>
    </w:p>
    <w:p>
      <w:pPr>
        <w:pStyle w:val="49"/>
      </w:pPr>
      <w:r>
        <w:t>专业护理：拍嗝、抚触，放置婴儿正确睡姿，测体温、大小便观察、脐带护理，了解新生儿黄疸、脐炎等疾病症状；</w:t>
      </w:r>
    </w:p>
    <w:p>
      <w:pPr>
        <w:pStyle w:val="48"/>
      </w:pPr>
      <w:r>
        <w:rPr>
          <w:rFonts w:hint="eastAsia"/>
        </w:rPr>
        <w:t>产妇护理：</w:t>
      </w:r>
    </w:p>
    <w:p>
      <w:pPr>
        <w:pStyle w:val="49"/>
      </w:pPr>
      <w:r>
        <w:rPr>
          <w:rFonts w:hint="eastAsia"/>
        </w:rPr>
        <w:t>基本护理：观察母乳的分泌情况，指导正确喂奶方式，安排产妇的饮食起居。根据母乳分泌的情况制作月子餐。为产妇洗衣物；</w:t>
      </w:r>
    </w:p>
    <w:p>
      <w:pPr>
        <w:pStyle w:val="49"/>
      </w:pPr>
      <w:r>
        <w:rPr>
          <w:rFonts w:hint="eastAsia"/>
        </w:rPr>
        <w:t>专业</w:t>
      </w:r>
      <w:r>
        <w:t>护理：</w:t>
      </w:r>
      <w:r>
        <w:rPr>
          <w:rFonts w:hint="eastAsia"/>
        </w:rPr>
        <w:t>帮助指导产妇做产后保健操，指导会阴清洁，进行饮食指导、心情疏导等。</w:t>
      </w:r>
    </w:p>
    <w:p>
      <w:pPr>
        <w:pStyle w:val="42"/>
        <w:spacing w:before="156" w:after="156"/>
      </w:pPr>
      <w:bookmarkStart w:id="27" w:name="_Toc166505712"/>
      <w:r>
        <w:rPr>
          <w:rFonts w:hint="eastAsia"/>
        </w:rPr>
        <w:t>养老服务</w:t>
      </w:r>
      <w:bookmarkEnd w:id="27"/>
    </w:p>
    <w:p>
      <w:pPr>
        <w:pStyle w:val="24"/>
      </w:pPr>
      <w:r>
        <w:rPr>
          <w:rFonts w:hint="eastAsia"/>
        </w:rPr>
        <w:t>主要包括</w:t>
      </w:r>
      <w:r>
        <w:t>以下内容：</w:t>
      </w:r>
    </w:p>
    <w:p>
      <w:pPr>
        <w:pStyle w:val="48"/>
      </w:pPr>
      <w:r>
        <w:rPr>
          <w:rFonts w:hint="eastAsia"/>
        </w:rPr>
        <w:t>个人护理：</w:t>
      </w:r>
    </w:p>
    <w:p>
      <w:pPr>
        <w:pStyle w:val="49"/>
      </w:pPr>
      <w:r>
        <w:rPr>
          <w:rFonts w:hint="eastAsia"/>
        </w:rPr>
        <w:t>皮肤外用药物涂擦；留置尿管护理；人工肛门便袋护理；口腔清洁；协助翻身；褥疮预防；叩背排痰等；</w:t>
      </w:r>
    </w:p>
    <w:p>
      <w:pPr>
        <w:pStyle w:val="49"/>
      </w:pPr>
      <w:r>
        <w:rPr>
          <w:rFonts w:hint="eastAsia"/>
        </w:rPr>
        <w:t>协助穿(脱)衣；洗脸、梳头、剪发、剃须、刷牙、漱口、洗手、洗足；会阴清洁；修剪指(趾)甲。</w:t>
      </w:r>
    </w:p>
    <w:p>
      <w:pPr>
        <w:pStyle w:val="48"/>
      </w:pPr>
      <w:r>
        <w:rPr>
          <w:rFonts w:hint="eastAsia"/>
        </w:rPr>
        <w:t>转移护理：协助床上移动；床上体位转换；轮椅转移；移动辅助器应用指导等。</w:t>
      </w:r>
    </w:p>
    <w:p>
      <w:pPr>
        <w:pStyle w:val="48"/>
      </w:pPr>
      <w:r>
        <w:rPr>
          <w:rFonts w:hint="eastAsia"/>
        </w:rPr>
        <w:t>排泄护理：协助排便；更换一次性尿裤；会阴护理；留置尿管护理；人工肛门便</w:t>
      </w:r>
      <w:r>
        <w:rPr>
          <w:rFonts w:hint="eastAsia"/>
          <w:lang w:eastAsia="zh-CN"/>
        </w:rPr>
        <w:t>袋管</w:t>
      </w:r>
      <w:r>
        <w:rPr>
          <w:rFonts w:hint="eastAsia"/>
        </w:rPr>
        <w:t>理等。</w:t>
      </w:r>
    </w:p>
    <w:p>
      <w:pPr>
        <w:pStyle w:val="48"/>
      </w:pPr>
      <w:r>
        <w:rPr>
          <w:rFonts w:hint="eastAsia"/>
        </w:rPr>
        <w:t>协助进餐：喂食或帮助服务对象使用辅助器材进食，包括</w:t>
      </w:r>
      <w:r>
        <w:rPr>
          <w:rFonts w:hint="eastAsia"/>
          <w:lang w:val="en-US" w:eastAsia="zh-CN"/>
        </w:rPr>
        <w:t>喂</w:t>
      </w:r>
      <w:r>
        <w:rPr>
          <w:rFonts w:hint="eastAsia"/>
        </w:rPr>
        <w:t>水、嚼饭、鼻饲、喂药</w:t>
      </w:r>
    </w:p>
    <w:p>
      <w:pPr>
        <w:pStyle w:val="48"/>
      </w:pPr>
      <w:r>
        <w:rPr>
          <w:rFonts w:hint="eastAsia"/>
        </w:rPr>
        <w:t>助浴服务：洗头，洗澡(温水擦浴、沐浴)；床上浴、更换衣物。</w:t>
      </w:r>
    </w:p>
    <w:p>
      <w:pPr>
        <w:pStyle w:val="48"/>
      </w:pPr>
      <w:r>
        <w:rPr>
          <w:rFonts w:hint="eastAsia"/>
        </w:rPr>
        <w:t>助行服务：协助服务对象行走、外出、散步。协助其使用助行器/步行移动。</w:t>
      </w:r>
    </w:p>
    <w:p>
      <w:pPr>
        <w:pStyle w:val="48"/>
      </w:pPr>
      <w:r>
        <w:rPr>
          <w:rFonts w:hint="eastAsia"/>
        </w:rPr>
        <w:t>其他护理：睡眠照顾</w:t>
      </w:r>
      <w:r>
        <w:rPr>
          <w:rFonts w:hint="eastAsia"/>
          <w:lang w:eastAsia="zh-CN"/>
        </w:rPr>
        <w:t>（</w:t>
      </w:r>
      <w:r>
        <w:rPr>
          <w:rFonts w:hint="eastAsia"/>
        </w:rPr>
        <w:t>协助脱去衣裤就寝，盖被，定时翻身)；热水袋保暖:更换床上用品。</w:t>
      </w:r>
    </w:p>
    <w:p>
      <w:pPr>
        <w:pStyle w:val="48"/>
      </w:pPr>
      <w:r>
        <w:rPr>
          <w:rFonts w:hint="eastAsia"/>
        </w:rPr>
        <w:t>日常提示：根据医嘱或家属要求按时提醒老年人吃药、取药，提醒就医或办理相关事宜。</w:t>
      </w:r>
    </w:p>
    <w:p>
      <w:pPr>
        <w:pStyle w:val="48"/>
      </w:pPr>
      <w:r>
        <w:rPr>
          <w:rFonts w:hint="eastAsia"/>
        </w:rPr>
        <w:t>情感关怀：陪同聊天，定期探访(上门/电访)。</w:t>
      </w:r>
      <w:bookmarkStart w:id="30" w:name="_GoBack"/>
      <w:bookmarkEnd w:id="30"/>
    </w:p>
    <w:p>
      <w:pPr>
        <w:pStyle w:val="42"/>
        <w:spacing w:before="156" w:after="156"/>
      </w:pPr>
      <w:bookmarkStart w:id="28" w:name="_Toc166505713"/>
      <w:r>
        <w:rPr>
          <w:rFonts w:hint="eastAsia"/>
        </w:rPr>
        <w:t>医疗</w:t>
      </w:r>
      <w:r>
        <w:t>护理服务</w:t>
      </w:r>
      <w:bookmarkEnd w:id="28"/>
    </w:p>
    <w:p>
      <w:pPr>
        <w:pStyle w:val="24"/>
      </w:pPr>
      <w:r>
        <w:rPr>
          <w:rFonts w:hint="eastAsia"/>
        </w:rPr>
        <w:t>主要</w:t>
      </w:r>
      <w:r>
        <w:t>包括以下内容：</w:t>
      </w:r>
    </w:p>
    <w:p>
      <w:pPr>
        <w:pStyle w:val="48"/>
      </w:pPr>
      <w:r>
        <w:rPr>
          <w:rFonts w:hint="eastAsia"/>
        </w:rPr>
        <w:t>康复</w:t>
      </w:r>
      <w:r>
        <w:t>服务：健康咨询、康复咨询、康复指引。</w:t>
      </w:r>
    </w:p>
    <w:p>
      <w:pPr>
        <w:pStyle w:val="48"/>
      </w:pPr>
      <w:r>
        <w:rPr>
          <w:rFonts w:hint="eastAsia"/>
        </w:rPr>
        <w:t>康复训练：肢体类康复训练(如腰椎康复训练、关节放松训练等)。认知感官类训练(如</w:t>
      </w:r>
      <w:r>
        <w:rPr>
          <w:rFonts w:hint="eastAsia"/>
          <w:lang w:eastAsia="zh-CN"/>
        </w:rPr>
        <w:t>记忆</w:t>
      </w:r>
      <w:r>
        <w:rPr>
          <w:rFonts w:hint="eastAsia"/>
        </w:rPr>
        <w:t>训练、认知测试等)。</w:t>
      </w:r>
    </w:p>
    <w:p>
      <w:pPr>
        <w:pStyle w:val="48"/>
      </w:pPr>
      <w:r>
        <w:rPr>
          <w:rFonts w:hint="eastAsia"/>
        </w:rPr>
        <w:t>康复理疗：针灸理疗、穴位针灸、足部理疗、器械按摩、中风物理治疗、颈肩推拿、按摩推拿、拔罐刮痧。</w:t>
      </w:r>
    </w:p>
    <w:p>
      <w:pPr>
        <w:pStyle w:val="48"/>
      </w:pPr>
      <w:r>
        <w:rPr>
          <w:rFonts w:hint="eastAsia"/>
        </w:rPr>
        <w:t>预防保健：提供健康咨询、饮食咨询、营养指导、锻炼指导、活动指导服务。</w:t>
      </w:r>
    </w:p>
    <w:p>
      <w:pPr>
        <w:pStyle w:val="48"/>
      </w:pPr>
      <w:r>
        <w:rPr>
          <w:rFonts w:hint="eastAsia"/>
        </w:rPr>
        <w:t>基础监测：常规生理指数监测，如体温、血压、心率、呼吸、血糖、体重等。</w:t>
      </w:r>
    </w:p>
    <w:p>
      <w:pPr>
        <w:pStyle w:val="48"/>
      </w:pPr>
      <w:r>
        <w:rPr>
          <w:rFonts w:hint="eastAsia"/>
        </w:rPr>
        <w:t>医疗护理：鼻饲、物理降温、导尿、压疮护理，创口换药、吸氧、造口护理、其他专业护理项目。</w:t>
      </w:r>
    </w:p>
    <w:p>
      <w:pPr>
        <w:pStyle w:val="45"/>
      </w:pPr>
      <w:bookmarkStart w:id="29" w:name="_Toc166505714"/>
      <w:r>
        <w:rPr>
          <w:rFonts w:hint="eastAsia"/>
        </w:rPr>
        <w:t>服务评价</w:t>
      </w:r>
      <w:r>
        <w:t>与改进</w:t>
      </w:r>
      <w:bookmarkEnd w:id="29"/>
    </w:p>
    <w:p>
      <w:pPr>
        <w:pStyle w:val="145"/>
      </w:pPr>
      <w:r>
        <w:rPr>
          <w:rFonts w:hint="eastAsia"/>
        </w:rPr>
        <w:t>日常运行接受业务主管部门、乡镇(街道)、村(社区)监督管理，应建立内部监督机制，并接受社会监督。</w:t>
      </w:r>
    </w:p>
    <w:p>
      <w:pPr>
        <w:pStyle w:val="145"/>
      </w:pPr>
      <w:r>
        <w:rPr>
          <w:rFonts w:hint="eastAsia"/>
        </w:rPr>
        <w:t>采取购买服务主体评价、第三方评价或自我评价等方式，对服务设施、人员配备、运行管理、经费投入、服务内容、服务成效及满意度等进行评价。</w:t>
      </w:r>
    </w:p>
    <w:p>
      <w:pPr>
        <w:pStyle w:val="145"/>
      </w:pPr>
      <w:r>
        <w:rPr>
          <w:rFonts w:hint="eastAsia"/>
        </w:rPr>
        <w:t>应建立评估和监督响应机制，听取并采纳意见，提高服务能力和水平。</w:t>
      </w:r>
    </w:p>
    <w:p>
      <w:pPr>
        <w:pStyle w:val="148"/>
        <w:numPr>
          <w:ilvl w:val="0"/>
          <w:numId w:val="0"/>
        </w:numPr>
        <w:ind w:firstLine="420"/>
      </w:pPr>
    </w:p>
    <w:p>
      <w:pPr>
        <w:pStyle w:val="130"/>
        <w:framePr w:wrap="around"/>
      </w:pPr>
      <w:r>
        <mc:AlternateContent>
          <mc:Choice Requires="wps">
            <w:drawing>
              <wp:anchor distT="0" distB="0" distL="114300" distR="114300" simplePos="0" relativeHeight="251665408" behindDoc="0" locked="0" layoutInCell="1" allowOverlap="1">
                <wp:simplePos x="0" y="0"/>
                <wp:positionH relativeFrom="column">
                  <wp:posOffset>1757045</wp:posOffset>
                </wp:positionH>
                <wp:positionV relativeFrom="paragraph">
                  <wp:posOffset>317500</wp:posOffset>
                </wp:positionV>
                <wp:extent cx="2419350" cy="0"/>
                <wp:effectExtent l="0" t="0" r="19050" b="19050"/>
                <wp:wrapNone/>
                <wp:docPr id="43" name="直接连接符 43"/>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8.35pt;margin-top:25pt;height:0pt;width:190.5pt;z-index:251665408;mso-width-relative:page;mso-height-relative:page;" filled="f" stroked="t" coordsize="21600,21600" o:gfxdata="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crnJx1QAAAAkBAAAP&#10;AAAAAAAAAAEAIAAAACIAAABkcnMvZG93bnJldi54bWxQSwECFAAUAAAACACHTuJAJKzVmuIBAACz&#10;AwAADgAAAAAAAAABACAAAAAkAQAAZHJzL2Uyb0RvYy54bWxQSwUGAAAAAAYABgBZAQAAeAUAAAAA&#10;">
                <v:fill on="f" focussize="0,0"/>
                <v:stroke weight="0.5pt" color="#000000 [3213]" miterlimit="8" joinstyle="miter"/>
                <v:imagedata o:title=""/>
                <o:lock v:ext="edit" aspectratio="f"/>
              </v:line>
            </w:pict>
          </mc:Fallback>
        </mc:AlternateContent>
      </w:r>
    </w:p>
    <w:p>
      <w:pPr>
        <w:pStyle w:val="130"/>
        <w:framePr w:wrap="around"/>
      </w:pPr>
    </w:p>
    <w:sectPr>
      <w:headerReference r:id="rId5" w:type="default"/>
      <w:footerReference r:id="rId6"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8"/>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2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59"/>
      <w:lvlText w:val="%1)"/>
      <w:lvlJc w:val="left"/>
      <w:pPr>
        <w:tabs>
          <w:tab w:val="left" w:pos="840"/>
        </w:tabs>
        <w:ind w:left="839" w:hanging="419"/>
      </w:pPr>
      <w:rPr>
        <w:rFonts w:hint="eastAsia"/>
        <w:b w:val="0"/>
        <w:i w:val="0"/>
        <w:sz w:val="21"/>
        <w:szCs w:val="21"/>
      </w:rPr>
    </w:lvl>
    <w:lvl w:ilvl="1" w:tentative="0">
      <w:start w:val="1"/>
      <w:numFmt w:val="decimal"/>
      <w:pStyle w:val="54"/>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18"/>
      <w:suff w:val="nothing"/>
      <w:lvlText w:val="%1.%2.%3.%4.%5 "/>
      <w:lvlJc w:val="left"/>
      <w:pPr>
        <w:ind w:left="0" w:firstLine="0"/>
      </w:pPr>
      <w:rPr>
        <w:rFonts w:hint="eastAsia" w:ascii="黑体" w:hAnsi="Times New Roman" w:eastAsia="黑体"/>
        <w:b w:val="0"/>
        <w:i w:val="0"/>
        <w:sz w:val="21"/>
      </w:rPr>
    </w:lvl>
    <w:lvl w:ilvl="5" w:tentative="0">
      <w:start w:val="1"/>
      <w:numFmt w:val="decimal"/>
      <w:pStyle w:val="124"/>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64"/>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tentative="0">
      <w:start w:val="1"/>
      <w:numFmt w:val="upperLetter"/>
      <w:pStyle w:val="98"/>
      <w:suff w:val="space"/>
      <w:lvlText w:val="%1"/>
      <w:lvlJc w:val="left"/>
      <w:pPr>
        <w:ind w:left="623" w:hanging="425"/>
      </w:pPr>
      <w:rPr>
        <w:rFonts w:hint="eastAsia"/>
      </w:rPr>
    </w:lvl>
    <w:lvl w:ilvl="1" w:tentative="0">
      <w:start w:val="1"/>
      <w:numFmt w:val="decimal"/>
      <w:pStyle w:val="9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48"/>
      <w:suff w:val="nothing"/>
      <w:lvlText w:val="%1——"/>
      <w:lvlJc w:val="left"/>
      <w:pPr>
        <w:ind w:left="833" w:hanging="408"/>
      </w:pPr>
      <w:rPr>
        <w:rFonts w:hint="eastAsia"/>
        <w:lang w:val="en-US"/>
      </w:rPr>
    </w:lvl>
    <w:lvl w:ilvl="1" w:tentative="0">
      <w:start w:val="1"/>
      <w:numFmt w:val="bullet"/>
      <w:pStyle w:val="49"/>
      <w:lvlText w:val=""/>
      <w:lvlJc w:val="left"/>
      <w:pPr>
        <w:tabs>
          <w:tab w:val="left" w:pos="760"/>
        </w:tabs>
        <w:ind w:left="1264" w:hanging="413"/>
      </w:pPr>
      <w:rPr>
        <w:rFonts w:hint="default" w:ascii="Symbol" w:hAnsi="Symbol"/>
        <w:color w:val="auto"/>
      </w:rPr>
    </w:lvl>
    <w:lvl w:ilvl="2" w:tentative="0">
      <w:start w:val="1"/>
      <w:numFmt w:val="bullet"/>
      <w:pStyle w:val="6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tentative="0">
      <w:start w:val="1"/>
      <w:numFmt w:val="decimal"/>
      <w:pStyle w:val="6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6"/>
      <w:lvlText w:val="%1"/>
      <w:lvlJc w:val="left"/>
      <w:pPr>
        <w:tabs>
          <w:tab w:val="left" w:pos="0"/>
        </w:tabs>
        <w:ind w:left="0" w:hanging="425"/>
      </w:pPr>
      <w:rPr>
        <w:rFonts w:hint="eastAsia"/>
      </w:rPr>
    </w:lvl>
    <w:lvl w:ilvl="1" w:tentative="0">
      <w:start w:val="1"/>
      <w:numFmt w:val="decimal"/>
      <w:pStyle w:val="8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A6D3780"/>
    <w:multiLevelType w:val="multilevel"/>
    <w:tmpl w:val="6A6D3780"/>
    <w:lvl w:ilvl="0" w:tentative="0">
      <w:start w:val="1"/>
      <w:numFmt w:val="decimal"/>
      <w:pStyle w:val="6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5">
    <w:nsid w:val="6CE73117"/>
    <w:multiLevelType w:val="multilevel"/>
    <w:tmpl w:val="6CE73117"/>
    <w:lvl w:ilvl="0" w:tentative="0">
      <w:start w:val="1"/>
      <w:numFmt w:val="decimal"/>
      <w:pStyle w:val="45"/>
      <w:suff w:val="space"/>
      <w:lvlText w:val="%1 "/>
      <w:lvlJc w:val="left"/>
      <w:pPr>
        <w:ind w:left="0" w:firstLine="0"/>
      </w:pPr>
      <w:rPr>
        <w:rFonts w:hint="eastAsia" w:eastAsia="黑体"/>
        <w:sz w:val="21"/>
      </w:rPr>
    </w:lvl>
    <w:lvl w:ilvl="1" w:tentative="0">
      <w:start w:val="1"/>
      <w:numFmt w:val="decimal"/>
      <w:pStyle w:val="42"/>
      <w:suff w:val="space"/>
      <w:lvlText w:val="%1.%2 "/>
      <w:lvlJc w:val="left"/>
      <w:pPr>
        <w:ind w:left="0" w:firstLine="0"/>
      </w:pPr>
      <w:rPr>
        <w:rFonts w:hint="eastAsia" w:ascii="黑体" w:hAnsi="黑体" w:eastAsia="黑体"/>
      </w:rPr>
    </w:lvl>
    <w:lvl w:ilvl="2" w:tentative="0">
      <w:start w:val="1"/>
      <w:numFmt w:val="decimal"/>
      <w:pStyle w:val="46"/>
      <w:suff w:val="space"/>
      <w:lvlText w:val="%1.%2.%3 "/>
      <w:lvlJc w:val="left"/>
      <w:pPr>
        <w:ind w:left="0" w:firstLine="0"/>
      </w:pPr>
      <w:rPr>
        <w:rFonts w:hint="eastAsia" w:ascii="黑体" w:hAnsi="黑体" w:eastAsia="黑体"/>
      </w:rPr>
    </w:lvl>
    <w:lvl w:ilvl="3" w:tentative="0">
      <w:start w:val="1"/>
      <w:numFmt w:val="decimal"/>
      <w:pStyle w:val="51"/>
      <w:suff w:val="space"/>
      <w:lvlText w:val="%1.%2.%3.%4 "/>
      <w:lvlJc w:val="left"/>
      <w:pPr>
        <w:ind w:left="0" w:firstLine="0"/>
      </w:pPr>
      <w:rPr>
        <w:rFonts w:hint="eastAsia"/>
      </w:rPr>
    </w:lvl>
    <w:lvl w:ilvl="4" w:tentative="0">
      <w:start w:val="1"/>
      <w:numFmt w:val="decimal"/>
      <w:pStyle w:val="55"/>
      <w:suff w:val="space"/>
      <w:lvlText w:val="%1.%2.%3.%4.%5 "/>
      <w:lvlJc w:val="left"/>
      <w:pPr>
        <w:ind w:left="0" w:firstLine="0"/>
      </w:pPr>
      <w:rPr>
        <w:rFonts w:hint="eastAsia"/>
      </w:rPr>
    </w:lvl>
    <w:lvl w:ilvl="5" w:tentative="0">
      <w:start w:val="1"/>
      <w:numFmt w:val="decimal"/>
      <w:pStyle w:val="56"/>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6">
    <w:nsid w:val="6D6C07CD"/>
    <w:multiLevelType w:val="multilevel"/>
    <w:tmpl w:val="6D6C07CD"/>
    <w:lvl w:ilvl="0" w:tentative="0">
      <w:start w:val="1"/>
      <w:numFmt w:val="lowerLetter"/>
      <w:pStyle w:val="105"/>
      <w:lvlText w:val="%1)"/>
      <w:lvlJc w:val="left"/>
      <w:pPr>
        <w:tabs>
          <w:tab w:val="left" w:pos="839"/>
        </w:tabs>
        <w:ind w:left="839" w:hanging="419"/>
      </w:pPr>
      <w:rPr>
        <w:rFonts w:hint="eastAsia" w:ascii="宋体" w:eastAsia="宋体"/>
        <w:b w:val="0"/>
        <w:i w:val="0"/>
        <w:sz w:val="21"/>
      </w:rPr>
    </w:lvl>
    <w:lvl w:ilvl="1" w:tentative="0">
      <w:start w:val="1"/>
      <w:numFmt w:val="decimal"/>
      <w:pStyle w:val="9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8">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48"/>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5"/>
  </w:num>
  <w:num w:numId="3">
    <w:abstractNumId w:val="9"/>
  </w:num>
  <w:num w:numId="4">
    <w:abstractNumId w:val="2"/>
  </w:num>
  <w:num w:numId="5">
    <w:abstractNumId w:val="5"/>
  </w:num>
  <w:num w:numId="6">
    <w:abstractNumId w:val="17"/>
  </w:num>
  <w:num w:numId="7">
    <w:abstractNumId w:val="0"/>
  </w:num>
  <w:num w:numId="8">
    <w:abstractNumId w:val="11"/>
  </w:num>
  <w:num w:numId="9">
    <w:abstractNumId w:val="7"/>
  </w:num>
  <w:num w:numId="10">
    <w:abstractNumId w:val="14"/>
  </w:num>
  <w:num w:numId="11">
    <w:abstractNumId w:val="12"/>
  </w:num>
  <w:num w:numId="12">
    <w:abstractNumId w:val="16"/>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ViYWVhYmEyMzQ3M2VlZTZkMmJiYzAyMGFjNGFiYzUifQ=="/>
  </w:docVars>
  <w:rsids>
    <w:rsidRoot w:val="1B5D4D2D"/>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5F6"/>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1B6"/>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A71"/>
    <w:rsid w:val="00195DA9"/>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4F70"/>
    <w:rsid w:val="0020541F"/>
    <w:rsid w:val="002147B2"/>
    <w:rsid w:val="00215F0E"/>
    <w:rsid w:val="00215F95"/>
    <w:rsid w:val="002245D5"/>
    <w:rsid w:val="00225C8E"/>
    <w:rsid w:val="00226814"/>
    <w:rsid w:val="00234467"/>
    <w:rsid w:val="002346F0"/>
    <w:rsid w:val="00235AFA"/>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1A42"/>
    <w:rsid w:val="002C72D8"/>
    <w:rsid w:val="002D11FA"/>
    <w:rsid w:val="002E0DDF"/>
    <w:rsid w:val="002E25BD"/>
    <w:rsid w:val="002E2906"/>
    <w:rsid w:val="002E363B"/>
    <w:rsid w:val="002E4928"/>
    <w:rsid w:val="002E50A6"/>
    <w:rsid w:val="002E5635"/>
    <w:rsid w:val="002E64C3"/>
    <w:rsid w:val="002E6A2C"/>
    <w:rsid w:val="002E6EBC"/>
    <w:rsid w:val="002E7743"/>
    <w:rsid w:val="002F0CF2"/>
    <w:rsid w:val="002F1D8C"/>
    <w:rsid w:val="002F21DA"/>
    <w:rsid w:val="002F3489"/>
    <w:rsid w:val="00301F39"/>
    <w:rsid w:val="00304C5F"/>
    <w:rsid w:val="003074A5"/>
    <w:rsid w:val="00310A54"/>
    <w:rsid w:val="003139A7"/>
    <w:rsid w:val="003141AD"/>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609D2"/>
    <w:rsid w:val="00363F22"/>
    <w:rsid w:val="003654C4"/>
    <w:rsid w:val="003674EB"/>
    <w:rsid w:val="0037334B"/>
    <w:rsid w:val="00375564"/>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3F9A"/>
    <w:rsid w:val="00455CE5"/>
    <w:rsid w:val="00462720"/>
    <w:rsid w:val="00462CEC"/>
    <w:rsid w:val="00466C1F"/>
    <w:rsid w:val="004672B1"/>
    <w:rsid w:val="00471E91"/>
    <w:rsid w:val="00474675"/>
    <w:rsid w:val="0047470C"/>
    <w:rsid w:val="00485BDC"/>
    <w:rsid w:val="00492D95"/>
    <w:rsid w:val="00492FDB"/>
    <w:rsid w:val="00493BC3"/>
    <w:rsid w:val="0049613A"/>
    <w:rsid w:val="004969B2"/>
    <w:rsid w:val="004A35F9"/>
    <w:rsid w:val="004B15D8"/>
    <w:rsid w:val="004B24C1"/>
    <w:rsid w:val="004B35C5"/>
    <w:rsid w:val="004B6742"/>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31D7"/>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413E"/>
    <w:rsid w:val="00604B74"/>
    <w:rsid w:val="00607EC9"/>
    <w:rsid w:val="006126C0"/>
    <w:rsid w:val="006128E9"/>
    <w:rsid w:val="0061293A"/>
    <w:rsid w:val="006149F1"/>
    <w:rsid w:val="0061716C"/>
    <w:rsid w:val="00620D38"/>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C06EB"/>
    <w:rsid w:val="008C1B4A"/>
    <w:rsid w:val="008C1B58"/>
    <w:rsid w:val="008C39AE"/>
    <w:rsid w:val="008C590D"/>
    <w:rsid w:val="008C67C7"/>
    <w:rsid w:val="008C6B85"/>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2809"/>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87D50"/>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A70CD"/>
    <w:rsid w:val="00CB2D56"/>
    <w:rsid w:val="00CB6799"/>
    <w:rsid w:val="00CB6968"/>
    <w:rsid w:val="00CB6E9C"/>
    <w:rsid w:val="00CC3E0C"/>
    <w:rsid w:val="00CC4599"/>
    <w:rsid w:val="00CC56E2"/>
    <w:rsid w:val="00CC58D3"/>
    <w:rsid w:val="00CC6BC3"/>
    <w:rsid w:val="00CC784D"/>
    <w:rsid w:val="00CD11F7"/>
    <w:rsid w:val="00CE095F"/>
    <w:rsid w:val="00CE1BDA"/>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56A5"/>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0BA"/>
    <w:rsid w:val="00E117D0"/>
    <w:rsid w:val="00E15072"/>
    <w:rsid w:val="00E214BC"/>
    <w:rsid w:val="00E24B93"/>
    <w:rsid w:val="00E24EB4"/>
    <w:rsid w:val="00E26AB3"/>
    <w:rsid w:val="00E320ED"/>
    <w:rsid w:val="00E32C33"/>
    <w:rsid w:val="00E33AFB"/>
    <w:rsid w:val="00E34218"/>
    <w:rsid w:val="00E36530"/>
    <w:rsid w:val="00E44E1F"/>
    <w:rsid w:val="00E46282"/>
    <w:rsid w:val="00E51891"/>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2187"/>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09630EDC"/>
    <w:rsid w:val="0D38267F"/>
    <w:rsid w:val="0D491002"/>
    <w:rsid w:val="1B5D4D2D"/>
    <w:rsid w:val="2EA8435B"/>
    <w:rsid w:val="33251C93"/>
    <w:rsid w:val="417E72CF"/>
    <w:rsid w:val="4590011C"/>
    <w:rsid w:val="52331739"/>
    <w:rsid w:val="76D27C04"/>
    <w:rsid w:val="7E705F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unhideWhenUsed="0" w:uiPriority="0" w:name="toc 9"/>
    <w:lsdException w:uiPriority="0" w:name="Normal Indent"/>
    <w:lsdException w:qFormat="1" w:unhideWhenUsed="0" w:uiPriority="0" w:semiHidden="0" w:name="footnote text"/>
    <w:lsdException w:uiPriority="0" w:name="annotation text"/>
    <w:lsdException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39"/>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0"/>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5">
    <w:name w:val="Default Paragraph Font"/>
    <w:semiHidden/>
    <w:unhideWhenUsed/>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semiHidden/>
    <w:qFormat/>
    <w:uiPriority w:val="0"/>
    <w:pPr>
      <w:tabs>
        <w:tab w:val="right" w:leader="dot" w:pos="9241"/>
      </w:tabs>
      <w:ind w:firstLine="500" w:firstLineChars="500"/>
      <w:jc w:val="left"/>
    </w:pPr>
    <w:rPr>
      <w:rFonts w:ascii="宋体"/>
      <w:szCs w:val="21"/>
    </w:rPr>
  </w:style>
  <w:style w:type="paragraph" w:styleId="6">
    <w:name w:val="index 8"/>
    <w:basedOn w:val="1"/>
    <w:next w:val="1"/>
    <w:autoRedefine/>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uiPriority w:val="0"/>
    <w:pPr>
      <w:shd w:val="clear" w:color="auto" w:fill="000080"/>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autoRedefine/>
    <w:qFormat/>
    <w:uiPriority w:val="0"/>
    <w:pPr>
      <w:ind w:left="840" w:hanging="210"/>
      <w:jc w:val="left"/>
    </w:pPr>
    <w:rPr>
      <w:rFonts w:ascii="Calibri" w:hAnsi="Calibri"/>
      <w:sz w:val="20"/>
      <w:szCs w:val="20"/>
    </w:rPr>
  </w:style>
  <w:style w:type="paragraph" w:styleId="12">
    <w:name w:val="toc 5"/>
    <w:basedOn w:val="1"/>
    <w:next w:val="1"/>
    <w:autoRedefine/>
    <w:semiHidden/>
    <w:qFormat/>
    <w:uiPriority w:val="0"/>
    <w:pPr>
      <w:tabs>
        <w:tab w:val="right" w:leader="dot" w:pos="9241"/>
      </w:tabs>
      <w:ind w:firstLine="300" w:firstLineChars="300"/>
      <w:jc w:val="left"/>
    </w:pPr>
    <w:rPr>
      <w:rFonts w:ascii="宋体"/>
      <w:szCs w:val="21"/>
    </w:rPr>
  </w:style>
  <w:style w:type="paragraph" w:styleId="13">
    <w:name w:val="toc 3"/>
    <w:basedOn w:val="1"/>
    <w:next w:val="1"/>
    <w:autoRedefine/>
    <w:qFormat/>
    <w:uiPriority w:val="39"/>
    <w:pPr>
      <w:tabs>
        <w:tab w:val="right" w:leader="dot" w:pos="9241"/>
      </w:tabs>
      <w:ind w:firstLine="100" w:firstLineChars="100"/>
      <w:jc w:val="left"/>
    </w:pPr>
    <w:rPr>
      <w:rFonts w:ascii="宋体"/>
      <w:szCs w:val="21"/>
    </w:rPr>
  </w:style>
  <w:style w:type="paragraph" w:styleId="14">
    <w:name w:val="toc 8"/>
    <w:basedOn w:val="1"/>
    <w:next w:val="1"/>
    <w:autoRedefine/>
    <w:semiHidden/>
    <w:qFormat/>
    <w:uiPriority w:val="0"/>
    <w:pPr>
      <w:tabs>
        <w:tab w:val="right" w:leader="dot" w:pos="9241"/>
      </w:tabs>
      <w:ind w:firstLine="607" w:firstLineChars="600"/>
      <w:jc w:val="left"/>
    </w:pPr>
    <w:rPr>
      <w:rFonts w:ascii="宋体"/>
      <w:szCs w:val="21"/>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autoRedefine/>
    <w:semiHidden/>
    <w:qFormat/>
    <w:uiPriority w:val="0"/>
    <w:pPr>
      <w:snapToGrid w:val="0"/>
      <w:jc w:val="left"/>
    </w:pPr>
  </w:style>
  <w:style w:type="paragraph" w:styleId="17">
    <w:name w:val="Balloon Text"/>
    <w:basedOn w:val="1"/>
    <w:link w:val="141"/>
    <w:autoRedefine/>
    <w:qFormat/>
    <w:uiPriority w:val="0"/>
    <w:rPr>
      <w:sz w:val="18"/>
      <w:szCs w:val="18"/>
    </w:rPr>
  </w:style>
  <w:style w:type="paragraph" w:styleId="18">
    <w:name w:val="footer"/>
    <w:basedOn w:val="1"/>
    <w:qFormat/>
    <w:uiPriority w:val="0"/>
    <w:pPr>
      <w:snapToGrid w:val="0"/>
      <w:ind w:right="210" w:rightChars="100"/>
      <w:jc w:val="right"/>
    </w:pPr>
    <w:rPr>
      <w:sz w:val="18"/>
      <w:szCs w:val="18"/>
    </w:rPr>
  </w:style>
  <w:style w:type="paragraph" w:styleId="19">
    <w:name w:val="header"/>
    <w:basedOn w:val="1"/>
    <w:uiPriority w:val="0"/>
    <w:pPr>
      <w:snapToGrid w:val="0"/>
      <w:jc w:val="left"/>
    </w:pPr>
    <w:rPr>
      <w:sz w:val="18"/>
      <w:szCs w:val="18"/>
    </w:rPr>
  </w:style>
  <w:style w:type="paragraph" w:styleId="20">
    <w:name w:val="toc 1"/>
    <w:basedOn w:val="1"/>
    <w:next w:val="1"/>
    <w:autoRedefine/>
    <w:qFormat/>
    <w:uiPriority w:val="39"/>
    <w:pPr>
      <w:tabs>
        <w:tab w:val="right" w:leader="dot" w:pos="9242"/>
      </w:tabs>
      <w:spacing w:beforeLines="25" w:afterLines="25"/>
      <w:jc w:val="left"/>
    </w:pPr>
    <w:rPr>
      <w:rFonts w:ascii="宋体"/>
      <w:szCs w:val="21"/>
    </w:rPr>
  </w:style>
  <w:style w:type="paragraph" w:styleId="21">
    <w:name w:val="toc 4"/>
    <w:basedOn w:val="1"/>
    <w:next w:val="1"/>
    <w:autoRedefine/>
    <w:semiHidden/>
    <w:qFormat/>
    <w:uiPriority w:val="0"/>
    <w:pPr>
      <w:tabs>
        <w:tab w:val="right" w:leader="dot" w:pos="9241"/>
      </w:tabs>
      <w:ind w:firstLine="200"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autoRedefine/>
    <w:qFormat/>
    <w:uiPriority w:val="0"/>
    <w:pPr>
      <w:numPr>
        <w:ilvl w:val="0"/>
        <w:numId w:val="1"/>
      </w:numPr>
      <w:snapToGrid w:val="0"/>
      <w:jc w:val="left"/>
    </w:pPr>
    <w:rPr>
      <w:rFonts w:ascii="宋体"/>
      <w:sz w:val="18"/>
      <w:szCs w:val="18"/>
    </w:rPr>
  </w:style>
  <w:style w:type="paragraph" w:styleId="26">
    <w:name w:val="toc 6"/>
    <w:basedOn w:val="1"/>
    <w:next w:val="1"/>
    <w:autoRedefine/>
    <w:semiHidden/>
    <w:qFormat/>
    <w:uiPriority w:val="0"/>
    <w:pPr>
      <w:tabs>
        <w:tab w:val="right" w:leader="dot" w:pos="9241"/>
      </w:tabs>
      <w:ind w:firstLine="400" w:firstLineChars="400"/>
      <w:jc w:val="left"/>
    </w:pPr>
    <w:rPr>
      <w:rFonts w:ascii="宋体"/>
      <w:szCs w:val="21"/>
    </w:rPr>
  </w:style>
  <w:style w:type="paragraph" w:styleId="27">
    <w:name w:val="index 7"/>
    <w:basedOn w:val="1"/>
    <w:next w:val="1"/>
    <w:autoRedefine/>
    <w:qFormat/>
    <w:uiPriority w:val="0"/>
    <w:pPr>
      <w:ind w:left="1470" w:hanging="210"/>
      <w:jc w:val="left"/>
    </w:pPr>
    <w:rPr>
      <w:rFonts w:ascii="Calibri" w:hAnsi="Calibri"/>
      <w:sz w:val="20"/>
      <w:szCs w:val="20"/>
    </w:rPr>
  </w:style>
  <w:style w:type="paragraph" w:styleId="28">
    <w:name w:val="index 9"/>
    <w:basedOn w:val="1"/>
    <w:next w:val="1"/>
    <w:autoRedefine/>
    <w:qFormat/>
    <w:uiPriority w:val="0"/>
    <w:pPr>
      <w:ind w:left="1890" w:hanging="210"/>
      <w:jc w:val="left"/>
    </w:pPr>
    <w:rPr>
      <w:rFonts w:ascii="Calibri" w:hAnsi="Calibri"/>
      <w:sz w:val="20"/>
      <w:szCs w:val="20"/>
    </w:rPr>
  </w:style>
  <w:style w:type="paragraph" w:styleId="29">
    <w:name w:val="toc 2"/>
    <w:basedOn w:val="1"/>
    <w:next w:val="1"/>
    <w:autoRedefine/>
    <w:qFormat/>
    <w:uiPriority w:val="39"/>
    <w:pPr>
      <w:tabs>
        <w:tab w:val="right" w:leader="dot" w:pos="9242"/>
      </w:tabs>
      <w:ind w:left="100" w:leftChars="100"/>
    </w:pPr>
    <w:rPr>
      <w:rFonts w:ascii="宋体"/>
      <w:szCs w:val="21"/>
    </w:rPr>
  </w:style>
  <w:style w:type="paragraph" w:styleId="30">
    <w:name w:val="toc 9"/>
    <w:basedOn w:val="1"/>
    <w:next w:val="1"/>
    <w:semiHidden/>
    <w:uiPriority w:val="0"/>
    <w:pPr>
      <w:ind w:left="1470"/>
      <w:jc w:val="left"/>
    </w:pPr>
    <w:rPr>
      <w:sz w:val="20"/>
      <w:szCs w:val="20"/>
    </w:r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2">
    <w:name w:val="index 2"/>
    <w:basedOn w:val="1"/>
    <w:next w:val="1"/>
    <w:qFormat/>
    <w:uiPriority w:val="0"/>
    <w:pPr>
      <w:ind w:left="420" w:hanging="210"/>
      <w:jc w:val="left"/>
    </w:pPr>
    <w:rPr>
      <w:rFonts w:ascii="Calibri" w:hAnsi="Calibri"/>
      <w:sz w:val="20"/>
      <w:szCs w:val="20"/>
    </w:rPr>
  </w:style>
  <w:style w:type="table" w:styleId="34">
    <w:name w:val="Table Grid"/>
    <w:basedOn w:val="33"/>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6">
    <w:name w:val="Strong"/>
    <w:qFormat/>
    <w:uiPriority w:val="22"/>
    <w:rPr>
      <w:b/>
      <w:bCs/>
    </w:rPr>
  </w:style>
  <w:style w:type="character" w:styleId="37">
    <w:name w:val="endnote reference"/>
    <w:semiHidden/>
    <w:qFormat/>
    <w:uiPriority w:val="0"/>
    <w:rPr>
      <w:vertAlign w:val="superscript"/>
    </w:rPr>
  </w:style>
  <w:style w:type="character" w:styleId="38">
    <w:name w:val="page number"/>
    <w:qFormat/>
    <w:uiPriority w:val="0"/>
    <w:rPr>
      <w:rFonts w:ascii="Times New Roman" w:hAnsi="Times New Roman" w:eastAsia="宋体"/>
      <w:sz w:val="18"/>
    </w:rPr>
  </w:style>
  <w:style w:type="character" w:styleId="39">
    <w:name w:val="Hyperlink"/>
    <w:qFormat/>
    <w:uiPriority w:val="99"/>
    <w:rPr>
      <w:color w:val="0000FF"/>
      <w:spacing w:val="0"/>
      <w:w w:val="100"/>
      <w:szCs w:val="21"/>
      <w:u w:val="single"/>
    </w:rPr>
  </w:style>
  <w:style w:type="character" w:styleId="40">
    <w:name w:val="footnote reference"/>
    <w:semiHidden/>
    <w:qFormat/>
    <w:uiPriority w:val="0"/>
    <w:rPr>
      <w:vertAlign w:val="superscript"/>
    </w:rPr>
  </w:style>
  <w:style w:type="character" w:customStyle="1" w:styleId="41">
    <w:name w:val="段 Char"/>
    <w:link w:val="24"/>
    <w:qFormat/>
    <w:uiPriority w:val="0"/>
    <w:rPr>
      <w:rFonts w:ascii="宋体"/>
      <w:sz w:val="21"/>
      <w:lang w:val="en-US" w:eastAsia="zh-CN" w:bidi="ar-SA"/>
    </w:rPr>
  </w:style>
  <w:style w:type="paragraph" w:customStyle="1" w:styleId="42">
    <w:name w:val="一级条标题"/>
    <w:next w:val="24"/>
    <w:autoRedefine/>
    <w:qFormat/>
    <w:uiPriority w:val="0"/>
    <w:pPr>
      <w:numPr>
        <w:ilvl w:val="1"/>
        <w:numId w:val="2"/>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4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5">
    <w:name w:val="章标题"/>
    <w:next w:val="24"/>
    <w:autoRedefine/>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6">
    <w:name w:val="二级条标题"/>
    <w:basedOn w:val="42"/>
    <w:next w:val="24"/>
    <w:qFormat/>
    <w:uiPriority w:val="0"/>
    <w:pPr>
      <w:numPr>
        <w:ilvl w:val="2"/>
      </w:numPr>
      <w:outlineLvl w:val="3"/>
    </w:pPr>
  </w:style>
  <w:style w:type="paragraph" w:customStyle="1" w:styleId="47">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8">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49">
    <w:name w:val="列项●（二级）"/>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0">
    <w:name w:val="目次、标准名称标题"/>
    <w:basedOn w:val="1"/>
    <w:next w:val="24"/>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1">
    <w:name w:val="三级条标题"/>
    <w:basedOn w:val="46"/>
    <w:next w:val="24"/>
    <w:uiPriority w:val="0"/>
    <w:pPr>
      <w:numPr>
        <w:ilvl w:val="3"/>
      </w:numPr>
      <w:spacing w:before="156" w:after="156"/>
      <w:outlineLvl w:val="4"/>
    </w:pPr>
    <w:rPr>
      <w:rFonts w:asciiTheme="minorEastAsia" w:hAnsiTheme="minorEastAsia"/>
    </w:rPr>
  </w:style>
  <w:style w:type="paragraph" w:customStyle="1" w:styleId="52">
    <w:name w:val="示例"/>
    <w:next w:val="53"/>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4">
    <w:name w:val="数字编号列项（二级）"/>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5">
    <w:name w:val="四级条标题"/>
    <w:basedOn w:val="51"/>
    <w:next w:val="24"/>
    <w:qFormat/>
    <w:uiPriority w:val="0"/>
    <w:pPr>
      <w:numPr>
        <w:ilvl w:val="4"/>
      </w:numPr>
      <w:outlineLvl w:val="5"/>
    </w:pPr>
  </w:style>
  <w:style w:type="paragraph" w:customStyle="1" w:styleId="56">
    <w:name w:val="五级条标题"/>
    <w:basedOn w:val="55"/>
    <w:next w:val="24"/>
    <w:autoRedefine/>
    <w:qFormat/>
    <w:uiPriority w:val="0"/>
    <w:pPr>
      <w:numPr>
        <w:ilvl w:val="5"/>
      </w:numPr>
      <w:spacing w:before="50" w:after="50"/>
      <w:outlineLvl w:val="6"/>
    </w:pPr>
  </w:style>
  <w:style w:type="paragraph" w:customStyle="1" w:styleId="57">
    <w:name w:val="注："/>
    <w:next w:val="24"/>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8">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59">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0">
    <w:name w:val="列项◆（三级）"/>
    <w:basedOn w:val="1"/>
    <w:uiPriority w:val="0"/>
    <w:pPr>
      <w:numPr>
        <w:ilvl w:val="2"/>
        <w:numId w:val="3"/>
      </w:numPr>
    </w:pPr>
    <w:rPr>
      <w:rFonts w:ascii="宋体"/>
      <w:szCs w:val="21"/>
    </w:rPr>
  </w:style>
  <w:style w:type="paragraph" w:customStyle="1" w:styleId="61">
    <w:name w:val="编号列项（三级）"/>
    <w:qFormat/>
    <w:uiPriority w:val="0"/>
    <w:rPr>
      <w:rFonts w:ascii="宋体" w:hAnsi="Times New Roman" w:eastAsia="宋体" w:cs="Times New Roman"/>
      <w:sz w:val="21"/>
      <w:lang w:val="en-US" w:eastAsia="zh-CN" w:bidi="ar-SA"/>
    </w:rPr>
  </w:style>
  <w:style w:type="paragraph" w:customStyle="1" w:styleId="62">
    <w:name w:val="示例×："/>
    <w:basedOn w:val="45"/>
    <w:qFormat/>
    <w:uiPriority w:val="0"/>
    <w:pPr>
      <w:numPr>
        <w:ilvl w:val="0"/>
        <w:numId w:val="8"/>
      </w:numPr>
      <w:spacing w:before="0" w:beforeLines="0" w:after="0" w:afterLines="0"/>
      <w:outlineLvl w:val="9"/>
    </w:pPr>
    <w:rPr>
      <w:rFonts w:ascii="宋体" w:eastAsia="宋体"/>
      <w:sz w:val="18"/>
      <w:szCs w:val="18"/>
    </w:rPr>
  </w:style>
  <w:style w:type="paragraph" w:customStyle="1" w:styleId="63">
    <w:name w:val="五级无标题条"/>
    <w:basedOn w:val="56"/>
    <w:qFormat/>
    <w:uiPriority w:val="0"/>
    <w:pPr>
      <w:spacing w:before="0" w:beforeLines="0" w:after="0" w:afterLines="0"/>
    </w:pPr>
    <w:rPr>
      <w:rFonts w:eastAsiaTheme="minorEastAsia"/>
    </w:rPr>
  </w:style>
  <w:style w:type="paragraph" w:customStyle="1" w:styleId="64">
    <w:name w:val="注：（正文）"/>
    <w:basedOn w:val="57"/>
    <w:next w:val="24"/>
    <w:uiPriority w:val="0"/>
    <w:pPr>
      <w:numPr>
        <w:ilvl w:val="0"/>
        <w:numId w:val="9"/>
      </w:numPr>
    </w:pPr>
  </w:style>
  <w:style w:type="paragraph" w:customStyle="1" w:styleId="65">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7">
    <w:name w:val="标准称谓"/>
    <w:next w:val="1"/>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9">
    <w:name w:val="标准书眉_偶数页"/>
    <w:basedOn w:val="44"/>
    <w:next w:val="1"/>
    <w:qFormat/>
    <w:uiPriority w:val="0"/>
    <w:pPr>
      <w:jc w:val="left"/>
    </w:pPr>
  </w:style>
  <w:style w:type="paragraph" w:customStyle="1" w:styleId="70">
    <w:name w:val="标准书眉一"/>
    <w:qFormat/>
    <w:uiPriority w:val="0"/>
    <w:pPr>
      <w:jc w:val="both"/>
    </w:pPr>
    <w:rPr>
      <w:rFonts w:ascii="Times New Roman" w:hAnsi="Times New Roman" w:eastAsia="宋体" w:cs="Times New Roman"/>
      <w:lang w:val="en-US" w:eastAsia="zh-CN" w:bidi="ar-SA"/>
    </w:rPr>
  </w:style>
  <w:style w:type="paragraph" w:customStyle="1" w:styleId="71">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2">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3">
    <w:name w:val="发布"/>
    <w:qFormat/>
    <w:uiPriority w:val="0"/>
    <w:rPr>
      <w:rFonts w:ascii="黑体" w:eastAsia="黑体"/>
      <w:spacing w:val="85"/>
      <w:w w:val="100"/>
      <w:position w:val="3"/>
      <w:sz w:val="28"/>
      <w:szCs w:val="28"/>
    </w:rPr>
  </w:style>
  <w:style w:type="paragraph" w:customStyle="1" w:styleId="74">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7">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8">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9">
    <w:name w:val="封面标准英文名称"/>
    <w:basedOn w:val="78"/>
    <w:qFormat/>
    <w:uiPriority w:val="0"/>
    <w:pPr>
      <w:framePr w:wrap="around"/>
      <w:spacing w:before="370" w:line="400" w:lineRule="exact"/>
    </w:pPr>
    <w:rPr>
      <w:rFonts w:ascii="Times New Roman"/>
      <w:sz w:val="28"/>
      <w:szCs w:val="28"/>
    </w:rPr>
  </w:style>
  <w:style w:type="paragraph" w:customStyle="1" w:styleId="80">
    <w:name w:val="封面一致性程度标识"/>
    <w:basedOn w:val="79"/>
    <w:qFormat/>
    <w:uiPriority w:val="0"/>
    <w:pPr>
      <w:framePr w:wrap="around"/>
      <w:spacing w:before="440"/>
    </w:pPr>
    <w:rPr>
      <w:rFonts w:ascii="宋体" w:eastAsia="宋体"/>
    </w:rPr>
  </w:style>
  <w:style w:type="paragraph" w:customStyle="1" w:styleId="81">
    <w:name w:val="封面标准文稿类别"/>
    <w:basedOn w:val="80"/>
    <w:qFormat/>
    <w:uiPriority w:val="0"/>
    <w:pPr>
      <w:framePr w:wrap="around"/>
      <w:spacing w:after="160" w:line="240" w:lineRule="auto"/>
    </w:pPr>
    <w:rPr>
      <w:sz w:val="24"/>
    </w:rPr>
  </w:style>
  <w:style w:type="paragraph" w:customStyle="1" w:styleId="82">
    <w:name w:val="封面标准文稿编辑信息"/>
    <w:basedOn w:val="81"/>
    <w:qFormat/>
    <w:uiPriority w:val="0"/>
    <w:pPr>
      <w:framePr w:wrap="around"/>
      <w:spacing w:before="180" w:line="180" w:lineRule="exact"/>
    </w:pPr>
    <w:rPr>
      <w:sz w:val="21"/>
    </w:rPr>
  </w:style>
  <w:style w:type="paragraph" w:customStyle="1" w:styleId="83">
    <w:name w:val="封面正文"/>
    <w:qFormat/>
    <w:uiPriority w:val="0"/>
    <w:pPr>
      <w:jc w:val="both"/>
    </w:pPr>
    <w:rPr>
      <w:rFonts w:ascii="Times New Roman" w:hAnsi="Times New Roman" w:eastAsia="宋体" w:cs="Times New Roman"/>
      <w:lang w:val="en-US" w:eastAsia="zh-CN" w:bidi="ar-SA"/>
    </w:rPr>
  </w:style>
  <w:style w:type="paragraph" w:customStyle="1" w:styleId="84">
    <w:name w:val="附录标识"/>
    <w:basedOn w:val="1"/>
    <w:next w:val="24"/>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5">
    <w:name w:val="附录标题"/>
    <w:basedOn w:val="24"/>
    <w:next w:val="24"/>
    <w:qFormat/>
    <w:uiPriority w:val="0"/>
    <w:pPr>
      <w:ind w:firstLine="0" w:firstLineChars="0"/>
      <w:jc w:val="center"/>
    </w:pPr>
    <w:rPr>
      <w:rFonts w:ascii="黑体" w:eastAsia="黑体"/>
    </w:rPr>
  </w:style>
  <w:style w:type="paragraph" w:customStyle="1" w:styleId="86">
    <w:name w:val="附录表标号"/>
    <w:basedOn w:val="1"/>
    <w:next w:val="24"/>
    <w:qFormat/>
    <w:uiPriority w:val="0"/>
    <w:pPr>
      <w:numPr>
        <w:ilvl w:val="0"/>
        <w:numId w:val="11"/>
      </w:numPr>
      <w:spacing w:line="14" w:lineRule="exact"/>
      <w:ind w:left="811" w:hanging="448"/>
      <w:jc w:val="center"/>
      <w:outlineLvl w:val="0"/>
    </w:pPr>
    <w:rPr>
      <w:color w:val="FFFFFF"/>
    </w:rPr>
  </w:style>
  <w:style w:type="paragraph" w:customStyle="1" w:styleId="87">
    <w:name w:val="附录表标题"/>
    <w:basedOn w:val="1"/>
    <w:next w:val="24"/>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88">
    <w:name w:val="附录二级条标题"/>
    <w:basedOn w:val="1"/>
    <w:next w:val="24"/>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9">
    <w:name w:val="附录二级无"/>
    <w:basedOn w:val="88"/>
    <w:qFormat/>
    <w:uiPriority w:val="0"/>
    <w:pPr>
      <w:tabs>
        <w:tab w:val="clear" w:pos="360"/>
      </w:tabs>
      <w:spacing w:beforeLines="0" w:afterLines="0"/>
    </w:pPr>
    <w:rPr>
      <w:rFonts w:ascii="宋体" w:eastAsia="宋体"/>
      <w:szCs w:val="21"/>
    </w:rPr>
  </w:style>
  <w:style w:type="paragraph" w:customStyle="1" w:styleId="90">
    <w:name w:val="附录公式"/>
    <w:basedOn w:val="24"/>
    <w:next w:val="24"/>
    <w:link w:val="91"/>
    <w:qFormat/>
    <w:uiPriority w:val="0"/>
  </w:style>
  <w:style w:type="character" w:customStyle="1" w:styleId="91">
    <w:name w:val="附录公式 Char"/>
    <w:basedOn w:val="41"/>
    <w:link w:val="90"/>
    <w:qFormat/>
    <w:uiPriority w:val="0"/>
    <w:rPr>
      <w:rFonts w:ascii="宋体"/>
      <w:sz w:val="21"/>
      <w:lang w:val="en-US" w:eastAsia="zh-CN" w:bidi="ar-SA"/>
    </w:rPr>
  </w:style>
  <w:style w:type="paragraph" w:customStyle="1" w:styleId="92">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3">
    <w:name w:val="附录三级条标题"/>
    <w:basedOn w:val="88"/>
    <w:next w:val="24"/>
    <w:qFormat/>
    <w:uiPriority w:val="0"/>
    <w:pPr>
      <w:outlineLvl w:val="4"/>
    </w:pPr>
  </w:style>
  <w:style w:type="paragraph" w:customStyle="1" w:styleId="94">
    <w:name w:val="附录三级无"/>
    <w:basedOn w:val="93"/>
    <w:qFormat/>
    <w:uiPriority w:val="0"/>
    <w:pPr>
      <w:tabs>
        <w:tab w:val="clear" w:pos="360"/>
      </w:tabs>
      <w:spacing w:beforeLines="0" w:afterLines="0"/>
    </w:pPr>
    <w:rPr>
      <w:rFonts w:ascii="宋体" w:eastAsia="宋体"/>
      <w:szCs w:val="21"/>
    </w:rPr>
  </w:style>
  <w:style w:type="paragraph" w:customStyle="1" w:styleId="95">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6">
    <w:name w:val="附录四级条标题"/>
    <w:basedOn w:val="93"/>
    <w:next w:val="24"/>
    <w:qFormat/>
    <w:uiPriority w:val="0"/>
    <w:pPr>
      <w:outlineLvl w:val="5"/>
    </w:pPr>
  </w:style>
  <w:style w:type="paragraph" w:customStyle="1" w:styleId="97">
    <w:name w:val="附录四级无"/>
    <w:basedOn w:val="96"/>
    <w:qFormat/>
    <w:uiPriority w:val="0"/>
    <w:pPr>
      <w:tabs>
        <w:tab w:val="clear" w:pos="360"/>
      </w:tabs>
      <w:spacing w:beforeLines="0" w:afterLines="0"/>
    </w:pPr>
    <w:rPr>
      <w:rFonts w:ascii="宋体" w:eastAsia="宋体"/>
      <w:szCs w:val="21"/>
    </w:rPr>
  </w:style>
  <w:style w:type="paragraph" w:customStyle="1" w:styleId="98">
    <w:name w:val="附录图标号"/>
    <w:basedOn w:val="1"/>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99">
    <w:name w:val="附录图标题"/>
    <w:basedOn w:val="1"/>
    <w:next w:val="24"/>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0">
    <w:name w:val="附录五级条标题"/>
    <w:basedOn w:val="96"/>
    <w:next w:val="24"/>
    <w:qFormat/>
    <w:uiPriority w:val="0"/>
    <w:pPr>
      <w:outlineLvl w:val="6"/>
    </w:pPr>
  </w:style>
  <w:style w:type="paragraph" w:customStyle="1" w:styleId="101">
    <w:name w:val="附录五级无"/>
    <w:basedOn w:val="100"/>
    <w:qFormat/>
    <w:uiPriority w:val="0"/>
    <w:pPr>
      <w:tabs>
        <w:tab w:val="clear" w:pos="360"/>
      </w:tabs>
      <w:spacing w:beforeLines="0" w:afterLines="0"/>
    </w:pPr>
    <w:rPr>
      <w:rFonts w:ascii="宋体" w:eastAsia="宋体"/>
      <w:szCs w:val="21"/>
    </w:rPr>
  </w:style>
  <w:style w:type="paragraph" w:customStyle="1" w:styleId="102">
    <w:name w:val="附录章标题"/>
    <w:next w:val="24"/>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3">
    <w:name w:val="附录一级条标题"/>
    <w:basedOn w:val="102"/>
    <w:next w:val="24"/>
    <w:uiPriority w:val="0"/>
    <w:pPr>
      <w:autoSpaceDN w:val="0"/>
      <w:spacing w:beforeLines="50" w:afterLines="50"/>
      <w:outlineLvl w:val="2"/>
    </w:pPr>
  </w:style>
  <w:style w:type="paragraph" w:customStyle="1" w:styleId="104">
    <w:name w:val="附录一级无"/>
    <w:basedOn w:val="103"/>
    <w:qFormat/>
    <w:uiPriority w:val="0"/>
    <w:pPr>
      <w:tabs>
        <w:tab w:val="clear" w:pos="360"/>
      </w:tabs>
      <w:spacing w:beforeLines="0" w:afterLines="0"/>
    </w:pPr>
    <w:rPr>
      <w:rFonts w:ascii="宋体" w:eastAsia="宋体"/>
      <w:szCs w:val="21"/>
    </w:rPr>
  </w:style>
  <w:style w:type="paragraph" w:customStyle="1" w:styleId="105">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6">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9">
    <w:name w:val="其他标准标志"/>
    <w:basedOn w:val="66"/>
    <w:qFormat/>
    <w:uiPriority w:val="0"/>
    <w:pPr>
      <w:framePr w:w="6101" w:wrap="around" w:vAnchor="page" w:hAnchor="page" w:x="4673" w:y="942"/>
    </w:pPr>
    <w:rPr>
      <w:w w:val="130"/>
    </w:rPr>
  </w:style>
  <w:style w:type="paragraph" w:customStyle="1" w:styleId="11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1">
    <w:name w:val="其他发布部门"/>
    <w:basedOn w:val="74"/>
    <w:qFormat/>
    <w:uiPriority w:val="0"/>
    <w:pPr>
      <w:framePr w:wrap="around" w:y="15310"/>
      <w:spacing w:line="0" w:lineRule="atLeast"/>
    </w:pPr>
    <w:rPr>
      <w:rFonts w:ascii="黑体" w:eastAsia="黑体"/>
      <w:b w:val="0"/>
    </w:rPr>
  </w:style>
  <w:style w:type="paragraph" w:customStyle="1" w:styleId="112">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3">
    <w:name w:val="三级无标题条"/>
    <w:basedOn w:val="51"/>
    <w:autoRedefine/>
    <w:qFormat/>
    <w:uiPriority w:val="0"/>
    <w:pPr>
      <w:spacing w:before="0" w:beforeLines="0" w:after="0" w:afterLines="0"/>
    </w:pPr>
    <w:rPr>
      <w:rFonts w:eastAsiaTheme="minorEastAsia"/>
    </w:rPr>
  </w:style>
  <w:style w:type="paragraph" w:customStyle="1" w:styleId="114">
    <w:name w:val="实施日期"/>
    <w:basedOn w:val="75"/>
    <w:uiPriority w:val="0"/>
    <w:pPr>
      <w:framePr w:wrap="around" w:vAnchor="page" w:hAnchor="text"/>
      <w:jc w:val="right"/>
    </w:pPr>
  </w:style>
  <w:style w:type="paragraph" w:customStyle="1" w:styleId="115">
    <w:name w:val="示例后文字"/>
    <w:basedOn w:val="24"/>
    <w:next w:val="24"/>
    <w:qFormat/>
    <w:uiPriority w:val="0"/>
    <w:pPr>
      <w:ind w:firstLine="360"/>
    </w:pPr>
    <w:rPr>
      <w:sz w:val="18"/>
    </w:rPr>
  </w:style>
  <w:style w:type="paragraph" w:customStyle="1" w:styleId="116">
    <w:name w:val="首示例"/>
    <w:next w:val="24"/>
    <w:link w:val="117"/>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17">
    <w:name w:val="首示例 Char"/>
    <w:link w:val="116"/>
    <w:qFormat/>
    <w:uiPriority w:val="0"/>
    <w:rPr>
      <w:rFonts w:ascii="宋体" w:hAnsi="宋体"/>
      <w:kern w:val="2"/>
      <w:sz w:val="18"/>
      <w:szCs w:val="18"/>
    </w:rPr>
  </w:style>
  <w:style w:type="paragraph" w:customStyle="1" w:styleId="118">
    <w:name w:val="四级无"/>
    <w:basedOn w:val="55"/>
    <w:qFormat/>
    <w:uiPriority w:val="0"/>
    <w:pPr>
      <w:numPr>
        <w:numId w:val="15"/>
      </w:numPr>
      <w:spacing w:beforeLines="0" w:afterLines="0"/>
    </w:pPr>
    <w:rPr>
      <w:rFonts w:ascii="宋体" w:eastAsia="宋体"/>
    </w:rPr>
  </w:style>
  <w:style w:type="paragraph" w:customStyle="1" w:styleId="119">
    <w:name w:val="条文脚注"/>
    <w:basedOn w:val="25"/>
    <w:qFormat/>
    <w:uiPriority w:val="0"/>
    <w:pPr>
      <w:numPr>
        <w:numId w:val="0"/>
      </w:numPr>
      <w:jc w:val="both"/>
    </w:pPr>
  </w:style>
  <w:style w:type="paragraph" w:customStyle="1" w:styleId="120">
    <w:name w:val="图标脚注说明"/>
    <w:basedOn w:val="24"/>
    <w:qFormat/>
    <w:uiPriority w:val="0"/>
    <w:pPr>
      <w:ind w:left="840" w:hanging="420" w:firstLineChars="0"/>
    </w:pPr>
    <w:rPr>
      <w:sz w:val="18"/>
      <w:szCs w:val="18"/>
    </w:rPr>
  </w:style>
  <w:style w:type="paragraph" w:customStyle="1" w:styleId="121">
    <w:name w:val="图表脚注说明"/>
    <w:basedOn w:val="1"/>
    <w:uiPriority w:val="0"/>
    <w:pPr>
      <w:numPr>
        <w:ilvl w:val="0"/>
        <w:numId w:val="16"/>
      </w:numPr>
    </w:pPr>
    <w:rPr>
      <w:rFonts w:ascii="宋体"/>
      <w:sz w:val="18"/>
      <w:szCs w:val="18"/>
    </w:rPr>
  </w:style>
  <w:style w:type="paragraph" w:customStyle="1" w:styleId="122">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4">
    <w:name w:val="五级无"/>
    <w:basedOn w:val="56"/>
    <w:qFormat/>
    <w:uiPriority w:val="0"/>
    <w:pPr>
      <w:numPr>
        <w:numId w:val="15"/>
      </w:numPr>
      <w:spacing w:beforeLines="0" w:afterLines="0"/>
    </w:pPr>
    <w:rPr>
      <w:rFonts w:ascii="宋体" w:eastAsia="宋体"/>
    </w:rPr>
  </w:style>
  <w:style w:type="paragraph" w:customStyle="1" w:styleId="125">
    <w:name w:val="四级无标题条"/>
    <w:basedOn w:val="55"/>
    <w:qFormat/>
    <w:uiPriority w:val="0"/>
    <w:pPr>
      <w:spacing w:before="0" w:beforeLines="0" w:after="0" w:afterLines="0"/>
    </w:pPr>
    <w:rPr>
      <w:rFonts w:eastAsiaTheme="minorEastAsia"/>
    </w:rPr>
  </w:style>
  <w:style w:type="character" w:customStyle="1" w:styleId="126">
    <w:name w:val="已访问的超链接1"/>
    <w:qFormat/>
    <w:uiPriority w:val="0"/>
    <w:rPr>
      <w:color w:val="800080"/>
      <w:u w:val="single"/>
    </w:rPr>
  </w:style>
  <w:style w:type="paragraph" w:customStyle="1" w:styleId="127">
    <w:name w:val="正文表标题"/>
    <w:next w:val="24"/>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8">
    <w:name w:val="正文公式编号制表符"/>
    <w:basedOn w:val="24"/>
    <w:next w:val="24"/>
    <w:autoRedefine/>
    <w:qFormat/>
    <w:uiPriority w:val="0"/>
    <w:pPr>
      <w:ind w:firstLine="0" w:firstLineChars="0"/>
    </w:pPr>
  </w:style>
  <w:style w:type="paragraph" w:customStyle="1" w:styleId="129">
    <w:name w:val="正文图标题"/>
    <w:next w:val="24"/>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0">
    <w:name w:val="终结线"/>
    <w:basedOn w:val="1"/>
    <w:qFormat/>
    <w:uiPriority w:val="0"/>
    <w:pPr>
      <w:framePr w:hSpace="181" w:vSpace="181" w:wrap="around" w:vAnchor="text" w:hAnchor="margin" w:xAlign="center" w:y="285"/>
    </w:pPr>
  </w:style>
  <w:style w:type="paragraph" w:customStyle="1" w:styleId="131">
    <w:name w:val="其他发布日期"/>
    <w:basedOn w:val="75"/>
    <w:qFormat/>
    <w:uiPriority w:val="0"/>
    <w:pPr>
      <w:framePr w:wrap="around" w:vAnchor="page" w:hAnchor="text" w:x="1419"/>
    </w:pPr>
  </w:style>
  <w:style w:type="paragraph" w:customStyle="1" w:styleId="132">
    <w:name w:val="其他实施日期"/>
    <w:basedOn w:val="114"/>
    <w:qFormat/>
    <w:uiPriority w:val="0"/>
    <w:pPr>
      <w:framePr w:wrap="around"/>
    </w:pPr>
  </w:style>
  <w:style w:type="paragraph" w:customStyle="1" w:styleId="133">
    <w:name w:val="封面标准名称2"/>
    <w:basedOn w:val="78"/>
    <w:uiPriority w:val="0"/>
    <w:pPr>
      <w:framePr w:wrap="around" w:y="4469"/>
      <w:spacing w:beforeLines="630"/>
    </w:pPr>
  </w:style>
  <w:style w:type="paragraph" w:customStyle="1" w:styleId="134">
    <w:name w:val="封面标准英文名称2"/>
    <w:basedOn w:val="79"/>
    <w:uiPriority w:val="0"/>
    <w:pPr>
      <w:framePr w:wrap="around" w:y="4469"/>
    </w:pPr>
  </w:style>
  <w:style w:type="paragraph" w:customStyle="1" w:styleId="135">
    <w:name w:val="封面一致性程度标识2"/>
    <w:basedOn w:val="80"/>
    <w:qFormat/>
    <w:uiPriority w:val="0"/>
    <w:pPr>
      <w:framePr w:wrap="around" w:y="4469"/>
    </w:pPr>
  </w:style>
  <w:style w:type="paragraph" w:customStyle="1" w:styleId="136">
    <w:name w:val="封面标准文稿类别2"/>
    <w:basedOn w:val="81"/>
    <w:qFormat/>
    <w:uiPriority w:val="0"/>
    <w:pPr>
      <w:framePr w:wrap="around" w:y="4469"/>
    </w:pPr>
  </w:style>
  <w:style w:type="paragraph" w:customStyle="1" w:styleId="137">
    <w:name w:val="封面标准文稿编辑信息2"/>
    <w:basedOn w:val="82"/>
    <w:qFormat/>
    <w:uiPriority w:val="0"/>
    <w:pPr>
      <w:framePr w:wrap="around" w:y="4469"/>
    </w:pPr>
  </w:style>
  <w:style w:type="paragraph" w:customStyle="1" w:styleId="138">
    <w:name w:val="列出段落1"/>
    <w:basedOn w:val="1"/>
    <w:qFormat/>
    <w:uiPriority w:val="34"/>
    <w:pPr>
      <w:ind w:firstLine="420" w:firstLineChars="200"/>
    </w:pPr>
    <w:rPr>
      <w:rFonts w:ascii="Calibri" w:hAnsi="Calibri"/>
      <w:sz w:val="28"/>
      <w:szCs w:val="22"/>
    </w:rPr>
  </w:style>
  <w:style w:type="character" w:customStyle="1" w:styleId="139">
    <w:name w:val="标题 2 字符"/>
    <w:link w:val="3"/>
    <w:qFormat/>
    <w:uiPriority w:val="9"/>
    <w:rPr>
      <w:rFonts w:ascii="Cambria" w:hAnsi="Cambria" w:eastAsia="宋体" w:cs="Times New Roman"/>
      <w:b/>
      <w:bCs/>
      <w:kern w:val="2"/>
      <w:sz w:val="32"/>
      <w:szCs w:val="32"/>
    </w:rPr>
  </w:style>
  <w:style w:type="character" w:customStyle="1" w:styleId="140">
    <w:name w:val="标题 3 字符"/>
    <w:link w:val="4"/>
    <w:qFormat/>
    <w:uiPriority w:val="9"/>
    <w:rPr>
      <w:rFonts w:ascii="Calibri" w:hAnsi="Calibri" w:eastAsia="宋体" w:cs="Times New Roman"/>
      <w:b/>
      <w:bCs/>
      <w:kern w:val="2"/>
      <w:sz w:val="32"/>
      <w:szCs w:val="32"/>
    </w:rPr>
  </w:style>
  <w:style w:type="character" w:customStyle="1" w:styleId="141">
    <w:name w:val="批注框文本 字符"/>
    <w:link w:val="17"/>
    <w:qFormat/>
    <w:uiPriority w:val="0"/>
    <w:rPr>
      <w:kern w:val="2"/>
      <w:sz w:val="18"/>
      <w:szCs w:val="18"/>
    </w:rPr>
  </w:style>
  <w:style w:type="character" w:customStyle="1" w:styleId="142">
    <w:name w:val="标题 1 字符"/>
    <w:link w:val="2"/>
    <w:qFormat/>
    <w:uiPriority w:val="0"/>
    <w:rPr>
      <w:b/>
      <w:bCs/>
      <w:kern w:val="44"/>
      <w:sz w:val="44"/>
      <w:szCs w:val="44"/>
    </w:rPr>
  </w:style>
  <w:style w:type="paragraph" w:customStyle="1" w:styleId="143">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4">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45">
    <w:name w:val="一级无标题条"/>
    <w:basedOn w:val="42"/>
    <w:qFormat/>
    <w:uiPriority w:val="0"/>
    <w:pPr>
      <w:spacing w:before="0" w:beforeLines="0" w:after="0" w:afterLines="0"/>
    </w:pPr>
    <w:rPr>
      <w:rFonts w:asciiTheme="majorEastAsia" w:hAnsiTheme="majorEastAsia" w:eastAsiaTheme="majorEastAsia"/>
    </w:rPr>
  </w:style>
  <w:style w:type="paragraph" w:customStyle="1" w:styleId="146">
    <w:name w:val="二级无标题条"/>
    <w:basedOn w:val="46"/>
    <w:qFormat/>
    <w:uiPriority w:val="0"/>
    <w:pPr>
      <w:spacing w:before="0" w:beforeLines="0" w:after="0" w:afterLines="0"/>
    </w:pPr>
    <w:rPr>
      <w:rFonts w:asciiTheme="minorEastAsia" w:hAnsiTheme="minorEastAsia" w:eastAsiaTheme="minorEastAsia"/>
    </w:rPr>
  </w:style>
  <w:style w:type="paragraph" w:customStyle="1" w:styleId="147">
    <w:name w:val="术语"/>
    <w:basedOn w:val="24"/>
    <w:next w:val="24"/>
    <w:autoRedefine/>
    <w:qFormat/>
    <w:uiPriority w:val="0"/>
    <w:rPr>
      <w:rFonts w:ascii="黑体" w:hAnsi="黑体" w:eastAsia="黑体"/>
      <w:color w:val="000000" w:themeColor="text1"/>
      <w14:textFill>
        <w14:solidFill>
          <w14:schemeClr w14:val="tx1"/>
        </w14:solidFill>
      </w14:textFill>
    </w:rPr>
  </w:style>
  <w:style w:type="paragraph" w:customStyle="1" w:styleId="148">
    <w:name w:val="参考文献正文"/>
    <w:basedOn w:val="24"/>
    <w:autoRedefine/>
    <w:qFormat/>
    <w:uiPriority w:val="0"/>
    <w:pPr>
      <w:numPr>
        <w:ilvl w:val="1"/>
        <w:numId w:val="19"/>
      </w:numPr>
      <w:tabs>
        <w:tab w:val="clear" w:pos="4201"/>
        <w:tab w:val="clear" w:pos="9298"/>
      </w:tabs>
      <w:ind w:left="0" w:firstLine="420"/>
      <w:jc w:val="left"/>
    </w:pPr>
  </w:style>
  <w:style w:type="paragraph" w:styleId="149">
    <w:name w:val="List Paragraph"/>
    <w:basedOn w:val="1"/>
    <w:qFormat/>
    <w:uiPriority w:val="34"/>
    <w:pPr>
      <w:widowControl/>
      <w:ind w:firstLine="420" w:firstLineChars="200"/>
      <w:jc w:val="left"/>
    </w:pPr>
    <w:rPr>
      <w:rFonts w:ascii="宋体" w:hAnsi="宋体" w:cs="宋体"/>
      <w:kern w:val="0"/>
      <w:sz w:val="24"/>
    </w:rPr>
  </w:style>
  <w:style w:type="character" w:styleId="150">
    <w:name w:val="Placeholder Text"/>
    <w:basedOn w:val="35"/>
    <w:semiHidden/>
    <w:uiPriority w:val="99"/>
    <w:rPr>
      <w:color w:val="808080"/>
    </w:rPr>
  </w:style>
  <w:style w:type="paragraph" w:customStyle="1" w:styleId="151">
    <w:name w:val="附录章无标题"/>
    <w:qFormat/>
    <w:uiPriority w:val="0"/>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7827;&#21271;&#30465;&#22320;&#26041;&#26631;&#20934;&#65288;&#24066;&#22330;&#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842712-14D8-4BAD-99DE-4183689058AB}">
  <ds:schemaRefs/>
</ds:datastoreItem>
</file>

<file path=docProps/app.xml><?xml version="1.0" encoding="utf-8"?>
<Properties xmlns="http://schemas.openxmlformats.org/officeDocument/2006/extended-properties" xmlns:vt="http://schemas.openxmlformats.org/officeDocument/2006/docPropsVTypes">
  <Template>河北省地方标准（市场局 2020版）</Template>
  <Pages>6</Pages>
  <Words>2596</Words>
  <Characters>2744</Characters>
  <Lines>29</Lines>
  <Paragraphs>8</Paragraphs>
  <TotalTime>166</TotalTime>
  <ScaleCrop>false</ScaleCrop>
  <LinksUpToDate>false</LinksUpToDate>
  <CharactersWithSpaces>2807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2024-04-27T02:47:00Z</dcterms:created>
  <dc:creator>lenovo</dc:creator>
  <cp:lastModifiedBy>AAA董先生啊</cp:lastModifiedBy>
  <dcterms:modified xsi:type="dcterms:W3CDTF">2024-05-24T06:55:41Z</dcterms:modified>
  <dc:title>标准名称</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445481828A7F4AE7BEB3F5FBB0969BC7_11</vt:lpwstr>
  </property>
</Properties>
</file>