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7" w:h="16839"/>
          <w:pgMar w:top="567" w:right="851" w:bottom="1361" w:left="141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titlePg/>
          <w:docGrid w:type="lines" w:linePitch="312" w:charSpace="0"/>
        </w:sectPr>
      </w:pPr>
      <w:bookmarkStart w:id="0" w:name="SectionMark0"/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8576945</wp:posOffset>
                </wp:positionV>
                <wp:extent cx="6120130" cy="660400"/>
                <wp:effectExtent l="0" t="2540" r="0" b="3810"/>
                <wp:wrapNone/>
                <wp:docPr id="11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3"/>
                              <w:ind w:firstLine="2124" w:firstLineChars="450"/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河北省市场监督管理局</w:t>
                            </w:r>
                            <w:r>
                              <w:rPr>
                                <w:rFonts w:hAnsi="黑体"/>
                              </w:rPr>
                              <w:t>   </w:t>
                            </w:r>
                            <w:r>
                              <w:rPr>
                                <w:rStyle w:val="105"/>
                                <w:rFonts w:hint="eastAsia"/>
                              </w:rPr>
                              <w:t>发布</w:t>
                            </w:r>
                          </w:p>
                          <w:p>
                            <w:pPr>
                              <w:pStyle w:val="133"/>
                              <w:jc w:val="both"/>
                              <w:rPr>
                                <w:rFonts w:hint="default"/>
                                <w:spacing w:val="50"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0pt;margin-top:675.35pt;height:52pt;width:481.9pt;mso-position-horizontal-relative:margin;mso-position-vertical-relative:margin;z-index:251667456;mso-width-relative:page;mso-height-relative:page;" filled="f" stroked="f" coordsize="21600,21600" o:gfxdata="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9lNlfZAAAACgEAAA8AAAAAAAAAAQAgAAAAIgAAAGRycy9kb3ducmV2&#10;LnhtbFBLAQIUABQAAAAIAIdO4kDvam2/+wEAAAMEAAAOAAAAAAAAAAEAIAAAACg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3"/>
                        <w:ind w:firstLine="2124" w:firstLineChars="450"/>
                        <w:jc w:val="both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河北省市场监督管理局</w:t>
                      </w:r>
                      <w:r>
                        <w:rPr>
                          <w:rFonts w:hAnsi="黑体"/>
                        </w:rPr>
                        <w:t>   </w:t>
                      </w:r>
                      <w:r>
                        <w:rPr>
                          <w:rStyle w:val="105"/>
                          <w:rFonts w:hint="eastAsia"/>
                        </w:rPr>
                        <w:t>发布</w:t>
                      </w:r>
                    </w:p>
                    <w:p>
                      <w:pPr>
                        <w:pStyle w:val="133"/>
                        <w:jc w:val="both"/>
                        <w:rPr>
                          <w:rFonts w:hint="default"/>
                          <w:spacing w:val="50"/>
                          <w:sz w:val="32"/>
                          <w:szCs w:val="32"/>
                          <w:lang w:val="en-US"/>
                        </w:rPr>
                      </w:pPr>
                    </w:p>
                    <w:p/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8465185</wp:posOffset>
                </wp:positionV>
                <wp:extent cx="6121400" cy="0"/>
                <wp:effectExtent l="14605" t="14605" r="7620" b="13970"/>
                <wp:wrapNone/>
                <wp:docPr id="10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0pt;margin-top:666.55pt;height:0pt;width:482pt;z-index:251666432;mso-width-relative:page;mso-height-relative:page;" filled="f" stroked="t" coordsize="21600,21600" o:gfxdata="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4tX6jXAAAACgEAAA8AAAAAAAAAAQAgAAAAIgAAAGRycy9k&#10;b3ducmV2LnhtbFBLAQIUABQAAAAIAIdO4kCyu4SUygEAAKIDAAAOAAAAAAAAAAEAIAAAACYBAABk&#10;cnMvZTJvRG9jLnhtbFBLBQYAAAAABgAGAFkBAABiBQAAAAA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14605" t="13970" r="7620" b="14605"/>
                <wp:wrapNone/>
                <wp:docPr id="9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0pt;margin-top:179pt;height:0pt;width:482pt;z-index:251665408;mso-width-relative:page;mso-height-relative:page;" filled="f" stroked="t" coordsize="21600,21600" o:gfxdata="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O54MdYAAAAIAQAADwAAAAAAAAABACAAAAAiAAAAZHJzL2Rv&#10;d25yZXYueG1sUEsBAhQAFAAAAAgAh07iQP2dZi7KAQAAoQMAAA4AAAAAAAAAAQAgAAAAJQEAAGRy&#10;cy9lMm9Eb2MueG1sUEsFBgAAAAAGAAYAWQEAAGEFAAAAAA=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4000500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8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5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-××-××实施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15pt;margin-top:639.6pt;height:24.6pt;width:159pt;mso-position-horizontal-relative:margin;mso-position-vertical-relative:margin;z-index:251664384;mso-width-relative:page;mso-height-relative:page;" filled="f" stroked="f" coordsize="21600,21600" o:gfxdata="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g3y7R9sAAAANAQAADwAAAAAAAAABACAAAAAiAAAAZHJzL2Rvd25y&#10;ZXYueG1sUEsBAhQAFAAAAAgAh07iQCq/RnP7AQAAAgQAAA4AAAAAAAAAAQAgAAAAKg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5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</w:rPr>
                        <w:t>-××-××实施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7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-××-××发布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39.6pt;height:24.6pt;width:159pt;mso-position-horizontal-relative:margin;mso-position-vertical-relative:margin;z-index:251664384;mso-width-relative:page;mso-height-relative:page;" filled="f" stroked="f" coordsize="21600,21600" o:gfxdata="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bdWA5tgAAAAKAQAADwAAAAAAAAABACAAAAAiAAAAZHJzL2Rvd25yZXYu&#10;eG1sUEsBAhQAFAAAAAgAh07iQHBNmhf7AQAAAgQAAA4AAAAAAAAAAQAgAAAAJwEAAGRycy9lMm9E&#10;b2MueG1sUEsFBgAAAAAGAAYAWQEAAJQ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7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</w:rPr>
                        <w:t>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-66675</wp:posOffset>
                </wp:positionH>
                <wp:positionV relativeFrom="margin">
                  <wp:posOffset>2773680</wp:posOffset>
                </wp:positionV>
                <wp:extent cx="6186805" cy="1734820"/>
                <wp:effectExtent l="0" t="0" r="0" b="0"/>
                <wp:wrapNone/>
                <wp:docPr id="6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6805" cy="173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1"/>
                              <w:rPr>
                                <w:b/>
                                <w:spacing w:val="40"/>
                                <w:szCs w:val="5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节水型企业评价</w:t>
                            </w:r>
                            <w:r>
                              <w:rPr>
                                <w:b/>
                                <w:spacing w:val="40"/>
                                <w:szCs w:val="52"/>
                              </w:rPr>
                              <w:t>导则</w:t>
                            </w:r>
                          </w:p>
                          <w:p>
                            <w:pPr>
                              <w:pStyle w:val="111"/>
                              <w:rPr>
                                <w:spacing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第</w:t>
                            </w:r>
                            <w:r>
                              <w:rPr>
                                <w:b/>
                                <w:spacing w:val="40"/>
                                <w:szCs w:val="5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部分：纺织行业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 w:eastAsia="zh-CN"/>
                              </w:rPr>
                            </w:pP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 w:eastAsia="zh-CN"/>
                              </w:rPr>
                              <w:t>（</w:t>
                            </w: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US" w:eastAsia="zh-CN"/>
                              </w:rPr>
                              <w:t>征求意见稿</w:t>
                            </w: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 w:eastAsia="zh-CN"/>
                              </w:rPr>
                              <w:t>）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-5.25pt;margin-top:218.4pt;height:136.6pt;width:487.15pt;mso-position-horizontal-relative:margin;mso-position-vertical-relative:margin;z-index:251663360;mso-width-relative:page;mso-height-relative:page;" filled="f" stroked="f" coordsize="21600,21600" o:gfxdata="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CLLhz2gAAAAsBAAAPAAAAAAAAAAEAIAAAACIAAABkcnMvZG93&#10;bnJldi54bWxQSwECFAAUAAAACACHTuJA0mBxnP4BAAADBAAADgAAAAAAAAABACAAAAApAQAAZHJz&#10;L2Uyb0RvYy54bWxQSwUGAAAAAAYABgBZAQAAm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1"/>
                        <w:rPr>
                          <w:b/>
                          <w:spacing w:val="40"/>
                          <w:szCs w:val="52"/>
                        </w:rPr>
                      </w:pP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节水型企业评价</w:t>
                      </w:r>
                      <w:r>
                        <w:rPr>
                          <w:b/>
                          <w:spacing w:val="40"/>
                          <w:szCs w:val="52"/>
                        </w:rPr>
                        <w:t>导则</w:t>
                      </w:r>
                    </w:p>
                    <w:p>
                      <w:pPr>
                        <w:pStyle w:val="111"/>
                        <w:rPr>
                          <w:spacing w:val="40"/>
                        </w:rPr>
                      </w:pP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第</w:t>
                      </w:r>
                      <w:r>
                        <w:rPr>
                          <w:b/>
                          <w:spacing w:val="40"/>
                          <w:szCs w:val="52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部分：纺织行业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 w:eastAsia="zh-CN"/>
                        </w:rPr>
                      </w:pP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 w:eastAsia="zh-CN"/>
                        </w:rPr>
                        <w:t>（</w:t>
                      </w: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US" w:eastAsia="zh-CN"/>
                        </w:rPr>
                        <w:t>征求意见稿</w:t>
                      </w: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 w:eastAsia="zh-CN"/>
                        </w:rPr>
                        <w:t>）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u w:val="single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0" r="2540" b="0"/>
                <wp:wrapNone/>
                <wp:docPr id="5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8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13</w:t>
                            </w:r>
                            <w:r>
                              <w:rPr>
                                <w:rFonts w:ascii="黑体"/>
                              </w:rPr>
                              <w:t>/</w:t>
                            </w:r>
                            <w:r>
                              <w:t xml:space="preserve">T 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×××</w:t>
                            </w:r>
                            <w:r>
                              <w:t>—202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10.35pt;height:67.75pt;width:456.9pt;mso-position-horizontal-relative:margin;mso-position-vertical-relative:margin;z-index:251662336;mso-width-relative:page;mso-height-relative:page;" filled="f" stroked="f" coordsize="21600,21600" o:gfxdata="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jDU2NcAAAAIAQAADwAAAAAAAAABACAAAAAiAAAAZHJzL2Rvd25yZXYu&#10;eG1sUEsBAhQAFAAAAAgAh07iQEKE7Yz8AQAAAgQAAA4AAAAAAAAAAQAgAAAAJgEAAGRycy9lMm9E&#10;b2MueG1sUEsFBgAAAAAGAAYAWQEAAJQ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8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t>DB</w:t>
                      </w:r>
                      <w:r>
                        <w:rPr>
                          <w:rFonts w:hint="eastAsia"/>
                          <w:szCs w:val="24"/>
                        </w:rPr>
                        <w:t>13</w:t>
                      </w:r>
                      <w:r>
                        <w:rPr>
                          <w:rFonts w:ascii="黑体"/>
                        </w:rPr>
                        <w:t>/</w:t>
                      </w:r>
                      <w:r>
                        <w:t xml:space="preserve">T 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×××</w:t>
                      </w:r>
                      <w:r>
                        <w:t>—202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3300730</wp:posOffset>
                </wp:positionH>
                <wp:positionV relativeFrom="margin">
                  <wp:posOffset>-11430</wp:posOffset>
                </wp:positionV>
                <wp:extent cx="2795270" cy="719455"/>
                <wp:effectExtent l="0" t="0" r="0" b="0"/>
                <wp:wrapNone/>
                <wp:docPr id="4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5270" cy="719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8"/>
                              <w:keepNext w:val="0"/>
                              <w:keepLines w:val="0"/>
                              <w:pageBreakBefore w:val="0"/>
                              <w:tabs>
                                <w:tab w:val="right" w:leader="dot" w:pos="9355"/>
                                <w:tab w:val="clear" w:pos="9345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auto"/>
                              <w:jc w:val="right"/>
                              <w:textAlignment w:val="auto"/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40"/>
                                <w:sz w:val="96"/>
                                <w:szCs w:val="96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40"/>
                                <w:sz w:val="96"/>
                                <w:szCs w:val="96"/>
                                <w:lang w:val="en-US" w:eastAsia="zh-CN" w:bidi="ar-SA"/>
                              </w:rPr>
                              <w:t>DB13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259.9pt;margin-top:-0.9pt;height:56.65pt;width:220.1pt;mso-position-horizontal-relative:margin;mso-position-vertical-relative:margin;z-index:251661312;mso-width-relative:page;mso-height-relative:page;" filled="f" stroked="f" coordsize="21600,21600" o:gfxdata="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bzTKvXAAAACgEAAA8AAAAAAAAAAQAgAAAAIgAAAGRycy9kb3ducmV2&#10;LnhtbFBLAQIUABQAAAAIAIdO4kB0dIhX/QEAAAIEAAAOAAAAAAAAAAEAIAAAACY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8"/>
                        <w:keepNext w:val="0"/>
                        <w:keepLines w:val="0"/>
                        <w:pageBreakBefore w:val="0"/>
                        <w:tabs>
                          <w:tab w:val="right" w:leader="dot" w:pos="9355"/>
                          <w:tab w:val="clear" w:pos="9345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auto"/>
                        <w:jc w:val="right"/>
                        <w:textAlignment w:val="auto"/>
                        <w:rPr>
                          <w:rFonts w:hint="default" w:ascii="Times New Roman" w:hAnsi="Times New Roman" w:eastAsia="黑体" w:cs="Times New Roman"/>
                          <w:b/>
                          <w:spacing w:val="40"/>
                          <w:sz w:val="96"/>
                          <w:szCs w:val="96"/>
                          <w:lang w:val="en-US" w:eastAsia="zh-CN" w:bidi="ar-SA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40"/>
                          <w:sz w:val="96"/>
                          <w:szCs w:val="96"/>
                          <w:lang w:val="en-US" w:eastAsia="zh-CN" w:bidi="ar-SA"/>
                        </w:rPr>
                        <w:t>DB13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0" b="0"/>
                <wp:wrapNone/>
                <wp:docPr id="3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2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ed="f" stroked="f" coordsize="21600,21600" o:gfxdata="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Pzcm1wAAAAgBAAAPAAAAAAAAAAEAIAAAACIAAABkcnMvZG93bnJldi54&#10;bWxQSwECFAAUAAAACACHTuJAcqZ96vsBAAACBAAADgAAAAAAAAABACAAAAAmAQAAZHJzL2Uyb0Rv&#10;Yy54bWxQSwUGAAAAAAYABgBZAQAAk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2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0" b="1270"/>
                <wp:wrapNone/>
                <wp:docPr id="2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1"/>
                            </w:pPr>
                            <w:r>
                              <w:t>ICS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</w:p>
                          <w:p>
                            <w:pPr>
                              <w:pStyle w:val="141"/>
                            </w:pPr>
                            <w:r>
                              <w:rPr>
                                <w:rFonts w:hint="eastAsia"/>
                              </w:rPr>
                              <w:t xml:space="preserve">R </w:t>
                            </w:r>
                            <w:r>
                              <w:rPr>
                                <w:rFonts w:ascii="黑体"/>
                              </w:rPr>
                              <w:t>0</w:t>
                            </w:r>
                            <w:r>
                              <w:rPr>
                                <w:rFonts w:hint="eastAsia" w:ascii="黑体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ed="f" stroked="f" coordsize="21600,21600" o:gfxdata="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QTkoQ9QAAAAFAQAADwAAAAAAAAABACAAAAAiAAAAZHJzL2Rvd25yZXYueG1s&#10;UEsBAhQAFAAAAAgAh07iQMOP6WL8AQAAAgQAAA4AAAAAAAAAAQAgAAAAIwEAAGRycy9lMm9Eb2Mu&#10;eG1sUEsFBgAAAAAGAAYAWQEAAJE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41"/>
                      </w:pPr>
                      <w:r>
                        <w:t>ICS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</w:p>
                    <w:p>
                      <w:pPr>
                        <w:pStyle w:val="141"/>
                      </w:pPr>
                      <w:r>
                        <w:rPr>
                          <w:rFonts w:hint="eastAsia"/>
                        </w:rPr>
                        <w:t xml:space="preserve">R </w:t>
                      </w:r>
                      <w:r>
                        <w:rPr>
                          <w:rFonts w:ascii="黑体"/>
                        </w:rPr>
                        <w:t>0</w:t>
                      </w:r>
                      <w:r>
                        <w:rPr>
                          <w:rFonts w:hint="eastAsia" w:ascii="黑体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Times New Roman" w:eastAsia="黑体" w:cs="Times New Roman"/>
          <w:b/>
          <w:spacing w:val="40"/>
          <w:sz w:val="52"/>
          <w:szCs w:val="52"/>
          <w:lang w:val="en-US" w:eastAsia="zh-CN" w:bidi="ar-SA"/>
        </w:rPr>
      </w:pPr>
      <w:bookmarkStart w:id="1" w:name="SectionMark1"/>
      <w:r>
        <w:rPr>
          <w:rFonts w:hint="eastAsia" w:ascii="黑体" w:hAnsi="Times New Roman" w:eastAsia="黑体" w:cs="Times New Roman"/>
          <w:b/>
          <w:spacing w:val="40"/>
          <w:sz w:val="32"/>
          <w:szCs w:val="32"/>
          <w:lang w:val="en-US" w:eastAsia="zh-CN" w:bidi="ar-SA"/>
        </w:rPr>
        <w:t>目 次</w:t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Style w:val="83"/>
          <w:rFonts w:eastAsiaTheme="minorEastAsia"/>
          <w:sz w:val="24"/>
          <w:szCs w:val="24"/>
        </w:rPr>
        <w:fldChar w:fldCharType="begin"/>
      </w:r>
      <w:r>
        <w:rPr>
          <w:rStyle w:val="83"/>
          <w:rFonts w:eastAsiaTheme="minorEastAsia"/>
          <w:sz w:val="24"/>
          <w:szCs w:val="24"/>
        </w:rPr>
        <w:instrText xml:space="preserve"> TOC \f \h \z \t "标题 1,1" </w:instrText>
      </w:r>
      <w:r>
        <w:rPr>
          <w:rStyle w:val="83"/>
          <w:rFonts w:eastAsiaTheme="minorEastAsia"/>
          <w:sz w:val="24"/>
          <w:szCs w:val="24"/>
        </w:rPr>
        <w:fldChar w:fldCharType="separate"/>
      </w: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_Toc4703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eastAsia="黑体"/>
          <w:sz w:val="24"/>
          <w:szCs w:val="24"/>
        </w:rPr>
        <w:t>前    言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_Toc4703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II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_Toc24658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eastAsia="黑体"/>
          <w:kern w:val="0"/>
          <w:sz w:val="24"/>
          <w:szCs w:val="24"/>
        </w:rPr>
        <w:t>1  范围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_Toc24658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_Toc5823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eastAsia="黑体"/>
          <w:kern w:val="0"/>
          <w:sz w:val="24"/>
          <w:szCs w:val="24"/>
        </w:rPr>
        <w:t>2  规范性引用文件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_Toc5823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_Toc214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ascii="黑体" w:eastAsia="黑体"/>
          <w:kern w:val="0"/>
          <w:sz w:val="24"/>
          <w:szCs w:val="24"/>
        </w:rPr>
        <w:t>3  术语和定义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_Toc214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_Toc4069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eastAsia="黑体"/>
          <w:kern w:val="0"/>
          <w:sz w:val="24"/>
          <w:szCs w:val="24"/>
        </w:rPr>
        <w:t>4  评价指标及评价内容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_Toc4069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_Toc23148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sz w:val="24"/>
          <w:szCs w:val="24"/>
        </w:rPr>
        <w:t xml:space="preserve">附 录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A（规范性附录）评价方法及评价程序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_Toc23148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pStyle w:val="18"/>
        <w:keepNext w:val="0"/>
        <w:keepLines w:val="0"/>
        <w:pageBreakBefore w:val="0"/>
        <w:tabs>
          <w:tab w:val="right" w:leader="dot" w:pos="9355"/>
          <w:tab w:val="clear" w:pos="9345"/>
        </w:tabs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HYPERLINK \l _Toc13486 </w:instrText>
      </w:r>
      <w:r>
        <w:rPr>
          <w:rFonts w:eastAsiaTheme="minorEastAsia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sz w:val="24"/>
          <w:szCs w:val="24"/>
        </w:rPr>
        <w:t xml:space="preserve">附 录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B（资料性附录）计算公式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_Toc13486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r>
        <w:rPr>
          <w:rFonts w:eastAsiaTheme="minorEastAsia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textAlignment w:val="auto"/>
        <w:rPr>
          <w:rStyle w:val="83"/>
          <w:kern w:val="0"/>
        </w:rPr>
      </w:pPr>
      <w:r>
        <w:rPr>
          <w:rFonts w:eastAsiaTheme="minorEastAsia"/>
          <w:sz w:val="24"/>
          <w:szCs w:val="24"/>
        </w:rPr>
        <w:fldChar w:fldCharType="end"/>
      </w:r>
    </w:p>
    <w:p>
      <w:pPr>
        <w:shd w:val="clear"/>
        <w:autoSpaceDE w:val="0"/>
        <w:autoSpaceDN w:val="0"/>
        <w:adjustRightInd w:val="0"/>
        <w:spacing w:line="400" w:lineRule="exact"/>
        <w:rPr>
          <w:rStyle w:val="83"/>
          <w:kern w:val="0"/>
        </w:rPr>
      </w:pPr>
    </w:p>
    <w:p>
      <w:pPr>
        <w:shd w:val="clear"/>
        <w:autoSpaceDE w:val="0"/>
        <w:autoSpaceDN w:val="0"/>
        <w:adjustRightInd w:val="0"/>
        <w:spacing w:line="500" w:lineRule="exact"/>
        <w:rPr>
          <w:rStyle w:val="83"/>
          <w:rFonts w:hAnsi="宋体"/>
          <w:kern w:val="0"/>
        </w:rPr>
        <w:sectPr>
          <w:headerReference r:id="rId7" w:type="default"/>
          <w:footerReference r:id="rId8" w:type="default"/>
          <w:pgSz w:w="11907" w:h="16839"/>
          <w:pgMar w:top="1418" w:right="1134" w:bottom="1134" w:left="1418" w:header="1418" w:footer="85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 w:start="1"/>
          <w:cols w:space="425" w:num="1"/>
          <w:docGrid w:type="lines" w:linePitch="312" w:charSpace="0"/>
        </w:sectPr>
      </w:pPr>
    </w:p>
    <w:bookmarkEnd w:id="1"/>
    <w:p>
      <w:pPr>
        <w:pStyle w:val="2"/>
        <w:shd w:val="clear"/>
        <w:spacing w:before="640" w:after="560" w:line="240" w:lineRule="auto"/>
        <w:jc w:val="center"/>
        <w:rPr>
          <w:rFonts w:ascii="黑体" w:eastAsia="黑体"/>
          <w:b w:val="0"/>
          <w:sz w:val="32"/>
          <w:szCs w:val="32"/>
        </w:rPr>
      </w:pPr>
      <w:bookmarkStart w:id="2" w:name="_Toc4703"/>
      <w:bookmarkStart w:id="3" w:name="SectionMark2"/>
      <w:r>
        <w:rPr>
          <w:rFonts w:hint="eastAsia" w:ascii="黑体" w:eastAsia="黑体"/>
          <w:b w:val="0"/>
          <w:sz w:val="32"/>
          <w:szCs w:val="32"/>
        </w:rPr>
        <w:t>前    言</w:t>
      </w:r>
      <w:bookmarkEnd w:id="2"/>
    </w:p>
    <w:bookmarkEnd w:id="3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bCs/>
          <w:szCs w:val="21"/>
        </w:rPr>
      </w:pPr>
      <w:bookmarkStart w:id="4" w:name="SectionMark4"/>
      <w:r>
        <w:rPr>
          <w:rFonts w:hint="eastAsia" w:ascii="宋体" w:hAnsi="宋体" w:eastAsia="宋体" w:cs="宋体"/>
          <w:bCs/>
          <w:szCs w:val="21"/>
        </w:rPr>
        <w:t>本文件按照GB/T 1.1</w:t>
      </w:r>
      <w:r>
        <w:rPr>
          <w:rFonts w:hint="eastAsia" w:ascii="宋体" w:hAnsi="宋体" w:eastAsia="宋体" w:cs="宋体"/>
          <w:szCs w:val="21"/>
        </w:rPr>
        <w:t>—2020</w:t>
      </w:r>
      <w:r>
        <w:rPr>
          <w:rFonts w:hint="eastAsia" w:ascii="宋体" w:hAnsi="宋体" w:eastAsia="宋体" w:cs="宋体"/>
          <w:bCs/>
          <w:szCs w:val="21"/>
        </w:rPr>
        <w:t>《标准化工作导则  第1部分：标准化文件的结构和起草规则》的规定起草。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DB13/T ****-2024《节水型企业评价导则》为系列标准，目前已确定的部分包括：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——第1部分：造纸行业；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——第2部分：纺织行业；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——第3部分：石油化工业；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——第4部分：医药行业；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——第5部分：建材行业。</w:t>
      </w: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eastAsia"/>
          <w:lang w:val="en-US" w:eastAsia="zh-CN"/>
        </w:rPr>
      </w:pPr>
    </w:p>
    <w:p>
      <w:pPr>
        <w:pStyle w:val="4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本文件为DB13/T ***-2024的第2部分。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本文件由</w:t>
      </w:r>
      <w:r>
        <w:rPr>
          <w:rFonts w:hint="eastAsia" w:ascii="宋体" w:hAnsi="宋体" w:eastAsia="宋体" w:cs="宋体"/>
          <w:kern w:val="0"/>
          <w:szCs w:val="21"/>
        </w:rPr>
        <w:t>河北省水利厅提出并归口。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本文件主要起草单位：</w:t>
      </w:r>
      <w:r>
        <w:rPr>
          <w:rFonts w:hint="eastAsia" w:ascii="宋体" w:hAnsi="宋体" w:eastAsia="宋体" w:cs="宋体"/>
          <w:color w:val="auto"/>
          <w:kern w:val="0"/>
          <w:szCs w:val="21"/>
          <w:lang w:eastAsia="zh-CN"/>
        </w:rPr>
        <w:t>河北省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水资源研究与水利技术试验推广中心。</w:t>
      </w:r>
    </w:p>
    <w:p>
      <w:pPr>
        <w:pStyle w:val="10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firstLine="420"/>
        <w:textAlignment w:val="auto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szCs w:val="21"/>
        </w:rPr>
        <w:t>本</w:t>
      </w:r>
      <w:r>
        <w:rPr>
          <w:rFonts w:hint="eastAsia" w:ascii="宋体" w:hAnsi="宋体" w:eastAsia="宋体" w:cs="宋体"/>
          <w:szCs w:val="21"/>
        </w:rPr>
        <w:t>文件主要起草人：</w:t>
      </w:r>
      <w:r>
        <w:rPr>
          <w:rFonts w:hint="eastAsia" w:hAnsi="宋体" w:cs="宋体"/>
          <w:szCs w:val="21"/>
          <w:lang w:val="en-US" w:eastAsia="zh-CN"/>
        </w:rPr>
        <w:t>xxxxx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</w:rPr>
        <w:sectPr>
          <w:footerReference r:id="rId9" w:type="default"/>
          <w:pgSz w:w="11907" w:h="16839"/>
          <w:pgMar w:top="1418" w:right="1134" w:bottom="1134" w:left="1418" w:header="1418" w:footer="85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/>
          <w:cols w:space="425" w:num="1"/>
          <w:docGrid w:type="lines" w:linePitch="312" w:charSpace="0"/>
        </w:sectPr>
      </w:pPr>
    </w:p>
    <w:p>
      <w:pPr>
        <w:shd w:val="clear"/>
        <w:spacing w:before="360" w:after="120" w:line="440" w:lineRule="exact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节水型企业</w:t>
      </w:r>
      <w:r>
        <w:rPr>
          <w:rFonts w:ascii="黑体" w:eastAsia="黑体"/>
          <w:sz w:val="28"/>
          <w:szCs w:val="28"/>
        </w:rPr>
        <w:t>评价</w:t>
      </w:r>
      <w:r>
        <w:rPr>
          <w:rFonts w:hint="eastAsia" w:ascii="黑体" w:eastAsia="黑体"/>
          <w:sz w:val="28"/>
          <w:szCs w:val="28"/>
        </w:rPr>
        <w:t>导则 第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  <w:r>
        <w:rPr>
          <w:rFonts w:hint="eastAsia" w:ascii="黑体" w:eastAsia="黑体"/>
          <w:sz w:val="28"/>
          <w:szCs w:val="28"/>
        </w:rPr>
        <w:t>部分：纺织行业</w:t>
      </w:r>
    </w:p>
    <w:p>
      <w:pPr>
        <w:pStyle w:val="2"/>
        <w:shd w:val="clear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5" w:name="_Toc158083342"/>
      <w:bookmarkStart w:id="6" w:name="_Toc24658"/>
      <w:r>
        <w:rPr>
          <w:rFonts w:hint="eastAsia" w:ascii="黑体" w:eastAsia="黑体"/>
          <w:kern w:val="0"/>
          <w:sz w:val="24"/>
          <w:szCs w:val="24"/>
        </w:rPr>
        <w:t>1  范围</w:t>
      </w:r>
      <w:bookmarkEnd w:id="5"/>
      <w:bookmarkEnd w:id="6"/>
    </w:p>
    <w:p>
      <w:pPr>
        <w:shd w:val="clear"/>
        <w:spacing w:line="400" w:lineRule="exact"/>
        <w:ind w:firstLine="420" w:firstLineChars="200"/>
      </w:pPr>
      <w:bookmarkStart w:id="7" w:name="_Toc158083343"/>
      <w:r>
        <w:rPr>
          <w:rFonts w:hint="eastAsia"/>
        </w:rPr>
        <w:t>本文件规定了纺织</w:t>
      </w:r>
      <w:r>
        <w:rPr>
          <w:rFonts w:hint="eastAsia"/>
          <w:lang w:val="en-US" w:eastAsia="zh-CN"/>
        </w:rPr>
        <w:t>行业</w:t>
      </w:r>
      <w:r>
        <w:rPr>
          <w:rFonts w:hint="eastAsia"/>
        </w:rPr>
        <w:t>节水型企业</w:t>
      </w:r>
      <w:r>
        <w:t>的</w:t>
      </w:r>
      <w:r>
        <w:rPr>
          <w:rFonts w:hint="eastAsia"/>
        </w:rPr>
        <w:t>术语</w:t>
      </w:r>
      <w:r>
        <w:t>和定义、评价</w:t>
      </w:r>
      <w:r>
        <w:rPr>
          <w:rFonts w:hint="eastAsia"/>
        </w:rPr>
        <w:t>指标及评价</w:t>
      </w:r>
      <w:r>
        <w:t>内容</w:t>
      </w:r>
      <w:r>
        <w:rPr>
          <w:rFonts w:hint="eastAsia"/>
        </w:rPr>
        <w:t>。</w:t>
      </w:r>
    </w:p>
    <w:p>
      <w:pPr>
        <w:shd w:val="clear"/>
        <w:spacing w:line="400" w:lineRule="exact"/>
        <w:ind w:firstLine="420" w:firstLineChars="200"/>
      </w:pPr>
      <w:r>
        <w:rPr>
          <w:rFonts w:hint="eastAsia"/>
        </w:rPr>
        <w:t>本</w:t>
      </w:r>
      <w:r>
        <w:rPr>
          <w:rFonts w:hint="eastAsia"/>
          <w:lang w:val="en-US" w:eastAsia="zh-CN"/>
        </w:rPr>
        <w:t>文件</w:t>
      </w:r>
      <w:r>
        <w:t>适用于河北省行政区域内</w:t>
      </w:r>
      <w:r>
        <w:rPr>
          <w:rFonts w:hint="eastAsia"/>
        </w:rPr>
        <w:t>纺织</w:t>
      </w:r>
      <w:r>
        <w:rPr>
          <w:rFonts w:hint="eastAsia"/>
          <w:lang w:val="en-US" w:eastAsia="zh-CN"/>
        </w:rPr>
        <w:t>行业</w:t>
      </w:r>
      <w:r>
        <w:t>节水</w:t>
      </w:r>
      <w:r>
        <w:rPr>
          <w:rFonts w:hint="eastAsia"/>
          <w:lang w:val="en-US" w:eastAsia="zh-CN"/>
        </w:rPr>
        <w:t>型企业</w:t>
      </w:r>
      <w:r>
        <w:t>评价工作</w:t>
      </w:r>
      <w:r>
        <w:rPr>
          <w:rFonts w:hint="eastAsia"/>
        </w:rPr>
        <w:t>。</w:t>
      </w:r>
    </w:p>
    <w:p>
      <w:pPr>
        <w:pStyle w:val="2"/>
        <w:shd w:val="clear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8" w:name="_Toc5823"/>
      <w:r>
        <w:rPr>
          <w:rFonts w:hint="eastAsia" w:ascii="黑体" w:eastAsia="黑体"/>
          <w:kern w:val="0"/>
          <w:sz w:val="24"/>
          <w:szCs w:val="24"/>
        </w:rPr>
        <w:t>2  规范性引用文件</w:t>
      </w:r>
      <w:bookmarkEnd w:id="7"/>
      <w:bookmarkEnd w:id="8"/>
    </w:p>
    <w:p>
      <w:pPr>
        <w:shd w:val="clear"/>
        <w:spacing w:line="400" w:lineRule="exact"/>
        <w:ind w:firstLine="420" w:firstLineChars="200"/>
      </w:pPr>
      <w:r>
        <w:rPr>
          <w:rFonts w:hint="eastAsia"/>
          <w:szCs w:val="21"/>
        </w:rPr>
        <w:t>下列文件中</w:t>
      </w:r>
      <w:r>
        <w:rPr>
          <w:szCs w:val="21"/>
        </w:rPr>
        <w:t>的内容通过</w:t>
      </w:r>
      <w:r>
        <w:rPr>
          <w:rFonts w:hint="eastAsia"/>
          <w:szCs w:val="21"/>
        </w:rPr>
        <w:t>文中</w:t>
      </w:r>
      <w:r>
        <w:rPr>
          <w:szCs w:val="21"/>
        </w:rPr>
        <w:t>的</w:t>
      </w:r>
      <w:r>
        <w:rPr>
          <w:rFonts w:hint="eastAsia"/>
          <w:szCs w:val="21"/>
        </w:rPr>
        <w:t>规范性</w:t>
      </w:r>
      <w:r>
        <w:rPr>
          <w:szCs w:val="21"/>
        </w:rPr>
        <w:t>引用而构成本文件必不可少的条款。其中</w:t>
      </w:r>
      <w:r>
        <w:rPr>
          <w:rFonts w:hint="eastAsia"/>
          <w:szCs w:val="21"/>
        </w:rPr>
        <w:t>，注日期的引用文件，仅该日期</w:t>
      </w:r>
      <w:r>
        <w:rPr>
          <w:szCs w:val="21"/>
        </w:rPr>
        <w:t>对应的版本适用于本文件；</w:t>
      </w:r>
      <w:r>
        <w:rPr>
          <w:rFonts w:hint="eastAsia"/>
          <w:szCs w:val="21"/>
        </w:rPr>
        <w:t>不</w:t>
      </w:r>
      <w:r>
        <w:rPr>
          <w:szCs w:val="21"/>
        </w:rPr>
        <w:t>注</w:t>
      </w:r>
      <w:r>
        <w:rPr>
          <w:rFonts w:hint="eastAsia"/>
          <w:szCs w:val="21"/>
        </w:rPr>
        <w:t>日期</w:t>
      </w:r>
      <w:r>
        <w:rPr>
          <w:szCs w:val="21"/>
        </w:rPr>
        <w:t>的引用文件，其最新版本</w:t>
      </w:r>
      <w:r>
        <w:rPr>
          <w:rFonts w:hint="eastAsia"/>
          <w:szCs w:val="21"/>
        </w:rPr>
        <w:t>（包括所有的修改单）适用于本文件。</w:t>
      </w:r>
    </w:p>
    <w:p>
      <w:pPr>
        <w:shd w:val="clear"/>
        <w:spacing w:line="400" w:lineRule="exact"/>
        <w:ind w:firstLine="359" w:firstLineChars="171"/>
        <w:rPr>
          <w:rFonts w:hint="eastAsia"/>
        </w:rPr>
      </w:pPr>
      <w:r>
        <w:rPr>
          <w:rFonts w:hint="eastAsia"/>
        </w:rPr>
        <w:t>G</w:t>
      </w:r>
      <w:r>
        <w:t xml:space="preserve">B 8978  </w:t>
      </w:r>
      <w:r>
        <w:rPr>
          <w:rFonts w:hint="eastAsia"/>
        </w:rPr>
        <w:t>污水综合排放标准</w:t>
      </w:r>
    </w:p>
    <w:p>
      <w:pPr>
        <w:shd w:val="clear"/>
        <w:spacing w:line="400" w:lineRule="exact"/>
        <w:ind w:firstLine="359" w:firstLineChars="171"/>
        <w:rPr>
          <w:rFonts w:hint="eastAsia"/>
        </w:rPr>
      </w:pPr>
      <w:r>
        <w:rPr>
          <w:rFonts w:hint="eastAsia"/>
        </w:rPr>
        <w:t>G</w:t>
      </w:r>
      <w:r>
        <w:t xml:space="preserve">B 18918  </w:t>
      </w:r>
      <w:r>
        <w:rPr>
          <w:rFonts w:hint="eastAsia"/>
        </w:rPr>
        <w:t>城镇污水处理厂污染物排放标准</w:t>
      </w:r>
    </w:p>
    <w:p>
      <w:pPr>
        <w:shd w:val="clear"/>
        <w:spacing w:line="400" w:lineRule="exact"/>
        <w:ind w:firstLine="359" w:firstLineChars="171"/>
        <w:rPr>
          <w:rFonts w:hint="eastAsia"/>
        </w:rPr>
      </w:pPr>
      <w:r>
        <w:rPr>
          <w:rFonts w:hint="eastAsia"/>
        </w:rPr>
        <w:t xml:space="preserve">GB/T </w:t>
      </w:r>
      <w:r>
        <w:t>7119</w:t>
      </w:r>
      <w:r>
        <w:rPr>
          <w:rFonts w:hint="eastAsia"/>
        </w:rPr>
        <w:t xml:space="preserve">  节水型企业评价导则</w:t>
      </w:r>
    </w:p>
    <w:p>
      <w:pPr>
        <w:shd w:val="clear"/>
        <w:spacing w:line="400" w:lineRule="exact"/>
        <w:ind w:firstLine="359" w:firstLineChars="171"/>
        <w:rPr>
          <w:rFonts w:hint="eastAsia"/>
        </w:rPr>
      </w:pPr>
      <w:r>
        <w:rPr>
          <w:rFonts w:hint="eastAsia"/>
        </w:rPr>
        <w:t>G</w:t>
      </w:r>
      <w:r>
        <w:t>B</w:t>
      </w:r>
      <w:r>
        <w:rPr>
          <w:rFonts w:hint="eastAsia"/>
          <w:lang w:val="en-US" w:eastAsia="zh-CN"/>
        </w:rPr>
        <w:t>/T</w:t>
      </w:r>
      <w:r>
        <w:t xml:space="preserve"> </w:t>
      </w:r>
      <w:r>
        <w:rPr>
          <w:rFonts w:hint="eastAsia"/>
          <w:lang w:val="en-US" w:eastAsia="zh-CN"/>
        </w:rPr>
        <w:t>12452</w:t>
      </w:r>
      <w:r>
        <w:t xml:space="preserve">  </w:t>
      </w:r>
      <w:r>
        <w:rPr>
          <w:rFonts w:hint="eastAsia"/>
          <w:lang w:val="en-US" w:eastAsia="zh-CN"/>
        </w:rPr>
        <w:t>水平衡测试通则</w:t>
      </w:r>
    </w:p>
    <w:p>
      <w:pPr>
        <w:shd w:val="clear"/>
        <w:spacing w:line="400" w:lineRule="exact"/>
        <w:ind w:firstLine="359" w:firstLineChars="171"/>
        <w:rPr>
          <w:rFonts w:hint="eastAsia"/>
          <w:lang w:val="en-US" w:eastAsia="zh-CN"/>
        </w:rPr>
      </w:pPr>
      <w:r>
        <w:rPr>
          <w:rFonts w:hint="eastAsia"/>
        </w:rPr>
        <w:t>GB</w:t>
      </w:r>
      <w:r>
        <w:rPr>
          <w:rFonts w:hint="eastAsia"/>
          <w:lang w:val="en-US" w:eastAsia="zh-CN"/>
        </w:rPr>
        <w:t>/T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21534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节约用水  术语</w:t>
      </w:r>
    </w:p>
    <w:p>
      <w:pPr>
        <w:shd w:val="clear"/>
        <w:spacing w:line="400" w:lineRule="exact"/>
        <w:ind w:firstLine="359" w:firstLineChars="171"/>
      </w:pPr>
      <w:r>
        <w:rPr>
          <w:rFonts w:hint="eastAsia"/>
        </w:rPr>
        <w:t>GB</w:t>
      </w:r>
      <w:r>
        <w:rPr>
          <w:rFonts w:hint="eastAsia"/>
          <w:lang w:val="en-US" w:eastAsia="zh-CN"/>
        </w:rPr>
        <w:t>/T</w:t>
      </w:r>
      <w:r>
        <w:rPr>
          <w:rFonts w:hint="eastAsia"/>
        </w:rPr>
        <w:t xml:space="preserve"> 24789  用水单位</w:t>
      </w:r>
      <w:r>
        <w:t>水计量器具配备和管理通则</w:t>
      </w:r>
    </w:p>
    <w:p>
      <w:pPr>
        <w:shd w:val="clear"/>
        <w:spacing w:line="400" w:lineRule="exact"/>
        <w:ind w:firstLine="359" w:firstLineChars="171"/>
      </w:pPr>
      <w:r>
        <w:rPr>
          <w:rFonts w:hint="eastAsia"/>
        </w:rPr>
        <w:t>GB/T 31436  节水型</w:t>
      </w:r>
      <w:r>
        <w:t>卫生洁具</w:t>
      </w:r>
    </w:p>
    <w:p>
      <w:pPr>
        <w:shd w:val="clear"/>
        <w:spacing w:line="400" w:lineRule="exact"/>
        <w:ind w:firstLine="359" w:firstLineChars="171"/>
      </w:pPr>
      <w:r>
        <w:t>DB13/T 54</w:t>
      </w:r>
      <w:r>
        <w:rPr>
          <w:rFonts w:hint="eastAsia"/>
        </w:rPr>
        <w:t>48.5</w:t>
      </w:r>
      <w:r>
        <w:t xml:space="preserve">  </w:t>
      </w:r>
      <w:r>
        <w:rPr>
          <w:rFonts w:hint="eastAsia"/>
        </w:rPr>
        <w:t>工业取水定额 第</w:t>
      </w:r>
      <w:r>
        <w:t>5</w:t>
      </w:r>
      <w:r>
        <w:rPr>
          <w:rFonts w:hint="eastAsia"/>
        </w:rPr>
        <w:t>部分：纺织行业</w:t>
      </w:r>
    </w:p>
    <w:p>
      <w:pPr>
        <w:pStyle w:val="2"/>
        <w:shd w:val="clear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9" w:name="_Toc214"/>
      <w:r>
        <w:rPr>
          <w:rFonts w:ascii="黑体" w:eastAsia="黑体"/>
          <w:kern w:val="0"/>
          <w:sz w:val="24"/>
          <w:szCs w:val="24"/>
        </w:rPr>
        <w:t>3  术语和定义</w:t>
      </w:r>
      <w:bookmarkEnd w:id="9"/>
    </w:p>
    <w:p>
      <w:pPr>
        <w:shd w:val="clear"/>
        <w:spacing w:line="400" w:lineRule="exact"/>
        <w:ind w:left="360"/>
      </w:pPr>
      <w:r>
        <w:rPr>
          <w:rFonts w:hint="eastAsia"/>
        </w:rPr>
        <w:t xml:space="preserve">GB/T </w:t>
      </w:r>
      <w:r>
        <w:t>7119</w:t>
      </w:r>
      <w:r>
        <w:rPr>
          <w:rFonts w:hint="eastAsia"/>
          <w:lang w:eastAsia="zh-CN"/>
        </w:rPr>
        <w:t>、</w:t>
      </w:r>
      <w:r>
        <w:rPr>
          <w:rFonts w:hint="eastAsia"/>
        </w:rPr>
        <w:t>GB</w:t>
      </w:r>
      <w:r>
        <w:rPr>
          <w:rFonts w:hint="eastAsia"/>
          <w:lang w:val="en-US" w:eastAsia="zh-CN"/>
        </w:rPr>
        <w:t>/T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21534、</w:t>
      </w:r>
      <w:r>
        <w:rPr>
          <w:rFonts w:hint="eastAsia"/>
        </w:rPr>
        <w:t>GB</w:t>
      </w:r>
      <w:r>
        <w:rPr>
          <w:rFonts w:hint="eastAsia"/>
          <w:lang w:val="en-US" w:eastAsia="zh-CN"/>
        </w:rPr>
        <w:t>/T</w:t>
      </w:r>
      <w:r>
        <w:rPr>
          <w:rFonts w:hint="eastAsia"/>
        </w:rPr>
        <w:t xml:space="preserve"> 24789</w:t>
      </w:r>
      <w:r>
        <w:rPr>
          <w:rFonts w:hint="eastAsia"/>
          <w:lang w:val="en-US" w:eastAsia="zh-CN"/>
        </w:rPr>
        <w:t>界定的以及</w:t>
      </w:r>
      <w:r>
        <w:rPr>
          <w:rFonts w:hint="eastAsia"/>
        </w:rPr>
        <w:t>下列术语和定义适用于本文件。</w:t>
      </w:r>
    </w:p>
    <w:p>
      <w:pPr>
        <w:shd w:val="clear"/>
        <w:autoSpaceDE w:val="0"/>
        <w:autoSpaceDN w:val="0"/>
        <w:adjustRightInd w:val="0"/>
        <w:spacing w:line="400" w:lineRule="exact"/>
        <w:jc w:val="left"/>
        <w:rPr>
          <w:rFonts w:ascii="黑体" w:eastAsia="黑体"/>
        </w:rPr>
      </w:pPr>
      <w:r>
        <w:rPr>
          <w:rFonts w:ascii="黑体" w:eastAsia="黑体"/>
        </w:rPr>
        <w:t>3.1</w:t>
      </w:r>
    </w:p>
    <w:p>
      <w:pPr>
        <w:widowControl/>
        <w:shd w:val="clear"/>
        <w:spacing w:line="400" w:lineRule="exact"/>
        <w:ind w:right="165" w:firstLine="413" w:firstLineChars="196"/>
        <w:jc w:val="left"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hint="eastAsia"/>
          <w:b/>
          <w:lang w:val="en-US" w:eastAsia="zh-CN"/>
        </w:rPr>
        <w:t>纺织</w:t>
      </w:r>
      <w:r>
        <w:rPr>
          <w:rFonts w:hint="eastAsia"/>
          <w:b/>
        </w:rPr>
        <w:t xml:space="preserve">企业 </w:t>
      </w:r>
    </w:p>
    <w:p>
      <w:pPr>
        <w:shd w:val="clear"/>
        <w:autoSpaceDE w:val="0"/>
        <w:autoSpaceDN w:val="0"/>
        <w:adjustRightInd w:val="0"/>
        <w:spacing w:line="400" w:lineRule="exact"/>
        <w:ind w:firstLine="420" w:firstLineChars="200"/>
        <w:jc w:val="left"/>
        <w:rPr>
          <w:rFonts w:hint="default" w:eastAsia="宋体"/>
          <w:lang w:val="en-US" w:eastAsia="zh-CN"/>
        </w:rPr>
      </w:pPr>
      <w:r>
        <w:rPr>
          <w:rFonts w:hint="eastAsia"/>
        </w:rPr>
        <w:t>将天然纤维</w:t>
      </w:r>
      <w:r>
        <w:rPr>
          <w:rFonts w:hint="eastAsia"/>
          <w:lang w:val="en-US" w:eastAsia="zh-CN"/>
        </w:rPr>
        <w:t>或</w:t>
      </w:r>
      <w:r>
        <w:rPr>
          <w:rFonts w:hint="eastAsia"/>
        </w:rPr>
        <w:t>化学纤维加工成各种纱、丝、线、带、织物及其染整制品的</w:t>
      </w:r>
      <w:r>
        <w:rPr>
          <w:rFonts w:hint="eastAsia"/>
          <w:lang w:val="en-US" w:eastAsia="zh-CN"/>
        </w:rPr>
        <w:t>企业。</w:t>
      </w:r>
    </w:p>
    <w:p>
      <w:pPr>
        <w:pStyle w:val="2"/>
        <w:shd w:val="clear"/>
        <w:spacing w:before="156" w:beforeLines="50" w:after="156" w:afterLines="50" w:line="460" w:lineRule="exact"/>
        <w:rPr>
          <w:rFonts w:hint="eastAsia" w:ascii="黑体" w:eastAsia="黑体"/>
          <w:kern w:val="0"/>
          <w:sz w:val="24"/>
          <w:szCs w:val="24"/>
        </w:rPr>
      </w:pPr>
      <w:bookmarkStart w:id="10" w:name="_Toc4069"/>
      <w:r>
        <w:rPr>
          <w:rFonts w:hint="eastAsia" w:ascii="黑体" w:eastAsia="黑体"/>
          <w:kern w:val="0"/>
          <w:sz w:val="24"/>
          <w:szCs w:val="24"/>
        </w:rPr>
        <w:t>4  评价指标及评价内容</w:t>
      </w:r>
      <w:bookmarkEnd w:id="10"/>
    </w:p>
    <w:p>
      <w:pPr>
        <w:shd w:val="clear"/>
        <w:autoSpaceDE w:val="0"/>
        <w:autoSpaceDN w:val="0"/>
        <w:spacing w:line="400" w:lineRule="exact"/>
        <w:ind w:firstLine="420" w:firstLineChars="200"/>
      </w:pPr>
      <w:r>
        <w:rPr>
          <w:rFonts w:hint="eastAsia"/>
        </w:rPr>
        <w:t>节水型纺织企业评价</w:t>
      </w:r>
      <w:r>
        <w:t>标准</w:t>
      </w:r>
      <w:r>
        <w:rPr>
          <w:rFonts w:hint="eastAsia"/>
        </w:rPr>
        <w:t>体系分为管理指标、技术指标及鼓励性指标。</w:t>
      </w:r>
    </w:p>
    <w:bookmarkEnd w:id="4"/>
    <w:p>
      <w:pPr>
        <w:shd w:val="clear"/>
        <w:spacing w:line="400" w:lineRule="exact"/>
        <w:outlineLvl w:val="1"/>
        <w:rPr>
          <w:rFonts w:hint="eastAsia" w:ascii="黑体" w:eastAsia="黑体"/>
          <w:b/>
        </w:rPr>
      </w:pPr>
      <w:bookmarkStart w:id="11" w:name="SectionMark5"/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2</w:t>
      </w:r>
      <w:r>
        <w:rPr>
          <w:rFonts w:hint="eastAsia" w:ascii="黑体" w:eastAsia="黑体"/>
          <w:b/>
        </w:rPr>
        <w:t xml:space="preserve">  管理指标</w:t>
      </w:r>
    </w:p>
    <w:p>
      <w:pPr>
        <w:shd w:val="clear"/>
        <w:autoSpaceDE w:val="0"/>
        <w:autoSpaceDN w:val="0"/>
        <w:adjustRightInd w:val="0"/>
        <w:spacing w:line="400" w:lineRule="exact"/>
        <w:ind w:firstLine="420" w:firstLineChars="200"/>
      </w:pPr>
      <w:r>
        <w:rPr>
          <w:rFonts w:hint="eastAsia"/>
          <w:lang w:val="en-US" w:eastAsia="zh-CN"/>
        </w:rPr>
        <w:t>管理指标包括管理机构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管理制度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管理设备（设施）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水平衡测试、</w:t>
      </w:r>
      <w:r>
        <w:rPr>
          <w:rFonts w:hint="eastAsia"/>
        </w:rPr>
        <w:t>节水宣传</w:t>
      </w:r>
      <w:r>
        <w:rPr>
          <w:rFonts w:hint="eastAsia"/>
          <w:lang w:eastAsia="zh-CN"/>
        </w:rPr>
        <w:t>、</w:t>
      </w:r>
      <w:r>
        <w:rPr>
          <w:rFonts w:hint="eastAsia"/>
        </w:rPr>
        <w:t>节水设施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非常规水利用、污水达标排放，满分60分。管理指标</w:t>
      </w:r>
      <w:r>
        <w:rPr>
          <w:rFonts w:hint="eastAsia"/>
        </w:rPr>
        <w:t>评价</w:t>
      </w:r>
      <w:r>
        <w:t>标准</w:t>
      </w:r>
      <w:r>
        <w:rPr>
          <w:rFonts w:hint="eastAsia"/>
        </w:rPr>
        <w:t>见表1。</w:t>
      </w:r>
    </w:p>
    <w:p>
      <w:pPr>
        <w:rPr>
          <w:rFonts w:hint="default" w:ascii="黑体" w:eastAsia="宋体"/>
          <w:lang w:val="en-US" w:eastAsia="zh-CN"/>
        </w:rPr>
      </w:pPr>
      <w:r>
        <w:rPr>
          <w:rFonts w:hint="default" w:ascii="黑体" w:eastAsia="宋体"/>
          <w:lang w:val="en-US" w:eastAsia="zh-CN"/>
        </w:rPr>
        <w:br w:type="page"/>
      </w:r>
    </w:p>
    <w:p>
      <w:pPr>
        <w:shd w:val="clear"/>
        <w:autoSpaceDE w:val="0"/>
        <w:autoSpaceDN w:val="0"/>
        <w:adjustRightInd w:val="0"/>
        <w:spacing w:after="156" w:afterLines="50" w:line="500" w:lineRule="exact"/>
        <w:jc w:val="center"/>
        <w:rPr>
          <w:rFonts w:hint="eastAsia"/>
        </w:rPr>
      </w:pPr>
      <w:r>
        <w:rPr>
          <w:rFonts w:hint="eastAsia" w:eastAsia="黑体"/>
          <w:b/>
          <w:szCs w:val="21"/>
        </w:rPr>
        <w:t xml:space="preserve">表1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  <w:lang w:val="en-US" w:eastAsia="zh-CN"/>
        </w:rPr>
        <w:t>管理指标</w:t>
      </w:r>
      <w:r>
        <w:rPr>
          <w:rFonts w:hint="eastAsia" w:eastAsia="黑体"/>
          <w:b/>
          <w:szCs w:val="21"/>
        </w:rPr>
        <w:t>评价标准</w:t>
      </w:r>
    </w:p>
    <w:tbl>
      <w:tblPr>
        <w:tblStyle w:val="74"/>
        <w:tblW w:w="471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762"/>
        <w:gridCol w:w="5992"/>
        <w:gridCol w:w="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tblHeader/>
          <w:jc w:val="center"/>
        </w:trPr>
        <w:tc>
          <w:tcPr>
            <w:tcW w:w="418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976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评价指标类别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评分细则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8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76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管理机构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用水管理组织机构健全，明确主管领导、主管部门和管理人员，得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8" w:type="pct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976" w:type="pct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企业近三年任一年度实际用水量不小于10 万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设置专（兼）职水务经理，得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分。</w:t>
            </w:r>
          </w:p>
        </w:tc>
        <w:tc>
          <w:tcPr>
            <w:tcW w:w="285" w:type="pct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8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76" w:type="pct"/>
            <w:vMerge w:val="restart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管理制度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取水许可和计划用水管理资料齐全，得1分。</w:t>
            </w:r>
          </w:p>
        </w:tc>
        <w:tc>
          <w:tcPr>
            <w:tcW w:w="285" w:type="pct"/>
            <w:vMerge w:val="restart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976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有科学合理的用水计量、用水统计、用水设施（设备）管理及维护等节约用水管理制度，得4分，少一项扣1分，扣完为止。</w:t>
            </w:r>
          </w:p>
        </w:tc>
        <w:tc>
          <w:tcPr>
            <w:tcW w:w="285" w:type="pct"/>
            <w:vMerge w:val="continue"/>
            <w:tcBorders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tcBorders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有节水规划和年度节水实施计划，得2分，少一项扣1分，扣完为止。</w:t>
            </w:r>
          </w:p>
        </w:tc>
        <w:tc>
          <w:tcPr>
            <w:tcW w:w="285" w:type="pct"/>
            <w:vMerge w:val="continue"/>
            <w:tcBorders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tcBorders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有节水目标考核制度、奖惩制度，明确目标责任、考核和奖惩办法，得4，少一项扣2分，扣完为止。</w:t>
            </w:r>
          </w:p>
        </w:tc>
        <w:tc>
          <w:tcPr>
            <w:tcW w:w="285" w:type="pct"/>
            <w:vMerge w:val="continue"/>
            <w:tcBorders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976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用水管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有详细的供水管网图、排水管网图，得2分。</w:t>
            </w:r>
          </w:p>
        </w:tc>
        <w:tc>
          <w:tcPr>
            <w:tcW w:w="285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有详细的计量网络图和水计量器具一览表（包括器具名称、规格、安装使用位置、计量对象等），得2分。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both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定期对供水、用水管道和用水设施（设备）进行检修，且记录完整，得2分。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both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用水设施（设备、管道等）无跑冒滴漏，得2分。发现一处扣0.5分，扣完为止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both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用水原始记录和统计台账完整规范，得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976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水平衡测试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按照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GB/T12452和地方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相关规定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开展水平衡测试，得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8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76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节水宣传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有年度节水宣传计划，得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年度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开展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节水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宣传活动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次以上，得4分，少1次扣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在卫生间、开水间、浴室、食堂等主要用水场所和水龙头、便器、淋浴器等主要用水设施的醒目位置张贴节水标语和标识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得4分，少1处扣1分，扣完为止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在企业醒目位置设置固定节水宣传栏和固定节水宣传标语，每座宣传栏或每套宣传标语得1分，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满分2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利用电子显示屏或其他等媒介定期播放节水视频、音频资料，得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18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976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节水设施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企业每年列支一定资金用于节水工程建设、节水技术改造，得2分。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近三年新（改、扩）建厂区时应配套建设节水设施，节水设施与主体工程同时设计、同时施工、同时投入使用，得2分。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配套建设再生水利用设施，得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配套建设污水处理设施，得2分。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绿化选用耐旱树木、花草，灌溉采用喷灌、微喷灌和滴灌等高效节水方式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安装直饮水尾水、锅炉冷凝水和空调冷凝水回收设施，并有效利用，得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18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976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非常规水利用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鼓励使用非常规水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用于生产环节、</w:t>
            </w:r>
            <w:r>
              <w:rPr>
                <w:rFonts w:hint="default" w:ascii="Times New Roman" w:hAnsi="Times New Roman" w:cs="Times New Roman"/>
              </w:rPr>
              <w:t>冲洗便器</w:t>
            </w:r>
            <w:r>
              <w:rPr>
                <w:rFonts w:hint="default" w:ascii="Times New Roman" w:hAnsi="Times New Roman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卫生洒扫、绿化灌溉等，每一种利用途径，得1分，满分4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18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976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建设雨水集蓄利用工程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（设施）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并正常利用</w:t>
            </w:r>
            <w:r>
              <w:rPr>
                <w:rFonts w:hint="default" w:ascii="Times New Roman" w:hAnsi="Times New Roman" w:cs="Times New Roman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18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976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污水达标排放</w:t>
            </w:r>
          </w:p>
        </w:tc>
        <w:tc>
          <w:tcPr>
            <w:tcW w:w="332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配备污水处理设施，污水排放达到GB 8978和GB18918的要求，得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分</w:t>
            </w: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714" w:type="pct"/>
            <w:gridSpan w:val="3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小计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60</w:t>
            </w:r>
          </w:p>
        </w:tc>
      </w:tr>
    </w:tbl>
    <w:p>
      <w:pPr>
        <w:shd w:val="clear"/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3</w:t>
      </w:r>
      <w:r>
        <w:rPr>
          <w:rFonts w:hint="eastAsia" w:ascii="黑体" w:eastAsia="黑体"/>
          <w:b/>
        </w:rPr>
        <w:t xml:space="preserve">  技术指标</w:t>
      </w:r>
    </w:p>
    <w:p>
      <w:pPr>
        <w:shd w:val="clear"/>
        <w:autoSpaceDE w:val="0"/>
        <w:autoSpaceDN w:val="0"/>
        <w:adjustRightInd w:val="0"/>
        <w:spacing w:line="400" w:lineRule="exact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技术指标包括</w:t>
      </w:r>
      <w:r>
        <w:rPr>
          <w:rFonts w:hint="eastAsia"/>
        </w:rPr>
        <w:t>单位产品取</w:t>
      </w:r>
      <w:r>
        <w:t>水量</w:t>
      </w:r>
      <w:r>
        <w:rPr>
          <w:rFonts w:hint="eastAsia"/>
          <w:lang w:eastAsia="zh-CN"/>
        </w:rPr>
        <w:t>、</w:t>
      </w:r>
      <w:r>
        <w:rPr>
          <w:rFonts w:hint="eastAsia"/>
        </w:rPr>
        <w:t>年用水</w:t>
      </w:r>
      <w:r>
        <w:t>总量</w:t>
      </w:r>
      <w:r>
        <w:rPr>
          <w:rFonts w:hint="eastAsia"/>
          <w:lang w:eastAsia="zh-CN"/>
        </w:rPr>
        <w:t>、</w:t>
      </w:r>
      <w:r>
        <w:rPr>
          <w:rFonts w:hint="eastAsia" w:eastAsiaTheme="minorEastAsia"/>
          <w:kern w:val="0"/>
          <w:szCs w:val="21"/>
          <w:lang w:val="en-US" w:eastAsia="zh-CN"/>
        </w:rPr>
        <w:t>用水综合漏失率</w:t>
      </w:r>
      <w:r>
        <w:rPr>
          <w:rFonts w:hint="eastAsia"/>
          <w:lang w:eastAsia="zh-CN"/>
        </w:rPr>
        <w:t>、</w:t>
      </w:r>
      <w:r>
        <w:rPr>
          <w:rFonts w:hint="eastAsia"/>
        </w:rPr>
        <w:t>水计量器具配备率</w:t>
      </w:r>
      <w:r>
        <w:rPr>
          <w:rFonts w:hint="eastAsia"/>
          <w:lang w:eastAsia="zh-CN"/>
        </w:rPr>
        <w:t>、</w:t>
      </w:r>
      <w:r>
        <w:rPr>
          <w:rFonts w:hint="eastAsia"/>
        </w:rPr>
        <w:t>节水型</w:t>
      </w:r>
      <w:r>
        <w:t>器具普及率</w:t>
      </w:r>
      <w:r>
        <w:rPr>
          <w:rFonts w:hint="eastAsia"/>
          <w:lang w:eastAsia="zh-CN"/>
        </w:rPr>
        <w:t>、</w:t>
      </w:r>
      <w:r>
        <w:rPr>
          <w:rFonts w:hint="eastAsia"/>
        </w:rPr>
        <w:t>蒸汽冷凝水</w:t>
      </w:r>
      <w:r>
        <w:t>回收率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重复利用率、</w:t>
      </w:r>
      <w:r>
        <w:rPr>
          <w:rFonts w:hint="eastAsia" w:eastAsiaTheme="minorEastAsia"/>
          <w:kern w:val="0"/>
          <w:szCs w:val="21"/>
          <w:lang w:val="en-US" w:eastAsia="zh-CN"/>
        </w:rPr>
        <w:t>非常规水源替代率</w:t>
      </w:r>
      <w:r>
        <w:rPr>
          <w:rFonts w:hint="eastAsia"/>
          <w:lang w:val="en-US" w:eastAsia="zh-CN"/>
        </w:rPr>
        <w:t>，满分40分。技术指标</w:t>
      </w:r>
      <w:r>
        <w:rPr>
          <w:rFonts w:hint="eastAsia"/>
        </w:rPr>
        <w:t>评价</w:t>
      </w:r>
      <w:r>
        <w:t>标准</w:t>
      </w:r>
      <w:r>
        <w:rPr>
          <w:rFonts w:hint="eastAsia"/>
        </w:rPr>
        <w:t>见表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。</w:t>
      </w:r>
    </w:p>
    <w:p>
      <w:pPr>
        <w:shd w:val="clear"/>
        <w:autoSpaceDE w:val="0"/>
        <w:autoSpaceDN w:val="0"/>
        <w:adjustRightInd w:val="0"/>
        <w:spacing w:after="156" w:afterLines="50" w:line="500" w:lineRule="exact"/>
        <w:jc w:val="center"/>
        <w:rPr>
          <w:rFonts w:hint="eastAsia"/>
        </w:rPr>
      </w:pPr>
      <w:r>
        <w:rPr>
          <w:rFonts w:hint="eastAsia" w:eastAsia="黑体"/>
          <w:b/>
          <w:szCs w:val="21"/>
        </w:rPr>
        <w:t>表</w:t>
      </w:r>
      <w:r>
        <w:rPr>
          <w:rFonts w:hint="eastAsia" w:eastAsia="黑体"/>
          <w:b/>
          <w:szCs w:val="21"/>
          <w:lang w:val="en-US" w:eastAsia="zh-CN"/>
        </w:rPr>
        <w:t>2</w:t>
      </w:r>
      <w:r>
        <w:rPr>
          <w:rFonts w:hint="eastAsia" w:eastAsia="黑体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  <w:lang w:val="en-US" w:eastAsia="zh-CN"/>
        </w:rPr>
        <w:t>技术指标</w:t>
      </w:r>
      <w:r>
        <w:rPr>
          <w:rFonts w:hint="eastAsia" w:eastAsia="黑体"/>
          <w:b/>
          <w:szCs w:val="21"/>
        </w:rPr>
        <w:t>评价标准</w:t>
      </w:r>
    </w:p>
    <w:tbl>
      <w:tblPr>
        <w:tblStyle w:val="74"/>
        <w:tblW w:w="47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79"/>
        <w:gridCol w:w="6598"/>
        <w:gridCol w:w="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  <w:tblHeader/>
          <w:jc w:val="center"/>
        </w:trPr>
        <w:tc>
          <w:tcPr>
            <w:tcW w:w="40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评价指标类别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评分细则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年用水总量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eastAsiaTheme="minorEastAsia"/>
                <w:kern w:val="0"/>
                <w:szCs w:val="21"/>
              </w:rPr>
              <w:t>年用水总量≤地方下达的年度计划用水指标，得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eastAsiaTheme="minorEastAsia"/>
                <w:kern w:val="0"/>
                <w:szCs w:val="21"/>
              </w:rPr>
              <w:t>分，超过地方下达的年度计划用水指标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不得分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eastAsiaTheme="minorEastAsia"/>
                <w:kern w:val="0"/>
                <w:szCs w:val="21"/>
              </w:rPr>
              <w:t>单位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产品</w:t>
            </w:r>
            <w:r>
              <w:rPr>
                <w:rFonts w:eastAsiaTheme="minorEastAsia"/>
                <w:kern w:val="0"/>
                <w:szCs w:val="21"/>
              </w:rPr>
              <w:t>用水量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</w:rPr>
              <w:t>单位产品取水</w:t>
            </w:r>
            <w:r>
              <w:rPr>
                <w:rFonts w:eastAsiaTheme="minorEastAsia"/>
                <w:kern w:val="0"/>
                <w:szCs w:val="21"/>
              </w:rPr>
              <w:t>量</w:t>
            </w:r>
            <w:r>
              <w:t>符合DB13/T 54</w:t>
            </w:r>
            <w:r>
              <w:rPr>
                <w:rFonts w:hint="eastAsia"/>
              </w:rPr>
              <w:t>48.5的相关</w:t>
            </w:r>
            <w:r>
              <w:t>规定</w:t>
            </w:r>
            <w:r>
              <w:rPr>
                <w:rFonts w:eastAsiaTheme="minorEastAsia"/>
                <w:kern w:val="0"/>
                <w:szCs w:val="21"/>
              </w:rPr>
              <w:t>，</w:t>
            </w:r>
            <w:r>
              <w:rPr>
                <w:rFonts w:hint="eastAsia" w:eastAsiaTheme="minorEastAsia"/>
                <w:kern w:val="0"/>
                <w:szCs w:val="21"/>
              </w:rPr>
              <w:t>单位产品取水</w:t>
            </w:r>
            <w:r>
              <w:rPr>
                <w:rFonts w:eastAsiaTheme="minorEastAsia"/>
                <w:kern w:val="0"/>
                <w:szCs w:val="21"/>
              </w:rPr>
              <w:t>量≤先进值，得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分；先进值&lt;</w:t>
            </w:r>
            <w:r>
              <w:rPr>
                <w:rFonts w:hint="eastAsia" w:eastAsiaTheme="minorEastAsia"/>
                <w:kern w:val="0"/>
                <w:szCs w:val="21"/>
              </w:rPr>
              <w:t>单位产品取水</w:t>
            </w:r>
            <w:r>
              <w:rPr>
                <w:rFonts w:eastAsiaTheme="minorEastAsia"/>
                <w:kern w:val="0"/>
                <w:szCs w:val="21"/>
              </w:rPr>
              <w:t>量≤通用值，按比例赋分；</w:t>
            </w:r>
            <w:r>
              <w:rPr>
                <w:rFonts w:hint="eastAsia" w:eastAsiaTheme="minorEastAsia"/>
                <w:kern w:val="0"/>
                <w:szCs w:val="21"/>
              </w:rPr>
              <w:t>单位产品取水</w:t>
            </w:r>
            <w:r>
              <w:rPr>
                <w:rFonts w:eastAsiaTheme="minorEastAsia"/>
                <w:kern w:val="0"/>
                <w:szCs w:val="21"/>
              </w:rPr>
              <w:t>量&gt;通用值，不得分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00" w:type="pct"/>
            <w:vMerge w:val="restar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53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水计量器具配备率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用水单位水计量器具</w:t>
            </w:r>
            <w:r>
              <w:t>配备率达到</w:t>
            </w:r>
            <w:r>
              <w:rPr>
                <w:rFonts w:hint="eastAsia"/>
              </w:rPr>
              <w:t>100</w:t>
            </w:r>
            <w:r>
              <w:t>%，</w:t>
            </w:r>
            <w:r>
              <w:rPr>
                <w:rFonts w:hint="eastAsia"/>
              </w:rPr>
              <w:t>主要次级</w:t>
            </w:r>
            <w:r>
              <w:t>用水单位水计量器具配备率达到</w:t>
            </w:r>
            <w:r>
              <w:rPr>
                <w:rFonts w:hint="eastAsia"/>
                <w:lang w:val="en-US" w:eastAsia="zh-CN"/>
              </w:rPr>
              <w:t>100</w:t>
            </w:r>
            <w:r>
              <w:t>%</w:t>
            </w:r>
            <w:r>
              <w:rPr>
                <w:rFonts w:hint="eastAsia"/>
                <w:lang w:eastAsia="zh-CN"/>
              </w:rPr>
              <w:t>，</w:t>
            </w:r>
            <w:r>
              <w:t>主要用水</w:t>
            </w:r>
            <w:r>
              <w:rPr>
                <w:rFonts w:hint="eastAsia"/>
              </w:rPr>
              <w:t>设备</w:t>
            </w:r>
            <w:r>
              <w:t>（</w:t>
            </w:r>
            <w:r>
              <w:rPr>
                <w:rFonts w:hint="eastAsia"/>
              </w:rPr>
              <w:t>用水</w:t>
            </w:r>
            <w:r>
              <w:t>系统）水计量器具配备率达到</w:t>
            </w:r>
            <w:r>
              <w:rPr>
                <w:rFonts w:hint="eastAsia"/>
                <w:lang w:val="en-US" w:eastAsia="zh-CN"/>
              </w:rPr>
              <w:t>100</w:t>
            </w:r>
            <w:r>
              <w:t>%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eastAsiaTheme="minorEastAsia"/>
                <w:kern w:val="0"/>
                <w:szCs w:val="21"/>
              </w:rPr>
              <w:t>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；</w:t>
            </w:r>
            <w:r>
              <w:rPr>
                <w:rFonts w:eastAsiaTheme="minorEastAsia"/>
                <w:kern w:val="0"/>
                <w:szCs w:val="21"/>
              </w:rPr>
              <w:t>水计量器具配备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满足</w:t>
            </w:r>
            <w:r>
              <w:rPr>
                <w:rFonts w:eastAsiaTheme="minorEastAsia"/>
                <w:kern w:val="0"/>
                <w:szCs w:val="21"/>
              </w:rPr>
              <w:t>GB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 xml:space="preserve">/T </w:t>
            </w:r>
            <w:r>
              <w:rPr>
                <w:rFonts w:eastAsiaTheme="minorEastAsia"/>
                <w:kern w:val="0"/>
                <w:szCs w:val="21"/>
              </w:rPr>
              <w:t>24789要求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得5分；其余</w:t>
            </w:r>
            <w:r>
              <w:rPr>
                <w:rFonts w:eastAsiaTheme="minorEastAsia"/>
                <w:kern w:val="0"/>
                <w:szCs w:val="21"/>
              </w:rPr>
              <w:t>不得分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00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653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hint="eastAsia" w:eastAsiaTheme="minorEastAsia"/>
                <w:kern w:val="0"/>
                <w:szCs w:val="21"/>
              </w:rPr>
              <w:t>纺织企业</w:t>
            </w:r>
            <w:r>
              <w:rPr>
                <w:rFonts w:eastAsiaTheme="minorEastAsia"/>
                <w:kern w:val="0"/>
                <w:szCs w:val="21"/>
              </w:rPr>
              <w:t>应在供暖系统、空调系统、中水贮水池等特殊部位用水的补水管上加装水量计量仪表，对补水量进行计量。每设置一项得1分，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满分4分</w:t>
            </w:r>
            <w:r>
              <w:rPr>
                <w:rFonts w:eastAsiaTheme="minorEastAsia"/>
                <w:kern w:val="0"/>
                <w:szCs w:val="21"/>
              </w:rPr>
              <w:t>。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00" w:type="pct"/>
            <w:vMerge w:val="restar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53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节水型器具普及率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eastAsiaTheme="minorEastAsia"/>
                <w:kern w:val="0"/>
                <w:szCs w:val="21"/>
              </w:rPr>
              <w:t>禁止使用列入国家淘汰名录的用水设备和器具，发现1例，本项不得分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00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653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符合GB/T 31436等技术要求，节水型器具普及率达到100%，并达到二级及以上水效等级，鼓励采用有节水产品认证证书，或列入国家鼓励使用目录、《节能产品政府采购清单》的节水产品和目录。得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  <w:r>
              <w:rPr>
                <w:rFonts w:eastAsiaTheme="minorEastAsia"/>
                <w:kern w:val="0"/>
                <w:szCs w:val="21"/>
              </w:rPr>
              <w:t>分，发现1例未使用，扣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eastAsiaTheme="minorEastAsia"/>
                <w:kern w:val="0"/>
                <w:szCs w:val="21"/>
              </w:rPr>
              <w:t>分，扣完为止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用水综合漏失率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用水综合漏失率</w:t>
            </w:r>
            <w:r>
              <w:rPr>
                <w:rFonts w:eastAsiaTheme="minorEastAsia"/>
                <w:kern w:val="0"/>
                <w:szCs w:val="21"/>
              </w:rPr>
              <w:t>&lt;2%，得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  <w:r>
              <w:rPr>
                <w:rFonts w:eastAsiaTheme="minorEastAsia"/>
                <w:kern w:val="0"/>
                <w:szCs w:val="21"/>
              </w:rPr>
              <w:t>分，2%≤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用水综合漏失率</w:t>
            </w:r>
            <w:r>
              <w:rPr>
                <w:rFonts w:eastAsiaTheme="minorEastAsia"/>
                <w:kern w:val="0"/>
                <w:szCs w:val="21"/>
              </w:rPr>
              <w:t>≤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%，按比例赋分；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用水综合漏失率</w:t>
            </w:r>
            <w:r>
              <w:rPr>
                <w:rFonts w:eastAsiaTheme="minorEastAsia"/>
                <w:kern w:val="0"/>
                <w:szCs w:val="21"/>
              </w:rPr>
              <w:t>&gt;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  <w:r>
              <w:rPr>
                <w:rFonts w:eastAsiaTheme="minorEastAsia"/>
                <w:kern w:val="0"/>
                <w:szCs w:val="21"/>
              </w:rPr>
              <w:t>%，不得分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蒸汽冷凝水回收率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蒸汽冷凝水回收率</w:t>
            </w:r>
            <w:r>
              <w:rPr>
                <w:rFonts w:hint="eastAsia" w:eastAsiaTheme="minorEastAsia"/>
                <w:kern w:val="0"/>
                <w:szCs w:val="21"/>
              </w:rPr>
              <w:t>为100</w:t>
            </w:r>
            <w:r>
              <w:rPr>
                <w:rFonts w:eastAsiaTheme="minorEastAsia"/>
                <w:kern w:val="0"/>
                <w:szCs w:val="21"/>
              </w:rPr>
              <w:t>%，得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eastAsiaTheme="minorEastAsia"/>
                <w:kern w:val="0"/>
                <w:szCs w:val="21"/>
              </w:rPr>
              <w:t>分，每低</w:t>
            </w:r>
            <w:r>
              <w:rPr>
                <w:rFonts w:hint="eastAsia" w:eastAsiaTheme="minorEastAsia"/>
                <w:kern w:val="0"/>
                <w:szCs w:val="21"/>
              </w:rPr>
              <w:t>5</w:t>
            </w:r>
            <w:r>
              <w:rPr>
                <w:rFonts w:eastAsiaTheme="minorEastAsia"/>
                <w:kern w:val="0"/>
                <w:szCs w:val="21"/>
              </w:rPr>
              <w:t>%扣1分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扣完为止。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重复利用率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水的重复利用率≥50%，得6分；30%≤重复利用率＜50%，得4分；10%≤重复利用率＜30%；得2分；重复利用率＜10%，不得分。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00" w:type="pct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5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非常规水源替代率</w:t>
            </w:r>
          </w:p>
        </w:tc>
        <w:tc>
          <w:tcPr>
            <w:tcW w:w="3659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非常归水源替代率≥30%，得6分；10%≤非常规水源替代率＜30%，得4分；0%≤非常规水源替代率＜10%，得2分；其余不得分。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714" w:type="pct"/>
            <w:gridSpan w:val="3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小计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40</w:t>
            </w:r>
          </w:p>
        </w:tc>
      </w:tr>
    </w:tbl>
    <w:p>
      <w:pPr>
        <w:shd w:val="clear"/>
        <w:spacing w:line="400" w:lineRule="exact"/>
        <w:outlineLvl w:val="1"/>
        <w:rPr>
          <w:rFonts w:ascii="黑体" w:eastAsia="黑体"/>
          <w:b/>
        </w:rPr>
      </w:pPr>
      <w:bookmarkStart w:id="14" w:name="_GoBack"/>
      <w:bookmarkEnd w:id="14"/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4</w:t>
      </w:r>
      <w:r>
        <w:rPr>
          <w:rFonts w:hint="eastAsia" w:ascii="黑体" w:eastAsia="黑体"/>
          <w:b/>
        </w:rPr>
        <w:t xml:space="preserve">  鼓励性指标</w:t>
      </w:r>
    </w:p>
    <w:p>
      <w:pPr>
        <w:shd w:val="clear"/>
        <w:autoSpaceDE w:val="0"/>
        <w:autoSpaceDN w:val="0"/>
        <w:adjustRightInd w:val="0"/>
        <w:spacing w:line="400" w:lineRule="exact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鼓励性指标包括用水信息化智能管理、合同节水管理、技术研发及应用推广，满分10分。鼓励性指标评价标准见表3。</w:t>
      </w:r>
    </w:p>
    <w:p>
      <w:pPr>
        <w:shd w:val="clear"/>
        <w:autoSpaceDE w:val="0"/>
        <w:autoSpaceDN w:val="0"/>
        <w:adjustRightInd w:val="0"/>
        <w:spacing w:after="156" w:afterLines="50" w:line="500" w:lineRule="exact"/>
        <w:jc w:val="center"/>
        <w:rPr>
          <w:rFonts w:hint="eastAsia"/>
        </w:rPr>
      </w:pPr>
      <w:r>
        <w:rPr>
          <w:rFonts w:hint="eastAsia" w:eastAsia="黑体"/>
          <w:b/>
          <w:szCs w:val="21"/>
        </w:rPr>
        <w:t>表</w:t>
      </w:r>
      <w:r>
        <w:rPr>
          <w:rFonts w:hint="eastAsia" w:eastAsia="黑体"/>
          <w:b/>
          <w:szCs w:val="21"/>
          <w:lang w:val="en-US" w:eastAsia="zh-CN"/>
        </w:rPr>
        <w:t>3</w:t>
      </w:r>
      <w:r>
        <w:rPr>
          <w:rFonts w:hint="eastAsia" w:eastAsia="黑体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  <w:lang w:val="en-US" w:eastAsia="zh-CN"/>
        </w:rPr>
        <w:t>鼓励性指标</w:t>
      </w:r>
      <w:r>
        <w:rPr>
          <w:rFonts w:hint="eastAsia" w:eastAsia="黑体"/>
          <w:b/>
          <w:szCs w:val="21"/>
        </w:rPr>
        <w:t>评价标准</w:t>
      </w:r>
    </w:p>
    <w:tbl>
      <w:tblPr>
        <w:tblStyle w:val="74"/>
        <w:tblW w:w="47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484"/>
        <w:gridCol w:w="6293"/>
        <w:gridCol w:w="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tblHeader/>
          <w:jc w:val="center"/>
        </w:trPr>
        <w:tc>
          <w:tcPr>
            <w:tcW w:w="40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82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评价指标类别</w:t>
            </w:r>
          </w:p>
        </w:tc>
        <w:tc>
          <w:tcPr>
            <w:tcW w:w="349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kern w:val="0"/>
                <w:szCs w:val="21"/>
                <w:lang w:val="en-US" w:eastAsia="zh-CN"/>
              </w:rPr>
              <w:t>评分细则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0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2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highlight w:val="none"/>
                <w:lang w:val="en-US" w:eastAsia="zh-CN"/>
              </w:rPr>
              <w:t>用水信息化智能管理</w:t>
            </w:r>
          </w:p>
        </w:tc>
        <w:tc>
          <w:tcPr>
            <w:tcW w:w="349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hint="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建设用水实时监控平台，配套安装远程智能水表，实施用水精细化管理，得2分；平台具有水量统计功能和自动预警功能等，得1分。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400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eastAsiaTheme="minorEastAsia"/>
                <w:kern w:val="0"/>
                <w:szCs w:val="21"/>
              </w:rPr>
              <w:t>合同节水管理</w:t>
            </w:r>
          </w:p>
        </w:tc>
        <w:tc>
          <w:tcPr>
            <w:tcW w:w="3490" w:type="pct"/>
            <w:shd w:val="clear" w:color="auto" w:fill="auto"/>
            <w:vAlign w:val="center"/>
          </w:tcPr>
          <w:p>
            <w:pPr>
              <w:widowControl/>
              <w:shd w:val="clear"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引入社会资本，采用合同节水管理方式，实施</w:t>
            </w:r>
            <w:r>
              <w:rPr>
                <w:rFonts w:hint="eastAsia" w:eastAsiaTheme="minorEastAsia"/>
                <w:kern w:val="0"/>
                <w:szCs w:val="21"/>
              </w:rPr>
              <w:t>纺织企业</w:t>
            </w:r>
            <w:r>
              <w:rPr>
                <w:rFonts w:eastAsiaTheme="minorEastAsia"/>
                <w:kern w:val="0"/>
                <w:szCs w:val="21"/>
              </w:rPr>
              <w:t>整体节水改造或重点用水环节节水改造，得</w:t>
            </w: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3</w:t>
            </w:r>
            <w:r>
              <w:rPr>
                <w:rFonts w:eastAsiaTheme="minorEastAsia"/>
                <w:kern w:val="0"/>
                <w:szCs w:val="21"/>
              </w:rPr>
              <w:t>分</w:t>
            </w:r>
            <w:r>
              <w:rPr>
                <w:rFonts w:hint="eastAsia" w:eastAsiaTheme="minorEastAsia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00" w:type="pct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23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spacing w:val="-20"/>
                <w:kern w:val="0"/>
                <w:szCs w:val="21"/>
              </w:rPr>
              <w:t>技术研发及应用推广</w:t>
            </w:r>
          </w:p>
        </w:tc>
        <w:tc>
          <w:tcPr>
            <w:tcW w:w="349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企业自主开展节水技术、产品的创新和研发并进行推广使用，得2分。</w:t>
            </w:r>
          </w:p>
        </w:tc>
        <w:tc>
          <w:tcPr>
            <w:tcW w:w="285" w:type="pct"/>
            <w:vMerge w:val="restar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00" w:type="pct"/>
            <w:vMerge w:val="continue"/>
            <w:tcBorders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23" w:type="pct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</w:p>
        </w:tc>
        <w:tc>
          <w:tcPr>
            <w:tcW w:w="349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对国家推荐的节水新技术、新产品等进行应用及推广，得2分。</w:t>
            </w:r>
          </w:p>
        </w:tc>
        <w:tc>
          <w:tcPr>
            <w:tcW w:w="285" w:type="pct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0" w:hRule="atLeast"/>
          <w:jc w:val="center"/>
        </w:trPr>
        <w:tc>
          <w:tcPr>
            <w:tcW w:w="4714" w:type="pct"/>
            <w:gridSpan w:val="3"/>
            <w:vAlign w:val="center"/>
          </w:tcPr>
          <w:p>
            <w:pPr>
              <w:widowControl/>
              <w:shd w:val="clear"/>
              <w:jc w:val="center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小计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hint="default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kern w:val="0"/>
                <w:szCs w:val="21"/>
                <w:lang w:val="en-US" w:eastAsia="zh-CN"/>
              </w:rPr>
              <w:t>10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黑体" w:hAnsi="黑体" w:eastAsia="黑体" w:cs="黑体"/>
          <w:b/>
          <w:sz w:val="21"/>
          <w:szCs w:val="21"/>
          <w:lang w:eastAsia="zh-CN"/>
        </w:rPr>
      </w:pPr>
      <w:r>
        <w:br w:type="page"/>
      </w:r>
      <w:bookmarkEnd w:id="11"/>
      <w:bookmarkStart w:id="12" w:name="_Toc23148"/>
      <w:r>
        <w:rPr>
          <w:rFonts w:hint="eastAsia" w:ascii="黑体" w:hAnsi="黑体" w:eastAsia="黑体" w:cs="黑体"/>
          <w:b/>
          <w:sz w:val="21"/>
          <w:szCs w:val="21"/>
        </w:rPr>
        <w:t xml:space="preserve">附 录 </w:t>
      </w:r>
      <w:r>
        <w:rPr>
          <w:rFonts w:hint="eastAsia" w:ascii="黑体" w:hAnsi="黑体" w:eastAsia="黑体" w:cs="黑体"/>
          <w:b/>
          <w:sz w:val="21"/>
          <w:szCs w:val="21"/>
          <w:lang w:val="en-US" w:eastAsia="zh-CN"/>
        </w:rPr>
        <w:t>A</w:t>
      </w:r>
      <w:bookmarkEnd w:id="12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（</w:t>
      </w:r>
      <w:r>
        <w:rPr>
          <w:rFonts w:hint="eastAsia" w:eastAsia="黑体"/>
          <w:b/>
          <w:szCs w:val="21"/>
          <w:lang w:val="en-US" w:eastAsia="zh-CN"/>
        </w:rPr>
        <w:t>规范性</w:t>
      </w:r>
      <w:r>
        <w:rPr>
          <w:rFonts w:hint="eastAsia" w:eastAsia="黑体"/>
          <w:b/>
          <w:szCs w:val="21"/>
        </w:rPr>
        <w:t>附录）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="黑体"/>
          <w:b/>
          <w:szCs w:val="21"/>
        </w:rPr>
      </w:pPr>
      <w:r>
        <w:rPr>
          <w:rFonts w:hint="eastAsia" w:eastAsia="黑体"/>
          <w:b/>
          <w:szCs w:val="21"/>
          <w:lang w:val="en-US" w:eastAsia="zh-CN"/>
        </w:rPr>
        <w:t>评价方法及</w:t>
      </w:r>
      <w:r>
        <w:rPr>
          <w:rFonts w:hint="eastAsia" w:eastAsia="黑体"/>
          <w:b/>
          <w:szCs w:val="21"/>
        </w:rPr>
        <w:t>评价程序</w:t>
      </w:r>
    </w:p>
    <w:p>
      <w:pPr>
        <w:shd w:val="clear"/>
        <w:autoSpaceDE w:val="0"/>
        <w:autoSpaceDN w:val="0"/>
        <w:spacing w:line="400" w:lineRule="exac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1</w:t>
      </w:r>
      <w:r>
        <w:rPr>
          <w:rFonts w:hint="eastAsia"/>
          <w:b/>
        </w:rPr>
        <w:t xml:space="preserve">  评价方法</w:t>
      </w:r>
    </w:p>
    <w:p>
      <w:pPr>
        <w:shd w:val="clear"/>
        <w:autoSpaceDE w:val="0"/>
        <w:autoSpaceDN w:val="0"/>
        <w:spacing w:line="400" w:lineRule="exact"/>
        <w:rPr>
          <w:snapToGrid w:val="0"/>
          <w:szCs w:val="21"/>
        </w:rPr>
      </w:pPr>
      <w:r>
        <w:rPr>
          <w:rFonts w:hint="eastAsia" w:ascii="黑体" w:eastAsia="黑体"/>
          <w:b/>
          <w:lang w:val="en-US" w:eastAsia="zh-CN"/>
        </w:rPr>
        <w:t>A</w:t>
      </w:r>
      <w:r>
        <w:rPr>
          <w:rFonts w:hint="eastAsia"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1.</w:t>
      </w:r>
      <w:r>
        <w:rPr>
          <w:rFonts w:hint="eastAsia" w:ascii="黑体" w:eastAsia="黑体"/>
          <w:b/>
        </w:rPr>
        <w:t>1</w:t>
      </w:r>
      <w:r>
        <w:rPr>
          <w:rFonts w:hint="eastAsia"/>
          <w:b/>
        </w:rPr>
        <w:t xml:space="preserve">  </w:t>
      </w:r>
      <w:r>
        <w:rPr>
          <w:rFonts w:hint="eastAsia"/>
        </w:rPr>
        <w:t>管理指标分值</w:t>
      </w:r>
      <w:r>
        <w:rPr>
          <w:rFonts w:hint="eastAsia"/>
          <w:lang w:val="en-US" w:eastAsia="zh-CN"/>
        </w:rPr>
        <w:t>6</w:t>
      </w:r>
      <w:r>
        <w:t>0</w:t>
      </w:r>
      <w:r>
        <w:rPr>
          <w:rFonts w:hint="eastAsia"/>
        </w:rPr>
        <w:t>分，技术指标分值</w:t>
      </w:r>
      <w:r>
        <w:rPr>
          <w:rFonts w:hint="eastAsia"/>
          <w:lang w:val="en-US" w:eastAsia="zh-CN"/>
        </w:rPr>
        <w:t>4</w:t>
      </w:r>
      <w:r>
        <w:t>0</w:t>
      </w:r>
      <w:r>
        <w:rPr>
          <w:rFonts w:hint="eastAsia"/>
        </w:rPr>
        <w:t>分，鼓励性指标分值1</w:t>
      </w:r>
      <w:r>
        <w:t>0</w:t>
      </w:r>
      <w:r>
        <w:rPr>
          <w:rFonts w:hint="eastAsia"/>
        </w:rPr>
        <w:t>分，</w:t>
      </w:r>
      <w:r>
        <w:rPr>
          <w:snapToGrid w:val="0"/>
          <w:szCs w:val="21"/>
        </w:rPr>
        <w:t>合计110分，评价指标总得分90分</w:t>
      </w:r>
      <w:r>
        <w:rPr>
          <w:rFonts w:hint="eastAsia"/>
          <w:snapToGrid w:val="0"/>
          <w:szCs w:val="21"/>
        </w:rPr>
        <w:t>及</w:t>
      </w:r>
      <w:r>
        <w:rPr>
          <w:snapToGrid w:val="0"/>
          <w:szCs w:val="21"/>
        </w:rPr>
        <w:t>以上的参评单位，获评</w:t>
      </w:r>
      <w:r>
        <w:rPr>
          <w:rFonts w:hint="eastAsia"/>
          <w:snapToGrid w:val="0"/>
          <w:szCs w:val="21"/>
        </w:rPr>
        <w:t>纺织</w:t>
      </w:r>
      <w:r>
        <w:rPr>
          <w:rFonts w:hint="eastAsia"/>
          <w:snapToGrid w:val="0"/>
          <w:szCs w:val="21"/>
          <w:lang w:val="en-US" w:eastAsia="zh-CN"/>
        </w:rPr>
        <w:t>行业</w:t>
      </w:r>
      <w:r>
        <w:rPr>
          <w:snapToGrid w:val="0"/>
          <w:szCs w:val="21"/>
        </w:rPr>
        <w:t>节水型</w:t>
      </w:r>
      <w:r>
        <w:rPr>
          <w:rFonts w:hint="eastAsia"/>
          <w:snapToGrid w:val="0"/>
          <w:szCs w:val="21"/>
        </w:rPr>
        <w:t>企业</w:t>
      </w:r>
      <w:r>
        <w:rPr>
          <w:snapToGrid w:val="0"/>
          <w:szCs w:val="21"/>
        </w:rPr>
        <w:t>。</w:t>
      </w:r>
    </w:p>
    <w:p>
      <w:pPr>
        <w:pStyle w:val="41"/>
        <w:shd w:val="clear"/>
        <w:spacing w:line="400" w:lineRule="exact"/>
        <w:jc w:val="left"/>
        <w:rPr>
          <w:rFonts w:ascii="Times New Roman" w:hAnsi="Times New Roman" w:cs="Times New Roman"/>
          <w:snapToGrid w:val="0"/>
        </w:rPr>
      </w:pPr>
      <w:r>
        <w:rPr>
          <w:rFonts w:hint="eastAsia" w:ascii="黑体" w:eastAsia="黑体"/>
          <w:b/>
          <w:lang w:val="en-US" w:eastAsia="zh-CN"/>
        </w:rPr>
        <w:t>A</w:t>
      </w:r>
      <w:r>
        <w:rPr>
          <w:rFonts w:hint="eastAsia"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1.2</w:t>
      </w:r>
      <w:r>
        <w:rPr>
          <w:rFonts w:hint="eastAsia"/>
          <w:b/>
        </w:rPr>
        <w:t xml:space="preserve">  </w:t>
      </w:r>
      <w:r>
        <w:rPr>
          <w:rFonts w:ascii="Times New Roman" w:hAnsi="Times New Roman" w:cs="Times New Roman"/>
          <w:snapToGrid w:val="0"/>
        </w:rPr>
        <w:t>如遇缺项，则此项不得分，评价总分按照公式进行折算。折算公式为：</w:t>
      </w:r>
    </w:p>
    <w:p>
      <w:pPr>
        <w:pStyle w:val="41"/>
        <w:shd w:val="clear"/>
        <w:spacing w:line="40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评价总分=（实际总得分-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得分）×100/（100-缺项对应分值）+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得分。</w:t>
      </w:r>
      <w:r>
        <w:rPr>
          <w:rFonts w:hint="eastAsia" w:ascii="Times New Roman" w:hAnsi="Times New Roman" w:cs="Times New Roman"/>
          <w:snapToGrid w:val="0"/>
        </w:rPr>
        <w:t>鼓励性指标</w:t>
      </w:r>
      <w:r>
        <w:rPr>
          <w:rFonts w:ascii="Times New Roman" w:hAnsi="Times New Roman" w:cs="Times New Roman"/>
          <w:snapToGrid w:val="0"/>
        </w:rPr>
        <w:t>不计入缺项。</w:t>
      </w:r>
    </w:p>
    <w:p>
      <w:pPr>
        <w:shd w:val="clear"/>
        <w:autoSpaceDE w:val="0"/>
        <w:autoSpaceDN w:val="0"/>
        <w:spacing w:line="400" w:lineRule="exact"/>
        <w:rPr>
          <w:rFonts w:hint="eastAsia" w:eastAsia="宋体"/>
          <w:b/>
          <w:lang w:val="en-US" w:eastAsia="zh-CN"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2</w:t>
      </w:r>
      <w:r>
        <w:rPr>
          <w:rFonts w:hint="eastAsia"/>
          <w:b/>
        </w:rPr>
        <w:t xml:space="preserve">  评价</w:t>
      </w:r>
      <w:r>
        <w:rPr>
          <w:rFonts w:hint="eastAsia"/>
          <w:b/>
          <w:lang w:val="en-US" w:eastAsia="zh-CN"/>
        </w:rPr>
        <w:t>程序</w:t>
      </w:r>
    </w:p>
    <w:p>
      <w:pPr>
        <w:shd w:val="clear"/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  <w:lang w:val="en-US" w:eastAsia="zh-CN"/>
        </w:rPr>
        <w:t>A</w:t>
      </w:r>
      <w:r>
        <w:rPr>
          <w:rFonts w:hint="eastAsia"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2.</w:t>
      </w:r>
      <w:r>
        <w:rPr>
          <w:rFonts w:hint="eastAsia" w:ascii="黑体" w:eastAsia="黑体"/>
          <w:b/>
        </w:rPr>
        <w:t>1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建立专家评审小组，负责开展纺织</w:t>
      </w:r>
      <w:r>
        <w:rPr>
          <w:rFonts w:hint="eastAsia"/>
          <w:bCs/>
          <w:lang w:val="en-US" w:eastAsia="zh-CN"/>
        </w:rPr>
        <w:t>行业</w:t>
      </w:r>
      <w:r>
        <w:rPr>
          <w:rFonts w:hint="eastAsia"/>
          <w:bCs/>
        </w:rPr>
        <w:t>节水型企业的评价工作。</w:t>
      </w:r>
    </w:p>
    <w:p>
      <w:pPr>
        <w:shd w:val="clear"/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  <w:lang w:val="en-US" w:eastAsia="zh-CN"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2</w:t>
      </w:r>
      <w:r>
        <w:rPr>
          <w:rFonts w:hint="eastAsia" w:ascii="黑体" w:eastAsia="黑体"/>
          <w:b/>
          <w:lang w:val="en-US" w:eastAsia="zh-CN"/>
        </w:rPr>
        <w:t>.2</w:t>
      </w:r>
      <w:r>
        <w:rPr>
          <w:rFonts w:hint="eastAsia"/>
          <w:b/>
        </w:rPr>
        <w:t xml:space="preserve">  </w:t>
      </w:r>
      <w:r>
        <w:rPr>
          <w:rFonts w:ascii="Times New Roman" w:hAnsi="Times New Roman" w:cs="Times New Roman"/>
          <w:snapToGrid w:val="0"/>
        </w:rPr>
        <w:t>评价时采取听取汇报</w:t>
      </w:r>
      <w:r>
        <w:rPr>
          <w:rFonts w:hint="eastAsia" w:cs="Times New Roman"/>
          <w:snapToGrid w:val="0"/>
          <w:lang w:eastAsia="zh-CN"/>
        </w:rPr>
        <w:t>、</w:t>
      </w:r>
      <w:r>
        <w:rPr>
          <w:rFonts w:ascii="Times New Roman" w:hAnsi="Times New Roman" w:cs="Times New Roman"/>
          <w:snapToGrid w:val="0"/>
        </w:rPr>
        <w:t>查阅资料</w:t>
      </w:r>
      <w:r>
        <w:rPr>
          <w:rFonts w:hint="eastAsia" w:cs="Times New Roman"/>
          <w:snapToGrid w:val="0"/>
          <w:lang w:val="en-US" w:eastAsia="zh-CN"/>
        </w:rPr>
        <w:t>及</w:t>
      </w:r>
      <w:r>
        <w:rPr>
          <w:rFonts w:ascii="Times New Roman" w:hAnsi="Times New Roman" w:cs="Times New Roman"/>
          <w:snapToGrid w:val="0"/>
        </w:rPr>
        <w:t>现场查看等方式</w:t>
      </w:r>
      <w:r>
        <w:rPr>
          <w:rFonts w:hint="eastAsia" w:cs="Times New Roman"/>
          <w:snapToGrid w:val="0"/>
          <w:lang w:eastAsia="zh-CN"/>
        </w:rPr>
        <w:t>，</w:t>
      </w:r>
      <w:r>
        <w:t>查</w:t>
      </w:r>
      <w:r>
        <w:rPr>
          <w:rFonts w:hint="eastAsia"/>
        </w:rPr>
        <w:t>看</w:t>
      </w:r>
      <w:r>
        <w:rPr>
          <w:rFonts w:hint="eastAsia"/>
          <w:bCs/>
        </w:rPr>
        <w:t>报告文件、统计报表、原始记录；</w:t>
      </w:r>
      <w:r>
        <w:rPr>
          <w:bCs/>
        </w:rPr>
        <w:t>对计量器具、用水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污水</w:t>
      </w:r>
      <w:r>
        <w:rPr>
          <w:bCs/>
        </w:rPr>
        <w:t>处理设施、非常规水利用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节水宣传</w:t>
      </w:r>
      <w:r>
        <w:rPr>
          <w:bCs/>
        </w:rPr>
        <w:t>现场、主要用水部位和用水环节</w:t>
      </w:r>
      <w:r>
        <w:rPr>
          <w:rFonts w:hint="eastAsia"/>
          <w:bCs/>
        </w:rPr>
        <w:t>进行</w:t>
      </w:r>
      <w:r>
        <w:rPr>
          <w:bCs/>
        </w:rPr>
        <w:t>现场查看</w:t>
      </w:r>
      <w:r>
        <w:rPr>
          <w:rFonts w:hint="eastAsia"/>
          <w:bCs/>
        </w:rPr>
        <w:t>，</w:t>
      </w:r>
      <w:r>
        <w:rPr>
          <w:bCs/>
        </w:rPr>
        <w:t>确保资料</w:t>
      </w:r>
      <w:r>
        <w:rPr>
          <w:rFonts w:hint="eastAsia"/>
          <w:bCs/>
        </w:rPr>
        <w:t>真实</w:t>
      </w:r>
      <w:r>
        <w:rPr>
          <w:bCs/>
        </w:rPr>
        <w:t>可靠</w:t>
      </w:r>
      <w:r>
        <w:rPr>
          <w:rFonts w:hint="eastAsia"/>
          <w:bCs/>
        </w:rPr>
        <w:t>。</w:t>
      </w:r>
    </w:p>
    <w:p>
      <w:pPr>
        <w:shd w:val="clear"/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  <w:lang w:val="en-US" w:eastAsia="zh-CN"/>
        </w:rPr>
        <w:t>A</w:t>
      </w:r>
      <w:r>
        <w:rPr>
          <w:rFonts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2.</w:t>
      </w:r>
      <w:r>
        <w:rPr>
          <w:rFonts w:ascii="黑体" w:eastAsia="黑体"/>
          <w:b/>
        </w:rPr>
        <w:t>3</w:t>
      </w:r>
      <w:r>
        <w:rPr>
          <w:rFonts w:hint="eastAsia"/>
          <w:b/>
        </w:rPr>
        <w:t xml:space="preserve">  </w:t>
      </w:r>
      <w:r>
        <w:rPr>
          <w:rFonts w:ascii="Times New Roman" w:hAnsi="Times New Roman" w:cs="Times New Roman"/>
          <w:snapToGrid w:val="0"/>
        </w:rPr>
        <w:t>对各项指标分别赋分</w:t>
      </w:r>
      <w:r>
        <w:rPr>
          <w:rFonts w:hint="eastAsia"/>
          <w:bCs/>
        </w:rPr>
        <w:t>，</w:t>
      </w:r>
      <w:r>
        <w:rPr>
          <w:rFonts w:hint="eastAsia"/>
          <w:bCs/>
          <w:lang w:val="en-US" w:eastAsia="zh-CN"/>
        </w:rPr>
        <w:t>按照评价方法计算</w:t>
      </w:r>
      <w:r>
        <w:rPr>
          <w:rFonts w:hint="eastAsia"/>
          <w:bCs/>
        </w:rPr>
        <w:t>总</w:t>
      </w:r>
      <w:r>
        <w:rPr>
          <w:bCs/>
        </w:rPr>
        <w:t>得分。</w:t>
      </w:r>
    </w:p>
    <w:p>
      <w:pPr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br w:type="page"/>
      </w:r>
    </w:p>
    <w:p>
      <w:pPr>
        <w:pStyle w:val="2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360" w:lineRule="auto"/>
        <w:jc w:val="center"/>
        <w:textAlignment w:val="auto"/>
        <w:rPr>
          <w:rFonts w:hint="eastAsia" w:ascii="黑体" w:hAnsi="黑体" w:eastAsia="黑体" w:cs="黑体"/>
          <w:sz w:val="21"/>
          <w:szCs w:val="21"/>
          <w:lang w:eastAsia="zh-CN"/>
        </w:rPr>
      </w:pPr>
      <w:bookmarkStart w:id="13" w:name="_Toc13486"/>
      <w:r>
        <w:rPr>
          <w:rFonts w:hint="eastAsia" w:ascii="黑体" w:hAnsi="黑体" w:eastAsia="黑体" w:cs="黑体"/>
          <w:sz w:val="21"/>
          <w:szCs w:val="21"/>
        </w:rPr>
        <w:t xml:space="preserve">附 录 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B</w:t>
      </w:r>
      <w:bookmarkEnd w:id="13"/>
    </w:p>
    <w:p>
      <w:pPr>
        <w:pageBreakBefore w:val="0"/>
        <w:widowControl w:val="0"/>
        <w:shd w:val="clear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>（</w:t>
      </w:r>
      <w:r>
        <w:rPr>
          <w:rFonts w:hint="eastAsia" w:eastAsia="黑体"/>
          <w:b/>
          <w:szCs w:val="21"/>
          <w:lang w:val="en-US" w:eastAsia="zh-CN"/>
        </w:rPr>
        <w:t>资料性</w:t>
      </w:r>
      <w:r>
        <w:rPr>
          <w:rFonts w:eastAsia="黑体"/>
          <w:b/>
          <w:szCs w:val="21"/>
        </w:rPr>
        <w:t>附录）</w:t>
      </w:r>
    </w:p>
    <w:p>
      <w:pPr>
        <w:pageBreakBefore w:val="0"/>
        <w:widowControl w:val="0"/>
        <w:shd w:val="clear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eastAsia="黑体"/>
          <w:b/>
          <w:szCs w:val="21"/>
          <w:lang w:val="en-US" w:eastAsia="zh-CN"/>
        </w:rPr>
      </w:pPr>
      <w:r>
        <w:rPr>
          <w:rFonts w:hint="eastAsia" w:eastAsia="黑体"/>
          <w:b/>
          <w:szCs w:val="21"/>
          <w:lang w:val="en-US" w:eastAsia="zh-CN"/>
        </w:rPr>
        <w:t>计算公式</w:t>
      </w:r>
    </w:p>
    <w:p>
      <w:pPr>
        <w:shd w:val="clear"/>
        <w:spacing w:line="400" w:lineRule="exact"/>
        <w:jc w:val="left"/>
        <w:rPr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.1</w:t>
      </w:r>
      <w:r>
        <w:rPr>
          <w:rFonts w:hint="eastAsia"/>
          <w:b/>
        </w:rPr>
        <w:t xml:space="preserve">  单位产品取水量</w:t>
      </w:r>
    </w:p>
    <w:p>
      <w:pPr>
        <w:shd w:val="clear"/>
        <w:spacing w:line="400" w:lineRule="exact"/>
        <w:ind w:firstLine="420" w:firstLineChars="200"/>
        <w:jc w:val="left"/>
        <w:rPr>
          <w:bCs/>
        </w:rPr>
      </w:pPr>
      <w:r>
        <w:rPr>
          <w:rFonts w:hint="eastAsia"/>
        </w:rPr>
        <w:t>企业单位产品取水量按式</w:t>
      </w:r>
      <w:r>
        <w:rPr>
          <w:rFonts w:hint="eastAsia"/>
          <w:bCs/>
        </w:rPr>
        <w:t>（</w:t>
      </w:r>
      <w:r>
        <w:rPr>
          <w:rFonts w:hint="eastAsia"/>
          <w:bCs/>
          <w:lang w:eastAsia="zh-CN"/>
        </w:rPr>
        <w:t>B</w:t>
      </w:r>
      <w:r>
        <w:rPr>
          <w:bCs/>
        </w:rPr>
        <w:t>.1</w:t>
      </w:r>
      <w:r>
        <w:rPr>
          <w:rFonts w:hint="eastAsia"/>
          <w:bCs/>
        </w:rPr>
        <w:t>）计算：</w:t>
      </w:r>
    </w:p>
    <w:p>
      <w:pPr>
        <w:pStyle w:val="182"/>
        <w:shd w:val="clear"/>
        <w:spacing w:before="312" w:after="312"/>
        <w:jc w:val="right"/>
      </w:pPr>
      <w:r>
        <w:rPr>
          <w:rFonts w:hint="eastAsia"/>
        </w:rPr>
        <w:t xml:space="preserve">                       </w:t>
      </w:r>
      <m:oMath>
        <m:sSub>
          <m:sSub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sSubPr>
          <m:e>
            <m:r>
              <m:rPr/>
              <w:rPr>
                <w:rFonts w:ascii="Cambria Math" w:hAnsi="Cambria Math" w:cs="宋体"/>
                <w:snapToGrid w:val="0"/>
                <w:kern w:val="28"/>
                <w:sz w:val="24"/>
                <w:szCs w:val="24"/>
              </w:rPr>
              <m:t>V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cs="宋体"/>
                <w:snapToGrid w:val="0"/>
                <w:kern w:val="28"/>
                <w:sz w:val="24"/>
                <w:szCs w:val="24"/>
              </w:rPr>
              <m:t>u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sub>
        </m:sSub>
        <m:r>
          <m:rPr/>
          <w:rPr>
            <w:rFonts w:ascii="Cambria Math" w:hAnsi="Cambria Math" w:cs="宋体"/>
            <w:snapToGrid w:val="0"/>
            <w:kern w:val="28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宋体"/>
                <w:snapToGrid w:val="0"/>
                <w:kern w:val="28"/>
                <w:sz w:val="24"/>
                <w:szCs w:val="24"/>
              </w:rPr>
              <m:t>V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宋体"/>
                <w:snapToGrid w:val="0"/>
                <w:kern w:val="28"/>
                <w:sz w:val="24"/>
                <w:szCs w:val="24"/>
              </w:rPr>
              <m:t>Q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 w:val="24"/>
                <w:szCs w:val="24"/>
              </w:rPr>
            </m:ctrlPr>
          </m:den>
        </m:f>
      </m:oMath>
      <w:r>
        <w:rPr>
          <w:rFonts w:hint="eastAsia"/>
        </w:rPr>
        <w:t>…………………………………………………（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bCs/>
          <w:szCs w:val="21"/>
        </w:rPr>
        <w:t>1</w:t>
      </w:r>
      <w:r>
        <w:rPr>
          <w:rFonts w:hint="eastAsia"/>
        </w:rPr>
        <w:t>）</w:t>
      </w:r>
    </w:p>
    <w:p>
      <w:pPr>
        <w:pStyle w:val="101"/>
        <w:shd w:val="clear"/>
        <w:spacing w:line="380" w:lineRule="exact"/>
        <w:ind w:firstLine="420"/>
      </w:pPr>
      <w:r>
        <w:rPr>
          <w:rFonts w:hint="eastAsia"/>
        </w:rPr>
        <w:t>式中：</w:t>
      </w:r>
    </w:p>
    <w:p>
      <w:pPr>
        <w:pStyle w:val="101"/>
        <w:shd w:val="clear"/>
        <w:spacing w:line="380" w:lineRule="exact"/>
        <w:ind w:firstLine="420"/>
      </w:pPr>
      <m:oMath>
        <m:sSub>
          <m:sSubPr>
            <m:ctrlPr>
              <w:rPr>
                <w:rFonts w:ascii="Cambria Math" w:hAnsi="Cambria Math" w:cs="宋体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 w:cs="宋体"/>
                <w:szCs w:val="21"/>
              </w:rPr>
              <m:t>V</m:t>
            </m:r>
            <m:ctrlPr>
              <w:rPr>
                <w:rFonts w:ascii="Cambria Math" w:hAnsi="Cambria Math" w:cs="宋体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 w:cs="宋体"/>
                <w:szCs w:val="21"/>
              </w:rPr>
              <m:t>u</m:t>
            </m:r>
            <m:ctrlPr>
              <w:rPr>
                <w:rFonts w:ascii="Cambria Math" w:hAnsi="Cambria Math" w:cs="宋体"/>
                <w:bCs/>
                <w:szCs w:val="21"/>
              </w:rPr>
            </m:ctrlPr>
          </m:sub>
        </m:sSub>
      </m:oMath>
      <w:r>
        <w:rPr>
          <w:rFonts w:hint="eastAsia"/>
        </w:rPr>
        <w:t>——单位产品取水量；</w:t>
      </w:r>
    </w:p>
    <w:p>
      <w:pPr>
        <w:pStyle w:val="101"/>
        <w:shd w:val="clear"/>
        <w:spacing w:line="380" w:lineRule="exact"/>
        <w:ind w:firstLine="420"/>
      </w:pPr>
      <m:oMath>
        <m:r>
          <m:rPr/>
          <w:rPr>
            <w:rFonts w:ascii="Cambria Math" w:hAnsi="Cambria Math" w:cs="宋体"/>
            <w:snapToGrid w:val="0"/>
            <w:kern w:val="28"/>
            <w:szCs w:val="21"/>
          </w:rPr>
          <m:t>V</m:t>
        </m:r>
      </m:oMath>
      <w:r>
        <w:rPr>
          <w:rFonts w:hint="eastAsia"/>
          <w:snapToGrid w:val="0"/>
          <w:kern w:val="28"/>
        </w:rPr>
        <w:t>——</w:t>
      </w:r>
      <w:r>
        <w:rPr>
          <w:rFonts w:hint="eastAsia"/>
        </w:rPr>
        <w:t>在一个自然年内的产品取水量（计算</w:t>
      </w:r>
      <w:r>
        <w:t>应符合DB13/T 54</w:t>
      </w:r>
      <w:r>
        <w:rPr>
          <w:rFonts w:hint="eastAsia"/>
        </w:rPr>
        <w:t>48.5的相关</w:t>
      </w:r>
      <w:r>
        <w:t>规定</w:t>
      </w:r>
      <w:r>
        <w:rPr>
          <w:rFonts w:hint="eastAsia"/>
        </w:rPr>
        <w:t>）；</w:t>
      </w:r>
    </w:p>
    <w:p>
      <w:pPr>
        <w:pStyle w:val="101"/>
        <w:shd w:val="clear"/>
        <w:spacing w:line="380" w:lineRule="exact"/>
        <w:ind w:firstLine="420"/>
      </w:pPr>
      <m:oMath>
        <m:r>
          <m:rPr/>
          <w:rPr>
            <w:rFonts w:ascii="Cambria Math" w:hAnsi="Cambria Math" w:cs="宋体"/>
            <w:szCs w:val="21"/>
          </w:rPr>
          <m:t>Q</m:t>
        </m:r>
      </m:oMath>
      <w:r>
        <w:rPr>
          <w:rFonts w:hint="eastAsia"/>
        </w:rPr>
        <w:t>——在一个自然年内的产品生产量。</w:t>
      </w:r>
    </w:p>
    <w:p>
      <w:pPr>
        <w:shd w:val="clear"/>
        <w:spacing w:line="400" w:lineRule="exact"/>
        <w:jc w:val="left"/>
        <w:rPr>
          <w:rFonts w:hint="default" w:eastAsia="宋体"/>
          <w:b/>
          <w:lang w:val="en-US" w:eastAsia="zh-CN"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.2</w:t>
      </w:r>
      <w:r>
        <w:rPr>
          <w:rFonts w:hint="eastAsia"/>
          <w:b/>
        </w:rPr>
        <w:t xml:space="preserve">  </w:t>
      </w:r>
      <w:r>
        <w:rPr>
          <w:rFonts w:hint="eastAsia"/>
          <w:b/>
          <w:lang w:val="en-US" w:eastAsia="zh-CN"/>
        </w:rPr>
        <w:t>用水综合漏失率</w:t>
      </w:r>
    </w:p>
    <w:p>
      <w:pPr>
        <w:shd w:val="clear"/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  <w:lang w:val="en-US" w:eastAsia="zh-CN"/>
        </w:rPr>
        <w:t>用水综合漏失率</w:t>
      </w:r>
      <w:r>
        <w:rPr>
          <w:rFonts w:hint="eastAsia"/>
          <w:bCs/>
        </w:rPr>
        <w:t>按式（</w:t>
      </w:r>
      <w:r>
        <w:rPr>
          <w:rFonts w:hint="eastAsia"/>
          <w:bCs/>
          <w:lang w:eastAsia="zh-CN"/>
        </w:rPr>
        <w:t>B</w:t>
      </w:r>
      <w:r>
        <w:rPr>
          <w:bCs/>
        </w:rPr>
        <w:t>.2</w:t>
      </w:r>
      <w:r>
        <w:rPr>
          <w:rFonts w:hint="eastAsia"/>
          <w:bCs/>
        </w:rPr>
        <w:t>）计算：</w:t>
      </w:r>
    </w:p>
    <w:p>
      <w:pPr>
        <w:pStyle w:val="4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420" w:firstLineChars="200"/>
        <w:jc w:val="right"/>
        <w:textAlignment w:val="auto"/>
        <w:outlineLvl w:val="9"/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m:oMath>
        <m:sSub>
          <m:sSubPr>
            <m:ctrlPr>
              <w:rPr>
                <w:rFonts w:ascii="Cambria Math" w:hAnsi="Cambria Math" w:eastAsia="Cambria Math" w:cs="宋体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m:rPr/>
              <w:rPr>
                <w:rFonts w:ascii="Cambria Math" w:hAnsi="Cambria Math" w:eastAsia="宋体" w:cs="宋体"/>
                <w:snapToGrid w:val="0"/>
                <w:kern w:val="28"/>
                <w:szCs w:val="21"/>
              </w:rPr>
              <m:t>K</m:t>
            </m:r>
            <m:ctrlPr>
              <w:rPr>
                <w:rFonts w:ascii="Cambria Math" w:hAnsi="Cambria Math" w:eastAsia="Cambria Math" w:cs="宋体"/>
                <w:bCs/>
                <w:i/>
                <w:snapToGrid w:val="0"/>
                <w:kern w:val="28"/>
                <w:szCs w:val="21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 w:cs="宋体"/>
                <w:snapToGrid w:val="0"/>
                <w:kern w:val="28"/>
                <w:szCs w:val="21"/>
              </w:rPr>
              <m:t>1</m:t>
            </m:r>
            <m:ctrlPr>
              <w:rPr>
                <w:rFonts w:ascii="Cambria Math" w:hAnsi="Cambria Math" w:eastAsia="Cambria Math" w:cs="宋体"/>
                <w:bCs/>
                <w:i/>
                <w:snapToGrid w:val="0"/>
                <w:kern w:val="28"/>
                <w:szCs w:val="21"/>
              </w:rPr>
            </m:ctrlPr>
          </m:sub>
        </m:sSub>
        <m:r>
          <m:rPr/>
          <w:rPr>
            <w:rFonts w:ascii="Cambria Math" w:hAnsi="Cambria Math" w:cs="宋体"/>
            <w:snapToGrid w:val="0"/>
            <w:kern w:val="28"/>
            <w:szCs w:val="21"/>
          </w:rPr>
          <m:t>=</m:t>
        </m:r>
        <m:f>
          <m:f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V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eastAsia="宋体" w:cs="宋体"/>
                    <w:snapToGrid w:val="0"/>
                    <w:kern w:val="28"/>
                    <w:szCs w:val="21"/>
                  </w:rPr>
                  <m:t>1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V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/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i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den>
        </m:f>
        <m:r>
          <m:rPr/>
          <w:rPr>
            <w:rFonts w:ascii="Cambria Math" w:hAnsi="Cambria Math"/>
            <w:snapToGrid w:val="0"/>
            <w:kern w:val="28"/>
            <w:szCs w:val="21"/>
          </w:rPr>
          <m:t>×100</m:t>
        </m:r>
        <m:r>
          <m:rPr/>
          <w:rPr>
            <w:rFonts w:hint="default" w:ascii="Cambria Math" w:hAnsi="Cambria Math"/>
            <w:snapToGrid w:val="0"/>
            <w:kern w:val="28"/>
            <w:szCs w:val="21"/>
            <w:lang w:val="en-US" w:eastAsia="zh-CN"/>
          </w:rPr>
          <m:t>%</m:t>
        </m:r>
      </m:oMath>
      <w:r>
        <w:rPr>
          <w:rFonts w:hint="eastAsia" w:hAnsi="Cambria Math"/>
          <w:i w:val="0"/>
          <w:snapToGrid w:val="0"/>
          <w:kern w:val="28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>…………………………（</w:t>
      </w:r>
      <w:r>
        <w:rPr>
          <w:rFonts w:hint="eastAsia" w:ascii="Times New Roman" w:cs="Times New Roman" w:eastAsiaTheme="minorEastAsia"/>
          <w:b w:val="0"/>
          <w:bCs w:val="0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>）</w:t>
      </w:r>
    </w:p>
    <w:p>
      <w:pPr>
        <w:pStyle w:val="101"/>
        <w:spacing w:line="360" w:lineRule="auto"/>
        <w:ind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式中：</w:t>
      </w:r>
    </w:p>
    <w:p>
      <w:pPr>
        <w:snapToGrid w:val="0"/>
        <w:spacing w:line="360" w:lineRule="auto"/>
        <w:ind w:firstLine="420" w:firstLineChars="200"/>
        <w:rPr>
          <w:rFonts w:ascii="Times New Roman" w:hAnsi="Times New Roman" w:cs="宋体"/>
          <w:i/>
          <w:snapToGrid w:val="0"/>
          <w:kern w:val="28"/>
        </w:rPr>
      </w:pPr>
      <m:oMath>
        <m:sSub>
          <m:sSubPr>
            <m:ctrlPr>
              <w:rPr>
                <w:rFonts w:ascii="Cambria Math" w:hAnsi="Cambria Math" w:cs="宋体"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hint="default" w:ascii="Cambria Math" w:hAnsi="Cambria Math" w:cs="宋体"/>
                <w:snapToGrid w:val="0"/>
                <w:kern w:val="28"/>
                <w:lang w:val="en-US" w:eastAsia="zh-CN"/>
              </w:rPr>
              <m:t>K</m:t>
            </m:r>
            <m:ctrlPr>
              <w:rPr>
                <w:rFonts w:ascii="Cambria Math" w:hAnsi="Cambria Math" w:cs="宋体"/>
                <w:i/>
                <w:snapToGrid w:val="0"/>
                <w:kern w:val="28"/>
              </w:rPr>
            </m:ctrlPr>
          </m:e>
          <m:sub>
            <m:r>
              <m:rPr/>
              <w:rPr>
                <w:rFonts w:hint="default" w:ascii="Cambria Math" w:hAnsi="Cambria Math" w:cs="宋体"/>
                <w:snapToGrid w:val="0"/>
                <w:kern w:val="28"/>
                <w:lang w:val="en-US" w:eastAsia="zh-CN"/>
              </w:rPr>
              <m:t>1</m:t>
            </m:r>
            <m:ctrlPr>
              <w:rPr>
                <w:rFonts w:ascii="Cambria Math" w:hAnsi="Cambria Math" w:cs="宋体"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cs="宋体"/>
          <w:i w:val="0"/>
          <w:iCs/>
          <w:snapToGrid w:val="0"/>
          <w:kern w:val="28"/>
          <w:lang w:val="en-US" w:eastAsia="zh-CN"/>
        </w:rPr>
        <w:t>用水综合漏失率</w:t>
      </w:r>
      <w:r>
        <w:rPr>
          <w:rFonts w:hint="eastAsia" w:ascii="Times New Roman" w:hAnsi="Times New Roman" w:cs="宋体"/>
          <w:bCs/>
          <w:kern w:val="0"/>
          <w:lang w:eastAsia="zh-CN"/>
        </w:rPr>
        <w:t>（</w:t>
      </w:r>
      <w:r>
        <w:rPr>
          <w:rFonts w:hint="eastAsia" w:ascii="Times New Roman" w:hAnsi="Times New Roman" w:cs="宋体"/>
          <w:bCs/>
          <w:kern w:val="0"/>
          <w:lang w:val="en-US" w:eastAsia="zh-CN"/>
        </w:rPr>
        <w:t>%</w:t>
      </w:r>
      <w:r>
        <w:rPr>
          <w:rFonts w:hint="eastAsia" w:ascii="Times New Roman" w:hAnsi="Times New Roman" w:cs="宋体"/>
          <w:bCs/>
          <w:kern w:val="0"/>
          <w:lang w:eastAsia="zh-CN"/>
        </w:rPr>
        <w:t>）</w:t>
      </w:r>
      <w:r>
        <w:rPr>
          <w:rFonts w:hint="eastAsia" w:ascii="Times New Roman" w:hAnsi="Times New Roman" w:cs="宋体"/>
          <w:bCs/>
          <w:kern w:val="0"/>
        </w:rPr>
        <w:t>；</w:t>
      </w:r>
    </w:p>
    <w:p>
      <w:pPr>
        <w:snapToGrid w:val="0"/>
        <w:spacing w:line="360" w:lineRule="auto"/>
        <w:ind w:firstLine="420" w:firstLineChars="200"/>
        <w:rPr>
          <w:rFonts w:ascii="Times New Roman" w:hAnsi="Times New Roman" w:cs="宋体"/>
          <w:bCs/>
          <w:kern w:val="0"/>
        </w:rPr>
      </w:pPr>
      <m:oMath>
        <m:sSub>
          <m:sSubP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napToGrid w:val="0"/>
                <w:kern w:val="28"/>
              </w:rPr>
              <m:t>V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 w:cs="Cambria Math"/>
                <w:snapToGrid w:val="0"/>
                <w:kern w:val="28"/>
              </w:rPr>
              <m:t>1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在一定的计量时间内，企业的漏</w:t>
      </w:r>
      <w:r>
        <w:rPr>
          <w:rFonts w:hint="eastAsia" w:cs="宋体"/>
          <w:bCs/>
          <w:kern w:val="0"/>
          <w:lang w:val="en-US" w:eastAsia="zh-CN"/>
        </w:rPr>
        <w:t>失</w:t>
      </w:r>
      <w:r>
        <w:rPr>
          <w:rFonts w:hint="eastAsia" w:ascii="Times New Roman" w:hAnsi="Times New Roman" w:cs="宋体"/>
          <w:bCs/>
          <w:kern w:val="0"/>
        </w:rPr>
        <w:t>水量，单位为立方米（m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）；</w:t>
      </w:r>
    </w:p>
    <w:p>
      <w:pPr>
        <w:snapToGrid w:val="0"/>
        <w:spacing w:line="360" w:lineRule="auto"/>
        <w:ind w:firstLine="420" w:firstLineChars="200"/>
        <w:rPr>
          <w:rFonts w:hint="eastAsia" w:eastAsia="宋体"/>
          <w:bCs/>
          <w:szCs w:val="21"/>
          <w:lang w:val="en-US" w:eastAsia="zh-CN"/>
        </w:rPr>
      </w:pPr>
      <m:oMath>
        <m:sSub>
          <m:sSubP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napToGrid w:val="0"/>
                <w:kern w:val="28"/>
              </w:rPr>
              <m:t>V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 w:cs="Cambria Math"/>
                <w:snapToGrid w:val="0"/>
                <w:kern w:val="28"/>
              </w:rPr>
              <m:t>i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</w:t>
      </w:r>
      <w:r>
        <w:rPr>
          <w:rFonts w:hint="eastAsia" w:cs="宋体"/>
          <w:bCs/>
          <w:kern w:val="0"/>
          <w:lang w:val="en-US" w:eastAsia="zh-CN"/>
        </w:rPr>
        <w:t>企业的取水量（）</w:t>
      </w:r>
      <w:r>
        <w:rPr>
          <w:rFonts w:hint="eastAsia" w:ascii="Times New Roman" w:hAnsi="Times New Roman" w:cs="宋体"/>
          <w:bCs/>
          <w:kern w:val="0"/>
        </w:rPr>
        <w:t>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</w:t>
      </w:r>
      <w:r>
        <w:rPr>
          <w:rFonts w:hint="eastAsia" w:cs="宋体"/>
          <w:bCs/>
          <w:kern w:val="0"/>
          <w:lang w:eastAsia="zh-CN"/>
        </w:rPr>
        <w:t>。</w:t>
      </w:r>
    </w:p>
    <w:p>
      <w:pPr>
        <w:shd w:val="clear"/>
        <w:spacing w:line="400" w:lineRule="exact"/>
        <w:jc w:val="left"/>
        <w:rPr>
          <w:rFonts w:ascii="黑体" w:eastAsia="黑体"/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.3  水计量器具配备率</w:t>
      </w:r>
    </w:p>
    <w:p>
      <w:pPr>
        <w:pStyle w:val="101"/>
        <w:shd w:val="clear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水计量器具配备率按式（</w:t>
      </w:r>
      <w:r>
        <w:rPr>
          <w:rFonts w:hint="eastAsia" w:ascii="Times New Roman"/>
          <w:szCs w:val="21"/>
          <w:lang w:eastAsia="zh-CN"/>
        </w:rPr>
        <w:t>B</w:t>
      </w:r>
      <w:r>
        <w:rPr>
          <w:rFonts w:ascii="Times New Roman"/>
          <w:szCs w:val="21"/>
        </w:rPr>
        <w:t>.3）计算：</w:t>
      </w:r>
    </w:p>
    <w:p>
      <w:pPr>
        <w:shd w:val="clear"/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bCs/>
          <w:szCs w:val="21"/>
        </w:rPr>
        <w:t>3</w:t>
      </w:r>
      <w:r>
        <w:rPr>
          <w:rFonts w:hint="eastAsia"/>
          <w:bCs/>
          <w:szCs w:val="21"/>
        </w:rPr>
        <w:t>）</w:t>
      </w:r>
    </w:p>
    <w:p>
      <w:pPr>
        <w:shd w:val="clear"/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——水计量</w:t>
      </w:r>
      <w:r>
        <w:rPr>
          <w:bCs/>
          <w:szCs w:val="21"/>
        </w:rPr>
        <w:t>器具</w:t>
      </w:r>
      <w:r>
        <w:rPr>
          <w:rFonts w:hint="eastAsia"/>
          <w:bCs/>
          <w:szCs w:val="21"/>
        </w:rPr>
        <w:t>配备率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</w:t>
      </w:r>
      <w:r>
        <w:rPr>
          <w:bCs/>
          <w:szCs w:val="21"/>
        </w:rPr>
        <w:t>实际</w:t>
      </w:r>
      <w:r>
        <w:rPr>
          <w:rFonts w:hint="eastAsia"/>
          <w:bCs/>
          <w:szCs w:val="21"/>
        </w:rPr>
        <w:t>安装</w:t>
      </w:r>
      <w:r>
        <w:rPr>
          <w:bCs/>
          <w:szCs w:val="21"/>
        </w:rPr>
        <w:t>配备的水计量器具</w:t>
      </w:r>
      <w:r>
        <w:rPr>
          <w:rFonts w:hint="eastAsia"/>
          <w:bCs/>
          <w:szCs w:val="21"/>
        </w:rPr>
        <w:t>数量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hd w:val="clear"/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层次测量</w:t>
      </w:r>
      <w:r>
        <w:rPr>
          <w:bCs/>
          <w:szCs w:val="21"/>
        </w:rPr>
        <w:t>全部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所需配备的水计量器具</w:t>
      </w:r>
      <w:r>
        <w:rPr>
          <w:rFonts w:hint="eastAsia"/>
          <w:bCs/>
          <w:szCs w:val="21"/>
        </w:rPr>
        <w:t>数量（件）。</w:t>
      </w:r>
    </w:p>
    <w:p>
      <w:pPr>
        <w:pStyle w:val="101"/>
        <w:shd w:val="clear"/>
        <w:tabs>
          <w:tab w:val="center" w:pos="4201"/>
          <w:tab w:val="right" w:leader="dot" w:pos="9298"/>
        </w:tabs>
        <w:spacing w:line="400" w:lineRule="exact"/>
        <w:ind w:firstLine="0" w:firstLineChars="0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注：</w:t>
      </w:r>
      <w:r>
        <w:rPr>
          <w:rFonts w:ascii="Times New Roman"/>
          <w:szCs w:val="21"/>
        </w:rPr>
        <w:t>计量层次有分户计量、分区计量和主要用水设备计量</w:t>
      </w:r>
      <w:r>
        <w:rPr>
          <w:rFonts w:hint="eastAsia" w:ascii="Times New Roman"/>
          <w:szCs w:val="21"/>
        </w:rPr>
        <w:t>。</w:t>
      </w:r>
    </w:p>
    <w:p>
      <w:pPr>
        <w:shd w:val="clear"/>
        <w:spacing w:line="400" w:lineRule="exact"/>
        <w:jc w:val="left"/>
        <w:rPr>
          <w:rFonts w:ascii="黑体" w:eastAsia="黑体"/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4</w:t>
      </w:r>
      <w:r>
        <w:rPr>
          <w:rFonts w:ascii="黑体" w:eastAsia="黑体"/>
          <w:b/>
        </w:rPr>
        <w:t xml:space="preserve">  节水型器具普及率</w:t>
      </w:r>
    </w:p>
    <w:p>
      <w:pPr>
        <w:pStyle w:val="101"/>
        <w:shd w:val="clear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节水型器具普及率按式（</w:t>
      </w:r>
      <w:r>
        <w:rPr>
          <w:rFonts w:hint="eastAsia" w:ascii="Times New Roman"/>
          <w:szCs w:val="21"/>
          <w:lang w:eastAsia="zh-CN"/>
        </w:rPr>
        <w:t>B</w:t>
      </w:r>
      <w:r>
        <w:rPr>
          <w:rFonts w:ascii="Times New Roman"/>
          <w:szCs w:val="21"/>
        </w:rPr>
        <w:t>.4）计算：</w:t>
      </w:r>
    </w:p>
    <w:p>
      <w:pPr>
        <w:shd w:val="clear"/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</w:rPr>
        <w:t>）</w:t>
      </w:r>
    </w:p>
    <w:p>
      <w:pPr>
        <w:shd w:val="clear"/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——节水型</w:t>
      </w:r>
      <w:r>
        <w:rPr>
          <w:bCs/>
          <w:szCs w:val="21"/>
        </w:rPr>
        <w:t>器具普及率（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单位实际安装</w:t>
      </w:r>
      <w:r>
        <w:rPr>
          <w:rFonts w:hint="eastAsia"/>
          <w:bCs/>
          <w:szCs w:val="21"/>
        </w:rPr>
        <w:t>使用</w:t>
      </w:r>
      <w:r>
        <w:rPr>
          <w:bCs/>
          <w:szCs w:val="21"/>
        </w:rPr>
        <w:t>的节水型器具数量（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单位实际使用的总用水器具</w:t>
      </w:r>
      <w:r>
        <w:rPr>
          <w:rFonts w:hint="eastAsia"/>
          <w:bCs/>
          <w:szCs w:val="21"/>
        </w:rPr>
        <w:t>数量（件）。</w:t>
      </w:r>
    </w:p>
    <w:p>
      <w:pPr>
        <w:shd w:val="clear"/>
        <w:spacing w:line="400" w:lineRule="exact"/>
        <w:jc w:val="left"/>
        <w:rPr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5</w:t>
      </w:r>
      <w:r>
        <w:rPr>
          <w:rFonts w:hint="eastAsia"/>
          <w:b/>
        </w:rPr>
        <w:t xml:space="preserve">  蒸汽冷凝水回收率</w:t>
      </w:r>
    </w:p>
    <w:p>
      <w:pPr>
        <w:shd w:val="clear"/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蒸汽冷凝水回收率按式（</w:t>
      </w:r>
      <w:r>
        <w:rPr>
          <w:rFonts w:hint="eastAsia"/>
          <w:bCs/>
          <w:lang w:eastAsia="zh-CN"/>
        </w:rPr>
        <w:t>B</w:t>
      </w:r>
      <w:r>
        <w:rPr>
          <w:bCs/>
        </w:rPr>
        <w:t>.</w:t>
      </w:r>
      <w:r>
        <w:rPr>
          <w:rFonts w:hint="eastAsia"/>
          <w:bCs/>
          <w:lang w:val="en-US" w:eastAsia="zh-CN"/>
        </w:rPr>
        <w:t>5</w:t>
      </w:r>
      <w:r>
        <w:rPr>
          <w:rFonts w:hint="eastAsia"/>
          <w:bCs/>
        </w:rPr>
        <w:t>）计算：</w:t>
      </w:r>
    </w:p>
    <w:p>
      <w:pPr>
        <w:shd w:val="clear"/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br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i/>
                <w:szCs w:val="21"/>
              </w:rPr>
            </m:ctrlPr>
          </m:num>
          <m:den>
            <m:r>
              <m:rPr/>
              <w:rPr>
                <w:rFonts w:ascii="Cambria Math" w:hAnsi="Cambria Math"/>
                <w:szCs w:val="21"/>
              </w:rPr>
              <m:t>D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×ρ×100%</m:t>
        </m:r>
      </m:oMath>
      <w:r>
        <w:rPr>
          <w:rFonts w:hint="eastAsia"/>
          <w:bCs/>
          <w:szCs w:val="21"/>
        </w:rPr>
        <w:t>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rFonts w:hint="eastAsia"/>
          <w:bCs/>
          <w:szCs w:val="21"/>
          <w:lang w:val="en-US" w:eastAsia="zh-CN"/>
        </w:rPr>
        <w:t>5</w:t>
      </w:r>
      <w:r>
        <w:rPr>
          <w:rFonts w:hint="eastAsia"/>
          <w:bCs/>
          <w:szCs w:val="21"/>
        </w:rPr>
        <w:t>）</w:t>
      </w:r>
    </w:p>
    <w:p>
      <w:pPr>
        <w:shd w:val="clear"/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蒸汽冷凝水</w:t>
      </w:r>
      <w:r>
        <w:rPr>
          <w:rFonts w:hint="eastAsia"/>
          <w:bCs/>
          <w:szCs w:val="21"/>
        </w:rPr>
        <w:t>回收率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评价年单位蒸汽冷凝水</w:t>
      </w:r>
      <w:r>
        <w:rPr>
          <w:rFonts w:hint="eastAsia"/>
          <w:bCs/>
          <w:szCs w:val="21"/>
        </w:rPr>
        <w:t>回收</w:t>
      </w:r>
      <w:r>
        <w:rPr>
          <w:bCs/>
          <w:szCs w:val="21"/>
        </w:rPr>
        <w:t>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r>
          <m:rPr/>
          <w:rPr>
            <w:rFonts w:ascii="Cambria Math" w:hAnsi="Cambria Math"/>
            <w:szCs w:val="21"/>
          </w:rPr>
          <m:t>D</m:t>
        </m:r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</w:t>
      </w:r>
      <w:r>
        <w:rPr>
          <w:rFonts w:hint="eastAsia"/>
          <w:bCs/>
          <w:szCs w:val="21"/>
        </w:rPr>
        <w:t>产汽设备</w:t>
      </w:r>
      <w:r>
        <w:rPr>
          <w:bCs/>
          <w:szCs w:val="21"/>
        </w:rPr>
        <w:t>的</w:t>
      </w:r>
      <w:r>
        <w:rPr>
          <w:rFonts w:hint="eastAsia"/>
          <w:bCs/>
          <w:szCs w:val="21"/>
        </w:rPr>
        <w:t>产气量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t/h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hd w:val="clear"/>
        <w:spacing w:line="400" w:lineRule="exact"/>
        <w:jc w:val="left"/>
        <w:rPr>
          <w:bCs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——冷凝</w:t>
      </w:r>
      <w:r>
        <w:rPr>
          <w:bCs/>
          <w:szCs w:val="21"/>
        </w:rPr>
        <w:t>水体积质量</w:t>
      </w:r>
      <w:r>
        <w:rPr>
          <w:rFonts w:hint="eastAsia"/>
          <w:bCs/>
          <w:szCs w:val="21"/>
        </w:rPr>
        <w:t>（t/m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）。注：</w:t>
      </w: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、</w:t>
      </w: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均</w:t>
      </w:r>
      <w:r>
        <w:rPr>
          <w:bCs/>
          <w:szCs w:val="21"/>
        </w:rPr>
        <w:t>指在标准状态下。</w:t>
      </w:r>
    </w:p>
    <w:p>
      <w:pPr>
        <w:shd w:val="clear"/>
        <w:spacing w:line="400" w:lineRule="exact"/>
        <w:jc w:val="left"/>
        <w:rPr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6</w:t>
      </w:r>
      <w:r>
        <w:rPr>
          <w:rFonts w:hint="eastAsia"/>
          <w:b/>
        </w:rPr>
        <w:t xml:space="preserve">  </w:t>
      </w:r>
      <w:r>
        <w:rPr>
          <w:rFonts w:hint="eastAsia"/>
          <w:b/>
          <w:lang w:val="en-US" w:eastAsia="zh-CN"/>
        </w:rPr>
        <w:t>重复利用</w:t>
      </w:r>
      <w:r>
        <w:rPr>
          <w:rFonts w:hint="eastAsia"/>
          <w:b/>
        </w:rPr>
        <w:t>率</w:t>
      </w:r>
    </w:p>
    <w:p>
      <w:pPr>
        <w:pStyle w:val="116"/>
        <w:shd w:val="clear"/>
        <w:ind w:firstLine="40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重复利用率按式（</w:t>
      </w:r>
      <w:r>
        <w:rPr>
          <w:rFonts w:hint="eastAsia"/>
          <w:lang w:eastAsia="zh-CN"/>
        </w:rPr>
        <w:t>B</w:t>
      </w:r>
      <w:r>
        <w:rPr>
          <w:rFonts w:hint="eastAsia" w:ascii="Times New Roman" w:hAnsi="Times New Roman"/>
        </w:rPr>
        <w:t>.</w:t>
      </w:r>
      <w:r>
        <w:rPr>
          <w:rFonts w:hint="eastAsia"/>
          <w:lang w:val="en-US" w:eastAsia="zh-CN"/>
        </w:rPr>
        <w:t>6</w:t>
      </w:r>
      <w:r>
        <w:rPr>
          <w:rFonts w:hint="eastAsia" w:ascii="Times New Roman" w:hAnsi="Times New Roman"/>
        </w:rPr>
        <w:t>）计算：</w:t>
      </w:r>
    </w:p>
    <w:p>
      <w:pPr>
        <w:shd w:val="clear"/>
        <w:spacing w:line="360" w:lineRule="auto"/>
        <w:ind w:firstLine="3780" w:firstLineChars="1800"/>
        <w:jc w:val="left"/>
        <w:rPr>
          <w:bCs/>
          <w:szCs w:val="21"/>
        </w:rPr>
      </w:pPr>
      <m:oMath>
        <m:r>
          <m:rPr/>
          <w:rPr>
            <w:rFonts w:ascii="Cambria Math" w:hAnsi="Cambria Math" w:cs="宋体"/>
            <w:snapToGrid w:val="0"/>
            <w:kern w:val="28"/>
            <w:szCs w:val="21"/>
          </w:rPr>
          <m:t>R=</m:t>
        </m:r>
        <m:f>
          <m:f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V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/>
                  <w:rPr>
                    <w:rFonts w:hint="default" w:ascii="Cambria Math" w:hAnsi="Cambria Math" w:eastAsia="宋体" w:cs="宋体"/>
                    <w:snapToGrid w:val="0"/>
                    <w:kern w:val="28"/>
                    <w:szCs w:val="21"/>
                    <w:lang w:val="en-US" w:eastAsia="zh-CN"/>
                  </w:rPr>
                  <m:t>r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V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i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r>
              <m:rPr/>
              <w:rPr>
                <w:rFonts w:ascii="Cambria Math" w:hAnsi="Cambria Math" w:eastAsia="Cambria Math" w:cs="宋体"/>
                <w:snapToGrid w:val="0"/>
                <w:kern w:val="28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eastAsia="Cambria Math" w:cs="宋体"/>
                    <w:bCs/>
                    <w:iCs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V</m:t>
                </m:r>
                <m:ctrlPr>
                  <w:rPr>
                    <w:rFonts w:ascii="Cambria Math" w:hAnsi="Cambria Math" w:eastAsia="Cambria Math" w:cs="宋体"/>
                    <w:bCs/>
                    <w:iCs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r</m:t>
                </m:r>
                <m:ctrlPr>
                  <w:rPr>
                    <w:rFonts w:ascii="Cambria Math" w:hAnsi="Cambria Math" w:eastAsia="Cambria Math" w:cs="宋体"/>
                    <w:bCs/>
                    <w:iCs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den>
        </m:f>
        <m:r>
          <m:rPr/>
          <w:rPr>
            <w:rFonts w:ascii="Cambria Math" w:hAnsi="Cambria Math"/>
            <w:snapToGrid w:val="0"/>
            <w:kern w:val="28"/>
            <w:szCs w:val="21"/>
          </w:rPr>
          <m:t>×100</m:t>
        </m:r>
        <m:r>
          <m:rPr/>
          <w:rPr>
            <w:rFonts w:hint="eastAsia" w:ascii="Cambria Math" w:hAnsi="Cambria Math"/>
            <w:snapToGrid w:val="0"/>
            <w:kern w:val="28"/>
            <w:szCs w:val="21"/>
          </w:rPr>
          <m:t>%</m:t>
        </m:r>
      </m:oMath>
      <w:r>
        <w:rPr>
          <w:rFonts w:hint="eastAsia"/>
          <w:bCs/>
          <w:szCs w:val="21"/>
        </w:rPr>
        <w:t>……………………………………（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rFonts w:hint="eastAsia"/>
          <w:bCs/>
          <w:szCs w:val="21"/>
          <w:lang w:val="en-US" w:eastAsia="zh-CN"/>
        </w:rPr>
        <w:t>6</w:t>
      </w:r>
      <w:r>
        <w:rPr>
          <w:rFonts w:hint="eastAsia"/>
          <w:bCs/>
          <w:szCs w:val="21"/>
        </w:rPr>
        <w:t>）</w:t>
      </w:r>
    </w:p>
    <w:p>
      <w:pPr>
        <w:pStyle w:val="101"/>
        <w:shd w:val="clear"/>
        <w:spacing w:line="360" w:lineRule="auto"/>
        <w:ind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式中：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i/>
          <w:snapToGrid w:val="0"/>
          <w:kern w:val="28"/>
        </w:rPr>
      </w:pPr>
      <m:oMath>
        <m:r>
          <m:rPr/>
          <w:rPr>
            <w:rFonts w:ascii="Cambria Math" w:hAnsi="Cambria Math" w:cs="宋体"/>
            <w:snapToGrid w:val="0"/>
            <w:kern w:val="28"/>
            <w:szCs w:val="21"/>
          </w:rPr>
          <m:t>R</m:t>
        </m:r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重复利用率；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bCs/>
          <w:kern w:val="0"/>
        </w:rPr>
      </w:pPr>
      <m:oMath>
        <m:sSub>
          <m:sSubP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napToGrid w:val="0"/>
                <w:kern w:val="28"/>
              </w:rPr>
              <m:t>V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Cambria Math" w:cs="Cambria Math"/>
                <w:snapToGrid w:val="0"/>
                <w:kern w:val="28"/>
              </w:rPr>
              <m:t>r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在一定的计量时间内，企业的重复利用水量，单位为立方米（m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）；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bCs/>
          <w:kern w:val="0"/>
        </w:rPr>
      </w:pPr>
      <m:oMath>
        <m:sSub>
          <m:sSubP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napToGrid w:val="0"/>
                <w:kern w:val="28"/>
              </w:rPr>
              <m:t>V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Cambria Math" w:cs="Cambria Math"/>
                <w:snapToGrid w:val="0"/>
                <w:kern w:val="28"/>
              </w:rPr>
              <m:t>i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在一定的计量时间内，企业的取水量，单位为立方米（m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）。</w:t>
      </w:r>
    </w:p>
    <w:p>
      <w:pPr>
        <w:shd w:val="clear"/>
        <w:spacing w:line="400" w:lineRule="exact"/>
        <w:jc w:val="left"/>
        <w:rPr>
          <w:b/>
        </w:rPr>
      </w:pPr>
      <w:r>
        <w:rPr>
          <w:rFonts w:hint="eastAsia" w:ascii="黑体" w:eastAsia="黑体"/>
          <w:b/>
          <w:lang w:val="en-US" w:eastAsia="zh-CN"/>
        </w:rPr>
        <w:t>B</w:t>
      </w:r>
      <w:r>
        <w:rPr>
          <w:rFonts w:ascii="黑体" w:eastAsia="黑体"/>
          <w:b/>
        </w:rPr>
        <w:t>.</w:t>
      </w:r>
      <w:r>
        <w:rPr>
          <w:rFonts w:hint="eastAsia" w:ascii="黑体" w:eastAsia="黑体"/>
          <w:b/>
          <w:lang w:val="en-US" w:eastAsia="zh-CN"/>
        </w:rPr>
        <w:t>7</w:t>
      </w:r>
      <w:r>
        <w:rPr>
          <w:rFonts w:hint="eastAsia"/>
          <w:b/>
        </w:rPr>
        <w:t xml:space="preserve">  </w:t>
      </w:r>
      <w:r>
        <w:rPr>
          <w:rFonts w:hint="eastAsia"/>
          <w:b/>
          <w:lang w:val="en-US" w:eastAsia="zh-CN"/>
        </w:rPr>
        <w:t>非常规水源替代</w:t>
      </w:r>
      <w:r>
        <w:rPr>
          <w:rFonts w:hint="eastAsia"/>
          <w:b/>
        </w:rPr>
        <w:t>率</w:t>
      </w:r>
    </w:p>
    <w:p>
      <w:pPr>
        <w:pStyle w:val="116"/>
        <w:shd w:val="clear"/>
        <w:ind w:firstLine="400" w:firstLineChars="200"/>
        <w:rPr>
          <w:rFonts w:ascii="Times New Roman" w:hAnsi="Times New Roman"/>
        </w:rPr>
      </w:pPr>
      <w:r>
        <w:rPr>
          <w:rFonts w:hint="eastAsia"/>
          <w:lang w:val="en-US" w:eastAsia="zh-CN"/>
        </w:rPr>
        <w:t>非常规水源替代率</w:t>
      </w:r>
      <w:r>
        <w:rPr>
          <w:rFonts w:hint="eastAsia" w:ascii="Times New Roman" w:hAnsi="Times New Roman"/>
        </w:rPr>
        <w:t>按式（</w:t>
      </w:r>
      <w:r>
        <w:rPr>
          <w:rFonts w:hint="eastAsia"/>
          <w:lang w:eastAsia="zh-CN"/>
        </w:rPr>
        <w:t>B</w:t>
      </w:r>
      <w:r>
        <w:rPr>
          <w:rFonts w:hint="eastAsia" w:ascii="Times New Roman" w:hAnsi="Times New Roman"/>
        </w:rPr>
        <w:t>.</w:t>
      </w:r>
      <w:r>
        <w:rPr>
          <w:rFonts w:hint="eastAsia"/>
          <w:lang w:val="en-US" w:eastAsia="zh-CN"/>
        </w:rPr>
        <w:t>7</w:t>
      </w:r>
      <w:r>
        <w:rPr>
          <w:rFonts w:hint="eastAsia" w:ascii="Times New Roman" w:hAnsi="Times New Roman"/>
        </w:rPr>
        <w:t>）计算：</w:t>
      </w:r>
    </w:p>
    <w:p>
      <w:pPr>
        <w:shd w:val="clear"/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sSubPr>
          <m:e>
            <m:r>
              <m:rPr/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K</m:t>
            </m: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h</m:t>
            </m: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sub>
        </m:sSub>
        <m:r>
          <m:rPr/>
          <w:rPr>
            <w:rFonts w:ascii="Cambria Math" w:hAnsi="Cambria Math" w:cs="宋体"/>
            <w:snapToGrid w:val="0"/>
            <w:kern w:val="28"/>
            <w:szCs w:val="21"/>
          </w:rPr>
          <m:t>=</m:t>
        </m:r>
        <m:f>
          <m:f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V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ih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V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eastAsia="Cambria Math" w:cs="宋体"/>
                    <w:snapToGrid w:val="0"/>
                    <w:kern w:val="28"/>
                    <w:szCs w:val="21"/>
                  </w:rPr>
                  <m:t>i</m:t>
                </m:r>
                <m:ctrlPr>
                  <w:rPr>
                    <w:rFonts w:ascii="Cambria Math" w:hAnsi="Cambria Math" w:eastAsia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r>
              <m:rPr/>
              <w:rPr>
                <w:rFonts w:ascii="Cambria Math" w:hAnsi="Cambria Math" w:eastAsia="Cambria Math" w:cs="宋体"/>
                <w:snapToGrid w:val="0"/>
                <w:kern w:val="28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SubPr>
              <m:e>
                <m:r>
                  <m:rPr/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V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e>
              <m:sub>
                <m:r>
                  <m:rPr>
                    <m:sty m:val="p"/>
                  </m:rPr>
                  <w:rPr>
                    <w:rFonts w:hint="default" w:ascii="Cambria Math" w:hAnsi="Cambria Math" w:cs="宋体"/>
                    <w:snapToGrid w:val="0"/>
                    <w:kern w:val="28"/>
                    <w:szCs w:val="21"/>
                    <w:lang w:val="en-US" w:eastAsia="zh-CN"/>
                  </w:rPr>
                  <m:t>ih</m:t>
                </m:r>
                <m:ctrlPr>
                  <w:rPr>
                    <w:rFonts w:ascii="Cambria Math" w:hAnsi="Cambria Math" w:cs="宋体"/>
                    <w:bCs/>
                    <w:i/>
                    <w:snapToGrid w:val="0"/>
                    <w:kern w:val="28"/>
                    <w:szCs w:val="21"/>
                  </w:rPr>
                </m:ctrlPr>
              </m:sub>
            </m:sSub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den>
        </m:f>
        <m:r>
          <m:rPr/>
          <w:rPr>
            <w:rFonts w:ascii="Cambria Math" w:hAnsi="Cambria Math"/>
            <w:snapToGrid w:val="0"/>
            <w:kern w:val="28"/>
            <w:szCs w:val="21"/>
          </w:rPr>
          <m:t>×100</m:t>
        </m:r>
        <m:r>
          <m:rPr/>
          <w:rPr>
            <w:rFonts w:hint="eastAsia" w:ascii="Cambria Math" w:hAnsi="Cambria Math"/>
            <w:snapToGrid w:val="0"/>
            <w:kern w:val="28"/>
            <w:szCs w:val="21"/>
          </w:rPr>
          <m:t>%</m:t>
        </m:r>
      </m:oMath>
      <w:r>
        <w:rPr>
          <w:rFonts w:hint="eastAsia"/>
          <w:bCs/>
          <w:szCs w:val="21"/>
        </w:rPr>
        <w:t>……………………………………（</w:t>
      </w:r>
      <w:r>
        <w:rPr>
          <w:rFonts w:hint="eastAsia"/>
          <w:bCs/>
          <w:szCs w:val="21"/>
          <w:lang w:eastAsia="zh-CN"/>
        </w:rPr>
        <w:t>B</w:t>
      </w:r>
      <w:r>
        <w:rPr>
          <w:rFonts w:hint="eastAsia"/>
          <w:bCs/>
          <w:szCs w:val="21"/>
        </w:rPr>
        <w:t>.</w:t>
      </w:r>
      <w:r>
        <w:rPr>
          <w:rFonts w:hint="eastAsia"/>
          <w:bCs/>
          <w:szCs w:val="21"/>
          <w:lang w:val="en-US" w:eastAsia="zh-CN"/>
        </w:rPr>
        <w:t>6</w:t>
      </w:r>
      <w:r>
        <w:rPr>
          <w:rFonts w:hint="eastAsia"/>
          <w:bCs/>
          <w:szCs w:val="21"/>
        </w:rPr>
        <w:t>）</w:t>
      </w:r>
    </w:p>
    <w:p>
      <w:pPr>
        <w:pStyle w:val="101"/>
        <w:shd w:val="clear"/>
        <w:spacing w:line="360" w:lineRule="auto"/>
        <w:ind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式中：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i/>
          <w:snapToGrid w:val="0"/>
          <w:kern w:val="28"/>
        </w:rPr>
      </w:pPr>
      <m:oMath>
        <m:sSub>
          <m:sSubP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sSubPr>
          <m:e>
            <m:r>
              <m:rPr/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K</m:t>
            </m: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h</m:t>
            </m:r>
            <m:ctrlPr>
              <w:rPr>
                <w:rFonts w:ascii="Cambria Math" w:hAnsi="Cambria Math" w:cs="宋体"/>
                <w:i/>
                <w:snapToGrid w:val="0"/>
                <w:kern w:val="28"/>
                <w:szCs w:val="21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cs="宋体"/>
          <w:i w:val="0"/>
          <w:iCs/>
          <w:snapToGrid w:val="0"/>
          <w:kern w:val="28"/>
          <w:lang w:val="en-US" w:eastAsia="zh-CN"/>
        </w:rPr>
        <w:t>非常规水替代</w:t>
      </w:r>
      <w:r>
        <w:rPr>
          <w:rFonts w:hint="eastAsia" w:ascii="Times New Roman" w:hAnsi="Times New Roman" w:cs="宋体"/>
          <w:bCs/>
          <w:i w:val="0"/>
          <w:iCs/>
          <w:kern w:val="0"/>
        </w:rPr>
        <w:t>率</w:t>
      </w:r>
      <w:r>
        <w:rPr>
          <w:rFonts w:hint="eastAsia" w:ascii="Times New Roman" w:hAnsi="Times New Roman" w:cs="宋体"/>
          <w:bCs/>
          <w:kern w:val="0"/>
        </w:rPr>
        <w:t>；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bCs/>
          <w:kern w:val="0"/>
        </w:rPr>
      </w:pPr>
      <m:oMath>
        <m:sSub>
          <m:sSubP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sSubPr>
          <m:e>
            <m:r>
              <m:rPr/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V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e>
          <m:sub>
            <m:r>
              <m:rPr>
                <m:sty m:val="p"/>
              </m:rPr>
              <w:rPr>
                <w:rFonts w:hint="default" w:ascii="Cambria Math" w:hAnsi="Cambria Math" w:cs="宋体"/>
                <w:snapToGrid w:val="0"/>
                <w:kern w:val="28"/>
                <w:szCs w:val="21"/>
                <w:lang w:val="en-US" w:eastAsia="zh-CN"/>
              </w:rPr>
              <m:t>ih</m:t>
            </m:r>
            <m:ctrlPr>
              <w:rPr>
                <w:rFonts w:ascii="Cambria Math" w:hAnsi="Cambria Math" w:cs="宋体"/>
                <w:bCs/>
                <w:i/>
                <w:snapToGrid w:val="0"/>
                <w:kern w:val="28"/>
                <w:szCs w:val="21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</w:t>
      </w:r>
      <w:r>
        <w:rPr>
          <w:rFonts w:hint="eastAsia" w:cs="宋体"/>
          <w:bCs/>
          <w:kern w:val="0"/>
          <w:lang w:val="en-US" w:eastAsia="zh-CN"/>
        </w:rPr>
        <w:t>非常规水源所替代的取水量</w:t>
      </w:r>
      <w:r>
        <w:rPr>
          <w:rFonts w:hint="eastAsia" w:ascii="Times New Roman" w:hAnsi="Times New Roman" w:cs="宋体"/>
          <w:bCs/>
          <w:kern w:val="0"/>
        </w:rPr>
        <w:t>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）；</w:t>
      </w:r>
    </w:p>
    <w:p>
      <w:pPr>
        <w:shd w:val="clear"/>
        <w:snapToGrid w:val="0"/>
        <w:spacing w:line="360" w:lineRule="auto"/>
        <w:ind w:firstLine="420" w:firstLineChars="200"/>
        <w:rPr>
          <w:rFonts w:ascii="Times New Roman" w:hAnsi="Times New Roman" w:cs="宋体"/>
          <w:bCs/>
          <w:kern w:val="0"/>
        </w:rPr>
      </w:pPr>
      <m:oMath>
        <m:sSub>
          <m:sSubP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SubPr>
          <m:e>
            <m:r>
              <m:rPr/>
              <w:rPr>
                <w:rFonts w:ascii="Cambria Math" w:hAnsi="Cambria Math" w:eastAsia="Cambria Math" w:cs="Cambria Math"/>
                <w:snapToGrid w:val="0"/>
                <w:kern w:val="28"/>
              </w:rPr>
              <m:t>V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Cambria Math" w:cs="Cambria Math"/>
                <w:snapToGrid w:val="0"/>
                <w:kern w:val="28"/>
              </w:rPr>
              <m:t>i</m:t>
            </m:r>
            <m:ctrlPr>
              <w:rPr>
                <w:rFonts w:ascii="Cambria Math" w:hAnsi="Cambria Math" w:eastAsia="Cambria Math" w:cs="Cambria Math"/>
                <w:bCs/>
                <w:i/>
                <w:snapToGrid w:val="0"/>
                <w:kern w:val="28"/>
              </w:rPr>
            </m:ctrlPr>
          </m:sub>
        </m:sSub>
      </m:oMath>
      <w:r>
        <w:rPr>
          <w:rFonts w:hint="eastAsia" w:ascii="Times New Roman" w:hAnsi="Times New Roman" w:cs="宋体"/>
          <w:i/>
          <w:snapToGrid w:val="0"/>
          <w:kern w:val="28"/>
        </w:rPr>
        <w:t>——</w:t>
      </w:r>
      <w:r>
        <w:rPr>
          <w:rFonts w:hint="eastAsia" w:ascii="Times New Roman" w:hAnsi="Times New Roman" w:cs="宋体"/>
          <w:bCs/>
          <w:kern w:val="0"/>
        </w:rPr>
        <w:t>在一定的计量时间内，企业的取水量，单位为立方米（m</w:t>
      </w:r>
      <w:r>
        <w:rPr>
          <w:rFonts w:hint="eastAsia" w:ascii="Times New Roman" w:hAnsi="Times New Roman" w:cs="宋体"/>
          <w:bCs/>
          <w:kern w:val="0"/>
          <w:vertAlign w:val="superscript"/>
        </w:rPr>
        <w:t>3</w:t>
      </w:r>
      <w:r>
        <w:rPr>
          <w:rFonts w:hint="eastAsia" w:ascii="Times New Roman" w:hAnsi="Times New Roman" w:cs="宋体"/>
          <w:bCs/>
          <w:kern w:val="0"/>
        </w:rPr>
        <w:t>）。</w:t>
      </w:r>
    </w:p>
    <w:p>
      <w:pPr>
        <w:shd w:val="clear"/>
        <w:spacing w:line="400" w:lineRule="exact"/>
        <w:jc w:val="left"/>
        <w:rPr>
          <w:bCs/>
          <w:szCs w:val="21"/>
        </w:rPr>
      </w:pPr>
    </w:p>
    <w:p>
      <w:pPr>
        <w:shd w:val="clear"/>
        <w:spacing w:before="312" w:beforeLines="100" w:line="440" w:lineRule="exact"/>
        <w:jc w:val="center"/>
        <w:rPr>
          <w:szCs w:val="21"/>
        </w:rPr>
      </w:pPr>
      <w:r>
        <w:rPr>
          <w:rFonts w:hint="eastAsia"/>
          <w:szCs w:val="21"/>
        </w:rPr>
        <w:t>—————————————</w:t>
      </w:r>
    </w:p>
    <w:p>
      <w:pPr>
        <w:shd w:val="clear"/>
        <w:spacing w:before="312" w:beforeLines="100" w:line="440" w:lineRule="exact"/>
        <w:jc w:val="center"/>
        <w:rPr>
          <w:szCs w:val="21"/>
        </w:rPr>
      </w:pPr>
    </w:p>
    <w:p>
      <w:pPr>
        <w:shd w:val="clear"/>
        <w:spacing w:before="312" w:beforeLines="100" w:line="440" w:lineRule="exact"/>
        <w:jc w:val="center"/>
        <w:rPr>
          <w:szCs w:val="21"/>
        </w:rPr>
      </w:pPr>
    </w:p>
    <w:p>
      <w:pPr>
        <w:shd w:val="clear"/>
        <w:spacing w:before="312" w:beforeLines="100" w:line="440" w:lineRule="exact"/>
        <w:jc w:val="center"/>
        <w:rPr>
          <w:szCs w:val="21"/>
        </w:rPr>
      </w:pPr>
    </w:p>
    <w:p>
      <w:pPr>
        <w:shd w:val="clear"/>
        <w:spacing w:before="312" w:beforeLines="100" w:line="440" w:lineRule="exact"/>
        <w:jc w:val="center"/>
        <w:rPr>
          <w:szCs w:val="21"/>
        </w:rPr>
      </w:pPr>
    </w:p>
    <w:sectPr>
      <w:footerReference r:id="rId10" w:type="default"/>
      <w:pgSz w:w="11907" w:h="16839"/>
      <w:pgMar w:top="1417" w:right="1134" w:bottom="1134" w:left="1418" w:header="850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</w:t>
    </w:r>
    <w:r>
      <w:rPr>
        <w:rStyle w:val="7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9"/>
      <w:framePr w:wrap="around" w:vAnchor="text" w:hAnchor="margin" w:xAlign="right" w:y="1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2</w:t>
    </w:r>
    <w:r>
      <w:rPr>
        <w:rStyle w:val="78"/>
      </w:rPr>
      <w:fldChar w:fldCharType="end"/>
    </w:r>
  </w:p>
  <w:p>
    <w:pPr>
      <w:pStyle w:val="4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II</w:t>
    </w:r>
    <w:r>
      <w:rPr>
        <w:rStyle w:val="7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jc w:val="center"/>
      <w:rPr>
        <w:rStyle w:val="7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5"/>
                            <w:jc w:val="center"/>
                          </w:pPr>
                          <w:r>
                            <w:rPr>
                              <w:rStyle w:val="78"/>
                            </w:rPr>
                            <w:fldChar w:fldCharType="begin"/>
                          </w:r>
                          <w:r>
                            <w:rPr>
                              <w:rStyle w:val="78"/>
                            </w:rPr>
                            <w:instrText xml:space="preserve">PAGE  </w:instrText>
                          </w:r>
                          <w:r>
                            <w:rPr>
                              <w:rStyle w:val="78"/>
                            </w:rPr>
                            <w:fldChar w:fldCharType="separate"/>
                          </w:r>
                          <w:r>
                            <w:rPr>
                              <w:rStyle w:val="78"/>
                            </w:rPr>
                            <w:t>II</w:t>
                          </w:r>
                          <w:r>
                            <w:rPr>
                              <w:rStyle w:val="7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5"/>
                      <w:jc w:val="center"/>
                    </w:pPr>
                    <w:r>
                      <w:rPr>
                        <w:rStyle w:val="78"/>
                      </w:rPr>
                      <w:fldChar w:fldCharType="begin"/>
                    </w:r>
                    <w:r>
                      <w:rPr>
                        <w:rStyle w:val="78"/>
                      </w:rPr>
                      <w:instrText xml:space="preserve">PAGE  </w:instrText>
                    </w:r>
                    <w:r>
                      <w:rPr>
                        <w:rStyle w:val="78"/>
                      </w:rPr>
                      <w:fldChar w:fldCharType="separate"/>
                    </w:r>
                    <w:r>
                      <w:rPr>
                        <w:rStyle w:val="78"/>
                      </w:rPr>
                      <w:t>II</w:t>
                    </w:r>
                    <w:r>
                      <w:rPr>
                        <w:rStyle w:val="7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10</w:t>
    </w:r>
    <w:r>
      <w:rPr>
        <w:rStyle w:val="7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6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8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6"/>
      <w:wordWrap w:val="0"/>
      <w:rPr>
        <w:rFonts w:hint="eastAsia"/>
        <w:lang w:eastAsia="zh-CN"/>
      </w:rPr>
    </w:pPr>
    <w:r>
      <w:t>DB</w:t>
    </w:r>
    <w:r>
      <w:rPr>
        <w:rFonts w:hint="eastAsia" w:ascii="黑体"/>
      </w:rPr>
      <w:t>13</w:t>
    </w:r>
    <w:r>
      <w:t>/T</w:t>
    </w:r>
    <w:r>
      <w:rPr>
        <w:rFonts w:hint="eastAsia"/>
      </w:rPr>
      <w:t xml:space="preserve">   </w:t>
    </w:r>
    <w:r>
      <w:t>—</w:t>
    </w:r>
    <w:r>
      <w:rPr>
        <w:rFonts w:hint="eastAsia"/>
      </w:rPr>
      <w:t>20</w:t>
    </w:r>
    <w:r>
      <w:t>2</w:t>
    </w:r>
    <w:r>
      <w:rPr>
        <w:rFonts w:hint="eastAsia"/>
        <w:lang w:val="en-US" w:eastAsia="zh-CN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7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55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3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35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6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42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32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19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3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0AE367E9"/>
    <w:multiLevelType w:val="multilevel"/>
    <w:tmpl w:val="0AE367E9"/>
    <w:lvl w:ilvl="0" w:tentative="0">
      <w:start w:val="1"/>
      <w:numFmt w:val="none"/>
      <w:pStyle w:val="136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07E65F9"/>
    <w:multiLevelType w:val="multilevel"/>
    <w:tmpl w:val="407E65F9"/>
    <w:lvl w:ilvl="0" w:tentative="0">
      <w:start w:val="1"/>
      <w:numFmt w:val="none"/>
      <w:pStyle w:val="25"/>
      <w:lvlText w:val="%1●　"/>
      <w:lvlJc w:val="left"/>
      <w:pPr>
        <w:tabs>
          <w:tab w:val="left" w:pos="560"/>
        </w:tabs>
        <w:ind w:left="517" w:hanging="317"/>
      </w:pPr>
      <w:rPr>
        <w:rFonts w:hint="eastAsia" w:ascii="宋体" w:hAnsi="Times New Roman" w:eastAsia="宋体"/>
        <w:b w:val="0"/>
        <w:i w:val="0"/>
        <w:sz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46806F7D"/>
    <w:multiLevelType w:val="multilevel"/>
    <w:tmpl w:val="46806F7D"/>
    <w:lvl w:ilvl="0" w:tentative="0">
      <w:start w:val="1"/>
      <w:numFmt w:val="none"/>
      <w:pStyle w:val="124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6D22D8F"/>
    <w:multiLevelType w:val="multilevel"/>
    <w:tmpl w:val="46D22D8F"/>
    <w:lvl w:ilvl="0" w:tentative="0">
      <w:start w:val="1"/>
      <w:numFmt w:val="none"/>
      <w:pStyle w:val="149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496E4D7B"/>
    <w:multiLevelType w:val="multilevel"/>
    <w:tmpl w:val="496E4D7B"/>
    <w:lvl w:ilvl="0" w:tentative="0">
      <w:start w:val="1"/>
      <w:numFmt w:val="none"/>
      <w:pStyle w:val="147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F302902"/>
    <w:multiLevelType w:val="multilevel"/>
    <w:tmpl w:val="4F302902"/>
    <w:lvl w:ilvl="0" w:tentative="0">
      <w:start w:val="1"/>
      <w:numFmt w:val="none"/>
      <w:pStyle w:val="118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57C2AF5"/>
    <w:multiLevelType w:val="multilevel"/>
    <w:tmpl w:val="557C2AF5"/>
    <w:lvl w:ilvl="0" w:tentative="0">
      <w:start w:val="1"/>
      <w:numFmt w:val="decimal"/>
      <w:pStyle w:val="145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7">
    <w:nsid w:val="6350366A"/>
    <w:multiLevelType w:val="multilevel"/>
    <w:tmpl w:val="6350366A"/>
    <w:lvl w:ilvl="0" w:tentative="0">
      <w:start w:val="1"/>
      <w:numFmt w:val="none"/>
      <w:pStyle w:val="129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646260FA"/>
    <w:multiLevelType w:val="multilevel"/>
    <w:tmpl w:val="646260FA"/>
    <w:lvl w:ilvl="0" w:tentative="0">
      <w:start w:val="1"/>
      <w:numFmt w:val="decimal"/>
      <w:pStyle w:val="144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9">
    <w:nsid w:val="657D3FBC"/>
    <w:multiLevelType w:val="multilevel"/>
    <w:tmpl w:val="657D3FBC"/>
    <w:lvl w:ilvl="0" w:tentative="0">
      <w:start w:val="1"/>
      <w:numFmt w:val="upperLetter"/>
      <w:pStyle w:val="117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1" w:tentative="0">
      <w:start w:val="1"/>
      <w:numFmt w:val="decimal"/>
      <w:pStyle w:val="119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25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CEA2025"/>
    <w:multiLevelType w:val="multilevel"/>
    <w:tmpl w:val="6CEA2025"/>
    <w:lvl w:ilvl="0" w:tentative="0">
      <w:start w:val="1"/>
      <w:numFmt w:val="none"/>
      <w:pStyle w:val="99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02"/>
      <w:suff w:val="nothing"/>
      <w:lvlText w:val="%1%2　"/>
      <w:lvlJc w:val="left"/>
      <w:pPr>
        <w:ind w:left="315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2" w:tentative="0">
      <w:start w:val="1"/>
      <w:numFmt w:val="decimal"/>
      <w:pStyle w:val="103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04"/>
      <w:suff w:val="nothing"/>
      <w:lvlText w:val="%1%2.%3.%4　"/>
      <w:lvlJc w:val="left"/>
      <w:pPr>
        <w:ind w:left="84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34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38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43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1">
    <w:nsid w:val="6DBF04F4"/>
    <w:multiLevelType w:val="multilevel"/>
    <w:tmpl w:val="6DBF04F4"/>
    <w:lvl w:ilvl="0" w:tentative="0">
      <w:start w:val="1"/>
      <w:numFmt w:val="none"/>
      <w:pStyle w:val="146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76933334"/>
    <w:multiLevelType w:val="multilevel"/>
    <w:tmpl w:val="76933334"/>
    <w:lvl w:ilvl="0" w:tentative="0">
      <w:start w:val="1"/>
      <w:numFmt w:val="none"/>
      <w:pStyle w:val="128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20"/>
  </w:num>
  <w:num w:numId="13">
    <w:abstractNumId w:val="19"/>
  </w:num>
  <w:num w:numId="14">
    <w:abstractNumId w:val="15"/>
  </w:num>
  <w:num w:numId="15">
    <w:abstractNumId w:val="12"/>
  </w:num>
  <w:num w:numId="16">
    <w:abstractNumId w:val="22"/>
  </w:num>
  <w:num w:numId="17">
    <w:abstractNumId w:val="17"/>
  </w:num>
  <w:num w:numId="18">
    <w:abstractNumId w:val="10"/>
  </w:num>
  <w:num w:numId="19">
    <w:abstractNumId w:val="18"/>
  </w:num>
  <w:num w:numId="20">
    <w:abstractNumId w:val="16"/>
  </w:num>
  <w:num w:numId="21">
    <w:abstractNumId w:val="21"/>
  </w:num>
  <w:num w:numId="22">
    <w:abstractNumId w:val="1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wODM0ZmMwODc4MGIyODM4OWRmYWNlYTkwMDc0ZWQifQ=="/>
  </w:docVars>
  <w:rsids>
    <w:rsidRoot w:val="00350028"/>
    <w:rsid w:val="000015D9"/>
    <w:rsid w:val="000022D9"/>
    <w:rsid w:val="00003317"/>
    <w:rsid w:val="00004A1C"/>
    <w:rsid w:val="00005FCB"/>
    <w:rsid w:val="00007928"/>
    <w:rsid w:val="000079F4"/>
    <w:rsid w:val="00007D6F"/>
    <w:rsid w:val="0001019C"/>
    <w:rsid w:val="00010D1B"/>
    <w:rsid w:val="0001210B"/>
    <w:rsid w:val="0001321C"/>
    <w:rsid w:val="00016FC0"/>
    <w:rsid w:val="00017D75"/>
    <w:rsid w:val="000245AB"/>
    <w:rsid w:val="00024BF4"/>
    <w:rsid w:val="000257D0"/>
    <w:rsid w:val="0003430B"/>
    <w:rsid w:val="000362DA"/>
    <w:rsid w:val="000369E1"/>
    <w:rsid w:val="0004098A"/>
    <w:rsid w:val="00043D5B"/>
    <w:rsid w:val="00051819"/>
    <w:rsid w:val="0005363E"/>
    <w:rsid w:val="00053A50"/>
    <w:rsid w:val="00054892"/>
    <w:rsid w:val="00054940"/>
    <w:rsid w:val="00055AE5"/>
    <w:rsid w:val="00057F91"/>
    <w:rsid w:val="00062346"/>
    <w:rsid w:val="00062394"/>
    <w:rsid w:val="00062A2C"/>
    <w:rsid w:val="0006590C"/>
    <w:rsid w:val="000660F7"/>
    <w:rsid w:val="00066821"/>
    <w:rsid w:val="00070A9D"/>
    <w:rsid w:val="000724AF"/>
    <w:rsid w:val="000724EC"/>
    <w:rsid w:val="00072F09"/>
    <w:rsid w:val="00075651"/>
    <w:rsid w:val="00075E08"/>
    <w:rsid w:val="0007616C"/>
    <w:rsid w:val="00077628"/>
    <w:rsid w:val="000776F5"/>
    <w:rsid w:val="00077728"/>
    <w:rsid w:val="00080156"/>
    <w:rsid w:val="00083AD7"/>
    <w:rsid w:val="00087910"/>
    <w:rsid w:val="00087C1F"/>
    <w:rsid w:val="00087FBD"/>
    <w:rsid w:val="0009025A"/>
    <w:rsid w:val="000936E8"/>
    <w:rsid w:val="000939AB"/>
    <w:rsid w:val="00093A9C"/>
    <w:rsid w:val="00094C10"/>
    <w:rsid w:val="00097F3F"/>
    <w:rsid w:val="000A016A"/>
    <w:rsid w:val="000A01F7"/>
    <w:rsid w:val="000A03F5"/>
    <w:rsid w:val="000A05BC"/>
    <w:rsid w:val="000A0FFC"/>
    <w:rsid w:val="000A222C"/>
    <w:rsid w:val="000A5C19"/>
    <w:rsid w:val="000B011D"/>
    <w:rsid w:val="000B0327"/>
    <w:rsid w:val="000B04FC"/>
    <w:rsid w:val="000B14EA"/>
    <w:rsid w:val="000B2735"/>
    <w:rsid w:val="000B2FE9"/>
    <w:rsid w:val="000B77AA"/>
    <w:rsid w:val="000C13F9"/>
    <w:rsid w:val="000C22C3"/>
    <w:rsid w:val="000C51AA"/>
    <w:rsid w:val="000C51F0"/>
    <w:rsid w:val="000C6D2F"/>
    <w:rsid w:val="000D0ABF"/>
    <w:rsid w:val="000D1709"/>
    <w:rsid w:val="000D2276"/>
    <w:rsid w:val="000D2A83"/>
    <w:rsid w:val="000D37F4"/>
    <w:rsid w:val="000D451C"/>
    <w:rsid w:val="000D51EA"/>
    <w:rsid w:val="000D56E2"/>
    <w:rsid w:val="000D5882"/>
    <w:rsid w:val="000D7176"/>
    <w:rsid w:val="000E1046"/>
    <w:rsid w:val="000E10B3"/>
    <w:rsid w:val="000E13F4"/>
    <w:rsid w:val="000E224D"/>
    <w:rsid w:val="000E2E37"/>
    <w:rsid w:val="000E4B5D"/>
    <w:rsid w:val="000E6AC4"/>
    <w:rsid w:val="000F0066"/>
    <w:rsid w:val="000F0228"/>
    <w:rsid w:val="000F0BE8"/>
    <w:rsid w:val="000F4D36"/>
    <w:rsid w:val="000F5F8F"/>
    <w:rsid w:val="000F6509"/>
    <w:rsid w:val="001003F3"/>
    <w:rsid w:val="0010083C"/>
    <w:rsid w:val="001013B1"/>
    <w:rsid w:val="001015E5"/>
    <w:rsid w:val="00101FD2"/>
    <w:rsid w:val="001026DB"/>
    <w:rsid w:val="00103A9D"/>
    <w:rsid w:val="00104921"/>
    <w:rsid w:val="00104C81"/>
    <w:rsid w:val="00106767"/>
    <w:rsid w:val="0011029A"/>
    <w:rsid w:val="00110340"/>
    <w:rsid w:val="0011254C"/>
    <w:rsid w:val="0011621C"/>
    <w:rsid w:val="0012053D"/>
    <w:rsid w:val="00121704"/>
    <w:rsid w:val="00121BA4"/>
    <w:rsid w:val="00123222"/>
    <w:rsid w:val="00123B7F"/>
    <w:rsid w:val="00124225"/>
    <w:rsid w:val="00124BA3"/>
    <w:rsid w:val="0013286B"/>
    <w:rsid w:val="00133BB0"/>
    <w:rsid w:val="001352EA"/>
    <w:rsid w:val="001361EB"/>
    <w:rsid w:val="00136D8C"/>
    <w:rsid w:val="0013745F"/>
    <w:rsid w:val="001429E9"/>
    <w:rsid w:val="001439BF"/>
    <w:rsid w:val="00143AAE"/>
    <w:rsid w:val="00145C6B"/>
    <w:rsid w:val="001526A0"/>
    <w:rsid w:val="001542A6"/>
    <w:rsid w:val="00155F51"/>
    <w:rsid w:val="001562D0"/>
    <w:rsid w:val="001571DC"/>
    <w:rsid w:val="00157CDA"/>
    <w:rsid w:val="00157E75"/>
    <w:rsid w:val="00157F5B"/>
    <w:rsid w:val="00160488"/>
    <w:rsid w:val="00161051"/>
    <w:rsid w:val="00161334"/>
    <w:rsid w:val="00164E04"/>
    <w:rsid w:val="001663C8"/>
    <w:rsid w:val="00167936"/>
    <w:rsid w:val="00174E33"/>
    <w:rsid w:val="00174ECF"/>
    <w:rsid w:val="00175179"/>
    <w:rsid w:val="00175A5A"/>
    <w:rsid w:val="001767BD"/>
    <w:rsid w:val="001817F6"/>
    <w:rsid w:val="00185508"/>
    <w:rsid w:val="00185A77"/>
    <w:rsid w:val="001922F9"/>
    <w:rsid w:val="00193F1B"/>
    <w:rsid w:val="00193FA1"/>
    <w:rsid w:val="00194561"/>
    <w:rsid w:val="00194CDF"/>
    <w:rsid w:val="00194E11"/>
    <w:rsid w:val="001958DC"/>
    <w:rsid w:val="001967CC"/>
    <w:rsid w:val="001A030B"/>
    <w:rsid w:val="001A058C"/>
    <w:rsid w:val="001A1FE9"/>
    <w:rsid w:val="001A2400"/>
    <w:rsid w:val="001A255D"/>
    <w:rsid w:val="001A3765"/>
    <w:rsid w:val="001B05AA"/>
    <w:rsid w:val="001B0643"/>
    <w:rsid w:val="001B162A"/>
    <w:rsid w:val="001B245B"/>
    <w:rsid w:val="001B425B"/>
    <w:rsid w:val="001B431B"/>
    <w:rsid w:val="001B4813"/>
    <w:rsid w:val="001B48F2"/>
    <w:rsid w:val="001B53BE"/>
    <w:rsid w:val="001B5F3A"/>
    <w:rsid w:val="001B67B8"/>
    <w:rsid w:val="001C0985"/>
    <w:rsid w:val="001C24C0"/>
    <w:rsid w:val="001C3427"/>
    <w:rsid w:val="001C3BD4"/>
    <w:rsid w:val="001C5F45"/>
    <w:rsid w:val="001C75F2"/>
    <w:rsid w:val="001D0E65"/>
    <w:rsid w:val="001D2EAA"/>
    <w:rsid w:val="001D34BF"/>
    <w:rsid w:val="001D4053"/>
    <w:rsid w:val="001D51BF"/>
    <w:rsid w:val="001D52C5"/>
    <w:rsid w:val="001D5561"/>
    <w:rsid w:val="001D59AA"/>
    <w:rsid w:val="001E1562"/>
    <w:rsid w:val="001E3E6E"/>
    <w:rsid w:val="001E4DCC"/>
    <w:rsid w:val="001E56DC"/>
    <w:rsid w:val="001E59EE"/>
    <w:rsid w:val="001E5D73"/>
    <w:rsid w:val="001E7050"/>
    <w:rsid w:val="001E7B09"/>
    <w:rsid w:val="001F0578"/>
    <w:rsid w:val="001F3F3C"/>
    <w:rsid w:val="001F5E12"/>
    <w:rsid w:val="002002C5"/>
    <w:rsid w:val="00200391"/>
    <w:rsid w:val="0020575E"/>
    <w:rsid w:val="002065E9"/>
    <w:rsid w:val="00206AA1"/>
    <w:rsid w:val="00207E83"/>
    <w:rsid w:val="00213879"/>
    <w:rsid w:val="00213CCE"/>
    <w:rsid w:val="00214899"/>
    <w:rsid w:val="00215F01"/>
    <w:rsid w:val="002160EF"/>
    <w:rsid w:val="00216E4E"/>
    <w:rsid w:val="0022092A"/>
    <w:rsid w:val="00221320"/>
    <w:rsid w:val="00221C08"/>
    <w:rsid w:val="00222099"/>
    <w:rsid w:val="002246DA"/>
    <w:rsid w:val="00232F90"/>
    <w:rsid w:val="002345C5"/>
    <w:rsid w:val="00237D0E"/>
    <w:rsid w:val="00240E50"/>
    <w:rsid w:val="0024138F"/>
    <w:rsid w:val="00241703"/>
    <w:rsid w:val="00244D2C"/>
    <w:rsid w:val="00247469"/>
    <w:rsid w:val="00247F1F"/>
    <w:rsid w:val="0025081E"/>
    <w:rsid w:val="00251849"/>
    <w:rsid w:val="00252810"/>
    <w:rsid w:val="00253A8C"/>
    <w:rsid w:val="00256766"/>
    <w:rsid w:val="002572EC"/>
    <w:rsid w:val="00257321"/>
    <w:rsid w:val="00260C28"/>
    <w:rsid w:val="00261A5A"/>
    <w:rsid w:val="00261FC8"/>
    <w:rsid w:val="002625C4"/>
    <w:rsid w:val="00262DEA"/>
    <w:rsid w:val="00262EC7"/>
    <w:rsid w:val="00263514"/>
    <w:rsid w:val="00264007"/>
    <w:rsid w:val="00265298"/>
    <w:rsid w:val="00273E98"/>
    <w:rsid w:val="00274B45"/>
    <w:rsid w:val="00275B08"/>
    <w:rsid w:val="00276EB7"/>
    <w:rsid w:val="00276F1C"/>
    <w:rsid w:val="00277160"/>
    <w:rsid w:val="0028036F"/>
    <w:rsid w:val="002805A8"/>
    <w:rsid w:val="0028095C"/>
    <w:rsid w:val="002825B8"/>
    <w:rsid w:val="002835B0"/>
    <w:rsid w:val="002851E1"/>
    <w:rsid w:val="00285CE8"/>
    <w:rsid w:val="00286617"/>
    <w:rsid w:val="00286D47"/>
    <w:rsid w:val="00286F40"/>
    <w:rsid w:val="00287483"/>
    <w:rsid w:val="00290E5F"/>
    <w:rsid w:val="0029194E"/>
    <w:rsid w:val="00292024"/>
    <w:rsid w:val="0029256E"/>
    <w:rsid w:val="00293EEA"/>
    <w:rsid w:val="002951E8"/>
    <w:rsid w:val="00295602"/>
    <w:rsid w:val="00297C1C"/>
    <w:rsid w:val="002A11F1"/>
    <w:rsid w:val="002A26F1"/>
    <w:rsid w:val="002A2CF1"/>
    <w:rsid w:val="002A4E3B"/>
    <w:rsid w:val="002B19ED"/>
    <w:rsid w:val="002B1B33"/>
    <w:rsid w:val="002B2C7B"/>
    <w:rsid w:val="002B6CD4"/>
    <w:rsid w:val="002B6ED0"/>
    <w:rsid w:val="002B6FC1"/>
    <w:rsid w:val="002C007D"/>
    <w:rsid w:val="002C6E49"/>
    <w:rsid w:val="002C750B"/>
    <w:rsid w:val="002D44BA"/>
    <w:rsid w:val="002D6438"/>
    <w:rsid w:val="002D6DA0"/>
    <w:rsid w:val="002E1E3D"/>
    <w:rsid w:val="002E677B"/>
    <w:rsid w:val="002F255B"/>
    <w:rsid w:val="002F3CE0"/>
    <w:rsid w:val="002F4655"/>
    <w:rsid w:val="002F5063"/>
    <w:rsid w:val="00300CA4"/>
    <w:rsid w:val="00301A32"/>
    <w:rsid w:val="00302264"/>
    <w:rsid w:val="00302A17"/>
    <w:rsid w:val="0030520B"/>
    <w:rsid w:val="003068E0"/>
    <w:rsid w:val="00312559"/>
    <w:rsid w:val="00312C94"/>
    <w:rsid w:val="0031602E"/>
    <w:rsid w:val="003166FD"/>
    <w:rsid w:val="00320AB1"/>
    <w:rsid w:val="00323ABF"/>
    <w:rsid w:val="00324AB0"/>
    <w:rsid w:val="00327655"/>
    <w:rsid w:val="00330298"/>
    <w:rsid w:val="003306CC"/>
    <w:rsid w:val="00330759"/>
    <w:rsid w:val="00330F65"/>
    <w:rsid w:val="00333067"/>
    <w:rsid w:val="003346CE"/>
    <w:rsid w:val="003359CB"/>
    <w:rsid w:val="00335ADD"/>
    <w:rsid w:val="00337F74"/>
    <w:rsid w:val="00340116"/>
    <w:rsid w:val="003419FA"/>
    <w:rsid w:val="00343B7E"/>
    <w:rsid w:val="003457CE"/>
    <w:rsid w:val="00346768"/>
    <w:rsid w:val="0034691A"/>
    <w:rsid w:val="00346F21"/>
    <w:rsid w:val="0034725E"/>
    <w:rsid w:val="003478A4"/>
    <w:rsid w:val="00347D90"/>
    <w:rsid w:val="00350028"/>
    <w:rsid w:val="00351DFC"/>
    <w:rsid w:val="003520A0"/>
    <w:rsid w:val="00352B38"/>
    <w:rsid w:val="0035400C"/>
    <w:rsid w:val="00355063"/>
    <w:rsid w:val="00362265"/>
    <w:rsid w:val="003623E7"/>
    <w:rsid w:val="00363216"/>
    <w:rsid w:val="00364B87"/>
    <w:rsid w:val="00365E88"/>
    <w:rsid w:val="0036680B"/>
    <w:rsid w:val="0037359C"/>
    <w:rsid w:val="0037490D"/>
    <w:rsid w:val="003776C7"/>
    <w:rsid w:val="00377814"/>
    <w:rsid w:val="0038117E"/>
    <w:rsid w:val="00381852"/>
    <w:rsid w:val="00381DD0"/>
    <w:rsid w:val="00382CD8"/>
    <w:rsid w:val="00383D32"/>
    <w:rsid w:val="00386D17"/>
    <w:rsid w:val="00394B88"/>
    <w:rsid w:val="003958C2"/>
    <w:rsid w:val="00396F86"/>
    <w:rsid w:val="00397998"/>
    <w:rsid w:val="003A2575"/>
    <w:rsid w:val="003A59C9"/>
    <w:rsid w:val="003A74E7"/>
    <w:rsid w:val="003B1205"/>
    <w:rsid w:val="003B2446"/>
    <w:rsid w:val="003B485A"/>
    <w:rsid w:val="003B4A48"/>
    <w:rsid w:val="003B68AA"/>
    <w:rsid w:val="003C1F77"/>
    <w:rsid w:val="003C21D5"/>
    <w:rsid w:val="003C2B28"/>
    <w:rsid w:val="003C3943"/>
    <w:rsid w:val="003C41C8"/>
    <w:rsid w:val="003C4547"/>
    <w:rsid w:val="003C514D"/>
    <w:rsid w:val="003C525B"/>
    <w:rsid w:val="003C6F59"/>
    <w:rsid w:val="003C702D"/>
    <w:rsid w:val="003D03D3"/>
    <w:rsid w:val="003E0346"/>
    <w:rsid w:val="003E598E"/>
    <w:rsid w:val="003E6438"/>
    <w:rsid w:val="003F01E5"/>
    <w:rsid w:val="003F01EA"/>
    <w:rsid w:val="003F07E6"/>
    <w:rsid w:val="003F0D16"/>
    <w:rsid w:val="003F0EA8"/>
    <w:rsid w:val="003F129D"/>
    <w:rsid w:val="003F211B"/>
    <w:rsid w:val="003F5586"/>
    <w:rsid w:val="004006E5"/>
    <w:rsid w:val="00401EDA"/>
    <w:rsid w:val="004032C3"/>
    <w:rsid w:val="004038D7"/>
    <w:rsid w:val="00404BBB"/>
    <w:rsid w:val="00405831"/>
    <w:rsid w:val="00405BA7"/>
    <w:rsid w:val="004109E4"/>
    <w:rsid w:val="004128C2"/>
    <w:rsid w:val="00412F82"/>
    <w:rsid w:val="0041340A"/>
    <w:rsid w:val="00413A3C"/>
    <w:rsid w:val="00413B15"/>
    <w:rsid w:val="00413CBF"/>
    <w:rsid w:val="00414A34"/>
    <w:rsid w:val="0041600F"/>
    <w:rsid w:val="00421360"/>
    <w:rsid w:val="00421C7A"/>
    <w:rsid w:val="004222D7"/>
    <w:rsid w:val="0042382C"/>
    <w:rsid w:val="00423B83"/>
    <w:rsid w:val="00424048"/>
    <w:rsid w:val="004241E1"/>
    <w:rsid w:val="00425F8F"/>
    <w:rsid w:val="004302EF"/>
    <w:rsid w:val="00430336"/>
    <w:rsid w:val="0043069E"/>
    <w:rsid w:val="0043338F"/>
    <w:rsid w:val="004353AD"/>
    <w:rsid w:val="00440BA6"/>
    <w:rsid w:val="00440E3E"/>
    <w:rsid w:val="0044491C"/>
    <w:rsid w:val="0044596E"/>
    <w:rsid w:val="00447976"/>
    <w:rsid w:val="0045002E"/>
    <w:rsid w:val="00450167"/>
    <w:rsid w:val="00452112"/>
    <w:rsid w:val="00453AD5"/>
    <w:rsid w:val="00453C5B"/>
    <w:rsid w:val="00453E54"/>
    <w:rsid w:val="00454DFC"/>
    <w:rsid w:val="0045592C"/>
    <w:rsid w:val="00455D48"/>
    <w:rsid w:val="004562F2"/>
    <w:rsid w:val="004575B9"/>
    <w:rsid w:val="00460711"/>
    <w:rsid w:val="00460932"/>
    <w:rsid w:val="00463A2A"/>
    <w:rsid w:val="0046417E"/>
    <w:rsid w:val="00464766"/>
    <w:rsid w:val="00464A5B"/>
    <w:rsid w:val="00464BAE"/>
    <w:rsid w:val="004675F1"/>
    <w:rsid w:val="0047131B"/>
    <w:rsid w:val="004743F4"/>
    <w:rsid w:val="00480E68"/>
    <w:rsid w:val="004818C2"/>
    <w:rsid w:val="00481C07"/>
    <w:rsid w:val="004835A1"/>
    <w:rsid w:val="00485BF6"/>
    <w:rsid w:val="00485F8C"/>
    <w:rsid w:val="00486132"/>
    <w:rsid w:val="00486212"/>
    <w:rsid w:val="00495236"/>
    <w:rsid w:val="0049595D"/>
    <w:rsid w:val="004974E7"/>
    <w:rsid w:val="004A073C"/>
    <w:rsid w:val="004A1B73"/>
    <w:rsid w:val="004A1F10"/>
    <w:rsid w:val="004A2965"/>
    <w:rsid w:val="004A37F2"/>
    <w:rsid w:val="004A5111"/>
    <w:rsid w:val="004A6023"/>
    <w:rsid w:val="004A68B2"/>
    <w:rsid w:val="004B4661"/>
    <w:rsid w:val="004B4A5C"/>
    <w:rsid w:val="004B5821"/>
    <w:rsid w:val="004B7CB8"/>
    <w:rsid w:val="004C0A9C"/>
    <w:rsid w:val="004C2DAE"/>
    <w:rsid w:val="004C7E66"/>
    <w:rsid w:val="004D0B77"/>
    <w:rsid w:val="004D2053"/>
    <w:rsid w:val="004D518C"/>
    <w:rsid w:val="004D5CC8"/>
    <w:rsid w:val="004D60CD"/>
    <w:rsid w:val="004D69B5"/>
    <w:rsid w:val="004E07BE"/>
    <w:rsid w:val="004E0A1A"/>
    <w:rsid w:val="004E2FF6"/>
    <w:rsid w:val="004E773D"/>
    <w:rsid w:val="004E7A9F"/>
    <w:rsid w:val="004E7F99"/>
    <w:rsid w:val="004F0625"/>
    <w:rsid w:val="004F06A5"/>
    <w:rsid w:val="004F2D9F"/>
    <w:rsid w:val="004F355E"/>
    <w:rsid w:val="004F47AC"/>
    <w:rsid w:val="004F6AF8"/>
    <w:rsid w:val="00500A2E"/>
    <w:rsid w:val="0050338F"/>
    <w:rsid w:val="00503421"/>
    <w:rsid w:val="005039E7"/>
    <w:rsid w:val="00504DDA"/>
    <w:rsid w:val="0050588D"/>
    <w:rsid w:val="00507BB6"/>
    <w:rsid w:val="0051367B"/>
    <w:rsid w:val="00514272"/>
    <w:rsid w:val="00515225"/>
    <w:rsid w:val="005160F4"/>
    <w:rsid w:val="00516ACF"/>
    <w:rsid w:val="0052003E"/>
    <w:rsid w:val="00523894"/>
    <w:rsid w:val="005245D0"/>
    <w:rsid w:val="00526EDF"/>
    <w:rsid w:val="00527E8A"/>
    <w:rsid w:val="00527F15"/>
    <w:rsid w:val="00530449"/>
    <w:rsid w:val="00531ECD"/>
    <w:rsid w:val="00533C1D"/>
    <w:rsid w:val="00535B7E"/>
    <w:rsid w:val="00537062"/>
    <w:rsid w:val="0053706C"/>
    <w:rsid w:val="00537208"/>
    <w:rsid w:val="00537E01"/>
    <w:rsid w:val="0054173D"/>
    <w:rsid w:val="00543B48"/>
    <w:rsid w:val="00543F5D"/>
    <w:rsid w:val="00544AE3"/>
    <w:rsid w:val="0055418B"/>
    <w:rsid w:val="00554614"/>
    <w:rsid w:val="00554B2A"/>
    <w:rsid w:val="00557027"/>
    <w:rsid w:val="00561873"/>
    <w:rsid w:val="00561CE7"/>
    <w:rsid w:val="005626D0"/>
    <w:rsid w:val="00563E6E"/>
    <w:rsid w:val="00565989"/>
    <w:rsid w:val="005668BB"/>
    <w:rsid w:val="00570EC6"/>
    <w:rsid w:val="00571AEF"/>
    <w:rsid w:val="005725D2"/>
    <w:rsid w:val="00573250"/>
    <w:rsid w:val="00573A6B"/>
    <w:rsid w:val="00575D4B"/>
    <w:rsid w:val="00577BB1"/>
    <w:rsid w:val="00580D31"/>
    <w:rsid w:val="00581918"/>
    <w:rsid w:val="00585D48"/>
    <w:rsid w:val="00585D7C"/>
    <w:rsid w:val="00585F87"/>
    <w:rsid w:val="00592C70"/>
    <w:rsid w:val="00592DBB"/>
    <w:rsid w:val="00592E95"/>
    <w:rsid w:val="00597A3A"/>
    <w:rsid w:val="005A0700"/>
    <w:rsid w:val="005A0F05"/>
    <w:rsid w:val="005A242F"/>
    <w:rsid w:val="005A257E"/>
    <w:rsid w:val="005A3EC9"/>
    <w:rsid w:val="005B207D"/>
    <w:rsid w:val="005B46F9"/>
    <w:rsid w:val="005B4B6A"/>
    <w:rsid w:val="005B6821"/>
    <w:rsid w:val="005B6C8C"/>
    <w:rsid w:val="005B7039"/>
    <w:rsid w:val="005C0187"/>
    <w:rsid w:val="005C06B8"/>
    <w:rsid w:val="005C0734"/>
    <w:rsid w:val="005C1D3A"/>
    <w:rsid w:val="005C52CC"/>
    <w:rsid w:val="005C6761"/>
    <w:rsid w:val="005C68E8"/>
    <w:rsid w:val="005C6E41"/>
    <w:rsid w:val="005D0225"/>
    <w:rsid w:val="005D0499"/>
    <w:rsid w:val="005D14C0"/>
    <w:rsid w:val="005D2571"/>
    <w:rsid w:val="005D2C41"/>
    <w:rsid w:val="005D398A"/>
    <w:rsid w:val="005D3E1D"/>
    <w:rsid w:val="005D576A"/>
    <w:rsid w:val="005D7CAB"/>
    <w:rsid w:val="005E01E8"/>
    <w:rsid w:val="005E11F8"/>
    <w:rsid w:val="005E1607"/>
    <w:rsid w:val="005E20A2"/>
    <w:rsid w:val="005E38A2"/>
    <w:rsid w:val="005E7B35"/>
    <w:rsid w:val="005F0E19"/>
    <w:rsid w:val="005F0FD4"/>
    <w:rsid w:val="005F1176"/>
    <w:rsid w:val="005F67FB"/>
    <w:rsid w:val="005F7984"/>
    <w:rsid w:val="00605BAF"/>
    <w:rsid w:val="0060684D"/>
    <w:rsid w:val="00612590"/>
    <w:rsid w:val="0062014F"/>
    <w:rsid w:val="00620332"/>
    <w:rsid w:val="00621204"/>
    <w:rsid w:val="00623650"/>
    <w:rsid w:val="006252A5"/>
    <w:rsid w:val="00625C4C"/>
    <w:rsid w:val="0062706F"/>
    <w:rsid w:val="00627AFE"/>
    <w:rsid w:val="0063120A"/>
    <w:rsid w:val="006314B9"/>
    <w:rsid w:val="00634908"/>
    <w:rsid w:val="00636699"/>
    <w:rsid w:val="00637EEA"/>
    <w:rsid w:val="00642A27"/>
    <w:rsid w:val="00644492"/>
    <w:rsid w:val="00647BB1"/>
    <w:rsid w:val="00650C0F"/>
    <w:rsid w:val="00651A0D"/>
    <w:rsid w:val="00653CF0"/>
    <w:rsid w:val="00654268"/>
    <w:rsid w:val="006553FD"/>
    <w:rsid w:val="0066128C"/>
    <w:rsid w:val="006626CC"/>
    <w:rsid w:val="00662A4D"/>
    <w:rsid w:val="00662C14"/>
    <w:rsid w:val="00665305"/>
    <w:rsid w:val="00665BF4"/>
    <w:rsid w:val="00665DEE"/>
    <w:rsid w:val="0066648D"/>
    <w:rsid w:val="00667BA0"/>
    <w:rsid w:val="00670633"/>
    <w:rsid w:val="00672033"/>
    <w:rsid w:val="00672F18"/>
    <w:rsid w:val="00673A44"/>
    <w:rsid w:val="006742D2"/>
    <w:rsid w:val="00674656"/>
    <w:rsid w:val="006749A3"/>
    <w:rsid w:val="0067513D"/>
    <w:rsid w:val="006756F9"/>
    <w:rsid w:val="006768DE"/>
    <w:rsid w:val="00677740"/>
    <w:rsid w:val="00682A06"/>
    <w:rsid w:val="00684B62"/>
    <w:rsid w:val="00685DC1"/>
    <w:rsid w:val="00687256"/>
    <w:rsid w:val="00690197"/>
    <w:rsid w:val="00691472"/>
    <w:rsid w:val="00691A12"/>
    <w:rsid w:val="00692DAF"/>
    <w:rsid w:val="0069375A"/>
    <w:rsid w:val="00694294"/>
    <w:rsid w:val="006945F8"/>
    <w:rsid w:val="0069606A"/>
    <w:rsid w:val="006A04BA"/>
    <w:rsid w:val="006A4211"/>
    <w:rsid w:val="006A4889"/>
    <w:rsid w:val="006A609B"/>
    <w:rsid w:val="006A642D"/>
    <w:rsid w:val="006A7CF3"/>
    <w:rsid w:val="006B0B8A"/>
    <w:rsid w:val="006B2EE1"/>
    <w:rsid w:val="006B5A37"/>
    <w:rsid w:val="006B7259"/>
    <w:rsid w:val="006C02AE"/>
    <w:rsid w:val="006C1A71"/>
    <w:rsid w:val="006C1C27"/>
    <w:rsid w:val="006C20E4"/>
    <w:rsid w:val="006C292A"/>
    <w:rsid w:val="006C3564"/>
    <w:rsid w:val="006C3565"/>
    <w:rsid w:val="006C3C44"/>
    <w:rsid w:val="006C3E0D"/>
    <w:rsid w:val="006C5A7C"/>
    <w:rsid w:val="006C77B9"/>
    <w:rsid w:val="006D02EF"/>
    <w:rsid w:val="006D2939"/>
    <w:rsid w:val="006D29D7"/>
    <w:rsid w:val="006D3757"/>
    <w:rsid w:val="006D7BE4"/>
    <w:rsid w:val="006D7DA8"/>
    <w:rsid w:val="006E11BD"/>
    <w:rsid w:val="006E5B68"/>
    <w:rsid w:val="006E672D"/>
    <w:rsid w:val="006F00CB"/>
    <w:rsid w:val="006F3362"/>
    <w:rsid w:val="006F41D9"/>
    <w:rsid w:val="006F4654"/>
    <w:rsid w:val="006F605E"/>
    <w:rsid w:val="006F6341"/>
    <w:rsid w:val="00703DAD"/>
    <w:rsid w:val="0070551D"/>
    <w:rsid w:val="007060F0"/>
    <w:rsid w:val="00707D47"/>
    <w:rsid w:val="00710828"/>
    <w:rsid w:val="007109EA"/>
    <w:rsid w:val="00710DB7"/>
    <w:rsid w:val="007116B0"/>
    <w:rsid w:val="00712E6D"/>
    <w:rsid w:val="007133D2"/>
    <w:rsid w:val="00716E94"/>
    <w:rsid w:val="00716FB5"/>
    <w:rsid w:val="0072155C"/>
    <w:rsid w:val="0072196F"/>
    <w:rsid w:val="00724D43"/>
    <w:rsid w:val="00732958"/>
    <w:rsid w:val="00732EF6"/>
    <w:rsid w:val="0073309A"/>
    <w:rsid w:val="00733746"/>
    <w:rsid w:val="00733B71"/>
    <w:rsid w:val="007417EF"/>
    <w:rsid w:val="0074240E"/>
    <w:rsid w:val="00742E9C"/>
    <w:rsid w:val="00743FD7"/>
    <w:rsid w:val="007468FE"/>
    <w:rsid w:val="00746A72"/>
    <w:rsid w:val="00747C67"/>
    <w:rsid w:val="007509EE"/>
    <w:rsid w:val="00750AE8"/>
    <w:rsid w:val="007519DF"/>
    <w:rsid w:val="00753A54"/>
    <w:rsid w:val="007545ED"/>
    <w:rsid w:val="00754989"/>
    <w:rsid w:val="007554FA"/>
    <w:rsid w:val="00755E11"/>
    <w:rsid w:val="00755EB2"/>
    <w:rsid w:val="007629B4"/>
    <w:rsid w:val="00766248"/>
    <w:rsid w:val="007700E5"/>
    <w:rsid w:val="0077155E"/>
    <w:rsid w:val="007729BC"/>
    <w:rsid w:val="00777701"/>
    <w:rsid w:val="00777DC9"/>
    <w:rsid w:val="0078030E"/>
    <w:rsid w:val="007806BD"/>
    <w:rsid w:val="0078138F"/>
    <w:rsid w:val="00781CCC"/>
    <w:rsid w:val="00785054"/>
    <w:rsid w:val="007870A4"/>
    <w:rsid w:val="00790677"/>
    <w:rsid w:val="00794567"/>
    <w:rsid w:val="00796C08"/>
    <w:rsid w:val="007974AC"/>
    <w:rsid w:val="007A01B9"/>
    <w:rsid w:val="007A1116"/>
    <w:rsid w:val="007A3986"/>
    <w:rsid w:val="007A4212"/>
    <w:rsid w:val="007A439E"/>
    <w:rsid w:val="007A46A0"/>
    <w:rsid w:val="007A5F7F"/>
    <w:rsid w:val="007B1325"/>
    <w:rsid w:val="007B217E"/>
    <w:rsid w:val="007B4054"/>
    <w:rsid w:val="007B482C"/>
    <w:rsid w:val="007B50F4"/>
    <w:rsid w:val="007B5232"/>
    <w:rsid w:val="007B5E22"/>
    <w:rsid w:val="007B6F2D"/>
    <w:rsid w:val="007B761F"/>
    <w:rsid w:val="007B7E97"/>
    <w:rsid w:val="007C0C2F"/>
    <w:rsid w:val="007C64B1"/>
    <w:rsid w:val="007D125F"/>
    <w:rsid w:val="007D12A7"/>
    <w:rsid w:val="007D22D9"/>
    <w:rsid w:val="007D246C"/>
    <w:rsid w:val="007D3F46"/>
    <w:rsid w:val="007D4812"/>
    <w:rsid w:val="007D5EB0"/>
    <w:rsid w:val="007D788D"/>
    <w:rsid w:val="007D7C4C"/>
    <w:rsid w:val="007E185F"/>
    <w:rsid w:val="007E29B9"/>
    <w:rsid w:val="007E2E64"/>
    <w:rsid w:val="007E3ECB"/>
    <w:rsid w:val="007F1FE4"/>
    <w:rsid w:val="007F429C"/>
    <w:rsid w:val="007F53DC"/>
    <w:rsid w:val="007F5924"/>
    <w:rsid w:val="007F7380"/>
    <w:rsid w:val="007F753B"/>
    <w:rsid w:val="007F7AE7"/>
    <w:rsid w:val="007F7FD4"/>
    <w:rsid w:val="008000C7"/>
    <w:rsid w:val="0080119E"/>
    <w:rsid w:val="00803138"/>
    <w:rsid w:val="0080447B"/>
    <w:rsid w:val="0080478E"/>
    <w:rsid w:val="00805E72"/>
    <w:rsid w:val="008066B2"/>
    <w:rsid w:val="008079E3"/>
    <w:rsid w:val="008132CD"/>
    <w:rsid w:val="00814E17"/>
    <w:rsid w:val="00820604"/>
    <w:rsid w:val="00822605"/>
    <w:rsid w:val="00824B4B"/>
    <w:rsid w:val="00825413"/>
    <w:rsid w:val="00825C1D"/>
    <w:rsid w:val="008268A0"/>
    <w:rsid w:val="00831EF4"/>
    <w:rsid w:val="00832AF0"/>
    <w:rsid w:val="008338DD"/>
    <w:rsid w:val="00835888"/>
    <w:rsid w:val="00840804"/>
    <w:rsid w:val="008416C4"/>
    <w:rsid w:val="008417F0"/>
    <w:rsid w:val="00841C83"/>
    <w:rsid w:val="008432C9"/>
    <w:rsid w:val="0084381B"/>
    <w:rsid w:val="00843F4C"/>
    <w:rsid w:val="00843F51"/>
    <w:rsid w:val="00845F7B"/>
    <w:rsid w:val="00851932"/>
    <w:rsid w:val="008519D4"/>
    <w:rsid w:val="00853900"/>
    <w:rsid w:val="008546BB"/>
    <w:rsid w:val="008555DA"/>
    <w:rsid w:val="00856FED"/>
    <w:rsid w:val="00861857"/>
    <w:rsid w:val="008629F4"/>
    <w:rsid w:val="0086794D"/>
    <w:rsid w:val="008700F3"/>
    <w:rsid w:val="0087126E"/>
    <w:rsid w:val="008712B6"/>
    <w:rsid w:val="00873C45"/>
    <w:rsid w:val="00880BA5"/>
    <w:rsid w:val="00881EC8"/>
    <w:rsid w:val="0088281C"/>
    <w:rsid w:val="008834C9"/>
    <w:rsid w:val="00883511"/>
    <w:rsid w:val="00884455"/>
    <w:rsid w:val="0088453D"/>
    <w:rsid w:val="00885643"/>
    <w:rsid w:val="00886961"/>
    <w:rsid w:val="00886A6F"/>
    <w:rsid w:val="008901B8"/>
    <w:rsid w:val="00891110"/>
    <w:rsid w:val="00891553"/>
    <w:rsid w:val="008924F8"/>
    <w:rsid w:val="00895C93"/>
    <w:rsid w:val="00896622"/>
    <w:rsid w:val="00896866"/>
    <w:rsid w:val="00896ADD"/>
    <w:rsid w:val="008A1B6E"/>
    <w:rsid w:val="008A2169"/>
    <w:rsid w:val="008A41A5"/>
    <w:rsid w:val="008A5729"/>
    <w:rsid w:val="008A6362"/>
    <w:rsid w:val="008A76D9"/>
    <w:rsid w:val="008A7819"/>
    <w:rsid w:val="008B110F"/>
    <w:rsid w:val="008B1DE1"/>
    <w:rsid w:val="008B23F8"/>
    <w:rsid w:val="008B4E64"/>
    <w:rsid w:val="008B63C6"/>
    <w:rsid w:val="008B6A26"/>
    <w:rsid w:val="008C02F3"/>
    <w:rsid w:val="008C083F"/>
    <w:rsid w:val="008C181D"/>
    <w:rsid w:val="008C34C4"/>
    <w:rsid w:val="008C41EA"/>
    <w:rsid w:val="008C4F76"/>
    <w:rsid w:val="008C564F"/>
    <w:rsid w:val="008C62BF"/>
    <w:rsid w:val="008D02D8"/>
    <w:rsid w:val="008D2A29"/>
    <w:rsid w:val="008D4B0A"/>
    <w:rsid w:val="008D4D47"/>
    <w:rsid w:val="008D5C04"/>
    <w:rsid w:val="008D5E7C"/>
    <w:rsid w:val="008D6485"/>
    <w:rsid w:val="008D6546"/>
    <w:rsid w:val="008E4549"/>
    <w:rsid w:val="008E6CCD"/>
    <w:rsid w:val="008E794C"/>
    <w:rsid w:val="008F13E8"/>
    <w:rsid w:val="008F1DAC"/>
    <w:rsid w:val="008F310A"/>
    <w:rsid w:val="008F3D22"/>
    <w:rsid w:val="008F4473"/>
    <w:rsid w:val="008F4740"/>
    <w:rsid w:val="008F5755"/>
    <w:rsid w:val="008F5B3F"/>
    <w:rsid w:val="008F5C4D"/>
    <w:rsid w:val="008F6EB1"/>
    <w:rsid w:val="00900CB8"/>
    <w:rsid w:val="00900E0D"/>
    <w:rsid w:val="00901AF9"/>
    <w:rsid w:val="00904652"/>
    <w:rsid w:val="009046C2"/>
    <w:rsid w:val="00906123"/>
    <w:rsid w:val="00906A84"/>
    <w:rsid w:val="00911804"/>
    <w:rsid w:val="00911924"/>
    <w:rsid w:val="00913F13"/>
    <w:rsid w:val="00914023"/>
    <w:rsid w:val="009145C0"/>
    <w:rsid w:val="00916626"/>
    <w:rsid w:val="00916C88"/>
    <w:rsid w:val="009203A4"/>
    <w:rsid w:val="00920BBB"/>
    <w:rsid w:val="009219A4"/>
    <w:rsid w:val="00924491"/>
    <w:rsid w:val="009259CA"/>
    <w:rsid w:val="009260BC"/>
    <w:rsid w:val="00926ED0"/>
    <w:rsid w:val="0092791E"/>
    <w:rsid w:val="0093371C"/>
    <w:rsid w:val="00934A54"/>
    <w:rsid w:val="00936857"/>
    <w:rsid w:val="00951EED"/>
    <w:rsid w:val="00952257"/>
    <w:rsid w:val="0095446A"/>
    <w:rsid w:val="00955079"/>
    <w:rsid w:val="0095538B"/>
    <w:rsid w:val="00956449"/>
    <w:rsid w:val="009613E2"/>
    <w:rsid w:val="00961BF5"/>
    <w:rsid w:val="00963CCF"/>
    <w:rsid w:val="00963F14"/>
    <w:rsid w:val="009655C5"/>
    <w:rsid w:val="0096564B"/>
    <w:rsid w:val="00970852"/>
    <w:rsid w:val="009714DB"/>
    <w:rsid w:val="00974A2C"/>
    <w:rsid w:val="00975954"/>
    <w:rsid w:val="00976099"/>
    <w:rsid w:val="00977919"/>
    <w:rsid w:val="00980B29"/>
    <w:rsid w:val="00983425"/>
    <w:rsid w:val="009847D3"/>
    <w:rsid w:val="00985EC7"/>
    <w:rsid w:val="00987F99"/>
    <w:rsid w:val="00993748"/>
    <w:rsid w:val="0099416F"/>
    <w:rsid w:val="00994E3E"/>
    <w:rsid w:val="00995362"/>
    <w:rsid w:val="00996A87"/>
    <w:rsid w:val="00997ADF"/>
    <w:rsid w:val="009A2120"/>
    <w:rsid w:val="009A2857"/>
    <w:rsid w:val="009A31C6"/>
    <w:rsid w:val="009A47A9"/>
    <w:rsid w:val="009A6366"/>
    <w:rsid w:val="009A709E"/>
    <w:rsid w:val="009A70C6"/>
    <w:rsid w:val="009A75EC"/>
    <w:rsid w:val="009A763B"/>
    <w:rsid w:val="009A7964"/>
    <w:rsid w:val="009B0C57"/>
    <w:rsid w:val="009B0F24"/>
    <w:rsid w:val="009B1B1D"/>
    <w:rsid w:val="009B438F"/>
    <w:rsid w:val="009B5E8D"/>
    <w:rsid w:val="009B6211"/>
    <w:rsid w:val="009B7936"/>
    <w:rsid w:val="009C02E8"/>
    <w:rsid w:val="009C2872"/>
    <w:rsid w:val="009C5003"/>
    <w:rsid w:val="009C52F6"/>
    <w:rsid w:val="009C6622"/>
    <w:rsid w:val="009D1225"/>
    <w:rsid w:val="009D209B"/>
    <w:rsid w:val="009D298C"/>
    <w:rsid w:val="009D29DE"/>
    <w:rsid w:val="009D2DF9"/>
    <w:rsid w:val="009D5A5C"/>
    <w:rsid w:val="009D782A"/>
    <w:rsid w:val="009E41E0"/>
    <w:rsid w:val="009E45F9"/>
    <w:rsid w:val="009E4656"/>
    <w:rsid w:val="009E4932"/>
    <w:rsid w:val="009E4E0C"/>
    <w:rsid w:val="009E5AF6"/>
    <w:rsid w:val="009E5E7C"/>
    <w:rsid w:val="009E7A08"/>
    <w:rsid w:val="009F0FCE"/>
    <w:rsid w:val="009F1FF7"/>
    <w:rsid w:val="009F39CE"/>
    <w:rsid w:val="009F5668"/>
    <w:rsid w:val="00A03069"/>
    <w:rsid w:val="00A03568"/>
    <w:rsid w:val="00A03A25"/>
    <w:rsid w:val="00A04B86"/>
    <w:rsid w:val="00A0757F"/>
    <w:rsid w:val="00A110D0"/>
    <w:rsid w:val="00A12888"/>
    <w:rsid w:val="00A12EC2"/>
    <w:rsid w:val="00A14A33"/>
    <w:rsid w:val="00A16649"/>
    <w:rsid w:val="00A203A8"/>
    <w:rsid w:val="00A213F1"/>
    <w:rsid w:val="00A21E38"/>
    <w:rsid w:val="00A23C3E"/>
    <w:rsid w:val="00A2753E"/>
    <w:rsid w:val="00A32899"/>
    <w:rsid w:val="00A33BC6"/>
    <w:rsid w:val="00A35A2E"/>
    <w:rsid w:val="00A37C9C"/>
    <w:rsid w:val="00A41681"/>
    <w:rsid w:val="00A41D0D"/>
    <w:rsid w:val="00A41FE9"/>
    <w:rsid w:val="00A4543C"/>
    <w:rsid w:val="00A45D64"/>
    <w:rsid w:val="00A46DE7"/>
    <w:rsid w:val="00A53C07"/>
    <w:rsid w:val="00A566AA"/>
    <w:rsid w:val="00A57A4A"/>
    <w:rsid w:val="00A60D03"/>
    <w:rsid w:val="00A6220C"/>
    <w:rsid w:val="00A64FF7"/>
    <w:rsid w:val="00A662D2"/>
    <w:rsid w:val="00A703F6"/>
    <w:rsid w:val="00A71DDA"/>
    <w:rsid w:val="00A74B3A"/>
    <w:rsid w:val="00A77E75"/>
    <w:rsid w:val="00A87B1A"/>
    <w:rsid w:val="00A90931"/>
    <w:rsid w:val="00A9155A"/>
    <w:rsid w:val="00A93B50"/>
    <w:rsid w:val="00A9458F"/>
    <w:rsid w:val="00A97295"/>
    <w:rsid w:val="00A97954"/>
    <w:rsid w:val="00A97D04"/>
    <w:rsid w:val="00AA124E"/>
    <w:rsid w:val="00AA2518"/>
    <w:rsid w:val="00AA5063"/>
    <w:rsid w:val="00AA6796"/>
    <w:rsid w:val="00AB1039"/>
    <w:rsid w:val="00AB1280"/>
    <w:rsid w:val="00AB269B"/>
    <w:rsid w:val="00AB4C65"/>
    <w:rsid w:val="00AB54B6"/>
    <w:rsid w:val="00AB55C5"/>
    <w:rsid w:val="00AB7609"/>
    <w:rsid w:val="00AB76D3"/>
    <w:rsid w:val="00AC2902"/>
    <w:rsid w:val="00AD2357"/>
    <w:rsid w:val="00AD2E77"/>
    <w:rsid w:val="00AD4085"/>
    <w:rsid w:val="00AD4657"/>
    <w:rsid w:val="00AD5244"/>
    <w:rsid w:val="00AD6A15"/>
    <w:rsid w:val="00AD7585"/>
    <w:rsid w:val="00AE041B"/>
    <w:rsid w:val="00AE0D13"/>
    <w:rsid w:val="00AE45E7"/>
    <w:rsid w:val="00AE69F8"/>
    <w:rsid w:val="00AE6F45"/>
    <w:rsid w:val="00AE71D1"/>
    <w:rsid w:val="00AF0764"/>
    <w:rsid w:val="00AF088D"/>
    <w:rsid w:val="00AF21C3"/>
    <w:rsid w:val="00AF26DE"/>
    <w:rsid w:val="00AF2D9F"/>
    <w:rsid w:val="00AF395B"/>
    <w:rsid w:val="00AF3EE7"/>
    <w:rsid w:val="00AF5451"/>
    <w:rsid w:val="00AF7D4A"/>
    <w:rsid w:val="00B01667"/>
    <w:rsid w:val="00B02244"/>
    <w:rsid w:val="00B03A88"/>
    <w:rsid w:val="00B073F3"/>
    <w:rsid w:val="00B1185B"/>
    <w:rsid w:val="00B12109"/>
    <w:rsid w:val="00B129FA"/>
    <w:rsid w:val="00B13CDD"/>
    <w:rsid w:val="00B14811"/>
    <w:rsid w:val="00B16DC6"/>
    <w:rsid w:val="00B17294"/>
    <w:rsid w:val="00B223FA"/>
    <w:rsid w:val="00B238BA"/>
    <w:rsid w:val="00B25AA9"/>
    <w:rsid w:val="00B26C13"/>
    <w:rsid w:val="00B275AE"/>
    <w:rsid w:val="00B27614"/>
    <w:rsid w:val="00B30093"/>
    <w:rsid w:val="00B31950"/>
    <w:rsid w:val="00B33608"/>
    <w:rsid w:val="00B34BE2"/>
    <w:rsid w:val="00B352D5"/>
    <w:rsid w:val="00B3675F"/>
    <w:rsid w:val="00B37A7B"/>
    <w:rsid w:val="00B37E4E"/>
    <w:rsid w:val="00B42D1F"/>
    <w:rsid w:val="00B44288"/>
    <w:rsid w:val="00B44B3E"/>
    <w:rsid w:val="00B45BE5"/>
    <w:rsid w:val="00B46277"/>
    <w:rsid w:val="00B46DDD"/>
    <w:rsid w:val="00B4782A"/>
    <w:rsid w:val="00B503EB"/>
    <w:rsid w:val="00B51290"/>
    <w:rsid w:val="00B52AA2"/>
    <w:rsid w:val="00B52E73"/>
    <w:rsid w:val="00B5601B"/>
    <w:rsid w:val="00B56BD0"/>
    <w:rsid w:val="00B573DD"/>
    <w:rsid w:val="00B60E4E"/>
    <w:rsid w:val="00B61EBC"/>
    <w:rsid w:val="00B6685E"/>
    <w:rsid w:val="00B674F7"/>
    <w:rsid w:val="00B711BE"/>
    <w:rsid w:val="00B717CA"/>
    <w:rsid w:val="00B71CD1"/>
    <w:rsid w:val="00B74FF3"/>
    <w:rsid w:val="00B75948"/>
    <w:rsid w:val="00B759A2"/>
    <w:rsid w:val="00B76839"/>
    <w:rsid w:val="00B77874"/>
    <w:rsid w:val="00B77BBB"/>
    <w:rsid w:val="00B8023D"/>
    <w:rsid w:val="00B809FD"/>
    <w:rsid w:val="00B81B84"/>
    <w:rsid w:val="00B84AE1"/>
    <w:rsid w:val="00B90721"/>
    <w:rsid w:val="00B91253"/>
    <w:rsid w:val="00B92300"/>
    <w:rsid w:val="00B92927"/>
    <w:rsid w:val="00B9297E"/>
    <w:rsid w:val="00B92AE2"/>
    <w:rsid w:val="00B931CF"/>
    <w:rsid w:val="00B93AD2"/>
    <w:rsid w:val="00B94348"/>
    <w:rsid w:val="00B95459"/>
    <w:rsid w:val="00B966BF"/>
    <w:rsid w:val="00BA08C6"/>
    <w:rsid w:val="00BA0D25"/>
    <w:rsid w:val="00BA13A1"/>
    <w:rsid w:val="00BA3B89"/>
    <w:rsid w:val="00BA5012"/>
    <w:rsid w:val="00BA64C4"/>
    <w:rsid w:val="00BA6E48"/>
    <w:rsid w:val="00BB0883"/>
    <w:rsid w:val="00BB2205"/>
    <w:rsid w:val="00BB293B"/>
    <w:rsid w:val="00BB2D49"/>
    <w:rsid w:val="00BB4CDB"/>
    <w:rsid w:val="00BB71B4"/>
    <w:rsid w:val="00BC06EC"/>
    <w:rsid w:val="00BC28F7"/>
    <w:rsid w:val="00BC2CC3"/>
    <w:rsid w:val="00BC3836"/>
    <w:rsid w:val="00BC47B1"/>
    <w:rsid w:val="00BC728D"/>
    <w:rsid w:val="00BC7F5D"/>
    <w:rsid w:val="00BD09D6"/>
    <w:rsid w:val="00BD0A55"/>
    <w:rsid w:val="00BD0E2E"/>
    <w:rsid w:val="00BD4E30"/>
    <w:rsid w:val="00BD4F4D"/>
    <w:rsid w:val="00BD562F"/>
    <w:rsid w:val="00BE1A94"/>
    <w:rsid w:val="00BE5E1C"/>
    <w:rsid w:val="00BE786B"/>
    <w:rsid w:val="00BF0847"/>
    <w:rsid w:val="00BF10F2"/>
    <w:rsid w:val="00BF2B7D"/>
    <w:rsid w:val="00BF3D70"/>
    <w:rsid w:val="00BF6624"/>
    <w:rsid w:val="00C04953"/>
    <w:rsid w:val="00C05463"/>
    <w:rsid w:val="00C05CD3"/>
    <w:rsid w:val="00C10178"/>
    <w:rsid w:val="00C14B77"/>
    <w:rsid w:val="00C17271"/>
    <w:rsid w:val="00C17281"/>
    <w:rsid w:val="00C1762D"/>
    <w:rsid w:val="00C209F7"/>
    <w:rsid w:val="00C22AB3"/>
    <w:rsid w:val="00C34589"/>
    <w:rsid w:val="00C352EC"/>
    <w:rsid w:val="00C35433"/>
    <w:rsid w:val="00C37E40"/>
    <w:rsid w:val="00C41687"/>
    <w:rsid w:val="00C43A84"/>
    <w:rsid w:val="00C44DA7"/>
    <w:rsid w:val="00C44F55"/>
    <w:rsid w:val="00C4554B"/>
    <w:rsid w:val="00C527B6"/>
    <w:rsid w:val="00C53256"/>
    <w:rsid w:val="00C53587"/>
    <w:rsid w:val="00C61759"/>
    <w:rsid w:val="00C61CDB"/>
    <w:rsid w:val="00C61F69"/>
    <w:rsid w:val="00C624AF"/>
    <w:rsid w:val="00C63B3C"/>
    <w:rsid w:val="00C66CCB"/>
    <w:rsid w:val="00C7124E"/>
    <w:rsid w:val="00C7273C"/>
    <w:rsid w:val="00C73D56"/>
    <w:rsid w:val="00C82056"/>
    <w:rsid w:val="00C8320E"/>
    <w:rsid w:val="00C83F36"/>
    <w:rsid w:val="00C844F2"/>
    <w:rsid w:val="00C8482F"/>
    <w:rsid w:val="00C85D63"/>
    <w:rsid w:val="00C86741"/>
    <w:rsid w:val="00C87AD6"/>
    <w:rsid w:val="00C903B0"/>
    <w:rsid w:val="00C90E16"/>
    <w:rsid w:val="00C94A5C"/>
    <w:rsid w:val="00C95D98"/>
    <w:rsid w:val="00C960DC"/>
    <w:rsid w:val="00C96E31"/>
    <w:rsid w:val="00C96E37"/>
    <w:rsid w:val="00CA621E"/>
    <w:rsid w:val="00CA644C"/>
    <w:rsid w:val="00CA64F3"/>
    <w:rsid w:val="00CA76BE"/>
    <w:rsid w:val="00CB208D"/>
    <w:rsid w:val="00CB3511"/>
    <w:rsid w:val="00CB438C"/>
    <w:rsid w:val="00CB4E6E"/>
    <w:rsid w:val="00CB76FC"/>
    <w:rsid w:val="00CC02F1"/>
    <w:rsid w:val="00CC16C4"/>
    <w:rsid w:val="00CC1927"/>
    <w:rsid w:val="00CC3948"/>
    <w:rsid w:val="00CC46E0"/>
    <w:rsid w:val="00CC4A87"/>
    <w:rsid w:val="00CC4F9D"/>
    <w:rsid w:val="00CC5449"/>
    <w:rsid w:val="00CC5A61"/>
    <w:rsid w:val="00CC5C56"/>
    <w:rsid w:val="00CC611E"/>
    <w:rsid w:val="00CD0248"/>
    <w:rsid w:val="00CD320E"/>
    <w:rsid w:val="00CD6085"/>
    <w:rsid w:val="00CE47C0"/>
    <w:rsid w:val="00CE5219"/>
    <w:rsid w:val="00CE6EDE"/>
    <w:rsid w:val="00CE7DDA"/>
    <w:rsid w:val="00CF02CB"/>
    <w:rsid w:val="00CF0762"/>
    <w:rsid w:val="00CF44F8"/>
    <w:rsid w:val="00CF5397"/>
    <w:rsid w:val="00CF5A81"/>
    <w:rsid w:val="00CF5D4D"/>
    <w:rsid w:val="00CF608F"/>
    <w:rsid w:val="00CF7435"/>
    <w:rsid w:val="00D038BB"/>
    <w:rsid w:val="00D05D57"/>
    <w:rsid w:val="00D0649C"/>
    <w:rsid w:val="00D075E6"/>
    <w:rsid w:val="00D10A92"/>
    <w:rsid w:val="00D10B13"/>
    <w:rsid w:val="00D10DB1"/>
    <w:rsid w:val="00D118DE"/>
    <w:rsid w:val="00D2097A"/>
    <w:rsid w:val="00D2177B"/>
    <w:rsid w:val="00D22687"/>
    <w:rsid w:val="00D23670"/>
    <w:rsid w:val="00D237DB"/>
    <w:rsid w:val="00D23EC1"/>
    <w:rsid w:val="00D2430D"/>
    <w:rsid w:val="00D24EA6"/>
    <w:rsid w:val="00D252E2"/>
    <w:rsid w:val="00D267EF"/>
    <w:rsid w:val="00D30881"/>
    <w:rsid w:val="00D34158"/>
    <w:rsid w:val="00D352BD"/>
    <w:rsid w:val="00D360C7"/>
    <w:rsid w:val="00D37C6F"/>
    <w:rsid w:val="00D4137B"/>
    <w:rsid w:val="00D44F3C"/>
    <w:rsid w:val="00D50E74"/>
    <w:rsid w:val="00D51406"/>
    <w:rsid w:val="00D52486"/>
    <w:rsid w:val="00D535EB"/>
    <w:rsid w:val="00D53D17"/>
    <w:rsid w:val="00D54ED6"/>
    <w:rsid w:val="00D554E8"/>
    <w:rsid w:val="00D600B2"/>
    <w:rsid w:val="00D60D6C"/>
    <w:rsid w:val="00D629B5"/>
    <w:rsid w:val="00D65502"/>
    <w:rsid w:val="00D6659F"/>
    <w:rsid w:val="00D72CB8"/>
    <w:rsid w:val="00D72F7D"/>
    <w:rsid w:val="00D7315B"/>
    <w:rsid w:val="00D7412E"/>
    <w:rsid w:val="00D7469F"/>
    <w:rsid w:val="00D768C1"/>
    <w:rsid w:val="00D82F8E"/>
    <w:rsid w:val="00D8761E"/>
    <w:rsid w:val="00D952C5"/>
    <w:rsid w:val="00D95FA0"/>
    <w:rsid w:val="00D9780A"/>
    <w:rsid w:val="00DA0203"/>
    <w:rsid w:val="00DA183C"/>
    <w:rsid w:val="00DA1F1E"/>
    <w:rsid w:val="00DA37A0"/>
    <w:rsid w:val="00DA3DFE"/>
    <w:rsid w:val="00DA4E4E"/>
    <w:rsid w:val="00DA5A55"/>
    <w:rsid w:val="00DA720C"/>
    <w:rsid w:val="00DB0DE4"/>
    <w:rsid w:val="00DB2C45"/>
    <w:rsid w:val="00DB2C91"/>
    <w:rsid w:val="00DB4016"/>
    <w:rsid w:val="00DB430C"/>
    <w:rsid w:val="00DB4590"/>
    <w:rsid w:val="00DB6949"/>
    <w:rsid w:val="00DB6F95"/>
    <w:rsid w:val="00DB7081"/>
    <w:rsid w:val="00DC0469"/>
    <w:rsid w:val="00DC2BEA"/>
    <w:rsid w:val="00DC3953"/>
    <w:rsid w:val="00DC45AE"/>
    <w:rsid w:val="00DC54BF"/>
    <w:rsid w:val="00DC5B31"/>
    <w:rsid w:val="00DC5CEA"/>
    <w:rsid w:val="00DC6342"/>
    <w:rsid w:val="00DC7288"/>
    <w:rsid w:val="00DD3435"/>
    <w:rsid w:val="00DD44E5"/>
    <w:rsid w:val="00DD5279"/>
    <w:rsid w:val="00DD5315"/>
    <w:rsid w:val="00DE3C5E"/>
    <w:rsid w:val="00DE4FAD"/>
    <w:rsid w:val="00DE6892"/>
    <w:rsid w:val="00DF1C07"/>
    <w:rsid w:val="00DF2142"/>
    <w:rsid w:val="00DF43C3"/>
    <w:rsid w:val="00DF55DF"/>
    <w:rsid w:val="00DF7289"/>
    <w:rsid w:val="00E03C7A"/>
    <w:rsid w:val="00E040EE"/>
    <w:rsid w:val="00E07924"/>
    <w:rsid w:val="00E10B03"/>
    <w:rsid w:val="00E10C63"/>
    <w:rsid w:val="00E11F13"/>
    <w:rsid w:val="00E126B9"/>
    <w:rsid w:val="00E12FAC"/>
    <w:rsid w:val="00E16901"/>
    <w:rsid w:val="00E16AAA"/>
    <w:rsid w:val="00E21987"/>
    <w:rsid w:val="00E21C6C"/>
    <w:rsid w:val="00E24030"/>
    <w:rsid w:val="00E24A98"/>
    <w:rsid w:val="00E25439"/>
    <w:rsid w:val="00E25677"/>
    <w:rsid w:val="00E27726"/>
    <w:rsid w:val="00E328A0"/>
    <w:rsid w:val="00E32EAF"/>
    <w:rsid w:val="00E33115"/>
    <w:rsid w:val="00E344FE"/>
    <w:rsid w:val="00E34BE6"/>
    <w:rsid w:val="00E37496"/>
    <w:rsid w:val="00E423EB"/>
    <w:rsid w:val="00E426F5"/>
    <w:rsid w:val="00E430BF"/>
    <w:rsid w:val="00E43D65"/>
    <w:rsid w:val="00E442AB"/>
    <w:rsid w:val="00E44B02"/>
    <w:rsid w:val="00E44E97"/>
    <w:rsid w:val="00E45940"/>
    <w:rsid w:val="00E45A04"/>
    <w:rsid w:val="00E46208"/>
    <w:rsid w:val="00E46B3C"/>
    <w:rsid w:val="00E52319"/>
    <w:rsid w:val="00E529FB"/>
    <w:rsid w:val="00E55797"/>
    <w:rsid w:val="00E62988"/>
    <w:rsid w:val="00E64217"/>
    <w:rsid w:val="00E64437"/>
    <w:rsid w:val="00E6511A"/>
    <w:rsid w:val="00E65E40"/>
    <w:rsid w:val="00E661FF"/>
    <w:rsid w:val="00E66F49"/>
    <w:rsid w:val="00E67F93"/>
    <w:rsid w:val="00E70D7F"/>
    <w:rsid w:val="00E74996"/>
    <w:rsid w:val="00E75AD6"/>
    <w:rsid w:val="00E75F70"/>
    <w:rsid w:val="00E76E01"/>
    <w:rsid w:val="00E82617"/>
    <w:rsid w:val="00E832F7"/>
    <w:rsid w:val="00E83C74"/>
    <w:rsid w:val="00E87411"/>
    <w:rsid w:val="00E922B3"/>
    <w:rsid w:val="00E923A0"/>
    <w:rsid w:val="00E93E1F"/>
    <w:rsid w:val="00E94699"/>
    <w:rsid w:val="00E94840"/>
    <w:rsid w:val="00E95C48"/>
    <w:rsid w:val="00E963DD"/>
    <w:rsid w:val="00E96722"/>
    <w:rsid w:val="00EA2926"/>
    <w:rsid w:val="00EA3FDB"/>
    <w:rsid w:val="00EA4ABB"/>
    <w:rsid w:val="00EA5B14"/>
    <w:rsid w:val="00EA68FD"/>
    <w:rsid w:val="00EA703C"/>
    <w:rsid w:val="00EA7072"/>
    <w:rsid w:val="00EA7393"/>
    <w:rsid w:val="00EB1B7F"/>
    <w:rsid w:val="00EB2190"/>
    <w:rsid w:val="00EB4C8A"/>
    <w:rsid w:val="00EB5328"/>
    <w:rsid w:val="00EB79CB"/>
    <w:rsid w:val="00EC0DCB"/>
    <w:rsid w:val="00EC0E93"/>
    <w:rsid w:val="00EC1D42"/>
    <w:rsid w:val="00EC1DC0"/>
    <w:rsid w:val="00EC48BF"/>
    <w:rsid w:val="00EC4923"/>
    <w:rsid w:val="00EC4FD9"/>
    <w:rsid w:val="00EC52A1"/>
    <w:rsid w:val="00ED024C"/>
    <w:rsid w:val="00ED0EE5"/>
    <w:rsid w:val="00ED2F53"/>
    <w:rsid w:val="00ED3EA6"/>
    <w:rsid w:val="00ED475D"/>
    <w:rsid w:val="00ED6299"/>
    <w:rsid w:val="00ED6979"/>
    <w:rsid w:val="00ED6BAF"/>
    <w:rsid w:val="00EE109B"/>
    <w:rsid w:val="00EE52B0"/>
    <w:rsid w:val="00EE5E76"/>
    <w:rsid w:val="00EF0A07"/>
    <w:rsid w:val="00EF4A6D"/>
    <w:rsid w:val="00F00EB1"/>
    <w:rsid w:val="00F01F45"/>
    <w:rsid w:val="00F0293D"/>
    <w:rsid w:val="00F03046"/>
    <w:rsid w:val="00F05063"/>
    <w:rsid w:val="00F0520F"/>
    <w:rsid w:val="00F06A8E"/>
    <w:rsid w:val="00F07F86"/>
    <w:rsid w:val="00F12CFA"/>
    <w:rsid w:val="00F1406D"/>
    <w:rsid w:val="00F163A3"/>
    <w:rsid w:val="00F20E9D"/>
    <w:rsid w:val="00F20F86"/>
    <w:rsid w:val="00F20FD2"/>
    <w:rsid w:val="00F2387A"/>
    <w:rsid w:val="00F245B2"/>
    <w:rsid w:val="00F26252"/>
    <w:rsid w:val="00F268BF"/>
    <w:rsid w:val="00F27ED8"/>
    <w:rsid w:val="00F3168A"/>
    <w:rsid w:val="00F35989"/>
    <w:rsid w:val="00F403A4"/>
    <w:rsid w:val="00F40D1E"/>
    <w:rsid w:val="00F41EF5"/>
    <w:rsid w:val="00F4278D"/>
    <w:rsid w:val="00F441F4"/>
    <w:rsid w:val="00F45EAF"/>
    <w:rsid w:val="00F45EF8"/>
    <w:rsid w:val="00F51B2C"/>
    <w:rsid w:val="00F51FE5"/>
    <w:rsid w:val="00F522B7"/>
    <w:rsid w:val="00F53341"/>
    <w:rsid w:val="00F53824"/>
    <w:rsid w:val="00F55E73"/>
    <w:rsid w:val="00F575FE"/>
    <w:rsid w:val="00F6595C"/>
    <w:rsid w:val="00F671E4"/>
    <w:rsid w:val="00F71777"/>
    <w:rsid w:val="00F71A3D"/>
    <w:rsid w:val="00F76675"/>
    <w:rsid w:val="00F77473"/>
    <w:rsid w:val="00F8230D"/>
    <w:rsid w:val="00F83013"/>
    <w:rsid w:val="00F832F7"/>
    <w:rsid w:val="00F83407"/>
    <w:rsid w:val="00F834C2"/>
    <w:rsid w:val="00F85106"/>
    <w:rsid w:val="00F86AA0"/>
    <w:rsid w:val="00F90F59"/>
    <w:rsid w:val="00F916FB"/>
    <w:rsid w:val="00F92901"/>
    <w:rsid w:val="00F94757"/>
    <w:rsid w:val="00F95BD9"/>
    <w:rsid w:val="00FA02E7"/>
    <w:rsid w:val="00FA1179"/>
    <w:rsid w:val="00FA1487"/>
    <w:rsid w:val="00FA154B"/>
    <w:rsid w:val="00FA18F7"/>
    <w:rsid w:val="00FA20E3"/>
    <w:rsid w:val="00FA398C"/>
    <w:rsid w:val="00FA42CB"/>
    <w:rsid w:val="00FA42F2"/>
    <w:rsid w:val="00FA64BD"/>
    <w:rsid w:val="00FA6D20"/>
    <w:rsid w:val="00FA6D95"/>
    <w:rsid w:val="00FA7861"/>
    <w:rsid w:val="00FA7DEB"/>
    <w:rsid w:val="00FB0ACC"/>
    <w:rsid w:val="00FB5ADD"/>
    <w:rsid w:val="00FC0C26"/>
    <w:rsid w:val="00FD1A36"/>
    <w:rsid w:val="00FD1B68"/>
    <w:rsid w:val="00FD1BB5"/>
    <w:rsid w:val="00FD3721"/>
    <w:rsid w:val="00FD49C3"/>
    <w:rsid w:val="00FD5851"/>
    <w:rsid w:val="00FD63E4"/>
    <w:rsid w:val="00FD7B03"/>
    <w:rsid w:val="00FE0076"/>
    <w:rsid w:val="00FE10E4"/>
    <w:rsid w:val="00FE2773"/>
    <w:rsid w:val="00FE392D"/>
    <w:rsid w:val="00FE5B51"/>
    <w:rsid w:val="00FE5D3C"/>
    <w:rsid w:val="00FE5E2B"/>
    <w:rsid w:val="00FF0CCA"/>
    <w:rsid w:val="00FF3D61"/>
    <w:rsid w:val="00FF434E"/>
    <w:rsid w:val="00FF7178"/>
    <w:rsid w:val="01EC5C3E"/>
    <w:rsid w:val="02985DC6"/>
    <w:rsid w:val="033F20DC"/>
    <w:rsid w:val="03667C05"/>
    <w:rsid w:val="03C67D6B"/>
    <w:rsid w:val="04697A1A"/>
    <w:rsid w:val="04DC5ED7"/>
    <w:rsid w:val="05A14F91"/>
    <w:rsid w:val="05A850FD"/>
    <w:rsid w:val="05D30398"/>
    <w:rsid w:val="05E03D0C"/>
    <w:rsid w:val="065B7836"/>
    <w:rsid w:val="06FE38F8"/>
    <w:rsid w:val="07047ECE"/>
    <w:rsid w:val="07322345"/>
    <w:rsid w:val="0749768F"/>
    <w:rsid w:val="07A82607"/>
    <w:rsid w:val="08E12275"/>
    <w:rsid w:val="095C0DC4"/>
    <w:rsid w:val="09E64164"/>
    <w:rsid w:val="0A951B0C"/>
    <w:rsid w:val="0A99092D"/>
    <w:rsid w:val="0AA97F25"/>
    <w:rsid w:val="0AD81455"/>
    <w:rsid w:val="0B464611"/>
    <w:rsid w:val="0B9D19A5"/>
    <w:rsid w:val="0B9D4534"/>
    <w:rsid w:val="0BBD42C7"/>
    <w:rsid w:val="0C450D6C"/>
    <w:rsid w:val="0CEB23FC"/>
    <w:rsid w:val="0E963B01"/>
    <w:rsid w:val="0ED168E7"/>
    <w:rsid w:val="0F2F360E"/>
    <w:rsid w:val="0F8044A9"/>
    <w:rsid w:val="0FE12B5A"/>
    <w:rsid w:val="104E3B3C"/>
    <w:rsid w:val="10D027DA"/>
    <w:rsid w:val="11FF17C6"/>
    <w:rsid w:val="12260CF8"/>
    <w:rsid w:val="1228203A"/>
    <w:rsid w:val="12A460C1"/>
    <w:rsid w:val="135D660E"/>
    <w:rsid w:val="13B603D4"/>
    <w:rsid w:val="13CA3801"/>
    <w:rsid w:val="13F8251D"/>
    <w:rsid w:val="145A737F"/>
    <w:rsid w:val="14A71F8B"/>
    <w:rsid w:val="14C11897"/>
    <w:rsid w:val="16157A01"/>
    <w:rsid w:val="16807A3D"/>
    <w:rsid w:val="169C5A2D"/>
    <w:rsid w:val="16B03286"/>
    <w:rsid w:val="176F4EEF"/>
    <w:rsid w:val="17B0582D"/>
    <w:rsid w:val="17E31439"/>
    <w:rsid w:val="187C3D68"/>
    <w:rsid w:val="19433130"/>
    <w:rsid w:val="19793E03"/>
    <w:rsid w:val="19882298"/>
    <w:rsid w:val="19B4308D"/>
    <w:rsid w:val="19B74A0B"/>
    <w:rsid w:val="19EF621A"/>
    <w:rsid w:val="1A6A7BF0"/>
    <w:rsid w:val="1BF83268"/>
    <w:rsid w:val="1CE041DF"/>
    <w:rsid w:val="1D37200B"/>
    <w:rsid w:val="1D7F39B2"/>
    <w:rsid w:val="1E6F34EF"/>
    <w:rsid w:val="1F446C62"/>
    <w:rsid w:val="1FC3402A"/>
    <w:rsid w:val="1FCA53B9"/>
    <w:rsid w:val="1FF2330A"/>
    <w:rsid w:val="210D285A"/>
    <w:rsid w:val="210E2D4E"/>
    <w:rsid w:val="211F34E2"/>
    <w:rsid w:val="228A52D3"/>
    <w:rsid w:val="22D12F02"/>
    <w:rsid w:val="22D47049"/>
    <w:rsid w:val="231438C1"/>
    <w:rsid w:val="232474D6"/>
    <w:rsid w:val="241C16AA"/>
    <w:rsid w:val="2492221D"/>
    <w:rsid w:val="24CE11F0"/>
    <w:rsid w:val="251D41DD"/>
    <w:rsid w:val="25207829"/>
    <w:rsid w:val="25BC1C48"/>
    <w:rsid w:val="25F52585"/>
    <w:rsid w:val="261E1237"/>
    <w:rsid w:val="262B46D7"/>
    <w:rsid w:val="268C786C"/>
    <w:rsid w:val="26E34FB2"/>
    <w:rsid w:val="27E72880"/>
    <w:rsid w:val="2967011C"/>
    <w:rsid w:val="2A04533A"/>
    <w:rsid w:val="2A077209"/>
    <w:rsid w:val="2A261D85"/>
    <w:rsid w:val="2AFF0727"/>
    <w:rsid w:val="2C5030EA"/>
    <w:rsid w:val="2C5F157F"/>
    <w:rsid w:val="2C6646BB"/>
    <w:rsid w:val="2C770676"/>
    <w:rsid w:val="2C8E3C12"/>
    <w:rsid w:val="2CAC2F7C"/>
    <w:rsid w:val="2DB17F18"/>
    <w:rsid w:val="2E2E5C6F"/>
    <w:rsid w:val="2EEE59E3"/>
    <w:rsid w:val="2F6B3D97"/>
    <w:rsid w:val="30CB2D3F"/>
    <w:rsid w:val="30EF0781"/>
    <w:rsid w:val="31EE3099"/>
    <w:rsid w:val="320E4DE5"/>
    <w:rsid w:val="32785148"/>
    <w:rsid w:val="327F58EB"/>
    <w:rsid w:val="345E3ECA"/>
    <w:rsid w:val="34871673"/>
    <w:rsid w:val="34ED65FD"/>
    <w:rsid w:val="353320FF"/>
    <w:rsid w:val="36963DEF"/>
    <w:rsid w:val="36A209E6"/>
    <w:rsid w:val="3768578B"/>
    <w:rsid w:val="37FF4B14"/>
    <w:rsid w:val="39231B3B"/>
    <w:rsid w:val="3B3005EB"/>
    <w:rsid w:val="3B7566C9"/>
    <w:rsid w:val="3BA914B2"/>
    <w:rsid w:val="3BE02543"/>
    <w:rsid w:val="3C2F7A7F"/>
    <w:rsid w:val="3C7A386B"/>
    <w:rsid w:val="3C7E77FF"/>
    <w:rsid w:val="3D931F52"/>
    <w:rsid w:val="3D940D63"/>
    <w:rsid w:val="3DA04AEF"/>
    <w:rsid w:val="3E8B1D5F"/>
    <w:rsid w:val="3E92725F"/>
    <w:rsid w:val="3F0B16D3"/>
    <w:rsid w:val="3F310B59"/>
    <w:rsid w:val="3F340AC3"/>
    <w:rsid w:val="3F4D7F93"/>
    <w:rsid w:val="3FBA6550"/>
    <w:rsid w:val="4037219F"/>
    <w:rsid w:val="404B0AB0"/>
    <w:rsid w:val="40F0234E"/>
    <w:rsid w:val="40FE050B"/>
    <w:rsid w:val="41B96BE3"/>
    <w:rsid w:val="41C740B9"/>
    <w:rsid w:val="4222708E"/>
    <w:rsid w:val="42312C1E"/>
    <w:rsid w:val="437B23A2"/>
    <w:rsid w:val="43E77A38"/>
    <w:rsid w:val="441743AC"/>
    <w:rsid w:val="442944F4"/>
    <w:rsid w:val="444924A1"/>
    <w:rsid w:val="44641089"/>
    <w:rsid w:val="44CD1324"/>
    <w:rsid w:val="464F7083"/>
    <w:rsid w:val="466F1F67"/>
    <w:rsid w:val="47372A84"/>
    <w:rsid w:val="476E221E"/>
    <w:rsid w:val="48B30830"/>
    <w:rsid w:val="48DA5DBD"/>
    <w:rsid w:val="490446D8"/>
    <w:rsid w:val="49080B7C"/>
    <w:rsid w:val="49261002"/>
    <w:rsid w:val="49BE123B"/>
    <w:rsid w:val="49C0103C"/>
    <w:rsid w:val="49E7298D"/>
    <w:rsid w:val="4A4756D4"/>
    <w:rsid w:val="4A6E0EB3"/>
    <w:rsid w:val="4B0C4228"/>
    <w:rsid w:val="4D6471EF"/>
    <w:rsid w:val="4E630603"/>
    <w:rsid w:val="4ED82D9F"/>
    <w:rsid w:val="4F5C39D0"/>
    <w:rsid w:val="4F675ED1"/>
    <w:rsid w:val="4FFF435B"/>
    <w:rsid w:val="503E02C1"/>
    <w:rsid w:val="508D1967"/>
    <w:rsid w:val="50FB43EB"/>
    <w:rsid w:val="52493C40"/>
    <w:rsid w:val="5277467D"/>
    <w:rsid w:val="528A0854"/>
    <w:rsid w:val="52AA60B3"/>
    <w:rsid w:val="52AB2578"/>
    <w:rsid w:val="52B5190C"/>
    <w:rsid w:val="53034162"/>
    <w:rsid w:val="534E1882"/>
    <w:rsid w:val="538E6122"/>
    <w:rsid w:val="53EC3BAC"/>
    <w:rsid w:val="540911E1"/>
    <w:rsid w:val="542530EC"/>
    <w:rsid w:val="54A279DC"/>
    <w:rsid w:val="54D80D70"/>
    <w:rsid w:val="559D264C"/>
    <w:rsid w:val="56242D6E"/>
    <w:rsid w:val="564956D5"/>
    <w:rsid w:val="56911674"/>
    <w:rsid w:val="572C2443"/>
    <w:rsid w:val="58386DA9"/>
    <w:rsid w:val="586409B4"/>
    <w:rsid w:val="58C3688D"/>
    <w:rsid w:val="594A69F4"/>
    <w:rsid w:val="59F44805"/>
    <w:rsid w:val="5A025174"/>
    <w:rsid w:val="5A0C5FF2"/>
    <w:rsid w:val="5A5932CC"/>
    <w:rsid w:val="5A6F251F"/>
    <w:rsid w:val="5AD92379"/>
    <w:rsid w:val="5B01542B"/>
    <w:rsid w:val="5B3E6680"/>
    <w:rsid w:val="5B433C96"/>
    <w:rsid w:val="5BFB1B82"/>
    <w:rsid w:val="5CE13766"/>
    <w:rsid w:val="5CEF0F85"/>
    <w:rsid w:val="5CF176B0"/>
    <w:rsid w:val="5D900CE9"/>
    <w:rsid w:val="5E563CE0"/>
    <w:rsid w:val="5EDD60EC"/>
    <w:rsid w:val="5F661D01"/>
    <w:rsid w:val="5F97635E"/>
    <w:rsid w:val="608F5287"/>
    <w:rsid w:val="626277A2"/>
    <w:rsid w:val="626B762E"/>
    <w:rsid w:val="62BB2364"/>
    <w:rsid w:val="631754A0"/>
    <w:rsid w:val="63AE3C76"/>
    <w:rsid w:val="64DB56EF"/>
    <w:rsid w:val="65493C57"/>
    <w:rsid w:val="65686D9E"/>
    <w:rsid w:val="65DA51F7"/>
    <w:rsid w:val="66707909"/>
    <w:rsid w:val="66992286"/>
    <w:rsid w:val="6751773B"/>
    <w:rsid w:val="67B33F51"/>
    <w:rsid w:val="693C1F11"/>
    <w:rsid w:val="69CC12FA"/>
    <w:rsid w:val="69D844DB"/>
    <w:rsid w:val="6A385B92"/>
    <w:rsid w:val="6A9473FB"/>
    <w:rsid w:val="6B106FC5"/>
    <w:rsid w:val="6B460C38"/>
    <w:rsid w:val="6C1F1BB5"/>
    <w:rsid w:val="6C6E0447"/>
    <w:rsid w:val="6DE97993"/>
    <w:rsid w:val="6E9B51A8"/>
    <w:rsid w:val="6EB91BD1"/>
    <w:rsid w:val="6F0137F4"/>
    <w:rsid w:val="6F1D43AC"/>
    <w:rsid w:val="6F70462C"/>
    <w:rsid w:val="705F07D2"/>
    <w:rsid w:val="713A4D9B"/>
    <w:rsid w:val="71A55A61"/>
    <w:rsid w:val="7258197D"/>
    <w:rsid w:val="72D74F98"/>
    <w:rsid w:val="72DE436F"/>
    <w:rsid w:val="7372081D"/>
    <w:rsid w:val="748B71CF"/>
    <w:rsid w:val="74C564D1"/>
    <w:rsid w:val="75360B18"/>
    <w:rsid w:val="75E3358F"/>
    <w:rsid w:val="760D0CD1"/>
    <w:rsid w:val="76873CF7"/>
    <w:rsid w:val="7696629B"/>
    <w:rsid w:val="773F310C"/>
    <w:rsid w:val="77843214"/>
    <w:rsid w:val="79102A37"/>
    <w:rsid w:val="793F73F3"/>
    <w:rsid w:val="79562DC0"/>
    <w:rsid w:val="79C96515"/>
    <w:rsid w:val="79FA156C"/>
    <w:rsid w:val="7AAD321E"/>
    <w:rsid w:val="7B340AAD"/>
    <w:rsid w:val="7BAE4D08"/>
    <w:rsid w:val="7C042B76"/>
    <w:rsid w:val="7C480CB4"/>
    <w:rsid w:val="7C847EE5"/>
    <w:rsid w:val="7D5702B7"/>
    <w:rsid w:val="7E7713DD"/>
    <w:rsid w:val="7EAF0B77"/>
    <w:rsid w:val="7ED72E9F"/>
    <w:rsid w:val="7FAF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66"/>
    <w:autoRedefine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76">
    <w:name w:val="Default Paragraph Font"/>
    <w:autoRedefine/>
    <w:semiHidden/>
    <w:unhideWhenUsed/>
    <w:qFormat/>
    <w:uiPriority w:val="1"/>
  </w:style>
  <w:style w:type="table" w:default="1" w:styleId="7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autoRedefine/>
    <w:qFormat/>
    <w:uiPriority w:val="0"/>
    <w:pPr>
      <w:ind w:left="100" w:leftChars="400" w:hanging="200" w:hangingChars="200"/>
    </w:pPr>
    <w:rPr>
      <w:szCs w:val="24"/>
    </w:rPr>
  </w:style>
  <w:style w:type="paragraph" w:styleId="12">
    <w:name w:val="toc 7"/>
    <w:basedOn w:val="13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3">
    <w:name w:val="toc 6"/>
    <w:basedOn w:val="14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4">
    <w:name w:val="toc 5"/>
    <w:basedOn w:val="15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5">
    <w:name w:val="toc 4"/>
    <w:basedOn w:val="16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6">
    <w:name w:val="toc 3"/>
    <w:basedOn w:val="17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7">
    <w:name w:val="toc 2"/>
    <w:basedOn w:val="18"/>
    <w:next w:val="1"/>
    <w:autoRedefine/>
    <w:semiHidden/>
    <w:qFormat/>
    <w:uiPriority w:val="0"/>
    <w:pPr>
      <w:tabs>
        <w:tab w:val="right" w:leader="dot" w:pos="9345"/>
      </w:tabs>
    </w:pPr>
    <w:rPr>
      <w:color w:val="000000"/>
    </w:rPr>
  </w:style>
  <w:style w:type="paragraph" w:styleId="18">
    <w:name w:val="toc 1"/>
    <w:next w:val="1"/>
    <w:autoRedefine/>
    <w:qFormat/>
    <w:uiPriority w:val="39"/>
    <w:pPr>
      <w:tabs>
        <w:tab w:val="right" w:leader="dot" w:pos="9345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9">
    <w:name w:val="List Number 2"/>
    <w:basedOn w:val="1"/>
    <w:autoRedefine/>
    <w:qFormat/>
    <w:uiPriority w:val="0"/>
    <w:pPr>
      <w:numPr>
        <w:ilvl w:val="0"/>
        <w:numId w:val="1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20">
    <w:name w:val="Note Heading"/>
    <w:basedOn w:val="1"/>
    <w:next w:val="1"/>
    <w:autoRedefine/>
    <w:qFormat/>
    <w:uiPriority w:val="0"/>
    <w:pPr>
      <w:jc w:val="center"/>
    </w:pPr>
    <w:rPr>
      <w:szCs w:val="24"/>
    </w:rPr>
  </w:style>
  <w:style w:type="paragraph" w:styleId="21">
    <w:name w:val="List Bullet 4"/>
    <w:basedOn w:val="1"/>
    <w:autoRedefine/>
    <w:qFormat/>
    <w:uiPriority w:val="0"/>
    <w:pPr>
      <w:numPr>
        <w:ilvl w:val="0"/>
        <w:numId w:val="2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22">
    <w:name w:val="E-mail Signature"/>
    <w:basedOn w:val="1"/>
    <w:autoRedefine/>
    <w:qFormat/>
    <w:uiPriority w:val="0"/>
    <w:rPr>
      <w:szCs w:val="24"/>
    </w:rPr>
  </w:style>
  <w:style w:type="paragraph" w:styleId="23">
    <w:name w:val="List Number"/>
    <w:basedOn w:val="1"/>
    <w:autoRedefine/>
    <w:qFormat/>
    <w:uiPriority w:val="0"/>
    <w:rPr>
      <w:szCs w:val="24"/>
    </w:rPr>
  </w:style>
  <w:style w:type="paragraph" w:styleId="24">
    <w:name w:val="Normal Indent"/>
    <w:basedOn w:val="1"/>
    <w:autoRedefine/>
    <w:qFormat/>
    <w:uiPriority w:val="0"/>
    <w:pPr>
      <w:ind w:firstLine="420" w:firstLineChars="200"/>
    </w:pPr>
    <w:rPr>
      <w:szCs w:val="24"/>
    </w:rPr>
  </w:style>
  <w:style w:type="paragraph" w:styleId="25">
    <w:name w:val="List Bullet"/>
    <w:basedOn w:val="1"/>
    <w:autoRedefine/>
    <w:qFormat/>
    <w:uiPriority w:val="0"/>
    <w:pPr>
      <w:numPr>
        <w:ilvl w:val="0"/>
        <w:numId w:val="3"/>
      </w:numPr>
    </w:pPr>
    <w:rPr>
      <w:szCs w:val="24"/>
    </w:rPr>
  </w:style>
  <w:style w:type="paragraph" w:styleId="26">
    <w:name w:val="envelope address"/>
    <w:basedOn w:val="1"/>
    <w:autoRedefine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27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28">
    <w:name w:val="annotation text"/>
    <w:basedOn w:val="1"/>
    <w:autoRedefine/>
    <w:semiHidden/>
    <w:qFormat/>
    <w:uiPriority w:val="0"/>
    <w:pPr>
      <w:jc w:val="left"/>
    </w:pPr>
    <w:rPr>
      <w:szCs w:val="24"/>
    </w:rPr>
  </w:style>
  <w:style w:type="paragraph" w:styleId="29">
    <w:name w:val="Salutation"/>
    <w:basedOn w:val="1"/>
    <w:next w:val="1"/>
    <w:autoRedefine/>
    <w:qFormat/>
    <w:uiPriority w:val="0"/>
    <w:rPr>
      <w:szCs w:val="24"/>
    </w:rPr>
  </w:style>
  <w:style w:type="paragraph" w:styleId="30">
    <w:name w:val="Body Text 3"/>
    <w:basedOn w:val="1"/>
    <w:autoRedefine/>
    <w:qFormat/>
    <w:uiPriority w:val="0"/>
    <w:pPr>
      <w:spacing w:after="120"/>
    </w:pPr>
    <w:rPr>
      <w:sz w:val="16"/>
      <w:szCs w:val="16"/>
    </w:rPr>
  </w:style>
  <w:style w:type="paragraph" w:styleId="31">
    <w:name w:val="Closing"/>
    <w:basedOn w:val="1"/>
    <w:autoRedefine/>
    <w:qFormat/>
    <w:uiPriority w:val="0"/>
    <w:pPr>
      <w:ind w:left="100" w:leftChars="2100"/>
    </w:pPr>
    <w:rPr>
      <w:szCs w:val="24"/>
    </w:rPr>
  </w:style>
  <w:style w:type="paragraph" w:styleId="32">
    <w:name w:val="List Bullet 3"/>
    <w:basedOn w:val="1"/>
    <w:autoRedefine/>
    <w:qFormat/>
    <w:uiPriority w:val="0"/>
    <w:pPr>
      <w:numPr>
        <w:ilvl w:val="0"/>
        <w:numId w:val="4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3">
    <w:name w:val="Body Text"/>
    <w:basedOn w:val="1"/>
    <w:autoRedefine/>
    <w:qFormat/>
    <w:uiPriority w:val="0"/>
    <w:pPr>
      <w:wordWrap w:val="0"/>
      <w:spacing w:line="480" w:lineRule="exact"/>
      <w:jc w:val="right"/>
    </w:pPr>
    <w:rPr>
      <w:color w:val="000000"/>
      <w:position w:val="-10"/>
      <w:sz w:val="18"/>
    </w:rPr>
  </w:style>
  <w:style w:type="paragraph" w:styleId="3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5">
    <w:name w:val="List Number 3"/>
    <w:basedOn w:val="1"/>
    <w:autoRedefine/>
    <w:qFormat/>
    <w:uiPriority w:val="0"/>
    <w:pPr>
      <w:numPr>
        <w:ilvl w:val="0"/>
        <w:numId w:val="5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6">
    <w:name w:val="List 2"/>
    <w:basedOn w:val="1"/>
    <w:autoRedefine/>
    <w:qFormat/>
    <w:uiPriority w:val="0"/>
    <w:pPr>
      <w:ind w:left="100" w:leftChars="200" w:hanging="200" w:hangingChars="200"/>
    </w:pPr>
    <w:rPr>
      <w:szCs w:val="24"/>
    </w:rPr>
  </w:style>
  <w:style w:type="paragraph" w:styleId="37">
    <w:name w:val="List Continue"/>
    <w:basedOn w:val="1"/>
    <w:autoRedefine/>
    <w:qFormat/>
    <w:uiPriority w:val="0"/>
    <w:pPr>
      <w:numPr>
        <w:ilvl w:val="0"/>
        <w:numId w:val="6"/>
      </w:numPr>
      <w:tabs>
        <w:tab w:val="clear" w:pos="2040"/>
      </w:tabs>
      <w:spacing w:after="120"/>
      <w:ind w:left="420" w:leftChars="200" w:firstLine="0" w:firstLineChars="0"/>
    </w:pPr>
    <w:rPr>
      <w:szCs w:val="24"/>
    </w:rPr>
  </w:style>
  <w:style w:type="paragraph" w:styleId="38">
    <w:name w:val="Block Text"/>
    <w:basedOn w:val="1"/>
    <w:autoRedefine/>
    <w:qFormat/>
    <w:uiPriority w:val="0"/>
    <w:pPr>
      <w:spacing w:after="120"/>
      <w:ind w:left="1440" w:leftChars="700" w:right="1440" w:rightChars="700"/>
    </w:pPr>
    <w:rPr>
      <w:szCs w:val="24"/>
    </w:rPr>
  </w:style>
  <w:style w:type="paragraph" w:styleId="39">
    <w:name w:val="List Bullet 2"/>
    <w:basedOn w:val="1"/>
    <w:autoRedefine/>
    <w:qFormat/>
    <w:uiPriority w:val="0"/>
    <w:pPr>
      <w:numPr>
        <w:ilvl w:val="0"/>
        <w:numId w:val="7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40">
    <w:name w:val="HTML Address"/>
    <w:basedOn w:val="1"/>
    <w:autoRedefine/>
    <w:qFormat/>
    <w:uiPriority w:val="0"/>
    <w:rPr>
      <w:i/>
      <w:iCs/>
    </w:rPr>
  </w:style>
  <w:style w:type="paragraph" w:styleId="41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2">
    <w:name w:val="List Bullet 5"/>
    <w:basedOn w:val="1"/>
    <w:autoRedefine/>
    <w:qFormat/>
    <w:uiPriority w:val="0"/>
    <w:pPr>
      <w:numPr>
        <w:ilvl w:val="0"/>
        <w:numId w:val="8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43">
    <w:name w:val="List Number 4"/>
    <w:basedOn w:val="1"/>
    <w:autoRedefine/>
    <w:qFormat/>
    <w:uiPriority w:val="0"/>
    <w:pPr>
      <w:numPr>
        <w:ilvl w:val="0"/>
        <w:numId w:val="9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44">
    <w:name w:val="toc 8"/>
    <w:basedOn w:val="12"/>
    <w:next w:val="1"/>
    <w:autoRedefine/>
    <w:semiHidden/>
    <w:qFormat/>
    <w:uiPriority w:val="0"/>
  </w:style>
  <w:style w:type="paragraph" w:styleId="45">
    <w:name w:val="Date"/>
    <w:basedOn w:val="1"/>
    <w:next w:val="1"/>
    <w:autoRedefine/>
    <w:qFormat/>
    <w:uiPriority w:val="0"/>
    <w:pPr>
      <w:ind w:left="100" w:leftChars="2500"/>
    </w:pPr>
    <w:rPr>
      <w:b/>
      <w:color w:val="0000FF"/>
      <w:szCs w:val="21"/>
    </w:rPr>
  </w:style>
  <w:style w:type="paragraph" w:styleId="46">
    <w:name w:val="Body Text Indent 2"/>
    <w:basedOn w:val="1"/>
    <w:link w:val="142"/>
    <w:autoRedefine/>
    <w:qFormat/>
    <w:uiPriority w:val="0"/>
    <w:pPr>
      <w:spacing w:line="360" w:lineRule="auto"/>
      <w:ind w:firstLine="480"/>
    </w:pPr>
    <w:rPr>
      <w:color w:val="FF0000"/>
      <w:kern w:val="0"/>
      <w:sz w:val="24"/>
    </w:rPr>
  </w:style>
  <w:style w:type="paragraph" w:styleId="47">
    <w:name w:val="List Continue 5"/>
    <w:basedOn w:val="1"/>
    <w:autoRedefine/>
    <w:qFormat/>
    <w:uiPriority w:val="0"/>
    <w:pPr>
      <w:spacing w:after="120"/>
      <w:ind w:left="2100" w:leftChars="1000"/>
    </w:pPr>
    <w:rPr>
      <w:szCs w:val="24"/>
    </w:rPr>
  </w:style>
  <w:style w:type="paragraph" w:styleId="48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0">
    <w:name w:val="envelope return"/>
    <w:basedOn w:val="1"/>
    <w:autoRedefine/>
    <w:qFormat/>
    <w:uiPriority w:val="0"/>
    <w:pPr>
      <w:snapToGrid w:val="0"/>
    </w:pPr>
    <w:rPr>
      <w:rFonts w:ascii="Arial" w:hAnsi="Arial" w:cs="Arial"/>
      <w:szCs w:val="24"/>
    </w:rPr>
  </w:style>
  <w:style w:type="paragraph" w:styleId="51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2">
    <w:name w:val="Signature"/>
    <w:basedOn w:val="1"/>
    <w:autoRedefine/>
    <w:qFormat/>
    <w:uiPriority w:val="0"/>
    <w:pPr>
      <w:ind w:left="100" w:leftChars="2100"/>
    </w:pPr>
    <w:rPr>
      <w:szCs w:val="24"/>
    </w:rPr>
  </w:style>
  <w:style w:type="paragraph" w:styleId="53">
    <w:name w:val="List Continue 4"/>
    <w:basedOn w:val="1"/>
    <w:autoRedefine/>
    <w:qFormat/>
    <w:uiPriority w:val="0"/>
    <w:pPr>
      <w:spacing w:after="120"/>
      <w:ind w:left="1680" w:leftChars="800"/>
    </w:pPr>
    <w:rPr>
      <w:szCs w:val="24"/>
    </w:rPr>
  </w:style>
  <w:style w:type="paragraph" w:styleId="54">
    <w:name w:val="Subtitle"/>
    <w:basedOn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5">
    <w:name w:val="List Number 5"/>
    <w:basedOn w:val="1"/>
    <w:autoRedefine/>
    <w:qFormat/>
    <w:uiPriority w:val="0"/>
    <w:pPr>
      <w:numPr>
        <w:ilvl w:val="0"/>
        <w:numId w:val="10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56">
    <w:name w:val="List"/>
    <w:basedOn w:val="1"/>
    <w:autoRedefine/>
    <w:qFormat/>
    <w:uiPriority w:val="0"/>
    <w:pPr>
      <w:ind w:left="200" w:hanging="200" w:hangingChars="200"/>
    </w:pPr>
    <w:rPr>
      <w:szCs w:val="24"/>
    </w:rPr>
  </w:style>
  <w:style w:type="paragraph" w:styleId="57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58">
    <w:name w:val="List 5"/>
    <w:basedOn w:val="1"/>
    <w:autoRedefine/>
    <w:qFormat/>
    <w:uiPriority w:val="0"/>
    <w:pPr>
      <w:ind w:left="100" w:leftChars="800" w:hanging="200" w:hangingChars="200"/>
    </w:pPr>
    <w:rPr>
      <w:szCs w:val="24"/>
    </w:rPr>
  </w:style>
  <w:style w:type="paragraph" w:styleId="59">
    <w:name w:val="Body Text Indent 3"/>
    <w:basedOn w:val="1"/>
    <w:autoRedefine/>
    <w:qFormat/>
    <w:uiPriority w:val="0"/>
    <w:pPr>
      <w:spacing w:line="360" w:lineRule="auto"/>
    </w:pPr>
    <w:rPr>
      <w:rFonts w:ascii="宋体" w:hAnsi="宋体"/>
      <w:szCs w:val="24"/>
    </w:rPr>
  </w:style>
  <w:style w:type="paragraph" w:styleId="60">
    <w:name w:val="toc 9"/>
    <w:basedOn w:val="44"/>
    <w:next w:val="1"/>
    <w:autoRedefine/>
    <w:semiHidden/>
    <w:qFormat/>
    <w:uiPriority w:val="0"/>
  </w:style>
  <w:style w:type="paragraph" w:styleId="61">
    <w:name w:val="Body Text 2"/>
    <w:basedOn w:val="1"/>
    <w:autoRedefine/>
    <w:qFormat/>
    <w:uiPriority w:val="0"/>
    <w:pPr>
      <w:spacing w:after="120" w:line="480" w:lineRule="auto"/>
    </w:pPr>
    <w:rPr>
      <w:szCs w:val="24"/>
    </w:rPr>
  </w:style>
  <w:style w:type="paragraph" w:styleId="62">
    <w:name w:val="List 4"/>
    <w:basedOn w:val="1"/>
    <w:autoRedefine/>
    <w:qFormat/>
    <w:uiPriority w:val="0"/>
    <w:pPr>
      <w:ind w:left="100" w:leftChars="600" w:hanging="200" w:hangingChars="200"/>
    </w:pPr>
    <w:rPr>
      <w:szCs w:val="24"/>
    </w:rPr>
  </w:style>
  <w:style w:type="paragraph" w:styleId="63">
    <w:name w:val="List Continue 2"/>
    <w:basedOn w:val="1"/>
    <w:autoRedefine/>
    <w:qFormat/>
    <w:uiPriority w:val="0"/>
    <w:pPr>
      <w:spacing w:after="120"/>
      <w:ind w:left="840" w:leftChars="400"/>
    </w:pPr>
    <w:rPr>
      <w:szCs w:val="24"/>
    </w:rPr>
  </w:style>
  <w:style w:type="paragraph" w:styleId="64">
    <w:name w:val="Message Header"/>
    <w:basedOn w:val="1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65">
    <w:name w:val="HTML Preformatted"/>
    <w:basedOn w:val="1"/>
    <w:autoRedefine/>
    <w:qFormat/>
    <w:uiPriority w:val="0"/>
    <w:rPr>
      <w:rFonts w:ascii="Courier New" w:hAnsi="Courier New" w:cs="Courier New"/>
      <w:sz w:val="20"/>
    </w:rPr>
  </w:style>
  <w:style w:type="paragraph" w:styleId="66">
    <w:name w:val="Normal (Web)"/>
    <w:basedOn w:val="1"/>
    <w:autoRedefine/>
    <w:qFormat/>
    <w:uiPriority w:val="0"/>
    <w:pPr>
      <w:numPr>
        <w:ilvl w:val="0"/>
        <w:numId w:val="11"/>
      </w:numPr>
      <w:tabs>
        <w:tab w:val="clear" w:pos="2040"/>
      </w:tabs>
      <w:ind w:left="0" w:leftChars="0" w:firstLine="0" w:firstLineChars="0"/>
    </w:pPr>
    <w:rPr>
      <w:sz w:val="24"/>
      <w:szCs w:val="24"/>
    </w:rPr>
  </w:style>
  <w:style w:type="paragraph" w:styleId="67">
    <w:name w:val="List Continue 3"/>
    <w:basedOn w:val="1"/>
    <w:autoRedefine/>
    <w:qFormat/>
    <w:uiPriority w:val="0"/>
    <w:pPr>
      <w:spacing w:after="120"/>
      <w:ind w:left="1260" w:leftChars="600"/>
    </w:pPr>
    <w:rPr>
      <w:szCs w:val="24"/>
    </w:rPr>
  </w:style>
  <w:style w:type="paragraph" w:styleId="68">
    <w:name w:val="index 1"/>
    <w:basedOn w:val="1"/>
    <w:next w:val="1"/>
    <w:autoRedefine/>
    <w:semiHidden/>
    <w:qFormat/>
    <w:uiPriority w:val="0"/>
    <w:rPr>
      <w:szCs w:val="24"/>
    </w:rPr>
  </w:style>
  <w:style w:type="paragraph" w:styleId="69">
    <w:name w:val="index 2"/>
    <w:basedOn w:val="1"/>
    <w:next w:val="1"/>
    <w:autoRedefine/>
    <w:semiHidden/>
    <w:qFormat/>
    <w:uiPriority w:val="0"/>
    <w:pPr>
      <w:ind w:left="200" w:leftChars="200"/>
    </w:pPr>
    <w:rPr>
      <w:szCs w:val="24"/>
    </w:rPr>
  </w:style>
  <w:style w:type="paragraph" w:styleId="70">
    <w:name w:val="Title"/>
    <w:basedOn w:val="1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1">
    <w:name w:val="annotation subject"/>
    <w:basedOn w:val="28"/>
    <w:next w:val="28"/>
    <w:autoRedefine/>
    <w:semiHidden/>
    <w:qFormat/>
    <w:uiPriority w:val="0"/>
    <w:rPr>
      <w:b/>
      <w:bCs/>
    </w:rPr>
  </w:style>
  <w:style w:type="paragraph" w:styleId="72">
    <w:name w:val="Body Text First Indent"/>
    <w:basedOn w:val="33"/>
    <w:autoRedefine/>
    <w:qFormat/>
    <w:uiPriority w:val="0"/>
    <w:pPr>
      <w:wordWrap/>
      <w:spacing w:after="120" w:line="240" w:lineRule="auto"/>
      <w:ind w:firstLine="420" w:firstLineChars="100"/>
      <w:jc w:val="both"/>
    </w:pPr>
    <w:rPr>
      <w:color w:val="auto"/>
      <w:position w:val="0"/>
      <w:sz w:val="21"/>
      <w:szCs w:val="24"/>
    </w:rPr>
  </w:style>
  <w:style w:type="paragraph" w:styleId="73">
    <w:name w:val="Body Text First Indent 2"/>
    <w:basedOn w:val="34"/>
    <w:autoRedefine/>
    <w:qFormat/>
    <w:uiPriority w:val="0"/>
    <w:pPr>
      <w:ind w:firstLine="420" w:firstLineChars="200"/>
    </w:pPr>
    <w:rPr>
      <w:szCs w:val="24"/>
    </w:rPr>
  </w:style>
  <w:style w:type="table" w:styleId="75">
    <w:name w:val="Table Grid"/>
    <w:basedOn w:val="7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7">
    <w:name w:val="Strong"/>
    <w:autoRedefine/>
    <w:qFormat/>
    <w:uiPriority w:val="0"/>
    <w:rPr>
      <w:rFonts w:ascii="FangSong_GB2312" w:eastAsia="FangSong_GB2312"/>
      <w:b/>
      <w:bCs/>
      <w:sz w:val="28"/>
      <w:szCs w:val="28"/>
      <w:lang w:val="en-US" w:eastAsia="zh-CN" w:bidi="ar-SA"/>
    </w:rPr>
  </w:style>
  <w:style w:type="character" w:styleId="78">
    <w:name w:val="page number"/>
    <w:autoRedefine/>
    <w:qFormat/>
    <w:uiPriority w:val="0"/>
    <w:rPr>
      <w:rFonts w:ascii="Times New Roman" w:hAnsi="Times New Roman" w:eastAsia="宋体"/>
      <w:sz w:val="18"/>
    </w:rPr>
  </w:style>
  <w:style w:type="character" w:styleId="79">
    <w:name w:val="HTML Definition"/>
    <w:autoRedefine/>
    <w:qFormat/>
    <w:uiPriority w:val="0"/>
    <w:rPr>
      <w:i/>
      <w:iCs/>
    </w:rPr>
  </w:style>
  <w:style w:type="character" w:styleId="80">
    <w:name w:val="HTML Typewriter"/>
    <w:autoRedefine/>
    <w:qFormat/>
    <w:uiPriority w:val="0"/>
    <w:rPr>
      <w:rFonts w:ascii="Courier New" w:hAnsi="Courier New"/>
      <w:sz w:val="20"/>
      <w:szCs w:val="20"/>
    </w:rPr>
  </w:style>
  <w:style w:type="character" w:styleId="81">
    <w:name w:val="HTML Acronym"/>
    <w:basedOn w:val="76"/>
    <w:autoRedefine/>
    <w:qFormat/>
    <w:uiPriority w:val="0"/>
  </w:style>
  <w:style w:type="character" w:styleId="82">
    <w:name w:val="HTML Variable"/>
    <w:autoRedefine/>
    <w:qFormat/>
    <w:uiPriority w:val="0"/>
    <w:rPr>
      <w:i/>
      <w:iCs/>
    </w:rPr>
  </w:style>
  <w:style w:type="character" w:styleId="83">
    <w:name w:val="Hyperlink"/>
    <w:autoRedefine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84">
    <w:name w:val="HTML Code"/>
    <w:autoRedefine/>
    <w:qFormat/>
    <w:uiPriority w:val="0"/>
    <w:rPr>
      <w:rFonts w:ascii="Courier New" w:hAnsi="Courier New"/>
      <w:sz w:val="20"/>
      <w:szCs w:val="20"/>
    </w:rPr>
  </w:style>
  <w:style w:type="character" w:styleId="85">
    <w:name w:val="annotation reference"/>
    <w:basedOn w:val="76"/>
    <w:autoRedefine/>
    <w:qFormat/>
    <w:uiPriority w:val="0"/>
    <w:rPr>
      <w:sz w:val="21"/>
      <w:szCs w:val="21"/>
    </w:rPr>
  </w:style>
  <w:style w:type="character" w:styleId="86">
    <w:name w:val="HTML Cite"/>
    <w:autoRedefine/>
    <w:qFormat/>
    <w:uiPriority w:val="0"/>
    <w:rPr>
      <w:i/>
      <w:iCs/>
    </w:rPr>
  </w:style>
  <w:style w:type="character" w:styleId="87">
    <w:name w:val="footnote reference"/>
    <w:autoRedefine/>
    <w:semiHidden/>
    <w:qFormat/>
    <w:uiPriority w:val="0"/>
    <w:rPr>
      <w:vertAlign w:val="superscript"/>
    </w:rPr>
  </w:style>
  <w:style w:type="character" w:styleId="88">
    <w:name w:val="HTML Keyboard"/>
    <w:autoRedefine/>
    <w:qFormat/>
    <w:uiPriority w:val="0"/>
    <w:rPr>
      <w:rFonts w:ascii="Courier New" w:hAnsi="Courier New"/>
      <w:sz w:val="20"/>
      <w:szCs w:val="20"/>
    </w:rPr>
  </w:style>
  <w:style w:type="character" w:styleId="89">
    <w:name w:val="HTML Sample"/>
    <w:autoRedefine/>
    <w:qFormat/>
    <w:uiPriority w:val="0"/>
    <w:rPr>
      <w:rFonts w:ascii="Courier New" w:hAnsi="Courier New"/>
    </w:rPr>
  </w:style>
  <w:style w:type="character" w:customStyle="1" w:styleId="90">
    <w:name w:val="标题 2 字符"/>
    <w:link w:val="3"/>
    <w:autoRedefine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91">
    <w:name w:val="Char Char Char1 Char"/>
    <w:basedOn w:val="1"/>
    <w:autoRedefine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92">
    <w:name w:val="标准标志"/>
    <w:next w:val="1"/>
    <w:autoRedefine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93">
    <w:name w:val="标准称谓"/>
    <w:next w:val="1"/>
    <w:autoRedefine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4">
    <w:name w:val="标准书脚_偶数页"/>
    <w:autoRedefine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5">
    <w:name w:val="标准书脚_奇数页"/>
    <w:autoRedefine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6">
    <w:name w:val="标准书眉_奇数页"/>
    <w:next w:val="1"/>
    <w:autoRedefine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7">
    <w:name w:val="标准书眉_偶数页"/>
    <w:basedOn w:val="96"/>
    <w:next w:val="1"/>
    <w:autoRedefine/>
    <w:qFormat/>
    <w:uiPriority w:val="0"/>
    <w:pPr>
      <w:jc w:val="left"/>
    </w:pPr>
  </w:style>
  <w:style w:type="paragraph" w:customStyle="1" w:styleId="98">
    <w:name w:val="标准书眉一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9">
    <w:name w:val="前言、引言标题"/>
    <w:next w:val="1"/>
    <w:autoRedefine/>
    <w:qFormat/>
    <w:uiPriority w:val="0"/>
    <w:pPr>
      <w:numPr>
        <w:ilvl w:val="0"/>
        <w:numId w:val="12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00">
    <w:name w:val="参考文献、索引标题"/>
    <w:basedOn w:val="99"/>
    <w:next w:val="1"/>
    <w:autoRedefine/>
    <w:qFormat/>
    <w:uiPriority w:val="0"/>
    <w:pPr>
      <w:numPr>
        <w:numId w:val="0"/>
      </w:numPr>
      <w:spacing w:after="200"/>
    </w:pPr>
    <w:rPr>
      <w:sz w:val="21"/>
    </w:rPr>
  </w:style>
  <w:style w:type="paragraph" w:customStyle="1" w:styleId="101">
    <w:name w:val="段"/>
    <w:link w:val="169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2">
    <w:name w:val="章标题"/>
    <w:next w:val="101"/>
    <w:autoRedefine/>
    <w:qFormat/>
    <w:uiPriority w:val="0"/>
    <w:pPr>
      <w:numPr>
        <w:ilvl w:val="1"/>
        <w:numId w:val="12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3">
    <w:name w:val="一级条标题"/>
    <w:next w:val="101"/>
    <w:autoRedefine/>
    <w:qFormat/>
    <w:uiPriority w:val="0"/>
    <w:pPr>
      <w:numPr>
        <w:ilvl w:val="2"/>
        <w:numId w:val="12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04">
    <w:name w:val="二级条标题"/>
    <w:basedOn w:val="103"/>
    <w:next w:val="101"/>
    <w:autoRedefine/>
    <w:qFormat/>
    <w:uiPriority w:val="0"/>
    <w:pPr>
      <w:numPr>
        <w:ilvl w:val="3"/>
      </w:numPr>
      <w:outlineLvl w:val="3"/>
    </w:pPr>
  </w:style>
  <w:style w:type="character" w:customStyle="1" w:styleId="105">
    <w:name w:val="发布"/>
    <w:autoRedefine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106">
    <w:name w:val="发布部门"/>
    <w:next w:val="101"/>
    <w:autoRedefine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107">
    <w:name w:val="发布日期"/>
    <w:autoRedefine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08">
    <w:name w:val="封面标准号1"/>
    <w:autoRedefine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09">
    <w:name w:val="封面标准号2"/>
    <w:basedOn w:val="108"/>
    <w:autoRedefine/>
    <w:qFormat/>
    <w:uiPriority w:val="0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110">
    <w:name w:val="封面标准代替信息"/>
    <w:basedOn w:val="109"/>
    <w:autoRedefine/>
    <w:qFormat/>
    <w:uiPriority w:val="0"/>
    <w:pPr>
      <w:spacing w:before="57"/>
    </w:pPr>
    <w:rPr>
      <w:rFonts w:ascii="宋体"/>
      <w:sz w:val="21"/>
    </w:rPr>
  </w:style>
  <w:style w:type="paragraph" w:customStyle="1" w:styleId="111">
    <w:name w:val="封面标准名称"/>
    <w:autoRedefine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12">
    <w:name w:val="封面标准文稿编辑信息"/>
    <w:autoRedefine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3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114">
    <w:name w:val="封面标准英文名称"/>
    <w:autoRedefine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15">
    <w:name w:val="封面一致性程度标识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116">
    <w:name w:val="封面正文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17">
    <w:name w:val="附录标识"/>
    <w:basedOn w:val="99"/>
    <w:autoRedefine/>
    <w:qFormat/>
    <w:uiPriority w:val="0"/>
    <w:pPr>
      <w:numPr>
        <w:ilvl w:val="0"/>
        <w:numId w:val="13"/>
      </w:numPr>
      <w:tabs>
        <w:tab w:val="left" w:pos="6405"/>
      </w:tabs>
      <w:spacing w:after="200"/>
    </w:pPr>
    <w:rPr>
      <w:sz w:val="21"/>
    </w:rPr>
  </w:style>
  <w:style w:type="paragraph" w:customStyle="1" w:styleId="118">
    <w:name w:val="附录表标题"/>
    <w:next w:val="101"/>
    <w:autoRedefine/>
    <w:qFormat/>
    <w:uiPriority w:val="0"/>
    <w:pPr>
      <w:numPr>
        <w:ilvl w:val="0"/>
        <w:numId w:val="14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9">
    <w:name w:val="附录章标题"/>
    <w:next w:val="101"/>
    <w:autoRedefine/>
    <w:qFormat/>
    <w:uiPriority w:val="0"/>
    <w:pPr>
      <w:numPr>
        <w:ilvl w:val="1"/>
        <w:numId w:val="13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20">
    <w:name w:val="附录一级条标题"/>
    <w:basedOn w:val="119"/>
    <w:next w:val="101"/>
    <w:autoRedefine/>
    <w:qFormat/>
    <w:uiPriority w:val="0"/>
    <w:pPr>
      <w:numPr>
        <w:ilvl w:val="0"/>
        <w:numId w:val="0"/>
      </w:numPr>
      <w:autoSpaceDN w:val="0"/>
      <w:spacing w:before="0" w:beforeLines="0" w:after="0" w:afterLines="0"/>
      <w:outlineLvl w:val="2"/>
    </w:pPr>
  </w:style>
  <w:style w:type="paragraph" w:customStyle="1" w:styleId="121">
    <w:name w:val="附录二级条标题"/>
    <w:basedOn w:val="120"/>
    <w:next w:val="101"/>
    <w:autoRedefine/>
    <w:qFormat/>
    <w:uiPriority w:val="0"/>
    <w:pPr>
      <w:outlineLvl w:val="3"/>
    </w:pPr>
  </w:style>
  <w:style w:type="paragraph" w:customStyle="1" w:styleId="122">
    <w:name w:val="附录三级条标题"/>
    <w:basedOn w:val="121"/>
    <w:next w:val="101"/>
    <w:autoRedefine/>
    <w:qFormat/>
    <w:uiPriority w:val="0"/>
    <w:pPr>
      <w:outlineLvl w:val="4"/>
    </w:pPr>
  </w:style>
  <w:style w:type="paragraph" w:customStyle="1" w:styleId="123">
    <w:name w:val="附录四级条标题"/>
    <w:basedOn w:val="122"/>
    <w:next w:val="101"/>
    <w:autoRedefine/>
    <w:qFormat/>
    <w:uiPriority w:val="0"/>
    <w:pPr>
      <w:outlineLvl w:val="5"/>
    </w:pPr>
  </w:style>
  <w:style w:type="paragraph" w:customStyle="1" w:styleId="124">
    <w:name w:val="附录图标题"/>
    <w:next w:val="101"/>
    <w:autoRedefine/>
    <w:qFormat/>
    <w:uiPriority w:val="0"/>
    <w:pPr>
      <w:numPr>
        <w:ilvl w:val="0"/>
        <w:numId w:val="15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5">
    <w:name w:val="附录五级条标题"/>
    <w:basedOn w:val="123"/>
    <w:next w:val="101"/>
    <w:autoRedefine/>
    <w:qFormat/>
    <w:uiPriority w:val="0"/>
    <w:pPr>
      <w:numPr>
        <w:ilvl w:val="6"/>
        <w:numId w:val="13"/>
      </w:numPr>
      <w:outlineLvl w:val="6"/>
    </w:pPr>
  </w:style>
  <w:style w:type="character" w:customStyle="1" w:styleId="126">
    <w:name w:val="个人答复风格"/>
    <w:autoRedefine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27">
    <w:name w:val="个人撰写风格"/>
    <w:autoRedefine/>
    <w:qFormat/>
    <w:uiPriority w:val="0"/>
    <w:rPr>
      <w:rFonts w:ascii="Arial" w:hAnsi="Arial" w:eastAsia="宋体" w:cs="Arial"/>
      <w:color w:val="auto"/>
      <w:sz w:val="20"/>
    </w:rPr>
  </w:style>
  <w:style w:type="paragraph" w:customStyle="1" w:styleId="128">
    <w:name w:val="列项——（一级）"/>
    <w:autoRedefine/>
    <w:qFormat/>
    <w:uiPriority w:val="0"/>
    <w:pPr>
      <w:widowControl w:val="0"/>
      <w:numPr>
        <w:ilvl w:val="0"/>
        <w:numId w:val="16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9">
    <w:name w:val="列项●（二级）"/>
    <w:autoRedefine/>
    <w:qFormat/>
    <w:uiPriority w:val="0"/>
    <w:pPr>
      <w:numPr>
        <w:ilvl w:val="0"/>
        <w:numId w:val="17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0">
    <w:name w:val="目次、标准名称标题"/>
    <w:basedOn w:val="99"/>
    <w:next w:val="101"/>
    <w:autoRedefine/>
    <w:qFormat/>
    <w:uiPriority w:val="0"/>
    <w:pPr>
      <w:numPr>
        <w:numId w:val="0"/>
      </w:numPr>
      <w:spacing w:line="460" w:lineRule="exact"/>
    </w:pPr>
  </w:style>
  <w:style w:type="paragraph" w:customStyle="1" w:styleId="131">
    <w:name w:val="目次、索引正文"/>
    <w:autoRedefine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2">
    <w:name w:val="其他标准称谓"/>
    <w:autoRedefine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33">
    <w:name w:val="其他发布部门"/>
    <w:basedOn w:val="106"/>
    <w:autoRedefine/>
    <w:qFormat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34">
    <w:name w:val="三级条标题"/>
    <w:basedOn w:val="104"/>
    <w:next w:val="101"/>
    <w:autoRedefine/>
    <w:qFormat/>
    <w:uiPriority w:val="0"/>
    <w:pPr>
      <w:numPr>
        <w:ilvl w:val="4"/>
      </w:numPr>
      <w:outlineLvl w:val="4"/>
    </w:pPr>
  </w:style>
  <w:style w:type="paragraph" w:customStyle="1" w:styleId="135">
    <w:name w:val="实施日期"/>
    <w:basedOn w:val="107"/>
    <w:autoRedefine/>
    <w:qFormat/>
    <w:uiPriority w:val="0"/>
    <w:pPr>
      <w:framePr w:hSpace="0" w:wrap="around" w:xAlign="right"/>
      <w:jc w:val="right"/>
    </w:pPr>
  </w:style>
  <w:style w:type="paragraph" w:customStyle="1" w:styleId="136">
    <w:name w:val="示例"/>
    <w:next w:val="101"/>
    <w:autoRedefine/>
    <w:qFormat/>
    <w:uiPriority w:val="0"/>
    <w:pPr>
      <w:numPr>
        <w:ilvl w:val="0"/>
        <w:numId w:val="18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37">
    <w:name w:val="数字编号列项（二级）"/>
    <w:autoRedefine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8">
    <w:name w:val="四级条标题"/>
    <w:basedOn w:val="134"/>
    <w:next w:val="101"/>
    <w:autoRedefine/>
    <w:qFormat/>
    <w:uiPriority w:val="0"/>
    <w:pPr>
      <w:numPr>
        <w:ilvl w:val="5"/>
      </w:numPr>
      <w:outlineLvl w:val="5"/>
    </w:pPr>
  </w:style>
  <w:style w:type="paragraph" w:customStyle="1" w:styleId="139">
    <w:name w:val="条文脚注"/>
    <w:basedOn w:val="57"/>
    <w:autoRedefine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40">
    <w:name w:val="图表脚注"/>
    <w:next w:val="101"/>
    <w:autoRedefine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1">
    <w:name w:val="文献分类号"/>
    <w:autoRedefine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character" w:customStyle="1" w:styleId="142">
    <w:name w:val="正文文本缩进 2 字符"/>
    <w:link w:val="46"/>
    <w:autoRedefine/>
    <w:qFormat/>
    <w:uiPriority w:val="0"/>
    <w:rPr>
      <w:rFonts w:eastAsia="宋体"/>
      <w:color w:val="FF0000"/>
      <w:sz w:val="24"/>
      <w:lang w:val="en-US" w:eastAsia="zh-CN" w:bidi="ar-SA"/>
    </w:rPr>
  </w:style>
  <w:style w:type="paragraph" w:customStyle="1" w:styleId="143">
    <w:name w:val="五级条标题"/>
    <w:basedOn w:val="138"/>
    <w:next w:val="101"/>
    <w:autoRedefine/>
    <w:qFormat/>
    <w:uiPriority w:val="0"/>
    <w:pPr>
      <w:numPr>
        <w:ilvl w:val="6"/>
      </w:numPr>
      <w:outlineLvl w:val="6"/>
    </w:pPr>
  </w:style>
  <w:style w:type="paragraph" w:customStyle="1" w:styleId="144">
    <w:name w:val="正文表标题"/>
    <w:next w:val="101"/>
    <w:autoRedefine/>
    <w:qFormat/>
    <w:uiPriority w:val="0"/>
    <w:pPr>
      <w:numPr>
        <w:ilvl w:val="0"/>
        <w:numId w:val="1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5">
    <w:name w:val="正文图标题"/>
    <w:next w:val="101"/>
    <w:autoRedefine/>
    <w:qFormat/>
    <w:uiPriority w:val="0"/>
    <w:pPr>
      <w:numPr>
        <w:ilvl w:val="0"/>
        <w:numId w:val="20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6">
    <w:name w:val="注："/>
    <w:next w:val="101"/>
    <w:autoRedefine/>
    <w:qFormat/>
    <w:uiPriority w:val="0"/>
    <w:pPr>
      <w:widowControl w:val="0"/>
      <w:numPr>
        <w:ilvl w:val="0"/>
        <w:numId w:val="21"/>
      </w:numPr>
      <w:tabs>
        <w:tab w:val="clear" w:pos="114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7">
    <w:name w:val="注×："/>
    <w:autoRedefine/>
    <w:qFormat/>
    <w:uiPriority w:val="0"/>
    <w:pPr>
      <w:widowControl w:val="0"/>
      <w:numPr>
        <w:ilvl w:val="0"/>
        <w:numId w:val="22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8">
    <w:name w:val="字母编号列项（一级）"/>
    <w:autoRedefine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9">
    <w:name w:val="列项◆（三级）"/>
    <w:autoRedefine/>
    <w:qFormat/>
    <w:uiPriority w:val="0"/>
    <w:pPr>
      <w:numPr>
        <w:ilvl w:val="0"/>
        <w:numId w:val="23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0">
    <w:name w:val="编号列项（三级）"/>
    <w:autoRedefine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1">
    <w:name w:val="Char Char Char Char Char Char Char Char Char Char Char Char Char Char Char Char Char Char Char"/>
    <w:basedOn w:val="1"/>
    <w:autoRedefine/>
    <w:qFormat/>
    <w:uiPriority w:val="0"/>
    <w:pPr>
      <w:tabs>
        <w:tab w:val="left" w:pos="6083"/>
      </w:tabs>
      <w:snapToGrid w:val="0"/>
      <w:spacing w:line="360" w:lineRule="auto"/>
      <w:ind w:firstLine="200" w:firstLineChars="200"/>
    </w:pPr>
    <w:rPr>
      <w:rFonts w:ascii="FangSong_GB2312" w:eastAsia="FangSong_GB2312"/>
      <w:kern w:val="0"/>
      <w:sz w:val="28"/>
      <w:szCs w:val="28"/>
    </w:rPr>
  </w:style>
  <w:style w:type="paragraph" w:customStyle="1" w:styleId="15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53">
    <w:name w:val="已访问的超链接1"/>
    <w:autoRedefine/>
    <w:qFormat/>
    <w:uiPriority w:val="0"/>
    <w:rPr>
      <w:rFonts w:ascii="FangSong_GB2312" w:eastAsia="FangSong_GB2312"/>
      <w:color w:val="800080"/>
      <w:sz w:val="28"/>
      <w:szCs w:val="28"/>
      <w:u w:val="single"/>
      <w:lang w:val="en-US" w:eastAsia="zh-CN" w:bidi="ar-SA"/>
    </w:rPr>
  </w:style>
  <w:style w:type="paragraph" w:customStyle="1" w:styleId="154">
    <w:name w:val="xl24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 Unicode MS" w:hAnsi="Arial Unicode MS" w:eastAsia="Arial Unicode MS" w:cs="Arial Unicode MS"/>
      <w:kern w:val="0"/>
      <w:szCs w:val="21"/>
    </w:rPr>
  </w:style>
  <w:style w:type="character" w:customStyle="1" w:styleId="155">
    <w:name w:val="图名 Char Char Char Char Char Char Char Char Char Char"/>
    <w:autoRedefine/>
    <w:qFormat/>
    <w:uiPriority w:val="0"/>
    <w:rPr>
      <w:rFonts w:ascii="黑体" w:hAnsi="Arial" w:eastAsia="黑体" w:cs="Arial"/>
    </w:rPr>
  </w:style>
  <w:style w:type="character" w:customStyle="1" w:styleId="156">
    <w:name w:val="样式 宋体 小四 Char"/>
    <w:autoRedefine/>
    <w:qFormat/>
    <w:uiPriority w:val="0"/>
    <w:rPr>
      <w:rFonts w:ascii="宋体" w:hAnsi="宋体" w:eastAsia="宋体"/>
      <w:kern w:val="2"/>
      <w:sz w:val="24"/>
      <w:szCs w:val="24"/>
      <w:lang w:val="en-US" w:eastAsia="zh-CN" w:bidi="ar-SA"/>
    </w:rPr>
  </w:style>
  <w:style w:type="paragraph" w:customStyle="1" w:styleId="157">
    <w:name w:val="1"/>
    <w:basedOn w:val="1"/>
    <w:next w:val="46"/>
    <w:autoRedefine/>
    <w:qFormat/>
    <w:uiPriority w:val="0"/>
    <w:pPr>
      <w:spacing w:before="60" w:line="400" w:lineRule="exact"/>
      <w:ind w:firstLine="420" w:firstLineChars="200"/>
    </w:pPr>
    <w:rPr>
      <w:rFonts w:ascii="宋体" w:hAnsi="宋体"/>
      <w:kern w:val="0"/>
      <w:szCs w:val="24"/>
    </w:rPr>
  </w:style>
  <w:style w:type="character" w:customStyle="1" w:styleId="158">
    <w:name w:val="biaozhun"/>
    <w:autoRedefine/>
    <w:qFormat/>
    <w:uiPriority w:val="0"/>
    <w:rPr>
      <w:rFonts w:ascii="FangSong_GB2312" w:eastAsia="FangSong_GB2312"/>
      <w:sz w:val="28"/>
      <w:szCs w:val="28"/>
      <w:lang w:val="en-US" w:eastAsia="zh-CN" w:bidi="ar-SA"/>
    </w:rPr>
  </w:style>
  <w:style w:type="character" w:customStyle="1" w:styleId="159">
    <w:name w:val="gb"/>
    <w:autoRedefine/>
    <w:qFormat/>
    <w:uiPriority w:val="0"/>
    <w:rPr>
      <w:rFonts w:ascii="FangSong_GB2312" w:eastAsia="FangSong_GB2312"/>
      <w:sz w:val="28"/>
      <w:szCs w:val="28"/>
      <w:lang w:val="en-US" w:eastAsia="zh-CN" w:bidi="ar-SA"/>
    </w:rPr>
  </w:style>
  <w:style w:type="paragraph" w:customStyle="1" w:styleId="160">
    <w:name w:val="小注"/>
    <w:basedOn w:val="46"/>
    <w:autoRedefine/>
    <w:qFormat/>
    <w:uiPriority w:val="0"/>
    <w:pPr>
      <w:spacing w:before="60" w:line="240" w:lineRule="auto"/>
      <w:ind w:firstLine="360"/>
    </w:pPr>
    <w:rPr>
      <w:rFonts w:ascii="Arial" w:hAnsi="Arial" w:cs="Arial"/>
      <w:color w:val="auto"/>
      <w:sz w:val="18"/>
      <w:szCs w:val="18"/>
    </w:rPr>
  </w:style>
  <w:style w:type="paragraph" w:customStyle="1" w:styleId="161">
    <w:name w:val="第3级标题"/>
    <w:basedOn w:val="1"/>
    <w:next w:val="1"/>
    <w:autoRedefine/>
    <w:qFormat/>
    <w:uiPriority w:val="0"/>
    <w:pPr>
      <w:spacing w:before="156" w:line="360" w:lineRule="auto"/>
    </w:pPr>
    <w:rPr>
      <w:rFonts w:ascii="黑体" w:eastAsia="黑体"/>
      <w:szCs w:val="24"/>
    </w:rPr>
  </w:style>
  <w:style w:type="paragraph" w:customStyle="1" w:styleId="162">
    <w:name w:val="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63">
    <w:name w:val="表内文字"/>
    <w:basedOn w:val="1"/>
    <w:autoRedefine/>
    <w:qFormat/>
    <w:uiPriority w:val="0"/>
    <w:pPr>
      <w:autoSpaceDE w:val="0"/>
      <w:autoSpaceDN w:val="0"/>
      <w:adjustRightInd w:val="0"/>
      <w:snapToGrid w:val="0"/>
      <w:jc w:val="center"/>
    </w:pPr>
    <w:rPr>
      <w:sz w:val="18"/>
      <w:szCs w:val="18"/>
    </w:rPr>
  </w:style>
  <w:style w:type="paragraph" w:customStyle="1" w:styleId="164">
    <w:name w:val="表注"/>
    <w:next w:val="33"/>
    <w:autoRedefine/>
    <w:qFormat/>
    <w:uiPriority w:val="0"/>
    <w:pPr>
      <w:ind w:firstLine="362"/>
    </w:pPr>
    <w:rPr>
      <w:rFonts w:ascii="Arial" w:hAnsi="Arial" w:eastAsia="宋体" w:cs="Arial"/>
      <w:color w:val="000000"/>
      <w:sz w:val="18"/>
      <w:szCs w:val="18"/>
      <w:lang w:val="en-US" w:eastAsia="zh-CN" w:bidi="ar-SA"/>
    </w:rPr>
  </w:style>
  <w:style w:type="paragraph" w:customStyle="1" w:styleId="165">
    <w:name w:val="Char Char Char1 Char1"/>
    <w:basedOn w:val="1"/>
    <w:autoRedefine/>
    <w:qFormat/>
    <w:uiPriority w:val="0"/>
    <w:pPr>
      <w:spacing w:line="360" w:lineRule="auto"/>
    </w:pPr>
    <w:rPr>
      <w:rFonts w:ascii="Tahoma" w:hAnsi="Tahoma"/>
      <w:sz w:val="24"/>
    </w:rPr>
  </w:style>
  <w:style w:type="character" w:customStyle="1" w:styleId="166">
    <w:name w:val="标题 6 字符"/>
    <w:link w:val="7"/>
    <w:autoRedefine/>
    <w:qFormat/>
    <w:uiPriority w:val="0"/>
    <w:rPr>
      <w:rFonts w:ascii="Arial" w:hAnsi="Arial" w:eastAsia="黑体"/>
      <w:b/>
      <w:bCs/>
      <w:kern w:val="2"/>
      <w:sz w:val="24"/>
      <w:lang w:val="en-US" w:eastAsia="zh-CN" w:bidi="ar-SA"/>
    </w:rPr>
  </w:style>
  <w:style w:type="paragraph" w:customStyle="1" w:styleId="167">
    <w:name w:val="公式说明"/>
    <w:basedOn w:val="101"/>
    <w:autoRedefine/>
    <w:qFormat/>
    <w:uiPriority w:val="0"/>
    <w:pPr>
      <w:tabs>
        <w:tab w:val="center" w:pos="4201"/>
        <w:tab w:val="right" w:leader="dot" w:pos="9298"/>
      </w:tabs>
      <w:ind w:firstLine="420"/>
    </w:pPr>
  </w:style>
  <w:style w:type="paragraph" w:customStyle="1" w:styleId="168">
    <w:name w:val="公式编号"/>
    <w:basedOn w:val="1"/>
    <w:autoRedefine/>
    <w:qFormat/>
    <w:uiPriority w:val="0"/>
    <w:pPr>
      <w:jc w:val="right"/>
    </w:pPr>
    <w:rPr>
      <w:rFonts w:cs="宋体"/>
      <w:kern w:val="0"/>
      <w:szCs w:val="21"/>
    </w:rPr>
  </w:style>
  <w:style w:type="character" w:customStyle="1" w:styleId="169">
    <w:name w:val="段 Char"/>
    <w:link w:val="101"/>
    <w:autoRedefine/>
    <w:qFormat/>
    <w:uiPriority w:val="0"/>
    <w:rPr>
      <w:rFonts w:ascii="宋体"/>
      <w:sz w:val="21"/>
      <w:lang w:val="en-US" w:eastAsia="zh-CN" w:bidi="ar-SA"/>
    </w:rPr>
  </w:style>
  <w:style w:type="paragraph" w:customStyle="1" w:styleId="170">
    <w:name w:val="表中文字"/>
    <w:basedOn w:val="1"/>
    <w:autoRedefine/>
    <w:qFormat/>
    <w:uiPriority w:val="0"/>
    <w:pPr>
      <w:tabs>
        <w:tab w:val="left" w:pos="6195"/>
      </w:tabs>
      <w:autoSpaceDE w:val="0"/>
      <w:autoSpaceDN w:val="0"/>
      <w:adjustRightInd w:val="0"/>
      <w:jc w:val="center"/>
    </w:pPr>
    <w:rPr>
      <w:position w:val="-10"/>
      <w:sz w:val="18"/>
      <w:szCs w:val="18"/>
    </w:rPr>
  </w:style>
  <w:style w:type="paragraph" w:customStyle="1" w:styleId="171">
    <w:name w:val="7表名"/>
    <w:basedOn w:val="1"/>
    <w:next w:val="1"/>
    <w:autoRedefine/>
    <w:qFormat/>
    <w:uiPriority w:val="0"/>
    <w:pPr>
      <w:spacing w:line="360" w:lineRule="auto"/>
      <w:jc w:val="center"/>
      <w:outlineLvl w:val="4"/>
    </w:pPr>
    <w:rPr>
      <w:rFonts w:ascii="黑体" w:eastAsia="黑体"/>
      <w:szCs w:val="21"/>
    </w:rPr>
  </w:style>
  <w:style w:type="character" w:customStyle="1" w:styleId="172">
    <w:name w:val="font3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3">
    <w:name w:val="font51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4">
    <w:name w:val="font0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5">
    <w:name w:val="font11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styleId="176">
    <w:name w:val="Placeholder Text"/>
    <w:basedOn w:val="76"/>
    <w:autoRedefine/>
    <w:semiHidden/>
    <w:qFormat/>
    <w:uiPriority w:val="99"/>
    <w:rPr>
      <w:color w:val="808080"/>
    </w:rPr>
  </w:style>
  <w:style w:type="paragraph" w:customStyle="1" w:styleId="177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78">
    <w:name w:val="标准文件_二级条标题"/>
    <w:next w:val="1"/>
    <w:autoRedefine/>
    <w:qFormat/>
    <w:uiPriority w:val="0"/>
    <w:pPr>
      <w:widowControl w:val="0"/>
      <w:spacing w:beforeLines="50" w:afterLines="50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79">
    <w:name w:val="标准文件_三级条标题"/>
    <w:basedOn w:val="178"/>
    <w:next w:val="1"/>
    <w:autoRedefine/>
    <w:qFormat/>
    <w:uiPriority w:val="0"/>
    <w:pPr>
      <w:widowControl/>
      <w:outlineLvl w:val="3"/>
    </w:pPr>
  </w:style>
  <w:style w:type="paragraph" w:customStyle="1" w:styleId="180">
    <w:name w:val="标准文件_四级条标题"/>
    <w:next w:val="1"/>
    <w:autoRedefine/>
    <w:qFormat/>
    <w:uiPriority w:val="0"/>
    <w:pPr>
      <w:widowControl w:val="0"/>
      <w:spacing w:beforeLines="50" w:afterLines="50"/>
      <w:jc w:val="both"/>
      <w:outlineLvl w:val="4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81">
    <w:name w:val="标准文件_五级条标题"/>
    <w:next w:val="1"/>
    <w:autoRedefine/>
    <w:qFormat/>
    <w:uiPriority w:val="0"/>
    <w:pPr>
      <w:widowControl w:val="0"/>
      <w:spacing w:beforeLines="50" w:afterLines="50"/>
      <w:jc w:val="both"/>
      <w:outlineLvl w:val="5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82">
    <w:name w:val="标准文件_章标题"/>
    <w:next w:val="1"/>
    <w:autoRedefine/>
    <w:qFormat/>
    <w:uiPriority w:val="0"/>
    <w:pPr>
      <w:spacing w:beforeLines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83">
    <w:name w:val="标准文件_一级条标题"/>
    <w:basedOn w:val="182"/>
    <w:next w:val="1"/>
    <w:autoRedefine/>
    <w:qFormat/>
    <w:uiPriority w:val="0"/>
    <w:pPr>
      <w:spacing w:beforeLines="50" w:afterLines="50"/>
      <w:outlineLvl w:val="1"/>
    </w:pPr>
  </w:style>
  <w:style w:type="paragraph" w:customStyle="1" w:styleId="184">
    <w:name w:val="前言标题"/>
    <w:next w:val="1"/>
    <w:autoRedefine/>
    <w:qFormat/>
    <w:uiPriority w:val="0"/>
    <w:p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2\tds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767B4B-0643-450B-A4BD-12053F9970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tds2.dot</Template>
  <Company>CNIS</Company>
  <Pages>10</Pages>
  <Words>3917</Words>
  <Characters>4278</Characters>
  <Lines>46</Lines>
  <Paragraphs>13</Paragraphs>
  <TotalTime>1</TotalTime>
  <ScaleCrop>false</ScaleCrop>
  <LinksUpToDate>false</LinksUpToDate>
  <CharactersWithSpaces>4427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2022-01-06T08:30:00Z</dcterms:created>
  <dc:creator>CSH</dc:creator>
  <cp:lastModifiedBy>蓝凤凰</cp:lastModifiedBy>
  <cp:lastPrinted>2021-09-15T07:19:00Z</cp:lastPrinted>
  <dcterms:modified xsi:type="dcterms:W3CDTF">2024-05-27T08:07:32Z</dcterms:modified>
  <dc:title> 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2052-12.1.0.16929</vt:lpwstr>
  </property>
  <property fmtid="{D5CDD505-2E9C-101B-9397-08002B2CF9AE}" pid="4" name="ICV">
    <vt:lpwstr>0A98B1D50EB74E3E9711A65C148A6131_13</vt:lpwstr>
  </property>
</Properties>
</file>