
<file path=[Content_Types].xml><?xml version="1.0" encoding="utf-8"?>
<Types xmlns="http://schemas.openxmlformats.org/package/2006/content-types">
  <Default Extension="xml" ContentType="application/xml"/>
  <Default Extension="jpeg" ContentType="image/jpeg"/>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XXXX</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24"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XX</w:t>
            </w:r>
            <w:r>
              <w:fldChar w:fldCharType="end"/>
            </w:r>
            <w:bookmarkEnd w:id="3"/>
          </w:p>
        </w:tc>
      </w:tr>
    </w:tbl>
    <w:p>
      <w:pPr>
        <w:pStyle w:val="50"/>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lang w:eastAsia="zh-CN"/>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t>XX</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t>XXXX.7</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202X</w:t>
      </w:r>
      <w:r>
        <w:fldChar w:fldCharType="end"/>
      </w:r>
      <w:bookmarkEnd w:id="7"/>
    </w:p>
    <w:p>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xml:space="preserve">代替 DB </w:t>
      </w:r>
      <w:r>
        <w:rPr>
          <w:rFonts w:hint="eastAsia" w:hAnsi="黑体"/>
        </w:rPr>
        <w:t>1</w:t>
      </w:r>
      <w:r>
        <w:rPr>
          <w:rFonts w:hint="eastAsia" w:hAnsi="黑体"/>
          <w:lang w:val="en-US" w:eastAsia="zh-CN"/>
        </w:rPr>
        <w:t>3</w:t>
      </w:r>
      <w:r>
        <w:rPr>
          <w:rFonts w:hAnsi="黑体"/>
        </w:rPr>
        <w:t>/T 3008.9-2018</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0"/>
        <w:framePr w:w="9639" w:h="6976" w:hRule="exact" w:hSpace="0" w:vSpace="0" w:hAnchor="page" w:y="6408"/>
        <w:jc w:val="center"/>
        <w:rPr>
          <w:rFonts w:ascii="黑体" w:hAnsi="黑体" w:eastAsia="黑体"/>
          <w:b w:val="0"/>
          <w:bCs w:val="0"/>
          <w:w w:val="100"/>
        </w:rPr>
      </w:pPr>
    </w:p>
    <w:p>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人力资源服务规范</w:t>
      </w:r>
    </w:p>
    <w:p>
      <w:pPr>
        <w:pStyle w:val="197"/>
        <w:framePr w:h="6974" w:hRule="exact" w:wrap="around" w:x="1419" w:anchorLock="1"/>
      </w:pPr>
      <w:r>
        <w:t>第7部分：人力资源管理咨询服务</w:t>
      </w:r>
      <w:r>
        <w:fldChar w:fldCharType="end"/>
      </w:r>
      <w:bookmarkEnd w:id="9"/>
    </w:p>
    <w:p>
      <w:pPr>
        <w:framePr w:w="9639" w:h="6974" w:hRule="exact" w:wrap="around" w:vAnchor="page" w:hAnchor="page" w:x="1419" w:y="6408" w:anchorLock="1"/>
        <w:ind w:left="-1418"/>
      </w:pP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Specification for human resources service—</w:t>
      </w:r>
    </w:p>
    <w:p>
      <w:pPr>
        <w:pStyle w:val="125"/>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t>Part 7:Human resources management consultation service</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5"/>
        <w:framePr w:w="9639" w:h="6974" w:hRule="exact" w:wrap="around" w:vAnchor="page" w:hAnchor="page" w:x="1419" w:y="6408" w:anchorLock="1"/>
        <w:textAlignment w:val="bottom"/>
        <w:rPr>
          <w:rFonts w:eastAsia="黑体"/>
          <w:szCs w:val="28"/>
        </w:rPr>
      </w:pPr>
    </w:p>
    <w:p>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3"/>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4"/>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1"/>
        <w:framePr w:h="584" w:hRule="exact" w:hSpace="181" w:vSpace="181"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lang w:eastAsia="zh-CN"/>
        </w:rPr>
        <w:t>河北省</w:t>
      </w:r>
      <w:r>
        <w:rPr>
          <w:rFonts w:hint="eastAsia" w:hAnsi="黑体"/>
          <w:w w:val="100"/>
          <w:sz w:val="28"/>
        </w:rPr>
        <w:t>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after="468"/>
      </w:pPr>
      <w:bookmarkStart w:id="21" w:name="BookMark1"/>
      <w:bookmarkStart w:id="22" w:name="_Toc149220192"/>
      <w:bookmarkStart w:id="23" w:name="_Toc149486590"/>
      <w:bookmarkStart w:id="24" w:name="_Toc149227410"/>
      <w:bookmarkStart w:id="25" w:name="_Toc149409024"/>
      <w:bookmarkStart w:id="26" w:name="_Toc149235242"/>
      <w:bookmarkStart w:id="27" w:name="_Toc149229129"/>
      <w:bookmarkStart w:id="28" w:name="_Toc149486207"/>
      <w:r>
        <w:rPr>
          <w:rFonts w:hint="eastAsia"/>
          <w:spacing w:val="320"/>
        </w:rPr>
        <w:t>目</w:t>
      </w:r>
      <w:r>
        <w:rPr>
          <w:rFonts w:hint="eastAsia"/>
        </w:rPr>
        <w:t>次</w:t>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TOC \o "1-1" \h </w:instrText>
      </w:r>
      <w:r>
        <w:fldChar w:fldCharType="separate"/>
      </w:r>
      <w:r>
        <w:fldChar w:fldCharType="begin"/>
      </w:r>
      <w:r>
        <w:instrText xml:space="preserve"> HYPERLINK \l "_Toc149487661" </w:instrText>
      </w:r>
      <w:r>
        <w:fldChar w:fldCharType="separate"/>
      </w:r>
      <w:r>
        <w:rPr>
          <w:rStyle w:val="32"/>
        </w:rPr>
        <w:t>前言</w:t>
      </w:r>
      <w:r>
        <w:tab/>
      </w:r>
      <w:r>
        <w:fldChar w:fldCharType="begin"/>
      </w:r>
      <w:r>
        <w:instrText xml:space="preserve"> PAGEREF _Toc149487661 \h </w:instrText>
      </w:r>
      <w:r>
        <w:fldChar w:fldCharType="separate"/>
      </w:r>
      <w:r>
        <w:t>II</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"_Toc149487662" </w:instrText>
      </w:r>
      <w:r>
        <w:fldChar w:fldCharType="separate"/>
      </w:r>
      <w:r>
        <w:rPr>
          <w:rStyle w:val="32"/>
        </w:rPr>
        <w:t>1  范围</w:t>
      </w:r>
      <w:r>
        <w:tab/>
      </w:r>
      <w:r>
        <w:fldChar w:fldCharType="begin"/>
      </w:r>
      <w:r>
        <w:instrText xml:space="preserve"> PAGEREF _Toc149487662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"_Toc149487663" </w:instrText>
      </w:r>
      <w:r>
        <w:fldChar w:fldCharType="separate"/>
      </w:r>
      <w:r>
        <w:rPr>
          <w:rStyle w:val="32"/>
        </w:rPr>
        <w:t>2  规范性引用文件</w:t>
      </w:r>
      <w:r>
        <w:tab/>
      </w:r>
      <w:r>
        <w:fldChar w:fldCharType="begin"/>
      </w:r>
      <w:r>
        <w:instrText xml:space="preserve"> PAGEREF _Toc149487663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"_Toc149487664" </w:instrText>
      </w:r>
      <w:r>
        <w:fldChar w:fldCharType="separate"/>
      </w:r>
      <w:r>
        <w:rPr>
          <w:rStyle w:val="32"/>
        </w:rPr>
        <w:t>3  术语和定义</w:t>
      </w:r>
      <w:r>
        <w:tab/>
      </w:r>
      <w:r>
        <w:fldChar w:fldCharType="begin"/>
      </w:r>
      <w:r>
        <w:instrText xml:space="preserve"> PAGEREF _Toc149487664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"_Toc149487665" </w:instrText>
      </w:r>
      <w:r>
        <w:fldChar w:fldCharType="separate"/>
      </w:r>
      <w:r>
        <w:rPr>
          <w:rStyle w:val="32"/>
        </w:rPr>
        <w:t>4  基本要求</w:t>
      </w:r>
      <w:r>
        <w:tab/>
      </w:r>
      <w:r>
        <w:fldChar w:fldCharType="begin"/>
      </w:r>
      <w:r>
        <w:instrText xml:space="preserve"> PAGEREF _Toc149487665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"_Toc149487666" </w:instrText>
      </w:r>
      <w:r>
        <w:fldChar w:fldCharType="separate"/>
      </w:r>
      <w:r>
        <w:rPr>
          <w:rStyle w:val="32"/>
        </w:rPr>
        <w:t>5  服务内容</w:t>
      </w:r>
      <w:r>
        <w:tab/>
      </w:r>
      <w:r>
        <w:fldChar w:fldCharType="begin"/>
      </w:r>
      <w:r>
        <w:instrText xml:space="preserve"> PAGEREF _Toc149487666 \h </w:instrText>
      </w:r>
      <w:r>
        <w:fldChar w:fldCharType="separate"/>
      </w:r>
      <w:r>
        <w:t>1</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"_Toc149487667" </w:instrText>
      </w:r>
      <w:r>
        <w:fldChar w:fldCharType="separate"/>
      </w:r>
      <w:r>
        <w:rPr>
          <w:rStyle w:val="32"/>
        </w:rPr>
        <w:t>6  服务流程</w:t>
      </w:r>
      <w:r>
        <w:tab/>
      </w:r>
      <w:r>
        <w:fldChar w:fldCharType="begin"/>
      </w:r>
      <w:r>
        <w:instrText xml:space="preserve"> PAGEREF _Toc149487667 \h </w:instrText>
      </w:r>
      <w:r>
        <w:fldChar w:fldCharType="separate"/>
      </w:r>
      <w:r>
        <w:t>2</w:t>
      </w:r>
      <w:r>
        <w:fldChar w:fldCharType="end"/>
      </w:r>
      <w:r>
        <w:fldChar w:fldCharType="end"/>
      </w:r>
    </w:p>
    <w:p>
      <w:pPr>
        <w:pStyle w:val="19"/>
        <w:tabs>
          <w:tab w:val="right" w:leader="dot" w:pos="9344"/>
        </w:tabs>
        <w:rPr>
          <w:rFonts w:asciiTheme="minorHAnsi" w:hAnsiTheme="minorHAnsi" w:eastAsiaTheme="minorEastAsia" w:cstheme="minorBidi"/>
          <w:szCs w:val="22"/>
          <w14:ligatures w14:val="standardContextual"/>
        </w:rPr>
      </w:pPr>
      <w:r>
        <w:fldChar w:fldCharType="begin"/>
      </w:r>
      <w:r>
        <w:instrText xml:space="preserve"> HYPERLINK \l "_Toc149487668" </w:instrText>
      </w:r>
      <w:r>
        <w:fldChar w:fldCharType="separate"/>
      </w:r>
      <w:r>
        <w:rPr>
          <w:rStyle w:val="32"/>
        </w:rPr>
        <w:t>7  服务评价与改进</w:t>
      </w:r>
      <w:r>
        <w:tab/>
      </w:r>
      <w:r>
        <w:fldChar w:fldCharType="begin"/>
      </w:r>
      <w:r>
        <w:instrText xml:space="preserve"> PAGEREF _Toc149487668 \h </w:instrText>
      </w:r>
      <w:r>
        <w:fldChar w:fldCharType="separate"/>
      </w:r>
      <w:r>
        <w:t>4</w:t>
      </w:r>
      <w:r>
        <w:fldChar w:fldCharType="end"/>
      </w:r>
      <w:r>
        <w:fldChar w:fldCharType="end"/>
      </w:r>
    </w:p>
    <w:p>
      <w:pPr>
        <w:pStyle w:val="91"/>
        <w:spacing w:after="468"/>
        <w:sectPr>
          <w:headerReference r:id="rId11" w:type="default"/>
          <w:footerReference r:id="rId13" w:type="default"/>
          <w:headerReference r:id="rId12" w:type="even"/>
          <w:footerReference r:id="rId14" w:type="even"/>
          <w:pgSz w:w="11906" w:h="16838"/>
          <w:pgMar w:top="1928" w:right="1134" w:bottom="1134" w:left="1134" w:header="1418" w:footer="1134" w:gutter="284"/>
          <w:pgNumType w:fmt="upperRoman" w:start="1"/>
          <w:cols w:space="425" w:num="1"/>
          <w:formProt w:val="0"/>
          <w:docGrid w:type="lines" w:linePitch="312" w:charSpace="0"/>
        </w:sectPr>
      </w:pPr>
      <w:r>
        <w:fldChar w:fldCharType="end"/>
      </w:r>
    </w:p>
    <w:bookmarkEnd w:id="21"/>
    <w:p>
      <w:pPr>
        <w:pStyle w:val="89"/>
        <w:spacing w:before="900" w:after="468"/>
      </w:pPr>
      <w:bookmarkStart w:id="29" w:name="_Toc149487661"/>
      <w:bookmarkStart w:id="30" w:name="BookMark2"/>
      <w:r>
        <w:rPr>
          <w:spacing w:val="320"/>
        </w:rPr>
        <w:t>前</w:t>
      </w:r>
      <w:r>
        <w:t>言</w:t>
      </w:r>
      <w:bookmarkEnd w:id="22"/>
      <w:bookmarkEnd w:id="23"/>
      <w:bookmarkEnd w:id="24"/>
      <w:bookmarkEnd w:id="25"/>
      <w:bookmarkEnd w:id="26"/>
      <w:bookmarkEnd w:id="27"/>
      <w:bookmarkEnd w:id="28"/>
      <w:bookmarkEnd w:id="29"/>
    </w:p>
    <w:p>
      <w:pPr>
        <w:pStyle w:val="56"/>
        <w:ind w:firstLine="420"/>
      </w:pPr>
      <w:r>
        <w:rPr>
          <w:rFonts w:hint="eastAsia"/>
        </w:rPr>
        <w:t>为推进京津冀协同发展战略实施，北京市市场监督管理局、天津市市场监督管理委员会、河北省市场监督管理局共同组织制定本地方标准，在京津冀区域内适用，现予发布。</w:t>
      </w:r>
    </w:p>
    <w:p>
      <w:pPr>
        <w:pStyle w:val="56"/>
        <w:ind w:firstLine="420"/>
      </w:pPr>
      <w:r>
        <w:rPr>
          <w:rFonts w:hint="eastAsia"/>
        </w:rPr>
        <w:t>DBXX/T XXXX《人力资源服务规范》分为10部分：</w:t>
      </w:r>
    </w:p>
    <w:p>
      <w:pPr>
        <w:pStyle w:val="56"/>
        <w:ind w:firstLine="420"/>
      </w:pPr>
      <w:r>
        <w:rPr>
          <w:rFonts w:hint="eastAsia"/>
        </w:rPr>
        <w:t>第1部分：通则；</w:t>
      </w:r>
    </w:p>
    <w:p>
      <w:pPr>
        <w:pStyle w:val="56"/>
        <w:ind w:firstLine="420"/>
      </w:pPr>
      <w:r>
        <w:rPr>
          <w:rFonts w:hint="eastAsia"/>
        </w:rPr>
        <w:t>第2部分：招聘服务；</w:t>
      </w:r>
    </w:p>
    <w:p>
      <w:pPr>
        <w:pStyle w:val="56"/>
        <w:ind w:firstLine="420"/>
      </w:pPr>
      <w:r>
        <w:rPr>
          <w:rFonts w:hint="eastAsia"/>
        </w:rPr>
        <w:t>第3部分：高级人才寻访服务；</w:t>
      </w:r>
    </w:p>
    <w:p>
      <w:pPr>
        <w:pStyle w:val="56"/>
        <w:ind w:firstLine="420"/>
      </w:pPr>
      <w:r>
        <w:rPr>
          <w:rFonts w:hint="eastAsia"/>
        </w:rPr>
        <w:t>第4部分：职业指导服务；</w:t>
      </w:r>
    </w:p>
    <w:p>
      <w:pPr>
        <w:pStyle w:val="56"/>
        <w:ind w:firstLine="420"/>
      </w:pPr>
      <w:r>
        <w:rPr>
          <w:rFonts w:hint="eastAsia"/>
        </w:rPr>
        <w:t>第5部分：人力资源测评服务；</w:t>
      </w:r>
    </w:p>
    <w:p>
      <w:pPr>
        <w:pStyle w:val="56"/>
        <w:ind w:firstLine="420"/>
      </w:pPr>
      <w:r>
        <w:rPr>
          <w:rFonts w:hint="eastAsia"/>
        </w:rPr>
        <w:t>第6部分：人力资源培训服务；</w:t>
      </w:r>
    </w:p>
    <w:p>
      <w:pPr>
        <w:pStyle w:val="56"/>
        <w:ind w:firstLine="420"/>
      </w:pPr>
      <w:r>
        <w:rPr>
          <w:rFonts w:hint="eastAsia"/>
        </w:rPr>
        <w:t>第7部分：人力资源管理咨询服务；</w:t>
      </w:r>
    </w:p>
    <w:p>
      <w:pPr>
        <w:pStyle w:val="56"/>
        <w:ind w:firstLine="420"/>
      </w:pPr>
      <w:r>
        <w:rPr>
          <w:rFonts w:hint="eastAsia"/>
        </w:rPr>
        <w:t>第8部分：流动人员人事档案管理服务；</w:t>
      </w:r>
    </w:p>
    <w:p>
      <w:pPr>
        <w:pStyle w:val="56"/>
        <w:ind w:firstLine="420"/>
      </w:pPr>
      <w:r>
        <w:rPr>
          <w:rFonts w:hint="eastAsia"/>
        </w:rPr>
        <w:t>第9部分：人力资源服务外包；</w:t>
      </w:r>
    </w:p>
    <w:p>
      <w:pPr>
        <w:pStyle w:val="56"/>
        <w:ind w:firstLine="420"/>
      </w:pPr>
      <w:r>
        <w:rPr>
          <w:rFonts w:hint="eastAsia"/>
        </w:rPr>
        <w:t>第10部分：劳务派遣服务。</w:t>
      </w:r>
    </w:p>
    <w:p>
      <w:pPr>
        <w:pStyle w:val="56"/>
        <w:ind w:firstLine="420"/>
      </w:pPr>
      <w:r>
        <w:rPr>
          <w:rFonts w:hint="eastAsia"/>
        </w:rPr>
        <w:t xml:space="preserve">本部分为DBXX/T </w:t>
      </w:r>
      <w:r>
        <w:t>XXXX</w:t>
      </w:r>
      <w:r>
        <w:rPr>
          <w:rFonts w:hint="eastAsia"/>
        </w:rPr>
        <w:t>的第</w:t>
      </w:r>
      <w:r>
        <w:t>7</w:t>
      </w:r>
      <w:r>
        <w:rPr>
          <w:rFonts w:hint="eastAsia"/>
        </w:rPr>
        <w:t>部分。</w:t>
      </w:r>
    </w:p>
    <w:p>
      <w:pPr>
        <w:pStyle w:val="56"/>
        <w:ind w:firstLine="420"/>
      </w:pPr>
      <w:r>
        <w:rPr>
          <w:rFonts w:hint="eastAsia"/>
        </w:rPr>
        <w:t>本文件按照GB/T 1.1—2020《标准化工作导则  第1部分：标准化文件的结构和起草规则》的规定起草。</w:t>
      </w:r>
    </w:p>
    <w:p>
      <w:pPr>
        <w:pStyle w:val="56"/>
        <w:ind w:firstLine="420"/>
      </w:pPr>
      <w:r>
        <w:rPr>
          <w:rFonts w:hint="eastAsia"/>
        </w:rPr>
        <w:t>本部分代替了3008.9—2018《人力资源服务规范 第9部分：人力资源管理咨询服务》，除编辑性修改外，主要技术变化如下：</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——更改了“术语和定义”的部分内容（见3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DBXX/T 3008.9—2018</w:t>
      </w:r>
      <w:r>
        <w:rPr>
          <w:rFonts w:hint="eastAsia"/>
          <w:color w:val="000000" w:themeColor="text1"/>
          <w14:textFill>
            <w14:solidFill>
              <w14:schemeClr w14:val="tx1"/>
            </w14:solidFill>
          </w14:textFill>
        </w:rPr>
        <w:t>的3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——更改了“服务设备”的部分内容（见4.2，DBXX/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4.2</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——更改了“服务内容”的部分内容（见第5章</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的第</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章）；</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——更改了“签订协议”的部分内容（见6.1.3，DBXX/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6.1.3</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——更改了“成立项目组”的部分内容（见6.2.1，DBXX/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6.2.1</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——更改了“准备资料”的部分内容（见6.2.2，DBXX/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6.2.2</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——更改了“收集客户资料”的部分内容（见6.3.1，DBXX/</w:t>
      </w:r>
      <w:r>
        <w:rPr>
          <w:color w:val="000000" w:themeColor="text1"/>
          <w14:textFill>
            <w14:solidFill>
              <w14:schemeClr w14:val="tx1"/>
            </w14:solidFill>
          </w14:textFill>
        </w:rPr>
        <w:t>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6.3.1</w:t>
      </w:r>
      <w:r>
        <w:rPr>
          <w:rFonts w:hint="eastAsia"/>
          <w:color w:val="000000" w:themeColor="text1"/>
          <w14:textFill>
            <w14:solidFill>
              <w14:schemeClr w14:val="tx1"/>
            </w14:solidFill>
          </w14:textFill>
        </w:rPr>
        <w:t>）；</w:t>
      </w:r>
    </w:p>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——更改了“方案实施”的部分内容（见6</w:t>
      </w:r>
      <w:r>
        <w:rPr>
          <w:color w:val="000000" w:themeColor="text1"/>
          <w14:textFill>
            <w14:solidFill>
              <w14:schemeClr w14:val="tx1"/>
            </w14:solidFill>
          </w14:textFill>
        </w:rPr>
        <w:t>.5.3</w:t>
      </w:r>
      <w:r>
        <w:rPr>
          <w:rFonts w:hint="eastAsia"/>
          <w:color w:val="000000" w:themeColor="text1"/>
          <w14:textFill>
            <w14:solidFill>
              <w14:schemeClr w14:val="tx1"/>
            </w14:solidFill>
          </w14:textFill>
        </w:rPr>
        <w:t>，D</w:t>
      </w:r>
      <w:r>
        <w:rPr>
          <w:color w:val="000000" w:themeColor="text1"/>
          <w14:textFill>
            <w14:solidFill>
              <w14:schemeClr w14:val="tx1"/>
            </w14:solidFill>
          </w14:textFill>
        </w:rPr>
        <w:t>BXX/T 3008.9</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2018</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6.5.3</w:t>
      </w:r>
      <w:r>
        <w:rPr>
          <w:rFonts w:hint="eastAsia"/>
          <w:color w:val="000000" w:themeColor="text1"/>
          <w14:textFill>
            <w14:solidFill>
              <w14:schemeClr w14:val="tx1"/>
            </w14:solidFill>
          </w14:textFill>
        </w:rPr>
        <w:t>）。</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提出并归口。</w:t>
      </w:r>
    </w:p>
    <w:p>
      <w:pPr>
        <w:pStyle w:val="56"/>
        <w:ind w:firstLine="420"/>
      </w:pPr>
      <w:r>
        <w:rPr>
          <w:rFonts w:hint="eastAsia"/>
        </w:rPr>
        <w:t>本部分由</w:t>
      </w:r>
      <w:r>
        <w:rPr>
          <w:rFonts w:hint="eastAsia"/>
          <w:lang w:eastAsia="zh-CN"/>
        </w:rPr>
        <w:t>河北省</w:t>
      </w:r>
      <w:r>
        <w:rPr>
          <w:rFonts w:hint="eastAsia"/>
        </w:rPr>
        <w:t>人力资源和社会保障</w:t>
      </w:r>
      <w:r>
        <w:rPr>
          <w:rFonts w:hint="eastAsia"/>
          <w:lang w:eastAsia="zh-CN"/>
        </w:rPr>
        <w:t>厅</w:t>
      </w:r>
      <w:r>
        <w:rPr>
          <w:rFonts w:hint="eastAsia"/>
        </w:rPr>
        <w:t>组织实施。</w:t>
      </w:r>
    </w:p>
    <w:p>
      <w:pPr>
        <w:pStyle w:val="56"/>
        <w:ind w:firstLine="420"/>
      </w:pPr>
      <w:r>
        <w:rPr>
          <w:rFonts w:hint="eastAsia"/>
        </w:rPr>
        <w:t>本部分起草单位：北京市人力资源和社会保障局、天津市人力资源和社会保障局、河北省人力资源和社会保障厅、北京市公共人力资源服务中心、北京人力资源服务行业协会、河北兴冀人才资源开发有限公司、河北诺亚人力资源发展集团有限公司。</w:t>
      </w:r>
    </w:p>
    <w:p>
      <w:pPr>
        <w:pStyle w:val="56"/>
        <w:ind w:firstLine="420"/>
      </w:pPr>
      <w:r>
        <w:rPr>
          <w:rFonts w:hint="eastAsia"/>
        </w:rPr>
        <w:t>本部分主要起草人：辛向阳、张宇泉、石晓明、巫嫕、王守成、刘芳、王新文、张望红、谢琳、于丽、陈丽、李青、沈志歈、闫华、邵妍、张牮、董艳。</w:t>
      </w:r>
    </w:p>
    <w:p>
      <w:pPr>
        <w:pStyle w:val="56"/>
        <w:ind w:firstLine="420"/>
      </w:pPr>
      <w:r>
        <w:rPr>
          <w:rFonts w:hint="eastAsia"/>
        </w:rPr>
        <w:t>本部分所代替的标准历次版本发布情况为：</w:t>
      </w:r>
    </w:p>
    <w:p>
      <w:pPr>
        <w:pStyle w:val="56"/>
        <w:ind w:firstLine="420"/>
        <w:rPr>
          <w:rFonts w:hAnsi="宋体"/>
          <w:lang w:val="de-DE"/>
        </w:rPr>
      </w:pPr>
      <w:bookmarkStart w:id="120" w:name="_GoBack"/>
      <w:bookmarkEnd w:id="120"/>
      <w:r>
        <w:rPr>
          <w:rFonts w:hint="eastAsia"/>
        </w:rPr>
        <w:t>——</w:t>
      </w:r>
      <w:r>
        <w:t>DBXX/T 3008.9</w:t>
      </w:r>
      <w:r>
        <w:rPr>
          <w:rFonts w:hint="eastAsia"/>
        </w:rPr>
        <w:t>—</w:t>
      </w:r>
      <w:r>
        <w:t>2018</w:t>
      </w:r>
    </w:p>
    <w:p>
      <w:pPr>
        <w:pStyle w:val="56"/>
        <w:ind w:firstLine="420"/>
        <w:rPr>
          <w:rFonts w:hAnsi="宋体"/>
          <w:lang w:val="de-DE"/>
        </w:rPr>
      </w:pPr>
      <w:r>
        <w:rPr>
          <w:rFonts w:hAnsi="宋体"/>
          <w:lang w:val="de-DE"/>
        </w:rPr>
        <w:t xml:space="preserve"> </w:t>
      </w:r>
    </w:p>
    <w:p>
      <w:pPr>
        <w:pStyle w:val="56"/>
        <w:ind w:firstLine="420"/>
        <w:sectPr>
          <w:headerReference r:id="rId15" w:type="default"/>
          <w:footerReference r:id="rId17" w:type="default"/>
          <w:headerReference r:id="rId16" w:type="even"/>
          <w:footerReference r:id="rId18" w:type="even"/>
          <w:pgSz w:w="11906" w:h="16838"/>
          <w:pgMar w:top="1928" w:right="1134" w:bottom="1134" w:left="1134" w:header="1418" w:footer="1134" w:gutter="284"/>
          <w:pgNumType w:fmt="upperRoman"/>
          <w:cols w:space="425" w:num="1"/>
          <w:formProt w:val="0"/>
          <w:docGrid w:type="lines" w:linePitch="312" w:charSpace="0"/>
        </w:sectPr>
      </w:pPr>
    </w:p>
    <w:bookmarkEnd w:id="30"/>
    <w:p>
      <w:pPr>
        <w:spacing w:line="20" w:lineRule="exact"/>
        <w:jc w:val="center"/>
        <w:rPr>
          <w:rFonts w:ascii="黑体" w:hAnsi="黑体" w:eastAsia="黑体"/>
          <w:sz w:val="32"/>
          <w:szCs w:val="32"/>
        </w:rPr>
      </w:pPr>
      <w:bookmarkStart w:id="31" w:name="BookMark4"/>
    </w:p>
    <w:p>
      <w:pPr>
        <w:spacing w:line="20" w:lineRule="exact"/>
        <w:jc w:val="center"/>
        <w:rPr>
          <w:rFonts w:ascii="黑体" w:hAnsi="黑体" w:eastAsia="黑体"/>
          <w:sz w:val="32"/>
          <w:szCs w:val="32"/>
        </w:rPr>
      </w:pPr>
    </w:p>
    <w:sdt>
      <w:sdtPr>
        <w:tag w:val="NEW_STAND_NAME"/>
        <w:id w:val="595910757"/>
        <w:lock w:val="sdtLocked"/>
        <w:placeholder>
          <w:docPart w:val="5467D784E68C4B329FABA529D9DEABA5"/>
        </w:placeholder>
      </w:sdtPr>
      <w:sdtContent>
        <w:p>
          <w:pPr>
            <w:pStyle w:val="177"/>
            <w:spacing w:before="3" w:beforeLines="1" w:after="3" w:afterLines="1"/>
          </w:pPr>
          <w:bookmarkStart w:id="32" w:name="NEW_STAND_NAME"/>
          <w:r>
            <w:rPr>
              <w:rFonts w:hint="eastAsia"/>
            </w:rPr>
            <w:t>人力资源服务规范</w:t>
          </w:r>
        </w:p>
        <w:p>
          <w:pPr>
            <w:pStyle w:val="177"/>
            <w:spacing w:before="3" w:beforeLines="1" w:after="680"/>
          </w:pPr>
          <w:r>
            <w:rPr>
              <w:rFonts w:hint="eastAsia"/>
            </w:rPr>
            <w:t>第</w:t>
          </w:r>
          <w:r>
            <w:t>7部分：人力资源管理咨询服务</w:t>
          </w:r>
        </w:p>
      </w:sdtContent>
    </w:sdt>
    <w:bookmarkEnd w:id="32"/>
    <w:p>
      <w:pPr>
        <w:pStyle w:val="104"/>
        <w:spacing w:before="312" w:after="312"/>
        <w:rPr>
          <w:color w:val="000000" w:themeColor="text1"/>
          <w14:textFill>
            <w14:solidFill>
              <w14:schemeClr w14:val="tx1"/>
            </w14:solidFill>
          </w14:textFill>
        </w:rPr>
      </w:pPr>
      <w:bookmarkStart w:id="33" w:name="_Toc26718930"/>
      <w:bookmarkStart w:id="34" w:name="_Toc24884211"/>
      <w:bookmarkStart w:id="35" w:name="_Toc149486208"/>
      <w:bookmarkStart w:id="36" w:name="_Toc149486591"/>
      <w:bookmarkStart w:id="37" w:name="_Toc149227411"/>
      <w:bookmarkStart w:id="38" w:name="_Toc17233325"/>
      <w:bookmarkStart w:id="39" w:name="_Toc26986771"/>
      <w:bookmarkStart w:id="40" w:name="_Toc26986530"/>
      <w:bookmarkStart w:id="41" w:name="_Toc24884218"/>
      <w:bookmarkStart w:id="42" w:name="_Toc149409025"/>
      <w:bookmarkStart w:id="43" w:name="_Toc149229130"/>
      <w:bookmarkStart w:id="44" w:name="_Toc149235243"/>
      <w:bookmarkStart w:id="45" w:name="_Toc97191423"/>
      <w:bookmarkStart w:id="46" w:name="_Toc149487662"/>
      <w:bookmarkStart w:id="47" w:name="_Toc149220194"/>
      <w:bookmarkStart w:id="48" w:name="_Toc17233333"/>
      <w:bookmarkStart w:id="49" w:name="_Toc26648465"/>
      <w:r>
        <w:rPr>
          <w:rFonts w:hint="eastAsia"/>
          <w:color w:val="000000" w:themeColor="text1"/>
          <w14:textFill>
            <w14:solidFill>
              <w14:schemeClr w14:val="tx1"/>
            </w14:solidFill>
          </w14:textFill>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pPr>
        <w:pStyle w:val="56"/>
        <w:ind w:firstLine="420"/>
      </w:pPr>
      <w:bookmarkStart w:id="50" w:name="_Toc149486209"/>
      <w:bookmarkStart w:id="51" w:name="_Toc149227412"/>
      <w:bookmarkStart w:id="52" w:name="_Toc17233326"/>
      <w:bookmarkStart w:id="53" w:name="_Toc26718931"/>
      <w:bookmarkStart w:id="54" w:name="_Toc97191424"/>
      <w:bookmarkStart w:id="55" w:name="_Toc26648466"/>
      <w:bookmarkStart w:id="56" w:name="_Toc149229131"/>
      <w:bookmarkStart w:id="57" w:name="_Toc24884219"/>
      <w:bookmarkStart w:id="58" w:name="_Toc17233334"/>
      <w:bookmarkStart w:id="59" w:name="_Toc149235244"/>
      <w:bookmarkStart w:id="60" w:name="_Toc149409026"/>
      <w:bookmarkStart w:id="61" w:name="_Toc26986531"/>
      <w:bookmarkStart w:id="62" w:name="_Toc24884212"/>
      <w:bookmarkStart w:id="63" w:name="_Toc149220195"/>
      <w:bookmarkStart w:id="64" w:name="_Toc26986772"/>
      <w:r>
        <w:rPr>
          <w:rFonts w:hint="eastAsia"/>
        </w:rPr>
        <w:t>本部分规定了人力资源管理咨询服务的基本要求、服务内容、服务流程、服务评价与改进。</w:t>
      </w:r>
    </w:p>
    <w:p>
      <w:pPr>
        <w:pStyle w:val="56"/>
        <w:ind w:firstLine="420"/>
      </w:pPr>
      <w:r>
        <w:rPr>
          <w:rFonts w:hint="eastAsia"/>
        </w:rPr>
        <w:t>本部分适用于人力资源服务机构（以下简称“服务机构”）开展人力资源管理咨询服务。</w:t>
      </w:r>
    </w:p>
    <w:p>
      <w:pPr>
        <w:pStyle w:val="104"/>
        <w:spacing w:before="312" w:after="312"/>
      </w:pPr>
      <w:bookmarkStart w:id="65" w:name="_Toc149486592"/>
      <w:bookmarkStart w:id="66" w:name="_Toc149487663"/>
      <w:r>
        <w:rPr>
          <w:rFonts w:hint="eastAsia"/>
        </w:rPr>
        <w:t>规范性引用文件</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sdt>
      <w:sdtPr>
        <w:rPr>
          <w:rFonts w:hint="eastAsia"/>
          <w:color w:val="000000" w:themeColor="text1"/>
          <w14:textFill>
            <w14:solidFill>
              <w14:schemeClr w14:val="tx1"/>
            </w14:solidFill>
          </w14:textFill>
        </w:rPr>
        <w:id w:val="715848253"/>
        <w:placeholder>
          <w:docPart w:val="B2E6710E4CA24AFB8CF096CD0C7AFCD8"/>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1"/>
        <w:rPr>
          <w:color w:val="000000" w:themeColor="text1"/>
          <w14:textFill>
            <w14:solidFill>
              <w14:schemeClr w14:val="tx1"/>
            </w14:solidFill>
          </w14:textFill>
        </w:rPr>
      </w:pPr>
      <w:bookmarkStart w:id="67" w:name="_Toc149220196"/>
      <w:bookmarkStart w:id="68" w:name="_Toc97191425"/>
      <w:r>
        <w:rPr>
          <w:rFonts w:hint="eastAsia"/>
          <w:color w:val="000000" w:themeColor="text1"/>
          <w14:textFill>
            <w14:solidFill>
              <w14:schemeClr w14:val="tx1"/>
            </w14:solidFill>
          </w14:textFill>
        </w:rPr>
        <w:t>GB/T 32625—2016  人力资源管理咨询服务规范</w:t>
      </w:r>
    </w:p>
    <w:p>
      <w:pPr>
        <w:pStyle w:val="231"/>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DBXX/T </w:t>
      </w:r>
      <w:r>
        <w:rPr>
          <w:color w:val="000000" w:themeColor="text1"/>
          <w14:textFill>
            <w14:solidFill>
              <w14:schemeClr w14:val="tx1"/>
            </w14:solidFill>
          </w14:textFill>
        </w:rPr>
        <w:t>XXXX.1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XXXX</w:t>
      </w:r>
      <w:r>
        <w:rPr>
          <w:rFonts w:hint="eastAsia"/>
          <w:color w:val="000000" w:themeColor="text1"/>
          <w14:textFill>
            <w14:solidFill>
              <w14:schemeClr w14:val="tx1"/>
            </w14:solidFill>
          </w14:textFill>
        </w:rPr>
        <w:t xml:space="preserve">  人力资源服务规范 第1部分：通则</w:t>
      </w:r>
    </w:p>
    <w:bookmarkEnd w:id="67"/>
    <w:bookmarkEnd w:id="68"/>
    <w:p>
      <w:pPr>
        <w:pStyle w:val="104"/>
        <w:spacing w:before="312" w:after="312"/>
        <w:rPr>
          <w:color w:val="000000" w:themeColor="text1"/>
          <w14:textFill>
            <w14:solidFill>
              <w14:schemeClr w14:val="tx1"/>
            </w14:solidFill>
          </w14:textFill>
        </w:rPr>
      </w:pPr>
      <w:bookmarkStart w:id="69" w:name="_Toc149229132"/>
      <w:bookmarkStart w:id="70" w:name="_Toc149486593"/>
      <w:bookmarkStart w:id="71" w:name="_Toc149409027"/>
      <w:bookmarkStart w:id="72" w:name="_Toc149486210"/>
      <w:bookmarkStart w:id="73" w:name="_Toc149235245"/>
      <w:bookmarkStart w:id="74" w:name="_Toc149487664"/>
      <w:r>
        <w:rPr>
          <w:rFonts w:hint="eastAsia"/>
          <w:color w:val="000000" w:themeColor="text1"/>
          <w14:textFill>
            <w14:solidFill>
              <w14:schemeClr w14:val="tx1"/>
            </w14:solidFill>
          </w14:textFill>
        </w:rPr>
        <w:t>术语和定义</w:t>
      </w:r>
      <w:bookmarkEnd w:id="69"/>
      <w:bookmarkEnd w:id="70"/>
      <w:bookmarkEnd w:id="71"/>
      <w:bookmarkEnd w:id="72"/>
      <w:bookmarkEnd w:id="73"/>
      <w:bookmarkEnd w:id="74"/>
    </w:p>
    <w:sdt>
      <w:sdtPr>
        <w:rPr>
          <w:rFonts w:hint="eastAsia"/>
          <w:color w:val="000000" w:themeColor="text1"/>
          <w14:textFill>
            <w14:solidFill>
              <w14:schemeClr w14:val="tx1"/>
            </w14:solidFill>
          </w14:textFill>
        </w:rPr>
        <w:id w:val="1583571352"/>
        <w:placeholder>
          <w:docPart w:val="1E179825D1304949B1C2AD5B5F4A396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color w:val="000000" w:themeColor="text1"/>
          <w14:textFill>
            <w14:solidFill>
              <w14:schemeClr w14:val="tx1"/>
            </w14:solidFill>
          </w14:textFill>
        </w:rPr>
      </w:sdtEndPr>
      <w:sdtContent>
        <w:p>
          <w:pPr>
            <w:pStyle w:val="56"/>
            <w:ind w:firstLine="420"/>
            <w:rPr>
              <w:color w:val="000000" w:themeColor="text1"/>
              <w14:textFill>
                <w14:solidFill>
                  <w14:schemeClr w14:val="tx1"/>
                </w14:solidFill>
              </w14:textFill>
            </w:rPr>
          </w:pPr>
          <w:r>
            <w:rPr>
              <w:rFonts w:hint="eastAsia"/>
              <w:color w:val="000000" w:themeColor="text1"/>
              <w14:textFill>
                <w14:solidFill>
                  <w14:schemeClr w14:val="tx1"/>
                </w14:solidFill>
              </w14:textFill>
            </w:rPr>
            <w:t>下列术语和定义适用于本文件。</w:t>
          </w:r>
        </w:p>
      </w:sdtContent>
    </w:sdt>
    <w:p>
      <w:pPr>
        <w:pStyle w:val="223"/>
        <w:ind w:left="420" w:hanging="420" w:hangingChars="200"/>
        <w:rPr>
          <w:rFonts w:ascii="黑体" w:hAnsi="黑体" w:eastAsia="黑体"/>
        </w:rPr>
      </w:pPr>
      <w:bookmarkStart w:id="75" w:name="_Toc149407846"/>
      <w:bookmarkStart w:id="76" w:name="_Toc343853574"/>
      <w:bookmarkStart w:id="77" w:name="_Toc149409028"/>
      <w:bookmarkStart w:id="78" w:name="_Toc147683748"/>
      <w:bookmarkStart w:id="79" w:name="_Toc343724352"/>
      <w:bookmarkStart w:id="80" w:name="_Toc149235246"/>
      <w:r>
        <w:rPr>
          <w:rFonts w:ascii="黑体" w:hAnsi="黑体" w:eastAsia="黑体"/>
        </w:rPr>
        <w:br w:type="textWrapping"/>
      </w:r>
      <w:bookmarkStart w:id="81" w:name="_Toc149465697"/>
      <w:bookmarkStart w:id="82" w:name="_Toc343855319"/>
      <w:bookmarkStart w:id="83" w:name="_Toc343725235"/>
      <w:bookmarkStart w:id="84" w:name="_Toc149238462"/>
      <w:bookmarkStart w:id="85" w:name="_Toc149486594"/>
      <w:bookmarkStart w:id="86" w:name="_Toc149236874"/>
      <w:r>
        <w:rPr>
          <w:rFonts w:hint="eastAsia" w:ascii="黑体" w:hAnsi="黑体" w:eastAsia="黑体"/>
        </w:rPr>
        <w:t>人力</w:t>
      </w:r>
      <w:r>
        <w:rPr>
          <w:rFonts w:ascii="黑体" w:hAnsi="黑体" w:eastAsia="黑体"/>
        </w:rPr>
        <w:t>资源管理咨询</w:t>
      </w:r>
      <w:r>
        <w:rPr>
          <w:rFonts w:hint="eastAsia" w:ascii="黑体" w:hAnsi="黑体" w:eastAsia="黑体"/>
        </w:rPr>
        <w:t xml:space="preserve">  </w:t>
      </w:r>
      <w:r>
        <w:rPr>
          <w:rFonts w:ascii="黑体" w:hAnsi="黑体" w:eastAsia="黑体"/>
        </w:rPr>
        <w:t xml:space="preserve">human resources management </w:t>
      </w:r>
      <w:r>
        <w:rPr>
          <w:rFonts w:hint="eastAsia" w:ascii="黑体" w:hAnsi="黑体" w:eastAsia="黑体"/>
        </w:rPr>
        <w:t>c</w:t>
      </w:r>
      <w:r>
        <w:rPr>
          <w:rFonts w:ascii="黑体" w:hAnsi="黑体" w:eastAsia="黑体"/>
        </w:rPr>
        <w:t>onsultation</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szCs w:val="22"/>
        </w:rPr>
      </w:pPr>
      <w:r>
        <w:rPr>
          <w:rFonts w:hint="eastAsia" w:ascii="宋体" w:hAnsi="Times New Roman"/>
          <w:color w:val="000000"/>
          <w:szCs w:val="22"/>
        </w:rPr>
        <w:t>根据客户要求，依据其组织目标，进行内部、外部环境调研和分析，明确人力资源管理规划和人力资源管理目标，制定人力资源管理解决方案的服务过程。</w:t>
      </w:r>
    </w:p>
    <w:p>
      <w:pPr>
        <w:widowControl/>
        <w:tabs>
          <w:tab w:val="center" w:pos="4201"/>
          <w:tab w:val="right" w:leader="dot" w:pos="9298"/>
        </w:tabs>
        <w:autoSpaceDE w:val="0"/>
        <w:autoSpaceDN w:val="0"/>
        <w:adjustRightInd/>
        <w:spacing w:line="240" w:lineRule="auto"/>
        <w:ind w:firstLine="420" w:firstLineChars="200"/>
        <w:rPr>
          <w:rFonts w:ascii="宋体" w:hAnsi="Times New Roman"/>
          <w:color w:val="000000"/>
          <w:szCs w:val="22"/>
        </w:rPr>
      </w:pPr>
      <w:r>
        <w:rPr>
          <w:rFonts w:hint="eastAsia" w:ascii="宋体" w:hAnsi="Times New Roman"/>
          <w:color w:val="000000" w:themeColor="text1"/>
          <w:kern w:val="0"/>
          <w:szCs w:val="20"/>
          <w14:textFill>
            <w14:solidFill>
              <w14:schemeClr w14:val="tx1"/>
            </w14:solidFill>
          </w14:textFill>
        </w:rPr>
        <w:t>[GB/T 3</w:t>
      </w:r>
      <w:r>
        <w:rPr>
          <w:rFonts w:ascii="宋体" w:hAnsi="Times New Roman"/>
          <w:color w:val="000000" w:themeColor="text1"/>
          <w:kern w:val="0"/>
          <w:szCs w:val="20"/>
          <w14:textFill>
            <w14:solidFill>
              <w14:schemeClr w14:val="tx1"/>
            </w14:solidFill>
          </w14:textFill>
        </w:rPr>
        <w:t>262</w:t>
      </w:r>
      <w:r>
        <w:rPr>
          <w:rFonts w:hint="eastAsia" w:ascii="宋体" w:hAnsi="Times New Roman"/>
          <w:color w:val="000000" w:themeColor="text1"/>
          <w:kern w:val="0"/>
          <w:szCs w:val="20"/>
          <w14:textFill>
            <w14:solidFill>
              <w14:schemeClr w14:val="tx1"/>
            </w14:solidFill>
          </w14:textFill>
        </w:rPr>
        <w:t>5—</w:t>
      </w:r>
      <w:r>
        <w:rPr>
          <w:rFonts w:ascii="宋体" w:hAnsi="Times New Roman"/>
          <w:color w:val="000000" w:themeColor="text1"/>
          <w:kern w:val="0"/>
          <w:szCs w:val="20"/>
          <w14:textFill>
            <w14:solidFill>
              <w14:schemeClr w14:val="tx1"/>
            </w14:solidFill>
          </w14:textFill>
        </w:rPr>
        <w:t>2016</w:t>
      </w:r>
      <w:r>
        <w:rPr>
          <w:rFonts w:hint="eastAsia" w:ascii="宋体" w:hAnsi="Times New Roman"/>
          <w:color w:val="000000" w:themeColor="text1"/>
          <w:kern w:val="0"/>
          <w:szCs w:val="20"/>
          <w14:textFill>
            <w14:solidFill>
              <w14:schemeClr w14:val="tx1"/>
            </w14:solidFill>
          </w14:textFill>
        </w:rPr>
        <w:t>，定义2.2]</w:t>
      </w:r>
    </w:p>
    <w:p>
      <w:pPr>
        <w:pStyle w:val="104"/>
        <w:spacing w:before="312" w:after="312"/>
      </w:pPr>
      <w:bookmarkStart w:id="87" w:name="_Toc149487665"/>
      <w:r>
        <w:rPr>
          <w:rFonts w:hint="eastAsia"/>
        </w:rPr>
        <w:t>基本要求</w:t>
      </w:r>
      <w:bookmarkEnd w:id="87"/>
    </w:p>
    <w:p>
      <w:pPr>
        <w:pStyle w:val="105"/>
        <w:spacing w:before="156" w:after="156"/>
      </w:pPr>
      <w:r>
        <w:rPr>
          <w:rFonts w:hint="eastAsia"/>
        </w:rPr>
        <w:t>从业人员</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从业</w:t>
      </w:r>
      <w:r>
        <w:rPr>
          <w:rFonts w:ascii="宋体" w:hAnsi="Times New Roman"/>
          <w:kern w:val="0"/>
          <w:szCs w:val="20"/>
        </w:rPr>
        <w:t>人员</w:t>
      </w:r>
      <w:r>
        <w:rPr>
          <w:rFonts w:hint="eastAsia" w:ascii="宋体" w:hAnsi="Times New Roman"/>
          <w:kern w:val="0"/>
          <w:szCs w:val="20"/>
        </w:rPr>
        <w:t>应具有从事人力资源管理咨询</w:t>
      </w:r>
      <w:r>
        <w:rPr>
          <w:rFonts w:ascii="宋体" w:hAnsi="Times New Roman"/>
          <w:kern w:val="0"/>
          <w:szCs w:val="20"/>
        </w:rPr>
        <w:t>服务的</w:t>
      </w:r>
      <w:r>
        <w:rPr>
          <w:rFonts w:hint="eastAsia" w:ascii="宋体" w:hAnsi="Times New Roman"/>
          <w:kern w:val="0"/>
          <w:szCs w:val="20"/>
        </w:rPr>
        <w:t xml:space="preserve">相关专业知识和管理工作经验。 </w:t>
      </w:r>
    </w:p>
    <w:p>
      <w:pPr>
        <w:pStyle w:val="105"/>
        <w:spacing w:before="156" w:after="156"/>
      </w:pPr>
      <w:r>
        <w:rPr>
          <w:rFonts w:hint="eastAsia"/>
        </w:rPr>
        <w:t>服务设备</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应配备与咨询相关的调研、分析、记录、演示等电子设备及其他所需设备。</w:t>
      </w:r>
    </w:p>
    <w:p>
      <w:pPr>
        <w:pStyle w:val="105"/>
        <w:spacing w:before="156" w:after="156"/>
      </w:pPr>
      <w:r>
        <w:rPr>
          <w:rFonts w:hint="eastAsia"/>
        </w:rPr>
        <w:t>服务环境</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服务环境按照GB/T 3</w:t>
      </w:r>
      <w:r>
        <w:rPr>
          <w:rFonts w:ascii="宋体" w:hAnsi="Times New Roman"/>
          <w:kern w:val="0"/>
          <w:szCs w:val="20"/>
        </w:rPr>
        <w:t>2625</w:t>
      </w:r>
      <w:r>
        <w:rPr>
          <w:rFonts w:hint="eastAsia" w:ascii="宋体" w:hAnsi="Times New Roman"/>
          <w:kern w:val="0"/>
          <w:szCs w:val="20"/>
        </w:rPr>
        <w:t>—</w:t>
      </w:r>
      <w:r>
        <w:rPr>
          <w:rFonts w:ascii="宋体" w:hAnsi="Times New Roman"/>
          <w:kern w:val="0"/>
          <w:szCs w:val="20"/>
        </w:rPr>
        <w:t>2016</w:t>
      </w:r>
      <w:r>
        <w:rPr>
          <w:rFonts w:hint="eastAsia" w:ascii="宋体" w:hAnsi="Times New Roman"/>
          <w:kern w:val="0"/>
          <w:szCs w:val="20"/>
        </w:rPr>
        <w:t xml:space="preserve"> 3.2执行。</w:t>
      </w:r>
    </w:p>
    <w:p>
      <w:pPr>
        <w:pStyle w:val="104"/>
        <w:spacing w:before="312" w:after="312"/>
      </w:pPr>
      <w:bookmarkStart w:id="88" w:name="_Toc343855320"/>
      <w:bookmarkStart w:id="89" w:name="_Toc149487666"/>
      <w:bookmarkStart w:id="90" w:name="_Toc149236875"/>
      <w:bookmarkStart w:id="91" w:name="_Toc343725238"/>
      <w:r>
        <w:rPr>
          <w:rFonts w:hint="eastAsia"/>
        </w:rPr>
        <w:t>服务内容</w:t>
      </w:r>
      <w:bookmarkEnd w:id="88"/>
      <w:bookmarkEnd w:id="89"/>
      <w:bookmarkEnd w:id="90"/>
      <w:bookmarkEnd w:id="91"/>
    </w:p>
    <w:p>
      <w:pPr>
        <w:pStyle w:val="56"/>
        <w:ind w:firstLine="420"/>
      </w:pPr>
      <w:bookmarkStart w:id="92" w:name="_Toc343725239"/>
      <w:r>
        <w:rPr>
          <w:rFonts w:hint="eastAsia"/>
        </w:rPr>
        <w:t>服务内容，包括但不限于：</w:t>
      </w:r>
      <w:bookmarkEnd w:id="92"/>
    </w:p>
    <w:p>
      <w:pPr>
        <w:pStyle w:val="174"/>
      </w:pPr>
      <w:r>
        <w:rPr>
          <w:rFonts w:hint="eastAsia"/>
        </w:rPr>
        <w:t>人力资源战略规划；</w:t>
      </w:r>
    </w:p>
    <w:p>
      <w:pPr>
        <w:pStyle w:val="174"/>
        <w:rPr>
          <w:rFonts w:hAnsi="宋体"/>
        </w:rPr>
      </w:pPr>
      <w:r>
        <w:rPr>
          <w:rFonts w:hint="eastAsia"/>
        </w:rPr>
        <w:t>组织架构与管控模式设计</w:t>
      </w:r>
      <w:r>
        <w:rPr>
          <w:rFonts w:hint="eastAsia" w:hAnsi="宋体"/>
        </w:rPr>
        <w:t>；</w:t>
      </w:r>
    </w:p>
    <w:p>
      <w:pPr>
        <w:pStyle w:val="174"/>
        <w:rPr>
          <w:rFonts w:hAnsi="宋体"/>
        </w:rPr>
      </w:pPr>
      <w:r>
        <w:rPr>
          <w:rFonts w:hint="eastAsia"/>
        </w:rPr>
        <w:t>岗位及职位体系设计</w:t>
      </w:r>
      <w:r>
        <w:rPr>
          <w:rFonts w:hint="eastAsia" w:hAnsi="宋体"/>
        </w:rPr>
        <w:t>；</w:t>
      </w:r>
    </w:p>
    <w:p>
      <w:pPr>
        <w:pStyle w:val="174"/>
        <w:rPr>
          <w:rFonts w:hAnsi="宋体"/>
        </w:rPr>
      </w:pPr>
      <w:r>
        <w:rPr>
          <w:rFonts w:hint="eastAsia" w:hAnsi="宋体"/>
        </w:rPr>
        <w:t>招聘分析与动态管理；</w:t>
      </w:r>
    </w:p>
    <w:p>
      <w:pPr>
        <w:pStyle w:val="174"/>
        <w:rPr>
          <w:rFonts w:hAnsi="宋体"/>
        </w:rPr>
      </w:pPr>
      <w:r>
        <w:rPr>
          <w:rFonts w:hint="eastAsia"/>
        </w:rPr>
        <w:t>薪酬福利管理体系设计</w:t>
      </w:r>
      <w:r>
        <w:rPr>
          <w:rFonts w:hint="eastAsia" w:hAnsi="宋体"/>
        </w:rPr>
        <w:t>；</w:t>
      </w:r>
    </w:p>
    <w:p>
      <w:pPr>
        <w:pStyle w:val="174"/>
        <w:rPr>
          <w:rFonts w:hAnsi="宋体"/>
        </w:rPr>
      </w:pPr>
      <w:r>
        <w:rPr>
          <w:rFonts w:hint="eastAsia" w:hAnsi="宋体"/>
        </w:rPr>
        <w:t>绩效评估和管理体系设计；</w:t>
      </w:r>
    </w:p>
    <w:p>
      <w:pPr>
        <w:pStyle w:val="174"/>
        <w:rPr>
          <w:rFonts w:hAnsi="宋体"/>
        </w:rPr>
      </w:pPr>
      <w:r>
        <w:rPr>
          <w:rFonts w:hint="eastAsia" w:hAnsi="宋体"/>
        </w:rPr>
        <w:t>培养与开发体系设计；</w:t>
      </w:r>
    </w:p>
    <w:p>
      <w:pPr>
        <w:pStyle w:val="174"/>
        <w:rPr>
          <w:rFonts w:hAnsi="宋体"/>
        </w:rPr>
      </w:pPr>
      <w:r>
        <w:rPr>
          <w:rFonts w:hint="eastAsia" w:hAnsi="宋体"/>
        </w:rPr>
        <w:t>员工关系管理；</w:t>
      </w:r>
    </w:p>
    <w:p>
      <w:pPr>
        <w:pStyle w:val="174"/>
        <w:rPr>
          <w:rFonts w:hAnsi="宋体"/>
        </w:rPr>
      </w:pPr>
      <w:r>
        <w:rPr>
          <w:rFonts w:hint="eastAsia" w:hAnsi="宋体"/>
        </w:rPr>
        <w:t>员工职业生涯管理；</w:t>
      </w:r>
    </w:p>
    <w:p>
      <w:pPr>
        <w:pStyle w:val="174"/>
        <w:rPr>
          <w:rFonts w:hAnsi="宋体"/>
        </w:rPr>
      </w:pPr>
      <w:r>
        <w:rPr>
          <w:rFonts w:hint="eastAsia" w:hAnsi="宋体"/>
        </w:rPr>
        <w:t>并购中的人力资源整合；</w:t>
      </w:r>
    </w:p>
    <w:p>
      <w:pPr>
        <w:pStyle w:val="174"/>
        <w:rPr>
          <w:rFonts w:hAnsi="宋体"/>
        </w:rPr>
      </w:pPr>
      <w:r>
        <w:rPr>
          <w:rFonts w:hint="eastAsia" w:hAnsi="宋体"/>
        </w:rPr>
        <w:t>组织文化咨询。</w:t>
      </w:r>
    </w:p>
    <w:p>
      <w:pPr>
        <w:pStyle w:val="104"/>
        <w:spacing w:before="312" w:after="312"/>
      </w:pPr>
      <w:bookmarkStart w:id="93" w:name="_Toc149236876"/>
      <w:bookmarkStart w:id="94" w:name="_Toc343855321"/>
      <w:bookmarkStart w:id="95" w:name="_Toc343725246"/>
      <w:bookmarkStart w:id="96" w:name="_Toc332126791"/>
      <w:bookmarkStart w:id="97" w:name="_Toc149487667"/>
      <w:r>
        <w:rPr>
          <w:rFonts w:hint="eastAsia"/>
        </w:rPr>
        <w:t>服务流程</w:t>
      </w:r>
      <w:bookmarkEnd w:id="93"/>
      <w:bookmarkEnd w:id="94"/>
      <w:bookmarkEnd w:id="95"/>
      <w:bookmarkEnd w:id="96"/>
      <w:bookmarkEnd w:id="97"/>
    </w:p>
    <w:p>
      <w:pPr>
        <w:pStyle w:val="105"/>
        <w:spacing w:before="156" w:after="156"/>
      </w:pPr>
      <w:bookmarkStart w:id="98" w:name="_Toc343725247"/>
      <w:bookmarkStart w:id="99" w:name="_Toc332126792"/>
      <w:r>
        <w:rPr>
          <w:rFonts w:hint="eastAsia"/>
        </w:rPr>
        <w:t>项目需求确认</w:t>
      </w:r>
      <w:bookmarkEnd w:id="98"/>
      <w:bookmarkEnd w:id="99"/>
    </w:p>
    <w:p>
      <w:pPr>
        <w:pStyle w:val="65"/>
        <w:spacing w:before="156" w:after="156"/>
      </w:pPr>
      <w:r>
        <w:rPr>
          <w:rFonts w:hint="eastAsia"/>
        </w:rPr>
        <w:t>客户沟通</w:t>
      </w:r>
    </w:p>
    <w:p>
      <w:pPr>
        <w:pStyle w:val="164"/>
      </w:pPr>
      <w:r>
        <w:rPr>
          <w:rFonts w:hint="eastAsia"/>
        </w:rPr>
        <w:t>沟通前准备。内容包括但不限于：</w:t>
      </w:r>
    </w:p>
    <w:p>
      <w:pPr>
        <w:pStyle w:val="164"/>
        <w:numPr>
          <w:ilvl w:val="0"/>
          <w:numId w:val="32"/>
        </w:numPr>
        <w:tabs>
          <w:tab w:val="left" w:pos="851"/>
        </w:tabs>
      </w:pPr>
      <w:r>
        <w:rPr>
          <w:rFonts w:hint="eastAsia"/>
        </w:rPr>
        <w:t>确定参与沟通的咨询顾问；</w:t>
      </w:r>
    </w:p>
    <w:p>
      <w:pPr>
        <w:pStyle w:val="174"/>
        <w:rPr>
          <w:rFonts w:hAnsi="宋体"/>
        </w:rPr>
      </w:pPr>
      <w:r>
        <w:rPr>
          <w:rFonts w:hint="eastAsia" w:hAnsi="宋体"/>
        </w:rPr>
        <w:t>拟定服务说明；</w:t>
      </w:r>
    </w:p>
    <w:p>
      <w:pPr>
        <w:pStyle w:val="174"/>
        <w:rPr>
          <w:rFonts w:hAnsi="宋体"/>
        </w:rPr>
      </w:pPr>
      <w:r>
        <w:rPr>
          <w:rFonts w:hint="eastAsia" w:hAnsi="宋体"/>
        </w:rPr>
        <w:t>了解</w:t>
      </w:r>
      <w:r>
        <w:rPr>
          <w:rFonts w:hint="eastAsia"/>
        </w:rPr>
        <w:t>客户</w:t>
      </w:r>
      <w:r>
        <w:rPr>
          <w:rFonts w:hint="eastAsia" w:hAnsi="宋体"/>
        </w:rPr>
        <w:t>基本情况及相关行业业务特点。</w:t>
      </w:r>
    </w:p>
    <w:p>
      <w:pPr>
        <w:pStyle w:val="164"/>
      </w:pPr>
      <w:r>
        <w:rPr>
          <w:rFonts w:hint="eastAsia"/>
        </w:rPr>
        <w:t>沟通过程。内容包括但不限于：</w:t>
      </w:r>
    </w:p>
    <w:p>
      <w:pPr>
        <w:pStyle w:val="174"/>
        <w:numPr>
          <w:ilvl w:val="0"/>
          <w:numId w:val="33"/>
        </w:numPr>
      </w:pPr>
      <w:r>
        <w:rPr>
          <w:rFonts w:hint="eastAsia"/>
        </w:rPr>
        <w:t>向客户介绍服务机构及咨询顾问；</w:t>
      </w:r>
    </w:p>
    <w:p>
      <w:pPr>
        <w:pStyle w:val="174"/>
      </w:pPr>
      <w:r>
        <w:rPr>
          <w:rFonts w:hint="eastAsia"/>
        </w:rPr>
        <w:t>倾听客户陈述，了解客户需求；</w:t>
      </w:r>
    </w:p>
    <w:p>
      <w:pPr>
        <w:pStyle w:val="174"/>
      </w:pPr>
      <w:r>
        <w:rPr>
          <w:rFonts w:hint="eastAsia"/>
        </w:rPr>
        <w:t>回应客户提出的问题；</w:t>
      </w:r>
    </w:p>
    <w:p>
      <w:pPr>
        <w:pStyle w:val="174"/>
      </w:pPr>
      <w:r>
        <w:rPr>
          <w:rFonts w:hint="eastAsia"/>
        </w:rPr>
        <w:t>详细记录关键信息，并对不足信息补充提问。</w:t>
      </w:r>
    </w:p>
    <w:p>
      <w:pPr>
        <w:pStyle w:val="65"/>
        <w:spacing w:before="156" w:after="156"/>
      </w:pPr>
      <w:r>
        <w:rPr>
          <w:rFonts w:hint="eastAsia"/>
        </w:rPr>
        <w:t>制定咨询建议方案</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具体流程包括但不限于：</w:t>
      </w:r>
    </w:p>
    <w:p>
      <w:pPr>
        <w:pStyle w:val="174"/>
        <w:numPr>
          <w:ilvl w:val="0"/>
          <w:numId w:val="34"/>
        </w:numPr>
      </w:pPr>
      <w:r>
        <w:rPr>
          <w:rFonts w:hint="eastAsia"/>
        </w:rPr>
        <w:t>整理、</w:t>
      </w:r>
      <w:r>
        <w:rPr>
          <w:rFonts w:hint="eastAsia" w:hAnsi="宋体"/>
        </w:rPr>
        <w:t>归纳</w:t>
      </w:r>
      <w:r>
        <w:rPr>
          <w:rFonts w:hint="eastAsia"/>
        </w:rPr>
        <w:t>访谈记录；</w:t>
      </w:r>
    </w:p>
    <w:p>
      <w:pPr>
        <w:pStyle w:val="174"/>
        <w:rPr>
          <w:rFonts w:hAnsi="宋体"/>
        </w:rPr>
      </w:pPr>
      <w:r>
        <w:rPr>
          <w:rFonts w:hint="eastAsia"/>
        </w:rPr>
        <w:t>讨论</w:t>
      </w:r>
      <w:r>
        <w:rPr>
          <w:rFonts w:hint="eastAsia" w:hAnsi="宋体"/>
        </w:rPr>
        <w:t>、分析客户需求；</w:t>
      </w:r>
    </w:p>
    <w:p>
      <w:pPr>
        <w:pStyle w:val="174"/>
        <w:rPr>
          <w:rFonts w:hAnsi="宋体"/>
        </w:rPr>
      </w:pPr>
      <w:r>
        <w:rPr>
          <w:rFonts w:hint="eastAsia"/>
        </w:rPr>
        <w:t>撰写项目</w:t>
      </w:r>
      <w:r>
        <w:rPr>
          <w:rFonts w:hint="eastAsia" w:hAnsi="宋体"/>
        </w:rPr>
        <w:t>建议</w:t>
      </w:r>
      <w:r>
        <w:rPr>
          <w:rFonts w:hint="eastAsia"/>
        </w:rPr>
        <w:t>。内容包括但不限于：项目需求分析与设计思路、咨询方法和技术工具、项目团队介绍、确</w:t>
      </w:r>
      <w:r>
        <w:rPr>
          <w:rFonts w:hint="eastAsia" w:hAnsi="宋体"/>
        </w:rPr>
        <w:t>定项目目标和周期、项目报价。</w:t>
      </w:r>
    </w:p>
    <w:p>
      <w:pPr>
        <w:pStyle w:val="65"/>
        <w:spacing w:before="156" w:after="156"/>
      </w:pPr>
      <w:r>
        <w:rPr>
          <w:rFonts w:hint="eastAsia"/>
        </w:rPr>
        <w:t>签订协议</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与客户签订协议。内容包括但不限于：服务目标、服务内容与范围、服务交付方式、服务周期和时限、付款方式、保密条款、违约条款、人员配备等。</w:t>
      </w:r>
    </w:p>
    <w:p>
      <w:pPr>
        <w:pStyle w:val="65"/>
        <w:spacing w:before="156" w:after="156"/>
      </w:pPr>
      <w:r>
        <w:rPr>
          <w:rFonts w:hint="eastAsia"/>
        </w:rPr>
        <w:t>建立项目日志</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建立项目日志并对提供服务的全过程做好记录。</w:t>
      </w:r>
    </w:p>
    <w:p>
      <w:pPr>
        <w:pStyle w:val="105"/>
        <w:spacing w:before="156" w:after="156"/>
      </w:pPr>
      <w:bookmarkStart w:id="100" w:name="_Toc343725248"/>
      <w:bookmarkStart w:id="101" w:name="_Toc332126793"/>
      <w:r>
        <w:rPr>
          <w:rFonts w:hint="eastAsia"/>
        </w:rPr>
        <w:t>项目准备</w:t>
      </w:r>
      <w:bookmarkEnd w:id="100"/>
      <w:bookmarkEnd w:id="101"/>
    </w:p>
    <w:p>
      <w:pPr>
        <w:pStyle w:val="65"/>
        <w:spacing w:before="156" w:after="156"/>
      </w:pPr>
      <w:r>
        <w:rPr>
          <w:rFonts w:hint="eastAsia"/>
        </w:rPr>
        <w:t>成立项目组</w:t>
      </w:r>
    </w:p>
    <w:p>
      <w:pPr>
        <w:pStyle w:val="94"/>
        <w:spacing w:before="156" w:after="156"/>
      </w:pPr>
      <w:r>
        <w:rPr>
          <w:rFonts w:hint="eastAsia"/>
        </w:rPr>
        <w:t>确定项目经理</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项目经理应具有三年以上项目咨询的经历，全面掌握人力资源管理咨询服务各模块内容和咨询技巧，有全局观念，具有较强的计划、组织、协调、分析、判断、决策能力和良好的人际交往、沟通能力及语言表达能力。</w:t>
      </w:r>
    </w:p>
    <w:p>
      <w:pPr>
        <w:pStyle w:val="94"/>
        <w:spacing w:before="156" w:after="156"/>
      </w:pPr>
      <w:r>
        <w:rPr>
          <w:rFonts w:hint="eastAsia"/>
        </w:rPr>
        <w:t>确定项目顾问</w:t>
      </w:r>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项目顾问应具有项目咨询的工作经历，掌握人力资源管理相关业务的咨询内容和咨询技巧，具有良好的人际交往、沟通能力和逻辑分析能力。</w:t>
      </w:r>
    </w:p>
    <w:p>
      <w:pPr>
        <w:pStyle w:val="94"/>
        <w:spacing w:before="156" w:after="156"/>
      </w:pPr>
      <w:r>
        <w:rPr>
          <w:rFonts w:hint="eastAsia"/>
        </w:rPr>
        <w:t>明确职责分工</w:t>
      </w:r>
    </w:p>
    <w:p>
      <w:pPr>
        <w:pStyle w:val="56"/>
        <w:ind w:firstLine="420"/>
      </w:pPr>
      <w:r>
        <w:rPr>
          <w:rFonts w:hint="eastAsia"/>
        </w:rPr>
        <w:t>项目经理的工作职责为：项目总体计划、阶段计划、周计划的制定，并组织实施；项目组成员各阶段工作安排，协调、控制进度，审核成果，项目组成员绩效考评，与客户联系沟通。</w:t>
      </w:r>
    </w:p>
    <w:p>
      <w:pPr>
        <w:pStyle w:val="56"/>
        <w:ind w:firstLine="420"/>
      </w:pPr>
      <w:r>
        <w:rPr>
          <w:rFonts w:hint="eastAsia"/>
        </w:rPr>
        <w:t>项目顾问的工作职责为：撰写项目报告、搜集相关资料，完成交办的其他工作。</w:t>
      </w:r>
    </w:p>
    <w:p>
      <w:pPr>
        <w:pStyle w:val="65"/>
        <w:spacing w:before="156" w:after="156"/>
      </w:pPr>
      <w:r>
        <w:rPr>
          <w:rFonts w:hint="eastAsia"/>
        </w:rPr>
        <w:t>准备资料</w:t>
      </w:r>
    </w:p>
    <w:p>
      <w:pPr>
        <w:pStyle w:val="56"/>
        <w:ind w:firstLine="420"/>
      </w:pPr>
      <w:r>
        <w:rPr>
          <w:rFonts w:hint="eastAsia"/>
        </w:rPr>
        <w:t>准备资料。内容包括但</w:t>
      </w:r>
      <w:r>
        <w:t>不限于：</w:t>
      </w:r>
    </w:p>
    <w:p>
      <w:pPr>
        <w:pStyle w:val="174"/>
        <w:numPr>
          <w:ilvl w:val="0"/>
          <w:numId w:val="35"/>
        </w:numPr>
      </w:pPr>
      <w:r>
        <w:rPr>
          <w:rFonts w:hint="eastAsia"/>
        </w:rPr>
        <w:t>国家法律法规、规章制度、政策文件相关材料；</w:t>
      </w:r>
      <w:r>
        <w:t xml:space="preserve"> </w:t>
      </w:r>
    </w:p>
    <w:p>
      <w:pPr>
        <w:pStyle w:val="174"/>
        <w:rPr>
          <w:rFonts w:hAnsi="黑体"/>
        </w:rPr>
      </w:pPr>
      <w:r>
        <w:rPr>
          <w:rFonts w:hint="eastAsia"/>
        </w:rPr>
        <w:t>行业相关资料；</w:t>
      </w:r>
    </w:p>
    <w:p>
      <w:pPr>
        <w:pStyle w:val="174"/>
      </w:pPr>
      <w:r>
        <w:rPr>
          <w:rFonts w:hint="eastAsia"/>
        </w:rPr>
        <w:t>人力资源管理相关资料；</w:t>
      </w:r>
    </w:p>
    <w:p>
      <w:pPr>
        <w:pStyle w:val="174"/>
      </w:pPr>
      <w:r>
        <w:rPr>
          <w:rFonts w:hint="eastAsia"/>
        </w:rPr>
        <w:t>标杆企业资料；</w:t>
      </w:r>
    </w:p>
    <w:p>
      <w:pPr>
        <w:pStyle w:val="174"/>
      </w:pPr>
      <w:r>
        <w:rPr>
          <w:rFonts w:hint="eastAsia"/>
        </w:rPr>
        <w:t>客户资料。</w:t>
      </w:r>
    </w:p>
    <w:p>
      <w:pPr>
        <w:pStyle w:val="65"/>
        <w:spacing w:before="156" w:after="156"/>
      </w:pPr>
      <w:r>
        <w:rPr>
          <w:rFonts w:hint="eastAsia"/>
        </w:rPr>
        <w:t>确认项目计划和时间安排</w:t>
      </w:r>
    </w:p>
    <w:p>
      <w:pPr>
        <w:pStyle w:val="56"/>
        <w:ind w:firstLine="420"/>
      </w:pPr>
      <w:r>
        <w:rPr>
          <w:rFonts w:hint="eastAsia"/>
        </w:rPr>
        <w:t>确认项目的时间进度安排。</w:t>
      </w:r>
    </w:p>
    <w:p>
      <w:pPr>
        <w:pStyle w:val="105"/>
        <w:spacing w:before="156" w:after="156"/>
      </w:pPr>
      <w:bookmarkStart w:id="102" w:name="_Toc343725249"/>
      <w:bookmarkStart w:id="103" w:name="_Toc332126794"/>
      <w:r>
        <w:rPr>
          <w:rFonts w:hint="eastAsia"/>
        </w:rPr>
        <w:t>项目</w:t>
      </w:r>
      <w:bookmarkEnd w:id="102"/>
      <w:bookmarkEnd w:id="103"/>
      <w:r>
        <w:rPr>
          <w:rFonts w:hint="eastAsia"/>
        </w:rPr>
        <w:t>诊断</w:t>
      </w:r>
    </w:p>
    <w:p>
      <w:pPr>
        <w:pStyle w:val="165"/>
      </w:pPr>
      <w:r>
        <w:rPr>
          <w:rFonts w:hint="eastAsia"/>
        </w:rPr>
        <w:t>收集客户资料。内容包括但不限于：</w:t>
      </w:r>
    </w:p>
    <w:p>
      <w:pPr>
        <w:pStyle w:val="174"/>
        <w:numPr>
          <w:ilvl w:val="0"/>
          <w:numId w:val="36"/>
        </w:numPr>
      </w:pPr>
      <w:r>
        <w:rPr>
          <w:rFonts w:hint="eastAsia"/>
        </w:rPr>
        <w:t>公司章程或单位职能；</w:t>
      </w:r>
    </w:p>
    <w:p>
      <w:pPr>
        <w:pStyle w:val="174"/>
      </w:pPr>
      <w:r>
        <w:rPr>
          <w:rFonts w:hint="eastAsia"/>
        </w:rPr>
        <w:t>内刊、宣传资料；</w:t>
      </w:r>
    </w:p>
    <w:p>
      <w:pPr>
        <w:pStyle w:val="174"/>
      </w:pPr>
      <w:r>
        <w:rPr>
          <w:rFonts w:hint="eastAsia"/>
        </w:rPr>
        <w:t>经营范围、行业基本情况、业务情况；</w:t>
      </w:r>
    </w:p>
    <w:p>
      <w:pPr>
        <w:pStyle w:val="174"/>
      </w:pPr>
      <w:r>
        <w:rPr>
          <w:rFonts w:hint="eastAsia"/>
        </w:rPr>
        <w:t>客户背景、发展历程、规划、工作计划、工作总结；</w:t>
      </w:r>
    </w:p>
    <w:p>
      <w:pPr>
        <w:pStyle w:val="174"/>
      </w:pPr>
      <w:r>
        <w:rPr>
          <w:rFonts w:hint="eastAsia"/>
        </w:rPr>
        <w:t>组织架构、部门设置、岗位设定及职位描述；</w:t>
      </w:r>
    </w:p>
    <w:p>
      <w:pPr>
        <w:pStyle w:val="174"/>
      </w:pPr>
      <w:r>
        <w:rPr>
          <w:rFonts w:hint="eastAsia"/>
        </w:rPr>
        <w:t>内部管理及人力资源管理制度；</w:t>
      </w:r>
    </w:p>
    <w:p>
      <w:pPr>
        <w:pStyle w:val="174"/>
      </w:pPr>
      <w:r>
        <w:rPr>
          <w:rFonts w:hint="eastAsia"/>
        </w:rPr>
        <w:t>客户薪酬结构；</w:t>
      </w:r>
    </w:p>
    <w:p>
      <w:pPr>
        <w:pStyle w:val="174"/>
      </w:pPr>
      <w:r>
        <w:rPr>
          <w:rFonts w:hint="eastAsia"/>
        </w:rPr>
        <w:t>绩效执行现状；</w:t>
      </w:r>
    </w:p>
    <w:p>
      <w:pPr>
        <w:pStyle w:val="174"/>
      </w:pPr>
      <w:r>
        <w:rPr>
          <w:rFonts w:hint="eastAsia"/>
        </w:rPr>
        <w:t>员工基本情况。</w:t>
      </w:r>
    </w:p>
    <w:p>
      <w:pPr>
        <w:pStyle w:val="165"/>
      </w:pPr>
      <w:r>
        <w:rPr>
          <w:rFonts w:hint="eastAsia"/>
        </w:rPr>
        <w:t>问卷调查或访谈。</w:t>
      </w:r>
    </w:p>
    <w:p>
      <w:pPr>
        <w:pStyle w:val="165"/>
      </w:pPr>
      <w:r>
        <w:rPr>
          <w:rFonts w:hint="eastAsia"/>
        </w:rPr>
        <w:t>诊断分析与撰写报告。</w:t>
      </w:r>
    </w:p>
    <w:p>
      <w:pPr>
        <w:pStyle w:val="165"/>
      </w:pPr>
      <w:r>
        <w:rPr>
          <w:rFonts w:hint="eastAsia"/>
        </w:rPr>
        <w:t>向客户提交报告。</w:t>
      </w:r>
    </w:p>
    <w:p>
      <w:pPr>
        <w:pStyle w:val="105"/>
        <w:spacing w:before="156" w:after="156"/>
      </w:pPr>
      <w:bookmarkStart w:id="104" w:name="_Toc332126795"/>
      <w:bookmarkStart w:id="105" w:name="_Toc343725250"/>
      <w:r>
        <w:rPr>
          <w:rFonts w:hint="eastAsia"/>
        </w:rPr>
        <w:t>方案设计</w:t>
      </w:r>
      <w:bookmarkEnd w:id="104"/>
      <w:bookmarkEnd w:id="105"/>
    </w:p>
    <w:p>
      <w:pPr>
        <w:pStyle w:val="165"/>
      </w:pPr>
      <w:r>
        <w:rPr>
          <w:rFonts w:hint="eastAsia"/>
        </w:rPr>
        <w:t>起草咨询方案。</w:t>
      </w:r>
    </w:p>
    <w:p>
      <w:pPr>
        <w:pStyle w:val="165"/>
      </w:pPr>
      <w:r>
        <w:rPr>
          <w:rFonts w:hint="eastAsia"/>
        </w:rPr>
        <w:t>与客户沟通、交换意见。</w:t>
      </w:r>
    </w:p>
    <w:p>
      <w:pPr>
        <w:pStyle w:val="165"/>
      </w:pPr>
      <w:r>
        <w:rPr>
          <w:rFonts w:hint="eastAsia"/>
        </w:rPr>
        <w:t>修正方案。</w:t>
      </w:r>
    </w:p>
    <w:p>
      <w:pPr>
        <w:pStyle w:val="165"/>
      </w:pPr>
      <w:r>
        <w:rPr>
          <w:rFonts w:hint="eastAsia"/>
        </w:rPr>
        <w:t>形成最终咨询方案。</w:t>
      </w:r>
    </w:p>
    <w:p>
      <w:pPr>
        <w:pStyle w:val="105"/>
        <w:spacing w:before="156" w:after="156"/>
      </w:pPr>
      <w:bookmarkStart w:id="106" w:name="_Toc343725251"/>
      <w:bookmarkStart w:id="107" w:name="_Toc332126796"/>
      <w:r>
        <w:rPr>
          <w:rFonts w:hint="eastAsia"/>
        </w:rPr>
        <w:t>方案实施</w:t>
      </w:r>
      <w:bookmarkEnd w:id="106"/>
      <w:bookmarkEnd w:id="107"/>
    </w:p>
    <w:p>
      <w:pPr>
        <w:pStyle w:val="165"/>
      </w:pPr>
      <w:r>
        <w:rPr>
          <w:rFonts w:hint="eastAsia"/>
        </w:rPr>
        <w:t>方案实施准备。内容包括但不限于：制定实施计划、组成实施小组、对方案所涉及的人员进行相关培训等。</w:t>
      </w:r>
    </w:p>
    <w:p>
      <w:pPr>
        <w:pStyle w:val="165"/>
      </w:pPr>
      <w:r>
        <w:rPr>
          <w:rFonts w:hint="eastAsia"/>
        </w:rPr>
        <w:t>对方案的实施进行指导。</w:t>
      </w:r>
    </w:p>
    <w:p>
      <w:pPr>
        <w:pStyle w:val="165"/>
      </w:pPr>
      <w:bookmarkStart w:id="108" w:name="_Toc332126797"/>
      <w:bookmarkStart w:id="109" w:name="_Toc343725252"/>
      <w:r>
        <w:rPr>
          <w:rFonts w:hint="eastAsia"/>
        </w:rPr>
        <w:t>对方案实施情况及时了解、反馈意见并提供跟踪服务</w:t>
      </w:r>
      <w:bookmarkEnd w:id="108"/>
      <w:bookmarkEnd w:id="109"/>
      <w:r>
        <w:rPr>
          <w:rFonts w:hint="eastAsia"/>
        </w:rPr>
        <w:t>。</w:t>
      </w:r>
    </w:p>
    <w:p>
      <w:pPr>
        <w:pStyle w:val="105"/>
        <w:spacing w:before="156" w:after="156"/>
      </w:pPr>
      <w:bookmarkStart w:id="110" w:name="_Toc343725253"/>
      <w:bookmarkStart w:id="111" w:name="_Toc332126798"/>
      <w:r>
        <w:rPr>
          <w:rFonts w:hint="eastAsia"/>
        </w:rPr>
        <w:t>执行保密要求</w:t>
      </w:r>
    </w:p>
    <w:p>
      <w:pPr>
        <w:pStyle w:val="165"/>
      </w:pPr>
      <w:r>
        <w:rPr>
          <w:rFonts w:hint="eastAsia"/>
        </w:rPr>
        <w:t>访谈内容未经客户同意不应向项目组以外人员透露。</w:t>
      </w:r>
    </w:p>
    <w:p>
      <w:pPr>
        <w:pStyle w:val="165"/>
      </w:pPr>
      <w:r>
        <w:rPr>
          <w:rFonts w:hint="eastAsia"/>
        </w:rPr>
        <w:t>项目过程及最终形成的文件、资料应妥善保管。</w:t>
      </w:r>
    </w:p>
    <w:p>
      <w:pPr>
        <w:pStyle w:val="165"/>
      </w:pPr>
      <w:r>
        <w:rPr>
          <w:rFonts w:hint="eastAsia"/>
        </w:rPr>
        <w:t>保守商业和技术秘密，不应泄露与项目相关的事宜。</w:t>
      </w:r>
    </w:p>
    <w:p>
      <w:pPr>
        <w:pStyle w:val="105"/>
        <w:spacing w:before="156" w:after="156"/>
      </w:pPr>
      <w:r>
        <w:rPr>
          <w:rFonts w:hint="eastAsia"/>
        </w:rPr>
        <w:t>项目评估</w:t>
      </w:r>
      <w:bookmarkEnd w:id="110"/>
      <w:bookmarkEnd w:id="111"/>
    </w:p>
    <w:p>
      <w:pPr>
        <w:pStyle w:val="165"/>
      </w:pPr>
      <w:r>
        <w:rPr>
          <w:rFonts w:hint="eastAsia"/>
        </w:rPr>
        <w:t>对项目成果的评估。包括客户、专家组和项目小组对项目成果的评估。</w:t>
      </w:r>
    </w:p>
    <w:p>
      <w:pPr>
        <w:pStyle w:val="165"/>
      </w:pPr>
      <w:r>
        <w:rPr>
          <w:rFonts w:hint="eastAsia"/>
        </w:rPr>
        <w:t>对项目团队的评估。包括客户、机构领导对项目团队的评估，项目经理对项目顾问的评估。</w:t>
      </w:r>
    </w:p>
    <w:p>
      <w:pPr>
        <w:pStyle w:val="105"/>
        <w:spacing w:before="156" w:after="156"/>
      </w:pPr>
      <w:bookmarkStart w:id="112" w:name="_Toc332126799"/>
      <w:bookmarkStart w:id="113" w:name="_Toc343725254"/>
      <w:r>
        <w:rPr>
          <w:rFonts w:hint="eastAsia"/>
        </w:rPr>
        <w:t>材料归档</w:t>
      </w:r>
      <w:bookmarkEnd w:id="112"/>
      <w:bookmarkEnd w:id="113"/>
    </w:p>
    <w:p>
      <w:pPr>
        <w:widowControl/>
        <w:autoSpaceDE w:val="0"/>
        <w:autoSpaceDN w:val="0"/>
        <w:adjustRightInd/>
        <w:spacing w:line="240" w:lineRule="auto"/>
        <w:ind w:firstLine="420" w:firstLineChars="200"/>
        <w:rPr>
          <w:rFonts w:ascii="宋体" w:hAnsi="Times New Roman"/>
          <w:kern w:val="0"/>
          <w:szCs w:val="20"/>
        </w:rPr>
      </w:pPr>
      <w:r>
        <w:rPr>
          <w:rFonts w:hint="eastAsia" w:ascii="宋体" w:hAnsi="Times New Roman"/>
          <w:kern w:val="0"/>
          <w:szCs w:val="20"/>
        </w:rPr>
        <w:t>归档材料。内容包括但不限于：</w:t>
      </w:r>
    </w:p>
    <w:p>
      <w:pPr>
        <w:pStyle w:val="174"/>
        <w:numPr>
          <w:ilvl w:val="0"/>
          <w:numId w:val="37"/>
        </w:numPr>
      </w:pPr>
      <w:r>
        <w:rPr>
          <w:rFonts w:hint="eastAsia"/>
        </w:rPr>
        <w:t>项目报告；</w:t>
      </w:r>
    </w:p>
    <w:p>
      <w:pPr>
        <w:pStyle w:val="174"/>
      </w:pPr>
      <w:r>
        <w:rPr>
          <w:rFonts w:hint="eastAsia"/>
        </w:rPr>
        <w:t>项目日志；</w:t>
      </w:r>
    </w:p>
    <w:p>
      <w:pPr>
        <w:pStyle w:val="174"/>
      </w:pPr>
      <w:r>
        <w:rPr>
          <w:rFonts w:hint="eastAsia"/>
        </w:rPr>
        <w:t>客户及行业背景资料；</w:t>
      </w:r>
    </w:p>
    <w:p>
      <w:pPr>
        <w:pStyle w:val="174"/>
      </w:pPr>
      <w:r>
        <w:rPr>
          <w:rFonts w:hint="eastAsia"/>
        </w:rPr>
        <w:t>培训资料；</w:t>
      </w:r>
    </w:p>
    <w:p>
      <w:pPr>
        <w:pStyle w:val="174"/>
      </w:pPr>
      <w:r>
        <w:rPr>
          <w:rFonts w:hint="eastAsia"/>
        </w:rPr>
        <w:t>图片与音像资料；</w:t>
      </w:r>
    </w:p>
    <w:p>
      <w:pPr>
        <w:pStyle w:val="174"/>
      </w:pPr>
      <w:r>
        <w:rPr>
          <w:rFonts w:hint="eastAsia"/>
        </w:rPr>
        <w:t>工具及技术方法。</w:t>
      </w:r>
    </w:p>
    <w:p>
      <w:pPr>
        <w:pStyle w:val="104"/>
        <w:spacing w:before="312" w:after="312"/>
      </w:pPr>
      <w:bookmarkStart w:id="114" w:name="_Toc149487668"/>
      <w:bookmarkStart w:id="115" w:name="_Toc149236877"/>
      <w:bookmarkStart w:id="116" w:name="_Toc343855322"/>
      <w:bookmarkStart w:id="117" w:name="_Toc343725255"/>
      <w:r>
        <w:rPr>
          <w:rFonts w:hint="eastAsia"/>
        </w:rPr>
        <w:t>服务评价与改进</w:t>
      </w:r>
      <w:bookmarkEnd w:id="114"/>
      <w:bookmarkEnd w:id="115"/>
      <w:bookmarkEnd w:id="116"/>
      <w:bookmarkEnd w:id="117"/>
    </w:p>
    <w:p>
      <w:pPr>
        <w:widowControl/>
        <w:tabs>
          <w:tab w:val="center" w:pos="4201"/>
          <w:tab w:val="right" w:leader="dot" w:pos="9298"/>
        </w:tabs>
        <w:autoSpaceDE w:val="0"/>
        <w:autoSpaceDN w:val="0"/>
        <w:adjustRightInd/>
        <w:spacing w:line="240" w:lineRule="auto"/>
        <w:ind w:firstLine="420" w:firstLineChars="200"/>
        <w:rPr>
          <w:rFonts w:ascii="宋体" w:hAnsi="Times New Roman"/>
          <w:szCs w:val="22"/>
        </w:rPr>
      </w:pPr>
      <w:r>
        <w:rPr>
          <w:rFonts w:hint="eastAsia" w:ascii="宋体" w:hAnsi="Times New Roman"/>
          <w:color w:val="000000"/>
          <w:szCs w:val="22"/>
        </w:rPr>
        <w:t>服务机构进行人力资源管理咨询服务应建立项目评价机制，人力资源管理咨询服务项目的服务评价与改进除符合</w:t>
      </w:r>
      <w:r>
        <w:rPr>
          <w:rFonts w:ascii="宋体" w:hAnsi="Times New Roman"/>
          <w:color w:val="000000"/>
          <w:szCs w:val="22"/>
        </w:rPr>
        <w:t>DBXX/T XXXX.1</w:t>
      </w:r>
      <w:r>
        <w:rPr>
          <w:rFonts w:hint="eastAsia" w:ascii="宋体" w:hAnsi="宋体"/>
          <w:szCs w:val="22"/>
        </w:rPr>
        <w:t>—</w:t>
      </w:r>
      <w:r>
        <w:rPr>
          <w:rFonts w:ascii="宋体" w:hAnsi="Times New Roman"/>
          <w:szCs w:val="22"/>
        </w:rPr>
        <w:t>202X</w:t>
      </w:r>
      <w:r>
        <w:rPr>
          <w:rFonts w:hint="eastAsia" w:ascii="宋体" w:hAnsi="Times New Roman"/>
          <w:szCs w:val="22"/>
        </w:rPr>
        <w:t>第10章的相关规定外，还应满足下列要求：</w:t>
      </w:r>
    </w:p>
    <w:p>
      <w:pPr>
        <w:pStyle w:val="174"/>
        <w:numPr>
          <w:ilvl w:val="0"/>
          <w:numId w:val="38"/>
        </w:numPr>
      </w:pPr>
      <w:bookmarkStart w:id="118" w:name="_Toc343725257"/>
      <w:r>
        <w:rPr>
          <w:rFonts w:hint="eastAsia"/>
        </w:rPr>
        <w:t>建立项目跟踪记录；</w:t>
      </w:r>
    </w:p>
    <w:p>
      <w:pPr>
        <w:pStyle w:val="174"/>
      </w:pPr>
      <w:r>
        <w:rPr>
          <w:rFonts w:hint="eastAsia"/>
        </w:rPr>
        <w:t>对项目实施进行评估</w:t>
      </w:r>
      <w:bookmarkEnd w:id="118"/>
      <w:r>
        <w:rPr>
          <w:rFonts w:hint="eastAsia"/>
        </w:rPr>
        <w:t>和总结；</w:t>
      </w:r>
    </w:p>
    <w:p>
      <w:pPr>
        <w:pStyle w:val="174"/>
      </w:pPr>
      <w:r>
        <w:rPr>
          <w:rFonts w:hint="eastAsia" w:ascii="Calibri" w:hAnsi="宋体"/>
          <w:kern w:val="2"/>
          <w:szCs w:val="21"/>
        </w:rPr>
        <w:t>项目实施结束后开展客户满意度调查。</w:t>
      </w:r>
    </w:p>
    <w:bookmarkEnd w:id="31"/>
    <w:bookmarkEnd w:id="75"/>
    <w:bookmarkEnd w:id="76"/>
    <w:bookmarkEnd w:id="77"/>
    <w:bookmarkEnd w:id="78"/>
    <w:bookmarkEnd w:id="79"/>
    <w:bookmarkEnd w:id="80"/>
    <w:bookmarkEnd w:id="81"/>
    <w:bookmarkEnd w:id="82"/>
    <w:bookmarkEnd w:id="83"/>
    <w:bookmarkEnd w:id="84"/>
    <w:bookmarkEnd w:id="85"/>
    <w:bookmarkEnd w:id="86"/>
    <w:p>
      <w:pPr>
        <w:pStyle w:val="56"/>
        <w:ind w:firstLine="0" w:firstLineChars="0"/>
        <w:jc w:val="center"/>
      </w:pPr>
      <w:bookmarkStart w:id="119" w:name="BookMark8"/>
      <w:r>
        <w:rPr>
          <w:rFonts w:hint="eastAsia"/>
        </w:rPr>
        <w:drawing>
          <wp:inline distT="0" distB="0" distL="0" distR="0">
            <wp:extent cx="1485900" cy="317500"/>
            <wp:effectExtent l="0" t="0" r="0" b="6350"/>
            <wp:docPr id="2034439849" name="图片 1"/>
            <wp:cNvGraphicFramePr/>
            <a:graphic xmlns:a="http://schemas.openxmlformats.org/drawingml/2006/main">
              <a:graphicData uri="http://schemas.openxmlformats.org/drawingml/2006/picture">
                <pic:pic xmlns:pic="http://schemas.openxmlformats.org/drawingml/2006/picture">
                  <pic:nvPicPr>
                    <pic:cNvPr id="2034439849" name="图片 1"/>
                    <pic:cNvPicPr/>
                  </pic:nvPicPr>
                  <pic:blipFill>
                    <a:blip r:embed="rId25">
                      <a:extLst>
                        <a:ext uri="{28A0092B-C50C-407E-A947-70E740481C1C}">
                          <a14:useLocalDpi xmlns:a14="http://schemas.microsoft.com/office/drawing/2010/main" val="false"/>
                        </a:ext>
                      </a:extLst>
                    </a:blip>
                    <a:stretch>
                      <a:fillRect/>
                    </a:stretch>
                  </pic:blipFill>
                  <pic:spPr>
                    <a:xfrm>
                      <a:off x="0" y="0"/>
                      <a:ext cx="1485900" cy="317500"/>
                    </a:xfrm>
                    <a:prstGeom prst="rect">
                      <a:avLst/>
                    </a:prstGeom>
                  </pic:spPr>
                </pic:pic>
              </a:graphicData>
            </a:graphic>
          </wp:inline>
        </w:drawing>
      </w:r>
      <w:bookmarkEnd w:id="119"/>
    </w:p>
    <w:sectPr>
      <w:headerReference r:id="rId19" w:type="default"/>
      <w:footerReference r:id="rId21" w:type="default"/>
      <w:headerReference r:id="rId20" w:type="even"/>
      <w:footerReference r:id="rId22" w:type="even"/>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等线">
    <w:altName w:val="文泉驿微米黑"/>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文泉驿正黑">
    <w:panose1 w:val="02000603000000000000"/>
    <w:charset w:val="86"/>
    <w:family w:val="auto"/>
    <w:pitch w:val="default"/>
    <w:sig w:usb0="900002BF" w:usb1="2BDF7DFB" w:usb2="00000036" w:usb3="00000000" w:csb0="603E000D" w:csb1="D2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II</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I</w:t>
    </w:r>
    <w: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2"/>
    </w:pPr>
    <w:r>
      <w:fldChar w:fldCharType="begin"/>
    </w:r>
    <w:r>
      <w:instrText xml:space="preserve">PAGE   \* MERGEFORMAT</w:instrText>
    </w:r>
    <w:r>
      <w:fldChar w:fldCharType="separate"/>
    </w:r>
    <w:r>
      <w:rPr>
        <w:lang w:val="zh-CN"/>
      </w:rPr>
      <w:t>1</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1"/>
    </w:pPr>
    <w:r>
      <w:fldChar w:fldCharType="begin"/>
    </w:r>
    <w:r>
      <w:instrText xml:space="preserve"> PAGE   \* MERGEFORMAT \* MERGEFORMAT </w:instrText>
    </w:r>
    <w:r>
      <w:fldChar w:fldCharType="separate"/>
    </w:r>
    <w: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XXXX.7—202X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XXXX.7—202X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XXXX.7—202X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XXXX.7—202X</w:t>
    </w:r>
    <w:r>
      <w:fldChar w:fldCharType="end"/>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1"/>
    </w:pPr>
    <w:r>
      <w:fldChar w:fldCharType="begin"/>
    </w:r>
    <w:r>
      <w:instrText xml:space="preserve"> STYLEREF  标准文件_文件编号  \* MERGEFORMAT </w:instrText>
    </w:r>
    <w:r>
      <w:fldChar w:fldCharType="separate"/>
    </w:r>
    <w:r>
      <w:t>DB XX/T XXXX.7—202X</w:t>
    </w:r>
    <w: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DB XX/T XXXX.7—202X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pStyle w:val="237"/>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pStyle w:val="234"/>
      <w:lvlText w:val="%2)"/>
      <w:lvlJc w:val="left"/>
      <w:pPr>
        <w:tabs>
          <w:tab w:val="left" w:pos="1310"/>
        </w:tabs>
        <w:ind w:left="1310" w:hanging="420"/>
      </w:pPr>
      <w:rPr>
        <w:rFonts w:hint="eastAsia"/>
      </w:rPr>
    </w:lvl>
    <w:lvl w:ilvl="2" w:tentative="0">
      <w:start w:val="1"/>
      <w:numFmt w:val="lowerRoman"/>
      <w:pStyle w:val="235"/>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dit="forms" w:enforcement="1" w:cryptProviderType="rsaAES" w:cryptAlgorithmClass="hash" w:cryptAlgorithmType="typeAny" w:cryptAlgorithmSid="14" w:cryptSpinCount="100000" w:hash="oVwct+r23D+9NPqS8gC11eXjFiF5uueQTnpao8HJJiMNtoDxpigtpKpTp0xYZ/oBFHuw8Xr3ZfTutRjcXzWSbg==" w:salt="dnkB9RYre8IQX3kml7A5Mg=="/>
  <w:defaultTabStop w:val="420"/>
  <w:evenAndOddHeaders w:val="true"/>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hjMDYzYjQ3YmY0OWQyNGNlOTlkYTM1OTZhM2U3YjUifQ=="/>
  </w:docVars>
  <w:rsids>
    <w:rsidRoot w:val="005D1EB8"/>
    <w:rsid w:val="0000040A"/>
    <w:rsid w:val="00000A94"/>
    <w:rsid w:val="00001972"/>
    <w:rsid w:val="00001D9A"/>
    <w:rsid w:val="00006899"/>
    <w:rsid w:val="00007B3A"/>
    <w:rsid w:val="00007BAB"/>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3D7F"/>
    <w:rsid w:val="000657F1"/>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6947"/>
    <w:rsid w:val="00190087"/>
    <w:rsid w:val="001913C4"/>
    <w:rsid w:val="0019348F"/>
    <w:rsid w:val="00193A07"/>
    <w:rsid w:val="00194C95"/>
    <w:rsid w:val="00195C34"/>
    <w:rsid w:val="00196EF5"/>
    <w:rsid w:val="001A1A53"/>
    <w:rsid w:val="001A234A"/>
    <w:rsid w:val="001A4CF3"/>
    <w:rsid w:val="001B06E8"/>
    <w:rsid w:val="001B4DE7"/>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4E46"/>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367"/>
    <w:rsid w:val="002204BB"/>
    <w:rsid w:val="00221B79"/>
    <w:rsid w:val="00221C6B"/>
    <w:rsid w:val="002253A1"/>
    <w:rsid w:val="00225B4F"/>
    <w:rsid w:val="00225CF8"/>
    <w:rsid w:val="0022794E"/>
    <w:rsid w:val="002339EA"/>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76D"/>
    <w:rsid w:val="00281BB8"/>
    <w:rsid w:val="00281E9E"/>
    <w:rsid w:val="00282405"/>
    <w:rsid w:val="00285170"/>
    <w:rsid w:val="00285361"/>
    <w:rsid w:val="00291C3C"/>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DFE"/>
    <w:rsid w:val="002B446C"/>
    <w:rsid w:val="002B4508"/>
    <w:rsid w:val="002B5779"/>
    <w:rsid w:val="002B7332"/>
    <w:rsid w:val="002B7F51"/>
    <w:rsid w:val="002C09E7"/>
    <w:rsid w:val="002C1E06"/>
    <w:rsid w:val="002C1E1C"/>
    <w:rsid w:val="002C3F07"/>
    <w:rsid w:val="002C5278"/>
    <w:rsid w:val="002C7EBB"/>
    <w:rsid w:val="002D06C1"/>
    <w:rsid w:val="002D3E8B"/>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6C21"/>
    <w:rsid w:val="003974EB"/>
    <w:rsid w:val="00397CC5"/>
    <w:rsid w:val="003A1582"/>
    <w:rsid w:val="003A4077"/>
    <w:rsid w:val="003B09AD"/>
    <w:rsid w:val="003B1F18"/>
    <w:rsid w:val="003B5BF0"/>
    <w:rsid w:val="003B60BF"/>
    <w:rsid w:val="003B6BE3"/>
    <w:rsid w:val="003C010C"/>
    <w:rsid w:val="003C04B7"/>
    <w:rsid w:val="003C0A6C"/>
    <w:rsid w:val="003C14F8"/>
    <w:rsid w:val="003C5A43"/>
    <w:rsid w:val="003D0519"/>
    <w:rsid w:val="003D0FF6"/>
    <w:rsid w:val="003D262C"/>
    <w:rsid w:val="003D6D61"/>
    <w:rsid w:val="003D79C6"/>
    <w:rsid w:val="003E08F8"/>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3102"/>
    <w:rsid w:val="00404869"/>
    <w:rsid w:val="00405884"/>
    <w:rsid w:val="00407D39"/>
    <w:rsid w:val="0041477A"/>
    <w:rsid w:val="004167A3"/>
    <w:rsid w:val="00432DAA"/>
    <w:rsid w:val="00434305"/>
    <w:rsid w:val="00435DF7"/>
    <w:rsid w:val="00437B0B"/>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A6BB3"/>
    <w:rsid w:val="004B0272"/>
    <w:rsid w:val="004B0E7A"/>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117B"/>
    <w:rsid w:val="0050363E"/>
    <w:rsid w:val="005039BC"/>
    <w:rsid w:val="005043BB"/>
    <w:rsid w:val="00504A3D"/>
    <w:rsid w:val="00505767"/>
    <w:rsid w:val="005073F0"/>
    <w:rsid w:val="00510A7B"/>
    <w:rsid w:val="00512F6E"/>
    <w:rsid w:val="00513038"/>
    <w:rsid w:val="00514174"/>
    <w:rsid w:val="00515C65"/>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657E6"/>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597"/>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1EB8"/>
    <w:rsid w:val="005D4171"/>
    <w:rsid w:val="005D6A95"/>
    <w:rsid w:val="005D6B2C"/>
    <w:rsid w:val="005D6D9C"/>
    <w:rsid w:val="005E050D"/>
    <w:rsid w:val="005E2335"/>
    <w:rsid w:val="005E34CA"/>
    <w:rsid w:val="005E3C18"/>
    <w:rsid w:val="005E4868"/>
    <w:rsid w:val="005E6812"/>
    <w:rsid w:val="005E7881"/>
    <w:rsid w:val="005E78E0"/>
    <w:rsid w:val="005F0D9C"/>
    <w:rsid w:val="005F284E"/>
    <w:rsid w:val="005F4712"/>
    <w:rsid w:val="006015CE"/>
    <w:rsid w:val="00604784"/>
    <w:rsid w:val="00605C3A"/>
    <w:rsid w:val="00606419"/>
    <w:rsid w:val="00607D29"/>
    <w:rsid w:val="00612952"/>
    <w:rsid w:val="00614AA9"/>
    <w:rsid w:val="00614CC1"/>
    <w:rsid w:val="00615A9D"/>
    <w:rsid w:val="00617387"/>
    <w:rsid w:val="006205D6"/>
    <w:rsid w:val="00622BB1"/>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E24FD"/>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0724"/>
    <w:rsid w:val="0078114B"/>
    <w:rsid w:val="00781DD2"/>
    <w:rsid w:val="00783ECF"/>
    <w:rsid w:val="0078413A"/>
    <w:rsid w:val="00791BF2"/>
    <w:rsid w:val="007959E8"/>
    <w:rsid w:val="00795E9C"/>
    <w:rsid w:val="007A0521"/>
    <w:rsid w:val="007A2E12"/>
    <w:rsid w:val="007A3475"/>
    <w:rsid w:val="007A41C8"/>
    <w:rsid w:val="007A54CE"/>
    <w:rsid w:val="007A6FD9"/>
    <w:rsid w:val="007A7FFA"/>
    <w:rsid w:val="007B04EB"/>
    <w:rsid w:val="007B0D4F"/>
    <w:rsid w:val="007B129B"/>
    <w:rsid w:val="007B5A3D"/>
    <w:rsid w:val="007B5B95"/>
    <w:rsid w:val="007B68EA"/>
    <w:rsid w:val="007B7453"/>
    <w:rsid w:val="007C1E8B"/>
    <w:rsid w:val="007C2D89"/>
    <w:rsid w:val="007C34CB"/>
    <w:rsid w:val="007C4593"/>
    <w:rsid w:val="007C5309"/>
    <w:rsid w:val="007C6069"/>
    <w:rsid w:val="007D06C4"/>
    <w:rsid w:val="007D1352"/>
    <w:rsid w:val="007D2508"/>
    <w:rsid w:val="007D346A"/>
    <w:rsid w:val="007D6518"/>
    <w:rsid w:val="007D6ED2"/>
    <w:rsid w:val="007D76BD"/>
    <w:rsid w:val="007E0BF1"/>
    <w:rsid w:val="007F0ED8"/>
    <w:rsid w:val="007F0F63"/>
    <w:rsid w:val="007F2555"/>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47F97"/>
    <w:rsid w:val="0085173A"/>
    <w:rsid w:val="00856316"/>
    <w:rsid w:val="008603CE"/>
    <w:rsid w:val="008620FC"/>
    <w:rsid w:val="008627A5"/>
    <w:rsid w:val="00863E05"/>
    <w:rsid w:val="00865ACA"/>
    <w:rsid w:val="00865D28"/>
    <w:rsid w:val="00865F85"/>
    <w:rsid w:val="00867C10"/>
    <w:rsid w:val="00870439"/>
    <w:rsid w:val="00870DA1"/>
    <w:rsid w:val="008835D2"/>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87C"/>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3EAC"/>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55087"/>
    <w:rsid w:val="009610DC"/>
    <w:rsid w:val="00961490"/>
    <w:rsid w:val="0096381A"/>
    <w:rsid w:val="00965E04"/>
    <w:rsid w:val="009674AD"/>
    <w:rsid w:val="00970CDC"/>
    <w:rsid w:val="00976AA4"/>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6462"/>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25FB9"/>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1163"/>
    <w:rsid w:val="00A83D8D"/>
    <w:rsid w:val="00A8446B"/>
    <w:rsid w:val="00A8473F"/>
    <w:rsid w:val="00A862D6"/>
    <w:rsid w:val="00A8715E"/>
    <w:rsid w:val="00A9295B"/>
    <w:rsid w:val="00A936E1"/>
    <w:rsid w:val="00A93B09"/>
    <w:rsid w:val="00A94247"/>
    <w:rsid w:val="00A952D7"/>
    <w:rsid w:val="00A963F7"/>
    <w:rsid w:val="00A96AD8"/>
    <w:rsid w:val="00AA052C"/>
    <w:rsid w:val="00AA1E45"/>
    <w:rsid w:val="00AA37AB"/>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5111"/>
    <w:rsid w:val="00B25426"/>
    <w:rsid w:val="00B261F1"/>
    <w:rsid w:val="00B265B4"/>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4ABC"/>
    <w:rsid w:val="00B54DDE"/>
    <w:rsid w:val="00B56FBE"/>
    <w:rsid w:val="00B60ACF"/>
    <w:rsid w:val="00B62B58"/>
    <w:rsid w:val="00B65149"/>
    <w:rsid w:val="00B66567"/>
    <w:rsid w:val="00B66F52"/>
    <w:rsid w:val="00B66FE5"/>
    <w:rsid w:val="00B72880"/>
    <w:rsid w:val="00B74D68"/>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0C98"/>
    <w:rsid w:val="00BF10A9"/>
    <w:rsid w:val="00BF1703"/>
    <w:rsid w:val="00BF231C"/>
    <w:rsid w:val="00BF51E5"/>
    <w:rsid w:val="00BF5C7C"/>
    <w:rsid w:val="00BF74A6"/>
    <w:rsid w:val="00C013AD"/>
    <w:rsid w:val="00C01793"/>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0CBE"/>
    <w:rsid w:val="00C42130"/>
    <w:rsid w:val="00C423A4"/>
    <w:rsid w:val="00C44BF5"/>
    <w:rsid w:val="00C521D6"/>
    <w:rsid w:val="00C55232"/>
    <w:rsid w:val="00C553A4"/>
    <w:rsid w:val="00C55A06"/>
    <w:rsid w:val="00C55D03"/>
    <w:rsid w:val="00C601BC"/>
    <w:rsid w:val="00C6329F"/>
    <w:rsid w:val="00C63340"/>
    <w:rsid w:val="00C643F9"/>
    <w:rsid w:val="00C64E95"/>
    <w:rsid w:val="00C65313"/>
    <w:rsid w:val="00C71372"/>
    <w:rsid w:val="00C72410"/>
    <w:rsid w:val="00C7287F"/>
    <w:rsid w:val="00C80982"/>
    <w:rsid w:val="00C80CB8"/>
    <w:rsid w:val="00C819F8"/>
    <w:rsid w:val="00C8248C"/>
    <w:rsid w:val="00C84E33"/>
    <w:rsid w:val="00C86D6F"/>
    <w:rsid w:val="00C905FC"/>
    <w:rsid w:val="00C92C22"/>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B6A87"/>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21A9"/>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084"/>
    <w:rsid w:val="00D126F5"/>
    <w:rsid w:val="00D13AD5"/>
    <w:rsid w:val="00D1489E"/>
    <w:rsid w:val="00D20737"/>
    <w:rsid w:val="00D21E81"/>
    <w:rsid w:val="00D223DE"/>
    <w:rsid w:val="00D25E37"/>
    <w:rsid w:val="00D2661A"/>
    <w:rsid w:val="00D27582"/>
    <w:rsid w:val="00D27EC4"/>
    <w:rsid w:val="00D32719"/>
    <w:rsid w:val="00D33333"/>
    <w:rsid w:val="00D33457"/>
    <w:rsid w:val="00D352A2"/>
    <w:rsid w:val="00D35F79"/>
    <w:rsid w:val="00D3660F"/>
    <w:rsid w:val="00D4162B"/>
    <w:rsid w:val="00D4514F"/>
    <w:rsid w:val="00D451E2"/>
    <w:rsid w:val="00D45E89"/>
    <w:rsid w:val="00D45E8D"/>
    <w:rsid w:val="00D466AE"/>
    <w:rsid w:val="00D4734F"/>
    <w:rsid w:val="00D51BF3"/>
    <w:rsid w:val="00D654F7"/>
    <w:rsid w:val="00D663FB"/>
    <w:rsid w:val="00D66846"/>
    <w:rsid w:val="00D675FB"/>
    <w:rsid w:val="00D71F25"/>
    <w:rsid w:val="00D72A9C"/>
    <w:rsid w:val="00D77031"/>
    <w:rsid w:val="00D84941"/>
    <w:rsid w:val="00D84FA1"/>
    <w:rsid w:val="00D851F0"/>
    <w:rsid w:val="00D86DB7"/>
    <w:rsid w:val="00D926D0"/>
    <w:rsid w:val="00D92F6A"/>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5478"/>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5731"/>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46F18"/>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1DDA"/>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5EE2"/>
    <w:rsid w:val="00F26B7E"/>
    <w:rsid w:val="00F27A3B"/>
    <w:rsid w:val="00F33817"/>
    <w:rsid w:val="00F420D5"/>
    <w:rsid w:val="00F441EA"/>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C8"/>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49E3279E"/>
    <w:rsid w:val="575B15E0"/>
    <w:rsid w:val="5B6FEA70"/>
    <w:rsid w:val="CD9F0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不明显参考1"/>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semiHidden/>
    <w:qFormat/>
    <w:uiPriority w:val="0"/>
    <w:pPr>
      <w:adjustRightInd/>
      <w:spacing w:line="240" w:lineRule="auto"/>
      <w:jc w:val="left"/>
    </w:pPr>
    <w:rPr>
      <w:bCs/>
      <w:iCs/>
    </w:rPr>
  </w:style>
  <w:style w:type="paragraph" w:customStyle="1" w:styleId="143">
    <w:name w:val="目录 31"/>
    <w:basedOn w:val="1"/>
    <w:next w:val="1"/>
    <w:semiHidden/>
    <w:qFormat/>
    <w:uiPriority w:val="0"/>
    <w:pPr>
      <w:spacing w:line="240" w:lineRule="auto"/>
    </w:pPr>
    <w:rPr>
      <w:rFonts w:ascii="宋体" w:hAnsi="宋体"/>
      <w:iCs/>
    </w:rPr>
  </w:style>
  <w:style w:type="paragraph" w:customStyle="1" w:styleId="144">
    <w:name w:val="目录 41"/>
    <w:basedOn w:val="1"/>
    <w:next w:val="1"/>
    <w:semiHidden/>
    <w:qFormat/>
    <w:uiPriority w:val="0"/>
    <w:pPr>
      <w:adjustRightInd/>
      <w:spacing w:line="240" w:lineRule="auto"/>
      <w:jc w:val="left"/>
    </w:pPr>
  </w:style>
  <w:style w:type="paragraph" w:customStyle="1" w:styleId="145">
    <w:name w:val="目录 51"/>
    <w:basedOn w:val="1"/>
    <w:next w:val="1"/>
    <w:semiHidden/>
    <w:qFormat/>
    <w:uiPriority w:val="0"/>
    <w:pPr>
      <w:spacing w:line="240" w:lineRule="auto"/>
    </w:pPr>
    <w:rPr>
      <w:rFonts w:ascii="宋体" w:hAnsi="宋体"/>
    </w:rPr>
  </w:style>
  <w:style w:type="paragraph" w:customStyle="1" w:styleId="146">
    <w:name w:val="目录 61"/>
    <w:basedOn w:val="1"/>
    <w:next w:val="1"/>
    <w:semiHidden/>
    <w:qFormat/>
    <w:uiPriority w:val="0"/>
    <w:pPr>
      <w:adjustRightInd/>
      <w:spacing w:line="240" w:lineRule="auto"/>
      <w:jc w:val="left"/>
    </w:pPr>
  </w:style>
  <w:style w:type="paragraph" w:customStyle="1" w:styleId="147">
    <w:name w:val="目录 71"/>
    <w:basedOn w:val="146"/>
    <w:semiHidden/>
    <w:qFormat/>
    <w:uiPriority w:val="0"/>
    <w:pPr>
      <w:ind w:left="1260"/>
    </w:pPr>
  </w:style>
  <w:style w:type="paragraph" w:customStyle="1" w:styleId="148">
    <w:name w:val="目录 81"/>
    <w:basedOn w:val="147"/>
    <w:semiHidden/>
    <w:qFormat/>
    <w:uiPriority w:val="0"/>
    <w:pPr>
      <w:ind w:left="1470"/>
    </w:pPr>
  </w:style>
  <w:style w:type="paragraph" w:customStyle="1" w:styleId="149">
    <w:name w:val="目录 91"/>
    <w:basedOn w:val="148"/>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vAnchor="page" w:hAnchor="page" w:x="1419" w:y="14097"/>
    </w:pPr>
  </w:style>
  <w:style w:type="paragraph" w:customStyle="1" w:styleId="194">
    <w:name w:val="其他实施日期"/>
    <w:basedOn w:val="154"/>
    <w:qFormat/>
    <w:uiPriority w:val="0"/>
    <w:pPr>
      <w:framePr w:w="3997" w:h="471" w:hRule="exact" w:vSpace="181"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 w:type="character" w:customStyle="1" w:styleId="230">
    <w:name w:val="段 Char"/>
    <w:link w:val="231"/>
    <w:qFormat/>
    <w:uiPriority w:val="0"/>
    <w:rPr>
      <w:rFonts w:ascii="宋体" w:hAnsi="Times New Roman"/>
      <w:kern w:val="2"/>
      <w:sz w:val="21"/>
      <w:szCs w:val="22"/>
    </w:rPr>
  </w:style>
  <w:style w:type="paragraph" w:customStyle="1" w:styleId="231">
    <w:name w:val="段"/>
    <w:link w:val="230"/>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232">
    <w:name w:val="字母编号列项（一级） Char"/>
    <w:link w:val="233"/>
    <w:qFormat/>
    <w:uiPriority w:val="0"/>
    <w:rPr>
      <w:rFonts w:ascii="宋体" w:hAnsi="Times New Roman"/>
      <w:kern w:val="2"/>
      <w:sz w:val="21"/>
      <w:szCs w:val="22"/>
    </w:rPr>
  </w:style>
  <w:style w:type="paragraph" w:customStyle="1" w:styleId="233">
    <w:name w:val="字母编号列项（一级）"/>
    <w:link w:val="232"/>
    <w:qFormat/>
    <w:uiPriority w:val="0"/>
    <w:pPr>
      <w:tabs>
        <w:tab w:val="left" w:pos="839"/>
        <w:tab w:val="left" w:pos="1646"/>
      </w:tabs>
      <w:ind w:left="1646" w:hanging="648"/>
      <w:jc w:val="both"/>
    </w:pPr>
    <w:rPr>
      <w:rFonts w:ascii="宋体" w:hAnsi="Times New Roman" w:eastAsia="宋体" w:cs="Times New Roman"/>
      <w:kern w:val="2"/>
      <w:sz w:val="21"/>
      <w:szCs w:val="22"/>
      <w:lang w:val="en-US" w:eastAsia="zh-CN" w:bidi="ar-SA"/>
    </w:rPr>
  </w:style>
  <w:style w:type="paragraph" w:customStyle="1" w:styleId="234">
    <w:name w:val="一级条标题"/>
    <w:next w:val="231"/>
    <w:qFormat/>
    <w:uiPriority w:val="0"/>
    <w:pPr>
      <w:numPr>
        <w:ilvl w:val="1"/>
        <w:numId w:val="23"/>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35">
    <w:name w:val="二级条标题"/>
    <w:basedOn w:val="234"/>
    <w:next w:val="231"/>
    <w:qFormat/>
    <w:uiPriority w:val="0"/>
    <w:pPr>
      <w:numPr>
        <w:ilvl w:val="2"/>
      </w:numPr>
      <w:spacing w:before="50" w:after="50"/>
      <w:outlineLvl w:val="3"/>
    </w:pPr>
  </w:style>
  <w:style w:type="paragraph" w:customStyle="1" w:styleId="236">
    <w:name w:val="章标题"/>
    <w:next w:val="231"/>
    <w:qFormat/>
    <w:uiPriority w:val="0"/>
    <w:pPr>
      <w:tabs>
        <w:tab w:val="left" w:pos="851"/>
      </w:tabs>
      <w:spacing w:before="312" w:beforeLines="100" w:after="312" w:afterLines="100"/>
      <w:ind w:left="851" w:hanging="426"/>
      <w:jc w:val="both"/>
      <w:outlineLvl w:val="1"/>
    </w:pPr>
    <w:rPr>
      <w:rFonts w:ascii="黑体" w:hAnsi="Times New Roman" w:eastAsia="黑体" w:cs="Times New Roman"/>
      <w:sz w:val="21"/>
      <w:lang w:val="en-US" w:eastAsia="zh-CN" w:bidi="ar-SA"/>
    </w:rPr>
  </w:style>
  <w:style w:type="paragraph" w:customStyle="1" w:styleId="237">
    <w:name w:val="三级条标题"/>
    <w:basedOn w:val="235"/>
    <w:next w:val="231"/>
    <w:qFormat/>
    <w:uiPriority w:val="0"/>
    <w:pPr>
      <w:numPr>
        <w:ilvl w:val="3"/>
        <w:numId w:val="5"/>
      </w:numPr>
      <w:outlineLvl w:val="4"/>
    </w:pPr>
  </w:style>
  <w:style w:type="paragraph" w:customStyle="1" w:styleId="238">
    <w:name w:val="附录一级条标题"/>
    <w:basedOn w:val="239"/>
    <w:next w:val="231"/>
    <w:qFormat/>
    <w:uiPriority w:val="0"/>
    <w:pPr>
      <w:tabs>
        <w:tab w:val="left" w:pos="360"/>
      </w:tabs>
      <w:autoSpaceDN w:val="0"/>
      <w:spacing w:before="50" w:beforeLines="50" w:after="50" w:afterLines="50"/>
      <w:outlineLvl w:val="2"/>
    </w:pPr>
  </w:style>
  <w:style w:type="paragraph" w:customStyle="1" w:styleId="239">
    <w:name w:val="附录章标题"/>
    <w:next w:val="231"/>
    <w:qFormat/>
    <w:uiPriority w:val="0"/>
    <w:pPr>
      <w:tabs>
        <w:tab w:val="left" w:pos="360"/>
      </w:tabs>
      <w:wordWrap w:val="0"/>
      <w:overflowPunct w:val="0"/>
      <w:autoSpaceDE w:val="0"/>
      <w:spacing w:before="100" w:beforeLines="100" w:after="100" w:afterLines="100"/>
      <w:jc w:val="both"/>
      <w:textAlignment w:val="baseline"/>
      <w:outlineLvl w:val="1"/>
    </w:pPr>
    <w:rPr>
      <w:rFonts w:ascii="黑体" w:hAnsi="Calibri" w:eastAsia="黑体" w:cs="Times New Roman"/>
      <w:kern w:val="21"/>
      <w:sz w:val="21"/>
      <w:lang w:val="en-US" w:eastAsia="zh-CN" w:bidi="ar-SA"/>
    </w:rPr>
  </w:style>
  <w:style w:type="paragraph" w:customStyle="1" w:styleId="240">
    <w:name w:val="子标号"/>
    <w:basedOn w:val="1"/>
    <w:qFormat/>
    <w:uiPriority w:val="0"/>
    <w:pPr>
      <w:tabs>
        <w:tab w:val="left" w:pos="839"/>
      </w:tabs>
      <w:adjustRightInd/>
      <w:spacing w:line="240" w:lineRule="auto"/>
    </w:pPr>
    <w:rPr>
      <w:rFonts w:hint="eastAsia" w:ascii="宋体" w:hAnsi="宋体"/>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jpeg"/><Relationship Id="rId24" Type="http://schemas.openxmlformats.org/officeDocument/2006/relationships/image" Target="media/image1.tiff"/><Relationship Id="rId23" Type="http://schemas.openxmlformats.org/officeDocument/2006/relationships/theme" Target="theme/theme1.xml"/><Relationship Id="rId22" Type="http://schemas.openxmlformats.org/officeDocument/2006/relationships/footer" Target="footer9.xml"/><Relationship Id="rId21" Type="http://schemas.openxmlformats.org/officeDocument/2006/relationships/footer" Target="footer8.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qhtf/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467D784E68C4B329FABA529D9DEABA5"/>
        <w:style w:val=""/>
        <w:category>
          <w:name w:val="常规"/>
          <w:gallery w:val="placeholder"/>
        </w:category>
        <w:types>
          <w:type w:val="bbPlcHdr"/>
        </w:types>
        <w:behaviors>
          <w:behavior w:val="content"/>
        </w:behaviors>
        <w:description w:val=""/>
        <w:guid w:val="{AD6D07DD-0FB6-4E37-B113-46AC6AE249B8}"/>
      </w:docPartPr>
      <w:docPartBody>
        <w:p>
          <w:pPr>
            <w:pStyle w:val="5"/>
          </w:pPr>
          <w:r>
            <w:rPr>
              <w:rStyle w:val="4"/>
              <w:rFonts w:hint="eastAsia"/>
            </w:rPr>
            <w:t>单击或点击此处输入文字。</w:t>
          </w:r>
        </w:p>
      </w:docPartBody>
    </w:docPart>
    <w:docPart>
      <w:docPartPr>
        <w:name w:val="B2E6710E4CA24AFB8CF096CD0C7AFCD8"/>
        <w:style w:val=""/>
        <w:category>
          <w:name w:val="常规"/>
          <w:gallery w:val="placeholder"/>
        </w:category>
        <w:types>
          <w:type w:val="bbPlcHdr"/>
        </w:types>
        <w:behaviors>
          <w:behavior w:val="content"/>
        </w:behaviors>
        <w:description w:val=""/>
        <w:guid w:val="{4364E9AE-459F-4010-8D6D-6A9C34F2EEB2}"/>
      </w:docPartPr>
      <w:docPartBody>
        <w:p>
          <w:pPr>
            <w:pStyle w:val="6"/>
          </w:pPr>
          <w:r>
            <w:rPr>
              <w:rStyle w:val="4"/>
              <w:rFonts w:hint="eastAsia"/>
            </w:rPr>
            <w:t>选择一项。</w:t>
          </w:r>
        </w:p>
      </w:docPartBody>
    </w:docPart>
    <w:docPart>
      <w:docPartPr>
        <w:name w:val="1E179825D1304949B1C2AD5B5F4A396C"/>
        <w:style w:val=""/>
        <w:category>
          <w:name w:val="常规"/>
          <w:gallery w:val="placeholder"/>
        </w:category>
        <w:types>
          <w:type w:val="bbPlcHdr"/>
        </w:types>
        <w:behaviors>
          <w:behavior w:val="content"/>
        </w:behaviors>
        <w:description w:val=""/>
        <w:guid w:val="{D4AA3538-70C7-45DF-8D88-7D7377B3B9A8}"/>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文泉驿微米黑"/>
    <w:panose1 w:val="00000000000000000000"/>
    <w:charset w:val="86"/>
    <w:family w:val="auto"/>
    <w:pitch w:val="default"/>
    <w:sig w:usb0="00000000" w:usb1="00000000" w:usb2="00000000" w:usb3="00000000" w:csb0="00000000" w:csb1="00000000"/>
  </w:font>
  <w:font w:name="等线">
    <w:altName w:val="文泉驿微米黑"/>
    <w:panose1 w:val="00000000000000000000"/>
    <w:charset w:val="00"/>
    <w:family w:val="auto"/>
    <w:pitch w:val="default"/>
    <w:sig w:usb0="00000000" w:usb1="00000000" w:usb2="00000000" w:usb3="00000000" w:csb0="0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402"/>
    <w:rsid w:val="000273D3"/>
    <w:rsid w:val="000D1E5B"/>
    <w:rsid w:val="00167F4A"/>
    <w:rsid w:val="0028493E"/>
    <w:rsid w:val="00307C3D"/>
    <w:rsid w:val="00326058"/>
    <w:rsid w:val="003746E5"/>
    <w:rsid w:val="003A3E8A"/>
    <w:rsid w:val="0049059F"/>
    <w:rsid w:val="004B18FD"/>
    <w:rsid w:val="006E4402"/>
    <w:rsid w:val="0093375B"/>
    <w:rsid w:val="009354BA"/>
    <w:rsid w:val="00973F8A"/>
    <w:rsid w:val="00985C0A"/>
    <w:rsid w:val="009C179D"/>
    <w:rsid w:val="00A514AA"/>
    <w:rsid w:val="00A73D4C"/>
    <w:rsid w:val="00AC0A3D"/>
    <w:rsid w:val="00B23188"/>
    <w:rsid w:val="00C637A7"/>
    <w:rsid w:val="00E24527"/>
    <w:rsid w:val="00F052D6"/>
    <w:rsid w:val="00F22A11"/>
    <w:rsid w:val="00F31952"/>
    <w:rsid w:val="00F352AD"/>
    <w:rsid w:val="00FB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5467D784E68C4B329FABA529D9DEABA5"/>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B2E6710E4CA24AFB8CF096CD0C7AFCD8"/>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1E179825D1304949B1C2AD5B5F4A396C"/>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659</Words>
  <Characters>3758</Characters>
  <Lines>31</Lines>
  <Paragraphs>8</Paragraphs>
  <TotalTime>0</TotalTime>
  <ScaleCrop>false</ScaleCrop>
  <LinksUpToDate>false</LinksUpToDate>
  <CharactersWithSpaces>4409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2023-10-29T23:55:00Z</dcterms:created>
  <dc:creator>Crystal</dc:creator>
  <dc:description>&lt;config cover="true" show_menu="true" version="1.0.0" doctype="SDKXY"&gt;_x000d_
&lt;/config&gt;</dc:description>
  <cp:lastModifiedBy>qhtf</cp:lastModifiedBy>
  <cp:lastPrinted>2020-08-31T02:00:00Z</cp:lastPrinted>
  <dcterms:modified xsi:type="dcterms:W3CDTF">2024-05-22T11:45:37Z</dcterms:modified>
  <dc:title>地方标准</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ProductBuildVer">
    <vt:lpwstr>2052-11.8.2.10422</vt:lpwstr>
  </property>
  <property fmtid="{D5CDD505-2E9C-101B-9397-08002B2CF9AE}" pid="16" name="ICV">
    <vt:lpwstr>70DE9FC9F5744BC581AC7477CA08B6E7_12</vt:lpwstr>
  </property>
</Properties>
</file>