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rPr>
          <w:rFonts w:ascii="宋体" w:hAnsi="宋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39"/>
          <w:pgMar w:top="567" w:right="851" w:bottom="1361" w:left="1418" w:header="0" w:footer="0" w:gutter="0"/>
          <w:pgNumType w:start="1"/>
          <w:cols w:space="720" w:num="1"/>
          <w:titlePg/>
          <w:docGrid w:type="lines" w:linePitch="312" w:charSpace="0"/>
        </w:sectPr>
      </w:pPr>
      <w:bookmarkStart w:id="0" w:name="SectionMark0"/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8890000</wp:posOffset>
                </wp:positionV>
                <wp:extent cx="612140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80000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00pt;height:0pt;width:482pt;z-index:251668480;mso-width-relative:page;mso-height-relative:page;" filled="f" stroked="t" coordsize="21600,21600" o:gfxdata="UEsFBgAAAAAAAAAAAAAAAAAAAAAAAFBLAwQKAAAAAACHTuJAAAAAAAAAAAAAAAAABAAAAGRycy9Q&#10;SwMEFAAAAAgAh07iQMsS+VjSAAAACgEAAA8AAABkcnMvZG93bnJldi54bWxNT9FKw0AQfBf6D8cK&#10;voi9q8TSxlwKFQRfrYXSt21umwRzeyF3Terfuz6Ivs3ODLMzxebqOzXSENvAFhZzA4q4Cq7l2sL+&#10;4/VhBSomZIddYLLwRRE25eymwNyFid9p3KVaSQjHHC00KfW51rFqyGOch55YtHMYPCY5h1q7AScJ&#10;951+NGapPbYsHxrs6aWh6nN38Ramw5uujut745/GfdJnk22ND9be3S7MM6hE1/Rnhp/6Uh1K6XQK&#10;F3ZRdRZkSBI2M0aQ6OtlJuD0S+my0P8nlN9QSwMEFAAAAAgAh07iQIv8e5rfAQAAnAMAAA4AAABk&#10;cnMvZTJvRG9jLnhtbK1TS44TMRDdI3EHy3vSnYCGqJXOLCYMGwSRgANUbHe3Jf9UdtLJJbgAEjtY&#10;sWTPbRiOQdnJZJhhgxBZVGxX+VW959eLy701bKcwau9aPp3UnCknvNSub/n7d9dP5pzFBE6C8U61&#10;/KAiv1w+frQYQ6NmfvBGKmQE4mIzhpYPKYWmqqIYlIU48UE5SnYeLSTaYl9JhJHQralmdX1RjR5l&#10;QC9UjHS6Oib5suB3nRLpTddFlZhpOc2WSsQSNzlWywU0PUIYtDiNAf8whQXtqOkZagUJ2Bb1H1BW&#10;C/TRd2kivK1812mhCgdiM60fsHk7QFCFC4kTw1mm+P9gxevdGpmW9HZPOXNg6Y1uPn778eHzz++f&#10;KN58/cIoQzKNITZUfeXWeNrFsMbMed+hzf/Ehu2LtIeztGqfmKDDi+ls+qymFxC3ueruYsCYXipv&#10;WV603GiXWUMDu1cxUTMqvS3Jx8axkeadPS94QK7pDCSCtoF4RNeXy9EbLa+1MflKxH5zZZDtgHww&#10;r+k3z5wI+F5Z7rKCOBzrSurokEGBfOEkS4dAAjmyMs8zWCU5M4qcn1cECE0Cbf6mklobRxNkWY9C&#10;5tXGywO9xzag7geSIuFWlUFzkixQRj7ZNXvs930Bu/uol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yxL5WNIAAAAKAQAADwAAAAAAAAABACAAAAA4AAAAZHJzL2Rvd25yZXYueG1sUEsBAhQAFAAA&#10;AAgAh07iQIv8e5rfAQAAnAMAAA4AAAAAAAAAAQAgAAAANwEAAGRycy9lMm9Eb2MueG1sUEsFBgAA&#10;AAAGAAYAWQEAAIgFAAAAAA==&#10;">
                <v:fill on="f" focussize="0,0"/>
                <v:stroke weight="1pt" color="#800008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80000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79pt;height:0pt;width:482pt;z-index:251667456;mso-width-relative:page;mso-height-relative:page;" filled="f" stroked="t" coordsize="21600,21600" o:gfxdata="UEsFBgAAAAAAAAAAAAAAAAAAAAAAAFBLAwQKAAAAAACHTuJAAAAAAAAAAAAAAAAABAAAAGRycy9Q&#10;SwMEFAAAAAgAh07iQE/Eor7UAAAACAEAAA8AAABkcnMvZG93bnJldi54bWxNj0FLw0AQhe9C/8My&#10;ghexu9W2tDGbQgXBq7VQeptmp0kwOxuy26T+e0cQ9PZm3vDme/nm6ls1UB+bwBZmUwOKuAyu4crC&#10;/uP1YQUqJmSHbWCy8EURNsXkJsfMhZHfadilSkkIxwwt1Cl1mdaxrMljnIaOWLxz6D0mGftKux5H&#10;CfetfjRmqT02LB9q7OilpvJzd/EWxsObLo/re+MXwz7ps5lvjQ/W3t3OzDOoRNf0dww/+IIOhTCd&#10;woVdVK0FKZIsPC1WIsReL+ciTr8bXeT6f4HiG1BLAwQUAAAACACHTuJAE9jcod8BAACcAwAADgAA&#10;AGRycy9lMm9Eb2MueG1srVNLjhMxEN0jcQfLe9KdaDRErXRmMWHYIIgEHKBiu7st+aeyk04uwQWQ&#10;2MGKJXtuw3AMyk4mAzMbhMiiYrvKr+o9v15c7a1hO4VRe9fy6aTmTDnhpXZ9y9+/u3k25ywmcBKM&#10;d6rlBxX51fLpk8UYGjXzgzdSISMQF5sxtHxIKTRVFcWgLMSJD8pRsvNoIdEW+0oijIRuTTWr68tq&#10;9CgDeqFipNPVMcmXBb/rlEhvui6qxEzLabZUIpa4ybFaLqDpEcKgxWkM+IcpLGhHTc9QK0jAtqgf&#10;QVkt0EffpYnwtvJdp4UqHIjNtH7A5u0AQRUuJE4MZ5ni/4MVr3drZFrS211w5sDSG91+/Pbjw+ef&#10;3z9RvP36hVGGZBpDbKj62q3xtIthjZnzvkOb/4kN2xdpD2dp1T4xQYeX09n0oqYXEHe56v5iwJhe&#10;Km9ZXrTcaJdZQwO7VzFRMyq9K8nHxrGR5p09L3hArukMJIK2gXhE15fL0Rstb7Qx+UrEfnNtkO2A&#10;fDCv6TfPnAj4j7LcZQVxONaV1NEhgwL5wkmWDoEEcmRlnmewSnJmFDk/rwgQmgTa/E0ltTaOJsiy&#10;HoXMq42XB3qPbUDdDyRFwq0qg+YkWaCMfLJr9tjv+wJ2/1Et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BPxKK+1AAAAAgBAAAPAAAAAAAAAAEAIAAAADgAAABkcnMvZG93bnJldi54bWxQSwECFAAU&#10;AAAACACHTuJAE9jcod8BAACcAwAADgAAAAAAAAABACAAAAA5AQAAZHJzL2Uyb0RvYy54bWxQSwUG&#10;AAAAAAYABgBZAQAAigUAAAAA&#10;">
                <v:fill on="f" focussize="0,0"/>
                <v:stroke weight="1pt" color="#800008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9108440</wp:posOffset>
                </wp:positionV>
                <wp:extent cx="6120130" cy="363220"/>
                <wp:effectExtent l="0" t="0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9"/>
                            </w:pPr>
                            <w:r>
                              <w:rPr>
                                <w:rFonts w:hint="eastAsia"/>
                              </w:rPr>
                              <w:t>河北省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市场监督管理</w:t>
                            </w:r>
                            <w:r>
                              <w:rPr>
                                <w:rFonts w:hint="eastAsia"/>
                              </w:rPr>
                              <w:t>局</w:t>
                            </w:r>
                            <w:r>
                              <w:rPr>
                                <w:rStyle w:val="20"/>
                                <w:rFonts w:hint="eastAsia"/>
                              </w:rPr>
                              <w:t xml:space="preserve"> 发布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17.2pt;height:28.6pt;width:481.9pt;mso-position-horizontal-relative:margin;mso-position-vertical-relative:margin;z-index:251666432;mso-width-relative:page;mso-height-relative:page;" fillcolor="#FFFFFF" filled="t" stroked="f" coordsize="21600,21600" o:gfxdata="UEsFBgAAAAAAAAAAAAAAAAAAAAAAAFBLAwQKAAAAAACHTuJAAAAAAAAAAAAAAAAABAAAAGRycy9Q&#10;SwMEFAAAAAgAh07iQIlWBuvYAAAACgEAAA8AAABkcnMvZG93bnJldi54bWxNj8FOwzAQRO9I/IO1&#10;SFwQddJGEQ1xKtHCDQ4tVc9uvCQR8Tqynab9e7YnetyZ0ey8cnW2vTihD50jBeksAYFUO9NRo2D/&#10;/fH8AiJETUb3jlDBBQOsqvu7UhfGTbTF0y42gksoFFpBG+NQSBnqFq0OMzcgsffjvNWRT99I4/XE&#10;5baX8yTJpdUd8YdWD7husf7djVZBvvHjtKX102b//qm/hmZ+eLsclHp8SJNXEBHP8T8M1/k8HSre&#10;dHQjmSB6BQwSWc0WWQaC/WW+YJTjVVqmOciqlLcI1R9QSwMEFAAAAAgAh07iQP01mba2AQAAVQMA&#10;AA4AAABkcnMvZTJvRG9jLnhtbK1TTa7TMBDeI3EHy3vqNpUqFDV9EjwVISFAenAAx7ETS/7T2G3S&#10;C8ANWLFhz7l6DsZu0/eAHaILdzwz/vx93zjbu8kacpQQtXcNXS2WlEgnfKdd39DPn/YvXlISE3cd&#10;N97Jhp5kpHe758+2Y6hl5QdvOgkEQVysx9DQIaVQMxbFIC2PCx+kw6LyYHnCLfSsAz4iujWsWi43&#10;bPTQBfBCxojZ+0uR7gq+UlKkD0pFmYhpKHJLZYWytnlluy2ve+Bh0OJKg/8DC8u1w0tvUPc8cXIA&#10;/ReU1QJ89CothLfMK6WFLBpQzWr5h5qHgQdZtKA5Mdxsiv8PVrw/fgSiO5xdRYnjFmd0/vb1/P3n&#10;+ccXgjk0aAyxxr6HgJ1peuWnhiY4yLkUMZ+lTwps/kdRBFvQ7dPNYTklIjC5WaHMNZYE1tabdVWV&#10;EbDH0wFieiO9JTloKOAEi7H8+C4mJIOtc0u+LHqju702pmygb18bIEeO096XXyaJR35rMy43O5+P&#10;Xco5w7LMi5Ycpamdrtpb351Qunnr0Pj8iOYA5qCdg0MA3Q/IezaooOLsCovrO8uP4+m+3P34Nex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IlWBuvYAAAACgEAAA8AAAAAAAAAAQAgAAAAOAAAAGRy&#10;cy9kb3ducmV2LnhtbFBLAQIUABQAAAAIAIdO4kD9NZm2tgEAAFUDAAAOAAAAAAAAAAEAIAAAAD0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9"/>
                      </w:pPr>
                      <w:r>
                        <w:rPr>
                          <w:rFonts w:hint="eastAsia"/>
                        </w:rPr>
                        <w:t>河北省</w:t>
                      </w:r>
                      <w:r>
                        <w:rPr>
                          <w:rFonts w:hint="eastAsia"/>
                          <w:lang w:eastAsia="zh-CN"/>
                        </w:rPr>
                        <w:t>市场监督管理</w:t>
                      </w:r>
                      <w:r>
                        <w:rPr>
                          <w:rFonts w:hint="eastAsia"/>
                        </w:rPr>
                        <w:t>局</w:t>
                      </w:r>
                      <w:r>
                        <w:rPr>
                          <w:rStyle w:val="20"/>
                          <w:rFonts w:hint="eastAsia"/>
                        </w:rPr>
                        <w:t xml:space="preserve"> 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4100830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1143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1"/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/>
                              </w:rPr>
                            </w:pPr>
                            <w:r>
                              <w:rPr>
                                <w:rFonts w:hint="eastAsia" w:ascii="黑体"/>
                              </w:rPr>
                              <w:t>××××-××-××实施</w:t>
                            </w:r>
                          </w:p>
                          <w:p/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2.9pt;margin-top:674.3pt;height:24.6pt;width:159pt;mso-position-horizontal-relative:margin;mso-position-vertical-relative:margin;z-index:251665408;mso-width-relative:page;mso-height-relative:page;" fillcolor="#FFFFFF" filled="t" stroked="f" coordsize="21600,21600" o:gfxdata="UEsFBgAAAAAAAAAAAAAAAAAAAAAAAFBLAwQKAAAAAACHTuJAAAAAAAAAAAAAAAAABAAAAGRycy9Q&#10;SwMEFAAAAAgAh07iQEL9qtfaAAAADQEAAA8AAABkcnMvZG93bnJldi54bWxNj81OwzAQhO9IvIO1&#10;SFwQdfpDSEOcSrRwg0NL1bMbL0lEvI5sp2nfnu0Jjjszmv2mWJ1tJ07oQ+tIwXSSgECqnGmpVrD/&#10;en/MQISoyejOESq4YIBVeXtT6Ny4kbZ42sVacAmFXCtoYuxzKUPVoNVh4nok9r6dtzry6WtpvB65&#10;3HZyliSptLol/tDoHtcNVj+7wSpIN34Yt7R+2OzfPvRnX88Or5eDUvd30+QFRMRz/AvDFZ/RoWSm&#10;oxvIBNFxx+KJ0SMb80WWguDIMp2zdLxKy+cMZFnI/yvKX1BLAwQUAAAACACHTuJAtRXXfbcBAABV&#10;AwAADgAAAGRycy9lMm9Eb2MueG1srVNLjhMxEN0jzR0s74k7GTSCVjojwSgjpBEgDRzA7ba7Lfmn&#10;spPuXABuwIoNe86Vc1B20hk+O0QWTrmq/PzeK/f6drKG7CVE7V1Dl4uKEumE77TrG/rp4/b5S0pi&#10;4q7jxjvZ0IOM9HZz9Ww9hlqu/OBNJ4EgiIv1GBo6pBRqxqIYpOVx4YN0WFQeLE+4hZ51wEdEt4at&#10;quqGjR66AF7IGDF7dyrSTcFXSor0XqkoEzENRW6prFDWNq9ss+Z1DzwMWpxp8H9gYbl2eOkF6o4n&#10;Tnag/4KyWoCPXqWF8JZ5pbSQRQOqWVZ/qHkceJBFC5oTw8Wm+P9gxbv9ByC6w9ktKXHc4oyOX78c&#10;v/04fv9MMIcGjSHW2PcYsDNNr/3U0AQ7OZci5rP0SYHN/yiKYAu6fbg4LKdEBCZR5KvrCksCa9fL&#10;1YtVGQF7Oh0gpnvpLclBQwEnWIzl+4eYkAy2zi35suiN7rbamLKBvn1jgOw5TntbfpkkHvmtzbjc&#10;7Hw+dirnDMsyT1pylKZ2OmtvfXdA6eatQ+PzI5oDmIN2DnYBdD8g79mggoqzKyzO7yw/jl/35e6n&#10;r2Hz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EL9qtfaAAAADQEAAA8AAAAAAAAAAQAgAAAAOAAA&#10;AGRycy9kb3ducmV2LnhtbFBLAQIUABQAAAAIAIdO4kC1Fdd9twEAAFUDAAAOAAAAAAAAAAEAIAAA&#10;AD8BAABkcnMvZTJvRG9jLnhtbFBLBQYAAAAABgAGAFkBAABo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1"/>
                        <w:numPr>
                          <w:ilvl w:val="0"/>
                          <w:numId w:val="0"/>
                        </w:numPr>
                        <w:rPr>
                          <w:rFonts w:hint="eastAsia" w:ascii="黑体"/>
                        </w:rPr>
                      </w:pPr>
                      <w:r>
                        <w:rPr>
                          <w:rFonts w:hint="eastAsia" w:ascii="黑体"/>
                        </w:rPr>
                        <w:t>××××-××-××实施</w:t>
                      </w:r>
                    </w:p>
                    <w:p/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1143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××××-××-××发布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674.3pt;height:24.6pt;width:159pt;mso-position-horizontal-relative:margin;mso-position-vertical-relative:margin;z-index:251664384;mso-width-relative:page;mso-height-relative:page;" fillcolor="#FFFFFF" filled="t" stroked="f" coordsize="21600,21600" o:gfxdata="UEsFBgAAAAAAAAAAAAAAAAAAAAAAAFBLAwQKAAAAAACHTuJAAAAAAAAAAAAAAAAABAAAAGRycy9Q&#10;SwMEFAAAAAgAh07iQF82yojYAAAACgEAAA8AAABkcnMvZG93bnJldi54bWxNj8FOwzAQRO9I/IO1&#10;SFwQddKiEEKcSrRwg0NL1fM2NklEvI5sp2n/nu2JHvfNaHamXJ5sL47Gh86RgnSWgDBUO91Ro2D3&#10;/fGYgwgRSWPvyCg4mwDL6vamxEK7iTbmuI2N4BAKBSpoYxwKKUPdGoth5gZDrP04bzHy6RupPU4c&#10;bns5T5JMWuyIP7Q4mFVr6t/taBVkaz9OG1o9rHfvn/g1NPP923mv1P1dmryCiOYU/81wqc/VoeJO&#10;BzeSDqJXwEMi08VTnoFgfZHmjA4X9PKcg6xKeT2h+gNQSwMEFAAAAAgAh07iQBpmkUu2AQAAVQMA&#10;AA4AAABkcnMvZTJvRG9jLnhtbK1TzY7TMBC+I+07WL5Tp120gqjpSrDqCmkFSAsP4Dh2Ysl/GrtN&#10;+gLwBpy4cOe5+hyM3abLzw2RgzOeGX8z3zf2+nayhuwlRO1dQ5eLihLphO+06xv66eP2+UtKYuKu&#10;48Y72dCDjPR2c/VsPYZarvzgTSeBIIiL9RgaOqQUasaiGKTlceGDdBhUHixPuIWedcBHRLeGrarq&#10;ho0eugBeyBjRe3cK0k3BV0qK9F6pKBMxDcXeUlmhrG1e2WbN6x54GLQ4t8H/oQvLtcOiF6g7njjZ&#10;gf4LymoBPnqVFsJb5pXSQhYOyGZZ/cHmceBBFi4oTgwXmeL/gxXv9h+A6A5nh/I4bnFGx69fjt9+&#10;HL9/JuhDgcYQa8x7DJiZptd+amiCnZxDEf2Z+qTA5j+SIpiCcIeLwnJKRKATSb66rjAkMHa9XL1Y&#10;lQrs6XSAmO6ltyQbDQWcYBGW7x9iwmYwdU7JxaI3uttqY8oG+vaNAbLnOO1t+XKTeOS3NONysvP5&#10;2CmcPSzTPHHJVpra6cy99d0BqZu3DoXPl2g2YDba2dgF0P2Afc8CFVScXenifM/y5fh1X2o/vYbN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F82yojYAAAACgEAAA8AAAAAAAAAAQAgAAAAOAAAAGRy&#10;cy9kb3ducmV2LnhtbFBLAQIUABQAAAAIAIdO4kAaZpFLtgEAAFUDAAAOAAAAAAAAAAEAIAAAAD0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××××-××-××发布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bookmarkStart w:id="4" w:name="_GoBack"/>
      <w:bookmarkEnd w:id="4"/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3635375</wp:posOffset>
                </wp:positionV>
                <wp:extent cx="5969000" cy="4681220"/>
                <wp:effectExtent l="0" t="0" r="1270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969000" cy="468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7"/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  <w:lang w:val="en-US" w:eastAsia="zh-CN"/>
                              </w:rPr>
                              <w:t>温室鱼菜共生生态循环种养技术规范</w:t>
                            </w:r>
                          </w:p>
                          <w:p>
                            <w:pPr>
                              <w:pStyle w:val="17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（征求意见</w:t>
                            </w:r>
                            <w:r>
                              <w:rPr>
                                <w:rFonts w:hint="eastAsia"/>
                              </w:rPr>
                              <w:t>稿）</w:t>
                            </w:r>
                          </w:p>
                          <w:p>
                            <w:pPr>
                              <w:pStyle w:val="23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pStyle w:val="23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pStyle w:val="24"/>
                            </w:pP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286.25pt;height:368.6pt;width:470pt;mso-position-horizontal-relative:margin;mso-position-vertical-relative:margin;z-index:251663360;mso-width-relative:page;mso-height-relative:page;" fillcolor="#FFFFFF" filled="t" stroked="f" coordsize="21600,21600" o:gfxdata="UEsFBgAAAAAAAAAAAAAAAAAAAAAAAFBLAwQKAAAAAACHTuJAAAAAAAAAAAAAAAAABAAAAGRycy9Q&#10;SwMEFAAAAAgAh07iQFRXn3HYAAAACQEAAA8AAABkcnMvZG93bnJldi54bWxNj8FOwzAQRO9I/IO1&#10;SFwQtRtoS0OcSrRwg0NL1fM2NklEvI5sp2n/nuUEx50Zzb4pVmfXiZMNsfWkYTpRICxV3rRUa9h/&#10;vt0/gYgJyWDnyWq42Air8vqqwNz4kbb2tEu14BKKOWpoUupzKWPVWIdx4ntL7H354DDxGWppAo5c&#10;7jqZKTWXDlviDw32dt3Y6ns3OA3zTRjGLa3vNvvXd/zo6+zwcjlofXszVc8gkj2nvzD84jM6lMx0&#10;9AOZKDoNPCRpmC2yGQi2l4+KlSPnHtRyAbIs5P8F5Q9QSwMEFAAAAAgAh07iQOVMN+G5AQAAVAMA&#10;AA4AAABkcnMvZTJvRG9jLnhtbK1TS27bMBDdF8gdCO5jyUZrxILlAGngokDRFkh7AIoiJQL8YUhb&#10;8gXaG3TVTfc9l8/RIW05bbML4gU9nHl8nPeGWt+ORpO9gKCcrel8VlIiLHetsl1Nv37ZXt9QEiKz&#10;LdPOipoeRKC3m6tX68FXYuF6p1sBBElsqAZf0z5GXxVF4L0wLMycFxaL0oFhEbfQFS2wAdmNLhZl&#10;uSwGB60Hx0UImL0/Fekm80spePwkZRCR6JpibzGvkNcmrcVmzaoOmO8VP7fBntGFYcripReqexYZ&#10;2YF6QmUUBxecjDPuTOGkVFxkDahmXv6n5qFnXmQtaE7wF5vCy9Hyj/vPQFRb0xUllhkc0fHH9+PP&#10;38df38gq2TP4UCHqwSMujndurGmEnZhKAfNJ+CjBpH+URBCCXh8u/ooxEo7JN6vlqiyxxLH2enkz&#10;XyzyBIrH4x5CfCecISmoKeAAs69s/yFE7AahEyTdFpxW7VZpnTfQNW81kD3DYW/zL3WJR/6BaZvA&#10;1qVjp3LKFEnnSUyK4tiMZ/GNaw+oXb+36Ht6Q1MAU9BMwc6D6nrse3Ios+LochfnZ5bext/7fPfj&#10;x7D5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FRXn3HYAAAACQEAAA8AAAAAAAAAAQAgAAAAOAAA&#10;AGRycy9kb3ducmV2LnhtbFBLAQIUABQAAAAIAIdO4kDlTDfhuQEAAFQDAAAOAAAAAAAAAAEAIAAA&#10;AD0BAABkcnMvZTJvRG9jLnhtbFBLBQYAAAAABgAGAFkBAABo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7"/>
                        <w:rPr>
                          <w:rFonts w:hint="eastAsia" w:ascii="黑体" w:hAnsi="黑体" w:eastAsia="黑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sz w:val="52"/>
                          <w:szCs w:val="52"/>
                          <w:lang w:val="en-US" w:eastAsia="zh-CN"/>
                        </w:rPr>
                        <w:t>温室鱼菜共生生态循环种养技术规范</w:t>
                      </w:r>
                    </w:p>
                    <w:p>
                      <w:pPr>
                        <w:pStyle w:val="17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（征求意见</w:t>
                      </w:r>
                      <w:r>
                        <w:rPr>
                          <w:rFonts w:hint="eastAsia"/>
                        </w:rPr>
                        <w:t>稿）</w:t>
                      </w:r>
                    </w:p>
                    <w:p>
                      <w:pPr>
                        <w:pStyle w:val="23"/>
                        <w:rPr>
                          <w:rFonts w:hint="eastAsia"/>
                        </w:rPr>
                      </w:pPr>
                    </w:p>
                    <w:p>
                      <w:pPr>
                        <w:pStyle w:val="23"/>
                        <w:rPr>
                          <w:rFonts w:hint="eastAsia"/>
                        </w:rPr>
                      </w:pPr>
                    </w:p>
                    <w:p>
                      <w:pPr>
                        <w:pStyle w:val="24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0" r="7620" b="158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5"/>
                              <w:wordWrap w:val="0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t>DB</w:t>
                            </w:r>
                            <w:r>
                              <w:rPr>
                                <w:rFonts w:eastAsia="黑体"/>
                              </w:rPr>
                              <w:t>13</w:t>
                            </w:r>
                            <w:r>
                              <w:t>/T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>××××-</w:t>
                            </w: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10.35pt;height:67.75pt;width:456.9pt;mso-position-horizontal-relative:margin;mso-position-vertical-relative:margin;z-index:251662336;mso-width-relative:page;mso-height-relative:page;" fillcolor="#FFFFFF" filled="t" stroked="f" coordsize="21600,21600" o:gfxdata="UEsFBgAAAAAAAAAAAAAAAAAAAAAAAFBLAwQKAAAAAACHTuJAAAAAAAAAAAAAAAAABAAAAGRycy9Q&#10;SwMEFAAAAAgAh07iQAUBpPvYAAAACAEAAA8AAABkcnMvZG93bnJldi54bWxNj8FOwzAQRO9I/IO1&#10;SFwQteOK0IZsKtHCDQ4tVc9ubJKIeB3ZTtP+PeZEj6tZzbxXrs62ZyfjQ+cIIZsJYIZqpztqEPZf&#10;748LYCEq0qp3ZBAuJsCqur0pVaHdRFtz2sWGpRIKhUJoYxwKzkPdGqvCzA2GUvbtvFUxnb7h2qsp&#10;ldueSyFyblVHaaFVg1m3pv7ZjRYh3/hx2tL6YbN/+1CfQyMPr5cD4v1dJl6ARXOO/8/wh5/QoUpM&#10;RzeSDqxHSCIRQUrxDCzFy2yeTI4I86dcAq9Kfi1Q/QJQSwMEFAAAAAgAh07iQFY8kw+0AQAAUwMA&#10;AA4AAABkcnMvZTJvRG9jLnhtbK1Ty67TMBDdI/EPlvfUuYVbVVHTK8FVERICpAsf4Dh2Yskvjd0m&#10;/QH4A1Zs2PNd/Q7GbtPLY4fIwhnPnBzPOeNs7iZryEFC1N419GZRUSKd8J12fUM/fdw9W1MSE3cd&#10;N97Jhh5lpHfbp082Y6jl0g/edBIIkrhYj6GhQ0qhZiyKQVoeFz5Ih0XlwfKEW+hZB3xEdmvYsqpW&#10;bPTQBfBCxojZ+3ORbgu/UlKk90pFmYhpKPaWygplbfPKthte98DDoMWlDf4PXViuHR56pbrniZM9&#10;6L+orBbgo1dpIbxlXiktZNGAam6qP9Q8DDzIogXNieFqU/x/tOLd4QMQ3TUUB+W4xRGdvn45fftx&#10;+v6ZrLM9Y4g1oh4C4tL00k8NTbCXcyliPgufFNj8RkkEIej18eqvnBIRmLxdV8vVcywJrK1X1Yvl&#10;baZhj18HiOm19JbkoKGA8yu28sPbmM7QGZIPi97obqeNKRvo21cGyIHjrHflubD/BjMug53Pn50Z&#10;c4ZlmWctOUpTO120t747onTzxqHt+QrNAcxBOwf7ALofsO/ZoMKKkysaL7csX41f9+Xsx39h+x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AFAaT72AAAAAgBAAAPAAAAAAAAAAEAIAAAADgAAABkcnMv&#10;ZG93bnJldi54bWxQSwECFAAUAAAACACHTuJAVjyTD7QBAABTAwAADgAAAAAAAAABACAAAAA9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5"/>
                        <w:wordWrap w:val="0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t>DB</w:t>
                      </w:r>
                      <w:r>
                        <w:rPr>
                          <w:rFonts w:eastAsia="黑体"/>
                        </w:rPr>
                        <w:t>13</w:t>
                      </w:r>
                      <w:r>
                        <w:t>/T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 w:ascii="宋体" w:hAnsi="宋体"/>
                        </w:rPr>
                        <w:t>××××-</w:t>
                      </w:r>
                      <w:r>
                        <w:rPr>
                          <w:rFonts w:hint="eastAsia"/>
                        </w:rPr>
                        <w:t>202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2743200</wp:posOffset>
                </wp:positionH>
                <wp:positionV relativeFrom="margin">
                  <wp:posOffset>0</wp:posOffset>
                </wp:positionV>
                <wp:extent cx="3429000" cy="792480"/>
                <wp:effectExtent l="0" t="0" r="0" b="762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42900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6"/>
                            </w:pPr>
                            <w:r>
                              <w:t>DB</w:t>
                            </w:r>
                            <w:r>
                              <w:rPr>
                                <w:rFonts w:hint="eastAsia"/>
                              </w:rPr>
                              <w:t>13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6pt;margin-top:0pt;height:62.4pt;width:270pt;mso-position-horizontal-relative:margin;mso-position-vertical-relative:margin;z-index:251661312;mso-width-relative:page;mso-height-relative:page;" fillcolor="#FFFFFF" filled="t" stroked="f" coordsize="21600,21600" o:gfxdata="UEsFBgAAAAAAAAAAAAAAAAAAAAAAAFBLAwQKAAAAAACHTuJAAAAAAAAAAAAAAAAABAAAAGRycy9Q&#10;SwMEFAAAAAgAh07iQF326FHXAAAACAEAAA8AAABkcnMvZG93bnJldi54bWxNj0FPwkAQhe8m/ofN&#10;mHgxsqUSxNotiaA3PYCE89Ad28bubNPdUvj3Die5TPLyXt58L1+eXKuO1IfGs4HpJAFFXHrbcGVg&#10;9/3xuAAVIrLF1jMZOFOAZXF7k2Nm/cgbOm5jpaSEQ4YG6hi7TOtQ1uQwTHxHLN6P7x1GkX2lbY+j&#10;lLtWp0ky1w4blg81drSqqfzdDs7AfN0P44ZXD+vd+yd+dVW6fzvvjbm/myavoCKd4n8YLviCDoUw&#10;HfzANqjWwOwplS3RgFyxX54v8iC5dLYAXeT6ekDxB1BLAwQUAAAACACHTuJADXU5nrcBAABTAwAA&#10;DgAAAGRycy9lMm9Eb2MueG1srVNLjhMxEN0jcQfLe+KeMCIzrXRGglEQEgKkgQO43Xa3Jf9UdtKd&#10;C8ANWLFhz7lyDspOOsNnh8jCKVc9P9d75V7fTdaQvYSovWvo1aKiRDrhO+36hn76uH12Q0lM3HXc&#10;eCcbepCR3m2ePlmPoZZLP3jTSSBI4mI9hoYOKYWasSgGaXlc+CAdFpUHyxNuoWcd8BHZrWHLqnrB&#10;Rg9dAC9kjJi9PxXppvArJUV6r1SUiZiGYm+prFDWNq9ss+Z1DzwMWpzb4P/QheXa4aUXqnueONmB&#10;/ovKagE+epUWwlvmldJCFg2o5qr6Q83DwIMsWtCcGC42xf9HK97tPwDRXUNXlDhucUTHr1+O334c&#10;v38mq2zPGGKNqIeAuDS99FNDE+zkXIqYz8InBTb/oySCEPT6cPFXTokITD6/Xt5WFZYE1la3y+ub&#10;MgD2eDpATK+ltyQHDQWcX7GV79/GhM0gdIbky6I3uttqY8oG+vaVAbLnOOtt+eUm8chvMOMy2Pl8&#10;7FTOGZZlnrTkKE3tdNbe+u6A0s0bh7bnJzQHMAftHOwC6H7AvmeDCitOrnRxfmX5afy6L3c/fgub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F326FHXAAAACAEAAA8AAAAAAAAAAQAgAAAAOAAAAGRy&#10;cy9kb3ducmV2LnhtbFBLAQIUABQAAAAIAIdO4kANdTmetwEAAFMDAAAOAAAAAAAAAAEAIAAAADw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6"/>
                      </w:pPr>
                      <w:r>
                        <w:t>DB</w:t>
                      </w:r>
                      <w:r>
                        <w:rPr>
                          <w:rFonts w:hint="eastAsia"/>
                        </w:rPr>
                        <w:t>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0" r="13970" b="889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7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9.6pt;height:30.8pt;width:481.9pt;mso-position-horizontal-relative:margin;mso-position-vertical-relative:margin;z-index:251660288;mso-width-relative:page;mso-height-relative:page;" fillcolor="#FFFFFF" filled="t" stroked="f" coordsize="21600,21600" o:gfxdata="UEsFBgAAAAAAAAAAAAAAAAAAAAAAAFBLAwQKAAAAAACHTuJAAAAAAAAAAAAAAAAABAAAAGRycy9Q&#10;SwMEFAAAAAgAh07iQEYORwXXAAAACAEAAA8AAABkcnMvZG93bnJldi54bWxNj8FOwzAMhu9IvENk&#10;JC6IJQui2krTSWxwg8PGtHPWmLaicaomXbe3x5zY0f6t399XrM6+EyccYhvIwHymQCBVwbVUG9h/&#10;vT8uQMRkydkuEBq4YIRVeXtT2NyFibZ42qVacAnF3BpoUupzKWPVoLdxFnokzr7D4G3icailG+zE&#10;5b6TWqlMetsSf2hsj+sGq5/d6A1km2GctrR+2OzfPuxnX+vD6+VgzP3dXL2ASHhO/8fwh8/oUDLT&#10;MYzkougMsEji7fNSg+B4mT2xydGA1moBsizktUD5C1BLAwQUAAAACACHTuJA9yJa5rUBAABTAwAA&#10;DgAAAGRycy9lMm9Eb2MueG1srVNLjhMxEN0jcQfLe+L0jNSCVjojwSgICQHSwAHcbrvbkn8qO+nO&#10;BeAGrNiw51w5B2UnneGzQ2ThlKuen+u9cm/uZmvIQULU3rW0Wq0pkU74XruhpZ8+7p49pyQm7npu&#10;vJMtPcpI77ZPn2ym0MgbP3rTSyBI4mIzhZaOKYWGsShGaXlc+SAdFpUHyxNuYWA98AnZrWE363XN&#10;Jg99AC9kjJi9PxfptvArJUV6r1SUiZiWYm+prFDWLq9su+HNADyMWlza4P/QheXa4aVXqnueONmD&#10;/ovKagE+epVWwlvmldJCFg2oplr/oeZh5EEWLWhODFeb4v+jFe8OH4DovqU1JY5bHNHp65fTtx+n&#10;759Jne2ZQmwQ9RAQl+aXfm5pgr1cShHzWfiswOZ/lEQQgl4fr/7KORGBybpCkbdYEli7fVFVdRkA&#10;ezwdIKbX0luSg5YCzq/Yyg9vY8JmELpA8mXRG93vtDFlA0P3ygA5cJz1rvxyk3jkN5hxGex8PnYu&#10;5wzLMs9acpTmbr5o73x/ROnmjUPb8xNaAliCbgn2AfQwYt+LQYUVJ1e6uLyy/DR+3Ze7H7+F7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BGDkcF1wAAAAgBAAAPAAAAAAAAAAEAIAAAADgAAABkcnMv&#10;ZG93bnJldi54bWxQSwECFAAUAAAACACHTuJA9yJa5rUBAABTAwAADgAAAAAAAAABACAAAAA8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7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12700" b="889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8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B51</w:t>
                            </w:r>
                          </w:p>
                          <w:p>
                            <w:pPr>
                              <w:pStyle w:val="28"/>
                            </w:pPr>
                          </w:p>
                          <w:p>
                            <w:pPr>
                              <w:pStyle w:val="28"/>
                            </w:pPr>
                          </w:p>
                          <w:p/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color="#FFFFFF" filled="t" stroked="f" coordsize="21600,21600" o:gfxdata="UEsFBgAAAAAAAAAAAAAAAAAAAAAAAFBLAwQKAAAAAACHTuJAAAAAAAAAAAAAAAAABAAAAGRycy9Q&#10;SwMEFAAAAAgAh07iQMXsy+DTAAAABQEAAA8AAABkcnMvZG93bnJldi54bWxNj0FLw0AQhe+C/2EZ&#10;wYvY3VYJErMp2OpND62l52l2TILZ2ZDdNO2/d/RiLwOP93jzvWJ58p060hDbwBbmMwOKuAqu5drC&#10;7vPt/glUTMgOu8Bk4UwRluX1VYG5CxNv6LhNtZISjjlaaFLqc61j1ZDHOAs9sXhfYfCYRA61dgNO&#10;Uu47vTAm0x5blg8N9rRqqPrejt5Cth7GacOru/Xu9R0/+nqxfznvrb29mZtnUIlO6T8Mv/iCDqUw&#10;HcLILqrOggxJf1e8R2NEHiRkHjLQZaEv6csfUEsDBBQAAAAIAIdO4kDi3XWotgEAAFMDAAAOAAAA&#10;ZHJzL2Uyb0RvYy54bWytU02u0zAQ3iNxB8t76ryKlqeo6ZPgqQgJAdKDAziOnVjyn8Zuk14AbsCK&#10;DXvO1XMwdps+fnYIL5zxzOfxfN9MNneTNeQgIWrvGnqzqCiRTvhOu76hnz7unt1SEhN3HTfeyYYe&#10;ZaR326dPNmOo5dIP3nQSCCZxsR5DQ4eUQs1YFIO0PC58kA6DyoPlCY/Qsw74iNmtYcuqWrPRQxfA&#10;Cxkjeu/PQbot+ZWSIr1XKspETEOxtlR2KHubd7bd8LoHHgYtLmXwf6jCcu3w0Wuqe5442YP+K5XV&#10;Anz0Ki2Et8wrpYUsHJDNTfUHm4eBB1m4oDgxXGWK/y+teHf4AER3DV1R4rjFFp2+fjl9+3H6/pms&#10;sjxjiDWiHgLi0vTSTw1NsJdzKKI/E58U2PxFSgQhqPXxqq+cEhHoXK6eV7goERhbr17crksD2OPt&#10;ADG9lt6SbDQUsH9FVn54GxMWg9AZkh+L3uhup40pB+jbVwbIgWOvd2XlIvHKbzDjMtj5fO0czh6W&#10;aZ65ZCtN7XTh3vruiNTNG4ey5xGaDZiNdjb2AXQ/YN2zQCUrdq5UcZmyPBq/nsvbj//C9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WAAAA&#10;ZHJzL1BLAQIUABQAAAAIAIdO4kDF7Mvg0wAAAAUBAAAPAAAAAAAAAAEAIAAAADgAAABkcnMvZG93&#10;bnJldi54bWxQSwECFAAUAAAACACHTuJA4t11qLYBAABTAwAADgAAAAAAAAABACAAAAA4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8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B51</w:t>
                      </w:r>
                    </w:p>
                    <w:p>
                      <w:pPr>
                        <w:pStyle w:val="28"/>
                      </w:pPr>
                    </w:p>
                    <w:p>
                      <w:pPr>
                        <w:pStyle w:val="28"/>
                      </w:pPr>
                    </w:p>
                    <w:p/>
                  </w:txbxContent>
                </v:textbox>
                <w10:anchorlock/>
              </v:shape>
            </w:pict>
          </mc:Fallback>
        </mc:AlternateContent>
      </w:r>
    </w:p>
    <w:bookmarkEnd w:id="0"/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40"/>
        <w:textAlignment w:val="auto"/>
        <w:rPr>
          <w:rFonts w:hint="eastAsia" w:ascii="黑体" w:hAnsi="黑体" w:eastAsia="黑体" w:cs="黑体"/>
        </w:rPr>
      </w:pPr>
      <w:bookmarkStart w:id="1" w:name="SectionMark2"/>
      <w:r>
        <w:rPr>
          <w:rFonts w:hint="eastAsia" w:ascii="黑体" w:hAnsi="黑体" w:eastAsia="黑体" w:cs="黑体"/>
        </w:rPr>
        <w:t>前    言</w:t>
      </w:r>
    </w:p>
    <w:p>
      <w:pPr>
        <w:pStyle w:val="16"/>
        <w:tabs>
          <w:tab w:val="center" w:pos="4201"/>
          <w:tab w:val="right" w:leader="dot" w:pos="9298"/>
        </w:tabs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本文件按照GB/T 1.1—2020《标准化工作导则</w:t>
      </w:r>
      <w:r>
        <w:rPr>
          <w:rFonts w:hint="eastAsia"/>
          <w:color w:val="000000"/>
          <w:szCs w:val="21"/>
          <w:lang w:val="en-US" w:eastAsia="zh-CN"/>
        </w:rPr>
        <w:t xml:space="preserve"> </w:t>
      </w:r>
      <w:r>
        <w:rPr>
          <w:rFonts w:hint="eastAsia"/>
          <w:color w:val="000000"/>
          <w:szCs w:val="21"/>
        </w:rPr>
        <w:t xml:space="preserve"> 第1部分：标准化文件的结构和起草规则》的规定起草。</w:t>
      </w:r>
    </w:p>
    <w:p>
      <w:pPr>
        <w:pStyle w:val="16"/>
        <w:spacing w:line="360" w:lineRule="exact"/>
        <w:ind w:firstLine="420"/>
        <w:rPr>
          <w:rFonts w:hint="eastAsia" w:hAnsi="宋体"/>
          <w:lang w:val="en-US" w:eastAsia="zh-CN"/>
        </w:rPr>
      </w:pPr>
      <w:r>
        <w:rPr>
          <w:rFonts w:hint="eastAsia" w:hAnsi="宋体"/>
          <w:lang w:val="en-US" w:eastAsia="zh-CN"/>
        </w:rPr>
        <w:t>本文件由河北省农业农村厅提出。</w:t>
      </w:r>
    </w:p>
    <w:p>
      <w:pPr>
        <w:pStyle w:val="16"/>
        <w:spacing w:line="360" w:lineRule="exact"/>
        <w:ind w:firstLine="420"/>
        <w:rPr>
          <w:rFonts w:hint="eastAsia" w:hAnsi="宋体"/>
          <w:lang w:val="en-US" w:eastAsia="zh-CN"/>
        </w:rPr>
      </w:pPr>
      <w:r>
        <w:rPr>
          <w:rFonts w:hint="eastAsia" w:hAnsi="宋体"/>
          <w:lang w:val="en-US" w:eastAsia="zh-CN"/>
        </w:rPr>
        <w:t>本文件起草单位：廊坊市水产技术推广站、石家庄市水产技术推广站、永清县农业农村局、永清县渔耕农业科技有限公司。</w:t>
      </w:r>
    </w:p>
    <w:p>
      <w:pPr>
        <w:pStyle w:val="16"/>
        <w:spacing w:line="360" w:lineRule="exact"/>
        <w:ind w:firstLine="420"/>
        <w:rPr>
          <w:rFonts w:hint="eastAsia" w:hAnsi="宋体"/>
          <w:lang w:val="en-US" w:eastAsia="zh-CN"/>
        </w:rPr>
      </w:pPr>
      <w:r>
        <w:rPr>
          <w:rFonts w:hint="eastAsia" w:hAnsi="宋体"/>
          <w:lang w:val="en-US" w:eastAsia="zh-CN"/>
        </w:rPr>
        <w:t>本文件主要起草人</w:t>
      </w:r>
      <w:r>
        <w:rPr>
          <w:rFonts w:hint="eastAsia" w:hAnsi="宋体"/>
          <w:lang w:val="en-US" w:eastAsia="zh"/>
        </w:rPr>
        <w:t>:</w:t>
      </w:r>
      <w:r>
        <w:rPr>
          <w:rFonts w:hint="eastAsia" w:hAnsi="宋体"/>
          <w:lang w:val="en-US" w:eastAsia="zh-CN"/>
        </w:rPr>
        <w:t>邢宪利、刘俊强、张海生、刘 璐、康静然、闫立君、苑雪静、张素芬、代彪、赵文涓、曹建波、纪文彬、王圆圆、</w:t>
      </w:r>
      <w:r>
        <w:rPr>
          <w:rFonts w:hint="eastAsia" w:hAnsi="宋体"/>
          <w:lang w:val="en" w:eastAsia="zh-CN"/>
        </w:rPr>
        <w:t>张有瑞、</w:t>
      </w:r>
      <w:r>
        <w:rPr>
          <w:rFonts w:hint="eastAsia" w:hAnsi="宋体"/>
          <w:lang w:val="en-US" w:eastAsia="zh-CN"/>
        </w:rPr>
        <w:t>李 明、黄冠军、吴小霞、李青、邢玉伟、任永光、马书强、于莉、孟秋冬、周晨霞、张亚菲</w:t>
      </w:r>
    </w:p>
    <w:p>
      <w:pPr>
        <w:pStyle w:val="16"/>
        <w:spacing w:line="360" w:lineRule="exact"/>
        <w:ind w:firstLine="420"/>
        <w:rPr>
          <w:rFonts w:hint="eastAsia" w:hAnsi="宋体"/>
          <w:lang w:val="en-US" w:eastAsia="zh-CN"/>
        </w:rPr>
      </w:pPr>
    </w:p>
    <w:p>
      <w:pPr>
        <w:pStyle w:val="16"/>
        <w:spacing w:line="360" w:lineRule="exact"/>
        <w:ind w:firstLine="420"/>
        <w:rPr>
          <w:rFonts w:hint="eastAsia" w:hAnsi="宋体"/>
          <w:lang w:val="en-US" w:eastAsia="zh-CN"/>
        </w:rPr>
        <w:sectPr>
          <w:headerReference r:id="rId9" w:type="default"/>
          <w:footerReference r:id="rId10" w:type="default"/>
          <w:pgSz w:w="11907" w:h="16839"/>
          <w:pgMar w:top="1418" w:right="1134" w:bottom="1134" w:left="1418" w:header="1418" w:footer="851" w:gutter="0"/>
          <w:pgNumType w:fmt="upperRoman" w:start="1"/>
          <w:cols w:space="720" w:num="1"/>
          <w:docGrid w:type="lines" w:linePitch="312" w:charSpace="0"/>
        </w:sectPr>
      </w:pPr>
    </w:p>
    <w:bookmarkEnd w:id="1"/>
    <w:p>
      <w:pPr>
        <w:pStyle w:val="17"/>
        <w:rPr>
          <w:rFonts w:hint="eastAsia" w:ascii="黑体" w:hAnsi="黑体" w:eastAsia="黑体" w:cs="黑体"/>
          <w:bCs/>
          <w:sz w:val="32"/>
          <w:szCs w:val="32"/>
        </w:rPr>
      </w:pPr>
      <w:bookmarkStart w:id="2" w:name="SectionMark4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温室鱼菜共生生态循环种养技术规范</w:t>
      </w:r>
    </w:p>
    <w:p>
      <w:pPr>
        <w:pStyle w:val="17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17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1  范围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GB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</w:t>
      </w:r>
      <w:r>
        <w:rPr>
          <w:rFonts w:hint="eastAsia" w:ascii="宋体" w:hAnsi="宋体" w:cs="宋体"/>
          <w:szCs w:val="21"/>
          <w:lang w:val="en-US" w:eastAsia="zh-CN"/>
        </w:rPr>
        <w:t>文件</w:t>
      </w:r>
      <w:r>
        <w:rPr>
          <w:rFonts w:hint="eastAsia" w:ascii="宋体" w:hAnsi="宋体" w:cs="宋体"/>
          <w:szCs w:val="21"/>
        </w:rPr>
        <w:t>规定了温室鱼菜共生生态循环种养技术的术语和定义、选址、种养单元系统、鱼种放养、养殖管理、种植管理、系统耦合等技术要求。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</w:t>
      </w:r>
      <w:r>
        <w:rPr>
          <w:rFonts w:hint="eastAsia" w:ascii="宋体" w:hAnsi="宋体" w:cs="宋体"/>
          <w:szCs w:val="21"/>
          <w:lang w:val="en-US" w:eastAsia="zh-CN"/>
        </w:rPr>
        <w:t>文件</w:t>
      </w:r>
      <w:r>
        <w:rPr>
          <w:rFonts w:hint="eastAsia" w:ascii="宋体" w:hAnsi="宋体" w:cs="宋体"/>
          <w:szCs w:val="21"/>
        </w:rPr>
        <w:t>适用于温室</w:t>
      </w:r>
      <w:r>
        <w:rPr>
          <w:rFonts w:hint="eastAsia" w:ascii="宋体" w:hAnsi="宋体" w:cs="宋体"/>
          <w:szCs w:val="21"/>
          <w:lang w:eastAsia="zh-CN"/>
        </w:rPr>
        <w:t>条件下的鱼类和蔬菜综合种养</w:t>
      </w:r>
      <w:r>
        <w:rPr>
          <w:rFonts w:hint="eastAsia" w:ascii="宋体" w:hAnsi="宋体" w:cs="宋体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cs="宋体"/>
          <w:szCs w:val="21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2  规范性引用文件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Ansi="宋体"/>
        </w:rPr>
      </w:pPr>
      <w:r>
        <w:rPr>
          <w:rFonts w:hAnsi="宋体"/>
        </w:rPr>
        <w:t>下列文件</w:t>
      </w:r>
      <w:r>
        <w:rPr>
          <w:rFonts w:hint="eastAsia" w:hAnsi="宋体"/>
        </w:rPr>
        <w:t>中的内容通过文中的规范性引用而构成本文</w:t>
      </w:r>
      <w:r>
        <w:rPr>
          <w:rFonts w:hAnsi="宋体"/>
        </w:rPr>
        <w:t>件必不可少的</w:t>
      </w:r>
      <w:r>
        <w:rPr>
          <w:rFonts w:hint="eastAsia" w:hAnsi="宋体"/>
        </w:rPr>
        <w:t>条款</w:t>
      </w:r>
      <w:r>
        <w:rPr>
          <w:rFonts w:hAnsi="宋体"/>
        </w:rPr>
        <w:t>。</w:t>
      </w:r>
      <w:r>
        <w:rPr>
          <w:rFonts w:hint="eastAsia" w:hAnsi="宋体"/>
        </w:rPr>
        <w:t>其中，</w:t>
      </w:r>
      <w:r>
        <w:rPr>
          <w:rFonts w:hAnsi="宋体"/>
        </w:rPr>
        <w:t>注日期的引用文件，仅</w:t>
      </w:r>
      <w:r>
        <w:rPr>
          <w:rFonts w:hint="eastAsia" w:hAnsi="宋体"/>
        </w:rPr>
        <w:t>该</w:t>
      </w:r>
      <w:r>
        <w:rPr>
          <w:rFonts w:hAnsi="宋体"/>
        </w:rPr>
        <w:t>日期</w:t>
      </w:r>
      <w:r>
        <w:rPr>
          <w:rFonts w:hint="eastAsia" w:hAnsi="宋体"/>
        </w:rPr>
        <w:t>对应</w:t>
      </w:r>
      <w:r>
        <w:rPr>
          <w:rFonts w:hAnsi="宋体"/>
        </w:rPr>
        <w:t>的版本适用于本文件</w:t>
      </w:r>
      <w:r>
        <w:rPr>
          <w:rFonts w:hint="eastAsia" w:hAnsi="宋体"/>
        </w:rPr>
        <w:t>；</w:t>
      </w:r>
      <w:r>
        <w:rPr>
          <w:rFonts w:hAnsi="宋体"/>
        </w:rPr>
        <w:t>不注日期的引用文件，其最新版本（包括所有的修改单）适用于本文件。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ascii="Times New Roman" w:cs="Times New Roman"/>
          <w:bCs/>
          <w:highlight w:val="none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GB 11607  渔业水质标准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ascii="Times New Roman" w:cs="Times New Roman"/>
          <w:bCs/>
          <w:highlight w:val="none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GB 13078  饲料卫生标准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ascii="Times New Roman" w:cs="Times New Roman"/>
          <w:bCs/>
          <w:highlight w:val="none"/>
          <w:lang w:val="en-US" w:eastAsia="zh-CN"/>
        </w:rPr>
      </w:pPr>
      <w:r>
        <w:rPr>
          <w:rFonts w:hint="default" w:ascii="Times New Roman" w:cs="Times New Roman"/>
          <w:bCs/>
          <w:highlight w:val="none"/>
          <w:lang w:val="en-US" w:eastAsia="zh-CN"/>
        </w:rPr>
        <w:t>NY 5071</w:t>
      </w:r>
      <w:r>
        <w:rPr>
          <w:rFonts w:hint="eastAsia" w:ascii="Times New Roman" w:cs="Times New Roman"/>
          <w:bCs/>
          <w:highlight w:val="none"/>
          <w:lang w:val="en-US" w:eastAsia="zh-CN"/>
        </w:rPr>
        <w:t xml:space="preserve">  </w:t>
      </w:r>
      <w:r>
        <w:rPr>
          <w:rFonts w:hint="default" w:ascii="Times New Roman" w:cs="Times New Roman"/>
          <w:bCs/>
          <w:highlight w:val="none"/>
          <w:lang w:val="en-US" w:eastAsia="zh-CN"/>
        </w:rPr>
        <w:t>无公害食品</w:t>
      </w:r>
      <w:r>
        <w:rPr>
          <w:rFonts w:hint="eastAsia" w:ascii="Times New Roman" w:cs="Times New Roman"/>
          <w:bCs/>
          <w:highlight w:val="none"/>
          <w:lang w:val="en-US" w:eastAsia="zh-CN"/>
        </w:rPr>
        <w:t xml:space="preserve"> </w:t>
      </w:r>
      <w:r>
        <w:rPr>
          <w:rFonts w:hint="default" w:ascii="Times New Roman" w:cs="Times New Roman"/>
          <w:bCs/>
          <w:highlight w:val="none"/>
          <w:lang w:val="en-US" w:eastAsia="zh-CN"/>
        </w:rPr>
        <w:t>渔用</w:t>
      </w:r>
      <w:r>
        <w:rPr>
          <w:rFonts w:hint="eastAsia" w:ascii="Times New Roman" w:cs="Times New Roman"/>
          <w:bCs/>
          <w:highlight w:val="none"/>
          <w:lang w:val="en-US" w:eastAsia="zh-CN"/>
        </w:rPr>
        <w:t>药物使用准则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ascii="Times New Roman" w:cs="Times New Roman"/>
          <w:bCs/>
          <w:highlight w:val="none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NY/T 391  绿色食品  产地环境质量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ascii="Times New Roman" w:cs="Times New Roman"/>
          <w:bCs/>
          <w:highlight w:val="none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SC/T 1132  渔药使用规范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ascii="Times New Roman" w:cs="Times New Roman"/>
          <w:bCs/>
          <w:highlight w:val="none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SC/T 6040  水产品工厂化养殖装备安全卫生要求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default" w:ascii="Times New Roman" w:cs="Times New Roman"/>
          <w:bCs/>
          <w:highlight w:val="yellow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SC/T 7015  病死水生动物及病害水生动物产品无害化处理规范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left="0" w:leftChars="0" w:firstLine="420" w:firstLineChars="200"/>
        <w:textAlignment w:val="auto"/>
        <w:rPr>
          <w:rFonts w:hint="eastAsia" w:hAnsi="宋体" w:cs="宋体"/>
          <w:bCs/>
          <w:highlight w:val="none"/>
          <w:lang w:val="en-US" w:eastAsia="zh-CN"/>
        </w:rPr>
      </w:pPr>
      <w:r>
        <w:rPr>
          <w:rFonts w:hint="eastAsia" w:ascii="Times New Roman" w:cs="Times New Roman"/>
          <w:bCs/>
          <w:highlight w:val="none"/>
          <w:lang w:val="en-US" w:eastAsia="zh-CN"/>
        </w:rPr>
        <w:t>水产养殖用药明白纸2022年1号、2号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default" w:hAnsi="宋体" w:cs="宋体"/>
          <w:bCs/>
          <w:highlight w:val="none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3  术语和定义     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鱼菜共生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鱼菜共生是将水产养殖与蔬菜无土栽培结合在一起，利用鱼类与植物的营养生理、环境、理化等生态共生原理，使鱼类与蔬菜共生互补，实现鱼菜生态系统内物质循环，达到养鱼不换水、种菜不施肥、资源可循环利用的生态共生效应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4  选址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eastAsia" w:hAnsi="宋体"/>
          <w:color w:val="auto"/>
          <w:lang w:val="en-US" w:eastAsia="zh-CN"/>
        </w:rPr>
      </w:pPr>
      <w:r>
        <w:rPr>
          <w:rFonts w:hint="eastAsia" w:hAnsi="宋体"/>
          <w:lang w:val="en-US" w:eastAsia="zh-CN"/>
        </w:rPr>
        <w:t>选择地势较高、水源充足、交通便利、安静无污染的场所。水</w:t>
      </w:r>
      <w:r>
        <w:rPr>
          <w:rFonts w:hint="eastAsia" w:hAnsi="宋体"/>
          <w:color w:val="auto"/>
          <w:lang w:val="en-US" w:eastAsia="zh-CN"/>
        </w:rPr>
        <w:t>质应符合GB 11607的相关要求，环境应符合NY/T 391的相关要求。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left="0" w:leftChars="0" w:firstLine="420" w:firstLineChars="200"/>
        <w:jc w:val="left"/>
        <w:textAlignment w:val="auto"/>
        <w:rPr>
          <w:rFonts w:hint="eastAsia" w:hAnsi="宋体" w:cs="宋体"/>
          <w:bCs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</w:t>
      </w:r>
      <w:r>
        <w:rPr>
          <w:rFonts w:hint="eastAsia" w:ascii="黑体" w:hAnsi="黑体" w:eastAsia="黑体"/>
        </w:rPr>
        <w:t xml:space="preserve"> </w:t>
      </w:r>
      <w:r>
        <w:rPr>
          <w:rFonts w:hint="eastAsia" w:ascii="黑体" w:hAnsi="黑体" w:eastAsia="黑体"/>
          <w:lang w:val="en-US" w:eastAsia="zh-CN"/>
        </w:rPr>
        <w:t xml:space="preserve"> 种养单元系统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eastAsia="zh-CN"/>
        </w:rPr>
      </w:pPr>
    </w:p>
    <w:p>
      <w:pPr>
        <w:pStyle w:val="1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5.1 </w:t>
      </w:r>
      <w:r>
        <w:rPr>
          <w:rFonts w:hint="eastAsia" w:hAnsi="宋体"/>
          <w:bCs/>
          <w:lang w:val="en-US" w:eastAsia="zh-CN"/>
        </w:rPr>
        <w:t>系统构成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/>
        <w:ind w:firstLine="420" w:firstLineChars="200"/>
        <w:jc w:val="left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hAnsi="宋体" w:cs="宋体"/>
          <w:lang w:val="en-US" w:eastAsia="zh-CN"/>
        </w:rPr>
        <w:t>一个养植单元由温室、养殖区、种植区、生化处理设备等组成，每1000m</w:t>
      </w:r>
      <w:r>
        <w:rPr>
          <w:rFonts w:hint="eastAsia" w:hAnsi="宋体" w:cs="宋体"/>
          <w:vertAlign w:val="superscript"/>
          <w:lang w:val="en-US" w:eastAsia="zh-CN"/>
        </w:rPr>
        <w:t>2</w:t>
      </w:r>
      <w:r>
        <w:rPr>
          <w:rFonts w:hint="eastAsia" w:hAnsi="宋体" w:cs="宋体"/>
          <w:lang w:val="en-US" w:eastAsia="zh-CN"/>
        </w:rPr>
        <w:t>温室配备30KW～50KW发电机组1套。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firstLine="0" w:firstLineChars="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5.2 温室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hAnsi="宋体" w:cs="宋体"/>
          <w:highlight w:val="none"/>
          <w:lang w:val="en-US" w:eastAsia="zh-CN"/>
        </w:rPr>
      </w:pPr>
      <w:r>
        <w:rPr>
          <w:rFonts w:hint="eastAsia" w:ascii="黑体" w:hAnsi="黑体" w:eastAsia="黑体"/>
          <w:highlight w:val="none"/>
          <w:lang w:val="en-US" w:eastAsia="zh-CN"/>
        </w:rPr>
        <w:t>5.2.1 温室类型选择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/>
        <w:ind w:firstLine="420" w:firstLineChars="200"/>
        <w:jc w:val="left"/>
        <w:textAlignment w:val="auto"/>
        <w:rPr>
          <w:rFonts w:hint="default" w:hAnsi="宋体" w:cs="宋体"/>
          <w:highlight w:val="none"/>
          <w:lang w:val="en-US" w:eastAsia="zh-CN"/>
        </w:rPr>
      </w:pPr>
      <w:r>
        <w:rPr>
          <w:rFonts w:hint="eastAsia" w:hAnsi="宋体" w:cs="宋体"/>
          <w:highlight w:val="none"/>
          <w:lang w:val="en-US" w:eastAsia="zh-CN"/>
        </w:rPr>
        <w:t>连栋温室、日光温室、四季棚室均可。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5.2.2 </w:t>
      </w: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温室温度要求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420" w:firstLineChars="200"/>
        <w:jc w:val="left"/>
        <w:textAlignment w:val="auto"/>
        <w:rPr>
          <w:rFonts w:hint="eastAsia" w:hAnsi="宋体" w:cs="宋体"/>
          <w:lang w:val="en-US" w:eastAsia="zh-CN"/>
        </w:rPr>
      </w:pPr>
      <w:r>
        <w:rPr>
          <w:rFonts w:hint="eastAsia" w:hAnsi="宋体" w:cs="宋体"/>
          <w:lang w:val="en-US" w:eastAsia="zh-CN"/>
        </w:rPr>
        <w:t>室内温度应控制在10℃～32℃。夜间温度保持10℃以上，白天温度保持20℃以上，冬季配备保温被，每1000m2温室配备30KW热风机1台辅助加温；夏季配备遮阳帘，室温控制在32℃以下。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5.3 养殖区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hAnsi="宋体" w:cs="宋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5.3.1 养殖池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/>
        <w:ind w:firstLine="420" w:firstLineChars="200"/>
        <w:jc w:val="left"/>
        <w:textAlignment w:val="auto"/>
        <w:rPr>
          <w:rFonts w:hint="default" w:hAnsi="宋体" w:cs="宋体"/>
          <w:lang w:val="en-US" w:eastAsia="zh-CN"/>
        </w:rPr>
      </w:pPr>
      <w:r>
        <w:rPr>
          <w:rFonts w:hint="eastAsia" w:hAnsi="宋体" w:cs="宋体"/>
          <w:lang w:val="en-US" w:eastAsia="zh-CN"/>
        </w:rPr>
        <w:t>养殖池直径在5m～10m为宜，池圆形，池底成20°～25°锅底型，池深1.4m～2.0m，给水口在距池上沿20cm～30cm处，管口直径7.5 cm～11.0cm ，与池壁呈30°～45°夹角；排水口位于养殖池中央，管口直径11cm以上。养殖池选择砖混、PP板、镀锌板、帆布等材料建造。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ascii="Times New Roman" w:cs="Times New Roman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5.3.2 储水池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default" w:ascii="Times New Roman" w:cs="Times New Roman"/>
          <w:lang w:val="en-US" w:eastAsia="zh-CN"/>
        </w:rPr>
      </w:pPr>
      <w:r>
        <w:rPr>
          <w:rFonts w:hint="eastAsia" w:hAnsi="宋体" w:eastAsia="宋体"/>
          <w:lang w:val="en-US" w:eastAsia="zh-CN"/>
        </w:rPr>
        <w:t>配备1个</w:t>
      </w:r>
      <w:r>
        <w:rPr>
          <w:rFonts w:hint="eastAsia" w:hAnsi="宋体" w:eastAsia="宋体"/>
          <w:color w:val="auto"/>
          <w:lang w:val="en-US" w:eastAsia="zh-CN"/>
        </w:rPr>
        <w:t>3m</w:t>
      </w:r>
      <w:r>
        <w:rPr>
          <w:rFonts w:hint="eastAsia" w:hAnsi="宋体" w:eastAsia="宋体"/>
          <w:color w:val="auto"/>
          <w:vertAlign w:val="superscript"/>
          <w:lang w:val="en-US" w:eastAsia="zh-CN"/>
        </w:rPr>
        <w:t>3</w:t>
      </w:r>
      <w:r>
        <w:rPr>
          <w:rFonts w:hint="eastAsia" w:hAnsi="宋体" w:eastAsia="宋体"/>
          <w:color w:val="auto"/>
          <w:lang w:val="en-US" w:eastAsia="zh-CN"/>
        </w:rPr>
        <w:t>～6m</w:t>
      </w:r>
      <w:r>
        <w:rPr>
          <w:rFonts w:hint="eastAsia" w:hAnsi="宋体" w:eastAsia="宋体"/>
          <w:color w:val="auto"/>
          <w:vertAlign w:val="superscript"/>
          <w:lang w:val="en-US" w:eastAsia="zh-CN"/>
        </w:rPr>
        <w:t>3</w:t>
      </w:r>
      <w:r>
        <w:rPr>
          <w:rFonts w:hint="eastAsia" w:hAnsi="宋体" w:eastAsia="宋体"/>
          <w:lang w:val="en-US" w:eastAsia="zh-CN"/>
        </w:rPr>
        <w:t>储水池,可随时补充温度基本相同的洁净水源。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5.3.3 水质监测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配备水质监测设备，监测溶解氧、温度、pH值、氨氮、亚硝酸盐等指标。</w:t>
      </w:r>
      <w:r>
        <w:rPr>
          <w:rFonts w:hint="eastAsia" w:hAnsi="宋体"/>
          <w:lang w:val="en-US" w:eastAsia="zh-CN"/>
        </w:rPr>
        <w:t>一般</w:t>
      </w:r>
      <w:r>
        <w:rPr>
          <w:rFonts w:hint="eastAsia" w:hAnsi="宋体" w:eastAsia="宋体"/>
          <w:lang w:val="en-US" w:eastAsia="zh-CN"/>
        </w:rPr>
        <w:t>溶</w:t>
      </w:r>
      <w:r>
        <w:rPr>
          <w:rFonts w:hint="eastAsia" w:hAnsi="宋体"/>
          <w:lang w:val="en-US" w:eastAsia="zh-CN"/>
        </w:rPr>
        <w:t>解</w:t>
      </w:r>
      <w:r>
        <w:rPr>
          <w:rFonts w:hint="eastAsia" w:hAnsi="宋体" w:eastAsia="宋体"/>
          <w:lang w:val="en-US" w:eastAsia="zh-CN"/>
        </w:rPr>
        <w:t>氧在5mg/L～8mg/L之间，pH值在6.5～8.5之间,氨氮的</w:t>
      </w:r>
      <w:r>
        <w:rPr>
          <w:rFonts w:hint="default" w:hAnsi="宋体" w:eastAsia="宋体"/>
          <w:lang w:val="en-US" w:eastAsia="zh-CN"/>
        </w:rPr>
        <w:t>浓度小于0.2mg/L</w:t>
      </w:r>
      <w:r>
        <w:rPr>
          <w:rFonts w:hint="eastAsia" w:hAnsi="宋体" w:eastAsia="宋体"/>
          <w:lang w:val="en-US" w:eastAsia="zh-CN"/>
        </w:rPr>
        <w:t>，</w:t>
      </w:r>
      <w:r>
        <w:rPr>
          <w:rFonts w:hint="default" w:hAnsi="宋体" w:eastAsia="宋体"/>
          <w:lang w:val="en-US" w:eastAsia="zh-CN"/>
        </w:rPr>
        <w:t>亚硝酸盐的含量控制在0.</w:t>
      </w:r>
      <w:r>
        <w:rPr>
          <w:rFonts w:hint="eastAsia" w:hAnsi="宋体" w:eastAsia="宋体"/>
          <w:lang w:val="en-US" w:eastAsia="zh-CN"/>
        </w:rPr>
        <w:t>01</w:t>
      </w:r>
      <w:r>
        <w:rPr>
          <w:rFonts w:hint="default" w:hAnsi="宋体" w:eastAsia="宋体"/>
          <w:lang w:val="en-US" w:eastAsia="zh-CN"/>
        </w:rPr>
        <w:t>mg/L以下</w:t>
      </w:r>
      <w:r>
        <w:rPr>
          <w:rFonts w:hint="eastAsia" w:hAnsi="宋体" w:eastAsia="宋体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5.4 种植区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firstLine="0" w:firstLineChars="0"/>
        <w:jc w:val="left"/>
        <w:textAlignment w:val="auto"/>
        <w:rPr>
          <w:rFonts w:hint="default" w:ascii="黑体" w:hAnsi="黑体" w:eastAsia="黑体"/>
          <w:szCs w:val="22"/>
          <w:lang w:val="en-US" w:eastAsia="zh-CN"/>
        </w:rPr>
      </w:pPr>
      <w:r>
        <w:rPr>
          <w:rFonts w:hint="eastAsia" w:ascii="黑体" w:hAnsi="黑体" w:eastAsia="黑体"/>
          <w:szCs w:val="22"/>
          <w:lang w:val="en-US" w:eastAsia="zh-CN"/>
        </w:rPr>
        <w:t>5.4.1 种植槽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2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种植槽长度根据场地设定大小，高35cm～75cm，宽105cm～125cm。种植槽一端设置给水口，另一端设置排水口、排污口各1个，排水口距上口10cm～20cm处，排污口位于最底部，管口直径7.5cm ～11.0cm之间。种植槽可选择砖混、PC板、帆布等材料制作。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firstLine="0" w:firstLineChars="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5.4.2 其他设备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浮板、种植杯、种植床等。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firstLine="0" w:firstLineChars="0"/>
        <w:jc w:val="left"/>
        <w:textAlignment w:val="auto"/>
        <w:rPr>
          <w:rFonts w:hint="default" w:ascii="黑体" w:hAnsi="黑体" w:eastAsia="黑体"/>
          <w:szCs w:val="22"/>
          <w:lang w:val="en-US" w:eastAsia="zh-CN"/>
        </w:rPr>
      </w:pPr>
      <w:r>
        <w:rPr>
          <w:rFonts w:hint="eastAsia" w:ascii="黑体" w:hAnsi="黑体" w:eastAsia="黑体"/>
          <w:szCs w:val="22"/>
          <w:lang w:val="en-US" w:eastAsia="zh-CN"/>
        </w:rPr>
        <w:t>5.5 生化处理区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5.5.1 </w:t>
      </w: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生化处理系统配比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每100m³养殖水体配备流量20t/h的生化处理设备1套。生化处理系统通过给排水管道与养殖、种植系统相连接。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黑体" w:eastAsia="黑体"/>
          <w:lang w:val="en-US" w:eastAsia="zh-CN"/>
        </w:rPr>
        <w:t xml:space="preserve">5.5.2 </w:t>
      </w: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生化处理设备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生化处理设备由干湿分离舱、过滤发酵舱、硝化舱3部分组成的长方体设备。干湿分离舱为100目微滤机1台；过滤发酵舱为直径10cm的100目～150目过滤发酵袋24个；硝化舱为直径为7.5cm～15.0cm的1m³硝化球及曝气管构成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1120" w:firstLineChars="400"/>
        <w:jc w:val="left"/>
        <w:textAlignment w:val="auto"/>
        <w:rPr>
          <w:rStyle w:val="32"/>
          <w:rFonts w:ascii="仿宋_GB2312" w:hAnsi="仿宋_GB2312" w:eastAsia="仿宋_GB2312"/>
          <w:color w:val="000000"/>
          <w:sz w:val="28"/>
          <w:szCs w:val="28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1680" w:firstLineChars="600"/>
        <w:jc w:val="left"/>
        <w:textAlignment w:val="auto"/>
        <w:rPr>
          <w:rFonts w:hint="default" w:ascii="黑体" w:hAnsi="黑体" w:eastAsia="黑体"/>
          <w:lang w:val="en-US" w:eastAsia="zh-CN"/>
        </w:rPr>
      </w:pPr>
      <w:r>
        <w:rPr>
          <w:rStyle w:val="32"/>
          <w:rFonts w:ascii="仿宋_GB2312" w:hAnsi="仿宋_GB2312" w:eastAsia="仿宋_GB2312"/>
          <w:color w:val="000000"/>
          <w:sz w:val="28"/>
          <w:szCs w:val="28"/>
        </w:rPr>
        <w:object>
          <v:shape id="_x0000_i1025" o:spt="75" type="#_x0000_t75" style="height:168.95pt;width:315.65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>
            <o:LockedField>false</o:LockedField>
          </o:OLEObject>
        </w:object>
      </w:r>
    </w:p>
    <w:p>
      <w:pPr>
        <w:spacing w:line="400" w:lineRule="exact"/>
        <w:ind w:firstLine="3780" w:firstLineChars="1800"/>
        <w:jc w:val="both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生化处理设备图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firstLine="0" w:firstLineChars="0"/>
        <w:jc w:val="left"/>
        <w:textAlignment w:val="auto"/>
        <w:rPr>
          <w:rFonts w:hint="default" w:ascii="黑体" w:hAnsi="黑体" w:eastAsia="黑体"/>
          <w:szCs w:val="22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黑体" w:eastAsia="黑体"/>
          <w:lang w:val="en-US" w:eastAsia="zh-CN"/>
        </w:rPr>
        <w:t xml:space="preserve">5.5.3 </w:t>
      </w: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设备材料及清洗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养殖、种植、生化处理、循环系统所有设备选材均应符合SC/T 6040的相关要求，生化处理设备应根据运行情况定期清洗三个舱及过滤球，可1～2个月清洗1次，具体需根据运行情况调整。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5.6 布局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养殖区可设置在温室一端或中间，工作通道不低于0.6m，主通道不低于运输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设备</w:t>
      </w:r>
      <w:r>
        <w:rPr>
          <w:rFonts w:hint="eastAsia" w:hAnsi="宋体" w:eastAsia="宋体"/>
          <w:lang w:val="en-US" w:eastAsia="zh-CN"/>
        </w:rPr>
        <w:t>要求最小宽度</w:t>
      </w:r>
      <w:r>
        <w:rPr>
          <w:rFonts w:hint="eastAsia" w:hAnsi="宋体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5.7 面积配比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单批鱼产量指标设计35 kg/m</w:t>
      </w:r>
      <w:r>
        <w:rPr>
          <w:rFonts w:hint="eastAsia" w:hAnsi="宋体" w:eastAsia="宋体"/>
          <w:vertAlign w:val="superscript"/>
          <w:lang w:val="en-US" w:eastAsia="zh-CN"/>
        </w:rPr>
        <w:t>3</w:t>
      </w:r>
      <w:r>
        <w:rPr>
          <w:rFonts w:hint="eastAsia" w:hAnsi="宋体" w:eastAsia="宋体"/>
          <w:lang w:val="en-US" w:eastAsia="zh-CN"/>
        </w:rPr>
        <w:t>～55 kg/m</w:t>
      </w:r>
      <w:r>
        <w:rPr>
          <w:rFonts w:hint="eastAsia" w:hAnsi="宋体" w:eastAsia="宋体"/>
          <w:vertAlign w:val="superscript"/>
          <w:lang w:val="en-US" w:eastAsia="zh-CN"/>
        </w:rPr>
        <w:t>3</w:t>
      </w:r>
      <w:r>
        <w:rPr>
          <w:rFonts w:hint="eastAsia" w:hAnsi="宋体" w:eastAsia="宋体"/>
          <w:lang w:val="en-US" w:eastAsia="zh-CN"/>
        </w:rPr>
        <w:t>，养殖池面积与蔬菜种植面积配比1: (3～4)。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6  </w:t>
      </w:r>
      <w:bookmarkStart w:id="3" w:name="_Toc26986532"/>
      <w:bookmarkEnd w:id="3"/>
      <w:r>
        <w:rPr>
          <w:rFonts w:hint="eastAsia" w:ascii="黑体" w:hAnsi="黑体" w:eastAsia="黑体"/>
          <w:lang w:val="en-US" w:eastAsia="zh-CN"/>
        </w:rPr>
        <w:t>养殖管理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 鱼种放养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6.1.1 养殖品种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温室全年可投放两批次鱼种，春季投放经济价值高、耐密养的大口黑鲈、淡水石斑鱼等，秋季投放抗寒能力强的鲟鱼、鲑鱼、鳟鱼等冷水鱼；同批次放养经检疫合格单一养殖品种。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6.1.2 鱼种来源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Style w:val="32"/>
          <w:rFonts w:hint="eastAsia" w:ascii="仿宋_GB2312" w:hAnsi="仿宋_GB2312" w:eastAsia="仿宋_GB2312"/>
          <w:color w:val="000000"/>
          <w:sz w:val="28"/>
          <w:szCs w:val="28"/>
        </w:rPr>
      </w:pPr>
      <w:r>
        <w:rPr>
          <w:rFonts w:hint="default" w:hAnsi="宋体" w:eastAsia="宋体"/>
          <w:lang w:val="en-US" w:eastAsia="zh-CN"/>
        </w:rPr>
        <w:t>具</w:t>
      </w:r>
      <w:r>
        <w:rPr>
          <w:rFonts w:hint="eastAsia" w:hAnsi="宋体" w:eastAsia="宋体"/>
          <w:lang w:val="en-US" w:eastAsia="zh-CN"/>
        </w:rPr>
        <w:t>有</w:t>
      </w:r>
      <w:r>
        <w:rPr>
          <w:rFonts w:hint="default" w:hAnsi="宋体" w:eastAsia="宋体"/>
          <w:lang w:val="en-US" w:eastAsia="zh-CN"/>
        </w:rPr>
        <w:t>苗种生产许可证</w:t>
      </w:r>
      <w:r>
        <w:rPr>
          <w:rFonts w:hint="eastAsia" w:hAnsi="宋体" w:eastAsia="宋体"/>
          <w:lang w:val="en-US" w:eastAsia="zh-CN"/>
        </w:rPr>
        <w:t>的生产单位培育的鱼种。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6.1.3 鱼种质量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体色正常、规格整齐、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健</w:t>
      </w:r>
      <w:r>
        <w:rPr>
          <w:rFonts w:hint="eastAsia" w:hAnsi="宋体" w:eastAsia="宋体"/>
          <w:lang w:val="en-US" w:eastAsia="zh-CN"/>
        </w:rPr>
        <w:t>康无损伤</w:t>
      </w:r>
      <w:r>
        <w:rPr>
          <w:rFonts w:hint="eastAsia" w:hAnsi="宋体"/>
          <w:lang w:val="en-US" w:eastAsia="zh-CN"/>
        </w:rPr>
        <w:t>、</w:t>
      </w:r>
      <w:r>
        <w:rPr>
          <w:rFonts w:hint="eastAsia" w:hAnsi="宋体" w:eastAsia="宋体"/>
          <w:lang w:val="en-US" w:eastAsia="zh-CN"/>
        </w:rPr>
        <w:t>游动活泼、摄食良好，且</w:t>
      </w:r>
      <w:r>
        <w:rPr>
          <w:rFonts w:hint="default" w:hAnsi="宋体" w:eastAsia="宋体"/>
          <w:lang w:val="en-US" w:eastAsia="zh-CN"/>
        </w:rPr>
        <w:t>检疫</w:t>
      </w:r>
      <w:r>
        <w:rPr>
          <w:rFonts w:hint="eastAsia" w:hAnsi="宋体" w:eastAsia="宋体"/>
          <w:lang w:val="en-US" w:eastAsia="zh-CN"/>
        </w:rPr>
        <w:t>合格。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6.1.4 放养规格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春季鱼种规格50g/尾～150g/尾；秋季鱼种200g/尾～300g/尾。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6.1.5 放养密度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鱼种放养密度50尾/m³～100尾/m³。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6.1.6 鱼体消毒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鱼种放养前用3%～4%食盐水或30g～50g/m³聚维酮碘溶液浸浴15min～20min。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6.2 饲料投喂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6.2.1 饲料选择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采用浮性颗粒饲料，饲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2"/>
          <w:lang w:val="en-US" w:eastAsia="zh-CN" w:bidi="ar-SA"/>
        </w:rPr>
        <w:t>料应符合GB 13078的规定。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default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 xml:space="preserve">6.2.2  投喂量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kern w:val="0"/>
          <w:sz w:val="21"/>
          <w:szCs w:val="22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根据天气、水温、水质、摄食等情况酌情调整，每次投喂以40 min～60 min吃完为宜。温水性鱼类投饵率及投饵次数见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highlight w:val="none"/>
          <w:lang w:val="en-US" w:eastAsia="zh-CN" w:bidi="ar-SA"/>
        </w:rPr>
        <w:t>表1，冷水性鱼类投饵率及次数见表2。</w:t>
      </w:r>
    </w:p>
    <w:p>
      <w:pPr>
        <w:spacing w:line="400" w:lineRule="exact"/>
        <w:jc w:val="center"/>
        <w:rPr>
          <w:rFonts w:hint="default" w:ascii="黑体" w:hAnsi="宋体" w:eastAsia="黑体" w:cs="Times New Roman"/>
          <w:bCs/>
          <w:color w:val="auto"/>
          <w:kern w:val="0"/>
          <w:sz w:val="21"/>
          <w:szCs w:val="20"/>
          <w:highlight w:val="none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color w:val="auto"/>
          <w:kern w:val="0"/>
          <w:sz w:val="21"/>
          <w:szCs w:val="20"/>
          <w:highlight w:val="none"/>
          <w:lang w:val="en-US" w:eastAsia="zh-CN" w:bidi="ar-SA"/>
        </w:rPr>
        <w:t>表1  温水性鱼类投饵率及投饵次数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2244"/>
        <w:gridCol w:w="2209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1" w:type="dxa"/>
            <w:vMerge w:val="restart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项  目</w:t>
            </w:r>
          </w:p>
        </w:tc>
        <w:tc>
          <w:tcPr>
            <w:tcW w:w="6389" w:type="dxa"/>
            <w:gridSpan w:val="3"/>
            <w:noWrap w:val="0"/>
            <w:vAlign w:val="center"/>
          </w:tcPr>
          <w:p>
            <w:pPr>
              <w:spacing w:line="400" w:lineRule="exact"/>
              <w:ind w:firstLine="2520" w:firstLineChars="1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水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1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</w:p>
        </w:tc>
        <w:tc>
          <w:tcPr>
            <w:tcW w:w="2244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15℃～18℃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18℃～30℃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&gt;30℃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1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投饵率（%）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1%～2%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2%～5%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1.5%～3%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81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投饵次数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1次～2次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3次～4次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2次～3次</w:t>
            </w:r>
          </w:p>
        </w:tc>
      </w:tr>
    </w:tbl>
    <w:p>
      <w:pPr>
        <w:ind w:firstLine="560" w:firstLineChars="200"/>
        <w:jc w:val="left"/>
        <w:rPr>
          <w:rStyle w:val="32"/>
          <w:rFonts w:hint="eastAsia" w:ascii="仿宋_GB2312" w:hAnsi="仿宋_GB2312" w:eastAsia="仿宋_GB2312"/>
          <w:color w:val="000000"/>
          <w:sz w:val="28"/>
          <w:szCs w:val="28"/>
        </w:rPr>
      </w:pPr>
    </w:p>
    <w:p>
      <w:pPr>
        <w:spacing w:line="400" w:lineRule="exact"/>
        <w:ind w:firstLine="420" w:firstLineChars="200"/>
        <w:jc w:val="left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</w:p>
    <w:p>
      <w:pPr>
        <w:spacing w:line="400" w:lineRule="exact"/>
        <w:jc w:val="center"/>
        <w:rPr>
          <w:rFonts w:hint="eastAsia" w:ascii="黑体" w:hAnsi="宋体" w:eastAsia="黑体" w:cs="Times New Roman"/>
          <w:bCs/>
          <w:color w:val="auto"/>
          <w:kern w:val="0"/>
          <w:sz w:val="21"/>
          <w:szCs w:val="20"/>
          <w:highlight w:val="none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color w:val="auto"/>
          <w:kern w:val="0"/>
          <w:sz w:val="21"/>
          <w:szCs w:val="20"/>
          <w:highlight w:val="none"/>
          <w:lang w:val="en-US" w:eastAsia="zh-CN" w:bidi="ar-SA"/>
        </w:rPr>
        <w:t>表2  冷水性鱼类投饵率及投饵次数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2244"/>
        <w:gridCol w:w="2209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881" w:type="dxa"/>
            <w:vMerge w:val="restart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项  目</w:t>
            </w:r>
          </w:p>
        </w:tc>
        <w:tc>
          <w:tcPr>
            <w:tcW w:w="6389" w:type="dxa"/>
            <w:gridSpan w:val="3"/>
            <w:noWrap w:val="0"/>
            <w:vAlign w:val="center"/>
          </w:tcPr>
          <w:p>
            <w:pPr>
              <w:spacing w:line="400" w:lineRule="exact"/>
              <w:ind w:firstLine="2520" w:firstLineChars="1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水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1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</w:p>
        </w:tc>
        <w:tc>
          <w:tcPr>
            <w:tcW w:w="2244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8℃～12℃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12℃～18℃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18℃～24℃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1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投饵率（%）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1%～2%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2%～5%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1.5%～3%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1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投饵次数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1次～2次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3次～4次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hAnsi="宋体" w:eastAsia="宋体"/>
                <w:lang w:val="en-US"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2次～3次</w:t>
            </w:r>
          </w:p>
        </w:tc>
      </w:tr>
    </w:tbl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6.3  病害防治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color w:val="FF0000"/>
          <w:lang w:val="en-US" w:eastAsia="zh-CN"/>
        </w:rPr>
      </w:pPr>
      <w:r>
        <w:rPr>
          <w:rFonts w:hint="eastAsia" w:hAnsi="宋体" w:eastAsia="宋体"/>
          <w:lang w:val="en-US" w:eastAsia="zh-CN"/>
        </w:rPr>
        <w:t>坚持以预防为主、防治结合的原则</w:t>
      </w:r>
      <w:r>
        <w:rPr>
          <w:rFonts w:hint="eastAsia" w:hAnsi="宋体" w:eastAsia="宋体"/>
          <w:color w:val="auto"/>
          <w:lang w:val="en-US" w:eastAsia="zh-CN"/>
        </w:rPr>
        <w:t>，药物使用应符合NY 5071、SC/T 1132以及水产养殖用药明白纸2022年1号、2号的</w:t>
      </w:r>
      <w:r>
        <w:rPr>
          <w:rFonts w:hint="eastAsia" w:hAnsi="宋体"/>
          <w:color w:val="auto"/>
          <w:lang w:val="en-US" w:eastAsia="zh-CN"/>
        </w:rPr>
        <w:t>相关要求</w:t>
      </w:r>
      <w:r>
        <w:rPr>
          <w:rFonts w:hint="eastAsia" w:hAnsi="宋体" w:eastAsia="宋体"/>
          <w:color w:val="auto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6.4  病死鱼处理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color w:val="auto"/>
          <w:lang w:val="en-US" w:eastAsia="zh-CN"/>
        </w:rPr>
      </w:pPr>
      <w:r>
        <w:rPr>
          <w:rFonts w:hint="eastAsia" w:hAnsi="宋体" w:eastAsia="宋体"/>
          <w:lang w:val="en-US" w:eastAsia="zh-CN"/>
        </w:rPr>
        <w:t>病死鱼处理</w:t>
      </w:r>
      <w:r>
        <w:rPr>
          <w:rFonts w:hint="eastAsia" w:hAnsi="宋体" w:eastAsia="宋体"/>
          <w:color w:val="auto"/>
          <w:lang w:val="en-US" w:eastAsia="zh-CN"/>
        </w:rPr>
        <w:t xml:space="preserve">应符合SC/T 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2"/>
          <w:lang w:val="en-US" w:eastAsia="zh-CN" w:bidi="ar-SA"/>
        </w:rPr>
        <w:t>7015</w:t>
      </w:r>
      <w:r>
        <w:rPr>
          <w:rFonts w:hint="eastAsia" w:hAnsi="宋体" w:eastAsia="宋体"/>
          <w:color w:val="auto"/>
          <w:lang w:val="en-US" w:eastAsia="zh-CN"/>
        </w:rPr>
        <w:t>的</w:t>
      </w:r>
      <w:r>
        <w:rPr>
          <w:rFonts w:hint="eastAsia" w:hAnsi="宋体"/>
          <w:color w:val="auto"/>
          <w:lang w:val="en-US" w:eastAsia="zh-CN"/>
        </w:rPr>
        <w:t>相关要求</w:t>
      </w:r>
      <w:r>
        <w:rPr>
          <w:rFonts w:hint="eastAsia" w:hAnsi="宋体" w:eastAsia="宋体"/>
          <w:color w:val="auto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6.5 商品鱼出池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温水性鱼体重达到400g/尾，冷水性鱼体重达1000g/尾以上，经检测质量合格即可出池。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 种植</w:t>
      </w:r>
      <w:r>
        <w:rPr>
          <w:rFonts w:hint="eastAsia" w:ascii="黑体" w:hAnsi="黑体" w:eastAsia="黑体"/>
          <w:lang w:val="en-US" w:eastAsia="zh-CN"/>
        </w:rPr>
        <w:t>管理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7.1 品种选择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选择根系发达、再生能力强、能高效吸收水体中N、P的植物。如芹菜、生菜、空心菜、油菜、苦菊、韭菜等叶类蔬菜及西红柿、黄瓜、豆角、辣椒、苦瓜等瓜果类蔬菜，及其他适合水培的花卉、水果等植物。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7.2  种植时间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在人工调控环境的温室中四季均可栽培。3月～10月以蕃茄、黄瓜、辣椒、豆角等果蔬类蔬菜为主；11月～翌年2月，以芹菜、生菜、韭菜等叶类蔬菜为主。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7.3  种植方法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7.3.1 浮板栽培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蔬菜幼苗采用海绵托固定，直接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种植</w:t>
      </w:r>
      <w:r>
        <w:rPr>
          <w:rFonts w:hint="eastAsia" w:hAnsi="宋体" w:eastAsia="宋体"/>
          <w:lang w:val="en-US" w:eastAsia="zh-CN"/>
        </w:rPr>
        <w:t>在泡沫浮板上。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7.3.2  种植杯栽培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蔬菜幼苗种植在种植杯中，种植杯内用有机基质固定，然后将种植杯固定在泡沫浮板上。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7.3.3  种植床栽培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在种植槽内填充火山岩或陶粒形成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种植</w:t>
      </w:r>
      <w:r>
        <w:rPr>
          <w:rFonts w:hint="eastAsia" w:hAnsi="宋体" w:eastAsia="宋体"/>
          <w:lang w:val="en-US" w:eastAsia="zh-CN"/>
        </w:rPr>
        <w:t>床，将菜苗或种植杯栽种在种植床上。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7.4  种植密度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叶菜30株～36株/m</w:t>
      </w:r>
      <w:r>
        <w:rPr>
          <w:rFonts w:hint="eastAsia" w:hAnsi="宋体" w:eastAsia="宋体"/>
          <w:vertAlign w:val="superscript"/>
          <w:lang w:val="en-US" w:eastAsia="zh-CN"/>
        </w:rPr>
        <w:t>2</w:t>
      </w:r>
      <w:r>
        <w:rPr>
          <w:rFonts w:hint="eastAsia" w:hAnsi="宋体" w:eastAsia="宋体"/>
          <w:lang w:val="en-US" w:eastAsia="zh-CN"/>
        </w:rPr>
        <w:t>，果菜4株～9株/m</w:t>
      </w:r>
      <w:r>
        <w:rPr>
          <w:rFonts w:hint="eastAsia" w:hAnsi="宋体" w:eastAsia="宋体"/>
          <w:vertAlign w:val="superscript"/>
          <w:lang w:val="en-US" w:eastAsia="zh-CN"/>
        </w:rPr>
        <w:t>2</w:t>
      </w:r>
      <w:r>
        <w:rPr>
          <w:rFonts w:hint="eastAsia" w:hAnsi="宋体" w:eastAsia="宋体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7.5  病虫害防治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温室进出风口用60目/m</w:t>
      </w:r>
      <w:r>
        <w:rPr>
          <w:rFonts w:hint="eastAsia" w:hAnsi="宋体" w:eastAsia="宋体"/>
          <w:vertAlign w:val="superscript"/>
          <w:lang w:val="en-US" w:eastAsia="zh-CN"/>
        </w:rPr>
        <w:t>2</w:t>
      </w:r>
      <w:r>
        <w:rPr>
          <w:rFonts w:hint="eastAsia" w:hAnsi="宋体" w:eastAsia="宋体"/>
          <w:lang w:val="en-US" w:eastAsia="zh-CN"/>
        </w:rPr>
        <w:t>白色防虫网覆盖，每100 m</w:t>
      </w:r>
      <w:r>
        <w:rPr>
          <w:rFonts w:hint="eastAsia" w:hAnsi="宋体" w:eastAsia="宋体"/>
          <w:vertAlign w:val="superscript"/>
          <w:lang w:val="en-US" w:eastAsia="zh-CN"/>
        </w:rPr>
        <w:t>2</w:t>
      </w:r>
      <w:r>
        <w:rPr>
          <w:rFonts w:hint="eastAsia" w:hAnsi="宋体" w:eastAsia="宋体"/>
          <w:lang w:val="en-US" w:eastAsia="zh-CN"/>
        </w:rPr>
        <w:t>蔬菜悬挂诱虫板10张～20张，每个养殖池上方悬挂诱虫灯1个。阻止害虫进入温室，不使用病虫危害的基质和秧苗。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7.6  采收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Style w:val="32"/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hAnsi="宋体" w:eastAsia="宋体"/>
          <w:lang w:val="en-US" w:eastAsia="zh-CN"/>
        </w:rPr>
        <w:t>蔬菜根据市场供需适时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采收</w:t>
      </w:r>
      <w:r>
        <w:rPr>
          <w:rFonts w:hint="eastAsia" w:hAnsi="宋体" w:eastAsia="宋体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7.7  浮板清洗及保存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蔬菜收获结束</w:t>
      </w:r>
      <w:r>
        <w:rPr>
          <w:rFonts w:hint="eastAsia" w:ascii="Times New Roman" w:hAnsi="Times New Roman" w:eastAsia="宋体" w:cs="Times New Roman"/>
          <w:kern w:val="0"/>
          <w:sz w:val="21"/>
          <w:szCs w:val="22"/>
          <w:lang w:val="en-US" w:eastAsia="zh-CN" w:bidi="ar-SA"/>
        </w:rPr>
        <w:t>及时</w:t>
      </w:r>
      <w:r>
        <w:rPr>
          <w:rFonts w:hint="eastAsia" w:hAnsi="宋体" w:eastAsia="宋体"/>
          <w:lang w:val="en-US" w:eastAsia="zh-CN"/>
        </w:rPr>
        <w:t>清除浮板上杂物，在阳光下晾晒消毒，阴凉处保存。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8 日常</w:t>
      </w:r>
      <w:r>
        <w:rPr>
          <w:rFonts w:hint="eastAsia" w:ascii="黑体" w:hAnsi="黑体" w:eastAsia="黑体"/>
          <w:lang w:val="en-US" w:eastAsia="zh-CN"/>
        </w:rPr>
        <w:t>管理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8.1 日常巡查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hAnsi="宋体" w:eastAsia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每天早中晚各巡查1次，检查设备运行是否正常，观察监测各种数据是否异常。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  <w:t>8.2  日常记录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420" w:firstLineChars="200"/>
        <w:jc w:val="left"/>
        <w:textAlignment w:val="auto"/>
        <w:rPr>
          <w:rFonts w:hint="eastAsia" w:hAnsi="宋体"/>
          <w:lang w:val="en-US" w:eastAsia="zh-CN"/>
        </w:rPr>
      </w:pPr>
      <w:r>
        <w:rPr>
          <w:rFonts w:hint="eastAsia" w:hAnsi="宋体" w:eastAsia="宋体"/>
          <w:lang w:val="en-US" w:eastAsia="zh-CN"/>
        </w:rPr>
        <w:t>每日测量水温、水位、溶解氧、pH值、氨氮、亚硝酸盐等指标，每隔10～15天测量1次鱼类生长情况，做好养殖生产记录</w:t>
      </w:r>
      <w:r>
        <w:rPr>
          <w:rFonts w:hint="eastAsia" w:hAnsi="宋体"/>
          <w:lang w:val="en-US" w:eastAsia="zh-CN"/>
        </w:rPr>
        <w:t>。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/>
        <w:ind w:left="0" w:leftChars="0" w:firstLine="0" w:firstLineChars="0"/>
        <w:jc w:val="left"/>
        <w:textAlignment w:val="auto"/>
        <w:rPr>
          <w:rFonts w:hint="eastAsia" w:ascii="黑体" w:hAnsi="宋体" w:eastAsia="黑体" w:cs="Times New Roman"/>
          <w:bCs/>
          <w:kern w:val="0"/>
          <w:sz w:val="21"/>
          <w:szCs w:val="20"/>
          <w:lang w:val="en-US" w:eastAsia="zh-CN" w:bidi="ar-SA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20" w:firstLineChars="200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bookmarkEnd w:id="2"/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sectPr>
      <w:headerReference r:id="rId11" w:type="default"/>
      <w:footerReference r:id="rId12" w:type="default"/>
      <w:pgSz w:w="11907" w:h="16839"/>
      <w:pgMar w:top="1418" w:right="1134" w:bottom="1134" w:left="1383" w:header="1418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Style w:val="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1"/>
                          </w:pPr>
                          <w:r>
                            <w:rPr>
                              <w:rStyle w:val="12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1</w:t>
                          </w:r>
                          <w:r>
                            <w:rPr>
                              <w:rStyle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4Oo3+0AQAAUgMAAA4AAABkcnMv&#10;ZTJvRG9jLnhtbK1TzW4TMRC+I/EOlu/Em1R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rg6jf7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1"/>
                    </w:pPr>
                    <w:r>
                      <w:rPr>
                        <w:rStyle w:val="12"/>
                      </w:rPr>
                      <w:fldChar w:fldCharType="begin"/>
                    </w:r>
                    <w:r>
                      <w:rPr>
                        <w:rStyle w:val="12"/>
                      </w:rPr>
                      <w:instrText xml:space="preserve">PAGE  </w:instrText>
                    </w:r>
                    <w:r>
                      <w:rPr>
                        <w:rStyle w:val="12"/>
                      </w:rPr>
                      <w:fldChar w:fldCharType="separate"/>
                    </w:r>
                    <w:r>
                      <w:rPr>
                        <w:rStyle w:val="12"/>
                      </w:rPr>
                      <w:t>1</w:t>
                    </w:r>
                    <w:r>
                      <w:rPr>
                        <w:rStyle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FqO20AQAAUgMAAA4AAABkcnMv&#10;ZTJvRG9jLnhtbK1TzW4TMRC+I/EOlu/Em6h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YUWo7b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jc w:val="center"/>
      <w:rPr>
        <w:rStyle w:val="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Uu8yq1AQAAVAMAAA4AAABkcnMv&#10;ZTJvRG9jLnhtbK1TzWobMRC+F/IOQvdYa0OKWbwOCSEhUJJC2geQtZJXoD9Gsnf9Askb9NRL730u&#10;P0dHstdpm1vIRTuamf3m+2ZGi8vBGrKVELV3DZ1OKkqkE77Vbt3Q799uz+eUxMRdy413sqE7Genl&#10;8uzTog+1nPnOm1YCQRAX6z40tEsp1IxF0UnL48QH6TCoPFie8Apr1gLvEd0aNquqz6z30AbwQsaI&#10;3ptDkC4LvlJSpEelokzENBS5pXJCOVf5ZMsFr9fAQ6fFkQZ/BwvLtcOiJ6gbnjjZgH4DZbUAH71K&#10;E+Et80ppIYsGVDOt/lPz1PEgixZsTgynNsWPgxUP269AdIuzu6DEcYsz2v942f/8vf/1TNCHDepD&#10;rDHvKWBmGq790NAEGzmGIvqz9EGBzV8URTAFu707dVgOiQh0Tuez+bzCkMDYeMES7PX3ADHdSW9J&#10;NhoKOMLSWb79EtMhdUzJ1Zy/1caUMRr3jwMxs4dl+geO2UrDajhqWvl2h5J6nH5DHa4nJebeYXPz&#10;oowGjMZqNDYB9LpDaoqbmMfDEf5qk5BI4ZerHKCPxXF0ReFxzfJu/H0vWa+PYfk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zql5uc8AAAAFAQAADwAAAAAAAAABACAAAAA4AAAAZHJzL2Rvd25yZXYu&#10;eG1sUEsBAhQAFAAAAAgAh07iQBUu8yq1AQAAVAMAAA4AAAAAAAAAAQAgAAAAN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Style w:val="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1"/>
                          </w:pPr>
                          <w:r>
                            <w:rPr>
                              <w:rStyle w:val="12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6</w:t>
                          </w:r>
                          <w:r>
                            <w:rPr>
                              <w:rStyle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1"/>
                    </w:pPr>
                    <w:r>
                      <w:rPr>
                        <w:rStyle w:val="12"/>
                      </w:rPr>
                      <w:fldChar w:fldCharType="begin"/>
                    </w:r>
                    <w:r>
                      <w:rPr>
                        <w:rStyle w:val="12"/>
                      </w:rPr>
                      <w:instrText xml:space="preserve">PAGE  </w:instrText>
                    </w:r>
                    <w:r>
                      <w:rPr>
                        <w:rStyle w:val="12"/>
                      </w:rPr>
                      <w:fldChar w:fldCharType="separate"/>
                    </w:r>
                    <w:r>
                      <w:rPr>
                        <w:rStyle w:val="12"/>
                      </w:rPr>
                      <w:t>6</w:t>
                    </w:r>
                    <w:r>
                      <w:rPr>
                        <w:rStyle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</w:pPr>
    <w:r>
      <w:t>DB13/T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rPr>
        <w:rFonts w:hint="eastAsia"/>
      </w:rPr>
    </w:pPr>
    <w:r>
      <w:t xml:space="preserve">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rPr>
        <w:rFonts w:hint="eastAsia" w:eastAsia="黑体"/>
        <w:lang w:eastAsia="zh-CN"/>
      </w:rPr>
    </w:pPr>
    <w:r>
      <w:t>DB</w:t>
    </w:r>
    <w:r>
      <w:rPr>
        <w:rFonts w:eastAsia="黑体"/>
      </w:rPr>
      <w:t>13</w:t>
    </w:r>
    <w:r>
      <w:t>/T</w:t>
    </w:r>
    <w:r>
      <w:rPr>
        <w:rFonts w:hint="eastAsia"/>
      </w:rPr>
      <w:t xml:space="preserve"> </w:t>
    </w:r>
    <w:r>
      <w:rPr>
        <w:rFonts w:hint="eastAsia" w:ascii="宋体" w:hAnsi="宋体"/>
        <w:lang w:val="en-GB"/>
      </w:rPr>
      <w:t>××××</w:t>
    </w:r>
    <w:r>
      <w:t>—</w:t>
    </w:r>
    <w:r>
      <w:rPr>
        <w:rFonts w:hint="eastAsia" w:eastAsia="黑体"/>
        <w:lang w:val="en-GB"/>
      </w:rPr>
      <w:t>20</w:t>
    </w:r>
    <w:r>
      <w:rPr>
        <w:rFonts w:hint="eastAsia" w:eastAsia="黑体"/>
      </w:rPr>
      <w:t>2</w:t>
    </w:r>
    <w:r>
      <w:rPr>
        <w:rFonts w:hint="eastAsia" w:eastAsia="黑体"/>
        <w:lang w:val="en-US" w:eastAsia="zh-CN"/>
      </w:rPr>
      <w:t>3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rPr>
        <w:rFonts w:hint="eastAsia" w:eastAsia="黑体"/>
        <w:lang w:eastAsia="zh-CN"/>
      </w:rPr>
    </w:pPr>
    <w:r>
      <w:t>DB</w:t>
    </w:r>
    <w:r>
      <w:rPr>
        <w:rFonts w:eastAsia="黑体"/>
      </w:rPr>
      <w:t>13</w:t>
    </w:r>
    <w:r>
      <w:t>/T</w:t>
    </w:r>
    <w:r>
      <w:rPr>
        <w:rFonts w:hint="eastAsia"/>
      </w:rPr>
      <w:t xml:space="preserve"> </w:t>
    </w:r>
    <w:r>
      <w:rPr>
        <w:rFonts w:hint="eastAsia" w:ascii="宋体" w:hAnsi="宋体"/>
        <w:lang w:val="en-GB"/>
      </w:rPr>
      <w:t>××××</w:t>
    </w:r>
    <w:r>
      <w:t>—</w:t>
    </w:r>
    <w:r>
      <w:rPr>
        <w:rFonts w:hint="eastAsia" w:eastAsia="黑体"/>
        <w:lang w:val="en-GB"/>
      </w:rPr>
      <w:t>20</w:t>
    </w:r>
    <w:r>
      <w:rPr>
        <w:rFonts w:hint="eastAsia" w:eastAsia="黑体"/>
      </w:rPr>
      <w:t>2</w:t>
    </w:r>
    <w:r>
      <w:rPr>
        <w:rFonts w:hint="eastAsia" w:eastAsia="黑体"/>
        <w:lang w:val="en-US" w:eastAsia="zh-CN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8E3F65"/>
    <w:multiLevelType w:val="multilevel"/>
    <w:tmpl w:val="7F8E3F65"/>
    <w:lvl w:ilvl="0" w:tentative="0">
      <w:start w:val="1"/>
      <w:numFmt w:val="none"/>
      <w:pStyle w:val="1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5"/>
      <w:numFmt w:val="decimal"/>
      <w:pStyle w:val="18"/>
      <w:suff w:val="nothing"/>
      <w:lvlText w:val="%1%2　"/>
      <w:lvlJc w:val="left"/>
      <w:pPr>
        <w:ind w:left="142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5"/>
      <w:numFmt w:val="none"/>
      <w:lvlRestart w:val="1"/>
      <w:suff w:val="nothing"/>
      <w:lvlText w:val="6.5　"/>
      <w:lvlJc w:val="left"/>
      <w:pPr>
        <w:ind w:left="54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3" w:tentative="0">
      <w:start w:val="1"/>
      <w:numFmt w:val="decimal"/>
      <w:lvlRestart w:val="2"/>
      <w:suff w:val="nothing"/>
      <w:lvlText w:val="%4%16.7.1　"/>
      <w:lvlJc w:val="left"/>
      <w:pPr>
        <w:ind w:left="36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pPr>
        <w:ind w:left="72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8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MzVkNzQxY2JkOTRhZTRkNTJkM2M0ZmRhYmJlZWIifQ=="/>
  </w:docVars>
  <w:rsids>
    <w:rsidRoot w:val="5F5F6963"/>
    <w:rsid w:val="013E4434"/>
    <w:rsid w:val="022867D7"/>
    <w:rsid w:val="02DA4630"/>
    <w:rsid w:val="049008C2"/>
    <w:rsid w:val="04DA2309"/>
    <w:rsid w:val="052A41B3"/>
    <w:rsid w:val="05580E5A"/>
    <w:rsid w:val="05B770D0"/>
    <w:rsid w:val="07566AB5"/>
    <w:rsid w:val="07753A73"/>
    <w:rsid w:val="078B414B"/>
    <w:rsid w:val="0882554E"/>
    <w:rsid w:val="08BA22D8"/>
    <w:rsid w:val="08D94086"/>
    <w:rsid w:val="09E11662"/>
    <w:rsid w:val="0A760AE0"/>
    <w:rsid w:val="0A997772"/>
    <w:rsid w:val="0BA019BC"/>
    <w:rsid w:val="0C1B5A9E"/>
    <w:rsid w:val="0C277A63"/>
    <w:rsid w:val="0C436B74"/>
    <w:rsid w:val="0C49550E"/>
    <w:rsid w:val="0D0E7E2F"/>
    <w:rsid w:val="0D6847C8"/>
    <w:rsid w:val="0DBD4AE6"/>
    <w:rsid w:val="0DC61A39"/>
    <w:rsid w:val="0E032C8D"/>
    <w:rsid w:val="0EA6455C"/>
    <w:rsid w:val="0EDB12B6"/>
    <w:rsid w:val="0F1B0723"/>
    <w:rsid w:val="0F713C26"/>
    <w:rsid w:val="10784330"/>
    <w:rsid w:val="10C1688D"/>
    <w:rsid w:val="10F845FF"/>
    <w:rsid w:val="11080D41"/>
    <w:rsid w:val="12CC5F08"/>
    <w:rsid w:val="130D0774"/>
    <w:rsid w:val="132B1764"/>
    <w:rsid w:val="13AF1C0F"/>
    <w:rsid w:val="14B50353"/>
    <w:rsid w:val="154B0B31"/>
    <w:rsid w:val="156A1844"/>
    <w:rsid w:val="15720785"/>
    <w:rsid w:val="16041CDA"/>
    <w:rsid w:val="16DF6C6B"/>
    <w:rsid w:val="174F2A9F"/>
    <w:rsid w:val="17955784"/>
    <w:rsid w:val="17D770FF"/>
    <w:rsid w:val="18622A59"/>
    <w:rsid w:val="195720DF"/>
    <w:rsid w:val="1A632B1C"/>
    <w:rsid w:val="1A6F6245"/>
    <w:rsid w:val="1ADF640D"/>
    <w:rsid w:val="1AFC15AD"/>
    <w:rsid w:val="1B1F6C2C"/>
    <w:rsid w:val="1B3143F3"/>
    <w:rsid w:val="1B730F35"/>
    <w:rsid w:val="1BC97334"/>
    <w:rsid w:val="1C3B1844"/>
    <w:rsid w:val="1D3E21EE"/>
    <w:rsid w:val="1DA94338"/>
    <w:rsid w:val="1DB15D19"/>
    <w:rsid w:val="1DED1548"/>
    <w:rsid w:val="1EB906D3"/>
    <w:rsid w:val="1EC73863"/>
    <w:rsid w:val="1F007A90"/>
    <w:rsid w:val="1FEC15D6"/>
    <w:rsid w:val="1FEC6D25"/>
    <w:rsid w:val="20051575"/>
    <w:rsid w:val="200B13BD"/>
    <w:rsid w:val="202331F2"/>
    <w:rsid w:val="20A614F4"/>
    <w:rsid w:val="213C22DB"/>
    <w:rsid w:val="217E28FF"/>
    <w:rsid w:val="22647B56"/>
    <w:rsid w:val="23225D6E"/>
    <w:rsid w:val="23360FB7"/>
    <w:rsid w:val="233716C8"/>
    <w:rsid w:val="245C664B"/>
    <w:rsid w:val="24702181"/>
    <w:rsid w:val="247656B7"/>
    <w:rsid w:val="24B3426D"/>
    <w:rsid w:val="25262C95"/>
    <w:rsid w:val="25A93CC2"/>
    <w:rsid w:val="25AB42CF"/>
    <w:rsid w:val="25B859B1"/>
    <w:rsid w:val="271076A2"/>
    <w:rsid w:val="27B506FD"/>
    <w:rsid w:val="28425D42"/>
    <w:rsid w:val="28B85920"/>
    <w:rsid w:val="29E13573"/>
    <w:rsid w:val="29F05520"/>
    <w:rsid w:val="29FE714D"/>
    <w:rsid w:val="2A506E02"/>
    <w:rsid w:val="2B4429C1"/>
    <w:rsid w:val="2B5D6709"/>
    <w:rsid w:val="2B6A1B3B"/>
    <w:rsid w:val="2B98639C"/>
    <w:rsid w:val="2BAE2033"/>
    <w:rsid w:val="2BAE853D"/>
    <w:rsid w:val="2C021D4A"/>
    <w:rsid w:val="2C16019B"/>
    <w:rsid w:val="2CCB22A2"/>
    <w:rsid w:val="2D1F449C"/>
    <w:rsid w:val="2D947FAC"/>
    <w:rsid w:val="2E001437"/>
    <w:rsid w:val="2E396D30"/>
    <w:rsid w:val="2E5073D1"/>
    <w:rsid w:val="2E6E34F6"/>
    <w:rsid w:val="2E864820"/>
    <w:rsid w:val="2ED00512"/>
    <w:rsid w:val="2F554581"/>
    <w:rsid w:val="2FAD6F89"/>
    <w:rsid w:val="309E3961"/>
    <w:rsid w:val="311E37B6"/>
    <w:rsid w:val="318E3F4C"/>
    <w:rsid w:val="32D25543"/>
    <w:rsid w:val="33020049"/>
    <w:rsid w:val="33A41B10"/>
    <w:rsid w:val="34011893"/>
    <w:rsid w:val="341405DB"/>
    <w:rsid w:val="354D6418"/>
    <w:rsid w:val="35C661CB"/>
    <w:rsid w:val="35C84A2E"/>
    <w:rsid w:val="35D73F34"/>
    <w:rsid w:val="362D65AD"/>
    <w:rsid w:val="36EA70E7"/>
    <w:rsid w:val="37066F17"/>
    <w:rsid w:val="372354D2"/>
    <w:rsid w:val="37272E3F"/>
    <w:rsid w:val="37DF4F62"/>
    <w:rsid w:val="37FA7077"/>
    <w:rsid w:val="37FED398"/>
    <w:rsid w:val="383003E6"/>
    <w:rsid w:val="38593326"/>
    <w:rsid w:val="39744449"/>
    <w:rsid w:val="39BA4298"/>
    <w:rsid w:val="39D74B9D"/>
    <w:rsid w:val="3B003A18"/>
    <w:rsid w:val="3C7D6DB8"/>
    <w:rsid w:val="3CCB0BE1"/>
    <w:rsid w:val="3E2129B9"/>
    <w:rsid w:val="3F293E3A"/>
    <w:rsid w:val="3F68632A"/>
    <w:rsid w:val="3F78396A"/>
    <w:rsid w:val="3F7A7E3B"/>
    <w:rsid w:val="40243DA9"/>
    <w:rsid w:val="40403DC9"/>
    <w:rsid w:val="407801AF"/>
    <w:rsid w:val="40786313"/>
    <w:rsid w:val="411E0B85"/>
    <w:rsid w:val="419A5679"/>
    <w:rsid w:val="42211D8E"/>
    <w:rsid w:val="42AC141B"/>
    <w:rsid w:val="42B42166"/>
    <w:rsid w:val="430E697C"/>
    <w:rsid w:val="43863B8D"/>
    <w:rsid w:val="43D12BC1"/>
    <w:rsid w:val="44822DD6"/>
    <w:rsid w:val="44B26298"/>
    <w:rsid w:val="466C77C0"/>
    <w:rsid w:val="4677696F"/>
    <w:rsid w:val="46C23F02"/>
    <w:rsid w:val="479221A7"/>
    <w:rsid w:val="47DF7B38"/>
    <w:rsid w:val="48184648"/>
    <w:rsid w:val="491968FC"/>
    <w:rsid w:val="49970D05"/>
    <w:rsid w:val="4A7162AD"/>
    <w:rsid w:val="4AE1327F"/>
    <w:rsid w:val="4B8C5FA9"/>
    <w:rsid w:val="4BB91516"/>
    <w:rsid w:val="4C6F4F95"/>
    <w:rsid w:val="4D55049C"/>
    <w:rsid w:val="4E941C4A"/>
    <w:rsid w:val="4F4A7160"/>
    <w:rsid w:val="4F5D467F"/>
    <w:rsid w:val="504C32D6"/>
    <w:rsid w:val="50E91C87"/>
    <w:rsid w:val="5107692F"/>
    <w:rsid w:val="51D221F5"/>
    <w:rsid w:val="5276199A"/>
    <w:rsid w:val="527F471B"/>
    <w:rsid w:val="52BB40D8"/>
    <w:rsid w:val="5333606C"/>
    <w:rsid w:val="53C968E8"/>
    <w:rsid w:val="53D02B84"/>
    <w:rsid w:val="53DA3887"/>
    <w:rsid w:val="53F65A75"/>
    <w:rsid w:val="5459601C"/>
    <w:rsid w:val="54FA35B5"/>
    <w:rsid w:val="55521EB1"/>
    <w:rsid w:val="557530C3"/>
    <w:rsid w:val="55FD758F"/>
    <w:rsid w:val="56415898"/>
    <w:rsid w:val="566F0083"/>
    <w:rsid w:val="56D9B29C"/>
    <w:rsid w:val="56E91134"/>
    <w:rsid w:val="56F03203"/>
    <w:rsid w:val="58586CFE"/>
    <w:rsid w:val="59162E41"/>
    <w:rsid w:val="59C06909"/>
    <w:rsid w:val="5AE605F2"/>
    <w:rsid w:val="5BCA6AD9"/>
    <w:rsid w:val="5C11581F"/>
    <w:rsid w:val="5C3B1BA2"/>
    <w:rsid w:val="5C6A2743"/>
    <w:rsid w:val="5D280A3C"/>
    <w:rsid w:val="5D7DA7DE"/>
    <w:rsid w:val="5DB06C95"/>
    <w:rsid w:val="5DB45F7F"/>
    <w:rsid w:val="5F5F6963"/>
    <w:rsid w:val="5F7FAC26"/>
    <w:rsid w:val="618B1EF3"/>
    <w:rsid w:val="62107209"/>
    <w:rsid w:val="622C5484"/>
    <w:rsid w:val="623D401A"/>
    <w:rsid w:val="62434B2B"/>
    <w:rsid w:val="626F711E"/>
    <w:rsid w:val="62A61D82"/>
    <w:rsid w:val="62B463B4"/>
    <w:rsid w:val="62D84CC4"/>
    <w:rsid w:val="63BC2837"/>
    <w:rsid w:val="64A27438"/>
    <w:rsid w:val="652505CF"/>
    <w:rsid w:val="65BE0480"/>
    <w:rsid w:val="65FA049F"/>
    <w:rsid w:val="66285F62"/>
    <w:rsid w:val="664A32B8"/>
    <w:rsid w:val="668B60F0"/>
    <w:rsid w:val="66A93763"/>
    <w:rsid w:val="66F365FD"/>
    <w:rsid w:val="683C5CF5"/>
    <w:rsid w:val="68E71A42"/>
    <w:rsid w:val="69B95A25"/>
    <w:rsid w:val="6A0054E6"/>
    <w:rsid w:val="6C1A47F2"/>
    <w:rsid w:val="6D260D22"/>
    <w:rsid w:val="6DD333D1"/>
    <w:rsid w:val="6E1E085D"/>
    <w:rsid w:val="6E7F87E9"/>
    <w:rsid w:val="6F1E43A6"/>
    <w:rsid w:val="6F5406C8"/>
    <w:rsid w:val="6F5A4D44"/>
    <w:rsid w:val="6FFB003F"/>
    <w:rsid w:val="70291255"/>
    <w:rsid w:val="705B0CE2"/>
    <w:rsid w:val="70843905"/>
    <w:rsid w:val="725F651B"/>
    <w:rsid w:val="728A2261"/>
    <w:rsid w:val="72B6696E"/>
    <w:rsid w:val="72EE0295"/>
    <w:rsid w:val="73060BE2"/>
    <w:rsid w:val="73107E21"/>
    <w:rsid w:val="73504D4A"/>
    <w:rsid w:val="744A1799"/>
    <w:rsid w:val="74884070"/>
    <w:rsid w:val="74E120FE"/>
    <w:rsid w:val="74E27C24"/>
    <w:rsid w:val="769C26E4"/>
    <w:rsid w:val="76EB568B"/>
    <w:rsid w:val="7717756C"/>
    <w:rsid w:val="772D382F"/>
    <w:rsid w:val="775FA6FB"/>
    <w:rsid w:val="777059BB"/>
    <w:rsid w:val="77AC273C"/>
    <w:rsid w:val="77AF74B1"/>
    <w:rsid w:val="77DF2D80"/>
    <w:rsid w:val="77ED490A"/>
    <w:rsid w:val="793970D4"/>
    <w:rsid w:val="79AC0800"/>
    <w:rsid w:val="7A4FE966"/>
    <w:rsid w:val="7A5D60E6"/>
    <w:rsid w:val="7AB300EA"/>
    <w:rsid w:val="7AB672C9"/>
    <w:rsid w:val="7B5B420B"/>
    <w:rsid w:val="7B5F68B6"/>
    <w:rsid w:val="7B978441"/>
    <w:rsid w:val="7BA96A75"/>
    <w:rsid w:val="7BFC488E"/>
    <w:rsid w:val="7D6D1A96"/>
    <w:rsid w:val="7DBE1350"/>
    <w:rsid w:val="7DCE2183"/>
    <w:rsid w:val="7E141CA9"/>
    <w:rsid w:val="7E7EDBDF"/>
    <w:rsid w:val="7F191225"/>
    <w:rsid w:val="7F3EB774"/>
    <w:rsid w:val="7F663BAF"/>
    <w:rsid w:val="7F7F9C85"/>
    <w:rsid w:val="7FEE2657"/>
    <w:rsid w:val="7FFB9DA1"/>
    <w:rsid w:val="7FFF649B"/>
    <w:rsid w:val="ADFFFF78"/>
    <w:rsid w:val="BBFF6D23"/>
    <w:rsid w:val="BDFE818F"/>
    <w:rsid w:val="BFECCBBC"/>
    <w:rsid w:val="BFFF6868"/>
    <w:rsid w:val="DF1F0A81"/>
    <w:rsid w:val="DF7B4831"/>
    <w:rsid w:val="DF9BA7B6"/>
    <w:rsid w:val="EBDC2C58"/>
    <w:rsid w:val="EDF3FE5D"/>
    <w:rsid w:val="EDFB2729"/>
    <w:rsid w:val="EDFF12E7"/>
    <w:rsid w:val="EEFC0DF5"/>
    <w:rsid w:val="EFF9042A"/>
    <w:rsid w:val="F61B2260"/>
    <w:rsid w:val="F6D9ACD5"/>
    <w:rsid w:val="F7E7E89A"/>
    <w:rsid w:val="FBED584D"/>
    <w:rsid w:val="FBF595CC"/>
    <w:rsid w:val="FDD34FD2"/>
    <w:rsid w:val="FE7FB45D"/>
    <w:rsid w:val="FF538C6A"/>
    <w:rsid w:val="FFE7E2B8"/>
    <w:rsid w:val="FFFBF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200" w:leftChars="200"/>
    </w:pPr>
    <w:rPr>
      <w:rFonts w:ascii="Times New Roman"/>
      <w:szCs w:val="24"/>
    </w:rPr>
  </w:style>
  <w:style w:type="paragraph" w:styleId="4">
    <w:name w:val="annotation text"/>
    <w:basedOn w:val="1"/>
    <w:next w:val="3"/>
    <w:qFormat/>
    <w:uiPriority w:val="0"/>
    <w:pPr>
      <w:jc w:val="left"/>
    </w:pPr>
  </w:style>
  <w:style w:type="paragraph" w:styleId="5">
    <w:name w:val="Body Text Indent"/>
    <w:basedOn w:val="1"/>
    <w:next w:val="6"/>
    <w:qFormat/>
    <w:uiPriority w:val="0"/>
    <w:pPr>
      <w:spacing w:after="120" w:line="460" w:lineRule="exact"/>
      <w:ind w:left="420" w:leftChars="200"/>
    </w:pPr>
    <w:rPr>
      <w:rFonts w:ascii="Arial" w:hAnsi="Arial"/>
      <w:spacing w:val="10"/>
      <w:sz w:val="24"/>
      <w:szCs w:val="20"/>
    </w:rPr>
  </w:style>
  <w:style w:type="paragraph" w:styleId="6">
    <w:name w:val="toc 8"/>
    <w:basedOn w:val="1"/>
    <w:next w:val="1"/>
    <w:qFormat/>
    <w:uiPriority w:val="0"/>
    <w:pPr>
      <w:ind w:left="1470"/>
      <w:jc w:val="left"/>
    </w:pPr>
    <w:rPr>
      <w:sz w:val="20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8">
    <w:name w:val="header"/>
    <w:basedOn w:val="1"/>
    <w:qFormat/>
    <w:uiPriority w:val="0"/>
    <w:pPr>
      <w:numPr>
        <w:ilvl w:val="6"/>
        <w:numId w:val="1"/>
      </w:num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5"/>
    <w:next w:val="4"/>
    <w:unhideWhenUsed/>
    <w:qFormat/>
    <w:uiPriority w:val="99"/>
    <w:pPr>
      <w:ind w:firstLine="420" w:firstLineChars="200"/>
    </w:pPr>
  </w:style>
  <w:style w:type="character" w:styleId="12">
    <w:name w:val="page number"/>
    <w:qFormat/>
    <w:uiPriority w:val="0"/>
    <w:rPr>
      <w:rFonts w:ascii="Times New Roman" w:hAnsi="Times New Roman" w:eastAsia="宋体"/>
      <w:sz w:val="18"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8">
    <w:name w:val="章标题"/>
    <w:next w:val="16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9">
    <w:name w:val="其他发布部门"/>
    <w:basedOn w:val="1"/>
    <w:qFormat/>
    <w:uiPriority w:val="0"/>
    <w:pPr>
      <w:framePr w:w="7433" w:h="585" w:hRule="exact" w:hSpace="180" w:vSpace="180" w:wrap="around" w:vAnchor="margin" w:hAnchor="margin" w:xAlign="center" w:y="14401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36"/>
      <w:szCs w:val="20"/>
    </w:rPr>
  </w:style>
  <w:style w:type="character" w:customStyle="1" w:styleId="20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21">
    <w:name w:val="实施日期"/>
    <w:basedOn w:val="22"/>
    <w:qFormat/>
    <w:uiPriority w:val="0"/>
    <w:pPr>
      <w:framePr w:hSpace="0" w:xAlign="right"/>
      <w:numPr>
        <w:ilvl w:val="4"/>
        <w:numId w:val="1"/>
      </w:numPr>
      <w:jc w:val="right"/>
    </w:pPr>
  </w:style>
  <w:style w:type="paragraph" w:customStyle="1" w:styleId="22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23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4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5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6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27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28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9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30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1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character" w:customStyle="1" w:styleId="3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emf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2901</Words>
  <Characters>3374</Characters>
  <Lines>0</Lines>
  <Paragraphs>0</Paragraphs>
  <TotalTime>7</TotalTime>
  <ScaleCrop>false</ScaleCrop>
  <LinksUpToDate>false</LinksUpToDate>
  <CharactersWithSpaces>3561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2022-10-23T23:47:00Z</dcterms:created>
  <dc:creator>Administrator</dc:creator>
  <cp:lastModifiedBy>uos</cp:lastModifiedBy>
  <cp:lastPrinted>2022-10-29T01:00:00Z</cp:lastPrinted>
  <dcterms:modified xsi:type="dcterms:W3CDTF">2024-05-17T19:26:39Z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B2C586B980A14E2DBA9A5B64DAA7EAF4</vt:lpwstr>
  </property>
</Properties>
</file>