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6"/>
        <w:sectPr>
          <w:headerReference r:id="rId5" w:type="first"/>
          <w:headerReference r:id="rId3" w:type="default"/>
          <w:footerReference r:id="rId6" w:type="default"/>
          <w:headerReference r:id="rId4" w:type="even"/>
          <w:footerReference r:id="rId7" w:type="even"/>
          <w:pgSz w:w="11907" w:h="16839"/>
          <w:pgMar w:top="567" w:right="851" w:bottom="1361" w:left="1418" w:header="0" w:footer="0" w:gutter="0"/>
          <w:pgNumType w:start="1"/>
          <w:cols w:space="425" w:num="1"/>
          <w:titlePg/>
          <w:docGrid w:type="lines" w:linePitch="312" w:charSpace="0"/>
        </w:sectPr>
      </w:pPr>
      <w:bookmarkStart w:id="0" w:name="SectionMark0"/>
      <w: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8890000</wp:posOffset>
                </wp:positionV>
                <wp:extent cx="6121400" cy="0"/>
                <wp:effectExtent l="14605" t="10795" r="7620" b="8255"/>
                <wp:wrapNone/>
                <wp:docPr id="11" name="Line 11"/>
                <wp:cNvGraphicFramePr/>
                <a:graphic xmlns:a="http://schemas.openxmlformats.org/drawingml/2006/main">
                  <a:graphicData uri="http://schemas.microsoft.com/office/word/2010/wordprocessingShape">
                    <wps:wsp>
                      <wps:cNvCnPr>
                        <a:cxnSpLocks noChangeShapeType="true"/>
                      </wps:cNvCnPr>
                      <wps:spPr bwMode="auto">
                        <a:xfrm>
                          <a:off x="0" y="0"/>
                          <a:ext cx="6121400" cy="0"/>
                        </a:xfrm>
                        <a:prstGeom prst="line">
                          <a:avLst/>
                        </a:prstGeom>
                        <a:noFill/>
                        <a:ln w="12700">
                          <a:solidFill>
                            <a:srgbClr val="080000"/>
                          </a:solidFill>
                          <a:round/>
                        </a:ln>
                      </wps:spPr>
                      <wps:bodyPr/>
                    </wps:wsp>
                  </a:graphicData>
                </a:graphic>
              </wp:anchor>
            </w:drawing>
          </mc:Choice>
          <mc:Fallback>
            <w:pict>
              <v:line id="Line 11" o:spid="_x0000_s1026" o:spt="20" style="position:absolute;left:0pt;margin-left:0pt;margin-top:700pt;height:0pt;width:482pt;z-index:251661312;mso-width-relative:page;mso-height-relative:page;" filled="f" stroked="t" coordsize="21600,21600" o:gfxdata="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BYAAABkcnMv&#10;UEsBAhQAFAAAAAgAh07iQPr0iU/VAAAACgEAAA8AAAAAAAAAAQAgAAAAOAAAAGRycy9kb3ducmV2&#10;LnhtbFBLAQIUABQAAAAIAIdO4kDRH0/0sAEAAFcDAAAOAAAAAAAAAAEAIAAAADoBAABkcnMvZTJv&#10;RG9jLnhtbFBLBQYAAAAABgAGAFkBAABcBQAAAAA=&#10;">
                <v:fill on="f" focussize="0,0"/>
                <v:stroke weight="1pt" color="#080000" joinstyle="round"/>
                <v:imagedata o:title=""/>
                <o:lock v:ext="edit" aspectratio="f"/>
              </v:lin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2273300</wp:posOffset>
                </wp:positionV>
                <wp:extent cx="6121400" cy="0"/>
                <wp:effectExtent l="14605" t="13970" r="7620" b="14605"/>
                <wp:wrapNone/>
                <wp:docPr id="10" name="Line 10"/>
                <wp:cNvGraphicFramePr/>
                <a:graphic xmlns:a="http://schemas.openxmlformats.org/drawingml/2006/main">
                  <a:graphicData uri="http://schemas.microsoft.com/office/word/2010/wordprocessingShape">
                    <wps:wsp>
                      <wps:cNvCnPr>
                        <a:cxnSpLocks noChangeShapeType="true"/>
                      </wps:cNvCnPr>
                      <wps:spPr bwMode="auto">
                        <a:xfrm>
                          <a:off x="0" y="0"/>
                          <a:ext cx="6121400" cy="0"/>
                        </a:xfrm>
                        <a:prstGeom prst="line">
                          <a:avLst/>
                        </a:prstGeom>
                        <a:noFill/>
                        <a:ln w="12700">
                          <a:solidFill>
                            <a:srgbClr val="080000"/>
                          </a:solidFill>
                          <a:round/>
                        </a:ln>
                      </wps:spPr>
                      <wps:bodyPr/>
                    </wps:wsp>
                  </a:graphicData>
                </a:graphic>
              </wp:anchor>
            </w:drawing>
          </mc:Choice>
          <mc:Fallback>
            <w:pict>
              <v:line id="Line 10" o:spid="_x0000_s1026" o:spt="20" style="position:absolute;left:0pt;margin-left:0pt;margin-top:179pt;height:0pt;width:482pt;z-index:251660288;mso-width-relative:page;mso-height-relative:page;" filled="f" stroked="t" coordsize="21600,21600" o:gfxdata="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BYAAABkcnMv&#10;UEsBAhQAFAAAAAgAh07iQDTueDHWAAAACAEAAA8AAAAAAAAAAQAgAAAAOAAAAGRycy9kb3ducmV2&#10;LnhtbFBLAQIUABQAAAAIAIdO4kBp6EBkrwEAAFcDAAAOAAAAAAAAAAEAIAAAADsBAABkcnMvZTJv&#10;RG9jLnhtbFBLBQYAAAAABgAGAFkBAABcBQAAAAA=&#10;">
                <v:fill on="f" focussize="0,0"/>
                <v:stroke weight="1pt" color="#080000" joinstyle="round"/>
                <v:imagedata o:title=""/>
                <o:lock v:ext="edit" aspectratio="f"/>
              </v:line>
            </w:pict>
          </mc:Fallback>
        </mc:AlternateContent>
      </w:r>
      <w:r>
        <mc:AlternateContent>
          <mc:Choice Requires="wps">
            <w:drawing>
              <wp:anchor distT="0" distB="0" distL="114300" distR="114300" simplePos="0" relativeHeight="251659264" behindDoc="0" locked="1" layoutInCell="1" allowOverlap="1">
                <wp:simplePos x="0" y="0"/>
                <wp:positionH relativeFrom="margin">
                  <wp:posOffset>0</wp:posOffset>
                </wp:positionH>
                <wp:positionV relativeFrom="margin">
                  <wp:posOffset>9108440</wp:posOffset>
                </wp:positionV>
                <wp:extent cx="6120130" cy="363220"/>
                <wp:effectExtent l="0" t="635" r="0" b="0"/>
                <wp:wrapNone/>
                <wp:docPr id="9" name="fmFrame7"/>
                <wp:cNvGraphicFramePr/>
                <a:graphic xmlns:a="http://schemas.openxmlformats.org/drawingml/2006/main">
                  <a:graphicData uri="http://schemas.microsoft.com/office/word/2010/wordprocessingShape">
                    <wps:wsp>
                      <wps:cNvSpPr txBox="true">
                        <a:spLocks noChangeArrowheads="true"/>
                      </wps:cNvSpPr>
                      <wps:spPr bwMode="auto">
                        <a:xfrm>
                          <a:off x="0" y="0"/>
                          <a:ext cx="6120130" cy="363220"/>
                        </a:xfrm>
                        <a:prstGeom prst="rect">
                          <a:avLst/>
                        </a:prstGeom>
                        <a:solidFill>
                          <a:srgbClr val="FFFFFF"/>
                        </a:solidFill>
                        <a:ln>
                          <a:noFill/>
                        </a:ln>
                      </wps:spPr>
                      <wps:txbx>
                        <w:txbxContent>
                          <w:p>
                            <w:pPr>
                              <w:pStyle w:val="83"/>
                            </w:pPr>
                            <w:r>
                              <w:rPr>
                                <w:rFonts w:hint="eastAsia"/>
                              </w:rPr>
                              <w:t>河北省市场监督管理局</w:t>
                            </w:r>
                            <w:r>
                              <w:rPr>
                                <w:rStyle w:val="55"/>
                                <w:rFonts w:hint="eastAsia"/>
                              </w:rPr>
                              <w:t xml:space="preserve"> 发布</w:t>
                            </w:r>
                          </w:p>
                          <w:p>
                            <w:pPr>
                              <w:pStyle w:val="83"/>
                            </w:pPr>
                          </w:p>
                        </w:txbxContent>
                      </wps:txbx>
                      <wps:bodyPr rot="0" vert="horz" wrap="square" lIns="0" tIns="0" rIns="0" bIns="0" anchor="t" anchorCtr="false" upright="true">
                        <a:noAutofit/>
                      </wps:bodyPr>
                    </wps:wsp>
                  </a:graphicData>
                </a:graphic>
              </wp:anchor>
            </w:drawing>
          </mc:Choice>
          <mc:Fallback>
            <w:pict>
              <v:shape id="fmFrame7" o:spid="_x0000_s1026" o:spt="202" type="#_x0000_t202" style="position:absolute;left:0pt;margin-left:0pt;margin-top:717.2pt;height:28.6pt;width:481.9pt;mso-position-horizontal-relative:margin;mso-position-vertical-relative:margin;z-index:251659264;mso-width-relative:page;mso-height-relative:page;" fillcolor="#FFFFFF" filled="t" stroked="f" coordsize="21600,21600" o:gfxdata="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FgAAAGRycy9QSwECFAAUAAAACACHTuJAiVYG69gAAAAKAQAADwAAAAAAAAAB&#10;ACAAAAA4AAAAZHJzL2Rvd25yZXYueG1sUEsBAhQAFAAAAAgAh07iQAYwyYL6AQAA6gMAAA4AAAAA&#10;AAAAAQAgAAAAPQEAAGRycy9lMm9Eb2MueG1sUEsFBgAAAAAGAAYAWQEAAKkFAAAAAA==&#10;">
                <v:fill on="t" focussize="0,0"/>
                <v:stroke on="f"/>
                <v:imagedata o:title=""/>
                <o:lock v:ext="edit" aspectratio="f"/>
                <v:textbox inset="0mm,0mm,0mm,0mm">
                  <w:txbxContent>
                    <w:p>
                      <w:pPr>
                        <w:pStyle w:val="83"/>
                      </w:pPr>
                      <w:r>
                        <w:rPr>
                          <w:rFonts w:hint="eastAsia"/>
                        </w:rPr>
                        <w:t>河北省市场监督管理局</w:t>
                      </w:r>
                      <w:r>
                        <w:rPr>
                          <w:rStyle w:val="55"/>
                          <w:rFonts w:hint="eastAsia"/>
                        </w:rPr>
                        <w:t xml:space="preserve"> 发布</w:t>
                      </w:r>
                    </w:p>
                    <w:p>
                      <w:pPr>
                        <w:pStyle w:val="83"/>
                      </w:pPr>
                    </w:p>
                  </w:txbxContent>
                </v:textbox>
                <w10:anchorlock/>
              </v:shape>
            </w:pict>
          </mc:Fallback>
        </mc:AlternateContent>
      </w:r>
      <w:r>
        <mc:AlternateContent>
          <mc:Choice Requires="wps">
            <w:drawing>
              <wp:anchor distT="0" distB="0" distL="114300" distR="114300" simplePos="0" relativeHeight="251658240" behindDoc="0" locked="1" layoutInCell="1" allowOverlap="1">
                <wp:simplePos x="0" y="0"/>
                <wp:positionH relativeFrom="margin">
                  <wp:posOffset>4400550</wp:posOffset>
                </wp:positionH>
                <wp:positionV relativeFrom="margin">
                  <wp:posOffset>8519160</wp:posOffset>
                </wp:positionV>
                <wp:extent cx="1633220" cy="312420"/>
                <wp:effectExtent l="0" t="1905" r="0" b="0"/>
                <wp:wrapNone/>
                <wp:docPr id="8" name="fmFrame6"/>
                <wp:cNvGraphicFramePr/>
                <a:graphic xmlns:a="http://schemas.openxmlformats.org/drawingml/2006/main">
                  <a:graphicData uri="http://schemas.microsoft.com/office/word/2010/wordprocessingShape">
                    <wps:wsp>
                      <wps:cNvSpPr txBox="true">
                        <a:spLocks noChangeArrowheads="true"/>
                      </wps:cNvSpPr>
                      <wps:spPr bwMode="auto">
                        <a:xfrm>
                          <a:off x="0" y="0"/>
                          <a:ext cx="1633220" cy="312420"/>
                        </a:xfrm>
                        <a:prstGeom prst="rect">
                          <a:avLst/>
                        </a:prstGeom>
                        <a:solidFill>
                          <a:srgbClr val="FFFFFF"/>
                        </a:solidFill>
                        <a:ln>
                          <a:noFill/>
                        </a:ln>
                      </wps:spPr>
                      <wps:txbx>
                        <w:txbxContent>
                          <w:p>
                            <w:pPr>
                              <w:rPr>
                                <w:rFonts w:ascii="黑体" w:eastAsia="黑体"/>
                                <w:kern w:val="0"/>
                                <w:sz w:val="28"/>
                                <w:szCs w:val="20"/>
                              </w:rPr>
                            </w:pPr>
                            <w:r>
                              <w:rPr>
                                <w:rFonts w:hint="eastAsia" w:ascii="黑体" w:eastAsia="黑体"/>
                                <w:kern w:val="0"/>
                                <w:sz w:val="28"/>
                                <w:szCs w:val="20"/>
                              </w:rPr>
                              <w:t>20</w:t>
                            </w:r>
                            <w:r>
                              <w:rPr>
                                <w:rFonts w:ascii="黑体" w:eastAsia="黑体"/>
                                <w:kern w:val="0"/>
                                <w:sz w:val="28"/>
                                <w:szCs w:val="20"/>
                              </w:rPr>
                              <w:t>24</w:t>
                            </w:r>
                            <w:r>
                              <w:rPr>
                                <w:rFonts w:hint="eastAsia" w:ascii="黑体" w:eastAsia="黑体"/>
                                <w:kern w:val="0"/>
                                <w:sz w:val="28"/>
                                <w:szCs w:val="20"/>
                              </w:rPr>
                              <w:t>-XX-XX实施</w:t>
                            </w:r>
                          </w:p>
                          <w:p>
                            <w:pPr>
                              <w:pStyle w:val="57"/>
                            </w:pPr>
                          </w:p>
                        </w:txbxContent>
                      </wps:txbx>
                      <wps:bodyPr rot="0" vert="horz" wrap="square" lIns="0" tIns="0" rIns="0" bIns="0" anchor="t" anchorCtr="false" upright="true">
                        <a:noAutofit/>
                      </wps:bodyPr>
                    </wps:wsp>
                  </a:graphicData>
                </a:graphic>
              </wp:anchor>
            </w:drawing>
          </mc:Choice>
          <mc:Fallback>
            <w:pict>
              <v:shape id="fmFrame6" o:spid="_x0000_s1026" o:spt="202" type="#_x0000_t202" style="position:absolute;left:0pt;margin-left:346.5pt;margin-top:670.8pt;height:24.6pt;width:128.6pt;mso-position-horizontal-relative:margin;mso-position-vertical-relative:margin;z-index:251658240;mso-width-relative:page;mso-height-relative:page;" fillcolor="#FFFFFF" filled="t" stroked="f" coordsize="21600,21600" o:gfxdata="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BYAAABkcnMvUEsBAhQAFAAAAAgAh07iQMNM4v7bAAAADQEAAA8AAAAAAAAA&#10;AQAgAAAAOAAAAGRycy9kb3ducmV2LnhtbFBLAQIUABQAAAAIAIdO4kBX239a+AEAAOoDAAAOAAAA&#10;AAAAAAEAIAAAAEABAABkcnMvZTJvRG9jLnhtbFBLBQYAAAAABgAGAFkBAACqBQAAAAA=&#10;">
                <v:fill on="t" focussize="0,0"/>
                <v:stroke on="f"/>
                <v:imagedata o:title=""/>
                <o:lock v:ext="edit" aspectratio="f"/>
                <v:textbox inset="0mm,0mm,0mm,0mm">
                  <w:txbxContent>
                    <w:p>
                      <w:pPr>
                        <w:rPr>
                          <w:rFonts w:ascii="黑体" w:eastAsia="黑体"/>
                          <w:kern w:val="0"/>
                          <w:sz w:val="28"/>
                          <w:szCs w:val="20"/>
                        </w:rPr>
                      </w:pPr>
                      <w:r>
                        <w:rPr>
                          <w:rFonts w:hint="eastAsia" w:ascii="黑体" w:eastAsia="黑体"/>
                          <w:kern w:val="0"/>
                          <w:sz w:val="28"/>
                          <w:szCs w:val="20"/>
                        </w:rPr>
                        <w:t>20</w:t>
                      </w:r>
                      <w:r>
                        <w:rPr>
                          <w:rFonts w:ascii="黑体" w:eastAsia="黑体"/>
                          <w:kern w:val="0"/>
                          <w:sz w:val="28"/>
                          <w:szCs w:val="20"/>
                        </w:rPr>
                        <w:t>24</w:t>
                      </w:r>
                      <w:r>
                        <w:rPr>
                          <w:rFonts w:hint="eastAsia" w:ascii="黑体" w:eastAsia="黑体"/>
                          <w:kern w:val="0"/>
                          <w:sz w:val="28"/>
                          <w:szCs w:val="20"/>
                        </w:rPr>
                        <w:t>-XX-XX实施</w:t>
                      </w:r>
                    </w:p>
                    <w:p>
                      <w:pPr>
                        <w:pStyle w:val="57"/>
                      </w:pPr>
                    </w:p>
                  </w:txbxContent>
                </v:textbox>
                <w10:anchorlock/>
              </v:shape>
            </w:pict>
          </mc:Fallback>
        </mc:AlternateContent>
      </w:r>
      <w:r>
        <mc:AlternateContent>
          <mc:Choice Requires="wps">
            <w:drawing>
              <wp:anchor distT="0" distB="0" distL="114300" distR="114300" simplePos="0" relativeHeight="251658240" behindDoc="0" locked="1" layoutInCell="1" allowOverlap="1">
                <wp:simplePos x="0" y="0"/>
                <wp:positionH relativeFrom="margin">
                  <wp:posOffset>0</wp:posOffset>
                </wp:positionH>
                <wp:positionV relativeFrom="margin">
                  <wp:posOffset>8563610</wp:posOffset>
                </wp:positionV>
                <wp:extent cx="2019300" cy="312420"/>
                <wp:effectExtent l="0" t="0" r="4445" b="3175"/>
                <wp:wrapNone/>
                <wp:docPr id="7" name="fmFrame5"/>
                <wp:cNvGraphicFramePr/>
                <a:graphic xmlns:a="http://schemas.openxmlformats.org/drawingml/2006/main">
                  <a:graphicData uri="http://schemas.microsoft.com/office/word/2010/wordprocessingShape">
                    <wps:wsp>
                      <wps:cNvSpPr txBox="true">
                        <a:spLocks noChangeArrowheads="true"/>
                      </wps:cNvSpPr>
                      <wps:spPr bwMode="auto">
                        <a:xfrm>
                          <a:off x="0" y="0"/>
                          <a:ext cx="2019300" cy="312420"/>
                        </a:xfrm>
                        <a:prstGeom prst="rect">
                          <a:avLst/>
                        </a:prstGeom>
                        <a:solidFill>
                          <a:srgbClr val="FFFFFF"/>
                        </a:solidFill>
                        <a:ln>
                          <a:noFill/>
                        </a:ln>
                      </wps:spPr>
                      <wps:txbx>
                        <w:txbxContent>
                          <w:p>
                            <w:pPr>
                              <w:pStyle w:val="57"/>
                              <w:rPr>
                                <w:rFonts w:ascii="黑体"/>
                              </w:rPr>
                            </w:pPr>
                            <w:r>
                              <w:rPr>
                                <w:rFonts w:hint="eastAsia" w:ascii="黑体"/>
                              </w:rPr>
                              <w:t>20</w:t>
                            </w:r>
                            <w:r>
                              <w:rPr>
                                <w:rFonts w:ascii="黑体"/>
                              </w:rPr>
                              <w:t>24</w:t>
                            </w:r>
                            <w:r>
                              <w:rPr>
                                <w:rFonts w:hint="eastAsia" w:ascii="黑体"/>
                              </w:rPr>
                              <w:t>-XX-XX发布</w:t>
                            </w:r>
                          </w:p>
                          <w:p>
                            <w:pPr>
                              <w:pStyle w:val="57"/>
                            </w:pPr>
                          </w:p>
                        </w:txbxContent>
                      </wps:txbx>
                      <wps:bodyPr rot="0" vert="horz" wrap="square" lIns="0" tIns="0" rIns="0" bIns="0" anchor="t" anchorCtr="false" upright="true">
                        <a:noAutofit/>
                      </wps:bodyPr>
                    </wps:wsp>
                  </a:graphicData>
                </a:graphic>
              </wp:anchor>
            </w:drawing>
          </mc:Choice>
          <mc:Fallback>
            <w:pict>
              <v:shape id="fmFrame5" o:spid="_x0000_s1026" o:spt="202" type="#_x0000_t202" style="position:absolute;left:0pt;margin-left:0pt;margin-top:674.3pt;height:24.6pt;width:159pt;mso-position-horizontal-relative:margin;mso-position-vertical-relative:margin;z-index:251658240;mso-width-relative:page;mso-height-relative:page;" fillcolor="#FFFFFF" filled="t" stroked="f" coordsize="21600,21600" o:gfxdata="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FgAAAGRycy9QSwECFAAUAAAACACHTuJAXzbKiNgAAAAKAQAADwAAAAAAAAAB&#10;ACAAAAA4AAAAZHJzL2Rvd25yZXYueG1sUEsBAhQAFAAAAAgAh07iQI0F8gr6AQAA6gMAAA4AAAAA&#10;AAAAAQAgAAAAPQEAAGRycy9lMm9Eb2MueG1sUEsFBgAAAAAGAAYAWQEAAKkFAAAAAA==&#10;">
                <v:fill on="t" focussize="0,0"/>
                <v:stroke on="f"/>
                <v:imagedata o:title=""/>
                <o:lock v:ext="edit" aspectratio="f"/>
                <v:textbox inset="0mm,0mm,0mm,0mm">
                  <w:txbxContent>
                    <w:p>
                      <w:pPr>
                        <w:pStyle w:val="57"/>
                        <w:rPr>
                          <w:rFonts w:ascii="黑体"/>
                        </w:rPr>
                      </w:pPr>
                      <w:r>
                        <w:rPr>
                          <w:rFonts w:hint="eastAsia" w:ascii="黑体"/>
                        </w:rPr>
                        <w:t>20</w:t>
                      </w:r>
                      <w:r>
                        <w:rPr>
                          <w:rFonts w:ascii="黑体"/>
                        </w:rPr>
                        <w:t>24</w:t>
                      </w:r>
                      <w:r>
                        <w:rPr>
                          <w:rFonts w:hint="eastAsia" w:ascii="黑体"/>
                        </w:rPr>
                        <w:t>-XX-XX发布</w:t>
                      </w:r>
                    </w:p>
                    <w:p>
                      <w:pPr>
                        <w:pStyle w:val="57"/>
                      </w:pPr>
                    </w:p>
                  </w:txbxContent>
                </v:textbox>
                <w10:anchorlock/>
              </v:shape>
            </w:pict>
          </mc:Fallback>
        </mc:AlternateContent>
      </w:r>
      <w:bookmarkStart w:id="13" w:name="_GoBack"/>
      <w:bookmarkEnd w:id="13"/>
      <w:r>
        <mc:AlternateContent>
          <mc:Choice Requires="wps">
            <w:drawing>
              <wp:anchor distT="0" distB="0" distL="114300" distR="114300" simplePos="0" relativeHeight="251657216" behindDoc="0" locked="1" layoutInCell="1" allowOverlap="1">
                <wp:simplePos x="0" y="0"/>
                <wp:positionH relativeFrom="margin">
                  <wp:posOffset>-60960</wp:posOffset>
                </wp:positionH>
                <wp:positionV relativeFrom="margin">
                  <wp:posOffset>3185795</wp:posOffset>
                </wp:positionV>
                <wp:extent cx="5969000" cy="4681220"/>
                <wp:effectExtent l="0" t="4445" r="0" b="635"/>
                <wp:wrapNone/>
                <wp:docPr id="6" name="fmFrame4"/>
                <wp:cNvGraphicFramePr/>
                <a:graphic xmlns:a="http://schemas.openxmlformats.org/drawingml/2006/main">
                  <a:graphicData uri="http://schemas.microsoft.com/office/word/2010/wordprocessingShape">
                    <wps:wsp>
                      <wps:cNvSpPr txBox="true">
                        <a:spLocks noChangeArrowheads="true"/>
                      </wps:cNvSpPr>
                      <wps:spPr bwMode="auto">
                        <a:xfrm>
                          <a:off x="0" y="0"/>
                          <a:ext cx="5969000" cy="4681220"/>
                        </a:xfrm>
                        <a:prstGeom prst="rect">
                          <a:avLst/>
                        </a:prstGeom>
                        <a:solidFill>
                          <a:srgbClr val="FFFFFF"/>
                        </a:solidFill>
                        <a:ln>
                          <a:noFill/>
                        </a:ln>
                      </wps:spPr>
                      <wps:txbx>
                        <w:txbxContent>
                          <w:p>
                            <w:pPr>
                              <w:pStyle w:val="61"/>
                            </w:pPr>
                            <w:r>
                              <w:rPr>
                                <w:rFonts w:hint="eastAsia"/>
                              </w:rPr>
                              <w:t>甘薯-冬小麦</w:t>
                            </w:r>
                            <w:r>
                              <w:t>-谷子</w:t>
                            </w:r>
                            <w:r>
                              <w:rPr>
                                <w:rFonts w:hint="eastAsia"/>
                              </w:rPr>
                              <w:t>两年三熟节水轮作栽培</w:t>
                            </w:r>
                            <w:r>
                              <w:t>技术规程</w:t>
                            </w:r>
                          </w:p>
                          <w:p>
                            <w:pPr>
                              <w:pStyle w:val="63"/>
                            </w:pPr>
                            <w:r>
                              <w:rPr>
                                <w:rFonts w:hint="eastAsia"/>
                              </w:rPr>
                              <w:t>(网上征求意见稿)</w:t>
                            </w:r>
                          </w:p>
                          <w:p>
                            <w:pPr>
                              <w:pStyle w:val="62"/>
                            </w:pPr>
                          </w:p>
                        </w:txbxContent>
                      </wps:txbx>
                      <wps:bodyPr rot="0" vert="horz" wrap="square" lIns="0" tIns="0" rIns="0" bIns="0" anchor="t" anchorCtr="false" upright="true">
                        <a:noAutofit/>
                      </wps:bodyPr>
                    </wps:wsp>
                  </a:graphicData>
                </a:graphic>
              </wp:anchor>
            </w:drawing>
          </mc:Choice>
          <mc:Fallback>
            <w:pict>
              <v:shape id="fmFrame4" o:spid="_x0000_s1026" o:spt="202" type="#_x0000_t202" style="position:absolute;left:0pt;margin-left:-4.8pt;margin-top:250.85pt;height:368.6pt;width:470pt;mso-position-horizontal-relative:margin;mso-position-vertical-relative:margin;z-index:251657216;mso-width-relative:page;mso-height-relative:page;" fillcolor="#FFFFFF" filled="t" stroked="f" coordsize="21600,21600" o:gfxdata="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WAAAAZHJzL1BLAQIUABQAAAAIAIdO4kDmbFLl2gAAAAsBAAAPAAAA&#10;AAAAAAEAIAAAADgAAABkcnMvZG93bnJldi54bWxQSwECFAAUAAAACACHTuJAPF2n4f0BAADrAwAA&#10;DgAAAAAAAAABACAAAAA/AQAAZHJzL2Uyb0RvYy54bWxQSwUGAAAAAAYABgBZAQAArgUAAAAA&#10;">
                <v:fill on="t" focussize="0,0"/>
                <v:stroke on="f"/>
                <v:imagedata o:title=""/>
                <o:lock v:ext="edit" aspectratio="f"/>
                <v:textbox inset="0mm,0mm,0mm,0mm">
                  <w:txbxContent>
                    <w:p>
                      <w:pPr>
                        <w:pStyle w:val="61"/>
                      </w:pPr>
                      <w:r>
                        <w:rPr>
                          <w:rFonts w:hint="eastAsia"/>
                        </w:rPr>
                        <w:t>甘薯-冬小麦</w:t>
                      </w:r>
                      <w:r>
                        <w:t>-谷子</w:t>
                      </w:r>
                      <w:r>
                        <w:rPr>
                          <w:rFonts w:hint="eastAsia"/>
                        </w:rPr>
                        <w:t>两年三熟节水轮作栽培</w:t>
                      </w:r>
                      <w:r>
                        <w:t>技术规程</w:t>
                      </w:r>
                    </w:p>
                    <w:p>
                      <w:pPr>
                        <w:pStyle w:val="63"/>
                      </w:pPr>
                      <w:r>
                        <w:rPr>
                          <w:rFonts w:hint="eastAsia"/>
                        </w:rPr>
                        <w:t>(网上征求意见稿)</w:t>
                      </w:r>
                    </w:p>
                    <w:p>
                      <w:pPr>
                        <w:pStyle w:val="62"/>
                      </w:pPr>
                    </w:p>
                  </w:txbxContent>
                </v:textbox>
                <w10:anchorlock/>
              </v:shape>
            </w:pict>
          </mc:Fallback>
        </mc:AlternateContent>
      </w:r>
      <w:r>
        <mc:AlternateContent>
          <mc:Choice Requires="wps">
            <w:drawing>
              <wp:anchor distT="0" distB="0" distL="114300" distR="114300" simplePos="0" relativeHeight="251656192" behindDoc="0" locked="1" layoutInCell="1" allowOverlap="1">
                <wp:simplePos x="0" y="0"/>
                <wp:positionH relativeFrom="margin">
                  <wp:posOffset>0</wp:posOffset>
                </wp:positionH>
                <wp:positionV relativeFrom="margin">
                  <wp:posOffset>1401445</wp:posOffset>
                </wp:positionV>
                <wp:extent cx="5802630" cy="860425"/>
                <wp:effectExtent l="0" t="0" r="2540" b="0"/>
                <wp:wrapNone/>
                <wp:docPr id="5" name="fmFrame3"/>
                <wp:cNvGraphicFramePr/>
                <a:graphic xmlns:a="http://schemas.openxmlformats.org/drawingml/2006/main">
                  <a:graphicData uri="http://schemas.microsoft.com/office/word/2010/wordprocessingShape">
                    <wps:wsp>
                      <wps:cNvSpPr txBox="true">
                        <a:spLocks noChangeArrowheads="true"/>
                      </wps:cNvSpPr>
                      <wps:spPr bwMode="auto">
                        <a:xfrm>
                          <a:off x="0" y="0"/>
                          <a:ext cx="5802630" cy="860425"/>
                        </a:xfrm>
                        <a:prstGeom prst="rect">
                          <a:avLst/>
                        </a:prstGeom>
                        <a:solidFill>
                          <a:srgbClr val="FFFFFF"/>
                        </a:solidFill>
                        <a:ln>
                          <a:noFill/>
                        </a:ln>
                      </wps:spPr>
                      <wps:txbx>
                        <w:txbxContent>
                          <w:p>
                            <w:pPr>
                              <w:pStyle w:val="58"/>
                            </w:pPr>
                            <w:r>
                              <w:rPr>
                                <w:rFonts w:hint="eastAsia"/>
                              </w:rPr>
                              <w:t>DB13</w:t>
                            </w:r>
                            <w:r>
                              <w:t>/</w:t>
                            </w:r>
                            <w:r>
                              <w:rPr>
                                <w:rFonts w:hint="eastAsia"/>
                              </w:rPr>
                              <w:t>T</w:t>
                            </w:r>
                            <w:r>
                              <w:t xml:space="preserve"> ××××—2024</w:t>
                            </w:r>
                          </w:p>
                        </w:txbxContent>
                      </wps:txbx>
                      <wps:bodyPr rot="0" vert="horz" wrap="square" lIns="0" tIns="0" rIns="0" bIns="0" anchor="t" anchorCtr="false" upright="true">
                        <a:noAutofit/>
                      </wps:bodyPr>
                    </wps:wsp>
                  </a:graphicData>
                </a:graphic>
              </wp:anchor>
            </w:drawing>
          </mc:Choice>
          <mc:Fallback>
            <w:pict>
              <v:shape id="fmFrame3" o:spid="_x0000_s1026" o:spt="202" type="#_x0000_t202" style="position:absolute;left:0pt;margin-left:0pt;margin-top:110.35pt;height:67.75pt;width:456.9pt;mso-position-horizontal-relative:margin;mso-position-vertical-relative:margin;z-index:251656192;mso-width-relative:page;mso-height-relative:page;" fillcolor="#FFFFFF" filled="t" stroked="f" coordsize="21600,21600" o:gfxdata="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FgAAAGRycy9QSwECFAAUAAAACACHTuJABQGk+9gAAAAIAQAADwAAAAAAAAAB&#10;ACAAAAA4AAAAZHJzL2Rvd25yZXYueG1sUEsBAhQAFAAAAAgAh07iQGzhA3D6AQAA6gMAAA4AAAAA&#10;AAAAAQAgAAAAPQEAAGRycy9lMm9Eb2MueG1sUEsFBgAAAAAGAAYAWQEAAKkFAAAAAA==&#10;">
                <v:fill on="t" focussize="0,0"/>
                <v:stroke on="f"/>
                <v:imagedata o:title=""/>
                <o:lock v:ext="edit" aspectratio="f"/>
                <v:textbox inset="0mm,0mm,0mm,0mm">
                  <w:txbxContent>
                    <w:p>
                      <w:pPr>
                        <w:pStyle w:val="58"/>
                      </w:pPr>
                      <w:r>
                        <w:rPr>
                          <w:rFonts w:hint="eastAsia"/>
                        </w:rPr>
                        <w:t>DB13</w:t>
                      </w:r>
                      <w:r>
                        <w:t>/</w:t>
                      </w:r>
                      <w:r>
                        <w:rPr>
                          <w:rFonts w:hint="eastAsia"/>
                        </w:rPr>
                        <w:t>T</w:t>
                      </w:r>
                      <w:r>
                        <w:t xml:space="preserve"> ××××—2024</w:t>
                      </w:r>
                    </w:p>
                  </w:txbxContent>
                </v:textbox>
                <w10:anchorlock/>
              </v:shape>
            </w:pict>
          </mc:Fallback>
        </mc:AlternateContent>
      </w:r>
      <w:r>
        <mc:AlternateContent>
          <mc:Choice Requires="wps">
            <w:drawing>
              <wp:anchor distT="0" distB="0" distL="114300" distR="114300" simplePos="0" relativeHeight="251655168" behindDoc="0" locked="1" layoutInCell="1" allowOverlap="1">
                <wp:simplePos x="0" y="0"/>
                <wp:positionH relativeFrom="margin">
                  <wp:posOffset>2800350</wp:posOffset>
                </wp:positionH>
                <wp:positionV relativeFrom="margin">
                  <wp:posOffset>99060</wp:posOffset>
                </wp:positionV>
                <wp:extent cx="3175000" cy="720090"/>
                <wp:effectExtent l="0" t="1905" r="1270" b="1905"/>
                <wp:wrapNone/>
                <wp:docPr id="4" name="fmFrame8"/>
                <wp:cNvGraphicFramePr/>
                <a:graphic xmlns:a="http://schemas.openxmlformats.org/drawingml/2006/main">
                  <a:graphicData uri="http://schemas.microsoft.com/office/word/2010/wordprocessingShape">
                    <wps:wsp>
                      <wps:cNvSpPr txBox="true">
                        <a:spLocks noChangeArrowheads="true"/>
                      </wps:cNvSpPr>
                      <wps:spPr bwMode="auto">
                        <a:xfrm>
                          <a:off x="0" y="0"/>
                          <a:ext cx="3175000" cy="720090"/>
                        </a:xfrm>
                        <a:prstGeom prst="rect">
                          <a:avLst/>
                        </a:prstGeom>
                        <a:solidFill>
                          <a:srgbClr val="FFFFFF"/>
                        </a:solidFill>
                        <a:ln>
                          <a:noFill/>
                        </a:ln>
                      </wps:spPr>
                      <wps:txbx>
                        <w:txbxContent>
                          <w:p>
                            <w:pPr>
                              <w:pStyle w:val="42"/>
                            </w:pPr>
                            <w:r>
                              <w:rPr>
                                <w:rFonts w:hint="eastAsia"/>
                              </w:rPr>
                              <w:t>DB13</w:t>
                            </w:r>
                          </w:p>
                          <w:p>
                            <w:pPr>
                              <w:pStyle w:val="42"/>
                            </w:pPr>
                          </w:p>
                        </w:txbxContent>
                      </wps:txbx>
                      <wps:bodyPr rot="0" vert="horz" wrap="square" lIns="0" tIns="0" rIns="0" bIns="0" anchor="t" anchorCtr="false" upright="true">
                        <a:noAutofit/>
                      </wps:bodyPr>
                    </wps:wsp>
                  </a:graphicData>
                </a:graphic>
              </wp:anchor>
            </w:drawing>
          </mc:Choice>
          <mc:Fallback>
            <w:pict>
              <v:shape id="fmFrame8" o:spid="_x0000_s1026" o:spt="202" type="#_x0000_t202" style="position:absolute;left:0pt;margin-left:220.5pt;margin-top:7.8pt;height:56.7pt;width:250pt;mso-position-horizontal-relative:margin;mso-position-vertical-relative:margin;z-index:251655168;mso-width-relative:page;mso-height-relative:page;" fillcolor="#FFFFFF" filled="t" stroked="f" coordsize="21600,21600" o:gfxdata="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FgAAAGRycy9QSwECFAAUAAAACACHTuJAb1heldcAAAAKAQAADwAAAAAAAAAB&#10;ACAAAAA4AAAAZHJzL2Rvd25yZXYueG1sUEsBAhQAFAAAAAgAh07iQJGZyqP7AQAA6gMAAA4AAAAA&#10;AAAAAQAgAAAAPAEAAGRycy9lMm9Eb2MueG1sUEsFBgAAAAAGAAYAWQEAAKkFAAAAAA==&#10;">
                <v:fill on="t" focussize="0,0"/>
                <v:stroke on="f"/>
                <v:imagedata o:title=""/>
                <o:lock v:ext="edit" aspectratio="f"/>
                <v:textbox inset="0mm,0mm,0mm,0mm">
                  <w:txbxContent>
                    <w:p>
                      <w:pPr>
                        <w:pStyle w:val="42"/>
                      </w:pPr>
                      <w:r>
                        <w:rPr>
                          <w:rFonts w:hint="eastAsia"/>
                        </w:rPr>
                        <w:t>DB13</w:t>
                      </w:r>
                    </w:p>
                    <w:p>
                      <w:pPr>
                        <w:pStyle w:val="42"/>
                      </w:pPr>
                    </w:p>
                  </w:txbxContent>
                </v:textbox>
                <w10:anchorlock/>
              </v:shape>
            </w:pict>
          </mc:Fallback>
        </mc:AlternateContent>
      </w:r>
      <w:r>
        <mc:AlternateContent>
          <mc:Choice Requires="wps">
            <w:drawing>
              <wp:anchor distT="0" distB="0" distL="114300" distR="114300" simplePos="0" relativeHeight="251654144" behindDoc="0" locked="1" layoutInCell="1" allowOverlap="1">
                <wp:simplePos x="0" y="0"/>
                <wp:positionH relativeFrom="margin">
                  <wp:posOffset>0</wp:posOffset>
                </wp:positionH>
                <wp:positionV relativeFrom="margin">
                  <wp:posOffset>1010920</wp:posOffset>
                </wp:positionV>
                <wp:extent cx="6120130" cy="391160"/>
                <wp:effectExtent l="0" t="0" r="0" b="0"/>
                <wp:wrapNone/>
                <wp:docPr id="3" name="fmFrame2"/>
                <wp:cNvGraphicFramePr/>
                <a:graphic xmlns:a="http://schemas.openxmlformats.org/drawingml/2006/main">
                  <a:graphicData uri="http://schemas.microsoft.com/office/word/2010/wordprocessingShape">
                    <wps:wsp>
                      <wps:cNvSpPr txBox="true">
                        <a:spLocks noChangeArrowheads="true"/>
                      </wps:cNvSpPr>
                      <wps:spPr bwMode="auto">
                        <a:xfrm>
                          <a:off x="0" y="0"/>
                          <a:ext cx="6120130" cy="391160"/>
                        </a:xfrm>
                        <a:prstGeom prst="rect">
                          <a:avLst/>
                        </a:prstGeom>
                        <a:solidFill>
                          <a:srgbClr val="FFFFFF"/>
                        </a:solidFill>
                        <a:ln>
                          <a:noFill/>
                        </a:ln>
                      </wps:spPr>
                      <wps:txbx>
                        <w:txbxContent>
                          <w:p>
                            <w:pPr>
                              <w:pStyle w:val="82"/>
                            </w:pPr>
                            <w:r>
                              <w:rPr>
                                <w:rFonts w:hint="eastAsia"/>
                              </w:rPr>
                              <w:t>河北省地方标准</w:t>
                            </w:r>
                          </w:p>
                          <w:p>
                            <w:pPr>
                              <w:pStyle w:val="82"/>
                            </w:pPr>
                          </w:p>
                        </w:txbxContent>
                      </wps:txbx>
                      <wps:bodyPr rot="0" vert="horz" wrap="square" lIns="0" tIns="0" rIns="0" bIns="0" anchor="t" anchorCtr="false" upright="true">
                        <a:noAutofit/>
                      </wps:bodyPr>
                    </wps:wsp>
                  </a:graphicData>
                </a:graphic>
              </wp:anchor>
            </w:drawing>
          </mc:Choice>
          <mc:Fallback>
            <w:pict>
              <v:shape id="fmFrame2" o:spid="_x0000_s1026" o:spt="202" type="#_x0000_t202" style="position:absolute;left:0pt;margin-left:0pt;margin-top:79.6pt;height:30.8pt;width:481.9pt;mso-position-horizontal-relative:margin;mso-position-vertical-relative:margin;z-index:251654144;mso-width-relative:page;mso-height-relative:page;" fillcolor="#FFFFFF" filled="t" stroked="f" coordsize="21600,21600" o:gfxdata="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WAAAAZHJzL1BLAQIUABQAAAAIAIdO4kBGDkcF1wAAAAgBAAAPAAAAAAAAAAEA&#10;IAAAADgAAABkcnMvZG93bnJldi54bWxQSwECFAAUAAAACACHTuJA37lVFPoBAADqAwAADgAAAAAA&#10;AAABACAAAAA8AQAAZHJzL2Uyb0RvYy54bWxQSwUGAAAAAAYABgBZAQAAqAUAAAAA&#10;">
                <v:fill on="t" focussize="0,0"/>
                <v:stroke on="f"/>
                <v:imagedata o:title=""/>
                <o:lock v:ext="edit" aspectratio="f"/>
                <v:textbox inset="0mm,0mm,0mm,0mm">
                  <w:txbxContent>
                    <w:p>
                      <w:pPr>
                        <w:pStyle w:val="82"/>
                      </w:pPr>
                      <w:r>
                        <w:rPr>
                          <w:rFonts w:hint="eastAsia"/>
                        </w:rPr>
                        <w:t>河北省地方标准</w:t>
                      </w:r>
                    </w:p>
                    <w:p>
                      <w:pPr>
                        <w:pStyle w:val="82"/>
                      </w:pPr>
                    </w:p>
                  </w:txbxContent>
                </v:textbox>
                <w10:anchorlock/>
              </v:shape>
            </w:pict>
          </mc:Fallback>
        </mc:AlternateContent>
      </w:r>
      <w:r>
        <mc:AlternateContent>
          <mc:Choice Requires="wps">
            <w:drawing>
              <wp:anchor distT="0" distB="0" distL="114300" distR="114300" simplePos="0" relativeHeight="251653120" behindDoc="0" locked="1" layoutInCell="1" allowOverlap="1">
                <wp:simplePos x="0" y="0"/>
                <wp:positionH relativeFrom="margin">
                  <wp:posOffset>0</wp:posOffset>
                </wp:positionH>
                <wp:positionV relativeFrom="margin">
                  <wp:posOffset>0</wp:posOffset>
                </wp:positionV>
                <wp:extent cx="2540000" cy="657860"/>
                <wp:effectExtent l="0" t="0" r="0" b="1270"/>
                <wp:wrapNone/>
                <wp:docPr id="2" name="fmFrame1"/>
                <wp:cNvGraphicFramePr/>
                <a:graphic xmlns:a="http://schemas.openxmlformats.org/drawingml/2006/main">
                  <a:graphicData uri="http://schemas.microsoft.com/office/word/2010/wordprocessingShape">
                    <wps:wsp>
                      <wps:cNvSpPr txBox="true">
                        <a:spLocks noChangeArrowheads="true"/>
                      </wps:cNvSpPr>
                      <wps:spPr bwMode="auto">
                        <a:xfrm>
                          <a:off x="0" y="0"/>
                          <a:ext cx="2540000" cy="657860"/>
                        </a:xfrm>
                        <a:prstGeom prst="rect">
                          <a:avLst/>
                        </a:prstGeom>
                        <a:solidFill>
                          <a:srgbClr val="FFFFFF"/>
                        </a:solidFill>
                        <a:ln>
                          <a:noFill/>
                        </a:ln>
                      </wps:spPr>
                      <wps:txbx>
                        <w:txbxContent>
                          <w:p>
                            <w:pPr>
                              <w:pStyle w:val="91"/>
                              <w:rPr>
                                <w:rFonts w:ascii="黑体" w:hAnsi="黑体" w:cs="黑体"/>
                              </w:rPr>
                            </w:pPr>
                            <w:r>
                              <w:t>I</w:t>
                            </w:r>
                            <w:r>
                              <w:rPr>
                                <w:rFonts w:ascii="黑体" w:hAnsi="黑体" w:cs="黑体"/>
                              </w:rPr>
                              <w:t>CS 65.020.20</w:t>
                            </w:r>
                          </w:p>
                          <w:p>
                            <w:pPr>
                              <w:pStyle w:val="91"/>
                              <w:rPr>
                                <w:rFonts w:ascii="黑体" w:hAnsi="黑体" w:cs="黑体"/>
                              </w:rPr>
                            </w:pPr>
                            <w:r>
                              <w:rPr>
                                <w:rFonts w:ascii="黑体" w:hAnsi="黑体" w:cs="黑体"/>
                              </w:rPr>
                              <w:t>CCS B 05</w:t>
                            </w:r>
                          </w:p>
                        </w:txbxContent>
                      </wps:txbx>
                      <wps:bodyPr rot="0" vert="horz" wrap="square" lIns="0" tIns="0" rIns="0" bIns="0" anchor="t" anchorCtr="false" upright="true">
                        <a:noAutofit/>
                      </wps:bodyPr>
                    </wps:wsp>
                  </a:graphicData>
                </a:graphic>
              </wp:anchor>
            </w:drawing>
          </mc:Choice>
          <mc:Fallback>
            <w:pict>
              <v:shape id="fmFrame1" o:spid="_x0000_s1026" o:spt="202" type="#_x0000_t202" style="position:absolute;left:0pt;margin-left:0pt;margin-top:0pt;height:51.8pt;width:200pt;mso-position-horizontal-relative:margin;mso-position-vertical-relative:margin;z-index:251653120;mso-width-relative:page;mso-height-relative:page;" fillcolor="#FFFFFF" filled="t" stroked="f" coordsize="21600,21600" o:gfxdata="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WAAAAZHJzL1BLAQIUABQAAAAIAIdO4kDF7Mvg0wAAAAUBAAAPAAAAAAAAAAEAIAAA&#10;ADgAAABkcnMvZG93bnJldi54bWxQSwECFAAUAAAACACHTuJAMPeMMvsBAADqAwAADgAAAAAAAAAB&#10;ACAAAAA4AQAAZHJzL2Uyb0RvYy54bWxQSwUGAAAAAAYABgBZAQAApQUAAAAA&#10;">
                <v:fill on="t" focussize="0,0"/>
                <v:stroke on="f"/>
                <v:imagedata o:title=""/>
                <o:lock v:ext="edit" aspectratio="f"/>
                <v:textbox inset="0mm,0mm,0mm,0mm">
                  <w:txbxContent>
                    <w:p>
                      <w:pPr>
                        <w:pStyle w:val="91"/>
                        <w:rPr>
                          <w:rFonts w:ascii="黑体" w:hAnsi="黑体" w:cs="黑体"/>
                        </w:rPr>
                      </w:pPr>
                      <w:r>
                        <w:t>I</w:t>
                      </w:r>
                      <w:r>
                        <w:rPr>
                          <w:rFonts w:ascii="黑体" w:hAnsi="黑体" w:cs="黑体"/>
                        </w:rPr>
                        <w:t>CS 65.020.20</w:t>
                      </w:r>
                    </w:p>
                    <w:p>
                      <w:pPr>
                        <w:pStyle w:val="91"/>
                        <w:rPr>
                          <w:rFonts w:ascii="黑体" w:hAnsi="黑体" w:cs="黑体"/>
                        </w:rPr>
                      </w:pPr>
                      <w:r>
                        <w:rPr>
                          <w:rFonts w:ascii="黑体" w:hAnsi="黑体" w:cs="黑体"/>
                        </w:rPr>
                        <w:t>CCS B 05</w:t>
                      </w:r>
                    </w:p>
                  </w:txbxContent>
                </v:textbox>
                <w10:anchorlock/>
              </v:shape>
            </w:pict>
          </mc:Fallback>
        </mc:AlternateContent>
      </w:r>
    </w:p>
    <w:bookmarkEnd w:id="0"/>
    <w:p>
      <w:pPr>
        <w:pStyle w:val="49"/>
      </w:pPr>
      <w:bookmarkStart w:id="1" w:name="SectionMark2"/>
      <w:r>
        <w:rPr>
          <w:rFonts w:hint="eastAsia"/>
        </w:rPr>
        <w:t>前    言</w:t>
      </w:r>
    </w:p>
    <w:p>
      <w:pPr>
        <w:adjustRightInd w:val="0"/>
        <w:snapToGrid w:val="0"/>
        <w:ind w:firstLine="420" w:firstLineChars="200"/>
      </w:pPr>
      <w:r>
        <w:t>本文件按照GB/T 1.1—2020《标准化工作导则 第1部分：标准化文件的结构和起草规则》的规定起草</w:t>
      </w:r>
      <w:r>
        <w:rPr>
          <w:rFonts w:hint="eastAsia"/>
        </w:rPr>
        <w:t>。</w:t>
      </w:r>
    </w:p>
    <w:p>
      <w:pPr>
        <w:adjustRightInd w:val="0"/>
        <w:snapToGrid w:val="0"/>
        <w:ind w:firstLine="420" w:firstLineChars="200"/>
        <w:rPr>
          <w:szCs w:val="21"/>
        </w:rPr>
      </w:pPr>
      <w:r>
        <w:rPr>
          <w:rFonts w:hint="eastAsia"/>
          <w:szCs w:val="21"/>
        </w:rPr>
        <w:t>本文件由河北省农业农村厅提出。</w:t>
      </w:r>
    </w:p>
    <w:p>
      <w:pPr>
        <w:adjustRightInd w:val="0"/>
        <w:snapToGrid w:val="0"/>
        <w:ind w:firstLine="420" w:firstLineChars="200"/>
        <w:rPr>
          <w:szCs w:val="21"/>
        </w:rPr>
      </w:pPr>
      <w:r>
        <w:rPr>
          <w:rFonts w:hint="eastAsia"/>
          <w:szCs w:val="21"/>
        </w:rPr>
        <w:t>本文件起草单位：中国科学院遗传与发育生物学研究所农业资源研究中心</w:t>
      </w:r>
      <w:r>
        <w:rPr>
          <w:szCs w:val="21"/>
        </w:rPr>
        <w:t>。</w:t>
      </w:r>
    </w:p>
    <w:p>
      <w:pPr>
        <w:adjustRightInd w:val="0"/>
        <w:snapToGrid w:val="0"/>
        <w:ind w:firstLine="420" w:firstLineChars="200"/>
        <w:rPr>
          <w:szCs w:val="21"/>
        </w:rPr>
      </w:pPr>
      <w:r>
        <w:rPr>
          <w:rFonts w:hint="eastAsia"/>
          <w:szCs w:val="21"/>
        </w:rPr>
        <w:t>本文件主要起草人：董宝娣、乔匀周、马玉诏、刘孟雨、张玉铭、李永鹏、王亚凯</w:t>
      </w:r>
      <w:r>
        <w:rPr>
          <w:szCs w:val="21"/>
        </w:rPr>
        <w:t>。</w:t>
      </w:r>
    </w:p>
    <w:p>
      <w:pPr>
        <w:pStyle w:val="51"/>
        <w:ind w:firstLine="420"/>
        <w:sectPr>
          <w:headerReference r:id="rId8" w:type="default"/>
          <w:footerReference r:id="rId9" w:type="default"/>
          <w:pgSz w:w="11907" w:h="16839"/>
          <w:pgMar w:top="1418" w:right="1134" w:bottom="1134" w:left="1418" w:header="1418" w:footer="851" w:gutter="0"/>
          <w:pgNumType w:fmt="upperRoman" w:start="1"/>
          <w:cols w:space="425" w:num="1"/>
          <w:docGrid w:type="lines" w:linePitch="312" w:charSpace="0"/>
        </w:sectPr>
      </w:pPr>
    </w:p>
    <w:bookmarkEnd w:id="1"/>
    <w:p>
      <w:pPr>
        <w:pStyle w:val="80"/>
      </w:pPr>
      <w:bookmarkStart w:id="2" w:name="SectionMark4"/>
      <w:r>
        <w:rPr>
          <w:rFonts w:hint="eastAsia"/>
        </w:rPr>
        <w:t>甘薯-冬小麦</w:t>
      </w:r>
      <w:r>
        <w:t>-谷子</w:t>
      </w:r>
      <w:r>
        <w:rPr>
          <w:rFonts w:hint="eastAsia"/>
        </w:rPr>
        <w:t>两年三熟省水轮作栽培</w:t>
      </w:r>
      <w:r>
        <w:t>技术规程</w:t>
      </w:r>
    </w:p>
    <w:p>
      <w:pPr>
        <w:pStyle w:val="52"/>
        <w:spacing w:before="312" w:beforeLines="100" w:after="312" w:afterLines="100"/>
        <w:rPr>
          <w:rFonts w:ascii="Times New Roman"/>
          <w:color w:val="000000"/>
        </w:rPr>
      </w:pPr>
      <w:r>
        <w:rPr>
          <w:rFonts w:ascii="Times New Roman"/>
          <w:color w:val="000000"/>
        </w:rPr>
        <w:t>范围</w:t>
      </w:r>
    </w:p>
    <w:p>
      <w:pPr>
        <w:ind w:firstLine="420" w:firstLineChars="200"/>
        <w:rPr>
          <w:rFonts w:ascii="宋体" w:hAnsi="宋体"/>
          <w:color w:val="000000"/>
          <w:szCs w:val="21"/>
        </w:rPr>
      </w:pPr>
      <w:r>
        <w:rPr>
          <w:rFonts w:hint="eastAsia" w:ascii="宋体" w:hAnsi="宋体"/>
          <w:color w:val="000000"/>
          <w:szCs w:val="21"/>
        </w:rPr>
        <w:t>本</w:t>
      </w:r>
      <w:r>
        <w:rPr>
          <w:rFonts w:ascii="宋体" w:hAnsi="宋体"/>
          <w:color w:val="000000"/>
          <w:szCs w:val="21"/>
        </w:rPr>
        <w:t>文件</w:t>
      </w:r>
      <w:r>
        <w:rPr>
          <w:rFonts w:hint="eastAsia" w:ascii="宋体" w:hAnsi="宋体"/>
          <w:color w:val="000000"/>
          <w:szCs w:val="21"/>
        </w:rPr>
        <w:t>规定了甘薯-冬小麦-</w:t>
      </w:r>
      <w:r>
        <w:rPr>
          <w:rFonts w:ascii="宋体" w:hAnsi="宋体"/>
          <w:color w:val="000000"/>
          <w:szCs w:val="21"/>
        </w:rPr>
        <w:t>谷子</w:t>
      </w:r>
      <w:r>
        <w:rPr>
          <w:rFonts w:hint="eastAsia" w:ascii="宋体" w:hAnsi="宋体"/>
          <w:color w:val="000000"/>
          <w:szCs w:val="21"/>
        </w:rPr>
        <w:t>轮作</w:t>
      </w:r>
      <w:r>
        <w:rPr>
          <w:rFonts w:ascii="宋体" w:hAnsi="宋体"/>
          <w:color w:val="000000"/>
          <w:szCs w:val="21"/>
        </w:rPr>
        <w:t>省水</w:t>
      </w:r>
      <w:r>
        <w:rPr>
          <w:rFonts w:hint="eastAsia" w:ascii="宋体" w:hAnsi="宋体"/>
          <w:color w:val="000000"/>
          <w:szCs w:val="21"/>
        </w:rPr>
        <w:t>高效栽培的甘薯深松起垄坐水点种高效</w:t>
      </w:r>
      <w:r>
        <w:rPr>
          <w:rFonts w:ascii="宋体" w:hAnsi="宋体"/>
          <w:color w:val="000000"/>
          <w:szCs w:val="21"/>
        </w:rPr>
        <w:t>栽培</w:t>
      </w:r>
      <w:r>
        <w:rPr>
          <w:rFonts w:hint="eastAsia" w:ascii="宋体" w:hAnsi="宋体"/>
          <w:color w:val="000000"/>
          <w:szCs w:val="21"/>
        </w:rPr>
        <w:t>技术、冬小麦免耕时空宽泛</w:t>
      </w:r>
      <w:r>
        <w:rPr>
          <w:rFonts w:ascii="宋体" w:hAnsi="宋体"/>
          <w:color w:val="000000"/>
          <w:szCs w:val="21"/>
        </w:rPr>
        <w:t>播种</w:t>
      </w:r>
      <w:r>
        <w:rPr>
          <w:rFonts w:hint="eastAsia" w:ascii="宋体" w:hAnsi="宋体"/>
          <w:color w:val="000000"/>
          <w:szCs w:val="21"/>
        </w:rPr>
        <w:t>节水</w:t>
      </w:r>
      <w:r>
        <w:rPr>
          <w:rFonts w:ascii="宋体" w:hAnsi="宋体"/>
          <w:color w:val="000000"/>
          <w:szCs w:val="21"/>
        </w:rPr>
        <w:t>高效栽培技术</w:t>
      </w:r>
      <w:r>
        <w:rPr>
          <w:rFonts w:hint="eastAsia" w:ascii="宋体" w:hAnsi="宋体"/>
          <w:color w:val="000000"/>
          <w:szCs w:val="21"/>
        </w:rPr>
        <w:t>、夏</w:t>
      </w:r>
      <w:r>
        <w:rPr>
          <w:rFonts w:ascii="宋体" w:hAnsi="宋体"/>
          <w:color w:val="000000"/>
          <w:szCs w:val="21"/>
        </w:rPr>
        <w:t>谷适</w:t>
      </w:r>
      <w:r>
        <w:rPr>
          <w:rFonts w:hint="eastAsia" w:ascii="宋体" w:hAnsi="宋体"/>
          <w:color w:val="000000"/>
          <w:szCs w:val="21"/>
        </w:rPr>
        <w:t>水贴茬播种</w:t>
      </w:r>
      <w:r>
        <w:rPr>
          <w:rFonts w:ascii="宋体" w:hAnsi="宋体"/>
          <w:color w:val="000000"/>
          <w:szCs w:val="21"/>
        </w:rPr>
        <w:t>高效栽培</w:t>
      </w:r>
      <w:r>
        <w:rPr>
          <w:rFonts w:hint="eastAsia" w:ascii="宋体" w:hAnsi="宋体"/>
          <w:color w:val="000000"/>
          <w:szCs w:val="21"/>
        </w:rPr>
        <w:t>技术。</w:t>
      </w:r>
    </w:p>
    <w:p>
      <w:pPr>
        <w:ind w:firstLine="420" w:firstLineChars="200"/>
        <w:rPr>
          <w:rFonts w:ascii="宋体" w:hAnsi="宋体"/>
          <w:color w:val="000000"/>
          <w:szCs w:val="21"/>
        </w:rPr>
      </w:pPr>
      <w:r>
        <w:rPr>
          <w:rFonts w:hint="eastAsia" w:ascii="宋体" w:hAnsi="宋体"/>
          <w:color w:val="000000"/>
          <w:szCs w:val="21"/>
        </w:rPr>
        <w:t>本</w:t>
      </w:r>
      <w:r>
        <w:rPr>
          <w:rFonts w:ascii="宋体" w:hAnsi="宋体"/>
          <w:color w:val="000000"/>
          <w:szCs w:val="21"/>
        </w:rPr>
        <w:t>文件</w:t>
      </w:r>
      <w:r>
        <w:rPr>
          <w:rFonts w:hint="eastAsia" w:ascii="宋体" w:hAnsi="宋体"/>
          <w:color w:val="000000"/>
          <w:szCs w:val="21"/>
        </w:rPr>
        <w:t>适用于河北省地下水超采区土壤</w:t>
      </w:r>
      <w:r>
        <w:rPr>
          <w:rFonts w:ascii="宋体" w:hAnsi="宋体"/>
          <w:color w:val="000000"/>
          <w:szCs w:val="21"/>
        </w:rPr>
        <w:t>类型为壤土或沙壤土的</w:t>
      </w:r>
      <w:r>
        <w:rPr>
          <w:rFonts w:hint="eastAsia" w:ascii="宋体" w:hAnsi="宋体"/>
          <w:color w:val="000000"/>
          <w:szCs w:val="21"/>
        </w:rPr>
        <w:t>一年两熟作物</w:t>
      </w:r>
      <w:r>
        <w:rPr>
          <w:rFonts w:ascii="宋体" w:hAnsi="宋体"/>
          <w:color w:val="000000"/>
          <w:szCs w:val="21"/>
        </w:rPr>
        <w:t>种植区</w:t>
      </w:r>
      <w:r>
        <w:rPr>
          <w:rFonts w:hint="eastAsia" w:ascii="宋体" w:hAnsi="宋体"/>
          <w:color w:val="000000"/>
          <w:szCs w:val="21"/>
        </w:rPr>
        <w:t>。</w:t>
      </w:r>
    </w:p>
    <w:p>
      <w:pPr>
        <w:pStyle w:val="52"/>
        <w:spacing w:before="312" w:beforeLines="100" w:after="312" w:afterLines="100"/>
        <w:rPr>
          <w:rFonts w:ascii="Times New Roman"/>
          <w:color w:val="000000"/>
        </w:rPr>
      </w:pPr>
      <w:r>
        <w:rPr>
          <w:rFonts w:ascii="Times New Roman"/>
          <w:color w:val="000000"/>
        </w:rPr>
        <w:t>规范性引用文件</w:t>
      </w:r>
    </w:p>
    <w:p>
      <w:pPr>
        <w:pStyle w:val="51"/>
        <w:ind w:firstLine="420"/>
        <w:rPr>
          <w:color w:val="000000"/>
        </w:rPr>
      </w:pPr>
      <w:r>
        <w:rPr>
          <w:rFonts w:hint="eastAsia"/>
          <w:color w:val="000000"/>
        </w:rPr>
        <w:t>下列文件对于本文件的应用是必不可少的。凡是注日期的引用文件，仅注日期的版本适用于本文件。凡是不注日期的引用文件，其最新版本（包括所有的修改单）适用于本文件。</w:t>
      </w:r>
    </w:p>
    <w:p>
      <w:pPr>
        <w:ind w:firstLine="420" w:firstLineChars="200"/>
        <w:rPr>
          <w:rFonts w:asciiTheme="minorEastAsia" w:hAnsiTheme="minorEastAsia" w:eastAsiaTheme="minorEastAsia" w:cstheme="minorEastAsia"/>
          <w:color w:val="000000"/>
          <w:szCs w:val="21"/>
        </w:rPr>
      </w:pPr>
      <w:r>
        <w:rPr>
          <w:rFonts w:asciiTheme="minorEastAsia" w:hAnsiTheme="minorEastAsia" w:eastAsiaTheme="minorEastAsia" w:cstheme="minorEastAsia"/>
          <w:color w:val="000000"/>
          <w:szCs w:val="21"/>
        </w:rPr>
        <w:t xml:space="preserve">GB 4404.1 </w:t>
      </w:r>
      <w:r>
        <w:rPr>
          <w:rFonts w:hint="eastAsia" w:asciiTheme="minorEastAsia" w:hAnsiTheme="minorEastAsia" w:eastAsiaTheme="minorEastAsia" w:cstheme="minorEastAsia"/>
          <w:color w:val="000000"/>
          <w:szCs w:val="21"/>
        </w:rPr>
        <w:t>粮食作物种子</w:t>
      </w:r>
      <w:r>
        <w:rPr>
          <w:rFonts w:asciiTheme="minorEastAsia" w:hAnsiTheme="minorEastAsia" w:eastAsiaTheme="minorEastAsia" w:cstheme="minorEastAsia"/>
          <w:color w:val="000000"/>
          <w:szCs w:val="21"/>
        </w:rPr>
        <w:t xml:space="preserve"> </w:t>
      </w:r>
      <w:r>
        <w:rPr>
          <w:rFonts w:hint="eastAsia" w:asciiTheme="minorEastAsia" w:hAnsiTheme="minorEastAsia" w:eastAsiaTheme="minorEastAsia" w:cstheme="minorEastAsia"/>
          <w:color w:val="000000"/>
          <w:szCs w:val="21"/>
        </w:rPr>
        <w:t>第</w:t>
      </w:r>
      <w:r>
        <w:rPr>
          <w:rFonts w:asciiTheme="minorEastAsia" w:hAnsiTheme="minorEastAsia" w:eastAsiaTheme="minorEastAsia" w:cstheme="minorEastAsia"/>
          <w:color w:val="000000"/>
          <w:szCs w:val="21"/>
        </w:rPr>
        <w:t>1</w:t>
      </w:r>
      <w:r>
        <w:rPr>
          <w:rFonts w:hint="eastAsia" w:asciiTheme="minorEastAsia" w:hAnsiTheme="minorEastAsia" w:eastAsiaTheme="minorEastAsia" w:cstheme="minorEastAsia"/>
          <w:color w:val="000000"/>
          <w:szCs w:val="21"/>
        </w:rPr>
        <w:t>部分：禾谷类</w:t>
      </w:r>
    </w:p>
    <w:p>
      <w:pPr>
        <w:ind w:firstLine="420" w:firstLineChars="200"/>
        <w:rPr>
          <w:rFonts w:asciiTheme="minorEastAsia" w:hAnsiTheme="minorEastAsia" w:eastAsiaTheme="minorEastAsia" w:cstheme="minorEastAsia"/>
        </w:rPr>
      </w:pPr>
      <w:r>
        <w:rPr>
          <w:rFonts w:asciiTheme="minorEastAsia" w:hAnsiTheme="minorEastAsia" w:eastAsiaTheme="minorEastAsia" w:cstheme="minorEastAsia"/>
        </w:rPr>
        <w:t xml:space="preserve">GB/T 8321.8—2007  </w:t>
      </w:r>
      <w:r>
        <w:rPr>
          <w:rFonts w:hint="eastAsia" w:asciiTheme="minorEastAsia" w:hAnsiTheme="minorEastAsia" w:eastAsiaTheme="minorEastAsia" w:cstheme="minorEastAsia"/>
        </w:rPr>
        <w:t>农药合理使用准则</w:t>
      </w:r>
    </w:p>
    <w:p>
      <w:pPr>
        <w:ind w:firstLine="420" w:firstLineChars="200"/>
        <w:rPr>
          <w:rFonts w:asciiTheme="minorEastAsia" w:hAnsiTheme="minorEastAsia" w:eastAsiaTheme="minorEastAsia" w:cstheme="minorEastAsia"/>
        </w:rPr>
      </w:pPr>
      <w:bookmarkStart w:id="3" w:name="OLE_LINK1"/>
      <w:bookmarkStart w:id="4" w:name="OLE_LINK2"/>
      <w:r>
        <w:rPr>
          <w:rFonts w:asciiTheme="minorEastAsia" w:hAnsiTheme="minorEastAsia" w:eastAsiaTheme="minorEastAsia" w:cstheme="minorEastAsia"/>
        </w:rPr>
        <w:t>NY/T 1276</w:t>
      </w:r>
      <w:bookmarkEnd w:id="3"/>
      <w:bookmarkEnd w:id="4"/>
      <w:r>
        <w:rPr>
          <w:rFonts w:asciiTheme="minorEastAsia" w:hAnsiTheme="minorEastAsia" w:eastAsiaTheme="minorEastAsia" w:cstheme="minorEastAsia"/>
        </w:rPr>
        <w:t xml:space="preserve">—2007 </w:t>
      </w:r>
      <w:r>
        <w:rPr>
          <w:rFonts w:hint="eastAsia" w:asciiTheme="minorEastAsia" w:hAnsiTheme="minorEastAsia" w:eastAsiaTheme="minorEastAsia" w:cstheme="minorEastAsia"/>
        </w:rPr>
        <w:t>农药安全使用规范</w:t>
      </w:r>
      <w:r>
        <w:rPr>
          <w:rFonts w:asciiTheme="minorEastAsia" w:hAnsiTheme="minorEastAsia" w:eastAsiaTheme="minorEastAsia" w:cstheme="minorEastAsia"/>
        </w:rPr>
        <w:t xml:space="preserve"> </w:t>
      </w:r>
      <w:r>
        <w:rPr>
          <w:rFonts w:hint="eastAsia" w:asciiTheme="minorEastAsia" w:hAnsiTheme="minorEastAsia" w:eastAsiaTheme="minorEastAsia" w:cstheme="minorEastAsia"/>
        </w:rPr>
        <w:t>总则</w:t>
      </w:r>
    </w:p>
    <w:p>
      <w:pPr>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N</w:t>
      </w:r>
      <w:r>
        <w:rPr>
          <w:rFonts w:asciiTheme="minorEastAsia" w:hAnsiTheme="minorEastAsia" w:eastAsiaTheme="minorEastAsia" w:cstheme="minorEastAsia"/>
        </w:rPr>
        <w:t xml:space="preserve">Y/T 3536-2020 </w:t>
      </w:r>
      <w:r>
        <w:rPr>
          <w:rFonts w:hint="eastAsia" w:asciiTheme="minorEastAsia" w:hAnsiTheme="minorEastAsia" w:eastAsiaTheme="minorEastAsia" w:cstheme="minorEastAsia"/>
        </w:rPr>
        <w:t>甘薯主要病虫害综合防控技术规程</w:t>
      </w:r>
    </w:p>
    <w:p>
      <w:pPr>
        <w:ind w:firstLine="420" w:firstLineChars="200"/>
        <w:rPr>
          <w:rFonts w:asciiTheme="minorEastAsia" w:hAnsiTheme="minorEastAsia" w:eastAsiaTheme="minorEastAsia" w:cstheme="minorEastAsia"/>
          <w:szCs w:val="21"/>
        </w:rPr>
      </w:pPr>
      <w:r>
        <w:rPr>
          <w:rFonts w:asciiTheme="minorEastAsia" w:hAnsiTheme="minorEastAsia" w:eastAsiaTheme="minorEastAsia" w:cstheme="minorEastAsia"/>
          <w:szCs w:val="21"/>
        </w:rPr>
        <w:t xml:space="preserve">NY/T 496  </w:t>
      </w:r>
      <w:r>
        <w:rPr>
          <w:rFonts w:hint="eastAsia" w:asciiTheme="minorEastAsia" w:hAnsiTheme="minorEastAsia" w:eastAsiaTheme="minorEastAsia" w:cstheme="minorEastAsia"/>
          <w:szCs w:val="21"/>
        </w:rPr>
        <w:t>肥料合理使用准则</w:t>
      </w:r>
    </w:p>
    <w:p>
      <w:pPr>
        <w:ind w:firstLine="420" w:firstLineChars="200"/>
        <w:rPr>
          <w:rFonts w:asciiTheme="minorEastAsia" w:hAnsiTheme="minorEastAsia" w:eastAsiaTheme="minorEastAsia" w:cstheme="minorEastAsia"/>
          <w:szCs w:val="21"/>
        </w:rPr>
      </w:pPr>
      <w:r>
        <w:rPr>
          <w:rFonts w:asciiTheme="minorEastAsia" w:hAnsiTheme="minorEastAsia" w:eastAsiaTheme="minorEastAsia" w:cstheme="minorEastAsia"/>
          <w:szCs w:val="21"/>
        </w:rPr>
        <w:t>DB13/T 2457.1</w:t>
      </w:r>
      <w:r>
        <w:rPr>
          <w:rFonts w:asciiTheme="minorEastAsia" w:hAnsiTheme="minorEastAsia" w:eastAsiaTheme="minorEastAsia" w:cstheme="minorEastAsia"/>
        </w:rPr>
        <w:t>—</w:t>
      </w:r>
      <w:r>
        <w:rPr>
          <w:rFonts w:asciiTheme="minorEastAsia" w:hAnsiTheme="minorEastAsia" w:eastAsiaTheme="minorEastAsia" w:cstheme="minorEastAsia"/>
          <w:szCs w:val="21"/>
        </w:rPr>
        <w:t xml:space="preserve">2017  </w:t>
      </w:r>
      <w:r>
        <w:rPr>
          <w:rFonts w:hint="eastAsia" w:asciiTheme="minorEastAsia" w:hAnsiTheme="minorEastAsia" w:eastAsiaTheme="minorEastAsia" w:cstheme="minorEastAsia"/>
          <w:szCs w:val="21"/>
        </w:rPr>
        <w:t>谷子病虫害防治技术规程</w:t>
      </w:r>
      <w:r>
        <w:rPr>
          <w:rFonts w:asciiTheme="minorEastAsia" w:hAnsiTheme="minorEastAsia" w:eastAsiaTheme="minorEastAsia" w:cstheme="minorEastAsia"/>
          <w:szCs w:val="21"/>
        </w:rPr>
        <w:t xml:space="preserve"> </w:t>
      </w:r>
      <w:r>
        <w:rPr>
          <w:rFonts w:hint="eastAsia" w:asciiTheme="minorEastAsia" w:hAnsiTheme="minorEastAsia" w:eastAsiaTheme="minorEastAsia" w:cstheme="minorEastAsia"/>
          <w:color w:val="000000"/>
          <w:szCs w:val="21"/>
        </w:rPr>
        <w:t>第1部分：</w:t>
      </w:r>
      <w:r>
        <w:rPr>
          <w:rFonts w:asciiTheme="minorEastAsia" w:hAnsiTheme="minorEastAsia" w:eastAsiaTheme="minorEastAsia" w:cstheme="minorEastAsia"/>
          <w:color w:val="000000"/>
          <w:szCs w:val="21"/>
        </w:rPr>
        <w:t>水浇地夏谷</w:t>
      </w:r>
    </w:p>
    <w:p>
      <w:pPr>
        <w:pStyle w:val="51"/>
        <w:ind w:firstLine="420"/>
        <w:rPr>
          <w:rFonts w:asciiTheme="minorEastAsia" w:hAnsiTheme="minorEastAsia" w:eastAsiaTheme="minorEastAsia" w:cstheme="minorEastAsia"/>
          <w:kern w:val="2"/>
          <w:szCs w:val="21"/>
        </w:rPr>
      </w:pPr>
      <w:bookmarkStart w:id="5" w:name="OLE_LINK4"/>
      <w:bookmarkStart w:id="6" w:name="OLE_LINK3"/>
      <w:r>
        <w:rPr>
          <w:rFonts w:asciiTheme="minorEastAsia" w:hAnsiTheme="minorEastAsia" w:eastAsiaTheme="minorEastAsia" w:cstheme="minorEastAsia"/>
          <w:kern w:val="2"/>
          <w:szCs w:val="21"/>
        </w:rPr>
        <w:t>DB13/T 1134</w:t>
      </w:r>
      <w:r>
        <w:rPr>
          <w:rFonts w:asciiTheme="minorEastAsia" w:hAnsiTheme="minorEastAsia" w:eastAsiaTheme="minorEastAsia" w:cstheme="minorEastAsia"/>
        </w:rPr>
        <w:t>—</w:t>
      </w:r>
      <w:r>
        <w:rPr>
          <w:rFonts w:asciiTheme="minorEastAsia" w:hAnsiTheme="minorEastAsia" w:eastAsiaTheme="minorEastAsia" w:cstheme="minorEastAsia"/>
          <w:kern w:val="2"/>
          <w:szCs w:val="21"/>
        </w:rPr>
        <w:t>2009</w:t>
      </w:r>
      <w:bookmarkEnd w:id="5"/>
      <w:bookmarkEnd w:id="6"/>
      <w:r>
        <w:rPr>
          <w:rFonts w:asciiTheme="minorEastAsia" w:hAnsiTheme="minorEastAsia" w:eastAsiaTheme="minorEastAsia" w:cstheme="minorEastAsia"/>
          <w:kern w:val="2"/>
          <w:szCs w:val="21"/>
        </w:rPr>
        <w:t xml:space="preserve">  </w:t>
      </w:r>
      <w:r>
        <w:rPr>
          <w:rFonts w:hint="eastAsia" w:asciiTheme="minorEastAsia" w:hAnsiTheme="minorEastAsia" w:eastAsiaTheme="minorEastAsia" w:cstheme="minorEastAsia"/>
          <w:kern w:val="2"/>
          <w:szCs w:val="21"/>
        </w:rPr>
        <w:t>谷子简化栽培技术规程</w:t>
      </w:r>
    </w:p>
    <w:p>
      <w:pPr>
        <w:pStyle w:val="51"/>
        <w:ind w:firstLine="420"/>
        <w:rPr>
          <w:rFonts w:asciiTheme="minorEastAsia" w:hAnsiTheme="minorEastAsia" w:eastAsiaTheme="minorEastAsia" w:cstheme="minorEastAsia"/>
          <w:kern w:val="2"/>
          <w:szCs w:val="21"/>
        </w:rPr>
      </w:pPr>
      <w:r>
        <w:rPr>
          <w:rFonts w:asciiTheme="minorEastAsia" w:hAnsiTheme="minorEastAsia" w:eastAsiaTheme="minorEastAsia" w:cstheme="minorEastAsia"/>
          <w:kern w:val="2"/>
          <w:szCs w:val="21"/>
        </w:rPr>
        <w:t>DB13/T 5229</w:t>
      </w:r>
      <w:r>
        <w:rPr>
          <w:rFonts w:asciiTheme="minorEastAsia" w:hAnsiTheme="minorEastAsia" w:eastAsiaTheme="minorEastAsia" w:cstheme="minorEastAsia"/>
        </w:rPr>
        <w:t>—</w:t>
      </w:r>
      <w:r>
        <w:rPr>
          <w:rFonts w:asciiTheme="minorEastAsia" w:hAnsiTheme="minorEastAsia" w:eastAsiaTheme="minorEastAsia" w:cstheme="minorEastAsia"/>
          <w:kern w:val="2"/>
          <w:szCs w:val="21"/>
        </w:rPr>
        <w:t xml:space="preserve">2020  </w:t>
      </w:r>
      <w:r>
        <w:rPr>
          <w:rFonts w:hint="eastAsia" w:asciiTheme="minorEastAsia" w:hAnsiTheme="minorEastAsia" w:eastAsiaTheme="minorEastAsia" w:cstheme="minorEastAsia"/>
          <w:kern w:val="2"/>
          <w:szCs w:val="21"/>
        </w:rPr>
        <w:t>冬小麦</w:t>
      </w:r>
      <w:r>
        <w:rPr>
          <w:rFonts w:asciiTheme="minorEastAsia" w:hAnsiTheme="minorEastAsia" w:eastAsiaTheme="minorEastAsia" w:cstheme="minorEastAsia"/>
          <w:kern w:val="2"/>
          <w:szCs w:val="21"/>
        </w:rPr>
        <w:t>-</w:t>
      </w:r>
      <w:r>
        <w:rPr>
          <w:rFonts w:hint="eastAsia" w:asciiTheme="minorEastAsia" w:hAnsiTheme="minorEastAsia" w:eastAsiaTheme="minorEastAsia" w:cstheme="minorEastAsia"/>
          <w:kern w:val="2"/>
          <w:szCs w:val="21"/>
        </w:rPr>
        <w:t>夏谷子适雨高效栽培技术规程</w:t>
      </w:r>
    </w:p>
    <w:p>
      <w:pPr>
        <w:pStyle w:val="51"/>
        <w:ind w:firstLine="420"/>
        <w:rPr>
          <w:rFonts w:asciiTheme="minorEastAsia" w:hAnsiTheme="minorEastAsia" w:eastAsiaTheme="minorEastAsia" w:cstheme="minorEastAsia"/>
          <w:szCs w:val="21"/>
        </w:rPr>
      </w:pPr>
      <w:r>
        <w:rPr>
          <w:rFonts w:asciiTheme="minorEastAsia" w:hAnsiTheme="minorEastAsia" w:eastAsiaTheme="minorEastAsia" w:cstheme="minorEastAsia"/>
          <w:szCs w:val="21"/>
        </w:rPr>
        <w:t>DB13/T 2266</w:t>
      </w:r>
      <w:r>
        <w:rPr>
          <w:rFonts w:asciiTheme="minorEastAsia" w:hAnsiTheme="minorEastAsia" w:eastAsiaTheme="minorEastAsia" w:cstheme="minorEastAsia"/>
        </w:rPr>
        <w:t>—</w:t>
      </w:r>
      <w:r>
        <w:rPr>
          <w:rFonts w:asciiTheme="minorEastAsia" w:hAnsiTheme="minorEastAsia" w:eastAsiaTheme="minorEastAsia" w:cstheme="minorEastAsia"/>
          <w:szCs w:val="21"/>
        </w:rPr>
        <w:t xml:space="preserve">2015  </w:t>
      </w:r>
      <w:r>
        <w:rPr>
          <w:rFonts w:hint="eastAsia" w:asciiTheme="minorEastAsia" w:hAnsiTheme="minorEastAsia" w:eastAsiaTheme="minorEastAsia" w:cstheme="minorEastAsia"/>
          <w:szCs w:val="21"/>
        </w:rPr>
        <w:t>丘陵山区甘薯深沟大垄生产技术规程</w:t>
      </w:r>
    </w:p>
    <w:p>
      <w:pPr>
        <w:pStyle w:val="51"/>
        <w:ind w:firstLine="420"/>
        <w:rPr>
          <w:rFonts w:asciiTheme="minorEastAsia" w:hAnsiTheme="minorEastAsia" w:eastAsiaTheme="minorEastAsia" w:cstheme="minorEastAsia"/>
          <w:kern w:val="2"/>
          <w:szCs w:val="21"/>
        </w:rPr>
      </w:pPr>
      <w:r>
        <w:rPr>
          <w:rFonts w:asciiTheme="minorEastAsia" w:hAnsiTheme="minorEastAsia" w:eastAsiaTheme="minorEastAsia" w:cstheme="minorEastAsia"/>
          <w:kern w:val="2"/>
          <w:szCs w:val="21"/>
        </w:rPr>
        <w:t>DB1301/T 213</w:t>
      </w:r>
      <w:r>
        <w:rPr>
          <w:rFonts w:asciiTheme="minorEastAsia" w:hAnsiTheme="minorEastAsia" w:eastAsiaTheme="minorEastAsia" w:cstheme="minorEastAsia"/>
        </w:rPr>
        <w:t>—</w:t>
      </w:r>
      <w:r>
        <w:rPr>
          <w:rFonts w:asciiTheme="minorEastAsia" w:hAnsiTheme="minorEastAsia" w:eastAsiaTheme="minorEastAsia" w:cstheme="minorEastAsia"/>
          <w:kern w:val="2"/>
          <w:szCs w:val="21"/>
        </w:rPr>
        <w:t xml:space="preserve">2017  </w:t>
      </w:r>
      <w:r>
        <w:rPr>
          <w:rFonts w:hint="eastAsia" w:asciiTheme="minorEastAsia" w:hAnsiTheme="minorEastAsia" w:eastAsiaTheme="minorEastAsia" w:cstheme="minorEastAsia"/>
          <w:kern w:val="2"/>
          <w:szCs w:val="21"/>
        </w:rPr>
        <w:t>甘薯育苗技术规程</w:t>
      </w:r>
    </w:p>
    <w:bookmarkEnd w:id="2"/>
    <w:p>
      <w:pPr>
        <w:pStyle w:val="52"/>
        <w:spacing w:before="312" w:beforeLines="100" w:after="312" w:afterLines="100"/>
        <w:rPr>
          <w:rFonts w:ascii="Times New Roman"/>
          <w:color w:val="000000"/>
        </w:rPr>
      </w:pPr>
      <w:r>
        <w:rPr>
          <w:rFonts w:hint="eastAsia" w:ascii="Times New Roman"/>
          <w:color w:val="000000"/>
        </w:rPr>
        <w:t>术语和定义</w:t>
      </w:r>
      <w:r>
        <w:rPr>
          <w:rFonts w:ascii="Times New Roman"/>
          <w:color w:val="000000"/>
        </w:rPr>
        <w:t xml:space="preserve"> </w:t>
      </w:r>
    </w:p>
    <w:p>
      <w:pPr>
        <w:ind w:firstLine="420" w:firstLineChars="200"/>
      </w:pPr>
      <w:r>
        <w:rPr>
          <w:rFonts w:hint="eastAsia"/>
        </w:rPr>
        <w:t>下列术语和定义适用于本文件</w:t>
      </w:r>
      <w:r>
        <w:t>。</w:t>
      </w:r>
    </w:p>
    <w:p>
      <w:pPr>
        <w:spacing w:before="156" w:beforeLines="50" w:after="156" w:afterLines="50"/>
        <w:rPr>
          <w:rFonts w:ascii="黑体" w:hAnsi="黑体" w:eastAsia="黑体" w:cs="黑体"/>
          <w:szCs w:val="21"/>
        </w:rPr>
      </w:pPr>
      <w:r>
        <w:rPr>
          <w:rFonts w:ascii="黑体" w:hAnsi="黑体" w:eastAsia="黑体" w:cs="黑体"/>
          <w:szCs w:val="21"/>
        </w:rPr>
        <w:t xml:space="preserve">3.1 </w:t>
      </w:r>
    </w:p>
    <w:p>
      <w:pPr>
        <w:ind w:firstLine="420" w:firstLineChars="200"/>
        <w:rPr>
          <w:rFonts w:eastAsia="黑体"/>
          <w:szCs w:val="21"/>
        </w:rPr>
      </w:pPr>
      <w:r>
        <w:rPr>
          <w:rFonts w:hint="eastAsia" w:eastAsia="黑体"/>
          <w:szCs w:val="21"/>
        </w:rPr>
        <w:t>坐</w:t>
      </w:r>
      <w:r>
        <w:rPr>
          <w:rFonts w:eastAsia="黑体"/>
          <w:szCs w:val="21"/>
        </w:rPr>
        <w:t>水点种</w:t>
      </w:r>
      <w:r>
        <w:rPr>
          <w:rFonts w:hint="eastAsia" w:eastAsia="黑体"/>
          <w:szCs w:val="21"/>
        </w:rPr>
        <w:t xml:space="preserve"> </w:t>
      </w:r>
    </w:p>
    <w:p>
      <w:pPr>
        <w:ind w:firstLine="420" w:firstLineChars="200"/>
        <w:rPr>
          <w:rFonts w:ascii="宋体" w:hAnsi="宋体"/>
          <w:szCs w:val="21"/>
        </w:rPr>
      </w:pPr>
      <w:r>
        <w:rPr>
          <w:rFonts w:hint="eastAsia" w:ascii="宋体" w:hAnsi="宋体"/>
          <w:szCs w:val="21"/>
        </w:rPr>
        <w:t>坐</w:t>
      </w:r>
      <w:r>
        <w:rPr>
          <w:rFonts w:ascii="宋体" w:hAnsi="宋体"/>
          <w:szCs w:val="21"/>
        </w:rPr>
        <w:t>水</w:t>
      </w:r>
      <w:r>
        <w:rPr>
          <w:rFonts w:hint="eastAsia" w:ascii="宋体" w:hAnsi="宋体"/>
          <w:szCs w:val="21"/>
        </w:rPr>
        <w:t>点</w:t>
      </w:r>
      <w:r>
        <w:rPr>
          <w:rFonts w:ascii="宋体" w:hAnsi="宋体"/>
          <w:szCs w:val="21"/>
        </w:rPr>
        <w:t>种是又称抗旱点种。即</w:t>
      </w:r>
      <w:r>
        <w:rPr>
          <w:rFonts w:hint="eastAsia" w:ascii="宋体" w:hAnsi="宋体"/>
          <w:szCs w:val="21"/>
        </w:rPr>
        <w:t>在甘薯</w:t>
      </w:r>
      <w:r>
        <w:rPr>
          <w:rFonts w:ascii="宋体" w:hAnsi="宋体"/>
          <w:szCs w:val="21"/>
        </w:rPr>
        <w:t>播种适期，采取</w:t>
      </w:r>
      <w:r>
        <w:rPr>
          <w:rFonts w:hint="eastAsia" w:ascii="宋体" w:hAnsi="宋体"/>
          <w:szCs w:val="21"/>
        </w:rPr>
        <w:t>人工</w:t>
      </w:r>
      <w:r>
        <w:rPr>
          <w:rFonts w:ascii="宋体" w:hAnsi="宋体"/>
          <w:szCs w:val="21"/>
        </w:rPr>
        <w:t>或专用机械设备供水的形式，用较少的水量湿润</w:t>
      </w:r>
      <w:r>
        <w:rPr>
          <w:rFonts w:hint="eastAsia" w:ascii="宋体" w:hAnsi="宋体"/>
          <w:szCs w:val="21"/>
        </w:rPr>
        <w:t>准备</w:t>
      </w:r>
      <w:r>
        <w:rPr>
          <w:rFonts w:ascii="宋体" w:hAnsi="宋体"/>
          <w:szCs w:val="21"/>
        </w:rPr>
        <w:t>好的</w:t>
      </w:r>
      <w:r>
        <w:rPr>
          <w:rFonts w:hint="eastAsia" w:ascii="宋体" w:hAnsi="宋体"/>
          <w:szCs w:val="21"/>
        </w:rPr>
        <w:t>播种</w:t>
      </w:r>
      <w:r>
        <w:rPr>
          <w:rFonts w:ascii="宋体" w:hAnsi="宋体"/>
          <w:szCs w:val="21"/>
        </w:rPr>
        <w:t>土</w:t>
      </w:r>
      <w:r>
        <w:rPr>
          <w:rFonts w:hint="eastAsia" w:ascii="宋体" w:hAnsi="宋体"/>
          <w:szCs w:val="21"/>
        </w:rPr>
        <w:t>坑或</w:t>
      </w:r>
      <w:r>
        <w:rPr>
          <w:rFonts w:ascii="宋体" w:hAnsi="宋体"/>
          <w:szCs w:val="21"/>
        </w:rPr>
        <w:t>周围的土壤，使</w:t>
      </w:r>
      <w:r>
        <w:rPr>
          <w:rFonts w:hint="eastAsia" w:ascii="宋体" w:hAnsi="宋体"/>
          <w:szCs w:val="21"/>
        </w:rPr>
        <w:t>甘薯</w:t>
      </w:r>
      <w:r>
        <w:rPr>
          <w:rFonts w:ascii="宋体" w:hAnsi="宋体"/>
          <w:szCs w:val="21"/>
        </w:rPr>
        <w:t>幼苗恰好坐落在灌溉水</w:t>
      </w:r>
      <w:r>
        <w:rPr>
          <w:rFonts w:hint="eastAsia" w:ascii="宋体" w:hAnsi="宋体"/>
          <w:szCs w:val="21"/>
        </w:rPr>
        <w:t>湿润过</w:t>
      </w:r>
      <w:r>
        <w:rPr>
          <w:rFonts w:ascii="宋体" w:hAnsi="宋体"/>
          <w:szCs w:val="21"/>
        </w:rPr>
        <w:t>的土</w:t>
      </w:r>
      <w:r>
        <w:rPr>
          <w:rFonts w:hint="eastAsia" w:ascii="宋体" w:hAnsi="宋体"/>
          <w:szCs w:val="21"/>
        </w:rPr>
        <w:t>壤</w:t>
      </w:r>
      <w:r>
        <w:rPr>
          <w:rFonts w:ascii="宋体" w:hAnsi="宋体"/>
          <w:szCs w:val="21"/>
        </w:rPr>
        <w:t>之上，然后覆</w:t>
      </w:r>
      <w:r>
        <w:rPr>
          <w:rFonts w:hint="eastAsia" w:ascii="宋体" w:hAnsi="宋体"/>
          <w:szCs w:val="21"/>
        </w:rPr>
        <w:t>土</w:t>
      </w:r>
      <w:r>
        <w:rPr>
          <w:rFonts w:ascii="宋体" w:hAnsi="宋体"/>
          <w:szCs w:val="21"/>
        </w:rPr>
        <w:t>，</w:t>
      </w:r>
      <w:r>
        <w:rPr>
          <w:rFonts w:hint="eastAsia" w:ascii="宋体" w:hAnsi="宋体"/>
          <w:szCs w:val="21"/>
        </w:rPr>
        <w:t>以</w:t>
      </w:r>
      <w:r>
        <w:rPr>
          <w:rFonts w:ascii="宋体" w:hAnsi="宋体"/>
          <w:szCs w:val="21"/>
        </w:rPr>
        <w:t>保证</w:t>
      </w:r>
      <w:r>
        <w:rPr>
          <w:rFonts w:hint="eastAsia" w:ascii="宋体" w:hAnsi="宋体"/>
          <w:szCs w:val="21"/>
        </w:rPr>
        <w:t>甘薯</w:t>
      </w:r>
      <w:r>
        <w:rPr>
          <w:rFonts w:ascii="宋体" w:hAnsi="宋体"/>
          <w:szCs w:val="21"/>
        </w:rPr>
        <w:t>幼苗成活。</w:t>
      </w:r>
    </w:p>
    <w:p>
      <w:pPr>
        <w:spacing w:before="156" w:beforeLines="50" w:after="156" w:afterLines="50"/>
        <w:rPr>
          <w:rFonts w:ascii="黑体" w:hAnsi="黑体" w:eastAsia="黑体" w:cs="黑体"/>
          <w:szCs w:val="21"/>
        </w:rPr>
      </w:pPr>
      <w:r>
        <w:rPr>
          <w:rFonts w:ascii="黑体" w:hAnsi="黑体" w:eastAsia="黑体" w:cs="黑体"/>
          <w:szCs w:val="21"/>
        </w:rPr>
        <w:t xml:space="preserve">3.2 </w:t>
      </w:r>
    </w:p>
    <w:p>
      <w:pPr>
        <w:ind w:firstLine="420" w:firstLineChars="200"/>
        <w:rPr>
          <w:rFonts w:eastAsia="黑体"/>
          <w:szCs w:val="21"/>
        </w:rPr>
      </w:pPr>
      <w:r>
        <w:rPr>
          <w:rFonts w:eastAsia="黑体"/>
          <w:szCs w:val="21"/>
        </w:rPr>
        <w:t xml:space="preserve">时空宽泛播种 </w:t>
      </w:r>
    </w:p>
    <w:p>
      <w:pPr>
        <w:ind w:firstLine="420" w:firstLineChars="200"/>
        <w:rPr>
          <w:rFonts w:ascii="宋体" w:hAnsi="宋体"/>
          <w:szCs w:val="21"/>
        </w:rPr>
      </w:pPr>
      <w:r>
        <w:rPr>
          <w:rFonts w:hint="eastAsia" w:ascii="宋体" w:hAnsi="宋体"/>
          <w:szCs w:val="21"/>
        </w:rPr>
        <w:t>指综合</w:t>
      </w:r>
      <w:r>
        <w:rPr>
          <w:rFonts w:ascii="宋体" w:hAnsi="宋体"/>
          <w:szCs w:val="21"/>
        </w:rPr>
        <w:t>利用</w:t>
      </w:r>
      <w:r>
        <w:rPr>
          <w:rFonts w:hint="eastAsia" w:ascii="宋体" w:hAnsi="宋体"/>
          <w:szCs w:val="21"/>
        </w:rPr>
        <w:t>高水</w:t>
      </w:r>
      <w:r>
        <w:rPr>
          <w:rFonts w:ascii="宋体" w:hAnsi="宋体"/>
          <w:szCs w:val="21"/>
        </w:rPr>
        <w:t>效品种、通过</w:t>
      </w:r>
      <w:r>
        <w:rPr>
          <w:rFonts w:hint="eastAsia" w:ascii="宋体" w:hAnsi="宋体"/>
          <w:szCs w:val="21"/>
        </w:rPr>
        <w:t>借墒播种、集水播种、变量播种、补墒播种等技术拓宽播种时长，</w:t>
      </w:r>
      <w:r>
        <w:rPr>
          <w:rFonts w:ascii="宋体" w:hAnsi="宋体"/>
          <w:szCs w:val="21"/>
        </w:rPr>
        <w:t>在时间（</w:t>
      </w:r>
      <w:r>
        <w:rPr>
          <w:rFonts w:hint="eastAsia" w:ascii="宋体" w:hAnsi="宋体"/>
          <w:szCs w:val="21"/>
        </w:rPr>
        <w:t>播</w:t>
      </w:r>
      <w:r>
        <w:rPr>
          <w:rFonts w:ascii="宋体" w:hAnsi="宋体"/>
          <w:szCs w:val="21"/>
        </w:rPr>
        <w:t>期）</w:t>
      </w:r>
      <w:r>
        <w:rPr>
          <w:rFonts w:hint="eastAsia" w:ascii="宋体" w:hAnsi="宋体"/>
          <w:szCs w:val="21"/>
        </w:rPr>
        <w:t>和</w:t>
      </w:r>
      <w:r>
        <w:rPr>
          <w:rFonts w:ascii="宋体" w:hAnsi="宋体"/>
          <w:szCs w:val="21"/>
        </w:rPr>
        <w:t>空间（</w:t>
      </w:r>
      <w:r>
        <w:rPr>
          <w:rFonts w:hint="eastAsia" w:ascii="宋体" w:hAnsi="宋体"/>
          <w:szCs w:val="21"/>
        </w:rPr>
        <w:t>播</w:t>
      </w:r>
      <w:r>
        <w:rPr>
          <w:rFonts w:ascii="宋体" w:hAnsi="宋体"/>
          <w:szCs w:val="21"/>
        </w:rPr>
        <w:t>深）</w:t>
      </w:r>
      <w:r>
        <w:rPr>
          <w:rFonts w:hint="eastAsia" w:ascii="宋体" w:hAnsi="宋体"/>
          <w:szCs w:val="21"/>
        </w:rPr>
        <w:t>寻墒播种，保苗全</w:t>
      </w:r>
      <w:r>
        <w:rPr>
          <w:rFonts w:ascii="宋体" w:hAnsi="宋体"/>
          <w:szCs w:val="21"/>
        </w:rPr>
        <w:t>苗壮</w:t>
      </w:r>
      <w:r>
        <w:rPr>
          <w:rFonts w:hint="eastAsia" w:ascii="宋体" w:hAnsi="宋体"/>
          <w:szCs w:val="21"/>
        </w:rPr>
        <w:t>，可参照DB13/T</w:t>
      </w:r>
      <w:r>
        <w:rPr>
          <w:rFonts w:ascii="宋体" w:hAnsi="宋体"/>
          <w:szCs w:val="21"/>
        </w:rPr>
        <w:t xml:space="preserve"> </w:t>
      </w:r>
      <w:r>
        <w:rPr>
          <w:rFonts w:hint="eastAsia" w:ascii="宋体" w:hAnsi="宋体"/>
          <w:szCs w:val="21"/>
        </w:rPr>
        <w:t>5229</w:t>
      </w:r>
      <w:r>
        <w:rPr>
          <w:rFonts w:asciiTheme="minorEastAsia" w:hAnsiTheme="minorEastAsia" w:eastAsiaTheme="minorEastAsia" w:cstheme="minorEastAsia"/>
        </w:rPr>
        <w:t>—</w:t>
      </w:r>
      <w:r>
        <w:rPr>
          <w:rFonts w:hint="eastAsia" w:ascii="宋体" w:hAnsi="宋体"/>
          <w:szCs w:val="21"/>
        </w:rPr>
        <w:t>2020执行</w:t>
      </w:r>
      <w:r>
        <w:rPr>
          <w:rFonts w:ascii="宋体" w:hAnsi="宋体"/>
          <w:szCs w:val="21"/>
        </w:rPr>
        <w:t>。</w:t>
      </w:r>
    </w:p>
    <w:p>
      <w:pPr>
        <w:spacing w:before="156" w:beforeLines="50" w:after="156" w:afterLines="50"/>
        <w:rPr>
          <w:rFonts w:ascii="黑体" w:hAnsi="黑体" w:eastAsia="黑体" w:cs="黑体"/>
          <w:szCs w:val="21"/>
        </w:rPr>
      </w:pPr>
      <w:r>
        <w:rPr>
          <w:rFonts w:ascii="黑体" w:hAnsi="黑体" w:eastAsia="黑体" w:cs="黑体"/>
          <w:szCs w:val="21"/>
        </w:rPr>
        <w:t>3.3</w:t>
      </w:r>
    </w:p>
    <w:p>
      <w:pPr>
        <w:ind w:firstLine="420" w:firstLineChars="200"/>
        <w:rPr>
          <w:rFonts w:eastAsia="黑体"/>
          <w:szCs w:val="21"/>
        </w:rPr>
      </w:pPr>
      <w:r>
        <w:rPr>
          <w:rFonts w:hint="eastAsia" w:eastAsia="黑体"/>
          <w:szCs w:val="21"/>
        </w:rPr>
        <w:t xml:space="preserve">适水贴茬播种 </w:t>
      </w:r>
    </w:p>
    <w:p>
      <w:pPr>
        <w:ind w:firstLine="420" w:firstLineChars="200"/>
        <w:rPr>
          <w:rFonts w:ascii="宋体" w:hAnsi="宋体"/>
          <w:szCs w:val="21"/>
        </w:rPr>
      </w:pPr>
      <w:r>
        <w:rPr>
          <w:rFonts w:hint="eastAsia" w:ascii="宋体" w:hAnsi="宋体"/>
          <w:szCs w:val="21"/>
        </w:rPr>
        <w:t>指小麦收获后，</w:t>
      </w:r>
      <w:r>
        <w:rPr>
          <w:rFonts w:ascii="宋体" w:hAnsi="宋体"/>
          <w:szCs w:val="21"/>
        </w:rPr>
        <w:t>不经过耕地、</w:t>
      </w:r>
      <w:r>
        <w:rPr>
          <w:rFonts w:hint="eastAsia" w:ascii="宋体" w:hAnsi="宋体"/>
          <w:szCs w:val="21"/>
        </w:rPr>
        <w:t>整地</w:t>
      </w:r>
      <w:r>
        <w:rPr>
          <w:rFonts w:ascii="宋体" w:hAnsi="宋体"/>
          <w:szCs w:val="21"/>
        </w:rPr>
        <w:t>，</w:t>
      </w:r>
      <w:r>
        <w:rPr>
          <w:rFonts w:hint="eastAsia" w:ascii="宋体" w:hAnsi="宋体"/>
          <w:szCs w:val="21"/>
        </w:rPr>
        <w:t>遇雨</w:t>
      </w:r>
      <w:r>
        <w:rPr>
          <w:rFonts w:ascii="宋体" w:hAnsi="宋体"/>
          <w:szCs w:val="21"/>
        </w:rPr>
        <w:t>直接在麦茬</w:t>
      </w:r>
      <w:r>
        <w:rPr>
          <w:rFonts w:hint="eastAsia" w:ascii="宋体" w:hAnsi="宋体"/>
          <w:szCs w:val="21"/>
        </w:rPr>
        <w:t>行间</w:t>
      </w:r>
      <w:r>
        <w:rPr>
          <w:rFonts w:ascii="宋体" w:hAnsi="宋体"/>
          <w:szCs w:val="21"/>
        </w:rPr>
        <w:t>播种谷子。</w:t>
      </w:r>
    </w:p>
    <w:p>
      <w:pPr>
        <w:adjustRightInd w:val="0"/>
        <w:snapToGrid w:val="0"/>
        <w:spacing w:before="156" w:beforeLines="50" w:after="156" w:afterLines="50"/>
        <w:rPr>
          <w:rFonts w:ascii="黑体" w:hAnsi="黑体" w:cs="黑体"/>
          <w:szCs w:val="21"/>
        </w:rPr>
      </w:pPr>
      <w:r>
        <w:rPr>
          <w:rFonts w:ascii="黑体" w:hAnsi="黑体" w:eastAsia="黑体" w:cs="黑体"/>
          <w:szCs w:val="21"/>
        </w:rPr>
        <w:t xml:space="preserve">3.4 </w:t>
      </w:r>
    </w:p>
    <w:p>
      <w:pPr>
        <w:pStyle w:val="52"/>
        <w:numPr>
          <w:ilvl w:val="0"/>
          <w:numId w:val="0"/>
        </w:numPr>
        <w:spacing w:before="0" w:beforeLines="0" w:after="0" w:afterLines="0"/>
        <w:ind w:firstLine="420" w:firstLineChars="200"/>
        <w:rPr>
          <w:rFonts w:ascii="Times New Roman"/>
          <w:kern w:val="2"/>
          <w:szCs w:val="21"/>
        </w:rPr>
      </w:pPr>
      <w:r>
        <w:rPr>
          <w:rFonts w:ascii="Times New Roman"/>
        </w:rPr>
        <w:t>产量和节</w:t>
      </w:r>
      <w:r>
        <w:rPr>
          <w:rFonts w:hint="eastAsia" w:ascii="Times New Roman"/>
        </w:rPr>
        <w:t>水</w:t>
      </w:r>
      <w:r>
        <w:rPr>
          <w:rFonts w:ascii="Times New Roman"/>
        </w:rPr>
        <w:t xml:space="preserve">指标 </w:t>
      </w:r>
    </w:p>
    <w:p>
      <w:pPr>
        <w:adjustRightInd w:val="0"/>
        <w:snapToGrid w:val="0"/>
        <w:ind w:firstLine="420" w:firstLineChars="200"/>
        <w:rPr>
          <w:rFonts w:ascii="宋体" w:hAnsi="宋体"/>
          <w:szCs w:val="21"/>
        </w:rPr>
      </w:pPr>
      <w:r>
        <w:rPr>
          <w:rFonts w:hint="eastAsia" w:ascii="宋体" w:hAnsi="宋体"/>
          <w:szCs w:val="21"/>
        </w:rPr>
        <w:t>指甘薯、冬小麦和谷子尽量充分利用雨水，甘薯坐水点种，冬小麦在春</w:t>
      </w:r>
      <w:r>
        <w:rPr>
          <w:rFonts w:ascii="宋体" w:hAnsi="宋体"/>
          <w:szCs w:val="21"/>
        </w:rPr>
        <w:t>1</w:t>
      </w:r>
      <w:r>
        <w:rPr>
          <w:rFonts w:hint="eastAsia"/>
          <w:bCs/>
          <w:szCs w:val="18"/>
          <w:lang w:bidi="ca-ES"/>
        </w:rPr>
        <w:t>～</w:t>
      </w:r>
      <w:r>
        <w:rPr>
          <w:rFonts w:ascii="宋体" w:hAnsi="宋体"/>
          <w:szCs w:val="21"/>
        </w:rPr>
        <w:t>2</w:t>
      </w:r>
      <w:r>
        <w:rPr>
          <w:rFonts w:hint="eastAsia" w:ascii="宋体" w:hAnsi="宋体"/>
          <w:szCs w:val="21"/>
        </w:rPr>
        <w:t>水调亏灌溉下，谷子在雨养条件下，周年产量和水分利用效率指标。在正常降雨年份，甘薯亩产量≥</w:t>
      </w:r>
      <w:r>
        <w:rPr>
          <w:rFonts w:ascii="宋体" w:hAnsi="宋体"/>
          <w:szCs w:val="21"/>
        </w:rPr>
        <w:t>3 500 kg</w:t>
      </w:r>
      <w:r>
        <w:rPr>
          <w:rFonts w:hint="eastAsia" w:ascii="宋体" w:hAnsi="宋体"/>
          <w:szCs w:val="21"/>
        </w:rPr>
        <w:t>，冬小麦亩产量≥</w:t>
      </w:r>
      <w:r>
        <w:rPr>
          <w:rFonts w:ascii="宋体" w:hAnsi="宋体"/>
          <w:szCs w:val="21"/>
        </w:rPr>
        <w:t xml:space="preserve">400 kg, </w:t>
      </w:r>
      <w:r>
        <w:rPr>
          <w:rFonts w:hint="eastAsia" w:ascii="宋体" w:hAnsi="宋体"/>
          <w:szCs w:val="21"/>
        </w:rPr>
        <w:t>谷子亩产量≥</w:t>
      </w:r>
      <w:r>
        <w:rPr>
          <w:rFonts w:ascii="宋体" w:hAnsi="宋体"/>
          <w:szCs w:val="21"/>
        </w:rPr>
        <w:t>200 kg</w:t>
      </w:r>
      <w:r>
        <w:rPr>
          <w:rFonts w:hint="eastAsia" w:ascii="宋体" w:hAnsi="宋体"/>
          <w:szCs w:val="21"/>
        </w:rPr>
        <w:t>。甘薯</w:t>
      </w:r>
      <w:r>
        <w:rPr>
          <w:rFonts w:ascii="宋体" w:hAnsi="宋体"/>
          <w:szCs w:val="21"/>
        </w:rPr>
        <w:t>-</w:t>
      </w:r>
      <w:r>
        <w:rPr>
          <w:rFonts w:hint="eastAsia" w:ascii="宋体" w:hAnsi="宋体"/>
          <w:szCs w:val="21"/>
        </w:rPr>
        <w:t>冬小麦</w:t>
      </w:r>
      <w:r>
        <w:rPr>
          <w:rFonts w:ascii="宋体" w:hAnsi="宋体"/>
          <w:szCs w:val="21"/>
        </w:rPr>
        <w:t>-</w:t>
      </w:r>
      <w:r>
        <w:rPr>
          <w:rFonts w:hint="eastAsia" w:ascii="宋体" w:hAnsi="宋体"/>
          <w:szCs w:val="21"/>
        </w:rPr>
        <w:t>谷子两年三熟减少灌溉次数</w:t>
      </w:r>
      <w:r>
        <w:rPr>
          <w:rFonts w:ascii="宋体" w:hAnsi="宋体"/>
          <w:szCs w:val="21"/>
        </w:rPr>
        <w:t>2</w:t>
      </w:r>
      <w:r>
        <w:rPr>
          <w:rFonts w:hint="eastAsia"/>
          <w:bCs/>
          <w:szCs w:val="18"/>
          <w:lang w:bidi="ca-ES"/>
        </w:rPr>
        <w:t>～</w:t>
      </w:r>
      <w:r>
        <w:rPr>
          <w:rFonts w:ascii="宋体" w:hAnsi="宋体"/>
          <w:szCs w:val="21"/>
        </w:rPr>
        <w:t>3</w:t>
      </w:r>
      <w:r>
        <w:rPr>
          <w:rFonts w:hint="eastAsia" w:ascii="宋体" w:hAnsi="宋体"/>
          <w:szCs w:val="21"/>
        </w:rPr>
        <w:t>次，亩节省灌溉水</w:t>
      </w:r>
      <w:r>
        <w:rPr>
          <w:rFonts w:ascii="宋体" w:hAnsi="宋体"/>
          <w:szCs w:val="21"/>
        </w:rPr>
        <w:t>100 m</w:t>
      </w:r>
      <w:r>
        <w:rPr>
          <w:rFonts w:ascii="宋体" w:hAnsi="宋体"/>
          <w:szCs w:val="21"/>
          <w:vertAlign w:val="superscript"/>
        </w:rPr>
        <w:t>3</w:t>
      </w:r>
      <w:r>
        <w:rPr>
          <w:rFonts w:hint="eastAsia"/>
          <w:bCs/>
          <w:szCs w:val="18"/>
          <w:lang w:bidi="ca-ES"/>
        </w:rPr>
        <w:t>～</w:t>
      </w:r>
      <w:r>
        <w:rPr>
          <w:rFonts w:ascii="宋体" w:hAnsi="宋体"/>
          <w:szCs w:val="21"/>
        </w:rPr>
        <w:t>150 m</w:t>
      </w:r>
      <w:r>
        <w:rPr>
          <w:rFonts w:ascii="宋体" w:hAnsi="宋体"/>
          <w:szCs w:val="21"/>
          <w:vertAlign w:val="superscript"/>
        </w:rPr>
        <w:t>3</w:t>
      </w:r>
      <w:r>
        <w:rPr>
          <w:rFonts w:hint="eastAsia" w:ascii="宋体" w:hAnsi="宋体"/>
          <w:szCs w:val="21"/>
        </w:rPr>
        <w:t>。</w:t>
      </w:r>
    </w:p>
    <w:p>
      <w:pPr>
        <w:pStyle w:val="52"/>
        <w:numPr>
          <w:ilvl w:val="255"/>
          <w:numId w:val="0"/>
        </w:numPr>
        <w:adjustRightInd w:val="0"/>
        <w:snapToGrid w:val="0"/>
        <w:spacing w:before="312" w:beforeLines="100" w:after="312" w:afterLines="100"/>
        <w:rPr>
          <w:rFonts w:ascii="宋体" w:hAnsi="宋体"/>
          <w:color w:val="000000"/>
          <w:szCs w:val="21"/>
        </w:rPr>
      </w:pPr>
      <w:r>
        <w:rPr>
          <w:rFonts w:hAnsi="黑体" w:cs="黑体"/>
          <w:color w:val="000000"/>
        </w:rPr>
        <w:t xml:space="preserve">4  </w:t>
      </w:r>
      <w:r>
        <w:rPr>
          <w:rFonts w:hint="eastAsia" w:ascii="宋体" w:hAnsi="宋体"/>
          <w:color w:val="000000"/>
          <w:szCs w:val="21"/>
        </w:rPr>
        <w:t>甘薯深松起垄坐水点种高效</w:t>
      </w:r>
      <w:r>
        <w:rPr>
          <w:rFonts w:ascii="宋体" w:hAnsi="宋体"/>
          <w:color w:val="000000"/>
          <w:szCs w:val="21"/>
        </w:rPr>
        <w:t>栽培</w:t>
      </w:r>
      <w:r>
        <w:rPr>
          <w:rFonts w:hint="eastAsia" w:ascii="宋体" w:hAnsi="宋体"/>
          <w:color w:val="000000"/>
          <w:szCs w:val="21"/>
        </w:rPr>
        <w:t>技术</w:t>
      </w:r>
    </w:p>
    <w:p>
      <w:pPr>
        <w:pStyle w:val="52"/>
        <w:numPr>
          <w:ilvl w:val="255"/>
          <w:numId w:val="0"/>
        </w:numPr>
        <w:adjustRightInd w:val="0"/>
        <w:snapToGrid w:val="0"/>
        <w:spacing w:before="312" w:beforeLines="100" w:after="312" w:afterLines="100"/>
        <w:rPr>
          <w:rFonts w:hAnsi="黑体" w:cs="黑体"/>
        </w:rPr>
      </w:pPr>
      <w:r>
        <w:rPr>
          <w:rFonts w:hAnsi="黑体" w:cs="黑体"/>
        </w:rPr>
        <w:t xml:space="preserve">4.1 </w:t>
      </w:r>
      <w:r>
        <w:rPr>
          <w:rFonts w:hint="eastAsia" w:hAnsi="黑体" w:cs="黑体"/>
        </w:rPr>
        <w:t>播前准备</w:t>
      </w:r>
    </w:p>
    <w:p>
      <w:pPr>
        <w:pStyle w:val="51"/>
        <w:adjustRightInd w:val="0"/>
        <w:snapToGrid w:val="0"/>
        <w:spacing w:before="156" w:beforeLines="50" w:after="156" w:afterLines="50"/>
        <w:ind w:firstLine="0" w:firstLineChars="0"/>
        <w:rPr>
          <w:rFonts w:ascii="黑体" w:hAnsi="黑体" w:eastAsia="黑体" w:cs="黑体"/>
        </w:rPr>
      </w:pPr>
      <w:r>
        <w:rPr>
          <w:rFonts w:ascii="黑体" w:hAnsi="黑体" w:eastAsia="黑体" w:cs="黑体"/>
        </w:rPr>
        <w:t xml:space="preserve">4.1.1 </w:t>
      </w:r>
      <w:r>
        <w:rPr>
          <w:rFonts w:hint="eastAsia" w:ascii="黑体" w:hAnsi="黑体" w:eastAsia="黑体" w:cs="黑体"/>
        </w:rPr>
        <w:t>品种选择</w:t>
      </w:r>
    </w:p>
    <w:p>
      <w:pPr>
        <w:ind w:firstLine="420" w:firstLineChars="200"/>
        <w:rPr>
          <w:rFonts w:hAnsi="宋体"/>
          <w:szCs w:val="21"/>
        </w:rPr>
      </w:pPr>
      <w:r>
        <w:rPr>
          <w:rFonts w:hint="eastAsia" w:ascii="宋体" w:hAnsi="宋体"/>
          <w:szCs w:val="21"/>
        </w:rPr>
        <w:t>选用优质高产耐旱抗病性</w:t>
      </w:r>
      <w:r>
        <w:rPr>
          <w:rFonts w:ascii="宋体" w:hAnsi="宋体"/>
          <w:szCs w:val="21"/>
        </w:rPr>
        <w:t>好</w:t>
      </w:r>
      <w:r>
        <w:rPr>
          <w:rFonts w:hint="eastAsia" w:ascii="宋体" w:hAnsi="宋体"/>
          <w:szCs w:val="21"/>
        </w:rPr>
        <w:t>的春薯品种。如商薯</w:t>
      </w:r>
      <w:r>
        <w:rPr>
          <w:rFonts w:ascii="宋体" w:hAnsi="宋体"/>
          <w:szCs w:val="21"/>
        </w:rPr>
        <w:t>19等</w:t>
      </w:r>
      <w:r>
        <w:rPr>
          <w:rFonts w:hint="eastAsia" w:ascii="宋体" w:hAnsi="宋体"/>
          <w:szCs w:val="21"/>
        </w:rPr>
        <w:t>。</w:t>
      </w:r>
    </w:p>
    <w:p>
      <w:pPr>
        <w:pStyle w:val="52"/>
        <w:numPr>
          <w:ilvl w:val="1"/>
          <w:numId w:val="0"/>
        </w:numPr>
        <w:adjustRightInd w:val="0"/>
        <w:snapToGrid w:val="0"/>
        <w:spacing w:before="156" w:after="156"/>
        <w:rPr>
          <w:rFonts w:hAnsi="黑体" w:cs="黑体"/>
        </w:rPr>
      </w:pPr>
      <w:r>
        <w:rPr>
          <w:rFonts w:hAnsi="黑体" w:cs="黑体"/>
        </w:rPr>
        <w:t xml:space="preserve">4.1.2 </w:t>
      </w:r>
      <w:r>
        <w:rPr>
          <w:rFonts w:hint="eastAsia" w:hAnsi="黑体" w:cs="黑体"/>
        </w:rPr>
        <w:t>育苗</w:t>
      </w:r>
    </w:p>
    <w:p>
      <w:pPr>
        <w:ind w:firstLine="420" w:firstLineChars="200"/>
        <w:rPr>
          <w:rFonts w:hAnsi="宋体"/>
          <w:szCs w:val="21"/>
        </w:rPr>
      </w:pPr>
      <w:r>
        <w:rPr>
          <w:rFonts w:hint="eastAsia" w:ascii="宋体" w:hAnsi="宋体"/>
          <w:szCs w:val="21"/>
        </w:rPr>
        <w:t>采用温室大棚双膜或三膜育苗方法，在</w:t>
      </w:r>
      <w:r>
        <w:rPr>
          <w:rFonts w:ascii="宋体" w:hAnsi="宋体"/>
          <w:szCs w:val="21"/>
        </w:rPr>
        <w:t>3月上旬开始育苗，育苗技术按照DB1301/T 213</w:t>
      </w:r>
      <w:r>
        <w:rPr>
          <w:rFonts w:asciiTheme="minorEastAsia" w:hAnsiTheme="minorEastAsia" w:eastAsiaTheme="minorEastAsia" w:cstheme="minorEastAsia"/>
        </w:rPr>
        <w:t>—</w:t>
      </w:r>
      <w:r>
        <w:rPr>
          <w:rFonts w:ascii="宋体" w:hAnsi="宋体"/>
          <w:szCs w:val="21"/>
        </w:rPr>
        <w:t>2017执行；也可采用商品苗。</w:t>
      </w:r>
    </w:p>
    <w:p>
      <w:pPr>
        <w:pStyle w:val="52"/>
        <w:numPr>
          <w:ilvl w:val="1"/>
          <w:numId w:val="0"/>
        </w:numPr>
        <w:adjustRightInd w:val="0"/>
        <w:snapToGrid w:val="0"/>
        <w:spacing w:before="156" w:after="156"/>
        <w:rPr>
          <w:rFonts w:hAnsi="黑体" w:cs="黑体"/>
        </w:rPr>
      </w:pPr>
      <w:r>
        <w:rPr>
          <w:rFonts w:hAnsi="黑体" w:cs="黑体"/>
        </w:rPr>
        <w:t xml:space="preserve">4.1.3 </w:t>
      </w:r>
      <w:r>
        <w:rPr>
          <w:rFonts w:hint="eastAsia" w:hAnsi="黑体" w:cs="黑体"/>
        </w:rPr>
        <w:t>底肥</w:t>
      </w:r>
    </w:p>
    <w:p>
      <w:pPr>
        <w:ind w:firstLine="420" w:firstLineChars="200"/>
        <w:rPr>
          <w:rFonts w:hAnsi="宋体"/>
          <w:szCs w:val="21"/>
        </w:rPr>
      </w:pPr>
      <w:r>
        <w:rPr>
          <w:rFonts w:hint="eastAsia" w:ascii="宋体" w:hAnsi="宋体"/>
          <w:szCs w:val="21"/>
        </w:rPr>
        <w:t>亩施商品有机肥</w:t>
      </w:r>
      <w:r>
        <w:rPr>
          <w:rFonts w:ascii="宋体" w:hAnsi="宋体"/>
          <w:szCs w:val="21"/>
        </w:rPr>
        <w:t>100kg，复合肥50 kg</w:t>
      </w:r>
      <w:r>
        <w:rPr>
          <w:rFonts w:hint="eastAsia" w:ascii="宋体" w:hAnsi="宋体"/>
          <w:szCs w:val="21"/>
        </w:rPr>
        <w:t>（</w:t>
      </w:r>
      <w:r>
        <w:rPr>
          <w:rFonts w:ascii="宋体" w:hAnsi="宋体"/>
          <w:szCs w:val="21"/>
        </w:rPr>
        <w:t>N：P2O5：K2O=15：15：15</w:t>
      </w:r>
      <w:r>
        <w:rPr>
          <w:rFonts w:hint="eastAsia" w:ascii="宋体" w:hAnsi="宋体"/>
          <w:szCs w:val="21"/>
        </w:rPr>
        <w:t>）土壤底肥的施用按照NY/T 496执行。</w:t>
      </w:r>
    </w:p>
    <w:p>
      <w:pPr>
        <w:pStyle w:val="52"/>
        <w:numPr>
          <w:ilvl w:val="1"/>
          <w:numId w:val="0"/>
        </w:numPr>
        <w:adjustRightInd w:val="0"/>
        <w:snapToGrid w:val="0"/>
        <w:spacing w:before="156" w:after="156"/>
        <w:rPr>
          <w:rFonts w:hAnsi="黑体" w:cs="黑体"/>
        </w:rPr>
      </w:pPr>
      <w:r>
        <w:rPr>
          <w:rFonts w:hAnsi="黑体" w:cs="黑体"/>
        </w:rPr>
        <w:t xml:space="preserve">4.1.4 </w:t>
      </w:r>
      <w:r>
        <w:rPr>
          <w:rFonts w:hint="eastAsia" w:hAnsi="黑体" w:cs="黑体"/>
        </w:rPr>
        <w:t>整地起垄</w:t>
      </w:r>
    </w:p>
    <w:p>
      <w:pPr>
        <w:ind w:firstLine="420" w:firstLineChars="200"/>
        <w:rPr>
          <w:rFonts w:hAnsi="宋体"/>
          <w:szCs w:val="21"/>
        </w:rPr>
      </w:pPr>
      <w:r>
        <w:rPr>
          <w:rFonts w:hint="eastAsia" w:ascii="宋体" w:hAnsi="宋体"/>
          <w:szCs w:val="21"/>
        </w:rPr>
        <w:t>谷子收获</w:t>
      </w:r>
      <w:r>
        <w:rPr>
          <w:rFonts w:ascii="宋体" w:hAnsi="宋体"/>
          <w:szCs w:val="21"/>
        </w:rPr>
        <w:t>后进行深耕</w:t>
      </w:r>
      <w:r>
        <w:rPr>
          <w:rFonts w:hint="eastAsia" w:ascii="宋体" w:hAnsi="宋体"/>
          <w:szCs w:val="21"/>
        </w:rPr>
        <w:t>晒垡，耕深</w:t>
      </w:r>
      <w:r>
        <w:rPr>
          <w:rFonts w:ascii="宋体" w:hAnsi="宋体"/>
          <w:szCs w:val="21"/>
        </w:rPr>
        <w:t>30 cm</w:t>
      </w:r>
      <w:r>
        <w:rPr>
          <w:rFonts w:hint="eastAsia" w:ascii="宋体" w:hAnsi="宋体"/>
          <w:szCs w:val="21"/>
        </w:rPr>
        <w:t>，甘薯</w:t>
      </w:r>
      <w:r>
        <w:rPr>
          <w:rFonts w:ascii="宋体" w:hAnsi="宋体"/>
          <w:szCs w:val="21"/>
        </w:rPr>
        <w:t>种植</w:t>
      </w:r>
      <w:r>
        <w:rPr>
          <w:rFonts w:hint="eastAsia" w:ascii="宋体" w:hAnsi="宋体"/>
          <w:szCs w:val="21"/>
        </w:rPr>
        <w:t>前旋耕后整地起垄。单</w:t>
      </w:r>
      <w:r>
        <w:rPr>
          <w:rFonts w:ascii="宋体" w:hAnsi="宋体"/>
          <w:szCs w:val="21"/>
        </w:rPr>
        <w:t>垄栽培，</w:t>
      </w:r>
      <w:r>
        <w:rPr>
          <w:rFonts w:hint="eastAsia" w:ascii="宋体" w:hAnsi="宋体"/>
          <w:szCs w:val="21"/>
        </w:rPr>
        <w:t>垄高2</w:t>
      </w:r>
      <w:r>
        <w:rPr>
          <w:rFonts w:ascii="宋体" w:hAnsi="宋体"/>
          <w:szCs w:val="21"/>
        </w:rPr>
        <w:t>0</w:t>
      </w:r>
      <w:bookmarkStart w:id="7" w:name="OLE_LINK7"/>
      <w:r>
        <w:rPr>
          <w:rFonts w:hint="eastAsia"/>
          <w:bCs/>
          <w:szCs w:val="18"/>
          <w:lang w:bidi="ca-ES"/>
        </w:rPr>
        <w:t>～</w:t>
      </w:r>
      <w:bookmarkEnd w:id="7"/>
      <w:r>
        <w:rPr>
          <w:rFonts w:ascii="宋体" w:hAnsi="宋体"/>
          <w:szCs w:val="21"/>
        </w:rPr>
        <w:t>25 cm，垄</w:t>
      </w:r>
      <w:r>
        <w:rPr>
          <w:rFonts w:hint="eastAsia" w:ascii="宋体" w:hAnsi="宋体"/>
          <w:szCs w:val="21"/>
        </w:rPr>
        <w:t>距</w:t>
      </w:r>
      <w:r>
        <w:rPr>
          <w:rFonts w:ascii="宋体" w:hAnsi="宋体"/>
          <w:szCs w:val="21"/>
        </w:rPr>
        <w:t>85</w:t>
      </w:r>
      <w:r>
        <w:rPr>
          <w:rFonts w:hint="eastAsia"/>
          <w:bCs/>
          <w:szCs w:val="18"/>
          <w:lang w:bidi="ca-ES"/>
        </w:rPr>
        <w:t>～</w:t>
      </w:r>
      <w:r>
        <w:rPr>
          <w:rFonts w:ascii="宋体" w:hAnsi="宋体"/>
          <w:szCs w:val="21"/>
        </w:rPr>
        <w:t>90 cm。</w:t>
      </w:r>
    </w:p>
    <w:p>
      <w:pPr>
        <w:pStyle w:val="52"/>
        <w:numPr>
          <w:ilvl w:val="1"/>
          <w:numId w:val="0"/>
        </w:numPr>
        <w:adjustRightInd w:val="0"/>
        <w:snapToGrid w:val="0"/>
        <w:spacing w:before="156" w:after="156"/>
        <w:rPr>
          <w:rFonts w:hAnsi="黑体" w:cs="黑体"/>
        </w:rPr>
      </w:pPr>
      <w:r>
        <w:rPr>
          <w:rFonts w:hAnsi="黑体" w:cs="黑体"/>
        </w:rPr>
        <w:t xml:space="preserve">4.2 </w:t>
      </w:r>
      <w:r>
        <w:rPr>
          <w:rFonts w:hint="eastAsia" w:hAnsi="黑体" w:cs="黑体"/>
        </w:rPr>
        <w:t>坐水点种</w:t>
      </w:r>
    </w:p>
    <w:p>
      <w:pPr>
        <w:ind w:firstLine="420" w:firstLineChars="200"/>
        <w:rPr>
          <w:rFonts w:hint="eastAsia" w:hAnsi="宋体"/>
          <w:szCs w:val="21"/>
        </w:rPr>
      </w:pPr>
      <w:r>
        <w:rPr>
          <w:rFonts w:hint="eastAsia" w:ascii="宋体" w:hAnsi="宋体"/>
          <w:szCs w:val="21"/>
        </w:rPr>
        <w:t>坐水点种。谷子收获</w:t>
      </w:r>
      <w:r>
        <w:rPr>
          <w:rFonts w:ascii="宋体" w:hAnsi="宋体"/>
          <w:szCs w:val="21"/>
        </w:rPr>
        <w:t>后</w:t>
      </w:r>
      <w:r>
        <w:rPr>
          <w:rFonts w:hint="eastAsia" w:ascii="宋体" w:hAnsi="宋体"/>
          <w:szCs w:val="21"/>
        </w:rPr>
        <w:t>土壤</w:t>
      </w:r>
      <w:r>
        <w:rPr>
          <w:rFonts w:ascii="宋体" w:hAnsi="宋体"/>
          <w:szCs w:val="21"/>
        </w:rPr>
        <w:t>休耕。翌年5月上旬</w:t>
      </w:r>
      <w:r>
        <w:rPr>
          <w:rFonts w:hint="eastAsia" w:ascii="宋体" w:hAnsi="宋体"/>
          <w:szCs w:val="21"/>
        </w:rPr>
        <w:t>，采用</w:t>
      </w:r>
      <w:r>
        <w:rPr>
          <w:rFonts w:ascii="宋体" w:hAnsi="宋体"/>
          <w:szCs w:val="21"/>
        </w:rPr>
        <w:t>船底型方法进行定</w:t>
      </w:r>
      <w:r>
        <w:rPr>
          <w:rFonts w:hint="eastAsia" w:ascii="宋体" w:hAnsi="宋体"/>
          <w:szCs w:val="21"/>
        </w:rPr>
        <w:t>植。坐水点种，每</w:t>
      </w:r>
      <w:r>
        <w:rPr>
          <w:rFonts w:ascii="宋体" w:hAnsi="宋体"/>
          <w:szCs w:val="21"/>
        </w:rPr>
        <w:t>穴灌水1 L</w:t>
      </w:r>
      <w:r>
        <w:rPr>
          <w:rFonts w:hint="eastAsia"/>
          <w:bCs/>
          <w:szCs w:val="18"/>
          <w:lang w:bidi="ca-ES"/>
        </w:rPr>
        <w:t>～</w:t>
      </w:r>
      <w:r>
        <w:rPr>
          <w:rFonts w:ascii="宋体" w:hAnsi="宋体"/>
          <w:szCs w:val="21"/>
        </w:rPr>
        <w:t>2L</w:t>
      </w:r>
      <w:r>
        <w:rPr>
          <w:rFonts w:hint="eastAsia" w:ascii="宋体" w:hAnsi="宋体"/>
          <w:szCs w:val="21"/>
        </w:rPr>
        <w:t>。播种密度依品种和用途</w:t>
      </w:r>
      <w:r>
        <w:rPr>
          <w:rFonts w:ascii="宋体" w:hAnsi="宋体"/>
          <w:szCs w:val="21"/>
        </w:rPr>
        <w:t>而定，一般每亩4 000株</w:t>
      </w:r>
      <w:r>
        <w:rPr>
          <w:rFonts w:hint="eastAsia" w:ascii="宋体" w:hAnsi="宋体"/>
          <w:szCs w:val="21"/>
        </w:rPr>
        <w:t>左右。有滴灌条件可参照D</w:t>
      </w:r>
      <w:r>
        <w:rPr>
          <w:rFonts w:ascii="宋体" w:hAnsi="宋体"/>
          <w:szCs w:val="21"/>
        </w:rPr>
        <w:t>B13</w:t>
      </w:r>
      <w:r>
        <w:rPr>
          <w:rFonts w:hint="eastAsia" w:ascii="宋体" w:hAnsi="宋体"/>
          <w:szCs w:val="21"/>
        </w:rPr>
        <w:t>/</w:t>
      </w:r>
      <w:r>
        <w:rPr>
          <w:rFonts w:ascii="宋体" w:hAnsi="宋体"/>
          <w:szCs w:val="21"/>
        </w:rPr>
        <w:t>T 5658-2023</w:t>
      </w:r>
      <w:r>
        <w:rPr>
          <w:rFonts w:hint="eastAsia" w:ascii="宋体" w:hAnsi="宋体"/>
          <w:szCs w:val="21"/>
        </w:rPr>
        <w:t>。</w:t>
      </w:r>
    </w:p>
    <w:p>
      <w:pPr>
        <w:pStyle w:val="52"/>
        <w:numPr>
          <w:ilvl w:val="1"/>
          <w:numId w:val="0"/>
        </w:numPr>
        <w:adjustRightInd w:val="0"/>
        <w:snapToGrid w:val="0"/>
        <w:spacing w:before="156" w:after="156"/>
        <w:rPr>
          <w:rFonts w:hAnsi="黑体" w:cs="黑体"/>
        </w:rPr>
      </w:pPr>
      <w:r>
        <w:rPr>
          <w:rFonts w:hAnsi="黑体" w:cs="黑体"/>
        </w:rPr>
        <w:t xml:space="preserve">4.3 </w:t>
      </w:r>
      <w:r>
        <w:rPr>
          <w:rFonts w:hint="eastAsia" w:hAnsi="黑体" w:cs="黑体"/>
        </w:rPr>
        <w:t>水肥管理</w:t>
      </w:r>
    </w:p>
    <w:p>
      <w:pPr>
        <w:pStyle w:val="52"/>
        <w:numPr>
          <w:ilvl w:val="1"/>
          <w:numId w:val="0"/>
        </w:numPr>
        <w:adjustRightInd w:val="0"/>
        <w:snapToGrid w:val="0"/>
        <w:spacing w:before="156" w:after="156"/>
        <w:rPr>
          <w:rFonts w:hAnsi="黑体" w:cs="黑体"/>
        </w:rPr>
      </w:pPr>
      <w:r>
        <w:rPr>
          <w:rFonts w:hAnsi="黑体" w:cs="黑体"/>
        </w:rPr>
        <w:t xml:space="preserve">4.3.1 </w:t>
      </w:r>
      <w:r>
        <w:rPr>
          <w:rFonts w:hint="eastAsia" w:hAnsi="黑体" w:cs="黑体"/>
        </w:rPr>
        <w:t>水分管理</w:t>
      </w:r>
    </w:p>
    <w:p>
      <w:pPr>
        <w:ind w:firstLine="420" w:firstLineChars="200"/>
        <w:rPr>
          <w:rFonts w:hAnsi="宋体"/>
          <w:szCs w:val="21"/>
        </w:rPr>
      </w:pPr>
      <w:r>
        <w:rPr>
          <w:rFonts w:hint="eastAsia" w:ascii="宋体" w:hAnsi="宋体"/>
          <w:szCs w:val="21"/>
        </w:rPr>
        <w:t>甘薯</w:t>
      </w:r>
      <w:r>
        <w:rPr>
          <w:rFonts w:ascii="宋体" w:hAnsi="宋体"/>
          <w:szCs w:val="21"/>
        </w:rPr>
        <w:t>生育期间不进行</w:t>
      </w:r>
      <w:r>
        <w:rPr>
          <w:rFonts w:hint="eastAsia" w:ascii="宋体" w:hAnsi="宋体"/>
          <w:szCs w:val="21"/>
        </w:rPr>
        <w:t>灌溉</w:t>
      </w:r>
      <w:r>
        <w:rPr>
          <w:rFonts w:ascii="宋体" w:hAnsi="宋体"/>
          <w:szCs w:val="21"/>
        </w:rPr>
        <w:t>。</w:t>
      </w:r>
      <w:r>
        <w:rPr>
          <w:rFonts w:hint="eastAsia" w:ascii="宋体" w:hAnsi="宋体"/>
          <w:szCs w:val="21"/>
        </w:rPr>
        <w:t>在干旱年补充灌溉</w:t>
      </w:r>
      <w:r>
        <w:rPr>
          <w:rFonts w:ascii="宋体" w:hAnsi="宋体"/>
          <w:szCs w:val="21"/>
        </w:rPr>
        <w:t>1次，灌溉时间依降雨</w:t>
      </w:r>
      <w:r>
        <w:rPr>
          <w:rFonts w:hint="eastAsia" w:ascii="宋体" w:hAnsi="宋体"/>
          <w:szCs w:val="21"/>
        </w:rPr>
        <w:t>情况而定，</w:t>
      </w:r>
      <w:r>
        <w:rPr>
          <w:rFonts w:ascii="宋体" w:hAnsi="宋体"/>
          <w:szCs w:val="21"/>
        </w:rPr>
        <w:t>一般为缓苗</w:t>
      </w:r>
      <w:r>
        <w:rPr>
          <w:rFonts w:hint="eastAsia" w:ascii="宋体" w:hAnsi="宋体"/>
          <w:szCs w:val="21"/>
        </w:rPr>
        <w:t>期</w:t>
      </w:r>
      <w:r>
        <w:rPr>
          <w:rFonts w:ascii="宋体" w:hAnsi="宋体"/>
          <w:szCs w:val="21"/>
        </w:rPr>
        <w:t xml:space="preserve">。 </w:t>
      </w:r>
    </w:p>
    <w:p>
      <w:pPr>
        <w:pStyle w:val="52"/>
        <w:numPr>
          <w:ilvl w:val="1"/>
          <w:numId w:val="0"/>
        </w:numPr>
        <w:adjustRightInd w:val="0"/>
        <w:snapToGrid w:val="0"/>
        <w:spacing w:before="156" w:after="156"/>
        <w:rPr>
          <w:rFonts w:hAnsi="黑体" w:cs="黑体"/>
        </w:rPr>
      </w:pPr>
      <w:r>
        <w:rPr>
          <w:rFonts w:hAnsi="黑体" w:cs="黑体"/>
        </w:rPr>
        <w:t xml:space="preserve">4.3.2 </w:t>
      </w:r>
      <w:r>
        <w:rPr>
          <w:rFonts w:hint="eastAsia" w:hAnsi="黑体" w:cs="黑体"/>
        </w:rPr>
        <w:t>追肥</w:t>
      </w:r>
    </w:p>
    <w:p>
      <w:pPr>
        <w:ind w:firstLine="420" w:firstLineChars="200"/>
        <w:rPr>
          <w:rFonts w:hAnsi="宋体"/>
          <w:szCs w:val="21"/>
        </w:rPr>
      </w:pPr>
      <w:r>
        <w:rPr>
          <w:rFonts w:hint="eastAsia" w:ascii="宋体" w:hAnsi="宋体"/>
          <w:szCs w:val="21"/>
        </w:rPr>
        <w:t>一般在</w:t>
      </w:r>
      <w:r>
        <w:rPr>
          <w:rFonts w:ascii="宋体" w:hAnsi="宋体"/>
          <w:szCs w:val="21"/>
        </w:rPr>
        <w:t>薯块膨大期</w:t>
      </w:r>
      <w:r>
        <w:rPr>
          <w:rFonts w:hint="eastAsia" w:ascii="宋体" w:hAnsi="宋体"/>
          <w:szCs w:val="21"/>
        </w:rPr>
        <w:t>补</w:t>
      </w:r>
      <w:r>
        <w:rPr>
          <w:rFonts w:ascii="宋体" w:hAnsi="宋体"/>
          <w:szCs w:val="21"/>
        </w:rPr>
        <w:t>施</w:t>
      </w:r>
      <w:r>
        <w:rPr>
          <w:rFonts w:hint="eastAsia" w:ascii="宋体" w:hAnsi="宋体"/>
          <w:szCs w:val="21"/>
        </w:rPr>
        <w:t>叶面肥</w:t>
      </w:r>
      <w:r>
        <w:rPr>
          <w:rFonts w:ascii="宋体" w:hAnsi="宋体"/>
          <w:szCs w:val="21"/>
        </w:rPr>
        <w:t>，浓度为0.2%</w:t>
      </w:r>
      <w:r>
        <w:rPr>
          <w:rFonts w:hint="eastAsia"/>
          <w:bCs/>
          <w:szCs w:val="18"/>
          <w:lang w:bidi="ca-ES"/>
        </w:rPr>
        <w:t>～</w:t>
      </w:r>
      <w:r>
        <w:rPr>
          <w:rFonts w:ascii="宋体" w:hAnsi="宋体"/>
          <w:szCs w:val="21"/>
        </w:rPr>
        <w:t>0.3%磷酸二氢钾。间隔</w:t>
      </w:r>
      <w:r>
        <w:rPr>
          <w:rFonts w:hint="eastAsia" w:ascii="宋体" w:hAnsi="宋体"/>
          <w:szCs w:val="21"/>
        </w:rPr>
        <w:t>一周</w:t>
      </w:r>
      <w:r>
        <w:rPr>
          <w:rFonts w:ascii="宋体" w:hAnsi="宋体"/>
          <w:szCs w:val="21"/>
        </w:rPr>
        <w:t>喷施1次，连续喷施2</w:t>
      </w:r>
      <w:r>
        <w:rPr>
          <w:rFonts w:hint="eastAsia"/>
          <w:bCs/>
          <w:szCs w:val="18"/>
          <w:lang w:bidi="ca-ES"/>
        </w:rPr>
        <w:t>～</w:t>
      </w:r>
      <w:r>
        <w:rPr>
          <w:rFonts w:ascii="宋体" w:hAnsi="宋体"/>
          <w:szCs w:val="21"/>
        </w:rPr>
        <w:t>3</w:t>
      </w:r>
      <w:r>
        <w:rPr>
          <w:rFonts w:hint="eastAsia" w:ascii="宋体" w:hAnsi="宋体"/>
          <w:szCs w:val="21"/>
        </w:rPr>
        <w:t>次</w:t>
      </w:r>
      <w:r>
        <w:rPr>
          <w:rFonts w:ascii="宋体" w:hAnsi="宋体"/>
          <w:szCs w:val="21"/>
        </w:rPr>
        <w:t>。</w:t>
      </w:r>
      <w:r>
        <w:rPr>
          <w:rFonts w:hint="eastAsia" w:ascii="宋体" w:hAnsi="宋体"/>
          <w:szCs w:val="21"/>
        </w:rPr>
        <w:t>其它生育期</w:t>
      </w:r>
      <w:r>
        <w:rPr>
          <w:rFonts w:ascii="宋体" w:hAnsi="宋体"/>
          <w:szCs w:val="21"/>
        </w:rPr>
        <w:t>不进行追肥。</w:t>
      </w:r>
    </w:p>
    <w:p>
      <w:pPr>
        <w:pStyle w:val="52"/>
        <w:numPr>
          <w:ilvl w:val="1"/>
          <w:numId w:val="0"/>
        </w:numPr>
        <w:adjustRightInd w:val="0"/>
        <w:snapToGrid w:val="0"/>
        <w:spacing w:before="156" w:after="156"/>
        <w:rPr>
          <w:rFonts w:hAnsi="黑体" w:cs="黑体"/>
        </w:rPr>
      </w:pPr>
      <w:r>
        <w:rPr>
          <w:rFonts w:hAnsi="黑体" w:cs="黑体"/>
        </w:rPr>
        <w:t xml:space="preserve">4.4 </w:t>
      </w:r>
      <w:r>
        <w:rPr>
          <w:rFonts w:hint="eastAsia" w:hAnsi="黑体" w:cs="黑体"/>
        </w:rPr>
        <w:t>病虫害防治</w:t>
      </w:r>
    </w:p>
    <w:p>
      <w:pPr>
        <w:ind w:firstLine="420" w:firstLineChars="200"/>
        <w:rPr>
          <w:rFonts w:ascii="宋体" w:hAnsi="宋体"/>
          <w:szCs w:val="21"/>
        </w:rPr>
      </w:pPr>
      <w:r>
        <w:rPr>
          <w:rFonts w:hint="eastAsia" w:ascii="宋体" w:hAnsi="宋体"/>
          <w:szCs w:val="21"/>
        </w:rPr>
        <w:t>黑斑病、茎线虫病、蛴螬、金针虫、小地老虎等等甘薯常见病虫害防治</w:t>
      </w:r>
      <w:r>
        <w:rPr>
          <w:rFonts w:ascii="宋体" w:hAnsi="宋体"/>
          <w:szCs w:val="21"/>
        </w:rPr>
        <w:t>按</w:t>
      </w:r>
      <w:r>
        <w:rPr>
          <w:rFonts w:hint="eastAsia" w:ascii="宋体" w:hAnsi="宋体"/>
          <w:szCs w:val="21"/>
        </w:rPr>
        <w:t>照N</w:t>
      </w:r>
      <w:r>
        <w:rPr>
          <w:rFonts w:ascii="宋体" w:hAnsi="宋体"/>
          <w:szCs w:val="21"/>
        </w:rPr>
        <w:t>Y/T 3536-2020</w:t>
      </w:r>
      <w:r>
        <w:rPr>
          <w:rFonts w:hint="eastAsia" w:ascii="宋体" w:hAnsi="宋体"/>
          <w:szCs w:val="21"/>
        </w:rPr>
        <w:t>和</w:t>
      </w:r>
      <w:r>
        <w:rPr>
          <w:rFonts w:ascii="宋体" w:hAnsi="宋体"/>
          <w:szCs w:val="21"/>
        </w:rPr>
        <w:t>DB1301/T 277</w:t>
      </w:r>
      <w:r>
        <w:rPr>
          <w:rFonts w:asciiTheme="minorEastAsia" w:hAnsiTheme="minorEastAsia" w:eastAsiaTheme="minorEastAsia" w:cstheme="minorEastAsia"/>
        </w:rPr>
        <w:t>—</w:t>
      </w:r>
      <w:r>
        <w:rPr>
          <w:rFonts w:ascii="宋体" w:hAnsi="宋体"/>
          <w:szCs w:val="21"/>
        </w:rPr>
        <w:t>2018执行</w:t>
      </w:r>
      <w:r>
        <w:rPr>
          <w:rFonts w:hint="eastAsia" w:ascii="宋体" w:hAnsi="宋体"/>
          <w:szCs w:val="21"/>
        </w:rPr>
        <w:t>。</w:t>
      </w:r>
    </w:p>
    <w:p>
      <w:pPr>
        <w:pStyle w:val="52"/>
        <w:numPr>
          <w:ilvl w:val="1"/>
          <w:numId w:val="0"/>
        </w:numPr>
        <w:adjustRightInd w:val="0"/>
        <w:snapToGrid w:val="0"/>
        <w:spacing w:before="156" w:after="156"/>
        <w:rPr>
          <w:rFonts w:hAnsi="黑体" w:cs="黑体"/>
        </w:rPr>
      </w:pPr>
      <w:r>
        <w:rPr>
          <w:rFonts w:hAnsi="黑体" w:cs="黑体"/>
        </w:rPr>
        <w:t xml:space="preserve">4.5 </w:t>
      </w:r>
      <w:r>
        <w:rPr>
          <w:rFonts w:hint="eastAsia" w:hAnsi="黑体" w:cs="黑体"/>
        </w:rPr>
        <w:t>适期收获</w:t>
      </w:r>
    </w:p>
    <w:p>
      <w:pPr>
        <w:numPr>
          <w:ilvl w:val="1"/>
          <w:numId w:val="0"/>
        </w:numPr>
        <w:ind w:firstLine="420" w:firstLineChars="200"/>
        <w:rPr>
          <w:rFonts w:ascii="宋体" w:hAnsi="宋体"/>
          <w:szCs w:val="21"/>
        </w:rPr>
      </w:pPr>
      <w:r>
        <w:rPr>
          <w:rFonts w:hint="eastAsia" w:ascii="宋体" w:hAnsi="宋体"/>
          <w:szCs w:val="21"/>
        </w:rPr>
        <w:t>以霜降前收获完为原则，机械收获，同时深翻土壤，平整后可播种小麦</w:t>
      </w:r>
    </w:p>
    <w:p>
      <w:pPr>
        <w:pStyle w:val="52"/>
        <w:numPr>
          <w:ilvl w:val="255"/>
          <w:numId w:val="0"/>
        </w:numPr>
        <w:spacing w:before="312" w:beforeLines="100" w:after="312" w:afterLines="100"/>
        <w:rPr>
          <w:rFonts w:hAnsi="黑体" w:cs="黑体"/>
          <w:color w:val="000000"/>
        </w:rPr>
      </w:pPr>
      <w:r>
        <w:rPr>
          <w:rFonts w:hAnsi="黑体" w:cs="黑体"/>
          <w:color w:val="000000"/>
        </w:rPr>
        <w:t xml:space="preserve">5 </w:t>
      </w:r>
      <w:r>
        <w:rPr>
          <w:rFonts w:hint="eastAsia" w:hAnsi="黑体" w:cs="黑体"/>
          <w:color w:val="000000"/>
        </w:rPr>
        <w:t>冬小麦少免耕时空宽泛播种节水高效栽培技术</w:t>
      </w:r>
    </w:p>
    <w:p>
      <w:pPr>
        <w:pStyle w:val="52"/>
        <w:numPr>
          <w:ilvl w:val="1"/>
          <w:numId w:val="0"/>
        </w:numPr>
        <w:adjustRightInd w:val="0"/>
        <w:snapToGrid w:val="0"/>
        <w:spacing w:before="156" w:after="156"/>
        <w:rPr>
          <w:rFonts w:hAnsi="黑体" w:cs="黑体"/>
        </w:rPr>
      </w:pPr>
      <w:r>
        <w:rPr>
          <w:rFonts w:hAnsi="黑体" w:cs="黑体"/>
        </w:rPr>
        <w:t xml:space="preserve">5.1 </w:t>
      </w:r>
      <w:r>
        <w:rPr>
          <w:rFonts w:hint="eastAsia" w:hAnsi="黑体" w:cs="黑体"/>
        </w:rPr>
        <w:t>播前准备</w:t>
      </w:r>
    </w:p>
    <w:p>
      <w:pPr>
        <w:pStyle w:val="52"/>
        <w:numPr>
          <w:ilvl w:val="1"/>
          <w:numId w:val="0"/>
        </w:numPr>
        <w:adjustRightInd w:val="0"/>
        <w:snapToGrid w:val="0"/>
        <w:spacing w:before="156" w:after="156"/>
        <w:rPr>
          <w:rFonts w:hAnsi="黑体" w:cs="黑体"/>
        </w:rPr>
      </w:pPr>
      <w:r>
        <w:rPr>
          <w:rFonts w:hAnsi="黑体" w:cs="黑体"/>
        </w:rPr>
        <w:t xml:space="preserve">5.1.1 </w:t>
      </w:r>
      <w:r>
        <w:rPr>
          <w:rFonts w:hint="eastAsia" w:hAnsi="黑体" w:cs="黑体"/>
        </w:rPr>
        <w:t>品种</w:t>
      </w:r>
    </w:p>
    <w:p>
      <w:pPr>
        <w:ind w:firstLine="420" w:firstLineChars="200"/>
        <w:rPr>
          <w:rFonts w:hAnsi="宋体"/>
          <w:szCs w:val="21"/>
        </w:rPr>
      </w:pPr>
      <w:r>
        <w:rPr>
          <w:rFonts w:hint="eastAsia" w:ascii="宋体" w:hAnsi="宋体"/>
          <w:szCs w:val="21"/>
        </w:rPr>
        <w:t>选用通过国家或河北省农作物品种审定委员会审定的高水效冬小麦品种。</w:t>
      </w:r>
      <w:r>
        <w:rPr>
          <w:rFonts w:ascii="宋体" w:hAnsi="宋体"/>
          <w:szCs w:val="21"/>
        </w:rPr>
        <w:t>宜选择</w:t>
      </w:r>
      <w:r>
        <w:rPr>
          <w:rFonts w:hint="eastAsia" w:ascii="宋体" w:hAnsi="宋体"/>
          <w:szCs w:val="21"/>
        </w:rPr>
        <w:t>适水快速生长、分蘖多、株高中等偏下、耐旱性强、耐深播的品种</w:t>
      </w:r>
      <w:r>
        <w:rPr>
          <w:rFonts w:ascii="宋体" w:hAnsi="宋体"/>
          <w:szCs w:val="21"/>
        </w:rPr>
        <w:t>，</w:t>
      </w:r>
      <w:r>
        <w:rPr>
          <w:rFonts w:hint="eastAsia" w:ascii="宋体" w:hAnsi="宋体"/>
          <w:szCs w:val="21"/>
        </w:rPr>
        <w:t>如马兰</w:t>
      </w:r>
      <w:r>
        <w:rPr>
          <w:rFonts w:ascii="宋体" w:hAnsi="宋体"/>
          <w:szCs w:val="21"/>
        </w:rPr>
        <w:t>1</w:t>
      </w:r>
      <w:r>
        <w:rPr>
          <w:rFonts w:hint="eastAsia" w:ascii="宋体" w:hAnsi="宋体"/>
          <w:szCs w:val="21"/>
        </w:rPr>
        <w:t>号，冀麦</w:t>
      </w:r>
      <w:r>
        <w:rPr>
          <w:rFonts w:ascii="宋体" w:hAnsi="宋体"/>
          <w:szCs w:val="21"/>
        </w:rPr>
        <w:t>765</w:t>
      </w:r>
      <w:r>
        <w:rPr>
          <w:rFonts w:hint="eastAsia" w:ascii="宋体" w:hAnsi="宋体"/>
          <w:szCs w:val="21"/>
        </w:rPr>
        <w:t>等。</w:t>
      </w:r>
    </w:p>
    <w:p>
      <w:pPr>
        <w:pStyle w:val="52"/>
        <w:numPr>
          <w:ilvl w:val="1"/>
          <w:numId w:val="0"/>
        </w:numPr>
        <w:adjustRightInd w:val="0"/>
        <w:snapToGrid w:val="0"/>
        <w:spacing w:before="156" w:after="156"/>
        <w:rPr>
          <w:rFonts w:hAnsi="黑体" w:cs="黑体"/>
        </w:rPr>
      </w:pPr>
      <w:r>
        <w:rPr>
          <w:rFonts w:hAnsi="黑体" w:cs="黑体"/>
        </w:rPr>
        <w:t xml:space="preserve">5.1.2 </w:t>
      </w:r>
      <w:r>
        <w:rPr>
          <w:rFonts w:hint="eastAsia" w:hAnsi="黑体" w:cs="黑体"/>
        </w:rPr>
        <w:t>种子</w:t>
      </w:r>
    </w:p>
    <w:p>
      <w:pPr>
        <w:ind w:firstLine="420" w:firstLineChars="200"/>
        <w:rPr>
          <w:rFonts w:hint="eastAsia" w:hAnsi="宋体"/>
          <w:szCs w:val="21"/>
        </w:rPr>
      </w:pPr>
      <w:r>
        <w:rPr>
          <w:rFonts w:hint="eastAsia" w:ascii="宋体" w:hAnsi="宋体"/>
          <w:szCs w:val="21"/>
        </w:rPr>
        <w:t>种子质量符合</w:t>
      </w:r>
      <w:r>
        <w:rPr>
          <w:rFonts w:ascii="宋体" w:hAnsi="宋体"/>
          <w:szCs w:val="21"/>
        </w:rPr>
        <w:t>GB 4404.1</w:t>
      </w:r>
      <w:r>
        <w:rPr>
          <w:rFonts w:hint="eastAsia" w:ascii="宋体" w:hAnsi="宋体"/>
          <w:szCs w:val="21"/>
        </w:rPr>
        <w:t>的规定，采用包衣种子或进行药剂拌种。</w:t>
      </w:r>
    </w:p>
    <w:p>
      <w:pPr>
        <w:pStyle w:val="52"/>
        <w:numPr>
          <w:ilvl w:val="1"/>
          <w:numId w:val="0"/>
        </w:numPr>
        <w:adjustRightInd w:val="0"/>
        <w:snapToGrid w:val="0"/>
        <w:spacing w:before="156" w:after="156"/>
        <w:rPr>
          <w:rFonts w:hAnsi="黑体" w:cs="黑体"/>
        </w:rPr>
      </w:pPr>
      <w:r>
        <w:rPr>
          <w:rFonts w:hAnsi="黑体" w:cs="黑体"/>
        </w:rPr>
        <w:t xml:space="preserve">5.1.3 </w:t>
      </w:r>
      <w:r>
        <w:rPr>
          <w:rFonts w:hint="eastAsia" w:hAnsi="黑体" w:cs="黑体"/>
        </w:rPr>
        <w:t>底肥</w:t>
      </w:r>
    </w:p>
    <w:p>
      <w:pPr>
        <w:ind w:firstLine="420" w:firstLineChars="200"/>
        <w:rPr>
          <w:rFonts w:ascii="宋体" w:hAnsi="宋体"/>
          <w:szCs w:val="21"/>
        </w:rPr>
      </w:pPr>
      <w:r>
        <w:rPr>
          <w:rFonts w:hint="eastAsia" w:ascii="宋体" w:hAnsi="宋体"/>
          <w:szCs w:val="21"/>
        </w:rPr>
        <w:t>测土配方施肥。土壤亩底施纯</w:t>
      </w:r>
      <w:r>
        <w:rPr>
          <w:rFonts w:ascii="宋体" w:hAnsi="宋体"/>
          <w:szCs w:val="21"/>
        </w:rPr>
        <w:t>N 8 kg</w:t>
      </w:r>
      <w:r>
        <w:rPr>
          <w:rFonts w:hint="eastAsia"/>
          <w:bCs/>
          <w:szCs w:val="18"/>
          <w:lang w:bidi="ca-ES"/>
        </w:rPr>
        <w:t>～</w:t>
      </w:r>
      <w:r>
        <w:rPr>
          <w:rFonts w:ascii="宋体" w:hAnsi="宋体"/>
          <w:szCs w:val="21"/>
        </w:rPr>
        <w:t>10 kg、P</w:t>
      </w:r>
      <w:r>
        <w:rPr>
          <w:rFonts w:ascii="宋体" w:hAnsi="宋体"/>
          <w:szCs w:val="21"/>
          <w:vertAlign w:val="subscript"/>
        </w:rPr>
        <w:t>2</w:t>
      </w:r>
      <w:r>
        <w:rPr>
          <w:rFonts w:ascii="宋体" w:hAnsi="宋体"/>
          <w:szCs w:val="21"/>
        </w:rPr>
        <w:t>O</w:t>
      </w:r>
      <w:r>
        <w:rPr>
          <w:rFonts w:ascii="宋体" w:hAnsi="宋体"/>
          <w:szCs w:val="21"/>
          <w:vertAlign w:val="subscript"/>
        </w:rPr>
        <w:t>5</w:t>
      </w:r>
      <w:r>
        <w:rPr>
          <w:rFonts w:ascii="宋体" w:hAnsi="宋体"/>
          <w:szCs w:val="21"/>
        </w:rPr>
        <w:t xml:space="preserve"> 9 kg</w:t>
      </w:r>
      <w:r>
        <w:rPr>
          <w:rFonts w:hint="eastAsia"/>
          <w:bCs/>
          <w:szCs w:val="18"/>
          <w:lang w:bidi="ca-ES"/>
        </w:rPr>
        <w:t>～</w:t>
      </w:r>
      <w:r>
        <w:rPr>
          <w:rFonts w:ascii="宋体" w:hAnsi="宋体"/>
          <w:szCs w:val="21"/>
        </w:rPr>
        <w:t>10 kg、K</w:t>
      </w:r>
      <w:r>
        <w:rPr>
          <w:rFonts w:ascii="宋体" w:hAnsi="宋体"/>
          <w:szCs w:val="21"/>
          <w:vertAlign w:val="subscript"/>
        </w:rPr>
        <w:t>2</w:t>
      </w:r>
      <w:r>
        <w:rPr>
          <w:rFonts w:ascii="宋体" w:hAnsi="宋体"/>
          <w:szCs w:val="21"/>
        </w:rPr>
        <w:t>O 3 kg</w:t>
      </w:r>
      <w:r>
        <w:rPr>
          <w:rFonts w:hint="eastAsia"/>
          <w:bCs/>
          <w:szCs w:val="18"/>
          <w:lang w:bidi="ca-ES"/>
        </w:rPr>
        <w:t>～</w:t>
      </w:r>
      <w:r>
        <w:rPr>
          <w:rFonts w:ascii="宋体" w:hAnsi="宋体"/>
          <w:szCs w:val="21"/>
        </w:rPr>
        <w:t>5 kg</w:t>
      </w:r>
      <w:r>
        <w:rPr>
          <w:rFonts w:hint="eastAsia" w:ascii="宋体" w:hAnsi="宋体"/>
          <w:szCs w:val="21"/>
        </w:rPr>
        <w:t>，根据土壤测试结果合理施用锌、锰、硼等微量元素肥料。</w:t>
      </w:r>
    </w:p>
    <w:p>
      <w:pPr>
        <w:pStyle w:val="52"/>
        <w:numPr>
          <w:ilvl w:val="1"/>
          <w:numId w:val="0"/>
        </w:numPr>
        <w:adjustRightInd w:val="0"/>
        <w:snapToGrid w:val="0"/>
        <w:spacing w:before="156" w:after="156"/>
        <w:rPr>
          <w:rFonts w:hAnsi="黑体" w:cs="黑体"/>
        </w:rPr>
      </w:pPr>
      <w:r>
        <w:rPr>
          <w:rFonts w:hAnsi="黑体" w:cs="黑体"/>
        </w:rPr>
        <w:t xml:space="preserve">5.1.4 </w:t>
      </w:r>
      <w:r>
        <w:rPr>
          <w:rFonts w:hint="eastAsia" w:hAnsi="黑体" w:cs="黑体"/>
        </w:rPr>
        <w:t>整地</w:t>
      </w:r>
    </w:p>
    <w:p>
      <w:pPr>
        <w:ind w:firstLine="420" w:firstLineChars="200"/>
        <w:rPr>
          <w:rFonts w:hAnsi="宋体"/>
          <w:szCs w:val="21"/>
        </w:rPr>
      </w:pPr>
      <w:r>
        <w:rPr>
          <w:rFonts w:hint="eastAsia" w:ascii="宋体" w:hAnsi="宋体"/>
          <w:szCs w:val="21"/>
        </w:rPr>
        <w:t>甘薯收获后结合施肥少免耕，平整土壤，播种小麦。</w:t>
      </w:r>
    </w:p>
    <w:p>
      <w:pPr>
        <w:pStyle w:val="52"/>
        <w:numPr>
          <w:ilvl w:val="1"/>
          <w:numId w:val="0"/>
        </w:numPr>
        <w:adjustRightInd w:val="0"/>
        <w:snapToGrid w:val="0"/>
        <w:spacing w:before="156" w:after="156"/>
        <w:rPr>
          <w:rFonts w:hAnsi="黑体" w:cs="黑体"/>
        </w:rPr>
      </w:pPr>
      <w:r>
        <w:rPr>
          <w:rFonts w:hAnsi="黑体" w:cs="黑体"/>
        </w:rPr>
        <w:t xml:space="preserve">5.2 </w:t>
      </w:r>
      <w:r>
        <w:rPr>
          <w:rFonts w:hint="eastAsia" w:hAnsi="黑体" w:cs="黑体"/>
        </w:rPr>
        <w:t>时空宽泛播种</w:t>
      </w:r>
    </w:p>
    <w:p>
      <w:pPr>
        <w:pStyle w:val="52"/>
        <w:numPr>
          <w:ilvl w:val="1"/>
          <w:numId w:val="0"/>
        </w:numPr>
        <w:adjustRightInd w:val="0"/>
        <w:snapToGrid w:val="0"/>
        <w:spacing w:before="156" w:after="156"/>
        <w:rPr>
          <w:rFonts w:hAnsi="黑体" w:cs="黑体"/>
        </w:rPr>
      </w:pPr>
      <w:r>
        <w:rPr>
          <w:rFonts w:hAnsi="黑体" w:cs="黑体"/>
        </w:rPr>
        <w:t xml:space="preserve">5.2.1 </w:t>
      </w:r>
      <w:r>
        <w:rPr>
          <w:rFonts w:hint="eastAsia" w:hAnsi="黑体" w:cs="黑体"/>
        </w:rPr>
        <w:t>播期</w:t>
      </w:r>
    </w:p>
    <w:p>
      <w:pPr>
        <w:pStyle w:val="51"/>
        <w:spacing w:line="360" w:lineRule="auto"/>
        <w:ind w:firstLine="420"/>
        <w:rPr>
          <w:rFonts w:hAnsi="宋体"/>
          <w:kern w:val="2"/>
          <w:szCs w:val="21"/>
        </w:rPr>
      </w:pPr>
      <w:r>
        <w:rPr>
          <w:rFonts w:hint="eastAsia" w:hAnsi="宋体"/>
          <w:kern w:val="2"/>
          <w:szCs w:val="21"/>
        </w:rPr>
        <w:t>通过借墒播种、集水播种、变量播种和补墒播种等方式时空宽泛播种，播期</w:t>
      </w:r>
      <w:r>
        <w:rPr>
          <w:rFonts w:hAnsi="宋体"/>
          <w:kern w:val="2"/>
          <w:szCs w:val="21"/>
        </w:rPr>
        <w:t>10</w:t>
      </w:r>
      <w:r>
        <w:rPr>
          <w:rFonts w:hint="eastAsia" w:hAnsi="宋体"/>
          <w:kern w:val="2"/>
          <w:szCs w:val="21"/>
        </w:rPr>
        <w:t>月</w:t>
      </w:r>
      <w:r>
        <w:rPr>
          <w:rFonts w:hAnsi="宋体"/>
          <w:kern w:val="2"/>
          <w:szCs w:val="21"/>
        </w:rPr>
        <w:t>1</w:t>
      </w:r>
      <w:r>
        <w:rPr>
          <w:rFonts w:hint="eastAsia" w:hAnsi="宋体"/>
          <w:kern w:val="2"/>
          <w:szCs w:val="21"/>
        </w:rPr>
        <w:t>日</w:t>
      </w:r>
      <w:r>
        <w:rPr>
          <w:rFonts w:hint="eastAsia"/>
          <w:bCs/>
          <w:szCs w:val="18"/>
          <w:lang w:bidi="ca-ES"/>
        </w:rPr>
        <w:t>～</w:t>
      </w:r>
      <w:r>
        <w:rPr>
          <w:rFonts w:hAnsi="宋体"/>
          <w:kern w:val="2"/>
          <w:szCs w:val="21"/>
        </w:rPr>
        <w:t>11</w:t>
      </w:r>
      <w:r>
        <w:rPr>
          <w:rFonts w:hint="eastAsia" w:hAnsi="宋体"/>
          <w:kern w:val="2"/>
          <w:szCs w:val="21"/>
        </w:rPr>
        <w:t>月</w:t>
      </w:r>
      <w:r>
        <w:rPr>
          <w:rFonts w:hAnsi="宋体"/>
          <w:kern w:val="2"/>
          <w:szCs w:val="21"/>
        </w:rPr>
        <w:t>15</w:t>
      </w:r>
      <w:r>
        <w:rPr>
          <w:rFonts w:hint="eastAsia" w:hAnsi="宋体"/>
          <w:kern w:val="2"/>
          <w:szCs w:val="21"/>
        </w:rPr>
        <w:t>日。</w:t>
      </w:r>
    </w:p>
    <w:p>
      <w:pPr>
        <w:pStyle w:val="52"/>
        <w:numPr>
          <w:ilvl w:val="1"/>
          <w:numId w:val="0"/>
        </w:numPr>
        <w:adjustRightInd w:val="0"/>
        <w:snapToGrid w:val="0"/>
        <w:spacing w:before="156" w:after="156"/>
        <w:rPr>
          <w:rFonts w:hAnsi="黑体" w:cs="黑体"/>
        </w:rPr>
      </w:pPr>
      <w:r>
        <w:rPr>
          <w:rFonts w:hAnsi="黑体" w:cs="黑体"/>
        </w:rPr>
        <w:t xml:space="preserve">5.2.2 </w:t>
      </w:r>
      <w:r>
        <w:rPr>
          <w:rFonts w:hint="eastAsia" w:hAnsi="黑体" w:cs="黑体"/>
        </w:rPr>
        <w:t>播量</w:t>
      </w:r>
    </w:p>
    <w:p>
      <w:pPr>
        <w:ind w:firstLine="420" w:firstLineChars="200"/>
        <w:rPr>
          <w:rFonts w:hint="eastAsia" w:hAnsi="宋体"/>
          <w:szCs w:val="21"/>
        </w:rPr>
      </w:pPr>
      <w:r>
        <w:rPr>
          <w:rFonts w:hint="eastAsia" w:ascii="宋体" w:hAnsi="宋体"/>
          <w:szCs w:val="21"/>
        </w:rPr>
        <w:t>根据播期、土壤状况、播种方式调整播量，一般</w:t>
      </w:r>
      <w:r>
        <w:rPr>
          <w:rFonts w:ascii="宋体" w:hAnsi="宋体"/>
          <w:szCs w:val="21"/>
        </w:rPr>
        <w:t>每</w:t>
      </w:r>
      <w:r>
        <w:rPr>
          <w:rFonts w:hint="eastAsia" w:ascii="宋体" w:hAnsi="宋体"/>
          <w:szCs w:val="21"/>
        </w:rPr>
        <w:t>亩</w:t>
      </w:r>
      <w:r>
        <w:rPr>
          <w:rFonts w:ascii="宋体" w:hAnsi="宋体"/>
          <w:szCs w:val="21"/>
        </w:rPr>
        <w:t>8 kg</w:t>
      </w:r>
      <w:r>
        <w:rPr>
          <w:rFonts w:hint="eastAsia"/>
          <w:bCs/>
          <w:szCs w:val="18"/>
          <w:lang w:bidi="ca-ES"/>
        </w:rPr>
        <w:t>～</w:t>
      </w:r>
      <w:r>
        <w:rPr>
          <w:rFonts w:ascii="宋体" w:hAnsi="宋体"/>
          <w:szCs w:val="21"/>
        </w:rPr>
        <w:t>20 kg</w:t>
      </w:r>
      <w:r>
        <w:rPr>
          <w:rFonts w:hint="eastAsia" w:ascii="宋体" w:hAnsi="宋体"/>
          <w:szCs w:val="21"/>
        </w:rPr>
        <w:t>。1</w:t>
      </w:r>
      <w:r>
        <w:rPr>
          <w:rFonts w:ascii="宋体" w:hAnsi="宋体"/>
          <w:szCs w:val="21"/>
        </w:rPr>
        <w:t>0</w:t>
      </w:r>
      <w:r>
        <w:rPr>
          <w:rFonts w:hint="eastAsia" w:ascii="宋体" w:hAnsi="宋体"/>
          <w:szCs w:val="21"/>
        </w:rPr>
        <w:t>月中旬之前</w:t>
      </w:r>
      <w:r>
        <w:rPr>
          <w:rFonts w:ascii="宋体" w:hAnsi="宋体"/>
          <w:szCs w:val="21"/>
        </w:rPr>
        <w:t xml:space="preserve">1m </w:t>
      </w:r>
      <w:r>
        <w:rPr>
          <w:rFonts w:hint="eastAsia" w:ascii="宋体" w:hAnsi="宋体"/>
          <w:szCs w:val="21"/>
        </w:rPr>
        <w:t>土体土壤含水量≥8</w:t>
      </w:r>
      <w:r>
        <w:rPr>
          <w:rFonts w:ascii="宋体" w:hAnsi="宋体"/>
          <w:szCs w:val="21"/>
        </w:rPr>
        <w:t>0%</w:t>
      </w:r>
      <w:r>
        <w:rPr>
          <w:rFonts w:hint="eastAsia" w:ascii="宋体" w:hAnsi="宋体"/>
          <w:szCs w:val="21"/>
        </w:rPr>
        <w:t>，亩播量8</w:t>
      </w:r>
      <w:r>
        <w:rPr>
          <w:rFonts w:ascii="宋体" w:hAnsi="宋体"/>
          <w:szCs w:val="21"/>
        </w:rPr>
        <w:t xml:space="preserve"> kg</w:t>
      </w:r>
      <w:r>
        <w:rPr>
          <w:rFonts w:hint="eastAsia"/>
          <w:bCs/>
          <w:szCs w:val="18"/>
          <w:lang w:bidi="ca-ES"/>
        </w:rPr>
        <w:t>～</w:t>
      </w:r>
      <w:r>
        <w:rPr>
          <w:rFonts w:ascii="宋体" w:hAnsi="宋体"/>
          <w:szCs w:val="21"/>
        </w:rPr>
        <w:t>13kg</w:t>
      </w:r>
      <w:r>
        <w:rPr>
          <w:rFonts w:hint="eastAsia" w:ascii="宋体" w:hAnsi="宋体"/>
          <w:szCs w:val="21"/>
        </w:rPr>
        <w:t>；1</w:t>
      </w:r>
      <w:r>
        <w:rPr>
          <w:rFonts w:ascii="宋体" w:hAnsi="宋体"/>
          <w:szCs w:val="21"/>
        </w:rPr>
        <w:t>0</w:t>
      </w:r>
      <w:r>
        <w:rPr>
          <w:rFonts w:hint="eastAsia" w:ascii="宋体" w:hAnsi="宋体"/>
          <w:szCs w:val="21"/>
        </w:rPr>
        <w:t>月中旬-</w:t>
      </w:r>
      <w:r>
        <w:rPr>
          <w:rFonts w:ascii="宋体" w:hAnsi="宋体"/>
          <w:szCs w:val="21"/>
        </w:rPr>
        <w:t>10</w:t>
      </w:r>
      <w:r>
        <w:rPr>
          <w:rFonts w:hint="eastAsia" w:ascii="宋体" w:hAnsi="宋体"/>
          <w:szCs w:val="21"/>
        </w:rPr>
        <w:t>月底土壤</w:t>
      </w:r>
      <w:r>
        <w:rPr>
          <w:rFonts w:ascii="宋体" w:hAnsi="宋体"/>
          <w:szCs w:val="21"/>
        </w:rPr>
        <w:t xml:space="preserve">1m </w:t>
      </w:r>
      <w:r>
        <w:rPr>
          <w:rFonts w:hint="eastAsia" w:ascii="宋体" w:hAnsi="宋体"/>
          <w:szCs w:val="21"/>
        </w:rPr>
        <w:t>土体土壤含水量＜8</w:t>
      </w:r>
      <w:r>
        <w:rPr>
          <w:rFonts w:ascii="宋体" w:hAnsi="宋体"/>
          <w:szCs w:val="21"/>
        </w:rPr>
        <w:t>0%</w:t>
      </w:r>
      <w:r>
        <w:rPr>
          <w:rFonts w:hint="eastAsia" w:hAnsi="宋体"/>
          <w:szCs w:val="21"/>
        </w:rPr>
        <w:t>，</w:t>
      </w:r>
      <w:r>
        <w:rPr>
          <w:rFonts w:hint="eastAsia" w:ascii="宋体" w:hAnsi="宋体"/>
          <w:szCs w:val="21"/>
        </w:rPr>
        <w:t>亩播量不低于1</w:t>
      </w:r>
      <w:r>
        <w:rPr>
          <w:rFonts w:ascii="宋体" w:hAnsi="宋体"/>
          <w:szCs w:val="21"/>
        </w:rPr>
        <w:t>3kg</w:t>
      </w:r>
      <w:r>
        <w:rPr>
          <w:rFonts w:hint="eastAsia" w:ascii="宋体" w:hAnsi="宋体"/>
          <w:szCs w:val="21"/>
        </w:rPr>
        <w:t>；1</w:t>
      </w:r>
      <w:r>
        <w:rPr>
          <w:rFonts w:ascii="宋体" w:hAnsi="宋体"/>
          <w:szCs w:val="21"/>
        </w:rPr>
        <w:t>1</w:t>
      </w:r>
      <w:r>
        <w:rPr>
          <w:rFonts w:hint="eastAsia" w:ascii="宋体" w:hAnsi="宋体"/>
          <w:szCs w:val="21"/>
        </w:rPr>
        <w:t>月中上旬播种亩播种2</w:t>
      </w:r>
      <w:r>
        <w:rPr>
          <w:rFonts w:ascii="宋体" w:hAnsi="宋体"/>
          <w:szCs w:val="21"/>
        </w:rPr>
        <w:t>0 kg</w:t>
      </w:r>
      <w:r>
        <w:rPr>
          <w:rFonts w:hint="eastAsia" w:ascii="宋体" w:hAnsi="宋体"/>
          <w:szCs w:val="21"/>
        </w:rPr>
        <w:t>左右；河北省滨海平原区亩播量不低于1</w:t>
      </w:r>
      <w:r>
        <w:rPr>
          <w:rFonts w:ascii="宋体" w:hAnsi="宋体"/>
          <w:szCs w:val="21"/>
        </w:rPr>
        <w:t>5 kg</w:t>
      </w:r>
      <w:r>
        <w:rPr>
          <w:rFonts w:hint="eastAsia" w:ascii="宋体" w:hAnsi="宋体"/>
          <w:szCs w:val="21"/>
        </w:rPr>
        <w:t>。</w:t>
      </w:r>
    </w:p>
    <w:p>
      <w:pPr>
        <w:pStyle w:val="52"/>
        <w:numPr>
          <w:ilvl w:val="1"/>
          <w:numId w:val="0"/>
        </w:numPr>
        <w:adjustRightInd w:val="0"/>
        <w:snapToGrid w:val="0"/>
        <w:spacing w:before="156" w:after="156"/>
        <w:rPr>
          <w:rFonts w:hAnsi="黑体" w:cs="黑体"/>
        </w:rPr>
      </w:pPr>
      <w:r>
        <w:rPr>
          <w:rFonts w:hAnsi="黑体" w:cs="黑体"/>
        </w:rPr>
        <w:t xml:space="preserve">5.2.3 </w:t>
      </w:r>
      <w:r>
        <w:rPr>
          <w:rFonts w:hint="eastAsia" w:hAnsi="黑体" w:cs="黑体"/>
        </w:rPr>
        <w:t>播种形式</w:t>
      </w:r>
    </w:p>
    <w:p>
      <w:pPr>
        <w:ind w:firstLine="420" w:firstLineChars="200"/>
        <w:rPr>
          <w:rFonts w:hAnsi="宋体"/>
          <w:szCs w:val="21"/>
        </w:rPr>
      </w:pPr>
      <w:r>
        <w:rPr>
          <w:rFonts w:hint="eastAsia" w:ascii="宋体" w:hAnsi="宋体"/>
          <w:szCs w:val="21"/>
        </w:rPr>
        <w:t>等行距，行距为</w:t>
      </w:r>
      <w:r>
        <w:rPr>
          <w:rFonts w:ascii="宋体" w:hAnsi="宋体"/>
          <w:szCs w:val="21"/>
        </w:rPr>
        <w:t>15 cm</w:t>
      </w:r>
      <w:r>
        <w:rPr>
          <w:rFonts w:hint="eastAsia"/>
          <w:bCs/>
          <w:szCs w:val="18"/>
          <w:lang w:bidi="ca-ES"/>
        </w:rPr>
        <w:t>～</w:t>
      </w:r>
      <w:r>
        <w:rPr>
          <w:rFonts w:ascii="宋体" w:hAnsi="宋体"/>
          <w:szCs w:val="21"/>
        </w:rPr>
        <w:t>20 cm</w:t>
      </w:r>
      <w:r>
        <w:rPr>
          <w:rFonts w:hint="eastAsia" w:ascii="宋体" w:hAnsi="宋体"/>
          <w:szCs w:val="21"/>
        </w:rPr>
        <w:t>，播后镇压。</w:t>
      </w:r>
    </w:p>
    <w:p>
      <w:pPr>
        <w:pStyle w:val="52"/>
        <w:numPr>
          <w:ilvl w:val="1"/>
          <w:numId w:val="0"/>
        </w:numPr>
        <w:adjustRightInd w:val="0"/>
        <w:snapToGrid w:val="0"/>
        <w:spacing w:before="156" w:after="156"/>
        <w:rPr>
          <w:rFonts w:hAnsi="黑体" w:cs="黑体"/>
        </w:rPr>
      </w:pPr>
      <w:r>
        <w:rPr>
          <w:rFonts w:hAnsi="黑体" w:cs="黑体"/>
        </w:rPr>
        <w:t xml:space="preserve">5.3 </w:t>
      </w:r>
      <w:r>
        <w:rPr>
          <w:rFonts w:hint="eastAsia" w:hAnsi="黑体" w:cs="黑体"/>
        </w:rPr>
        <w:t>冬前管理</w:t>
      </w:r>
    </w:p>
    <w:p>
      <w:pPr>
        <w:ind w:firstLine="420" w:firstLineChars="200"/>
        <w:rPr>
          <w:rFonts w:hAnsi="宋体"/>
          <w:szCs w:val="21"/>
        </w:rPr>
      </w:pPr>
      <w:r>
        <w:rPr>
          <w:rFonts w:hint="eastAsia" w:ascii="宋体" w:hAnsi="宋体"/>
          <w:szCs w:val="21"/>
        </w:rPr>
        <w:t>出苗后及时检查出苗情况，缺苗断垄</w:t>
      </w:r>
      <w:r>
        <w:rPr>
          <w:rFonts w:ascii="宋体" w:hAnsi="宋体"/>
          <w:szCs w:val="21"/>
        </w:rPr>
        <w:t>时</w:t>
      </w:r>
      <w:r>
        <w:rPr>
          <w:rFonts w:hint="eastAsia" w:ascii="宋体" w:hAnsi="宋体"/>
          <w:szCs w:val="21"/>
        </w:rPr>
        <w:t>用同一品种的种子浸种后及早补种。</w:t>
      </w:r>
    </w:p>
    <w:p>
      <w:pPr>
        <w:pStyle w:val="52"/>
        <w:numPr>
          <w:ilvl w:val="1"/>
          <w:numId w:val="0"/>
        </w:numPr>
        <w:adjustRightInd w:val="0"/>
        <w:snapToGrid w:val="0"/>
        <w:spacing w:before="156" w:after="156"/>
        <w:rPr>
          <w:rFonts w:hAnsi="黑体" w:cs="黑体"/>
        </w:rPr>
      </w:pPr>
      <w:r>
        <w:rPr>
          <w:rFonts w:hAnsi="黑体" w:cs="黑体"/>
        </w:rPr>
        <w:t xml:space="preserve">5.4 </w:t>
      </w:r>
      <w:r>
        <w:rPr>
          <w:rFonts w:hint="eastAsia" w:hAnsi="黑体" w:cs="黑体"/>
        </w:rPr>
        <w:t>春季节水防病管理技术</w:t>
      </w:r>
    </w:p>
    <w:p>
      <w:pPr>
        <w:pStyle w:val="52"/>
        <w:numPr>
          <w:ilvl w:val="1"/>
          <w:numId w:val="0"/>
        </w:numPr>
        <w:adjustRightInd w:val="0"/>
        <w:snapToGrid w:val="0"/>
        <w:spacing w:before="156" w:after="156"/>
        <w:rPr>
          <w:rFonts w:hAnsi="黑体" w:cs="黑体"/>
        </w:rPr>
      </w:pPr>
      <w:r>
        <w:rPr>
          <w:rFonts w:hAnsi="黑体" w:cs="黑体"/>
        </w:rPr>
        <w:t xml:space="preserve">5.4.1 </w:t>
      </w:r>
      <w:r>
        <w:rPr>
          <w:rFonts w:hint="eastAsia" w:hAnsi="黑体" w:cs="黑体"/>
        </w:rPr>
        <w:t>肥水管理技术</w:t>
      </w:r>
    </w:p>
    <w:p>
      <w:pPr>
        <w:ind w:firstLine="420" w:firstLineChars="200"/>
        <w:rPr>
          <w:rFonts w:hAnsi="宋体"/>
          <w:szCs w:val="21"/>
        </w:rPr>
      </w:pPr>
      <w:r>
        <w:rPr>
          <w:rFonts w:hint="eastAsia" w:ascii="宋体" w:hAnsi="宋体"/>
          <w:szCs w:val="21"/>
        </w:rPr>
        <w:t>追肥应统筹甘薯</w:t>
      </w:r>
      <w:r>
        <w:rPr>
          <w:rFonts w:ascii="宋体" w:hAnsi="宋体"/>
          <w:szCs w:val="21"/>
        </w:rPr>
        <w:t>-</w:t>
      </w:r>
      <w:r>
        <w:rPr>
          <w:rFonts w:hint="eastAsia" w:ascii="宋体" w:hAnsi="宋体"/>
          <w:szCs w:val="21"/>
        </w:rPr>
        <w:t>小麦</w:t>
      </w:r>
      <w:r>
        <w:rPr>
          <w:rFonts w:ascii="宋体" w:hAnsi="宋体"/>
          <w:szCs w:val="21"/>
        </w:rPr>
        <w:t>-</w:t>
      </w:r>
      <w:r>
        <w:rPr>
          <w:rFonts w:hint="eastAsia" w:ascii="宋体" w:hAnsi="宋体"/>
          <w:szCs w:val="21"/>
        </w:rPr>
        <w:t>谷子两年三熟养分需求和土壤、肥料养分供应平衡。一般亩追尿素</w:t>
      </w:r>
      <w:r>
        <w:rPr>
          <w:rFonts w:ascii="宋体" w:hAnsi="宋体"/>
          <w:szCs w:val="21"/>
        </w:rPr>
        <w:t>10 kg</w:t>
      </w:r>
      <w:r>
        <w:rPr>
          <w:rFonts w:hint="eastAsia"/>
          <w:bCs/>
          <w:szCs w:val="18"/>
          <w:lang w:bidi="ca-ES"/>
        </w:rPr>
        <w:t>～</w:t>
      </w:r>
      <w:r>
        <w:rPr>
          <w:rFonts w:ascii="宋体" w:hAnsi="宋体"/>
          <w:szCs w:val="21"/>
        </w:rPr>
        <w:t>15 kg</w:t>
      </w:r>
      <w:r>
        <w:rPr>
          <w:rFonts w:hint="eastAsia" w:ascii="宋体" w:hAnsi="宋体"/>
          <w:szCs w:val="21"/>
        </w:rPr>
        <w:t>。拔节期灌溉</w:t>
      </w:r>
      <w:r>
        <w:rPr>
          <w:rFonts w:ascii="宋体" w:hAnsi="宋体"/>
          <w:szCs w:val="21"/>
        </w:rPr>
        <w:t>1</w:t>
      </w:r>
      <w:r>
        <w:rPr>
          <w:rFonts w:hint="eastAsia" w:ascii="宋体" w:hAnsi="宋体"/>
          <w:szCs w:val="21"/>
        </w:rPr>
        <w:t>次，肥水同步。若干旱年份，可在灌浆早期补灌1次</w:t>
      </w:r>
      <w:r>
        <w:rPr>
          <w:rFonts w:ascii="宋体" w:hAnsi="宋体"/>
          <w:szCs w:val="21"/>
        </w:rPr>
        <w:t>，</w:t>
      </w:r>
      <w:r>
        <w:rPr>
          <w:rFonts w:hint="eastAsia" w:ascii="宋体" w:hAnsi="宋体"/>
          <w:szCs w:val="21"/>
        </w:rPr>
        <w:t>亩灌溉量为</w:t>
      </w:r>
      <w:r>
        <w:rPr>
          <w:rFonts w:ascii="宋体" w:hAnsi="宋体"/>
          <w:szCs w:val="21"/>
        </w:rPr>
        <w:t>40 m</w:t>
      </w:r>
      <w:r>
        <w:rPr>
          <w:rFonts w:ascii="宋体" w:hAnsi="宋体"/>
          <w:szCs w:val="21"/>
          <w:vertAlign w:val="superscript"/>
        </w:rPr>
        <w:t>3</w:t>
      </w:r>
      <w:r>
        <w:rPr>
          <w:rFonts w:hint="eastAsia"/>
          <w:bCs/>
          <w:szCs w:val="18"/>
          <w:lang w:bidi="ca-ES"/>
        </w:rPr>
        <w:t>～</w:t>
      </w:r>
      <w:r>
        <w:rPr>
          <w:rFonts w:ascii="宋体" w:hAnsi="宋体"/>
          <w:szCs w:val="21"/>
        </w:rPr>
        <w:t>50 m</w:t>
      </w:r>
      <w:r>
        <w:rPr>
          <w:rFonts w:ascii="宋体" w:hAnsi="宋体"/>
          <w:szCs w:val="21"/>
          <w:vertAlign w:val="superscript"/>
        </w:rPr>
        <w:t>3</w:t>
      </w:r>
      <w:r>
        <w:rPr>
          <w:rFonts w:hint="eastAsia" w:ascii="宋体" w:hAnsi="宋体"/>
          <w:szCs w:val="21"/>
        </w:rPr>
        <w:t>。</w:t>
      </w:r>
    </w:p>
    <w:p>
      <w:pPr>
        <w:pStyle w:val="52"/>
        <w:numPr>
          <w:ilvl w:val="1"/>
          <w:numId w:val="0"/>
        </w:numPr>
        <w:adjustRightInd w:val="0"/>
        <w:snapToGrid w:val="0"/>
        <w:spacing w:before="156" w:after="156"/>
        <w:rPr>
          <w:rFonts w:hAnsi="黑体" w:cs="黑体"/>
        </w:rPr>
      </w:pPr>
      <w:r>
        <w:rPr>
          <w:rFonts w:hAnsi="黑体" w:cs="黑体"/>
        </w:rPr>
        <w:t xml:space="preserve">5.4.2 </w:t>
      </w:r>
      <w:r>
        <w:rPr>
          <w:rFonts w:hint="eastAsia" w:hAnsi="黑体" w:cs="黑体"/>
        </w:rPr>
        <w:t>防早衰技术</w:t>
      </w:r>
    </w:p>
    <w:p>
      <w:pPr>
        <w:ind w:firstLine="420" w:firstLineChars="200"/>
        <w:rPr>
          <w:rFonts w:ascii="宋体" w:hAnsi="宋体"/>
          <w:szCs w:val="21"/>
        </w:rPr>
      </w:pPr>
      <w:r>
        <w:rPr>
          <w:rFonts w:hint="eastAsia" w:ascii="宋体" w:hAnsi="宋体"/>
          <w:szCs w:val="21"/>
        </w:rPr>
        <w:t>在灌浆前中期，喷施叶面肥防早衰。每亩用磷酸二氢钾</w:t>
      </w:r>
      <w:r>
        <w:rPr>
          <w:rFonts w:ascii="宋体" w:hAnsi="宋体"/>
          <w:szCs w:val="21"/>
        </w:rPr>
        <w:t>0.2 kg+</w:t>
      </w:r>
      <w:r>
        <w:rPr>
          <w:rFonts w:hint="eastAsia" w:ascii="宋体" w:hAnsi="宋体"/>
          <w:szCs w:val="21"/>
        </w:rPr>
        <w:t>水</w:t>
      </w:r>
      <w:r>
        <w:rPr>
          <w:rFonts w:ascii="宋体" w:hAnsi="宋体"/>
          <w:szCs w:val="21"/>
        </w:rPr>
        <w:t>50 kg</w:t>
      </w:r>
      <w:r>
        <w:rPr>
          <w:rFonts w:hint="eastAsia" w:ascii="宋体" w:hAnsi="宋体"/>
          <w:szCs w:val="21"/>
        </w:rPr>
        <w:t>进行叶面喷洒，可将杀虫剂、杀菌剂与磷酸二氢钾混用，实施</w:t>
      </w:r>
      <w:r>
        <w:rPr>
          <w:rFonts w:ascii="宋体" w:hAnsi="宋体"/>
          <w:szCs w:val="21"/>
        </w:rPr>
        <w:t>“</w:t>
      </w:r>
      <w:r>
        <w:rPr>
          <w:rFonts w:hint="eastAsia" w:ascii="宋体" w:hAnsi="宋体"/>
          <w:szCs w:val="21"/>
        </w:rPr>
        <w:t>一喷三防”。</w:t>
      </w:r>
      <w:r>
        <w:rPr>
          <w:rFonts w:ascii="宋体" w:hAnsi="宋体"/>
          <w:szCs w:val="21"/>
        </w:rPr>
        <w:t xml:space="preserve"> </w:t>
      </w:r>
    </w:p>
    <w:p>
      <w:pPr>
        <w:pStyle w:val="52"/>
        <w:numPr>
          <w:ilvl w:val="1"/>
          <w:numId w:val="0"/>
        </w:numPr>
        <w:adjustRightInd w:val="0"/>
        <w:snapToGrid w:val="0"/>
        <w:spacing w:before="156" w:after="156"/>
        <w:rPr>
          <w:rFonts w:hAnsi="黑体" w:cs="黑体"/>
        </w:rPr>
      </w:pPr>
      <w:r>
        <w:rPr>
          <w:rFonts w:hAnsi="黑体" w:cs="黑体"/>
        </w:rPr>
        <w:t xml:space="preserve">5.4.3 </w:t>
      </w:r>
      <w:r>
        <w:rPr>
          <w:rFonts w:hint="eastAsia" w:hAnsi="黑体" w:cs="黑体"/>
        </w:rPr>
        <w:t>病虫害综合防治</w:t>
      </w:r>
    </w:p>
    <w:p>
      <w:pPr>
        <w:ind w:firstLine="420" w:firstLineChars="200"/>
        <w:rPr>
          <w:rFonts w:ascii="宋体" w:hAnsi="宋体"/>
          <w:szCs w:val="21"/>
        </w:rPr>
      </w:pPr>
      <w:bookmarkStart w:id="8" w:name="_Hlk166765749"/>
      <w:r>
        <w:rPr>
          <w:rFonts w:hint="eastAsia" w:ascii="宋体" w:hAnsi="宋体"/>
          <w:szCs w:val="21"/>
        </w:rPr>
        <w:t>及时防治小麦赤霉病、条锈病、白粉病、蚜虫、红蜘蛛等。</w:t>
      </w:r>
      <w:bookmarkEnd w:id="8"/>
      <w:r>
        <w:rPr>
          <w:rFonts w:hint="eastAsia" w:ascii="宋体" w:hAnsi="宋体"/>
          <w:szCs w:val="21"/>
        </w:rPr>
        <w:t>农药使用应符合GB/T 8321.8</w:t>
      </w:r>
      <w:r>
        <w:rPr>
          <w:rFonts w:asciiTheme="minorEastAsia" w:hAnsiTheme="minorEastAsia" w:eastAsiaTheme="minorEastAsia" w:cstheme="minorEastAsia"/>
        </w:rPr>
        <w:t>—</w:t>
      </w:r>
      <w:r>
        <w:rPr>
          <w:rFonts w:hint="eastAsia" w:ascii="宋体" w:hAnsi="宋体"/>
          <w:szCs w:val="21"/>
        </w:rPr>
        <w:t>2007和NY/T 1276</w:t>
      </w:r>
      <w:r>
        <w:rPr>
          <w:rFonts w:asciiTheme="minorEastAsia" w:hAnsiTheme="minorEastAsia" w:eastAsiaTheme="minorEastAsia" w:cstheme="minorEastAsia"/>
        </w:rPr>
        <w:t>—</w:t>
      </w:r>
      <w:r>
        <w:rPr>
          <w:rFonts w:hint="eastAsia" w:ascii="宋体" w:hAnsi="宋体"/>
          <w:szCs w:val="21"/>
        </w:rPr>
        <w:t>2007规定。</w:t>
      </w:r>
    </w:p>
    <w:p>
      <w:pPr>
        <w:pStyle w:val="52"/>
        <w:numPr>
          <w:ilvl w:val="1"/>
          <w:numId w:val="0"/>
        </w:numPr>
        <w:adjustRightInd w:val="0"/>
        <w:snapToGrid w:val="0"/>
        <w:spacing w:before="156" w:after="156"/>
        <w:rPr>
          <w:rFonts w:hAnsi="黑体" w:cs="黑体"/>
        </w:rPr>
      </w:pPr>
      <w:r>
        <w:rPr>
          <w:rFonts w:hAnsi="黑体" w:cs="黑体"/>
        </w:rPr>
        <w:t xml:space="preserve">5.5 </w:t>
      </w:r>
      <w:r>
        <w:rPr>
          <w:rFonts w:hint="eastAsia" w:hAnsi="黑体" w:cs="黑体"/>
        </w:rPr>
        <w:t>适期收获</w:t>
      </w:r>
    </w:p>
    <w:p>
      <w:pPr>
        <w:ind w:firstLine="420" w:firstLineChars="200"/>
        <w:rPr>
          <w:rFonts w:hAnsi="宋体"/>
          <w:szCs w:val="21"/>
        </w:rPr>
      </w:pPr>
      <w:r>
        <w:rPr>
          <w:rFonts w:hint="eastAsia" w:ascii="宋体" w:hAnsi="宋体"/>
          <w:szCs w:val="21"/>
        </w:rPr>
        <w:t>完熟初期及时使用联合机械收获，秸秆切碎并均匀抛洒，麦茬不高于</w:t>
      </w:r>
      <w:r>
        <w:rPr>
          <w:rFonts w:ascii="宋体" w:hAnsi="宋体"/>
          <w:szCs w:val="21"/>
        </w:rPr>
        <w:t>20 cm</w:t>
      </w:r>
      <w:r>
        <w:rPr>
          <w:rFonts w:hint="eastAsia" w:ascii="宋体" w:hAnsi="宋体"/>
          <w:szCs w:val="21"/>
        </w:rPr>
        <w:t>。</w:t>
      </w:r>
    </w:p>
    <w:p>
      <w:pPr>
        <w:pStyle w:val="52"/>
        <w:numPr>
          <w:ilvl w:val="255"/>
          <w:numId w:val="0"/>
        </w:numPr>
        <w:spacing w:before="312" w:beforeLines="100" w:after="312" w:afterLines="100"/>
        <w:rPr>
          <w:rFonts w:hAnsi="黑体" w:cs="黑体"/>
          <w:color w:val="000000"/>
        </w:rPr>
      </w:pPr>
      <w:r>
        <w:rPr>
          <w:rFonts w:hAnsi="黑体" w:cs="黑体"/>
          <w:color w:val="000000"/>
        </w:rPr>
        <w:t xml:space="preserve">6 </w:t>
      </w:r>
      <w:r>
        <w:rPr>
          <w:rFonts w:hint="eastAsia" w:hAnsi="黑体" w:cs="黑体"/>
          <w:color w:val="000000"/>
        </w:rPr>
        <w:t>夏谷适水贴茬高效栽培技术</w:t>
      </w:r>
    </w:p>
    <w:p>
      <w:pPr>
        <w:pStyle w:val="52"/>
        <w:numPr>
          <w:ilvl w:val="1"/>
          <w:numId w:val="0"/>
        </w:numPr>
        <w:adjustRightInd w:val="0"/>
        <w:snapToGrid w:val="0"/>
        <w:spacing w:before="156" w:after="156"/>
        <w:rPr>
          <w:rFonts w:hAnsi="黑体" w:cs="黑体"/>
        </w:rPr>
      </w:pPr>
      <w:r>
        <w:rPr>
          <w:rFonts w:hAnsi="黑体" w:cs="黑体"/>
        </w:rPr>
        <w:t xml:space="preserve">6.1 </w:t>
      </w:r>
      <w:r>
        <w:rPr>
          <w:rFonts w:hint="eastAsia" w:hAnsi="黑体" w:cs="黑体"/>
        </w:rPr>
        <w:t>品种</w:t>
      </w:r>
    </w:p>
    <w:p>
      <w:pPr>
        <w:ind w:firstLine="420" w:firstLineChars="200"/>
        <w:rPr>
          <w:rFonts w:ascii="宋体" w:hAnsi="宋体"/>
          <w:szCs w:val="21"/>
        </w:rPr>
      </w:pPr>
      <w:r>
        <w:rPr>
          <w:rFonts w:hint="eastAsia" w:ascii="宋体" w:hAnsi="宋体"/>
          <w:szCs w:val="21"/>
        </w:rPr>
        <w:t>选择河北平原夏播谷子品种。7月上旬</w:t>
      </w:r>
      <w:r>
        <w:rPr>
          <w:rFonts w:ascii="宋体" w:hAnsi="宋体"/>
          <w:szCs w:val="21"/>
        </w:rPr>
        <w:t>之前</w:t>
      </w:r>
      <w:r>
        <w:rPr>
          <w:rFonts w:hint="eastAsia" w:ascii="宋体" w:hAnsi="宋体"/>
          <w:szCs w:val="21"/>
        </w:rPr>
        <w:t>播种的</w:t>
      </w:r>
      <w:r>
        <w:rPr>
          <w:rFonts w:ascii="宋体" w:hAnsi="宋体"/>
          <w:szCs w:val="21"/>
        </w:rPr>
        <w:t>，选择</w:t>
      </w:r>
      <w:r>
        <w:rPr>
          <w:rFonts w:hint="eastAsia" w:ascii="宋体" w:hAnsi="宋体"/>
          <w:szCs w:val="21"/>
        </w:rPr>
        <w:t>生育期大于9</w:t>
      </w:r>
      <w:r>
        <w:rPr>
          <w:rFonts w:ascii="宋体" w:hAnsi="宋体"/>
          <w:szCs w:val="21"/>
        </w:rPr>
        <w:t>0</w:t>
      </w:r>
      <w:r>
        <w:rPr>
          <w:rFonts w:hint="eastAsia" w:ascii="宋体" w:hAnsi="宋体"/>
          <w:szCs w:val="21"/>
        </w:rPr>
        <w:t>d的优质、抗除草剂、高产品种</w:t>
      </w:r>
      <w:r>
        <w:rPr>
          <w:rFonts w:ascii="宋体" w:hAnsi="宋体"/>
          <w:szCs w:val="21"/>
        </w:rPr>
        <w:t>。</w:t>
      </w:r>
      <w:r>
        <w:rPr>
          <w:rFonts w:hint="eastAsia" w:ascii="宋体" w:hAnsi="宋体"/>
          <w:szCs w:val="21"/>
        </w:rPr>
        <w:t>7月中下旬播种的，</w:t>
      </w:r>
      <w:r>
        <w:rPr>
          <w:rFonts w:ascii="宋体" w:hAnsi="宋体"/>
          <w:szCs w:val="21"/>
        </w:rPr>
        <w:t>选择生育期短的</w:t>
      </w:r>
      <w:r>
        <w:rPr>
          <w:rFonts w:hint="eastAsia" w:ascii="宋体" w:hAnsi="宋体"/>
          <w:szCs w:val="21"/>
        </w:rPr>
        <w:t>8</w:t>
      </w:r>
      <w:r>
        <w:rPr>
          <w:rFonts w:ascii="宋体" w:hAnsi="宋体"/>
          <w:szCs w:val="21"/>
        </w:rPr>
        <w:t>0</w:t>
      </w:r>
      <w:r>
        <w:rPr>
          <w:rFonts w:hint="eastAsia" w:ascii="宋体" w:hAnsi="宋体"/>
          <w:szCs w:val="21"/>
        </w:rPr>
        <w:t>d</w:t>
      </w:r>
      <w:r>
        <w:rPr>
          <w:rFonts w:hint="eastAsia"/>
          <w:bCs/>
          <w:szCs w:val="18"/>
          <w:lang w:bidi="ca-ES"/>
        </w:rPr>
        <w:t>～</w:t>
      </w:r>
      <w:r>
        <w:rPr>
          <w:rFonts w:ascii="宋体" w:hAnsi="宋体"/>
          <w:szCs w:val="21"/>
        </w:rPr>
        <w:t>85</w:t>
      </w:r>
      <w:r>
        <w:rPr>
          <w:rFonts w:hint="eastAsia" w:ascii="宋体" w:hAnsi="宋体"/>
          <w:szCs w:val="21"/>
        </w:rPr>
        <w:t>d的优质、抗除草剂品种。</w:t>
      </w:r>
    </w:p>
    <w:p>
      <w:pPr>
        <w:pStyle w:val="52"/>
        <w:numPr>
          <w:ilvl w:val="1"/>
          <w:numId w:val="0"/>
        </w:numPr>
        <w:adjustRightInd w:val="0"/>
        <w:snapToGrid w:val="0"/>
        <w:spacing w:before="156" w:after="156"/>
        <w:rPr>
          <w:rFonts w:hAnsi="黑体" w:cs="黑体"/>
        </w:rPr>
      </w:pPr>
      <w:r>
        <w:rPr>
          <w:rFonts w:hAnsi="黑体" w:cs="黑体"/>
        </w:rPr>
        <w:t xml:space="preserve">6.2 </w:t>
      </w:r>
      <w:r>
        <w:rPr>
          <w:rFonts w:hint="eastAsia" w:hAnsi="黑体" w:cs="黑体"/>
        </w:rPr>
        <w:t>基肥</w:t>
      </w:r>
    </w:p>
    <w:p>
      <w:pPr>
        <w:ind w:firstLine="420" w:firstLineChars="200"/>
        <w:rPr>
          <w:rFonts w:ascii="宋体" w:hAnsi="宋体"/>
          <w:szCs w:val="21"/>
        </w:rPr>
      </w:pPr>
      <w:r>
        <w:rPr>
          <w:rFonts w:hint="eastAsia" w:ascii="宋体" w:hAnsi="宋体"/>
          <w:szCs w:val="21"/>
        </w:rPr>
        <w:t>亩施</w:t>
      </w:r>
      <w:r>
        <w:rPr>
          <w:rFonts w:ascii="宋体" w:hAnsi="宋体"/>
          <w:szCs w:val="21"/>
        </w:rPr>
        <w:t>磷酸二胺15 kg</w:t>
      </w:r>
      <w:r>
        <w:rPr>
          <w:rFonts w:hint="eastAsia"/>
          <w:bCs/>
          <w:szCs w:val="18"/>
          <w:lang w:bidi="ca-ES"/>
        </w:rPr>
        <w:t>～</w:t>
      </w:r>
      <w:r>
        <w:rPr>
          <w:rFonts w:ascii="宋体" w:hAnsi="宋体"/>
          <w:szCs w:val="21"/>
        </w:rPr>
        <w:t>20 kg，</w:t>
      </w:r>
      <w:r>
        <w:rPr>
          <w:rFonts w:hint="eastAsia" w:ascii="宋体" w:hAnsi="宋体"/>
          <w:szCs w:val="21"/>
        </w:rPr>
        <w:t>种肥异位同</w:t>
      </w:r>
      <w:r>
        <w:rPr>
          <w:rFonts w:ascii="宋体" w:hAnsi="宋体"/>
          <w:szCs w:val="21"/>
        </w:rPr>
        <w:t>播。</w:t>
      </w:r>
    </w:p>
    <w:p>
      <w:pPr>
        <w:pStyle w:val="52"/>
        <w:numPr>
          <w:ilvl w:val="1"/>
          <w:numId w:val="0"/>
        </w:numPr>
        <w:adjustRightInd w:val="0"/>
        <w:snapToGrid w:val="0"/>
        <w:spacing w:before="156" w:after="156"/>
        <w:rPr>
          <w:rFonts w:hAnsi="黑体" w:cs="黑体"/>
        </w:rPr>
      </w:pPr>
      <w:r>
        <w:rPr>
          <w:rFonts w:hAnsi="黑体" w:cs="黑体"/>
        </w:rPr>
        <w:t xml:space="preserve">6.3 </w:t>
      </w:r>
      <w:r>
        <w:rPr>
          <w:rFonts w:hint="eastAsia" w:hAnsi="黑体" w:cs="黑体"/>
        </w:rPr>
        <w:t>播种</w:t>
      </w:r>
    </w:p>
    <w:p>
      <w:pPr>
        <w:adjustRightInd w:val="0"/>
        <w:snapToGrid w:val="0"/>
        <w:ind w:firstLine="420" w:firstLineChars="200"/>
        <w:rPr>
          <w:rFonts w:ascii="宋体" w:hAnsi="宋体"/>
          <w:color w:val="000000"/>
          <w:szCs w:val="21"/>
        </w:rPr>
      </w:pPr>
      <w:r>
        <w:rPr>
          <w:rFonts w:hint="eastAsia" w:ascii="宋体" w:hAnsi="宋体"/>
          <w:szCs w:val="21"/>
        </w:rPr>
        <w:t>6月上中</w:t>
      </w:r>
      <w:r>
        <w:rPr>
          <w:rFonts w:ascii="宋体" w:hAnsi="宋体"/>
          <w:szCs w:val="21"/>
        </w:rPr>
        <w:t>旬</w:t>
      </w:r>
      <w:r>
        <w:rPr>
          <w:rFonts w:hint="eastAsia" w:ascii="宋体" w:hAnsi="宋体"/>
          <w:szCs w:val="21"/>
          <w:lang w:bidi="ca-ES"/>
        </w:rPr>
        <w:t>～</w:t>
      </w:r>
      <w:r>
        <w:rPr>
          <w:rFonts w:hint="eastAsia" w:ascii="宋体" w:hAnsi="宋体"/>
          <w:szCs w:val="21"/>
        </w:rPr>
        <w:t>7月上中</w:t>
      </w:r>
      <w:r>
        <w:rPr>
          <w:rFonts w:ascii="宋体" w:hAnsi="宋体"/>
          <w:szCs w:val="21"/>
        </w:rPr>
        <w:t>旬</w:t>
      </w:r>
      <w:r>
        <w:rPr>
          <w:rFonts w:hint="eastAsia" w:ascii="宋体" w:hAnsi="宋体"/>
          <w:szCs w:val="21"/>
        </w:rPr>
        <w:t>适水贴茬播种，</w:t>
      </w:r>
      <w:r>
        <w:rPr>
          <w:rFonts w:hint="eastAsia" w:ascii="宋体" w:hAnsi="宋体"/>
          <w:color w:val="000000"/>
          <w:szCs w:val="21"/>
        </w:rPr>
        <w:t>小麦</w:t>
      </w:r>
      <w:r>
        <w:rPr>
          <w:rFonts w:ascii="宋体" w:hAnsi="宋体"/>
          <w:color w:val="000000"/>
          <w:szCs w:val="21"/>
        </w:rPr>
        <w:t>残茬行间</w:t>
      </w:r>
      <w:r>
        <w:rPr>
          <w:rFonts w:hint="eastAsia" w:ascii="宋体" w:hAnsi="宋体"/>
          <w:color w:val="000000"/>
          <w:szCs w:val="21"/>
        </w:rPr>
        <w:t>等行距</w:t>
      </w:r>
      <w:r>
        <w:rPr>
          <w:rFonts w:hint="eastAsia" w:ascii="宋体" w:hAnsi="宋体"/>
          <w:szCs w:val="21"/>
        </w:rPr>
        <w:t>精量</w:t>
      </w:r>
      <w:r>
        <w:rPr>
          <w:rFonts w:hint="eastAsia" w:ascii="宋体" w:hAnsi="宋体"/>
          <w:color w:val="000000"/>
          <w:szCs w:val="21"/>
        </w:rPr>
        <w:t>条</w:t>
      </w:r>
      <w:r>
        <w:rPr>
          <w:rFonts w:ascii="宋体" w:hAnsi="宋体"/>
          <w:color w:val="000000"/>
          <w:szCs w:val="21"/>
        </w:rPr>
        <w:t>播</w:t>
      </w:r>
      <w:bookmarkStart w:id="9" w:name="OLE_LINK30"/>
      <w:bookmarkStart w:id="10" w:name="OLE_LINK31"/>
      <w:r>
        <w:rPr>
          <w:rFonts w:hint="eastAsia" w:ascii="宋体" w:hAnsi="宋体"/>
          <w:color w:val="000000"/>
          <w:szCs w:val="21"/>
        </w:rPr>
        <w:t>。</w:t>
      </w:r>
      <w:r>
        <w:rPr>
          <w:rFonts w:hint="eastAsia" w:ascii="宋体" w:hAnsi="宋体"/>
          <w:szCs w:val="21"/>
        </w:rPr>
        <w:t>亩</w:t>
      </w:r>
      <w:r>
        <w:rPr>
          <w:rFonts w:hint="eastAsia" w:ascii="宋体" w:hAnsi="宋体"/>
          <w:color w:val="000000"/>
          <w:szCs w:val="21"/>
        </w:rPr>
        <w:t>播量</w:t>
      </w:r>
      <w:r>
        <w:rPr>
          <w:rFonts w:ascii="宋体" w:hAnsi="宋体"/>
          <w:color w:val="000000"/>
          <w:szCs w:val="21"/>
        </w:rPr>
        <w:t>0.4 kg</w:t>
      </w:r>
      <w:r>
        <w:rPr>
          <w:rFonts w:hint="eastAsia" w:ascii="宋体" w:hAnsi="宋体"/>
          <w:szCs w:val="21"/>
          <w:lang w:bidi="ca-ES"/>
        </w:rPr>
        <w:t>～</w:t>
      </w:r>
      <w:r>
        <w:rPr>
          <w:rFonts w:ascii="宋体" w:hAnsi="宋体"/>
          <w:color w:val="000000"/>
          <w:szCs w:val="21"/>
        </w:rPr>
        <w:t>0.7</w:t>
      </w:r>
      <w:r>
        <w:rPr>
          <w:rFonts w:ascii="宋体" w:hAnsi="宋体"/>
          <w:szCs w:val="21"/>
        </w:rPr>
        <w:t xml:space="preserve"> </w:t>
      </w:r>
      <w:r>
        <w:rPr>
          <w:rFonts w:ascii="宋体" w:hAnsi="宋体"/>
          <w:color w:val="000000"/>
          <w:szCs w:val="21"/>
        </w:rPr>
        <w:t>kg</w:t>
      </w:r>
      <w:r>
        <w:rPr>
          <w:rFonts w:hint="eastAsia" w:ascii="宋体" w:hAnsi="宋体"/>
          <w:color w:val="000000"/>
          <w:szCs w:val="21"/>
        </w:rPr>
        <w:t>，</w:t>
      </w:r>
      <w:r>
        <w:rPr>
          <w:rFonts w:ascii="宋体" w:hAnsi="宋体"/>
          <w:color w:val="000000"/>
          <w:szCs w:val="21"/>
        </w:rPr>
        <w:t>行距30</w:t>
      </w:r>
      <w:r>
        <w:rPr>
          <w:rFonts w:ascii="宋体" w:hAnsi="宋体"/>
          <w:szCs w:val="21"/>
        </w:rPr>
        <w:t xml:space="preserve"> </w:t>
      </w:r>
      <w:r>
        <w:rPr>
          <w:rFonts w:ascii="宋体" w:hAnsi="宋体"/>
          <w:color w:val="000000"/>
          <w:szCs w:val="21"/>
        </w:rPr>
        <w:t>cm</w:t>
      </w:r>
      <w:r>
        <w:rPr>
          <w:rFonts w:hint="eastAsia" w:ascii="宋体" w:hAnsi="宋体"/>
          <w:szCs w:val="21"/>
          <w:lang w:bidi="ca-ES"/>
        </w:rPr>
        <w:t>～</w:t>
      </w:r>
      <w:r>
        <w:rPr>
          <w:rFonts w:ascii="宋体" w:hAnsi="宋体"/>
          <w:color w:val="000000"/>
          <w:szCs w:val="21"/>
        </w:rPr>
        <w:t>40</w:t>
      </w:r>
      <w:r>
        <w:rPr>
          <w:rFonts w:ascii="宋体" w:hAnsi="宋体"/>
          <w:szCs w:val="21"/>
        </w:rPr>
        <w:t xml:space="preserve"> </w:t>
      </w:r>
      <w:r>
        <w:rPr>
          <w:rFonts w:ascii="宋体" w:hAnsi="宋体"/>
          <w:color w:val="000000"/>
          <w:szCs w:val="21"/>
        </w:rPr>
        <w:t>cm</w:t>
      </w:r>
      <w:r>
        <w:rPr>
          <w:rFonts w:hint="eastAsia" w:ascii="宋体" w:hAnsi="宋体"/>
          <w:color w:val="000000"/>
          <w:szCs w:val="21"/>
        </w:rPr>
        <w:t>，播深</w:t>
      </w:r>
      <w:r>
        <w:rPr>
          <w:rFonts w:ascii="宋体" w:hAnsi="宋体"/>
          <w:color w:val="000000"/>
          <w:szCs w:val="21"/>
        </w:rPr>
        <w:t>3</w:t>
      </w:r>
      <w:r>
        <w:rPr>
          <w:rFonts w:ascii="宋体" w:hAnsi="宋体"/>
          <w:szCs w:val="21"/>
        </w:rPr>
        <w:t xml:space="preserve"> </w:t>
      </w:r>
      <w:r>
        <w:rPr>
          <w:rFonts w:ascii="宋体" w:hAnsi="宋体"/>
          <w:color w:val="000000"/>
          <w:szCs w:val="21"/>
        </w:rPr>
        <w:t>cm</w:t>
      </w:r>
      <w:r>
        <w:rPr>
          <w:rFonts w:hint="eastAsia" w:ascii="宋体" w:hAnsi="宋体"/>
          <w:szCs w:val="21"/>
          <w:lang w:bidi="ca-ES"/>
        </w:rPr>
        <w:t>～</w:t>
      </w:r>
      <w:r>
        <w:rPr>
          <w:rFonts w:ascii="宋体" w:hAnsi="宋体"/>
          <w:color w:val="000000"/>
          <w:szCs w:val="21"/>
        </w:rPr>
        <w:t>5</w:t>
      </w:r>
      <w:r>
        <w:rPr>
          <w:rFonts w:ascii="宋体" w:hAnsi="宋体"/>
          <w:szCs w:val="21"/>
        </w:rPr>
        <w:t xml:space="preserve"> </w:t>
      </w:r>
      <w:r>
        <w:rPr>
          <w:rFonts w:ascii="宋体" w:hAnsi="宋体"/>
          <w:color w:val="000000"/>
          <w:szCs w:val="21"/>
        </w:rPr>
        <w:t>cm</w:t>
      </w:r>
      <w:r>
        <w:rPr>
          <w:rFonts w:hint="eastAsia" w:ascii="宋体" w:hAnsi="宋体"/>
          <w:color w:val="000000"/>
          <w:szCs w:val="21"/>
        </w:rPr>
        <w:t>，播后镇压</w:t>
      </w:r>
      <w:bookmarkEnd w:id="9"/>
      <w:bookmarkEnd w:id="10"/>
      <w:r>
        <w:rPr>
          <w:rFonts w:hint="eastAsia" w:ascii="宋体" w:hAnsi="宋体"/>
          <w:color w:val="000000"/>
          <w:szCs w:val="21"/>
        </w:rPr>
        <w:t>。</w:t>
      </w:r>
    </w:p>
    <w:p>
      <w:pPr>
        <w:pStyle w:val="52"/>
        <w:numPr>
          <w:ilvl w:val="1"/>
          <w:numId w:val="0"/>
        </w:numPr>
        <w:adjustRightInd w:val="0"/>
        <w:snapToGrid w:val="0"/>
        <w:spacing w:before="156" w:after="156"/>
        <w:rPr>
          <w:rFonts w:hAnsi="黑体" w:cs="黑体"/>
        </w:rPr>
      </w:pPr>
      <w:r>
        <w:rPr>
          <w:rFonts w:hAnsi="黑体" w:cs="黑体"/>
        </w:rPr>
        <w:t xml:space="preserve">6.4 </w:t>
      </w:r>
      <w:r>
        <w:rPr>
          <w:rFonts w:hint="eastAsia" w:hAnsi="黑体" w:cs="黑体"/>
        </w:rPr>
        <w:t>留苗密度</w:t>
      </w:r>
    </w:p>
    <w:p>
      <w:pPr>
        <w:ind w:firstLine="420" w:firstLineChars="200"/>
        <w:rPr>
          <w:rFonts w:ascii="宋体" w:hAnsi="宋体"/>
          <w:color w:val="000000"/>
          <w:szCs w:val="21"/>
        </w:rPr>
      </w:pPr>
      <w:bookmarkStart w:id="11" w:name="OLE_LINK32"/>
      <w:bookmarkStart w:id="12" w:name="OLE_LINK33"/>
      <w:r>
        <w:rPr>
          <w:rFonts w:hint="eastAsia" w:ascii="宋体" w:hAnsi="宋体"/>
          <w:color w:val="000000"/>
          <w:szCs w:val="21"/>
        </w:rPr>
        <w:t>中等穗</w:t>
      </w:r>
      <w:r>
        <w:rPr>
          <w:rFonts w:ascii="宋体" w:hAnsi="宋体"/>
          <w:color w:val="000000"/>
          <w:szCs w:val="21"/>
        </w:rPr>
        <w:t>品种</w:t>
      </w:r>
      <w:r>
        <w:rPr>
          <w:rFonts w:hint="eastAsia" w:ascii="宋体" w:hAnsi="宋体"/>
          <w:szCs w:val="21"/>
        </w:rPr>
        <w:t>亩</w:t>
      </w:r>
      <w:r>
        <w:rPr>
          <w:rFonts w:ascii="宋体" w:hAnsi="宋体"/>
          <w:color w:val="000000"/>
          <w:szCs w:val="21"/>
        </w:rPr>
        <w:t>留苗密度4</w:t>
      </w:r>
      <w:r>
        <w:rPr>
          <w:rFonts w:hint="eastAsia"/>
          <w:bCs/>
          <w:szCs w:val="18"/>
          <w:lang w:bidi="ca-ES"/>
        </w:rPr>
        <w:t>～</w:t>
      </w:r>
      <w:r>
        <w:rPr>
          <w:rFonts w:ascii="宋体" w:hAnsi="宋体"/>
          <w:color w:val="000000"/>
          <w:szCs w:val="21"/>
        </w:rPr>
        <w:t>5</w:t>
      </w:r>
      <w:r>
        <w:rPr>
          <w:rFonts w:hint="eastAsia" w:ascii="宋体" w:hAnsi="宋体"/>
          <w:color w:val="000000"/>
          <w:szCs w:val="21"/>
        </w:rPr>
        <w:t>万株</w:t>
      </w:r>
      <w:r>
        <w:rPr>
          <w:rFonts w:ascii="宋体" w:hAnsi="宋体"/>
          <w:color w:val="000000"/>
          <w:szCs w:val="21"/>
        </w:rPr>
        <w:t>，</w:t>
      </w:r>
      <w:r>
        <w:rPr>
          <w:rFonts w:hint="eastAsia" w:ascii="宋体" w:hAnsi="宋体"/>
          <w:color w:val="000000"/>
          <w:szCs w:val="21"/>
        </w:rPr>
        <w:t>大</w:t>
      </w:r>
      <w:r>
        <w:rPr>
          <w:rFonts w:ascii="宋体" w:hAnsi="宋体"/>
          <w:color w:val="000000"/>
          <w:szCs w:val="21"/>
        </w:rPr>
        <w:t>穗品种</w:t>
      </w:r>
      <w:r>
        <w:rPr>
          <w:rFonts w:hint="eastAsia" w:ascii="宋体" w:hAnsi="宋体"/>
          <w:szCs w:val="21"/>
        </w:rPr>
        <w:t>亩</w:t>
      </w:r>
      <w:r>
        <w:rPr>
          <w:rFonts w:hint="eastAsia" w:ascii="宋体" w:hAnsi="宋体"/>
          <w:color w:val="000000"/>
          <w:szCs w:val="21"/>
        </w:rPr>
        <w:t>留苗</w:t>
      </w:r>
      <w:r>
        <w:rPr>
          <w:rFonts w:ascii="宋体" w:hAnsi="宋体"/>
          <w:color w:val="000000"/>
          <w:szCs w:val="21"/>
        </w:rPr>
        <w:t>密度1.5</w:t>
      </w:r>
      <w:r>
        <w:rPr>
          <w:rFonts w:hint="eastAsia"/>
          <w:bCs/>
          <w:szCs w:val="18"/>
          <w:lang w:bidi="ca-ES"/>
        </w:rPr>
        <w:t>～</w:t>
      </w:r>
      <w:r>
        <w:rPr>
          <w:rFonts w:ascii="宋体" w:hAnsi="宋体"/>
          <w:color w:val="000000"/>
          <w:szCs w:val="21"/>
        </w:rPr>
        <w:t>3</w:t>
      </w:r>
      <w:r>
        <w:rPr>
          <w:rFonts w:hint="eastAsia" w:ascii="宋体" w:hAnsi="宋体"/>
          <w:color w:val="000000"/>
          <w:szCs w:val="21"/>
        </w:rPr>
        <w:t>万株， 7月</w:t>
      </w:r>
      <w:r>
        <w:rPr>
          <w:rFonts w:ascii="宋体" w:hAnsi="宋体"/>
          <w:color w:val="000000"/>
          <w:szCs w:val="21"/>
        </w:rPr>
        <w:t>中下旬播种要</w:t>
      </w:r>
      <w:r>
        <w:rPr>
          <w:rFonts w:hint="eastAsia" w:ascii="宋体" w:hAnsi="宋体"/>
          <w:color w:val="000000"/>
          <w:szCs w:val="21"/>
        </w:rPr>
        <w:t>适当增加</w:t>
      </w:r>
      <w:r>
        <w:rPr>
          <w:rFonts w:ascii="宋体" w:hAnsi="宋体"/>
          <w:color w:val="000000"/>
          <w:szCs w:val="21"/>
        </w:rPr>
        <w:t>留苗密度</w:t>
      </w:r>
      <w:bookmarkEnd w:id="11"/>
      <w:bookmarkEnd w:id="12"/>
      <w:r>
        <w:rPr>
          <w:rFonts w:hint="eastAsia" w:ascii="宋体" w:hAnsi="宋体"/>
          <w:color w:val="000000"/>
          <w:szCs w:val="21"/>
        </w:rPr>
        <w:t>。</w:t>
      </w:r>
    </w:p>
    <w:p>
      <w:pPr>
        <w:pStyle w:val="52"/>
        <w:numPr>
          <w:ilvl w:val="1"/>
          <w:numId w:val="0"/>
        </w:numPr>
        <w:adjustRightInd w:val="0"/>
        <w:snapToGrid w:val="0"/>
        <w:spacing w:before="156" w:after="156"/>
        <w:rPr>
          <w:rFonts w:hAnsi="黑体" w:cs="黑体"/>
        </w:rPr>
      </w:pPr>
      <w:r>
        <w:rPr>
          <w:rFonts w:hAnsi="黑体" w:cs="黑体"/>
        </w:rPr>
        <w:t xml:space="preserve">6.5 </w:t>
      </w:r>
      <w:r>
        <w:rPr>
          <w:rFonts w:hint="eastAsia" w:hAnsi="黑体" w:cs="黑体"/>
        </w:rPr>
        <w:t>田间管理</w:t>
      </w:r>
    </w:p>
    <w:p>
      <w:pPr>
        <w:ind w:firstLine="420" w:firstLineChars="200"/>
        <w:rPr>
          <w:rFonts w:ascii="宋体" w:hAnsi="宋体"/>
          <w:szCs w:val="21"/>
        </w:rPr>
      </w:pPr>
      <w:r>
        <w:rPr>
          <w:rFonts w:hint="eastAsia" w:ascii="宋体" w:hAnsi="宋体"/>
          <w:szCs w:val="21"/>
        </w:rPr>
        <w:t>整个生育期不灌溉。</w:t>
      </w:r>
      <w:r>
        <w:rPr>
          <w:rFonts w:hint="eastAsia"/>
          <w:color w:val="000000"/>
          <w:szCs w:val="21"/>
        </w:rPr>
        <w:t>出苗30</w:t>
      </w:r>
      <w:r>
        <w:rPr>
          <w:color w:val="000000"/>
          <w:szCs w:val="21"/>
        </w:rPr>
        <w:t xml:space="preserve"> </w:t>
      </w:r>
      <w:r>
        <w:rPr>
          <w:rFonts w:hint="eastAsia"/>
          <w:color w:val="000000"/>
          <w:szCs w:val="21"/>
        </w:rPr>
        <w:t>d左右，应结合降雨进行追肥，亩追施尿素10</w:t>
      </w:r>
      <w:r>
        <w:rPr>
          <w:color w:val="000000"/>
          <w:szCs w:val="21"/>
        </w:rPr>
        <w:t xml:space="preserve"> </w:t>
      </w:r>
      <w:r>
        <w:rPr>
          <w:rFonts w:hint="eastAsia"/>
          <w:color w:val="000000"/>
          <w:szCs w:val="21"/>
        </w:rPr>
        <w:t>kg～15</w:t>
      </w:r>
      <w:r>
        <w:rPr>
          <w:color w:val="000000"/>
          <w:szCs w:val="21"/>
        </w:rPr>
        <w:t xml:space="preserve"> </w:t>
      </w:r>
      <w:r>
        <w:rPr>
          <w:rFonts w:hint="eastAsia"/>
          <w:color w:val="000000"/>
          <w:szCs w:val="21"/>
        </w:rPr>
        <w:t>kg。谷田间苗、除草等其他田间管理参照DB13/T 5205-2020；病虫害防治参照DB13/T 2457.1—2017执行</w:t>
      </w:r>
    </w:p>
    <w:p>
      <w:pPr>
        <w:pStyle w:val="52"/>
        <w:numPr>
          <w:ilvl w:val="1"/>
          <w:numId w:val="0"/>
        </w:numPr>
        <w:adjustRightInd w:val="0"/>
        <w:snapToGrid w:val="0"/>
        <w:spacing w:before="156" w:after="156"/>
        <w:rPr>
          <w:rFonts w:hAnsi="黑体" w:cs="黑体"/>
        </w:rPr>
      </w:pPr>
      <w:r>
        <w:rPr>
          <w:rFonts w:hAnsi="黑体" w:cs="黑体"/>
        </w:rPr>
        <w:t xml:space="preserve">6.6 </w:t>
      </w:r>
      <w:r>
        <w:rPr>
          <w:rFonts w:hint="eastAsia" w:hAnsi="黑体" w:cs="黑体"/>
        </w:rPr>
        <w:t>收获</w:t>
      </w:r>
    </w:p>
    <w:p>
      <w:pPr>
        <w:ind w:firstLine="420" w:firstLineChars="200"/>
        <w:rPr>
          <w:rFonts w:ascii="宋体" w:hAnsi="宋体"/>
          <w:szCs w:val="21"/>
        </w:rPr>
      </w:pPr>
      <w:r>
        <w:rPr>
          <w:rFonts w:hint="eastAsia"/>
          <w:color w:val="000000"/>
          <w:szCs w:val="21"/>
        </w:rPr>
        <w:t>在蜡熟末期或完熟初期采用机械收获，籽粒应及时晾晒或烘干，含水量≤13%后入库贮存。</w:t>
      </w:r>
      <w:r>
        <w:rPr>
          <w:rFonts w:hint="eastAsia" w:ascii="宋体" w:hAnsi="宋体"/>
          <w:szCs w:val="21"/>
        </w:rPr>
        <w:t>收获后</w:t>
      </w:r>
      <w:r>
        <w:rPr>
          <w:rFonts w:ascii="宋体" w:hAnsi="宋体"/>
          <w:szCs w:val="21"/>
        </w:rPr>
        <w:t>结合甘薯施肥进行深翻</w:t>
      </w:r>
      <w:r>
        <w:rPr>
          <w:rFonts w:hint="eastAsia" w:ascii="宋体" w:hAnsi="宋体"/>
          <w:szCs w:val="21"/>
        </w:rPr>
        <w:t>晒垡蓄水，</w:t>
      </w:r>
      <w:r>
        <w:rPr>
          <w:rFonts w:ascii="宋体" w:hAnsi="宋体"/>
          <w:szCs w:val="21"/>
        </w:rPr>
        <w:t>接续甘薯</w:t>
      </w:r>
      <w:r>
        <w:rPr>
          <w:rFonts w:hint="eastAsia" w:ascii="宋体" w:hAnsi="宋体"/>
          <w:szCs w:val="21"/>
        </w:rPr>
        <w:t>坐水</w:t>
      </w:r>
      <w:r>
        <w:rPr>
          <w:rFonts w:ascii="宋体" w:hAnsi="宋体"/>
          <w:szCs w:val="21"/>
        </w:rPr>
        <w:t>点种。</w:t>
      </w:r>
    </w:p>
    <w:p>
      <w:pPr>
        <w:tabs>
          <w:tab w:val="left" w:pos="6405"/>
        </w:tabs>
        <w:spacing w:line="360" w:lineRule="auto"/>
      </w:pPr>
      <w:r>
        <w:rPr>
          <w:rFonts w:hint="eastAsia" w:ascii="宋体" w:hAnsi="宋体"/>
          <w:szCs w:val="21"/>
        </w:rPr>
        <mc:AlternateContent>
          <mc:Choice Requires="wps">
            <w:drawing>
              <wp:anchor distT="0" distB="0" distL="114300" distR="114300" simplePos="0" relativeHeight="251662336" behindDoc="0" locked="0" layoutInCell="1" allowOverlap="1">
                <wp:simplePos x="0" y="0"/>
                <wp:positionH relativeFrom="column">
                  <wp:posOffset>2066925</wp:posOffset>
                </wp:positionH>
                <wp:positionV relativeFrom="paragraph">
                  <wp:posOffset>545465</wp:posOffset>
                </wp:positionV>
                <wp:extent cx="1800225" cy="0"/>
                <wp:effectExtent l="5080" t="8255" r="13970" b="10795"/>
                <wp:wrapNone/>
                <wp:docPr id="1" name="Line 15"/>
                <wp:cNvGraphicFramePr/>
                <a:graphic xmlns:a="http://schemas.openxmlformats.org/drawingml/2006/main">
                  <a:graphicData uri="http://schemas.microsoft.com/office/word/2010/wordprocessingShape">
                    <wps:wsp>
                      <wps:cNvCnPr>
                        <a:cxnSpLocks noChangeShapeType="true"/>
                      </wps:cNvCnPr>
                      <wps:spPr bwMode="auto">
                        <a:xfrm>
                          <a:off x="0" y="0"/>
                          <a:ext cx="1800225" cy="0"/>
                        </a:xfrm>
                        <a:prstGeom prst="line">
                          <a:avLst/>
                        </a:prstGeom>
                        <a:noFill/>
                        <a:ln w="9525">
                          <a:solidFill>
                            <a:srgbClr val="000000"/>
                          </a:solidFill>
                          <a:round/>
                        </a:ln>
                      </wps:spPr>
                      <wps:bodyPr/>
                    </wps:wsp>
                  </a:graphicData>
                </a:graphic>
              </wp:anchor>
            </w:drawing>
          </mc:Choice>
          <mc:Fallback>
            <w:pict>
              <v:line id="Line 15" o:spid="_x0000_s1026" o:spt="20" style="position:absolute;left:0pt;margin-left:162.75pt;margin-top:42.95pt;height:0pt;width:141.75pt;z-index:251662336;mso-width-relative:page;mso-height-relative:page;" filled="f" stroked="t" coordsize="21600,21600" o:gfxdata="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BYAAABkcnMv&#10;UEsBAhQAFAAAAAgAh07iQFMjkyXXAAAACQEAAA8AAAAAAAAAAQAgAAAAOAAAAGRycy9kb3ducmV2&#10;LnhtbFBLAQIUABQAAAAIAIdO4kCemiNkrgEAAFUDAAAOAAAAAAAAAAEAIAAAADwBAABkcnMvZTJv&#10;RG9jLnhtbFBLBQYAAAAABgAGAFkBAABcBQAAAAA=&#10;">
                <v:fill on="f" focussize="0,0"/>
                <v:stroke color="#000000" joinstyle="round"/>
                <v:imagedata o:title=""/>
                <o:lock v:ext="edit" aspectratio="f"/>
              </v:line>
            </w:pict>
          </mc:Fallback>
        </mc:AlternateContent>
      </w:r>
    </w:p>
    <w:sectPr>
      <w:headerReference r:id="rId10" w:type="default"/>
      <w:footerReference r:id="rId12" w:type="default"/>
      <w:headerReference r:id="rId11" w:type="even"/>
      <w:footerReference r:id="rId13" w:type="even"/>
      <w:pgSz w:w="11907" w:h="16839"/>
      <w:pgMar w:top="1418" w:right="1134" w:bottom="1134" w:left="1418" w:header="1418" w:footer="851"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Arial">
    <w:altName w:val="Nimbus Roman No9 L"/>
    <w:panose1 w:val="020B0604020202020204"/>
    <w:charset w:val="00"/>
    <w:family w:val="swiss"/>
    <w:pitch w:val="default"/>
    <w:sig w:usb0="00000000" w:usb1="00000000" w:usb2="00000009" w:usb3="00000000" w:csb0="000001FF" w:csb1="00000000"/>
  </w:font>
  <w:font w:name="Courier New">
    <w:altName w:val="DejaVu Sans"/>
    <w:panose1 w:val="02070309020205020404"/>
    <w:charset w:val="00"/>
    <w:family w:val="modern"/>
    <w:pitch w:val="default"/>
    <w:sig w:usb0="00000000" w:usb1="00000000" w:usb2="00000009" w:usb3="00000000" w:csb0="000001FF"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5"/>
      <w:rPr>
        <w:rStyle w:val="31"/>
      </w:rPr>
    </w:pPr>
    <w:r>
      <w:rPr>
        <w:rStyle w:val="31"/>
      </w:rPr>
      <w:fldChar w:fldCharType="begin"/>
    </w:r>
    <w:r>
      <w:rPr>
        <w:rStyle w:val="31"/>
      </w:rPr>
      <w:instrText xml:space="preserve">PAGE  </w:instrText>
    </w:r>
    <w:r>
      <w:rPr>
        <w:rStyle w:val="31"/>
      </w:rPr>
      <w:fldChar w:fldCharType="separate"/>
    </w:r>
    <w:r>
      <w:rPr>
        <w:rStyle w:val="31"/>
      </w:rPr>
      <w:t>1</w:t>
    </w:r>
    <w:r>
      <w:rPr>
        <w:rStyle w:val="31"/>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right" w:y="1"/>
      <w:rPr>
        <w:rStyle w:val="31"/>
      </w:rPr>
    </w:pPr>
    <w:r>
      <w:rPr>
        <w:rStyle w:val="31"/>
      </w:rPr>
      <w:fldChar w:fldCharType="begin"/>
    </w:r>
    <w:r>
      <w:rPr>
        <w:rStyle w:val="31"/>
      </w:rPr>
      <w:instrText xml:space="preserve">PAGE  </w:instrText>
    </w:r>
    <w:r>
      <w:rPr>
        <w:rStyle w:val="31"/>
      </w:rPr>
      <w:fldChar w:fldCharType="end"/>
    </w:r>
  </w:p>
  <w:p>
    <w:pPr>
      <w:pStyle w:val="2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5"/>
      <w:rPr>
        <w:rStyle w:val="31"/>
      </w:rPr>
    </w:pPr>
    <w:r>
      <w:rPr>
        <w:rStyle w:val="31"/>
      </w:rPr>
      <w:fldChar w:fldCharType="begin"/>
    </w:r>
    <w:r>
      <w:rPr>
        <w:rStyle w:val="31"/>
      </w:rPr>
      <w:instrText xml:space="preserve">PAGE  </w:instrText>
    </w:r>
    <w:r>
      <w:rPr>
        <w:rStyle w:val="31"/>
      </w:rPr>
      <w:fldChar w:fldCharType="separate"/>
    </w:r>
    <w:r>
      <w:rPr>
        <w:rStyle w:val="31"/>
      </w:rPr>
      <w:t>I</w:t>
    </w:r>
    <w:r>
      <w:rPr>
        <w:rStyle w:val="31"/>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5"/>
      <w:rPr>
        <w:rStyle w:val="31"/>
      </w:rPr>
    </w:pPr>
    <w: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5"/>
                          </w:pPr>
                          <w:r>
                            <w:rPr>
                              <w:rStyle w:val="31"/>
                            </w:rPr>
                            <w:fldChar w:fldCharType="begin"/>
                          </w:r>
                          <w:r>
                            <w:rPr>
                              <w:rStyle w:val="31"/>
                            </w:rPr>
                            <w:instrText xml:space="preserve">PAGE  </w:instrText>
                          </w:r>
                          <w:r>
                            <w:rPr>
                              <w:rStyle w:val="31"/>
                            </w:rPr>
                            <w:fldChar w:fldCharType="separate"/>
                          </w:r>
                          <w:r>
                            <w:rPr>
                              <w:rStyle w:val="31"/>
                            </w:rPr>
                            <w:t>5</w:t>
                          </w:r>
                          <w:r>
                            <w:rPr>
                              <w:rStyle w:val="31"/>
                            </w:rP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BYAAABkcnMvUEsBAhQAFAAAAAgAh07iQLNJ&#10;WO7QAAAABQEAAA8AAAAAAAAAAQAgAAAAOAAAAGRycy9kb3ducmV2LnhtbFBLAQIUABQAAAAIAIdO&#10;4kAvuix5FQIAABsEAAAOAAAAAAAAAAEAIAAAADUBAABkcnMvZTJvRG9jLnhtbFBLBQYAAAAABgAG&#10;AFkBAAC8BQAAAAA=&#10;">
              <v:fill on="f" focussize="0,0"/>
              <v:stroke on="f" weight="0.5pt"/>
              <v:imagedata o:title=""/>
              <o:lock v:ext="edit" aspectratio="f"/>
              <v:textbox inset="0mm,0mm,0mm,0mm" style="mso-fit-shape-to-text:t;">
                <w:txbxContent>
                  <w:p>
                    <w:pPr>
                      <w:pStyle w:val="45"/>
                    </w:pPr>
                    <w:r>
                      <w:rPr>
                        <w:rStyle w:val="31"/>
                      </w:rPr>
                      <w:fldChar w:fldCharType="begin"/>
                    </w:r>
                    <w:r>
                      <w:rPr>
                        <w:rStyle w:val="31"/>
                      </w:rPr>
                      <w:instrText xml:space="preserve">PAGE  </w:instrText>
                    </w:r>
                    <w:r>
                      <w:rPr>
                        <w:rStyle w:val="31"/>
                      </w:rPr>
                      <w:fldChar w:fldCharType="separate"/>
                    </w:r>
                    <w:r>
                      <w:rPr>
                        <w:rStyle w:val="31"/>
                      </w:rPr>
                      <w:t>5</w:t>
                    </w:r>
                    <w:r>
                      <w:rPr>
                        <w:rStyle w:val="31"/>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2"/>
                            <w:rPr>
                              <w:rStyle w:val="31"/>
                            </w:rPr>
                          </w:pPr>
                          <w:r>
                            <w:rPr>
                              <w:rStyle w:val="31"/>
                            </w:rPr>
                            <w:fldChar w:fldCharType="begin"/>
                          </w:r>
                          <w:r>
                            <w:rPr>
                              <w:rStyle w:val="31"/>
                            </w:rPr>
                            <w:instrText xml:space="preserve">PAGE  </w:instrText>
                          </w:r>
                          <w:r>
                            <w:rPr>
                              <w:rStyle w:val="31"/>
                            </w:rPr>
                            <w:fldChar w:fldCharType="separate"/>
                          </w:r>
                          <w:r>
                            <w:rPr>
                              <w:rStyle w:val="31"/>
                            </w:rPr>
                            <w:t>2</w:t>
                          </w:r>
                          <w:r>
                            <w:rPr>
                              <w:rStyle w:val="31"/>
                            </w:rPr>
                            <w:fldChar w:fldCharType="end"/>
                          </w:r>
                        </w:p>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BYAAABkcnMvUEsBAhQAFAAAAAgAh07iQLNJ&#10;WO7QAAAABQEAAA8AAAAAAAAAAQAgAAAAOAAAAGRycy9kb3ducmV2LnhtbFBLAQIUABQAAAAIAIdO&#10;4kCfi8L5FQIAABsEAAAOAAAAAAAAAAEAIAAAADUBAABkcnMvZTJvRG9jLnhtbFBLBQYAAAAABgAG&#10;AFkBAAC8BQAAAAA=&#10;">
              <v:fill on="f" focussize="0,0"/>
              <v:stroke on="f" weight="0.5pt"/>
              <v:imagedata o:title=""/>
              <o:lock v:ext="edit" aspectratio="f"/>
              <v:textbox inset="0mm,0mm,0mm,0mm" style="mso-fit-shape-to-text:t;">
                <w:txbxContent>
                  <w:p>
                    <w:pPr>
                      <w:pStyle w:val="22"/>
                      <w:rPr>
                        <w:rStyle w:val="31"/>
                      </w:rPr>
                    </w:pPr>
                    <w:r>
                      <w:rPr>
                        <w:rStyle w:val="31"/>
                      </w:rPr>
                      <w:fldChar w:fldCharType="begin"/>
                    </w:r>
                    <w:r>
                      <w:rPr>
                        <w:rStyle w:val="31"/>
                      </w:rPr>
                      <w:instrText xml:space="preserve">PAGE  </w:instrText>
                    </w:r>
                    <w:r>
                      <w:rPr>
                        <w:rStyle w:val="31"/>
                      </w:rPr>
                      <w:fldChar w:fldCharType="separate"/>
                    </w:r>
                    <w:r>
                      <w:rPr>
                        <w:rStyle w:val="31"/>
                      </w:rPr>
                      <w:t>2</w:t>
                    </w:r>
                    <w:r>
                      <w:rPr>
                        <w:rStyle w:val="31"/>
                      </w:rPr>
                      <w:fldChar w:fldCharType="end"/>
                    </w:r>
                  </w:p>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6"/>
    </w:pPr>
    <w:r>
      <w:t>Q/01××× ××—2004</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8"/>
    </w:pPr>
    <w: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6"/>
    </w:pPr>
    <w:r>
      <w:t>DB13/</w:t>
    </w:r>
    <w:r>
      <w:rPr>
        <w:rFonts w:hint="eastAsia"/>
      </w:rPr>
      <w:t>T</w:t>
    </w:r>
    <w:r>
      <w:t xml:space="preserve"> ××××—2024</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6"/>
      <w:rPr>
        <w:rFonts w:ascii="黑体" w:hAnsi="黑体" w:eastAsia="黑体" w:cs="黑体"/>
      </w:rPr>
    </w:pPr>
    <w:r>
      <w:rPr>
        <w:rFonts w:hint="eastAsia" w:ascii="黑体" w:hAnsi="黑体" w:eastAsia="黑体" w:cs="黑体"/>
      </w:rPr>
      <w:t>DB13/T</w:t>
    </w:r>
    <w:r>
      <w:rPr>
        <w:rFonts w:ascii="黑体" w:hAnsi="黑体" w:eastAsia="黑体" w:cs="黑体"/>
      </w:rPr>
      <w:t xml:space="preserve"> </w:t>
    </w:r>
    <w:r>
      <w:rPr>
        <w:rFonts w:hint="eastAsia" w:ascii="黑体" w:hAnsi="黑体" w:eastAsia="黑体" w:cs="黑体"/>
      </w:rPr>
      <w:t>××××—2024</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bottom w:val="none" w:color="auto" w:sz="0" w:space="1"/>
      </w:pBdr>
      <w:jc w:val="left"/>
      <w:rPr>
        <w:rFonts w:ascii="黑体" w:hAnsi="黑体" w:eastAsia="黑体" w:cs="黑体"/>
        <w:sz w:val="21"/>
        <w:szCs w:val="21"/>
      </w:rPr>
    </w:pPr>
    <w:r>
      <w:rPr>
        <w:rFonts w:hint="eastAsia" w:ascii="黑体" w:hAnsi="黑体" w:eastAsia="黑体" w:cs="黑体"/>
        <w:sz w:val="21"/>
        <w:szCs w:val="21"/>
      </w:rPr>
      <w:t>DB13/T</w:t>
    </w:r>
    <w:r>
      <w:rPr>
        <w:rFonts w:ascii="黑体" w:hAnsi="黑体" w:eastAsia="黑体" w:cs="黑体"/>
        <w:sz w:val="21"/>
        <w:szCs w:val="21"/>
      </w:rPr>
      <w:t xml:space="preserve"> </w:t>
    </w:r>
    <w:r>
      <w:rPr>
        <w:rFonts w:hint="eastAsia" w:ascii="黑体" w:hAnsi="黑体" w:eastAsia="黑体" w:cs="黑体"/>
        <w:sz w:val="21"/>
        <w:szCs w:val="21"/>
      </w:rPr>
      <w:t>××××—2024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E367E9"/>
    <w:multiLevelType w:val="multilevel"/>
    <w:tmpl w:val="0AE367E9"/>
    <w:lvl w:ilvl="0" w:tentative="0">
      <w:start w:val="1"/>
      <w:numFmt w:val="none"/>
      <w:pStyle w:val="86"/>
      <w:lvlText w:val="%1示例"/>
      <w:lvlJc w:val="left"/>
      <w:pPr>
        <w:tabs>
          <w:tab w:val="left" w:pos="1120"/>
        </w:tabs>
        <w:ind w:left="0" w:firstLine="400"/>
      </w:pPr>
      <w:rPr>
        <w:rFonts w:hint="eastAsia" w:ascii="宋体"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46806F7D"/>
    <w:multiLevelType w:val="multilevel"/>
    <w:tmpl w:val="46806F7D"/>
    <w:lvl w:ilvl="0" w:tentative="0">
      <w:start w:val="1"/>
      <w:numFmt w:val="none"/>
      <w:pStyle w:val="74"/>
      <w:lvlText w:val="图"/>
      <w:lvlJc w:val="left"/>
      <w:pPr>
        <w:tabs>
          <w:tab w:val="left" w:pos="360"/>
        </w:tabs>
        <w:ind w:left="0" w:firstLine="0"/>
      </w:pPr>
      <w:rPr>
        <w:rFonts w:hint="eastAsia" w:ascii="黑体" w:eastAsia="黑体"/>
        <w:b w:val="0"/>
        <w:i w:val="0"/>
        <w:sz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46D22D8F"/>
    <w:multiLevelType w:val="multilevel"/>
    <w:tmpl w:val="46D22D8F"/>
    <w:lvl w:ilvl="0" w:tentative="0">
      <w:start w:val="1"/>
      <w:numFmt w:val="none"/>
      <w:pStyle w:val="100"/>
      <w:lvlText w:val="%1◆　"/>
      <w:lvlJc w:val="left"/>
      <w:pPr>
        <w:tabs>
          <w:tab w:val="left" w:pos="960"/>
        </w:tabs>
        <w:ind w:left="917" w:hanging="317"/>
      </w:pPr>
      <w:rPr>
        <w:rFonts w:hint="eastAsia" w:ascii="宋体" w:hAnsi="Times New Roman" w:eastAsia="宋体"/>
        <w:b w:val="0"/>
        <w:i w:val="0"/>
        <w:position w:val="4"/>
        <w:sz w:val="1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496E4D7B"/>
    <w:multiLevelType w:val="multilevel"/>
    <w:tmpl w:val="496E4D7B"/>
    <w:lvl w:ilvl="0" w:tentative="0">
      <w:start w:val="1"/>
      <w:numFmt w:val="none"/>
      <w:pStyle w:val="97"/>
      <w:lvlText w:val="%1注"/>
      <w:lvlJc w:val="left"/>
      <w:pPr>
        <w:tabs>
          <w:tab w:val="left" w:pos="900"/>
        </w:tabs>
        <w:ind w:left="900" w:hanging="500"/>
      </w:pPr>
      <w:rPr>
        <w:rFonts w:hint="eastAsia" w:ascii="宋体" w:hAnsi="Times New Roman"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4F302902"/>
    <w:multiLevelType w:val="multilevel"/>
    <w:tmpl w:val="4F302902"/>
    <w:lvl w:ilvl="0" w:tentative="0">
      <w:start w:val="1"/>
      <w:numFmt w:val="none"/>
      <w:pStyle w:val="68"/>
      <w:lvlText w:val="表"/>
      <w:lvlJc w:val="left"/>
      <w:pPr>
        <w:tabs>
          <w:tab w:val="left" w:pos="360"/>
        </w:tabs>
        <w:ind w:left="0" w:firstLine="0"/>
      </w:pPr>
      <w:rPr>
        <w:rFonts w:hint="eastAsia" w:ascii="黑体" w:eastAsia="黑体"/>
        <w:b w:val="0"/>
        <w:i w:val="0"/>
        <w:sz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557C2AF5"/>
    <w:multiLevelType w:val="multilevel"/>
    <w:tmpl w:val="557C2AF5"/>
    <w:lvl w:ilvl="0" w:tentative="0">
      <w:start w:val="1"/>
      <w:numFmt w:val="decimal"/>
      <w:pStyle w:val="95"/>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6">
    <w:nsid w:val="6350366A"/>
    <w:multiLevelType w:val="multilevel"/>
    <w:tmpl w:val="6350366A"/>
    <w:lvl w:ilvl="0" w:tentative="0">
      <w:start w:val="1"/>
      <w:numFmt w:val="none"/>
      <w:pStyle w:val="79"/>
      <w:lvlText w:val="%1●　"/>
      <w:lvlJc w:val="left"/>
      <w:pPr>
        <w:tabs>
          <w:tab w:val="left" w:pos="760"/>
        </w:tabs>
        <w:ind w:left="717" w:hanging="317"/>
      </w:pPr>
      <w:rPr>
        <w:rFonts w:hint="eastAsia" w:ascii="宋体" w:hAnsi="Times New Roman" w:eastAsia="宋体"/>
        <w:b w:val="0"/>
        <w:i w:val="0"/>
        <w:position w:val="4"/>
        <w:sz w:val="13"/>
      </w:rPr>
    </w:lvl>
    <w:lvl w:ilvl="1" w:tentative="0">
      <w:start w:val="1"/>
      <w:numFmt w:val="lowerLetter"/>
      <w:lvlText w:val="%2)"/>
      <w:lvlJc w:val="left"/>
      <w:pPr>
        <w:tabs>
          <w:tab w:val="left" w:pos="780"/>
        </w:tabs>
        <w:ind w:left="780" w:hanging="360"/>
      </w:pPr>
      <w:rPr>
        <w:rFonts w:hint="eastAsia"/>
      </w:rPr>
    </w:lvl>
    <w:lvl w:ilvl="2" w:tentative="0">
      <w:start w:val="1"/>
      <w:numFmt w:val="decimal"/>
      <w:lvlText w:val="%3)"/>
      <w:lvlJc w:val="left"/>
      <w:pPr>
        <w:tabs>
          <w:tab w:val="left" w:pos="1200"/>
        </w:tabs>
        <w:ind w:left="1200" w:hanging="360"/>
      </w:pPr>
      <w:rPr>
        <w:rFonts w:hint="eastAsia"/>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646260FA"/>
    <w:multiLevelType w:val="multilevel"/>
    <w:tmpl w:val="646260FA"/>
    <w:lvl w:ilvl="0" w:tentative="0">
      <w:start w:val="1"/>
      <w:numFmt w:val="decimal"/>
      <w:pStyle w:val="94"/>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8">
    <w:nsid w:val="657D3FBC"/>
    <w:multiLevelType w:val="multilevel"/>
    <w:tmpl w:val="657D3FBC"/>
    <w:lvl w:ilvl="0" w:tentative="0">
      <w:start w:val="1"/>
      <w:numFmt w:val="upperLetter"/>
      <w:pStyle w:val="67"/>
      <w:suff w:val="nothing"/>
      <w:lvlText w:val="附　录　%1"/>
      <w:lvlJc w:val="left"/>
      <w:pPr>
        <w:ind w:left="0" w:firstLine="0"/>
      </w:pPr>
      <w:rPr>
        <w:rFonts w:hint="eastAsia" w:ascii="黑体" w:hAnsi="Times New Roman" w:eastAsia="黑体"/>
        <w:b w:val="0"/>
        <w:i w:val="0"/>
        <w:sz w:val="21"/>
      </w:rPr>
    </w:lvl>
    <w:lvl w:ilvl="1" w:tentative="0">
      <w:start w:val="1"/>
      <w:numFmt w:val="decimal"/>
      <w:pStyle w:val="69"/>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70"/>
      <w:suff w:val="nothing"/>
      <w:lvlText w:val="%1.%2.%3　"/>
      <w:lvlJc w:val="left"/>
      <w:pPr>
        <w:ind w:left="525" w:firstLine="0"/>
      </w:pPr>
      <w:rPr>
        <w:rFonts w:hint="eastAsia" w:ascii="黑体" w:hAnsi="Times New Roman" w:eastAsia="黑体"/>
        <w:b w:val="0"/>
        <w:i w:val="0"/>
        <w:sz w:val="21"/>
      </w:rPr>
    </w:lvl>
    <w:lvl w:ilvl="3" w:tentative="0">
      <w:start w:val="1"/>
      <w:numFmt w:val="decimal"/>
      <w:pStyle w:val="71"/>
      <w:suff w:val="nothing"/>
      <w:lvlText w:val="%1.%2.%3.%4　"/>
      <w:lvlJc w:val="left"/>
      <w:pPr>
        <w:ind w:left="1680" w:firstLine="0"/>
      </w:pPr>
      <w:rPr>
        <w:rFonts w:hint="eastAsia" w:ascii="黑体" w:hAnsi="Times New Roman" w:eastAsia="黑体"/>
        <w:b w:val="0"/>
        <w:i w:val="0"/>
        <w:sz w:val="21"/>
      </w:rPr>
    </w:lvl>
    <w:lvl w:ilvl="4" w:tentative="0">
      <w:start w:val="1"/>
      <w:numFmt w:val="decimal"/>
      <w:pStyle w:val="72"/>
      <w:suff w:val="nothing"/>
      <w:lvlText w:val="%1.%2.%3.%4.%5　"/>
      <w:lvlJc w:val="left"/>
      <w:pPr>
        <w:ind w:left="0" w:firstLine="0"/>
      </w:pPr>
      <w:rPr>
        <w:rFonts w:hint="eastAsia" w:ascii="黑体" w:hAnsi="Times New Roman" w:eastAsia="黑体"/>
        <w:b w:val="0"/>
        <w:i w:val="0"/>
        <w:sz w:val="21"/>
      </w:rPr>
    </w:lvl>
    <w:lvl w:ilvl="5" w:tentative="0">
      <w:start w:val="1"/>
      <w:numFmt w:val="decimal"/>
      <w:pStyle w:val="73"/>
      <w:suff w:val="nothing"/>
      <w:lvlText w:val="%1.%2.%3.%4.%5.%6　"/>
      <w:lvlJc w:val="left"/>
      <w:pPr>
        <w:ind w:left="0" w:firstLine="0"/>
      </w:pPr>
      <w:rPr>
        <w:rFonts w:hint="eastAsia" w:ascii="黑体" w:hAnsi="Times New Roman" w:eastAsia="黑体"/>
        <w:b w:val="0"/>
        <w:i w:val="0"/>
        <w:sz w:val="21"/>
      </w:rPr>
    </w:lvl>
    <w:lvl w:ilvl="6" w:tentative="0">
      <w:start w:val="1"/>
      <w:numFmt w:val="decimal"/>
      <w:pStyle w:val="75"/>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9">
    <w:nsid w:val="6CEA2025"/>
    <w:multiLevelType w:val="multilevel"/>
    <w:tmpl w:val="6CEA2025"/>
    <w:lvl w:ilvl="0" w:tentative="0">
      <w:start w:val="1"/>
      <w:numFmt w:val="none"/>
      <w:pStyle w:val="49"/>
      <w:suff w:val="nothing"/>
      <w:lvlText w:val="%1"/>
      <w:lvlJc w:val="left"/>
      <w:pPr>
        <w:ind w:left="0" w:firstLine="0"/>
      </w:pPr>
      <w:rPr>
        <w:rFonts w:hint="default" w:ascii="Times New Roman" w:hAnsi="Times New Roman"/>
        <w:b/>
        <w:i w:val="0"/>
        <w:sz w:val="21"/>
      </w:rPr>
    </w:lvl>
    <w:lvl w:ilvl="1" w:tentative="0">
      <w:start w:val="1"/>
      <w:numFmt w:val="decimal"/>
      <w:pStyle w:val="52"/>
      <w:suff w:val="nothing"/>
      <w:lvlText w:val="%1%2　"/>
      <w:lvlJc w:val="left"/>
      <w:pPr>
        <w:ind w:left="0" w:firstLine="0"/>
      </w:pPr>
      <w:rPr>
        <w:rFonts w:hint="eastAsia" w:ascii="黑体" w:hAnsi="Times New Roman" w:eastAsia="黑体"/>
        <w:b w:val="0"/>
        <w:i w:val="0"/>
        <w:sz w:val="21"/>
      </w:rPr>
    </w:lvl>
    <w:lvl w:ilvl="2" w:tentative="0">
      <w:start w:val="1"/>
      <w:numFmt w:val="decimal"/>
      <w:pStyle w:val="53"/>
      <w:suff w:val="nothing"/>
      <w:lvlText w:val="%1%2.%3　"/>
      <w:lvlJc w:val="left"/>
      <w:pPr>
        <w:ind w:left="0" w:firstLine="0"/>
      </w:pPr>
      <w:rPr>
        <w:rFonts w:hint="eastAsia" w:ascii="黑体" w:hAnsi="Times New Roman" w:eastAsia="黑体"/>
        <w:b w:val="0"/>
        <w:i w:val="0"/>
        <w:sz w:val="21"/>
      </w:rPr>
    </w:lvl>
    <w:lvl w:ilvl="3" w:tentative="0">
      <w:start w:val="1"/>
      <w:numFmt w:val="decimal"/>
      <w:pStyle w:val="54"/>
      <w:suff w:val="nothing"/>
      <w:lvlText w:val="%1%2.%3.%4　"/>
      <w:lvlJc w:val="left"/>
      <w:pPr>
        <w:ind w:left="420" w:firstLine="0"/>
      </w:pPr>
      <w:rPr>
        <w:rFonts w:ascii="黑体" w:hAnsi="黑体" w:eastAsia="黑体"/>
        <w:b w:val="0"/>
        <w:bCs w:val="0"/>
        <w:i w:val="0"/>
        <w:iCs w:val="0"/>
        <w:caps w:val="0"/>
        <w:smallCaps w:val="0"/>
        <w:strike w:val="0"/>
        <w:dstrike w:val="0"/>
        <w:outline w:val="0"/>
        <w:shadow w:val="0"/>
        <w:emboss w:val="0"/>
        <w:imprint w:val="0"/>
        <w:vanish w:val="0"/>
        <w:color w:val="auto"/>
        <w:spacing w:val="0"/>
        <w:w w:val="100"/>
        <w:kern w:val="0"/>
        <w:position w:val="0"/>
        <w:sz w:val="21"/>
        <w:u w:val="none"/>
        <w:shd w:val="clear" w:color="auto" w:fill="auto"/>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4" w:tentative="0">
      <w:start w:val="1"/>
      <w:numFmt w:val="decimal"/>
      <w:pStyle w:val="84"/>
      <w:suff w:val="nothing"/>
      <w:lvlText w:val="%1%2.%3.%4.%5　"/>
      <w:lvlJc w:val="left"/>
      <w:pPr>
        <w:ind w:left="0" w:firstLine="0"/>
      </w:pPr>
      <w:rPr>
        <w:rFonts w:hint="eastAsia" w:ascii="黑体" w:hAnsi="Times New Roman" w:eastAsia="黑体"/>
        <w:b w:val="0"/>
        <w:i w:val="0"/>
        <w:sz w:val="21"/>
      </w:rPr>
    </w:lvl>
    <w:lvl w:ilvl="5" w:tentative="0">
      <w:start w:val="1"/>
      <w:numFmt w:val="decimal"/>
      <w:pStyle w:val="88"/>
      <w:suff w:val="nothing"/>
      <w:lvlText w:val="%1%2.%3.%4.%5.%6　"/>
      <w:lvlJc w:val="left"/>
      <w:pPr>
        <w:ind w:left="0" w:firstLine="0"/>
      </w:pPr>
      <w:rPr>
        <w:rFonts w:hint="eastAsia" w:ascii="黑体" w:hAnsi="Times New Roman" w:eastAsia="黑体"/>
        <w:b w:val="0"/>
        <w:i w:val="0"/>
        <w:sz w:val="21"/>
      </w:rPr>
    </w:lvl>
    <w:lvl w:ilvl="6" w:tentative="0">
      <w:start w:val="1"/>
      <w:numFmt w:val="decimal"/>
      <w:pStyle w:val="93"/>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0">
    <w:nsid w:val="6DBF04F4"/>
    <w:multiLevelType w:val="multilevel"/>
    <w:tmpl w:val="6DBF04F4"/>
    <w:lvl w:ilvl="0" w:tentative="0">
      <w:start w:val="1"/>
      <w:numFmt w:val="none"/>
      <w:pStyle w:val="96"/>
      <w:lvlText w:val="%1注："/>
      <w:lvlJc w:val="left"/>
      <w:pPr>
        <w:tabs>
          <w:tab w:val="left" w:pos="1140"/>
        </w:tabs>
        <w:ind w:left="840" w:hanging="420"/>
      </w:pPr>
      <w:rPr>
        <w:rFonts w:hint="eastAsia" w:ascii="宋体" w:hAnsi="Times New Roman"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76933334"/>
    <w:multiLevelType w:val="multilevel"/>
    <w:tmpl w:val="76933334"/>
    <w:lvl w:ilvl="0" w:tentative="0">
      <w:start w:val="1"/>
      <w:numFmt w:val="none"/>
      <w:pStyle w:val="78"/>
      <w:lvlText w:val="%1——"/>
      <w:lvlJc w:val="left"/>
      <w:pPr>
        <w:tabs>
          <w:tab w:val="left" w:pos="1140"/>
        </w:tabs>
        <w:ind w:left="84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9"/>
  </w:num>
  <w:num w:numId="2">
    <w:abstractNumId w:val="8"/>
  </w:num>
  <w:num w:numId="3">
    <w:abstractNumId w:val="4"/>
  </w:num>
  <w:num w:numId="4">
    <w:abstractNumId w:val="1"/>
  </w:num>
  <w:num w:numId="5">
    <w:abstractNumId w:val="11"/>
  </w:num>
  <w:num w:numId="6">
    <w:abstractNumId w:val="6"/>
  </w:num>
  <w:num w:numId="7">
    <w:abstractNumId w:val="0"/>
  </w:num>
  <w:num w:numId="8">
    <w:abstractNumId w:val="7"/>
  </w:num>
  <w:num w:numId="9">
    <w:abstractNumId w:val="5"/>
  </w:num>
  <w:num w:numId="10">
    <w:abstractNumId w:val="10"/>
  </w:num>
  <w:num w:numId="11">
    <w:abstractNumId w:val="3"/>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true"/>
  <w:documentProtection w:enforcement="0"/>
  <w:defaultTabStop w:val="420"/>
  <w:evenAndOddHeaders w:val="true"/>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EzNzk4ZjU2OWJjMjMwYTgzNmM0YzFjMDg1YWJiN2UifQ=="/>
  </w:docVars>
  <w:rsids>
    <w:rsidRoot w:val="00AE2C75"/>
    <w:rsid w:val="00001F9E"/>
    <w:rsid w:val="000031CD"/>
    <w:rsid w:val="00006661"/>
    <w:rsid w:val="000112C5"/>
    <w:rsid w:val="00012551"/>
    <w:rsid w:val="0001337F"/>
    <w:rsid w:val="0001449D"/>
    <w:rsid w:val="00015C03"/>
    <w:rsid w:val="00017610"/>
    <w:rsid w:val="00020F3E"/>
    <w:rsid w:val="00023A40"/>
    <w:rsid w:val="0002425D"/>
    <w:rsid w:val="00025590"/>
    <w:rsid w:val="00026E4B"/>
    <w:rsid w:val="000271B6"/>
    <w:rsid w:val="00027655"/>
    <w:rsid w:val="0003202F"/>
    <w:rsid w:val="00032530"/>
    <w:rsid w:val="000336EB"/>
    <w:rsid w:val="000360D7"/>
    <w:rsid w:val="00045ACE"/>
    <w:rsid w:val="00045D1D"/>
    <w:rsid w:val="0004616D"/>
    <w:rsid w:val="00046923"/>
    <w:rsid w:val="000476C2"/>
    <w:rsid w:val="0004795E"/>
    <w:rsid w:val="000509FE"/>
    <w:rsid w:val="00050FFB"/>
    <w:rsid w:val="00052B0D"/>
    <w:rsid w:val="00052BCA"/>
    <w:rsid w:val="000550F3"/>
    <w:rsid w:val="00055DEF"/>
    <w:rsid w:val="00055EA7"/>
    <w:rsid w:val="00057992"/>
    <w:rsid w:val="000654C1"/>
    <w:rsid w:val="00070553"/>
    <w:rsid w:val="00075EDE"/>
    <w:rsid w:val="00076266"/>
    <w:rsid w:val="00076882"/>
    <w:rsid w:val="00077460"/>
    <w:rsid w:val="00077906"/>
    <w:rsid w:val="000779EE"/>
    <w:rsid w:val="000779F6"/>
    <w:rsid w:val="000837F6"/>
    <w:rsid w:val="0008660C"/>
    <w:rsid w:val="00086F08"/>
    <w:rsid w:val="00087DDE"/>
    <w:rsid w:val="00090112"/>
    <w:rsid w:val="00090C8C"/>
    <w:rsid w:val="000910D3"/>
    <w:rsid w:val="000917B1"/>
    <w:rsid w:val="00093801"/>
    <w:rsid w:val="00095C63"/>
    <w:rsid w:val="00096433"/>
    <w:rsid w:val="00096675"/>
    <w:rsid w:val="00097E12"/>
    <w:rsid w:val="000A0ADF"/>
    <w:rsid w:val="000A1D34"/>
    <w:rsid w:val="000A24F1"/>
    <w:rsid w:val="000A69A3"/>
    <w:rsid w:val="000B1147"/>
    <w:rsid w:val="000B17F9"/>
    <w:rsid w:val="000B2692"/>
    <w:rsid w:val="000B371B"/>
    <w:rsid w:val="000B3CDA"/>
    <w:rsid w:val="000B4273"/>
    <w:rsid w:val="000B4CA2"/>
    <w:rsid w:val="000C3B57"/>
    <w:rsid w:val="000C3CE2"/>
    <w:rsid w:val="000C7C45"/>
    <w:rsid w:val="000C7F75"/>
    <w:rsid w:val="000D111E"/>
    <w:rsid w:val="000D208D"/>
    <w:rsid w:val="000D2CDA"/>
    <w:rsid w:val="000D4AF0"/>
    <w:rsid w:val="000D6EF8"/>
    <w:rsid w:val="000D7735"/>
    <w:rsid w:val="000E4FD2"/>
    <w:rsid w:val="000E63B9"/>
    <w:rsid w:val="000E6BDB"/>
    <w:rsid w:val="000F3DEF"/>
    <w:rsid w:val="000F40B4"/>
    <w:rsid w:val="000F5679"/>
    <w:rsid w:val="001035E5"/>
    <w:rsid w:val="0010685D"/>
    <w:rsid w:val="00110A74"/>
    <w:rsid w:val="0011205A"/>
    <w:rsid w:val="00115343"/>
    <w:rsid w:val="00117DDD"/>
    <w:rsid w:val="00121782"/>
    <w:rsid w:val="0012301B"/>
    <w:rsid w:val="001269AD"/>
    <w:rsid w:val="00127800"/>
    <w:rsid w:val="00130461"/>
    <w:rsid w:val="00130721"/>
    <w:rsid w:val="00131932"/>
    <w:rsid w:val="0013268F"/>
    <w:rsid w:val="001326F4"/>
    <w:rsid w:val="00132D4C"/>
    <w:rsid w:val="00133C85"/>
    <w:rsid w:val="00135D1C"/>
    <w:rsid w:val="00136737"/>
    <w:rsid w:val="00143679"/>
    <w:rsid w:val="00147AD8"/>
    <w:rsid w:val="0015026E"/>
    <w:rsid w:val="00150E5E"/>
    <w:rsid w:val="001516D8"/>
    <w:rsid w:val="00156D47"/>
    <w:rsid w:val="00156EBE"/>
    <w:rsid w:val="0016171D"/>
    <w:rsid w:val="001625FA"/>
    <w:rsid w:val="00163528"/>
    <w:rsid w:val="00165EFB"/>
    <w:rsid w:val="001664F8"/>
    <w:rsid w:val="00167287"/>
    <w:rsid w:val="00167727"/>
    <w:rsid w:val="00172471"/>
    <w:rsid w:val="00172B15"/>
    <w:rsid w:val="001755D2"/>
    <w:rsid w:val="00175A9C"/>
    <w:rsid w:val="001763DC"/>
    <w:rsid w:val="001770EE"/>
    <w:rsid w:val="00181003"/>
    <w:rsid w:val="001818B5"/>
    <w:rsid w:val="0018190A"/>
    <w:rsid w:val="00181F2D"/>
    <w:rsid w:val="001837E7"/>
    <w:rsid w:val="00185673"/>
    <w:rsid w:val="00193B83"/>
    <w:rsid w:val="00193FB8"/>
    <w:rsid w:val="00194787"/>
    <w:rsid w:val="00194D12"/>
    <w:rsid w:val="001963F2"/>
    <w:rsid w:val="0019647F"/>
    <w:rsid w:val="001965A2"/>
    <w:rsid w:val="00196A7A"/>
    <w:rsid w:val="00196B7C"/>
    <w:rsid w:val="00197A5F"/>
    <w:rsid w:val="001A2107"/>
    <w:rsid w:val="001A446B"/>
    <w:rsid w:val="001A5D40"/>
    <w:rsid w:val="001A5E63"/>
    <w:rsid w:val="001A668D"/>
    <w:rsid w:val="001A6BAB"/>
    <w:rsid w:val="001A7384"/>
    <w:rsid w:val="001B27BD"/>
    <w:rsid w:val="001B4164"/>
    <w:rsid w:val="001B4D84"/>
    <w:rsid w:val="001B6573"/>
    <w:rsid w:val="001B6F92"/>
    <w:rsid w:val="001C0600"/>
    <w:rsid w:val="001C3BFC"/>
    <w:rsid w:val="001C5F4D"/>
    <w:rsid w:val="001C6073"/>
    <w:rsid w:val="001C640B"/>
    <w:rsid w:val="001C6B0C"/>
    <w:rsid w:val="001C7F2D"/>
    <w:rsid w:val="001D179A"/>
    <w:rsid w:val="001D2465"/>
    <w:rsid w:val="001D59A5"/>
    <w:rsid w:val="001D5D8B"/>
    <w:rsid w:val="001D5FC7"/>
    <w:rsid w:val="001E2096"/>
    <w:rsid w:val="001E376C"/>
    <w:rsid w:val="001E5032"/>
    <w:rsid w:val="001E68D1"/>
    <w:rsid w:val="001E7E75"/>
    <w:rsid w:val="001F15E2"/>
    <w:rsid w:val="001F5B6E"/>
    <w:rsid w:val="00200470"/>
    <w:rsid w:val="00200F10"/>
    <w:rsid w:val="0020320A"/>
    <w:rsid w:val="00203BAE"/>
    <w:rsid w:val="00212C28"/>
    <w:rsid w:val="00212C70"/>
    <w:rsid w:val="00213ABE"/>
    <w:rsid w:val="0021576D"/>
    <w:rsid w:val="00216007"/>
    <w:rsid w:val="0021613E"/>
    <w:rsid w:val="002178C7"/>
    <w:rsid w:val="00223EDB"/>
    <w:rsid w:val="00224A1A"/>
    <w:rsid w:val="002303E5"/>
    <w:rsid w:val="0023150C"/>
    <w:rsid w:val="00231F73"/>
    <w:rsid w:val="00240888"/>
    <w:rsid w:val="002413DB"/>
    <w:rsid w:val="0024418A"/>
    <w:rsid w:val="00244BA8"/>
    <w:rsid w:val="00245E7F"/>
    <w:rsid w:val="00252210"/>
    <w:rsid w:val="002522AA"/>
    <w:rsid w:val="00253633"/>
    <w:rsid w:val="00256B26"/>
    <w:rsid w:val="002577DB"/>
    <w:rsid w:val="002621D6"/>
    <w:rsid w:val="002629C2"/>
    <w:rsid w:val="002630FB"/>
    <w:rsid w:val="002642C0"/>
    <w:rsid w:val="002705C2"/>
    <w:rsid w:val="00270D7F"/>
    <w:rsid w:val="0027114C"/>
    <w:rsid w:val="0027189D"/>
    <w:rsid w:val="00272D94"/>
    <w:rsid w:val="00275721"/>
    <w:rsid w:val="0027703E"/>
    <w:rsid w:val="00277B92"/>
    <w:rsid w:val="002815CC"/>
    <w:rsid w:val="00291480"/>
    <w:rsid w:val="002914EE"/>
    <w:rsid w:val="00291947"/>
    <w:rsid w:val="00292184"/>
    <w:rsid w:val="00295E9F"/>
    <w:rsid w:val="00296A22"/>
    <w:rsid w:val="00296A2D"/>
    <w:rsid w:val="002A27ED"/>
    <w:rsid w:val="002A3868"/>
    <w:rsid w:val="002A4168"/>
    <w:rsid w:val="002A711A"/>
    <w:rsid w:val="002A78CE"/>
    <w:rsid w:val="002B2A2C"/>
    <w:rsid w:val="002B4FA9"/>
    <w:rsid w:val="002B51A0"/>
    <w:rsid w:val="002B5200"/>
    <w:rsid w:val="002B57A5"/>
    <w:rsid w:val="002B5A9D"/>
    <w:rsid w:val="002B5C2D"/>
    <w:rsid w:val="002B7CD5"/>
    <w:rsid w:val="002C1038"/>
    <w:rsid w:val="002C203F"/>
    <w:rsid w:val="002C2A1E"/>
    <w:rsid w:val="002C3E79"/>
    <w:rsid w:val="002C4CDD"/>
    <w:rsid w:val="002C57E2"/>
    <w:rsid w:val="002C5B8C"/>
    <w:rsid w:val="002C77AF"/>
    <w:rsid w:val="002C7BA9"/>
    <w:rsid w:val="002D03CC"/>
    <w:rsid w:val="002D0DE7"/>
    <w:rsid w:val="002D27BC"/>
    <w:rsid w:val="002D4520"/>
    <w:rsid w:val="002D4672"/>
    <w:rsid w:val="002D6D2D"/>
    <w:rsid w:val="002D6E24"/>
    <w:rsid w:val="002E028D"/>
    <w:rsid w:val="002E0474"/>
    <w:rsid w:val="002E45E2"/>
    <w:rsid w:val="002E4922"/>
    <w:rsid w:val="002E7524"/>
    <w:rsid w:val="002F2C0F"/>
    <w:rsid w:val="00300CAC"/>
    <w:rsid w:val="00302957"/>
    <w:rsid w:val="00306E4F"/>
    <w:rsid w:val="0030797E"/>
    <w:rsid w:val="0031082E"/>
    <w:rsid w:val="00311B6A"/>
    <w:rsid w:val="00312114"/>
    <w:rsid w:val="00313C7C"/>
    <w:rsid w:val="00323041"/>
    <w:rsid w:val="00323DA1"/>
    <w:rsid w:val="00326036"/>
    <w:rsid w:val="00326292"/>
    <w:rsid w:val="00334D89"/>
    <w:rsid w:val="00334FE3"/>
    <w:rsid w:val="00336C38"/>
    <w:rsid w:val="00340689"/>
    <w:rsid w:val="00342E47"/>
    <w:rsid w:val="00344080"/>
    <w:rsid w:val="003451F0"/>
    <w:rsid w:val="00345314"/>
    <w:rsid w:val="00346A98"/>
    <w:rsid w:val="0034724E"/>
    <w:rsid w:val="0034752F"/>
    <w:rsid w:val="003477A7"/>
    <w:rsid w:val="00347C3A"/>
    <w:rsid w:val="00353559"/>
    <w:rsid w:val="00354468"/>
    <w:rsid w:val="0035571B"/>
    <w:rsid w:val="00360937"/>
    <w:rsid w:val="00360DDD"/>
    <w:rsid w:val="0036147B"/>
    <w:rsid w:val="00361CE2"/>
    <w:rsid w:val="00361FDC"/>
    <w:rsid w:val="00362E02"/>
    <w:rsid w:val="00363E29"/>
    <w:rsid w:val="003643E5"/>
    <w:rsid w:val="00366116"/>
    <w:rsid w:val="003708D5"/>
    <w:rsid w:val="00370D49"/>
    <w:rsid w:val="0037160C"/>
    <w:rsid w:val="003716C8"/>
    <w:rsid w:val="00371F88"/>
    <w:rsid w:val="003728BB"/>
    <w:rsid w:val="00373733"/>
    <w:rsid w:val="0038005A"/>
    <w:rsid w:val="003817BA"/>
    <w:rsid w:val="00381D5E"/>
    <w:rsid w:val="003820CB"/>
    <w:rsid w:val="00383B7D"/>
    <w:rsid w:val="0039123A"/>
    <w:rsid w:val="003919F3"/>
    <w:rsid w:val="003940CD"/>
    <w:rsid w:val="0039556B"/>
    <w:rsid w:val="00397447"/>
    <w:rsid w:val="00397D9C"/>
    <w:rsid w:val="003A0AFC"/>
    <w:rsid w:val="003A19E7"/>
    <w:rsid w:val="003A382D"/>
    <w:rsid w:val="003A5DA3"/>
    <w:rsid w:val="003B08E1"/>
    <w:rsid w:val="003B2770"/>
    <w:rsid w:val="003B525A"/>
    <w:rsid w:val="003B5630"/>
    <w:rsid w:val="003B5CFB"/>
    <w:rsid w:val="003C1D17"/>
    <w:rsid w:val="003C39FB"/>
    <w:rsid w:val="003C3EC8"/>
    <w:rsid w:val="003C463A"/>
    <w:rsid w:val="003C7D80"/>
    <w:rsid w:val="003D59F7"/>
    <w:rsid w:val="003D7FC2"/>
    <w:rsid w:val="003E4360"/>
    <w:rsid w:val="003E5947"/>
    <w:rsid w:val="003E5B65"/>
    <w:rsid w:val="003E645E"/>
    <w:rsid w:val="003E78B5"/>
    <w:rsid w:val="003F12F2"/>
    <w:rsid w:val="003F441A"/>
    <w:rsid w:val="003F5175"/>
    <w:rsid w:val="003F644C"/>
    <w:rsid w:val="003F663F"/>
    <w:rsid w:val="00400E2B"/>
    <w:rsid w:val="004010F6"/>
    <w:rsid w:val="00401815"/>
    <w:rsid w:val="0040203E"/>
    <w:rsid w:val="00405A4D"/>
    <w:rsid w:val="00406D66"/>
    <w:rsid w:val="004104D3"/>
    <w:rsid w:val="0041090F"/>
    <w:rsid w:val="00412A85"/>
    <w:rsid w:val="00412FB7"/>
    <w:rsid w:val="00416C72"/>
    <w:rsid w:val="00416DDB"/>
    <w:rsid w:val="00423A84"/>
    <w:rsid w:val="00424D03"/>
    <w:rsid w:val="00425415"/>
    <w:rsid w:val="00425A89"/>
    <w:rsid w:val="00425B80"/>
    <w:rsid w:val="00426C0A"/>
    <w:rsid w:val="00426D62"/>
    <w:rsid w:val="00430DEB"/>
    <w:rsid w:val="004310D1"/>
    <w:rsid w:val="004326A8"/>
    <w:rsid w:val="004349DE"/>
    <w:rsid w:val="00434BE9"/>
    <w:rsid w:val="00434C2F"/>
    <w:rsid w:val="00435264"/>
    <w:rsid w:val="00437CCF"/>
    <w:rsid w:val="004417B8"/>
    <w:rsid w:val="00443C37"/>
    <w:rsid w:val="00445A8D"/>
    <w:rsid w:val="00450165"/>
    <w:rsid w:val="00450953"/>
    <w:rsid w:val="00451FE8"/>
    <w:rsid w:val="004535D4"/>
    <w:rsid w:val="00454E3C"/>
    <w:rsid w:val="0045645A"/>
    <w:rsid w:val="00456F06"/>
    <w:rsid w:val="00456F79"/>
    <w:rsid w:val="00457433"/>
    <w:rsid w:val="0045789B"/>
    <w:rsid w:val="004621A8"/>
    <w:rsid w:val="00462576"/>
    <w:rsid w:val="004632BD"/>
    <w:rsid w:val="0046433A"/>
    <w:rsid w:val="004646DE"/>
    <w:rsid w:val="00464927"/>
    <w:rsid w:val="00465F6B"/>
    <w:rsid w:val="00467372"/>
    <w:rsid w:val="00467ED5"/>
    <w:rsid w:val="004731FA"/>
    <w:rsid w:val="0048215D"/>
    <w:rsid w:val="00482996"/>
    <w:rsid w:val="00483480"/>
    <w:rsid w:val="00483B5C"/>
    <w:rsid w:val="00484365"/>
    <w:rsid w:val="0048507E"/>
    <w:rsid w:val="00486150"/>
    <w:rsid w:val="00486758"/>
    <w:rsid w:val="00490417"/>
    <w:rsid w:val="00492804"/>
    <w:rsid w:val="004948E0"/>
    <w:rsid w:val="004964C1"/>
    <w:rsid w:val="004A0CFD"/>
    <w:rsid w:val="004A2919"/>
    <w:rsid w:val="004A316C"/>
    <w:rsid w:val="004A41CA"/>
    <w:rsid w:val="004A4744"/>
    <w:rsid w:val="004B51D3"/>
    <w:rsid w:val="004B53A1"/>
    <w:rsid w:val="004B5678"/>
    <w:rsid w:val="004B7785"/>
    <w:rsid w:val="004C175B"/>
    <w:rsid w:val="004C28A1"/>
    <w:rsid w:val="004D0059"/>
    <w:rsid w:val="004D0163"/>
    <w:rsid w:val="004D0FFE"/>
    <w:rsid w:val="004D1546"/>
    <w:rsid w:val="004D3968"/>
    <w:rsid w:val="004D3F14"/>
    <w:rsid w:val="004E0126"/>
    <w:rsid w:val="004E090A"/>
    <w:rsid w:val="004E0F1A"/>
    <w:rsid w:val="004E27CA"/>
    <w:rsid w:val="004E686F"/>
    <w:rsid w:val="004E7E7B"/>
    <w:rsid w:val="004F1602"/>
    <w:rsid w:val="004F3951"/>
    <w:rsid w:val="004F5621"/>
    <w:rsid w:val="004F5D43"/>
    <w:rsid w:val="004F655F"/>
    <w:rsid w:val="004F6BEC"/>
    <w:rsid w:val="004F703A"/>
    <w:rsid w:val="0050248D"/>
    <w:rsid w:val="00502520"/>
    <w:rsid w:val="00504816"/>
    <w:rsid w:val="00504EBE"/>
    <w:rsid w:val="00504FDF"/>
    <w:rsid w:val="005055D1"/>
    <w:rsid w:val="00506D5A"/>
    <w:rsid w:val="0050709C"/>
    <w:rsid w:val="00507501"/>
    <w:rsid w:val="00507521"/>
    <w:rsid w:val="00511B08"/>
    <w:rsid w:val="00511F72"/>
    <w:rsid w:val="00512712"/>
    <w:rsid w:val="00512FA4"/>
    <w:rsid w:val="00514882"/>
    <w:rsid w:val="0051642D"/>
    <w:rsid w:val="005170FF"/>
    <w:rsid w:val="005205E7"/>
    <w:rsid w:val="00523118"/>
    <w:rsid w:val="00524642"/>
    <w:rsid w:val="00525630"/>
    <w:rsid w:val="005259E2"/>
    <w:rsid w:val="0052648E"/>
    <w:rsid w:val="00530F66"/>
    <w:rsid w:val="0053290E"/>
    <w:rsid w:val="00533DE3"/>
    <w:rsid w:val="005357CF"/>
    <w:rsid w:val="00536DCC"/>
    <w:rsid w:val="00540ADB"/>
    <w:rsid w:val="00541EF0"/>
    <w:rsid w:val="005423CB"/>
    <w:rsid w:val="00545DD1"/>
    <w:rsid w:val="005464C3"/>
    <w:rsid w:val="00552423"/>
    <w:rsid w:val="005555D1"/>
    <w:rsid w:val="005570A8"/>
    <w:rsid w:val="00561195"/>
    <w:rsid w:val="005620AE"/>
    <w:rsid w:val="005629D3"/>
    <w:rsid w:val="00562BE8"/>
    <w:rsid w:val="00562CFF"/>
    <w:rsid w:val="005670ED"/>
    <w:rsid w:val="00570883"/>
    <w:rsid w:val="005734C0"/>
    <w:rsid w:val="00574C7B"/>
    <w:rsid w:val="005763AE"/>
    <w:rsid w:val="00576E25"/>
    <w:rsid w:val="005775A7"/>
    <w:rsid w:val="005800FF"/>
    <w:rsid w:val="00581AF5"/>
    <w:rsid w:val="005836B5"/>
    <w:rsid w:val="0058388D"/>
    <w:rsid w:val="00583D80"/>
    <w:rsid w:val="00583D8F"/>
    <w:rsid w:val="00585C06"/>
    <w:rsid w:val="005865F8"/>
    <w:rsid w:val="00586787"/>
    <w:rsid w:val="00586B01"/>
    <w:rsid w:val="00587C7F"/>
    <w:rsid w:val="005908C0"/>
    <w:rsid w:val="00592BC7"/>
    <w:rsid w:val="005930A6"/>
    <w:rsid w:val="0059452C"/>
    <w:rsid w:val="00595FB5"/>
    <w:rsid w:val="005A0062"/>
    <w:rsid w:val="005A07C9"/>
    <w:rsid w:val="005A1D2C"/>
    <w:rsid w:val="005A2DD5"/>
    <w:rsid w:val="005A3EAD"/>
    <w:rsid w:val="005B16E4"/>
    <w:rsid w:val="005B20B1"/>
    <w:rsid w:val="005B48F4"/>
    <w:rsid w:val="005B65C6"/>
    <w:rsid w:val="005C3E07"/>
    <w:rsid w:val="005C4008"/>
    <w:rsid w:val="005C5149"/>
    <w:rsid w:val="005C5439"/>
    <w:rsid w:val="005C694D"/>
    <w:rsid w:val="005C7772"/>
    <w:rsid w:val="005D3383"/>
    <w:rsid w:val="005D4CA8"/>
    <w:rsid w:val="005D6FE4"/>
    <w:rsid w:val="005D7A41"/>
    <w:rsid w:val="005E1019"/>
    <w:rsid w:val="005E117D"/>
    <w:rsid w:val="005E40A0"/>
    <w:rsid w:val="005E5FE0"/>
    <w:rsid w:val="005E68F0"/>
    <w:rsid w:val="005E788F"/>
    <w:rsid w:val="005F1CC6"/>
    <w:rsid w:val="005F1D99"/>
    <w:rsid w:val="005F218E"/>
    <w:rsid w:val="005F3074"/>
    <w:rsid w:val="005F3C65"/>
    <w:rsid w:val="005F42DA"/>
    <w:rsid w:val="005F4422"/>
    <w:rsid w:val="005F477F"/>
    <w:rsid w:val="005F5DF9"/>
    <w:rsid w:val="005F777A"/>
    <w:rsid w:val="0060263E"/>
    <w:rsid w:val="00603CDE"/>
    <w:rsid w:val="00604E70"/>
    <w:rsid w:val="0060596A"/>
    <w:rsid w:val="00605B38"/>
    <w:rsid w:val="00606BA4"/>
    <w:rsid w:val="00610E2E"/>
    <w:rsid w:val="00611ADB"/>
    <w:rsid w:val="00613478"/>
    <w:rsid w:val="006136A6"/>
    <w:rsid w:val="00613A6C"/>
    <w:rsid w:val="006148BE"/>
    <w:rsid w:val="00615057"/>
    <w:rsid w:val="00615316"/>
    <w:rsid w:val="00617212"/>
    <w:rsid w:val="0062023F"/>
    <w:rsid w:val="00620D73"/>
    <w:rsid w:val="006217CF"/>
    <w:rsid w:val="00621C9C"/>
    <w:rsid w:val="00622B82"/>
    <w:rsid w:val="00622CF2"/>
    <w:rsid w:val="0062532F"/>
    <w:rsid w:val="00626C92"/>
    <w:rsid w:val="006301ED"/>
    <w:rsid w:val="0063291C"/>
    <w:rsid w:val="00634F62"/>
    <w:rsid w:val="006362C4"/>
    <w:rsid w:val="00640AF0"/>
    <w:rsid w:val="0064272B"/>
    <w:rsid w:val="006442D9"/>
    <w:rsid w:val="006442DE"/>
    <w:rsid w:val="006459CF"/>
    <w:rsid w:val="006467FF"/>
    <w:rsid w:val="006470F0"/>
    <w:rsid w:val="00650715"/>
    <w:rsid w:val="00650B27"/>
    <w:rsid w:val="00651168"/>
    <w:rsid w:val="00652D89"/>
    <w:rsid w:val="00653FA5"/>
    <w:rsid w:val="00654ED5"/>
    <w:rsid w:val="006567D1"/>
    <w:rsid w:val="00657F40"/>
    <w:rsid w:val="00662782"/>
    <w:rsid w:val="006627DD"/>
    <w:rsid w:val="00664904"/>
    <w:rsid w:val="006651BA"/>
    <w:rsid w:val="006664E9"/>
    <w:rsid w:val="00667788"/>
    <w:rsid w:val="00670F0D"/>
    <w:rsid w:val="00671AC2"/>
    <w:rsid w:val="00672772"/>
    <w:rsid w:val="00673B6A"/>
    <w:rsid w:val="006763C4"/>
    <w:rsid w:val="00676CAF"/>
    <w:rsid w:val="00676F2C"/>
    <w:rsid w:val="00681440"/>
    <w:rsid w:val="00684E56"/>
    <w:rsid w:val="00690DE3"/>
    <w:rsid w:val="00691983"/>
    <w:rsid w:val="00694B7B"/>
    <w:rsid w:val="00695782"/>
    <w:rsid w:val="00696066"/>
    <w:rsid w:val="00696396"/>
    <w:rsid w:val="00696535"/>
    <w:rsid w:val="006968EB"/>
    <w:rsid w:val="006A50F4"/>
    <w:rsid w:val="006A55F9"/>
    <w:rsid w:val="006A79B0"/>
    <w:rsid w:val="006A7EA7"/>
    <w:rsid w:val="006B2444"/>
    <w:rsid w:val="006B3065"/>
    <w:rsid w:val="006B6F55"/>
    <w:rsid w:val="006B74A5"/>
    <w:rsid w:val="006C0115"/>
    <w:rsid w:val="006C5A83"/>
    <w:rsid w:val="006C6C7A"/>
    <w:rsid w:val="006C6D6A"/>
    <w:rsid w:val="006C7BAF"/>
    <w:rsid w:val="006D2077"/>
    <w:rsid w:val="006D226C"/>
    <w:rsid w:val="006D2F1B"/>
    <w:rsid w:val="006D4684"/>
    <w:rsid w:val="006D7824"/>
    <w:rsid w:val="006E20E5"/>
    <w:rsid w:val="006E2AC8"/>
    <w:rsid w:val="006E2ED9"/>
    <w:rsid w:val="006E3728"/>
    <w:rsid w:val="006E69FC"/>
    <w:rsid w:val="006E738E"/>
    <w:rsid w:val="006E7E2D"/>
    <w:rsid w:val="006F0B9D"/>
    <w:rsid w:val="006F18FD"/>
    <w:rsid w:val="006F1B42"/>
    <w:rsid w:val="006F440B"/>
    <w:rsid w:val="006F4704"/>
    <w:rsid w:val="006F4D78"/>
    <w:rsid w:val="006F7877"/>
    <w:rsid w:val="00703451"/>
    <w:rsid w:val="00707C7E"/>
    <w:rsid w:val="00714381"/>
    <w:rsid w:val="00714786"/>
    <w:rsid w:val="00714B07"/>
    <w:rsid w:val="00714F85"/>
    <w:rsid w:val="00714FD1"/>
    <w:rsid w:val="007161A3"/>
    <w:rsid w:val="00717BC3"/>
    <w:rsid w:val="00721A87"/>
    <w:rsid w:val="00723F51"/>
    <w:rsid w:val="00726433"/>
    <w:rsid w:val="0072787E"/>
    <w:rsid w:val="007322B7"/>
    <w:rsid w:val="007322E4"/>
    <w:rsid w:val="007344C2"/>
    <w:rsid w:val="007365FA"/>
    <w:rsid w:val="00737DD6"/>
    <w:rsid w:val="00737EAE"/>
    <w:rsid w:val="00737FE5"/>
    <w:rsid w:val="00740899"/>
    <w:rsid w:val="00741A0E"/>
    <w:rsid w:val="0074240F"/>
    <w:rsid w:val="00746787"/>
    <w:rsid w:val="0075226C"/>
    <w:rsid w:val="0075271B"/>
    <w:rsid w:val="0075294F"/>
    <w:rsid w:val="00754737"/>
    <w:rsid w:val="00756D54"/>
    <w:rsid w:val="00756ED9"/>
    <w:rsid w:val="00757D20"/>
    <w:rsid w:val="00760253"/>
    <w:rsid w:val="007619A8"/>
    <w:rsid w:val="00762E7E"/>
    <w:rsid w:val="00763CFF"/>
    <w:rsid w:val="00764219"/>
    <w:rsid w:val="00764588"/>
    <w:rsid w:val="007645EA"/>
    <w:rsid w:val="007648A0"/>
    <w:rsid w:val="0076536F"/>
    <w:rsid w:val="007667B2"/>
    <w:rsid w:val="00770FD1"/>
    <w:rsid w:val="007716D8"/>
    <w:rsid w:val="007746B4"/>
    <w:rsid w:val="007748A9"/>
    <w:rsid w:val="00782B29"/>
    <w:rsid w:val="00785A1A"/>
    <w:rsid w:val="00790774"/>
    <w:rsid w:val="00790999"/>
    <w:rsid w:val="00790E6A"/>
    <w:rsid w:val="00793A07"/>
    <w:rsid w:val="00793C91"/>
    <w:rsid w:val="00794AD9"/>
    <w:rsid w:val="00794C4B"/>
    <w:rsid w:val="00794EF1"/>
    <w:rsid w:val="007A04CB"/>
    <w:rsid w:val="007A0BAC"/>
    <w:rsid w:val="007A2702"/>
    <w:rsid w:val="007A5CAA"/>
    <w:rsid w:val="007A6C6C"/>
    <w:rsid w:val="007A7044"/>
    <w:rsid w:val="007A70F1"/>
    <w:rsid w:val="007A7747"/>
    <w:rsid w:val="007A7CF2"/>
    <w:rsid w:val="007B262C"/>
    <w:rsid w:val="007B53C1"/>
    <w:rsid w:val="007B5EB2"/>
    <w:rsid w:val="007B6D27"/>
    <w:rsid w:val="007C2BB6"/>
    <w:rsid w:val="007C30B2"/>
    <w:rsid w:val="007C5F4E"/>
    <w:rsid w:val="007C6B44"/>
    <w:rsid w:val="007C7010"/>
    <w:rsid w:val="007C7476"/>
    <w:rsid w:val="007C7565"/>
    <w:rsid w:val="007D05FC"/>
    <w:rsid w:val="007D0FE4"/>
    <w:rsid w:val="007D2318"/>
    <w:rsid w:val="007D3652"/>
    <w:rsid w:val="007D3683"/>
    <w:rsid w:val="007D4F91"/>
    <w:rsid w:val="007D548E"/>
    <w:rsid w:val="007D6E7A"/>
    <w:rsid w:val="007D7D1A"/>
    <w:rsid w:val="007E19FF"/>
    <w:rsid w:val="007E4C88"/>
    <w:rsid w:val="007F045D"/>
    <w:rsid w:val="007F0D13"/>
    <w:rsid w:val="007F0EAB"/>
    <w:rsid w:val="007F41A8"/>
    <w:rsid w:val="007F6978"/>
    <w:rsid w:val="0080215E"/>
    <w:rsid w:val="00802454"/>
    <w:rsid w:val="00803F28"/>
    <w:rsid w:val="00806734"/>
    <w:rsid w:val="00806EFD"/>
    <w:rsid w:val="00812A63"/>
    <w:rsid w:val="008144E2"/>
    <w:rsid w:val="0081505C"/>
    <w:rsid w:val="008166E2"/>
    <w:rsid w:val="008170E7"/>
    <w:rsid w:val="00820B99"/>
    <w:rsid w:val="00821727"/>
    <w:rsid w:val="00823781"/>
    <w:rsid w:val="00825D68"/>
    <w:rsid w:val="00827D60"/>
    <w:rsid w:val="00830B70"/>
    <w:rsid w:val="00830C7B"/>
    <w:rsid w:val="00833483"/>
    <w:rsid w:val="008356D0"/>
    <w:rsid w:val="00835AD8"/>
    <w:rsid w:val="008370E0"/>
    <w:rsid w:val="008373E9"/>
    <w:rsid w:val="008425E3"/>
    <w:rsid w:val="0084613A"/>
    <w:rsid w:val="00846C46"/>
    <w:rsid w:val="00851853"/>
    <w:rsid w:val="00851EB1"/>
    <w:rsid w:val="00851F4C"/>
    <w:rsid w:val="00852B39"/>
    <w:rsid w:val="00853425"/>
    <w:rsid w:val="00853451"/>
    <w:rsid w:val="00855690"/>
    <w:rsid w:val="008611F7"/>
    <w:rsid w:val="00861B89"/>
    <w:rsid w:val="008632BE"/>
    <w:rsid w:val="00863A8B"/>
    <w:rsid w:val="008640B5"/>
    <w:rsid w:val="00865970"/>
    <w:rsid w:val="00866737"/>
    <w:rsid w:val="00867D6F"/>
    <w:rsid w:val="00875417"/>
    <w:rsid w:val="00876CC4"/>
    <w:rsid w:val="008778F7"/>
    <w:rsid w:val="008821A3"/>
    <w:rsid w:val="008834A0"/>
    <w:rsid w:val="008851D7"/>
    <w:rsid w:val="00885218"/>
    <w:rsid w:val="00885485"/>
    <w:rsid w:val="00885D7B"/>
    <w:rsid w:val="00886DB7"/>
    <w:rsid w:val="00886FAB"/>
    <w:rsid w:val="00892B75"/>
    <w:rsid w:val="008930C1"/>
    <w:rsid w:val="0089369C"/>
    <w:rsid w:val="00894442"/>
    <w:rsid w:val="008946F5"/>
    <w:rsid w:val="00896235"/>
    <w:rsid w:val="00896408"/>
    <w:rsid w:val="00897AF1"/>
    <w:rsid w:val="008A15DF"/>
    <w:rsid w:val="008A2119"/>
    <w:rsid w:val="008A2D8E"/>
    <w:rsid w:val="008A4EA0"/>
    <w:rsid w:val="008A56C8"/>
    <w:rsid w:val="008A5DF9"/>
    <w:rsid w:val="008A7772"/>
    <w:rsid w:val="008A7F12"/>
    <w:rsid w:val="008B0FDE"/>
    <w:rsid w:val="008B263A"/>
    <w:rsid w:val="008B2894"/>
    <w:rsid w:val="008B30F0"/>
    <w:rsid w:val="008B3A48"/>
    <w:rsid w:val="008B6A9A"/>
    <w:rsid w:val="008B74EF"/>
    <w:rsid w:val="008C14A0"/>
    <w:rsid w:val="008C2480"/>
    <w:rsid w:val="008C34D3"/>
    <w:rsid w:val="008C3763"/>
    <w:rsid w:val="008C6197"/>
    <w:rsid w:val="008C6DF2"/>
    <w:rsid w:val="008D3DD9"/>
    <w:rsid w:val="008D46D5"/>
    <w:rsid w:val="008D47BB"/>
    <w:rsid w:val="008D48F3"/>
    <w:rsid w:val="008D5A18"/>
    <w:rsid w:val="008E233D"/>
    <w:rsid w:val="008E2671"/>
    <w:rsid w:val="008E341F"/>
    <w:rsid w:val="008E3617"/>
    <w:rsid w:val="008E36CD"/>
    <w:rsid w:val="008E4D36"/>
    <w:rsid w:val="008E5317"/>
    <w:rsid w:val="008E58E6"/>
    <w:rsid w:val="008E69E5"/>
    <w:rsid w:val="008E7621"/>
    <w:rsid w:val="008E7AC2"/>
    <w:rsid w:val="008E7F0A"/>
    <w:rsid w:val="008F0B17"/>
    <w:rsid w:val="008F2776"/>
    <w:rsid w:val="008F2AB1"/>
    <w:rsid w:val="008F33DA"/>
    <w:rsid w:val="008F556A"/>
    <w:rsid w:val="008F7F96"/>
    <w:rsid w:val="00900B18"/>
    <w:rsid w:val="00901BF3"/>
    <w:rsid w:val="0090280D"/>
    <w:rsid w:val="009058A0"/>
    <w:rsid w:val="0090614C"/>
    <w:rsid w:val="009073A9"/>
    <w:rsid w:val="00910DB9"/>
    <w:rsid w:val="009112B2"/>
    <w:rsid w:val="00913053"/>
    <w:rsid w:val="009135E9"/>
    <w:rsid w:val="00914AB4"/>
    <w:rsid w:val="00914EB8"/>
    <w:rsid w:val="00917EE4"/>
    <w:rsid w:val="0092158B"/>
    <w:rsid w:val="00922D5B"/>
    <w:rsid w:val="00927568"/>
    <w:rsid w:val="009310C4"/>
    <w:rsid w:val="00931806"/>
    <w:rsid w:val="00932612"/>
    <w:rsid w:val="009413AB"/>
    <w:rsid w:val="009457B0"/>
    <w:rsid w:val="00950D02"/>
    <w:rsid w:val="00951798"/>
    <w:rsid w:val="00952789"/>
    <w:rsid w:val="009538EE"/>
    <w:rsid w:val="009538FC"/>
    <w:rsid w:val="00954DC8"/>
    <w:rsid w:val="009567EF"/>
    <w:rsid w:val="009601C3"/>
    <w:rsid w:val="009628B5"/>
    <w:rsid w:val="00962B05"/>
    <w:rsid w:val="00966025"/>
    <w:rsid w:val="00967F5A"/>
    <w:rsid w:val="00970001"/>
    <w:rsid w:val="009709E9"/>
    <w:rsid w:val="00970D03"/>
    <w:rsid w:val="009713D8"/>
    <w:rsid w:val="00971BEC"/>
    <w:rsid w:val="00974B96"/>
    <w:rsid w:val="009803E6"/>
    <w:rsid w:val="009814A8"/>
    <w:rsid w:val="009839CF"/>
    <w:rsid w:val="00983A73"/>
    <w:rsid w:val="00986EB0"/>
    <w:rsid w:val="00987372"/>
    <w:rsid w:val="009874CB"/>
    <w:rsid w:val="0099174F"/>
    <w:rsid w:val="0099372C"/>
    <w:rsid w:val="00993CC8"/>
    <w:rsid w:val="00994955"/>
    <w:rsid w:val="009950AF"/>
    <w:rsid w:val="00996B10"/>
    <w:rsid w:val="00997053"/>
    <w:rsid w:val="00997AB1"/>
    <w:rsid w:val="009A3426"/>
    <w:rsid w:val="009A45A4"/>
    <w:rsid w:val="009A526B"/>
    <w:rsid w:val="009A5E0D"/>
    <w:rsid w:val="009A6EDE"/>
    <w:rsid w:val="009B5F9F"/>
    <w:rsid w:val="009B66E4"/>
    <w:rsid w:val="009B7554"/>
    <w:rsid w:val="009B7844"/>
    <w:rsid w:val="009C18A1"/>
    <w:rsid w:val="009C3D03"/>
    <w:rsid w:val="009C69EC"/>
    <w:rsid w:val="009C7005"/>
    <w:rsid w:val="009D048B"/>
    <w:rsid w:val="009D4A2F"/>
    <w:rsid w:val="009D62C1"/>
    <w:rsid w:val="009D72A4"/>
    <w:rsid w:val="009E07DF"/>
    <w:rsid w:val="009E0AC3"/>
    <w:rsid w:val="009E192F"/>
    <w:rsid w:val="009E4306"/>
    <w:rsid w:val="009E6B03"/>
    <w:rsid w:val="009F002A"/>
    <w:rsid w:val="009F2658"/>
    <w:rsid w:val="009F3C5B"/>
    <w:rsid w:val="00A0151C"/>
    <w:rsid w:val="00A028F7"/>
    <w:rsid w:val="00A037F8"/>
    <w:rsid w:val="00A06BBD"/>
    <w:rsid w:val="00A07228"/>
    <w:rsid w:val="00A077AD"/>
    <w:rsid w:val="00A077C6"/>
    <w:rsid w:val="00A107D0"/>
    <w:rsid w:val="00A1132C"/>
    <w:rsid w:val="00A1187F"/>
    <w:rsid w:val="00A124A0"/>
    <w:rsid w:val="00A12A3E"/>
    <w:rsid w:val="00A15E8B"/>
    <w:rsid w:val="00A200E2"/>
    <w:rsid w:val="00A201CE"/>
    <w:rsid w:val="00A2290D"/>
    <w:rsid w:val="00A2345E"/>
    <w:rsid w:val="00A236A9"/>
    <w:rsid w:val="00A23869"/>
    <w:rsid w:val="00A2553C"/>
    <w:rsid w:val="00A27271"/>
    <w:rsid w:val="00A27724"/>
    <w:rsid w:val="00A346EF"/>
    <w:rsid w:val="00A34AFA"/>
    <w:rsid w:val="00A4319B"/>
    <w:rsid w:val="00A4432A"/>
    <w:rsid w:val="00A44B39"/>
    <w:rsid w:val="00A45126"/>
    <w:rsid w:val="00A45B58"/>
    <w:rsid w:val="00A47502"/>
    <w:rsid w:val="00A5055C"/>
    <w:rsid w:val="00A50670"/>
    <w:rsid w:val="00A534BA"/>
    <w:rsid w:val="00A539E3"/>
    <w:rsid w:val="00A64C8F"/>
    <w:rsid w:val="00A759C8"/>
    <w:rsid w:val="00A77CB4"/>
    <w:rsid w:val="00A81DF5"/>
    <w:rsid w:val="00A821A7"/>
    <w:rsid w:val="00A822FE"/>
    <w:rsid w:val="00A82757"/>
    <w:rsid w:val="00A83246"/>
    <w:rsid w:val="00A8374C"/>
    <w:rsid w:val="00A840F0"/>
    <w:rsid w:val="00A84B97"/>
    <w:rsid w:val="00A8579E"/>
    <w:rsid w:val="00A86A08"/>
    <w:rsid w:val="00A878CD"/>
    <w:rsid w:val="00A93522"/>
    <w:rsid w:val="00A94462"/>
    <w:rsid w:val="00A955B1"/>
    <w:rsid w:val="00A97B82"/>
    <w:rsid w:val="00A97EE5"/>
    <w:rsid w:val="00AA17D6"/>
    <w:rsid w:val="00AA3922"/>
    <w:rsid w:val="00AA5652"/>
    <w:rsid w:val="00AA5B16"/>
    <w:rsid w:val="00AA717F"/>
    <w:rsid w:val="00AA7FC5"/>
    <w:rsid w:val="00AB06AB"/>
    <w:rsid w:val="00AB17ED"/>
    <w:rsid w:val="00AB1A80"/>
    <w:rsid w:val="00AB23F5"/>
    <w:rsid w:val="00AB5B36"/>
    <w:rsid w:val="00AB7EA5"/>
    <w:rsid w:val="00AC05DF"/>
    <w:rsid w:val="00AC0EB8"/>
    <w:rsid w:val="00AC11E8"/>
    <w:rsid w:val="00AC18E9"/>
    <w:rsid w:val="00AC30B6"/>
    <w:rsid w:val="00AC3FC0"/>
    <w:rsid w:val="00AC5ACB"/>
    <w:rsid w:val="00AC6745"/>
    <w:rsid w:val="00AC68C2"/>
    <w:rsid w:val="00AC77A0"/>
    <w:rsid w:val="00AD3C62"/>
    <w:rsid w:val="00AD7DD5"/>
    <w:rsid w:val="00AE2C75"/>
    <w:rsid w:val="00AE31FC"/>
    <w:rsid w:val="00AE4F33"/>
    <w:rsid w:val="00AE6C83"/>
    <w:rsid w:val="00AF22EB"/>
    <w:rsid w:val="00AF2846"/>
    <w:rsid w:val="00AF298A"/>
    <w:rsid w:val="00AF7583"/>
    <w:rsid w:val="00B04A06"/>
    <w:rsid w:val="00B060A1"/>
    <w:rsid w:val="00B06793"/>
    <w:rsid w:val="00B067D0"/>
    <w:rsid w:val="00B12474"/>
    <w:rsid w:val="00B12508"/>
    <w:rsid w:val="00B131AE"/>
    <w:rsid w:val="00B14957"/>
    <w:rsid w:val="00B154E3"/>
    <w:rsid w:val="00B163C0"/>
    <w:rsid w:val="00B16C45"/>
    <w:rsid w:val="00B17F29"/>
    <w:rsid w:val="00B2070E"/>
    <w:rsid w:val="00B21239"/>
    <w:rsid w:val="00B22485"/>
    <w:rsid w:val="00B2624A"/>
    <w:rsid w:val="00B307B7"/>
    <w:rsid w:val="00B30B83"/>
    <w:rsid w:val="00B351F2"/>
    <w:rsid w:val="00B36ABA"/>
    <w:rsid w:val="00B3791C"/>
    <w:rsid w:val="00B43EB9"/>
    <w:rsid w:val="00B451C4"/>
    <w:rsid w:val="00B45800"/>
    <w:rsid w:val="00B4788B"/>
    <w:rsid w:val="00B47C64"/>
    <w:rsid w:val="00B506E0"/>
    <w:rsid w:val="00B5190C"/>
    <w:rsid w:val="00B52CF8"/>
    <w:rsid w:val="00B55531"/>
    <w:rsid w:val="00B56127"/>
    <w:rsid w:val="00B60636"/>
    <w:rsid w:val="00B6155B"/>
    <w:rsid w:val="00B61CBD"/>
    <w:rsid w:val="00B630FA"/>
    <w:rsid w:val="00B64235"/>
    <w:rsid w:val="00B64423"/>
    <w:rsid w:val="00B65864"/>
    <w:rsid w:val="00B66F6E"/>
    <w:rsid w:val="00B6723C"/>
    <w:rsid w:val="00B717DD"/>
    <w:rsid w:val="00B76487"/>
    <w:rsid w:val="00B80843"/>
    <w:rsid w:val="00B82023"/>
    <w:rsid w:val="00B820A1"/>
    <w:rsid w:val="00B832EB"/>
    <w:rsid w:val="00B83A72"/>
    <w:rsid w:val="00B8678B"/>
    <w:rsid w:val="00B86F6C"/>
    <w:rsid w:val="00B90E08"/>
    <w:rsid w:val="00B92E15"/>
    <w:rsid w:val="00B935D3"/>
    <w:rsid w:val="00B9414D"/>
    <w:rsid w:val="00B94298"/>
    <w:rsid w:val="00B96F6E"/>
    <w:rsid w:val="00B97853"/>
    <w:rsid w:val="00BA0BE4"/>
    <w:rsid w:val="00BA0C6C"/>
    <w:rsid w:val="00BA3760"/>
    <w:rsid w:val="00BA3D88"/>
    <w:rsid w:val="00BA639F"/>
    <w:rsid w:val="00BB1A69"/>
    <w:rsid w:val="00BB2F1C"/>
    <w:rsid w:val="00BB3E9C"/>
    <w:rsid w:val="00BB6C7A"/>
    <w:rsid w:val="00BB6DC0"/>
    <w:rsid w:val="00BC02BB"/>
    <w:rsid w:val="00BC02E1"/>
    <w:rsid w:val="00BC5BE4"/>
    <w:rsid w:val="00BC6017"/>
    <w:rsid w:val="00BC6982"/>
    <w:rsid w:val="00BC7197"/>
    <w:rsid w:val="00BD2B47"/>
    <w:rsid w:val="00BD4058"/>
    <w:rsid w:val="00BD44B9"/>
    <w:rsid w:val="00BD4653"/>
    <w:rsid w:val="00BD6A35"/>
    <w:rsid w:val="00BD6C01"/>
    <w:rsid w:val="00BE048F"/>
    <w:rsid w:val="00BE5ADD"/>
    <w:rsid w:val="00BE6465"/>
    <w:rsid w:val="00BF632F"/>
    <w:rsid w:val="00C00197"/>
    <w:rsid w:val="00C03F11"/>
    <w:rsid w:val="00C05D37"/>
    <w:rsid w:val="00C05E12"/>
    <w:rsid w:val="00C0795B"/>
    <w:rsid w:val="00C118E8"/>
    <w:rsid w:val="00C134C8"/>
    <w:rsid w:val="00C13DD5"/>
    <w:rsid w:val="00C14FFF"/>
    <w:rsid w:val="00C15FB4"/>
    <w:rsid w:val="00C16A17"/>
    <w:rsid w:val="00C174F8"/>
    <w:rsid w:val="00C177E5"/>
    <w:rsid w:val="00C20966"/>
    <w:rsid w:val="00C20FEF"/>
    <w:rsid w:val="00C21AAD"/>
    <w:rsid w:val="00C23AD1"/>
    <w:rsid w:val="00C23AD7"/>
    <w:rsid w:val="00C313B0"/>
    <w:rsid w:val="00C34A24"/>
    <w:rsid w:val="00C34C51"/>
    <w:rsid w:val="00C350F1"/>
    <w:rsid w:val="00C379A2"/>
    <w:rsid w:val="00C37BDC"/>
    <w:rsid w:val="00C37C13"/>
    <w:rsid w:val="00C43FC9"/>
    <w:rsid w:val="00C444E4"/>
    <w:rsid w:val="00C462A5"/>
    <w:rsid w:val="00C46A77"/>
    <w:rsid w:val="00C50DBF"/>
    <w:rsid w:val="00C50E0D"/>
    <w:rsid w:val="00C55E9D"/>
    <w:rsid w:val="00C57F34"/>
    <w:rsid w:val="00C612FD"/>
    <w:rsid w:val="00C61356"/>
    <w:rsid w:val="00C61C08"/>
    <w:rsid w:val="00C6466B"/>
    <w:rsid w:val="00C667DF"/>
    <w:rsid w:val="00C67C0C"/>
    <w:rsid w:val="00C7231A"/>
    <w:rsid w:val="00C72D82"/>
    <w:rsid w:val="00C74B17"/>
    <w:rsid w:val="00C8156D"/>
    <w:rsid w:val="00C81606"/>
    <w:rsid w:val="00C81991"/>
    <w:rsid w:val="00C84D49"/>
    <w:rsid w:val="00C84D8C"/>
    <w:rsid w:val="00C90949"/>
    <w:rsid w:val="00C91410"/>
    <w:rsid w:val="00C91742"/>
    <w:rsid w:val="00C928CA"/>
    <w:rsid w:val="00C951CB"/>
    <w:rsid w:val="00C978AA"/>
    <w:rsid w:val="00CA34CD"/>
    <w:rsid w:val="00CA3F5B"/>
    <w:rsid w:val="00CA4345"/>
    <w:rsid w:val="00CA4C63"/>
    <w:rsid w:val="00CA6134"/>
    <w:rsid w:val="00CA7E28"/>
    <w:rsid w:val="00CB00C9"/>
    <w:rsid w:val="00CB00F1"/>
    <w:rsid w:val="00CB0FC5"/>
    <w:rsid w:val="00CB2728"/>
    <w:rsid w:val="00CB29C8"/>
    <w:rsid w:val="00CB461B"/>
    <w:rsid w:val="00CB5A24"/>
    <w:rsid w:val="00CB7930"/>
    <w:rsid w:val="00CB7F65"/>
    <w:rsid w:val="00CC07C5"/>
    <w:rsid w:val="00CC09AB"/>
    <w:rsid w:val="00CC40F6"/>
    <w:rsid w:val="00CC4746"/>
    <w:rsid w:val="00CC511F"/>
    <w:rsid w:val="00CD11AE"/>
    <w:rsid w:val="00CD1423"/>
    <w:rsid w:val="00CD2F26"/>
    <w:rsid w:val="00CD4E46"/>
    <w:rsid w:val="00CD5C77"/>
    <w:rsid w:val="00CD5E00"/>
    <w:rsid w:val="00CD6727"/>
    <w:rsid w:val="00CD76FD"/>
    <w:rsid w:val="00CE008F"/>
    <w:rsid w:val="00CE1861"/>
    <w:rsid w:val="00CE457B"/>
    <w:rsid w:val="00CE608A"/>
    <w:rsid w:val="00CE61FD"/>
    <w:rsid w:val="00CF3773"/>
    <w:rsid w:val="00CF3CD7"/>
    <w:rsid w:val="00CF6A64"/>
    <w:rsid w:val="00CF6D7B"/>
    <w:rsid w:val="00D029A9"/>
    <w:rsid w:val="00D0609E"/>
    <w:rsid w:val="00D06D46"/>
    <w:rsid w:val="00D10232"/>
    <w:rsid w:val="00D10B67"/>
    <w:rsid w:val="00D11129"/>
    <w:rsid w:val="00D115D3"/>
    <w:rsid w:val="00D11D20"/>
    <w:rsid w:val="00D13DD1"/>
    <w:rsid w:val="00D15AF3"/>
    <w:rsid w:val="00D16D6F"/>
    <w:rsid w:val="00D1700D"/>
    <w:rsid w:val="00D17457"/>
    <w:rsid w:val="00D2066D"/>
    <w:rsid w:val="00D221FC"/>
    <w:rsid w:val="00D22ACA"/>
    <w:rsid w:val="00D2393E"/>
    <w:rsid w:val="00D2728A"/>
    <w:rsid w:val="00D300EB"/>
    <w:rsid w:val="00D32825"/>
    <w:rsid w:val="00D34361"/>
    <w:rsid w:val="00D3514C"/>
    <w:rsid w:val="00D36F7A"/>
    <w:rsid w:val="00D37AF5"/>
    <w:rsid w:val="00D40A50"/>
    <w:rsid w:val="00D41688"/>
    <w:rsid w:val="00D45AFC"/>
    <w:rsid w:val="00D50132"/>
    <w:rsid w:val="00D5482C"/>
    <w:rsid w:val="00D56447"/>
    <w:rsid w:val="00D5679C"/>
    <w:rsid w:val="00D609E6"/>
    <w:rsid w:val="00D60BBC"/>
    <w:rsid w:val="00D60C27"/>
    <w:rsid w:val="00D6115A"/>
    <w:rsid w:val="00D63716"/>
    <w:rsid w:val="00D64CB6"/>
    <w:rsid w:val="00D65622"/>
    <w:rsid w:val="00D678CD"/>
    <w:rsid w:val="00D70A09"/>
    <w:rsid w:val="00D7129F"/>
    <w:rsid w:val="00D71FFE"/>
    <w:rsid w:val="00D72B59"/>
    <w:rsid w:val="00D74819"/>
    <w:rsid w:val="00D76896"/>
    <w:rsid w:val="00D77B8A"/>
    <w:rsid w:val="00D81EBC"/>
    <w:rsid w:val="00D84479"/>
    <w:rsid w:val="00D862EF"/>
    <w:rsid w:val="00D91C8B"/>
    <w:rsid w:val="00D948A7"/>
    <w:rsid w:val="00D953B8"/>
    <w:rsid w:val="00D964D9"/>
    <w:rsid w:val="00D9672B"/>
    <w:rsid w:val="00D96BF9"/>
    <w:rsid w:val="00DA22BB"/>
    <w:rsid w:val="00DA2547"/>
    <w:rsid w:val="00DA353C"/>
    <w:rsid w:val="00DA48C1"/>
    <w:rsid w:val="00DA4C70"/>
    <w:rsid w:val="00DA68AC"/>
    <w:rsid w:val="00DB0FDB"/>
    <w:rsid w:val="00DB2204"/>
    <w:rsid w:val="00DB2FCB"/>
    <w:rsid w:val="00DB5108"/>
    <w:rsid w:val="00DB7630"/>
    <w:rsid w:val="00DC0CF0"/>
    <w:rsid w:val="00DC0E7F"/>
    <w:rsid w:val="00DC141A"/>
    <w:rsid w:val="00DC24E2"/>
    <w:rsid w:val="00DC2953"/>
    <w:rsid w:val="00DC2C39"/>
    <w:rsid w:val="00DC5FE8"/>
    <w:rsid w:val="00DC7826"/>
    <w:rsid w:val="00DD164B"/>
    <w:rsid w:val="00DD2C3F"/>
    <w:rsid w:val="00DD6A58"/>
    <w:rsid w:val="00DD7253"/>
    <w:rsid w:val="00DD7BEC"/>
    <w:rsid w:val="00DD7DEC"/>
    <w:rsid w:val="00DE0AFE"/>
    <w:rsid w:val="00DE22BE"/>
    <w:rsid w:val="00DE2601"/>
    <w:rsid w:val="00DE34F9"/>
    <w:rsid w:val="00DE50C5"/>
    <w:rsid w:val="00DE7140"/>
    <w:rsid w:val="00DF05F9"/>
    <w:rsid w:val="00DF382E"/>
    <w:rsid w:val="00DF5312"/>
    <w:rsid w:val="00DF6974"/>
    <w:rsid w:val="00DF7861"/>
    <w:rsid w:val="00E000A8"/>
    <w:rsid w:val="00E00530"/>
    <w:rsid w:val="00E00971"/>
    <w:rsid w:val="00E04045"/>
    <w:rsid w:val="00E043ED"/>
    <w:rsid w:val="00E071E8"/>
    <w:rsid w:val="00E107EB"/>
    <w:rsid w:val="00E11896"/>
    <w:rsid w:val="00E126E0"/>
    <w:rsid w:val="00E129AE"/>
    <w:rsid w:val="00E12E39"/>
    <w:rsid w:val="00E138A5"/>
    <w:rsid w:val="00E13D83"/>
    <w:rsid w:val="00E202B7"/>
    <w:rsid w:val="00E2139D"/>
    <w:rsid w:val="00E23F24"/>
    <w:rsid w:val="00E24E86"/>
    <w:rsid w:val="00E25899"/>
    <w:rsid w:val="00E31545"/>
    <w:rsid w:val="00E31E26"/>
    <w:rsid w:val="00E32BF1"/>
    <w:rsid w:val="00E34AFC"/>
    <w:rsid w:val="00E35E99"/>
    <w:rsid w:val="00E35F50"/>
    <w:rsid w:val="00E37990"/>
    <w:rsid w:val="00E37E94"/>
    <w:rsid w:val="00E45545"/>
    <w:rsid w:val="00E45C96"/>
    <w:rsid w:val="00E513FC"/>
    <w:rsid w:val="00E52A65"/>
    <w:rsid w:val="00E55845"/>
    <w:rsid w:val="00E56AD8"/>
    <w:rsid w:val="00E57052"/>
    <w:rsid w:val="00E60590"/>
    <w:rsid w:val="00E63FDA"/>
    <w:rsid w:val="00E641CC"/>
    <w:rsid w:val="00E6624F"/>
    <w:rsid w:val="00E71683"/>
    <w:rsid w:val="00E724A9"/>
    <w:rsid w:val="00E745C6"/>
    <w:rsid w:val="00E77026"/>
    <w:rsid w:val="00E80C8D"/>
    <w:rsid w:val="00E812A1"/>
    <w:rsid w:val="00E81A90"/>
    <w:rsid w:val="00E81AC4"/>
    <w:rsid w:val="00E8206A"/>
    <w:rsid w:val="00E8687B"/>
    <w:rsid w:val="00E93210"/>
    <w:rsid w:val="00E93CB5"/>
    <w:rsid w:val="00E93CC9"/>
    <w:rsid w:val="00E95852"/>
    <w:rsid w:val="00EA11F8"/>
    <w:rsid w:val="00EA1385"/>
    <w:rsid w:val="00EA2070"/>
    <w:rsid w:val="00EA31EB"/>
    <w:rsid w:val="00EA48F2"/>
    <w:rsid w:val="00EA68DF"/>
    <w:rsid w:val="00EB1007"/>
    <w:rsid w:val="00EB183A"/>
    <w:rsid w:val="00EB3972"/>
    <w:rsid w:val="00EB3FAA"/>
    <w:rsid w:val="00EB4A9C"/>
    <w:rsid w:val="00EB4BA7"/>
    <w:rsid w:val="00EB5392"/>
    <w:rsid w:val="00EB5D9E"/>
    <w:rsid w:val="00EB6478"/>
    <w:rsid w:val="00EC04D8"/>
    <w:rsid w:val="00EC0B7C"/>
    <w:rsid w:val="00EC1EFA"/>
    <w:rsid w:val="00EC20C5"/>
    <w:rsid w:val="00EC4337"/>
    <w:rsid w:val="00EC71DE"/>
    <w:rsid w:val="00EC776E"/>
    <w:rsid w:val="00ED14EB"/>
    <w:rsid w:val="00ED331D"/>
    <w:rsid w:val="00ED3429"/>
    <w:rsid w:val="00ED3435"/>
    <w:rsid w:val="00ED4B0C"/>
    <w:rsid w:val="00EE056F"/>
    <w:rsid w:val="00EE13CB"/>
    <w:rsid w:val="00EF6EA8"/>
    <w:rsid w:val="00EF7AB9"/>
    <w:rsid w:val="00F017E8"/>
    <w:rsid w:val="00F02320"/>
    <w:rsid w:val="00F036D9"/>
    <w:rsid w:val="00F04274"/>
    <w:rsid w:val="00F06BA1"/>
    <w:rsid w:val="00F073C0"/>
    <w:rsid w:val="00F0743A"/>
    <w:rsid w:val="00F12CD0"/>
    <w:rsid w:val="00F14D43"/>
    <w:rsid w:val="00F204FA"/>
    <w:rsid w:val="00F20E63"/>
    <w:rsid w:val="00F22973"/>
    <w:rsid w:val="00F2588D"/>
    <w:rsid w:val="00F269AC"/>
    <w:rsid w:val="00F27BB6"/>
    <w:rsid w:val="00F30112"/>
    <w:rsid w:val="00F31E45"/>
    <w:rsid w:val="00F31EEE"/>
    <w:rsid w:val="00F32BB0"/>
    <w:rsid w:val="00F330B3"/>
    <w:rsid w:val="00F33352"/>
    <w:rsid w:val="00F341D4"/>
    <w:rsid w:val="00F35C25"/>
    <w:rsid w:val="00F36F85"/>
    <w:rsid w:val="00F43F72"/>
    <w:rsid w:val="00F46FDD"/>
    <w:rsid w:val="00F476C6"/>
    <w:rsid w:val="00F50688"/>
    <w:rsid w:val="00F5075D"/>
    <w:rsid w:val="00F52C73"/>
    <w:rsid w:val="00F53934"/>
    <w:rsid w:val="00F5472B"/>
    <w:rsid w:val="00F5582F"/>
    <w:rsid w:val="00F56A09"/>
    <w:rsid w:val="00F56E95"/>
    <w:rsid w:val="00F57487"/>
    <w:rsid w:val="00F57FBB"/>
    <w:rsid w:val="00F606EF"/>
    <w:rsid w:val="00F61C4A"/>
    <w:rsid w:val="00F631F1"/>
    <w:rsid w:val="00F63650"/>
    <w:rsid w:val="00F63D9C"/>
    <w:rsid w:val="00F66360"/>
    <w:rsid w:val="00F7066B"/>
    <w:rsid w:val="00F71CC5"/>
    <w:rsid w:val="00F71F62"/>
    <w:rsid w:val="00F73752"/>
    <w:rsid w:val="00F752D5"/>
    <w:rsid w:val="00F75886"/>
    <w:rsid w:val="00F77149"/>
    <w:rsid w:val="00F81D21"/>
    <w:rsid w:val="00F82039"/>
    <w:rsid w:val="00F82823"/>
    <w:rsid w:val="00F8681E"/>
    <w:rsid w:val="00F86E5F"/>
    <w:rsid w:val="00F90BFD"/>
    <w:rsid w:val="00F918A9"/>
    <w:rsid w:val="00F94BBF"/>
    <w:rsid w:val="00F9755A"/>
    <w:rsid w:val="00F97775"/>
    <w:rsid w:val="00FA0607"/>
    <w:rsid w:val="00FA09DB"/>
    <w:rsid w:val="00FA1F24"/>
    <w:rsid w:val="00FA31C1"/>
    <w:rsid w:val="00FA35CA"/>
    <w:rsid w:val="00FA4413"/>
    <w:rsid w:val="00FA4484"/>
    <w:rsid w:val="00FA76C2"/>
    <w:rsid w:val="00FB4666"/>
    <w:rsid w:val="00FB4BAA"/>
    <w:rsid w:val="00FB58C7"/>
    <w:rsid w:val="00FB6762"/>
    <w:rsid w:val="00FC2C3D"/>
    <w:rsid w:val="00FC4CCA"/>
    <w:rsid w:val="00FC6C13"/>
    <w:rsid w:val="00FD1517"/>
    <w:rsid w:val="00FD3BF6"/>
    <w:rsid w:val="00FD50C8"/>
    <w:rsid w:val="00FD551D"/>
    <w:rsid w:val="00FD5E27"/>
    <w:rsid w:val="00FD772A"/>
    <w:rsid w:val="00FE0F5A"/>
    <w:rsid w:val="00FE21C8"/>
    <w:rsid w:val="00FE29A3"/>
    <w:rsid w:val="00FE60E8"/>
    <w:rsid w:val="00FF4A21"/>
    <w:rsid w:val="00FF506B"/>
    <w:rsid w:val="03DE3CAC"/>
    <w:rsid w:val="05D46EE5"/>
    <w:rsid w:val="0A9848E2"/>
    <w:rsid w:val="103C3F59"/>
    <w:rsid w:val="110169F8"/>
    <w:rsid w:val="113434F8"/>
    <w:rsid w:val="14627FE2"/>
    <w:rsid w:val="16846935"/>
    <w:rsid w:val="1A4D2C19"/>
    <w:rsid w:val="1BB46C64"/>
    <w:rsid w:val="22786543"/>
    <w:rsid w:val="27D26630"/>
    <w:rsid w:val="2B7E8D62"/>
    <w:rsid w:val="2DCE614A"/>
    <w:rsid w:val="2DEE131A"/>
    <w:rsid w:val="2EEB6040"/>
    <w:rsid w:val="374D577A"/>
    <w:rsid w:val="37726F20"/>
    <w:rsid w:val="3CA134EE"/>
    <w:rsid w:val="4ADB5A3C"/>
    <w:rsid w:val="4B771FE9"/>
    <w:rsid w:val="4B880D25"/>
    <w:rsid w:val="4CA879D4"/>
    <w:rsid w:val="51D878B6"/>
    <w:rsid w:val="52374280"/>
    <w:rsid w:val="5C4F5222"/>
    <w:rsid w:val="5D600B2F"/>
    <w:rsid w:val="5FB707BA"/>
    <w:rsid w:val="60A8195B"/>
    <w:rsid w:val="6AEE24E0"/>
    <w:rsid w:val="6B491269"/>
    <w:rsid w:val="6FFAF8F2"/>
    <w:rsid w:val="742B4F50"/>
    <w:rsid w:val="74F91B3B"/>
    <w:rsid w:val="767F6FEA"/>
    <w:rsid w:val="790F6B0E"/>
    <w:rsid w:val="7EE61945"/>
    <w:rsid w:val="7F8EC35A"/>
    <w:rsid w:val="AF7EDE47"/>
    <w:rsid w:val="EFFF7807"/>
    <w:rsid w:val="F74D21D7"/>
    <w:rsid w:val="FBFE2E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nhideWhenUsed="0" w:uiPriority="0" w:semiHidden="0" w:name="Normal Indent"/>
    <w:lsdException w:qFormat="1" w:unhideWhenUsed="0" w:uiPriority="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qFormat/>
    <w:uiPriority w:val="0"/>
    <w:pPr>
      <w:keepNext/>
      <w:keepLines/>
      <w:spacing w:before="280" w:after="290" w:line="376" w:lineRule="auto"/>
      <w:outlineLvl w:val="4"/>
    </w:pPr>
    <w:rPr>
      <w:b/>
      <w:bCs/>
      <w:sz w:val="28"/>
      <w:szCs w:val="28"/>
    </w:rPr>
  </w:style>
  <w:style w:type="paragraph" w:styleId="7">
    <w:name w:val="heading 6"/>
    <w:basedOn w:val="1"/>
    <w:next w:val="1"/>
    <w:qFormat/>
    <w:uiPriority w:val="0"/>
    <w:pPr>
      <w:keepNext/>
      <w:keepLines/>
      <w:spacing w:before="240" w:after="64" w:line="320" w:lineRule="auto"/>
      <w:outlineLvl w:val="5"/>
    </w:pPr>
    <w:rPr>
      <w:rFonts w:ascii="Arial" w:hAnsi="Arial" w:eastAsia="黑体"/>
      <w:b/>
      <w:bCs/>
      <w:sz w:val="24"/>
    </w:rPr>
  </w:style>
  <w:style w:type="paragraph" w:styleId="8">
    <w:name w:val="heading 7"/>
    <w:basedOn w:val="1"/>
    <w:next w:val="1"/>
    <w:qFormat/>
    <w:uiPriority w:val="0"/>
    <w:pPr>
      <w:keepNext/>
      <w:keepLines/>
      <w:spacing w:before="240" w:after="64" w:line="320" w:lineRule="auto"/>
      <w:outlineLvl w:val="6"/>
    </w:pPr>
    <w:rPr>
      <w:b/>
      <w:bCs/>
      <w:sz w:val="24"/>
    </w:rPr>
  </w:style>
  <w:style w:type="paragraph" w:styleId="9">
    <w:name w:val="heading 8"/>
    <w:basedOn w:val="1"/>
    <w:next w:val="1"/>
    <w:qFormat/>
    <w:uiPriority w:val="0"/>
    <w:pPr>
      <w:keepNext/>
      <w:keepLines/>
      <w:spacing w:before="240" w:after="64" w:line="320" w:lineRule="auto"/>
      <w:outlineLvl w:val="7"/>
    </w:pPr>
    <w:rPr>
      <w:rFonts w:ascii="Arial" w:hAnsi="Arial" w:eastAsia="黑体"/>
      <w:sz w:val="24"/>
    </w:rPr>
  </w:style>
  <w:style w:type="paragraph" w:styleId="10">
    <w:name w:val="heading 9"/>
    <w:basedOn w:val="1"/>
    <w:next w:val="1"/>
    <w:qFormat/>
    <w:uiPriority w:val="0"/>
    <w:pPr>
      <w:keepNext/>
      <w:keepLines/>
      <w:spacing w:before="240" w:after="64" w:line="320" w:lineRule="auto"/>
      <w:outlineLvl w:val="8"/>
    </w:pPr>
    <w:rPr>
      <w:rFonts w:ascii="Arial" w:hAnsi="Arial" w:eastAsia="黑体"/>
      <w:szCs w:val="21"/>
    </w:rPr>
  </w:style>
  <w:style w:type="character" w:default="1" w:styleId="30">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11">
    <w:name w:val="toc 7"/>
    <w:basedOn w:val="12"/>
    <w:next w:val="1"/>
    <w:semiHidden/>
    <w:qFormat/>
    <w:uiPriority w:val="0"/>
  </w:style>
  <w:style w:type="paragraph" w:styleId="12">
    <w:name w:val="toc 6"/>
    <w:basedOn w:val="13"/>
    <w:next w:val="1"/>
    <w:semiHidden/>
    <w:qFormat/>
    <w:uiPriority w:val="0"/>
  </w:style>
  <w:style w:type="paragraph" w:styleId="13">
    <w:name w:val="toc 5"/>
    <w:basedOn w:val="14"/>
    <w:next w:val="1"/>
    <w:semiHidden/>
    <w:qFormat/>
    <w:uiPriority w:val="0"/>
  </w:style>
  <w:style w:type="paragraph" w:styleId="14">
    <w:name w:val="toc 4"/>
    <w:basedOn w:val="15"/>
    <w:next w:val="1"/>
    <w:semiHidden/>
    <w:qFormat/>
    <w:uiPriority w:val="0"/>
  </w:style>
  <w:style w:type="paragraph" w:styleId="15">
    <w:name w:val="toc 3"/>
    <w:basedOn w:val="16"/>
    <w:next w:val="1"/>
    <w:semiHidden/>
    <w:qFormat/>
    <w:uiPriority w:val="0"/>
  </w:style>
  <w:style w:type="paragraph" w:styleId="16">
    <w:name w:val="toc 2"/>
    <w:basedOn w:val="17"/>
    <w:next w:val="1"/>
    <w:semiHidden/>
    <w:qFormat/>
    <w:uiPriority w:val="0"/>
  </w:style>
  <w:style w:type="paragraph" w:styleId="17">
    <w:name w:val="toc 1"/>
    <w:next w:val="1"/>
    <w:semiHidden/>
    <w:qFormat/>
    <w:uiPriority w:val="0"/>
    <w:pPr>
      <w:jc w:val="both"/>
    </w:pPr>
    <w:rPr>
      <w:rFonts w:ascii="宋体" w:hAnsi="Times New Roman" w:eastAsia="宋体" w:cs="Times New Roman"/>
      <w:sz w:val="21"/>
      <w:lang w:val="en-US" w:eastAsia="zh-CN" w:bidi="ar-SA"/>
    </w:rPr>
  </w:style>
  <w:style w:type="paragraph" w:styleId="18">
    <w:name w:val="HTML Address"/>
    <w:basedOn w:val="1"/>
    <w:qFormat/>
    <w:uiPriority w:val="0"/>
    <w:rPr>
      <w:i/>
      <w:iCs/>
    </w:rPr>
  </w:style>
  <w:style w:type="paragraph" w:styleId="19">
    <w:name w:val="toc 8"/>
    <w:basedOn w:val="11"/>
    <w:next w:val="1"/>
    <w:semiHidden/>
    <w:qFormat/>
    <w:uiPriority w:val="0"/>
  </w:style>
  <w:style w:type="paragraph" w:styleId="20">
    <w:name w:val="Date"/>
    <w:basedOn w:val="1"/>
    <w:next w:val="1"/>
    <w:link w:val="104"/>
    <w:qFormat/>
    <w:uiPriority w:val="0"/>
    <w:pPr>
      <w:ind w:left="100" w:leftChars="2500"/>
    </w:pPr>
  </w:style>
  <w:style w:type="paragraph" w:styleId="21">
    <w:name w:val="Balloon Text"/>
    <w:basedOn w:val="1"/>
    <w:link w:val="103"/>
    <w:qFormat/>
    <w:uiPriority w:val="0"/>
    <w:rPr>
      <w:sz w:val="18"/>
      <w:szCs w:val="18"/>
    </w:rPr>
  </w:style>
  <w:style w:type="paragraph" w:styleId="22">
    <w:name w:val="footer"/>
    <w:basedOn w:val="1"/>
    <w:qFormat/>
    <w:uiPriority w:val="0"/>
    <w:pPr>
      <w:tabs>
        <w:tab w:val="center" w:pos="4153"/>
        <w:tab w:val="right" w:pos="8306"/>
      </w:tabs>
      <w:snapToGrid w:val="0"/>
      <w:ind w:right="210" w:rightChars="100"/>
      <w:jc w:val="right"/>
    </w:pPr>
    <w:rPr>
      <w:sz w:val="18"/>
      <w:szCs w:val="18"/>
    </w:rPr>
  </w:style>
  <w:style w:type="paragraph" w:styleId="2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4">
    <w:name w:val="footnote text"/>
    <w:basedOn w:val="1"/>
    <w:semiHidden/>
    <w:qFormat/>
    <w:uiPriority w:val="0"/>
    <w:pPr>
      <w:snapToGrid w:val="0"/>
      <w:jc w:val="left"/>
    </w:pPr>
    <w:rPr>
      <w:sz w:val="18"/>
      <w:szCs w:val="18"/>
    </w:rPr>
  </w:style>
  <w:style w:type="paragraph" w:styleId="25">
    <w:name w:val="toc 9"/>
    <w:basedOn w:val="19"/>
    <w:next w:val="1"/>
    <w:semiHidden/>
    <w:qFormat/>
    <w:uiPriority w:val="0"/>
  </w:style>
  <w:style w:type="paragraph" w:styleId="26">
    <w:name w:val="HTML Preformatted"/>
    <w:basedOn w:val="1"/>
    <w:qFormat/>
    <w:uiPriority w:val="0"/>
    <w:rPr>
      <w:rFonts w:ascii="Courier New" w:hAnsi="Courier New" w:cs="Courier New"/>
      <w:sz w:val="20"/>
      <w:szCs w:val="20"/>
    </w:rPr>
  </w:style>
  <w:style w:type="paragraph" w:styleId="27">
    <w:name w:val="Normal (Web)"/>
    <w:basedOn w:val="1"/>
    <w:qFormat/>
    <w:uiPriority w:val="0"/>
    <w:pPr>
      <w:widowControl/>
      <w:jc w:val="left"/>
    </w:pPr>
    <w:rPr>
      <w:rFonts w:ascii="宋体" w:hAnsi="宋体" w:cs="宋体"/>
      <w:kern w:val="0"/>
      <w:sz w:val="24"/>
    </w:rPr>
  </w:style>
  <w:style w:type="paragraph" w:styleId="28">
    <w:name w:val="Title"/>
    <w:basedOn w:val="1"/>
    <w:qFormat/>
    <w:uiPriority w:val="0"/>
    <w:pPr>
      <w:spacing w:before="240" w:after="60"/>
      <w:jc w:val="center"/>
      <w:outlineLvl w:val="0"/>
    </w:pPr>
    <w:rPr>
      <w:rFonts w:ascii="Arial" w:hAnsi="Arial" w:cs="Arial"/>
      <w:b/>
      <w:bCs/>
      <w:sz w:val="32"/>
      <w:szCs w:val="32"/>
    </w:rPr>
  </w:style>
  <w:style w:type="character" w:styleId="31">
    <w:name w:val="page number"/>
    <w:qFormat/>
    <w:uiPriority w:val="0"/>
    <w:rPr>
      <w:rFonts w:ascii="Times New Roman" w:hAnsi="Times New Roman" w:eastAsia="宋体"/>
      <w:sz w:val="18"/>
    </w:rPr>
  </w:style>
  <w:style w:type="character" w:styleId="32">
    <w:name w:val="HTML Definition"/>
    <w:qFormat/>
    <w:uiPriority w:val="0"/>
    <w:rPr>
      <w:i/>
      <w:iCs/>
    </w:rPr>
  </w:style>
  <w:style w:type="character" w:styleId="33">
    <w:name w:val="HTML Typewriter"/>
    <w:qFormat/>
    <w:uiPriority w:val="0"/>
    <w:rPr>
      <w:rFonts w:ascii="Courier New" w:hAnsi="Courier New"/>
      <w:sz w:val="20"/>
      <w:szCs w:val="20"/>
    </w:rPr>
  </w:style>
  <w:style w:type="character" w:styleId="34">
    <w:name w:val="HTML Acronym"/>
    <w:basedOn w:val="30"/>
    <w:qFormat/>
    <w:uiPriority w:val="0"/>
  </w:style>
  <w:style w:type="character" w:styleId="35">
    <w:name w:val="HTML Variable"/>
    <w:qFormat/>
    <w:uiPriority w:val="0"/>
    <w:rPr>
      <w:i/>
      <w:iCs/>
    </w:rPr>
  </w:style>
  <w:style w:type="character" w:styleId="36">
    <w:name w:val="Hyperlink"/>
    <w:qFormat/>
    <w:uiPriority w:val="0"/>
    <w:rPr>
      <w:rFonts w:ascii="Times New Roman" w:hAnsi="Times New Roman" w:eastAsia="宋体"/>
      <w:color w:val="auto"/>
      <w:spacing w:val="0"/>
      <w:w w:val="100"/>
      <w:position w:val="0"/>
      <w:sz w:val="21"/>
      <w:u w:val="none"/>
      <w:vertAlign w:val="baseline"/>
    </w:rPr>
  </w:style>
  <w:style w:type="character" w:styleId="37">
    <w:name w:val="HTML Code"/>
    <w:qFormat/>
    <w:uiPriority w:val="0"/>
    <w:rPr>
      <w:rFonts w:ascii="Courier New" w:hAnsi="Courier New"/>
      <w:sz w:val="20"/>
      <w:szCs w:val="20"/>
    </w:rPr>
  </w:style>
  <w:style w:type="character" w:styleId="38">
    <w:name w:val="HTML Cite"/>
    <w:qFormat/>
    <w:uiPriority w:val="0"/>
    <w:rPr>
      <w:i/>
      <w:iCs/>
    </w:rPr>
  </w:style>
  <w:style w:type="character" w:styleId="39">
    <w:name w:val="footnote reference"/>
    <w:semiHidden/>
    <w:qFormat/>
    <w:uiPriority w:val="0"/>
    <w:rPr>
      <w:vertAlign w:val="superscript"/>
    </w:rPr>
  </w:style>
  <w:style w:type="character" w:styleId="40">
    <w:name w:val="HTML Keyboard"/>
    <w:qFormat/>
    <w:uiPriority w:val="0"/>
    <w:rPr>
      <w:rFonts w:ascii="Courier New" w:hAnsi="Courier New"/>
      <w:sz w:val="20"/>
      <w:szCs w:val="20"/>
    </w:rPr>
  </w:style>
  <w:style w:type="character" w:styleId="41">
    <w:name w:val="HTML Sample"/>
    <w:qFormat/>
    <w:uiPriority w:val="0"/>
    <w:rPr>
      <w:rFonts w:ascii="Courier New" w:hAnsi="Courier New"/>
    </w:rPr>
  </w:style>
  <w:style w:type="paragraph" w:customStyle="1" w:styleId="42">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43">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52"/>
      <w:lang w:val="en-US" w:eastAsia="zh-CN" w:bidi="ar-SA"/>
    </w:rPr>
  </w:style>
  <w:style w:type="paragraph" w:customStyle="1" w:styleId="44">
    <w:name w:val="标准书脚_偶数页"/>
    <w:qFormat/>
    <w:uiPriority w:val="0"/>
    <w:pPr>
      <w:spacing w:before="120"/>
    </w:pPr>
    <w:rPr>
      <w:rFonts w:ascii="Times New Roman" w:hAnsi="Times New Roman" w:eastAsia="宋体" w:cs="Times New Roman"/>
      <w:sz w:val="18"/>
      <w:lang w:val="en-US" w:eastAsia="zh-CN" w:bidi="ar-SA"/>
    </w:rPr>
  </w:style>
  <w:style w:type="paragraph" w:customStyle="1" w:styleId="45">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46">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47">
    <w:name w:val="标准书眉_偶数页"/>
    <w:basedOn w:val="46"/>
    <w:next w:val="1"/>
    <w:qFormat/>
    <w:uiPriority w:val="0"/>
    <w:pPr>
      <w:jc w:val="left"/>
    </w:pPr>
  </w:style>
  <w:style w:type="paragraph" w:customStyle="1" w:styleId="48">
    <w:name w:val="标准书眉一"/>
    <w:qFormat/>
    <w:uiPriority w:val="0"/>
    <w:pPr>
      <w:jc w:val="both"/>
    </w:pPr>
    <w:rPr>
      <w:rFonts w:ascii="Times New Roman" w:hAnsi="Times New Roman" w:eastAsia="宋体" w:cs="Times New Roman"/>
      <w:lang w:val="en-US" w:eastAsia="zh-CN" w:bidi="ar-SA"/>
    </w:rPr>
  </w:style>
  <w:style w:type="paragraph" w:customStyle="1" w:styleId="49">
    <w:name w:val="前言、引言标题"/>
    <w:next w:val="1"/>
    <w:qFormat/>
    <w:uiPriority w:val="0"/>
    <w:pPr>
      <w:numPr>
        <w:ilvl w:val="0"/>
        <w:numId w:val="1"/>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50">
    <w:name w:val="参考文献、索引标题"/>
    <w:basedOn w:val="49"/>
    <w:next w:val="1"/>
    <w:qFormat/>
    <w:uiPriority w:val="0"/>
    <w:pPr>
      <w:numPr>
        <w:numId w:val="0"/>
      </w:numPr>
      <w:spacing w:after="200"/>
    </w:pPr>
    <w:rPr>
      <w:sz w:val="21"/>
    </w:rPr>
  </w:style>
  <w:style w:type="paragraph" w:customStyle="1" w:styleId="51">
    <w:name w:val="段"/>
    <w:link w:val="92"/>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2">
    <w:name w:val="章标题"/>
    <w:next w:val="51"/>
    <w:qFormat/>
    <w:uiPriority w:val="0"/>
    <w:pPr>
      <w:numPr>
        <w:ilvl w:val="1"/>
        <w:numId w:val="1"/>
      </w:numPr>
      <w:spacing w:before="50" w:beforeLines="50" w:after="50" w:afterLines="50"/>
      <w:jc w:val="both"/>
      <w:outlineLvl w:val="1"/>
    </w:pPr>
    <w:rPr>
      <w:rFonts w:ascii="黑体" w:hAnsi="Times New Roman" w:eastAsia="黑体" w:cs="Times New Roman"/>
      <w:sz w:val="21"/>
      <w:lang w:val="en-US" w:eastAsia="zh-CN" w:bidi="ar-SA"/>
    </w:rPr>
  </w:style>
  <w:style w:type="paragraph" w:customStyle="1" w:styleId="53">
    <w:name w:val="一级条标题"/>
    <w:next w:val="51"/>
    <w:qFormat/>
    <w:uiPriority w:val="0"/>
    <w:pPr>
      <w:numPr>
        <w:ilvl w:val="2"/>
        <w:numId w:val="1"/>
      </w:numPr>
      <w:outlineLvl w:val="2"/>
    </w:pPr>
    <w:rPr>
      <w:rFonts w:ascii="Times New Roman" w:hAnsi="Times New Roman" w:eastAsia="黑体" w:cs="Times New Roman"/>
      <w:sz w:val="21"/>
      <w:lang w:val="en-US" w:eastAsia="zh-CN" w:bidi="ar-SA"/>
    </w:rPr>
  </w:style>
  <w:style w:type="paragraph" w:customStyle="1" w:styleId="54">
    <w:name w:val="二级条标题"/>
    <w:basedOn w:val="53"/>
    <w:next w:val="51"/>
    <w:qFormat/>
    <w:uiPriority w:val="0"/>
    <w:pPr>
      <w:numPr>
        <w:ilvl w:val="3"/>
      </w:numPr>
      <w:outlineLvl w:val="3"/>
    </w:pPr>
  </w:style>
  <w:style w:type="character" w:customStyle="1" w:styleId="55">
    <w:name w:val="发布"/>
    <w:qFormat/>
    <w:uiPriority w:val="0"/>
    <w:rPr>
      <w:rFonts w:ascii="黑体" w:eastAsia="黑体"/>
      <w:spacing w:val="22"/>
      <w:w w:val="100"/>
      <w:position w:val="3"/>
      <w:sz w:val="28"/>
    </w:rPr>
  </w:style>
  <w:style w:type="paragraph" w:customStyle="1" w:styleId="56">
    <w:name w:val="发布部门"/>
    <w:next w:val="51"/>
    <w:qFormat/>
    <w:uiPriority w:val="0"/>
    <w:pPr>
      <w:framePr w:w="7433" w:h="585" w:hRule="exact" w:hSpace="180" w:vSpace="180" w:wrap="around" w:vAnchor="margin" w:hAnchor="margin" w:xAlign="center" w:y="14401" w:anchorLock="1"/>
      <w:jc w:val="center"/>
    </w:pPr>
    <w:rPr>
      <w:rFonts w:ascii="宋体" w:hAnsi="Times New Roman" w:eastAsia="宋体" w:cs="Times New Roman"/>
      <w:b/>
      <w:spacing w:val="20"/>
      <w:w w:val="135"/>
      <w:sz w:val="36"/>
      <w:lang w:val="en-US" w:eastAsia="zh-CN" w:bidi="ar-SA"/>
    </w:rPr>
  </w:style>
  <w:style w:type="paragraph" w:customStyle="1" w:styleId="57">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58">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59">
    <w:name w:val="封面标准号2"/>
    <w:basedOn w:val="58"/>
    <w:qFormat/>
    <w:uiPriority w:val="0"/>
    <w:pPr>
      <w:framePr w:w="9138" w:h="1244" w:hRule="exact" w:wrap="auto" w:vAnchor="page" w:hAnchor="margin" w:y="2908"/>
      <w:adjustRightInd w:val="0"/>
      <w:spacing w:before="357" w:line="280" w:lineRule="exact"/>
    </w:pPr>
  </w:style>
  <w:style w:type="paragraph" w:customStyle="1" w:styleId="60">
    <w:name w:val="封面标准代替信息"/>
    <w:basedOn w:val="59"/>
    <w:qFormat/>
    <w:uiPriority w:val="0"/>
    <w:pPr>
      <w:framePr/>
      <w:spacing w:before="57"/>
    </w:pPr>
    <w:rPr>
      <w:rFonts w:ascii="宋体"/>
      <w:sz w:val="21"/>
    </w:rPr>
  </w:style>
  <w:style w:type="paragraph" w:customStyle="1" w:styleId="61">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62">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63">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64">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65">
    <w:name w:val="封面一致性程度标识"/>
    <w:qFormat/>
    <w:uiPriority w:val="0"/>
    <w:pPr>
      <w:spacing w:before="440" w:line="400" w:lineRule="exact"/>
      <w:jc w:val="center"/>
    </w:pPr>
    <w:rPr>
      <w:rFonts w:ascii="宋体" w:hAnsi="Times New Roman" w:eastAsia="宋体" w:cs="Times New Roman"/>
      <w:sz w:val="28"/>
      <w:lang w:val="en-US" w:eastAsia="zh-CN" w:bidi="ar-SA"/>
    </w:rPr>
  </w:style>
  <w:style w:type="paragraph" w:customStyle="1" w:styleId="66">
    <w:name w:val="封面正文"/>
    <w:qFormat/>
    <w:uiPriority w:val="0"/>
    <w:pPr>
      <w:jc w:val="both"/>
    </w:pPr>
    <w:rPr>
      <w:rFonts w:ascii="Times New Roman" w:hAnsi="Times New Roman" w:eastAsia="宋体" w:cs="Times New Roman"/>
      <w:lang w:val="en-US" w:eastAsia="zh-CN" w:bidi="ar-SA"/>
    </w:rPr>
  </w:style>
  <w:style w:type="paragraph" w:customStyle="1" w:styleId="67">
    <w:name w:val="附录标识"/>
    <w:basedOn w:val="49"/>
    <w:qFormat/>
    <w:uiPriority w:val="0"/>
    <w:pPr>
      <w:numPr>
        <w:ilvl w:val="0"/>
        <w:numId w:val="2"/>
      </w:numPr>
      <w:tabs>
        <w:tab w:val="left" w:pos="6405"/>
      </w:tabs>
      <w:spacing w:after="200"/>
    </w:pPr>
    <w:rPr>
      <w:sz w:val="21"/>
    </w:rPr>
  </w:style>
  <w:style w:type="paragraph" w:customStyle="1" w:styleId="68">
    <w:name w:val="附录表标题"/>
    <w:next w:val="51"/>
    <w:qFormat/>
    <w:uiPriority w:val="0"/>
    <w:pPr>
      <w:numPr>
        <w:ilvl w:val="0"/>
        <w:numId w:val="3"/>
      </w:numPr>
      <w:jc w:val="center"/>
      <w:textAlignment w:val="baseline"/>
    </w:pPr>
    <w:rPr>
      <w:rFonts w:ascii="黑体" w:hAnsi="Times New Roman" w:eastAsia="黑体" w:cs="Times New Roman"/>
      <w:kern w:val="21"/>
      <w:sz w:val="21"/>
      <w:lang w:val="en-US" w:eastAsia="zh-CN" w:bidi="ar-SA"/>
    </w:rPr>
  </w:style>
  <w:style w:type="paragraph" w:customStyle="1" w:styleId="69">
    <w:name w:val="附录章标题"/>
    <w:next w:val="51"/>
    <w:qFormat/>
    <w:uiPriority w:val="0"/>
    <w:pPr>
      <w:numPr>
        <w:ilvl w:val="1"/>
        <w:numId w:val="2"/>
      </w:numPr>
      <w:wordWrap w:val="0"/>
      <w:overflowPunct w:val="0"/>
      <w:autoSpaceDE w:val="0"/>
      <w:spacing w:before="50" w:beforeLines="50" w:after="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70">
    <w:name w:val="附录一级条标题"/>
    <w:basedOn w:val="69"/>
    <w:next w:val="51"/>
    <w:qFormat/>
    <w:uiPriority w:val="0"/>
    <w:pPr>
      <w:numPr>
        <w:ilvl w:val="2"/>
      </w:numPr>
      <w:autoSpaceDN w:val="0"/>
      <w:spacing w:before="0" w:beforeLines="0" w:after="0" w:afterLines="0"/>
      <w:outlineLvl w:val="2"/>
    </w:pPr>
  </w:style>
  <w:style w:type="paragraph" w:customStyle="1" w:styleId="71">
    <w:name w:val="附录二级条标题"/>
    <w:basedOn w:val="70"/>
    <w:next w:val="51"/>
    <w:qFormat/>
    <w:uiPriority w:val="0"/>
    <w:pPr>
      <w:numPr>
        <w:ilvl w:val="3"/>
      </w:numPr>
      <w:outlineLvl w:val="3"/>
    </w:pPr>
  </w:style>
  <w:style w:type="paragraph" w:customStyle="1" w:styleId="72">
    <w:name w:val="附录三级条标题"/>
    <w:basedOn w:val="71"/>
    <w:next w:val="51"/>
    <w:qFormat/>
    <w:uiPriority w:val="0"/>
    <w:pPr>
      <w:numPr>
        <w:ilvl w:val="4"/>
      </w:numPr>
      <w:outlineLvl w:val="4"/>
    </w:pPr>
  </w:style>
  <w:style w:type="paragraph" w:customStyle="1" w:styleId="73">
    <w:name w:val="附录四级条标题"/>
    <w:basedOn w:val="72"/>
    <w:next w:val="51"/>
    <w:qFormat/>
    <w:uiPriority w:val="0"/>
    <w:pPr>
      <w:numPr>
        <w:ilvl w:val="5"/>
      </w:numPr>
      <w:outlineLvl w:val="5"/>
    </w:pPr>
  </w:style>
  <w:style w:type="paragraph" w:customStyle="1" w:styleId="74">
    <w:name w:val="附录图标题"/>
    <w:next w:val="51"/>
    <w:qFormat/>
    <w:uiPriority w:val="0"/>
    <w:pPr>
      <w:numPr>
        <w:ilvl w:val="0"/>
        <w:numId w:val="4"/>
      </w:numPr>
      <w:jc w:val="center"/>
    </w:pPr>
    <w:rPr>
      <w:rFonts w:ascii="黑体" w:hAnsi="Times New Roman" w:eastAsia="黑体" w:cs="Times New Roman"/>
      <w:sz w:val="21"/>
      <w:lang w:val="en-US" w:eastAsia="zh-CN" w:bidi="ar-SA"/>
    </w:rPr>
  </w:style>
  <w:style w:type="paragraph" w:customStyle="1" w:styleId="75">
    <w:name w:val="附录五级条标题"/>
    <w:basedOn w:val="73"/>
    <w:next w:val="51"/>
    <w:qFormat/>
    <w:uiPriority w:val="0"/>
    <w:pPr>
      <w:numPr>
        <w:ilvl w:val="6"/>
      </w:numPr>
      <w:outlineLvl w:val="6"/>
    </w:pPr>
  </w:style>
  <w:style w:type="character" w:customStyle="1" w:styleId="76">
    <w:name w:val="个人答复风格"/>
    <w:qFormat/>
    <w:uiPriority w:val="0"/>
    <w:rPr>
      <w:rFonts w:ascii="Arial" w:hAnsi="Arial" w:eastAsia="宋体" w:cs="Arial"/>
      <w:color w:val="auto"/>
      <w:sz w:val="20"/>
    </w:rPr>
  </w:style>
  <w:style w:type="character" w:customStyle="1" w:styleId="77">
    <w:name w:val="个人撰写风格"/>
    <w:qFormat/>
    <w:uiPriority w:val="0"/>
    <w:rPr>
      <w:rFonts w:ascii="Arial" w:hAnsi="Arial" w:eastAsia="宋体" w:cs="Arial"/>
      <w:color w:val="auto"/>
      <w:sz w:val="20"/>
    </w:rPr>
  </w:style>
  <w:style w:type="paragraph" w:customStyle="1" w:styleId="78">
    <w:name w:val="列项——（一级）"/>
    <w:qFormat/>
    <w:uiPriority w:val="0"/>
    <w:pPr>
      <w:widowControl w:val="0"/>
      <w:numPr>
        <w:ilvl w:val="0"/>
        <w:numId w:val="5"/>
      </w:numPr>
      <w:tabs>
        <w:tab w:val="left" w:pos="854"/>
        <w:tab w:val="clear" w:pos="1140"/>
      </w:tabs>
      <w:ind w:left="200" w:leftChars="200" w:hanging="200" w:hangingChars="200"/>
      <w:jc w:val="both"/>
    </w:pPr>
    <w:rPr>
      <w:rFonts w:ascii="宋体" w:hAnsi="Times New Roman" w:eastAsia="宋体" w:cs="Times New Roman"/>
      <w:sz w:val="21"/>
      <w:lang w:val="en-US" w:eastAsia="zh-CN" w:bidi="ar-SA"/>
    </w:rPr>
  </w:style>
  <w:style w:type="paragraph" w:customStyle="1" w:styleId="79">
    <w:name w:val="列项●（二级）"/>
    <w:qFormat/>
    <w:uiPriority w:val="0"/>
    <w:pPr>
      <w:numPr>
        <w:ilvl w:val="0"/>
        <w:numId w:val="6"/>
      </w:numPr>
      <w:tabs>
        <w:tab w:val="left" w:pos="840"/>
      </w:tabs>
      <w:ind w:left="600" w:leftChars="400" w:hanging="200" w:hangingChars="200"/>
      <w:jc w:val="both"/>
    </w:pPr>
    <w:rPr>
      <w:rFonts w:ascii="宋体" w:hAnsi="Times New Roman" w:eastAsia="宋体" w:cs="Times New Roman"/>
      <w:sz w:val="21"/>
      <w:lang w:val="en-US" w:eastAsia="zh-CN" w:bidi="ar-SA"/>
    </w:rPr>
  </w:style>
  <w:style w:type="paragraph" w:customStyle="1" w:styleId="80">
    <w:name w:val="目次、标准名称标题"/>
    <w:basedOn w:val="49"/>
    <w:next w:val="51"/>
    <w:qFormat/>
    <w:uiPriority w:val="0"/>
    <w:pPr>
      <w:numPr>
        <w:numId w:val="0"/>
      </w:numPr>
      <w:spacing w:line="460" w:lineRule="exact"/>
    </w:pPr>
  </w:style>
  <w:style w:type="paragraph" w:customStyle="1" w:styleId="8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82">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83">
    <w:name w:val="其他发布部门"/>
    <w:basedOn w:val="56"/>
    <w:qFormat/>
    <w:uiPriority w:val="0"/>
    <w:pPr>
      <w:framePr/>
      <w:spacing w:line="0" w:lineRule="atLeast"/>
    </w:pPr>
    <w:rPr>
      <w:rFonts w:ascii="黑体" w:eastAsia="黑体"/>
      <w:b w:val="0"/>
    </w:rPr>
  </w:style>
  <w:style w:type="paragraph" w:customStyle="1" w:styleId="84">
    <w:name w:val="三级条标题"/>
    <w:basedOn w:val="54"/>
    <w:next w:val="51"/>
    <w:qFormat/>
    <w:uiPriority w:val="0"/>
    <w:pPr>
      <w:numPr>
        <w:ilvl w:val="4"/>
      </w:numPr>
      <w:outlineLvl w:val="4"/>
    </w:pPr>
  </w:style>
  <w:style w:type="paragraph" w:customStyle="1" w:styleId="85">
    <w:name w:val="实施日期"/>
    <w:basedOn w:val="57"/>
    <w:qFormat/>
    <w:uiPriority w:val="0"/>
    <w:pPr>
      <w:framePr w:hSpace="0" w:xAlign="right"/>
      <w:jc w:val="right"/>
    </w:pPr>
  </w:style>
  <w:style w:type="paragraph" w:customStyle="1" w:styleId="86">
    <w:name w:val="示例"/>
    <w:next w:val="51"/>
    <w:qFormat/>
    <w:uiPriority w:val="0"/>
    <w:pPr>
      <w:numPr>
        <w:ilvl w:val="0"/>
        <w:numId w:val="7"/>
      </w:numPr>
      <w:tabs>
        <w:tab w:val="left" w:pos="816"/>
        <w:tab w:val="clear" w:pos="1120"/>
      </w:tabs>
      <w:ind w:firstLine="419" w:firstLineChars="233"/>
      <w:jc w:val="both"/>
    </w:pPr>
    <w:rPr>
      <w:rFonts w:ascii="宋体" w:hAnsi="Times New Roman" w:eastAsia="宋体" w:cs="Times New Roman"/>
      <w:sz w:val="18"/>
      <w:lang w:val="en-US" w:eastAsia="zh-CN" w:bidi="ar-SA"/>
    </w:rPr>
  </w:style>
  <w:style w:type="paragraph" w:customStyle="1" w:styleId="87">
    <w:name w:val="数字编号列项（二级）"/>
    <w:qFormat/>
    <w:uiPriority w:val="0"/>
    <w:pPr>
      <w:ind w:left="1260" w:leftChars="400" w:hanging="420" w:hangingChars="200"/>
      <w:jc w:val="both"/>
    </w:pPr>
    <w:rPr>
      <w:rFonts w:ascii="宋体" w:hAnsi="Times New Roman" w:eastAsia="宋体" w:cs="Times New Roman"/>
      <w:sz w:val="21"/>
      <w:lang w:val="en-US" w:eastAsia="zh-CN" w:bidi="ar-SA"/>
    </w:rPr>
  </w:style>
  <w:style w:type="paragraph" w:customStyle="1" w:styleId="88">
    <w:name w:val="四级条标题"/>
    <w:basedOn w:val="84"/>
    <w:next w:val="51"/>
    <w:qFormat/>
    <w:uiPriority w:val="0"/>
    <w:pPr>
      <w:numPr>
        <w:ilvl w:val="5"/>
      </w:numPr>
      <w:outlineLvl w:val="5"/>
    </w:pPr>
  </w:style>
  <w:style w:type="paragraph" w:customStyle="1" w:styleId="89">
    <w:name w:val="条文脚注"/>
    <w:basedOn w:val="24"/>
    <w:qFormat/>
    <w:uiPriority w:val="0"/>
    <w:pPr>
      <w:ind w:left="780" w:leftChars="200" w:hanging="360" w:hangingChars="200"/>
      <w:jc w:val="both"/>
    </w:pPr>
    <w:rPr>
      <w:rFonts w:ascii="宋体"/>
    </w:rPr>
  </w:style>
  <w:style w:type="paragraph" w:customStyle="1" w:styleId="90">
    <w:name w:val="图表脚注"/>
    <w:next w:val="51"/>
    <w:qFormat/>
    <w:uiPriority w:val="0"/>
    <w:pPr>
      <w:ind w:left="300" w:leftChars="200" w:hanging="100" w:hangingChars="100"/>
      <w:jc w:val="both"/>
    </w:pPr>
    <w:rPr>
      <w:rFonts w:ascii="宋体" w:hAnsi="Times New Roman" w:eastAsia="宋体" w:cs="Times New Roman"/>
      <w:sz w:val="18"/>
      <w:lang w:val="en-US" w:eastAsia="zh-CN" w:bidi="ar-SA"/>
    </w:rPr>
  </w:style>
  <w:style w:type="paragraph" w:customStyle="1" w:styleId="91">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character" w:customStyle="1" w:styleId="92">
    <w:name w:val="段 Char"/>
    <w:link w:val="51"/>
    <w:qFormat/>
    <w:uiPriority w:val="0"/>
    <w:rPr>
      <w:rFonts w:ascii="宋体" w:eastAsia="宋体"/>
      <w:sz w:val="21"/>
      <w:lang w:val="en-US" w:eastAsia="zh-CN" w:bidi="ar-SA"/>
    </w:rPr>
  </w:style>
  <w:style w:type="paragraph" w:customStyle="1" w:styleId="93">
    <w:name w:val="五级条标题"/>
    <w:basedOn w:val="88"/>
    <w:next w:val="51"/>
    <w:qFormat/>
    <w:uiPriority w:val="0"/>
    <w:pPr>
      <w:numPr>
        <w:ilvl w:val="6"/>
      </w:numPr>
      <w:outlineLvl w:val="6"/>
    </w:pPr>
  </w:style>
  <w:style w:type="paragraph" w:customStyle="1" w:styleId="94">
    <w:name w:val="正文表标题"/>
    <w:next w:val="51"/>
    <w:qFormat/>
    <w:uiPriority w:val="0"/>
    <w:pPr>
      <w:numPr>
        <w:ilvl w:val="0"/>
        <w:numId w:val="8"/>
      </w:numPr>
      <w:jc w:val="center"/>
    </w:pPr>
    <w:rPr>
      <w:rFonts w:ascii="黑体" w:hAnsi="Times New Roman" w:eastAsia="黑体" w:cs="Times New Roman"/>
      <w:sz w:val="21"/>
      <w:lang w:val="en-US" w:eastAsia="zh-CN" w:bidi="ar-SA"/>
    </w:rPr>
  </w:style>
  <w:style w:type="paragraph" w:customStyle="1" w:styleId="95">
    <w:name w:val="正文图标题"/>
    <w:next w:val="51"/>
    <w:qFormat/>
    <w:uiPriority w:val="0"/>
    <w:pPr>
      <w:numPr>
        <w:ilvl w:val="0"/>
        <w:numId w:val="9"/>
      </w:numPr>
      <w:jc w:val="center"/>
    </w:pPr>
    <w:rPr>
      <w:rFonts w:ascii="黑体" w:hAnsi="Times New Roman" w:eastAsia="黑体" w:cs="Times New Roman"/>
      <w:sz w:val="21"/>
      <w:lang w:val="en-US" w:eastAsia="zh-CN" w:bidi="ar-SA"/>
    </w:rPr>
  </w:style>
  <w:style w:type="paragraph" w:customStyle="1" w:styleId="96">
    <w:name w:val="注："/>
    <w:next w:val="51"/>
    <w:qFormat/>
    <w:uiPriority w:val="0"/>
    <w:pPr>
      <w:widowControl w:val="0"/>
      <w:numPr>
        <w:ilvl w:val="0"/>
        <w:numId w:val="10"/>
      </w:numPr>
      <w:tabs>
        <w:tab w:val="clear" w:pos="1140"/>
      </w:tabs>
      <w:autoSpaceDE w:val="0"/>
      <w:autoSpaceDN w:val="0"/>
      <w:jc w:val="both"/>
    </w:pPr>
    <w:rPr>
      <w:rFonts w:ascii="宋体" w:hAnsi="Times New Roman" w:eastAsia="宋体" w:cs="Times New Roman"/>
      <w:sz w:val="18"/>
      <w:lang w:val="en-US" w:eastAsia="zh-CN" w:bidi="ar-SA"/>
    </w:rPr>
  </w:style>
  <w:style w:type="paragraph" w:customStyle="1" w:styleId="97">
    <w:name w:val="注×："/>
    <w:qFormat/>
    <w:uiPriority w:val="0"/>
    <w:pPr>
      <w:widowControl w:val="0"/>
      <w:numPr>
        <w:ilvl w:val="0"/>
        <w:numId w:val="11"/>
      </w:numPr>
      <w:tabs>
        <w:tab w:val="left" w:pos="630"/>
        <w:tab w:val="clear" w:pos="900"/>
      </w:tabs>
      <w:autoSpaceDE w:val="0"/>
      <w:autoSpaceDN w:val="0"/>
      <w:jc w:val="both"/>
    </w:pPr>
    <w:rPr>
      <w:rFonts w:ascii="宋体" w:hAnsi="Times New Roman" w:eastAsia="宋体" w:cs="Times New Roman"/>
      <w:sz w:val="18"/>
      <w:lang w:val="en-US" w:eastAsia="zh-CN" w:bidi="ar-SA"/>
    </w:rPr>
  </w:style>
  <w:style w:type="paragraph" w:customStyle="1" w:styleId="98">
    <w:name w:val="字母编号列项（一级）"/>
    <w:qFormat/>
    <w:uiPriority w:val="0"/>
    <w:pPr>
      <w:ind w:left="840" w:leftChars="200" w:hanging="420" w:hangingChars="200"/>
      <w:jc w:val="both"/>
    </w:pPr>
    <w:rPr>
      <w:rFonts w:ascii="宋体" w:hAnsi="Times New Roman" w:eastAsia="宋体" w:cs="Times New Roman"/>
      <w:sz w:val="21"/>
      <w:lang w:val="en-US" w:eastAsia="zh-CN" w:bidi="ar-SA"/>
    </w:rPr>
  </w:style>
  <w:style w:type="paragraph" w:customStyle="1" w:styleId="99">
    <w:name w:val="章标题 Char"/>
    <w:next w:val="51"/>
    <w:link w:val="102"/>
    <w:qFormat/>
    <w:uiPriority w:val="0"/>
    <w:pPr>
      <w:spacing w:before="50" w:beforeLines="50" w:after="50" w:afterLines="50"/>
      <w:jc w:val="both"/>
      <w:outlineLvl w:val="1"/>
    </w:pPr>
    <w:rPr>
      <w:rFonts w:ascii="黑体" w:hAnsi="Times New Roman" w:eastAsia="黑体" w:cs="Times New Roman"/>
      <w:sz w:val="21"/>
      <w:lang w:val="en-US" w:eastAsia="zh-CN" w:bidi="ar-SA"/>
    </w:rPr>
  </w:style>
  <w:style w:type="paragraph" w:customStyle="1" w:styleId="100">
    <w:name w:val="列项◆（三级）"/>
    <w:qFormat/>
    <w:uiPriority w:val="0"/>
    <w:pPr>
      <w:numPr>
        <w:ilvl w:val="0"/>
        <w:numId w:val="12"/>
      </w:numPr>
      <w:ind w:left="800" w:leftChars="600" w:hanging="200" w:hangingChars="200"/>
    </w:pPr>
    <w:rPr>
      <w:rFonts w:ascii="宋体" w:hAnsi="Times New Roman" w:eastAsia="宋体" w:cs="Times New Roman"/>
      <w:sz w:val="21"/>
      <w:lang w:val="en-US" w:eastAsia="zh-CN" w:bidi="ar-SA"/>
    </w:rPr>
  </w:style>
  <w:style w:type="paragraph" w:customStyle="1" w:styleId="101">
    <w:name w:val="编号列项（三级）"/>
    <w:qFormat/>
    <w:uiPriority w:val="0"/>
    <w:pPr>
      <w:ind w:left="800" w:leftChars="600" w:hanging="200" w:hangingChars="200"/>
    </w:pPr>
    <w:rPr>
      <w:rFonts w:ascii="宋体" w:hAnsi="Times New Roman" w:eastAsia="宋体" w:cs="Times New Roman"/>
      <w:sz w:val="21"/>
      <w:lang w:val="en-US" w:eastAsia="zh-CN" w:bidi="ar-SA"/>
    </w:rPr>
  </w:style>
  <w:style w:type="character" w:customStyle="1" w:styleId="102">
    <w:name w:val="章标题 Char Char Char"/>
    <w:link w:val="99"/>
    <w:qFormat/>
    <w:uiPriority w:val="0"/>
    <w:rPr>
      <w:rFonts w:ascii="黑体" w:eastAsia="黑体"/>
      <w:sz w:val="21"/>
      <w:lang w:val="en-US" w:eastAsia="zh-CN" w:bidi="ar-SA"/>
    </w:rPr>
  </w:style>
  <w:style w:type="character" w:customStyle="1" w:styleId="103">
    <w:name w:val="批注框文本 字符"/>
    <w:link w:val="21"/>
    <w:qFormat/>
    <w:uiPriority w:val="0"/>
    <w:rPr>
      <w:kern w:val="2"/>
      <w:sz w:val="18"/>
      <w:szCs w:val="18"/>
    </w:rPr>
  </w:style>
  <w:style w:type="character" w:customStyle="1" w:styleId="104">
    <w:name w:val="日期 字符"/>
    <w:basedOn w:val="30"/>
    <w:link w:val="20"/>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CNIS</Company>
  <Pages>8</Pages>
  <Words>477</Words>
  <Characters>2720</Characters>
  <Lines>22</Lines>
  <Paragraphs>6</Paragraphs>
  <TotalTime>174</TotalTime>
  <ScaleCrop>false</ScaleCrop>
  <LinksUpToDate>false</LinksUpToDate>
  <CharactersWithSpaces>3191</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2020-07-12T09:23:00Z</dcterms:created>
  <dc:creator>陈泽滨</dc:creator>
  <cp:lastModifiedBy>uos</cp:lastModifiedBy>
  <cp:lastPrinted>2014-12-18T01:45:00Z</cp:lastPrinted>
  <dcterms:modified xsi:type="dcterms:W3CDTF">2024-05-17T19:01:52Z</dcterms:modified>
  <dc:title> </dc:title>
  <cp:revision>404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DS属性">
    <vt:lpwstr>TDS 2.0 Document</vt:lpwstr>
  </property>
  <property fmtid="{D5CDD505-2E9C-101B-9397-08002B2CF9AE}" pid="3" name="KSOProductBuildVer">
    <vt:lpwstr>2052-11.8.2.10229</vt:lpwstr>
  </property>
  <property fmtid="{D5CDD505-2E9C-101B-9397-08002B2CF9AE}" pid="4" name="ICV">
    <vt:lpwstr>FC1F11166810412D8EA2CB3FADECC34C</vt:lpwstr>
  </property>
</Properties>
</file>