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7"/>
        <w:framePr w:wrap="around"/>
        <w:rPr>
          <w:rFonts w:hAnsi="黑体" w:cs="黑体"/>
        </w:rPr>
      </w:pPr>
      <w:r>
        <w:rPr>
          <w:rFonts w:hint="eastAsia" w:hAnsi="黑体" w:cs="黑体"/>
        </w:rPr>
        <w:t>ICS </w:t>
      </w:r>
    </w:p>
    <w:p>
      <w:pPr>
        <w:pStyle w:val="127"/>
        <w:framePr w:wrap="around"/>
        <w:rPr>
          <w:rFonts w:hAnsi="黑体" w:cs="黑体"/>
        </w:rPr>
      </w:pPr>
      <w:bookmarkStart w:id="0" w:name="WXFLH"/>
      <w:r>
        <w:rPr>
          <w:rFonts w:hint="eastAsia" w:hAnsi="黑体" w:cs="黑体"/>
        </w:rPr>
        <w:t xml:space="preserve">A </w:t>
      </w:r>
      <w:bookmarkEnd w:id="0"/>
    </w:p>
    <w:tbl>
      <w:tblPr>
        <w:tblStyle w:val="36"/>
        <w:tblW w:w="963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8" w:type="dxa"/>
            <w:tcBorders>
              <w:top w:val="nil"/>
              <w:left w:val="nil"/>
              <w:bottom w:val="nil"/>
              <w:right w:val="nil"/>
            </w:tcBorders>
            <w:shd w:val="clear" w:color="auto" w:fill="auto"/>
          </w:tcPr>
          <w:p>
            <w:pPr>
              <w:pStyle w:val="127"/>
              <w:framePr w:wrap="around"/>
            </w:pPr>
            <w:r>
              <mc:AlternateContent>
                <mc:Choice Requires="wps">
                  <w:drawing>
                    <wp:anchor distT="0" distB="0" distL="114300" distR="114300" simplePos="0" relativeHeight="251663360" behindDoc="1" locked="0" layoutInCell="1" allowOverlap="1">
                      <wp:simplePos x="0" y="0"/>
                      <wp:positionH relativeFrom="column">
                        <wp:posOffset>-66675</wp:posOffset>
                      </wp:positionH>
                      <wp:positionV relativeFrom="paragraph">
                        <wp:posOffset>0</wp:posOffset>
                      </wp:positionV>
                      <wp:extent cx="710565" cy="161925"/>
                      <wp:effectExtent l="0" t="0" r="13335" b="9525"/>
                      <wp:wrapNone/>
                      <wp:docPr id="72" name="BAH"/>
                      <wp:cNvGraphicFramePr/>
                      <a:graphic xmlns:a="http://schemas.openxmlformats.org/drawingml/2006/main">
                        <a:graphicData uri="http://schemas.microsoft.com/office/word/2010/wordprocessingShape">
                          <wps:wsp>
                            <wps:cNvSpPr>
                              <a:spLocks noChangeArrowheads="1"/>
                            </wps:cNvSpPr>
                            <wps:spPr bwMode="auto">
                              <a:xfrm>
                                <a:off x="0" y="0"/>
                                <a:ext cx="710565" cy="161925"/>
                              </a:xfrm>
                              <a:prstGeom prst="rect">
                                <a:avLst/>
                              </a:prstGeom>
                              <a:solidFill>
                                <a:srgbClr val="FFFFFF"/>
                              </a:solidFill>
                              <a:ln>
                                <a:noFill/>
                              </a:ln>
                              <a:effectLst/>
                            </wps:spPr>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2.75pt;width:55.95pt;z-index:-251653120;mso-width-relative:page;mso-height-relative:page;" fillcolor="#FFFFFF" filled="t" stroked="f" coordsize="21600,21600" o:gfxdata="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pnYdTVAAAABwEAAA8AAAAAAAAAAQAg&#10;AAAAIgAAAGRycy9kb3ducmV2LnhtbFBLAQIUABQAAAAIAIdO4kCo8w+/EQIAAC8EAAAOAAAAAAAA&#10;AAEAIAAAACQBAABkcnMvZTJvRG9jLnhtbFBLBQYAAAAABgAGAFkBAACnBQAAAAA=&#10;">
                      <v:fill on="t" focussize="0,0"/>
                      <v:stroke on="f"/>
                      <v:imagedata o:title=""/>
                      <o:lock v:ext="edit" aspectratio="f"/>
                    </v:rect>
                  </w:pict>
                </mc:Fallback>
              </mc:AlternateContent>
            </w:r>
          </w:p>
        </w:tc>
      </w:tr>
    </w:tbl>
    <w:p>
      <w:pPr>
        <w:pStyle w:val="113"/>
        <w:framePr w:wrap="around"/>
      </w:pPr>
      <w:r>
        <w:t>DB</w:t>
      </w:r>
      <w:bookmarkStart w:id="1" w:name="c3"/>
      <w:r>
        <w:t>13</w:t>
      </w:r>
      <w:bookmarkEnd w:id="1"/>
    </w:p>
    <w:p>
      <w:pPr>
        <w:pStyle w:val="114"/>
        <w:framePr w:wrap="around"/>
      </w:pPr>
      <w:r>
        <w:rPr>
          <w:rFonts w:hint="eastAsia"/>
        </w:rPr>
        <w:t>河北</w:t>
      </w:r>
      <w:r>
        <w:t>省</w:t>
      </w:r>
      <w:r>
        <w:rPr>
          <w:rFonts w:hint="eastAsia"/>
        </w:rPr>
        <w:t>地方标准</w:t>
      </w:r>
    </w:p>
    <w:p>
      <w:pPr>
        <w:pStyle w:val="51"/>
        <w:framePr w:wrap="around"/>
        <w:rPr>
          <w:rFonts w:hAnsi="黑体"/>
        </w:rPr>
      </w:pPr>
      <w:r>
        <w:rPr>
          <w:rFonts w:ascii="Times New Roman"/>
        </w:rPr>
        <w:t>DB13</w:t>
      </w:r>
      <w:r>
        <w:rPr>
          <w:rFonts w:hAnsi="黑体"/>
        </w:rPr>
        <w:t xml:space="preserve">/T </w:t>
      </w:r>
      <w:r>
        <w:rPr>
          <w:rFonts w:hAnsi="黑体"/>
        </w:rPr>
        <w:fldChar w:fldCharType="begin">
          <w:ffData>
            <w:name w:val="StdNo1"/>
            <w:enabled/>
            <w:calcOnExit w:val="0"/>
            <w:textInput>
              <w:default w:val="XXXX"/>
            </w:textInput>
          </w:ffData>
        </w:fldChar>
      </w:r>
      <w:bookmarkStart w:id="2" w:name="StdNo1"/>
      <w:r>
        <w:rPr>
          <w:rFonts w:hAnsi="黑体"/>
        </w:rPr>
        <w:instrText xml:space="preserve"> FORMTEXT </w:instrText>
      </w:r>
      <w:r>
        <w:rPr>
          <w:rFonts w:hAnsi="黑体"/>
        </w:rPr>
        <w:fldChar w:fldCharType="separate"/>
      </w:r>
      <w:r>
        <w:rPr>
          <w:rFonts w:hAnsi="黑体"/>
        </w:rPr>
        <w:t>XXXX</w:t>
      </w:r>
      <w:r>
        <w:rPr>
          <w:rFonts w:hAnsi="黑体"/>
        </w:rPr>
        <w:fldChar w:fldCharType="end"/>
      </w:r>
      <w:bookmarkEnd w:id="2"/>
      <w:r>
        <w:rPr>
          <w:rFonts w:hAnsi="黑体"/>
        </w:rPr>
        <w:t>—</w:t>
      </w:r>
      <w:bookmarkStart w:id="3"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XXXX</w:t>
      </w:r>
      <w:r>
        <w:rPr>
          <w:rFonts w:hAnsi="黑体"/>
        </w:rPr>
        <w:fldChar w:fldCharType="end"/>
      </w:r>
      <w:bookmarkEnd w:id="3"/>
    </w:p>
    <w:tbl>
      <w:tblPr>
        <w:tblStyle w:val="36"/>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shd w:val="clear" w:color="auto" w:fill="auto"/>
          </w:tcPr>
          <w:p>
            <w:pPr>
              <w:pStyle w:val="80"/>
              <w:framePr w:wrap="around"/>
            </w:pPr>
            <w:bookmarkStart w:id="4" w:name="DT"/>
            <w:r>
              <mc:AlternateContent>
                <mc:Choice Requires="wps">
                  <w:drawing>
                    <wp:anchor distT="0" distB="0" distL="114300" distR="114300" simplePos="0" relativeHeight="251660288" behindDoc="1" locked="0" layoutInCell="1" allowOverlap="1">
                      <wp:simplePos x="0" y="0"/>
                      <wp:positionH relativeFrom="column">
                        <wp:posOffset>4734560</wp:posOffset>
                      </wp:positionH>
                      <wp:positionV relativeFrom="paragraph">
                        <wp:posOffset>34290</wp:posOffset>
                      </wp:positionV>
                      <wp:extent cx="982980" cy="196215"/>
                      <wp:effectExtent l="0" t="0" r="7620" b="13335"/>
                      <wp:wrapNone/>
                      <wp:docPr id="71" name="DT"/>
                      <wp:cNvGraphicFramePr/>
                      <a:graphic xmlns:a="http://schemas.openxmlformats.org/drawingml/2006/main">
                        <a:graphicData uri="http://schemas.microsoft.com/office/word/2010/wordprocessingShape">
                          <wps:wsp>
                            <wps:cNvSpPr>
                              <a:spLocks noChangeArrowheads="1"/>
                            </wps:cNvSpPr>
                            <wps:spPr bwMode="auto">
                              <a:xfrm>
                                <a:off x="0" y="0"/>
                                <a:ext cx="982980" cy="196215"/>
                              </a:xfrm>
                              <a:prstGeom prst="rect">
                                <a:avLst/>
                              </a:prstGeom>
                              <a:solidFill>
                                <a:srgbClr val="FFFFFF"/>
                              </a:solidFill>
                              <a:ln>
                                <a:noFill/>
                              </a:ln>
                              <a:effectLst/>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5.45pt;width:77.4pt;z-index:-251656192;mso-width-relative:page;mso-height-relative:page;" fillcolor="#FFFFFF" filled="t" stroked="f" coordsize="21600,21600" o:gfxdata="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1GGhXXAAAACAEAAA8AAAAAAAAAAQAg&#10;AAAAIgAAAGRycy9kb3ducmV2LnhtbFBLAQIUABQAAAAIAIdO4kCJwULbDwIAAC4EAAAOAAAAAAAA&#10;AAEAIAAAACYBAABkcnMvZTJvRG9jLnhtbFBLBQYAAAAABgAGAFkBAACnBQAAAAA=&#10;">
                      <v:fill on="t" focussize="0,0"/>
                      <v:stroke on="f"/>
                      <v:imagedata o:title=""/>
                      <o:lock v:ext="edit" aspectratio="f"/>
                    </v:rect>
                  </w:pict>
                </mc:Fallback>
              </mc:AlternateContent>
            </w:r>
            <w:r>
              <w:fldChar w:fldCharType="begin">
                <w:ffData>
                  <w:name w:val="DT"/>
                  <w:enabled/>
                  <w:calcOnExit w:val="0"/>
                  <w:textInput/>
                </w:ffData>
              </w:fldChar>
            </w:r>
            <w:r>
              <w:instrText xml:space="preserve"> FORMTEXT </w:instrText>
            </w:r>
            <w:r>
              <w:fldChar w:fldCharType="separate"/>
            </w:r>
            <w:r>
              <w:t>     </w:t>
            </w:r>
            <w:r>
              <w:fldChar w:fldCharType="end"/>
            </w:r>
            <w:bookmarkEnd w:id="4"/>
          </w:p>
        </w:tc>
      </w:tr>
    </w:tbl>
    <w:p>
      <w:pPr>
        <w:pStyle w:val="51"/>
        <w:framePr w:wrap="around"/>
        <w:rPr>
          <w:rFonts w:hAnsi="黑体"/>
        </w:rPr>
      </w:pPr>
    </w:p>
    <w:p>
      <w:pPr>
        <w:pStyle w:val="51"/>
        <w:framePr w:wrap="around"/>
        <w:rPr>
          <w:rFonts w:hAnsi="黑体"/>
        </w:rPr>
      </w:pPr>
    </w:p>
    <w:p>
      <w:pPr>
        <w:pStyle w:val="82"/>
        <w:framePr w:wrap="around"/>
      </w:pPr>
      <w:r>
        <w:rPr>
          <w:rFonts w:hint="eastAsia"/>
        </w:rPr>
        <w:t>农村供水管网工程施工技术规程</w:t>
      </w:r>
    </w:p>
    <w:tbl>
      <w:tblPr>
        <w:tblStyle w:val="36"/>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5"/>
              <w:framePr w:wrap="around"/>
            </w:pPr>
            <w:r>
              <mc:AlternateContent>
                <mc:Choice Requires="wps">
                  <w:drawing>
                    <wp:anchor distT="0" distB="0" distL="114300" distR="114300" simplePos="0" relativeHeight="251662336" behindDoc="1" locked="1" layoutInCell="1" allowOverlap="1">
                      <wp:simplePos x="0" y="0"/>
                      <wp:positionH relativeFrom="column">
                        <wp:posOffset>2200910</wp:posOffset>
                      </wp:positionH>
                      <wp:positionV relativeFrom="paragraph">
                        <wp:posOffset>573405</wp:posOffset>
                      </wp:positionV>
                      <wp:extent cx="1562100" cy="208280"/>
                      <wp:effectExtent l="0" t="0" r="0" b="1270"/>
                      <wp:wrapNone/>
                      <wp:docPr id="70" name="RQ"/>
                      <wp:cNvGraphicFramePr/>
                      <a:graphic xmlns:a="http://schemas.openxmlformats.org/drawingml/2006/main">
                        <a:graphicData uri="http://schemas.microsoft.com/office/word/2010/wordprocessingShape">
                          <wps:wsp>
                            <wps:cNvSpPr>
                              <a:spLocks noChangeArrowheads="1"/>
                            </wps:cNvSpPr>
                            <wps:spPr bwMode="auto">
                              <a:xfrm>
                                <a:off x="0" y="0"/>
                                <a:ext cx="1562100" cy="208280"/>
                              </a:xfrm>
                              <a:prstGeom prst="rect">
                                <a:avLst/>
                              </a:prstGeom>
                              <a:solidFill>
                                <a:srgbClr val="FFFFFF"/>
                              </a:solidFill>
                              <a:ln>
                                <a:noFill/>
                              </a:ln>
                              <a:effectLst/>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16.4pt;width:123pt;z-index:-251654144;mso-width-relative:page;mso-height-relative:page;" fillcolor="#FFFFFF" filled="t" stroked="f" coordsize="21600,21600" o:gfxdata="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2u6Z9cAAAAKAQAADwAAAAAAAAAB&#10;ACAAAAAiAAAAZHJzL2Rvd25yZXYueG1sUEsBAhQAFAAAAAgAh07iQIrutGgRAgAALwQAAA4AAAAA&#10;AAAAAQAgAAAAJgEAAGRycy9lMm9Eb2MueG1sUEsFBgAAAAAGAAYAWQEAAKkFAAAAAA==&#10;">
                      <v:fill on="t" focussize="0,0"/>
                      <v:stroke on="f"/>
                      <v:imagedata o:title=""/>
                      <o:lock v:ext="edit" aspectratio="f"/>
                      <w10:anchorlock/>
                    </v:rect>
                  </w:pict>
                </mc:Fallback>
              </mc:AlternateContent>
            </w:r>
            <w:r>
              <mc:AlternateContent>
                <mc:Choice Requires="wps">
                  <w:drawing>
                    <wp:anchor distT="0" distB="0" distL="114300" distR="114300" simplePos="0" relativeHeight="251661312" behindDoc="1" locked="0" layoutInCell="1" allowOverlap="1">
                      <wp:simplePos x="0" y="0"/>
                      <wp:positionH relativeFrom="column">
                        <wp:posOffset>2454910</wp:posOffset>
                      </wp:positionH>
                      <wp:positionV relativeFrom="paragraph">
                        <wp:posOffset>255905</wp:posOffset>
                      </wp:positionV>
                      <wp:extent cx="1041400" cy="249555"/>
                      <wp:effectExtent l="0" t="0" r="6350" b="17145"/>
                      <wp:wrapNone/>
                      <wp:docPr id="69" name="LB"/>
                      <wp:cNvGraphicFramePr/>
                      <a:graphic xmlns:a="http://schemas.openxmlformats.org/drawingml/2006/main">
                        <a:graphicData uri="http://schemas.microsoft.com/office/word/2010/wordprocessingShape">
                          <wps:wsp>
                            <wps:cNvSpPr>
                              <a:spLocks noChangeArrowheads="1"/>
                            </wps:cNvSpPr>
                            <wps:spPr bwMode="auto">
                              <a:xfrm>
                                <a:off x="0" y="0"/>
                                <a:ext cx="1041400" cy="249555"/>
                              </a:xfrm>
                              <a:prstGeom prst="rect">
                                <a:avLst/>
                              </a:prstGeom>
                              <a:solidFill>
                                <a:srgbClr val="FFFFFF"/>
                              </a:solidFill>
                              <a:ln>
                                <a:noFill/>
                              </a:ln>
                              <a:effectLst/>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19.65pt;width:82pt;z-index:-251655168;mso-width-relative:page;mso-height-relative:page;" fillcolor="#FFFFFF" filled="t" stroked="f" coordsize="21600,21600" o:gfxdata="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IqHpt1wAAAAkBAAAPAAAAAAAAAAEA&#10;IAAAACIAAABkcnMvZG93bnJldi54bWxQSwECFAAUAAAACACHTuJAStEXJxACAAAvBAAADgAAAAAA&#10;AAABACAAAAAmAQAAZHJzL2Uyb0RvYy54bWxQSwUGAAAAAAYABgBZAQAAqAUAAAAA&#10;">
                      <v:fill on="t" focussize="0,0"/>
                      <v:stroke on="f"/>
                      <v:imagedata o:title=""/>
                      <o:lock v:ext="edit" aspectratio="f"/>
                    </v:rect>
                  </w:pict>
                </mc:Fallback>
              </mc:AlternateContent>
            </w:r>
            <w:r>
              <w:rPr>
                <w:rFonts w:hint="eastAsia"/>
              </w:rPr>
              <w:t>（</w:t>
            </w:r>
            <w:r>
              <w:rPr>
                <w:rFonts w:hint="eastAsia"/>
                <w:lang w:val="en-US" w:eastAsia="zh-CN"/>
              </w:rPr>
              <w:t>网上</w:t>
            </w:r>
            <w:r>
              <w:rPr>
                <w:rFonts w:hint="eastAsia"/>
              </w:rPr>
              <w:t>征求意见稿）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6"/>
              <w:framePr w:wrap="around"/>
            </w:pPr>
          </w:p>
        </w:tc>
      </w:tr>
    </w:tbl>
    <w:p>
      <w:pPr>
        <w:pStyle w:val="135"/>
        <w:framePr w:wrap="around" w:hAnchor="page" w:x="1396" w:y="14191"/>
      </w:pPr>
      <w:bookmarkStart w:id="5" w:name="FY"/>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5"/>
      <w:r>
        <w:rPr>
          <w:rFonts w:ascii="黑体"/>
        </w:rPr>
        <w:t>-</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ascii="黑体"/>
        </w:rPr>
        <w:t>-</w:t>
      </w:r>
      <w:bookmarkStart w:id="6"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6"/>
      <w:r>
        <w:rPr>
          <w:rFonts w:hint="eastAsia"/>
        </w:rPr>
        <w:t>发布</w:t>
      </w:r>
    </w:p>
    <w:p>
      <w:pPr>
        <w:pStyle w:val="136"/>
        <w:framePr w:wrap="around" w:hAnchor="page" w:x="7066" w:y="14116"/>
      </w:pPr>
      <w:bookmarkStart w:id="7" w:name="SY"/>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7"/>
      <w:r>
        <w:rPr>
          <w:rFonts w:ascii="黑体"/>
        </w:rPr>
        <w:t>-</w:t>
      </w:r>
      <w:bookmarkStart w:id="8"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8"/>
      <w:r>
        <w:rPr>
          <w:rFonts w:ascii="黑体"/>
        </w:rPr>
        <w:t>-</w:t>
      </w:r>
      <w:bookmarkStart w:id="9"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9"/>
      <w:r>
        <w:rPr>
          <w:rFonts w:hint="eastAsia"/>
        </w:rPr>
        <w:t>实施</w:t>
      </w:r>
    </w:p>
    <w:p>
      <w:pPr>
        <w:pStyle w:val="115"/>
        <w:framePr w:wrap="around"/>
      </w:pPr>
      <w:bookmarkStart w:id="10" w:name="fm"/>
      <w:r>
        <w:rPr>
          <w:rFonts w:hint="eastAsia"/>
        </w:rPr>
        <w:t>河北省市场监督管理</w:t>
      </w:r>
      <w:r>
        <w:t>局</w:t>
      </w:r>
      <w:bookmarkEnd w:id="10"/>
      <w:r>
        <w:rPr>
          <w:rFonts w:hAnsi="黑体"/>
        </w:rPr>
        <w:t>   </w:t>
      </w:r>
      <w:r>
        <w:rPr>
          <w:rStyle w:val="77"/>
          <w:rFonts w:hint="eastAsia"/>
        </w:rPr>
        <w:t>发布</w:t>
      </w:r>
    </w:p>
    <w:p>
      <w:pPr>
        <w:pStyle w:val="26"/>
        <w:sectPr>
          <w:footerReference r:id="rId3" w:type="even"/>
          <w:pgSz w:w="11906" w:h="16838"/>
          <w:pgMar w:top="567" w:right="850" w:bottom="1134" w:left="1418" w:header="0" w:footer="0" w:gutter="0"/>
          <w:pgNumType w:start="1"/>
          <w:cols w:space="425" w:num="1"/>
          <w:docGrid w:type="lines" w:linePitch="312" w:charSpace="0"/>
        </w:sectPr>
      </w:pPr>
      <w:r>
        <mc:AlternateContent>
          <mc:Choice Requires="wps">
            <w:drawing>
              <wp:anchor distT="0" distB="0" distL="114300" distR="114300" simplePos="0" relativeHeight="251664384" behindDoc="0" locked="0" layoutInCell="1" allowOverlap="1">
                <wp:simplePos x="0" y="0"/>
                <wp:positionH relativeFrom="column">
                  <wp:posOffset>-1270</wp:posOffset>
                </wp:positionH>
                <wp:positionV relativeFrom="paragraph">
                  <wp:posOffset>9045575</wp:posOffset>
                </wp:positionV>
                <wp:extent cx="6062980" cy="0"/>
                <wp:effectExtent l="0" t="4445" r="0" b="5080"/>
                <wp:wrapNone/>
                <wp:docPr id="42"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a:effectLst/>
                      </wps:spPr>
                      <wps:bodyPr/>
                    </wps:wsp>
                  </a:graphicData>
                </a:graphic>
              </wp:anchor>
            </w:drawing>
          </mc:Choice>
          <mc:Fallback>
            <w:pict>
              <v:line id="Line 11" o:spid="_x0000_s1026" o:spt="20" style="position:absolute;left:0pt;margin-left:-0.1pt;margin-top:712.25pt;height:0pt;width:477.4pt;z-index:251664384;mso-width-relative:page;mso-height-relative:page;" filled="f" stroked="t" coordsize="21600,21600" o:gfxdata="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A1LuuNYAAAALAQAADwAAAAAAAAABACAAAAAiAAAA&#10;ZHJzL2Rvd25yZXYueG1sUEsBAhQAFAAAAAgAh07iQNP1BPTQAQAArwMAAA4AAAAAAAAAAQAgAAAA&#10;JQEAAGRycy9lMm9Eb2MueG1sUEsFBgAAAAAGAAYAWQEAAGc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2338705</wp:posOffset>
                </wp:positionV>
                <wp:extent cx="6062980" cy="0"/>
                <wp:effectExtent l="0" t="4445" r="0" b="5080"/>
                <wp:wrapNone/>
                <wp:docPr id="67"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a:effectLst/>
                      </wps:spPr>
                      <wps:bodyPr/>
                    </wps:wsp>
                  </a:graphicData>
                </a:graphic>
              </wp:anchor>
            </w:drawing>
          </mc:Choice>
          <mc:Fallback>
            <w:pict>
              <v:line id="Line 11" o:spid="_x0000_s1026" o:spt="20" style="position:absolute;left:0pt;margin-left:-0.05pt;margin-top:184.15pt;height:0pt;width:477.4pt;z-index:251659264;mso-width-relative:page;mso-height-relative:page;" filled="f" stroked="t" coordsize="21600,21600" o:gfxdata="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DQYO8DXAAAACQEAAA8AAAAAAAAAAQAgAAAAIgAA&#10;AGRycy9kb3ducmV2LnhtbFBLAQIUABQAAAAIAIdO4kC+VJAd0AEAAK8DAAAOAAAAAAAAAAEAIAAA&#10;ACYBAABkcnMvZTJvRG9jLnhtbFBLBQYAAAAABgAGAFkBAABoBQAAAAA=&#10;">
                <v:fill on="f" focussize="0,0"/>
                <v:stroke color="#000000" joinstyle="round"/>
                <v:imagedata o:title=""/>
                <o:lock v:ext="edit" aspectratio="f"/>
              </v:line>
            </w:pict>
          </mc:Fallback>
        </mc:AlternateContent>
      </w:r>
    </w:p>
    <w:p>
      <w:pPr>
        <w:pStyle w:val="54"/>
      </w:pPr>
      <w:r>
        <w:rPr>
          <w:rFonts w:hint="eastAsia"/>
        </w:rPr>
        <w:t>目</w:t>
      </w:r>
      <w:r>
        <w:rPr>
          <w:rFonts w:hAnsi="黑体"/>
        </w:rPr>
        <w:t>  </w:t>
      </w:r>
      <w:r>
        <w:rPr>
          <w:rFonts w:hint="eastAsia"/>
        </w:rPr>
        <w:t>次</w:t>
      </w:r>
    </w:p>
    <w:p>
      <w:pPr>
        <w:pStyle w:val="22"/>
        <w:spacing w:before="78" w:after="78"/>
        <w:rPr>
          <w:rFonts w:asciiTheme="minorHAnsi" w:hAnsiTheme="minorHAnsi" w:eastAsiaTheme="minorEastAsia" w:cstheme="minorBidi"/>
          <w:szCs w:val="22"/>
        </w:rPr>
      </w:pPr>
      <w:r>
        <w:rPr>
          <w:rFonts w:hAnsi="宋体"/>
          <w:szCs w:val="28"/>
        </w:rPr>
        <w:fldChar w:fldCharType="begin"/>
      </w:r>
      <w:r>
        <w:rPr>
          <w:rFonts w:hAnsi="宋体"/>
          <w:szCs w:val="28"/>
        </w:rPr>
        <w:instrText xml:space="preserve"> TOC \h \z \t "一级条标题,2,章标题,1,参考文献,1,附录标识,1,前言、引言标题,1"</w:instrText>
      </w:r>
      <w:r>
        <w:rPr>
          <w:rFonts w:hAnsi="宋体"/>
          <w:szCs w:val="28"/>
        </w:rPr>
        <w:fldChar w:fldCharType="separate"/>
      </w:r>
      <w:r>
        <w:fldChar w:fldCharType="begin"/>
      </w:r>
      <w:r>
        <w:instrText xml:space="preserve"> HYPERLINK \l "_Toc129187506" </w:instrText>
      </w:r>
      <w:r>
        <w:fldChar w:fldCharType="separate"/>
      </w:r>
      <w:r>
        <w:rPr>
          <w:rStyle w:val="43"/>
        </w:rPr>
        <w:t>前</w:t>
      </w:r>
      <w:r>
        <w:rPr>
          <w:rStyle w:val="43"/>
          <w:rFonts w:hAnsi="黑体"/>
        </w:rPr>
        <w:t>  </w:t>
      </w:r>
      <w:r>
        <w:rPr>
          <w:rStyle w:val="43"/>
        </w:rPr>
        <w:t>言</w:t>
      </w:r>
      <w:r>
        <w:tab/>
      </w:r>
      <w:r>
        <w:fldChar w:fldCharType="begin"/>
      </w:r>
      <w:r>
        <w:instrText xml:space="preserve"> PAGEREF _Toc129187506 \h </w:instrText>
      </w:r>
      <w:r>
        <w:fldChar w:fldCharType="separate"/>
      </w:r>
      <w:r>
        <w:t>III</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"_Toc129187507" </w:instrText>
      </w:r>
      <w:r>
        <w:fldChar w:fldCharType="separate"/>
      </w:r>
      <w:r>
        <w:rPr>
          <w:rStyle w:val="43"/>
          <w:rFonts w:hAnsi="黑体" w:cs="黑体"/>
        </w:rPr>
        <w:t>1</w:t>
      </w:r>
      <w:r>
        <w:rPr>
          <w:rStyle w:val="43"/>
        </w:rPr>
        <w:t xml:space="preserve"> 范围</w:t>
      </w:r>
      <w:r>
        <w:tab/>
      </w:r>
      <w:r>
        <w:fldChar w:fldCharType="begin"/>
      </w:r>
      <w:r>
        <w:instrText xml:space="preserve"> PAGEREF _Toc129187507 \h </w:instrText>
      </w:r>
      <w:r>
        <w:fldChar w:fldCharType="separate"/>
      </w:r>
      <w:r>
        <w:t>1</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"_Toc129187508" </w:instrText>
      </w:r>
      <w:r>
        <w:fldChar w:fldCharType="separate"/>
      </w:r>
      <w:r>
        <w:rPr>
          <w:rStyle w:val="43"/>
          <w:rFonts w:hAnsi="黑体" w:cs="黑体"/>
        </w:rPr>
        <w:t>2</w:t>
      </w:r>
      <w:r>
        <w:rPr>
          <w:rStyle w:val="43"/>
        </w:rPr>
        <w:t xml:space="preserve"> 规范性引用文件</w:t>
      </w:r>
      <w:r>
        <w:tab/>
      </w:r>
      <w:r>
        <w:fldChar w:fldCharType="begin"/>
      </w:r>
      <w:r>
        <w:instrText xml:space="preserve"> PAGEREF _Toc129187508 \h </w:instrText>
      </w:r>
      <w:r>
        <w:fldChar w:fldCharType="separate"/>
      </w:r>
      <w:r>
        <w:t>1</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"_Toc129187509" </w:instrText>
      </w:r>
      <w:r>
        <w:fldChar w:fldCharType="separate"/>
      </w:r>
      <w:r>
        <w:rPr>
          <w:rStyle w:val="43"/>
          <w:rFonts w:hAnsi="黑体" w:cs="黑体"/>
        </w:rPr>
        <w:t>3</w:t>
      </w:r>
      <w:r>
        <w:rPr>
          <w:rStyle w:val="43"/>
        </w:rPr>
        <w:t xml:space="preserve"> 术语和定义</w:t>
      </w:r>
      <w:r>
        <w:tab/>
      </w:r>
      <w:r>
        <w:fldChar w:fldCharType="begin"/>
      </w:r>
      <w:r>
        <w:instrText xml:space="preserve"> PAGEREF _Toc129187509 \h </w:instrText>
      </w:r>
      <w:r>
        <w:fldChar w:fldCharType="separate"/>
      </w:r>
      <w:r>
        <w:t>1</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"_Toc129187510" </w:instrText>
      </w:r>
      <w:r>
        <w:fldChar w:fldCharType="separate"/>
      </w:r>
      <w:r>
        <w:rPr>
          <w:rStyle w:val="43"/>
          <w:rFonts w:hAnsi="黑体" w:cs="黑体"/>
        </w:rPr>
        <w:t>4</w:t>
      </w:r>
      <w:r>
        <w:rPr>
          <w:rStyle w:val="43"/>
          <w:rFonts w:hint="eastAsia"/>
        </w:rPr>
        <w:t>基本规定</w:t>
      </w:r>
      <w:r>
        <w:tab/>
      </w:r>
      <w:r>
        <w:fldChar w:fldCharType="begin"/>
      </w:r>
      <w:r>
        <w:instrText xml:space="preserve"> PAGEREF _Toc129187510 \h </w:instrText>
      </w:r>
      <w:r>
        <w:fldChar w:fldCharType="separate"/>
      </w:r>
      <w:r>
        <w:t>2</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"_Toc129187511" </w:instrText>
      </w:r>
      <w:r>
        <w:fldChar w:fldCharType="separate"/>
      </w:r>
      <w:r>
        <w:rPr>
          <w:rStyle w:val="43"/>
          <w:rFonts w:hAnsi="黑体" w:cs="黑体"/>
        </w:rPr>
        <w:t>5</w:t>
      </w:r>
      <w:r>
        <w:rPr>
          <w:rStyle w:val="43"/>
        </w:rPr>
        <w:t xml:space="preserve"> 项目划分</w:t>
      </w:r>
      <w:r>
        <w:tab/>
      </w:r>
      <w:r>
        <w:fldChar w:fldCharType="begin"/>
      </w:r>
      <w:r>
        <w:instrText xml:space="preserve"> PAGEREF _Toc129187511 \h </w:instrText>
      </w:r>
      <w:r>
        <w:fldChar w:fldCharType="separate"/>
      </w:r>
      <w:r>
        <w:t>2</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"_Toc129187512" </w:instrText>
      </w:r>
      <w:r>
        <w:fldChar w:fldCharType="separate"/>
      </w:r>
      <w:r>
        <w:rPr>
          <w:rStyle w:val="43"/>
          <w:rFonts w:hAnsi="黑体" w:cs="黑体"/>
        </w:rPr>
        <w:t>5.1</w:t>
      </w:r>
      <w:r>
        <w:rPr>
          <w:rStyle w:val="43"/>
        </w:rPr>
        <w:t xml:space="preserve"> 通则</w:t>
      </w:r>
      <w:r>
        <w:tab/>
      </w:r>
      <w:r>
        <w:fldChar w:fldCharType="begin"/>
      </w:r>
      <w:r>
        <w:instrText xml:space="preserve"> PAGEREF _Toc129187512 \h </w:instrText>
      </w:r>
      <w:r>
        <w:fldChar w:fldCharType="separate"/>
      </w:r>
      <w:r>
        <w:t>2</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"_Toc129187513" </w:instrText>
      </w:r>
      <w:r>
        <w:fldChar w:fldCharType="separate"/>
      </w:r>
      <w:r>
        <w:rPr>
          <w:rStyle w:val="43"/>
          <w:rFonts w:hAnsi="黑体" w:cs="黑体"/>
        </w:rPr>
        <w:t>5.2</w:t>
      </w:r>
      <w:r>
        <w:rPr>
          <w:rStyle w:val="43"/>
        </w:rPr>
        <w:t xml:space="preserve"> 项目划分原则</w:t>
      </w:r>
      <w:r>
        <w:tab/>
      </w:r>
      <w:r>
        <w:fldChar w:fldCharType="begin"/>
      </w:r>
      <w:r>
        <w:instrText xml:space="preserve"> PAGEREF _Toc129187513 \h </w:instrText>
      </w:r>
      <w:r>
        <w:fldChar w:fldCharType="separate"/>
      </w:r>
      <w:r>
        <w:t>3</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"_Toc129187514" </w:instrText>
      </w:r>
      <w:r>
        <w:fldChar w:fldCharType="separate"/>
      </w:r>
      <w:r>
        <w:rPr>
          <w:rStyle w:val="43"/>
          <w:rFonts w:hAnsi="黑体" w:cs="黑体"/>
        </w:rPr>
        <w:t>5.3</w:t>
      </w:r>
      <w:r>
        <w:rPr>
          <w:rStyle w:val="43"/>
        </w:rPr>
        <w:t xml:space="preserve"> 项目划分程序</w:t>
      </w:r>
      <w:r>
        <w:tab/>
      </w:r>
      <w:r>
        <w:fldChar w:fldCharType="begin"/>
      </w:r>
      <w:r>
        <w:instrText xml:space="preserve"> PAGEREF _Toc129187514 \h </w:instrText>
      </w:r>
      <w:r>
        <w:fldChar w:fldCharType="separate"/>
      </w:r>
      <w:r>
        <w:t>3</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"_Toc129187515" </w:instrText>
      </w:r>
      <w:r>
        <w:fldChar w:fldCharType="separate"/>
      </w:r>
      <w:r>
        <w:rPr>
          <w:rStyle w:val="43"/>
          <w:rFonts w:hAnsi="黑体" w:cs="黑体"/>
        </w:rPr>
        <w:t>6</w:t>
      </w:r>
      <w:r>
        <w:rPr>
          <w:rStyle w:val="43"/>
        </w:rPr>
        <w:t xml:space="preserve"> 管道埋设工程</w:t>
      </w:r>
      <w:r>
        <w:tab/>
      </w:r>
      <w:r>
        <w:fldChar w:fldCharType="begin"/>
      </w:r>
      <w:r>
        <w:instrText xml:space="preserve"> PAGEREF _Toc129187515 \h </w:instrText>
      </w:r>
      <w:r>
        <w:fldChar w:fldCharType="separate"/>
      </w:r>
      <w:r>
        <w:t>3</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"_Toc129187516" </w:instrText>
      </w:r>
      <w:r>
        <w:fldChar w:fldCharType="separate"/>
      </w:r>
      <w:r>
        <w:rPr>
          <w:rStyle w:val="43"/>
          <w:rFonts w:hAnsi="黑体" w:cs="黑体"/>
        </w:rPr>
        <w:t>6.1</w:t>
      </w:r>
      <w:r>
        <w:rPr>
          <w:rStyle w:val="43"/>
        </w:rPr>
        <w:t xml:space="preserve"> 通则</w:t>
      </w:r>
      <w:r>
        <w:tab/>
      </w:r>
      <w:r>
        <w:fldChar w:fldCharType="begin"/>
      </w:r>
      <w:r>
        <w:instrText xml:space="preserve"> PAGEREF _Toc129187516 \h </w:instrText>
      </w:r>
      <w:r>
        <w:fldChar w:fldCharType="separate"/>
      </w:r>
      <w:r>
        <w:t>3</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"_Toc129187517" </w:instrText>
      </w:r>
      <w:r>
        <w:fldChar w:fldCharType="separate"/>
      </w:r>
      <w:r>
        <w:rPr>
          <w:rStyle w:val="43"/>
          <w:rFonts w:hAnsi="黑体" w:cs="黑体"/>
        </w:rPr>
        <w:t>6.2</w:t>
      </w:r>
      <w:r>
        <w:rPr>
          <w:rStyle w:val="43"/>
        </w:rPr>
        <w:t xml:space="preserve"> 施工降排水</w:t>
      </w:r>
      <w:r>
        <w:tab/>
      </w:r>
      <w:r>
        <w:fldChar w:fldCharType="begin"/>
      </w:r>
      <w:r>
        <w:instrText xml:space="preserve"> PAGEREF _Toc129187517 \h </w:instrText>
      </w:r>
      <w:r>
        <w:fldChar w:fldCharType="separate"/>
      </w:r>
      <w:r>
        <w:t>4</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"_Toc129187518" </w:instrText>
      </w:r>
      <w:r>
        <w:fldChar w:fldCharType="separate"/>
      </w:r>
      <w:r>
        <w:rPr>
          <w:rStyle w:val="43"/>
          <w:rFonts w:hAnsi="黑体" w:cs="黑体"/>
        </w:rPr>
        <w:t>6.3</w:t>
      </w:r>
      <w:r>
        <w:rPr>
          <w:rStyle w:val="43"/>
        </w:rPr>
        <w:t xml:space="preserve"> 管道沟槽开挖</w:t>
      </w:r>
      <w:r>
        <w:tab/>
      </w:r>
      <w:r>
        <w:fldChar w:fldCharType="begin"/>
      </w:r>
      <w:r>
        <w:instrText xml:space="preserve"> PAGEREF _Toc129187518 \h </w:instrText>
      </w:r>
      <w:r>
        <w:fldChar w:fldCharType="separate"/>
      </w:r>
      <w:r>
        <w:t>4</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"_Toc129187519" </w:instrText>
      </w:r>
      <w:r>
        <w:fldChar w:fldCharType="separate"/>
      </w:r>
      <w:r>
        <w:rPr>
          <w:rStyle w:val="43"/>
          <w:rFonts w:hAnsi="黑体" w:cs="黑体"/>
        </w:rPr>
        <w:t>6.4</w:t>
      </w:r>
      <w:r>
        <w:rPr>
          <w:rStyle w:val="43"/>
        </w:rPr>
        <w:t xml:space="preserve"> 管道沟槽回填</w:t>
      </w:r>
      <w:r>
        <w:tab/>
      </w:r>
      <w:r>
        <w:fldChar w:fldCharType="begin"/>
      </w:r>
      <w:r>
        <w:instrText xml:space="preserve"> PAGEREF _Toc129187519 \h </w:instrText>
      </w:r>
      <w:r>
        <w:fldChar w:fldCharType="separate"/>
      </w:r>
      <w:r>
        <w:t>5</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"_Toc129187520" </w:instrText>
      </w:r>
      <w:r>
        <w:fldChar w:fldCharType="separate"/>
      </w:r>
      <w:r>
        <w:rPr>
          <w:rStyle w:val="43"/>
          <w:rFonts w:hAnsi="黑体" w:cs="黑体"/>
        </w:rPr>
        <w:t>6.5</w:t>
      </w:r>
      <w:r>
        <w:rPr>
          <w:rStyle w:val="43"/>
        </w:rPr>
        <w:t xml:space="preserve"> 定向钻穿越</w:t>
      </w:r>
      <w:r>
        <w:tab/>
      </w:r>
      <w:r>
        <w:fldChar w:fldCharType="begin"/>
      </w:r>
      <w:r>
        <w:instrText xml:space="preserve"> PAGEREF _Toc129187520 \h </w:instrText>
      </w:r>
      <w:r>
        <w:fldChar w:fldCharType="separate"/>
      </w:r>
      <w:r>
        <w:t>5</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"_Toc129187521" </w:instrText>
      </w:r>
      <w:r>
        <w:fldChar w:fldCharType="separate"/>
      </w:r>
      <w:r>
        <w:rPr>
          <w:rStyle w:val="43"/>
          <w:rFonts w:hAnsi="黑体" w:cs="黑体"/>
        </w:rPr>
        <w:t>6.6</w:t>
      </w:r>
      <w:r>
        <w:rPr>
          <w:rStyle w:val="43"/>
        </w:rPr>
        <w:t xml:space="preserve"> 水钻打孔穿越</w:t>
      </w:r>
      <w:r>
        <w:tab/>
      </w:r>
      <w:r>
        <w:fldChar w:fldCharType="begin"/>
      </w:r>
      <w:r>
        <w:instrText xml:space="preserve"> PAGEREF _Toc129187521 \h </w:instrText>
      </w:r>
      <w:r>
        <w:fldChar w:fldCharType="separate"/>
      </w:r>
      <w:r>
        <w:t>5</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"_Toc129187522" </w:instrText>
      </w:r>
      <w:r>
        <w:fldChar w:fldCharType="separate"/>
      </w:r>
      <w:r>
        <w:rPr>
          <w:rStyle w:val="43"/>
          <w:rFonts w:hAnsi="黑体" w:cs="黑体"/>
        </w:rPr>
        <w:t>7</w:t>
      </w:r>
      <w:r>
        <w:rPr>
          <w:rStyle w:val="43"/>
        </w:rPr>
        <w:t xml:space="preserve"> 开槽施工管道主体结构</w:t>
      </w:r>
      <w:r>
        <w:tab/>
      </w:r>
      <w:r>
        <w:fldChar w:fldCharType="begin"/>
      </w:r>
      <w:r>
        <w:instrText xml:space="preserve"> PAGEREF _Toc129187522 \h </w:instrText>
      </w:r>
      <w:r>
        <w:fldChar w:fldCharType="separate"/>
      </w:r>
      <w:r>
        <w:t>5</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"_Toc129187523" </w:instrText>
      </w:r>
      <w:r>
        <w:fldChar w:fldCharType="separate"/>
      </w:r>
      <w:r>
        <w:rPr>
          <w:rStyle w:val="43"/>
          <w:rFonts w:hAnsi="黑体" w:cs="黑体"/>
        </w:rPr>
        <w:t>7.1</w:t>
      </w:r>
      <w:r>
        <w:rPr>
          <w:rStyle w:val="43"/>
        </w:rPr>
        <w:t xml:space="preserve"> 通则</w:t>
      </w:r>
      <w:r>
        <w:tab/>
      </w:r>
      <w:r>
        <w:fldChar w:fldCharType="begin"/>
      </w:r>
      <w:r>
        <w:instrText xml:space="preserve"> PAGEREF _Toc129187523 \h </w:instrText>
      </w:r>
      <w:r>
        <w:fldChar w:fldCharType="separate"/>
      </w:r>
      <w:r>
        <w:t>5</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"_Toc129187524" </w:instrText>
      </w:r>
      <w:r>
        <w:fldChar w:fldCharType="separate"/>
      </w:r>
      <w:r>
        <w:rPr>
          <w:rStyle w:val="43"/>
          <w:rFonts w:hAnsi="黑体" w:cs="黑体"/>
        </w:rPr>
        <w:t>7.2</w:t>
      </w:r>
      <w:r>
        <w:rPr>
          <w:rStyle w:val="43"/>
        </w:rPr>
        <w:t xml:space="preserve"> 管道基础</w:t>
      </w:r>
      <w:r>
        <w:tab/>
      </w:r>
      <w:r>
        <w:fldChar w:fldCharType="begin"/>
      </w:r>
      <w:r>
        <w:instrText xml:space="preserve"> PAGEREF _Toc129187524 \h </w:instrText>
      </w:r>
      <w:r>
        <w:fldChar w:fldCharType="separate"/>
      </w:r>
      <w:r>
        <w:t>5</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"_Toc129187525" </w:instrText>
      </w:r>
      <w:r>
        <w:fldChar w:fldCharType="separate"/>
      </w:r>
      <w:r>
        <w:rPr>
          <w:rStyle w:val="43"/>
          <w:rFonts w:hAnsi="黑体" w:cs="黑体"/>
        </w:rPr>
        <w:t>7.3</w:t>
      </w:r>
      <w:r>
        <w:rPr>
          <w:rStyle w:val="43"/>
        </w:rPr>
        <w:t xml:space="preserve"> 硬聚氯乙烯管、聚乙烯管及其复合管安装</w:t>
      </w:r>
      <w:r>
        <w:tab/>
      </w:r>
      <w:r>
        <w:fldChar w:fldCharType="begin"/>
      </w:r>
      <w:r>
        <w:instrText xml:space="preserve"> PAGEREF _Toc129187525 \h </w:instrText>
      </w:r>
      <w:r>
        <w:fldChar w:fldCharType="separate"/>
      </w:r>
      <w:r>
        <w:t>5</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"_Toc129187526" </w:instrText>
      </w:r>
      <w:r>
        <w:fldChar w:fldCharType="separate"/>
      </w:r>
      <w:r>
        <w:rPr>
          <w:rStyle w:val="43"/>
          <w:rFonts w:hAnsi="黑体" w:cs="黑体"/>
        </w:rPr>
        <w:t>8</w:t>
      </w:r>
      <w:r>
        <w:rPr>
          <w:rStyle w:val="43"/>
        </w:rPr>
        <w:t xml:space="preserve"> 阀件、计量设备等安装</w:t>
      </w:r>
      <w:r>
        <w:tab/>
      </w:r>
      <w:r>
        <w:fldChar w:fldCharType="begin"/>
      </w:r>
      <w:r>
        <w:instrText xml:space="preserve"> PAGEREF _Toc129187526 \h </w:instrText>
      </w:r>
      <w:r>
        <w:fldChar w:fldCharType="separate"/>
      </w:r>
      <w:r>
        <w:t>6</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"_Toc129187527" </w:instrText>
      </w:r>
      <w:r>
        <w:fldChar w:fldCharType="separate"/>
      </w:r>
      <w:r>
        <w:rPr>
          <w:rStyle w:val="43"/>
          <w:rFonts w:hAnsi="黑体" w:cs="黑体"/>
        </w:rPr>
        <w:t>8.1</w:t>
      </w:r>
      <w:r>
        <w:rPr>
          <w:rStyle w:val="43"/>
        </w:rPr>
        <w:t xml:space="preserve"> 通则</w:t>
      </w:r>
      <w:r>
        <w:tab/>
      </w:r>
      <w:r>
        <w:fldChar w:fldCharType="begin"/>
      </w:r>
      <w:r>
        <w:instrText xml:space="preserve"> PAGEREF _Toc129187527 \h </w:instrText>
      </w:r>
      <w:r>
        <w:fldChar w:fldCharType="separate"/>
      </w:r>
      <w:r>
        <w:t>6</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"_Toc129187528" </w:instrText>
      </w:r>
      <w:r>
        <w:fldChar w:fldCharType="separate"/>
      </w:r>
      <w:r>
        <w:rPr>
          <w:rStyle w:val="43"/>
          <w:rFonts w:hAnsi="黑体" w:cs="黑体"/>
        </w:rPr>
        <w:t>8.2</w:t>
      </w:r>
      <w:r>
        <w:rPr>
          <w:rStyle w:val="43"/>
        </w:rPr>
        <w:t xml:space="preserve"> 阀件安装</w:t>
      </w:r>
      <w:r>
        <w:tab/>
      </w:r>
      <w:r>
        <w:fldChar w:fldCharType="begin"/>
      </w:r>
      <w:r>
        <w:instrText xml:space="preserve"> PAGEREF _Toc129187528 \h </w:instrText>
      </w:r>
      <w:r>
        <w:fldChar w:fldCharType="separate"/>
      </w:r>
      <w:r>
        <w:t>6</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"_Toc129187529" </w:instrText>
      </w:r>
      <w:r>
        <w:fldChar w:fldCharType="separate"/>
      </w:r>
      <w:r>
        <w:rPr>
          <w:rStyle w:val="43"/>
          <w:rFonts w:hAnsi="黑体" w:cs="黑体"/>
        </w:rPr>
        <w:t>8.3</w:t>
      </w:r>
      <w:r>
        <w:rPr>
          <w:rStyle w:val="43"/>
        </w:rPr>
        <w:t xml:space="preserve"> 水表井内阀件、计量设备安装</w:t>
      </w:r>
      <w:r>
        <w:tab/>
      </w:r>
      <w:r>
        <w:fldChar w:fldCharType="begin"/>
      </w:r>
      <w:r>
        <w:instrText xml:space="preserve"> PAGEREF _Toc129187529 \h </w:instrText>
      </w:r>
      <w:r>
        <w:fldChar w:fldCharType="separate"/>
      </w:r>
      <w:r>
        <w:t>6</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"_Toc129187530" </w:instrText>
      </w:r>
      <w:r>
        <w:fldChar w:fldCharType="separate"/>
      </w:r>
      <w:r>
        <w:rPr>
          <w:rStyle w:val="43"/>
          <w:rFonts w:hAnsi="黑体" w:cs="黑体"/>
        </w:rPr>
        <w:t>8.4</w:t>
      </w:r>
      <w:r>
        <w:rPr>
          <w:rStyle w:val="43"/>
        </w:rPr>
        <w:t xml:space="preserve"> 带压开孔安装</w:t>
      </w:r>
      <w:r>
        <w:tab/>
      </w:r>
      <w:r>
        <w:fldChar w:fldCharType="begin"/>
      </w:r>
      <w:r>
        <w:instrText xml:space="preserve"> PAGEREF _Toc129187530 \h </w:instrText>
      </w:r>
      <w:r>
        <w:fldChar w:fldCharType="separate"/>
      </w:r>
      <w:r>
        <w:t>6</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"_Toc129187531" </w:instrText>
      </w:r>
      <w:r>
        <w:fldChar w:fldCharType="separate"/>
      </w:r>
      <w:r>
        <w:rPr>
          <w:rStyle w:val="43"/>
          <w:rFonts w:hAnsi="黑体" w:cs="黑体"/>
        </w:rPr>
        <w:t>9</w:t>
      </w:r>
      <w:r>
        <w:rPr>
          <w:rStyle w:val="43"/>
        </w:rPr>
        <w:t xml:space="preserve"> 管道附属构筑物施工</w:t>
      </w:r>
      <w:r>
        <w:tab/>
      </w:r>
      <w:r>
        <w:fldChar w:fldCharType="begin"/>
      </w:r>
      <w:r>
        <w:instrText xml:space="preserve"> PAGEREF _Toc129187531 \h </w:instrText>
      </w:r>
      <w:r>
        <w:fldChar w:fldCharType="separate"/>
      </w:r>
      <w:r>
        <w:t>7</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"_Toc129187532" </w:instrText>
      </w:r>
      <w:r>
        <w:fldChar w:fldCharType="separate"/>
      </w:r>
      <w:r>
        <w:rPr>
          <w:rStyle w:val="43"/>
          <w:rFonts w:hAnsi="黑体" w:cs="黑体"/>
        </w:rPr>
        <w:t>9.1</w:t>
      </w:r>
      <w:r>
        <w:rPr>
          <w:rStyle w:val="43"/>
        </w:rPr>
        <w:t xml:space="preserve"> 通则</w:t>
      </w:r>
      <w:r>
        <w:tab/>
      </w:r>
      <w:r>
        <w:fldChar w:fldCharType="begin"/>
      </w:r>
      <w:r>
        <w:instrText xml:space="preserve"> PAGEREF _Toc129187532 \h </w:instrText>
      </w:r>
      <w:r>
        <w:fldChar w:fldCharType="separate"/>
      </w:r>
      <w:r>
        <w:t>7</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"_Toc129187533" </w:instrText>
      </w:r>
      <w:r>
        <w:fldChar w:fldCharType="separate"/>
      </w:r>
      <w:r>
        <w:rPr>
          <w:rStyle w:val="43"/>
          <w:rFonts w:hAnsi="黑体" w:cs="黑体"/>
        </w:rPr>
        <w:t>9.2</w:t>
      </w:r>
      <w:r>
        <w:rPr>
          <w:rStyle w:val="43"/>
        </w:rPr>
        <w:t xml:space="preserve"> 砌筑结构井室、预制装配式结构井室、现浇钢筋混凝土结构井室</w:t>
      </w:r>
      <w:r>
        <w:tab/>
      </w:r>
      <w:r>
        <w:fldChar w:fldCharType="begin"/>
      </w:r>
      <w:r>
        <w:instrText xml:space="preserve"> PAGEREF _Toc129187533 \h </w:instrText>
      </w:r>
      <w:r>
        <w:fldChar w:fldCharType="separate"/>
      </w:r>
      <w:r>
        <w:t>7</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"_Toc129187534" </w:instrText>
      </w:r>
      <w:r>
        <w:fldChar w:fldCharType="separate"/>
      </w:r>
      <w:r>
        <w:rPr>
          <w:rStyle w:val="43"/>
          <w:rFonts w:hAnsi="黑体" w:cs="黑体"/>
        </w:rPr>
        <w:t>9.3</w:t>
      </w:r>
      <w:r>
        <w:rPr>
          <w:rStyle w:val="43"/>
        </w:rPr>
        <w:t xml:space="preserve"> 装配式高强复合树脂井、装配式塑料井</w:t>
      </w:r>
      <w:r>
        <w:tab/>
      </w:r>
      <w:r>
        <w:fldChar w:fldCharType="begin"/>
      </w:r>
      <w:r>
        <w:instrText xml:space="preserve"> PAGEREF _Toc129187534 \h </w:instrText>
      </w:r>
      <w:r>
        <w:fldChar w:fldCharType="separate"/>
      </w:r>
      <w:r>
        <w:t>7</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"_Toc129187535" </w:instrText>
      </w:r>
      <w:r>
        <w:fldChar w:fldCharType="separate"/>
      </w:r>
      <w:r>
        <w:rPr>
          <w:rStyle w:val="43"/>
          <w:rFonts w:hAnsi="黑体" w:cs="黑体"/>
        </w:rPr>
        <w:t>9.4</w:t>
      </w:r>
      <w:r>
        <w:rPr>
          <w:rStyle w:val="43"/>
        </w:rPr>
        <w:t xml:space="preserve"> 地基与基础处理应符合以下规定：</w:t>
      </w:r>
      <w:r>
        <w:tab/>
      </w:r>
      <w:r>
        <w:fldChar w:fldCharType="begin"/>
      </w:r>
      <w:r>
        <w:instrText xml:space="preserve"> PAGEREF _Toc129187535 \h </w:instrText>
      </w:r>
      <w:r>
        <w:fldChar w:fldCharType="separate"/>
      </w:r>
      <w:r>
        <w:t>7</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"_Toc129187536" </w:instrText>
      </w:r>
      <w:r>
        <w:fldChar w:fldCharType="separate"/>
      </w:r>
      <w:r>
        <w:rPr>
          <w:rStyle w:val="43"/>
          <w:rFonts w:hAnsi="黑体" w:cs="黑体"/>
        </w:rPr>
        <w:t>9.5</w:t>
      </w:r>
      <w:r>
        <w:rPr>
          <w:rStyle w:val="43"/>
        </w:rPr>
        <w:t xml:space="preserve"> 井座安装</w:t>
      </w:r>
      <w:r>
        <w:tab/>
      </w:r>
      <w:r>
        <w:fldChar w:fldCharType="begin"/>
      </w:r>
      <w:r>
        <w:instrText xml:space="preserve"> PAGEREF _Toc129187536 \h </w:instrText>
      </w:r>
      <w:r>
        <w:fldChar w:fldCharType="separate"/>
      </w:r>
      <w:r>
        <w:t>7</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"_Toc129187537" </w:instrText>
      </w:r>
      <w:r>
        <w:fldChar w:fldCharType="separate"/>
      </w:r>
      <w:r>
        <w:rPr>
          <w:rStyle w:val="43"/>
          <w:rFonts w:hAnsi="黑体" w:cs="黑体"/>
        </w:rPr>
        <w:t>9.6</w:t>
      </w:r>
      <w:r>
        <w:rPr>
          <w:rStyle w:val="43"/>
        </w:rPr>
        <w:t xml:space="preserve"> 井室、收口及井筒安装</w:t>
      </w:r>
      <w:r>
        <w:tab/>
      </w:r>
      <w:r>
        <w:fldChar w:fldCharType="begin"/>
      </w:r>
      <w:r>
        <w:instrText xml:space="preserve"> PAGEREF _Toc129187537 \h </w:instrText>
      </w:r>
      <w:r>
        <w:fldChar w:fldCharType="separate"/>
      </w:r>
      <w:r>
        <w:t>8</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"_Toc129187538" </w:instrText>
      </w:r>
      <w:r>
        <w:fldChar w:fldCharType="separate"/>
      </w:r>
      <w:r>
        <w:rPr>
          <w:rStyle w:val="43"/>
          <w:rFonts w:hAnsi="黑体" w:cs="黑体"/>
        </w:rPr>
        <w:t>9.7</w:t>
      </w:r>
      <w:r>
        <w:rPr>
          <w:rStyle w:val="43"/>
        </w:rPr>
        <w:t xml:space="preserve"> 井坑回填</w:t>
      </w:r>
      <w:r>
        <w:tab/>
      </w:r>
      <w:r>
        <w:fldChar w:fldCharType="begin"/>
      </w:r>
      <w:r>
        <w:instrText xml:space="preserve"> PAGEREF _Toc129187538 \h </w:instrText>
      </w:r>
      <w:r>
        <w:fldChar w:fldCharType="separate"/>
      </w:r>
      <w:r>
        <w:t>8</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"_Toc129187539" </w:instrText>
      </w:r>
      <w:r>
        <w:fldChar w:fldCharType="separate"/>
      </w:r>
      <w:r>
        <w:rPr>
          <w:rStyle w:val="43"/>
          <w:rFonts w:hAnsi="黑体" w:cs="黑体"/>
        </w:rPr>
        <w:t>10</w:t>
      </w:r>
      <w:r>
        <w:rPr>
          <w:rStyle w:val="43"/>
        </w:rPr>
        <w:t xml:space="preserve"> 检测检测</w:t>
      </w:r>
      <w:r>
        <w:tab/>
      </w:r>
      <w:r>
        <w:fldChar w:fldCharType="begin"/>
      </w:r>
      <w:r>
        <w:instrText xml:space="preserve"> PAGEREF _Toc129187539 \h </w:instrText>
      </w:r>
      <w:r>
        <w:fldChar w:fldCharType="separate"/>
      </w:r>
      <w:r>
        <w:t>8</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"_Toc129187540" </w:instrText>
      </w:r>
      <w:r>
        <w:fldChar w:fldCharType="separate"/>
      </w:r>
      <w:r>
        <w:rPr>
          <w:rStyle w:val="43"/>
          <w:rFonts w:hAnsi="黑体" w:cs="黑体"/>
        </w:rPr>
        <w:t>10.1</w:t>
      </w:r>
      <w:r>
        <w:rPr>
          <w:rStyle w:val="43"/>
        </w:rPr>
        <w:t xml:space="preserve"> 通则</w:t>
      </w:r>
      <w:r>
        <w:tab/>
      </w:r>
      <w:r>
        <w:fldChar w:fldCharType="begin"/>
      </w:r>
      <w:r>
        <w:instrText xml:space="preserve"> PAGEREF _Toc129187540 \h </w:instrText>
      </w:r>
      <w:r>
        <w:fldChar w:fldCharType="separate"/>
      </w:r>
      <w:r>
        <w:t>8</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"_Toc129187541" </w:instrText>
      </w:r>
      <w:r>
        <w:fldChar w:fldCharType="separate"/>
      </w:r>
      <w:r>
        <w:rPr>
          <w:rStyle w:val="43"/>
          <w:rFonts w:hAnsi="黑体" w:cs="黑体"/>
        </w:rPr>
        <w:t>10.2</w:t>
      </w:r>
      <w:r>
        <w:rPr>
          <w:rStyle w:val="43"/>
        </w:rPr>
        <w:t xml:space="preserve"> 检测要求</w:t>
      </w:r>
      <w:r>
        <w:tab/>
      </w:r>
      <w:r>
        <w:fldChar w:fldCharType="begin"/>
      </w:r>
      <w:r>
        <w:instrText xml:space="preserve"> PAGEREF _Toc129187541 \h </w:instrText>
      </w:r>
      <w:r>
        <w:fldChar w:fldCharType="separate"/>
      </w:r>
      <w:r>
        <w:t>8</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"_Toc129187542" </w:instrText>
      </w:r>
      <w:r>
        <w:fldChar w:fldCharType="separate"/>
      </w:r>
      <w:r>
        <w:rPr>
          <w:rStyle w:val="43"/>
          <w:rFonts w:hAnsi="黑体" w:cs="黑体"/>
        </w:rPr>
        <w:t>11</w:t>
      </w:r>
      <w:r>
        <w:rPr>
          <w:rStyle w:val="43"/>
        </w:rPr>
        <w:t xml:space="preserve"> 工程验收</w:t>
      </w:r>
      <w:r>
        <w:tab/>
      </w:r>
      <w:r>
        <w:fldChar w:fldCharType="begin"/>
      </w:r>
      <w:r>
        <w:instrText xml:space="preserve"> PAGEREF _Toc129187542 \h </w:instrText>
      </w:r>
      <w:r>
        <w:fldChar w:fldCharType="separate"/>
      </w:r>
      <w:r>
        <w:t>10</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"_Toc129187543" </w:instrText>
      </w:r>
      <w:r>
        <w:fldChar w:fldCharType="separate"/>
      </w:r>
      <w:r>
        <w:rPr>
          <w:rStyle w:val="43"/>
          <w:rFonts w:hAnsi="黑体" w:cs="黑体"/>
        </w:rPr>
        <w:t>11.1</w:t>
      </w:r>
      <w:r>
        <w:rPr>
          <w:rStyle w:val="43"/>
        </w:rPr>
        <w:t xml:space="preserve"> 分部工程验收</w:t>
      </w:r>
      <w:r>
        <w:tab/>
      </w:r>
      <w:r>
        <w:fldChar w:fldCharType="begin"/>
      </w:r>
      <w:r>
        <w:instrText xml:space="preserve"> PAGEREF _Toc129187543 \h </w:instrText>
      </w:r>
      <w:r>
        <w:fldChar w:fldCharType="separate"/>
      </w:r>
      <w:r>
        <w:t>10</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"_Toc129187544" </w:instrText>
      </w:r>
      <w:r>
        <w:fldChar w:fldCharType="separate"/>
      </w:r>
      <w:r>
        <w:rPr>
          <w:rStyle w:val="43"/>
          <w:rFonts w:hAnsi="黑体" w:cs="黑体"/>
        </w:rPr>
        <w:t>11.2</w:t>
      </w:r>
      <w:r>
        <w:rPr>
          <w:rStyle w:val="43"/>
        </w:rPr>
        <w:t xml:space="preserve"> 单位工程验收</w:t>
      </w:r>
      <w:r>
        <w:tab/>
      </w:r>
      <w:r>
        <w:fldChar w:fldCharType="begin"/>
      </w:r>
      <w:r>
        <w:instrText xml:space="preserve"> PAGEREF _Toc129187544 \h </w:instrText>
      </w:r>
      <w:r>
        <w:fldChar w:fldCharType="separate"/>
      </w:r>
      <w:r>
        <w:t>10</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"_Toc129187545" </w:instrText>
      </w:r>
      <w:r>
        <w:fldChar w:fldCharType="separate"/>
      </w:r>
      <w:r>
        <w:rPr>
          <w:rStyle w:val="43"/>
          <w:rFonts w:hAnsi="黑体" w:cs="黑体"/>
        </w:rPr>
        <w:t>11.3</w:t>
      </w:r>
      <w:r>
        <w:rPr>
          <w:rStyle w:val="43"/>
        </w:rPr>
        <w:t xml:space="preserve"> 竣工验收</w:t>
      </w:r>
      <w:r>
        <w:tab/>
      </w:r>
      <w:r>
        <w:fldChar w:fldCharType="begin"/>
      </w:r>
      <w:r>
        <w:instrText xml:space="preserve"> PAGEREF _Toc129187545 \h </w:instrText>
      </w:r>
      <w:r>
        <w:fldChar w:fldCharType="separate"/>
      </w:r>
      <w:r>
        <w:t>11</w:t>
      </w:r>
      <w:r>
        <w:fldChar w:fldCharType="end"/>
      </w:r>
      <w:r>
        <w:fldChar w:fldCharType="end"/>
      </w:r>
    </w:p>
    <w:p>
      <w:pPr>
        <w:tabs>
          <w:tab w:val="left" w:pos="8647"/>
        </w:tabs>
        <w:ind w:firstLine="420" w:firstLineChars="200"/>
        <w:rPr>
          <w:rFonts w:ascii="宋体" w:hAnsi="宋体"/>
          <w:szCs w:val="28"/>
        </w:rPr>
      </w:pPr>
      <w:r>
        <w:rPr>
          <w:rFonts w:ascii="宋体" w:hAnsi="宋体"/>
          <w:szCs w:val="28"/>
        </w:rPr>
        <w:fldChar w:fldCharType="end"/>
      </w:r>
    </w:p>
    <w:p>
      <w:pPr>
        <w:pStyle w:val="116"/>
      </w:pPr>
      <w:bookmarkStart w:id="11" w:name="_Toc129187506"/>
      <w:bookmarkStart w:id="12" w:name="_Toc475694823"/>
      <w:r>
        <w:rPr>
          <w:rFonts w:hint="eastAsia"/>
        </w:rPr>
        <w:t>前</w:t>
      </w:r>
      <w:bookmarkStart w:id="13" w:name="BKQY"/>
      <w:r>
        <w:rPr>
          <w:rFonts w:hAnsi="黑体"/>
        </w:rPr>
        <w:t>  </w:t>
      </w:r>
      <w:r>
        <w:rPr>
          <w:rFonts w:hint="eastAsia"/>
        </w:rPr>
        <w:t>言</w:t>
      </w:r>
      <w:bookmarkEnd w:id="11"/>
      <w:bookmarkEnd w:id="12"/>
      <w:bookmarkEnd w:id="13"/>
    </w:p>
    <w:p>
      <w:pPr>
        <w:ind w:firstLine="420" w:firstLineChars="200"/>
        <w:rPr>
          <w:rFonts w:ascii="宋体" w:hAnsi="宋体"/>
          <w:szCs w:val="28"/>
        </w:rPr>
      </w:pPr>
      <w:r>
        <w:rPr>
          <w:rFonts w:hint="eastAsia" w:ascii="宋体" w:hAnsi="宋体"/>
          <w:szCs w:val="28"/>
        </w:rPr>
        <w:t>本文件按照GB/T 1.1—2020《标准化工作导则 第1部分：标准化文件的结构和起草规则》的规定起草。</w:t>
      </w:r>
    </w:p>
    <w:p>
      <w:pPr>
        <w:ind w:firstLine="420" w:firstLineChars="200"/>
        <w:rPr>
          <w:rFonts w:ascii="宋体" w:hAnsi="宋体"/>
          <w:szCs w:val="28"/>
          <w:highlight w:val="yellow"/>
        </w:rPr>
      </w:pPr>
      <w:r>
        <w:rPr>
          <w:rFonts w:hint="eastAsia" w:ascii="宋体" w:hAnsi="宋体"/>
          <w:szCs w:val="28"/>
        </w:rPr>
        <w:t>本文件由河北省水利厅提出并归口。</w:t>
      </w:r>
    </w:p>
    <w:p>
      <w:pPr>
        <w:ind w:firstLine="420" w:firstLineChars="200"/>
        <w:rPr>
          <w:rFonts w:ascii="宋体" w:hAnsi="宋体"/>
          <w:szCs w:val="28"/>
        </w:rPr>
      </w:pPr>
      <w:r>
        <w:rPr>
          <w:rFonts w:hint="eastAsia" w:ascii="宋体" w:hAnsi="宋体"/>
          <w:szCs w:val="28"/>
        </w:rPr>
        <w:t>本文件起草单位：河北省水利科学研究院、河北省水利规划设计研究院有限公司、任丘市水务局、沧州渤海工程咨询有限公司、任丘市水利建筑工程公司、沧州水利勘测规划设计院有限公司。</w:t>
      </w:r>
    </w:p>
    <w:p>
      <w:pPr>
        <w:ind w:firstLine="420" w:firstLineChars="200"/>
        <w:rPr>
          <w:rFonts w:ascii="宋体" w:hAnsi="宋体"/>
          <w:szCs w:val="28"/>
        </w:rPr>
        <w:sectPr>
          <w:headerReference r:id="rId4" w:type="default"/>
          <w:footerReference r:id="rId5" w:type="default"/>
          <w:pgSz w:w="11906" w:h="16838"/>
          <w:pgMar w:top="567" w:right="1134" w:bottom="1134" w:left="1418" w:header="1418" w:footer="1134" w:gutter="0"/>
          <w:pgNumType w:fmt="upperRoman" w:start="1"/>
          <w:cols w:space="425" w:num="1"/>
          <w:formProt w:val="0"/>
          <w:docGrid w:type="lines" w:linePitch="312" w:charSpace="0"/>
        </w:sectPr>
      </w:pPr>
      <w:r>
        <w:rPr>
          <w:rFonts w:hint="eastAsia" w:ascii="宋体" w:hAnsi="宋体"/>
          <w:szCs w:val="28"/>
        </w:rPr>
        <w:t>本文件主要起草人：</w:t>
      </w:r>
      <w:bookmarkStart w:id="14" w:name="_Hlk161996320"/>
      <w:r>
        <w:rPr>
          <w:rFonts w:hint="eastAsia"/>
        </w:rPr>
        <w:t>李源、</w:t>
      </w:r>
      <w:r>
        <w:rPr>
          <w:rFonts w:hint="eastAsia" w:ascii="宋体" w:hAnsi="宋体"/>
          <w:szCs w:val="28"/>
        </w:rPr>
        <w:t>朱永涛、杨凤栋、李振清、郭小刚、</w:t>
      </w:r>
      <w:r>
        <w:rPr>
          <w:rFonts w:hint="eastAsia" w:ascii="宋体" w:hAnsi="宋体"/>
          <w:szCs w:val="28"/>
          <w:lang w:eastAsia="zh-CN"/>
        </w:rPr>
        <w:t>邵长乐、</w:t>
      </w:r>
      <w:r>
        <w:rPr>
          <w:rFonts w:hint="eastAsia" w:ascii="宋体" w:hAnsi="宋体"/>
          <w:szCs w:val="28"/>
        </w:rPr>
        <w:t>王  伟、霍学平、刘志鹏、王连杰、</w:t>
      </w:r>
      <w:r>
        <w:rPr>
          <w:rFonts w:hint="eastAsia" w:ascii="宋体" w:hAnsi="宋体"/>
          <w:szCs w:val="28"/>
          <w:lang w:eastAsia="zh-CN"/>
        </w:rPr>
        <w:t>刘文学、</w:t>
      </w:r>
      <w:r>
        <w:rPr>
          <w:rFonts w:hint="eastAsia" w:ascii="宋体" w:hAnsi="宋体"/>
          <w:szCs w:val="28"/>
        </w:rPr>
        <w:t>张育栋、耿运生、范士军、</w:t>
      </w:r>
      <w:r>
        <w:rPr>
          <w:rFonts w:hint="eastAsia" w:ascii="宋体" w:hAnsi="宋体"/>
          <w:szCs w:val="28"/>
          <w:lang w:eastAsia="zh-CN"/>
        </w:rPr>
        <w:t>刘瑞图、</w:t>
      </w:r>
      <w:r>
        <w:rPr>
          <w:rFonts w:hint="eastAsia" w:ascii="宋体" w:hAnsi="宋体"/>
          <w:szCs w:val="28"/>
        </w:rPr>
        <w:t>杨  蒙、吕茂林、蒋国芸、王如代、</w:t>
      </w:r>
      <w:bookmarkEnd w:id="14"/>
      <w:r>
        <w:rPr>
          <w:rFonts w:hint="eastAsia" w:ascii="宋体" w:hAnsi="宋体"/>
          <w:szCs w:val="28"/>
        </w:rPr>
        <w:t>赵英。</w:t>
      </w:r>
    </w:p>
    <w:p>
      <w:pPr>
        <w:pStyle w:val="54"/>
      </w:pPr>
      <w:r>
        <w:rPr>
          <w:rFonts w:hint="eastAsia"/>
        </w:rPr>
        <w:t>农村供水管网工程施工技术规程</w:t>
      </w:r>
    </w:p>
    <w:p>
      <w:pPr>
        <w:pStyle w:val="49"/>
        <w:spacing w:before="312" w:after="312"/>
      </w:pPr>
      <w:bookmarkStart w:id="15" w:name="_Toc475694825"/>
      <w:bookmarkStart w:id="16" w:name="_Toc129187507"/>
      <w:r>
        <w:rPr>
          <w:rFonts w:hint="eastAsia"/>
        </w:rPr>
        <w:t>范围</w:t>
      </w:r>
      <w:bookmarkEnd w:id="15"/>
      <w:bookmarkEnd w:id="16"/>
    </w:p>
    <w:p>
      <w:pPr>
        <w:pStyle w:val="26"/>
      </w:pPr>
      <w:r>
        <w:rPr>
          <w:rFonts w:hint="eastAsia"/>
        </w:rPr>
        <w:t>本文件规定了农村供水管网工程技术的术语和定义、基本规定、项目划分、管道埋设工程、开槽施工管道主体工程施工、管道附属构筑物施工、检验检测、工程验收。</w:t>
      </w:r>
    </w:p>
    <w:p>
      <w:pPr>
        <w:pStyle w:val="26"/>
      </w:pPr>
      <w:r>
        <w:rPr>
          <w:rFonts w:hint="eastAsia"/>
        </w:rPr>
        <w:t>本文件适用于河北省内新建、改建或扩建的</w:t>
      </w:r>
      <w:r>
        <w:rPr>
          <w:rFonts w:hint="eastAsia"/>
          <w:highlight w:val="none"/>
        </w:rPr>
        <w:t>村内供水管</w:t>
      </w:r>
      <w:r>
        <w:rPr>
          <w:rFonts w:hint="eastAsia"/>
        </w:rPr>
        <w:t>网的施工及验收。</w:t>
      </w:r>
    </w:p>
    <w:p>
      <w:pPr>
        <w:pStyle w:val="49"/>
        <w:spacing w:before="312" w:after="312"/>
      </w:pPr>
      <w:bookmarkStart w:id="17" w:name="_Toc475694826"/>
      <w:bookmarkStart w:id="18" w:name="_Toc129187508"/>
      <w:r>
        <w:rPr>
          <w:rFonts w:hint="eastAsia"/>
        </w:rPr>
        <w:t>规范性引用文件</w:t>
      </w:r>
      <w:bookmarkEnd w:id="17"/>
      <w:bookmarkEnd w:id="18"/>
    </w:p>
    <w:p>
      <w:pPr>
        <w:pStyle w:val="26"/>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26"/>
      </w:pPr>
      <w:r>
        <w:rPr>
          <w:rFonts w:hint="eastAsia"/>
        </w:rPr>
        <w:t xml:space="preserve">GB/T </w:t>
      </w:r>
      <w:r>
        <w:t>778</w:t>
      </w:r>
      <w:r>
        <w:rPr>
          <w:rFonts w:hint="eastAsia"/>
        </w:rPr>
        <w:t xml:space="preserve"> 饮用冷水水表和热水水表</w:t>
      </w:r>
    </w:p>
    <w:p>
      <w:pPr>
        <w:pStyle w:val="26"/>
      </w:pPr>
      <w:r>
        <w:rPr>
          <w:rFonts w:hint="eastAsia"/>
        </w:rPr>
        <w:t>GB/T 13663 给水用聚乙烯(PE)管道系统</w:t>
      </w:r>
    </w:p>
    <w:p>
      <w:pPr>
        <w:pStyle w:val="26"/>
      </w:pPr>
      <w:r>
        <w:rPr>
          <w:rFonts w:hint="eastAsia"/>
        </w:rPr>
        <w:t>GB50141  给水排水构筑物工程施工及验收规范</w:t>
      </w:r>
    </w:p>
    <w:p>
      <w:pPr>
        <w:pStyle w:val="26"/>
      </w:pPr>
      <w:r>
        <w:rPr>
          <w:rFonts w:hint="eastAsia"/>
        </w:rPr>
        <w:t>GB 50268 给水排水管道工程施工及验收规范</w:t>
      </w:r>
    </w:p>
    <w:p>
      <w:pPr>
        <w:pStyle w:val="26"/>
      </w:pPr>
      <w:r>
        <w:rPr>
          <w:rFonts w:hint="eastAsia"/>
        </w:rPr>
        <w:t>CJJ 101  埋地塑料给水管道工程技术规程</w:t>
      </w:r>
    </w:p>
    <w:p>
      <w:pPr>
        <w:pStyle w:val="26"/>
      </w:pPr>
      <w:r>
        <w:rPr>
          <w:rFonts w:hint="eastAsia"/>
        </w:rPr>
        <w:t>CJ</w:t>
      </w:r>
      <w:r>
        <w:t>/T 535</w:t>
      </w:r>
      <w:r>
        <w:rPr>
          <w:rFonts w:hint="eastAsia"/>
        </w:rPr>
        <w:t xml:space="preserve"> 物联网水表</w:t>
      </w:r>
    </w:p>
    <w:p>
      <w:pPr>
        <w:pStyle w:val="26"/>
      </w:pPr>
      <w:r>
        <w:rPr>
          <w:rFonts w:hint="eastAsia"/>
        </w:rPr>
        <w:t>S</w:t>
      </w:r>
      <w:r>
        <w:t>C</w:t>
      </w:r>
      <w:r>
        <w:rPr>
          <w:rFonts w:hint="eastAsia"/>
        </w:rPr>
        <w:t>ECS</w:t>
      </w:r>
      <w:r>
        <w:t xml:space="preserve"> 382 </w:t>
      </w:r>
      <w:r>
        <w:rPr>
          <w:rFonts w:hint="eastAsia"/>
        </w:rPr>
        <w:t>水平定向钻法管道穿越工程技术规程</w:t>
      </w:r>
    </w:p>
    <w:p>
      <w:pPr>
        <w:pStyle w:val="26"/>
        <w:rPr>
          <w:rFonts w:hint="eastAsia"/>
        </w:rPr>
      </w:pPr>
      <w:r>
        <w:rPr>
          <w:rFonts w:hint="eastAsia"/>
        </w:rPr>
        <w:t>SL176  水利水电工程质量检验与评定规程</w:t>
      </w:r>
    </w:p>
    <w:p>
      <w:pPr>
        <w:pStyle w:val="26"/>
        <w:rPr>
          <w:rFonts w:hint="eastAsia"/>
        </w:rPr>
      </w:pPr>
      <w:r>
        <w:rPr>
          <w:rFonts w:hint="eastAsia"/>
        </w:rPr>
        <w:t>SL223  水利水电建设项目验收规程</w:t>
      </w:r>
    </w:p>
    <w:p>
      <w:pPr>
        <w:pStyle w:val="26"/>
      </w:pPr>
      <w:r>
        <w:rPr>
          <w:rFonts w:hint="eastAsia"/>
        </w:rPr>
        <w:t>SL 310 村镇供水工程技术规范</w:t>
      </w:r>
    </w:p>
    <w:p>
      <w:pPr>
        <w:pStyle w:val="26"/>
      </w:pPr>
      <w:r>
        <w:rPr>
          <w:rFonts w:hint="eastAsia"/>
        </w:rPr>
        <w:t>SL 734 水利工程质量检测技术规程</w:t>
      </w:r>
    </w:p>
    <w:p>
      <w:pPr>
        <w:pStyle w:val="26"/>
        <w:rPr>
          <w:rFonts w:hint="eastAsia"/>
        </w:rPr>
      </w:pPr>
      <w:r>
        <w:rPr>
          <w:rFonts w:hint="eastAsia"/>
        </w:rPr>
        <w:t>DB（J）T8403-2021  装配式高强复合树脂给水井技术标准</w:t>
      </w:r>
    </w:p>
    <w:p>
      <w:pPr>
        <w:pStyle w:val="26"/>
      </w:pPr>
      <w:bookmarkStart w:id="19" w:name="_Hlk162416647"/>
      <w:r>
        <w:t>DB 13/T 5360—2021</w:t>
      </w:r>
      <w:r>
        <w:rPr>
          <w:rFonts w:hint="eastAsia"/>
        </w:rPr>
        <w:t xml:space="preserve"> 水利工程项目划分导则</w:t>
      </w:r>
      <w:bookmarkEnd w:id="19"/>
    </w:p>
    <w:p>
      <w:pPr>
        <w:pStyle w:val="49"/>
        <w:spacing w:before="312" w:after="312"/>
      </w:pPr>
      <w:bookmarkStart w:id="20" w:name="_Toc129187509"/>
      <w:bookmarkStart w:id="21" w:name="_Toc475694827"/>
      <w:r>
        <w:rPr>
          <w:rFonts w:hint="eastAsia"/>
        </w:rPr>
        <w:t>术语和定义</w:t>
      </w:r>
      <w:bookmarkEnd w:id="20"/>
      <w:bookmarkEnd w:id="21"/>
    </w:p>
    <w:p>
      <w:pPr>
        <w:pStyle w:val="26"/>
      </w:pPr>
      <w:r>
        <w:rPr>
          <w:rFonts w:hint="eastAsia"/>
        </w:rPr>
        <w:t>下列术语和定义适用于本文件。</w:t>
      </w:r>
    </w:p>
    <w:p>
      <w:pPr>
        <w:spacing w:line="360" w:lineRule="auto"/>
        <w:rPr>
          <w:rFonts w:ascii="黑体" w:hAnsi="黑体" w:eastAsia="黑体" w:cs="黑体"/>
          <w:sz w:val="24"/>
          <w:lang w:eastAsia="zh-TW"/>
        </w:rPr>
      </w:pPr>
      <w:r>
        <w:rPr>
          <w:rFonts w:hint="eastAsia" w:asciiTheme="minorEastAsia" w:hAnsiTheme="minorEastAsia" w:eastAsiaTheme="minorEastAsia"/>
          <w:b/>
          <w:kern w:val="0"/>
          <w:szCs w:val="21"/>
        </w:rPr>
        <w:t>3.1</w:t>
      </w:r>
    </w:p>
    <w:p>
      <w:pPr>
        <w:spacing w:line="360" w:lineRule="auto"/>
        <w:ind w:firstLine="420" w:firstLineChars="200"/>
        <w:rPr>
          <w:rFonts w:ascii="黑体" w:hAnsi="黑体" w:eastAsia="黑体" w:cs="黑体"/>
          <w:color w:val="000000" w:themeColor="text1"/>
          <w:sz w:val="24"/>
          <w:highlight w:val="green"/>
          <w14:textFill>
            <w14:solidFill>
              <w14:schemeClr w14:val="tx1"/>
            </w14:solidFill>
          </w14:textFill>
        </w:rPr>
      </w:pPr>
      <w:r>
        <w:rPr>
          <w:rFonts w:hint="eastAsia" w:ascii="黑体" w:hAnsi="黑体" w:eastAsia="黑体"/>
          <w:kern w:val="0"/>
          <w:szCs w:val="20"/>
        </w:rPr>
        <w:t>村内</w:t>
      </w:r>
      <w:r>
        <w:rPr>
          <w:rFonts w:hint="eastAsia" w:ascii="黑体" w:hAnsi="黑体" w:eastAsia="黑体"/>
          <w:kern w:val="0"/>
          <w:szCs w:val="20"/>
          <w:highlight w:val="none"/>
        </w:rPr>
        <w:t>供水</w:t>
      </w:r>
      <w:r>
        <w:rPr>
          <w:rFonts w:hint="eastAsia" w:ascii="黑体" w:hAnsi="黑体" w:eastAsia="黑体"/>
          <w:kern w:val="0"/>
          <w:szCs w:val="20"/>
        </w:rPr>
        <w:t>管网 w</w:t>
      </w:r>
      <w:r>
        <w:rPr>
          <w:rFonts w:ascii="黑体" w:hAnsi="黑体" w:eastAsia="黑体"/>
          <w:kern w:val="0"/>
          <w:szCs w:val="20"/>
        </w:rPr>
        <w:t>ater supply network in the village</w:t>
      </w:r>
    </w:p>
    <w:p>
      <w:pPr>
        <w:pStyle w:val="26"/>
      </w:pPr>
      <w:r>
        <w:rPr>
          <w:rFonts w:hint="eastAsia"/>
        </w:rPr>
        <w:t>自入村主管网接入点至村内各个</w:t>
      </w:r>
      <w:r>
        <w:t>用</w:t>
      </w:r>
      <w:r>
        <w:rPr>
          <w:rFonts w:hint="eastAsia"/>
        </w:rPr>
        <w:t>水</w:t>
      </w:r>
      <w:r>
        <w:t>户</w:t>
      </w:r>
      <w:r>
        <w:rPr>
          <w:rFonts w:hint="eastAsia"/>
        </w:rPr>
        <w:t>之间的供水</w:t>
      </w:r>
      <w:r>
        <w:t>工程，</w:t>
      </w:r>
      <w:r>
        <w:rPr>
          <w:rFonts w:hint="eastAsia"/>
        </w:rPr>
        <w:t>一般</w:t>
      </w:r>
      <w:r>
        <w:t>由管道、配件和附属设施组成</w:t>
      </w:r>
      <w:r>
        <w:rPr>
          <w:rFonts w:hint="eastAsia"/>
        </w:rPr>
        <w:t>。</w:t>
      </w:r>
    </w:p>
    <w:p>
      <w:pPr>
        <w:spacing w:line="360" w:lineRule="auto"/>
        <w:rPr>
          <w:rFonts w:asciiTheme="minorEastAsia" w:hAnsiTheme="minorEastAsia" w:eastAsiaTheme="minorEastAsia"/>
          <w:b/>
          <w:kern w:val="0"/>
          <w:szCs w:val="21"/>
        </w:rPr>
      </w:pPr>
      <w:r>
        <w:rPr>
          <w:rFonts w:hint="eastAsia" w:asciiTheme="minorEastAsia" w:hAnsiTheme="minorEastAsia" w:eastAsiaTheme="minorEastAsia"/>
          <w:b/>
          <w:kern w:val="0"/>
          <w:szCs w:val="21"/>
        </w:rPr>
        <w:t>3.</w:t>
      </w:r>
      <w:r>
        <w:rPr>
          <w:rFonts w:asciiTheme="minorEastAsia" w:hAnsiTheme="minorEastAsia" w:eastAsiaTheme="minorEastAsia"/>
          <w:b/>
          <w:kern w:val="0"/>
          <w:szCs w:val="21"/>
        </w:rPr>
        <w:t>2</w:t>
      </w:r>
    </w:p>
    <w:p>
      <w:pPr>
        <w:spacing w:line="360" w:lineRule="auto"/>
        <w:ind w:firstLine="420" w:firstLineChars="200"/>
        <w:rPr>
          <w:rFonts w:ascii="黑体" w:hAnsi="黑体" w:eastAsia="黑体" w:cs="黑体"/>
          <w:sz w:val="24"/>
        </w:rPr>
      </w:pPr>
      <w:r>
        <w:rPr>
          <w:rFonts w:ascii="黑体" w:hAnsi="黑体" w:eastAsia="黑体"/>
          <w:kern w:val="0"/>
          <w:szCs w:val="20"/>
        </w:rPr>
        <w:t>开槽施工</w:t>
      </w:r>
      <w:r>
        <w:rPr>
          <w:rFonts w:hint="eastAsia" w:ascii="黑体" w:hAnsi="黑体" w:eastAsia="黑体"/>
          <w:kern w:val="0"/>
          <w:szCs w:val="20"/>
        </w:rPr>
        <w:t>t</w:t>
      </w:r>
      <w:r>
        <w:rPr>
          <w:rFonts w:ascii="黑体" w:hAnsi="黑体" w:eastAsia="黑体"/>
          <w:kern w:val="0"/>
          <w:szCs w:val="20"/>
        </w:rPr>
        <w:t>rench installation</w:t>
      </w:r>
    </w:p>
    <w:p>
      <w:pPr>
        <w:pStyle w:val="26"/>
      </w:pPr>
      <w:r>
        <w:t>从地表开挖沟槽，在沟槽内敷设管道的施工方法</w:t>
      </w:r>
      <w:r>
        <w:rPr>
          <w:rFonts w:hint="eastAsia"/>
        </w:rPr>
        <w:t>，有开沟机开槽施工、挖掘机开槽施工、人工开槽施工等。</w:t>
      </w:r>
    </w:p>
    <w:p>
      <w:pPr>
        <w:spacing w:line="360" w:lineRule="auto"/>
        <w:rPr>
          <w:rFonts w:ascii="黑体" w:hAnsi="黑体" w:eastAsia="黑体" w:cs="黑体"/>
          <w:sz w:val="24"/>
        </w:rPr>
      </w:pPr>
      <w:r>
        <w:rPr>
          <w:rFonts w:hint="eastAsia" w:asciiTheme="minorEastAsia" w:hAnsiTheme="minorEastAsia" w:eastAsiaTheme="minorEastAsia"/>
          <w:b/>
          <w:kern w:val="0"/>
          <w:szCs w:val="21"/>
        </w:rPr>
        <w:t>3.</w:t>
      </w:r>
      <w:r>
        <w:rPr>
          <w:rFonts w:asciiTheme="minorEastAsia" w:hAnsiTheme="minorEastAsia" w:eastAsiaTheme="minorEastAsia"/>
          <w:b/>
          <w:kern w:val="0"/>
          <w:szCs w:val="21"/>
        </w:rPr>
        <w:t>3</w:t>
      </w:r>
    </w:p>
    <w:p>
      <w:pPr>
        <w:spacing w:line="360" w:lineRule="auto"/>
        <w:ind w:firstLine="420" w:firstLineChars="200"/>
        <w:rPr>
          <w:rFonts w:ascii="黑体" w:hAnsi="黑体" w:eastAsia="黑体" w:cs="黑体"/>
          <w:sz w:val="24"/>
        </w:rPr>
      </w:pPr>
      <w:r>
        <w:rPr>
          <w:rFonts w:ascii="黑体" w:hAnsi="黑体" w:eastAsia="黑体"/>
          <w:kern w:val="0"/>
          <w:szCs w:val="20"/>
        </w:rPr>
        <w:t>不开槽施工</w:t>
      </w:r>
      <w:r>
        <w:rPr>
          <w:rFonts w:hint="eastAsia" w:ascii="黑体" w:hAnsi="黑体" w:eastAsia="黑体"/>
          <w:kern w:val="0"/>
          <w:szCs w:val="20"/>
        </w:rPr>
        <w:t>t</w:t>
      </w:r>
      <w:r>
        <w:rPr>
          <w:rFonts w:ascii="黑体" w:hAnsi="黑体" w:eastAsia="黑体"/>
          <w:kern w:val="0"/>
          <w:szCs w:val="20"/>
        </w:rPr>
        <w:t>renchless installation</w:t>
      </w:r>
    </w:p>
    <w:p>
      <w:pPr>
        <w:pStyle w:val="26"/>
      </w:pPr>
      <w:r>
        <w:t>在管道沿线地面下开挖成形的洞内敷设或浇筑管道的施工方法，有</w:t>
      </w:r>
      <w:r>
        <w:rPr>
          <w:rFonts w:hint="eastAsia"/>
        </w:rPr>
        <w:t>水钻打孔</w:t>
      </w:r>
      <w:r>
        <w:t>法、定向钻法等</w:t>
      </w:r>
      <w:r>
        <w:rPr>
          <w:rFonts w:hint="eastAsia"/>
        </w:rPr>
        <w:t>。</w:t>
      </w:r>
    </w:p>
    <w:p>
      <w:pPr>
        <w:spacing w:line="360" w:lineRule="auto"/>
        <w:rPr>
          <w:rFonts w:asciiTheme="minorEastAsia" w:hAnsiTheme="minorEastAsia" w:eastAsiaTheme="minorEastAsia"/>
          <w:b/>
          <w:kern w:val="0"/>
          <w:szCs w:val="21"/>
        </w:rPr>
      </w:pPr>
      <w:r>
        <w:rPr>
          <w:rFonts w:hint="eastAsia" w:asciiTheme="minorEastAsia" w:hAnsiTheme="minorEastAsia" w:eastAsiaTheme="minorEastAsia"/>
          <w:b/>
          <w:kern w:val="0"/>
          <w:szCs w:val="21"/>
        </w:rPr>
        <w:t>3.</w:t>
      </w:r>
      <w:r>
        <w:rPr>
          <w:rFonts w:asciiTheme="minorEastAsia" w:hAnsiTheme="minorEastAsia" w:eastAsiaTheme="minorEastAsia"/>
          <w:b/>
          <w:kern w:val="0"/>
          <w:szCs w:val="21"/>
        </w:rPr>
        <w:t>4</w:t>
      </w:r>
    </w:p>
    <w:p>
      <w:pPr>
        <w:spacing w:line="360" w:lineRule="auto"/>
        <w:ind w:firstLine="420" w:firstLineChars="200"/>
        <w:rPr>
          <w:rFonts w:ascii="黑体" w:hAnsi="黑体" w:eastAsia="黑体" w:cs="黑体"/>
          <w:sz w:val="24"/>
        </w:rPr>
      </w:pPr>
      <w:r>
        <w:rPr>
          <w:rFonts w:hint="eastAsia" w:ascii="黑体" w:hAnsi="黑体" w:eastAsia="黑体"/>
          <w:kern w:val="0"/>
          <w:szCs w:val="20"/>
        </w:rPr>
        <w:t>水平定向钻法h</w:t>
      </w:r>
      <w:r>
        <w:rPr>
          <w:rFonts w:ascii="黑体" w:hAnsi="黑体" w:eastAsia="黑体"/>
          <w:kern w:val="0"/>
          <w:szCs w:val="20"/>
        </w:rPr>
        <w:t>orizontal directional drilling method</w:t>
      </w:r>
    </w:p>
    <w:p>
      <w:pPr>
        <w:pStyle w:val="26"/>
      </w:pPr>
      <w:r>
        <w:t>利用水平钻孔机钻进小口径的导向孔，然后用回扩钻头扩大钻孔，同时将管道拉入孔内的不开槽施工方法</w:t>
      </w:r>
      <w:r>
        <w:rPr>
          <w:rFonts w:hint="eastAsia"/>
        </w:rPr>
        <w:t>。</w:t>
      </w:r>
    </w:p>
    <w:p>
      <w:pPr>
        <w:spacing w:line="360" w:lineRule="auto"/>
        <w:rPr>
          <w:rFonts w:asciiTheme="minorEastAsia" w:hAnsiTheme="minorEastAsia" w:eastAsiaTheme="minorEastAsia"/>
          <w:b/>
          <w:kern w:val="0"/>
          <w:szCs w:val="21"/>
        </w:rPr>
      </w:pPr>
      <w:r>
        <w:rPr>
          <w:rFonts w:hint="eastAsia" w:asciiTheme="minorEastAsia" w:hAnsiTheme="minorEastAsia" w:eastAsiaTheme="minorEastAsia"/>
          <w:b/>
          <w:kern w:val="0"/>
          <w:szCs w:val="21"/>
        </w:rPr>
        <w:t>3.</w:t>
      </w:r>
      <w:r>
        <w:rPr>
          <w:rFonts w:asciiTheme="minorEastAsia" w:hAnsiTheme="minorEastAsia" w:eastAsiaTheme="minorEastAsia"/>
          <w:b/>
          <w:kern w:val="0"/>
          <w:szCs w:val="21"/>
        </w:rPr>
        <w:t>5</w:t>
      </w:r>
    </w:p>
    <w:p>
      <w:pPr>
        <w:spacing w:line="360" w:lineRule="auto"/>
        <w:ind w:firstLine="420" w:firstLineChars="200"/>
        <w:rPr>
          <w:rFonts w:ascii="黑体" w:hAnsi="黑体" w:eastAsia="黑体" w:cs="黑体"/>
          <w:sz w:val="24"/>
        </w:rPr>
      </w:pPr>
      <w:r>
        <w:rPr>
          <w:rFonts w:hint="eastAsia" w:ascii="黑体" w:hAnsi="黑体" w:eastAsia="黑体"/>
          <w:kern w:val="0"/>
          <w:szCs w:val="20"/>
        </w:rPr>
        <w:t>水钻打孔施工w</w:t>
      </w:r>
      <w:r>
        <w:rPr>
          <w:rFonts w:ascii="黑体" w:hAnsi="黑体" w:eastAsia="黑体"/>
          <w:kern w:val="0"/>
          <w:szCs w:val="20"/>
        </w:rPr>
        <w:t>ater drill drilling method</w:t>
      </w:r>
    </w:p>
    <w:p>
      <w:pPr>
        <w:pStyle w:val="26"/>
      </w:pPr>
      <w:r>
        <w:t>借助于</w:t>
      </w:r>
      <w:r>
        <w:rPr>
          <w:rFonts w:hint="eastAsia"/>
        </w:rPr>
        <w:t>小型水钻打孔及</w:t>
      </w:r>
      <w:r>
        <w:t>顶推装置，将管节顶入土中的地下管道不开槽施工方法。</w:t>
      </w:r>
    </w:p>
    <w:p>
      <w:pPr>
        <w:spacing w:line="360" w:lineRule="auto"/>
        <w:rPr>
          <w:rFonts w:asciiTheme="minorEastAsia" w:hAnsiTheme="minorEastAsia" w:eastAsiaTheme="minorEastAsia"/>
          <w:b/>
          <w:kern w:val="0"/>
          <w:szCs w:val="21"/>
        </w:rPr>
      </w:pPr>
      <w:r>
        <w:rPr>
          <w:rFonts w:hint="eastAsia" w:asciiTheme="minorEastAsia" w:hAnsiTheme="minorEastAsia" w:eastAsiaTheme="minorEastAsia"/>
          <w:b/>
          <w:kern w:val="0"/>
          <w:szCs w:val="21"/>
        </w:rPr>
        <w:t>3.</w:t>
      </w:r>
      <w:r>
        <w:rPr>
          <w:rFonts w:asciiTheme="minorEastAsia" w:hAnsiTheme="minorEastAsia" w:eastAsiaTheme="minorEastAsia"/>
          <w:b/>
          <w:kern w:val="0"/>
          <w:szCs w:val="21"/>
        </w:rPr>
        <w:t>6</w:t>
      </w:r>
    </w:p>
    <w:p>
      <w:pPr>
        <w:spacing w:line="360" w:lineRule="auto"/>
        <w:ind w:firstLine="420" w:firstLineChars="200"/>
        <w:rPr>
          <w:rFonts w:ascii="黑体" w:hAnsi="黑体" w:eastAsia="黑体" w:cs="黑体"/>
          <w:sz w:val="24"/>
        </w:rPr>
      </w:pPr>
      <w:r>
        <w:rPr>
          <w:rFonts w:ascii="黑体" w:hAnsi="黑体" w:eastAsia="黑体"/>
          <w:kern w:val="0"/>
          <w:szCs w:val="20"/>
        </w:rPr>
        <w:t>压力管道水压试验</w:t>
      </w:r>
      <w:r>
        <w:rPr>
          <w:rFonts w:hint="eastAsia" w:ascii="黑体" w:hAnsi="黑体" w:eastAsia="黑体"/>
          <w:kern w:val="0"/>
          <w:szCs w:val="20"/>
        </w:rPr>
        <w:t>w</w:t>
      </w:r>
      <w:r>
        <w:rPr>
          <w:rFonts w:ascii="黑体" w:hAnsi="黑体" w:eastAsia="黑体"/>
          <w:kern w:val="0"/>
          <w:szCs w:val="20"/>
        </w:rPr>
        <w:t>ater pressure test for pressure pipeline</w:t>
      </w:r>
    </w:p>
    <w:p>
      <w:pPr>
        <w:pStyle w:val="26"/>
      </w:pPr>
      <w:r>
        <w:t>以水为介质，对已敷设的压力管道采用满水后加压的方法, 来检验在规定的压力值时管道是否发生结构破坏以及是否符合规定的允许渗水量（或允许压力降）标准的试验</w:t>
      </w:r>
      <w:r>
        <w:rPr>
          <w:rFonts w:hint="eastAsia"/>
        </w:rPr>
        <w:t>。</w:t>
      </w:r>
    </w:p>
    <w:p>
      <w:pPr>
        <w:pStyle w:val="49"/>
        <w:spacing w:before="312" w:after="312"/>
      </w:pPr>
      <w:r>
        <w:rPr>
          <w:rFonts w:hint="eastAsia"/>
        </w:rPr>
        <w:t>基本规定</w:t>
      </w:r>
    </w:p>
    <w:p>
      <w:pPr>
        <w:pStyle w:val="149"/>
      </w:pPr>
      <w:r>
        <w:rPr>
          <w:rFonts w:hint="eastAsia"/>
        </w:rPr>
        <w:t>施工单位</w:t>
      </w:r>
      <w:r>
        <w:t>应建立施工技术、质量、安全生产</w:t>
      </w:r>
      <w:r>
        <w:rPr>
          <w:rFonts w:hint="eastAsia"/>
        </w:rPr>
        <w:t>、环境保护</w:t>
      </w:r>
      <w:r>
        <w:t>等管理体系，制订各项施工管理规定，并</w:t>
      </w:r>
      <w:r>
        <w:rPr>
          <w:rFonts w:hint="eastAsia"/>
        </w:rPr>
        <w:t>认真</w:t>
      </w:r>
      <w:r>
        <w:t>贯彻执行</w:t>
      </w:r>
      <w:r>
        <w:rPr>
          <w:rFonts w:hint="eastAsia"/>
        </w:rPr>
        <w:t>。</w:t>
      </w:r>
      <w:r>
        <w:rPr>
          <w:rFonts w:hint="eastAsia"/>
          <w:color w:val="000000" w:themeColor="text1"/>
          <w14:textFill>
            <w14:solidFill>
              <w14:schemeClr w14:val="tx1"/>
            </w14:solidFill>
          </w14:textFill>
        </w:rPr>
        <w:t>施工单位应合理安排工期与施工部署，减少施工给村民及工商企业带来的交通、供水、排水等影响，必要时设置临时供水、绕行道路、铺设钢板等措施。</w:t>
      </w:r>
    </w:p>
    <w:p>
      <w:pPr>
        <w:pStyle w:val="149"/>
      </w:pPr>
      <w:r>
        <w:rPr>
          <w:color w:val="000000" w:themeColor="text1"/>
          <w14:textFill>
            <w14:solidFill>
              <w14:schemeClr w14:val="tx1"/>
            </w14:solidFill>
          </w14:textFill>
        </w:rPr>
        <w:t>建设单位应组织</w:t>
      </w:r>
      <w:r>
        <w:rPr>
          <w:rFonts w:hint="eastAsia"/>
          <w:color w:val="000000" w:themeColor="text1"/>
          <w14:textFill>
            <w14:solidFill>
              <w14:schemeClr w14:val="tx1"/>
            </w14:solidFill>
          </w14:textFill>
        </w:rPr>
        <w:t>勘察、</w:t>
      </w:r>
      <w:r>
        <w:rPr>
          <w:color w:val="000000" w:themeColor="text1"/>
          <w14:textFill>
            <w14:solidFill>
              <w14:schemeClr w14:val="tx1"/>
            </w14:solidFill>
          </w14:textFill>
        </w:rPr>
        <w:t>设</w:t>
      </w:r>
      <w:r>
        <w:t>计单位</w:t>
      </w:r>
      <w:r>
        <w:rPr>
          <w:rFonts w:hint="eastAsia"/>
        </w:rPr>
        <w:t>在工程施工前</w:t>
      </w:r>
      <w:r>
        <w:t>向</w:t>
      </w:r>
      <w:r>
        <w:rPr>
          <w:rFonts w:hint="eastAsia"/>
        </w:rPr>
        <w:t>施工、监理等有关参建</w:t>
      </w:r>
      <w:r>
        <w:t>单位进行设计交底</w:t>
      </w:r>
      <w:r>
        <w:rPr>
          <w:rFonts w:hint="eastAsia"/>
        </w:rPr>
        <w:t>；</w:t>
      </w:r>
      <w:r>
        <w:t>监理单位</w:t>
      </w:r>
      <w:r>
        <w:rPr>
          <w:rFonts w:hint="eastAsia"/>
        </w:rPr>
        <w:t>核</w:t>
      </w:r>
      <w:r>
        <w:t>查并签发施工图纸</w:t>
      </w:r>
      <w:r>
        <w:rPr>
          <w:rFonts w:hint="eastAsia"/>
        </w:rPr>
        <w:t>。</w:t>
      </w:r>
    </w:p>
    <w:p>
      <w:pPr>
        <w:pStyle w:val="149"/>
      </w:pPr>
      <w:r>
        <w:t>施工单位</w:t>
      </w:r>
      <w:r>
        <w:rPr>
          <w:rFonts w:hint="eastAsia"/>
          <w:color w:val="auto"/>
        </w:rPr>
        <w:t>宜</w:t>
      </w:r>
      <w:r>
        <w:rPr>
          <w:color w:val="auto"/>
        </w:rPr>
        <w:t>按照有利于施工质量控制</w:t>
      </w:r>
      <w:r>
        <w:rPr>
          <w:rFonts w:hint="eastAsia"/>
          <w:color w:val="auto"/>
        </w:rPr>
        <w:t>、工程验收、快速恢复供水及减少对村民和工商企业的影响</w:t>
      </w:r>
      <w:r>
        <w:rPr>
          <w:color w:val="auto"/>
        </w:rPr>
        <w:t>的原则，做好项目划分</w:t>
      </w:r>
      <w:r>
        <w:rPr>
          <w:rFonts w:hint="eastAsia"/>
          <w:color w:val="auto"/>
        </w:rPr>
        <w:t>。</w:t>
      </w:r>
    </w:p>
    <w:p>
      <w:pPr>
        <w:pStyle w:val="149"/>
        <w:rPr>
          <w:color w:val="000000" w:themeColor="text1"/>
          <w14:textFill>
            <w14:solidFill>
              <w14:schemeClr w14:val="tx1"/>
            </w14:solidFill>
          </w14:textFill>
        </w:rPr>
      </w:pPr>
      <w:bookmarkStart w:id="22" w:name="_Hlk162431884"/>
      <w:r>
        <w:rPr>
          <w:rFonts w:hint="eastAsia"/>
          <w:color w:val="000000" w:themeColor="text1"/>
          <w14:textFill>
            <w14:solidFill>
              <w14:schemeClr w14:val="tx1"/>
            </w14:solidFill>
          </w14:textFill>
        </w:rPr>
        <w:t>施工单位应编制切实可行施工组织设计等文件，报监理单位或建设单位审查，批准后才能实施项目”。</w:t>
      </w:r>
      <w:bookmarkEnd w:id="22"/>
    </w:p>
    <w:p>
      <w:pPr>
        <w:pStyle w:val="149"/>
      </w:pPr>
      <w:r>
        <w:rPr>
          <w:rFonts w:hint="eastAsia"/>
        </w:rPr>
        <w:t>工程</w:t>
      </w:r>
      <w:r>
        <w:t>应按</w:t>
      </w:r>
      <w:r>
        <w:rPr>
          <w:rFonts w:hint="eastAsia"/>
        </w:rPr>
        <w:t>施工图纸</w:t>
      </w:r>
      <w:r>
        <w:t>进行施工，未经许可不得擅自变更设计。</w:t>
      </w:r>
    </w:p>
    <w:p>
      <w:pPr>
        <w:pStyle w:val="149"/>
      </w:pPr>
      <w:r>
        <w:t>施工单位实行自审、会审（交底）和签证制度</w:t>
      </w:r>
      <w:r>
        <w:rPr>
          <w:rFonts w:hint="eastAsia"/>
        </w:rPr>
        <w:t>。</w:t>
      </w:r>
      <w:r>
        <w:t>发现施工图有疑问、差错时，应及时提出意见和建议</w:t>
      </w:r>
      <w:r>
        <w:rPr>
          <w:rFonts w:hint="eastAsia"/>
        </w:rPr>
        <w:t>。</w:t>
      </w:r>
      <w:r>
        <w:t>如需变更设计，应按照相应程序报审，经相关单位签证认定后实施。</w:t>
      </w:r>
    </w:p>
    <w:p>
      <w:pPr>
        <w:pStyle w:val="149"/>
      </w:pPr>
      <w:r>
        <w:t>施工单位</w:t>
      </w:r>
      <w:r>
        <w:rPr>
          <w:rFonts w:hint="eastAsia"/>
        </w:rPr>
        <w:t>应</w:t>
      </w:r>
      <w:r>
        <w:t>遵守国家和地方政府有关环境保护的法律、法规，采取有效措施控制施工现场的各种粉尘、废气、废弃物以及噪声、振动等对环境造成的污染和危害</w:t>
      </w:r>
      <w:r>
        <w:rPr>
          <w:rFonts w:hint="eastAsia"/>
        </w:rPr>
        <w:t>。</w:t>
      </w:r>
    </w:p>
    <w:p>
      <w:pPr>
        <w:pStyle w:val="149"/>
        <w:rPr>
          <w:rFonts w:hint="eastAsia"/>
        </w:rPr>
      </w:pPr>
      <w:r>
        <w:t>施工单位</w:t>
      </w:r>
      <w:r>
        <w:rPr>
          <w:rFonts w:hint="eastAsia"/>
        </w:rPr>
        <w:t>应</w:t>
      </w:r>
      <w:r>
        <w:t>取得安全生产许可证，并应遵守有关施工安全、劳动保护、防火、防毒的法律、法规，建立安全管理体系和安全生产责任制，确保安全施工</w:t>
      </w:r>
      <w:r>
        <w:rPr>
          <w:rFonts w:hint="eastAsia"/>
        </w:rPr>
        <w:t>。对危险性较大的分部（单元）工程按相关要求编制专项施工方案。</w:t>
      </w:r>
    </w:p>
    <w:p>
      <w:pPr>
        <w:pStyle w:val="149"/>
      </w:pPr>
      <w:r>
        <w:rPr>
          <w:rFonts w:hint="eastAsia"/>
        </w:rPr>
        <w:t>村内供水管网</w:t>
      </w:r>
      <w:r>
        <w:t>各</w:t>
      </w:r>
      <w:r>
        <w:rPr>
          <w:rFonts w:hint="eastAsia"/>
        </w:rPr>
        <w:t>单元（工序）</w:t>
      </w:r>
      <w:r>
        <w:rPr>
          <w:rFonts w:hint="eastAsia"/>
          <w:lang w:eastAsia="zh-CN"/>
        </w:rPr>
        <w:t>或分项</w:t>
      </w:r>
      <w:r>
        <w:t>工程应按照施工技术标准进行质量控制，每</w:t>
      </w:r>
      <w:r>
        <w:rPr>
          <w:rFonts w:hint="eastAsia"/>
        </w:rPr>
        <w:t>个单元（工序）</w:t>
      </w:r>
      <w:r>
        <w:rPr>
          <w:rFonts w:hint="eastAsia"/>
          <w:lang w:eastAsia="zh-CN"/>
        </w:rPr>
        <w:t>或分项工程</w:t>
      </w:r>
      <w:r>
        <w:t>完成后，</w:t>
      </w:r>
      <w:r>
        <w:rPr>
          <w:rFonts w:hint="eastAsia"/>
        </w:rPr>
        <w:t>应</w:t>
      </w:r>
      <w:r>
        <w:t>进行检验；所有</w:t>
      </w:r>
      <w:r>
        <w:rPr>
          <w:rFonts w:hint="eastAsia"/>
        </w:rPr>
        <w:t>重要</w:t>
      </w:r>
      <w:r>
        <w:t>隐蔽工程</w:t>
      </w:r>
      <w:r>
        <w:rPr>
          <w:rFonts w:hint="eastAsia"/>
        </w:rPr>
        <w:t>应</w:t>
      </w:r>
      <w:r>
        <w:t>进行隐蔽</w:t>
      </w:r>
      <w:r>
        <w:rPr>
          <w:rFonts w:hint="eastAsia"/>
        </w:rPr>
        <w:t>工程联合</w:t>
      </w:r>
      <w:r>
        <w:t>验收，未经检验或验收不合格不得进行下道</w:t>
      </w:r>
      <w:r>
        <w:rPr>
          <w:rFonts w:hint="eastAsia"/>
        </w:rPr>
        <w:t>单元（工序）</w:t>
      </w:r>
      <w:r>
        <w:rPr>
          <w:rFonts w:hint="eastAsia"/>
          <w:lang w:eastAsia="zh-CN"/>
        </w:rPr>
        <w:t>或分项</w:t>
      </w:r>
      <w:r>
        <w:t>工程。</w:t>
      </w:r>
      <w:r>
        <w:rPr>
          <w:rFonts w:hint="eastAsia"/>
        </w:rPr>
        <w:t>”</w:t>
      </w:r>
    </w:p>
    <w:p>
      <w:pPr>
        <w:pStyle w:val="149"/>
      </w:pPr>
      <w:r>
        <w:t>在质量检验、验收中使用的计量器具和检测设备，</w:t>
      </w:r>
      <w:r>
        <w:rPr>
          <w:rFonts w:hint="eastAsia"/>
        </w:rPr>
        <w:t>应</w:t>
      </w:r>
      <w:r>
        <w:t>经计量检定、校准合格后方可使用。承担材料和设备检测的单位，应具备相应的资质。</w:t>
      </w:r>
      <w:r>
        <w:rPr>
          <w:rFonts w:hint="eastAsia"/>
        </w:rPr>
        <w:t>承担水样检测的单位应</w:t>
      </w:r>
      <w:r>
        <w:rPr>
          <w:rFonts w:hint="eastAsia"/>
          <w:lang w:eastAsia="zh-CN"/>
        </w:rPr>
        <w:t>具备</w:t>
      </w:r>
      <w:r>
        <w:rPr>
          <w:rFonts w:hint="eastAsia"/>
        </w:rPr>
        <w:t>相应的资质或能力。</w:t>
      </w:r>
    </w:p>
    <w:p>
      <w:pPr>
        <w:pStyle w:val="149"/>
      </w:pPr>
      <w:r>
        <w:t>施工单位应按照相应的施工技术标准对工程施工质量进行全过程控制，建设单位</w:t>
      </w:r>
      <w:r>
        <w:rPr>
          <w:rFonts w:hint="eastAsia"/>
          <w:lang w:eastAsia="zh-CN"/>
        </w:rPr>
        <w:t>、</w:t>
      </w:r>
      <w:r>
        <w:rPr>
          <w:rFonts w:hint="eastAsia"/>
        </w:rPr>
        <w:t>代建单位（项目管理单位）</w:t>
      </w:r>
      <w:r>
        <w:t>、勘察单位、设计单位、监理单位等各方应按有关规定对工程质量进行管理。</w:t>
      </w:r>
    </w:p>
    <w:p>
      <w:pPr>
        <w:pStyle w:val="149"/>
        <w:rPr>
          <w:color w:val="000000" w:themeColor="text1"/>
          <w14:textFill>
            <w14:solidFill>
              <w14:schemeClr w14:val="tx1"/>
            </w14:solidFill>
          </w14:textFill>
        </w:rPr>
      </w:pPr>
      <w:r>
        <w:rPr>
          <w:color w:val="000000" w:themeColor="text1"/>
          <w14:textFill>
            <w14:solidFill>
              <w14:schemeClr w14:val="tx1"/>
            </w14:solidFill>
          </w14:textFill>
        </w:rPr>
        <w:t>对符合验收条件的工程应由建设单位按</w:t>
      </w:r>
      <w:r>
        <w:rPr>
          <w:rFonts w:hint="eastAsia"/>
          <w:color w:val="000000" w:themeColor="text1"/>
          <w14:textFill>
            <w14:solidFill>
              <w14:schemeClr w14:val="tx1"/>
            </w14:solidFill>
          </w14:textFill>
        </w:rPr>
        <w:t>相关规范及时</w:t>
      </w:r>
      <w:r>
        <w:rPr>
          <w:color w:val="000000" w:themeColor="text1"/>
          <w14:textFill>
            <w14:solidFill>
              <w14:schemeClr w14:val="tx1"/>
            </w14:solidFill>
          </w14:textFill>
        </w:rPr>
        <w:t>组织验收。施工、勘察、设计、监理等单位等有关负责人以及该工程的管理或</w:t>
      </w:r>
      <w:r>
        <w:rPr>
          <w:rFonts w:hint="eastAsia"/>
          <w:color w:val="000000" w:themeColor="text1"/>
          <w14:textFill>
            <w14:solidFill>
              <w14:schemeClr w14:val="tx1"/>
            </w14:solidFill>
          </w14:textFill>
        </w:rPr>
        <w:t>运行管理单位负责人</w:t>
      </w:r>
      <w:r>
        <w:rPr>
          <w:color w:val="000000" w:themeColor="text1"/>
          <w14:textFill>
            <w14:solidFill>
              <w14:schemeClr w14:val="tx1"/>
            </w14:solidFill>
          </w14:textFill>
        </w:rPr>
        <w:t>应参加验收。</w:t>
      </w:r>
    </w:p>
    <w:p>
      <w:pPr>
        <w:pStyle w:val="149"/>
      </w:pPr>
      <w:r>
        <w:rPr>
          <w:rFonts w:hint="eastAsia"/>
        </w:rPr>
        <w:t>工程应经过检验、验收、签证合格后，方可投入使用。</w:t>
      </w:r>
    </w:p>
    <w:p>
      <w:pPr>
        <w:pStyle w:val="149"/>
      </w:pPr>
      <w:r>
        <w:t>工程竣工验收后，建设单位应将有关文件和技术资料归档。</w:t>
      </w:r>
    </w:p>
    <w:p>
      <w:pPr>
        <w:pStyle w:val="49"/>
        <w:spacing w:before="312" w:after="312"/>
      </w:pPr>
      <w:bookmarkStart w:id="23" w:name="_Toc129187511"/>
      <w:r>
        <w:rPr>
          <w:rFonts w:hint="eastAsia"/>
        </w:rPr>
        <w:t>项目划分</w:t>
      </w:r>
      <w:bookmarkEnd w:id="23"/>
    </w:p>
    <w:p>
      <w:pPr>
        <w:pStyle w:val="46"/>
        <w:spacing w:before="156" w:after="156"/>
        <w:rPr>
          <w:highlight w:val="none"/>
        </w:rPr>
      </w:pPr>
      <w:bookmarkStart w:id="24" w:name="_Toc129187512"/>
      <w:bookmarkStart w:id="25" w:name="_Toc10158"/>
      <w:bookmarkStart w:id="26" w:name="_Toc1383607259"/>
      <w:bookmarkStart w:id="27" w:name="_Toc1734780376"/>
      <w:bookmarkStart w:id="28" w:name="_Toc8339"/>
      <w:bookmarkStart w:id="29" w:name="_Toc28416"/>
      <w:r>
        <w:rPr>
          <w:rFonts w:hint="eastAsia"/>
          <w:highlight w:val="none"/>
        </w:rPr>
        <w:t>通则</w:t>
      </w:r>
      <w:bookmarkEnd w:id="24"/>
    </w:p>
    <w:p>
      <w:pPr>
        <w:pStyle w:val="150"/>
        <w:ind w:left="0"/>
      </w:pPr>
      <w:r>
        <w:rPr>
          <w:rFonts w:hint="eastAsia"/>
          <w:color w:val="000000" w:themeColor="text1"/>
          <w14:textFill>
            <w14:solidFill>
              <w14:schemeClr w14:val="tx1"/>
            </w14:solidFill>
          </w14:textFill>
        </w:rPr>
        <w:t>农村供水管网工程质量检验与评定</w:t>
      </w:r>
      <w:r>
        <w:rPr>
          <w:rFonts w:hint="eastAsia"/>
          <w:color w:val="000000" w:themeColor="text1"/>
          <w:lang w:eastAsia="zh-CN"/>
          <w14:textFill>
            <w14:solidFill>
              <w14:schemeClr w14:val="tx1"/>
            </w14:solidFill>
          </w14:textFill>
        </w:rPr>
        <w:t>宜</w:t>
      </w:r>
      <w:r>
        <w:rPr>
          <w:rFonts w:hint="eastAsia"/>
          <w:color w:val="000000" w:themeColor="text1"/>
          <w14:textFill>
            <w14:solidFill>
              <w14:schemeClr w14:val="tx1"/>
            </w14:solidFill>
          </w14:textFill>
        </w:rPr>
        <w:t>进行项目划分。项目一般按级应划分为单位工程、分部工程、单元工程（工序）等三级；投资规模比较小的维养、提升巩固可以采用合同工程、单元（工序）等方式</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 xml:space="preserve">          </w:t>
      </w:r>
      <w:r>
        <w:rPr>
          <w:rFonts w:hint="eastAsia"/>
          <w:lang w:val="en-US" w:eastAsia="zh-CN"/>
        </w:rPr>
        <w:t xml:space="preserve">                                          </w:t>
      </w:r>
    </w:p>
    <w:p>
      <w:pPr>
        <w:pStyle w:val="150"/>
        <w:ind w:left="0"/>
      </w:pPr>
      <w:r>
        <w:rPr>
          <w:rFonts w:hint="eastAsia"/>
        </w:rPr>
        <w:t>项目划分应结合农村供水管网工程特点、施工部署及施工合同要求进行，划分结果应有利于施工质量</w:t>
      </w:r>
      <w:r>
        <w:rPr>
          <w:rFonts w:hint="eastAsia"/>
          <w:lang w:eastAsia="zh-CN"/>
        </w:rPr>
        <w:t>管控</w:t>
      </w:r>
      <w:r>
        <w:rPr>
          <w:rFonts w:hint="eastAsia"/>
        </w:rPr>
        <w:t>、保证施工质量管理</w:t>
      </w:r>
      <w:r>
        <w:rPr>
          <w:rFonts w:hint="eastAsia"/>
          <w:lang w:eastAsia="zh-CN"/>
        </w:rPr>
        <w:t>，保障</w:t>
      </w:r>
      <w:r>
        <w:rPr>
          <w:rFonts w:hint="eastAsia"/>
        </w:rPr>
        <w:t>快速恢复供水。</w:t>
      </w:r>
    </w:p>
    <w:p>
      <w:pPr>
        <w:pStyle w:val="46"/>
        <w:spacing w:before="156" w:after="156"/>
      </w:pPr>
      <w:bookmarkStart w:id="30" w:name="_Toc129187513"/>
      <w:r>
        <w:rPr>
          <w:rFonts w:hint="eastAsia"/>
        </w:rPr>
        <w:t>项目划分原则</w:t>
      </w:r>
      <w:bookmarkEnd w:id="30"/>
    </w:p>
    <w:p>
      <w:pPr>
        <w:pStyle w:val="150"/>
        <w:ind w:left="0"/>
      </w:pPr>
      <w:r>
        <w:rPr>
          <w:rFonts w:hint="eastAsia"/>
        </w:rPr>
        <w:t>依据农村供水管网供水施工特点及现场施工经验，依据方便工程管理、尽快恢复供水的原则进行各级工程项目划分。</w:t>
      </w:r>
    </w:p>
    <w:p>
      <w:pPr>
        <w:pStyle w:val="150"/>
        <w:ind w:left="0"/>
      </w:pPr>
      <w:r>
        <w:rPr>
          <w:rFonts w:hint="eastAsia"/>
        </w:rPr>
        <w:t>单位工程项目的划分按下列原则确定：</w:t>
      </w:r>
    </w:p>
    <w:p>
      <w:pPr>
        <w:pStyle w:val="150"/>
        <w:numPr>
          <w:ilvl w:val="0"/>
          <w:numId w:val="0"/>
        </w:numPr>
        <w:ind w:firstLine="420" w:firstLineChars="200"/>
      </w:pPr>
      <w:r>
        <w:rPr>
          <w:rFonts w:hint="eastAsia"/>
        </w:rPr>
        <w:t>宜依据施工合同标段并结合项目区划分单位工程，如果工程规模和工程量分配极不平衡，也可根据工程量做出适当合并和分拆。</w:t>
      </w:r>
    </w:p>
    <w:p>
      <w:pPr>
        <w:pStyle w:val="150"/>
        <w:ind w:left="0"/>
      </w:pPr>
      <w:r>
        <w:rPr>
          <w:rFonts w:hint="eastAsia"/>
        </w:rPr>
        <w:t>分部工程项目的划分应按下列原则确定：</w:t>
      </w:r>
    </w:p>
    <w:p>
      <w:pPr>
        <w:pStyle w:val="150"/>
        <w:numPr>
          <w:ilvl w:val="0"/>
          <w:numId w:val="0"/>
        </w:numPr>
        <w:ind w:firstLine="735" w:firstLineChars="350"/>
      </w:pPr>
      <w:r>
        <w:rPr>
          <w:rFonts w:hint="eastAsia"/>
        </w:rPr>
        <w:t>宜按照项目工程量结合项目区划分。</w:t>
      </w:r>
    </w:p>
    <w:p>
      <w:pPr>
        <w:pStyle w:val="150"/>
        <w:ind w:left="0"/>
      </w:pPr>
      <w:r>
        <w:rPr>
          <w:rFonts w:hint="eastAsia"/>
        </w:rPr>
        <w:t>单元工程项目的划分应按下列原则确定：</w:t>
      </w:r>
    </w:p>
    <w:p>
      <w:pPr>
        <w:pStyle w:val="63"/>
      </w:pPr>
      <w:r>
        <w:rPr>
          <w:rFonts w:hint="eastAsia"/>
        </w:rPr>
        <w:t>村内给水管网工程项目规模较小，划分单元工程数量不易过细，宜按照施工图给水主管道的分布，按主要街道或者给水控制区域或检修控制区域（以下统称为控制区域）等作为单元工程划分规模的标准。</w:t>
      </w:r>
    </w:p>
    <w:p>
      <w:pPr>
        <w:pStyle w:val="63"/>
        <w:rPr>
          <w:rFonts w:hint="eastAsia"/>
        </w:rPr>
      </w:pPr>
      <w:r>
        <w:rPr>
          <w:rFonts w:hint="eastAsia"/>
        </w:rPr>
        <w:t>同一控制区域内明挖管道安装单元工程，应以</w:t>
      </w:r>
      <w:r>
        <w:rPr>
          <w:rFonts w:hint="eastAsia"/>
          <w:lang w:eastAsia="zh-CN"/>
        </w:rPr>
        <w:t>入户</w:t>
      </w:r>
      <w:r>
        <w:rPr>
          <w:rFonts w:hint="eastAsia"/>
        </w:rPr>
        <w:t>水表井为分界，水表井上游的管道为主管道，</w:t>
      </w:r>
      <w:r>
        <w:rPr>
          <w:rFonts w:hint="eastAsia"/>
          <w:lang w:eastAsia="zh-CN"/>
        </w:rPr>
        <w:t>入户</w:t>
      </w:r>
      <w:r>
        <w:rPr>
          <w:rFonts w:hint="eastAsia"/>
        </w:rPr>
        <w:t>水表井下游的管道为入户管道；按照管沟土方开挖、主管道安装、主管道敷设、入户管</w:t>
      </w:r>
      <w:r>
        <w:rPr>
          <w:rFonts w:hint="eastAsia"/>
          <w:lang w:eastAsia="zh-CN"/>
        </w:rPr>
        <w:t>道</w:t>
      </w:r>
      <w:r>
        <w:rPr>
          <w:rFonts w:hint="eastAsia"/>
        </w:rPr>
        <w:t>、管沟土方回填等分别划分为1个单元工程。入户管道宜划分为一个单元工程，主要工序包括入户管沟开挖、入户管敷设、入户管连接、管沟土方回填、入户水钻施工、地面与路面恢复、立杆与水龙头等</w:t>
      </w:r>
    </w:p>
    <w:p>
      <w:pPr>
        <w:pStyle w:val="63"/>
      </w:pPr>
      <w:r>
        <w:rPr>
          <w:rFonts w:hint="eastAsia"/>
        </w:rPr>
        <w:t>同一控制区域内建筑物单元</w:t>
      </w:r>
      <w:r>
        <w:rPr>
          <w:rFonts w:hint="eastAsia"/>
          <w:color w:val="000000" w:themeColor="text1"/>
          <w14:textFill>
            <w14:solidFill>
              <w14:schemeClr w14:val="tx1"/>
            </w14:solidFill>
          </w14:textFill>
        </w:rPr>
        <w:t>工程，主要包括水表井、检修阀门井等，按照</w:t>
      </w:r>
      <w:r>
        <w:rPr>
          <w:rFonts w:hint="eastAsia"/>
          <w:color w:val="000000" w:themeColor="text1"/>
          <w:lang w:eastAsia="zh-CN"/>
          <w14:textFill>
            <w14:solidFill>
              <w14:schemeClr w14:val="tx1"/>
            </w14:solidFill>
          </w14:textFill>
        </w:rPr>
        <w:t>同一类型</w:t>
      </w:r>
      <w:r>
        <w:rPr>
          <w:rFonts w:hint="eastAsia"/>
          <w:color w:val="000000" w:themeColor="text1"/>
          <w14:textFill>
            <w14:solidFill>
              <w14:schemeClr w14:val="tx1"/>
            </w14:solidFill>
          </w14:textFill>
        </w:rPr>
        <w:t>划分为一个单元工程，一个单元工程包括阀井数量一般不超过10个。</w:t>
      </w:r>
    </w:p>
    <w:p>
      <w:pPr>
        <w:pStyle w:val="63"/>
      </w:pPr>
      <w:r>
        <w:rPr>
          <w:rFonts w:hint="eastAsia"/>
        </w:rPr>
        <w:t>同一控制区域内非开挖穿越单元工程，主要包括非开挖定向钻和小型水钻顶管施工等，按照施工图结合现场实际需要分别划分为1个单元工程。</w:t>
      </w:r>
    </w:p>
    <w:p>
      <w:pPr>
        <w:pStyle w:val="63"/>
      </w:pPr>
      <w:r>
        <w:rPr>
          <w:rFonts w:hint="eastAsia"/>
        </w:rPr>
        <w:t>同一控制区域内街区硬化及路面恢复单元工程，主要包括明挖管道破坏的街区硬化和路面的基层和面层的恢复等，划分为1个单元工程。</w:t>
      </w:r>
    </w:p>
    <w:p>
      <w:pPr>
        <w:pStyle w:val="46"/>
        <w:spacing w:before="156" w:after="156"/>
      </w:pPr>
      <w:bookmarkStart w:id="31" w:name="_Toc129187514"/>
      <w:r>
        <w:rPr>
          <w:rFonts w:hint="eastAsia"/>
        </w:rPr>
        <w:t>项目划分程序</w:t>
      </w:r>
      <w:bookmarkEnd w:id="31"/>
    </w:p>
    <w:p>
      <w:pPr>
        <w:pStyle w:val="150"/>
        <w:ind w:left="0"/>
      </w:pPr>
      <w:r>
        <w:rPr>
          <w:rFonts w:hint="eastAsia"/>
        </w:rPr>
        <w:t>由项目法人组织监理、设计及施工等单位进行工程项目划分，并确定主要单位工程、主要分部工程、重要隐蔽单元工程和关键部位单元工程。项目法人在主体工程开工前将项目划分表及说明书面报相应工程质量监督机构确认。</w:t>
      </w:r>
    </w:p>
    <w:p>
      <w:pPr>
        <w:pStyle w:val="150"/>
        <w:ind w:left="0"/>
      </w:pPr>
      <w:r>
        <w:rPr>
          <w:rFonts w:hint="eastAsia"/>
        </w:rPr>
        <w:t>工程质量监督机构收到项目划分书面报告后，应在14个工作日内对项目划分进行确认并将确认结果书面通知项目法人。</w:t>
      </w:r>
    </w:p>
    <w:p>
      <w:pPr>
        <w:pStyle w:val="150"/>
        <w:ind w:left="0"/>
        <w:rPr>
          <w:rFonts w:ascii="黑体" w:hAnsi="黑体" w:eastAsia="黑体" w:cs="黑体"/>
          <w:bCs/>
          <w:kern w:val="44"/>
        </w:rPr>
      </w:pPr>
      <w:r>
        <w:rPr>
          <w:rFonts w:hint="eastAsia"/>
        </w:rPr>
        <w:t>工程实施过程中，需对单位工程、主要分部工程、重要隐蔽单元工程和关键部位单元工程的项目划分进行调整时，项目法人应重新报送工程质量监督机构确认。</w:t>
      </w:r>
    </w:p>
    <w:bookmarkEnd w:id="25"/>
    <w:bookmarkEnd w:id="26"/>
    <w:p>
      <w:pPr>
        <w:pStyle w:val="49"/>
        <w:spacing w:before="312" w:after="312"/>
      </w:pPr>
      <w:bookmarkStart w:id="32" w:name="_Toc129187515"/>
      <w:bookmarkStart w:id="33" w:name="_Toc1173107068"/>
      <w:r>
        <w:rPr>
          <w:rFonts w:hint="eastAsia"/>
        </w:rPr>
        <w:t>管道埋设工程</w:t>
      </w:r>
      <w:bookmarkEnd w:id="32"/>
    </w:p>
    <w:p>
      <w:pPr>
        <w:pStyle w:val="46"/>
        <w:spacing w:before="156" w:after="156"/>
      </w:pPr>
      <w:bookmarkStart w:id="34" w:name="_Toc129187516"/>
      <w:r>
        <w:rPr>
          <w:rFonts w:hint="eastAsia"/>
        </w:rPr>
        <w:t>通则</w:t>
      </w:r>
      <w:bookmarkEnd w:id="34"/>
    </w:p>
    <w:p>
      <w:pPr>
        <w:pStyle w:val="150"/>
        <w:ind w:left="0"/>
      </w:pPr>
      <w:r>
        <w:rPr>
          <w:rFonts w:hint="eastAsia"/>
        </w:rPr>
        <w:t>本章适用于农村</w:t>
      </w:r>
      <w:r>
        <w:rPr>
          <w:rFonts w:hint="eastAsia"/>
          <w:lang w:eastAsia="zh-CN"/>
        </w:rPr>
        <w:t>村内</w:t>
      </w:r>
      <w:r>
        <w:rPr>
          <w:rFonts w:hint="eastAsia"/>
        </w:rPr>
        <w:t>供水管道埋设。</w:t>
      </w:r>
    </w:p>
    <w:p>
      <w:pPr>
        <w:pStyle w:val="150"/>
        <w:ind w:left="0"/>
      </w:pPr>
      <w:r>
        <w:rPr>
          <w:rFonts w:hint="eastAsia"/>
        </w:rPr>
        <w:t>管道沟槽开挖前，建设单位应组织勘查、设计单位向施工单位对施工区域内的地埋物进行交底。施工区域地埋物位置数据不详或新发现的地埋物，应联系地埋物的产权单位进行辩识并做好详细的记录和标识。</w:t>
      </w:r>
    </w:p>
    <w:p>
      <w:pPr>
        <w:pStyle w:val="150"/>
        <w:ind w:left="0"/>
      </w:pPr>
      <w:r>
        <w:rPr>
          <w:rFonts w:hint="eastAsia"/>
        </w:rPr>
        <w:t>管道沟槽开挖前应对临近河渠和排水构筑物的区域提前进行查看，做好应对外水浸入沟槽的防护措施准备工作。</w:t>
      </w:r>
    </w:p>
    <w:p>
      <w:pPr>
        <w:pStyle w:val="150"/>
        <w:ind w:left="0"/>
      </w:pPr>
      <w:r>
        <w:rPr>
          <w:rFonts w:hint="eastAsia"/>
        </w:rPr>
        <w:t>沟槽开挖前应做好清表工作，对拆除的各类地表建筑垃圾清理出开挖断面及土方临时堆放区域。</w:t>
      </w:r>
    </w:p>
    <w:p>
      <w:pPr>
        <w:pStyle w:val="150"/>
        <w:ind w:left="0"/>
      </w:pPr>
      <w:r>
        <w:rPr>
          <w:rFonts w:hint="eastAsia"/>
        </w:rPr>
        <w:t>沟槽开挖方式选择应符合下列规定。</w:t>
      </w:r>
    </w:p>
    <w:p>
      <w:pPr>
        <w:pStyle w:val="63"/>
        <w:numPr>
          <w:ilvl w:val="0"/>
          <w:numId w:val="20"/>
        </w:numPr>
      </w:pPr>
      <w:r>
        <w:rPr>
          <w:rFonts w:hint="eastAsia"/>
        </w:rPr>
        <w:t>设计管道埋深范围内为自然土层的施工区域且地埋物较少的可采用轮盘式开沟机开挖或反铲式挖掘机开挖。</w:t>
      </w:r>
    </w:p>
    <w:p>
      <w:pPr>
        <w:pStyle w:val="63"/>
      </w:pPr>
      <w:r>
        <w:rPr>
          <w:rFonts w:hint="eastAsia"/>
        </w:rPr>
        <w:t>设计管道位于硬化路面的施工区域，且土质含建筑垃圾土等原人为扰动土层区域，采用反铲式挖掘机开挖。</w:t>
      </w:r>
    </w:p>
    <w:p>
      <w:pPr>
        <w:pStyle w:val="63"/>
      </w:pPr>
      <w:r>
        <w:rPr>
          <w:rFonts w:hint="eastAsia"/>
        </w:rPr>
        <w:t>管道埋设位置不具备开槽作业场地的施工区域可采用水平定向钻穿越的施工方法。</w:t>
      </w:r>
    </w:p>
    <w:p>
      <w:pPr>
        <w:pStyle w:val="63"/>
      </w:pPr>
      <w:r>
        <w:rPr>
          <w:rFonts w:hint="eastAsia"/>
        </w:rPr>
        <w:t>部分穿越乡村硬化路面施工段除采用开挖铺设管道的施工方法，也可采用水孔钻孔的施工方法。</w:t>
      </w:r>
    </w:p>
    <w:p>
      <w:pPr>
        <w:pStyle w:val="63"/>
      </w:pPr>
      <w:r>
        <w:rPr>
          <w:rFonts w:hint="eastAsia"/>
        </w:rPr>
        <w:t>对于地埋物较多的路施工区域不具备以上埋设方式的，采用人工开挖。</w:t>
      </w:r>
    </w:p>
    <w:p>
      <w:pPr>
        <w:pStyle w:val="150"/>
        <w:ind w:left="0"/>
      </w:pPr>
      <w:r>
        <w:rPr>
          <w:rFonts w:hint="eastAsia"/>
        </w:rPr>
        <w:t>管道交叉处理应符合GB 50268的相关规定。</w:t>
      </w:r>
    </w:p>
    <w:p>
      <w:pPr>
        <w:pStyle w:val="150"/>
        <w:ind w:left="0"/>
      </w:pPr>
      <w:r>
        <w:rPr>
          <w:rFonts w:hint="eastAsia"/>
        </w:rPr>
        <w:t>管道沟槽位于农村硬化路面开挖施工，各结构层应留台宽度不小于15cm。混凝土面层应采用切割机切缝后拆除，铺砖面层应采用人工拆除到设计开挖边线。</w:t>
      </w:r>
    </w:p>
    <w:p>
      <w:pPr>
        <w:pStyle w:val="150"/>
        <w:ind w:left="0"/>
      </w:pPr>
      <w:r>
        <w:rPr>
          <w:rFonts w:hint="eastAsia"/>
        </w:rPr>
        <w:t>管道入沟槽后应及时回填，防止外水进入管道沟槽引起管道漂浮。</w:t>
      </w:r>
    </w:p>
    <w:p>
      <w:pPr>
        <w:pStyle w:val="46"/>
        <w:spacing w:before="156" w:after="156"/>
      </w:pPr>
      <w:bookmarkStart w:id="35" w:name="_Toc129187517"/>
      <w:r>
        <w:rPr>
          <w:rFonts w:hint="eastAsia"/>
        </w:rPr>
        <w:t>施工降排水</w:t>
      </w:r>
      <w:bookmarkEnd w:id="35"/>
    </w:p>
    <w:p>
      <w:pPr>
        <w:pStyle w:val="150"/>
        <w:ind w:left="0"/>
      </w:pPr>
      <w:r>
        <w:rPr>
          <w:rFonts w:hint="eastAsia"/>
        </w:rPr>
        <w:t>临近排水管道的施工区域做好排水管道的封堵和导流，并做好排水措施。避免地下水、地表水、雨水、管道漏水都等流（渗）入管道沟槽，对管道产生污染及可能出现的浮力破坏。</w:t>
      </w:r>
    </w:p>
    <w:p>
      <w:pPr>
        <w:pStyle w:val="150"/>
        <w:ind w:left="0"/>
      </w:pPr>
      <w:r>
        <w:rPr>
          <w:rFonts w:hint="eastAsia"/>
        </w:rPr>
        <w:t>临近河渠及其它水位高于管道沟槽底高程的施工区域，做好降水和沟槽内明水的排水措施。</w:t>
      </w:r>
    </w:p>
    <w:p>
      <w:pPr>
        <w:pStyle w:val="150"/>
        <w:ind w:left="0"/>
      </w:pPr>
      <w:r>
        <w:rPr>
          <w:rFonts w:hint="eastAsia"/>
        </w:rPr>
        <w:t>降低地下水位深度应不小于管道沟槽底面以下0</w:t>
      </w:r>
      <w:r>
        <w:t>.</w:t>
      </w:r>
      <w:r>
        <w:rPr>
          <w:rFonts w:hint="eastAsia"/>
        </w:rPr>
        <w:t>5m。采用降水井降水应经过计算后合理布设井位置，并确保临近建筑物的安全；采用明沟排水施工时，明沟排水井应布置在管道沟槽范围以外且排水井间距不宜大于150m。</w:t>
      </w:r>
    </w:p>
    <w:p>
      <w:pPr>
        <w:pStyle w:val="46"/>
        <w:spacing w:before="156" w:after="156"/>
      </w:pPr>
      <w:bookmarkStart w:id="36" w:name="_Toc129187518"/>
      <w:r>
        <w:rPr>
          <w:rFonts w:hint="eastAsia"/>
        </w:rPr>
        <w:t>管道沟槽开挖</w:t>
      </w:r>
      <w:bookmarkEnd w:id="36"/>
    </w:p>
    <w:p>
      <w:pPr>
        <w:pStyle w:val="150"/>
        <w:ind w:left="0"/>
      </w:pPr>
      <w:r>
        <w:rPr>
          <w:rFonts w:hint="eastAsia"/>
        </w:rPr>
        <w:t>管道沟槽的位置应于相邻地上建筑物保持间距不小于1.5m。小于规定的距离应对建筑物做相应的保护措施。</w:t>
      </w:r>
    </w:p>
    <w:p>
      <w:pPr>
        <w:pStyle w:val="150"/>
        <w:ind w:left="0"/>
      </w:pPr>
      <w:r>
        <w:rPr>
          <w:rFonts w:hint="eastAsia"/>
        </w:rPr>
        <w:t>管道沟槽宜设置于道路日光照射时间相对较长的一侧。</w:t>
      </w:r>
    </w:p>
    <w:p>
      <w:pPr>
        <w:pStyle w:val="150"/>
        <w:ind w:left="0"/>
      </w:pPr>
      <w:r>
        <w:rPr>
          <w:rFonts w:hint="eastAsia"/>
        </w:rPr>
        <w:t>管道施工前应对地埋管线、电力通讯线缆、地下洞穴（地道）等地埋物进行复勘复测。一般通过人工开挖探坑方式确定地埋物具体位置。</w:t>
      </w:r>
    </w:p>
    <w:p>
      <w:pPr>
        <w:pStyle w:val="150"/>
        <w:ind w:left="0"/>
      </w:pPr>
      <w:r>
        <w:rPr>
          <w:rFonts w:hint="eastAsia"/>
          <w:lang w:eastAsia="zh-CN"/>
        </w:rPr>
        <w:t>管道开挖</w:t>
      </w:r>
      <w:r>
        <w:rPr>
          <w:rFonts w:hint="eastAsia"/>
        </w:rPr>
        <w:t>拆除的硬化路面等建筑垃圾应先清除外运，或与开挖的土方分类放置，避免建筑垃圾与土方混合。为避免雨季道路积水流入管道沟槽，开挖土方宜放置于临近道路一侧。</w:t>
      </w:r>
    </w:p>
    <w:p>
      <w:pPr>
        <w:pStyle w:val="150"/>
        <w:ind w:left="0"/>
      </w:pPr>
      <w:r>
        <w:rPr>
          <w:rFonts w:hint="eastAsia"/>
        </w:rPr>
        <w:t>管道沟槽基础面为淤泥、杂填土、树根等物应清除，对因地基杂物清除造成的超挖，可采用回填土夯实进行地基处理，压实度不低于原状土压实度。</w:t>
      </w:r>
    </w:p>
    <w:p>
      <w:pPr>
        <w:pStyle w:val="150"/>
        <w:ind w:left="0"/>
      </w:pPr>
      <w:r>
        <w:rPr>
          <w:rFonts w:hint="eastAsia"/>
        </w:rPr>
        <w:t>管道沟槽开挖应顺直、槽底平整，沟槽交汇处应平顺连接。槽底碎石、砖块杂物应清除。</w:t>
      </w:r>
    </w:p>
    <w:p>
      <w:pPr>
        <w:pStyle w:val="150"/>
        <w:ind w:left="0"/>
      </w:pPr>
      <w:r>
        <w:rPr>
          <w:rFonts w:hint="eastAsia"/>
        </w:rPr>
        <w:t>采用轮盘式开沟机开挖时应符合以下规定：</w:t>
      </w:r>
    </w:p>
    <w:p>
      <w:pPr>
        <w:pStyle w:val="63"/>
        <w:numPr>
          <w:ilvl w:val="0"/>
          <w:numId w:val="21"/>
        </w:numPr>
      </w:pPr>
      <w:r>
        <w:rPr>
          <w:rFonts w:hint="eastAsia"/>
        </w:rPr>
        <w:t>轮盘式开沟机适用于DN110以下管道的埋设开槽，且冻土深度小于70cm的地区施工。</w:t>
      </w:r>
    </w:p>
    <w:p>
      <w:pPr>
        <w:pStyle w:val="63"/>
        <w:numPr>
          <w:ilvl w:val="0"/>
          <w:numId w:val="21"/>
        </w:numPr>
      </w:pPr>
      <w:r>
        <w:rPr>
          <w:rFonts w:hint="eastAsia"/>
        </w:rPr>
        <w:t>沟槽开挖前测量放线，确定管道位置的中心线，沟槽开挖按已确定中心线位置施工，误差控制在允许范围内。</w:t>
      </w:r>
    </w:p>
    <w:p>
      <w:pPr>
        <w:pStyle w:val="63"/>
        <w:numPr>
          <w:ilvl w:val="0"/>
          <w:numId w:val="21"/>
        </w:numPr>
      </w:pPr>
      <w:r>
        <w:rPr>
          <w:rFonts w:hint="eastAsia"/>
        </w:rPr>
        <w:t>沟槽开挖后，检查开挖深度，开挖深度不小于当地最大标准冻土深度。</w:t>
      </w:r>
    </w:p>
    <w:p>
      <w:pPr>
        <w:pStyle w:val="150"/>
        <w:ind w:left="0"/>
      </w:pPr>
      <w:r>
        <w:rPr>
          <w:rFonts w:hint="eastAsia"/>
        </w:rPr>
        <w:t>采用反铲挖掘机开挖沟槽应符合以下规定：</w:t>
      </w:r>
    </w:p>
    <w:p>
      <w:pPr>
        <w:pStyle w:val="63"/>
        <w:numPr>
          <w:ilvl w:val="0"/>
          <w:numId w:val="22"/>
        </w:numPr>
      </w:pPr>
      <w:r>
        <w:rPr>
          <w:rFonts w:hint="eastAsia"/>
        </w:rPr>
        <w:t>沟槽底部的开挖宽度最小宽度不小于50cm，当设计要求宽度大于50cm应按设计要求施工；设计无要求时按GB 50268的相关规定执行。</w:t>
      </w:r>
    </w:p>
    <w:p>
      <w:pPr>
        <w:pStyle w:val="63"/>
        <w:rPr>
          <w:color w:val="000000" w:themeColor="text1"/>
          <w14:textFill>
            <w14:solidFill>
              <w14:schemeClr w14:val="tx1"/>
            </w14:solidFill>
          </w14:textFill>
        </w:rPr>
      </w:pPr>
      <w:r>
        <w:rPr>
          <w:rFonts w:hint="eastAsia"/>
        </w:rPr>
        <w:t>挖掘机开挖沟槽最陡坡度</w:t>
      </w:r>
      <w:r>
        <w:rPr>
          <w:rFonts w:hint="eastAsia"/>
          <w:lang w:eastAsia="zh-CN"/>
        </w:rPr>
        <w:t>宜</w:t>
      </w:r>
      <w:r>
        <w:rPr>
          <w:rFonts w:hint="eastAsia"/>
        </w:rPr>
        <w:t>符合GB 50268的相关规定</w:t>
      </w:r>
      <w:r>
        <w:rPr>
          <w:rFonts w:hint="eastAsia"/>
          <w:lang w:eastAsia="zh-CN"/>
        </w:rPr>
        <w:t>，在保障边坡稳定的前提西，可</w:t>
      </w:r>
      <w:r>
        <w:rPr>
          <w:rFonts w:hint="eastAsia" w:ascii="宋体" w:hAnsi="宋体" w:cs="宋体"/>
          <w:color w:val="000000" w:themeColor="text1"/>
          <w:kern w:val="0"/>
          <w:sz w:val="21"/>
          <w:szCs w:val="21"/>
          <w:lang w:bidi="en-US"/>
          <w14:textFill>
            <w14:solidFill>
              <w14:schemeClr w14:val="tx1"/>
            </w14:solidFill>
          </w14:textFill>
        </w:rPr>
        <w:t>适度</w:t>
      </w:r>
      <w:r>
        <w:rPr>
          <w:rFonts w:hint="eastAsia" w:hAnsi="宋体" w:cs="宋体"/>
          <w:color w:val="000000" w:themeColor="text1"/>
          <w:kern w:val="0"/>
          <w:sz w:val="21"/>
          <w:szCs w:val="21"/>
          <w:lang w:eastAsia="zh-CN" w:bidi="en-US"/>
          <w14:textFill>
            <w14:solidFill>
              <w14:schemeClr w14:val="tx1"/>
            </w14:solidFill>
          </w14:textFill>
        </w:rPr>
        <w:t>放宽最陡坡度要求</w:t>
      </w:r>
      <w:r>
        <w:rPr>
          <w:rFonts w:hint="eastAsia"/>
          <w:color w:val="000000" w:themeColor="text1"/>
          <w14:textFill>
            <w14:solidFill>
              <w14:schemeClr w14:val="tx1"/>
            </w14:solidFill>
          </w14:textFill>
        </w:rPr>
        <w:t>。</w:t>
      </w:r>
    </w:p>
    <w:p>
      <w:pPr>
        <w:pStyle w:val="63"/>
      </w:pPr>
      <w:r>
        <w:rPr>
          <w:rFonts w:hint="eastAsia"/>
        </w:rPr>
        <w:t>槽底的原状地基不得扰动，开挖时槽底预留15cm-20cm采工人工开挖。</w:t>
      </w:r>
    </w:p>
    <w:p>
      <w:pPr>
        <w:pStyle w:val="46"/>
        <w:spacing w:before="156" w:after="156"/>
      </w:pPr>
      <w:bookmarkStart w:id="37" w:name="_Toc129187519"/>
      <w:r>
        <w:rPr>
          <w:rFonts w:hint="eastAsia"/>
        </w:rPr>
        <w:t>管道沟槽回填</w:t>
      </w:r>
      <w:bookmarkEnd w:id="37"/>
    </w:p>
    <w:p>
      <w:pPr>
        <w:pStyle w:val="150"/>
        <w:ind w:left="0"/>
      </w:pPr>
      <w:r>
        <w:rPr>
          <w:rFonts w:hint="eastAsia"/>
        </w:rPr>
        <w:t>管道沟槽回填时，应在管道两侧同时回填。有条件的施工区域管材接口可在打压试验合格后回填。</w:t>
      </w:r>
    </w:p>
    <w:p>
      <w:pPr>
        <w:pStyle w:val="150"/>
        <w:ind w:left="0"/>
      </w:pPr>
      <w:r>
        <w:rPr>
          <w:rFonts w:hint="eastAsia"/>
        </w:rPr>
        <w:t>沟槽回填前应清除槽内杂物；沟槽内不得有积水；排水系统保持正常抽排，不得带水回填。</w:t>
      </w:r>
    </w:p>
    <w:p>
      <w:pPr>
        <w:pStyle w:val="150"/>
        <w:ind w:left="0"/>
      </w:pPr>
      <w:r>
        <w:rPr>
          <w:rFonts w:hint="eastAsia"/>
        </w:rPr>
        <w:t>回填土的质量要求应符合GB 50268的相关规定。</w:t>
      </w:r>
    </w:p>
    <w:p>
      <w:pPr>
        <w:pStyle w:val="150"/>
        <w:ind w:left="0"/>
      </w:pPr>
      <w:r>
        <w:rPr>
          <w:rFonts w:hint="eastAsia"/>
        </w:rPr>
        <w:t>回填时间宜在一昼夜中气温最低时段回填。</w:t>
      </w:r>
    </w:p>
    <w:p>
      <w:pPr>
        <w:pStyle w:val="150"/>
        <w:ind w:left="0"/>
      </w:pPr>
      <w:r>
        <w:rPr>
          <w:rFonts w:hint="eastAsia"/>
        </w:rPr>
        <w:t>管顶50cm范围内的回填土应采用轻型压实机具。</w:t>
      </w:r>
    </w:p>
    <w:p>
      <w:pPr>
        <w:pStyle w:val="150"/>
        <w:ind w:left="0"/>
      </w:pPr>
      <w:r>
        <w:rPr>
          <w:rFonts w:hint="eastAsia"/>
        </w:rPr>
        <w:t>回填土的虚铺厚度及夯实参照GB 50268的相关规定执行。</w:t>
      </w:r>
    </w:p>
    <w:p>
      <w:pPr>
        <w:pStyle w:val="46"/>
        <w:spacing w:before="156" w:after="156"/>
      </w:pPr>
      <w:bookmarkStart w:id="38" w:name="_Toc129187520"/>
      <w:r>
        <w:rPr>
          <w:rFonts w:hint="eastAsia"/>
        </w:rPr>
        <w:t>定向钻穿越</w:t>
      </w:r>
      <w:bookmarkEnd w:id="38"/>
    </w:p>
    <w:p>
      <w:pPr>
        <w:pStyle w:val="150"/>
        <w:ind w:left="0"/>
      </w:pPr>
      <w:r>
        <w:rPr>
          <w:rFonts w:hint="eastAsia"/>
        </w:rPr>
        <w:t>定向钻穿越埋设管道参照GB 50268</w:t>
      </w:r>
      <w:r>
        <w:rPr>
          <w:rFonts w:hint="eastAsia"/>
          <w:lang w:eastAsia="zh-CN"/>
        </w:rPr>
        <w:t>或地方标准</w:t>
      </w:r>
      <w:r>
        <w:rPr>
          <w:rFonts w:hint="eastAsia"/>
        </w:rPr>
        <w:t>相关规定执行。</w:t>
      </w:r>
    </w:p>
    <w:p>
      <w:pPr>
        <w:pStyle w:val="150"/>
        <w:ind w:left="0"/>
      </w:pPr>
      <w:r>
        <w:rPr>
          <w:rFonts w:hint="eastAsia"/>
        </w:rPr>
        <w:t>水平定向钻穿越的管道公称直径≤DN160埋设深度不宜大于1.5m，管道公称直径&gt;DN160的管道埋设深度不宜大于2.0m，且不小于项目所在地的最大冻土深度。</w:t>
      </w:r>
    </w:p>
    <w:p>
      <w:pPr>
        <w:pStyle w:val="150"/>
        <w:ind w:left="0"/>
      </w:pPr>
      <w:r>
        <w:rPr>
          <w:rFonts w:hint="eastAsia"/>
        </w:rPr>
        <w:t>水平定向钻的出入钻点宜设置在附件井位置，减少排气井的设置且便于附件井施工。</w:t>
      </w:r>
    </w:p>
    <w:p>
      <w:pPr>
        <w:pStyle w:val="46"/>
        <w:spacing w:before="156" w:after="156"/>
      </w:pPr>
      <w:bookmarkStart w:id="39" w:name="_Toc129187521"/>
      <w:r>
        <w:rPr>
          <w:rFonts w:hint="eastAsia"/>
        </w:rPr>
        <w:t>水钻打孔穿越</w:t>
      </w:r>
      <w:bookmarkEnd w:id="39"/>
    </w:p>
    <w:p>
      <w:pPr>
        <w:pStyle w:val="150"/>
        <w:ind w:left="0"/>
      </w:pPr>
      <w:r>
        <w:rPr>
          <w:rFonts w:hint="eastAsia"/>
        </w:rPr>
        <w:t>水钻打孔穿越管道适用于DN200以下管道穿越宽度在20m以下的乡村道路及不适合开挖的施工位置。</w:t>
      </w:r>
    </w:p>
    <w:p>
      <w:pPr>
        <w:pStyle w:val="150"/>
        <w:ind w:left="0"/>
      </w:pPr>
      <w:r>
        <w:rPr>
          <w:rFonts w:hint="eastAsia"/>
        </w:rPr>
        <w:t>水钻打孔穿越的钻孔孔径不宜大于设计供水管道外径4cm。</w:t>
      </w:r>
    </w:p>
    <w:p>
      <w:pPr>
        <w:pStyle w:val="150"/>
        <w:ind w:left="0"/>
      </w:pPr>
      <w:r>
        <w:rPr>
          <w:rFonts w:hint="eastAsia"/>
        </w:rPr>
        <w:t>水钻打孔工作坑开挖尺寸就满足打孔实际操作需要，坑底不得有明水、淤泥及杂物，保证工作坑底平整，保证干场作业。</w:t>
      </w:r>
    </w:p>
    <w:p>
      <w:pPr>
        <w:pStyle w:val="150"/>
        <w:ind w:left="0"/>
      </w:pPr>
      <w:r>
        <w:rPr>
          <w:rFonts w:hint="eastAsia"/>
        </w:rPr>
        <w:t>工作坑底应铺设厚度不小于5cm厚木板或1cm厚钢板，保证水钻工作场地基础稳定。</w:t>
      </w:r>
    </w:p>
    <w:p>
      <w:pPr>
        <w:pStyle w:val="150"/>
        <w:ind w:left="0"/>
      </w:pPr>
      <w:r>
        <w:rPr>
          <w:rFonts w:hint="eastAsia"/>
        </w:rPr>
        <w:t>水钻底座应对中整平，钻杆与管道设计中心线误差控制在0.3%，钻机固定牢固。钻孔水平误差控制不得超过1.5%，钻孔与管道中心线误差不得超过1.5%。</w:t>
      </w:r>
    </w:p>
    <w:p>
      <w:pPr>
        <w:pStyle w:val="150"/>
        <w:spacing w:before="240" w:after="240"/>
        <w:ind w:left="0"/>
        <w:rPr>
          <w:rFonts w:ascii="黑体" w:hAnsi="Times New Roman" w:eastAsia="黑体"/>
          <w:szCs w:val="20"/>
        </w:rPr>
      </w:pPr>
      <w:r>
        <w:rPr>
          <w:rFonts w:hint="eastAsia"/>
        </w:rPr>
        <w:t>钻孔完成及时从出钻孔穿越管道。</w:t>
      </w:r>
    </w:p>
    <w:p>
      <w:pPr>
        <w:pStyle w:val="49"/>
        <w:spacing w:before="312" w:after="312"/>
      </w:pPr>
      <w:bookmarkStart w:id="40" w:name="_Toc129187522"/>
      <w:r>
        <w:rPr>
          <w:rFonts w:hint="eastAsia"/>
        </w:rPr>
        <w:t>开槽施工管道主体结构</w:t>
      </w:r>
      <w:bookmarkEnd w:id="40"/>
    </w:p>
    <w:p>
      <w:pPr>
        <w:pStyle w:val="46"/>
        <w:spacing w:before="156" w:after="156"/>
      </w:pPr>
      <w:bookmarkStart w:id="41" w:name="_Toc129187523"/>
      <w:r>
        <w:rPr>
          <w:rFonts w:hint="eastAsia"/>
        </w:rPr>
        <w:t>通则</w:t>
      </w:r>
      <w:bookmarkEnd w:id="41"/>
    </w:p>
    <w:p>
      <w:pPr>
        <w:pStyle w:val="150"/>
        <w:ind w:left="0"/>
      </w:pPr>
      <w:r>
        <w:rPr>
          <w:rFonts w:hint="eastAsia"/>
        </w:rPr>
        <w:t>本章适用于农村供水的公称直径≤ DN315的硬聚氯乙烯管、聚乙烯管及其复合管供水管道主体结构施工。</w:t>
      </w:r>
    </w:p>
    <w:p>
      <w:pPr>
        <w:pStyle w:val="150"/>
        <w:ind w:left="0"/>
      </w:pPr>
      <w:r>
        <w:rPr>
          <w:rFonts w:hint="eastAsia"/>
        </w:rPr>
        <w:t>管节、管件、胶圈等主要工程材料应符合设计要求。</w:t>
      </w:r>
    </w:p>
    <w:p>
      <w:pPr>
        <w:pStyle w:val="150"/>
        <w:ind w:left="0"/>
      </w:pPr>
      <w:r>
        <w:rPr>
          <w:rFonts w:hint="eastAsia"/>
        </w:rPr>
        <w:t>管节、管件的贮存、运输、装卸、堆放应符合GB 50268的相关规定要求。</w:t>
      </w:r>
    </w:p>
    <w:p>
      <w:pPr>
        <w:pStyle w:val="150"/>
        <w:ind w:left="0"/>
      </w:pPr>
      <w:r>
        <w:rPr>
          <w:rFonts w:hint="eastAsia"/>
        </w:rPr>
        <w:t>橡胶圈贮存、运输应符合GB 50268的相关规定要求。</w:t>
      </w:r>
    </w:p>
    <w:p>
      <w:pPr>
        <w:pStyle w:val="150"/>
        <w:ind w:left="0"/>
      </w:pPr>
      <w:r>
        <w:rPr>
          <w:rFonts w:hint="eastAsia"/>
        </w:rPr>
        <w:t>采用承插口连接的管节，橡胶圈涂刷的润滑剂应无毒且不得腐蚀橡胶圈。</w:t>
      </w:r>
    </w:p>
    <w:p>
      <w:pPr>
        <w:pStyle w:val="46"/>
        <w:spacing w:before="156" w:after="156"/>
      </w:pPr>
      <w:bookmarkStart w:id="42" w:name="_Toc129187524"/>
      <w:r>
        <w:rPr>
          <w:rFonts w:hint="eastAsia"/>
        </w:rPr>
        <w:t>管道基础</w:t>
      </w:r>
      <w:bookmarkEnd w:id="42"/>
    </w:p>
    <w:p>
      <w:pPr>
        <w:pStyle w:val="150"/>
        <w:ind w:left="0"/>
      </w:pPr>
      <w:r>
        <w:rPr>
          <w:rFonts w:hint="eastAsia"/>
        </w:rPr>
        <w:t>管道基础应符合GB 50268的相关规定要求。</w:t>
      </w:r>
    </w:p>
    <w:p>
      <w:pPr>
        <w:pStyle w:val="46"/>
        <w:spacing w:before="156" w:after="156"/>
      </w:pPr>
      <w:bookmarkStart w:id="43" w:name="_Toc129187525"/>
      <w:r>
        <w:rPr>
          <w:rFonts w:hint="eastAsia"/>
        </w:rPr>
        <w:t>硬聚氯乙烯管、聚乙烯管及其复合管安装</w:t>
      </w:r>
      <w:bookmarkEnd w:id="43"/>
    </w:p>
    <w:p>
      <w:pPr>
        <w:pStyle w:val="150"/>
        <w:ind w:left="0"/>
      </w:pPr>
      <w:r>
        <w:rPr>
          <w:rFonts w:hint="eastAsia"/>
        </w:rPr>
        <w:t>硬聚氯乙烯管、聚乙烯管及其复合管安装除符合GB 50268的相关规定要求外还应符合以下要求。</w:t>
      </w:r>
    </w:p>
    <w:p>
      <w:pPr>
        <w:pStyle w:val="150"/>
        <w:ind w:left="0"/>
      </w:pPr>
      <w:r>
        <w:rPr>
          <w:rFonts w:hint="eastAsia"/>
        </w:rPr>
        <w:t>采用热熔连接的管道，应在正在开工前做现场接口实验，通过实验确定最佳熔接温度和时间。减少管道内翻边对管道过水断面的影响。</w:t>
      </w:r>
    </w:p>
    <w:p>
      <w:pPr>
        <w:pStyle w:val="150"/>
        <w:ind w:left="0"/>
      </w:pPr>
      <w:r>
        <w:rPr>
          <w:rFonts w:hint="eastAsia"/>
        </w:rPr>
        <w:t>每完成一段管道的安装，应对管道两端进行临时封堵，防止杂物进入。</w:t>
      </w:r>
    </w:p>
    <w:p>
      <w:pPr>
        <w:pStyle w:val="150"/>
        <w:ind w:left="0"/>
      </w:pPr>
      <w:r>
        <w:rPr>
          <w:rFonts w:hint="eastAsia"/>
        </w:rPr>
        <w:t>管道放入管道沟槽前应对沟槽做详细检查，避免沟槽内硬物及尖锐物损伤管道。</w:t>
      </w:r>
    </w:p>
    <w:p>
      <w:pPr>
        <w:pStyle w:val="150"/>
        <w:ind w:left="0"/>
      </w:pPr>
      <w:r>
        <w:rPr>
          <w:rFonts w:hint="eastAsia"/>
        </w:rPr>
        <w:t>供水专用胶质量符合卫生要求，且管道充水时间应严格按照供水专用胶规定时间控制。</w:t>
      </w:r>
    </w:p>
    <w:p>
      <w:pPr>
        <w:pStyle w:val="150"/>
        <w:ind w:left="0"/>
      </w:pPr>
      <w:r>
        <w:rPr>
          <w:rFonts w:hint="eastAsia"/>
        </w:rPr>
        <w:t>承插接口管道应急通水应采取预制支墩等固定措施，临时加固应牢固。</w:t>
      </w:r>
    </w:p>
    <w:p>
      <w:pPr>
        <w:pStyle w:val="49"/>
        <w:spacing w:before="312" w:after="312"/>
      </w:pPr>
      <w:bookmarkStart w:id="44" w:name="_Toc129187526"/>
      <w:r>
        <w:rPr>
          <w:rFonts w:hint="eastAsia"/>
        </w:rPr>
        <w:t>阀件、计量设备等安装</w:t>
      </w:r>
      <w:bookmarkEnd w:id="44"/>
    </w:p>
    <w:p>
      <w:pPr>
        <w:pStyle w:val="46"/>
        <w:spacing w:before="156" w:after="156"/>
      </w:pPr>
      <w:bookmarkStart w:id="45" w:name="_Toc129187527"/>
      <w:r>
        <w:rPr>
          <w:rFonts w:hint="eastAsia"/>
        </w:rPr>
        <w:t>通则</w:t>
      </w:r>
      <w:bookmarkEnd w:id="45"/>
    </w:p>
    <w:p>
      <w:pPr>
        <w:pStyle w:val="150"/>
        <w:ind w:left="0"/>
      </w:pPr>
      <w:r>
        <w:rPr>
          <w:rFonts w:hint="eastAsia"/>
        </w:rPr>
        <w:t>本章主要适宜于农村管网工程的阀件、计量设备的安装施工。</w:t>
      </w:r>
    </w:p>
    <w:p>
      <w:pPr>
        <w:pStyle w:val="150"/>
        <w:ind w:left="0"/>
      </w:pPr>
      <w:r>
        <w:rPr>
          <w:rFonts w:hint="eastAsia"/>
        </w:rPr>
        <w:t>工程所使用的阀件计量设备出厂证明材料应齐全，应符合相应规范技术要求。</w:t>
      </w:r>
    </w:p>
    <w:p>
      <w:pPr>
        <w:pStyle w:val="150"/>
        <w:ind w:left="0"/>
      </w:pPr>
      <w:r>
        <w:rPr>
          <w:rFonts w:hint="eastAsia"/>
        </w:rPr>
        <w:t>阀件、计量设备接口应紧密、紧固力度适中，避免损坏接口丝扣及密封材料。</w:t>
      </w:r>
    </w:p>
    <w:p>
      <w:pPr>
        <w:pStyle w:val="46"/>
        <w:spacing w:before="156" w:after="156"/>
      </w:pPr>
      <w:bookmarkStart w:id="46" w:name="_Toc129187528"/>
      <w:r>
        <w:rPr>
          <w:rFonts w:hint="eastAsia"/>
        </w:rPr>
        <w:t>阀件安装</w:t>
      </w:r>
      <w:bookmarkEnd w:id="46"/>
    </w:p>
    <w:p>
      <w:pPr>
        <w:pStyle w:val="150"/>
        <w:ind w:left="0"/>
      </w:pPr>
      <w:r>
        <w:rPr>
          <w:rFonts w:hint="eastAsia"/>
        </w:rPr>
        <w:t>阀门安装应对阀门外观检查，并通过关闭开启检查阀门的灵活性及密闭性。</w:t>
      </w:r>
    </w:p>
    <w:p>
      <w:pPr>
        <w:pStyle w:val="150"/>
        <w:ind w:left="0"/>
      </w:pPr>
      <w:r>
        <w:rPr>
          <w:rFonts w:hint="eastAsia"/>
        </w:rPr>
        <w:t>阀件采用法兰盘连接时表面杂物应清理干净，密封垫位置居中；采用丝扣连接时，丝扣内的杂物应清理干净。</w:t>
      </w:r>
    </w:p>
    <w:p>
      <w:pPr>
        <w:pStyle w:val="150"/>
        <w:ind w:left="0"/>
      </w:pPr>
      <w:r>
        <w:rPr>
          <w:rFonts w:hint="eastAsia"/>
        </w:rPr>
        <w:t>有止回功能要求的阀件在安装前应确认水流方向。</w:t>
      </w:r>
    </w:p>
    <w:p>
      <w:pPr>
        <w:pStyle w:val="150"/>
        <w:ind w:left="0"/>
      </w:pPr>
      <w:r>
        <w:rPr>
          <w:rFonts w:hint="eastAsia"/>
        </w:rPr>
        <w:t>阀门轮盘及扳手朝向正确，应便于运行管理操作。</w:t>
      </w:r>
    </w:p>
    <w:p>
      <w:pPr>
        <w:pStyle w:val="150"/>
        <w:ind w:left="0"/>
      </w:pPr>
      <w:r>
        <w:rPr>
          <w:rFonts w:hint="eastAsia"/>
        </w:rPr>
        <w:t>采用法兰盘连接的阀件，锣丝应按对称方向拧紧，锣丝紧固应用带扭力矩的扳手确认紧固力度。保证连接紧密，不漏水。</w:t>
      </w:r>
    </w:p>
    <w:p>
      <w:pPr>
        <w:pStyle w:val="150"/>
        <w:ind w:left="0"/>
      </w:pPr>
      <w:r>
        <w:rPr>
          <w:rFonts w:hint="eastAsia"/>
        </w:rPr>
        <w:t>伸缩器安装应预留可回缩长度，且伸出长度匀均。回缩长度及部件坚固应符合</w:t>
      </w:r>
      <w:r>
        <w:t>《管路补偿接头》</w:t>
      </w:r>
      <w:r>
        <w:rPr>
          <w:rFonts w:hint="eastAsia"/>
        </w:rPr>
        <w:t>GB</w:t>
      </w:r>
      <w:r>
        <w:t>／</w:t>
      </w:r>
      <w:r>
        <w:rPr>
          <w:rFonts w:hint="eastAsia"/>
        </w:rPr>
        <w:t>T</w:t>
      </w:r>
      <w:r>
        <w:t xml:space="preserve"> 12465</w:t>
      </w:r>
      <w:r>
        <w:rPr>
          <w:rFonts w:hint="eastAsia"/>
        </w:rPr>
        <w:t>规范相关要求。</w:t>
      </w:r>
    </w:p>
    <w:p>
      <w:pPr>
        <w:pStyle w:val="150"/>
        <w:ind w:left="0"/>
      </w:pPr>
      <w:r>
        <w:rPr>
          <w:rFonts w:hint="eastAsia"/>
        </w:rPr>
        <w:t>阀件支墩应稳固。</w:t>
      </w:r>
    </w:p>
    <w:p>
      <w:pPr>
        <w:pStyle w:val="46"/>
        <w:spacing w:before="156" w:after="156"/>
      </w:pPr>
      <w:bookmarkStart w:id="47" w:name="_Toc129187529"/>
      <w:r>
        <w:rPr>
          <w:rFonts w:hint="eastAsia"/>
        </w:rPr>
        <w:t>水表井内阀件、计量、检测设备安装</w:t>
      </w:r>
      <w:bookmarkEnd w:id="47"/>
    </w:p>
    <w:p>
      <w:pPr>
        <w:pStyle w:val="150"/>
        <w:ind w:left="0"/>
      </w:pPr>
      <w:r>
        <w:rPr>
          <w:rFonts w:hint="eastAsia"/>
        </w:rPr>
        <w:t>分水器安装应保证在井室居中，纵向平整，两端误差小于10mm；两侧出水口平整，误差小于0.5mm；距井底高度不小于15cm，并做设置支墩。</w:t>
      </w:r>
    </w:p>
    <w:p>
      <w:pPr>
        <w:pStyle w:val="150"/>
        <w:ind w:left="0"/>
      </w:pPr>
      <w:r>
        <w:rPr>
          <w:rFonts w:hint="eastAsia"/>
        </w:rPr>
        <w:t>计量、检测设备安装应符合以下规定要求：</w:t>
      </w:r>
    </w:p>
    <w:p>
      <w:pPr>
        <w:pStyle w:val="63"/>
        <w:numPr>
          <w:ilvl w:val="0"/>
          <w:numId w:val="23"/>
        </w:numPr>
      </w:pPr>
      <w:r>
        <w:rPr>
          <w:rFonts w:hint="eastAsia"/>
        </w:rPr>
        <w:t>计量、检测设备型号、规格、技术参数等应符合设计图纸要求。</w:t>
      </w:r>
    </w:p>
    <w:p>
      <w:pPr>
        <w:pStyle w:val="63"/>
      </w:pPr>
      <w:r>
        <w:rPr>
          <w:rFonts w:hint="eastAsia"/>
        </w:rPr>
        <w:t>计量、检测设备有应按水流方向安装。</w:t>
      </w:r>
    </w:p>
    <w:p>
      <w:pPr>
        <w:pStyle w:val="63"/>
      </w:pPr>
      <w:r>
        <w:rPr>
          <w:rFonts w:hint="eastAsia"/>
        </w:rPr>
        <w:t>计量、检测设备安装应表盘平整，便于运行期间查抄数据。</w:t>
      </w:r>
    </w:p>
    <w:p>
      <w:pPr>
        <w:pStyle w:val="63"/>
      </w:pPr>
      <w:r>
        <w:rPr>
          <w:rFonts w:hint="eastAsia"/>
        </w:rPr>
        <w:t>计量、检测设备有远程传输要求的，应做到井室内无积水。</w:t>
      </w:r>
    </w:p>
    <w:p>
      <w:pPr>
        <w:pStyle w:val="63"/>
      </w:pPr>
      <w:r>
        <w:rPr>
          <w:rFonts w:hint="eastAsia"/>
        </w:rPr>
        <w:t>计量、检测设备信号发射装置井内布置的，传输线路应沿井底、井壁铺设到井口附近；一座井室内有多台计量设备的信号发射装置应分开布设。</w:t>
      </w:r>
    </w:p>
    <w:p>
      <w:pPr>
        <w:pStyle w:val="63"/>
      </w:pPr>
      <w:r>
        <w:rPr>
          <w:rFonts w:hint="eastAsia"/>
        </w:rPr>
        <w:t>计量、检测设备信号发射装置井外布置的，传输线路预埋穿线管材料应符合设计要求，埋设位置准确；信号发射装置安装应避开信号干扰源，安装位置符合设计要求。</w:t>
      </w:r>
    </w:p>
    <w:p>
      <w:pPr>
        <w:pStyle w:val="46"/>
        <w:spacing w:before="156" w:after="156"/>
      </w:pPr>
      <w:bookmarkStart w:id="48" w:name="_Toc129187530"/>
      <w:r>
        <w:rPr>
          <w:rFonts w:hint="eastAsia"/>
        </w:rPr>
        <w:t>带压开孔安装</w:t>
      </w:r>
      <w:bookmarkEnd w:id="48"/>
    </w:p>
    <w:p>
      <w:pPr>
        <w:pStyle w:val="150"/>
        <w:ind w:left="0"/>
      </w:pPr>
      <w:r>
        <w:rPr>
          <w:rFonts w:hint="eastAsia"/>
        </w:rPr>
        <w:t>管道带压开孔适用于DN600以下的钢管、球墨铸铁管及化学建材管道。开孔直径应小于哈夫节三通出水口管道内径。</w:t>
      </w:r>
    </w:p>
    <w:p>
      <w:pPr>
        <w:pStyle w:val="150"/>
        <w:ind w:left="0"/>
      </w:pPr>
      <w:r>
        <w:rPr>
          <w:rFonts w:hint="eastAsia"/>
        </w:rPr>
        <w:t>哈夫节三通安装前应对原管道表面清理，钢管、球墨铸铁管应抛光除锈，去除表面污物。开孔钻机应进行检查，确认设备运行正常。</w:t>
      </w:r>
    </w:p>
    <w:p>
      <w:pPr>
        <w:pStyle w:val="150"/>
        <w:ind w:left="0"/>
      </w:pPr>
      <w:r>
        <w:rPr>
          <w:rFonts w:hint="eastAsia"/>
        </w:rPr>
        <w:t>哈夫节三通安装时两侧螺丝应对称紧固，紧固力匀均。</w:t>
      </w:r>
    </w:p>
    <w:p>
      <w:pPr>
        <w:pStyle w:val="150"/>
        <w:ind w:left="0"/>
      </w:pPr>
      <w:r>
        <w:rPr>
          <w:rFonts w:hint="eastAsia"/>
        </w:rPr>
        <w:t>开孔前应哈夫节三通及相连阀件打压试验，确认接口是否严密，有无渗水漏水现象。</w:t>
      </w:r>
    </w:p>
    <w:p>
      <w:pPr>
        <w:pStyle w:val="150"/>
        <w:ind w:left="0"/>
      </w:pPr>
      <w:r>
        <w:rPr>
          <w:rFonts w:hint="eastAsia"/>
        </w:rPr>
        <w:t>开孔时闸阀应全部开启，钻孔时应确认开孔钻杆进尺长度。不得钻孔破坏非开孔侧管壁。开孔完成后关闭阀门后拆除开孔器。</w:t>
      </w:r>
    </w:p>
    <w:p>
      <w:pPr>
        <w:pStyle w:val="150"/>
        <w:ind w:left="0"/>
      </w:pPr>
      <w:r>
        <w:rPr>
          <w:rFonts w:hint="eastAsia"/>
        </w:rPr>
        <w:t>开孔完成后应连接排水管道，通过反复开启闸阀冲出开孔的管道碎物，避免碎物卡顿闸门槽。</w:t>
      </w:r>
    </w:p>
    <w:p>
      <w:pPr>
        <w:pStyle w:val="49"/>
        <w:spacing w:before="312" w:after="312"/>
      </w:pPr>
      <w:bookmarkStart w:id="49" w:name="_Toc129187531"/>
      <w:r>
        <w:rPr>
          <w:rFonts w:hint="eastAsia"/>
        </w:rPr>
        <w:t>管道附属构筑物施工</w:t>
      </w:r>
      <w:bookmarkEnd w:id="49"/>
    </w:p>
    <w:p>
      <w:pPr>
        <w:pStyle w:val="46"/>
        <w:spacing w:before="156" w:after="156"/>
      </w:pPr>
      <w:bookmarkStart w:id="50" w:name="_Toc129187532"/>
      <w:r>
        <w:rPr>
          <w:rFonts w:hint="eastAsia"/>
        </w:rPr>
        <w:t>通则</w:t>
      </w:r>
      <w:bookmarkEnd w:id="50"/>
    </w:p>
    <w:p>
      <w:pPr>
        <w:pStyle w:val="150"/>
        <w:ind w:left="0"/>
      </w:pPr>
      <w:r>
        <w:rPr>
          <w:rFonts w:hint="eastAsia"/>
        </w:rPr>
        <w:t>本章适用于农村供水管道附属构筑物中的各类井室（砖砌井、预制井、装配式塑料水表井、复合树脂井）及支墩工程。</w:t>
      </w:r>
    </w:p>
    <w:p>
      <w:pPr>
        <w:pStyle w:val="150"/>
        <w:ind w:left="0"/>
      </w:pPr>
      <w:r>
        <w:rPr>
          <w:rFonts w:hint="eastAsia"/>
        </w:rPr>
        <w:t>管道附属构筑物的位置、结构类型和构造尺寸等应按设计要求施工。</w:t>
      </w:r>
    </w:p>
    <w:p>
      <w:pPr>
        <w:pStyle w:val="46"/>
        <w:spacing w:before="156" w:after="156"/>
      </w:pPr>
      <w:bookmarkStart w:id="51" w:name="_Toc129187533"/>
      <w:r>
        <w:rPr>
          <w:rFonts w:hint="eastAsia"/>
        </w:rPr>
        <w:t>砌筑结构井室、预制装配式结构井室、现浇钢筋混凝土结构井室</w:t>
      </w:r>
      <w:bookmarkEnd w:id="51"/>
    </w:p>
    <w:p>
      <w:pPr>
        <w:pStyle w:val="150"/>
        <w:ind w:left="0"/>
      </w:pPr>
      <w:r>
        <w:rPr>
          <w:rFonts w:hint="eastAsia"/>
        </w:rPr>
        <w:t>砌筑结构井室、预制装配式结构井室、现浇钢筋混凝土结构井室的尺寸要求：矩形井室净空尺寸宜小于1.0m *1.0m*0.95m。圆形井净空尺寸不宜直径小于1.0m、净空高度0.95m。</w:t>
      </w:r>
    </w:p>
    <w:p>
      <w:pPr>
        <w:pStyle w:val="150"/>
        <w:ind w:left="0"/>
      </w:pPr>
      <w:r>
        <w:rPr>
          <w:rFonts w:hint="eastAsia"/>
        </w:rPr>
        <w:t>本部分涉及的三类井室可参照GB 50268的相关规定要求执行。</w:t>
      </w:r>
    </w:p>
    <w:p>
      <w:pPr>
        <w:pStyle w:val="46"/>
        <w:spacing w:before="156" w:after="156"/>
      </w:pPr>
      <w:bookmarkStart w:id="52" w:name="_Toc129187534"/>
      <w:r>
        <w:rPr>
          <w:rFonts w:hint="eastAsia"/>
        </w:rPr>
        <w:t>装配式高强复合树脂井、装配式塑料井</w:t>
      </w:r>
      <w:bookmarkEnd w:id="52"/>
    </w:p>
    <w:p>
      <w:pPr>
        <w:pStyle w:val="150"/>
        <w:ind w:left="0"/>
      </w:pPr>
      <w:r>
        <w:rPr>
          <w:rFonts w:hint="eastAsia"/>
        </w:rPr>
        <w:t>井体构件质量应符合国家现行标准的相关要求。</w:t>
      </w:r>
    </w:p>
    <w:p>
      <w:pPr>
        <w:pStyle w:val="150"/>
        <w:ind w:left="0"/>
      </w:pPr>
      <w:r>
        <w:rPr>
          <w:rFonts w:hint="eastAsia"/>
        </w:rPr>
        <w:t>装配式井的吊装及贮存应符合以下要求：</w:t>
      </w:r>
    </w:p>
    <w:p>
      <w:pPr>
        <w:pStyle w:val="63"/>
        <w:numPr>
          <w:ilvl w:val="0"/>
          <w:numId w:val="24"/>
        </w:numPr>
      </w:pPr>
      <w:r>
        <w:rPr>
          <w:rFonts w:hint="eastAsia"/>
        </w:rPr>
        <w:t>搬运时，应轻拿轻放，不得滚、拖、抛。</w:t>
      </w:r>
    </w:p>
    <w:p>
      <w:pPr>
        <w:pStyle w:val="63"/>
      </w:pPr>
      <w:r>
        <w:rPr>
          <w:rFonts w:hint="eastAsia"/>
        </w:rPr>
        <w:t>构件贮存要求：在仓库放时应远离热源，并有防火措施；露天存放应采取防晒措施。不得与油类和化学品混合存放。</w:t>
      </w:r>
    </w:p>
    <w:p>
      <w:pPr>
        <w:pStyle w:val="150"/>
        <w:ind w:left="0"/>
      </w:pPr>
      <w:r>
        <w:rPr>
          <w:rFonts w:hint="eastAsia"/>
        </w:rPr>
        <w:t>井坑开挖应符合下列规定：</w:t>
      </w:r>
    </w:p>
    <w:p>
      <w:pPr>
        <w:pStyle w:val="63"/>
        <w:numPr>
          <w:ilvl w:val="0"/>
          <w:numId w:val="25"/>
        </w:numPr>
      </w:pPr>
      <w:r>
        <w:t>井坑开挖应与管道沟槽同时进行，并应保持井底座</w:t>
      </w:r>
      <w:r>
        <w:rPr>
          <w:rFonts w:hint="eastAsia"/>
        </w:rPr>
        <w:t>轴线</w:t>
      </w:r>
      <w:r>
        <w:t>与管道在同一轴线上；</w:t>
      </w:r>
    </w:p>
    <w:p>
      <w:pPr>
        <w:pStyle w:val="63"/>
      </w:pPr>
      <w:r>
        <w:t>井坑开挖施工工作面宽度应符合施工要求。</w:t>
      </w:r>
      <w:r>
        <w:rPr>
          <w:rFonts w:hint="eastAsia"/>
        </w:rPr>
        <w:t>新建</w:t>
      </w:r>
      <w:r>
        <w:t>井</w:t>
      </w:r>
      <w:r>
        <w:rPr>
          <w:rFonts w:hint="eastAsia"/>
        </w:rPr>
        <w:t>井</w:t>
      </w:r>
      <w:r>
        <w:t>坑最小净尺寸</w:t>
      </w:r>
      <w:r>
        <w:rPr>
          <w:rFonts w:hint="eastAsia"/>
        </w:rPr>
        <w:t>不应小于井底座每侧40cm，旧井改造施工井坑</w:t>
      </w:r>
      <w:r>
        <w:t>最小净尺寸</w:t>
      </w:r>
      <w:r>
        <w:rPr>
          <w:rFonts w:hint="eastAsia"/>
        </w:rPr>
        <w:t>不应小于井底座每侧80cm。</w:t>
      </w:r>
    </w:p>
    <w:p>
      <w:pPr>
        <w:pStyle w:val="63"/>
      </w:pPr>
      <w:r>
        <w:t>当地下水位高于坑底时，应把地下水降至井坑最低点500 mm以下。</w:t>
      </w:r>
      <w:r>
        <w:rPr>
          <w:rFonts w:hint="eastAsia"/>
        </w:rPr>
        <w:t>构件</w:t>
      </w:r>
      <w:r>
        <w:t>井安装连接完毕后，应回填至满足塑料水表阀门井抗浮稳定的高度后方能停止降水。当塑料水表、阀门井安装结束尚未回填遭水淹，发生位移、漂浮或拔口时，应返工处理。</w:t>
      </w:r>
    </w:p>
    <w:p>
      <w:pPr>
        <w:pStyle w:val="63"/>
      </w:pPr>
      <w:r>
        <w:t>井坑底部的砖、石等坚硬物体</w:t>
      </w:r>
      <w:r>
        <w:rPr>
          <w:rFonts w:hint="eastAsia"/>
        </w:rPr>
        <w:t>应</w:t>
      </w:r>
      <w:r>
        <w:t>清除。</w:t>
      </w:r>
    </w:p>
    <w:p>
      <w:pPr>
        <w:pStyle w:val="63"/>
      </w:pPr>
      <w:r>
        <w:t>当施工时发生井坑被水浸泡，应将水排除，清除被浸泡的土层，换填中粗砂，夯实达到设计要求后再进行下道工序。</w:t>
      </w:r>
    </w:p>
    <w:p>
      <w:pPr>
        <w:pStyle w:val="46"/>
        <w:spacing w:before="156" w:after="156"/>
      </w:pPr>
      <w:bookmarkStart w:id="53" w:name="_Toc129187535"/>
      <w:r>
        <w:rPr>
          <w:rFonts w:hint="eastAsia"/>
        </w:rPr>
        <w:t>地基与基础处理应符合以下规定：</w:t>
      </w:r>
      <w:bookmarkEnd w:id="53"/>
    </w:p>
    <w:p>
      <w:pPr>
        <w:pStyle w:val="150"/>
        <w:ind w:left="0"/>
      </w:pPr>
      <w:r>
        <w:rPr>
          <w:rFonts w:hint="eastAsia"/>
        </w:rPr>
        <w:t>井室地基基础宜建在原状土上，当地基不满足设计要求时，应按设计要求和相关规范进行地基处理；</w:t>
      </w:r>
    </w:p>
    <w:p>
      <w:pPr>
        <w:pStyle w:val="150"/>
        <w:ind w:left="0"/>
        <w:rPr>
          <w:rFonts w:ascii="宋体" w:hAnsi="宋体"/>
          <w:sz w:val="24"/>
        </w:rPr>
      </w:pPr>
      <w:r>
        <w:rPr>
          <w:rFonts w:hint="eastAsia"/>
        </w:rPr>
        <w:t>井体安装前应铺设厚度不小于10cm的</w:t>
      </w:r>
      <w:r>
        <w:t>砂垫层</w:t>
      </w:r>
      <w:r>
        <w:rPr>
          <w:rFonts w:hint="eastAsia"/>
        </w:rPr>
        <w:t>或三七灰土土垫层，垫层尺寸应不小于井体外边缘10c</w:t>
      </w:r>
      <w:r>
        <w:t xml:space="preserve">m </w:t>
      </w:r>
      <w:r>
        <w:rPr>
          <w:rFonts w:hint="eastAsia"/>
        </w:rPr>
        <w:t>，垫层铺设</w:t>
      </w:r>
      <w:r>
        <w:t>应</w:t>
      </w:r>
      <w:r>
        <w:rPr>
          <w:rFonts w:hint="eastAsia"/>
        </w:rPr>
        <w:t>平整</w:t>
      </w:r>
      <w:r>
        <w:t>、压实，其压实系数不应小于0.9</w:t>
      </w:r>
      <w:r>
        <w:rPr>
          <w:rFonts w:hint="eastAsia"/>
        </w:rPr>
        <w:t>0</w:t>
      </w:r>
      <w:r>
        <w:t>。</w:t>
      </w:r>
    </w:p>
    <w:p>
      <w:pPr>
        <w:pStyle w:val="46"/>
        <w:spacing w:before="156" w:after="156"/>
      </w:pPr>
      <w:bookmarkStart w:id="54" w:name="_Toc129187536"/>
      <w:r>
        <w:t>井座安装</w:t>
      </w:r>
      <w:bookmarkEnd w:id="54"/>
    </w:p>
    <w:p>
      <w:pPr>
        <w:pStyle w:val="150"/>
        <w:ind w:left="0"/>
      </w:pPr>
      <w:r>
        <w:t>井座与水表、阀门连接安装应遵循以下方法：</w:t>
      </w:r>
    </w:p>
    <w:p>
      <w:pPr>
        <w:pStyle w:val="63"/>
        <w:numPr>
          <w:ilvl w:val="0"/>
          <w:numId w:val="26"/>
        </w:numPr>
      </w:pPr>
      <w:r>
        <w:rPr>
          <w:rFonts w:hint="eastAsia"/>
        </w:rPr>
        <w:t>井体安装应确</w:t>
      </w:r>
      <w:r>
        <w:t>定位井</w:t>
      </w:r>
      <w:r>
        <w:rPr>
          <w:rFonts w:hint="eastAsia"/>
        </w:rPr>
        <w:t>体</w:t>
      </w:r>
      <w:r>
        <w:t>中心</w:t>
      </w:r>
      <w:r>
        <w:rPr>
          <w:rFonts w:hint="eastAsia"/>
        </w:rPr>
        <w:t>位置</w:t>
      </w:r>
      <w:r>
        <w:t>，</w:t>
      </w:r>
      <w:r>
        <w:rPr>
          <w:rFonts w:hint="eastAsia"/>
        </w:rPr>
        <w:t>保证与管道轴线位置一致；</w:t>
      </w:r>
      <w:r>
        <w:t>井底标高</w:t>
      </w:r>
      <w:r>
        <w:rPr>
          <w:rFonts w:hint="eastAsia"/>
        </w:rPr>
        <w:t>应符合设计要求，原则上不高于设计井底高程；</w:t>
      </w:r>
      <w:r>
        <w:t>井</w:t>
      </w:r>
      <w:r>
        <w:rPr>
          <w:rFonts w:hint="eastAsia"/>
        </w:rPr>
        <w:t>底部应与基础接触紧密，并保证井室平整</w:t>
      </w:r>
      <w:r>
        <w:t>；</w:t>
      </w:r>
      <w:r>
        <w:rPr>
          <w:rFonts w:hint="eastAsia"/>
        </w:rPr>
        <w:t>井室调整完成后应采取临时固定措施。</w:t>
      </w:r>
    </w:p>
    <w:p>
      <w:pPr>
        <w:pStyle w:val="63"/>
      </w:pPr>
      <w:r>
        <w:t>根据管道的管径确定开孔尺寸，应先确定好水表阀门的安装高度和位置，在井座找到相应位置开孔洞；水表</w:t>
      </w:r>
      <w:r>
        <w:rPr>
          <w:rFonts w:hint="eastAsia"/>
        </w:rPr>
        <w:t>分水器、</w:t>
      </w:r>
      <w:r>
        <w:t>阀门底部做支撑措施。</w:t>
      </w:r>
    </w:p>
    <w:p>
      <w:pPr>
        <w:pStyle w:val="150"/>
        <w:ind w:left="0"/>
      </w:pPr>
      <w:r>
        <w:t>管道接入安装</w:t>
      </w:r>
    </w:p>
    <w:p>
      <w:pPr>
        <w:pStyle w:val="63"/>
        <w:numPr>
          <w:ilvl w:val="0"/>
          <w:numId w:val="27"/>
        </w:numPr>
      </w:pPr>
      <w:r>
        <w:t>井</w:t>
      </w:r>
      <w:r>
        <w:rPr>
          <w:rFonts w:hint="eastAsia"/>
        </w:rPr>
        <w:t>体</w:t>
      </w:r>
      <w:r>
        <w:t>管道接入开孔处毛刺处理干净安装柔性橡胶密封圈确保密封；</w:t>
      </w:r>
    </w:p>
    <w:p>
      <w:pPr>
        <w:pStyle w:val="63"/>
      </w:pPr>
      <w:r>
        <w:t>管道外壁涂抹润滑剂从橡胶密封孔擦入与水表阀门对接；</w:t>
      </w:r>
      <w:r>
        <w:rPr>
          <w:rFonts w:hint="eastAsia"/>
        </w:rPr>
        <w:t>润滑剂不得采用黄油、机油及对橡胶有腐蚀性的品种。</w:t>
      </w:r>
    </w:p>
    <w:p>
      <w:pPr>
        <w:pStyle w:val="63"/>
      </w:pPr>
      <w:r>
        <w:t>根据施工条件的需要，</w:t>
      </w:r>
      <w:r>
        <w:rPr>
          <w:rFonts w:hint="eastAsia"/>
        </w:rPr>
        <w:t>在没有外水渗入井室的情况下可以</w:t>
      </w:r>
      <w:r>
        <w:t>给井座预留渗透孔。</w:t>
      </w:r>
    </w:p>
    <w:p>
      <w:pPr>
        <w:pStyle w:val="46"/>
        <w:spacing w:before="156" w:after="156"/>
      </w:pPr>
      <w:bookmarkStart w:id="55" w:name="_Toc129187537"/>
      <w:r>
        <w:t>井室</w:t>
      </w:r>
      <w:r>
        <w:rPr>
          <w:rFonts w:hint="eastAsia"/>
        </w:rPr>
        <w:t>、收口</w:t>
      </w:r>
      <w:r>
        <w:t>及</w:t>
      </w:r>
      <w:r>
        <w:rPr>
          <w:rFonts w:hint="eastAsia"/>
        </w:rPr>
        <w:t>井筒</w:t>
      </w:r>
      <w:r>
        <w:t>安装</w:t>
      </w:r>
      <w:bookmarkEnd w:id="55"/>
    </w:p>
    <w:p>
      <w:pPr>
        <w:pStyle w:val="150"/>
        <w:ind w:left="0"/>
      </w:pPr>
      <w:r>
        <w:t>井</w:t>
      </w:r>
      <w:r>
        <w:rPr>
          <w:rFonts w:hint="eastAsia"/>
        </w:rPr>
        <w:t>室</w:t>
      </w:r>
      <w:r>
        <w:t>与</w:t>
      </w:r>
      <w:r>
        <w:rPr>
          <w:rFonts w:hint="eastAsia"/>
        </w:rPr>
        <w:t>收口连</w:t>
      </w:r>
      <w:r>
        <w:t>均采用法兰式连接方式，在连接处</w:t>
      </w:r>
      <w:r>
        <w:rPr>
          <w:rFonts w:hint="eastAsia"/>
        </w:rPr>
        <w:t>应清理干净，无杂物，密封严密。</w:t>
      </w:r>
    </w:p>
    <w:p>
      <w:pPr>
        <w:pStyle w:val="150"/>
        <w:ind w:left="0"/>
      </w:pPr>
      <w:r>
        <w:rPr>
          <w:rFonts w:hint="eastAsia"/>
        </w:rPr>
        <w:t>当井体高度与地面高差较大时应采用砌筑砖井筒或预制构件井筒加高；井筒</w:t>
      </w:r>
      <w:r>
        <w:t>的长度应为设计地面高度减去</w:t>
      </w:r>
      <w:r>
        <w:rPr>
          <w:rFonts w:hint="eastAsia"/>
        </w:rPr>
        <w:t>井口顶</w:t>
      </w:r>
      <w:r>
        <w:t>部的高度。</w:t>
      </w:r>
    </w:p>
    <w:p>
      <w:pPr>
        <w:pStyle w:val="150"/>
        <w:ind w:left="0"/>
      </w:pPr>
      <w:r>
        <w:t>当地而或路面标高难以精确确定时，</w:t>
      </w:r>
      <w:r>
        <w:rPr>
          <w:rFonts w:hint="eastAsia"/>
        </w:rPr>
        <w:t>井筒</w:t>
      </w:r>
      <w:r>
        <w:t>长度可适当预留余量。</w:t>
      </w:r>
    </w:p>
    <w:p>
      <w:pPr>
        <w:pStyle w:val="150"/>
        <w:ind w:left="0"/>
      </w:pPr>
      <w:r>
        <w:rPr>
          <w:rFonts w:hint="eastAsia"/>
        </w:rPr>
        <w:t>井筒</w:t>
      </w:r>
      <w:r>
        <w:t>应保持</w:t>
      </w:r>
      <w:r>
        <w:rPr>
          <w:rFonts w:hint="eastAsia"/>
        </w:rPr>
        <w:t>与井室</w:t>
      </w:r>
      <w:r>
        <w:t>垂直</w:t>
      </w:r>
      <w:r>
        <w:rPr>
          <w:rFonts w:hint="eastAsia"/>
        </w:rPr>
        <w:t>并密封严紧</w:t>
      </w:r>
      <w:r>
        <w:t>。</w:t>
      </w:r>
    </w:p>
    <w:p>
      <w:pPr>
        <w:pStyle w:val="150"/>
        <w:ind w:left="0"/>
      </w:pPr>
      <w:r>
        <w:t>井筒安装后，上口应做临时封堵</w:t>
      </w:r>
      <w:r>
        <w:rPr>
          <w:rFonts w:hint="eastAsia"/>
        </w:rPr>
        <w:t>。</w:t>
      </w:r>
    </w:p>
    <w:p>
      <w:pPr>
        <w:pStyle w:val="150"/>
        <w:ind w:left="0"/>
      </w:pPr>
      <w:r>
        <w:rPr>
          <w:rFonts w:hint="eastAsia"/>
        </w:rPr>
        <w:t>井体</w:t>
      </w:r>
      <w:r>
        <w:t>安装后，如设计有抗浮要求时，应按设计投影面积，采取在收口井圈和井筒底部浇筑混凝土等抗浮措施。</w:t>
      </w:r>
    </w:p>
    <w:p>
      <w:pPr>
        <w:pStyle w:val="46"/>
        <w:spacing w:before="156" w:after="156"/>
      </w:pPr>
      <w:bookmarkStart w:id="56" w:name="_Toc129187538"/>
      <w:r>
        <w:rPr>
          <w:rFonts w:hint="eastAsia"/>
        </w:rPr>
        <w:t>井坑回填</w:t>
      </w:r>
      <w:bookmarkEnd w:id="56"/>
    </w:p>
    <w:p>
      <w:pPr>
        <w:pStyle w:val="150"/>
        <w:ind w:left="0"/>
      </w:pPr>
      <w:r>
        <w:t>回填应按照设计要求在管道和塑料水表阀门井验收合格后进行。当雨</w:t>
      </w:r>
      <w:r>
        <w:rPr>
          <w:rFonts w:hint="eastAsia"/>
        </w:rPr>
        <w:t>雪天气</w:t>
      </w:r>
      <w:r>
        <w:t>或地下水位较高时应及时回填。</w:t>
      </w:r>
    </w:p>
    <w:p>
      <w:pPr>
        <w:pStyle w:val="150"/>
        <w:ind w:left="0"/>
      </w:pPr>
      <w:r>
        <w:t>井坑回填应按</w:t>
      </w:r>
      <w:r>
        <w:rPr>
          <w:rFonts w:hint="eastAsia"/>
        </w:rPr>
        <w:t>G</w:t>
      </w:r>
      <w:r>
        <w:t xml:space="preserve">B </w:t>
      </w:r>
      <w:r>
        <w:rPr>
          <w:rFonts w:hint="eastAsia"/>
        </w:rPr>
        <w:t>50268</w:t>
      </w:r>
      <w:r>
        <w:t>的有关规定执行，并应符合下列规定：</w:t>
      </w:r>
    </w:p>
    <w:p>
      <w:pPr>
        <w:pStyle w:val="63"/>
        <w:numPr>
          <w:ilvl w:val="0"/>
          <w:numId w:val="28"/>
        </w:numPr>
      </w:pPr>
      <w:r>
        <w:t xml:space="preserve">应从塑料水表、阀门井圆周底部分层、对称回填、夯实，并应与管道沟槽回填同步进行，每层厚度不宜超过 30 </w:t>
      </w:r>
      <w:r>
        <w:rPr>
          <w:rFonts w:hint="eastAsia"/>
        </w:rPr>
        <w:t>c</w:t>
      </w:r>
      <w:r>
        <w:t>m；</w:t>
      </w:r>
    </w:p>
    <w:p>
      <w:pPr>
        <w:pStyle w:val="63"/>
      </w:pPr>
      <w:r>
        <w:t>连接管件下部应夯实至规定压实系数；回填应采用电动打夯机或木夯等轻型夯实工具对称夯实，不得使</w:t>
      </w:r>
      <w:r>
        <w:rPr>
          <w:rFonts w:hint="eastAsia"/>
        </w:rPr>
        <w:t>井体</w:t>
      </w:r>
      <w:r>
        <w:t>产生位移和倾斜，不得机械回填，回填密实度应符合设计要求；</w:t>
      </w:r>
    </w:p>
    <w:p>
      <w:pPr>
        <w:pStyle w:val="63"/>
      </w:pPr>
      <w:r>
        <w:t>回填时井坑内应无积水，不得带水回填，不得回填淤泥、湿陷性土、膨胀土及冻土；回填土中不得含有石块、砖块及其他硬杂物；</w:t>
      </w:r>
    </w:p>
    <w:p>
      <w:pPr>
        <w:pStyle w:val="63"/>
      </w:pPr>
      <w:r>
        <w:t>当雨季或地下水位较高地区施工时，应采取防止塑料水表阀门井上浮的措施。当塑料水表、阀门井位于道路路基范围内时，应采用石灰土、砂、砂砾等材料回填，其每侧回填宽度不宜小于 400 mm</w:t>
      </w:r>
      <w:bookmarkEnd w:id="27"/>
      <w:bookmarkEnd w:id="28"/>
      <w:bookmarkEnd w:id="29"/>
      <w:bookmarkEnd w:id="33"/>
      <w:bookmarkStart w:id="57" w:name="_Toc120550477"/>
      <w:r>
        <w:rPr>
          <w:rFonts w:hint="eastAsia"/>
        </w:rPr>
        <w:t>。</w:t>
      </w:r>
    </w:p>
    <w:bookmarkEnd w:id="57"/>
    <w:p>
      <w:pPr>
        <w:pStyle w:val="49"/>
        <w:spacing w:before="312" w:after="312"/>
        <w:rPr>
          <w:color w:val="000000" w:themeColor="text1"/>
          <w14:textFill>
            <w14:solidFill>
              <w14:schemeClr w14:val="tx1"/>
            </w14:solidFill>
          </w14:textFill>
        </w:rPr>
      </w:pPr>
      <w:bookmarkStart w:id="58" w:name="_Toc129187539"/>
      <w:r>
        <w:rPr>
          <w:rFonts w:hint="eastAsia"/>
          <w:color w:val="000000" w:themeColor="text1"/>
          <w14:textFill>
            <w14:solidFill>
              <w14:schemeClr w14:val="tx1"/>
            </w14:solidFill>
          </w14:textFill>
        </w:rPr>
        <w:t>检验检测</w:t>
      </w:r>
      <w:bookmarkEnd w:id="58"/>
    </w:p>
    <w:p>
      <w:pPr>
        <w:pStyle w:val="46"/>
        <w:spacing w:before="156" w:after="156"/>
        <w:rPr>
          <w:color w:val="000000" w:themeColor="text1"/>
          <w14:textFill>
            <w14:solidFill>
              <w14:schemeClr w14:val="tx1"/>
            </w14:solidFill>
          </w14:textFill>
        </w:rPr>
      </w:pPr>
      <w:bookmarkStart w:id="59" w:name="_Toc129187540"/>
      <w:bookmarkStart w:id="60" w:name="_Toc15858"/>
      <w:bookmarkStart w:id="61" w:name="_Toc120550480"/>
      <w:bookmarkStart w:id="62" w:name="_Toc13898"/>
      <w:bookmarkStart w:id="63" w:name="_Toc1398628155"/>
      <w:bookmarkStart w:id="64" w:name="_Toc2028030245"/>
      <w:r>
        <w:rPr>
          <w:rFonts w:hint="eastAsia"/>
          <w:color w:val="000000" w:themeColor="text1"/>
          <w14:textFill>
            <w14:solidFill>
              <w14:schemeClr w14:val="tx1"/>
            </w14:solidFill>
          </w14:textFill>
        </w:rPr>
        <w:t>通则</w:t>
      </w:r>
      <w:bookmarkEnd w:id="59"/>
    </w:p>
    <w:p>
      <w:pPr>
        <w:pStyle w:val="150"/>
        <w:ind w:left="0"/>
        <w:rPr>
          <w:color w:val="000000" w:themeColor="text1"/>
          <w14:textFill>
            <w14:solidFill>
              <w14:schemeClr w14:val="tx1"/>
            </w14:solidFill>
          </w14:textFill>
        </w:rPr>
      </w:pPr>
      <w:r>
        <w:rPr>
          <w:color w:val="000000" w:themeColor="text1"/>
          <w14:textFill>
            <w14:solidFill>
              <w14:schemeClr w14:val="tx1"/>
            </w14:solidFill>
          </w14:textFill>
        </w:rPr>
        <w:t>与生活饮用水直接接触的管材、管件、水处理设备、防腐材料、滤料、化学药剂和粘结剂等材料和设备应符合饮用水卫生安全要求。</w:t>
      </w:r>
    </w:p>
    <w:p>
      <w:pPr>
        <w:pStyle w:val="150"/>
        <w:ind w:left="0"/>
        <w:rPr>
          <w:color w:val="000000" w:themeColor="text1"/>
          <w14:textFill>
            <w14:solidFill>
              <w14:schemeClr w14:val="tx1"/>
            </w14:solidFill>
          </w14:textFill>
        </w:rPr>
      </w:pPr>
      <w:r>
        <w:rPr>
          <w:color w:val="000000" w:themeColor="text1"/>
          <w14:textFill>
            <w14:solidFill>
              <w14:schemeClr w14:val="tx1"/>
            </w14:solidFill>
          </w14:textFill>
        </w:rPr>
        <w:t>工程所用的原材料、中间产品、金属结构、机电设备</w:t>
      </w:r>
      <w:r>
        <w:rPr>
          <w:rFonts w:hint="eastAsia"/>
          <w:color w:val="000000" w:themeColor="text1"/>
          <w14:textFill>
            <w14:solidFill>
              <w14:schemeClr w14:val="tx1"/>
            </w14:solidFill>
          </w14:textFill>
        </w:rPr>
        <w:t>应进行检测</w:t>
      </w:r>
      <w:r>
        <w:rPr>
          <w:color w:val="000000" w:themeColor="text1"/>
          <w14:textFill>
            <w14:solidFill>
              <w14:schemeClr w14:val="tx1"/>
            </w14:solidFill>
          </w14:textFill>
        </w:rPr>
        <w:t>。</w:t>
      </w:r>
    </w:p>
    <w:p>
      <w:pPr>
        <w:pStyle w:val="46"/>
        <w:spacing w:before="156" w:after="156"/>
        <w:rPr>
          <w:color w:val="000000" w:themeColor="text1"/>
          <w14:textFill>
            <w14:solidFill>
              <w14:schemeClr w14:val="tx1"/>
            </w14:solidFill>
          </w14:textFill>
        </w:rPr>
      </w:pPr>
      <w:bookmarkStart w:id="65" w:name="_Toc129187541"/>
      <w:r>
        <w:rPr>
          <w:rFonts w:hint="eastAsia"/>
          <w:color w:val="000000" w:themeColor="text1"/>
          <w14:textFill>
            <w14:solidFill>
              <w14:schemeClr w14:val="tx1"/>
            </w14:solidFill>
          </w14:textFill>
        </w:rPr>
        <w:t>检测要求</w:t>
      </w:r>
      <w:bookmarkEnd w:id="65"/>
    </w:p>
    <w:p>
      <w:pPr>
        <w:pStyle w:val="150"/>
        <w:numPr>
          <w:ilvl w:val="0"/>
          <w:numId w:val="0"/>
        </w:numPr>
        <w:ind w:firstLine="420" w:firstLineChars="200"/>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水泥、钢筋、混凝土等常用材料按照相关规范检测，对化学管材、水表按下列标准进行检测。</w:t>
      </w:r>
    </w:p>
    <w:p>
      <w:pPr>
        <w:pStyle w:val="50"/>
        <w:spacing w:before="156" w:after="156"/>
        <w:ind w:left="0"/>
      </w:pPr>
      <w:r>
        <w:rPr>
          <w:rFonts w:hint="eastAsia"/>
        </w:rPr>
        <w:t>给水管</w:t>
      </w:r>
      <w:r>
        <w:rPr>
          <w:rFonts w:hint="eastAsia"/>
          <w:lang w:eastAsia="zh-CN"/>
        </w:rPr>
        <w:t>材</w:t>
      </w:r>
    </w:p>
    <w:p>
      <w:pPr>
        <w:pStyle w:val="26"/>
      </w:pPr>
      <w:r>
        <w:t>检测项目：</w:t>
      </w:r>
      <w:r>
        <w:rPr>
          <w:rFonts w:hint="eastAsia"/>
          <w:lang w:eastAsia="zh-CN"/>
        </w:rPr>
        <w:t>按相关规范执行</w:t>
      </w:r>
      <w:r>
        <w:t>。</w:t>
      </w:r>
    </w:p>
    <w:p>
      <w:pPr>
        <w:pStyle w:val="26"/>
      </w:pPr>
      <w:r>
        <w:t>检测频次：同一厂家</w:t>
      </w:r>
      <w:r>
        <w:rPr>
          <w:color w:val="000000" w:themeColor="text1"/>
          <w14:textFill>
            <w14:solidFill>
              <w14:schemeClr w14:val="tx1"/>
            </w14:solidFill>
          </w14:textFill>
        </w:rPr>
        <w:t>、同一规格</w:t>
      </w:r>
      <w:r>
        <w:rPr>
          <w:rFonts w:hint="eastAsia"/>
          <w:color w:val="000000" w:themeColor="text1"/>
          <w:lang w:val="en-US" w:eastAsia="zh-CN"/>
          <w14:textFill>
            <w14:solidFill>
              <w14:schemeClr w14:val="tx1"/>
            </w14:solidFill>
          </w14:textFill>
        </w:rPr>
        <w:t>3-5</w:t>
      </w:r>
      <w:r>
        <w:rPr>
          <w:color w:val="000000" w:themeColor="text1"/>
          <w14:textFill>
            <w14:solidFill>
              <w14:schemeClr w14:val="tx1"/>
            </w14:solidFill>
          </w14:textFill>
        </w:rPr>
        <w:t>万</w:t>
      </w:r>
      <w:r>
        <w:rPr>
          <w:rFonts w:hint="eastAsia"/>
          <w:color w:val="000000" w:themeColor="text1"/>
          <w:lang w:eastAsia="zh-CN"/>
          <w14:textFill>
            <w14:solidFill>
              <w14:schemeClr w14:val="tx1"/>
            </w14:solidFill>
          </w14:textFill>
        </w:rPr>
        <w:t>米</w:t>
      </w:r>
      <w:r>
        <w:rPr>
          <w:color w:val="000000" w:themeColor="text1"/>
          <w14:textFill>
            <w14:solidFill>
              <w14:schemeClr w14:val="tx1"/>
            </w14:solidFill>
          </w14:textFill>
        </w:rPr>
        <w:t>按一批</w:t>
      </w:r>
      <w:r>
        <w:rPr>
          <w:rFonts w:hint="eastAsia"/>
          <w:color w:val="000000" w:themeColor="text1"/>
          <w:lang w:eastAsia="zh-CN"/>
          <w14:textFill>
            <w14:solidFill>
              <w14:schemeClr w14:val="tx1"/>
            </w14:solidFill>
          </w14:textFill>
        </w:rPr>
        <w:t>次</w:t>
      </w:r>
      <w:r>
        <w:rPr>
          <w:color w:val="000000" w:themeColor="text1"/>
          <w14:textFill>
            <w14:solidFill>
              <w14:schemeClr w14:val="tx1"/>
            </w14:solidFill>
          </w14:textFill>
        </w:rPr>
        <w:t>检测</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同一厂家、同一规格不足3万</w:t>
      </w:r>
      <w:r>
        <w:rPr>
          <w:rFonts w:hint="eastAsia"/>
          <w:color w:val="000000" w:themeColor="text1"/>
          <w:lang w:eastAsia="zh-CN"/>
          <w14:textFill>
            <w14:solidFill>
              <w14:schemeClr w14:val="tx1"/>
            </w14:solidFill>
          </w14:textFill>
        </w:rPr>
        <w:t>米按一批次检测；</w:t>
      </w:r>
      <w:r>
        <w:rPr>
          <w:color w:val="000000" w:themeColor="text1"/>
          <w14:textFill>
            <w14:solidFill>
              <w14:schemeClr w14:val="tx1"/>
            </w14:solidFill>
          </w14:textFill>
        </w:rPr>
        <w:t>同一厂家、不同规格</w:t>
      </w:r>
      <w:r>
        <w:rPr>
          <w:rFonts w:hint="eastAsia"/>
          <w:color w:val="000000" w:themeColor="text1"/>
          <w:lang w:val="en-US" w:eastAsia="zh-CN"/>
          <w14:textFill>
            <w14:solidFill>
              <w14:schemeClr w14:val="tx1"/>
            </w14:solidFill>
          </w14:textFill>
        </w:rPr>
        <w:t>3-5</w:t>
      </w:r>
      <w:r>
        <w:rPr>
          <w:color w:val="000000" w:themeColor="text1"/>
          <w14:textFill>
            <w14:solidFill>
              <w14:schemeClr w14:val="tx1"/>
            </w14:solidFill>
          </w14:textFill>
        </w:rPr>
        <w:t>万</w:t>
      </w:r>
      <w:r>
        <w:rPr>
          <w:rFonts w:hint="eastAsia"/>
          <w:color w:val="000000" w:themeColor="text1"/>
          <w:lang w:eastAsia="zh-CN"/>
          <w14:textFill>
            <w14:solidFill>
              <w14:schemeClr w14:val="tx1"/>
            </w14:solidFill>
          </w14:textFill>
        </w:rPr>
        <w:t>米</w:t>
      </w:r>
      <w:r>
        <w:rPr>
          <w:color w:val="000000" w:themeColor="text1"/>
          <w14:textFill>
            <w14:solidFill>
              <w14:schemeClr w14:val="tx1"/>
            </w14:solidFill>
          </w14:textFill>
        </w:rPr>
        <w:t>按一批随机抽样检测</w:t>
      </w:r>
      <w:r>
        <w:t>。</w:t>
      </w:r>
    </w:p>
    <w:p>
      <w:pPr>
        <w:pStyle w:val="50"/>
        <w:spacing w:before="156" w:after="156"/>
        <w:ind w:left="0"/>
      </w:pPr>
      <w:r>
        <w:rPr>
          <w:rFonts w:hint="eastAsia"/>
        </w:rPr>
        <w:t>水表</w:t>
      </w:r>
    </w:p>
    <w:p>
      <w:pPr>
        <w:pStyle w:val="150"/>
        <w:numPr>
          <w:ilvl w:val="0"/>
          <w:numId w:val="0"/>
        </w:numPr>
        <w:ind w:firstLine="420" w:firstLineChars="200"/>
      </w:pPr>
      <w:r>
        <w:rPr>
          <w:rFonts w:hint="eastAsia"/>
        </w:rPr>
        <w:t>检测项目：密封性、适时误差、电子误差、压力损失、电气防水。</w:t>
      </w:r>
    </w:p>
    <w:p>
      <w:pPr>
        <w:pStyle w:val="150"/>
        <w:numPr>
          <w:ilvl w:val="0"/>
          <w:numId w:val="0"/>
        </w:numPr>
        <w:ind w:firstLine="420" w:firstLineChars="200"/>
      </w:pPr>
      <w:r>
        <w:rPr>
          <w:rFonts w:hint="eastAsia"/>
        </w:rPr>
        <w:t>检测频次：同一品牌、同一型号，5000块为一批计，不足5000块按一批次，每批次检测3块。</w:t>
      </w:r>
    </w:p>
    <w:p>
      <w:pPr>
        <w:pStyle w:val="49"/>
        <w:spacing w:before="312" w:after="312"/>
      </w:pPr>
      <w:bookmarkStart w:id="66" w:name="_Toc129187542"/>
      <w:r>
        <w:rPr>
          <w:rFonts w:hint="eastAsia"/>
        </w:rPr>
        <w:t>工程</w:t>
      </w:r>
      <w:r>
        <w:t>验收</w:t>
      </w:r>
      <w:bookmarkEnd w:id="66"/>
    </w:p>
    <w:p>
      <w:pPr>
        <w:pStyle w:val="46"/>
        <w:spacing w:before="156" w:after="156"/>
      </w:pPr>
      <w:bookmarkStart w:id="67" w:name="_Toc129187543"/>
      <w:r>
        <w:rPr>
          <w:rFonts w:hint="eastAsia"/>
        </w:rPr>
        <w:t>分部工程验收</w:t>
      </w:r>
      <w:bookmarkEnd w:id="67"/>
    </w:p>
    <w:p>
      <w:pPr>
        <w:pStyle w:val="150"/>
        <w:ind w:left="0"/>
      </w:pPr>
      <w:r>
        <w:rPr>
          <w:rFonts w:hint="eastAsia"/>
        </w:rPr>
        <w:t xml:space="preserve">分部工程验收应由建设单位或委托监理单位主持。 </w:t>
      </w:r>
    </w:p>
    <w:p>
      <w:pPr>
        <w:pStyle w:val="150"/>
        <w:ind w:left="0"/>
      </w:pPr>
      <w:r>
        <w:rPr>
          <w:rFonts w:hint="eastAsia"/>
        </w:rPr>
        <w:t xml:space="preserve">分部工程验收应具备以下条件： </w:t>
      </w:r>
    </w:p>
    <w:p>
      <w:pPr>
        <w:pStyle w:val="150"/>
        <w:numPr>
          <w:ilvl w:val="0"/>
          <w:numId w:val="0"/>
        </w:numPr>
        <w:ind w:firstLine="420" w:firstLineChars="200"/>
      </w:pPr>
      <w:r>
        <w:rPr>
          <w:rFonts w:hint="eastAsia"/>
        </w:rPr>
        <w:t xml:space="preserve">a) 所有单元工程已完成并经评定合格； </w:t>
      </w:r>
    </w:p>
    <w:p>
      <w:pPr>
        <w:pStyle w:val="150"/>
        <w:numPr>
          <w:ilvl w:val="0"/>
          <w:numId w:val="0"/>
        </w:numPr>
        <w:ind w:firstLine="420" w:firstLineChars="200"/>
      </w:pPr>
      <w:r>
        <w:rPr>
          <w:rFonts w:hint="eastAsia"/>
        </w:rPr>
        <w:t xml:space="preserve">b) 有关质量缺陷已处理完毕或有监理机构批准的处理意见； </w:t>
      </w:r>
    </w:p>
    <w:p>
      <w:pPr>
        <w:pStyle w:val="150"/>
        <w:numPr>
          <w:ilvl w:val="0"/>
          <w:numId w:val="0"/>
        </w:numPr>
        <w:ind w:firstLine="420" w:firstLineChars="200"/>
      </w:pPr>
      <w:r>
        <w:rPr>
          <w:rFonts w:hint="eastAsia"/>
        </w:rPr>
        <w:t xml:space="preserve">c) 合同约定的其他条件。 </w:t>
      </w:r>
    </w:p>
    <w:p>
      <w:pPr>
        <w:pStyle w:val="150"/>
        <w:ind w:left="0"/>
      </w:pPr>
      <w:r>
        <w:rPr>
          <w:rFonts w:hint="eastAsia"/>
        </w:rPr>
        <w:t xml:space="preserve">分部工程具备验收条件时，施工单位应向建设单位提交验收申请报告。建设单位应在收到验收申请报告之日起 10个工作日内决定是否同意进行验收。 </w:t>
      </w:r>
    </w:p>
    <w:p>
      <w:pPr>
        <w:pStyle w:val="150"/>
        <w:ind w:left="0"/>
      </w:pPr>
      <w:r>
        <w:rPr>
          <w:rFonts w:hint="eastAsia"/>
        </w:rPr>
        <w:t xml:space="preserve">验收主要内容包括： </w:t>
      </w:r>
    </w:p>
    <w:p>
      <w:pPr>
        <w:pStyle w:val="150"/>
        <w:numPr>
          <w:ilvl w:val="0"/>
          <w:numId w:val="0"/>
        </w:numPr>
        <w:ind w:firstLine="420" w:firstLineChars="200"/>
      </w:pPr>
      <w:r>
        <w:rPr>
          <w:rFonts w:hint="eastAsia"/>
        </w:rPr>
        <w:t xml:space="preserve">a) 检查工程是否按批准的设计文件完成； </w:t>
      </w:r>
    </w:p>
    <w:p>
      <w:pPr>
        <w:pStyle w:val="150"/>
        <w:numPr>
          <w:ilvl w:val="0"/>
          <w:numId w:val="0"/>
        </w:numPr>
        <w:ind w:firstLine="420" w:firstLineChars="200"/>
      </w:pPr>
      <w:r>
        <w:rPr>
          <w:rFonts w:hint="eastAsia"/>
        </w:rPr>
        <w:t xml:space="preserve">b) 检查工程施工质量，对质量事故和工程缺陷提出处理要求； </w:t>
      </w:r>
    </w:p>
    <w:p>
      <w:pPr>
        <w:pStyle w:val="150"/>
        <w:numPr>
          <w:ilvl w:val="0"/>
          <w:numId w:val="0"/>
        </w:numPr>
        <w:ind w:firstLine="420" w:firstLineChars="200"/>
      </w:pPr>
      <w:r>
        <w:rPr>
          <w:rFonts w:hint="eastAsia"/>
        </w:rPr>
        <w:t xml:space="preserve">c) 对验收遗留问题提出处理意见； </w:t>
      </w:r>
    </w:p>
    <w:p>
      <w:pPr>
        <w:pStyle w:val="150"/>
        <w:numPr>
          <w:ilvl w:val="0"/>
          <w:numId w:val="0"/>
        </w:numPr>
        <w:ind w:firstLine="420" w:firstLineChars="200"/>
      </w:pPr>
      <w:r>
        <w:rPr>
          <w:rFonts w:hint="eastAsia"/>
        </w:rPr>
        <w:t xml:space="preserve">d) 讨论并通过分部工程验收鉴定书。 </w:t>
      </w:r>
    </w:p>
    <w:p>
      <w:pPr>
        <w:pStyle w:val="150"/>
        <w:ind w:left="0"/>
      </w:pPr>
      <w:r>
        <w:rPr>
          <w:rFonts w:hint="eastAsia"/>
        </w:rPr>
        <w:t xml:space="preserve">验收鉴定书应符合 SL 223 的规定。 </w:t>
      </w:r>
    </w:p>
    <w:p>
      <w:pPr>
        <w:pStyle w:val="46"/>
        <w:spacing w:before="156" w:after="156"/>
      </w:pPr>
      <w:bookmarkStart w:id="68" w:name="_Toc129187544"/>
      <w:r>
        <w:rPr>
          <w:rFonts w:hint="eastAsia"/>
        </w:rPr>
        <w:t>单位工程验收</w:t>
      </w:r>
      <w:bookmarkEnd w:id="68"/>
    </w:p>
    <w:p>
      <w:pPr>
        <w:pStyle w:val="150"/>
        <w:ind w:left="0"/>
      </w:pPr>
      <w:r>
        <w:rPr>
          <w:rFonts w:hint="eastAsia"/>
        </w:rPr>
        <w:t xml:space="preserve">单位工程验收应由建设单位主持。 </w:t>
      </w:r>
    </w:p>
    <w:p>
      <w:pPr>
        <w:pStyle w:val="150"/>
        <w:ind w:left="0"/>
      </w:pPr>
      <w:r>
        <w:rPr>
          <w:rFonts w:hint="eastAsia"/>
        </w:rPr>
        <w:t xml:space="preserve">单位工程验收应具备以下条件： </w:t>
      </w:r>
    </w:p>
    <w:p>
      <w:pPr>
        <w:pStyle w:val="150"/>
        <w:numPr>
          <w:ilvl w:val="0"/>
          <w:numId w:val="0"/>
        </w:numPr>
        <w:ind w:firstLine="420" w:firstLineChars="200"/>
      </w:pPr>
      <w:r>
        <w:rPr>
          <w:rFonts w:hint="eastAsia"/>
        </w:rPr>
        <w:t xml:space="preserve">a) 所有分部工程已完建并验收合格； </w:t>
      </w:r>
    </w:p>
    <w:p>
      <w:pPr>
        <w:pStyle w:val="150"/>
        <w:numPr>
          <w:ilvl w:val="0"/>
          <w:numId w:val="0"/>
        </w:numPr>
        <w:ind w:firstLine="420" w:firstLineChars="200"/>
      </w:pPr>
      <w:r>
        <w:rPr>
          <w:rFonts w:hint="eastAsia"/>
        </w:rPr>
        <w:t xml:space="preserve">b) 分部工程验收遗留问题已处理完毕并通过验收，未处理的遗留问题不影响单位工程质量评定并有处理意见； </w:t>
      </w:r>
    </w:p>
    <w:p>
      <w:pPr>
        <w:pStyle w:val="150"/>
        <w:numPr>
          <w:ilvl w:val="0"/>
          <w:numId w:val="0"/>
        </w:numPr>
        <w:ind w:firstLine="420" w:firstLineChars="200"/>
      </w:pPr>
      <w:r>
        <w:rPr>
          <w:rFonts w:hint="eastAsia"/>
        </w:rPr>
        <w:t xml:space="preserve">c) 合同约定的其他条件。 </w:t>
      </w:r>
    </w:p>
    <w:p>
      <w:pPr>
        <w:pStyle w:val="150"/>
        <w:ind w:left="0"/>
      </w:pPr>
      <w:r>
        <w:rPr>
          <w:rFonts w:hint="eastAsia"/>
        </w:rPr>
        <w:t xml:space="preserve">单位工程完工并具备验收条件时，施工单位应向建设单位提出验收申请报告。建设单位应在收到验收申请报告之日起 10 个工作日内决定是否同意进行验收。 </w:t>
      </w:r>
    </w:p>
    <w:p>
      <w:pPr>
        <w:pStyle w:val="150"/>
        <w:ind w:left="0"/>
      </w:pPr>
      <w:r>
        <w:rPr>
          <w:rFonts w:hint="eastAsia"/>
        </w:rPr>
        <w:t xml:space="preserve">验收主要内容包括： </w:t>
      </w:r>
    </w:p>
    <w:p>
      <w:pPr>
        <w:pStyle w:val="150"/>
        <w:numPr>
          <w:ilvl w:val="0"/>
          <w:numId w:val="0"/>
        </w:numPr>
        <w:ind w:firstLine="420" w:firstLineChars="200"/>
      </w:pPr>
      <w:r>
        <w:rPr>
          <w:rFonts w:hint="eastAsia"/>
        </w:rPr>
        <w:t xml:space="preserve">a) 检查工程是否按批准的设计文件完成； </w:t>
      </w:r>
    </w:p>
    <w:p>
      <w:pPr>
        <w:pStyle w:val="150"/>
        <w:numPr>
          <w:ilvl w:val="0"/>
          <w:numId w:val="0"/>
        </w:numPr>
        <w:ind w:firstLine="420" w:firstLineChars="200"/>
      </w:pPr>
      <w:r>
        <w:rPr>
          <w:rFonts w:hint="eastAsia"/>
        </w:rPr>
        <w:t xml:space="preserve">b) 检查工程质量，对质量事故和工程缺陷是否按要求处理完毕； </w:t>
      </w:r>
    </w:p>
    <w:p>
      <w:pPr>
        <w:pStyle w:val="150"/>
        <w:numPr>
          <w:ilvl w:val="0"/>
          <w:numId w:val="0"/>
        </w:numPr>
        <w:ind w:firstLine="420" w:firstLineChars="200"/>
      </w:pPr>
      <w:r>
        <w:rPr>
          <w:rFonts w:hint="eastAsia"/>
        </w:rPr>
        <w:t xml:space="preserve">c) 检查工程是否具备安全运行条件； </w:t>
      </w:r>
    </w:p>
    <w:p>
      <w:pPr>
        <w:pStyle w:val="150"/>
        <w:numPr>
          <w:ilvl w:val="0"/>
          <w:numId w:val="0"/>
        </w:numPr>
        <w:ind w:firstLine="420" w:firstLineChars="200"/>
      </w:pPr>
      <w:r>
        <w:rPr>
          <w:rFonts w:hint="eastAsia"/>
        </w:rPr>
        <w:t>d) 对验收遗留问题提出处理意见；</w:t>
      </w:r>
    </w:p>
    <w:p>
      <w:pPr>
        <w:pStyle w:val="150"/>
        <w:numPr>
          <w:ilvl w:val="0"/>
          <w:numId w:val="0"/>
        </w:numPr>
        <w:ind w:firstLine="420" w:firstLineChars="200"/>
      </w:pPr>
      <w:r>
        <w:rPr>
          <w:rFonts w:hint="eastAsia"/>
        </w:rPr>
        <w:t xml:space="preserve">e) 讨论并通过单位工程验收鉴定书。 </w:t>
      </w:r>
    </w:p>
    <w:p>
      <w:pPr>
        <w:pStyle w:val="150"/>
        <w:ind w:left="0"/>
      </w:pPr>
      <w:r>
        <w:rPr>
          <w:rFonts w:hint="eastAsia"/>
        </w:rPr>
        <w:t xml:space="preserve">验收鉴定书应符合 SL 223 的规定。 </w:t>
      </w:r>
    </w:p>
    <w:p>
      <w:pPr>
        <w:pStyle w:val="46"/>
        <w:spacing w:before="156" w:after="156"/>
      </w:pPr>
      <w:bookmarkStart w:id="69" w:name="_Toc129187545"/>
      <w:r>
        <w:rPr>
          <w:rFonts w:hint="eastAsia"/>
        </w:rPr>
        <w:t>竣工验收</w:t>
      </w:r>
      <w:bookmarkEnd w:id="69"/>
    </w:p>
    <w:p>
      <w:pPr>
        <w:pStyle w:val="150"/>
        <w:ind w:left="0"/>
      </w:pPr>
      <w:r>
        <w:rPr>
          <w:rFonts w:hint="eastAsia"/>
        </w:rPr>
        <w:t xml:space="preserve">竣工验收工作由竣工验收委员会负责，其组成应符合 SL 223 的规定。 </w:t>
      </w:r>
    </w:p>
    <w:p>
      <w:pPr>
        <w:pStyle w:val="150"/>
        <w:ind w:left="0"/>
      </w:pPr>
      <w:r>
        <w:rPr>
          <w:rFonts w:hint="eastAsia"/>
        </w:rPr>
        <w:t xml:space="preserve">竣工验收应具备以下条件： </w:t>
      </w:r>
    </w:p>
    <w:p>
      <w:pPr>
        <w:pStyle w:val="150"/>
        <w:numPr>
          <w:ilvl w:val="0"/>
          <w:numId w:val="0"/>
        </w:numPr>
        <w:ind w:firstLine="420" w:firstLineChars="200"/>
      </w:pPr>
      <w:r>
        <w:rPr>
          <w:rFonts w:hint="eastAsia"/>
        </w:rPr>
        <w:t xml:space="preserve">a) 工程已按批准设计全部完成； </w:t>
      </w:r>
    </w:p>
    <w:p>
      <w:pPr>
        <w:pStyle w:val="150"/>
        <w:numPr>
          <w:ilvl w:val="0"/>
          <w:numId w:val="0"/>
        </w:numPr>
        <w:ind w:firstLine="420" w:firstLineChars="200"/>
      </w:pPr>
      <w:r>
        <w:rPr>
          <w:rFonts w:hint="eastAsia"/>
        </w:rPr>
        <w:t xml:space="preserve">b) 工程重大设计变更已经有审批权的单位批准； </w:t>
      </w:r>
    </w:p>
    <w:p>
      <w:pPr>
        <w:pStyle w:val="150"/>
        <w:numPr>
          <w:ilvl w:val="0"/>
          <w:numId w:val="0"/>
        </w:numPr>
        <w:ind w:firstLine="420" w:firstLineChars="200"/>
      </w:pPr>
      <w:r>
        <w:rPr>
          <w:rFonts w:hint="eastAsia"/>
        </w:rPr>
        <w:t xml:space="preserve">c) 各单位工程能正常运行； </w:t>
      </w:r>
    </w:p>
    <w:p>
      <w:pPr>
        <w:pStyle w:val="150"/>
        <w:numPr>
          <w:ilvl w:val="0"/>
          <w:numId w:val="0"/>
        </w:numPr>
        <w:ind w:firstLine="420" w:firstLineChars="200"/>
      </w:pPr>
      <w:r>
        <w:rPr>
          <w:rFonts w:hint="eastAsia"/>
        </w:rPr>
        <w:t xml:space="preserve">d) 历次验收所发现的问题已基本处理完毕； </w:t>
      </w:r>
    </w:p>
    <w:p>
      <w:pPr>
        <w:pStyle w:val="150"/>
        <w:numPr>
          <w:ilvl w:val="0"/>
          <w:numId w:val="0"/>
        </w:numPr>
        <w:ind w:firstLine="420" w:firstLineChars="200"/>
      </w:pPr>
      <w:r>
        <w:rPr>
          <w:rFonts w:hint="eastAsia"/>
        </w:rPr>
        <w:t xml:space="preserve">e) 质量和安全监督工作报告已提交，工程质量达到合格标准； </w:t>
      </w:r>
    </w:p>
    <w:p>
      <w:pPr>
        <w:pStyle w:val="150"/>
        <w:numPr>
          <w:ilvl w:val="0"/>
          <w:numId w:val="0"/>
        </w:numPr>
        <w:ind w:firstLine="420" w:firstLineChars="200"/>
      </w:pPr>
      <w:r>
        <w:rPr>
          <w:rFonts w:hint="eastAsia"/>
        </w:rPr>
        <w:t>f) 竣工验收资料已准备就绪。</w:t>
      </w:r>
    </w:p>
    <w:p>
      <w:pPr>
        <w:pStyle w:val="150"/>
        <w:ind w:left="0"/>
      </w:pPr>
      <w:r>
        <w:rPr>
          <w:rFonts w:hint="eastAsia"/>
        </w:rPr>
        <w:t xml:space="preserve">验收文件应包括全套设计文件、分部工程验收鉴定书、试运行报告、单位工程验收鉴定书、工程决算报告、竣工图纸和报告、运行管理办法等。规模较小的项目，验收文件可只包括设计文件、竣工图纸和竣工报告。 </w:t>
      </w:r>
    </w:p>
    <w:p>
      <w:pPr>
        <w:pStyle w:val="150"/>
        <w:ind w:left="0"/>
      </w:pPr>
      <w:r>
        <w:rPr>
          <w:rFonts w:hint="eastAsia"/>
        </w:rPr>
        <w:t xml:space="preserve">工程具备验收条件时，建设单位应向竣工验收主持单位提出竣工验收申请报告。竣工验收主持单位应自收到申请报告后 20 个工作日内决定是否同意进行竣工验收。 </w:t>
      </w:r>
    </w:p>
    <w:p>
      <w:pPr>
        <w:pStyle w:val="150"/>
        <w:ind w:left="0"/>
      </w:pPr>
      <w:r>
        <w:rPr>
          <w:rFonts w:hint="eastAsia"/>
        </w:rPr>
        <w:t xml:space="preserve">竣工验收主要工作包括： </w:t>
      </w:r>
    </w:p>
    <w:p>
      <w:pPr>
        <w:pStyle w:val="63"/>
        <w:numPr>
          <w:ilvl w:val="0"/>
          <w:numId w:val="29"/>
        </w:numPr>
      </w:pPr>
      <w:r>
        <w:rPr>
          <w:rFonts w:hint="eastAsia"/>
        </w:rPr>
        <w:t xml:space="preserve">听取并审查建设、设计、施工、监理等单位报告； </w:t>
      </w:r>
    </w:p>
    <w:p>
      <w:pPr>
        <w:pStyle w:val="63"/>
      </w:pPr>
      <w:r>
        <w:rPr>
          <w:rFonts w:hint="eastAsia"/>
        </w:rPr>
        <w:t xml:space="preserve">审查工程建设和试运行情况，检查工程是否按批准的设计文件完成； </w:t>
      </w:r>
    </w:p>
    <w:p>
      <w:pPr>
        <w:pStyle w:val="63"/>
      </w:pPr>
      <w:r>
        <w:rPr>
          <w:rFonts w:hint="eastAsia"/>
        </w:rPr>
        <w:t xml:space="preserve">复核工程是否具备安全可靠运行条件，各项技术指标是否符合设计要求； </w:t>
      </w:r>
    </w:p>
    <w:p>
      <w:pPr>
        <w:pStyle w:val="63"/>
      </w:pPr>
      <w:r>
        <w:rPr>
          <w:rFonts w:hint="eastAsia"/>
        </w:rPr>
        <w:t xml:space="preserve">审查竣工决算报告； </w:t>
      </w:r>
    </w:p>
    <w:p>
      <w:pPr>
        <w:pStyle w:val="63"/>
      </w:pPr>
      <w:r>
        <w:rPr>
          <w:rFonts w:hint="eastAsia"/>
        </w:rPr>
        <w:t xml:space="preserve">对工程设计、施工和工程质量作全面评价； </w:t>
      </w:r>
    </w:p>
    <w:p>
      <w:pPr>
        <w:pStyle w:val="63"/>
      </w:pPr>
      <w:r>
        <w:rPr>
          <w:rFonts w:hint="eastAsia"/>
        </w:rPr>
        <w:t xml:space="preserve">检查历次验收所发现的问题是否已基本解决，归档资料是否符合有关规定； </w:t>
      </w:r>
    </w:p>
    <w:p>
      <w:pPr>
        <w:pStyle w:val="63"/>
      </w:pPr>
      <w:r>
        <w:rPr>
          <w:rFonts w:hint="eastAsia"/>
        </w:rPr>
        <w:t xml:space="preserve">讨论并通过工程竣工验收鉴定书。 </w:t>
      </w:r>
    </w:p>
    <w:p>
      <w:pPr>
        <w:pStyle w:val="150"/>
        <w:ind w:left="0"/>
      </w:pPr>
      <w:r>
        <w:rPr>
          <w:rFonts w:hint="eastAsia"/>
        </w:rPr>
        <w:t xml:space="preserve">验收过程中若发生意见分歧，应充分协商解决，验收委员会有裁决权；不宜在现场裁决的问题，应报请主管部门决定。 </w:t>
      </w:r>
    </w:p>
    <w:p>
      <w:pPr>
        <w:pStyle w:val="150"/>
        <w:ind w:left="0"/>
      </w:pPr>
      <w:r>
        <w:rPr>
          <w:rFonts w:hint="eastAsia"/>
        </w:rPr>
        <w:t>竣工资料应妥善归档保存，主管单位</w:t>
      </w:r>
      <w:bookmarkStart w:id="70" w:name="_GoBack"/>
      <w:bookmarkEnd w:id="70"/>
      <w:r>
        <w:rPr>
          <w:rFonts w:hint="eastAsia"/>
        </w:rPr>
        <w:t>、建设单位和运行管理单位各保存 1 份。</w:t>
      </w:r>
    </w:p>
    <w:bookmarkEnd w:id="60"/>
    <w:bookmarkEnd w:id="61"/>
    <w:bookmarkEnd w:id="62"/>
    <w:bookmarkEnd w:id="63"/>
    <w:bookmarkEnd w:id="64"/>
    <w:p>
      <w:pPr>
        <w:pStyle w:val="134"/>
        <w:framePr w:wrap="around" w:vAnchor="text" w:hAnchor="page" w:x="1494" w:y="1551"/>
        <w:ind w:firstLine="1050"/>
      </w:pPr>
      <w:r>
        <mc:AlternateContent>
          <mc:Choice Requires="wps">
            <w:drawing>
              <wp:anchor distT="0" distB="0" distL="114300" distR="114300" simplePos="0" relativeHeight="251665408" behindDoc="0" locked="0" layoutInCell="1" allowOverlap="1">
                <wp:simplePos x="0" y="0"/>
                <wp:positionH relativeFrom="column">
                  <wp:posOffset>1757045</wp:posOffset>
                </wp:positionH>
                <wp:positionV relativeFrom="paragraph">
                  <wp:posOffset>317500</wp:posOffset>
                </wp:positionV>
                <wp:extent cx="2419350" cy="0"/>
                <wp:effectExtent l="0" t="4445" r="0" b="5080"/>
                <wp:wrapNone/>
                <wp:docPr id="1" name="Line 3"/>
                <wp:cNvGraphicFramePr/>
                <a:graphic xmlns:a="http://schemas.openxmlformats.org/drawingml/2006/main">
                  <a:graphicData uri="http://schemas.microsoft.com/office/word/2010/wordprocessingShape">
                    <wps:wsp>
                      <wps:cNvCnPr>
                        <a:cxnSpLocks noChangeShapeType="1"/>
                      </wps:cNvCnPr>
                      <wps:spPr bwMode="auto">
                        <a:xfrm>
                          <a:off x="0" y="0"/>
                          <a:ext cx="2419350" cy="0"/>
                        </a:xfrm>
                        <a:prstGeom prst="line">
                          <a:avLst/>
                        </a:prstGeom>
                        <a:noFill/>
                        <a:ln w="6350">
                          <a:solidFill>
                            <a:srgbClr val="000000">
                              <a:lumMod val="100000"/>
                              <a:lumOff val="0"/>
                            </a:srgbClr>
                          </a:solidFill>
                          <a:miter lim="800000"/>
                        </a:ln>
                        <a:effectLst/>
                      </wps:spPr>
                      <wps:bodyPr/>
                    </wps:wsp>
                  </a:graphicData>
                </a:graphic>
              </wp:anchor>
            </w:drawing>
          </mc:Choice>
          <mc:Fallback>
            <w:pict>
              <v:line id="Line 3" o:spid="_x0000_s1026" o:spt="20" style="position:absolute;left:0pt;margin-left:138.35pt;margin-top:25pt;height:0pt;width:190.5pt;z-index:251665408;mso-width-relative:page;mso-height-relative:page;" filled="f" stroked="t" coordsize="21600,21600" o:gfxdata="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yucnHVAAAA&#10;CQEAAA8AAAAAAAAAAQAgAAAAIgAAAGRycy9kb3ducmV2LnhtbFBLAQIUABQAAAAIAIdO4kCwXK2B&#10;5wEAAPADAAAOAAAAAAAAAAEAIAAAACQBAABkcnMvZTJvRG9jLnhtbFBLBQYAAAAABgAGAFkBAAB9&#10;BQAAAAA=&#10;">
                <v:fill on="f" focussize="0,0"/>
                <v:stroke weight="0.5pt" color="#000000" miterlimit="8" joinstyle="miter"/>
                <v:imagedata o:title=""/>
                <o:lock v:ext="edit" aspectratio="f"/>
              </v:line>
            </w:pict>
          </mc:Fallback>
        </mc:AlternateContent>
      </w:r>
    </w:p>
    <w:p>
      <w:pPr>
        <w:pStyle w:val="134"/>
        <w:framePr w:wrap="around" w:vAnchor="text" w:hAnchor="page" w:x="1494" w:y="1551"/>
        <w:ind w:firstLine="1050"/>
      </w:pPr>
    </w:p>
    <w:p>
      <w:pPr>
        <w:pStyle w:val="150"/>
        <w:numPr>
          <w:ilvl w:val="0"/>
          <w:numId w:val="0"/>
        </w:numPr>
      </w:pPr>
    </w:p>
    <w:sectPr>
      <w:headerReference r:id="rId6" w:type="default"/>
      <w:footerReference r:id="rId7" w:type="default"/>
      <w:pgSz w:w="11906" w:h="16838"/>
      <w:pgMar w:top="567" w:right="1134" w:bottom="1134" w:left="1418" w:header="1418" w:footer="1134" w:gutter="0"/>
      <w:pgNumType w:start="1"/>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4436948"/>
    </w:sdtPr>
    <w:sdtContent>
      <w:p>
        <w:pPr>
          <w:pStyle w:val="20"/>
          <w:jc w:val="left"/>
        </w:pPr>
        <w:r>
          <w:fldChar w:fldCharType="begin"/>
        </w:r>
        <w:r>
          <w:instrText xml:space="preserve">PAGE   \* MERGEFORMAT</w:instrText>
        </w:r>
        <w:r>
          <w:fldChar w:fldCharType="separate"/>
        </w:r>
        <w:r>
          <w:rPr>
            <w:lang w:val="zh-CN"/>
          </w:rPr>
          <w:t>2</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7"/>
    </w:pPr>
    <w:r>
      <w:fldChar w:fldCharType="begin"/>
    </w:r>
    <w:r>
      <w:instrText xml:space="preserve"> PAGE  \* MERGEFORMAT </w:instrText>
    </w:r>
    <w:r>
      <w:fldChar w:fldCharType="separate"/>
    </w:r>
    <w:r>
      <w:t>III</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7"/>
    </w:pPr>
    <w:r>
      <w:fldChar w:fldCharType="begin"/>
    </w:r>
    <w:r>
      <w:instrText xml:space="preserve"> PAGE  \* MERGEFORMAT </w:instrText>
    </w:r>
    <w:r>
      <w:fldChar w:fldCharType="separate"/>
    </w:r>
    <w:r>
      <w:t>3</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pPr>
    <w:r>
      <w:t>DB13/T 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pPr>
    <w:r>
      <w:t>DB13/T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62"/>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20"/>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56"/>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tentative="0">
      <w:start w:val="1"/>
      <w:numFmt w:val="decimal"/>
      <w:pStyle w:val="133"/>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25"/>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6667BBD"/>
    <w:multiLevelType w:val="multilevel"/>
    <w:tmpl w:val="16667BBD"/>
    <w:lvl w:ilvl="0" w:tentative="0">
      <w:start w:val="1"/>
      <w:numFmt w:val="lowerLetter"/>
      <w:pStyle w:val="63"/>
      <w:lvlText w:val="%1)"/>
      <w:lvlJc w:val="left"/>
      <w:pPr>
        <w:tabs>
          <w:tab w:val="left" w:pos="840"/>
        </w:tabs>
        <w:ind w:left="839" w:hanging="419"/>
      </w:pPr>
      <w:rPr>
        <w:rFonts w:hint="default" w:ascii="宋体" w:hAnsi="宋体" w:eastAsia="宋体" w:cs="宋体"/>
        <w:b w:val="0"/>
        <w:i w:val="0"/>
        <w:sz w:val="21"/>
        <w:szCs w:val="21"/>
      </w:rPr>
    </w:lvl>
    <w:lvl w:ilvl="1" w:tentative="0">
      <w:start w:val="1"/>
      <w:numFmt w:val="decimal"/>
      <w:pStyle w:val="58"/>
      <w:lvlText w:val="%2)"/>
      <w:lvlJc w:val="left"/>
      <w:pPr>
        <w:tabs>
          <w:tab w:val="left" w:pos="1260"/>
        </w:tabs>
        <w:ind w:left="1259" w:hanging="419"/>
      </w:pPr>
      <w:rPr>
        <w:rFonts w:hint="default" w:ascii="宋体" w:hAnsi="宋体" w:eastAsia="宋体" w:cs="宋体"/>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710" w:firstLine="0"/>
      </w:pPr>
      <w:rPr>
        <w:rFonts w:hint="eastAsia" w:ascii="黑体" w:hAnsi="Times New Roman" w:eastAsia="黑体"/>
        <w:b w:val="0"/>
        <w:i w:val="0"/>
        <w:sz w:val="21"/>
      </w:rPr>
    </w:lvl>
    <w:lvl w:ilvl="3" w:tentative="0">
      <w:start w:val="1"/>
      <w:numFmt w:val="decimal"/>
      <w:lvlText w:val="%1.%2.%3.%4 "/>
      <w:lvlJc w:val="left"/>
      <w:pPr>
        <w:ind w:left="0" w:firstLine="0"/>
      </w:pPr>
      <w:rPr>
        <w:rFonts w:hint="default"/>
      </w:rPr>
    </w:lvl>
    <w:lvl w:ilvl="4" w:tentative="0">
      <w:start w:val="1"/>
      <w:numFmt w:val="decimal"/>
      <w:pStyle w:val="122"/>
      <w:suff w:val="nothing"/>
      <w:lvlText w:val="%1.%2.%3.%4.%5 "/>
      <w:lvlJc w:val="left"/>
      <w:pPr>
        <w:ind w:left="0" w:firstLine="0"/>
      </w:pPr>
      <w:rPr>
        <w:rFonts w:hint="eastAsia" w:ascii="黑体" w:hAnsi="Times New Roman" w:eastAsia="黑体"/>
        <w:b w:val="0"/>
        <w:i w:val="0"/>
        <w:sz w:val="21"/>
      </w:rPr>
    </w:lvl>
    <w:lvl w:ilvl="5" w:tentative="0">
      <w:start w:val="1"/>
      <w:numFmt w:val="decimal"/>
      <w:pStyle w:val="128"/>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22827D5B"/>
    <w:multiLevelType w:val="multilevel"/>
    <w:tmpl w:val="22827D5B"/>
    <w:lvl w:ilvl="0" w:tentative="0">
      <w:start w:val="1"/>
      <w:numFmt w:val="none"/>
      <w:pStyle w:val="68"/>
      <w:suff w:val="nothing"/>
      <w:lvlText w:val="%1注："/>
      <w:lvlJc w:val="left"/>
      <w:pPr>
        <w:ind w:left="789" w:hanging="363"/>
      </w:pPr>
      <w:rPr>
        <w:rFonts w:hint="eastAsia" w:ascii="黑体" w:hAnsi="Times New Roman" w:eastAsia="黑体"/>
        <w:b w:val="0"/>
        <w:i w:val="0"/>
        <w:color w:val="000000" w:themeColor="text1"/>
        <w:sz w:val="18"/>
        <w14:textFill>
          <w14:solidFill>
            <w14:schemeClr w14:val="tx1"/>
          </w14:solidFill>
        </w14:textFill>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8">
    <w:nsid w:val="2A8F7113"/>
    <w:multiLevelType w:val="multilevel"/>
    <w:tmpl w:val="2A8F7113"/>
    <w:lvl w:ilvl="0" w:tentative="0">
      <w:start w:val="1"/>
      <w:numFmt w:val="upperLetter"/>
      <w:pStyle w:val="102"/>
      <w:suff w:val="space"/>
      <w:lvlText w:val="%1"/>
      <w:lvlJc w:val="left"/>
      <w:pPr>
        <w:ind w:left="623" w:hanging="425"/>
      </w:pPr>
      <w:rPr>
        <w:rFonts w:hint="eastAsia"/>
      </w:rPr>
    </w:lvl>
    <w:lvl w:ilvl="1" w:tentative="0">
      <w:start w:val="1"/>
      <w:numFmt w:val="decimal"/>
      <w:pStyle w:val="103"/>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9">
    <w:nsid w:val="2C5917C3"/>
    <w:multiLevelType w:val="multilevel"/>
    <w:tmpl w:val="2C5917C3"/>
    <w:lvl w:ilvl="0" w:tentative="0">
      <w:start w:val="1"/>
      <w:numFmt w:val="none"/>
      <w:pStyle w:val="52"/>
      <w:suff w:val="nothing"/>
      <w:lvlText w:val="%1——"/>
      <w:lvlJc w:val="left"/>
      <w:pPr>
        <w:ind w:left="833" w:hanging="408"/>
      </w:pPr>
      <w:rPr>
        <w:rFonts w:hint="eastAsia"/>
      </w:rPr>
    </w:lvl>
    <w:lvl w:ilvl="1" w:tentative="0">
      <w:start w:val="1"/>
      <w:numFmt w:val="bullet"/>
      <w:pStyle w:val="53"/>
      <w:lvlText w:val=""/>
      <w:lvlJc w:val="left"/>
      <w:pPr>
        <w:tabs>
          <w:tab w:val="left" w:pos="760"/>
        </w:tabs>
        <w:ind w:left="1264" w:hanging="413"/>
      </w:pPr>
      <w:rPr>
        <w:rFonts w:hint="default" w:ascii="Symbol" w:hAnsi="Symbol"/>
        <w:color w:val="auto"/>
      </w:rPr>
    </w:lvl>
    <w:lvl w:ilvl="2" w:tentative="0">
      <w:start w:val="1"/>
      <w:numFmt w:val="bullet"/>
      <w:pStyle w:val="64"/>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0">
    <w:nsid w:val="3D733618"/>
    <w:multiLevelType w:val="multilevel"/>
    <w:tmpl w:val="3D733618"/>
    <w:lvl w:ilvl="0" w:tentative="0">
      <w:start w:val="1"/>
      <w:numFmt w:val="decimal"/>
      <w:pStyle w:val="27"/>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1">
    <w:nsid w:val="4B733A5F"/>
    <w:multiLevelType w:val="multilevel"/>
    <w:tmpl w:val="4B733A5F"/>
    <w:lvl w:ilvl="0" w:tentative="0">
      <w:start w:val="1"/>
      <w:numFmt w:val="decimal"/>
      <w:pStyle w:val="66"/>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2">
    <w:nsid w:val="60B55DC2"/>
    <w:multiLevelType w:val="multilevel"/>
    <w:tmpl w:val="60B55DC2"/>
    <w:lvl w:ilvl="0" w:tentative="0">
      <w:start w:val="1"/>
      <w:numFmt w:val="upperLetter"/>
      <w:pStyle w:val="90"/>
      <w:lvlText w:val="%1"/>
      <w:lvlJc w:val="left"/>
      <w:pPr>
        <w:tabs>
          <w:tab w:val="left" w:pos="0"/>
        </w:tabs>
        <w:ind w:left="0" w:hanging="425"/>
      </w:pPr>
      <w:rPr>
        <w:rFonts w:hint="eastAsia"/>
      </w:rPr>
    </w:lvl>
    <w:lvl w:ilvl="1" w:tentative="0">
      <w:start w:val="1"/>
      <w:numFmt w:val="decimal"/>
      <w:pStyle w:val="91"/>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31"/>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A6D3780"/>
    <w:multiLevelType w:val="multilevel"/>
    <w:tmpl w:val="6A6D3780"/>
    <w:lvl w:ilvl="0" w:tentative="0">
      <w:start w:val="1"/>
      <w:numFmt w:val="decimal"/>
      <w:pStyle w:val="69"/>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5">
    <w:nsid w:val="6CE73117"/>
    <w:multiLevelType w:val="multilevel"/>
    <w:tmpl w:val="6CE73117"/>
    <w:lvl w:ilvl="0" w:tentative="0">
      <w:start w:val="1"/>
      <w:numFmt w:val="decimal"/>
      <w:pStyle w:val="49"/>
      <w:suff w:val="space"/>
      <w:lvlText w:val="%1 "/>
      <w:lvlJc w:val="left"/>
      <w:pPr>
        <w:ind w:left="0" w:firstLine="0"/>
      </w:pPr>
      <w:rPr>
        <w:rFonts w:hint="default" w:ascii="黑体" w:hAnsi="黑体" w:eastAsia="黑体" w:cs="黑体"/>
        <w:sz w:val="21"/>
      </w:rPr>
    </w:lvl>
    <w:lvl w:ilvl="1" w:tentative="0">
      <w:start w:val="1"/>
      <w:numFmt w:val="decimal"/>
      <w:pStyle w:val="46"/>
      <w:suff w:val="space"/>
      <w:lvlText w:val="%1.%2 "/>
      <w:lvlJc w:val="left"/>
      <w:pPr>
        <w:ind w:left="0" w:firstLine="0"/>
      </w:pPr>
      <w:rPr>
        <w:rFonts w:hint="default" w:ascii="黑体" w:hAnsi="黑体" w:eastAsia="黑体" w:cs="黑体"/>
        <w:sz w:val="21"/>
        <w:szCs w:val="21"/>
      </w:rPr>
    </w:lvl>
    <w:lvl w:ilvl="2" w:tentative="0">
      <w:start w:val="1"/>
      <w:numFmt w:val="decimal"/>
      <w:pStyle w:val="50"/>
      <w:suff w:val="space"/>
      <w:lvlText w:val="%1.%2.%3 "/>
      <w:lvlJc w:val="left"/>
      <w:pPr>
        <w:ind w:left="0" w:firstLine="0"/>
      </w:pPr>
      <w:rPr>
        <w:rFonts w:hint="default" w:ascii="黑体" w:hAnsi="黑体" w:eastAsia="黑体" w:cs="黑体"/>
        <w:strike w:val="0"/>
        <w:dstrike w:val="0"/>
        <w:sz w:val="21"/>
        <w:szCs w:val="21"/>
      </w:rPr>
    </w:lvl>
    <w:lvl w:ilvl="3" w:tentative="0">
      <w:start w:val="1"/>
      <w:numFmt w:val="decimal"/>
      <w:pStyle w:val="55"/>
      <w:suff w:val="space"/>
      <w:lvlText w:val="%1.%2.%3.%4 "/>
      <w:lvlJc w:val="left"/>
      <w:pPr>
        <w:ind w:left="0" w:firstLine="0"/>
      </w:pPr>
      <w:rPr>
        <w:rFonts w:hint="default" w:ascii="黑体" w:hAnsi="黑体" w:eastAsia="黑体" w:cs="黑体"/>
        <w:strike w:val="0"/>
        <w:dstrike w:val="0"/>
        <w:sz w:val="21"/>
        <w:szCs w:val="21"/>
      </w:rPr>
    </w:lvl>
    <w:lvl w:ilvl="4" w:tentative="0">
      <w:start w:val="1"/>
      <w:numFmt w:val="decimal"/>
      <w:pStyle w:val="59"/>
      <w:suff w:val="space"/>
      <w:lvlText w:val="%1.%2.%3.%4.%5 "/>
      <w:lvlJc w:val="left"/>
      <w:pPr>
        <w:ind w:left="0" w:firstLine="0"/>
      </w:pPr>
      <w:rPr>
        <w:rFonts w:hint="eastAsia"/>
      </w:rPr>
    </w:lvl>
    <w:lvl w:ilvl="5" w:tentative="0">
      <w:start w:val="1"/>
      <w:numFmt w:val="decimal"/>
      <w:pStyle w:val="60"/>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6">
    <w:nsid w:val="6D6C07CD"/>
    <w:multiLevelType w:val="multilevel"/>
    <w:tmpl w:val="6D6C07CD"/>
    <w:lvl w:ilvl="0" w:tentative="0">
      <w:start w:val="1"/>
      <w:numFmt w:val="lowerLetter"/>
      <w:pStyle w:val="109"/>
      <w:lvlText w:val="%1)"/>
      <w:lvlJc w:val="left"/>
      <w:pPr>
        <w:tabs>
          <w:tab w:val="left" w:pos="839"/>
        </w:tabs>
        <w:ind w:left="839" w:hanging="419"/>
      </w:pPr>
      <w:rPr>
        <w:rFonts w:hint="eastAsia" w:ascii="宋体" w:eastAsia="宋体"/>
        <w:b w:val="0"/>
        <w:i w:val="0"/>
        <w:sz w:val="21"/>
      </w:rPr>
    </w:lvl>
    <w:lvl w:ilvl="1" w:tentative="0">
      <w:start w:val="1"/>
      <w:numFmt w:val="decimal"/>
      <w:pStyle w:val="99"/>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61"/>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18">
    <w:nsid w:val="725F7525"/>
    <w:multiLevelType w:val="multilevel"/>
    <w:tmpl w:val="725F7525"/>
    <w:lvl w:ilvl="0" w:tentative="0">
      <w:start w:val="1"/>
      <w:numFmt w:val="decimal"/>
      <w:lvlText w:val="[%1]"/>
      <w:lvlJc w:val="left"/>
      <w:pPr>
        <w:ind w:left="840" w:hanging="420"/>
      </w:pPr>
      <w:rPr>
        <w:rFonts w:hint="eastAsia"/>
      </w:rPr>
    </w:lvl>
    <w:lvl w:ilvl="1" w:tentative="0">
      <w:start w:val="1"/>
      <w:numFmt w:val="decimal"/>
      <w:pStyle w:val="152"/>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15"/>
  </w:num>
  <w:num w:numId="3">
    <w:abstractNumId w:val="9"/>
  </w:num>
  <w:num w:numId="4">
    <w:abstractNumId w:val="2"/>
  </w:num>
  <w:num w:numId="5">
    <w:abstractNumId w:val="5"/>
  </w:num>
  <w:num w:numId="6">
    <w:abstractNumId w:val="17"/>
  </w:num>
  <w:num w:numId="7">
    <w:abstractNumId w:val="0"/>
  </w:num>
  <w:num w:numId="8">
    <w:abstractNumId w:val="11"/>
  </w:num>
  <w:num w:numId="9">
    <w:abstractNumId w:val="7"/>
  </w:num>
  <w:num w:numId="10">
    <w:abstractNumId w:val="14"/>
  </w:num>
  <w:num w:numId="11">
    <w:abstractNumId w:val="12"/>
  </w:num>
  <w:num w:numId="12">
    <w:abstractNumId w:val="16"/>
  </w:num>
  <w:num w:numId="13">
    <w:abstractNumId w:val="8"/>
  </w:num>
  <w:num w:numId="14">
    <w:abstractNumId w:val="1"/>
  </w:num>
  <w:num w:numId="15">
    <w:abstractNumId w:val="6"/>
  </w:num>
  <w:num w:numId="16">
    <w:abstractNumId w:val="4"/>
  </w:num>
  <w:num w:numId="17">
    <w:abstractNumId w:val="13"/>
  </w:num>
  <w:num w:numId="18">
    <w:abstractNumId w:val="3"/>
  </w:num>
  <w:num w:numId="19">
    <w:abstractNumId w:val="18"/>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attachedTemplate r:id="rId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xZGUyMjliMTMzMDQ4ZjUxNjUwMzhlOTdkNjg2NDYifQ=="/>
    <w:docVar w:name="KSO_WPS_MARK_KEY" w:val="560a3c24-c1dc-404a-8ea8-68b6aab1918c"/>
  </w:docVars>
  <w:rsids>
    <w:rsidRoot w:val="00520F5D"/>
    <w:rsid w:val="00000244"/>
    <w:rsid w:val="0000185F"/>
    <w:rsid w:val="000024D3"/>
    <w:rsid w:val="000053B0"/>
    <w:rsid w:val="0000586F"/>
    <w:rsid w:val="00006A6E"/>
    <w:rsid w:val="0001233B"/>
    <w:rsid w:val="00013D86"/>
    <w:rsid w:val="00013E02"/>
    <w:rsid w:val="0002121F"/>
    <w:rsid w:val="0002143C"/>
    <w:rsid w:val="000215FE"/>
    <w:rsid w:val="00025A65"/>
    <w:rsid w:val="00026C31"/>
    <w:rsid w:val="00027280"/>
    <w:rsid w:val="00027869"/>
    <w:rsid w:val="000320A7"/>
    <w:rsid w:val="00035925"/>
    <w:rsid w:val="000378F3"/>
    <w:rsid w:val="0004077A"/>
    <w:rsid w:val="000456E4"/>
    <w:rsid w:val="00050549"/>
    <w:rsid w:val="00053025"/>
    <w:rsid w:val="00055016"/>
    <w:rsid w:val="0005676A"/>
    <w:rsid w:val="00056891"/>
    <w:rsid w:val="00060186"/>
    <w:rsid w:val="00060320"/>
    <w:rsid w:val="00061BD7"/>
    <w:rsid w:val="000651BA"/>
    <w:rsid w:val="00066156"/>
    <w:rsid w:val="00066E9E"/>
    <w:rsid w:val="00067CDF"/>
    <w:rsid w:val="00070887"/>
    <w:rsid w:val="00074FBE"/>
    <w:rsid w:val="00081D80"/>
    <w:rsid w:val="00082A7E"/>
    <w:rsid w:val="00083A09"/>
    <w:rsid w:val="00084969"/>
    <w:rsid w:val="000873CC"/>
    <w:rsid w:val="00087F5D"/>
    <w:rsid w:val="0009005E"/>
    <w:rsid w:val="00090B04"/>
    <w:rsid w:val="00092857"/>
    <w:rsid w:val="00093D8D"/>
    <w:rsid w:val="00094926"/>
    <w:rsid w:val="000979C3"/>
    <w:rsid w:val="000A20A9"/>
    <w:rsid w:val="000A24CB"/>
    <w:rsid w:val="000A3168"/>
    <w:rsid w:val="000A37C0"/>
    <w:rsid w:val="000A3DE6"/>
    <w:rsid w:val="000A45C4"/>
    <w:rsid w:val="000A45D3"/>
    <w:rsid w:val="000A48B1"/>
    <w:rsid w:val="000A68AB"/>
    <w:rsid w:val="000B3143"/>
    <w:rsid w:val="000B3C4F"/>
    <w:rsid w:val="000C1C9C"/>
    <w:rsid w:val="000C582C"/>
    <w:rsid w:val="000C6B05"/>
    <w:rsid w:val="000C6DD6"/>
    <w:rsid w:val="000C73D4"/>
    <w:rsid w:val="000D2CF3"/>
    <w:rsid w:val="000D3D4C"/>
    <w:rsid w:val="000D4F51"/>
    <w:rsid w:val="000D6CFF"/>
    <w:rsid w:val="000D718B"/>
    <w:rsid w:val="000E0C46"/>
    <w:rsid w:val="000E0D69"/>
    <w:rsid w:val="000E6126"/>
    <w:rsid w:val="000E78FD"/>
    <w:rsid w:val="000F030C"/>
    <w:rsid w:val="000F129C"/>
    <w:rsid w:val="000F27A6"/>
    <w:rsid w:val="00100680"/>
    <w:rsid w:val="00104F16"/>
    <w:rsid w:val="001056DE"/>
    <w:rsid w:val="001124C0"/>
    <w:rsid w:val="001230FD"/>
    <w:rsid w:val="00125A8B"/>
    <w:rsid w:val="0013175F"/>
    <w:rsid w:val="0013332E"/>
    <w:rsid w:val="0013436D"/>
    <w:rsid w:val="0013554D"/>
    <w:rsid w:val="00137A49"/>
    <w:rsid w:val="00142131"/>
    <w:rsid w:val="0014319E"/>
    <w:rsid w:val="00144EDE"/>
    <w:rsid w:val="00147B89"/>
    <w:rsid w:val="001512B4"/>
    <w:rsid w:val="00151930"/>
    <w:rsid w:val="00152390"/>
    <w:rsid w:val="001559F2"/>
    <w:rsid w:val="001620A5"/>
    <w:rsid w:val="001629BC"/>
    <w:rsid w:val="00164E53"/>
    <w:rsid w:val="001668AD"/>
    <w:rsid w:val="0016699D"/>
    <w:rsid w:val="00175159"/>
    <w:rsid w:val="00176208"/>
    <w:rsid w:val="00176495"/>
    <w:rsid w:val="00176AA8"/>
    <w:rsid w:val="0018211B"/>
    <w:rsid w:val="001840D3"/>
    <w:rsid w:val="00185E08"/>
    <w:rsid w:val="00186C51"/>
    <w:rsid w:val="00187759"/>
    <w:rsid w:val="001900F8"/>
    <w:rsid w:val="00191258"/>
    <w:rsid w:val="00192680"/>
    <w:rsid w:val="00193037"/>
    <w:rsid w:val="00193A2C"/>
    <w:rsid w:val="00195A71"/>
    <w:rsid w:val="001A288E"/>
    <w:rsid w:val="001B0AA8"/>
    <w:rsid w:val="001B511A"/>
    <w:rsid w:val="001B5853"/>
    <w:rsid w:val="001B5B9B"/>
    <w:rsid w:val="001B6DC2"/>
    <w:rsid w:val="001B7F45"/>
    <w:rsid w:val="001C149C"/>
    <w:rsid w:val="001C1C23"/>
    <w:rsid w:val="001C21AC"/>
    <w:rsid w:val="001C47BA"/>
    <w:rsid w:val="001C59EA"/>
    <w:rsid w:val="001D102C"/>
    <w:rsid w:val="001D25EF"/>
    <w:rsid w:val="001D3894"/>
    <w:rsid w:val="001D406C"/>
    <w:rsid w:val="001D41EE"/>
    <w:rsid w:val="001D7BE1"/>
    <w:rsid w:val="001E0380"/>
    <w:rsid w:val="001E135E"/>
    <w:rsid w:val="001E13B1"/>
    <w:rsid w:val="001E13E8"/>
    <w:rsid w:val="001E35DF"/>
    <w:rsid w:val="001E4196"/>
    <w:rsid w:val="001E563D"/>
    <w:rsid w:val="001E5CEE"/>
    <w:rsid w:val="001E7022"/>
    <w:rsid w:val="001F3A19"/>
    <w:rsid w:val="002046D4"/>
    <w:rsid w:val="00204C75"/>
    <w:rsid w:val="00215F0E"/>
    <w:rsid w:val="00215F95"/>
    <w:rsid w:val="002245D5"/>
    <w:rsid w:val="00225C8E"/>
    <w:rsid w:val="00226814"/>
    <w:rsid w:val="0022774D"/>
    <w:rsid w:val="00234467"/>
    <w:rsid w:val="002346F0"/>
    <w:rsid w:val="00235AFA"/>
    <w:rsid w:val="00237D8D"/>
    <w:rsid w:val="00241DA2"/>
    <w:rsid w:val="00246C16"/>
    <w:rsid w:val="00247FEE"/>
    <w:rsid w:val="00250E7D"/>
    <w:rsid w:val="0025654C"/>
    <w:rsid w:val="002565D5"/>
    <w:rsid w:val="00257026"/>
    <w:rsid w:val="00261E4A"/>
    <w:rsid w:val="002622C0"/>
    <w:rsid w:val="00271195"/>
    <w:rsid w:val="002717C6"/>
    <w:rsid w:val="00274D48"/>
    <w:rsid w:val="00276A65"/>
    <w:rsid w:val="002778AE"/>
    <w:rsid w:val="0028129D"/>
    <w:rsid w:val="0028269A"/>
    <w:rsid w:val="00283590"/>
    <w:rsid w:val="00283678"/>
    <w:rsid w:val="0028373D"/>
    <w:rsid w:val="00284F69"/>
    <w:rsid w:val="00286973"/>
    <w:rsid w:val="00292704"/>
    <w:rsid w:val="00292BE5"/>
    <w:rsid w:val="00294AAC"/>
    <w:rsid w:val="00294E70"/>
    <w:rsid w:val="002A0F5C"/>
    <w:rsid w:val="002A141D"/>
    <w:rsid w:val="002A1924"/>
    <w:rsid w:val="002A571F"/>
    <w:rsid w:val="002A7420"/>
    <w:rsid w:val="002B0F12"/>
    <w:rsid w:val="002B1308"/>
    <w:rsid w:val="002B1D86"/>
    <w:rsid w:val="002B4554"/>
    <w:rsid w:val="002B5313"/>
    <w:rsid w:val="002C72D8"/>
    <w:rsid w:val="002D11FA"/>
    <w:rsid w:val="002D3B7D"/>
    <w:rsid w:val="002E0DDF"/>
    <w:rsid w:val="002E11E4"/>
    <w:rsid w:val="002E25BD"/>
    <w:rsid w:val="002E2906"/>
    <w:rsid w:val="002E363B"/>
    <w:rsid w:val="002E4928"/>
    <w:rsid w:val="002E50A6"/>
    <w:rsid w:val="002E5635"/>
    <w:rsid w:val="002E64C3"/>
    <w:rsid w:val="002E6A2C"/>
    <w:rsid w:val="002E6EBC"/>
    <w:rsid w:val="002F1D8C"/>
    <w:rsid w:val="002F21DA"/>
    <w:rsid w:val="002F3489"/>
    <w:rsid w:val="003006C0"/>
    <w:rsid w:val="00301F39"/>
    <w:rsid w:val="00304ABB"/>
    <w:rsid w:val="00304C5F"/>
    <w:rsid w:val="00310A54"/>
    <w:rsid w:val="00315E5D"/>
    <w:rsid w:val="00325460"/>
    <w:rsid w:val="00325926"/>
    <w:rsid w:val="003277B3"/>
    <w:rsid w:val="00327A8A"/>
    <w:rsid w:val="003321DB"/>
    <w:rsid w:val="00336610"/>
    <w:rsid w:val="00340E65"/>
    <w:rsid w:val="00343F73"/>
    <w:rsid w:val="00344F93"/>
    <w:rsid w:val="00345060"/>
    <w:rsid w:val="00346FE0"/>
    <w:rsid w:val="00351B28"/>
    <w:rsid w:val="0035323B"/>
    <w:rsid w:val="0035378A"/>
    <w:rsid w:val="00356F97"/>
    <w:rsid w:val="003609D2"/>
    <w:rsid w:val="00363F22"/>
    <w:rsid w:val="003654C4"/>
    <w:rsid w:val="003659FA"/>
    <w:rsid w:val="003674EB"/>
    <w:rsid w:val="0037334B"/>
    <w:rsid w:val="00375564"/>
    <w:rsid w:val="00382EAB"/>
    <w:rsid w:val="00383191"/>
    <w:rsid w:val="00386DED"/>
    <w:rsid w:val="003906DF"/>
    <w:rsid w:val="003912E7"/>
    <w:rsid w:val="00393947"/>
    <w:rsid w:val="003A170B"/>
    <w:rsid w:val="003A1C6A"/>
    <w:rsid w:val="003A2275"/>
    <w:rsid w:val="003A2A45"/>
    <w:rsid w:val="003A6A4F"/>
    <w:rsid w:val="003A7088"/>
    <w:rsid w:val="003B00DF"/>
    <w:rsid w:val="003B07DB"/>
    <w:rsid w:val="003B114F"/>
    <w:rsid w:val="003B1275"/>
    <w:rsid w:val="003B1778"/>
    <w:rsid w:val="003B2EAC"/>
    <w:rsid w:val="003B6DF1"/>
    <w:rsid w:val="003B7952"/>
    <w:rsid w:val="003C11CB"/>
    <w:rsid w:val="003C12DB"/>
    <w:rsid w:val="003C4D43"/>
    <w:rsid w:val="003C75F3"/>
    <w:rsid w:val="003C78A3"/>
    <w:rsid w:val="003D0DC2"/>
    <w:rsid w:val="003D11B3"/>
    <w:rsid w:val="003D2966"/>
    <w:rsid w:val="003E1867"/>
    <w:rsid w:val="003E5729"/>
    <w:rsid w:val="003E5EAE"/>
    <w:rsid w:val="003E6A28"/>
    <w:rsid w:val="003E7514"/>
    <w:rsid w:val="003E7529"/>
    <w:rsid w:val="003F2AF5"/>
    <w:rsid w:val="003F3E91"/>
    <w:rsid w:val="003F4EE0"/>
    <w:rsid w:val="003F5AC7"/>
    <w:rsid w:val="003F7207"/>
    <w:rsid w:val="004009C8"/>
    <w:rsid w:val="00400E9E"/>
    <w:rsid w:val="00402153"/>
    <w:rsid w:val="00402FC1"/>
    <w:rsid w:val="004035C7"/>
    <w:rsid w:val="004046C4"/>
    <w:rsid w:val="004100FE"/>
    <w:rsid w:val="00421E5E"/>
    <w:rsid w:val="00425082"/>
    <w:rsid w:val="00427D04"/>
    <w:rsid w:val="00431DEB"/>
    <w:rsid w:val="0043263E"/>
    <w:rsid w:val="00434CF0"/>
    <w:rsid w:val="00436B51"/>
    <w:rsid w:val="004423A5"/>
    <w:rsid w:val="004463DF"/>
    <w:rsid w:val="00446B29"/>
    <w:rsid w:val="00453F9A"/>
    <w:rsid w:val="00455CE5"/>
    <w:rsid w:val="00462CEC"/>
    <w:rsid w:val="004672B1"/>
    <w:rsid w:val="00471E91"/>
    <w:rsid w:val="00474675"/>
    <w:rsid w:val="0047470C"/>
    <w:rsid w:val="00485BDC"/>
    <w:rsid w:val="00492D95"/>
    <w:rsid w:val="00492FDB"/>
    <w:rsid w:val="00493BC3"/>
    <w:rsid w:val="0049613A"/>
    <w:rsid w:val="004969B2"/>
    <w:rsid w:val="004A35F9"/>
    <w:rsid w:val="004A38C1"/>
    <w:rsid w:val="004B15D8"/>
    <w:rsid w:val="004B24C1"/>
    <w:rsid w:val="004B59F1"/>
    <w:rsid w:val="004B6742"/>
    <w:rsid w:val="004B7754"/>
    <w:rsid w:val="004C292F"/>
    <w:rsid w:val="004C5C89"/>
    <w:rsid w:val="004C711D"/>
    <w:rsid w:val="004D4F0A"/>
    <w:rsid w:val="004D56B9"/>
    <w:rsid w:val="004E3212"/>
    <w:rsid w:val="004F0D37"/>
    <w:rsid w:val="004F49A3"/>
    <w:rsid w:val="004F49F6"/>
    <w:rsid w:val="005008F7"/>
    <w:rsid w:val="00501F7B"/>
    <w:rsid w:val="00510280"/>
    <w:rsid w:val="00512F3E"/>
    <w:rsid w:val="00513D73"/>
    <w:rsid w:val="00514A43"/>
    <w:rsid w:val="00516C20"/>
    <w:rsid w:val="005174E5"/>
    <w:rsid w:val="00520F5D"/>
    <w:rsid w:val="00522393"/>
    <w:rsid w:val="00522620"/>
    <w:rsid w:val="00525656"/>
    <w:rsid w:val="0053046D"/>
    <w:rsid w:val="00532043"/>
    <w:rsid w:val="00532518"/>
    <w:rsid w:val="00534C02"/>
    <w:rsid w:val="00535E75"/>
    <w:rsid w:val="00540BCD"/>
    <w:rsid w:val="00541D7D"/>
    <w:rsid w:val="0054264B"/>
    <w:rsid w:val="00543786"/>
    <w:rsid w:val="0054387C"/>
    <w:rsid w:val="005533D7"/>
    <w:rsid w:val="00557D42"/>
    <w:rsid w:val="0056469E"/>
    <w:rsid w:val="00564C39"/>
    <w:rsid w:val="00570354"/>
    <w:rsid w:val="005703DE"/>
    <w:rsid w:val="00570CF6"/>
    <w:rsid w:val="0057196D"/>
    <w:rsid w:val="0057501A"/>
    <w:rsid w:val="00575F5E"/>
    <w:rsid w:val="00581128"/>
    <w:rsid w:val="0058464E"/>
    <w:rsid w:val="0058610C"/>
    <w:rsid w:val="00586B26"/>
    <w:rsid w:val="0059030D"/>
    <w:rsid w:val="00593B48"/>
    <w:rsid w:val="00595C53"/>
    <w:rsid w:val="00596272"/>
    <w:rsid w:val="005A01CB"/>
    <w:rsid w:val="005A0D62"/>
    <w:rsid w:val="005A1F86"/>
    <w:rsid w:val="005A58FF"/>
    <w:rsid w:val="005A5EAF"/>
    <w:rsid w:val="005A64C0"/>
    <w:rsid w:val="005A7487"/>
    <w:rsid w:val="005B0023"/>
    <w:rsid w:val="005B0A4B"/>
    <w:rsid w:val="005B1AE1"/>
    <w:rsid w:val="005B1E4E"/>
    <w:rsid w:val="005B238C"/>
    <w:rsid w:val="005B3C11"/>
    <w:rsid w:val="005B4FF9"/>
    <w:rsid w:val="005B5A19"/>
    <w:rsid w:val="005B651D"/>
    <w:rsid w:val="005B6707"/>
    <w:rsid w:val="005C1706"/>
    <w:rsid w:val="005C1C28"/>
    <w:rsid w:val="005C53B2"/>
    <w:rsid w:val="005C6DB5"/>
    <w:rsid w:val="005C74FE"/>
    <w:rsid w:val="005D39B7"/>
    <w:rsid w:val="005E19E7"/>
    <w:rsid w:val="005E232A"/>
    <w:rsid w:val="005E259F"/>
    <w:rsid w:val="005E3506"/>
    <w:rsid w:val="005E59DE"/>
    <w:rsid w:val="005E60CE"/>
    <w:rsid w:val="005F0D35"/>
    <w:rsid w:val="005F3A96"/>
    <w:rsid w:val="005F7640"/>
    <w:rsid w:val="005F7E9E"/>
    <w:rsid w:val="0060413E"/>
    <w:rsid w:val="00604B74"/>
    <w:rsid w:val="0060543C"/>
    <w:rsid w:val="00607EC9"/>
    <w:rsid w:val="006126C0"/>
    <w:rsid w:val="006128E9"/>
    <w:rsid w:val="006149F1"/>
    <w:rsid w:val="0061716C"/>
    <w:rsid w:val="00620D38"/>
    <w:rsid w:val="006243A1"/>
    <w:rsid w:val="006278EC"/>
    <w:rsid w:val="0063162D"/>
    <w:rsid w:val="00631E62"/>
    <w:rsid w:val="00632E56"/>
    <w:rsid w:val="00635CBA"/>
    <w:rsid w:val="006407B5"/>
    <w:rsid w:val="0064338B"/>
    <w:rsid w:val="00644F98"/>
    <w:rsid w:val="00646542"/>
    <w:rsid w:val="0064681F"/>
    <w:rsid w:val="006504F4"/>
    <w:rsid w:val="006507F4"/>
    <w:rsid w:val="00654BC9"/>
    <w:rsid w:val="006552CA"/>
    <w:rsid w:val="006552FD"/>
    <w:rsid w:val="00663AF3"/>
    <w:rsid w:val="00666B6C"/>
    <w:rsid w:val="0066776B"/>
    <w:rsid w:val="0066799C"/>
    <w:rsid w:val="00670802"/>
    <w:rsid w:val="00676405"/>
    <w:rsid w:val="00682682"/>
    <w:rsid w:val="00682702"/>
    <w:rsid w:val="00682CAE"/>
    <w:rsid w:val="00684333"/>
    <w:rsid w:val="0068634E"/>
    <w:rsid w:val="00692368"/>
    <w:rsid w:val="00693782"/>
    <w:rsid w:val="00693C38"/>
    <w:rsid w:val="006A0055"/>
    <w:rsid w:val="006A01CA"/>
    <w:rsid w:val="006A2EBC"/>
    <w:rsid w:val="006A5EA0"/>
    <w:rsid w:val="006A783B"/>
    <w:rsid w:val="006A7B33"/>
    <w:rsid w:val="006B204A"/>
    <w:rsid w:val="006B230C"/>
    <w:rsid w:val="006B2B05"/>
    <w:rsid w:val="006B4E13"/>
    <w:rsid w:val="006B75DD"/>
    <w:rsid w:val="006C08B7"/>
    <w:rsid w:val="006C67E0"/>
    <w:rsid w:val="006C7ABA"/>
    <w:rsid w:val="006D0D60"/>
    <w:rsid w:val="006D1122"/>
    <w:rsid w:val="006D2F81"/>
    <w:rsid w:val="006D3C00"/>
    <w:rsid w:val="006D6CF4"/>
    <w:rsid w:val="006E05BB"/>
    <w:rsid w:val="006E11C4"/>
    <w:rsid w:val="006E2AF4"/>
    <w:rsid w:val="006E3675"/>
    <w:rsid w:val="006E431E"/>
    <w:rsid w:val="006E4A7F"/>
    <w:rsid w:val="006E59DB"/>
    <w:rsid w:val="006F2E08"/>
    <w:rsid w:val="006F5451"/>
    <w:rsid w:val="00701D24"/>
    <w:rsid w:val="00704DF6"/>
    <w:rsid w:val="0070651C"/>
    <w:rsid w:val="007132A3"/>
    <w:rsid w:val="0071447D"/>
    <w:rsid w:val="00714949"/>
    <w:rsid w:val="00716421"/>
    <w:rsid w:val="00724EFB"/>
    <w:rsid w:val="00726FFE"/>
    <w:rsid w:val="007334E0"/>
    <w:rsid w:val="007407EA"/>
    <w:rsid w:val="007419C3"/>
    <w:rsid w:val="0074261B"/>
    <w:rsid w:val="00744814"/>
    <w:rsid w:val="00744F22"/>
    <w:rsid w:val="007454DE"/>
    <w:rsid w:val="00745EE3"/>
    <w:rsid w:val="007467A7"/>
    <w:rsid w:val="007469DD"/>
    <w:rsid w:val="0074741B"/>
    <w:rsid w:val="0074759E"/>
    <w:rsid w:val="007478EA"/>
    <w:rsid w:val="00750646"/>
    <w:rsid w:val="0075415C"/>
    <w:rsid w:val="007549D1"/>
    <w:rsid w:val="00756A6C"/>
    <w:rsid w:val="00762B7C"/>
    <w:rsid w:val="00763502"/>
    <w:rsid w:val="00766ABD"/>
    <w:rsid w:val="0076749A"/>
    <w:rsid w:val="00774FCA"/>
    <w:rsid w:val="00777173"/>
    <w:rsid w:val="007823C1"/>
    <w:rsid w:val="007913AB"/>
    <w:rsid w:val="007914F7"/>
    <w:rsid w:val="007972CC"/>
    <w:rsid w:val="00797409"/>
    <w:rsid w:val="00797427"/>
    <w:rsid w:val="007A6D6B"/>
    <w:rsid w:val="007B1625"/>
    <w:rsid w:val="007B5A52"/>
    <w:rsid w:val="007B65F0"/>
    <w:rsid w:val="007B6C5B"/>
    <w:rsid w:val="007B706E"/>
    <w:rsid w:val="007B71EB"/>
    <w:rsid w:val="007B7457"/>
    <w:rsid w:val="007C569E"/>
    <w:rsid w:val="007C6205"/>
    <w:rsid w:val="007C6359"/>
    <w:rsid w:val="007C686A"/>
    <w:rsid w:val="007C728E"/>
    <w:rsid w:val="007D2C53"/>
    <w:rsid w:val="007D3D60"/>
    <w:rsid w:val="007D66C9"/>
    <w:rsid w:val="007E1980"/>
    <w:rsid w:val="007E1EEB"/>
    <w:rsid w:val="007E4B76"/>
    <w:rsid w:val="007E5EA8"/>
    <w:rsid w:val="007F052A"/>
    <w:rsid w:val="007F0CF1"/>
    <w:rsid w:val="007F12A5"/>
    <w:rsid w:val="007F1923"/>
    <w:rsid w:val="007F26FD"/>
    <w:rsid w:val="007F4CF1"/>
    <w:rsid w:val="007F758D"/>
    <w:rsid w:val="007F7D52"/>
    <w:rsid w:val="00801608"/>
    <w:rsid w:val="00802672"/>
    <w:rsid w:val="0080654C"/>
    <w:rsid w:val="00806796"/>
    <w:rsid w:val="008071C6"/>
    <w:rsid w:val="008127A2"/>
    <w:rsid w:val="00813900"/>
    <w:rsid w:val="00814471"/>
    <w:rsid w:val="00814EE5"/>
    <w:rsid w:val="00815D7E"/>
    <w:rsid w:val="00817A00"/>
    <w:rsid w:val="0082108D"/>
    <w:rsid w:val="00821CAE"/>
    <w:rsid w:val="00831AA2"/>
    <w:rsid w:val="00835DB3"/>
    <w:rsid w:val="0083617B"/>
    <w:rsid w:val="008370D2"/>
    <w:rsid w:val="008371BD"/>
    <w:rsid w:val="0084297F"/>
    <w:rsid w:val="008446E3"/>
    <w:rsid w:val="008447FF"/>
    <w:rsid w:val="008504A8"/>
    <w:rsid w:val="0085202D"/>
    <w:rsid w:val="00852108"/>
    <w:rsid w:val="0085282E"/>
    <w:rsid w:val="00855EF4"/>
    <w:rsid w:val="008652BC"/>
    <w:rsid w:val="0087198C"/>
    <w:rsid w:val="00872C1F"/>
    <w:rsid w:val="008735C6"/>
    <w:rsid w:val="00873B42"/>
    <w:rsid w:val="00873F6C"/>
    <w:rsid w:val="008761CE"/>
    <w:rsid w:val="008768B0"/>
    <w:rsid w:val="00881EAF"/>
    <w:rsid w:val="008838DC"/>
    <w:rsid w:val="00885446"/>
    <w:rsid w:val="008856D8"/>
    <w:rsid w:val="0089069C"/>
    <w:rsid w:val="00892E82"/>
    <w:rsid w:val="00893D49"/>
    <w:rsid w:val="00896411"/>
    <w:rsid w:val="008A1536"/>
    <w:rsid w:val="008A236D"/>
    <w:rsid w:val="008A3B7C"/>
    <w:rsid w:val="008A3B96"/>
    <w:rsid w:val="008A6BB0"/>
    <w:rsid w:val="008A753A"/>
    <w:rsid w:val="008B0097"/>
    <w:rsid w:val="008B276C"/>
    <w:rsid w:val="008B39DF"/>
    <w:rsid w:val="008C06EB"/>
    <w:rsid w:val="008C1B4A"/>
    <w:rsid w:val="008C1B58"/>
    <w:rsid w:val="008C39AE"/>
    <w:rsid w:val="008C590D"/>
    <w:rsid w:val="008C67C7"/>
    <w:rsid w:val="008D0215"/>
    <w:rsid w:val="008D2FAF"/>
    <w:rsid w:val="008D564F"/>
    <w:rsid w:val="008D565B"/>
    <w:rsid w:val="008D6781"/>
    <w:rsid w:val="008D758F"/>
    <w:rsid w:val="008E031B"/>
    <w:rsid w:val="008E059C"/>
    <w:rsid w:val="008E1C59"/>
    <w:rsid w:val="008E5E48"/>
    <w:rsid w:val="008E7029"/>
    <w:rsid w:val="008E7749"/>
    <w:rsid w:val="008E7EF6"/>
    <w:rsid w:val="008F1F98"/>
    <w:rsid w:val="008F4675"/>
    <w:rsid w:val="008F650E"/>
    <w:rsid w:val="008F6758"/>
    <w:rsid w:val="008F692D"/>
    <w:rsid w:val="008F716A"/>
    <w:rsid w:val="00900275"/>
    <w:rsid w:val="009037F3"/>
    <w:rsid w:val="009040DD"/>
    <w:rsid w:val="00904828"/>
    <w:rsid w:val="00905B47"/>
    <w:rsid w:val="00911190"/>
    <w:rsid w:val="00912D71"/>
    <w:rsid w:val="0091331C"/>
    <w:rsid w:val="00913C85"/>
    <w:rsid w:val="00915E33"/>
    <w:rsid w:val="0092513A"/>
    <w:rsid w:val="009279DE"/>
    <w:rsid w:val="00930116"/>
    <w:rsid w:val="00930D34"/>
    <w:rsid w:val="00935495"/>
    <w:rsid w:val="0094212C"/>
    <w:rsid w:val="009438A2"/>
    <w:rsid w:val="009468EF"/>
    <w:rsid w:val="009543BE"/>
    <w:rsid w:val="00954689"/>
    <w:rsid w:val="009617C9"/>
    <w:rsid w:val="00961C93"/>
    <w:rsid w:val="00963DD4"/>
    <w:rsid w:val="00965324"/>
    <w:rsid w:val="0097091E"/>
    <w:rsid w:val="009715FC"/>
    <w:rsid w:val="009739DE"/>
    <w:rsid w:val="009760D3"/>
    <w:rsid w:val="009770CC"/>
    <w:rsid w:val="00977132"/>
    <w:rsid w:val="009805EA"/>
    <w:rsid w:val="00981A4B"/>
    <w:rsid w:val="00982501"/>
    <w:rsid w:val="00986B9C"/>
    <w:rsid w:val="009875DC"/>
    <w:rsid w:val="009877D3"/>
    <w:rsid w:val="00987806"/>
    <w:rsid w:val="00990471"/>
    <w:rsid w:val="0099200F"/>
    <w:rsid w:val="009939DD"/>
    <w:rsid w:val="00994E0E"/>
    <w:rsid w:val="00994E8F"/>
    <w:rsid w:val="009951DC"/>
    <w:rsid w:val="009959BB"/>
    <w:rsid w:val="00997158"/>
    <w:rsid w:val="009A0CD2"/>
    <w:rsid w:val="009A1324"/>
    <w:rsid w:val="009A2D72"/>
    <w:rsid w:val="009A3A7C"/>
    <w:rsid w:val="009A6F7F"/>
    <w:rsid w:val="009A745E"/>
    <w:rsid w:val="009B2293"/>
    <w:rsid w:val="009B2ADB"/>
    <w:rsid w:val="009B5825"/>
    <w:rsid w:val="009B603A"/>
    <w:rsid w:val="009C0DF3"/>
    <w:rsid w:val="009C2D0E"/>
    <w:rsid w:val="009C3DAC"/>
    <w:rsid w:val="009C42E0"/>
    <w:rsid w:val="009D206E"/>
    <w:rsid w:val="009D42F1"/>
    <w:rsid w:val="009D5362"/>
    <w:rsid w:val="009E1415"/>
    <w:rsid w:val="009E4D58"/>
    <w:rsid w:val="009E60F2"/>
    <w:rsid w:val="009E6116"/>
    <w:rsid w:val="009F096B"/>
    <w:rsid w:val="009F14AB"/>
    <w:rsid w:val="009F31C5"/>
    <w:rsid w:val="00A020A7"/>
    <w:rsid w:val="00A02B84"/>
    <w:rsid w:val="00A02E43"/>
    <w:rsid w:val="00A05ACB"/>
    <w:rsid w:val="00A065F9"/>
    <w:rsid w:val="00A07F34"/>
    <w:rsid w:val="00A16306"/>
    <w:rsid w:val="00A22154"/>
    <w:rsid w:val="00A24CA6"/>
    <w:rsid w:val="00A25C38"/>
    <w:rsid w:val="00A27CA2"/>
    <w:rsid w:val="00A31C69"/>
    <w:rsid w:val="00A3328C"/>
    <w:rsid w:val="00A3618A"/>
    <w:rsid w:val="00A36B07"/>
    <w:rsid w:val="00A36BBE"/>
    <w:rsid w:val="00A40DA4"/>
    <w:rsid w:val="00A4307A"/>
    <w:rsid w:val="00A45884"/>
    <w:rsid w:val="00A47EBB"/>
    <w:rsid w:val="00A51890"/>
    <w:rsid w:val="00A51CDD"/>
    <w:rsid w:val="00A520ED"/>
    <w:rsid w:val="00A54FD3"/>
    <w:rsid w:val="00A5657E"/>
    <w:rsid w:val="00A6457A"/>
    <w:rsid w:val="00A66513"/>
    <w:rsid w:val="00A6730D"/>
    <w:rsid w:val="00A6794B"/>
    <w:rsid w:val="00A7086D"/>
    <w:rsid w:val="00A70B14"/>
    <w:rsid w:val="00A71625"/>
    <w:rsid w:val="00A71B9B"/>
    <w:rsid w:val="00A72888"/>
    <w:rsid w:val="00A7469E"/>
    <w:rsid w:val="00A751C7"/>
    <w:rsid w:val="00A769E6"/>
    <w:rsid w:val="00A77E57"/>
    <w:rsid w:val="00A8178C"/>
    <w:rsid w:val="00A81974"/>
    <w:rsid w:val="00A836A4"/>
    <w:rsid w:val="00A84816"/>
    <w:rsid w:val="00A86922"/>
    <w:rsid w:val="00A873DE"/>
    <w:rsid w:val="00A87798"/>
    <w:rsid w:val="00A87844"/>
    <w:rsid w:val="00A87ED0"/>
    <w:rsid w:val="00AA038C"/>
    <w:rsid w:val="00AA3705"/>
    <w:rsid w:val="00AA7A09"/>
    <w:rsid w:val="00AB3235"/>
    <w:rsid w:val="00AB3B50"/>
    <w:rsid w:val="00AB5E69"/>
    <w:rsid w:val="00AB78F9"/>
    <w:rsid w:val="00AC05B1"/>
    <w:rsid w:val="00AC08AB"/>
    <w:rsid w:val="00AC5220"/>
    <w:rsid w:val="00AC63DF"/>
    <w:rsid w:val="00AD356C"/>
    <w:rsid w:val="00AD5177"/>
    <w:rsid w:val="00AD7634"/>
    <w:rsid w:val="00AD7D5B"/>
    <w:rsid w:val="00AE0EE4"/>
    <w:rsid w:val="00AE1F9B"/>
    <w:rsid w:val="00AE2914"/>
    <w:rsid w:val="00AE375D"/>
    <w:rsid w:val="00AE4FD7"/>
    <w:rsid w:val="00AE6D15"/>
    <w:rsid w:val="00AF11DE"/>
    <w:rsid w:val="00AF28B2"/>
    <w:rsid w:val="00B00E13"/>
    <w:rsid w:val="00B017DA"/>
    <w:rsid w:val="00B02CB7"/>
    <w:rsid w:val="00B04182"/>
    <w:rsid w:val="00B05887"/>
    <w:rsid w:val="00B07AE3"/>
    <w:rsid w:val="00B07CCD"/>
    <w:rsid w:val="00B11430"/>
    <w:rsid w:val="00B11D69"/>
    <w:rsid w:val="00B23A84"/>
    <w:rsid w:val="00B242BD"/>
    <w:rsid w:val="00B26FAF"/>
    <w:rsid w:val="00B353EB"/>
    <w:rsid w:val="00B3550C"/>
    <w:rsid w:val="00B35DC7"/>
    <w:rsid w:val="00B37966"/>
    <w:rsid w:val="00B435AA"/>
    <w:rsid w:val="00B439C4"/>
    <w:rsid w:val="00B4535E"/>
    <w:rsid w:val="00B52554"/>
    <w:rsid w:val="00B52A8C"/>
    <w:rsid w:val="00B57EF4"/>
    <w:rsid w:val="00B60B5F"/>
    <w:rsid w:val="00B61351"/>
    <w:rsid w:val="00B61764"/>
    <w:rsid w:val="00B636A8"/>
    <w:rsid w:val="00B665C6"/>
    <w:rsid w:val="00B71E88"/>
    <w:rsid w:val="00B805AF"/>
    <w:rsid w:val="00B869EC"/>
    <w:rsid w:val="00B86DC7"/>
    <w:rsid w:val="00B93704"/>
    <w:rsid w:val="00B9397A"/>
    <w:rsid w:val="00B9633D"/>
    <w:rsid w:val="00BA0447"/>
    <w:rsid w:val="00BA0B75"/>
    <w:rsid w:val="00BA2EBE"/>
    <w:rsid w:val="00BA6D23"/>
    <w:rsid w:val="00BB0E1E"/>
    <w:rsid w:val="00BB0F28"/>
    <w:rsid w:val="00BB2F33"/>
    <w:rsid w:val="00BB458A"/>
    <w:rsid w:val="00BC06FD"/>
    <w:rsid w:val="00BC6A9F"/>
    <w:rsid w:val="00BD00D3"/>
    <w:rsid w:val="00BD1659"/>
    <w:rsid w:val="00BD3AA9"/>
    <w:rsid w:val="00BD4A18"/>
    <w:rsid w:val="00BD5ABE"/>
    <w:rsid w:val="00BD63DA"/>
    <w:rsid w:val="00BD69A8"/>
    <w:rsid w:val="00BD6DB2"/>
    <w:rsid w:val="00BE11CF"/>
    <w:rsid w:val="00BE21AB"/>
    <w:rsid w:val="00BE55CB"/>
    <w:rsid w:val="00BF1092"/>
    <w:rsid w:val="00BF617A"/>
    <w:rsid w:val="00BF6FCE"/>
    <w:rsid w:val="00C0379D"/>
    <w:rsid w:val="00C038E9"/>
    <w:rsid w:val="00C03931"/>
    <w:rsid w:val="00C04233"/>
    <w:rsid w:val="00C04D89"/>
    <w:rsid w:val="00C05A76"/>
    <w:rsid w:val="00C05FE3"/>
    <w:rsid w:val="00C0714D"/>
    <w:rsid w:val="00C147B1"/>
    <w:rsid w:val="00C153C6"/>
    <w:rsid w:val="00C2136D"/>
    <w:rsid w:val="00C214EE"/>
    <w:rsid w:val="00C2314B"/>
    <w:rsid w:val="00C24971"/>
    <w:rsid w:val="00C26BE5"/>
    <w:rsid w:val="00C26E4D"/>
    <w:rsid w:val="00C27357"/>
    <w:rsid w:val="00C27909"/>
    <w:rsid w:val="00C27B03"/>
    <w:rsid w:val="00C3076F"/>
    <w:rsid w:val="00C30D69"/>
    <w:rsid w:val="00C314E1"/>
    <w:rsid w:val="00C3173E"/>
    <w:rsid w:val="00C34397"/>
    <w:rsid w:val="00C34927"/>
    <w:rsid w:val="00C34E41"/>
    <w:rsid w:val="00C361CD"/>
    <w:rsid w:val="00C3788B"/>
    <w:rsid w:val="00C4095D"/>
    <w:rsid w:val="00C4355A"/>
    <w:rsid w:val="00C447C4"/>
    <w:rsid w:val="00C4529D"/>
    <w:rsid w:val="00C47D1A"/>
    <w:rsid w:val="00C601D2"/>
    <w:rsid w:val="00C65BCC"/>
    <w:rsid w:val="00C65FBC"/>
    <w:rsid w:val="00C66970"/>
    <w:rsid w:val="00C732CC"/>
    <w:rsid w:val="00C73AE2"/>
    <w:rsid w:val="00C74886"/>
    <w:rsid w:val="00C8340D"/>
    <w:rsid w:val="00C85A67"/>
    <w:rsid w:val="00C8691C"/>
    <w:rsid w:val="00C8772C"/>
    <w:rsid w:val="00C97F28"/>
    <w:rsid w:val="00CA0C6E"/>
    <w:rsid w:val="00CA15B9"/>
    <w:rsid w:val="00CA168A"/>
    <w:rsid w:val="00CA3025"/>
    <w:rsid w:val="00CA357E"/>
    <w:rsid w:val="00CA44F9"/>
    <w:rsid w:val="00CA49C9"/>
    <w:rsid w:val="00CA4A69"/>
    <w:rsid w:val="00CB2D56"/>
    <w:rsid w:val="00CB6799"/>
    <w:rsid w:val="00CB6968"/>
    <w:rsid w:val="00CB6E9C"/>
    <w:rsid w:val="00CC3E0C"/>
    <w:rsid w:val="00CC4599"/>
    <w:rsid w:val="00CC56E2"/>
    <w:rsid w:val="00CC58D3"/>
    <w:rsid w:val="00CC6BC3"/>
    <w:rsid w:val="00CC784D"/>
    <w:rsid w:val="00CD11F7"/>
    <w:rsid w:val="00CE095F"/>
    <w:rsid w:val="00CE2DDE"/>
    <w:rsid w:val="00CE50BB"/>
    <w:rsid w:val="00CE5BF1"/>
    <w:rsid w:val="00CE7211"/>
    <w:rsid w:val="00CF2C7A"/>
    <w:rsid w:val="00CF425A"/>
    <w:rsid w:val="00CF4B8D"/>
    <w:rsid w:val="00CF50A6"/>
    <w:rsid w:val="00CF5580"/>
    <w:rsid w:val="00D00C42"/>
    <w:rsid w:val="00D01A9E"/>
    <w:rsid w:val="00D02467"/>
    <w:rsid w:val="00D0337B"/>
    <w:rsid w:val="00D04DD5"/>
    <w:rsid w:val="00D079B2"/>
    <w:rsid w:val="00D114E9"/>
    <w:rsid w:val="00D116CD"/>
    <w:rsid w:val="00D17A82"/>
    <w:rsid w:val="00D23F05"/>
    <w:rsid w:val="00D258AB"/>
    <w:rsid w:val="00D30301"/>
    <w:rsid w:val="00D324D3"/>
    <w:rsid w:val="00D362A9"/>
    <w:rsid w:val="00D42827"/>
    <w:rsid w:val="00D429C6"/>
    <w:rsid w:val="00D47748"/>
    <w:rsid w:val="00D54CC3"/>
    <w:rsid w:val="00D57710"/>
    <w:rsid w:val="00D603DE"/>
    <w:rsid w:val="00D6041A"/>
    <w:rsid w:val="00D62B03"/>
    <w:rsid w:val="00D633EB"/>
    <w:rsid w:val="00D650D8"/>
    <w:rsid w:val="00D66B2B"/>
    <w:rsid w:val="00D67B66"/>
    <w:rsid w:val="00D7701E"/>
    <w:rsid w:val="00D81822"/>
    <w:rsid w:val="00D82FF7"/>
    <w:rsid w:val="00D847FE"/>
    <w:rsid w:val="00D864EA"/>
    <w:rsid w:val="00D87922"/>
    <w:rsid w:val="00D9055F"/>
    <w:rsid w:val="00D9070D"/>
    <w:rsid w:val="00D9262C"/>
    <w:rsid w:val="00D9303B"/>
    <w:rsid w:val="00D964EA"/>
    <w:rsid w:val="00D966D0"/>
    <w:rsid w:val="00DA0C59"/>
    <w:rsid w:val="00DA3991"/>
    <w:rsid w:val="00DA40E3"/>
    <w:rsid w:val="00DA79E0"/>
    <w:rsid w:val="00DB0990"/>
    <w:rsid w:val="00DB2C4C"/>
    <w:rsid w:val="00DB7A00"/>
    <w:rsid w:val="00DB7E6C"/>
    <w:rsid w:val="00DC296C"/>
    <w:rsid w:val="00DC34F0"/>
    <w:rsid w:val="00DD17E6"/>
    <w:rsid w:val="00DD4A93"/>
    <w:rsid w:val="00DD4DEA"/>
    <w:rsid w:val="00DD5A29"/>
    <w:rsid w:val="00DD5D9D"/>
    <w:rsid w:val="00DD6CAC"/>
    <w:rsid w:val="00DD7BD3"/>
    <w:rsid w:val="00DE35CB"/>
    <w:rsid w:val="00DF19EC"/>
    <w:rsid w:val="00DF21E9"/>
    <w:rsid w:val="00DF73FA"/>
    <w:rsid w:val="00E0018E"/>
    <w:rsid w:val="00E00F14"/>
    <w:rsid w:val="00E0104C"/>
    <w:rsid w:val="00E01E5D"/>
    <w:rsid w:val="00E01FFC"/>
    <w:rsid w:val="00E0302E"/>
    <w:rsid w:val="00E06386"/>
    <w:rsid w:val="00E117D0"/>
    <w:rsid w:val="00E123C0"/>
    <w:rsid w:val="00E15072"/>
    <w:rsid w:val="00E214BC"/>
    <w:rsid w:val="00E24B93"/>
    <w:rsid w:val="00E24EB4"/>
    <w:rsid w:val="00E26AB3"/>
    <w:rsid w:val="00E320ED"/>
    <w:rsid w:val="00E32C33"/>
    <w:rsid w:val="00E33AFB"/>
    <w:rsid w:val="00E34218"/>
    <w:rsid w:val="00E36530"/>
    <w:rsid w:val="00E44E1F"/>
    <w:rsid w:val="00E4505B"/>
    <w:rsid w:val="00E4520C"/>
    <w:rsid w:val="00E46282"/>
    <w:rsid w:val="00E51DF4"/>
    <w:rsid w:val="00E5216E"/>
    <w:rsid w:val="00E67142"/>
    <w:rsid w:val="00E7378A"/>
    <w:rsid w:val="00E73E16"/>
    <w:rsid w:val="00E7509E"/>
    <w:rsid w:val="00E807F5"/>
    <w:rsid w:val="00E81D77"/>
    <w:rsid w:val="00E82344"/>
    <w:rsid w:val="00E84C82"/>
    <w:rsid w:val="00E84D64"/>
    <w:rsid w:val="00E86E3C"/>
    <w:rsid w:val="00E87408"/>
    <w:rsid w:val="00E875B7"/>
    <w:rsid w:val="00E914C4"/>
    <w:rsid w:val="00E934F5"/>
    <w:rsid w:val="00E95524"/>
    <w:rsid w:val="00E96961"/>
    <w:rsid w:val="00E96C93"/>
    <w:rsid w:val="00E978C6"/>
    <w:rsid w:val="00EA3C1C"/>
    <w:rsid w:val="00EA72EC"/>
    <w:rsid w:val="00EB11CB"/>
    <w:rsid w:val="00EB275A"/>
    <w:rsid w:val="00EB29A1"/>
    <w:rsid w:val="00EB468B"/>
    <w:rsid w:val="00EB6345"/>
    <w:rsid w:val="00EB786A"/>
    <w:rsid w:val="00EC1578"/>
    <w:rsid w:val="00EC1C72"/>
    <w:rsid w:val="00EC385A"/>
    <w:rsid w:val="00EC3CC9"/>
    <w:rsid w:val="00EC6047"/>
    <w:rsid w:val="00EC680A"/>
    <w:rsid w:val="00EC716A"/>
    <w:rsid w:val="00ED14EF"/>
    <w:rsid w:val="00ED35D0"/>
    <w:rsid w:val="00ED532B"/>
    <w:rsid w:val="00ED7999"/>
    <w:rsid w:val="00EE2BED"/>
    <w:rsid w:val="00EE374B"/>
    <w:rsid w:val="00EE430A"/>
    <w:rsid w:val="00EE62B1"/>
    <w:rsid w:val="00EE7AF7"/>
    <w:rsid w:val="00EF010B"/>
    <w:rsid w:val="00EF1500"/>
    <w:rsid w:val="00EF474A"/>
    <w:rsid w:val="00EF508D"/>
    <w:rsid w:val="00EF76AB"/>
    <w:rsid w:val="00F04D4C"/>
    <w:rsid w:val="00F062BA"/>
    <w:rsid w:val="00F11BB5"/>
    <w:rsid w:val="00F12B73"/>
    <w:rsid w:val="00F1417B"/>
    <w:rsid w:val="00F2605B"/>
    <w:rsid w:val="00F27AED"/>
    <w:rsid w:val="00F327DD"/>
    <w:rsid w:val="00F328CE"/>
    <w:rsid w:val="00F34311"/>
    <w:rsid w:val="00F34B99"/>
    <w:rsid w:val="00F35D13"/>
    <w:rsid w:val="00F363DC"/>
    <w:rsid w:val="00F40985"/>
    <w:rsid w:val="00F42F3E"/>
    <w:rsid w:val="00F4445A"/>
    <w:rsid w:val="00F44DB6"/>
    <w:rsid w:val="00F45922"/>
    <w:rsid w:val="00F47529"/>
    <w:rsid w:val="00F512B5"/>
    <w:rsid w:val="00F51DFB"/>
    <w:rsid w:val="00F52DAB"/>
    <w:rsid w:val="00F5325B"/>
    <w:rsid w:val="00F543F0"/>
    <w:rsid w:val="00F60887"/>
    <w:rsid w:val="00F61A57"/>
    <w:rsid w:val="00F63464"/>
    <w:rsid w:val="00F63DB1"/>
    <w:rsid w:val="00F72932"/>
    <w:rsid w:val="00F74DC5"/>
    <w:rsid w:val="00F77003"/>
    <w:rsid w:val="00F77DB4"/>
    <w:rsid w:val="00F81675"/>
    <w:rsid w:val="00F81D29"/>
    <w:rsid w:val="00F84A0E"/>
    <w:rsid w:val="00F85769"/>
    <w:rsid w:val="00F8694B"/>
    <w:rsid w:val="00F86CA1"/>
    <w:rsid w:val="00F91C4D"/>
    <w:rsid w:val="00F91F6B"/>
    <w:rsid w:val="00F92FD9"/>
    <w:rsid w:val="00FA0C90"/>
    <w:rsid w:val="00FA190C"/>
    <w:rsid w:val="00FA2BE5"/>
    <w:rsid w:val="00FA46F4"/>
    <w:rsid w:val="00FA489D"/>
    <w:rsid w:val="00FA6684"/>
    <w:rsid w:val="00FA731E"/>
    <w:rsid w:val="00FB0F2B"/>
    <w:rsid w:val="00FB2B38"/>
    <w:rsid w:val="00FC6358"/>
    <w:rsid w:val="00FD01CF"/>
    <w:rsid w:val="00FD229E"/>
    <w:rsid w:val="00FD320D"/>
    <w:rsid w:val="00FD7292"/>
    <w:rsid w:val="00FE1C50"/>
    <w:rsid w:val="00FE23DE"/>
    <w:rsid w:val="00FF04A9"/>
    <w:rsid w:val="026E11A0"/>
    <w:rsid w:val="06065D3B"/>
    <w:rsid w:val="06B036DE"/>
    <w:rsid w:val="078B3095"/>
    <w:rsid w:val="0A1E1422"/>
    <w:rsid w:val="0AB16892"/>
    <w:rsid w:val="0C046A34"/>
    <w:rsid w:val="0D914749"/>
    <w:rsid w:val="0EA74130"/>
    <w:rsid w:val="101E12FE"/>
    <w:rsid w:val="10825D2F"/>
    <w:rsid w:val="110F10E0"/>
    <w:rsid w:val="113E5C6D"/>
    <w:rsid w:val="11A17454"/>
    <w:rsid w:val="13545540"/>
    <w:rsid w:val="14416EB1"/>
    <w:rsid w:val="1A0511B9"/>
    <w:rsid w:val="1A1678A4"/>
    <w:rsid w:val="1BEC33E8"/>
    <w:rsid w:val="1C5C1FFB"/>
    <w:rsid w:val="1D6703A5"/>
    <w:rsid w:val="1DD67A76"/>
    <w:rsid w:val="1DFB6ED4"/>
    <w:rsid w:val="1F1A7BF6"/>
    <w:rsid w:val="203776EA"/>
    <w:rsid w:val="215D04AF"/>
    <w:rsid w:val="22AD1DB0"/>
    <w:rsid w:val="25221879"/>
    <w:rsid w:val="255B6BAA"/>
    <w:rsid w:val="271E5FF2"/>
    <w:rsid w:val="283E3AF7"/>
    <w:rsid w:val="28C0551F"/>
    <w:rsid w:val="2A6B59EA"/>
    <w:rsid w:val="2BF54053"/>
    <w:rsid w:val="2C0E487F"/>
    <w:rsid w:val="2D4C579F"/>
    <w:rsid w:val="2EA8435B"/>
    <w:rsid w:val="2F7E3ACA"/>
    <w:rsid w:val="306D3B35"/>
    <w:rsid w:val="31FD4BE8"/>
    <w:rsid w:val="3267118D"/>
    <w:rsid w:val="33251C93"/>
    <w:rsid w:val="333746BC"/>
    <w:rsid w:val="35004F81"/>
    <w:rsid w:val="36A066EC"/>
    <w:rsid w:val="37173C88"/>
    <w:rsid w:val="3A776BBD"/>
    <w:rsid w:val="3AB87B1B"/>
    <w:rsid w:val="3D5E35B2"/>
    <w:rsid w:val="3D9B1B6A"/>
    <w:rsid w:val="3DA85413"/>
    <w:rsid w:val="3E3D6021"/>
    <w:rsid w:val="3E527917"/>
    <w:rsid w:val="3EB0765C"/>
    <w:rsid w:val="41195A1B"/>
    <w:rsid w:val="440D5897"/>
    <w:rsid w:val="44A6643B"/>
    <w:rsid w:val="4590011C"/>
    <w:rsid w:val="46553F6D"/>
    <w:rsid w:val="477C2B8D"/>
    <w:rsid w:val="488B04DD"/>
    <w:rsid w:val="49343115"/>
    <w:rsid w:val="496C1C44"/>
    <w:rsid w:val="4A051356"/>
    <w:rsid w:val="4E1E4C7E"/>
    <w:rsid w:val="50697A27"/>
    <w:rsid w:val="50B27620"/>
    <w:rsid w:val="52331739"/>
    <w:rsid w:val="52702271"/>
    <w:rsid w:val="542B4700"/>
    <w:rsid w:val="553B4087"/>
    <w:rsid w:val="55480552"/>
    <w:rsid w:val="55D431D6"/>
    <w:rsid w:val="56E61DD1"/>
    <w:rsid w:val="56F42375"/>
    <w:rsid w:val="585B7BCD"/>
    <w:rsid w:val="58B531C8"/>
    <w:rsid w:val="594A6647"/>
    <w:rsid w:val="599D630C"/>
    <w:rsid w:val="5A981634"/>
    <w:rsid w:val="5AF32D0E"/>
    <w:rsid w:val="5B5437AD"/>
    <w:rsid w:val="5CB33FDD"/>
    <w:rsid w:val="5D1933C5"/>
    <w:rsid w:val="5F061564"/>
    <w:rsid w:val="60536011"/>
    <w:rsid w:val="6294085A"/>
    <w:rsid w:val="633D4F1A"/>
    <w:rsid w:val="63663690"/>
    <w:rsid w:val="638A115C"/>
    <w:rsid w:val="64104931"/>
    <w:rsid w:val="66F61BBC"/>
    <w:rsid w:val="688F480D"/>
    <w:rsid w:val="69114004"/>
    <w:rsid w:val="6AD05083"/>
    <w:rsid w:val="6BAC6F97"/>
    <w:rsid w:val="6C4C7320"/>
    <w:rsid w:val="6E3A1CC7"/>
    <w:rsid w:val="70E248DB"/>
    <w:rsid w:val="72A634D2"/>
    <w:rsid w:val="73572B6B"/>
    <w:rsid w:val="73D759FA"/>
    <w:rsid w:val="769A6A08"/>
    <w:rsid w:val="76EB2336"/>
    <w:rsid w:val="798C03A0"/>
    <w:rsid w:val="79F006ED"/>
    <w:rsid w:val="7A401675"/>
    <w:rsid w:val="7ADB314B"/>
    <w:rsid w:val="7E8C67E4"/>
    <w:rsid w:val="7F7A5E20"/>
    <w:rsid w:val="7FD220A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uiPriority="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6"/>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43"/>
    <w:autoRedefine/>
    <w:unhideWhenUsed/>
    <w:qFormat/>
    <w:uiPriority w:val="9"/>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144"/>
    <w:autoRedefine/>
    <w:unhideWhenUsed/>
    <w:qFormat/>
    <w:uiPriority w:val="9"/>
    <w:pPr>
      <w:keepNext/>
      <w:keepLines/>
      <w:spacing w:before="260" w:after="260" w:line="416" w:lineRule="auto"/>
      <w:outlineLvl w:val="2"/>
    </w:pPr>
    <w:rPr>
      <w:rFonts w:ascii="Calibri" w:hAnsi="Calibri"/>
      <w:b/>
      <w:bCs/>
      <w:sz w:val="32"/>
      <w:szCs w:val="32"/>
      <w:lang w:val="zh-CN"/>
    </w:rPr>
  </w:style>
  <w:style w:type="paragraph" w:styleId="5">
    <w:name w:val="heading 4"/>
    <w:basedOn w:val="1"/>
    <w:next w:val="1"/>
    <w:link w:val="159"/>
    <w:autoRedefine/>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38">
    <w:name w:val="Default Paragraph Font"/>
    <w:autoRedefine/>
    <w:semiHidden/>
    <w:unhideWhenUsed/>
    <w:qFormat/>
    <w:uiPriority w:val="1"/>
  </w:style>
  <w:style w:type="table" w:default="1" w:styleId="36">
    <w:name w:val="Normal Table"/>
    <w:autoRedefine/>
    <w:semiHidden/>
    <w:unhideWhenUsed/>
    <w:qFormat/>
    <w:uiPriority w:val="99"/>
    <w:tblPr>
      <w:tblCellMar>
        <w:top w:w="0" w:type="dxa"/>
        <w:left w:w="108" w:type="dxa"/>
        <w:bottom w:w="0" w:type="dxa"/>
        <w:right w:w="108" w:type="dxa"/>
      </w:tblCellMar>
    </w:tblPr>
  </w:style>
  <w:style w:type="paragraph" w:styleId="6">
    <w:name w:val="toc 7"/>
    <w:basedOn w:val="1"/>
    <w:next w:val="1"/>
    <w:autoRedefine/>
    <w:semiHidden/>
    <w:qFormat/>
    <w:uiPriority w:val="0"/>
    <w:pPr>
      <w:tabs>
        <w:tab w:val="right" w:leader="dot" w:pos="9241"/>
      </w:tabs>
      <w:ind w:firstLine="500" w:firstLineChars="500"/>
      <w:jc w:val="left"/>
    </w:pPr>
    <w:rPr>
      <w:rFonts w:ascii="宋体"/>
      <w:szCs w:val="21"/>
    </w:rPr>
  </w:style>
  <w:style w:type="paragraph" w:styleId="7">
    <w:name w:val="index 8"/>
    <w:basedOn w:val="1"/>
    <w:next w:val="1"/>
    <w:autoRedefine/>
    <w:qFormat/>
    <w:uiPriority w:val="0"/>
    <w:pPr>
      <w:ind w:left="1680" w:hanging="210"/>
      <w:jc w:val="left"/>
    </w:pPr>
    <w:rPr>
      <w:rFonts w:ascii="Calibri" w:hAnsi="Calibri"/>
      <w:sz w:val="20"/>
      <w:szCs w:val="20"/>
    </w:rPr>
  </w:style>
  <w:style w:type="paragraph" w:styleId="8">
    <w:name w:val="caption"/>
    <w:basedOn w:val="1"/>
    <w:next w:val="1"/>
    <w:autoRedefine/>
    <w:qFormat/>
    <w:uiPriority w:val="0"/>
    <w:pPr>
      <w:spacing w:before="152" w:after="160"/>
    </w:pPr>
    <w:rPr>
      <w:rFonts w:ascii="Arial" w:hAnsi="Arial" w:eastAsia="黑体" w:cs="Arial"/>
      <w:sz w:val="20"/>
      <w:szCs w:val="20"/>
    </w:rPr>
  </w:style>
  <w:style w:type="paragraph" w:styleId="9">
    <w:name w:val="index 5"/>
    <w:basedOn w:val="1"/>
    <w:next w:val="1"/>
    <w:autoRedefine/>
    <w:qFormat/>
    <w:uiPriority w:val="0"/>
    <w:pPr>
      <w:ind w:left="1050" w:hanging="210"/>
      <w:jc w:val="left"/>
    </w:pPr>
    <w:rPr>
      <w:rFonts w:ascii="Calibri" w:hAnsi="Calibri"/>
      <w:sz w:val="20"/>
      <w:szCs w:val="20"/>
    </w:rPr>
  </w:style>
  <w:style w:type="paragraph" w:styleId="10">
    <w:name w:val="Document Map"/>
    <w:basedOn w:val="1"/>
    <w:autoRedefine/>
    <w:semiHidden/>
    <w:qFormat/>
    <w:uiPriority w:val="0"/>
    <w:pPr>
      <w:shd w:val="clear" w:color="auto" w:fill="000080"/>
    </w:pPr>
  </w:style>
  <w:style w:type="paragraph" w:styleId="11">
    <w:name w:val="index 6"/>
    <w:basedOn w:val="1"/>
    <w:next w:val="1"/>
    <w:autoRedefine/>
    <w:qFormat/>
    <w:uiPriority w:val="0"/>
    <w:pPr>
      <w:ind w:left="1260" w:hanging="210"/>
      <w:jc w:val="left"/>
    </w:pPr>
    <w:rPr>
      <w:rFonts w:ascii="Calibri" w:hAnsi="Calibri"/>
      <w:sz w:val="20"/>
      <w:szCs w:val="20"/>
    </w:rPr>
  </w:style>
  <w:style w:type="paragraph" w:styleId="12">
    <w:name w:val="Body Text Indent"/>
    <w:basedOn w:val="1"/>
    <w:link w:val="153"/>
    <w:autoRedefine/>
    <w:semiHidden/>
    <w:unhideWhenUsed/>
    <w:qFormat/>
    <w:uiPriority w:val="0"/>
    <w:pPr>
      <w:spacing w:after="120"/>
      <w:ind w:left="420" w:leftChars="200"/>
    </w:pPr>
  </w:style>
  <w:style w:type="paragraph" w:styleId="13">
    <w:name w:val="index 4"/>
    <w:basedOn w:val="1"/>
    <w:next w:val="1"/>
    <w:autoRedefine/>
    <w:qFormat/>
    <w:uiPriority w:val="0"/>
    <w:pPr>
      <w:ind w:left="840" w:hanging="210"/>
      <w:jc w:val="left"/>
    </w:pPr>
    <w:rPr>
      <w:rFonts w:ascii="Calibri" w:hAnsi="Calibri"/>
      <w:sz w:val="20"/>
      <w:szCs w:val="20"/>
    </w:rPr>
  </w:style>
  <w:style w:type="paragraph" w:styleId="14">
    <w:name w:val="toc 5"/>
    <w:basedOn w:val="1"/>
    <w:next w:val="1"/>
    <w:autoRedefine/>
    <w:semiHidden/>
    <w:qFormat/>
    <w:uiPriority w:val="0"/>
    <w:pPr>
      <w:tabs>
        <w:tab w:val="right" w:leader="dot" w:pos="9241"/>
      </w:tabs>
      <w:ind w:firstLine="300" w:firstLineChars="300"/>
      <w:jc w:val="left"/>
    </w:pPr>
    <w:rPr>
      <w:rFonts w:ascii="宋体"/>
      <w:szCs w:val="21"/>
    </w:rPr>
  </w:style>
  <w:style w:type="paragraph" w:styleId="15">
    <w:name w:val="toc 3"/>
    <w:basedOn w:val="1"/>
    <w:next w:val="1"/>
    <w:autoRedefine/>
    <w:qFormat/>
    <w:uiPriority w:val="39"/>
    <w:pPr>
      <w:tabs>
        <w:tab w:val="right" w:leader="dot" w:pos="9241"/>
      </w:tabs>
      <w:ind w:firstLine="100" w:firstLineChars="100"/>
      <w:jc w:val="left"/>
    </w:pPr>
    <w:rPr>
      <w:rFonts w:ascii="宋体"/>
      <w:szCs w:val="21"/>
    </w:rPr>
  </w:style>
  <w:style w:type="paragraph" w:styleId="16">
    <w:name w:val="toc 8"/>
    <w:basedOn w:val="1"/>
    <w:next w:val="1"/>
    <w:autoRedefine/>
    <w:semiHidden/>
    <w:qFormat/>
    <w:uiPriority w:val="0"/>
    <w:pPr>
      <w:tabs>
        <w:tab w:val="right" w:leader="dot" w:pos="9241"/>
      </w:tabs>
      <w:ind w:firstLine="607" w:firstLineChars="600"/>
      <w:jc w:val="left"/>
    </w:pPr>
    <w:rPr>
      <w:rFonts w:ascii="宋体"/>
      <w:szCs w:val="21"/>
    </w:rPr>
  </w:style>
  <w:style w:type="paragraph" w:styleId="17">
    <w:name w:val="index 3"/>
    <w:basedOn w:val="1"/>
    <w:next w:val="1"/>
    <w:autoRedefine/>
    <w:qFormat/>
    <w:uiPriority w:val="0"/>
    <w:pPr>
      <w:ind w:left="630" w:hanging="210"/>
      <w:jc w:val="left"/>
    </w:pPr>
    <w:rPr>
      <w:rFonts w:ascii="Calibri" w:hAnsi="Calibri"/>
      <w:sz w:val="20"/>
      <w:szCs w:val="20"/>
    </w:rPr>
  </w:style>
  <w:style w:type="paragraph" w:styleId="18">
    <w:name w:val="endnote text"/>
    <w:basedOn w:val="1"/>
    <w:autoRedefine/>
    <w:semiHidden/>
    <w:qFormat/>
    <w:uiPriority w:val="0"/>
    <w:pPr>
      <w:snapToGrid w:val="0"/>
      <w:jc w:val="left"/>
    </w:pPr>
  </w:style>
  <w:style w:type="paragraph" w:styleId="19">
    <w:name w:val="Balloon Text"/>
    <w:basedOn w:val="1"/>
    <w:link w:val="145"/>
    <w:autoRedefine/>
    <w:qFormat/>
    <w:uiPriority w:val="0"/>
    <w:rPr>
      <w:sz w:val="18"/>
      <w:szCs w:val="18"/>
    </w:rPr>
  </w:style>
  <w:style w:type="paragraph" w:styleId="20">
    <w:name w:val="footer"/>
    <w:basedOn w:val="1"/>
    <w:link w:val="163"/>
    <w:autoRedefine/>
    <w:qFormat/>
    <w:uiPriority w:val="99"/>
    <w:pPr>
      <w:snapToGrid w:val="0"/>
      <w:ind w:right="210" w:rightChars="100"/>
      <w:jc w:val="right"/>
    </w:pPr>
    <w:rPr>
      <w:sz w:val="18"/>
      <w:szCs w:val="18"/>
    </w:rPr>
  </w:style>
  <w:style w:type="paragraph" w:styleId="21">
    <w:name w:val="header"/>
    <w:basedOn w:val="1"/>
    <w:link w:val="162"/>
    <w:autoRedefine/>
    <w:qFormat/>
    <w:uiPriority w:val="99"/>
    <w:pPr>
      <w:snapToGrid w:val="0"/>
      <w:jc w:val="left"/>
    </w:pPr>
    <w:rPr>
      <w:sz w:val="18"/>
      <w:szCs w:val="18"/>
    </w:rPr>
  </w:style>
  <w:style w:type="paragraph" w:styleId="22">
    <w:name w:val="toc 1"/>
    <w:basedOn w:val="1"/>
    <w:next w:val="1"/>
    <w:autoRedefine/>
    <w:qFormat/>
    <w:uiPriority w:val="39"/>
    <w:pPr>
      <w:tabs>
        <w:tab w:val="right" w:leader="dot" w:pos="9242"/>
      </w:tabs>
      <w:spacing w:beforeLines="25" w:afterLines="25"/>
      <w:jc w:val="left"/>
    </w:pPr>
    <w:rPr>
      <w:rFonts w:ascii="宋体"/>
      <w:szCs w:val="21"/>
    </w:rPr>
  </w:style>
  <w:style w:type="paragraph" w:styleId="23">
    <w:name w:val="toc 4"/>
    <w:basedOn w:val="1"/>
    <w:next w:val="1"/>
    <w:autoRedefine/>
    <w:semiHidden/>
    <w:qFormat/>
    <w:uiPriority w:val="0"/>
    <w:pPr>
      <w:tabs>
        <w:tab w:val="right" w:leader="dot" w:pos="9241"/>
      </w:tabs>
      <w:ind w:firstLine="200" w:firstLineChars="200"/>
      <w:jc w:val="left"/>
    </w:pPr>
    <w:rPr>
      <w:rFonts w:ascii="宋体"/>
      <w:szCs w:val="21"/>
    </w:rPr>
  </w:style>
  <w:style w:type="paragraph" w:styleId="24">
    <w:name w:val="index heading"/>
    <w:basedOn w:val="1"/>
    <w:next w:val="25"/>
    <w:autoRedefine/>
    <w:qFormat/>
    <w:uiPriority w:val="0"/>
    <w:pPr>
      <w:spacing w:before="120" w:after="120"/>
      <w:jc w:val="center"/>
    </w:pPr>
    <w:rPr>
      <w:rFonts w:ascii="Calibri" w:hAnsi="Calibri"/>
      <w:b/>
      <w:bCs/>
      <w:iCs/>
      <w:szCs w:val="20"/>
    </w:rPr>
  </w:style>
  <w:style w:type="paragraph" w:styleId="25">
    <w:name w:val="index 1"/>
    <w:basedOn w:val="1"/>
    <w:next w:val="26"/>
    <w:autoRedefine/>
    <w:qFormat/>
    <w:uiPriority w:val="0"/>
    <w:pPr>
      <w:tabs>
        <w:tab w:val="right" w:leader="dot" w:pos="9299"/>
      </w:tabs>
      <w:jc w:val="left"/>
    </w:pPr>
    <w:rPr>
      <w:rFonts w:ascii="宋体"/>
      <w:szCs w:val="21"/>
    </w:rPr>
  </w:style>
  <w:style w:type="paragraph" w:customStyle="1" w:styleId="26">
    <w:name w:val="段"/>
    <w:link w:val="45"/>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szCs w:val="21"/>
      <w:lang w:val="en-US" w:eastAsia="zh-CN" w:bidi="ar-SA"/>
    </w:rPr>
  </w:style>
  <w:style w:type="paragraph" w:styleId="27">
    <w:name w:val="footnote text"/>
    <w:basedOn w:val="1"/>
    <w:autoRedefine/>
    <w:qFormat/>
    <w:uiPriority w:val="0"/>
    <w:pPr>
      <w:numPr>
        <w:ilvl w:val="0"/>
        <w:numId w:val="1"/>
      </w:numPr>
      <w:snapToGrid w:val="0"/>
      <w:jc w:val="left"/>
    </w:pPr>
    <w:rPr>
      <w:rFonts w:ascii="宋体"/>
      <w:sz w:val="18"/>
      <w:szCs w:val="18"/>
    </w:rPr>
  </w:style>
  <w:style w:type="paragraph" w:styleId="28">
    <w:name w:val="toc 6"/>
    <w:basedOn w:val="1"/>
    <w:next w:val="1"/>
    <w:autoRedefine/>
    <w:semiHidden/>
    <w:qFormat/>
    <w:uiPriority w:val="0"/>
    <w:pPr>
      <w:tabs>
        <w:tab w:val="right" w:leader="dot" w:pos="9241"/>
      </w:tabs>
      <w:ind w:firstLine="400" w:firstLineChars="400"/>
      <w:jc w:val="left"/>
    </w:pPr>
    <w:rPr>
      <w:rFonts w:ascii="宋体"/>
      <w:szCs w:val="21"/>
    </w:rPr>
  </w:style>
  <w:style w:type="paragraph" w:styleId="29">
    <w:name w:val="index 7"/>
    <w:basedOn w:val="1"/>
    <w:next w:val="1"/>
    <w:autoRedefine/>
    <w:qFormat/>
    <w:uiPriority w:val="0"/>
    <w:pPr>
      <w:ind w:left="1470" w:hanging="210"/>
      <w:jc w:val="left"/>
    </w:pPr>
    <w:rPr>
      <w:rFonts w:ascii="Calibri" w:hAnsi="Calibri"/>
      <w:sz w:val="20"/>
      <w:szCs w:val="20"/>
    </w:rPr>
  </w:style>
  <w:style w:type="paragraph" w:styleId="30">
    <w:name w:val="index 9"/>
    <w:basedOn w:val="1"/>
    <w:next w:val="1"/>
    <w:autoRedefine/>
    <w:qFormat/>
    <w:uiPriority w:val="0"/>
    <w:pPr>
      <w:ind w:left="1890" w:hanging="210"/>
      <w:jc w:val="left"/>
    </w:pPr>
    <w:rPr>
      <w:rFonts w:ascii="Calibri" w:hAnsi="Calibri"/>
      <w:sz w:val="20"/>
      <w:szCs w:val="20"/>
    </w:rPr>
  </w:style>
  <w:style w:type="paragraph" w:styleId="31">
    <w:name w:val="toc 2"/>
    <w:basedOn w:val="1"/>
    <w:next w:val="1"/>
    <w:autoRedefine/>
    <w:qFormat/>
    <w:uiPriority w:val="39"/>
    <w:pPr>
      <w:tabs>
        <w:tab w:val="right" w:leader="dot" w:pos="9242"/>
      </w:tabs>
      <w:ind w:left="100" w:leftChars="100"/>
    </w:pPr>
    <w:rPr>
      <w:rFonts w:ascii="宋体"/>
      <w:szCs w:val="21"/>
    </w:rPr>
  </w:style>
  <w:style w:type="paragraph" w:styleId="32">
    <w:name w:val="toc 9"/>
    <w:basedOn w:val="1"/>
    <w:next w:val="1"/>
    <w:autoRedefine/>
    <w:semiHidden/>
    <w:qFormat/>
    <w:uiPriority w:val="0"/>
    <w:pPr>
      <w:ind w:left="1470"/>
      <w:jc w:val="left"/>
    </w:pPr>
    <w:rPr>
      <w:sz w:val="20"/>
      <w:szCs w:val="20"/>
    </w:rPr>
  </w:style>
  <w:style w:type="paragraph" w:styleId="3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34">
    <w:name w:val="index 2"/>
    <w:basedOn w:val="1"/>
    <w:next w:val="1"/>
    <w:autoRedefine/>
    <w:qFormat/>
    <w:uiPriority w:val="0"/>
    <w:pPr>
      <w:ind w:left="420" w:hanging="210"/>
      <w:jc w:val="left"/>
    </w:pPr>
    <w:rPr>
      <w:rFonts w:ascii="Calibri" w:hAnsi="Calibri"/>
      <w:sz w:val="20"/>
      <w:szCs w:val="20"/>
    </w:rPr>
  </w:style>
  <w:style w:type="paragraph" w:styleId="35">
    <w:name w:val="Body Text First Indent 2"/>
    <w:basedOn w:val="12"/>
    <w:link w:val="154"/>
    <w:autoRedefine/>
    <w:unhideWhenUsed/>
    <w:qFormat/>
    <w:uiPriority w:val="99"/>
    <w:pPr>
      <w:ind w:firstLine="420" w:firstLineChars="200"/>
    </w:pPr>
  </w:style>
  <w:style w:type="table" w:styleId="37">
    <w:name w:val="Table Grid"/>
    <w:basedOn w:val="36"/>
    <w:autoRedefine/>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9">
    <w:name w:val="Strong"/>
    <w:autoRedefine/>
    <w:qFormat/>
    <w:uiPriority w:val="22"/>
    <w:rPr>
      <w:b/>
      <w:bCs/>
    </w:rPr>
  </w:style>
  <w:style w:type="character" w:styleId="40">
    <w:name w:val="endnote reference"/>
    <w:autoRedefine/>
    <w:semiHidden/>
    <w:qFormat/>
    <w:uiPriority w:val="0"/>
    <w:rPr>
      <w:vertAlign w:val="superscript"/>
    </w:rPr>
  </w:style>
  <w:style w:type="character" w:styleId="41">
    <w:name w:val="page number"/>
    <w:autoRedefine/>
    <w:qFormat/>
    <w:uiPriority w:val="0"/>
    <w:rPr>
      <w:rFonts w:ascii="Times New Roman" w:hAnsi="Times New Roman" w:eastAsia="宋体"/>
      <w:sz w:val="18"/>
    </w:rPr>
  </w:style>
  <w:style w:type="character" w:styleId="42">
    <w:name w:val="FollowedHyperlink"/>
    <w:autoRedefine/>
    <w:qFormat/>
    <w:uiPriority w:val="0"/>
    <w:rPr>
      <w:color w:val="800080"/>
      <w:u w:val="none"/>
    </w:rPr>
  </w:style>
  <w:style w:type="character" w:styleId="43">
    <w:name w:val="Hyperlink"/>
    <w:autoRedefine/>
    <w:qFormat/>
    <w:uiPriority w:val="99"/>
    <w:rPr>
      <w:color w:val="0000FF"/>
      <w:spacing w:val="0"/>
      <w:w w:val="100"/>
      <w:szCs w:val="21"/>
      <w:u w:val="single"/>
    </w:rPr>
  </w:style>
  <w:style w:type="character" w:styleId="44">
    <w:name w:val="footnote reference"/>
    <w:autoRedefine/>
    <w:semiHidden/>
    <w:qFormat/>
    <w:uiPriority w:val="0"/>
    <w:rPr>
      <w:vertAlign w:val="superscript"/>
    </w:rPr>
  </w:style>
  <w:style w:type="character" w:customStyle="1" w:styleId="45">
    <w:name w:val="段 Char"/>
    <w:link w:val="26"/>
    <w:autoRedefine/>
    <w:qFormat/>
    <w:uiPriority w:val="0"/>
    <w:rPr>
      <w:rFonts w:ascii="宋体"/>
      <w:sz w:val="21"/>
      <w:szCs w:val="21"/>
    </w:rPr>
  </w:style>
  <w:style w:type="paragraph" w:customStyle="1" w:styleId="46">
    <w:name w:val="一级条标题"/>
    <w:next w:val="1"/>
    <w:autoRedefine/>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customStyle="1" w:styleId="47">
    <w:name w:val="标准书脚_奇数页"/>
    <w:autoRedefine/>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8">
    <w:name w:val="标准书眉_奇数页"/>
    <w:next w:val="1"/>
    <w:autoRedefine/>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9">
    <w:name w:val="章标题"/>
    <w:next w:val="26"/>
    <w:autoRedefine/>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50">
    <w:name w:val="二级条标题"/>
    <w:basedOn w:val="46"/>
    <w:next w:val="26"/>
    <w:autoRedefine/>
    <w:qFormat/>
    <w:uiPriority w:val="0"/>
    <w:pPr>
      <w:numPr>
        <w:ilvl w:val="2"/>
      </w:numPr>
      <w:ind w:left="568"/>
      <w:outlineLvl w:val="3"/>
    </w:pPr>
  </w:style>
  <w:style w:type="paragraph" w:customStyle="1" w:styleId="51">
    <w:name w:val="封面标准号2"/>
    <w:autoRedefine/>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2">
    <w:name w:val="列项——（一级）"/>
    <w:autoRedefine/>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3">
    <w:name w:val="列项●（二级）"/>
    <w:autoRedefine/>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4">
    <w:name w:val="目次、标准名称标题"/>
    <w:basedOn w:val="1"/>
    <w:next w:val="26"/>
    <w:autoRedefine/>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5">
    <w:name w:val="三级条标题"/>
    <w:basedOn w:val="50"/>
    <w:next w:val="26"/>
    <w:autoRedefine/>
    <w:qFormat/>
    <w:uiPriority w:val="0"/>
    <w:pPr>
      <w:numPr>
        <w:ilvl w:val="3"/>
      </w:numPr>
      <w:spacing w:before="156" w:after="156"/>
      <w:outlineLvl w:val="4"/>
    </w:pPr>
    <w:rPr>
      <w:rFonts w:asciiTheme="minorEastAsia" w:hAnsiTheme="minorEastAsia"/>
    </w:rPr>
  </w:style>
  <w:style w:type="paragraph" w:customStyle="1" w:styleId="56">
    <w:name w:val="示例"/>
    <w:next w:val="57"/>
    <w:autoRedefine/>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7">
    <w:name w:val="示例内容"/>
    <w:autoRedefine/>
    <w:qFormat/>
    <w:uiPriority w:val="0"/>
    <w:pPr>
      <w:ind w:firstLine="200" w:firstLineChars="200"/>
    </w:pPr>
    <w:rPr>
      <w:rFonts w:ascii="宋体" w:hAnsi="Times New Roman" w:eastAsia="宋体" w:cs="Times New Roman"/>
      <w:sz w:val="18"/>
      <w:szCs w:val="18"/>
      <w:lang w:val="en-US" w:eastAsia="zh-CN" w:bidi="ar-SA"/>
    </w:rPr>
  </w:style>
  <w:style w:type="paragraph" w:customStyle="1" w:styleId="58">
    <w:name w:val="数字编号列项（二级）"/>
    <w:autoRedefine/>
    <w:qFormat/>
    <w:uiPriority w:val="0"/>
    <w:pPr>
      <w:numPr>
        <w:ilvl w:val="1"/>
        <w:numId w:val="5"/>
      </w:numPr>
      <w:jc w:val="both"/>
    </w:pPr>
    <w:rPr>
      <w:rFonts w:ascii="宋体" w:hAnsi="Times New Roman" w:eastAsia="宋体" w:cs="Times New Roman"/>
      <w:sz w:val="21"/>
      <w:lang w:val="en-US" w:eastAsia="zh-CN" w:bidi="ar-SA"/>
    </w:rPr>
  </w:style>
  <w:style w:type="paragraph" w:customStyle="1" w:styleId="59">
    <w:name w:val="四级条标题"/>
    <w:basedOn w:val="55"/>
    <w:next w:val="26"/>
    <w:autoRedefine/>
    <w:qFormat/>
    <w:uiPriority w:val="0"/>
    <w:pPr>
      <w:numPr>
        <w:ilvl w:val="4"/>
      </w:numPr>
      <w:outlineLvl w:val="5"/>
    </w:pPr>
  </w:style>
  <w:style w:type="paragraph" w:customStyle="1" w:styleId="60">
    <w:name w:val="五级条标题"/>
    <w:basedOn w:val="59"/>
    <w:next w:val="26"/>
    <w:autoRedefine/>
    <w:qFormat/>
    <w:uiPriority w:val="0"/>
    <w:pPr>
      <w:numPr>
        <w:ilvl w:val="5"/>
      </w:numPr>
      <w:spacing w:before="50" w:after="50"/>
      <w:outlineLvl w:val="6"/>
    </w:pPr>
  </w:style>
  <w:style w:type="paragraph" w:customStyle="1" w:styleId="61">
    <w:name w:val="注："/>
    <w:next w:val="26"/>
    <w:autoRedefine/>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62">
    <w:name w:val="注×："/>
    <w:autoRedefine/>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3">
    <w:name w:val="字母编号列项（一级）"/>
    <w:autoRedefine/>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4">
    <w:name w:val="列项◆（三级）"/>
    <w:basedOn w:val="1"/>
    <w:autoRedefine/>
    <w:qFormat/>
    <w:uiPriority w:val="0"/>
    <w:pPr>
      <w:numPr>
        <w:ilvl w:val="2"/>
        <w:numId w:val="3"/>
      </w:numPr>
    </w:pPr>
    <w:rPr>
      <w:rFonts w:ascii="宋体"/>
      <w:szCs w:val="21"/>
    </w:rPr>
  </w:style>
  <w:style w:type="paragraph" w:customStyle="1" w:styleId="65">
    <w:name w:val="编号列项（三级）"/>
    <w:autoRedefine/>
    <w:qFormat/>
    <w:uiPriority w:val="0"/>
    <w:rPr>
      <w:rFonts w:ascii="宋体" w:hAnsi="Times New Roman" w:eastAsia="宋体" w:cs="Times New Roman"/>
      <w:sz w:val="21"/>
      <w:lang w:val="en-US" w:eastAsia="zh-CN" w:bidi="ar-SA"/>
    </w:rPr>
  </w:style>
  <w:style w:type="paragraph" w:customStyle="1" w:styleId="66">
    <w:name w:val="示例×："/>
    <w:basedOn w:val="49"/>
    <w:autoRedefine/>
    <w:qFormat/>
    <w:uiPriority w:val="0"/>
    <w:pPr>
      <w:numPr>
        <w:ilvl w:val="0"/>
        <w:numId w:val="8"/>
      </w:numPr>
      <w:spacing w:beforeLines="0" w:afterLines="0"/>
      <w:outlineLvl w:val="9"/>
    </w:pPr>
    <w:rPr>
      <w:rFonts w:ascii="宋体" w:eastAsia="宋体"/>
      <w:sz w:val="18"/>
      <w:szCs w:val="18"/>
    </w:rPr>
  </w:style>
  <w:style w:type="paragraph" w:customStyle="1" w:styleId="67">
    <w:name w:val="五级无标题条"/>
    <w:basedOn w:val="60"/>
    <w:autoRedefine/>
    <w:qFormat/>
    <w:uiPriority w:val="0"/>
    <w:pPr>
      <w:spacing w:beforeLines="0" w:afterLines="0"/>
    </w:pPr>
    <w:rPr>
      <w:rFonts w:eastAsiaTheme="minorEastAsia"/>
    </w:rPr>
  </w:style>
  <w:style w:type="paragraph" w:customStyle="1" w:styleId="68">
    <w:name w:val="注：（正文）"/>
    <w:basedOn w:val="61"/>
    <w:next w:val="26"/>
    <w:autoRedefine/>
    <w:qFormat/>
    <w:uiPriority w:val="0"/>
    <w:pPr>
      <w:numPr>
        <w:ilvl w:val="0"/>
        <w:numId w:val="9"/>
      </w:numPr>
    </w:pPr>
  </w:style>
  <w:style w:type="paragraph" w:customStyle="1" w:styleId="69">
    <w:name w:val="注×：（正文）"/>
    <w:autoRedefine/>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70">
    <w:name w:val="标准标志"/>
    <w:next w:val="1"/>
    <w:autoRedefine/>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71">
    <w:name w:val="标准称谓"/>
    <w:next w:val="1"/>
    <w:autoRedefine/>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2">
    <w:name w:val="标准书脚_偶数页"/>
    <w:autoRedefine/>
    <w:qFormat/>
    <w:uiPriority w:val="0"/>
    <w:pPr>
      <w:spacing w:before="120"/>
      <w:ind w:left="221"/>
    </w:pPr>
    <w:rPr>
      <w:rFonts w:ascii="宋体" w:hAnsi="Times New Roman" w:eastAsia="宋体" w:cs="Times New Roman"/>
      <w:sz w:val="18"/>
      <w:szCs w:val="18"/>
      <w:lang w:val="en-US" w:eastAsia="zh-CN" w:bidi="ar-SA"/>
    </w:rPr>
  </w:style>
  <w:style w:type="paragraph" w:customStyle="1" w:styleId="73">
    <w:name w:val="标准书眉_偶数页"/>
    <w:basedOn w:val="48"/>
    <w:next w:val="1"/>
    <w:autoRedefine/>
    <w:qFormat/>
    <w:uiPriority w:val="0"/>
    <w:pPr>
      <w:jc w:val="left"/>
    </w:pPr>
  </w:style>
  <w:style w:type="paragraph" w:customStyle="1" w:styleId="74">
    <w:name w:val="标准书眉一"/>
    <w:autoRedefine/>
    <w:qFormat/>
    <w:uiPriority w:val="0"/>
    <w:pPr>
      <w:jc w:val="both"/>
    </w:pPr>
    <w:rPr>
      <w:rFonts w:ascii="Times New Roman" w:hAnsi="Times New Roman" w:eastAsia="宋体" w:cs="Times New Roman"/>
      <w:lang w:val="en-US" w:eastAsia="zh-CN" w:bidi="ar-SA"/>
    </w:rPr>
  </w:style>
  <w:style w:type="paragraph" w:customStyle="1" w:styleId="75">
    <w:name w:val="参考文献"/>
    <w:basedOn w:val="1"/>
    <w:next w:val="26"/>
    <w:autoRedefine/>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6">
    <w:name w:val="参考文献、索引标题"/>
    <w:basedOn w:val="1"/>
    <w:next w:val="26"/>
    <w:autoRedefine/>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7">
    <w:name w:val="发布"/>
    <w:autoRedefine/>
    <w:qFormat/>
    <w:uiPriority w:val="0"/>
    <w:rPr>
      <w:rFonts w:ascii="黑体" w:eastAsia="黑体"/>
      <w:spacing w:val="85"/>
      <w:w w:val="100"/>
      <w:position w:val="3"/>
      <w:sz w:val="28"/>
      <w:szCs w:val="28"/>
    </w:rPr>
  </w:style>
  <w:style w:type="paragraph" w:customStyle="1" w:styleId="78">
    <w:name w:val="发布部门"/>
    <w:next w:val="26"/>
    <w:autoRedefine/>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9">
    <w:name w:val="发布日期"/>
    <w:autoRedefine/>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0">
    <w:name w:val="封面标准代替信息"/>
    <w:autoRedefine/>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1">
    <w:name w:val="封面标准号1"/>
    <w:autoRedefine/>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2">
    <w:name w:val="封面标准名称"/>
    <w:autoRedefine/>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3">
    <w:name w:val="封面标准英文名称"/>
    <w:basedOn w:val="82"/>
    <w:autoRedefine/>
    <w:qFormat/>
    <w:uiPriority w:val="0"/>
    <w:pPr>
      <w:framePr w:wrap="around"/>
      <w:spacing w:before="370" w:line="400" w:lineRule="exact"/>
    </w:pPr>
    <w:rPr>
      <w:rFonts w:ascii="Times New Roman"/>
      <w:sz w:val="28"/>
      <w:szCs w:val="28"/>
    </w:rPr>
  </w:style>
  <w:style w:type="paragraph" w:customStyle="1" w:styleId="84">
    <w:name w:val="封面一致性程度标识"/>
    <w:basedOn w:val="83"/>
    <w:autoRedefine/>
    <w:qFormat/>
    <w:uiPriority w:val="0"/>
    <w:pPr>
      <w:framePr w:wrap="around"/>
      <w:spacing w:before="440"/>
    </w:pPr>
    <w:rPr>
      <w:rFonts w:ascii="宋体" w:eastAsia="宋体"/>
    </w:rPr>
  </w:style>
  <w:style w:type="paragraph" w:customStyle="1" w:styleId="85">
    <w:name w:val="封面标准文稿类别"/>
    <w:basedOn w:val="84"/>
    <w:autoRedefine/>
    <w:qFormat/>
    <w:uiPriority w:val="0"/>
    <w:pPr>
      <w:framePr w:wrap="around"/>
      <w:spacing w:after="160" w:line="240" w:lineRule="auto"/>
    </w:pPr>
    <w:rPr>
      <w:sz w:val="24"/>
    </w:rPr>
  </w:style>
  <w:style w:type="paragraph" w:customStyle="1" w:styleId="86">
    <w:name w:val="封面标准文稿编辑信息"/>
    <w:basedOn w:val="85"/>
    <w:autoRedefine/>
    <w:qFormat/>
    <w:uiPriority w:val="0"/>
    <w:pPr>
      <w:framePr w:wrap="around"/>
      <w:spacing w:before="180" w:line="180" w:lineRule="exact"/>
    </w:pPr>
    <w:rPr>
      <w:sz w:val="21"/>
    </w:rPr>
  </w:style>
  <w:style w:type="paragraph" w:customStyle="1" w:styleId="87">
    <w:name w:val="封面正文"/>
    <w:autoRedefine/>
    <w:qFormat/>
    <w:uiPriority w:val="0"/>
    <w:pPr>
      <w:jc w:val="both"/>
    </w:pPr>
    <w:rPr>
      <w:rFonts w:ascii="Times New Roman" w:hAnsi="Times New Roman" w:eastAsia="宋体" w:cs="Times New Roman"/>
      <w:lang w:val="en-US" w:eastAsia="zh-CN" w:bidi="ar-SA"/>
    </w:rPr>
  </w:style>
  <w:style w:type="paragraph" w:customStyle="1" w:styleId="88">
    <w:name w:val="附录标识"/>
    <w:basedOn w:val="1"/>
    <w:next w:val="26"/>
    <w:autoRedefine/>
    <w:qFormat/>
    <w:uiPriority w:val="0"/>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9">
    <w:name w:val="附录标题"/>
    <w:basedOn w:val="26"/>
    <w:next w:val="26"/>
    <w:autoRedefine/>
    <w:qFormat/>
    <w:uiPriority w:val="0"/>
    <w:pPr>
      <w:ind w:firstLine="0" w:firstLineChars="0"/>
      <w:jc w:val="center"/>
    </w:pPr>
    <w:rPr>
      <w:rFonts w:ascii="黑体" w:eastAsia="黑体"/>
    </w:rPr>
  </w:style>
  <w:style w:type="paragraph" w:customStyle="1" w:styleId="90">
    <w:name w:val="附录表标号"/>
    <w:basedOn w:val="1"/>
    <w:next w:val="26"/>
    <w:autoRedefine/>
    <w:qFormat/>
    <w:uiPriority w:val="0"/>
    <w:pPr>
      <w:numPr>
        <w:ilvl w:val="0"/>
        <w:numId w:val="11"/>
      </w:numPr>
      <w:spacing w:line="14" w:lineRule="exact"/>
      <w:ind w:left="811" w:hanging="448"/>
      <w:jc w:val="center"/>
      <w:outlineLvl w:val="0"/>
    </w:pPr>
    <w:rPr>
      <w:color w:val="FFFFFF"/>
    </w:rPr>
  </w:style>
  <w:style w:type="paragraph" w:customStyle="1" w:styleId="91">
    <w:name w:val="附录表标题"/>
    <w:basedOn w:val="1"/>
    <w:next w:val="26"/>
    <w:autoRedefine/>
    <w:qFormat/>
    <w:uiPriority w:val="0"/>
    <w:pPr>
      <w:numPr>
        <w:ilvl w:val="1"/>
        <w:numId w:val="11"/>
      </w:numPr>
      <w:tabs>
        <w:tab w:val="left" w:pos="180"/>
      </w:tabs>
      <w:spacing w:beforeLines="50" w:afterLines="50"/>
      <w:ind w:left="0" w:firstLine="0"/>
      <w:jc w:val="center"/>
    </w:pPr>
    <w:rPr>
      <w:rFonts w:ascii="黑体" w:eastAsia="黑体"/>
      <w:szCs w:val="21"/>
    </w:rPr>
  </w:style>
  <w:style w:type="paragraph" w:customStyle="1" w:styleId="92">
    <w:name w:val="附录二级条标题"/>
    <w:basedOn w:val="1"/>
    <w:next w:val="26"/>
    <w:autoRedefine/>
    <w:qFormat/>
    <w:uiPriority w:val="0"/>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3">
    <w:name w:val="附录二级无"/>
    <w:basedOn w:val="92"/>
    <w:autoRedefine/>
    <w:qFormat/>
    <w:uiPriority w:val="0"/>
    <w:pPr>
      <w:tabs>
        <w:tab w:val="clear" w:pos="360"/>
      </w:tabs>
      <w:spacing w:beforeLines="0" w:afterLines="0"/>
    </w:pPr>
    <w:rPr>
      <w:rFonts w:ascii="宋体" w:eastAsia="宋体"/>
      <w:szCs w:val="21"/>
    </w:rPr>
  </w:style>
  <w:style w:type="paragraph" w:customStyle="1" w:styleId="94">
    <w:name w:val="附录公式"/>
    <w:basedOn w:val="26"/>
    <w:next w:val="26"/>
    <w:link w:val="95"/>
    <w:autoRedefine/>
    <w:qFormat/>
    <w:uiPriority w:val="0"/>
  </w:style>
  <w:style w:type="character" w:customStyle="1" w:styleId="95">
    <w:name w:val="附录公式 Char"/>
    <w:basedOn w:val="45"/>
    <w:link w:val="94"/>
    <w:autoRedefine/>
    <w:qFormat/>
    <w:uiPriority w:val="0"/>
    <w:rPr>
      <w:rFonts w:ascii="宋体"/>
      <w:sz w:val="21"/>
      <w:lang w:val="en-US" w:eastAsia="zh-CN" w:bidi="ar-SA"/>
    </w:rPr>
  </w:style>
  <w:style w:type="paragraph" w:customStyle="1" w:styleId="96">
    <w:name w:val="附录公式编号制表符"/>
    <w:basedOn w:val="1"/>
    <w:next w:val="26"/>
    <w:autoRedefine/>
    <w:qFormat/>
    <w:uiPriority w:val="0"/>
    <w:pPr>
      <w:widowControl/>
      <w:tabs>
        <w:tab w:val="center" w:pos="4201"/>
        <w:tab w:val="right" w:leader="dot" w:pos="9298"/>
      </w:tabs>
      <w:autoSpaceDE w:val="0"/>
      <w:autoSpaceDN w:val="0"/>
    </w:pPr>
    <w:rPr>
      <w:rFonts w:ascii="宋体"/>
      <w:kern w:val="0"/>
      <w:szCs w:val="20"/>
    </w:rPr>
  </w:style>
  <w:style w:type="paragraph" w:customStyle="1" w:styleId="97">
    <w:name w:val="附录三级条标题"/>
    <w:basedOn w:val="92"/>
    <w:next w:val="26"/>
    <w:autoRedefine/>
    <w:qFormat/>
    <w:uiPriority w:val="0"/>
    <w:pPr>
      <w:outlineLvl w:val="4"/>
    </w:pPr>
  </w:style>
  <w:style w:type="paragraph" w:customStyle="1" w:styleId="98">
    <w:name w:val="附录三级无"/>
    <w:basedOn w:val="97"/>
    <w:autoRedefine/>
    <w:qFormat/>
    <w:uiPriority w:val="0"/>
    <w:pPr>
      <w:tabs>
        <w:tab w:val="clear" w:pos="360"/>
      </w:tabs>
      <w:spacing w:beforeLines="0" w:afterLines="0"/>
    </w:pPr>
    <w:rPr>
      <w:rFonts w:ascii="宋体" w:eastAsia="宋体"/>
      <w:szCs w:val="21"/>
    </w:rPr>
  </w:style>
  <w:style w:type="paragraph" w:customStyle="1" w:styleId="99">
    <w:name w:val="附录数字编号列项（二级）"/>
    <w:autoRedefine/>
    <w:qFormat/>
    <w:uiPriority w:val="0"/>
    <w:pPr>
      <w:numPr>
        <w:ilvl w:val="1"/>
        <w:numId w:val="12"/>
      </w:numPr>
    </w:pPr>
    <w:rPr>
      <w:rFonts w:ascii="宋体" w:hAnsi="Times New Roman" w:eastAsia="宋体" w:cs="Times New Roman"/>
      <w:sz w:val="21"/>
      <w:lang w:val="en-US" w:eastAsia="zh-CN" w:bidi="ar-SA"/>
    </w:rPr>
  </w:style>
  <w:style w:type="paragraph" w:customStyle="1" w:styleId="100">
    <w:name w:val="附录四级条标题"/>
    <w:basedOn w:val="97"/>
    <w:next w:val="26"/>
    <w:autoRedefine/>
    <w:qFormat/>
    <w:uiPriority w:val="0"/>
    <w:pPr>
      <w:outlineLvl w:val="5"/>
    </w:pPr>
  </w:style>
  <w:style w:type="paragraph" w:customStyle="1" w:styleId="101">
    <w:name w:val="附录四级无"/>
    <w:basedOn w:val="100"/>
    <w:autoRedefine/>
    <w:qFormat/>
    <w:uiPriority w:val="0"/>
    <w:pPr>
      <w:tabs>
        <w:tab w:val="clear" w:pos="360"/>
      </w:tabs>
      <w:spacing w:beforeLines="0" w:afterLines="0"/>
    </w:pPr>
    <w:rPr>
      <w:rFonts w:ascii="宋体" w:eastAsia="宋体"/>
      <w:szCs w:val="21"/>
    </w:rPr>
  </w:style>
  <w:style w:type="paragraph" w:customStyle="1" w:styleId="102">
    <w:name w:val="附录图标号"/>
    <w:basedOn w:val="1"/>
    <w:autoRedefine/>
    <w:qFormat/>
    <w:uiPriority w:val="0"/>
    <w:pPr>
      <w:keepNext/>
      <w:pageBreakBefore/>
      <w:widowControl/>
      <w:numPr>
        <w:ilvl w:val="0"/>
        <w:numId w:val="13"/>
      </w:numPr>
      <w:spacing w:line="14" w:lineRule="exact"/>
      <w:ind w:left="0" w:firstLine="363"/>
      <w:jc w:val="center"/>
      <w:outlineLvl w:val="0"/>
    </w:pPr>
    <w:rPr>
      <w:color w:val="FFFFFF"/>
    </w:rPr>
  </w:style>
  <w:style w:type="paragraph" w:customStyle="1" w:styleId="103">
    <w:name w:val="附录图标题"/>
    <w:basedOn w:val="1"/>
    <w:next w:val="26"/>
    <w:autoRedefine/>
    <w:qFormat/>
    <w:uiPriority w:val="0"/>
    <w:pPr>
      <w:numPr>
        <w:ilvl w:val="1"/>
        <w:numId w:val="13"/>
      </w:numPr>
      <w:tabs>
        <w:tab w:val="left" w:pos="363"/>
      </w:tabs>
      <w:spacing w:beforeLines="50" w:afterLines="50"/>
      <w:ind w:left="0" w:firstLine="0"/>
      <w:jc w:val="center"/>
    </w:pPr>
    <w:rPr>
      <w:rFonts w:ascii="黑体" w:eastAsia="黑体"/>
      <w:szCs w:val="21"/>
    </w:rPr>
  </w:style>
  <w:style w:type="paragraph" w:customStyle="1" w:styleId="104">
    <w:name w:val="附录五级条标题"/>
    <w:basedOn w:val="100"/>
    <w:next w:val="26"/>
    <w:autoRedefine/>
    <w:qFormat/>
    <w:uiPriority w:val="0"/>
    <w:pPr>
      <w:outlineLvl w:val="6"/>
    </w:pPr>
  </w:style>
  <w:style w:type="paragraph" w:customStyle="1" w:styleId="105">
    <w:name w:val="附录五级无"/>
    <w:basedOn w:val="104"/>
    <w:autoRedefine/>
    <w:qFormat/>
    <w:uiPriority w:val="0"/>
    <w:pPr>
      <w:tabs>
        <w:tab w:val="clear" w:pos="360"/>
      </w:tabs>
      <w:spacing w:beforeLines="0" w:afterLines="0"/>
    </w:pPr>
    <w:rPr>
      <w:rFonts w:ascii="宋体" w:eastAsia="宋体"/>
      <w:szCs w:val="21"/>
    </w:rPr>
  </w:style>
  <w:style w:type="paragraph" w:customStyle="1" w:styleId="106">
    <w:name w:val="附录章标题"/>
    <w:next w:val="26"/>
    <w:autoRedefine/>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7">
    <w:name w:val="附录一级条标题"/>
    <w:basedOn w:val="106"/>
    <w:next w:val="26"/>
    <w:autoRedefine/>
    <w:qFormat/>
    <w:uiPriority w:val="0"/>
    <w:pPr>
      <w:autoSpaceDN w:val="0"/>
      <w:spacing w:beforeLines="50" w:afterLines="50"/>
      <w:outlineLvl w:val="2"/>
    </w:pPr>
  </w:style>
  <w:style w:type="paragraph" w:customStyle="1" w:styleId="108">
    <w:name w:val="附录一级无"/>
    <w:basedOn w:val="107"/>
    <w:autoRedefine/>
    <w:qFormat/>
    <w:uiPriority w:val="0"/>
    <w:pPr>
      <w:tabs>
        <w:tab w:val="clear" w:pos="360"/>
      </w:tabs>
      <w:spacing w:beforeLines="0" w:afterLines="0"/>
    </w:pPr>
    <w:rPr>
      <w:rFonts w:ascii="宋体" w:eastAsia="宋体"/>
      <w:szCs w:val="21"/>
    </w:rPr>
  </w:style>
  <w:style w:type="paragraph" w:customStyle="1" w:styleId="109">
    <w:name w:val="附录字母编号列项（一级）"/>
    <w:autoRedefine/>
    <w:qFormat/>
    <w:uiPriority w:val="0"/>
    <w:pPr>
      <w:numPr>
        <w:ilvl w:val="0"/>
        <w:numId w:val="12"/>
      </w:numPr>
    </w:pPr>
    <w:rPr>
      <w:rFonts w:ascii="宋体" w:hAnsi="Times New Roman" w:eastAsia="宋体" w:cs="Times New Roman"/>
      <w:sz w:val="21"/>
      <w:lang w:val="en-US" w:eastAsia="zh-CN" w:bidi="ar-SA"/>
    </w:rPr>
  </w:style>
  <w:style w:type="paragraph" w:customStyle="1" w:styleId="110">
    <w:name w:val="列项说明"/>
    <w:basedOn w:val="1"/>
    <w:autoRedefine/>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11">
    <w:name w:val="列项说明数字编号"/>
    <w:autoRedefine/>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2">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13">
    <w:name w:val="其他标准标志"/>
    <w:basedOn w:val="70"/>
    <w:autoRedefine/>
    <w:qFormat/>
    <w:uiPriority w:val="0"/>
    <w:pPr>
      <w:framePr w:w="6101" w:wrap="around" w:vAnchor="page" w:hAnchor="page" w:x="4673" w:y="942"/>
    </w:pPr>
    <w:rPr>
      <w:w w:val="130"/>
    </w:rPr>
  </w:style>
  <w:style w:type="paragraph" w:customStyle="1" w:styleId="114">
    <w:name w:val="其他标准称谓"/>
    <w:next w:val="1"/>
    <w:autoRedefine/>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5">
    <w:name w:val="其他发布部门"/>
    <w:basedOn w:val="78"/>
    <w:autoRedefine/>
    <w:qFormat/>
    <w:uiPriority w:val="0"/>
    <w:pPr>
      <w:framePr w:wrap="around" w:y="15310"/>
      <w:spacing w:line="0" w:lineRule="atLeast"/>
    </w:pPr>
    <w:rPr>
      <w:rFonts w:ascii="黑体" w:eastAsia="黑体"/>
      <w:b w:val="0"/>
    </w:rPr>
  </w:style>
  <w:style w:type="paragraph" w:customStyle="1" w:styleId="116">
    <w:name w:val="前言、引言标题"/>
    <w:next w:val="26"/>
    <w:autoRedefine/>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7">
    <w:name w:val="三级无标题条"/>
    <w:basedOn w:val="55"/>
    <w:autoRedefine/>
    <w:qFormat/>
    <w:uiPriority w:val="0"/>
    <w:pPr>
      <w:spacing w:beforeLines="0" w:afterLines="0"/>
    </w:pPr>
    <w:rPr>
      <w:rFonts w:eastAsiaTheme="minorEastAsia"/>
    </w:rPr>
  </w:style>
  <w:style w:type="paragraph" w:customStyle="1" w:styleId="118">
    <w:name w:val="实施日期"/>
    <w:basedOn w:val="79"/>
    <w:autoRedefine/>
    <w:qFormat/>
    <w:uiPriority w:val="0"/>
    <w:pPr>
      <w:framePr w:wrap="around" w:vAnchor="page" w:hAnchor="text"/>
      <w:jc w:val="right"/>
    </w:pPr>
  </w:style>
  <w:style w:type="paragraph" w:customStyle="1" w:styleId="119">
    <w:name w:val="示例后文字"/>
    <w:basedOn w:val="26"/>
    <w:next w:val="26"/>
    <w:autoRedefine/>
    <w:qFormat/>
    <w:uiPriority w:val="0"/>
    <w:pPr>
      <w:ind w:firstLine="360"/>
    </w:pPr>
    <w:rPr>
      <w:sz w:val="18"/>
    </w:rPr>
  </w:style>
  <w:style w:type="paragraph" w:customStyle="1" w:styleId="120">
    <w:name w:val="首示例"/>
    <w:next w:val="26"/>
    <w:link w:val="121"/>
    <w:autoRedefine/>
    <w:qFormat/>
    <w:uiPriority w:val="0"/>
    <w:pPr>
      <w:numPr>
        <w:ilvl w:val="0"/>
        <w:numId w:val="14"/>
      </w:numPr>
      <w:tabs>
        <w:tab w:val="left" w:pos="360"/>
      </w:tabs>
      <w:ind w:firstLine="0"/>
    </w:pPr>
    <w:rPr>
      <w:rFonts w:ascii="宋体" w:hAnsi="宋体" w:eastAsia="宋体" w:cs="Times New Roman"/>
      <w:kern w:val="2"/>
      <w:sz w:val="18"/>
      <w:szCs w:val="18"/>
      <w:lang w:val="en-US" w:eastAsia="zh-CN" w:bidi="ar-SA"/>
    </w:rPr>
  </w:style>
  <w:style w:type="character" w:customStyle="1" w:styleId="121">
    <w:name w:val="首示例 Char"/>
    <w:link w:val="120"/>
    <w:autoRedefine/>
    <w:qFormat/>
    <w:uiPriority w:val="0"/>
    <w:rPr>
      <w:rFonts w:ascii="宋体" w:hAnsi="宋体"/>
      <w:kern w:val="2"/>
      <w:sz w:val="18"/>
      <w:szCs w:val="18"/>
    </w:rPr>
  </w:style>
  <w:style w:type="paragraph" w:customStyle="1" w:styleId="122">
    <w:name w:val="四级无"/>
    <w:basedOn w:val="59"/>
    <w:autoRedefine/>
    <w:qFormat/>
    <w:uiPriority w:val="0"/>
    <w:pPr>
      <w:numPr>
        <w:numId w:val="15"/>
      </w:numPr>
      <w:spacing w:beforeLines="0" w:afterLines="0"/>
    </w:pPr>
    <w:rPr>
      <w:rFonts w:ascii="宋体" w:eastAsia="宋体"/>
    </w:rPr>
  </w:style>
  <w:style w:type="paragraph" w:customStyle="1" w:styleId="123">
    <w:name w:val="条文脚注"/>
    <w:basedOn w:val="27"/>
    <w:autoRedefine/>
    <w:qFormat/>
    <w:uiPriority w:val="0"/>
    <w:pPr>
      <w:numPr>
        <w:numId w:val="0"/>
      </w:numPr>
      <w:jc w:val="both"/>
    </w:pPr>
  </w:style>
  <w:style w:type="paragraph" w:customStyle="1" w:styleId="124">
    <w:name w:val="图标脚注说明"/>
    <w:basedOn w:val="26"/>
    <w:autoRedefine/>
    <w:qFormat/>
    <w:uiPriority w:val="0"/>
    <w:pPr>
      <w:ind w:left="840" w:hanging="420" w:firstLineChars="0"/>
    </w:pPr>
    <w:rPr>
      <w:sz w:val="18"/>
      <w:szCs w:val="18"/>
    </w:rPr>
  </w:style>
  <w:style w:type="paragraph" w:customStyle="1" w:styleId="125">
    <w:name w:val="图表脚注说明"/>
    <w:basedOn w:val="1"/>
    <w:autoRedefine/>
    <w:qFormat/>
    <w:uiPriority w:val="0"/>
    <w:pPr>
      <w:numPr>
        <w:ilvl w:val="0"/>
        <w:numId w:val="16"/>
      </w:numPr>
    </w:pPr>
    <w:rPr>
      <w:rFonts w:ascii="宋体"/>
      <w:sz w:val="18"/>
      <w:szCs w:val="18"/>
    </w:rPr>
  </w:style>
  <w:style w:type="paragraph" w:customStyle="1" w:styleId="126">
    <w:name w:val="图的脚注"/>
    <w:next w:val="26"/>
    <w:autoRedefine/>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7">
    <w:name w:val="文献分类号"/>
    <w:autoRedefine/>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8">
    <w:name w:val="五级无"/>
    <w:basedOn w:val="60"/>
    <w:autoRedefine/>
    <w:qFormat/>
    <w:uiPriority w:val="0"/>
    <w:pPr>
      <w:numPr>
        <w:numId w:val="15"/>
      </w:numPr>
      <w:spacing w:beforeLines="0" w:afterLines="0"/>
    </w:pPr>
    <w:rPr>
      <w:rFonts w:ascii="宋体" w:eastAsia="宋体"/>
    </w:rPr>
  </w:style>
  <w:style w:type="paragraph" w:customStyle="1" w:styleId="129">
    <w:name w:val="四级无标题条"/>
    <w:basedOn w:val="59"/>
    <w:autoRedefine/>
    <w:qFormat/>
    <w:uiPriority w:val="0"/>
    <w:pPr>
      <w:spacing w:beforeLines="0" w:afterLines="0"/>
    </w:pPr>
    <w:rPr>
      <w:rFonts w:eastAsiaTheme="minorEastAsia"/>
    </w:rPr>
  </w:style>
  <w:style w:type="character" w:customStyle="1" w:styleId="130">
    <w:name w:val="已访问的超链接1"/>
    <w:autoRedefine/>
    <w:qFormat/>
    <w:uiPriority w:val="0"/>
    <w:rPr>
      <w:color w:val="800080"/>
      <w:u w:val="single"/>
    </w:rPr>
  </w:style>
  <w:style w:type="paragraph" w:customStyle="1" w:styleId="131">
    <w:name w:val="正文表标题"/>
    <w:next w:val="26"/>
    <w:autoRedefine/>
    <w:qFormat/>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2">
    <w:name w:val="正文公式编号制表符"/>
    <w:basedOn w:val="26"/>
    <w:next w:val="26"/>
    <w:autoRedefine/>
    <w:qFormat/>
    <w:uiPriority w:val="0"/>
    <w:pPr>
      <w:ind w:firstLine="0" w:firstLineChars="0"/>
    </w:pPr>
  </w:style>
  <w:style w:type="paragraph" w:customStyle="1" w:styleId="133">
    <w:name w:val="正文图标题"/>
    <w:next w:val="26"/>
    <w:autoRedefine/>
    <w:qFormat/>
    <w:uiPriority w:val="0"/>
    <w:pPr>
      <w:numPr>
        <w:ilvl w:val="0"/>
        <w:numId w:val="18"/>
      </w:numPr>
      <w:spacing w:beforeLines="50" w:afterLines="50"/>
      <w:jc w:val="center"/>
    </w:pPr>
    <w:rPr>
      <w:rFonts w:ascii="黑体" w:hAnsi="Times New Roman" w:eastAsia="黑体" w:cs="Times New Roman"/>
      <w:sz w:val="21"/>
      <w:lang w:val="en-US" w:eastAsia="zh-CN" w:bidi="ar-SA"/>
    </w:rPr>
  </w:style>
  <w:style w:type="paragraph" w:customStyle="1" w:styleId="134">
    <w:name w:val="终结线"/>
    <w:basedOn w:val="1"/>
    <w:autoRedefine/>
    <w:qFormat/>
    <w:uiPriority w:val="0"/>
    <w:pPr>
      <w:framePr w:hSpace="181" w:vSpace="181" w:wrap="around" w:vAnchor="text" w:hAnchor="margin" w:xAlign="center" w:y="285"/>
    </w:pPr>
  </w:style>
  <w:style w:type="paragraph" w:customStyle="1" w:styleId="135">
    <w:name w:val="其他发布日期"/>
    <w:basedOn w:val="79"/>
    <w:autoRedefine/>
    <w:qFormat/>
    <w:uiPriority w:val="0"/>
    <w:pPr>
      <w:framePr w:wrap="around" w:vAnchor="page" w:hAnchor="text" w:x="1419"/>
    </w:pPr>
  </w:style>
  <w:style w:type="paragraph" w:customStyle="1" w:styleId="136">
    <w:name w:val="其他实施日期"/>
    <w:basedOn w:val="118"/>
    <w:autoRedefine/>
    <w:qFormat/>
    <w:uiPriority w:val="0"/>
    <w:pPr>
      <w:framePr w:wrap="around"/>
    </w:pPr>
  </w:style>
  <w:style w:type="paragraph" w:customStyle="1" w:styleId="137">
    <w:name w:val="封面标准名称2"/>
    <w:basedOn w:val="82"/>
    <w:autoRedefine/>
    <w:qFormat/>
    <w:uiPriority w:val="0"/>
    <w:pPr>
      <w:framePr w:wrap="around" w:y="4469"/>
      <w:spacing w:beforeLines="630"/>
    </w:pPr>
  </w:style>
  <w:style w:type="paragraph" w:customStyle="1" w:styleId="138">
    <w:name w:val="封面标准英文名称2"/>
    <w:basedOn w:val="83"/>
    <w:autoRedefine/>
    <w:qFormat/>
    <w:uiPriority w:val="0"/>
    <w:pPr>
      <w:framePr w:wrap="around" w:y="4469"/>
    </w:pPr>
  </w:style>
  <w:style w:type="paragraph" w:customStyle="1" w:styleId="139">
    <w:name w:val="封面一致性程度标识2"/>
    <w:basedOn w:val="84"/>
    <w:autoRedefine/>
    <w:qFormat/>
    <w:uiPriority w:val="0"/>
    <w:pPr>
      <w:framePr w:wrap="around" w:y="4469"/>
    </w:pPr>
  </w:style>
  <w:style w:type="paragraph" w:customStyle="1" w:styleId="140">
    <w:name w:val="封面标准文稿类别2"/>
    <w:basedOn w:val="85"/>
    <w:autoRedefine/>
    <w:qFormat/>
    <w:uiPriority w:val="0"/>
    <w:pPr>
      <w:framePr w:wrap="around" w:y="4469"/>
    </w:pPr>
  </w:style>
  <w:style w:type="paragraph" w:customStyle="1" w:styleId="141">
    <w:name w:val="封面标准文稿编辑信息2"/>
    <w:basedOn w:val="86"/>
    <w:autoRedefine/>
    <w:qFormat/>
    <w:uiPriority w:val="0"/>
    <w:pPr>
      <w:framePr w:wrap="around" w:y="4469"/>
    </w:pPr>
  </w:style>
  <w:style w:type="paragraph" w:customStyle="1" w:styleId="142">
    <w:name w:val="列出段落1"/>
    <w:basedOn w:val="1"/>
    <w:autoRedefine/>
    <w:qFormat/>
    <w:uiPriority w:val="34"/>
    <w:pPr>
      <w:ind w:firstLine="420" w:firstLineChars="200"/>
    </w:pPr>
    <w:rPr>
      <w:rFonts w:ascii="Calibri" w:hAnsi="Calibri"/>
      <w:sz w:val="28"/>
      <w:szCs w:val="22"/>
    </w:rPr>
  </w:style>
  <w:style w:type="character" w:customStyle="1" w:styleId="143">
    <w:name w:val="标题 2 Char"/>
    <w:link w:val="3"/>
    <w:autoRedefine/>
    <w:qFormat/>
    <w:uiPriority w:val="9"/>
    <w:rPr>
      <w:rFonts w:ascii="Cambria" w:hAnsi="Cambria" w:eastAsia="宋体" w:cs="Times New Roman"/>
      <w:b/>
      <w:bCs/>
      <w:kern w:val="2"/>
      <w:sz w:val="32"/>
      <w:szCs w:val="32"/>
    </w:rPr>
  </w:style>
  <w:style w:type="character" w:customStyle="1" w:styleId="144">
    <w:name w:val="标题 3 Char"/>
    <w:link w:val="4"/>
    <w:autoRedefine/>
    <w:qFormat/>
    <w:uiPriority w:val="9"/>
    <w:rPr>
      <w:rFonts w:ascii="Calibri" w:hAnsi="Calibri" w:eastAsia="宋体" w:cs="Times New Roman"/>
      <w:b/>
      <w:bCs/>
      <w:kern w:val="2"/>
      <w:sz w:val="32"/>
      <w:szCs w:val="32"/>
    </w:rPr>
  </w:style>
  <w:style w:type="character" w:customStyle="1" w:styleId="145">
    <w:name w:val="批注框文本 Char"/>
    <w:link w:val="19"/>
    <w:autoRedefine/>
    <w:qFormat/>
    <w:uiPriority w:val="0"/>
    <w:rPr>
      <w:kern w:val="2"/>
      <w:sz w:val="18"/>
      <w:szCs w:val="18"/>
    </w:rPr>
  </w:style>
  <w:style w:type="character" w:customStyle="1" w:styleId="146">
    <w:name w:val="标题 1 Char"/>
    <w:link w:val="2"/>
    <w:autoRedefine/>
    <w:qFormat/>
    <w:uiPriority w:val="0"/>
    <w:rPr>
      <w:b/>
      <w:bCs/>
      <w:kern w:val="44"/>
      <w:sz w:val="44"/>
      <w:szCs w:val="44"/>
    </w:rPr>
  </w:style>
  <w:style w:type="paragraph" w:customStyle="1" w:styleId="147">
    <w:name w:val="TOC 标题1"/>
    <w:basedOn w:val="2"/>
    <w:next w:val="1"/>
    <w:autoRedefine/>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48">
    <w:name w:val="修订1"/>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149">
    <w:name w:val="一级无标题条"/>
    <w:basedOn w:val="46"/>
    <w:autoRedefine/>
    <w:qFormat/>
    <w:uiPriority w:val="0"/>
    <w:pPr>
      <w:spacing w:beforeLines="0" w:afterLines="0"/>
    </w:pPr>
    <w:rPr>
      <w:rFonts w:asciiTheme="majorEastAsia" w:hAnsiTheme="majorEastAsia" w:eastAsiaTheme="majorEastAsia"/>
    </w:rPr>
  </w:style>
  <w:style w:type="paragraph" w:customStyle="1" w:styleId="150">
    <w:name w:val="二级无标题条"/>
    <w:basedOn w:val="50"/>
    <w:autoRedefine/>
    <w:qFormat/>
    <w:uiPriority w:val="0"/>
    <w:pPr>
      <w:spacing w:beforeLines="0" w:afterLines="0"/>
    </w:pPr>
    <w:rPr>
      <w:rFonts w:asciiTheme="minorEastAsia" w:hAnsiTheme="minorEastAsia" w:eastAsiaTheme="minorEastAsia"/>
    </w:rPr>
  </w:style>
  <w:style w:type="paragraph" w:customStyle="1" w:styleId="151">
    <w:name w:val="术语"/>
    <w:basedOn w:val="26"/>
    <w:next w:val="26"/>
    <w:autoRedefine/>
    <w:qFormat/>
    <w:uiPriority w:val="0"/>
    <w:rPr>
      <w:rFonts w:ascii="黑体" w:hAnsi="黑体" w:eastAsia="黑体"/>
      <w:color w:val="000000" w:themeColor="text1"/>
      <w14:textFill>
        <w14:solidFill>
          <w14:schemeClr w14:val="tx1"/>
        </w14:solidFill>
      </w14:textFill>
    </w:rPr>
  </w:style>
  <w:style w:type="paragraph" w:customStyle="1" w:styleId="152">
    <w:name w:val="参考文献正文"/>
    <w:basedOn w:val="26"/>
    <w:autoRedefine/>
    <w:qFormat/>
    <w:uiPriority w:val="0"/>
    <w:pPr>
      <w:numPr>
        <w:ilvl w:val="1"/>
        <w:numId w:val="19"/>
      </w:numPr>
      <w:tabs>
        <w:tab w:val="clear" w:pos="4201"/>
        <w:tab w:val="clear" w:pos="9298"/>
      </w:tabs>
      <w:ind w:left="0" w:firstLine="420"/>
      <w:jc w:val="left"/>
    </w:pPr>
  </w:style>
  <w:style w:type="character" w:customStyle="1" w:styleId="153">
    <w:name w:val="正文文本缩进 Char"/>
    <w:basedOn w:val="38"/>
    <w:link w:val="12"/>
    <w:autoRedefine/>
    <w:semiHidden/>
    <w:qFormat/>
    <w:uiPriority w:val="0"/>
    <w:rPr>
      <w:kern w:val="2"/>
      <w:sz w:val="21"/>
      <w:szCs w:val="24"/>
    </w:rPr>
  </w:style>
  <w:style w:type="character" w:customStyle="1" w:styleId="154">
    <w:name w:val="正文首行缩进 2 Char"/>
    <w:basedOn w:val="153"/>
    <w:link w:val="35"/>
    <w:autoRedefine/>
    <w:qFormat/>
    <w:uiPriority w:val="99"/>
    <w:rPr>
      <w:kern w:val="2"/>
      <w:sz w:val="21"/>
      <w:szCs w:val="24"/>
    </w:rPr>
  </w:style>
  <w:style w:type="table" w:customStyle="1" w:styleId="155">
    <w:name w:val="Table Normal"/>
    <w:autoRedefine/>
    <w:unhideWhenUsed/>
    <w:qFormat/>
    <w:uiPriority w:val="0"/>
    <w:tblPr>
      <w:tblCellMar>
        <w:top w:w="0" w:type="dxa"/>
        <w:left w:w="0" w:type="dxa"/>
        <w:bottom w:w="0" w:type="dxa"/>
        <w:right w:w="0" w:type="dxa"/>
      </w:tblCellMar>
    </w:tblPr>
  </w:style>
  <w:style w:type="paragraph" w:customStyle="1" w:styleId="156">
    <w:name w:val="Body text|2"/>
    <w:basedOn w:val="1"/>
    <w:autoRedefine/>
    <w:qFormat/>
    <w:uiPriority w:val="0"/>
    <w:pPr>
      <w:widowControl/>
      <w:spacing w:after="160" w:line="334" w:lineRule="auto"/>
      <w:ind w:firstLine="200"/>
      <w:jc w:val="left"/>
    </w:pPr>
    <w:rPr>
      <w:rFonts w:asciiTheme="minorHAnsi" w:hAnsiTheme="minorHAnsi" w:eastAsiaTheme="minorEastAsia" w:cstheme="minorBidi"/>
      <w:b/>
      <w:bCs/>
      <w:kern w:val="0"/>
      <w:sz w:val="19"/>
      <w:szCs w:val="19"/>
    </w:rPr>
  </w:style>
  <w:style w:type="paragraph" w:customStyle="1" w:styleId="157">
    <w:name w:val="正文文本1"/>
    <w:basedOn w:val="1"/>
    <w:link w:val="158"/>
    <w:autoRedefine/>
    <w:qFormat/>
    <w:uiPriority w:val="0"/>
    <w:pPr>
      <w:widowControl/>
      <w:spacing w:after="160" w:line="338" w:lineRule="auto"/>
      <w:ind w:firstLine="400"/>
      <w:jc w:val="left"/>
    </w:pPr>
    <w:rPr>
      <w:rFonts w:ascii="宋体" w:hAnsi="宋体" w:cs="宋体" w:eastAsiaTheme="minorEastAsia"/>
      <w:color w:val="000000"/>
      <w:kern w:val="0"/>
      <w:sz w:val="20"/>
      <w:szCs w:val="20"/>
      <w:lang w:eastAsia="en-US" w:bidi="en-US"/>
    </w:rPr>
  </w:style>
  <w:style w:type="character" w:customStyle="1" w:styleId="158">
    <w:name w:val="正文文本_"/>
    <w:basedOn w:val="38"/>
    <w:link w:val="157"/>
    <w:autoRedefine/>
    <w:qFormat/>
    <w:uiPriority w:val="0"/>
    <w:rPr>
      <w:rFonts w:ascii="宋体" w:hAnsi="宋体" w:cs="宋体" w:eastAsiaTheme="minorEastAsia"/>
      <w:color w:val="000000"/>
      <w:lang w:eastAsia="en-US" w:bidi="en-US"/>
    </w:rPr>
  </w:style>
  <w:style w:type="character" w:customStyle="1" w:styleId="159">
    <w:name w:val="标题 4 Char"/>
    <w:basedOn w:val="38"/>
    <w:link w:val="5"/>
    <w:autoRedefine/>
    <w:qFormat/>
    <w:uiPriority w:val="9"/>
    <w:rPr>
      <w:rFonts w:asciiTheme="majorHAnsi" w:hAnsiTheme="majorHAnsi" w:eastAsiaTheme="majorEastAsia" w:cstheme="majorBidi"/>
      <w:b/>
      <w:bCs/>
      <w:kern w:val="2"/>
      <w:sz w:val="28"/>
      <w:szCs w:val="28"/>
    </w:rPr>
  </w:style>
  <w:style w:type="character" w:customStyle="1" w:styleId="160">
    <w:name w:val="其他_"/>
    <w:basedOn w:val="38"/>
    <w:link w:val="161"/>
    <w:autoRedefine/>
    <w:qFormat/>
    <w:uiPriority w:val="0"/>
    <w:rPr>
      <w:rFonts w:ascii="宋体" w:hAnsi="宋体" w:cs="宋体"/>
    </w:rPr>
  </w:style>
  <w:style w:type="paragraph" w:customStyle="1" w:styleId="161">
    <w:name w:val="其他"/>
    <w:basedOn w:val="1"/>
    <w:link w:val="160"/>
    <w:autoRedefine/>
    <w:qFormat/>
    <w:uiPriority w:val="0"/>
    <w:pPr>
      <w:widowControl/>
      <w:spacing w:after="160" w:line="338" w:lineRule="auto"/>
      <w:ind w:firstLine="400"/>
      <w:jc w:val="left"/>
    </w:pPr>
    <w:rPr>
      <w:rFonts w:ascii="宋体" w:hAnsi="宋体" w:cs="宋体"/>
      <w:kern w:val="0"/>
      <w:sz w:val="20"/>
      <w:szCs w:val="20"/>
    </w:rPr>
  </w:style>
  <w:style w:type="character" w:customStyle="1" w:styleId="162">
    <w:name w:val="页眉 Char"/>
    <w:basedOn w:val="38"/>
    <w:link w:val="21"/>
    <w:autoRedefine/>
    <w:qFormat/>
    <w:uiPriority w:val="99"/>
    <w:rPr>
      <w:kern w:val="2"/>
      <w:sz w:val="18"/>
      <w:szCs w:val="18"/>
    </w:rPr>
  </w:style>
  <w:style w:type="character" w:customStyle="1" w:styleId="163">
    <w:name w:val="页脚 Char"/>
    <w:basedOn w:val="38"/>
    <w:link w:val="20"/>
    <w:autoRedefine/>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Y\Documents\&#33258;&#23450;&#20041;%20Office%20&#27169;&#26495;\&#27827;&#21271;&#30465;&#22320;&#26041;&#26631;&#20934;&#65288;2020&#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93E08C-DF49-4B3A-B7EF-655D330E2943}">
  <ds:schemaRefs/>
</ds:datastoreItem>
</file>

<file path=docProps/app.xml><?xml version="1.0" encoding="utf-8"?>
<Properties xmlns="http://schemas.openxmlformats.org/officeDocument/2006/extended-properties" xmlns:vt="http://schemas.openxmlformats.org/officeDocument/2006/docPropsVTypes">
  <Template>河北省地方标准（2020）</Template>
  <Company>zle</Company>
  <Pages>16</Pages>
  <Words>2263</Words>
  <Characters>12903</Characters>
  <Lines>107</Lines>
  <Paragraphs>30</Paragraphs>
  <TotalTime>23</TotalTime>
  <ScaleCrop>false</ScaleCrop>
  <LinksUpToDate>false</LinksUpToDate>
  <CharactersWithSpaces>15136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2023-12-07T08:36:00Z</dcterms:created>
  <dc:creator>董世涛</dc:creator>
  <cp:lastModifiedBy>霍学平</cp:lastModifiedBy>
  <cp:lastPrinted>2023-04-27T00:43:00Z</cp:lastPrinted>
  <dcterms:modified xsi:type="dcterms:W3CDTF">2024-04-28T14:57:31Z</dcterms:modified>
  <dc:title>标准名称</dc:title>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0784BA8967FD4A688D120A79DA9B87A9_13</vt:lpwstr>
  </property>
</Properties>
</file>