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7"/>
        <w:framePr w:wrap="around"/>
        <w:rPr>
          <w:rFonts w:ascii="Times New Roman"/>
        </w:rPr>
      </w:pPr>
      <w:bookmarkStart w:id="0" w:name="WXFLH"/>
      <w:r>
        <w:rPr>
          <w:rFonts w:ascii="Times New Roman"/>
        </w:rPr>
        <w:t xml:space="preserve">ICS 03.100.01 </w:t>
      </w:r>
    </w:p>
    <w:p>
      <w:pPr>
        <w:pStyle w:val="127"/>
        <w:framePr w:wrap="around"/>
        <w:rPr>
          <w:rFonts w:ascii="Times New Roman"/>
        </w:rPr>
      </w:pPr>
      <w:r>
        <w:rPr>
          <w:rFonts w:ascii="Times New Roman"/>
        </w:rPr>
        <w:t>A 02</w:t>
      </w:r>
      <w:bookmarkEnd w:id="0"/>
      <w:r>
        <w:rPr>
          <w:rFonts w:ascii="Times New Roman"/>
        </w:rPr>
        <w:t xml:space="preserve"> </w:t>
      </w:r>
    </w:p>
    <w:p>
      <w:pPr>
        <w:pStyle w:val="127"/>
        <w:framePr w:wrap="around"/>
        <w:rPr>
          <w:rFonts w:ascii="Times New Roman"/>
        </w:rPr>
      </w:pPr>
    </w:p>
    <w:p>
      <w:pPr>
        <w:pStyle w:val="113"/>
        <w:framePr w:wrap="around"/>
        <w:rPr>
          <w:sz w:val="21"/>
          <w:szCs w:val="21"/>
        </w:rPr>
      </w:pPr>
      <w:r>
        <w:rPr>
          <w:sz w:val="21"/>
          <w:szCs w:val="21"/>
        </w:rPr>
        <w:t>DB</w:t>
      </w:r>
      <w:bookmarkStart w:id="1" w:name="c3"/>
      <w:r>
        <w:rPr>
          <w:sz w:val="21"/>
          <w:szCs w:val="21"/>
        </w:rPr>
        <w:t>13</w:t>
      </w:r>
      <w:bookmarkEnd w:id="1"/>
    </w:p>
    <w:p>
      <w:pPr>
        <w:pStyle w:val="114"/>
        <w:framePr w:wrap="around"/>
        <w:rPr>
          <w:rFonts w:ascii="Times New Roman" w:hAnsi="Times New Roman"/>
          <w:szCs w:val="48"/>
        </w:rPr>
      </w:pPr>
      <w:bookmarkStart w:id="2" w:name="c4"/>
      <w:r>
        <w:rPr>
          <w:rFonts w:ascii="Times New Roman" w:hAnsi="Times New Roman"/>
          <w:szCs w:val="48"/>
        </w:rPr>
        <w:t>河北省</w:t>
      </w:r>
      <w:bookmarkEnd w:id="2"/>
      <w:r>
        <w:rPr>
          <w:rFonts w:ascii="Times New Roman" w:hAnsi="Times New Roman"/>
          <w:szCs w:val="48"/>
        </w:rPr>
        <w:t>地方标准</w:t>
      </w:r>
    </w:p>
    <w:p>
      <w:pPr>
        <w:pStyle w:val="51"/>
        <w:framePr w:wrap="around"/>
        <w:rPr>
          <w:rFonts w:ascii="Times New Roman"/>
        </w:rPr>
      </w:pPr>
      <w:r>
        <w:rPr>
          <w:rFonts w:ascii="Times New Roman"/>
        </w:rPr>
        <w:t xml:space="preserve">DB </w:t>
      </w:r>
      <w:bookmarkStart w:id="3" w:name="StdNo0"/>
      <w:r>
        <w:rPr>
          <w:rFonts w:ascii="Times New Roman"/>
        </w:rPr>
        <w:fldChar w:fldCharType="begin">
          <w:ffData>
            <w:name w:val="StdNo0"/>
            <w:enabled/>
            <w:calcOnExit w:val="0"/>
            <w:textInput>
              <w:default w:val="XX"/>
              <w:maxLength w:val="2"/>
            </w:textInput>
          </w:ffData>
        </w:fldChar>
      </w:r>
      <w:r>
        <w:rPr>
          <w:rFonts w:ascii="Times New Roman"/>
        </w:rPr>
        <w:instrText xml:space="preserve"> FORMTEXT </w:instrText>
      </w:r>
      <w:r>
        <w:rPr>
          <w:rFonts w:ascii="Times New Roman"/>
        </w:rPr>
        <w:fldChar w:fldCharType="separate"/>
      </w:r>
      <w:r>
        <w:rPr>
          <w:rFonts w:ascii="Times New Roman"/>
        </w:rPr>
        <w:t>XX</w:t>
      </w:r>
      <w:r>
        <w:rPr>
          <w:rFonts w:ascii="Times New Roman"/>
        </w:rPr>
        <w:fldChar w:fldCharType="end"/>
      </w:r>
      <w:bookmarkEnd w:id="3"/>
      <w:r>
        <w:rPr>
          <w:rFonts w:ascii="Times New Roman"/>
        </w:rPr>
        <w:t xml:space="preserve">/T </w:t>
      </w:r>
      <w:r>
        <w:rPr>
          <w:rFonts w:ascii="Times New Roman"/>
        </w:rPr>
        <w:fldChar w:fldCharType="begin">
          <w:ffData>
            <w:name w:val="StdNo1"/>
            <w:enabled/>
            <w:calcOnExit w:val="0"/>
            <w:textInput>
              <w:default w:val="XXXX"/>
            </w:textInput>
          </w:ffData>
        </w:fldChar>
      </w:r>
      <w:bookmarkStart w:id="4" w:name="StdNo1"/>
      <w:r>
        <w:rPr>
          <w:rFonts w:ascii="Times New Roman"/>
        </w:rPr>
        <w:instrText xml:space="preserve"> FORMTEXT </w:instrText>
      </w:r>
      <w:r>
        <w:rPr>
          <w:rFonts w:ascii="Times New Roman"/>
        </w:rPr>
        <w:fldChar w:fldCharType="separate"/>
      </w:r>
      <w:r>
        <w:rPr>
          <w:rFonts w:ascii="Times New Roman"/>
        </w:rPr>
        <w:t>XXXX</w:t>
      </w:r>
      <w:r>
        <w:rPr>
          <w:rFonts w:ascii="Times New Roman"/>
        </w:rPr>
        <w:fldChar w:fldCharType="end"/>
      </w:r>
      <w:bookmarkEnd w:id="4"/>
      <w:r>
        <w:rPr>
          <w:rFonts w:ascii="Times New Roman"/>
        </w:rPr>
        <w:t>—</w:t>
      </w:r>
      <w:bookmarkStart w:id="5" w:name="StdNo2"/>
      <w:r>
        <w:rPr>
          <w:rFonts w:ascii="Times New Roman"/>
        </w:rPr>
        <w:fldChar w:fldCharType="begin">
          <w:ffData>
            <w:name w:val="StdNo2"/>
            <w:enabled/>
            <w:calcOnExit w:val="0"/>
            <w:textInput>
              <w:default w:val="XXXX"/>
              <w:maxLength w:val="4"/>
            </w:textInput>
          </w:ffData>
        </w:fldChar>
      </w:r>
      <w:r>
        <w:rPr>
          <w:rFonts w:ascii="Times New Roman"/>
        </w:rPr>
        <w:instrText xml:space="preserve"> FORMTEXT </w:instrText>
      </w:r>
      <w:r>
        <w:rPr>
          <w:rFonts w:ascii="Times New Roman"/>
        </w:rPr>
        <w:fldChar w:fldCharType="separate"/>
      </w:r>
      <w:r>
        <w:rPr>
          <w:rFonts w:ascii="Times New Roman"/>
        </w:rPr>
        <w:t>XXXX</w:t>
      </w:r>
      <w:r>
        <w:rPr>
          <w:rFonts w:ascii="Times New Roman"/>
        </w:rPr>
        <w:fldChar w:fldCharType="end"/>
      </w:r>
      <w:bookmarkEnd w:id="5"/>
    </w:p>
    <w:tbl>
      <w:tblPr>
        <w:tblStyle w:val="36"/>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140" w:type="dxa"/>
            <w:tcBorders>
              <w:top w:val="nil"/>
              <w:left w:val="nil"/>
              <w:bottom w:val="nil"/>
              <w:right w:val="nil"/>
            </w:tcBorders>
            <w:shd w:val="clear" w:color="auto" w:fill="auto"/>
          </w:tcPr>
          <w:p>
            <w:pPr>
              <w:pStyle w:val="80"/>
              <w:framePr w:wrap="around"/>
              <w:rPr>
                <w:rFonts w:ascii="Times New Roman"/>
                <w:sz w:val="28"/>
                <w:szCs w:val="28"/>
              </w:rPr>
            </w:pPr>
            <w:bookmarkStart w:id="6" w:name="DT"/>
            <w:r>
              <w:rPr>
                <w:rFonts w:ascii="Times New Roman"/>
                <w:sz w:val="28"/>
                <w:szCs w:val="28"/>
              </w:rP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6192;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UYaFdcAAAAIAQAADwAAAAAAAAAB&#10;ACAAAAAiAAAAZHJzL2Rvd25yZXYueG1sUEsBAhQAFAAAAAgAh07iQLqGyZcRAgAAKwQAAA4AAAAA&#10;AAAAAQAgAAAAJgEAAGRycy9lMm9Eb2MueG1sUEsFBgAAAAAGAAYAWQEAAKkFAAAAAA==&#10;">
                      <v:fill on="t" focussize="0,0"/>
                      <v:stroke on="f"/>
                      <v:imagedata o:title=""/>
                      <o:lock v:ext="edit" aspectratio="f"/>
                      <v:textbox>
                        <w:txbxContent>
                          <w:p>
                            <w:pPr>
                              <w:jc w:val="center"/>
                            </w:pPr>
                          </w:p>
                        </w:txbxContent>
                      </v:textbox>
                    </v:rect>
                  </w:pict>
                </mc:Fallback>
              </mc:AlternateContent>
            </w:r>
            <w:r>
              <w:rPr>
                <w:rFonts w:ascii="Times New Roman"/>
                <w:sz w:val="28"/>
                <w:szCs w:val="28"/>
              </w:rPr>
              <w:fldChar w:fldCharType="begin">
                <w:ffData>
                  <w:name w:val="DT"/>
                  <w:enabled/>
                  <w:calcOnExit w:val="0"/>
                  <w:textInput/>
                </w:ffData>
              </w:fldChar>
            </w:r>
            <w:r>
              <w:rPr>
                <w:rFonts w:ascii="Times New Roman"/>
                <w:sz w:val="28"/>
                <w:szCs w:val="28"/>
              </w:rPr>
              <w:instrText xml:space="preserve"> FORMTEXT </w:instrText>
            </w:r>
            <w:r>
              <w:rPr>
                <w:rFonts w:ascii="Times New Roman"/>
                <w:sz w:val="28"/>
                <w:szCs w:val="28"/>
              </w:rPr>
              <w:fldChar w:fldCharType="separate"/>
            </w:r>
            <w:r>
              <w:rPr>
                <w:rFonts w:ascii="Times New Roman"/>
                <w:sz w:val="28"/>
                <w:szCs w:val="28"/>
              </w:rPr>
              <w:t>     </w:t>
            </w:r>
            <w:r>
              <w:rPr>
                <w:rFonts w:ascii="Times New Roman"/>
                <w:sz w:val="28"/>
                <w:szCs w:val="28"/>
              </w:rPr>
              <w:fldChar w:fldCharType="end"/>
            </w:r>
            <w:bookmarkEnd w:id="6"/>
          </w:p>
        </w:tc>
      </w:tr>
    </w:tbl>
    <w:p>
      <w:pPr>
        <w:pStyle w:val="51"/>
        <w:framePr w:wrap="around"/>
        <w:rPr>
          <w:rFonts w:ascii="Times New Roman"/>
          <w:sz w:val="21"/>
          <w:szCs w:val="21"/>
        </w:rPr>
      </w:pPr>
    </w:p>
    <w:p>
      <w:pPr>
        <w:pStyle w:val="51"/>
        <w:framePr w:wrap="around"/>
        <w:rPr>
          <w:rFonts w:ascii="Times New Roman"/>
          <w:sz w:val="21"/>
          <w:szCs w:val="21"/>
        </w:rPr>
      </w:pPr>
    </w:p>
    <w:p>
      <w:pPr>
        <w:pStyle w:val="82"/>
        <w:framePr w:wrap="around" w:y="6061"/>
        <w:rPr>
          <w:rFonts w:ascii="Times New Roman"/>
          <w:szCs w:val="52"/>
        </w:rPr>
      </w:pPr>
      <w:r>
        <w:rPr>
          <w:rFonts w:ascii="Times New Roman"/>
          <w:szCs w:val="52"/>
        </w:rPr>
        <w:t>河湖生态清淤工程勘察测量技术规程</w:t>
      </w:r>
    </w:p>
    <w:p>
      <w:pPr>
        <w:pStyle w:val="83"/>
        <w:framePr w:wrap="around" w:y="6061"/>
        <w:rPr>
          <w:sz w:val="21"/>
          <w:szCs w:val="21"/>
        </w:rPr>
      </w:pPr>
    </w:p>
    <w:p>
      <w:pPr>
        <w:pStyle w:val="84"/>
        <w:framePr w:wrap="around" w:y="6061"/>
        <w:rPr>
          <w:rFonts w:ascii="Times New Roman"/>
          <w:sz w:val="21"/>
          <w:szCs w:val="21"/>
        </w:rPr>
      </w:pPr>
    </w:p>
    <w:tbl>
      <w:tblPr>
        <w:tblStyle w:val="36"/>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639" w:type="dxa"/>
            <w:tcBorders>
              <w:top w:val="nil"/>
              <w:left w:val="nil"/>
              <w:bottom w:val="nil"/>
              <w:right w:val="nil"/>
            </w:tcBorders>
            <w:shd w:val="clear" w:color="auto" w:fill="auto"/>
          </w:tcPr>
          <w:p>
            <w:pPr>
              <w:pStyle w:val="85"/>
              <w:framePr w:wrap="around" w:y="6061"/>
              <w:rPr>
                <w:rFonts w:ascii="Times New Roman"/>
                <w:szCs w:val="24"/>
              </w:rPr>
            </w:pPr>
            <w:r>
              <w:rPr>
                <w:rFonts w:ascii="Times New Roman"/>
                <w:szCs w:val="24"/>
              </w:rP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4144;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ra7pn1wAAAAoBAAAPAAAAAAAA&#10;AAEAIAAAACIAAABkcnMvZG93bnJldi54bWxQSwECFAAUAAAACACHTuJAPrDnchMCAAAsBAAADgAA&#10;AAAAAAABACAAAAAmAQAAZHJzL2Uyb0RvYy54bWxQSwUGAAAAAAYABgBZAQAAqwUAAAAA&#10;">
                      <v:fill on="t" focussize="0,0"/>
                      <v:stroke on="f"/>
                      <v:imagedata o:title=""/>
                      <o:lock v:ext="edit" aspectratio="f"/>
                      <v:textbox>
                        <w:txbxContent>
                          <w:p>
                            <w:pPr>
                              <w:jc w:val="center"/>
                            </w:pPr>
                          </w:p>
                        </w:txbxContent>
                      </v:textbox>
                      <w10:anchorlock/>
                    </v:rect>
                  </w:pict>
                </mc:Fallback>
              </mc:AlternateContent>
            </w:r>
            <w:r>
              <w:rPr>
                <w:rFonts w:ascii="Times New Roman"/>
                <w:szCs w:val="24"/>
              </w:rPr>
              <mc:AlternateContent>
                <mc:Choice Requires="wps">
                  <w:drawing>
                    <wp:anchor distT="0" distB="0" distL="114300" distR="114300" simplePos="0" relativeHeight="25166131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5168;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oem3XAAAACQEAAA8AAAAAAAAA&#10;AQAgAAAAIgAAAGRycy9kb3ducmV2LnhtbFBLAQIUABQAAAAIAIdO4kDlIvgOEgIAACwEAAAOAAAA&#10;AAAAAAEAIAAAACYBAABkcnMvZTJvRG9jLnhtbFBLBQYAAAAABgAGAFkBAACqBQAAAAA=&#10;">
                      <v:fill on="t" focussize="0,0"/>
                      <v:stroke on="f"/>
                      <v:imagedata o:title=""/>
                      <o:lock v:ext="edit" aspectratio="f"/>
                      <v:textbox>
                        <w:txbxContent>
                          <w:p>
                            <w:pPr>
                              <w:jc w:val="center"/>
                            </w:pPr>
                          </w:p>
                        </w:txbxContent>
                      </v:textbox>
                    </v:rect>
                  </w:pict>
                </mc:Fallback>
              </mc:AlternateContent>
            </w:r>
            <w:r>
              <w:rPr>
                <w:rFonts w:ascii="Times New Roman"/>
                <w:szCs w:val="24"/>
              </w:rPr>
              <w:t>（</w:t>
            </w:r>
            <w:r>
              <w:rPr>
                <w:rFonts w:hint="eastAsia" w:ascii="Times New Roman"/>
                <w:szCs w:val="24"/>
                <w:lang w:val="en-US" w:eastAsia="zh-CN"/>
              </w:rPr>
              <w:t>网上</w:t>
            </w:r>
            <w:bookmarkStart w:id="140" w:name="_GoBack"/>
            <w:bookmarkEnd w:id="140"/>
            <w:r>
              <w:rPr>
                <w:rFonts w:ascii="Times New Roman"/>
                <w:szCs w:val="24"/>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6"/>
              <w:framePr w:wrap="around" w:y="6061"/>
              <w:rPr>
                <w:rFonts w:ascii="Times New Roman"/>
                <w:szCs w:val="21"/>
              </w:rPr>
            </w:pPr>
          </w:p>
        </w:tc>
      </w:tr>
    </w:tbl>
    <w:p>
      <w:pPr>
        <w:pStyle w:val="135"/>
        <w:framePr w:wrap="around" w:hAnchor="page" w:x="1396" w:y="14191"/>
        <w:rPr>
          <w:szCs w:val="28"/>
        </w:rPr>
      </w:pPr>
      <w:bookmarkStart w:id="7" w:name="FY"/>
      <w:r>
        <w:rPr>
          <w:szCs w:val="28"/>
        </w:rPr>
        <w:fldChar w:fldCharType="begin">
          <w:ffData>
            <w:name w:val="FY"/>
            <w:enabled/>
            <w:calcOnExit w:val="0"/>
            <w:textInput>
              <w:default w:val="XXXX"/>
              <w:maxLength w:val="4"/>
            </w:textInput>
          </w:ffData>
        </w:fldChar>
      </w:r>
      <w:r>
        <w:rPr>
          <w:szCs w:val="28"/>
        </w:rPr>
        <w:instrText xml:space="preserve"> FORMTEXT </w:instrText>
      </w:r>
      <w:r>
        <w:rPr>
          <w:szCs w:val="28"/>
        </w:rPr>
        <w:fldChar w:fldCharType="separate"/>
      </w:r>
      <w:r>
        <w:rPr>
          <w:szCs w:val="28"/>
        </w:rPr>
        <w:t>XXXX</w:t>
      </w:r>
      <w:r>
        <w:rPr>
          <w:szCs w:val="28"/>
        </w:rPr>
        <w:fldChar w:fldCharType="end"/>
      </w:r>
      <w:bookmarkEnd w:id="7"/>
      <w:r>
        <w:rPr>
          <w:szCs w:val="28"/>
        </w:rPr>
        <w:t xml:space="preserve"> - </w:t>
      </w:r>
      <w:r>
        <w:rPr>
          <w:szCs w:val="28"/>
        </w:rPr>
        <w:fldChar w:fldCharType="begin">
          <w:ffData>
            <w:name w:val="FM"/>
            <w:enabled/>
            <w:calcOnExit w:val="0"/>
            <w:textInput>
              <w:default w:val="XX"/>
              <w:maxLength w:val="2"/>
            </w:textInput>
          </w:ffData>
        </w:fldChar>
      </w:r>
      <w:r>
        <w:rPr>
          <w:szCs w:val="28"/>
        </w:rPr>
        <w:instrText xml:space="preserve"> FORMTEXT </w:instrText>
      </w:r>
      <w:r>
        <w:rPr>
          <w:szCs w:val="28"/>
        </w:rPr>
        <w:fldChar w:fldCharType="separate"/>
      </w:r>
      <w:r>
        <w:rPr>
          <w:szCs w:val="28"/>
        </w:rPr>
        <w:t>XX</w:t>
      </w:r>
      <w:r>
        <w:rPr>
          <w:szCs w:val="28"/>
        </w:rPr>
        <w:fldChar w:fldCharType="end"/>
      </w:r>
      <w:r>
        <w:rPr>
          <w:szCs w:val="28"/>
        </w:rPr>
        <w:t xml:space="preserve"> - </w:t>
      </w:r>
      <w:bookmarkStart w:id="8" w:name="FD"/>
      <w:r>
        <w:rPr>
          <w:szCs w:val="28"/>
        </w:rPr>
        <w:fldChar w:fldCharType="begin">
          <w:ffData>
            <w:name w:val="FD"/>
            <w:enabled/>
            <w:calcOnExit w:val="0"/>
            <w:textInput>
              <w:default w:val="XX"/>
              <w:maxLength w:val="2"/>
            </w:textInput>
          </w:ffData>
        </w:fldChar>
      </w:r>
      <w:r>
        <w:rPr>
          <w:szCs w:val="28"/>
        </w:rPr>
        <w:instrText xml:space="preserve"> FORMTEXT </w:instrText>
      </w:r>
      <w:r>
        <w:rPr>
          <w:szCs w:val="28"/>
        </w:rPr>
        <w:fldChar w:fldCharType="separate"/>
      </w:r>
      <w:r>
        <w:rPr>
          <w:szCs w:val="28"/>
        </w:rPr>
        <w:t>XX</w:t>
      </w:r>
      <w:r>
        <w:rPr>
          <w:szCs w:val="28"/>
        </w:rPr>
        <w:fldChar w:fldCharType="end"/>
      </w:r>
      <w:bookmarkEnd w:id="8"/>
      <w:r>
        <w:rPr>
          <w:szCs w:val="28"/>
        </w:rPr>
        <w:t>发布</w:t>
      </w:r>
    </w:p>
    <w:p>
      <w:pPr>
        <w:pStyle w:val="136"/>
        <w:framePr w:wrap="around" w:hAnchor="page" w:x="7066" w:y="14116"/>
        <w:rPr>
          <w:szCs w:val="28"/>
        </w:rPr>
      </w:pPr>
      <w:bookmarkStart w:id="9" w:name="SY"/>
      <w:r>
        <w:rPr>
          <w:szCs w:val="28"/>
        </w:rPr>
        <w:fldChar w:fldCharType="begin">
          <w:ffData>
            <w:name w:val="SY"/>
            <w:enabled/>
            <w:calcOnExit w:val="0"/>
            <w:textInput>
              <w:default w:val="XXXX"/>
              <w:maxLength w:val="4"/>
            </w:textInput>
          </w:ffData>
        </w:fldChar>
      </w:r>
      <w:r>
        <w:rPr>
          <w:szCs w:val="28"/>
        </w:rPr>
        <w:instrText xml:space="preserve"> FORMTEXT </w:instrText>
      </w:r>
      <w:r>
        <w:rPr>
          <w:szCs w:val="28"/>
        </w:rPr>
        <w:fldChar w:fldCharType="separate"/>
      </w:r>
      <w:r>
        <w:rPr>
          <w:szCs w:val="28"/>
        </w:rPr>
        <w:t>XXXX</w:t>
      </w:r>
      <w:r>
        <w:rPr>
          <w:szCs w:val="28"/>
        </w:rPr>
        <w:fldChar w:fldCharType="end"/>
      </w:r>
      <w:bookmarkEnd w:id="9"/>
      <w:r>
        <w:rPr>
          <w:szCs w:val="28"/>
        </w:rPr>
        <w:t xml:space="preserve"> - </w:t>
      </w:r>
      <w:bookmarkStart w:id="10" w:name="SM"/>
      <w:r>
        <w:rPr>
          <w:szCs w:val="28"/>
        </w:rPr>
        <w:fldChar w:fldCharType="begin">
          <w:ffData>
            <w:name w:val="SM"/>
            <w:enabled/>
            <w:calcOnExit w:val="0"/>
            <w:textInput>
              <w:default w:val="XX"/>
              <w:maxLength w:val="2"/>
            </w:textInput>
          </w:ffData>
        </w:fldChar>
      </w:r>
      <w:r>
        <w:rPr>
          <w:szCs w:val="28"/>
        </w:rPr>
        <w:instrText xml:space="preserve"> FORMTEXT </w:instrText>
      </w:r>
      <w:r>
        <w:rPr>
          <w:szCs w:val="28"/>
        </w:rPr>
        <w:fldChar w:fldCharType="separate"/>
      </w:r>
      <w:r>
        <w:rPr>
          <w:szCs w:val="28"/>
        </w:rPr>
        <w:t>XX</w:t>
      </w:r>
      <w:r>
        <w:rPr>
          <w:szCs w:val="28"/>
        </w:rPr>
        <w:fldChar w:fldCharType="end"/>
      </w:r>
      <w:bookmarkEnd w:id="10"/>
      <w:r>
        <w:rPr>
          <w:szCs w:val="28"/>
        </w:rPr>
        <w:t xml:space="preserve"> - </w:t>
      </w:r>
      <w:bookmarkStart w:id="11" w:name="SD"/>
      <w:r>
        <w:rPr>
          <w:szCs w:val="28"/>
        </w:rPr>
        <w:fldChar w:fldCharType="begin">
          <w:ffData>
            <w:name w:val="SD"/>
            <w:enabled/>
            <w:calcOnExit w:val="0"/>
            <w:textInput>
              <w:default w:val="XX"/>
              <w:maxLength w:val="2"/>
            </w:textInput>
          </w:ffData>
        </w:fldChar>
      </w:r>
      <w:r>
        <w:rPr>
          <w:szCs w:val="28"/>
        </w:rPr>
        <w:instrText xml:space="preserve"> FORMTEXT </w:instrText>
      </w:r>
      <w:r>
        <w:rPr>
          <w:szCs w:val="28"/>
        </w:rPr>
        <w:fldChar w:fldCharType="separate"/>
      </w:r>
      <w:r>
        <w:rPr>
          <w:szCs w:val="28"/>
        </w:rPr>
        <w:t>XX</w:t>
      </w:r>
      <w:r>
        <w:rPr>
          <w:szCs w:val="28"/>
        </w:rPr>
        <w:fldChar w:fldCharType="end"/>
      </w:r>
      <w:bookmarkEnd w:id="11"/>
      <w:r>
        <w:rPr>
          <w:szCs w:val="28"/>
        </w:rPr>
        <w:t>实施</w:t>
      </w:r>
    </w:p>
    <w:p>
      <w:pPr>
        <w:pStyle w:val="115"/>
        <w:framePr w:wrap="around"/>
        <w:rPr>
          <w:rFonts w:ascii="Times New Roman"/>
          <w:szCs w:val="28"/>
        </w:rPr>
      </w:pPr>
      <w:bookmarkStart w:id="12" w:name="fm"/>
      <w:r>
        <w:rPr>
          <w:rFonts w:ascii="Times New Roman"/>
          <w:szCs w:val="28"/>
        </w:rPr>
        <w:t>河北省市场监督管理局</w:t>
      </w:r>
      <w:bookmarkEnd w:id="12"/>
      <w:r>
        <w:rPr>
          <w:rFonts w:ascii="Times New Roman"/>
          <w:szCs w:val="28"/>
        </w:rPr>
        <w:t>   </w:t>
      </w:r>
      <w:r>
        <w:rPr>
          <w:rStyle w:val="77"/>
          <w:rFonts w:ascii="Times New Roman"/>
        </w:rPr>
        <w:t>发布</w:t>
      </w:r>
    </w:p>
    <w:p>
      <w:pPr>
        <w:pStyle w:val="25"/>
        <w:ind w:firstLine="420"/>
        <w:sectPr>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3360"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3360;mso-width-relative:page;mso-height-relative:page;" filled="f" stroked="t" coordsize="21600,21600"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dRQVtYAAAALAQAADwAAAAAAAAABACAAAAAiAAAAZHJzL2Rv&#10;d25yZXYueG1sUEsBAhQAFAAAAAgAh07iQPt7ba7KAQAAoQMAAA4AAAAAAAAAAQAgAAAAJQEAAGRy&#10;cy9lMm9Eb2MueG1sUEsFBgAAAAAGAAYAWQEAAGE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59264;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D6N77XAAAACQEAAA8AAAAAAAAAAQAgAAAAIgAAAGRycy9k&#10;b3ducmV2LnhtbFBLAQIUABQAAAAIAIdO4kDuz3hbygEAAKEDAAAOAAAAAAAAAAEAIAAAACYBAABk&#10;cnMvZTJvRG9jLnhtbFBLBQYAAAAABgAGAFkBAABiBQAAAAA=&#10;">
                <v:fill on="f" focussize="0,0"/>
                <v:stroke color="#000000" joinstyle="round"/>
                <v:imagedata o:title=""/>
                <o:lock v:ext="edit" aspectratio="f"/>
              </v:line>
            </w:pict>
          </mc:Fallback>
        </mc:AlternateContent>
      </w:r>
    </w:p>
    <w:p>
      <w:pPr>
        <w:pStyle w:val="54"/>
        <w:rPr>
          <w:rFonts w:ascii="Times New Roman"/>
          <w:szCs w:val="32"/>
        </w:rPr>
      </w:pPr>
      <w:r>
        <w:rPr>
          <w:rFonts w:ascii="Times New Roman"/>
          <w:szCs w:val="32"/>
        </w:rPr>
        <w:t>目 次</w:t>
      </w:r>
    </w:p>
    <w:p>
      <w:pPr>
        <w:pStyle w:val="21"/>
        <w:spacing w:before="78" w:after="78"/>
        <w:rPr>
          <w:rFonts w:ascii="Times New Roman" w:eastAsiaTheme="minorEastAsia"/>
          <w:szCs w:val="22"/>
          <w14:ligatures w14:val="standardContextual"/>
        </w:rPr>
      </w:pPr>
      <w:r>
        <w:rPr>
          <w:rFonts w:ascii="Times New Roman"/>
        </w:rPr>
        <w:fldChar w:fldCharType="begin"/>
      </w:r>
      <w:r>
        <w:rPr>
          <w:rFonts w:ascii="Times New Roman"/>
        </w:rPr>
        <w:instrText xml:space="preserve"> TOC \h \z \t "一级条标题,2,章标题,1,参考文献、索引标题,1,附录标识,1,附录标题,1,附录章标题,2,前言、引言标题,1" </w:instrText>
      </w:r>
      <w:r>
        <w:rPr>
          <w:rFonts w:ascii="Times New Roman"/>
        </w:rPr>
        <w:fldChar w:fldCharType="separate"/>
      </w:r>
      <w:r>
        <w:fldChar w:fldCharType="begin"/>
      </w:r>
      <w:r>
        <w:instrText xml:space="preserve"> HYPERLINK \l "_Toc162597273" </w:instrText>
      </w:r>
      <w:r>
        <w:fldChar w:fldCharType="separate"/>
      </w:r>
      <w:r>
        <w:rPr>
          <w:rStyle w:val="42"/>
          <w:rFonts w:ascii="Times New Roman"/>
        </w:rPr>
        <w:t>前言</w:t>
      </w:r>
      <w:r>
        <w:rPr>
          <w:rFonts w:ascii="Times New Roman"/>
        </w:rPr>
        <w:tab/>
      </w:r>
      <w:r>
        <w:rPr>
          <w:rFonts w:ascii="Times New Roman"/>
        </w:rPr>
        <w:fldChar w:fldCharType="begin"/>
      </w:r>
      <w:r>
        <w:rPr>
          <w:rFonts w:ascii="Times New Roman"/>
        </w:rPr>
        <w:instrText xml:space="preserve"> PAGEREF _Toc162597273 \h </w:instrText>
      </w:r>
      <w:r>
        <w:rPr>
          <w:rFonts w:ascii="Times New Roman"/>
        </w:rPr>
        <w:fldChar w:fldCharType="separate"/>
      </w:r>
      <w:r>
        <w:rPr>
          <w:rFonts w:ascii="Times New Roman"/>
        </w:rPr>
        <w:t>III</w:t>
      </w:r>
      <w:r>
        <w:rPr>
          <w:rFonts w:ascii="Times New Roman"/>
        </w:rPr>
        <w:fldChar w:fldCharType="end"/>
      </w:r>
      <w:r>
        <w:rPr>
          <w:rFonts w:ascii="Times New Roman"/>
        </w:rPr>
        <w:fldChar w:fldCharType="end"/>
      </w:r>
    </w:p>
    <w:p>
      <w:pPr>
        <w:pStyle w:val="21"/>
        <w:spacing w:before="78" w:after="78"/>
        <w:rPr>
          <w:rFonts w:ascii="Times New Roman" w:eastAsiaTheme="minorEastAsia"/>
          <w:szCs w:val="22"/>
          <w14:ligatures w14:val="standardContextual"/>
        </w:rPr>
      </w:pPr>
      <w:r>
        <w:fldChar w:fldCharType="begin"/>
      </w:r>
      <w:r>
        <w:instrText xml:space="preserve"> HYPERLINK \l "_Toc162597274" </w:instrText>
      </w:r>
      <w:r>
        <w:fldChar w:fldCharType="separate"/>
      </w:r>
      <w:r>
        <w:rPr>
          <w:rStyle w:val="42"/>
          <w:rFonts w:ascii="Times New Roman"/>
        </w:rPr>
        <w:t>1 范围</w:t>
      </w:r>
      <w:r>
        <w:rPr>
          <w:rFonts w:ascii="Times New Roman"/>
        </w:rPr>
        <w:tab/>
      </w:r>
      <w:r>
        <w:rPr>
          <w:rFonts w:ascii="Times New Roman"/>
        </w:rPr>
        <w:fldChar w:fldCharType="begin"/>
      </w:r>
      <w:r>
        <w:rPr>
          <w:rFonts w:ascii="Times New Roman"/>
        </w:rPr>
        <w:instrText xml:space="preserve"> PAGEREF _Toc162597274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21"/>
        <w:spacing w:before="78" w:after="78"/>
        <w:rPr>
          <w:rFonts w:ascii="Times New Roman" w:eastAsiaTheme="minorEastAsia"/>
          <w:szCs w:val="22"/>
          <w14:ligatures w14:val="standardContextual"/>
        </w:rPr>
      </w:pPr>
      <w:r>
        <w:fldChar w:fldCharType="begin"/>
      </w:r>
      <w:r>
        <w:instrText xml:space="preserve"> HYPERLINK \l "_Toc162597275" </w:instrText>
      </w:r>
      <w:r>
        <w:fldChar w:fldCharType="separate"/>
      </w:r>
      <w:r>
        <w:rPr>
          <w:rStyle w:val="42"/>
          <w:rFonts w:ascii="Times New Roman"/>
        </w:rPr>
        <w:t>2 规范性引用文件</w:t>
      </w:r>
      <w:r>
        <w:rPr>
          <w:rFonts w:ascii="Times New Roman"/>
        </w:rPr>
        <w:tab/>
      </w:r>
      <w:r>
        <w:rPr>
          <w:rFonts w:ascii="Times New Roman"/>
        </w:rPr>
        <w:fldChar w:fldCharType="begin"/>
      </w:r>
      <w:r>
        <w:rPr>
          <w:rFonts w:ascii="Times New Roman"/>
        </w:rPr>
        <w:instrText xml:space="preserve"> PAGEREF _Toc162597275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21"/>
        <w:spacing w:before="78" w:after="78"/>
        <w:rPr>
          <w:rFonts w:ascii="Times New Roman" w:eastAsiaTheme="minorEastAsia"/>
          <w:szCs w:val="22"/>
          <w14:ligatures w14:val="standardContextual"/>
        </w:rPr>
      </w:pPr>
      <w:r>
        <w:fldChar w:fldCharType="begin"/>
      </w:r>
      <w:r>
        <w:instrText xml:space="preserve"> HYPERLINK \l "_Toc162597276" </w:instrText>
      </w:r>
      <w:r>
        <w:fldChar w:fldCharType="separate"/>
      </w:r>
      <w:r>
        <w:rPr>
          <w:rStyle w:val="42"/>
          <w:rFonts w:ascii="Times New Roman"/>
        </w:rPr>
        <w:t>3 术语和定义</w:t>
      </w:r>
      <w:r>
        <w:rPr>
          <w:rFonts w:ascii="Times New Roman"/>
        </w:rPr>
        <w:tab/>
      </w:r>
      <w:r>
        <w:rPr>
          <w:rFonts w:ascii="Times New Roman"/>
        </w:rPr>
        <w:fldChar w:fldCharType="begin"/>
      </w:r>
      <w:r>
        <w:rPr>
          <w:rFonts w:ascii="Times New Roman"/>
        </w:rPr>
        <w:instrText xml:space="preserve"> PAGEREF _Toc162597276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"_Toc162597277" </w:instrText>
      </w:r>
      <w:r>
        <w:fldChar w:fldCharType="separate"/>
      </w:r>
      <w:r>
        <w:rPr>
          <w:rStyle w:val="42"/>
          <w:rFonts w:ascii="Times New Roman"/>
          <w:bCs/>
        </w:rPr>
        <w:t>3.1 清淤工程</w:t>
      </w:r>
      <w:r>
        <w:rPr>
          <w:rFonts w:ascii="Times New Roman"/>
        </w:rPr>
        <w:tab/>
      </w:r>
      <w:r>
        <w:rPr>
          <w:rFonts w:ascii="Times New Roman"/>
        </w:rPr>
        <w:fldChar w:fldCharType="begin"/>
      </w:r>
      <w:r>
        <w:rPr>
          <w:rFonts w:ascii="Times New Roman"/>
        </w:rPr>
        <w:instrText xml:space="preserve"> PAGEREF _Toc162597277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"_Toc162597278" </w:instrText>
      </w:r>
      <w:r>
        <w:fldChar w:fldCharType="separate"/>
      </w:r>
      <w:r>
        <w:rPr>
          <w:rStyle w:val="42"/>
          <w:rFonts w:ascii="Times New Roman"/>
          <w:bCs/>
        </w:rPr>
        <w:t>3.2 河湖淤泥</w:t>
      </w:r>
      <w:r>
        <w:rPr>
          <w:rFonts w:ascii="Times New Roman"/>
        </w:rPr>
        <w:tab/>
      </w:r>
      <w:r>
        <w:rPr>
          <w:rFonts w:ascii="Times New Roman"/>
        </w:rPr>
        <w:fldChar w:fldCharType="begin"/>
      </w:r>
      <w:r>
        <w:rPr>
          <w:rFonts w:ascii="Times New Roman"/>
        </w:rPr>
        <w:instrText xml:space="preserve"> PAGEREF _Toc162597278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"_Toc162597279" </w:instrText>
      </w:r>
      <w:r>
        <w:fldChar w:fldCharType="separate"/>
      </w:r>
      <w:r>
        <w:rPr>
          <w:rStyle w:val="42"/>
          <w:rFonts w:ascii="Times New Roman"/>
          <w:bCs/>
        </w:rPr>
        <w:t>3.3 生态清淤工程区域</w:t>
      </w:r>
      <w:r>
        <w:rPr>
          <w:rFonts w:ascii="Times New Roman"/>
        </w:rPr>
        <w:tab/>
      </w:r>
      <w:r>
        <w:rPr>
          <w:rFonts w:ascii="Times New Roman"/>
        </w:rPr>
        <w:fldChar w:fldCharType="begin"/>
      </w:r>
      <w:r>
        <w:rPr>
          <w:rFonts w:ascii="Times New Roman"/>
        </w:rPr>
        <w:instrText xml:space="preserve"> PAGEREF _Toc162597279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"_Toc162597280" </w:instrText>
      </w:r>
      <w:r>
        <w:fldChar w:fldCharType="separate"/>
      </w:r>
      <w:r>
        <w:rPr>
          <w:rStyle w:val="42"/>
          <w:rFonts w:ascii="Times New Roman"/>
          <w:bCs/>
        </w:rPr>
        <w:t>3.4 生态清淤工程测量</w:t>
      </w:r>
      <w:r>
        <w:rPr>
          <w:rFonts w:ascii="Times New Roman"/>
        </w:rPr>
        <w:tab/>
      </w:r>
      <w:r>
        <w:rPr>
          <w:rFonts w:ascii="Times New Roman"/>
        </w:rPr>
        <w:fldChar w:fldCharType="begin"/>
      </w:r>
      <w:r>
        <w:rPr>
          <w:rFonts w:ascii="Times New Roman"/>
        </w:rPr>
        <w:instrText xml:space="preserve"> PAGEREF _Toc162597280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"_Toc162597282" </w:instrText>
      </w:r>
      <w:r>
        <w:fldChar w:fldCharType="separate"/>
      </w:r>
      <w:r>
        <w:rPr>
          <w:rStyle w:val="42"/>
          <w:rFonts w:ascii="Times New Roman"/>
          <w:bCs/>
        </w:rPr>
        <w:t>3.5 生态清淤工程勘察</w:t>
      </w:r>
      <w:r>
        <w:rPr>
          <w:rFonts w:ascii="Times New Roman"/>
        </w:rPr>
        <w:tab/>
      </w:r>
      <w:r>
        <w:rPr>
          <w:rFonts w:ascii="Times New Roman"/>
        </w:rPr>
        <w:fldChar w:fldCharType="begin"/>
      </w:r>
      <w:r>
        <w:rPr>
          <w:rFonts w:ascii="Times New Roman"/>
        </w:rPr>
        <w:instrText xml:space="preserve"> PAGEREF _Toc162597282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21"/>
        <w:spacing w:before="78" w:after="78"/>
        <w:rPr>
          <w:rFonts w:ascii="Times New Roman" w:eastAsiaTheme="minorEastAsia"/>
          <w:szCs w:val="22"/>
          <w14:ligatures w14:val="standardContextual"/>
        </w:rPr>
      </w:pPr>
      <w:r>
        <w:fldChar w:fldCharType="begin"/>
      </w:r>
      <w:r>
        <w:instrText xml:space="preserve"> HYPERLINK \l "_Toc162597285" </w:instrText>
      </w:r>
      <w:r>
        <w:fldChar w:fldCharType="separate"/>
      </w:r>
      <w:r>
        <w:rPr>
          <w:rStyle w:val="42"/>
          <w:rFonts w:ascii="Times New Roman"/>
        </w:rPr>
        <w:t>4 基本规定</w:t>
      </w:r>
      <w:r>
        <w:rPr>
          <w:rFonts w:ascii="Times New Roman"/>
        </w:rPr>
        <w:tab/>
      </w:r>
      <w:r>
        <w:rPr>
          <w:rFonts w:ascii="Times New Roman"/>
        </w:rPr>
        <w:fldChar w:fldCharType="begin"/>
      </w:r>
      <w:r>
        <w:rPr>
          <w:rFonts w:ascii="Times New Roman"/>
        </w:rPr>
        <w:instrText xml:space="preserve"> PAGEREF _Toc162597285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21"/>
        <w:spacing w:before="78" w:after="78"/>
        <w:rPr>
          <w:rFonts w:ascii="Times New Roman" w:eastAsiaTheme="minorEastAsia"/>
          <w:szCs w:val="22"/>
          <w14:ligatures w14:val="standardContextual"/>
        </w:rPr>
      </w:pPr>
      <w:r>
        <w:fldChar w:fldCharType="begin"/>
      </w:r>
      <w:r>
        <w:instrText xml:space="preserve"> HYPERLINK \l "_Toc162597286" </w:instrText>
      </w:r>
      <w:r>
        <w:fldChar w:fldCharType="separate"/>
      </w:r>
      <w:r>
        <w:rPr>
          <w:rStyle w:val="42"/>
          <w:rFonts w:ascii="Times New Roman"/>
        </w:rPr>
        <w:t>6 工程地质勘察</w:t>
      </w:r>
      <w:r>
        <w:rPr>
          <w:rFonts w:ascii="Times New Roman"/>
        </w:rPr>
        <w:tab/>
      </w:r>
      <w:r>
        <w:rPr>
          <w:rFonts w:ascii="Times New Roman"/>
        </w:rPr>
        <w:fldChar w:fldCharType="begin"/>
      </w:r>
      <w:r>
        <w:rPr>
          <w:rFonts w:ascii="Times New Roman"/>
        </w:rPr>
        <w:instrText xml:space="preserve"> PAGEREF _Toc162597286 \h </w:instrText>
      </w:r>
      <w:r>
        <w:rPr>
          <w:rFonts w:ascii="Times New Roman"/>
        </w:rPr>
        <w:fldChar w:fldCharType="separate"/>
      </w:r>
      <w:r>
        <w:rPr>
          <w:rFonts w:ascii="Times New Roman"/>
        </w:rPr>
        <w:t>7</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"_Toc162597287" </w:instrText>
      </w:r>
      <w:r>
        <w:fldChar w:fldCharType="separate"/>
      </w:r>
      <w:r>
        <w:rPr>
          <w:rStyle w:val="42"/>
          <w:rFonts w:ascii="Times New Roman"/>
          <w:bCs/>
        </w:rPr>
        <w:t>6.1 一般规定</w:t>
      </w:r>
      <w:r>
        <w:rPr>
          <w:rFonts w:ascii="Times New Roman"/>
        </w:rPr>
        <w:tab/>
      </w:r>
      <w:r>
        <w:rPr>
          <w:rFonts w:ascii="Times New Roman"/>
        </w:rPr>
        <w:fldChar w:fldCharType="begin"/>
      </w:r>
      <w:r>
        <w:rPr>
          <w:rFonts w:ascii="Times New Roman"/>
        </w:rPr>
        <w:instrText xml:space="preserve"> PAGEREF _Toc162597287 \h </w:instrText>
      </w:r>
      <w:r>
        <w:rPr>
          <w:rFonts w:ascii="Times New Roman"/>
        </w:rPr>
        <w:fldChar w:fldCharType="separate"/>
      </w:r>
      <w:r>
        <w:rPr>
          <w:rFonts w:ascii="Times New Roman"/>
        </w:rPr>
        <w:t>8</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"_Toc162597288" </w:instrText>
      </w:r>
      <w:r>
        <w:fldChar w:fldCharType="separate"/>
      </w:r>
      <w:r>
        <w:rPr>
          <w:rStyle w:val="42"/>
          <w:rFonts w:ascii="Times New Roman"/>
          <w:bCs/>
        </w:rPr>
        <w:t>6.2 调查与测绘</w:t>
      </w:r>
      <w:r>
        <w:rPr>
          <w:rFonts w:ascii="Times New Roman"/>
        </w:rPr>
        <w:tab/>
      </w:r>
      <w:r>
        <w:rPr>
          <w:rFonts w:ascii="Times New Roman"/>
        </w:rPr>
        <w:fldChar w:fldCharType="begin"/>
      </w:r>
      <w:r>
        <w:rPr>
          <w:rFonts w:ascii="Times New Roman"/>
        </w:rPr>
        <w:instrText xml:space="preserve"> PAGEREF _Toc162597288 \h </w:instrText>
      </w:r>
      <w:r>
        <w:rPr>
          <w:rFonts w:ascii="Times New Roman"/>
        </w:rPr>
        <w:fldChar w:fldCharType="separate"/>
      </w:r>
      <w:r>
        <w:rPr>
          <w:rFonts w:ascii="Times New Roman"/>
        </w:rPr>
        <w:t>8</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"_Toc162597290" </w:instrText>
      </w:r>
      <w:r>
        <w:fldChar w:fldCharType="separate"/>
      </w:r>
      <w:r>
        <w:rPr>
          <w:rStyle w:val="42"/>
          <w:rFonts w:ascii="Times New Roman"/>
          <w:bCs/>
        </w:rPr>
        <w:t>6.3 现场测试</w:t>
      </w:r>
      <w:r>
        <w:rPr>
          <w:rFonts w:ascii="Times New Roman"/>
        </w:rPr>
        <w:tab/>
      </w:r>
      <w:r>
        <w:rPr>
          <w:rFonts w:ascii="Times New Roman"/>
        </w:rPr>
        <w:fldChar w:fldCharType="begin"/>
      </w:r>
      <w:r>
        <w:rPr>
          <w:rFonts w:ascii="Times New Roman"/>
        </w:rPr>
        <w:instrText xml:space="preserve"> PAGEREF _Toc162597290 \h </w:instrText>
      </w:r>
      <w:r>
        <w:rPr>
          <w:rFonts w:ascii="Times New Roman"/>
        </w:rPr>
        <w:fldChar w:fldCharType="separate"/>
      </w:r>
      <w:r>
        <w:rPr>
          <w:rFonts w:ascii="Times New Roman"/>
        </w:rPr>
        <w:t>9</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"_Toc162597292" </w:instrText>
      </w:r>
      <w:r>
        <w:fldChar w:fldCharType="separate"/>
      </w:r>
      <w:r>
        <w:rPr>
          <w:rStyle w:val="42"/>
          <w:rFonts w:ascii="Times New Roman"/>
          <w:bCs/>
        </w:rPr>
        <w:t>6.4 室内试验</w:t>
      </w:r>
      <w:r>
        <w:rPr>
          <w:rFonts w:ascii="Times New Roman"/>
        </w:rPr>
        <w:tab/>
      </w:r>
      <w:r>
        <w:rPr>
          <w:rFonts w:ascii="Times New Roman"/>
        </w:rPr>
        <w:fldChar w:fldCharType="begin"/>
      </w:r>
      <w:r>
        <w:rPr>
          <w:rFonts w:ascii="Times New Roman"/>
        </w:rPr>
        <w:instrText xml:space="preserve"> PAGEREF _Toc162597292 \h </w:instrText>
      </w:r>
      <w:r>
        <w:rPr>
          <w:rFonts w:ascii="Times New Roman"/>
        </w:rPr>
        <w:fldChar w:fldCharType="separate"/>
      </w:r>
      <w:r>
        <w:rPr>
          <w:rFonts w:ascii="Times New Roman"/>
        </w:rPr>
        <w:t>10</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"_Toc162597299" </w:instrText>
      </w:r>
      <w:r>
        <w:fldChar w:fldCharType="separate"/>
      </w:r>
      <w:r>
        <w:rPr>
          <w:rStyle w:val="42"/>
          <w:rFonts w:ascii="Times New Roman"/>
          <w:bCs/>
        </w:rPr>
        <w:t>6.5 勘察评价与分析</w:t>
      </w:r>
      <w:r>
        <w:rPr>
          <w:rFonts w:ascii="Times New Roman"/>
        </w:rPr>
        <w:tab/>
      </w:r>
      <w:r>
        <w:rPr>
          <w:rFonts w:ascii="Times New Roman"/>
        </w:rPr>
        <w:fldChar w:fldCharType="begin"/>
      </w:r>
      <w:r>
        <w:rPr>
          <w:rFonts w:ascii="Times New Roman"/>
        </w:rPr>
        <w:instrText xml:space="preserve"> PAGEREF _Toc162597299 \h </w:instrText>
      </w:r>
      <w:r>
        <w:rPr>
          <w:rFonts w:ascii="Times New Roman"/>
        </w:rPr>
        <w:fldChar w:fldCharType="separate"/>
      </w:r>
      <w:r>
        <w:rPr>
          <w:rFonts w:ascii="Times New Roman"/>
        </w:rPr>
        <w:t>12</w:t>
      </w:r>
      <w:r>
        <w:rPr>
          <w:rFonts w:ascii="Times New Roman"/>
        </w:rPr>
        <w:fldChar w:fldCharType="end"/>
      </w:r>
      <w:r>
        <w:rPr>
          <w:rFonts w:ascii="Times New Roman"/>
        </w:rPr>
        <w:fldChar w:fldCharType="end"/>
      </w:r>
    </w:p>
    <w:p>
      <w:pPr>
        <w:pStyle w:val="21"/>
        <w:spacing w:before="78" w:after="78"/>
        <w:rPr>
          <w:rFonts w:ascii="Times New Roman" w:eastAsiaTheme="minorEastAsia"/>
          <w:szCs w:val="22"/>
          <w14:ligatures w14:val="standardContextual"/>
        </w:rPr>
      </w:pPr>
      <w:r>
        <w:fldChar w:fldCharType="begin"/>
      </w:r>
      <w:r>
        <w:instrText xml:space="preserve"> HYPERLINK \l "_Toc162597499" </w:instrText>
      </w:r>
      <w:r>
        <w:fldChar w:fldCharType="separate"/>
      </w:r>
      <w:r>
        <w:rPr>
          <w:rStyle w:val="42"/>
          <w:rFonts w:ascii="Times New Roman"/>
        </w:rPr>
        <w:t>7 勘察测量文件</w:t>
      </w:r>
      <w:r>
        <w:rPr>
          <w:rFonts w:ascii="Times New Roman"/>
        </w:rPr>
        <w:tab/>
      </w:r>
      <w:r>
        <w:rPr>
          <w:rFonts w:ascii="Times New Roman"/>
        </w:rPr>
        <w:fldChar w:fldCharType="begin"/>
      </w:r>
      <w:r>
        <w:rPr>
          <w:rFonts w:ascii="Times New Roman"/>
        </w:rPr>
        <w:instrText xml:space="preserve"> PAGEREF _Toc162597499 \h </w:instrText>
      </w:r>
      <w:r>
        <w:rPr>
          <w:rFonts w:ascii="Times New Roman"/>
        </w:rPr>
        <w:fldChar w:fldCharType="separate"/>
      </w:r>
      <w:r>
        <w:rPr>
          <w:rFonts w:ascii="Times New Roman"/>
        </w:rPr>
        <w:t>13</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"_Toc162597500" </w:instrText>
      </w:r>
      <w:r>
        <w:fldChar w:fldCharType="separate"/>
      </w:r>
      <w:r>
        <w:rPr>
          <w:rStyle w:val="42"/>
          <w:rFonts w:ascii="Times New Roman"/>
          <w:bCs/>
        </w:rPr>
        <w:t>7.1 勘察大纲</w:t>
      </w:r>
      <w:r>
        <w:rPr>
          <w:rFonts w:ascii="Times New Roman"/>
        </w:rPr>
        <w:tab/>
      </w:r>
      <w:r>
        <w:rPr>
          <w:rFonts w:ascii="Times New Roman"/>
        </w:rPr>
        <w:fldChar w:fldCharType="begin"/>
      </w:r>
      <w:r>
        <w:rPr>
          <w:rFonts w:ascii="Times New Roman"/>
        </w:rPr>
        <w:instrText xml:space="preserve"> PAGEREF _Toc162597500 \h </w:instrText>
      </w:r>
      <w:r>
        <w:rPr>
          <w:rFonts w:ascii="Times New Roman"/>
        </w:rPr>
        <w:fldChar w:fldCharType="separate"/>
      </w:r>
      <w:r>
        <w:rPr>
          <w:rFonts w:ascii="Times New Roman"/>
        </w:rPr>
        <w:t>14</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"_Toc162597501" </w:instrText>
      </w:r>
      <w:r>
        <w:fldChar w:fldCharType="separate"/>
      </w:r>
      <w:r>
        <w:rPr>
          <w:rStyle w:val="42"/>
          <w:rFonts w:ascii="Times New Roman"/>
          <w:bCs/>
        </w:rPr>
        <w:t>7.2 勘察成果要求及报告</w:t>
      </w:r>
      <w:r>
        <w:rPr>
          <w:rFonts w:ascii="Times New Roman"/>
        </w:rPr>
        <w:tab/>
      </w:r>
      <w:r>
        <w:rPr>
          <w:rFonts w:ascii="Times New Roman"/>
        </w:rPr>
        <w:fldChar w:fldCharType="begin"/>
      </w:r>
      <w:r>
        <w:rPr>
          <w:rFonts w:ascii="Times New Roman"/>
        </w:rPr>
        <w:instrText xml:space="preserve"> PAGEREF _Toc162597501 \h </w:instrText>
      </w:r>
      <w:r>
        <w:rPr>
          <w:rFonts w:ascii="Times New Roman"/>
        </w:rPr>
        <w:fldChar w:fldCharType="separate"/>
      </w:r>
      <w:r>
        <w:rPr>
          <w:rFonts w:ascii="Times New Roman"/>
        </w:rPr>
        <w:t>14</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"_Toc162597502" </w:instrText>
      </w:r>
      <w:r>
        <w:fldChar w:fldCharType="separate"/>
      </w:r>
      <w:r>
        <w:rPr>
          <w:rStyle w:val="42"/>
          <w:rFonts w:ascii="Times New Roman"/>
          <w:bCs/>
        </w:rPr>
        <w:t>7.3 测量技术设计方案</w:t>
      </w:r>
      <w:r>
        <w:rPr>
          <w:rFonts w:ascii="Times New Roman"/>
        </w:rPr>
        <w:tab/>
      </w:r>
      <w:r>
        <w:rPr>
          <w:rFonts w:ascii="Times New Roman"/>
        </w:rPr>
        <w:fldChar w:fldCharType="begin"/>
      </w:r>
      <w:r>
        <w:rPr>
          <w:rFonts w:ascii="Times New Roman"/>
        </w:rPr>
        <w:instrText xml:space="preserve"> PAGEREF _Toc162597502 \h </w:instrText>
      </w:r>
      <w:r>
        <w:rPr>
          <w:rFonts w:ascii="Times New Roman"/>
        </w:rPr>
        <w:fldChar w:fldCharType="separate"/>
      </w:r>
      <w:r>
        <w:rPr>
          <w:rFonts w:ascii="Times New Roman"/>
        </w:rPr>
        <w:t>14</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r>
        <w:fldChar w:fldCharType="begin"/>
      </w:r>
      <w:r>
        <w:instrText xml:space="preserve"> HYPERLINK \l "_Toc162597503" </w:instrText>
      </w:r>
      <w:r>
        <w:fldChar w:fldCharType="separate"/>
      </w:r>
      <w:r>
        <w:rPr>
          <w:rStyle w:val="42"/>
          <w:rFonts w:ascii="Times New Roman"/>
          <w:bCs/>
        </w:rPr>
        <w:t>7.4 测量成果要求及报告</w:t>
      </w:r>
      <w:r>
        <w:rPr>
          <w:rFonts w:ascii="Times New Roman"/>
        </w:rPr>
        <w:tab/>
      </w:r>
      <w:r>
        <w:rPr>
          <w:rFonts w:ascii="Times New Roman"/>
        </w:rPr>
        <w:fldChar w:fldCharType="begin"/>
      </w:r>
      <w:r>
        <w:rPr>
          <w:rFonts w:ascii="Times New Roman"/>
        </w:rPr>
        <w:instrText xml:space="preserve"> PAGEREF _Toc162597503 \h </w:instrText>
      </w:r>
      <w:r>
        <w:rPr>
          <w:rFonts w:ascii="Times New Roman"/>
        </w:rPr>
        <w:fldChar w:fldCharType="separate"/>
      </w:r>
      <w:r>
        <w:rPr>
          <w:rFonts w:ascii="Times New Roman"/>
        </w:rPr>
        <w:t>16</w:t>
      </w:r>
      <w:r>
        <w:rPr>
          <w:rFonts w:ascii="Times New Roman"/>
        </w:rPr>
        <w:fldChar w:fldCharType="end"/>
      </w:r>
      <w:r>
        <w:rPr>
          <w:rFonts w:ascii="Times New Roman"/>
        </w:rPr>
        <w:fldChar w:fldCharType="end"/>
      </w:r>
    </w:p>
    <w:p>
      <w:pPr>
        <w:pStyle w:val="21"/>
        <w:spacing w:before="78" w:after="78"/>
        <w:rPr>
          <w:rFonts w:ascii="Times New Roman" w:eastAsiaTheme="minorEastAsia"/>
          <w:szCs w:val="22"/>
          <w14:ligatures w14:val="standardContextual"/>
        </w:rPr>
      </w:pPr>
      <w:r>
        <w:fldChar w:fldCharType="begin"/>
      </w:r>
      <w:r>
        <w:instrText xml:space="preserve"> HYPERLINK \l "_Toc162597504" </w:instrText>
      </w:r>
      <w:r>
        <w:fldChar w:fldCharType="separate"/>
      </w:r>
      <w:r>
        <w:rPr>
          <w:rStyle w:val="42"/>
          <w:rFonts w:ascii="Times New Roman"/>
        </w:rPr>
        <w:t>附　录　A</w:t>
      </w:r>
      <w:r>
        <w:rPr>
          <w:rFonts w:ascii="Times New Roman"/>
        </w:rPr>
        <w:tab/>
      </w:r>
      <w:r>
        <w:rPr>
          <w:rFonts w:ascii="Times New Roman"/>
        </w:rPr>
        <w:fldChar w:fldCharType="begin"/>
      </w:r>
      <w:r>
        <w:rPr>
          <w:rFonts w:ascii="Times New Roman"/>
        </w:rPr>
        <w:instrText xml:space="preserve"> PAGEREF _Toc162597504 \h </w:instrText>
      </w:r>
      <w:r>
        <w:rPr>
          <w:rFonts w:ascii="Times New Roman"/>
        </w:rPr>
        <w:fldChar w:fldCharType="separate"/>
      </w:r>
      <w:r>
        <w:rPr>
          <w:rFonts w:ascii="Times New Roman"/>
        </w:rPr>
        <w:t>18</w:t>
      </w:r>
      <w:r>
        <w:rPr>
          <w:rFonts w:ascii="Times New Roman"/>
        </w:rPr>
        <w:fldChar w:fldCharType="end"/>
      </w:r>
      <w:r>
        <w:rPr>
          <w:rFonts w:ascii="Times New Roman"/>
        </w:rPr>
        <w:fldChar w:fldCharType="end"/>
      </w:r>
    </w:p>
    <w:p>
      <w:pPr>
        <w:pStyle w:val="21"/>
        <w:spacing w:before="78" w:after="78"/>
        <w:rPr>
          <w:rFonts w:ascii="Times New Roman" w:eastAsiaTheme="minorEastAsia"/>
          <w:szCs w:val="22"/>
          <w14:ligatures w14:val="standardContextual"/>
        </w:rPr>
      </w:pPr>
      <w:r>
        <w:fldChar w:fldCharType="begin"/>
      </w:r>
      <w:r>
        <w:instrText xml:space="preserve"> HYPERLINK \l "_Toc162597506" </w:instrText>
      </w:r>
      <w:r>
        <w:fldChar w:fldCharType="separate"/>
      </w:r>
      <w:r>
        <w:rPr>
          <w:rStyle w:val="42"/>
          <w:rFonts w:ascii="Times New Roman"/>
        </w:rPr>
        <w:t>附　录　B</w:t>
      </w:r>
      <w:r>
        <w:rPr>
          <w:rFonts w:ascii="Times New Roman"/>
        </w:rPr>
        <w:tab/>
      </w:r>
      <w:r>
        <w:rPr>
          <w:rFonts w:ascii="Times New Roman"/>
        </w:rPr>
        <w:fldChar w:fldCharType="begin"/>
      </w:r>
      <w:r>
        <w:rPr>
          <w:rFonts w:ascii="Times New Roman"/>
        </w:rPr>
        <w:instrText xml:space="preserve"> PAGEREF _Toc162597506 \h </w:instrText>
      </w:r>
      <w:r>
        <w:rPr>
          <w:rFonts w:ascii="Times New Roman"/>
        </w:rPr>
        <w:fldChar w:fldCharType="separate"/>
      </w:r>
      <w:r>
        <w:rPr>
          <w:rFonts w:ascii="Times New Roman"/>
        </w:rPr>
        <w:t>19</w:t>
      </w:r>
      <w:r>
        <w:rPr>
          <w:rFonts w:ascii="Times New Roman"/>
        </w:rPr>
        <w:fldChar w:fldCharType="end"/>
      </w:r>
      <w:r>
        <w:rPr>
          <w:rFonts w:ascii="Times New Roman"/>
        </w:rPr>
        <w:fldChar w:fldCharType="end"/>
      </w:r>
    </w:p>
    <w:p>
      <w:pPr>
        <w:pStyle w:val="21"/>
        <w:spacing w:before="78" w:after="78"/>
        <w:rPr>
          <w:rFonts w:ascii="Times New Roman" w:eastAsiaTheme="minorEastAsia"/>
          <w:szCs w:val="22"/>
          <w14:ligatures w14:val="standardContextual"/>
        </w:rPr>
      </w:pPr>
      <w:r>
        <w:fldChar w:fldCharType="begin"/>
      </w:r>
      <w:r>
        <w:instrText xml:space="preserve"> HYPERLINK \l "_Toc162597508" </w:instrText>
      </w:r>
      <w:r>
        <w:fldChar w:fldCharType="separate"/>
      </w:r>
      <w:r>
        <w:rPr>
          <w:rStyle w:val="42"/>
          <w:rFonts w:ascii="Times New Roman"/>
        </w:rPr>
        <w:t>附　录　C</w:t>
      </w:r>
      <w:r>
        <w:rPr>
          <w:rFonts w:ascii="Times New Roman"/>
        </w:rPr>
        <w:tab/>
      </w:r>
      <w:r>
        <w:rPr>
          <w:rFonts w:ascii="Times New Roman"/>
        </w:rPr>
        <w:fldChar w:fldCharType="begin"/>
      </w:r>
      <w:r>
        <w:rPr>
          <w:rFonts w:ascii="Times New Roman"/>
        </w:rPr>
        <w:instrText xml:space="preserve"> PAGEREF _Toc162597508 \h </w:instrText>
      </w:r>
      <w:r>
        <w:rPr>
          <w:rFonts w:ascii="Times New Roman"/>
        </w:rPr>
        <w:fldChar w:fldCharType="separate"/>
      </w:r>
      <w:r>
        <w:rPr>
          <w:rFonts w:ascii="Times New Roman"/>
        </w:rPr>
        <w:t>22</w:t>
      </w:r>
      <w:r>
        <w:rPr>
          <w:rFonts w:ascii="Times New Roman"/>
        </w:rPr>
        <w:fldChar w:fldCharType="end"/>
      </w:r>
      <w:r>
        <w:rPr>
          <w:rFonts w:ascii="Times New Roman"/>
        </w:rPr>
        <w:fldChar w:fldCharType="end"/>
      </w:r>
    </w:p>
    <w:p>
      <w:pPr>
        <w:pStyle w:val="21"/>
        <w:spacing w:before="78" w:after="78"/>
        <w:rPr>
          <w:rFonts w:ascii="Times New Roman" w:eastAsiaTheme="minorEastAsia"/>
          <w:szCs w:val="22"/>
          <w14:ligatures w14:val="standardContextual"/>
        </w:rPr>
      </w:pPr>
      <w:r>
        <w:fldChar w:fldCharType="begin"/>
      </w:r>
      <w:r>
        <w:instrText xml:space="preserve"> HYPERLINK \l "_Toc162597510" </w:instrText>
      </w:r>
      <w:r>
        <w:fldChar w:fldCharType="separate"/>
      </w:r>
      <w:r>
        <w:rPr>
          <w:rStyle w:val="42"/>
          <w:rFonts w:ascii="Times New Roman"/>
        </w:rPr>
        <w:t>附　录　D</w:t>
      </w:r>
      <w:r>
        <w:rPr>
          <w:rFonts w:ascii="Times New Roman"/>
        </w:rPr>
        <w:tab/>
      </w:r>
      <w:r>
        <w:rPr>
          <w:rFonts w:ascii="Times New Roman"/>
        </w:rPr>
        <w:fldChar w:fldCharType="begin"/>
      </w:r>
      <w:r>
        <w:rPr>
          <w:rFonts w:ascii="Times New Roman"/>
        </w:rPr>
        <w:instrText xml:space="preserve"> PAGEREF _Toc162597510 \h </w:instrText>
      </w:r>
      <w:r>
        <w:rPr>
          <w:rFonts w:ascii="Times New Roman"/>
        </w:rPr>
        <w:fldChar w:fldCharType="separate"/>
      </w:r>
      <w:r>
        <w:rPr>
          <w:rFonts w:ascii="Times New Roman"/>
        </w:rPr>
        <w:t>23</w:t>
      </w:r>
      <w:r>
        <w:rPr>
          <w:rFonts w:ascii="Times New Roman"/>
        </w:rPr>
        <w:fldChar w:fldCharType="end"/>
      </w:r>
      <w:r>
        <w:rPr>
          <w:rFonts w:ascii="Times New Roman"/>
        </w:rPr>
        <w:fldChar w:fldCharType="end"/>
      </w:r>
    </w:p>
    <w:p>
      <w:pPr>
        <w:pStyle w:val="21"/>
        <w:spacing w:before="78" w:after="78"/>
        <w:rPr>
          <w:rFonts w:ascii="Times New Roman" w:eastAsiaTheme="minorEastAsia"/>
          <w:szCs w:val="22"/>
          <w14:ligatures w14:val="standardContextual"/>
        </w:rPr>
      </w:pPr>
      <w:r>
        <w:fldChar w:fldCharType="begin"/>
      </w:r>
      <w:r>
        <w:instrText xml:space="preserve"> HYPERLINK \l "_Toc162597513" </w:instrText>
      </w:r>
      <w:r>
        <w:fldChar w:fldCharType="separate"/>
      </w:r>
      <w:r>
        <w:rPr>
          <w:rStyle w:val="42"/>
          <w:rFonts w:ascii="Times New Roman"/>
        </w:rPr>
        <w:t>附　录　E</w:t>
      </w:r>
      <w:r>
        <w:rPr>
          <w:rFonts w:ascii="Times New Roman"/>
        </w:rPr>
        <w:tab/>
      </w:r>
      <w:r>
        <w:rPr>
          <w:rFonts w:ascii="Times New Roman"/>
        </w:rPr>
        <w:fldChar w:fldCharType="begin"/>
      </w:r>
      <w:r>
        <w:rPr>
          <w:rFonts w:ascii="Times New Roman"/>
        </w:rPr>
        <w:instrText xml:space="preserve"> PAGEREF _Toc162597513 \h </w:instrText>
      </w:r>
      <w:r>
        <w:rPr>
          <w:rFonts w:ascii="Times New Roman"/>
        </w:rPr>
        <w:fldChar w:fldCharType="separate"/>
      </w:r>
      <w:r>
        <w:rPr>
          <w:rFonts w:ascii="Times New Roman"/>
        </w:rPr>
        <w:t>25</w:t>
      </w:r>
      <w:r>
        <w:rPr>
          <w:rFonts w:ascii="Times New Roman"/>
        </w:rPr>
        <w:fldChar w:fldCharType="end"/>
      </w:r>
      <w:r>
        <w:rPr>
          <w:rFonts w:ascii="Times New Roman"/>
        </w:rPr>
        <w:fldChar w:fldCharType="end"/>
      </w:r>
    </w:p>
    <w:p>
      <w:pPr>
        <w:pStyle w:val="30"/>
        <w:ind w:left="210"/>
        <w:rPr>
          <w:rFonts w:ascii="Times New Roman" w:eastAsiaTheme="minorEastAsia"/>
          <w:szCs w:val="22"/>
          <w14:ligatures w14:val="standardContextual"/>
        </w:rPr>
      </w:pPr>
    </w:p>
    <w:p>
      <w:pPr>
        <w:tabs>
          <w:tab w:val="left" w:pos="8647"/>
        </w:tabs>
        <w:ind w:firstLine="420" w:firstLineChars="200"/>
        <w:rPr>
          <w:szCs w:val="21"/>
        </w:rPr>
      </w:pPr>
      <w:r>
        <w:rPr>
          <w:szCs w:val="21"/>
        </w:rPr>
        <w:fldChar w:fldCharType="end"/>
      </w:r>
    </w:p>
    <w:p>
      <w:pPr>
        <w:pStyle w:val="116"/>
        <w:rPr>
          <w:rFonts w:ascii="Times New Roman"/>
          <w:szCs w:val="21"/>
        </w:rPr>
      </w:pPr>
      <w:bookmarkStart w:id="13" w:name="_Toc475694823"/>
      <w:bookmarkStart w:id="14" w:name="_Toc12211"/>
      <w:bookmarkStart w:id="15" w:name="_Toc162597273"/>
      <w:r>
        <w:rPr>
          <w:rFonts w:ascii="Times New Roman"/>
        </w:rPr>
        <w:t>前</w:t>
      </w:r>
      <w:bookmarkStart w:id="16" w:name="BKQY"/>
      <w:r>
        <w:rPr>
          <w:rFonts w:ascii="Times New Roman"/>
        </w:rPr>
        <w:t> 言</w:t>
      </w:r>
      <w:bookmarkEnd w:id="13"/>
      <w:bookmarkEnd w:id="14"/>
      <w:bookmarkEnd w:id="15"/>
      <w:bookmarkEnd w:id="16"/>
    </w:p>
    <w:p>
      <w:pPr>
        <w:pStyle w:val="25"/>
        <w:ind w:firstLine="420"/>
      </w:pPr>
      <w:r>
        <w:t>本文件按照GB/T 1.1—2020《标准化工作导则  第1部分：标准化文件的结构和起草规则》的规定起草。</w:t>
      </w:r>
    </w:p>
    <w:p>
      <w:pPr>
        <w:pStyle w:val="25"/>
        <w:ind w:firstLine="420"/>
      </w:pPr>
      <w:r>
        <w:t>本文件由河北省水利厅提出并归口。</w:t>
      </w:r>
    </w:p>
    <w:p>
      <w:pPr>
        <w:pStyle w:val="25"/>
        <w:ind w:firstLine="420"/>
      </w:pPr>
      <w:r>
        <w:t>本文件起草单位：</w:t>
      </w:r>
    </w:p>
    <w:p>
      <w:pPr>
        <w:pStyle w:val="25"/>
        <w:ind w:firstLine="420"/>
      </w:pPr>
      <w:r>
        <w:t>本文件主要起草人：</w:t>
      </w:r>
    </w:p>
    <w:p>
      <w:pPr>
        <w:pStyle w:val="25"/>
        <w:ind w:firstLine="420"/>
      </w:pPr>
      <w:r>
        <w:t>本文件为首次发布。</w:t>
      </w:r>
    </w:p>
    <w:p/>
    <w:p>
      <w:pPr>
        <w:widowControl/>
        <w:jc w:val="left"/>
        <w:rPr>
          <w:szCs w:val="21"/>
        </w:rPr>
      </w:pPr>
      <w:r>
        <w:rPr>
          <w:szCs w:val="21"/>
        </w:rPr>
        <w:br w:type="page"/>
      </w:r>
    </w:p>
    <w:p>
      <w:pPr>
        <w:pStyle w:val="25"/>
        <w:ind w:firstLine="420"/>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p>
    <w:p>
      <w:pPr>
        <w:pStyle w:val="54"/>
        <w:rPr>
          <w:rFonts w:ascii="Times New Roman"/>
        </w:rPr>
      </w:pPr>
      <w:r>
        <w:rPr>
          <w:rFonts w:ascii="Times New Roman"/>
        </w:rPr>
        <w:t>河湖生态清淤工程勘察测量技术规程</w:t>
      </w:r>
    </w:p>
    <w:p>
      <w:pPr>
        <w:pStyle w:val="49"/>
        <w:spacing w:before="312" w:after="312"/>
        <w:rPr>
          <w:rFonts w:ascii="Times New Roman"/>
          <w:szCs w:val="21"/>
        </w:rPr>
      </w:pPr>
      <w:bookmarkStart w:id="17" w:name="_Toc162597274"/>
      <w:r>
        <w:rPr>
          <w:rFonts w:ascii="Times New Roman"/>
          <w:szCs w:val="21"/>
        </w:rPr>
        <w:t>范围</w:t>
      </w:r>
      <w:bookmarkEnd w:id="17"/>
    </w:p>
    <w:p>
      <w:pPr>
        <w:pStyle w:val="25"/>
        <w:ind w:firstLine="420"/>
      </w:pPr>
      <w:r>
        <w:t>本文件规定了河道、湖（淀）泊、水库生态清淤工程勘察、测量的</w:t>
      </w:r>
      <w:r>
        <w:rPr>
          <w:rFonts w:hint="eastAsia"/>
          <w:lang w:val="en-US" w:eastAsia="zh-CN"/>
        </w:rPr>
        <w:t>术语定义</w:t>
      </w:r>
      <w:r>
        <w:t>、基本</w:t>
      </w:r>
      <w:r>
        <w:rPr>
          <w:rFonts w:hint="eastAsia"/>
          <w:lang w:val="en-US" w:eastAsia="zh-CN"/>
        </w:rPr>
        <w:t>规定</w:t>
      </w:r>
      <w:r>
        <w:t>和</w:t>
      </w:r>
      <w:r>
        <w:rPr>
          <w:rFonts w:hint="eastAsia"/>
          <w:lang w:val="en-US" w:eastAsia="zh-CN"/>
        </w:rPr>
        <w:t>工程测量的主要内容</w:t>
      </w:r>
      <w:r>
        <w:t>。</w:t>
      </w:r>
    </w:p>
    <w:p>
      <w:pPr>
        <w:pStyle w:val="25"/>
        <w:ind w:firstLine="420"/>
      </w:pPr>
      <w:r>
        <w:t>本文件适用于河道、湖（淀）泊、水库等生态清淤</w:t>
      </w:r>
      <w:r>
        <w:rPr>
          <w:rFonts w:hint="eastAsia"/>
          <w:lang w:val="en-US" w:eastAsia="zh-CN"/>
        </w:rPr>
        <w:t>工程</w:t>
      </w:r>
      <w:r>
        <w:t>的勘察和测量工作。</w:t>
      </w:r>
    </w:p>
    <w:p>
      <w:pPr>
        <w:pStyle w:val="49"/>
        <w:spacing w:before="312" w:after="312"/>
        <w:rPr>
          <w:rFonts w:ascii="Times New Roman"/>
          <w:szCs w:val="21"/>
        </w:rPr>
      </w:pPr>
      <w:bookmarkStart w:id="18" w:name="_Toc162597275"/>
      <w:r>
        <w:rPr>
          <w:rFonts w:ascii="Times New Roman"/>
          <w:szCs w:val="21"/>
        </w:rPr>
        <w:t>规范性引用文件</w:t>
      </w:r>
      <w:bookmarkEnd w:id="18"/>
    </w:p>
    <w:p>
      <w:pPr>
        <w:pStyle w:val="25"/>
        <w:ind w:firstLine="420"/>
      </w:pPr>
      <w: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5"/>
        <w:ind w:firstLine="420"/>
      </w:pPr>
      <w:r>
        <w:t>GB 55017 工程勘察通用规范</w:t>
      </w:r>
    </w:p>
    <w:p>
      <w:pPr>
        <w:pStyle w:val="25"/>
        <w:ind w:firstLine="420"/>
      </w:pPr>
      <w:r>
        <w:t>GB 55018 工程测量通用规范</w:t>
      </w:r>
    </w:p>
    <w:p>
      <w:pPr>
        <w:pStyle w:val="25"/>
        <w:ind w:firstLine="420"/>
      </w:pPr>
      <w:r>
        <w:t>GB 50021 岩土工程勘察规范(2009年版)</w:t>
      </w:r>
    </w:p>
    <w:p>
      <w:pPr>
        <w:pStyle w:val="25"/>
        <w:ind w:firstLine="420"/>
      </w:pPr>
      <w:r>
        <w:t>GB 50487 水利水电工程地质勘察规范（2022年局部修订）</w:t>
      </w:r>
    </w:p>
    <w:p>
      <w:pPr>
        <w:pStyle w:val="25"/>
        <w:ind w:firstLine="420"/>
      </w:pPr>
      <w:r>
        <w:t>GB 50026 工程测量规范</w:t>
      </w:r>
    </w:p>
    <w:p>
      <w:pPr>
        <w:pStyle w:val="25"/>
        <w:ind w:firstLine="420"/>
      </w:pPr>
      <w:r>
        <w:t>GB/T 50123 土工试验方法标准</w:t>
      </w:r>
    </w:p>
    <w:p>
      <w:pPr>
        <w:pStyle w:val="25"/>
        <w:ind w:firstLine="420"/>
      </w:pPr>
      <w:r>
        <w:t>GB 50021 地表水环境质量标准</w:t>
      </w:r>
    </w:p>
    <w:p>
      <w:pPr>
        <w:pStyle w:val="25"/>
        <w:ind w:firstLine="420"/>
      </w:pPr>
      <w:r>
        <w:t>GB/T 42640 多波束水下地形测量技术规范</w:t>
      </w:r>
    </w:p>
    <w:p>
      <w:pPr>
        <w:pStyle w:val="25"/>
        <w:ind w:firstLine="420"/>
      </w:pPr>
      <w:r>
        <w:t>GB/T 50138 水位观测标准</w:t>
      </w:r>
    </w:p>
    <w:p>
      <w:pPr>
        <w:pStyle w:val="25"/>
        <w:ind w:firstLine="420"/>
      </w:pPr>
      <w:r>
        <w:t>SL 52 水利水电工程施工测量规范</w:t>
      </w:r>
    </w:p>
    <w:p>
      <w:pPr>
        <w:pStyle w:val="25"/>
        <w:ind w:firstLine="420"/>
      </w:pPr>
      <w:r>
        <w:t>SL 197 水利水电工程测量规范</w:t>
      </w:r>
    </w:p>
    <w:p>
      <w:pPr>
        <w:pStyle w:val="25"/>
        <w:ind w:firstLine="420"/>
      </w:pPr>
      <w:r>
        <w:t>SL 55 中小型水利水电工程地质勘察规范</w:t>
      </w:r>
    </w:p>
    <w:p>
      <w:pPr>
        <w:pStyle w:val="25"/>
        <w:ind w:firstLine="420"/>
      </w:pPr>
      <w:r>
        <w:t>SL 652 水库枢纽工程地质勘察规范</w:t>
      </w:r>
    </w:p>
    <w:p>
      <w:pPr>
        <w:pStyle w:val="25"/>
        <w:ind w:firstLine="420"/>
      </w:pPr>
      <w:r>
        <w:t>SL 223 水利水电建设工程验收规程</w:t>
      </w:r>
    </w:p>
    <w:p>
      <w:pPr>
        <w:pStyle w:val="25"/>
        <w:ind w:firstLine="420"/>
      </w:pPr>
      <w:r>
        <w:t>SL 17 疏浚与吹填工程技术规范</w:t>
      </w:r>
    </w:p>
    <w:p>
      <w:pPr>
        <w:pStyle w:val="25"/>
        <w:ind w:firstLine="420"/>
      </w:pPr>
      <w:r>
        <w:t>SL/T 800 河湖生态系统保护与修复工程技术导则</w:t>
      </w:r>
    </w:p>
    <w:p>
      <w:pPr>
        <w:pStyle w:val="25"/>
        <w:ind w:firstLine="420"/>
      </w:pPr>
      <w:r>
        <w:t>DL/T 5336 水电水利工程水库区工程地质勘察技术规程</w:t>
      </w:r>
    </w:p>
    <w:p>
      <w:pPr>
        <w:pStyle w:val="25"/>
        <w:ind w:firstLine="420"/>
      </w:pPr>
      <w:r>
        <w:t>JTS 181-5 清淤与吹填工程设计规范</w:t>
      </w:r>
    </w:p>
    <w:p>
      <w:pPr>
        <w:pStyle w:val="25"/>
        <w:ind w:firstLine="420"/>
      </w:pPr>
      <w:r>
        <w:t>JTJ 319 清淤工程技术规范</w:t>
      </w:r>
    </w:p>
    <w:p>
      <w:pPr>
        <w:pStyle w:val="25"/>
        <w:ind w:firstLine="420"/>
      </w:pPr>
      <w:r>
        <w:t>CH/T 7003 内陆水域水下地形测量技术规程</w:t>
      </w:r>
    </w:p>
    <w:p>
      <w:pPr>
        <w:pStyle w:val="25"/>
        <w:ind w:firstLine="420"/>
      </w:pPr>
      <w:r>
        <w:t>CH/T 7002 无人船水下地形测量技术规程</w:t>
      </w:r>
    </w:p>
    <w:p>
      <w:pPr>
        <w:pStyle w:val="25"/>
        <w:ind w:firstLine="420"/>
      </w:pPr>
      <w:r>
        <w:t>CH/T 1004 测绘技术设计规定</w:t>
      </w:r>
    </w:p>
    <w:p>
      <w:pPr>
        <w:pStyle w:val="25"/>
        <w:ind w:firstLine="420"/>
      </w:pPr>
      <w:r>
        <w:t>CH/T 2009 全球定位系统实时动态测量（RTK）技术规范</w:t>
      </w:r>
    </w:p>
    <w:p>
      <w:pPr>
        <w:pStyle w:val="25"/>
        <w:ind w:firstLine="420"/>
      </w:pPr>
      <w:r>
        <w:t>DB 13/T 5360 水利工程项目划分导则</w:t>
      </w:r>
    </w:p>
    <w:p>
      <w:pPr>
        <w:pStyle w:val="25"/>
        <w:ind w:firstLine="420"/>
      </w:pPr>
      <w:r>
        <w:t>DB 13/T 5606 河湖生态清淤技术规程</w:t>
      </w:r>
    </w:p>
    <w:p>
      <w:pPr>
        <w:pStyle w:val="25"/>
        <w:ind w:firstLine="420"/>
      </w:pPr>
      <w:r>
        <w:t>DB 33/T 1337 河湖水库清淤技术规程</w:t>
      </w:r>
    </w:p>
    <w:p>
      <w:pPr>
        <w:pStyle w:val="25"/>
        <w:ind w:firstLine="420"/>
      </w:pPr>
      <w:r>
        <w:t>DB 32/T 3258 河湖生态疏浚工程施工技术规范</w:t>
      </w:r>
    </w:p>
    <w:p>
      <w:pPr>
        <w:pStyle w:val="25"/>
        <w:ind w:firstLine="420"/>
      </w:pPr>
      <w:r>
        <w:t>T/CECS 1182 疏浚淤泥场地建筑地基基础技术规程</w:t>
      </w:r>
    </w:p>
    <w:p>
      <w:pPr>
        <w:pStyle w:val="25"/>
        <w:ind w:firstLine="420"/>
        <w:rPr>
          <w:color w:val="000000"/>
          <w:szCs w:val="21"/>
          <w:shd w:val="clear" w:color="auto" w:fill="FFFFFF"/>
        </w:rPr>
      </w:pPr>
      <w:r>
        <w:t>湖泊河流环保疏浚工程技术指南（试行）</w:t>
      </w:r>
    </w:p>
    <w:p>
      <w:pPr>
        <w:pStyle w:val="49"/>
        <w:spacing w:before="312" w:after="312"/>
        <w:rPr>
          <w:rFonts w:ascii="Times New Roman"/>
          <w:szCs w:val="21"/>
        </w:rPr>
      </w:pPr>
      <w:bookmarkStart w:id="19" w:name="_Toc162597276"/>
      <w:r>
        <w:rPr>
          <w:rFonts w:ascii="Times New Roman"/>
          <w:szCs w:val="21"/>
        </w:rPr>
        <w:t>术语和定义</w:t>
      </w:r>
      <w:bookmarkEnd w:id="19"/>
    </w:p>
    <w:p>
      <w:pPr>
        <w:pStyle w:val="25"/>
        <w:ind w:firstLine="420"/>
      </w:pPr>
      <w:r>
        <w:t>下列术语和定义适用于本文件。</w:t>
      </w:r>
    </w:p>
    <w:p>
      <w:pPr>
        <w:pStyle w:val="46"/>
        <w:tabs>
          <w:tab w:val="center" w:pos="4201"/>
          <w:tab w:val="right" w:leader="dot" w:pos="9298"/>
        </w:tabs>
        <w:rPr>
          <w:rFonts w:ascii="Times New Roman"/>
          <w:bCs/>
        </w:rPr>
      </w:pPr>
      <w:bookmarkStart w:id="20" w:name="_Toc19207"/>
      <w:bookmarkEnd w:id="20"/>
      <w:bookmarkStart w:id="21" w:name="_Toc11583"/>
      <w:bookmarkEnd w:id="21"/>
      <w:bookmarkStart w:id="22" w:name="_Toc8193"/>
      <w:bookmarkEnd w:id="22"/>
      <w:bookmarkStart w:id="23" w:name="_Toc24371"/>
      <w:bookmarkEnd w:id="23"/>
      <w:bookmarkStart w:id="24" w:name="_Toc15279"/>
      <w:bookmarkEnd w:id="24"/>
      <w:bookmarkStart w:id="25" w:name="_Toc29512"/>
      <w:bookmarkEnd w:id="25"/>
      <w:bookmarkStart w:id="26" w:name="_Toc29308"/>
      <w:bookmarkEnd w:id="26"/>
      <w:bookmarkStart w:id="27" w:name="_Toc3251"/>
      <w:bookmarkEnd w:id="27"/>
      <w:bookmarkStart w:id="28" w:name="_Toc162597277"/>
      <w:bookmarkStart w:id="29" w:name="_Toc57297958"/>
      <w:r>
        <w:rPr>
          <w:rFonts w:ascii="Times New Roman"/>
          <w:bCs/>
        </w:rPr>
        <w:t>清淤工程</w:t>
      </w:r>
      <w:bookmarkEnd w:id="28"/>
    </w:p>
    <w:p>
      <w:pPr>
        <w:pStyle w:val="25"/>
        <w:ind w:firstLine="420"/>
      </w:pPr>
      <w:r>
        <w:t>为恢复防洪排涝、供水灌溉、航运等水体功能或实现水环境改善、水生态修复目的，采用人工或机械方式将淤泥清除至水域外，并对淤泥进行科学合理处置的工程项目。</w:t>
      </w:r>
    </w:p>
    <w:p>
      <w:pPr>
        <w:pStyle w:val="46"/>
        <w:tabs>
          <w:tab w:val="center" w:pos="4201"/>
          <w:tab w:val="right" w:leader="dot" w:pos="9298"/>
        </w:tabs>
        <w:rPr>
          <w:rFonts w:ascii="Times New Roman"/>
          <w:bCs/>
        </w:rPr>
      </w:pPr>
      <w:bookmarkStart w:id="30" w:name="_Toc162597278"/>
      <w:r>
        <w:rPr>
          <w:rFonts w:ascii="Times New Roman"/>
          <w:bCs/>
        </w:rPr>
        <w:t>河湖淤泥</w:t>
      </w:r>
      <w:bookmarkEnd w:id="30"/>
      <w:r>
        <w:rPr>
          <w:rFonts w:ascii="Times New Roman"/>
          <w:bCs/>
        </w:rPr>
        <w:t xml:space="preserve"> </w:t>
      </w:r>
    </w:p>
    <w:p>
      <w:pPr>
        <w:pStyle w:val="25"/>
        <w:ind w:firstLine="420"/>
      </w:pPr>
      <w:r>
        <w:t>河道、湖（淀）泊、水库水体底部在静水或缓慢的流水环境中沉积，经物理、化学和生物作用形成的、未固结的细粒或极细粒土的泥状土层，土层颗粒组成以粘粒和粉粒为主。淤泥状态分类见附录A。</w:t>
      </w:r>
    </w:p>
    <w:bookmarkEnd w:id="29"/>
    <w:p>
      <w:pPr>
        <w:pStyle w:val="46"/>
        <w:rPr>
          <w:rFonts w:ascii="Times New Roman"/>
          <w:bCs/>
        </w:rPr>
      </w:pPr>
      <w:bookmarkStart w:id="31" w:name="_Toc2709"/>
      <w:bookmarkEnd w:id="31"/>
      <w:bookmarkStart w:id="32" w:name="_Toc556"/>
      <w:bookmarkEnd w:id="32"/>
      <w:bookmarkStart w:id="33" w:name="_Toc11383"/>
      <w:bookmarkEnd w:id="33"/>
      <w:bookmarkStart w:id="34" w:name="_Toc26359"/>
      <w:bookmarkEnd w:id="34"/>
      <w:bookmarkStart w:id="35" w:name="_Toc2800"/>
      <w:bookmarkEnd w:id="35"/>
      <w:bookmarkStart w:id="36" w:name="_Toc4850"/>
      <w:bookmarkEnd w:id="36"/>
      <w:bookmarkStart w:id="37" w:name="_Toc14967"/>
      <w:bookmarkEnd w:id="37"/>
      <w:bookmarkStart w:id="38" w:name="_Toc21397"/>
      <w:bookmarkEnd w:id="38"/>
      <w:bookmarkStart w:id="39" w:name="_Toc162597279"/>
      <w:r>
        <w:rPr>
          <w:rFonts w:ascii="Times New Roman"/>
          <w:bCs/>
        </w:rPr>
        <w:t>生态清淤工程区域</w:t>
      </w:r>
      <w:bookmarkEnd w:id="39"/>
    </w:p>
    <w:p>
      <w:pPr>
        <w:pStyle w:val="25"/>
        <w:ind w:firstLine="420"/>
      </w:pPr>
      <w:r>
        <w:t>包括清淤工程实施区、</w:t>
      </w:r>
      <w:r>
        <w:rPr>
          <w:highlight w:val="none"/>
        </w:rPr>
        <w:t>工程影响区</w:t>
      </w:r>
      <w:r>
        <w:t>以及清淤形成淤泥堆存、处置区域。</w:t>
      </w:r>
    </w:p>
    <w:p>
      <w:pPr>
        <w:pStyle w:val="46"/>
        <w:rPr>
          <w:rFonts w:ascii="Times New Roman"/>
          <w:bCs/>
        </w:rPr>
      </w:pPr>
      <w:bookmarkStart w:id="40" w:name="_Toc162597280"/>
      <w:r>
        <w:rPr>
          <w:rFonts w:ascii="Times New Roman"/>
          <w:bCs/>
        </w:rPr>
        <w:t>生态清淤工程测量</w:t>
      </w:r>
      <w:bookmarkEnd w:id="40"/>
      <w:r>
        <w:rPr>
          <w:rFonts w:ascii="Times New Roman"/>
          <w:bCs/>
        </w:rPr>
        <w:t xml:space="preserve"> </w:t>
      </w:r>
    </w:p>
    <w:p>
      <w:pPr>
        <w:pStyle w:val="25"/>
        <w:ind w:firstLine="420"/>
      </w:pPr>
      <w:r>
        <w:t>在河道、湖（淀）泊、水库清淤工程等建设各阶段中，开展对清淤工程实施区、清淤工程影响区及清淤工程淤泥堆存、处置区等场地的一系列测量工作，</w:t>
      </w:r>
      <w:r>
        <w:rPr>
          <w:highlight w:val="none"/>
        </w:rPr>
        <w:t>为</w:t>
      </w:r>
      <w:r>
        <w:rPr>
          <w:rFonts w:hint="eastAsia"/>
          <w:highlight w:val="none"/>
          <w:lang w:val="en-US" w:eastAsia="zh-CN"/>
        </w:rPr>
        <w:t>业主、</w:t>
      </w:r>
      <w:r>
        <w:rPr>
          <w:highlight w:val="none"/>
        </w:rPr>
        <w:t>设计、施工和</w:t>
      </w:r>
      <w:r>
        <w:rPr>
          <w:rFonts w:hint="eastAsia"/>
          <w:highlight w:val="none"/>
          <w:lang w:val="en-US" w:eastAsia="zh-CN"/>
        </w:rPr>
        <w:t>项目</w:t>
      </w:r>
      <w:r>
        <w:rPr>
          <w:highlight w:val="none"/>
        </w:rPr>
        <w:t>管理提供基础测绘数据的活动</w:t>
      </w:r>
      <w:r>
        <w:t>。</w:t>
      </w:r>
    </w:p>
    <w:p>
      <w:pPr>
        <w:pStyle w:val="46"/>
        <w:rPr>
          <w:rFonts w:ascii="Times New Roman"/>
          <w:bCs/>
        </w:rPr>
      </w:pPr>
      <w:bookmarkStart w:id="41" w:name="_Toc162519958"/>
      <w:bookmarkEnd w:id="41"/>
      <w:bookmarkStart w:id="42" w:name="_Toc162597037"/>
      <w:bookmarkEnd w:id="42"/>
      <w:bookmarkStart w:id="43" w:name="_Toc162520428"/>
      <w:bookmarkEnd w:id="43"/>
      <w:bookmarkStart w:id="44" w:name="_Toc162597281"/>
      <w:bookmarkEnd w:id="44"/>
      <w:bookmarkStart w:id="45" w:name="_Toc162520195"/>
      <w:bookmarkEnd w:id="45"/>
      <w:bookmarkStart w:id="46" w:name="_Toc162527251"/>
      <w:bookmarkEnd w:id="46"/>
      <w:bookmarkStart w:id="47" w:name="_Toc162530761"/>
      <w:bookmarkEnd w:id="47"/>
      <w:bookmarkStart w:id="48" w:name="_Toc162527594"/>
      <w:bookmarkEnd w:id="48"/>
      <w:bookmarkStart w:id="49" w:name="_Toc162530521"/>
      <w:bookmarkEnd w:id="49"/>
      <w:bookmarkStart w:id="50" w:name="_Toc162597282"/>
      <w:r>
        <w:rPr>
          <w:rFonts w:ascii="Times New Roman"/>
          <w:bCs/>
        </w:rPr>
        <w:t>生态清淤工程勘察</w:t>
      </w:r>
      <w:bookmarkEnd w:id="50"/>
      <w:r>
        <w:rPr>
          <w:rFonts w:ascii="Times New Roman"/>
          <w:bCs/>
        </w:rPr>
        <w:t xml:space="preserve"> </w:t>
      </w:r>
    </w:p>
    <w:p>
      <w:pPr>
        <w:pStyle w:val="25"/>
        <w:ind w:firstLine="420"/>
      </w:pPr>
      <w:r>
        <w:t>根据生态清淤工程的要求，查明、分析、评价清淤工程区、清淤工程影响区及淤泥堆场区等场地的地质、环境特征和岩土工程条件，提出岩土的</w:t>
      </w:r>
      <w:r>
        <w:rPr>
          <w:rFonts w:ascii="Times New Roman" w:eastAsia="宋体"/>
        </w:rPr>
        <w:t>物理力学性质、物理化学指标</w:t>
      </w:r>
      <w:r>
        <w:t>，编制勘察文件的活动。</w:t>
      </w:r>
    </w:p>
    <w:p>
      <w:pPr>
        <w:pStyle w:val="46"/>
        <w:rPr>
          <w:rFonts w:ascii="Times New Roman"/>
          <w:bCs/>
        </w:rPr>
      </w:pPr>
      <w:r>
        <w:rPr>
          <w:rFonts w:ascii="Times New Roman"/>
          <w:bCs/>
        </w:rPr>
        <w:t>水下地形测量</w:t>
      </w:r>
    </w:p>
    <w:p>
      <w:pPr>
        <w:pStyle w:val="25"/>
        <w:ind w:firstLine="420"/>
      </w:pPr>
      <w:r>
        <w:t>对水体覆盖下地物、地貌的测量工作。主要包括测深、定位、绘制地形图等。</w:t>
      </w:r>
    </w:p>
    <w:p>
      <w:pPr>
        <w:pStyle w:val="49"/>
        <w:spacing w:before="312" w:after="312"/>
        <w:rPr>
          <w:rFonts w:ascii="Times New Roman"/>
        </w:rPr>
      </w:pPr>
      <w:bookmarkStart w:id="51" w:name="_Toc22162"/>
      <w:bookmarkEnd w:id="51"/>
      <w:bookmarkStart w:id="52" w:name="_Toc3071"/>
      <w:bookmarkEnd w:id="52"/>
      <w:bookmarkStart w:id="53" w:name="_Toc2508"/>
      <w:bookmarkEnd w:id="53"/>
      <w:bookmarkStart w:id="54" w:name="_Toc32190"/>
      <w:bookmarkEnd w:id="54"/>
      <w:bookmarkStart w:id="55" w:name="_Toc15541"/>
      <w:bookmarkEnd w:id="55"/>
      <w:bookmarkStart w:id="56" w:name="_Toc23514"/>
      <w:bookmarkEnd w:id="56"/>
      <w:bookmarkStart w:id="57" w:name="_Toc26821"/>
      <w:bookmarkEnd w:id="57"/>
      <w:bookmarkStart w:id="58" w:name="_Toc14627"/>
      <w:bookmarkEnd w:id="58"/>
      <w:bookmarkStart w:id="59" w:name="_Toc10305"/>
      <w:bookmarkEnd w:id="59"/>
      <w:bookmarkStart w:id="60" w:name="_Toc25946"/>
      <w:bookmarkEnd w:id="60"/>
      <w:bookmarkStart w:id="61" w:name="_Toc20963"/>
      <w:bookmarkEnd w:id="61"/>
      <w:bookmarkStart w:id="62" w:name="_Toc23249"/>
      <w:bookmarkEnd w:id="62"/>
      <w:bookmarkStart w:id="63" w:name="_Toc30182"/>
      <w:bookmarkEnd w:id="63"/>
      <w:bookmarkStart w:id="64" w:name="_Toc26939"/>
      <w:bookmarkEnd w:id="64"/>
      <w:bookmarkStart w:id="65" w:name="_Toc29015"/>
      <w:bookmarkEnd w:id="65"/>
      <w:bookmarkStart w:id="66" w:name="_Toc3362"/>
      <w:bookmarkEnd w:id="66"/>
      <w:bookmarkStart w:id="67" w:name="_Toc27871"/>
      <w:bookmarkEnd w:id="67"/>
      <w:bookmarkStart w:id="68" w:name="_Toc24368"/>
      <w:bookmarkEnd w:id="68"/>
      <w:bookmarkStart w:id="69" w:name="_Toc25283"/>
      <w:bookmarkEnd w:id="69"/>
      <w:bookmarkStart w:id="70" w:name="_Toc2631"/>
      <w:bookmarkEnd w:id="70"/>
      <w:bookmarkStart w:id="71" w:name="_Toc30239"/>
      <w:bookmarkEnd w:id="71"/>
      <w:bookmarkStart w:id="72" w:name="_Toc2578"/>
      <w:bookmarkEnd w:id="72"/>
      <w:bookmarkStart w:id="73" w:name="_Toc2628"/>
      <w:bookmarkEnd w:id="73"/>
      <w:bookmarkStart w:id="74" w:name="_Toc3426"/>
      <w:bookmarkEnd w:id="74"/>
      <w:bookmarkStart w:id="75" w:name="_Toc11049"/>
      <w:bookmarkEnd w:id="75"/>
      <w:bookmarkStart w:id="76" w:name="_Toc18068"/>
      <w:bookmarkEnd w:id="76"/>
      <w:bookmarkStart w:id="77" w:name="_Toc22830"/>
      <w:bookmarkEnd w:id="77"/>
      <w:bookmarkStart w:id="78" w:name="_Toc6093"/>
      <w:bookmarkEnd w:id="78"/>
      <w:bookmarkStart w:id="79" w:name="_Toc28320"/>
      <w:bookmarkEnd w:id="79"/>
      <w:bookmarkStart w:id="80" w:name="_Toc12047"/>
      <w:bookmarkEnd w:id="80"/>
      <w:bookmarkStart w:id="81" w:name="_Toc8478"/>
      <w:bookmarkEnd w:id="81"/>
      <w:bookmarkStart w:id="82" w:name="_Toc22427"/>
      <w:bookmarkEnd w:id="82"/>
      <w:bookmarkStart w:id="83" w:name="_Toc13986"/>
      <w:bookmarkEnd w:id="83"/>
      <w:bookmarkStart w:id="84" w:name="_Toc31809"/>
      <w:bookmarkEnd w:id="84"/>
      <w:bookmarkStart w:id="85" w:name="_Toc8463"/>
      <w:bookmarkEnd w:id="85"/>
      <w:bookmarkStart w:id="86" w:name="_Toc17864"/>
      <w:bookmarkEnd w:id="86"/>
      <w:bookmarkStart w:id="87" w:name="_Toc162597285"/>
      <w:r>
        <w:rPr>
          <w:rFonts w:ascii="Times New Roman"/>
        </w:rPr>
        <w:t>基本规定</w:t>
      </w:r>
      <w:bookmarkEnd w:id="87"/>
    </w:p>
    <w:p>
      <w:pPr>
        <w:pStyle w:val="46"/>
        <w:spacing w:before="0" w:beforeLines="0" w:after="0" w:afterLines="0"/>
        <w:rPr>
          <w:rFonts w:ascii="Times New Roman" w:eastAsia="宋体"/>
        </w:rPr>
      </w:pPr>
      <w:r>
        <w:rPr>
          <w:rFonts w:ascii="宋体" w:hAnsi="宋体" w:eastAsia="宋体"/>
        </w:rPr>
        <w:t>生</w:t>
      </w:r>
      <w:r>
        <w:rPr>
          <w:rFonts w:ascii="Times New Roman" w:eastAsia="宋体"/>
        </w:rPr>
        <w:t>态清淤工程勘察、测量应在收集资料的基础上，查明工程区的气象、水文和工程地质条件，分析评价主要工程地质问题，查明清淤工程范围淤泥物理力学性质、物理化学指标，进行淤泥分类等评价；查明淤泥堆场岩土物理性质，进行地基稳定性评价；开展工程区地形、断面测量，为生态清淤工程设计、施工过程、竣工验收提供基础数据和评价依据。</w:t>
      </w:r>
    </w:p>
    <w:p>
      <w:pPr>
        <w:pStyle w:val="46"/>
        <w:spacing w:before="0" w:beforeLines="0" w:after="0" w:afterLines="0"/>
        <w:rPr>
          <w:rFonts w:ascii="Times New Roman" w:eastAsia="宋体"/>
        </w:rPr>
      </w:pPr>
      <w:r>
        <w:rPr>
          <w:rFonts w:ascii="Times New Roman" w:eastAsia="宋体"/>
          <w:bCs/>
        </w:rPr>
        <w:t>生态清淤工程勘察、测量的工作深度、周期和工作量应与相应设计阶段的工作要求相适应，满足</w:t>
      </w:r>
      <w:r>
        <w:rPr>
          <w:rFonts w:ascii="Times New Roman" w:eastAsia="宋体"/>
        </w:rPr>
        <w:t>DB13T 5606要求。</w:t>
      </w:r>
    </w:p>
    <w:p>
      <w:pPr>
        <w:pStyle w:val="46"/>
        <w:spacing w:before="0" w:beforeLines="0" w:after="0" w:afterLines="0"/>
        <w:rPr>
          <w:rFonts w:ascii="Times New Roman" w:eastAsia="宋体"/>
        </w:rPr>
      </w:pPr>
      <w:r>
        <w:rPr>
          <w:rFonts w:ascii="Times New Roman" w:eastAsia="宋体"/>
          <w:bCs/>
        </w:rPr>
        <w:t>生态</w:t>
      </w:r>
      <w:r>
        <w:rPr>
          <w:rFonts w:ascii="Times New Roman" w:eastAsia="宋体"/>
        </w:rPr>
        <w:t>清淤工程勘察、测量的工作区域应包括设计清淤工程实施范围、清淤工程影响范围（河道、湖（淀）泊、水库岸线区域）、淤泥堆存、处置等相关的区域。</w:t>
      </w:r>
    </w:p>
    <w:p>
      <w:pPr>
        <w:pStyle w:val="46"/>
        <w:spacing w:before="0" w:beforeLines="0" w:after="0" w:afterLines="0"/>
        <w:rPr>
          <w:rFonts w:ascii="Times New Roman" w:eastAsia="宋体"/>
        </w:rPr>
      </w:pPr>
      <w:r>
        <w:rPr>
          <w:rFonts w:ascii="Times New Roman" w:eastAsia="宋体"/>
        </w:rPr>
        <w:t>应根据生态清淤工程所在区域的气象水文、地形地质、条件和设计要求，采用工程地质测绘、工程物探、工程钻探、岩土试验和原位测试相结合的勘探方法；水域、陆域地形测量宜采用激光雷达扫描、多波束测深、倾斜摄影测量等先进测绘技术。</w:t>
      </w:r>
    </w:p>
    <w:p>
      <w:pPr>
        <w:pStyle w:val="46"/>
        <w:spacing w:before="0" w:beforeLines="0" w:after="0" w:afterLines="0"/>
        <w:rPr>
          <w:rFonts w:ascii="Times New Roman" w:eastAsia="宋体"/>
        </w:rPr>
      </w:pPr>
      <w:r>
        <w:rPr>
          <w:rFonts w:ascii="Times New Roman" w:eastAsia="宋体"/>
        </w:rPr>
        <w:t>勘察测量作业安全应符合GB/T 50585、CH 1016相关要求。</w:t>
      </w:r>
    </w:p>
    <w:p>
      <w:pPr>
        <w:pStyle w:val="46"/>
        <w:spacing w:before="0" w:beforeLines="0" w:after="0" w:afterLines="0"/>
        <w:rPr>
          <w:rFonts w:ascii="Times New Roman" w:eastAsia="宋体"/>
        </w:rPr>
      </w:pPr>
      <w:r>
        <w:rPr>
          <w:rFonts w:ascii="Times New Roman" w:eastAsia="宋体"/>
        </w:rPr>
        <w:t>各阶段勘察测量</w:t>
      </w:r>
      <w:r>
        <w:rPr>
          <w:rFonts w:hint="eastAsia" w:ascii="Times New Roman" w:eastAsia="宋体"/>
          <w:lang w:val="en-US" w:eastAsia="zh-CN"/>
        </w:rPr>
        <w:t>工作</w:t>
      </w:r>
      <w:r>
        <w:rPr>
          <w:rFonts w:ascii="Times New Roman" w:eastAsia="宋体"/>
        </w:rPr>
        <w:t>应编制和提交工程勘察、测量的相关成果或报告。</w:t>
      </w:r>
    </w:p>
    <w:p>
      <w:pPr>
        <w:pStyle w:val="46"/>
        <w:spacing w:before="0" w:beforeLines="0" w:after="0" w:afterLines="0"/>
        <w:rPr>
          <w:rFonts w:ascii="Times New Roman" w:eastAsia="宋体"/>
        </w:rPr>
      </w:pPr>
      <w:r>
        <w:rPr>
          <w:rFonts w:ascii="Times New Roman" w:eastAsia="宋体"/>
        </w:rPr>
        <w:t>生态清淤工程勘察、测量除应符合本规程外，尚应符合国家现行有关标准的规定。</w:t>
      </w:r>
    </w:p>
    <w:p>
      <w:pPr>
        <w:widowControl/>
        <w:numPr>
          <w:ilvl w:val="0"/>
          <w:numId w:val="2"/>
        </w:numPr>
        <w:spacing w:before="312" w:beforeLines="100" w:after="312" w:afterLines="100"/>
        <w:outlineLvl w:val="1"/>
        <w:rPr>
          <w:rFonts w:eastAsia="黑体"/>
          <w:kern w:val="0"/>
          <w:szCs w:val="20"/>
        </w:rPr>
      </w:pPr>
      <w:bookmarkStart w:id="88" w:name="_Toc161995478"/>
      <w:bookmarkStart w:id="89" w:name="_Toc475694825"/>
      <w:r>
        <w:rPr>
          <w:rFonts w:eastAsia="黑体"/>
          <w:kern w:val="0"/>
          <w:szCs w:val="20"/>
        </w:rPr>
        <w:t>工程测量</w:t>
      </w:r>
    </w:p>
    <w:p>
      <w:pPr>
        <w:widowControl/>
        <w:numPr>
          <w:ilvl w:val="1"/>
          <w:numId w:val="2"/>
        </w:numPr>
        <w:tabs>
          <w:tab w:val="left" w:pos="7371"/>
        </w:tabs>
        <w:spacing w:before="156" w:beforeLines="50" w:after="156" w:afterLines="50"/>
        <w:jc w:val="left"/>
        <w:outlineLvl w:val="2"/>
        <w:rPr>
          <w:rFonts w:eastAsia="黑体"/>
          <w:bCs/>
          <w:kern w:val="0"/>
          <w:szCs w:val="21"/>
        </w:rPr>
      </w:pPr>
      <w:r>
        <w:rPr>
          <w:rFonts w:eastAsia="黑体"/>
          <w:bCs/>
          <w:kern w:val="0"/>
          <w:szCs w:val="21"/>
        </w:rPr>
        <w:t>一般规定</w:t>
      </w:r>
    </w:p>
    <w:p>
      <w:pPr>
        <w:pStyle w:val="67"/>
      </w:pPr>
      <w:r>
        <w:t>生态清淤工程测量应结合工程建设各阶段需求开展，成果应满足工程设计和施工深度要求，应标明控制点、水准点、周边管线、周边建（构）筑物等。</w:t>
      </w:r>
    </w:p>
    <w:p>
      <w:pPr>
        <w:pStyle w:val="67"/>
      </w:pPr>
      <w:r>
        <w:t>生态清淤工程测量范围应包括生态清淤工程区、生态清淤工程影响区及淤泥堆场区或处置区。</w:t>
      </w:r>
    </w:p>
    <w:p>
      <w:pPr>
        <w:pStyle w:val="67"/>
      </w:pPr>
      <w:r>
        <w:t>生态清淤工程测量内容主要包括平面和高程控制测量、水位观测、地形测量、断面测量、水下障碍物探测。</w:t>
      </w:r>
    </w:p>
    <w:p>
      <w:pPr>
        <w:pStyle w:val="67"/>
      </w:pPr>
      <w:r>
        <w:t>生态清淤工程在清淤施工前后及施工期应进行断面测量。断面测量范围应包括生态清淤工程区、生态清淤工程影响区。</w:t>
      </w:r>
      <w:r>
        <w:rPr>
          <w:rFonts w:hint="eastAsia"/>
          <w:lang w:val="en-US" w:eastAsia="zh-CN"/>
        </w:rPr>
        <w:t>施工期</w:t>
      </w:r>
      <w:r>
        <w:t>横断面测量间距宜为100m~200m，清淤施工前后横断面测量间距宜取50m~100m。测图比例尺</w:t>
      </w:r>
      <w:r>
        <w:rPr>
          <w:rFonts w:hint="eastAsia"/>
          <w:lang w:val="en-US" w:eastAsia="zh-CN"/>
        </w:rPr>
        <w:t>精度达到1:500</w:t>
      </w:r>
      <w:r>
        <w:t>。小型河道地形横断面测量应测至</w:t>
      </w:r>
      <w:r>
        <w:rPr>
          <w:rFonts w:hint="eastAsia"/>
          <w:highlight w:val="none"/>
          <w:lang w:val="en-US" w:eastAsia="zh-CN"/>
        </w:rPr>
        <w:t>河道上开口或</w:t>
      </w:r>
      <w:r>
        <w:rPr>
          <w:highlight w:val="none"/>
        </w:rPr>
        <w:t>堤脚外</w:t>
      </w:r>
      <w:r>
        <w:t>5m~15m；宽阔河道、湖（淀）泊、水库和河口等宽阔水域的清淤工程地形横断面应测至设计上开口线以外30m~50m；按水下方计量的淤泥堆土场，地形横断面图应测至取土边线外30m~50m；陆上淤泥堆场地形横断面测量应测至围堰外坡脚以外5m~15m。</w:t>
      </w:r>
    </w:p>
    <w:p>
      <w:pPr>
        <w:pStyle w:val="67"/>
      </w:pPr>
      <w:r>
        <w:t>坐标系统宜采用“2000国家大地坐标系”（CGCS 2000），投影方式宜采用高斯-克吕格投影，3°分带，投影长度变形不宜大于25mm/km；因项目需要采用依法批准的独立坐标系时，应与2000国家大地坐标系建立转换关系；高程基准采用“1985国家高程基准”。</w:t>
      </w:r>
    </w:p>
    <w:p>
      <w:pPr>
        <w:widowControl/>
        <w:numPr>
          <w:ilvl w:val="1"/>
          <w:numId w:val="2"/>
        </w:numPr>
        <w:tabs>
          <w:tab w:val="left" w:pos="7371"/>
        </w:tabs>
        <w:spacing w:before="156" w:beforeLines="50" w:after="156" w:afterLines="50"/>
        <w:jc w:val="left"/>
        <w:outlineLvl w:val="2"/>
        <w:rPr>
          <w:rFonts w:eastAsia="黑体"/>
          <w:bCs/>
          <w:kern w:val="0"/>
          <w:szCs w:val="21"/>
        </w:rPr>
      </w:pPr>
      <w:r>
        <w:rPr>
          <w:rFonts w:eastAsia="黑体"/>
          <w:bCs/>
          <w:kern w:val="0"/>
          <w:szCs w:val="21"/>
        </w:rPr>
        <w:t>测量方法与精度要求</w:t>
      </w:r>
    </w:p>
    <w:p>
      <w:pPr>
        <w:pStyle w:val="50"/>
        <w:spacing w:before="156" w:after="156"/>
        <w:ind w:left="0"/>
      </w:pPr>
      <w:r>
        <w:t>测绘仪器</w:t>
      </w:r>
      <w:r>
        <w:rPr>
          <w:rFonts w:hint="eastAsia"/>
          <w:lang w:eastAsia="zh-CN"/>
        </w:rPr>
        <w:t>（</w:t>
      </w:r>
      <w:r>
        <w:rPr>
          <w:rFonts w:hint="eastAsia"/>
          <w:lang w:val="en-US" w:eastAsia="zh-CN"/>
        </w:rPr>
        <w:t>水下机器人</w:t>
      </w:r>
      <w:r>
        <w:rPr>
          <w:rFonts w:hint="eastAsia"/>
          <w:lang w:eastAsia="zh-CN"/>
        </w:rPr>
        <w:t>）</w:t>
      </w:r>
    </w:p>
    <w:p>
      <w:pPr>
        <w:pStyle w:val="25"/>
        <w:ind w:firstLine="420"/>
      </w:pPr>
      <w:r>
        <w:t>项目使用的测绘仪器应经过法定计量检定部门检定合格并在有效期内，包括全站仪、水准仪、测深仪、GNSS接收机、激光雷达等。</w:t>
      </w:r>
    </w:p>
    <w:p>
      <w:pPr>
        <w:pStyle w:val="50"/>
        <w:spacing w:before="156" w:after="156"/>
        <w:ind w:left="0"/>
      </w:pPr>
      <w:r>
        <w:t>控制测量方法</w:t>
      </w:r>
    </w:p>
    <w:p>
      <w:pPr>
        <w:pStyle w:val="117"/>
      </w:pPr>
      <w:r>
        <w:t>平面控制测量可采用GNSS测量、网络RTK测量和导线测量等方法。</w:t>
      </w:r>
    </w:p>
    <w:p>
      <w:pPr>
        <w:pStyle w:val="117"/>
      </w:pPr>
      <w:r>
        <w:t>高程控制测量可采用水准测量、三角高程测量和GNSS拟合高程测量等方法。平面控制和高程控制测量方法可参照SL 197的相关规定。</w:t>
      </w:r>
    </w:p>
    <w:p>
      <w:pPr>
        <w:pStyle w:val="117"/>
      </w:pPr>
      <w:r>
        <w:t>水位控制测量采用水位站（水尺）进行观测，局部工程可采用直接测定法。长期水位站的固定水尺应符合GB/T50138的要求，水尺高程可选用五等以上水准接测。</w:t>
      </w:r>
    </w:p>
    <w:p>
      <w:pPr>
        <w:pStyle w:val="50"/>
        <w:spacing w:before="156" w:after="156"/>
        <w:ind w:left="0"/>
      </w:pPr>
      <w:r>
        <w:t>现状地形测量方法</w:t>
      </w:r>
    </w:p>
    <w:p>
      <w:pPr>
        <w:pStyle w:val="25"/>
        <w:ind w:firstLine="420"/>
      </w:pPr>
      <w:r>
        <w:t>生态清淤工程现状地形图测量可采用全野外测量、航空摄影测量、无人机摄影测量和激光雷达扫描等方法。</w:t>
      </w:r>
    </w:p>
    <w:p>
      <w:pPr>
        <w:pStyle w:val="50"/>
        <w:spacing w:before="156" w:after="156"/>
        <w:ind w:left="0"/>
      </w:pPr>
      <w:r>
        <w:t>水深测量方法</w:t>
      </w:r>
    </w:p>
    <w:p>
      <w:pPr>
        <w:pStyle w:val="25"/>
        <w:ind w:firstLine="420"/>
      </w:pPr>
      <w:r>
        <w:t>水深测量宜采用有数字记录的单波束回声测深仪、多波束回声测深仪和无人测量船（简称无人船），在浅水区、水底树林和杂草丛生水域可以采用测深杆或测深锤。</w:t>
      </w:r>
    </w:p>
    <w:p>
      <w:pPr>
        <w:pStyle w:val="50"/>
        <w:spacing w:before="156" w:after="156"/>
        <w:ind w:left="0"/>
      </w:pPr>
      <w:r>
        <w:t>测量精度</w:t>
      </w:r>
    </w:p>
    <w:p>
      <w:pPr>
        <w:pStyle w:val="55"/>
        <w:spacing w:before="156" w:after="156"/>
      </w:pPr>
      <w:r>
        <w:t>控制测量</w:t>
      </w:r>
    </w:p>
    <w:p>
      <w:pPr>
        <w:pStyle w:val="25"/>
        <w:ind w:firstLine="420"/>
      </w:pPr>
      <w:r>
        <w:t>控制测量精度按照GB 50026的相关要求执行。</w:t>
      </w:r>
    </w:p>
    <w:p>
      <w:pPr>
        <w:pStyle w:val="55"/>
        <w:spacing w:before="156" w:after="156"/>
      </w:pPr>
      <w:r>
        <w:t>地形测量</w:t>
      </w:r>
    </w:p>
    <w:p>
      <w:pPr>
        <w:pStyle w:val="25"/>
        <w:numPr>
          <w:ilvl w:val="0"/>
          <w:numId w:val="19"/>
        </w:numPr>
        <w:ind w:firstLineChars="0"/>
      </w:pPr>
      <w:r>
        <w:t>生态清淤工程地形图测图比例尺宜按</w:t>
      </w:r>
      <w:r>
        <w:fldChar w:fldCharType="begin"/>
      </w:r>
      <w:r>
        <w:instrText xml:space="preserve"> REF _Ref162513578 \r \h  \* MERGEFORMAT </w:instrText>
      </w:r>
      <w:r>
        <w:fldChar w:fldCharType="separate"/>
      </w:r>
      <w:r>
        <w:t>表1</w:t>
      </w:r>
      <w:r>
        <w:fldChar w:fldCharType="end"/>
      </w:r>
      <w:r>
        <w:t>的有关规定选取；</w:t>
      </w:r>
    </w:p>
    <w:p>
      <w:pPr>
        <w:pStyle w:val="131"/>
        <w:spacing w:before="156" w:afterLines="0"/>
      </w:pPr>
      <w:bookmarkStart w:id="90" w:name="_Ref162513578"/>
      <w:r>
        <w:t>地形图测图的比例尺</w:t>
      </w:r>
      <w:bookmarkEnd w:id="90"/>
    </w:p>
    <w:tbl>
      <w:tblPr>
        <w:tblStyle w:val="3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2"/>
        <w:gridCol w:w="4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比例尺</w:t>
            </w:r>
          </w:p>
        </w:tc>
        <w:tc>
          <w:tcPr>
            <w:tcW w:w="4672" w:type="dxa"/>
          </w:tcPr>
          <w:p>
            <w:pPr>
              <w:jc w:val="center"/>
              <w:rPr>
                <w:rFonts w:ascii="宋体"/>
                <w:sz w:val="18"/>
                <w:szCs w:val="18"/>
              </w:rPr>
            </w:pPr>
            <w:r>
              <w:rPr>
                <w:rFonts w:ascii="宋体"/>
                <w:sz w:val="18"/>
                <w:szCs w:val="18"/>
              </w:rPr>
              <w:t>用途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1:2000～1:5000</w:t>
            </w:r>
          </w:p>
        </w:tc>
        <w:tc>
          <w:tcPr>
            <w:tcW w:w="4672" w:type="dxa"/>
          </w:tcPr>
          <w:p>
            <w:pPr>
              <w:jc w:val="center"/>
              <w:rPr>
                <w:rFonts w:ascii="宋体"/>
                <w:sz w:val="18"/>
                <w:szCs w:val="18"/>
              </w:rPr>
            </w:pPr>
            <w:r>
              <w:rPr>
                <w:rFonts w:ascii="宋体"/>
                <w:color w:val="000000"/>
                <w:sz w:val="18"/>
                <w:szCs w:val="18"/>
              </w:rPr>
              <w:t>可行性研究、总体规划等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1:500～1:1000</w:t>
            </w:r>
          </w:p>
        </w:tc>
        <w:tc>
          <w:tcPr>
            <w:tcW w:w="4672" w:type="dxa"/>
          </w:tcPr>
          <w:p>
            <w:pPr>
              <w:jc w:val="center"/>
              <w:rPr>
                <w:rFonts w:ascii="宋体"/>
                <w:sz w:val="18"/>
                <w:szCs w:val="18"/>
              </w:rPr>
            </w:pPr>
            <w:r>
              <w:rPr>
                <w:rFonts w:ascii="宋体"/>
                <w:color w:val="000000"/>
                <w:sz w:val="18"/>
                <w:szCs w:val="18"/>
              </w:rPr>
              <w:t>初步设计、施工图设计、竣工验收等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4" w:type="dxa"/>
            <w:gridSpan w:val="2"/>
          </w:tcPr>
          <w:p>
            <w:pPr>
              <w:widowControl/>
              <w:tabs>
                <w:tab w:val="center" w:pos="4201"/>
                <w:tab w:val="right" w:leader="dot" w:pos="9298"/>
              </w:tabs>
              <w:autoSpaceDE w:val="0"/>
              <w:autoSpaceDN w:val="0"/>
              <w:rPr>
                <w:rFonts w:ascii="宋体"/>
                <w:color w:val="000000"/>
                <w:sz w:val="18"/>
                <w:szCs w:val="18"/>
              </w:rPr>
            </w:pPr>
            <w:r>
              <w:rPr>
                <w:rFonts w:ascii="宋体"/>
                <w:kern w:val="0"/>
                <w:sz w:val="18"/>
                <w:szCs w:val="16"/>
              </w:rPr>
              <w:t>注：1）精度要求低的专用地形图，可按小一级比例尺地形图的规定进行测绘或利用小一级比例尺地形图放大成图；  2）局部施测大于 1:500比例尺的地形图，除另有要求外，可按 1:500地形图测量的要求执行。</w:t>
            </w:r>
          </w:p>
        </w:tc>
      </w:tr>
    </w:tbl>
    <w:p>
      <w:pPr>
        <w:pStyle w:val="25"/>
        <w:numPr>
          <w:ilvl w:val="0"/>
          <w:numId w:val="19"/>
        </w:numPr>
        <w:ind w:firstLineChars="0"/>
      </w:pPr>
      <w:r>
        <w:t>生态清淤工程图上地物点相对于邻近图根点的点位中误差，不应超过表2的规定；</w:t>
      </w:r>
    </w:p>
    <w:p>
      <w:pPr>
        <w:pStyle w:val="131"/>
        <w:spacing w:before="156" w:afterLines="0"/>
      </w:pPr>
      <w:r>
        <w:t>图上地物点相对于临近图根点的点位中误差（mm）</w:t>
      </w:r>
    </w:p>
    <w:tbl>
      <w:tblPr>
        <w:tblStyle w:val="3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2"/>
        <w:gridCol w:w="4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4672" w:type="dxa"/>
          </w:tcPr>
          <w:p>
            <w:pPr>
              <w:jc w:val="center"/>
              <w:rPr>
                <w:rFonts w:ascii="宋体"/>
                <w:sz w:val="18"/>
                <w:szCs w:val="18"/>
              </w:rPr>
            </w:pPr>
            <w:r>
              <w:rPr>
                <w:rFonts w:ascii="宋体"/>
                <w:sz w:val="18"/>
                <w:szCs w:val="18"/>
              </w:rPr>
              <w:t>区域类型</w:t>
            </w:r>
          </w:p>
        </w:tc>
        <w:tc>
          <w:tcPr>
            <w:tcW w:w="4672" w:type="dxa"/>
          </w:tcPr>
          <w:p>
            <w:pPr>
              <w:jc w:val="center"/>
              <w:rPr>
                <w:rFonts w:ascii="宋体"/>
                <w:sz w:val="18"/>
                <w:szCs w:val="18"/>
              </w:rPr>
            </w:pPr>
            <w:r>
              <w:rPr>
                <w:rFonts w:ascii="宋体"/>
                <w:sz w:val="18"/>
                <w:szCs w:val="18"/>
              </w:rPr>
              <w:t>点位中误差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生态清淤工程区</w:t>
            </w:r>
            <w:r>
              <w:rPr>
                <w:rFonts w:hint="eastAsia" w:ascii="宋体"/>
                <w:sz w:val="18"/>
                <w:szCs w:val="18"/>
              </w:rPr>
              <w:t>（陆域）</w:t>
            </w:r>
          </w:p>
        </w:tc>
        <w:tc>
          <w:tcPr>
            <w:tcW w:w="4672" w:type="dxa"/>
          </w:tcPr>
          <w:p>
            <w:pPr>
              <w:jc w:val="center"/>
              <w:rPr>
                <w:rFonts w:ascii="宋体"/>
                <w:sz w:val="18"/>
                <w:szCs w:val="18"/>
              </w:rPr>
            </w:pPr>
            <w:r>
              <w:rPr>
                <w:rFonts w:ascii="宋体"/>
                <w:sz w:val="18"/>
                <w:szCs w:val="18"/>
              </w:rPr>
              <w:t>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生态清淤工程影响区</w:t>
            </w:r>
          </w:p>
        </w:tc>
        <w:tc>
          <w:tcPr>
            <w:tcW w:w="4672" w:type="dxa"/>
          </w:tcPr>
          <w:p>
            <w:pPr>
              <w:jc w:val="center"/>
              <w:rPr>
                <w:rFonts w:ascii="宋体"/>
                <w:sz w:val="18"/>
                <w:szCs w:val="18"/>
              </w:rPr>
            </w:pPr>
            <w:r>
              <w:rPr>
                <w:rFonts w:ascii="宋体"/>
                <w:sz w:val="18"/>
                <w:szCs w:val="18"/>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生态清淤工程区</w:t>
            </w:r>
            <w:r>
              <w:rPr>
                <w:rFonts w:hint="eastAsia" w:ascii="宋体"/>
                <w:sz w:val="18"/>
                <w:szCs w:val="18"/>
              </w:rPr>
              <w:t>（</w:t>
            </w:r>
            <w:r>
              <w:rPr>
                <w:rFonts w:ascii="宋体"/>
                <w:sz w:val="18"/>
                <w:szCs w:val="18"/>
              </w:rPr>
              <w:t>水域</w:t>
            </w:r>
            <w:r>
              <w:rPr>
                <w:rFonts w:hint="eastAsia" w:ascii="宋体"/>
                <w:sz w:val="18"/>
                <w:szCs w:val="18"/>
              </w:rPr>
              <w:t>）</w:t>
            </w:r>
          </w:p>
        </w:tc>
        <w:tc>
          <w:tcPr>
            <w:tcW w:w="4672" w:type="dxa"/>
          </w:tcPr>
          <w:p>
            <w:pPr>
              <w:jc w:val="center"/>
              <w:rPr>
                <w:rFonts w:ascii="宋体"/>
                <w:sz w:val="18"/>
                <w:szCs w:val="18"/>
              </w:rPr>
            </w:pPr>
            <w:r>
              <w:rPr>
                <w:rFonts w:ascii="宋体"/>
                <w:sz w:val="18"/>
                <w:szCs w:val="18"/>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4" w:type="dxa"/>
            <w:gridSpan w:val="2"/>
          </w:tcPr>
          <w:p>
            <w:pPr>
              <w:jc w:val="left"/>
              <w:rPr>
                <w:rFonts w:ascii="宋体"/>
                <w:sz w:val="18"/>
                <w:szCs w:val="18"/>
              </w:rPr>
            </w:pPr>
            <w:r>
              <w:rPr>
                <w:rFonts w:ascii="宋体"/>
                <w:sz w:val="18"/>
                <w:szCs w:val="18"/>
              </w:rPr>
              <w:t>隐蔽或施测困难的地区，误差允许值可放宽50%</w:t>
            </w:r>
          </w:p>
        </w:tc>
      </w:tr>
    </w:tbl>
    <w:p>
      <w:pPr>
        <w:pStyle w:val="25"/>
        <w:numPr>
          <w:ilvl w:val="0"/>
          <w:numId w:val="19"/>
        </w:numPr>
        <w:ind w:firstLineChars="0"/>
      </w:pPr>
      <w:r>
        <w:t>生态清淤工程细部点的点位和高程中误差应符合表3的规定。</w:t>
      </w:r>
    </w:p>
    <w:p>
      <w:pPr>
        <w:pStyle w:val="131"/>
        <w:spacing w:before="156" w:afterLines="0"/>
      </w:pPr>
      <w:r>
        <w:t>细部坐标点的点位中误差</w:t>
      </w:r>
    </w:p>
    <w:tbl>
      <w:tblPr>
        <w:tblStyle w:val="3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133"/>
        <w:gridCol w:w="3059"/>
        <w:gridCol w:w="31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133" w:type="dxa"/>
          </w:tcPr>
          <w:p>
            <w:pPr>
              <w:jc w:val="center"/>
              <w:rPr>
                <w:rFonts w:ascii="宋体"/>
                <w:sz w:val="18"/>
                <w:szCs w:val="18"/>
              </w:rPr>
            </w:pPr>
            <w:r>
              <w:rPr>
                <w:rFonts w:ascii="宋体"/>
                <w:sz w:val="18"/>
                <w:szCs w:val="18"/>
              </w:rPr>
              <w:t>地物类别</w:t>
            </w:r>
          </w:p>
        </w:tc>
        <w:tc>
          <w:tcPr>
            <w:tcW w:w="3059" w:type="dxa"/>
          </w:tcPr>
          <w:p>
            <w:pPr>
              <w:jc w:val="center"/>
              <w:rPr>
                <w:rFonts w:ascii="宋体"/>
                <w:sz w:val="18"/>
                <w:szCs w:val="18"/>
              </w:rPr>
            </w:pPr>
            <w:r>
              <w:rPr>
                <w:rFonts w:ascii="宋体"/>
                <w:sz w:val="18"/>
                <w:szCs w:val="18"/>
              </w:rPr>
              <w:t>点位中误差允许值（cm）</w:t>
            </w:r>
          </w:p>
        </w:tc>
        <w:tc>
          <w:tcPr>
            <w:tcW w:w="3152" w:type="dxa"/>
          </w:tcPr>
          <w:p>
            <w:pPr>
              <w:jc w:val="center"/>
              <w:rPr>
                <w:rFonts w:ascii="宋体"/>
                <w:sz w:val="18"/>
                <w:szCs w:val="18"/>
              </w:rPr>
            </w:pPr>
            <w:r>
              <w:rPr>
                <w:rFonts w:ascii="宋体"/>
                <w:sz w:val="18"/>
                <w:szCs w:val="18"/>
              </w:rPr>
              <w:t>高程中误差允许值（mm）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133" w:type="dxa"/>
          </w:tcPr>
          <w:p>
            <w:pPr>
              <w:jc w:val="center"/>
              <w:rPr>
                <w:rFonts w:ascii="宋体"/>
                <w:sz w:val="18"/>
                <w:szCs w:val="18"/>
              </w:rPr>
            </w:pPr>
            <w:r>
              <w:rPr>
                <w:rFonts w:ascii="宋体"/>
                <w:sz w:val="18"/>
                <w:szCs w:val="18"/>
              </w:rPr>
              <w:t>主要建（构）筑物</w:t>
            </w:r>
          </w:p>
        </w:tc>
        <w:tc>
          <w:tcPr>
            <w:tcW w:w="3059" w:type="dxa"/>
          </w:tcPr>
          <w:p>
            <w:pPr>
              <w:jc w:val="center"/>
              <w:rPr>
                <w:rFonts w:ascii="宋体"/>
                <w:sz w:val="18"/>
                <w:szCs w:val="18"/>
              </w:rPr>
            </w:pPr>
            <w:r>
              <w:rPr>
                <w:rFonts w:ascii="宋体"/>
                <w:sz w:val="18"/>
                <w:szCs w:val="18"/>
              </w:rPr>
              <w:t>5</w:t>
            </w:r>
          </w:p>
        </w:tc>
        <w:tc>
          <w:tcPr>
            <w:tcW w:w="3152" w:type="dxa"/>
          </w:tcPr>
          <w:p>
            <w:pPr>
              <w:jc w:val="center"/>
              <w:rPr>
                <w:rFonts w:ascii="宋体"/>
                <w:sz w:val="18"/>
                <w:szCs w:val="18"/>
              </w:rPr>
            </w:pPr>
            <w:r>
              <w:rPr>
                <w:rFonts w:ascii="宋体"/>
                <w:sz w:val="18"/>
                <w:szCs w:val="18"/>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133" w:type="dxa"/>
          </w:tcPr>
          <w:p>
            <w:pPr>
              <w:jc w:val="center"/>
              <w:rPr>
                <w:rFonts w:ascii="宋体"/>
                <w:sz w:val="18"/>
                <w:szCs w:val="18"/>
              </w:rPr>
            </w:pPr>
            <w:r>
              <w:rPr>
                <w:rFonts w:ascii="宋体"/>
                <w:sz w:val="18"/>
                <w:szCs w:val="18"/>
              </w:rPr>
              <w:t>一般建（构）筑物</w:t>
            </w:r>
          </w:p>
        </w:tc>
        <w:tc>
          <w:tcPr>
            <w:tcW w:w="3059" w:type="dxa"/>
          </w:tcPr>
          <w:p>
            <w:pPr>
              <w:jc w:val="center"/>
              <w:rPr>
                <w:rFonts w:ascii="宋体"/>
                <w:sz w:val="18"/>
                <w:szCs w:val="18"/>
              </w:rPr>
            </w:pPr>
            <w:r>
              <w:rPr>
                <w:rFonts w:ascii="宋体"/>
                <w:sz w:val="18"/>
                <w:szCs w:val="18"/>
              </w:rPr>
              <w:t>7</w:t>
            </w:r>
          </w:p>
        </w:tc>
        <w:tc>
          <w:tcPr>
            <w:tcW w:w="3152" w:type="dxa"/>
          </w:tcPr>
          <w:p>
            <w:pPr>
              <w:jc w:val="center"/>
              <w:rPr>
                <w:rFonts w:ascii="宋体"/>
                <w:sz w:val="18"/>
                <w:szCs w:val="18"/>
              </w:rPr>
            </w:pPr>
            <w:r>
              <w:rPr>
                <w:rFonts w:ascii="宋体"/>
                <w:sz w:val="18"/>
                <w:szCs w:val="18"/>
              </w:rPr>
              <w:t>10</w:t>
            </w:r>
          </w:p>
        </w:tc>
      </w:tr>
    </w:tbl>
    <w:p>
      <w:pPr>
        <w:pStyle w:val="55"/>
        <w:spacing w:before="156" w:after="156"/>
      </w:pPr>
      <w:r>
        <w:t>水下地形测量</w:t>
      </w:r>
    </w:p>
    <w:p>
      <w:pPr>
        <w:pStyle w:val="25"/>
        <w:numPr>
          <w:ilvl w:val="0"/>
          <w:numId w:val="20"/>
        </w:numPr>
        <w:ind w:firstLineChars="0"/>
      </w:pPr>
      <w:r>
        <w:t>水下地形测量应与陆上地形测量相互衔接，水下地形点的平面位置精度不应超过表4的规定，困难地区可放宽0.5倍；</w:t>
      </w:r>
    </w:p>
    <w:p>
      <w:pPr>
        <w:pStyle w:val="131"/>
        <w:spacing w:before="156" w:afterLines="0"/>
      </w:pPr>
      <w:r>
        <w:t>水下地形点平面位置精度</w:t>
      </w:r>
    </w:p>
    <w:tbl>
      <w:tblPr>
        <w:tblStyle w:val="3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2"/>
        <w:gridCol w:w="4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测图比例尺</w:t>
            </w:r>
          </w:p>
        </w:tc>
        <w:tc>
          <w:tcPr>
            <w:tcW w:w="4672" w:type="dxa"/>
          </w:tcPr>
          <w:p>
            <w:pPr>
              <w:jc w:val="center"/>
              <w:rPr>
                <w:rFonts w:ascii="宋体"/>
                <w:sz w:val="18"/>
                <w:szCs w:val="18"/>
              </w:rPr>
            </w:pPr>
            <w:r>
              <w:rPr>
                <w:rFonts w:ascii="宋体"/>
                <w:sz w:val="18"/>
                <w:szCs w:val="18"/>
              </w:rPr>
              <w:t>水下地形点平面中误差（m）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1:500</w:t>
            </w:r>
          </w:p>
        </w:tc>
        <w:tc>
          <w:tcPr>
            <w:tcW w:w="4672" w:type="dxa"/>
          </w:tcPr>
          <w:p>
            <w:pPr>
              <w:jc w:val="center"/>
              <w:rPr>
                <w:rFonts w:ascii="宋体"/>
                <w:sz w:val="18"/>
                <w:szCs w:val="18"/>
              </w:rPr>
            </w:pPr>
            <w:r>
              <w:rPr>
                <w:rFonts w:ascii="宋体"/>
                <w:sz w:val="18"/>
                <w:szCs w:val="18"/>
              </w:rPr>
              <w:t>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1:1000</w:t>
            </w:r>
          </w:p>
        </w:tc>
        <w:tc>
          <w:tcPr>
            <w:tcW w:w="4672" w:type="dxa"/>
          </w:tcPr>
          <w:p>
            <w:pPr>
              <w:jc w:val="center"/>
              <w:rPr>
                <w:rFonts w:ascii="宋体"/>
                <w:sz w:val="18"/>
                <w:szCs w:val="18"/>
              </w:rPr>
            </w:pPr>
            <w:r>
              <w:rPr>
                <w:rFonts w:ascii="宋体"/>
                <w:sz w:val="18"/>
                <w:szCs w:val="18"/>
              </w:rPr>
              <w:t>0.90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1:2000</w:t>
            </w:r>
          </w:p>
        </w:tc>
        <w:tc>
          <w:tcPr>
            <w:tcW w:w="4672" w:type="dxa"/>
          </w:tcPr>
          <w:p>
            <w:pPr>
              <w:jc w:val="center"/>
              <w:rPr>
                <w:rFonts w:ascii="宋体"/>
                <w:sz w:val="18"/>
                <w:szCs w:val="18"/>
              </w:rPr>
            </w:pPr>
            <w:r>
              <w:rPr>
                <w:rFonts w:ascii="宋体"/>
                <w:sz w:val="18"/>
                <w:szCs w:val="18"/>
              </w:rPr>
              <w:t>1.80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1:5000</w:t>
            </w:r>
          </w:p>
        </w:tc>
        <w:tc>
          <w:tcPr>
            <w:tcW w:w="4672" w:type="dxa"/>
          </w:tcPr>
          <w:p>
            <w:pPr>
              <w:jc w:val="center"/>
              <w:rPr>
                <w:rFonts w:ascii="宋体"/>
                <w:sz w:val="18"/>
                <w:szCs w:val="18"/>
              </w:rPr>
            </w:pPr>
            <w:r>
              <w:rPr>
                <w:rFonts w:ascii="宋体"/>
                <w:sz w:val="18"/>
                <w:szCs w:val="18"/>
              </w:rPr>
              <w:t>3.75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2" w:type="dxa"/>
          </w:tcPr>
          <w:p>
            <w:pPr>
              <w:jc w:val="center"/>
              <w:rPr>
                <w:rFonts w:ascii="宋体"/>
                <w:sz w:val="18"/>
                <w:szCs w:val="18"/>
              </w:rPr>
            </w:pPr>
            <w:r>
              <w:rPr>
                <w:rFonts w:ascii="宋体"/>
                <w:sz w:val="18"/>
                <w:szCs w:val="18"/>
              </w:rPr>
              <w:t>1:10000、1:25000、1:50000</w:t>
            </w:r>
          </w:p>
        </w:tc>
        <w:tc>
          <w:tcPr>
            <w:tcW w:w="4672" w:type="dxa"/>
          </w:tcPr>
          <w:p>
            <w:pPr>
              <w:jc w:val="center"/>
              <w:rPr>
                <w:rFonts w:ascii="宋体"/>
                <w:sz w:val="18"/>
                <w:szCs w:val="18"/>
              </w:rPr>
            </w:pPr>
            <w:r>
              <w:rPr>
                <w:rFonts w:ascii="宋体"/>
                <w:sz w:val="18"/>
                <w:szCs w:val="18"/>
              </w:rPr>
              <w:t>7.50</w:t>
            </w:r>
          </w:p>
        </w:tc>
      </w:tr>
    </w:tbl>
    <w:p>
      <w:pPr>
        <w:pStyle w:val="25"/>
        <w:numPr>
          <w:ilvl w:val="0"/>
          <w:numId w:val="20"/>
        </w:numPr>
        <w:ind w:firstLineChars="0"/>
      </w:pPr>
      <w:r>
        <w:t>深度测量中误差不应超过表5的规定。</w:t>
      </w:r>
    </w:p>
    <w:p>
      <w:pPr>
        <w:pStyle w:val="131"/>
        <w:spacing w:before="156" w:afterLines="0"/>
      </w:pPr>
      <w:r>
        <w:t>深度测量中误差</w:t>
      </w:r>
    </w:p>
    <w:tbl>
      <w:tblPr>
        <w:tblStyle w:val="37"/>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55"/>
        <w:gridCol w:w="2181"/>
        <w:gridCol w:w="2359"/>
        <w:gridCol w:w="2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3" w:type="pct"/>
          </w:tcPr>
          <w:p>
            <w:pPr>
              <w:jc w:val="center"/>
              <w:rPr>
                <w:rFonts w:ascii="宋体"/>
                <w:sz w:val="18"/>
                <w:szCs w:val="18"/>
              </w:rPr>
            </w:pPr>
            <w:r>
              <w:rPr>
                <w:rFonts w:ascii="宋体"/>
                <w:sz w:val="18"/>
                <w:szCs w:val="18"/>
              </w:rPr>
              <w:t>水深范围（m）</w:t>
            </w:r>
          </w:p>
        </w:tc>
        <w:tc>
          <w:tcPr>
            <w:tcW w:w="1140" w:type="pct"/>
          </w:tcPr>
          <w:p>
            <w:pPr>
              <w:jc w:val="center"/>
              <w:rPr>
                <w:rFonts w:ascii="宋体"/>
                <w:sz w:val="18"/>
                <w:szCs w:val="18"/>
              </w:rPr>
            </w:pPr>
            <w:r>
              <w:rPr>
                <w:rFonts w:ascii="宋体"/>
                <w:sz w:val="18"/>
                <w:szCs w:val="18"/>
              </w:rPr>
              <w:t>测深仪器或工具</w:t>
            </w:r>
          </w:p>
        </w:tc>
        <w:tc>
          <w:tcPr>
            <w:tcW w:w="1233" w:type="pct"/>
          </w:tcPr>
          <w:p>
            <w:pPr>
              <w:jc w:val="center"/>
              <w:rPr>
                <w:rFonts w:ascii="宋体"/>
                <w:sz w:val="18"/>
                <w:szCs w:val="18"/>
              </w:rPr>
            </w:pPr>
            <w:r>
              <w:rPr>
                <w:rFonts w:ascii="宋体"/>
                <w:sz w:val="18"/>
                <w:szCs w:val="18"/>
              </w:rPr>
              <w:t>流速（m/s）</w:t>
            </w:r>
          </w:p>
        </w:tc>
        <w:tc>
          <w:tcPr>
            <w:tcW w:w="1341" w:type="pct"/>
          </w:tcPr>
          <w:p>
            <w:pPr>
              <w:jc w:val="center"/>
              <w:rPr>
                <w:rFonts w:ascii="宋体"/>
                <w:sz w:val="18"/>
                <w:szCs w:val="18"/>
              </w:rPr>
            </w:pPr>
            <w:r>
              <w:rPr>
                <w:rFonts w:ascii="宋体"/>
                <w:sz w:val="18"/>
                <w:szCs w:val="18"/>
              </w:rPr>
              <w:t>测点深度中误差（m）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3" w:type="pct"/>
          </w:tcPr>
          <w:p>
            <w:pPr>
              <w:jc w:val="center"/>
              <w:rPr>
                <w:rFonts w:ascii="宋体"/>
                <w:sz w:val="18"/>
                <w:szCs w:val="18"/>
              </w:rPr>
            </w:pPr>
            <w:r>
              <w:rPr>
                <w:rFonts w:ascii="宋体"/>
                <w:color w:val="000000"/>
                <w:sz w:val="18"/>
                <w:szCs w:val="18"/>
              </w:rPr>
              <w:t>0～4</w:t>
            </w:r>
          </w:p>
        </w:tc>
        <w:tc>
          <w:tcPr>
            <w:tcW w:w="1140" w:type="pct"/>
          </w:tcPr>
          <w:p>
            <w:pPr>
              <w:jc w:val="center"/>
              <w:rPr>
                <w:rFonts w:ascii="宋体"/>
                <w:sz w:val="18"/>
                <w:szCs w:val="18"/>
              </w:rPr>
            </w:pPr>
            <w:r>
              <w:rPr>
                <w:rFonts w:ascii="宋体"/>
                <w:color w:val="000000"/>
                <w:sz w:val="18"/>
                <w:szCs w:val="18"/>
              </w:rPr>
              <w:t>宜用测深杆或测深锤</w:t>
            </w:r>
          </w:p>
        </w:tc>
        <w:tc>
          <w:tcPr>
            <w:tcW w:w="1233" w:type="pct"/>
          </w:tcPr>
          <w:p>
            <w:pPr>
              <w:jc w:val="center"/>
              <w:rPr>
                <w:rFonts w:ascii="宋体"/>
                <w:sz w:val="18"/>
                <w:szCs w:val="18"/>
              </w:rPr>
            </w:pPr>
          </w:p>
        </w:tc>
        <w:tc>
          <w:tcPr>
            <w:tcW w:w="1341" w:type="pct"/>
          </w:tcPr>
          <w:p>
            <w:pPr>
              <w:jc w:val="center"/>
              <w:rPr>
                <w:rFonts w:ascii="宋体"/>
                <w:sz w:val="18"/>
                <w:szCs w:val="18"/>
              </w:rPr>
            </w:pPr>
            <w:r>
              <w:rPr>
                <w:rFonts w:ascii="宋体"/>
                <w:sz w:val="18"/>
                <w:szCs w:val="18"/>
              </w:rPr>
              <w:t>±0.10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3" w:type="pct"/>
          </w:tcPr>
          <w:p>
            <w:pPr>
              <w:jc w:val="center"/>
              <w:rPr>
                <w:rFonts w:ascii="宋体"/>
                <w:sz w:val="18"/>
                <w:szCs w:val="18"/>
              </w:rPr>
            </w:pPr>
            <w:r>
              <w:rPr>
                <w:rFonts w:ascii="宋体"/>
                <w:color w:val="000000"/>
                <w:sz w:val="18"/>
                <w:szCs w:val="18"/>
              </w:rPr>
              <w:t>0～10</w:t>
            </w:r>
          </w:p>
        </w:tc>
        <w:tc>
          <w:tcPr>
            <w:tcW w:w="1140" w:type="pct"/>
          </w:tcPr>
          <w:p>
            <w:pPr>
              <w:jc w:val="center"/>
              <w:rPr>
                <w:rFonts w:ascii="宋体"/>
                <w:sz w:val="18"/>
                <w:szCs w:val="18"/>
              </w:rPr>
            </w:pPr>
            <w:r>
              <w:rPr>
                <w:rFonts w:ascii="宋体"/>
                <w:color w:val="000000"/>
                <w:sz w:val="18"/>
                <w:szCs w:val="18"/>
              </w:rPr>
              <w:t>测深锤或探测仪</w:t>
            </w:r>
          </w:p>
        </w:tc>
        <w:tc>
          <w:tcPr>
            <w:tcW w:w="1233" w:type="pct"/>
          </w:tcPr>
          <w:p>
            <w:pPr>
              <w:jc w:val="center"/>
              <w:rPr>
                <w:rFonts w:ascii="宋体"/>
                <w:sz w:val="18"/>
                <w:szCs w:val="18"/>
              </w:rPr>
            </w:pPr>
            <w:r>
              <w:rPr>
                <w:rFonts w:ascii="宋体"/>
                <w:color w:val="000000"/>
                <w:sz w:val="18"/>
                <w:szCs w:val="18"/>
              </w:rPr>
              <w:t>＜1</w:t>
            </w:r>
          </w:p>
        </w:tc>
        <w:tc>
          <w:tcPr>
            <w:tcW w:w="1341" w:type="pct"/>
          </w:tcPr>
          <w:p>
            <w:pPr>
              <w:jc w:val="center"/>
              <w:rPr>
                <w:rFonts w:ascii="宋体"/>
                <w:sz w:val="18"/>
                <w:szCs w:val="18"/>
              </w:rPr>
            </w:pPr>
            <w:r>
              <w:rPr>
                <w:rFonts w:ascii="宋体"/>
                <w:sz w:val="18"/>
                <w:szCs w:val="18"/>
              </w:rPr>
              <w:t>±0.15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3" w:type="pct"/>
          </w:tcPr>
          <w:p>
            <w:pPr>
              <w:jc w:val="center"/>
              <w:rPr>
                <w:rFonts w:ascii="宋体"/>
                <w:sz w:val="18"/>
                <w:szCs w:val="18"/>
              </w:rPr>
            </w:pPr>
            <w:r>
              <w:rPr>
                <w:rFonts w:ascii="宋体"/>
                <w:color w:val="000000"/>
                <w:sz w:val="18"/>
                <w:szCs w:val="18"/>
              </w:rPr>
              <w:t>1～10</w:t>
            </w:r>
          </w:p>
        </w:tc>
        <w:tc>
          <w:tcPr>
            <w:tcW w:w="1140" w:type="pct"/>
          </w:tcPr>
          <w:p>
            <w:pPr>
              <w:jc w:val="center"/>
              <w:rPr>
                <w:rFonts w:ascii="宋体"/>
                <w:sz w:val="18"/>
                <w:szCs w:val="18"/>
              </w:rPr>
            </w:pPr>
            <w:r>
              <w:rPr>
                <w:rFonts w:ascii="宋体"/>
                <w:color w:val="000000"/>
                <w:sz w:val="18"/>
                <w:szCs w:val="18"/>
              </w:rPr>
              <w:t>测深仪</w:t>
            </w:r>
          </w:p>
        </w:tc>
        <w:tc>
          <w:tcPr>
            <w:tcW w:w="1233" w:type="pct"/>
          </w:tcPr>
          <w:p>
            <w:pPr>
              <w:jc w:val="center"/>
              <w:rPr>
                <w:rFonts w:ascii="宋体"/>
                <w:sz w:val="18"/>
                <w:szCs w:val="18"/>
              </w:rPr>
            </w:pPr>
            <w:r>
              <w:rPr>
                <w:rFonts w:ascii="宋体"/>
                <w:sz w:val="18"/>
                <w:szCs w:val="18"/>
              </w:rPr>
              <w:t>-</w:t>
            </w:r>
          </w:p>
        </w:tc>
        <w:tc>
          <w:tcPr>
            <w:tcW w:w="1341" w:type="pct"/>
          </w:tcPr>
          <w:p>
            <w:pPr>
              <w:jc w:val="center"/>
              <w:rPr>
                <w:rFonts w:ascii="宋体"/>
                <w:sz w:val="18"/>
                <w:szCs w:val="18"/>
              </w:rPr>
            </w:pPr>
            <w:r>
              <w:rPr>
                <w:rFonts w:ascii="宋体"/>
                <w:sz w:val="18"/>
                <w:szCs w:val="18"/>
              </w:rPr>
              <w:t>±0.15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3" w:type="pct"/>
          </w:tcPr>
          <w:p>
            <w:pPr>
              <w:jc w:val="center"/>
              <w:rPr>
                <w:rFonts w:ascii="宋体"/>
                <w:sz w:val="18"/>
                <w:szCs w:val="18"/>
              </w:rPr>
            </w:pPr>
            <w:r>
              <w:rPr>
                <w:rFonts w:ascii="宋体"/>
                <w:color w:val="000000"/>
                <w:sz w:val="18"/>
                <w:szCs w:val="18"/>
              </w:rPr>
              <w:t>10～20</w:t>
            </w:r>
          </w:p>
        </w:tc>
        <w:tc>
          <w:tcPr>
            <w:tcW w:w="1140" w:type="pct"/>
          </w:tcPr>
          <w:p>
            <w:pPr>
              <w:jc w:val="center"/>
              <w:rPr>
                <w:rFonts w:ascii="宋体"/>
                <w:sz w:val="18"/>
                <w:szCs w:val="18"/>
              </w:rPr>
            </w:pPr>
            <w:r>
              <w:rPr>
                <w:rFonts w:ascii="宋体"/>
                <w:color w:val="000000"/>
                <w:sz w:val="18"/>
                <w:szCs w:val="18"/>
              </w:rPr>
              <w:t>测深仪或测深锤</w:t>
            </w:r>
          </w:p>
        </w:tc>
        <w:tc>
          <w:tcPr>
            <w:tcW w:w="1233" w:type="pct"/>
          </w:tcPr>
          <w:p>
            <w:pPr>
              <w:jc w:val="center"/>
              <w:rPr>
                <w:rFonts w:ascii="宋体"/>
                <w:sz w:val="18"/>
                <w:szCs w:val="18"/>
              </w:rPr>
            </w:pPr>
            <w:r>
              <w:rPr>
                <w:rFonts w:ascii="宋体"/>
                <w:color w:val="000000"/>
                <w:sz w:val="18"/>
                <w:szCs w:val="18"/>
              </w:rPr>
              <w:t>＜0.5</w:t>
            </w:r>
          </w:p>
        </w:tc>
        <w:tc>
          <w:tcPr>
            <w:tcW w:w="1341" w:type="pct"/>
          </w:tcPr>
          <w:p>
            <w:pPr>
              <w:jc w:val="center"/>
              <w:rPr>
                <w:rFonts w:ascii="宋体"/>
                <w:sz w:val="18"/>
                <w:szCs w:val="18"/>
              </w:rPr>
            </w:pPr>
            <w:r>
              <w:rPr>
                <w:rFonts w:ascii="宋体"/>
                <w:sz w:val="18"/>
                <w:szCs w:val="18"/>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83" w:type="pct"/>
          </w:tcPr>
          <w:p>
            <w:pPr>
              <w:jc w:val="center"/>
              <w:rPr>
                <w:rFonts w:ascii="宋体"/>
                <w:sz w:val="18"/>
                <w:szCs w:val="18"/>
              </w:rPr>
            </w:pPr>
            <w:r>
              <w:rPr>
                <w:rFonts w:ascii="宋体"/>
                <w:color w:val="000000"/>
                <w:sz w:val="18"/>
                <w:szCs w:val="18"/>
              </w:rPr>
              <w:t>＞20</w:t>
            </w:r>
          </w:p>
        </w:tc>
        <w:tc>
          <w:tcPr>
            <w:tcW w:w="1140" w:type="pct"/>
          </w:tcPr>
          <w:p>
            <w:pPr>
              <w:jc w:val="center"/>
              <w:rPr>
                <w:rFonts w:ascii="宋体"/>
                <w:sz w:val="18"/>
                <w:szCs w:val="18"/>
              </w:rPr>
            </w:pPr>
            <w:r>
              <w:rPr>
                <w:rFonts w:ascii="宋体"/>
                <w:color w:val="000000"/>
                <w:sz w:val="18"/>
                <w:szCs w:val="18"/>
              </w:rPr>
              <w:t>测深仪</w:t>
            </w:r>
          </w:p>
        </w:tc>
        <w:tc>
          <w:tcPr>
            <w:tcW w:w="1233" w:type="pct"/>
          </w:tcPr>
          <w:p>
            <w:pPr>
              <w:jc w:val="center"/>
              <w:rPr>
                <w:rFonts w:ascii="宋体"/>
                <w:sz w:val="18"/>
                <w:szCs w:val="18"/>
              </w:rPr>
            </w:pPr>
            <w:r>
              <w:rPr>
                <w:rFonts w:ascii="宋体"/>
                <w:sz w:val="18"/>
                <w:szCs w:val="18"/>
              </w:rPr>
              <w:t>-</w:t>
            </w:r>
          </w:p>
        </w:tc>
        <w:tc>
          <w:tcPr>
            <w:tcW w:w="1341" w:type="pct"/>
          </w:tcPr>
          <w:p>
            <w:pPr>
              <w:jc w:val="center"/>
              <w:rPr>
                <w:rFonts w:ascii="宋体"/>
                <w:sz w:val="18"/>
                <w:szCs w:val="18"/>
              </w:rPr>
            </w:pPr>
            <w:r>
              <w:rPr>
                <w:rFonts w:ascii="宋体"/>
                <w:sz w:val="18"/>
                <w:szCs w:val="18"/>
              </w:rPr>
              <w:t>±H×1%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4"/>
          </w:tcPr>
          <w:p>
            <w:pPr>
              <w:ind w:left="360" w:hanging="360" w:hangingChars="200"/>
              <w:jc w:val="left"/>
              <w:rPr>
                <w:rFonts w:ascii="宋体"/>
                <w:sz w:val="18"/>
                <w:szCs w:val="18"/>
              </w:rPr>
            </w:pPr>
            <w:r>
              <w:rPr>
                <w:rFonts w:ascii="宋体"/>
                <w:sz w:val="18"/>
                <w:szCs w:val="18"/>
              </w:rPr>
              <w:t>注：1）水底树林和杂草丛生水域不宜使用回声测深仪；2）当精度要求低、水下地形地貌条件困难区域、用测深锤测深流速大于表中规定或水深大于20m时，测点深度中误差不宜超过表中相应限差的2倍。</w:t>
            </w:r>
          </w:p>
        </w:tc>
      </w:tr>
    </w:tbl>
    <w:p>
      <w:pPr>
        <w:widowControl/>
        <w:numPr>
          <w:ilvl w:val="1"/>
          <w:numId w:val="2"/>
        </w:numPr>
        <w:tabs>
          <w:tab w:val="left" w:pos="7371"/>
        </w:tabs>
        <w:spacing w:before="156" w:beforeLines="50" w:after="156" w:afterLines="50"/>
        <w:jc w:val="left"/>
        <w:outlineLvl w:val="2"/>
        <w:rPr>
          <w:rFonts w:eastAsia="黑体"/>
          <w:bCs/>
          <w:kern w:val="0"/>
          <w:szCs w:val="21"/>
        </w:rPr>
      </w:pPr>
      <w:r>
        <w:rPr>
          <w:rFonts w:hint="eastAsia" w:eastAsia="黑体"/>
          <w:bCs/>
          <w:kern w:val="0"/>
          <w:szCs w:val="21"/>
          <w:lang w:val="en-US" w:eastAsia="zh-CN"/>
        </w:rPr>
        <w:t>项目前期</w:t>
      </w:r>
      <w:r>
        <w:rPr>
          <w:rFonts w:eastAsia="黑体"/>
          <w:bCs/>
          <w:kern w:val="0"/>
          <w:szCs w:val="21"/>
        </w:rPr>
        <w:t>测量</w:t>
      </w:r>
    </w:p>
    <w:p>
      <w:pPr>
        <w:pStyle w:val="50"/>
        <w:spacing w:before="156" w:after="156"/>
        <w:ind w:left="0"/>
      </w:pPr>
      <w:r>
        <w:t>测量准备</w:t>
      </w:r>
    </w:p>
    <w:p>
      <w:pPr>
        <w:pStyle w:val="55"/>
        <w:spacing w:before="156" w:after="156"/>
      </w:pPr>
      <w:r>
        <w:t>资料收集</w:t>
      </w:r>
    </w:p>
    <w:p>
      <w:pPr>
        <w:pStyle w:val="25"/>
        <w:numPr>
          <w:ilvl w:val="0"/>
          <w:numId w:val="21"/>
        </w:numPr>
        <w:ind w:firstLineChars="0"/>
      </w:pPr>
      <w:r>
        <w:t>自然地理、气候气象、水文等；</w:t>
      </w:r>
    </w:p>
    <w:p>
      <w:pPr>
        <w:pStyle w:val="25"/>
        <w:numPr>
          <w:ilvl w:val="0"/>
          <w:numId w:val="21"/>
        </w:numPr>
        <w:ind w:firstLineChars="0"/>
      </w:pPr>
      <w:r>
        <w:t>河道、湖（淀）泊、水库交通、通讯、用船、港湾及避风设施等工作条件；</w:t>
      </w:r>
    </w:p>
    <w:p>
      <w:pPr>
        <w:pStyle w:val="25"/>
        <w:numPr>
          <w:ilvl w:val="0"/>
          <w:numId w:val="21"/>
        </w:numPr>
        <w:ind w:firstLineChars="0"/>
      </w:pPr>
      <w:r>
        <w:t>周边卫星导航定位基准站网、控制点和水准点位置及成果资料；</w:t>
      </w:r>
    </w:p>
    <w:p>
      <w:pPr>
        <w:pStyle w:val="25"/>
        <w:numPr>
          <w:ilvl w:val="0"/>
          <w:numId w:val="21"/>
        </w:numPr>
        <w:ind w:firstLineChars="0"/>
      </w:pPr>
      <w:r>
        <w:t>水位站（验潮站）点位及成果资料；</w:t>
      </w:r>
    </w:p>
    <w:p>
      <w:pPr>
        <w:pStyle w:val="25"/>
        <w:numPr>
          <w:ilvl w:val="0"/>
          <w:numId w:val="21"/>
        </w:numPr>
        <w:ind w:firstLineChars="0"/>
      </w:pPr>
      <w:r>
        <w:t>生态清淤工程周边地形图资料、已有的水下地形（水深测量）资料等；</w:t>
      </w:r>
    </w:p>
    <w:p>
      <w:pPr>
        <w:pStyle w:val="25"/>
        <w:numPr>
          <w:ilvl w:val="0"/>
          <w:numId w:val="21"/>
        </w:numPr>
        <w:ind w:firstLineChars="0"/>
      </w:pPr>
      <w:r>
        <w:t>其他有关资料。</w:t>
      </w:r>
    </w:p>
    <w:p>
      <w:pPr>
        <w:pStyle w:val="55"/>
        <w:spacing w:before="156" w:after="156"/>
      </w:pPr>
      <w:r>
        <w:t>测区踏勘</w:t>
      </w:r>
    </w:p>
    <w:p>
      <w:pPr>
        <w:pStyle w:val="25"/>
        <w:numPr>
          <w:ilvl w:val="0"/>
          <w:numId w:val="22"/>
        </w:numPr>
        <w:ind w:firstLineChars="0"/>
      </w:pPr>
      <w:r>
        <w:t>项目正式作业前，应进行测区踏勘。测量应结合已有资料了解测区内的地形、地貌等基本情况，确定生态清淤工程的测量范围；</w:t>
      </w:r>
    </w:p>
    <w:p>
      <w:pPr>
        <w:pStyle w:val="25"/>
        <w:numPr>
          <w:ilvl w:val="0"/>
          <w:numId w:val="22"/>
        </w:numPr>
        <w:ind w:firstLineChars="0"/>
      </w:pPr>
      <w:r>
        <w:t>竣工测量应由建设单位、施工单位及监理单位共同完成项目区踏勘，核实项目工程实施的完成情况。</w:t>
      </w:r>
    </w:p>
    <w:p>
      <w:pPr>
        <w:pStyle w:val="55"/>
        <w:spacing w:before="156" w:after="156"/>
      </w:pPr>
      <w:r>
        <w:t>方案制定</w:t>
      </w:r>
    </w:p>
    <w:p>
      <w:pPr>
        <w:pStyle w:val="25"/>
        <w:numPr>
          <w:ilvl w:val="0"/>
          <w:numId w:val="23"/>
        </w:numPr>
        <w:ind w:firstLineChars="0"/>
      </w:pPr>
      <w:r>
        <w:t>应编写测量技术设计书，内容要求应符合 CH/T 1004 测绘技术设计的相关要求并报建设单位审批；</w:t>
      </w:r>
    </w:p>
    <w:p>
      <w:pPr>
        <w:pStyle w:val="25"/>
        <w:numPr>
          <w:ilvl w:val="0"/>
          <w:numId w:val="23"/>
        </w:numPr>
        <w:ind w:firstLineChars="0"/>
      </w:pPr>
      <w:r>
        <w:t>应根据实际需要，在测量开展前进行技术培训与试点工作，规范测量程序，统一技术路线。</w:t>
      </w:r>
    </w:p>
    <w:p>
      <w:pPr>
        <w:pStyle w:val="50"/>
        <w:spacing w:before="156" w:after="156"/>
        <w:ind w:left="0"/>
      </w:pPr>
      <w:r>
        <w:rPr>
          <w:rFonts w:hint="eastAsia"/>
          <w:lang w:val="en-US" w:eastAsia="zh-CN"/>
        </w:rPr>
        <w:t>项目前期</w:t>
      </w:r>
      <w:r>
        <w:t>现状地形测量</w:t>
      </w:r>
    </w:p>
    <w:p>
      <w:pPr>
        <w:pStyle w:val="55"/>
        <w:spacing w:before="156" w:after="156"/>
      </w:pPr>
      <w:r>
        <w:t>地物测绘主要内容</w:t>
      </w:r>
    </w:p>
    <w:p>
      <w:pPr>
        <w:pStyle w:val="157"/>
        <w:numPr>
          <w:ilvl w:val="0"/>
          <w:numId w:val="24"/>
        </w:numPr>
        <w:ind w:firstLineChars="0"/>
      </w:pPr>
      <w:r>
        <w:t>测量控制点；</w:t>
      </w:r>
    </w:p>
    <w:p>
      <w:pPr>
        <w:pStyle w:val="157"/>
        <w:numPr>
          <w:ilvl w:val="0"/>
          <w:numId w:val="24"/>
        </w:numPr>
        <w:ind w:firstLineChars="0"/>
      </w:pPr>
      <w:r>
        <w:t>居民地；</w:t>
      </w:r>
    </w:p>
    <w:p>
      <w:pPr>
        <w:pStyle w:val="157"/>
        <w:numPr>
          <w:ilvl w:val="0"/>
          <w:numId w:val="24"/>
        </w:numPr>
        <w:ind w:firstLineChars="0"/>
      </w:pPr>
      <w:r>
        <w:t>河道、湖（淀）泊、水库及其附属建筑物；</w:t>
      </w:r>
    </w:p>
    <w:p>
      <w:pPr>
        <w:pStyle w:val="157"/>
        <w:numPr>
          <w:ilvl w:val="0"/>
          <w:numId w:val="24"/>
        </w:numPr>
        <w:ind w:firstLineChars="0"/>
      </w:pPr>
      <w:r>
        <w:t>道路和管道；</w:t>
      </w:r>
    </w:p>
    <w:p>
      <w:pPr>
        <w:pStyle w:val="157"/>
        <w:numPr>
          <w:ilvl w:val="0"/>
          <w:numId w:val="24"/>
        </w:numPr>
        <w:ind w:firstLineChars="0"/>
      </w:pPr>
      <w:r>
        <w:t>送电线路和通信线路</w:t>
      </w:r>
      <w:r>
        <w:rPr>
          <w:rFonts w:hint="eastAsia"/>
          <w:highlight w:val="none"/>
          <w:lang w:val="en-US" w:eastAsia="zh-CN"/>
        </w:rPr>
        <w:t>等第三方主体</w:t>
      </w:r>
      <w:r>
        <w:t>；</w:t>
      </w:r>
    </w:p>
    <w:p>
      <w:pPr>
        <w:pStyle w:val="157"/>
        <w:numPr>
          <w:ilvl w:val="0"/>
          <w:numId w:val="24"/>
        </w:numPr>
        <w:ind w:firstLineChars="0"/>
      </w:pPr>
      <w:r>
        <w:t>独立地物、地质勘探点和水文气象设施；</w:t>
      </w:r>
    </w:p>
    <w:p>
      <w:pPr>
        <w:pStyle w:val="157"/>
        <w:numPr>
          <w:ilvl w:val="0"/>
          <w:numId w:val="24"/>
        </w:numPr>
        <w:ind w:firstLineChars="0"/>
      </w:pPr>
      <w:r>
        <w:t>境界、地类界及垣栅。并在地形特征点上测注高程。</w:t>
      </w:r>
    </w:p>
    <w:p>
      <w:pPr>
        <w:pStyle w:val="55"/>
        <w:spacing w:before="156" w:after="156"/>
      </w:pPr>
      <w:r>
        <w:t>河道、湖（淀）泊、水库</w:t>
      </w:r>
    </w:p>
    <w:p>
      <w:pPr>
        <w:pStyle w:val="25"/>
        <w:ind w:firstLine="420"/>
      </w:pPr>
      <w:r>
        <w:t>河道应测注位置、水位、河底高程、比降及河堤断面尺寸；湖（淀）泊应测注位置、水位、湖底高程、湖堤标高；水库应测注位置、坝（堤）顶高程和坝（堤）脚高程等。</w:t>
      </w:r>
    </w:p>
    <w:p>
      <w:pPr>
        <w:pStyle w:val="55"/>
        <w:spacing w:before="156" w:after="156"/>
      </w:pPr>
      <w:r>
        <w:t>跨河桥梁</w:t>
      </w:r>
    </w:p>
    <w:p>
      <w:pPr>
        <w:pStyle w:val="25"/>
        <w:ind w:firstLine="420"/>
      </w:pPr>
      <w:r>
        <w:t>桥梁应在图上准确定位，测注桥面宽度、桥梁跨度、桥孔、桥墩的断面尺寸，桥下水面</w:t>
      </w:r>
      <w:r>
        <w:rPr>
          <w:rFonts w:hint="eastAsia"/>
          <w:lang w:eastAsia="zh-CN"/>
        </w:rPr>
        <w:t>、</w:t>
      </w:r>
      <w:r>
        <w:rPr>
          <w:rFonts w:hint="eastAsia"/>
          <w:lang w:val="en-US" w:eastAsia="zh-CN"/>
        </w:rPr>
        <w:t>桥梁梁底、承台</w:t>
      </w:r>
      <w:r>
        <w:t>高程等。</w:t>
      </w:r>
    </w:p>
    <w:p>
      <w:pPr>
        <w:pStyle w:val="55"/>
        <w:spacing w:before="156" w:after="156"/>
      </w:pPr>
      <w:r>
        <w:t>各类水工建（构）筑物</w:t>
      </w:r>
    </w:p>
    <w:p>
      <w:pPr>
        <w:pStyle w:val="25"/>
        <w:ind w:firstLine="420"/>
      </w:pPr>
      <w:r>
        <w:t>各类水工建（构）筑物应对其长、宽、高、直径等外视尺寸进行测量，桥梁、水闸、泵站、坝等重要建（构）筑物位置应进行细部测量。</w:t>
      </w:r>
    </w:p>
    <w:p>
      <w:pPr>
        <w:pStyle w:val="55"/>
        <w:spacing w:before="156" w:after="156"/>
      </w:pPr>
      <w:r>
        <w:t>清淤水深</w:t>
      </w:r>
    </w:p>
    <w:p>
      <w:pPr>
        <w:pStyle w:val="25"/>
        <w:numPr>
          <w:ilvl w:val="0"/>
          <w:numId w:val="25"/>
        </w:numPr>
        <w:ind w:firstLineChars="0"/>
      </w:pPr>
      <w:r>
        <w:t>河道、湖（淀）泊、水库清淤水深测点的密度以能显示出水下地形特征为原则，一般间距为图上1cm~3cm，并绘制带状图及断面图；</w:t>
      </w:r>
    </w:p>
    <w:p>
      <w:pPr>
        <w:pStyle w:val="25"/>
        <w:numPr>
          <w:ilvl w:val="0"/>
          <w:numId w:val="25"/>
        </w:numPr>
        <w:ind w:firstLineChars="0"/>
      </w:pPr>
      <w:r>
        <w:t>水深测量应符合CH/T 7003的技术要求。使用无人船进行测量应符合CH/T 7002的技术要求。</w:t>
      </w:r>
    </w:p>
    <w:p>
      <w:pPr>
        <w:pStyle w:val="55"/>
        <w:spacing w:before="156" w:after="156"/>
      </w:pPr>
      <w:r>
        <w:t>线路、管路</w:t>
      </w:r>
    </w:p>
    <w:p>
      <w:pPr>
        <w:pStyle w:val="25"/>
        <w:ind w:firstLine="420"/>
      </w:pPr>
      <w:r>
        <w:t>送电线路、通信线路和架设在地面上或其中一段埋在地下的管道，均应测绘入图。电力线路应标注、区分高低压并注明电压等级</w:t>
      </w:r>
      <w:r>
        <w:rPr>
          <w:rFonts w:hint="eastAsia"/>
          <w:lang w:val="en-US" w:eastAsia="zh-CN"/>
        </w:rPr>
        <w:t>和</w:t>
      </w:r>
      <w:r>
        <w:t>长度</w:t>
      </w:r>
      <w:r>
        <w:rPr>
          <w:rFonts w:hint="eastAsia"/>
          <w:lang w:eastAsia="zh-CN"/>
        </w:rPr>
        <w:t>，</w:t>
      </w:r>
      <w:r>
        <w:rPr>
          <w:rFonts w:hint="eastAsia"/>
          <w:lang w:val="en-US" w:eastAsia="zh-CN"/>
        </w:rPr>
        <w:t>根据不同电压等级标注保护范围</w:t>
      </w:r>
      <w:r>
        <w:t>。项目区内的其他管线应根据项目实际需要调查标明。</w:t>
      </w:r>
    </w:p>
    <w:p>
      <w:pPr>
        <w:pStyle w:val="55"/>
        <w:spacing w:before="156" w:after="156"/>
      </w:pPr>
      <w:r>
        <w:t>钻孔等地质勘探点</w:t>
      </w:r>
    </w:p>
    <w:p>
      <w:pPr>
        <w:pStyle w:val="25"/>
        <w:ind w:firstLine="420"/>
      </w:pPr>
      <w:r>
        <w:t>除按技术设计书规定测绘外，也可按已有坐标展绘，并注记其高程。地质勘探点过密时，可择要测绘。</w:t>
      </w:r>
    </w:p>
    <w:p>
      <w:pPr>
        <w:pStyle w:val="50"/>
        <w:spacing w:before="156" w:after="156"/>
        <w:ind w:left="0"/>
        <w:rPr>
          <w:bCs/>
        </w:rPr>
      </w:pPr>
      <w:r>
        <w:rPr>
          <w:bCs/>
        </w:rPr>
        <w:t>水下物探测试</w:t>
      </w:r>
    </w:p>
    <w:p>
      <w:pPr>
        <w:pStyle w:val="117"/>
      </w:pPr>
      <w:r>
        <w:t>水域物探工作前应收集工程区域地形、地质和地球物理条件等资料，调查了解工作场地的天气，在水流较缓、风浪较小的情况下开展工作，仪器设备应满足性能稳定、构件牢固可靠、防潮、绝缘性能好等要求。</w:t>
      </w:r>
    </w:p>
    <w:p>
      <w:pPr>
        <w:pStyle w:val="117"/>
      </w:pPr>
      <w:r>
        <w:t>生态清淤工程勘察中宜在下列方面采用地球物理勘探：</w:t>
      </w:r>
    </w:p>
    <w:p>
      <w:pPr>
        <w:pStyle w:val="25"/>
        <w:numPr>
          <w:ilvl w:val="0"/>
          <w:numId w:val="26"/>
        </w:numPr>
        <w:ind w:firstLineChars="0"/>
      </w:pPr>
      <w:r>
        <w:t>作为钻探的先行手段，了解隐蔽的地质界线、界面或异常点、异常带、地下埋置物、暗沟及古河道等，为经济合理的确定钻探方案提供依据；</w:t>
      </w:r>
    </w:p>
    <w:p>
      <w:pPr>
        <w:pStyle w:val="25"/>
        <w:numPr>
          <w:ilvl w:val="0"/>
          <w:numId w:val="26"/>
        </w:numPr>
        <w:ind w:firstLineChars="0"/>
      </w:pPr>
      <w:r>
        <w:t>作为钻探的辅助手段，在钻孔之间增加工程物探线，为钻探成果的内插、外推提供依据。</w:t>
      </w:r>
    </w:p>
    <w:p>
      <w:pPr>
        <w:pStyle w:val="117"/>
      </w:pPr>
      <w:r>
        <w:t>物探方法宜根据场地条件和测试内容，选取合理的探测方法，水上常用的物探方法有水域探地雷达探测、声波回声测深、侧扫声呐探测、浅地层剖面探测、水域地震映像探测等，物探方法具体方案的制定与实施，应符合现行工程物探规程的有关规定。</w:t>
      </w:r>
    </w:p>
    <w:p>
      <w:pPr>
        <w:widowControl/>
        <w:numPr>
          <w:ilvl w:val="1"/>
          <w:numId w:val="2"/>
        </w:numPr>
        <w:tabs>
          <w:tab w:val="left" w:pos="7371"/>
        </w:tabs>
        <w:spacing w:before="156" w:beforeLines="50" w:after="156" w:afterLines="50"/>
        <w:jc w:val="left"/>
        <w:outlineLvl w:val="2"/>
        <w:rPr>
          <w:rFonts w:eastAsia="黑体"/>
          <w:bCs/>
          <w:kern w:val="0"/>
          <w:szCs w:val="21"/>
        </w:rPr>
      </w:pPr>
      <w:r>
        <w:rPr>
          <w:rFonts w:eastAsia="黑体"/>
          <w:bCs/>
          <w:kern w:val="0"/>
          <w:szCs w:val="21"/>
        </w:rPr>
        <w:t>过程测量</w:t>
      </w:r>
    </w:p>
    <w:p>
      <w:pPr>
        <w:pStyle w:val="50"/>
        <w:spacing w:before="156" w:after="156"/>
        <w:ind w:left="0"/>
      </w:pPr>
      <w:r>
        <w:t>放样测量</w:t>
      </w:r>
    </w:p>
    <w:p>
      <w:pPr>
        <w:pStyle w:val="25"/>
        <w:ind w:firstLine="420"/>
      </w:pPr>
      <w:r>
        <w:t>应根据规划设计的要求，对需要生态清淤的河道、湖（淀）泊、水库区域进行放样，明确清淤范围和四周位置坐标，埋设控制桩，并应测设标高。控制桩规格及测设要求按照GB50026的相关要求执行。</w:t>
      </w:r>
    </w:p>
    <w:p>
      <w:pPr>
        <w:pStyle w:val="50"/>
        <w:spacing w:before="156" w:after="156"/>
        <w:ind w:left="0"/>
      </w:pPr>
      <w:r>
        <w:t>施工测量</w:t>
      </w:r>
    </w:p>
    <w:p>
      <w:pPr>
        <w:pStyle w:val="25"/>
        <w:numPr>
          <w:ilvl w:val="0"/>
          <w:numId w:val="27"/>
        </w:numPr>
        <w:ind w:firstLineChars="0"/>
      </w:pPr>
      <w:r>
        <w:t>施工范围内的控制桩应定期校核；</w:t>
      </w:r>
    </w:p>
    <w:p>
      <w:pPr>
        <w:pStyle w:val="25"/>
        <w:numPr>
          <w:ilvl w:val="0"/>
          <w:numId w:val="27"/>
        </w:numPr>
        <w:ind w:firstLineChars="0"/>
      </w:pPr>
      <w:r>
        <w:t>做好清淤过程中地形测量及断面测量工作，避免超深与超宽；</w:t>
      </w:r>
    </w:p>
    <w:p>
      <w:pPr>
        <w:pStyle w:val="25"/>
        <w:numPr>
          <w:ilvl w:val="0"/>
          <w:numId w:val="27"/>
        </w:numPr>
        <w:ind w:firstLineChars="0"/>
      </w:pPr>
      <w:r>
        <w:t>施工过程中清淤工程量采用横断面法或平均高程法。条带状水域应采用横断面法，面状、地形较平坦的水域可采用平均高程法或方格网法。</w:t>
      </w:r>
    </w:p>
    <w:p>
      <w:pPr>
        <w:widowControl/>
        <w:numPr>
          <w:ilvl w:val="1"/>
          <w:numId w:val="2"/>
        </w:numPr>
        <w:tabs>
          <w:tab w:val="left" w:pos="7371"/>
        </w:tabs>
        <w:spacing w:before="156" w:beforeLines="50" w:after="156" w:afterLines="50"/>
        <w:jc w:val="left"/>
        <w:outlineLvl w:val="2"/>
        <w:rPr>
          <w:rFonts w:eastAsia="黑体"/>
          <w:bCs/>
          <w:kern w:val="0"/>
          <w:szCs w:val="21"/>
        </w:rPr>
      </w:pPr>
      <w:r>
        <w:rPr>
          <w:rFonts w:eastAsia="黑体"/>
          <w:bCs/>
          <w:kern w:val="0"/>
          <w:szCs w:val="21"/>
        </w:rPr>
        <w:t>竣工测量</w:t>
      </w:r>
    </w:p>
    <w:p>
      <w:pPr>
        <w:pStyle w:val="50"/>
        <w:spacing w:before="156" w:after="156"/>
        <w:ind w:left="0"/>
      </w:pPr>
      <w:r>
        <w:t>竣工地形测量</w:t>
      </w:r>
    </w:p>
    <w:p>
      <w:pPr>
        <w:pStyle w:val="117"/>
      </w:pPr>
      <w:r>
        <w:t>竣工地形测量要求按照GB50026的竣工总图编绘的相关要求执行。</w:t>
      </w:r>
    </w:p>
    <w:p>
      <w:pPr>
        <w:pStyle w:val="117"/>
      </w:pPr>
      <w:r>
        <w:t>竣工图的测量可用于工程计量、工程质量等检验，工程计量方法可参照SL 17、JTS 181-5技术标准执行。</w:t>
      </w:r>
    </w:p>
    <w:p>
      <w:pPr>
        <w:pStyle w:val="49"/>
        <w:spacing w:before="312" w:after="312"/>
        <w:rPr>
          <w:rFonts w:ascii="Times New Roman"/>
        </w:rPr>
      </w:pPr>
      <w:bookmarkStart w:id="91" w:name="_Toc162597286"/>
      <w:r>
        <w:rPr>
          <w:rFonts w:ascii="Times New Roman"/>
        </w:rPr>
        <w:t>工程地质勘察</w:t>
      </w:r>
      <w:bookmarkEnd w:id="88"/>
      <w:bookmarkEnd w:id="91"/>
    </w:p>
    <w:p>
      <w:pPr>
        <w:pStyle w:val="46"/>
        <w:tabs>
          <w:tab w:val="left" w:pos="7371"/>
        </w:tabs>
        <w:rPr>
          <w:rFonts w:ascii="Times New Roman" w:eastAsia="宋体"/>
          <w:bCs/>
        </w:rPr>
      </w:pPr>
      <w:bookmarkStart w:id="92" w:name="_Toc161995479"/>
      <w:bookmarkStart w:id="93" w:name="_Toc162597287"/>
      <w:r>
        <w:rPr>
          <w:rFonts w:ascii="Times New Roman" w:eastAsia="宋体"/>
          <w:bCs/>
        </w:rPr>
        <w:t>一般规定</w:t>
      </w:r>
      <w:bookmarkEnd w:id="92"/>
      <w:bookmarkEnd w:id="93"/>
    </w:p>
    <w:p>
      <w:pPr>
        <w:pStyle w:val="67"/>
      </w:pPr>
      <w:r>
        <w:t>生态清淤工程应进行工程地质勘察，为生态清淤工程设计和施工提供依据。</w:t>
      </w:r>
    </w:p>
    <w:p>
      <w:pPr>
        <w:pStyle w:val="67"/>
      </w:pPr>
      <w:r>
        <w:t>依据项目建设程序，生态清淤工程地质勘察应分阶段进行，包括规划阶段生态清淤工程地质勘察、可行性研究阶段生态清淤工程地质勘察、初步设计阶段生态清淤工程地质勘察和施工图设计阶段生态清淤工程地质勘察。</w:t>
      </w:r>
    </w:p>
    <w:p>
      <w:pPr>
        <w:pStyle w:val="67"/>
      </w:pPr>
      <w:r>
        <w:t>生态清淤工程地质勘察应在收集工程区基础资料的基础上，通过调查与测绘、勘探与取样、现场原位测试、室内试验等技术方法，分析清淤工程范围内河道、湖（淀）泊、水库的淤泥物理、化学指标，查明清淤工程范围内淤泥土层的性质、分布情况以及淤泥分类、环境质量等，以及清淤堆场范围内岩土工程地质条件、岩土层物理力学特性、承载能力等。</w:t>
      </w:r>
    </w:p>
    <w:p>
      <w:pPr>
        <w:pStyle w:val="67"/>
      </w:pPr>
      <w:r>
        <w:t>生态清淤工程地质勘察范围主要包括生态清淤实施范围、影响范围以及堆存、处置场区。</w:t>
      </w:r>
    </w:p>
    <w:p>
      <w:pPr>
        <w:pStyle w:val="46"/>
        <w:tabs>
          <w:tab w:val="left" w:pos="7371"/>
        </w:tabs>
        <w:rPr>
          <w:rFonts w:ascii="Times New Roman"/>
          <w:bCs/>
        </w:rPr>
      </w:pPr>
      <w:bookmarkStart w:id="94" w:name="_Toc161995480"/>
      <w:bookmarkStart w:id="95" w:name="_Toc162597288"/>
      <w:r>
        <w:rPr>
          <w:rFonts w:ascii="Times New Roman"/>
          <w:bCs/>
        </w:rPr>
        <w:t>调查与测绘</w:t>
      </w:r>
      <w:bookmarkEnd w:id="94"/>
      <w:bookmarkEnd w:id="95"/>
    </w:p>
    <w:p>
      <w:pPr>
        <w:pStyle w:val="67"/>
      </w:pPr>
      <w:bookmarkStart w:id="96" w:name="_Hlk161910839"/>
      <w:r>
        <w:t>清淤工程勘察前应开展河道、湖（淀）泊、水库淤泥调查评价工作，工作深度应满足各阶段设计和施工要求。</w:t>
      </w:r>
    </w:p>
    <w:p>
      <w:pPr>
        <w:pStyle w:val="67"/>
      </w:pPr>
      <w:r>
        <w:t>调查应收集相关河道、湖（淀）泊、水库地区及周边地区信息资料，包括河道、湖（淀）泊、水库的利用及规划管理资料、淤泥特征资料、水文特征资料、周边环境状况资料、周围企业生成废弃物处置与排放资料等。对通过调查资料收集分析后初步形成的勘探点进行现场踏勘，用以校正、删除不合理及无法到达的点位，结合资料分析给出更合理、更具代表性的初始勘探点位布设。</w:t>
      </w:r>
    </w:p>
    <w:p>
      <w:pPr>
        <w:pStyle w:val="67"/>
      </w:pPr>
      <w:r>
        <w:t>生态清淤工程调查应以淤泥污染物状况调查、工程地质调查和测绘为主。淤泥污染状况调查应包括污染淤泥的污染来源、污染物类型、污染物含量、污染物分布、上覆污染水状况等内容。工程地质调查应包含河道、湖（淀）泊、水库地貌特征的调查内容，对河道、湖（淀）泊、水库水系概况、地貌特征、地貌单元、河床地质、岸线及其利用情况、涉水工程建设情况等进行调查，并分析地貌演变。</w:t>
      </w:r>
    </w:p>
    <w:p>
      <w:pPr>
        <w:pStyle w:val="67"/>
      </w:pPr>
      <w:r>
        <w:t>测绘比例尺为1:10000~1:2000，当河道、湖（淀）泊、水库地质条件复杂时，应选用更大比例尺。测绘的主要内容包括地形地貌、水系、植被、地层岩性、地质构造、水文地质条件、物理地质现象等。</w:t>
      </w:r>
    </w:p>
    <w:bookmarkEnd w:id="96"/>
    <w:p>
      <w:pPr>
        <w:pStyle w:val="50"/>
        <w:spacing w:before="156" w:after="156"/>
        <w:ind w:left="0"/>
      </w:pPr>
      <w:bookmarkStart w:id="97" w:name="_Hlk161910983"/>
      <w:r>
        <w:t>勘探布置</w:t>
      </w:r>
    </w:p>
    <w:p>
      <w:pPr>
        <w:pStyle w:val="117"/>
      </w:pPr>
      <w:r>
        <w:t>勘探点布置的密度，应根据不同的勘探条件要求和生态清淤区域地形、地质条件及淤积层的复杂程度综合确定，可行性研究阶段地质勘探剖面的布置宜与</w:t>
      </w:r>
      <w:r>
        <w:rPr>
          <w:highlight w:val="none"/>
        </w:rPr>
        <w:t>与地形测量横断面</w:t>
      </w:r>
      <w:r>
        <w:rPr>
          <w:rFonts w:hint="eastAsia"/>
          <w:highlight w:val="none"/>
          <w:lang w:val="en-US" w:eastAsia="zh-CN"/>
        </w:rPr>
        <w:t>及平面</w:t>
      </w:r>
      <w:r>
        <w:rPr>
          <w:highlight w:val="none"/>
        </w:rPr>
        <w:t>相协调</w:t>
      </w:r>
      <w:r>
        <w:t>，地形起伏大、地貌单元多、地质条件复杂时应加密断面或勘探点；初步设计阶段勘探点的布置应综合考虑可行性研究阶段勘探成果、淤泥污染物调查情况和可行性研究阶段的清淤设计方案等因素；施工图设计阶段勘探点的布置，应针对初步设计阶段中提出的工程地质问题，在已完成的勘探点之间加密。</w:t>
      </w:r>
    </w:p>
    <w:p>
      <w:pPr>
        <w:pStyle w:val="117"/>
      </w:pPr>
      <w:r>
        <w:t>工程勘察点位布置参照DB13/T 5354执行。</w:t>
      </w:r>
    </w:p>
    <w:p>
      <w:pPr>
        <w:pStyle w:val="117"/>
      </w:pPr>
      <w:r>
        <w:t>勘探孔深度应结合生态清淤厚度、河道、湖（淀）泊、水库防洪行洪要求确定，</w:t>
      </w:r>
      <w:r>
        <w:rPr>
          <w:highlight w:val="none"/>
        </w:rPr>
        <w:t>控制孔宜深入</w:t>
      </w:r>
      <w:r>
        <w:rPr>
          <w:rFonts w:hint="eastAsia"/>
          <w:highlight w:val="none"/>
          <w:lang w:val="en-US" w:eastAsia="zh-CN"/>
        </w:rPr>
        <w:t>设计</w:t>
      </w:r>
      <w:r>
        <w:rPr>
          <w:highlight w:val="none"/>
        </w:rPr>
        <w:t>河床、湖（库）床以下</w:t>
      </w:r>
      <w:r>
        <w:t>5m～10m，且宜穿透河底淤泥等软土层或防洪要求河底、库底以下不少于3m，一般孔深度可根据清淤要求适当调整；当勘探深度内遇到厚层碎石土或风化基岩时，勘探孔深度可适当减小。</w:t>
      </w:r>
    </w:p>
    <w:p>
      <w:pPr>
        <w:pStyle w:val="117"/>
      </w:pPr>
      <w:r>
        <w:t>控制性勘探孔不宜少于勘探孔总数的1/3，钻探取土取样孔不应少于勘探孔总数的1/2。</w:t>
      </w:r>
    </w:p>
    <w:p>
      <w:pPr>
        <w:pStyle w:val="117"/>
      </w:pPr>
      <w:r>
        <w:t>淤泥堆存、处置场地勘探布置可参照SL 17、JTS181执行。</w:t>
      </w:r>
    </w:p>
    <w:p>
      <w:pPr>
        <w:pStyle w:val="117"/>
      </w:pPr>
      <w:r>
        <w:t>淤泥调查取样点的布置参照DB 13/T 5606执行。</w:t>
      </w:r>
    </w:p>
    <w:bookmarkEnd w:id="97"/>
    <w:p>
      <w:pPr>
        <w:pStyle w:val="50"/>
        <w:spacing w:before="156" w:after="156"/>
        <w:ind w:left="0"/>
      </w:pPr>
      <w:bookmarkStart w:id="98" w:name="_Hlk161911100"/>
      <w:r>
        <w:t>勘探点位精度</w:t>
      </w:r>
    </w:p>
    <w:p>
      <w:pPr>
        <w:pStyle w:val="25"/>
        <w:ind w:firstLine="420"/>
      </w:pPr>
      <w:r>
        <w:t>在勘探取样前应进行区域水下地形测量，勘探取样点布置在测图上，水下地形测图比例尺要求和勘探定位精度要求应符合表6的要求。</w:t>
      </w:r>
    </w:p>
    <w:p>
      <w:pPr>
        <w:pStyle w:val="131"/>
        <w:spacing w:before="156" w:afterLines="0"/>
      </w:pPr>
      <w:r>
        <w:t>生态清淤勘探定位精度要求</w:t>
      </w:r>
    </w:p>
    <w:tbl>
      <w:tblPr>
        <w:tblStyle w:val="37"/>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31"/>
        <w:gridCol w:w="1601"/>
        <w:gridCol w:w="1452"/>
        <w:gridCol w:w="1743"/>
        <w:gridCol w:w="1161"/>
        <w:gridCol w:w="18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905" w:type="pct"/>
            <w:vMerge w:val="restart"/>
            <w:vAlign w:val="center"/>
          </w:tcPr>
          <w:p>
            <w:pPr>
              <w:pStyle w:val="25"/>
              <w:ind w:firstLine="0" w:firstLineChars="0"/>
              <w:jc w:val="center"/>
              <w:rPr>
                <w:rFonts w:ascii="宋体"/>
                <w:sz w:val="18"/>
                <w:szCs w:val="18"/>
              </w:rPr>
            </w:pPr>
            <w:r>
              <w:rPr>
                <w:rFonts w:ascii="宋体"/>
                <w:sz w:val="18"/>
                <w:szCs w:val="18"/>
              </w:rPr>
              <w:t>阶段</w:t>
            </w:r>
          </w:p>
        </w:tc>
        <w:tc>
          <w:tcPr>
            <w:tcW w:w="837" w:type="pct"/>
            <w:vMerge w:val="restart"/>
            <w:vAlign w:val="center"/>
          </w:tcPr>
          <w:p>
            <w:pPr>
              <w:pStyle w:val="25"/>
              <w:ind w:firstLine="0" w:firstLineChars="0"/>
              <w:jc w:val="center"/>
              <w:rPr>
                <w:rFonts w:ascii="宋体"/>
                <w:sz w:val="18"/>
                <w:szCs w:val="18"/>
              </w:rPr>
            </w:pPr>
            <w:r>
              <w:rPr>
                <w:rFonts w:ascii="宋体"/>
                <w:sz w:val="18"/>
                <w:szCs w:val="18"/>
              </w:rPr>
              <w:t>测图比例尺</w:t>
            </w:r>
          </w:p>
        </w:tc>
        <w:tc>
          <w:tcPr>
            <w:tcW w:w="1670" w:type="pct"/>
            <w:gridSpan w:val="2"/>
            <w:vAlign w:val="center"/>
          </w:tcPr>
          <w:p>
            <w:pPr>
              <w:pStyle w:val="25"/>
              <w:ind w:firstLine="0" w:firstLineChars="0"/>
              <w:jc w:val="center"/>
              <w:rPr>
                <w:rFonts w:ascii="宋体"/>
                <w:sz w:val="18"/>
                <w:szCs w:val="18"/>
              </w:rPr>
            </w:pPr>
            <w:r>
              <w:rPr>
                <w:rFonts w:ascii="宋体"/>
                <w:sz w:val="18"/>
                <w:szCs w:val="18"/>
              </w:rPr>
              <w:t>平面位置</w:t>
            </w:r>
          </w:p>
        </w:tc>
        <w:tc>
          <w:tcPr>
            <w:tcW w:w="1588" w:type="pct"/>
            <w:gridSpan w:val="2"/>
            <w:vAlign w:val="center"/>
          </w:tcPr>
          <w:p>
            <w:pPr>
              <w:pStyle w:val="25"/>
              <w:ind w:firstLine="0" w:firstLineChars="0"/>
              <w:jc w:val="center"/>
              <w:rPr>
                <w:rFonts w:ascii="宋体"/>
                <w:sz w:val="18"/>
                <w:szCs w:val="18"/>
              </w:rPr>
            </w:pPr>
            <w:r>
              <w:rPr>
                <w:rFonts w:ascii="宋体"/>
                <w:sz w:val="18"/>
                <w:szCs w:val="18"/>
              </w:rPr>
              <w:t>高程（m）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905" w:type="pct"/>
            <w:vMerge w:val="continue"/>
            <w:vAlign w:val="center"/>
          </w:tcPr>
          <w:p>
            <w:pPr>
              <w:pStyle w:val="25"/>
              <w:ind w:firstLine="0" w:firstLineChars="0"/>
              <w:jc w:val="center"/>
              <w:rPr>
                <w:rFonts w:ascii="宋体"/>
                <w:sz w:val="18"/>
                <w:szCs w:val="18"/>
              </w:rPr>
            </w:pPr>
          </w:p>
        </w:tc>
        <w:tc>
          <w:tcPr>
            <w:tcW w:w="837" w:type="pct"/>
            <w:vMerge w:val="continue"/>
            <w:vAlign w:val="center"/>
          </w:tcPr>
          <w:p>
            <w:pPr>
              <w:pStyle w:val="25"/>
              <w:ind w:firstLine="0" w:firstLineChars="0"/>
              <w:jc w:val="center"/>
              <w:rPr>
                <w:rFonts w:ascii="宋体"/>
                <w:sz w:val="18"/>
                <w:szCs w:val="18"/>
              </w:rPr>
            </w:pPr>
          </w:p>
        </w:tc>
        <w:tc>
          <w:tcPr>
            <w:tcW w:w="759" w:type="pct"/>
            <w:vAlign w:val="center"/>
          </w:tcPr>
          <w:p>
            <w:pPr>
              <w:pStyle w:val="25"/>
              <w:ind w:firstLine="0" w:firstLineChars="0"/>
              <w:jc w:val="center"/>
              <w:rPr>
                <w:rFonts w:ascii="宋体"/>
                <w:sz w:val="18"/>
                <w:szCs w:val="18"/>
              </w:rPr>
            </w:pPr>
            <w:r>
              <w:rPr>
                <w:rFonts w:ascii="宋体"/>
                <w:sz w:val="18"/>
                <w:szCs w:val="18"/>
              </w:rPr>
              <w:t>河道</w:t>
            </w:r>
          </w:p>
        </w:tc>
        <w:tc>
          <w:tcPr>
            <w:tcW w:w="911" w:type="pct"/>
            <w:vAlign w:val="center"/>
          </w:tcPr>
          <w:p>
            <w:pPr>
              <w:pStyle w:val="25"/>
              <w:ind w:firstLine="0" w:firstLineChars="0"/>
              <w:jc w:val="center"/>
              <w:rPr>
                <w:rFonts w:ascii="宋体"/>
                <w:sz w:val="18"/>
                <w:szCs w:val="18"/>
              </w:rPr>
            </w:pPr>
            <w:r>
              <w:rPr>
                <w:rFonts w:ascii="宋体"/>
                <w:sz w:val="18"/>
                <w:szCs w:val="18"/>
              </w:rPr>
              <w:t>湖（淀）泊、水库</w:t>
            </w:r>
          </w:p>
        </w:tc>
        <w:tc>
          <w:tcPr>
            <w:tcW w:w="607" w:type="pct"/>
            <w:vAlign w:val="center"/>
          </w:tcPr>
          <w:p>
            <w:pPr>
              <w:pStyle w:val="25"/>
              <w:ind w:firstLine="0" w:firstLineChars="0"/>
              <w:jc w:val="center"/>
              <w:rPr>
                <w:rFonts w:ascii="宋体"/>
                <w:sz w:val="18"/>
                <w:szCs w:val="18"/>
              </w:rPr>
            </w:pPr>
            <w:r>
              <w:rPr>
                <w:rFonts w:ascii="宋体"/>
                <w:sz w:val="18"/>
                <w:szCs w:val="18"/>
              </w:rPr>
              <w:t>河道</w:t>
            </w:r>
          </w:p>
        </w:tc>
        <w:tc>
          <w:tcPr>
            <w:tcW w:w="981" w:type="pct"/>
            <w:vAlign w:val="center"/>
          </w:tcPr>
          <w:p>
            <w:pPr>
              <w:pStyle w:val="25"/>
              <w:ind w:firstLine="0" w:firstLineChars="0"/>
              <w:jc w:val="center"/>
              <w:rPr>
                <w:rFonts w:ascii="宋体"/>
                <w:sz w:val="18"/>
                <w:szCs w:val="18"/>
              </w:rPr>
            </w:pPr>
            <w:r>
              <w:rPr>
                <w:rFonts w:ascii="宋体"/>
                <w:sz w:val="18"/>
                <w:szCs w:val="18"/>
              </w:rPr>
              <w:t>湖（淀）泊、水库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5" w:type="pct"/>
            <w:vAlign w:val="center"/>
          </w:tcPr>
          <w:p>
            <w:pPr>
              <w:pStyle w:val="25"/>
              <w:ind w:firstLine="0" w:firstLineChars="0"/>
              <w:jc w:val="center"/>
              <w:rPr>
                <w:rFonts w:ascii="宋体"/>
                <w:sz w:val="18"/>
                <w:szCs w:val="18"/>
              </w:rPr>
            </w:pPr>
            <w:r>
              <w:rPr>
                <w:rFonts w:ascii="宋体"/>
                <w:sz w:val="18"/>
                <w:szCs w:val="18"/>
              </w:rPr>
              <w:t>可行性研究阶段</w:t>
            </w:r>
          </w:p>
        </w:tc>
        <w:tc>
          <w:tcPr>
            <w:tcW w:w="837" w:type="pct"/>
            <w:vAlign w:val="center"/>
          </w:tcPr>
          <w:p>
            <w:pPr>
              <w:pStyle w:val="25"/>
              <w:ind w:firstLine="0" w:firstLineChars="0"/>
              <w:jc w:val="center"/>
              <w:rPr>
                <w:rFonts w:ascii="宋体"/>
                <w:sz w:val="18"/>
                <w:szCs w:val="18"/>
              </w:rPr>
            </w:pPr>
            <w:r>
              <w:rPr>
                <w:rFonts w:ascii="宋体"/>
                <w:sz w:val="18"/>
                <w:szCs w:val="18"/>
              </w:rPr>
              <w:t>1:2000～1:5000</w:t>
            </w:r>
          </w:p>
        </w:tc>
        <w:tc>
          <w:tcPr>
            <w:tcW w:w="759" w:type="pct"/>
            <w:vAlign w:val="center"/>
          </w:tcPr>
          <w:p>
            <w:pPr>
              <w:pStyle w:val="25"/>
              <w:ind w:firstLine="0" w:firstLineChars="0"/>
              <w:jc w:val="center"/>
              <w:rPr>
                <w:rFonts w:ascii="宋体"/>
                <w:sz w:val="18"/>
                <w:szCs w:val="18"/>
              </w:rPr>
            </w:pPr>
            <w:r>
              <w:rPr>
                <w:rFonts w:ascii="宋体"/>
                <w:sz w:val="18"/>
                <w:szCs w:val="18"/>
              </w:rPr>
              <w:t>≤图上2mm</w:t>
            </w:r>
          </w:p>
        </w:tc>
        <w:tc>
          <w:tcPr>
            <w:tcW w:w="911" w:type="pct"/>
            <w:vAlign w:val="center"/>
          </w:tcPr>
          <w:p>
            <w:pPr>
              <w:pStyle w:val="25"/>
              <w:ind w:firstLine="0" w:firstLineChars="0"/>
              <w:jc w:val="center"/>
              <w:rPr>
                <w:rFonts w:ascii="宋体"/>
                <w:sz w:val="18"/>
                <w:szCs w:val="18"/>
              </w:rPr>
            </w:pPr>
            <w:r>
              <w:rPr>
                <w:rFonts w:ascii="宋体"/>
                <w:sz w:val="18"/>
                <w:szCs w:val="18"/>
              </w:rPr>
              <w:t>≤1.0m</w:t>
            </w:r>
          </w:p>
        </w:tc>
        <w:tc>
          <w:tcPr>
            <w:tcW w:w="607" w:type="pct"/>
            <w:vAlign w:val="center"/>
          </w:tcPr>
          <w:p>
            <w:pPr>
              <w:pStyle w:val="25"/>
              <w:ind w:firstLine="0" w:firstLineChars="0"/>
              <w:jc w:val="center"/>
              <w:rPr>
                <w:rFonts w:ascii="宋体"/>
                <w:sz w:val="18"/>
                <w:szCs w:val="18"/>
              </w:rPr>
            </w:pPr>
            <w:r>
              <w:rPr>
                <w:rFonts w:ascii="宋体"/>
                <w:sz w:val="18"/>
                <w:szCs w:val="18"/>
              </w:rPr>
              <w:t>≤0.1</w:t>
            </w:r>
          </w:p>
        </w:tc>
        <w:tc>
          <w:tcPr>
            <w:tcW w:w="981" w:type="pct"/>
            <w:vAlign w:val="center"/>
          </w:tcPr>
          <w:p>
            <w:pPr>
              <w:pStyle w:val="25"/>
              <w:ind w:firstLine="0" w:firstLineChars="0"/>
              <w:jc w:val="center"/>
              <w:rPr>
                <w:rFonts w:ascii="宋体"/>
                <w:sz w:val="18"/>
                <w:szCs w:val="18"/>
              </w:rPr>
            </w:pPr>
            <w:r>
              <w:rPr>
                <w:rFonts w:ascii="宋体"/>
                <w:sz w:val="18"/>
                <w:szCs w:val="18"/>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5" w:type="pct"/>
            <w:vAlign w:val="center"/>
          </w:tcPr>
          <w:p>
            <w:pPr>
              <w:pStyle w:val="25"/>
              <w:ind w:firstLine="0" w:firstLineChars="0"/>
              <w:jc w:val="center"/>
              <w:rPr>
                <w:rFonts w:ascii="宋体"/>
                <w:sz w:val="18"/>
                <w:szCs w:val="18"/>
              </w:rPr>
            </w:pPr>
            <w:r>
              <w:rPr>
                <w:rFonts w:ascii="宋体"/>
                <w:sz w:val="18"/>
                <w:szCs w:val="18"/>
              </w:rPr>
              <w:t>工程设计阶段</w:t>
            </w:r>
          </w:p>
        </w:tc>
        <w:tc>
          <w:tcPr>
            <w:tcW w:w="837" w:type="pct"/>
            <w:vAlign w:val="center"/>
          </w:tcPr>
          <w:p>
            <w:pPr>
              <w:pStyle w:val="25"/>
              <w:ind w:firstLine="0" w:firstLineChars="0"/>
              <w:jc w:val="center"/>
              <w:rPr>
                <w:rFonts w:ascii="宋体"/>
                <w:sz w:val="18"/>
                <w:szCs w:val="18"/>
              </w:rPr>
            </w:pPr>
            <w:r>
              <w:rPr>
                <w:rFonts w:ascii="宋体"/>
                <w:sz w:val="18"/>
                <w:szCs w:val="18"/>
              </w:rPr>
              <w:t>1:1000～1:2000</w:t>
            </w:r>
          </w:p>
        </w:tc>
        <w:tc>
          <w:tcPr>
            <w:tcW w:w="759" w:type="pct"/>
            <w:vAlign w:val="center"/>
          </w:tcPr>
          <w:p>
            <w:pPr>
              <w:pStyle w:val="25"/>
              <w:ind w:firstLine="0" w:firstLineChars="0"/>
              <w:jc w:val="center"/>
              <w:rPr>
                <w:rFonts w:ascii="宋体"/>
                <w:sz w:val="18"/>
                <w:szCs w:val="18"/>
              </w:rPr>
            </w:pPr>
            <w:r>
              <w:rPr>
                <w:rFonts w:ascii="宋体"/>
                <w:sz w:val="18"/>
                <w:szCs w:val="18"/>
              </w:rPr>
              <w:t>≤图上1mm</w:t>
            </w:r>
          </w:p>
        </w:tc>
        <w:tc>
          <w:tcPr>
            <w:tcW w:w="911" w:type="pct"/>
            <w:vAlign w:val="center"/>
          </w:tcPr>
          <w:p>
            <w:pPr>
              <w:pStyle w:val="25"/>
              <w:ind w:firstLine="0" w:firstLineChars="0"/>
              <w:jc w:val="center"/>
              <w:rPr>
                <w:rFonts w:ascii="宋体"/>
                <w:sz w:val="18"/>
                <w:szCs w:val="18"/>
              </w:rPr>
            </w:pPr>
            <w:r>
              <w:rPr>
                <w:rFonts w:ascii="宋体"/>
                <w:sz w:val="18"/>
                <w:szCs w:val="18"/>
              </w:rPr>
              <w:t>≤0.5m</w:t>
            </w:r>
          </w:p>
        </w:tc>
        <w:tc>
          <w:tcPr>
            <w:tcW w:w="607" w:type="pct"/>
            <w:vAlign w:val="center"/>
          </w:tcPr>
          <w:p>
            <w:pPr>
              <w:pStyle w:val="25"/>
              <w:ind w:firstLine="0" w:firstLineChars="0"/>
              <w:jc w:val="center"/>
              <w:rPr>
                <w:rFonts w:ascii="宋体"/>
                <w:sz w:val="18"/>
                <w:szCs w:val="18"/>
              </w:rPr>
            </w:pPr>
            <w:r>
              <w:rPr>
                <w:rFonts w:ascii="宋体"/>
                <w:sz w:val="18"/>
                <w:szCs w:val="18"/>
              </w:rPr>
              <w:t>≤0.05</w:t>
            </w:r>
          </w:p>
        </w:tc>
        <w:tc>
          <w:tcPr>
            <w:tcW w:w="981" w:type="pct"/>
            <w:vAlign w:val="center"/>
          </w:tcPr>
          <w:p>
            <w:pPr>
              <w:pStyle w:val="25"/>
              <w:ind w:firstLine="0" w:firstLineChars="0"/>
              <w:jc w:val="center"/>
              <w:rPr>
                <w:rFonts w:ascii="宋体"/>
                <w:sz w:val="18"/>
                <w:szCs w:val="18"/>
              </w:rPr>
            </w:pPr>
            <w:r>
              <w:rPr>
                <w:rFonts w:ascii="宋体"/>
                <w:sz w:val="18"/>
                <w:szCs w:val="18"/>
              </w:rPr>
              <w:t>≤0.05</w:t>
            </w:r>
          </w:p>
        </w:tc>
      </w:tr>
    </w:tbl>
    <w:p>
      <w:pPr>
        <w:pStyle w:val="50"/>
        <w:spacing w:before="156" w:after="156"/>
        <w:ind w:left="0"/>
      </w:pPr>
      <w:r>
        <w:t>取样方式</w:t>
      </w:r>
    </w:p>
    <w:p>
      <w:pPr>
        <w:pStyle w:val="117"/>
      </w:pPr>
      <w:r>
        <w:t>生态清淤工程淤泥的取样可根据工程区域环境、试验对象的不同，分别采取人工方式和机械方式；</w:t>
      </w:r>
    </w:p>
    <w:p>
      <w:pPr>
        <w:pStyle w:val="117"/>
      </w:pPr>
      <w:r>
        <w:t>人工方式淤泥取样器主要有抓斗和柱状取样器两种。抓斗取样深度一般为表层10cm，主要用于清淤工程区重点清淤区域的确定；柱状取样器可以采集不同深度的淤泥样品，主要用于淤泥垂直分布特征研究及确定工程区淤泥的疏挖深度。</w:t>
      </w:r>
    </w:p>
    <w:p>
      <w:pPr>
        <w:pStyle w:val="117"/>
      </w:pPr>
      <w:r>
        <w:t>机械方式取样设备主要为工程钻机等快速取土装置，水上钻孔取样作业宜采用船、平台等设备，应符合GB 5002、JGJT 87的规定。</w:t>
      </w:r>
    </w:p>
    <w:p>
      <w:pPr>
        <w:pStyle w:val="117"/>
      </w:pPr>
      <w:r>
        <w:t>地表水样的采集应反映水质及污染物的空间分布和变化规律，应符合HJ/T91的规定。</w:t>
      </w:r>
    </w:p>
    <w:p>
      <w:pPr>
        <w:pStyle w:val="50"/>
        <w:spacing w:before="156" w:after="156"/>
        <w:ind w:left="0"/>
      </w:pPr>
      <w:r>
        <w:t>取样要求</w:t>
      </w:r>
    </w:p>
    <w:p>
      <w:pPr>
        <w:pStyle w:val="117"/>
      </w:pPr>
      <w:r>
        <w:t>生态清淤工程应结合淤泥污染调查，应取样进行物理力学性质试验及典型污染物检测试验，每一主要岩土层试验累计有效组数不应少于12组，并应满足其它相关规范标准的规定.</w:t>
      </w:r>
    </w:p>
    <w:p>
      <w:pPr>
        <w:pStyle w:val="117"/>
      </w:pPr>
      <w:r>
        <w:t>生态清淤工程勘探取样应全柱状取样，取样化学分析取样深度应至正常层下20cm～50cm，物理力学分析取样深度应至勘探孔孔底，具体取样要求见下表7。</w:t>
      </w:r>
    </w:p>
    <w:p>
      <w:pPr>
        <w:pStyle w:val="117"/>
      </w:pPr>
      <w:r>
        <w:t>地表水样、地下水样的采样点应结合污染物分布区域选择，水质均匀区域可减少采样点。</w:t>
      </w:r>
    </w:p>
    <w:p>
      <w:pPr>
        <w:pStyle w:val="131"/>
        <w:spacing w:before="156" w:afterLines="0"/>
      </w:pPr>
      <w:r>
        <w:t>生态清淤取样类别与取样要求</w:t>
      </w:r>
    </w:p>
    <w:bookmarkEnd w:id="98"/>
    <w:tbl>
      <w:tblPr>
        <w:tblStyle w:val="37"/>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41"/>
        <w:gridCol w:w="746"/>
        <w:gridCol w:w="1793"/>
        <w:gridCol w:w="1334"/>
        <w:gridCol w:w="40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48" w:type="pct"/>
            <w:gridSpan w:val="2"/>
            <w:vAlign w:val="center"/>
          </w:tcPr>
          <w:p>
            <w:pPr>
              <w:widowControl/>
              <w:tabs>
                <w:tab w:val="center" w:pos="4201"/>
                <w:tab w:val="right" w:leader="dot" w:pos="9298"/>
              </w:tabs>
              <w:autoSpaceDE w:val="0"/>
              <w:autoSpaceDN w:val="0"/>
              <w:jc w:val="center"/>
              <w:rPr>
                <w:rFonts w:ascii="宋体"/>
                <w:kern w:val="0"/>
                <w:sz w:val="18"/>
                <w:szCs w:val="18"/>
              </w:rPr>
            </w:pPr>
            <w:bookmarkStart w:id="99" w:name="_Hlk161911122"/>
            <w:r>
              <w:rPr>
                <w:rFonts w:ascii="宋体"/>
                <w:kern w:val="0"/>
                <w:sz w:val="18"/>
                <w:szCs w:val="18"/>
              </w:rPr>
              <w:t>取样类别</w:t>
            </w:r>
          </w:p>
        </w:tc>
        <w:tc>
          <w:tcPr>
            <w:tcW w:w="937"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取样间距（m）</w:t>
            </w:r>
          </w:p>
        </w:tc>
        <w:tc>
          <w:tcPr>
            <w:tcW w:w="697"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土样质量</w:t>
            </w:r>
          </w:p>
        </w:tc>
        <w:tc>
          <w:tcPr>
            <w:tcW w:w="2118"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8" w:type="pct"/>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物理化学分析试样</w:t>
            </w:r>
          </w:p>
        </w:tc>
        <w:tc>
          <w:tcPr>
            <w:tcW w:w="390"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A层</w:t>
            </w:r>
          </w:p>
        </w:tc>
        <w:tc>
          <w:tcPr>
            <w:tcW w:w="937"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0.1～0.2</w:t>
            </w:r>
          </w:p>
        </w:tc>
        <w:tc>
          <w:tcPr>
            <w:tcW w:w="697" w:type="pct"/>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扰动</w:t>
            </w:r>
          </w:p>
        </w:tc>
        <w:tc>
          <w:tcPr>
            <w:tcW w:w="2118" w:type="pct"/>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取样个数应满足试验检测的要求</w:t>
            </w:r>
          </w:p>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大中型湖（淀）泊（面积≥100 km</w:t>
            </w:r>
            <w:r>
              <w:rPr>
                <w:rFonts w:ascii="宋体"/>
                <w:kern w:val="0"/>
                <w:sz w:val="18"/>
                <w:szCs w:val="18"/>
                <w:vertAlign w:val="superscript"/>
              </w:rPr>
              <w:t>2</w:t>
            </w:r>
            <w:r>
              <w:rPr>
                <w:rFonts w:ascii="宋体"/>
                <w:kern w:val="0"/>
                <w:sz w:val="18"/>
                <w:szCs w:val="18"/>
              </w:rPr>
              <w:t>）内采样点位数量应不少于20个；小型湖（淀）泊（面积&lt;100 km</w:t>
            </w:r>
            <w:r>
              <w:rPr>
                <w:rFonts w:ascii="宋体"/>
                <w:kern w:val="0"/>
                <w:sz w:val="18"/>
                <w:szCs w:val="18"/>
                <w:vertAlign w:val="superscript"/>
              </w:rPr>
              <w:t>2</w:t>
            </w:r>
            <w:r>
              <w:rPr>
                <w:rFonts w:ascii="宋体"/>
                <w:kern w:val="0"/>
                <w:sz w:val="18"/>
                <w:szCs w:val="18"/>
              </w:rPr>
              <w:t>）内采样点位数量应不少于10个。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8" w:type="pct"/>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390"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B层</w:t>
            </w:r>
          </w:p>
        </w:tc>
        <w:tc>
          <w:tcPr>
            <w:tcW w:w="937"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0.1～0.5</w:t>
            </w:r>
          </w:p>
        </w:tc>
        <w:tc>
          <w:tcPr>
            <w:tcW w:w="697" w:type="pct"/>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2118" w:type="pct"/>
            <w:vMerge w:val="continue"/>
            <w:vAlign w:val="center"/>
          </w:tcPr>
          <w:p>
            <w:pPr>
              <w:widowControl/>
              <w:tabs>
                <w:tab w:val="center" w:pos="4201"/>
                <w:tab w:val="right" w:leader="dot" w:pos="9298"/>
              </w:tabs>
              <w:autoSpaceDE w:val="0"/>
              <w:autoSpaceDN w:val="0"/>
              <w:jc w:val="center"/>
              <w:rPr>
                <w:rFonts w:ascii="宋体"/>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8" w:type="pct"/>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390"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C层</w:t>
            </w:r>
          </w:p>
        </w:tc>
        <w:tc>
          <w:tcPr>
            <w:tcW w:w="937"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0.5～1.0</w:t>
            </w:r>
          </w:p>
        </w:tc>
        <w:tc>
          <w:tcPr>
            <w:tcW w:w="697" w:type="pct"/>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2118" w:type="pct"/>
            <w:vMerge w:val="continue"/>
            <w:vAlign w:val="center"/>
          </w:tcPr>
          <w:p>
            <w:pPr>
              <w:widowControl/>
              <w:tabs>
                <w:tab w:val="center" w:pos="4201"/>
                <w:tab w:val="right" w:leader="dot" w:pos="9298"/>
              </w:tabs>
              <w:autoSpaceDE w:val="0"/>
              <w:autoSpaceDN w:val="0"/>
              <w:jc w:val="center"/>
              <w:rPr>
                <w:rFonts w:ascii="宋体"/>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48" w:type="pct"/>
            <w:gridSpan w:val="2"/>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物理力学分析试样</w:t>
            </w:r>
          </w:p>
        </w:tc>
        <w:tc>
          <w:tcPr>
            <w:tcW w:w="937"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1.0</w:t>
            </w:r>
          </w:p>
        </w:tc>
        <w:tc>
          <w:tcPr>
            <w:tcW w:w="697"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原状</w:t>
            </w:r>
          </w:p>
        </w:tc>
        <w:tc>
          <w:tcPr>
            <w:tcW w:w="2118"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 xml:space="preserve">土样类别有变化时加密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48" w:type="pct"/>
            <w:gridSpan w:val="2"/>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地表水样</w:t>
            </w:r>
          </w:p>
        </w:tc>
        <w:tc>
          <w:tcPr>
            <w:tcW w:w="937"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0.5</w:t>
            </w:r>
          </w:p>
        </w:tc>
        <w:tc>
          <w:tcPr>
            <w:tcW w:w="697"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w:t>
            </w:r>
          </w:p>
        </w:tc>
        <w:tc>
          <w:tcPr>
            <w:tcW w:w="2118" w:type="pc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水深不足1m时，应在1/2水深处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5"/>
            <w:vAlign w:val="center"/>
          </w:tcPr>
          <w:p>
            <w:pPr>
              <w:pStyle w:val="25"/>
              <w:ind w:firstLine="0" w:firstLineChars="0"/>
              <w:rPr>
                <w:rFonts w:ascii="宋体"/>
                <w:sz w:val="18"/>
                <w:szCs w:val="18"/>
              </w:rPr>
            </w:pPr>
            <w:r>
              <w:rPr>
                <w:rFonts w:ascii="宋体"/>
                <w:sz w:val="18"/>
                <w:szCs w:val="20"/>
              </w:rPr>
              <w:t>注：A层为污染淤泥层；B层为污染过渡层；C层为正常淤泥层。</w:t>
            </w:r>
          </w:p>
        </w:tc>
      </w:tr>
      <w:bookmarkEnd w:id="99"/>
    </w:tbl>
    <w:p>
      <w:pPr>
        <w:pStyle w:val="50"/>
        <w:spacing w:before="156" w:after="156"/>
        <w:ind w:left="0"/>
      </w:pPr>
      <w:bookmarkStart w:id="100" w:name="_Toc161995484"/>
      <w:r>
        <w:t>淤泥厚度探测</w:t>
      </w:r>
    </w:p>
    <w:p>
      <w:pPr>
        <w:pStyle w:val="117"/>
      </w:pPr>
      <w:r>
        <w:t>测杆法采用测深杆或测深锤进行探测，适用于水深不超过4m水域的淤泥厚度。</w:t>
      </w:r>
    </w:p>
    <w:p>
      <w:pPr>
        <w:pStyle w:val="117"/>
      </w:pPr>
      <w:r>
        <w:t>柱状采样法适用于探测淤泥的垂直分布与淤积厚度。</w:t>
      </w:r>
    </w:p>
    <w:p>
      <w:pPr>
        <w:pStyle w:val="117"/>
      </w:pPr>
      <w:r>
        <w:t>钻探法适用于探测淤泥和水底底部原状土的垂直分布与淤积厚度。</w:t>
      </w:r>
    </w:p>
    <w:p>
      <w:pPr>
        <w:pStyle w:val="117"/>
      </w:pPr>
      <w:r>
        <w:t>其他方法如浅地层剖面法、触探法等测量淤泥淤积厚度，可根据工程需要在试验效果可靠的前提下采用。</w:t>
      </w:r>
    </w:p>
    <w:p>
      <w:pPr>
        <w:pStyle w:val="46"/>
        <w:tabs>
          <w:tab w:val="left" w:pos="7371"/>
        </w:tabs>
        <w:rPr>
          <w:rFonts w:ascii="Times New Roman"/>
          <w:bCs/>
        </w:rPr>
      </w:pPr>
      <w:bookmarkStart w:id="101" w:name="_Toc162530769"/>
      <w:bookmarkEnd w:id="101"/>
      <w:bookmarkStart w:id="102" w:name="_Toc162527259"/>
      <w:bookmarkEnd w:id="102"/>
      <w:bookmarkStart w:id="103" w:name="_Toc162527602"/>
      <w:bookmarkEnd w:id="103"/>
      <w:bookmarkStart w:id="104" w:name="_Toc162530529"/>
      <w:bookmarkEnd w:id="104"/>
      <w:bookmarkStart w:id="105" w:name="_Toc162597289"/>
      <w:bookmarkEnd w:id="105"/>
      <w:bookmarkStart w:id="106" w:name="_Toc162597045"/>
      <w:bookmarkEnd w:id="106"/>
      <w:bookmarkStart w:id="107" w:name="_Toc162597290"/>
      <w:r>
        <w:rPr>
          <w:rFonts w:ascii="Times New Roman"/>
          <w:bCs/>
        </w:rPr>
        <w:t>现场测试</w:t>
      </w:r>
      <w:bookmarkEnd w:id="100"/>
      <w:bookmarkEnd w:id="107"/>
    </w:p>
    <w:p>
      <w:pPr>
        <w:pStyle w:val="67"/>
      </w:pPr>
      <w:bookmarkStart w:id="108" w:name="_Hlk161911184"/>
      <w:r>
        <w:t>生态清淤工程现场测试可采用标准贯入试验、静力触探试验和十字板剪切试验等方法，判定清淤工程区、堆场区岩土层地基承载力和变形参数等物理力学性质。</w:t>
      </w:r>
    </w:p>
    <w:p>
      <w:pPr>
        <w:pStyle w:val="67"/>
      </w:pPr>
      <w:r>
        <w:t>测试孔布置不少于总勘探点数的1/3，测试仪器设备规格、现场测试步骤和检测数据分析与判定方法参照规范GB 50021、GB 50487执行。</w:t>
      </w:r>
    </w:p>
    <w:p>
      <w:pPr>
        <w:pStyle w:val="67"/>
      </w:pPr>
      <w:r>
        <w:t>试验数据的分析内容应包括标贯击数、锥尖阻力、侧壁摩阻力、原状土强度等测试过程中实测数据随深度变化的曲线，以及各试验数据的平均值、标准值，测试试验数据的整理应参照规范GB 50021、GB 50487执行。</w:t>
      </w:r>
    </w:p>
    <w:bookmarkEnd w:id="108"/>
    <w:p>
      <w:pPr>
        <w:pStyle w:val="46"/>
        <w:tabs>
          <w:tab w:val="left" w:pos="7371"/>
        </w:tabs>
        <w:rPr>
          <w:rFonts w:ascii="Times New Roman"/>
          <w:bCs/>
        </w:rPr>
      </w:pPr>
      <w:bookmarkStart w:id="109" w:name="_Toc162530531"/>
      <w:bookmarkEnd w:id="109"/>
      <w:bookmarkStart w:id="110" w:name="_Toc162527261"/>
      <w:bookmarkEnd w:id="110"/>
      <w:bookmarkStart w:id="111" w:name="_Toc162527604"/>
      <w:bookmarkEnd w:id="111"/>
      <w:bookmarkStart w:id="112" w:name="_Toc162597047"/>
      <w:bookmarkEnd w:id="112"/>
      <w:bookmarkStart w:id="113" w:name="_Toc162530771"/>
      <w:bookmarkEnd w:id="113"/>
      <w:bookmarkStart w:id="114" w:name="_Toc162597291"/>
      <w:bookmarkEnd w:id="114"/>
      <w:bookmarkStart w:id="115" w:name="_Toc162597292"/>
      <w:bookmarkStart w:id="116" w:name="_Toc161995485"/>
      <w:r>
        <w:rPr>
          <w:rFonts w:ascii="Times New Roman"/>
          <w:bCs/>
        </w:rPr>
        <w:t>室内试验</w:t>
      </w:r>
      <w:bookmarkEnd w:id="115"/>
      <w:bookmarkEnd w:id="116"/>
    </w:p>
    <w:p>
      <w:pPr>
        <w:pStyle w:val="67"/>
      </w:pPr>
      <w:bookmarkStart w:id="117" w:name="_Hlk161911289"/>
      <w:r>
        <w:t>生态清淤工程区土体物理力学指标应包括天然密度、含水率、颗粒级配、土体力学指标等，需测定的物理力学指标应符合表8中要求，测定方法和使用设备应符合表9的要求。</w:t>
      </w:r>
    </w:p>
    <w:bookmarkEnd w:id="117"/>
    <w:p>
      <w:pPr>
        <w:pStyle w:val="131"/>
        <w:spacing w:before="156" w:afterLines="0"/>
      </w:pPr>
      <w:bookmarkStart w:id="118" w:name="_Hlk161911450"/>
      <w:r>
        <w:t>生态清淤工程区土体物理力学指标</w:t>
      </w:r>
    </w:p>
    <w:tbl>
      <w:tblPr>
        <w:tblStyle w:val="37"/>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83"/>
        <w:gridCol w:w="1285"/>
        <w:gridCol w:w="696"/>
        <w:gridCol w:w="696"/>
        <w:gridCol w:w="696"/>
        <w:gridCol w:w="692"/>
        <w:gridCol w:w="838"/>
        <w:gridCol w:w="838"/>
        <w:gridCol w:w="838"/>
        <w:gridCol w:w="838"/>
        <w:gridCol w:w="8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671" w:type="pct"/>
            <w:vAlign w:val="center"/>
          </w:tcPr>
          <w:p>
            <w:pPr>
              <w:pStyle w:val="25"/>
              <w:ind w:firstLine="0" w:firstLineChars="0"/>
              <w:jc w:val="center"/>
              <w:rPr>
                <w:rFonts w:ascii="宋体"/>
                <w:sz w:val="18"/>
                <w:szCs w:val="18"/>
              </w:rPr>
            </w:pPr>
            <w:r>
              <w:rPr>
                <w:rFonts w:ascii="宋体"/>
                <w:sz w:val="18"/>
                <w:szCs w:val="18"/>
              </w:rPr>
              <w:t>岩土类别</w:t>
            </w:r>
          </w:p>
        </w:tc>
        <w:tc>
          <w:tcPr>
            <w:tcW w:w="672" w:type="pct"/>
            <w:vAlign w:val="center"/>
          </w:tcPr>
          <w:p>
            <w:pPr>
              <w:pStyle w:val="25"/>
              <w:ind w:firstLine="0" w:firstLineChars="0"/>
              <w:jc w:val="center"/>
              <w:rPr>
                <w:rFonts w:ascii="宋体"/>
                <w:sz w:val="18"/>
                <w:szCs w:val="18"/>
              </w:rPr>
            </w:pPr>
            <w:r>
              <w:rPr>
                <w:rFonts w:ascii="宋体"/>
                <w:sz w:val="18"/>
                <w:szCs w:val="18"/>
              </w:rPr>
              <w:t>岩土名称</w:t>
            </w:r>
          </w:p>
        </w:tc>
        <w:tc>
          <w:tcPr>
            <w:tcW w:w="364" w:type="pct"/>
            <w:vAlign w:val="center"/>
          </w:tcPr>
          <w:p>
            <w:pPr>
              <w:pStyle w:val="25"/>
              <w:ind w:firstLine="0" w:firstLineChars="0"/>
              <w:jc w:val="center"/>
              <w:rPr>
                <w:rFonts w:ascii="宋体"/>
                <w:sz w:val="18"/>
                <w:szCs w:val="18"/>
              </w:rPr>
            </w:pPr>
            <w:r>
              <w:rPr>
                <w:rFonts w:ascii="宋体"/>
                <w:sz w:val="18"/>
                <w:szCs w:val="18"/>
              </w:rPr>
              <w:t>标贯</w:t>
            </w:r>
          </w:p>
          <w:p>
            <w:pPr>
              <w:pStyle w:val="25"/>
              <w:ind w:firstLine="0" w:firstLineChars="0"/>
              <w:jc w:val="center"/>
              <w:rPr>
                <w:rFonts w:ascii="宋体"/>
                <w:sz w:val="18"/>
                <w:szCs w:val="18"/>
              </w:rPr>
            </w:pPr>
            <w:r>
              <w:rPr>
                <w:rFonts w:ascii="宋体"/>
                <w:sz w:val="18"/>
                <w:szCs w:val="18"/>
              </w:rPr>
              <w:t>击数</w:t>
            </w:r>
          </w:p>
        </w:tc>
        <w:tc>
          <w:tcPr>
            <w:tcW w:w="364" w:type="pct"/>
            <w:vAlign w:val="center"/>
          </w:tcPr>
          <w:p>
            <w:pPr>
              <w:pStyle w:val="25"/>
              <w:ind w:firstLine="0" w:firstLineChars="0"/>
              <w:jc w:val="center"/>
              <w:rPr>
                <w:rFonts w:ascii="宋体"/>
                <w:sz w:val="18"/>
                <w:szCs w:val="18"/>
              </w:rPr>
            </w:pPr>
            <w:r>
              <w:rPr>
                <w:rFonts w:ascii="宋体"/>
                <w:sz w:val="18"/>
                <w:szCs w:val="18"/>
              </w:rPr>
              <w:t>重度</w:t>
            </w:r>
          </w:p>
        </w:tc>
        <w:tc>
          <w:tcPr>
            <w:tcW w:w="364" w:type="pct"/>
            <w:vAlign w:val="center"/>
          </w:tcPr>
          <w:p>
            <w:pPr>
              <w:pStyle w:val="25"/>
              <w:ind w:firstLine="0" w:firstLineChars="0"/>
              <w:jc w:val="center"/>
              <w:rPr>
                <w:rFonts w:ascii="宋体"/>
                <w:sz w:val="18"/>
                <w:szCs w:val="18"/>
              </w:rPr>
            </w:pPr>
            <w:r>
              <w:rPr>
                <w:rFonts w:ascii="宋体"/>
                <w:sz w:val="18"/>
                <w:szCs w:val="18"/>
              </w:rPr>
              <w:t>颗粒</w:t>
            </w:r>
          </w:p>
          <w:p>
            <w:pPr>
              <w:pStyle w:val="25"/>
              <w:ind w:firstLine="0" w:firstLineChars="0"/>
              <w:jc w:val="center"/>
              <w:rPr>
                <w:rFonts w:ascii="宋体"/>
                <w:sz w:val="18"/>
                <w:szCs w:val="18"/>
              </w:rPr>
            </w:pPr>
            <w:r>
              <w:rPr>
                <w:rFonts w:ascii="宋体"/>
                <w:sz w:val="18"/>
                <w:szCs w:val="18"/>
              </w:rPr>
              <w:t>分析</w:t>
            </w:r>
          </w:p>
        </w:tc>
        <w:tc>
          <w:tcPr>
            <w:tcW w:w="362" w:type="pct"/>
            <w:vAlign w:val="center"/>
          </w:tcPr>
          <w:p>
            <w:pPr>
              <w:pStyle w:val="25"/>
              <w:ind w:firstLine="0" w:firstLineChars="0"/>
              <w:jc w:val="center"/>
              <w:rPr>
                <w:rFonts w:ascii="宋体"/>
                <w:sz w:val="18"/>
                <w:szCs w:val="18"/>
              </w:rPr>
            </w:pPr>
            <w:r>
              <w:rPr>
                <w:rFonts w:ascii="宋体"/>
                <w:sz w:val="18"/>
                <w:szCs w:val="18"/>
              </w:rPr>
              <w:t>比重</w:t>
            </w:r>
          </w:p>
        </w:tc>
        <w:tc>
          <w:tcPr>
            <w:tcW w:w="438" w:type="pct"/>
            <w:vAlign w:val="center"/>
          </w:tcPr>
          <w:p>
            <w:pPr>
              <w:pStyle w:val="25"/>
              <w:ind w:firstLine="0" w:firstLineChars="0"/>
              <w:jc w:val="center"/>
              <w:rPr>
                <w:rFonts w:ascii="宋体"/>
                <w:sz w:val="18"/>
                <w:szCs w:val="18"/>
              </w:rPr>
            </w:pPr>
            <w:r>
              <w:rPr>
                <w:rFonts w:ascii="宋体"/>
                <w:sz w:val="18"/>
                <w:szCs w:val="18"/>
              </w:rPr>
              <w:t>天然</w:t>
            </w:r>
          </w:p>
          <w:p>
            <w:pPr>
              <w:pStyle w:val="25"/>
              <w:ind w:firstLine="0" w:firstLineChars="0"/>
              <w:jc w:val="center"/>
              <w:rPr>
                <w:rFonts w:ascii="宋体"/>
                <w:sz w:val="18"/>
                <w:szCs w:val="18"/>
              </w:rPr>
            </w:pPr>
            <w:r>
              <w:rPr>
                <w:rFonts w:ascii="宋体"/>
                <w:sz w:val="18"/>
                <w:szCs w:val="18"/>
              </w:rPr>
              <w:t>含水量</w:t>
            </w:r>
          </w:p>
        </w:tc>
        <w:tc>
          <w:tcPr>
            <w:tcW w:w="438" w:type="pct"/>
            <w:vAlign w:val="center"/>
          </w:tcPr>
          <w:p>
            <w:pPr>
              <w:pStyle w:val="25"/>
              <w:ind w:firstLine="0" w:firstLineChars="0"/>
              <w:jc w:val="center"/>
              <w:rPr>
                <w:rFonts w:ascii="宋体"/>
                <w:sz w:val="18"/>
                <w:szCs w:val="18"/>
              </w:rPr>
            </w:pPr>
            <w:r>
              <w:rPr>
                <w:rFonts w:ascii="宋体"/>
                <w:sz w:val="18"/>
                <w:szCs w:val="18"/>
              </w:rPr>
              <w:t>界限</w:t>
            </w:r>
          </w:p>
          <w:p>
            <w:pPr>
              <w:pStyle w:val="25"/>
              <w:ind w:firstLine="0" w:firstLineChars="0"/>
              <w:jc w:val="center"/>
              <w:rPr>
                <w:rFonts w:ascii="宋体"/>
                <w:sz w:val="18"/>
                <w:szCs w:val="18"/>
              </w:rPr>
            </w:pPr>
            <w:r>
              <w:rPr>
                <w:rFonts w:ascii="宋体"/>
                <w:sz w:val="18"/>
                <w:szCs w:val="18"/>
              </w:rPr>
              <w:t>含水量</w:t>
            </w:r>
          </w:p>
        </w:tc>
        <w:tc>
          <w:tcPr>
            <w:tcW w:w="438" w:type="pct"/>
            <w:vAlign w:val="center"/>
          </w:tcPr>
          <w:p>
            <w:pPr>
              <w:pStyle w:val="25"/>
              <w:ind w:firstLine="0" w:firstLineChars="0"/>
              <w:jc w:val="center"/>
              <w:rPr>
                <w:rFonts w:ascii="宋体"/>
                <w:sz w:val="18"/>
                <w:szCs w:val="18"/>
              </w:rPr>
            </w:pPr>
            <w:r>
              <w:rPr>
                <w:rFonts w:ascii="宋体"/>
                <w:sz w:val="18"/>
                <w:szCs w:val="18"/>
              </w:rPr>
              <w:t>抗剪</w:t>
            </w:r>
          </w:p>
          <w:p>
            <w:pPr>
              <w:pStyle w:val="25"/>
              <w:ind w:firstLine="0" w:firstLineChars="0"/>
              <w:jc w:val="center"/>
              <w:rPr>
                <w:rFonts w:ascii="宋体"/>
                <w:sz w:val="18"/>
                <w:szCs w:val="18"/>
              </w:rPr>
            </w:pPr>
            <w:r>
              <w:rPr>
                <w:rFonts w:ascii="宋体"/>
                <w:sz w:val="18"/>
                <w:szCs w:val="18"/>
              </w:rPr>
              <w:t>强度</w:t>
            </w:r>
          </w:p>
        </w:tc>
        <w:tc>
          <w:tcPr>
            <w:tcW w:w="438" w:type="pct"/>
            <w:vAlign w:val="center"/>
          </w:tcPr>
          <w:p>
            <w:pPr>
              <w:pStyle w:val="25"/>
              <w:ind w:firstLine="0" w:firstLineChars="0"/>
              <w:jc w:val="center"/>
              <w:rPr>
                <w:rFonts w:ascii="宋体"/>
                <w:sz w:val="18"/>
                <w:szCs w:val="18"/>
              </w:rPr>
            </w:pPr>
            <w:r>
              <w:rPr>
                <w:rFonts w:ascii="宋体"/>
                <w:sz w:val="18"/>
                <w:szCs w:val="18"/>
              </w:rPr>
              <w:t>相对</w:t>
            </w:r>
          </w:p>
          <w:p>
            <w:pPr>
              <w:pStyle w:val="25"/>
              <w:ind w:firstLine="0" w:firstLineChars="0"/>
              <w:jc w:val="center"/>
              <w:rPr>
                <w:rFonts w:ascii="宋体"/>
                <w:sz w:val="18"/>
                <w:szCs w:val="18"/>
              </w:rPr>
            </w:pPr>
            <w:r>
              <w:rPr>
                <w:rFonts w:ascii="宋体"/>
                <w:sz w:val="18"/>
                <w:szCs w:val="18"/>
              </w:rPr>
              <w:t>密度</w:t>
            </w:r>
          </w:p>
        </w:tc>
        <w:tc>
          <w:tcPr>
            <w:tcW w:w="445" w:type="pct"/>
            <w:vAlign w:val="center"/>
          </w:tcPr>
          <w:p>
            <w:pPr>
              <w:pStyle w:val="25"/>
              <w:ind w:firstLine="0" w:firstLineChars="0"/>
              <w:jc w:val="center"/>
              <w:rPr>
                <w:rFonts w:ascii="宋体"/>
                <w:sz w:val="18"/>
                <w:szCs w:val="18"/>
              </w:rPr>
            </w:pPr>
            <w:r>
              <w:rPr>
                <w:rFonts w:ascii="宋体"/>
                <w:sz w:val="18"/>
                <w:szCs w:val="18"/>
              </w:rPr>
              <w:t>附着力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Align w:val="center"/>
          </w:tcPr>
          <w:p>
            <w:pPr>
              <w:pStyle w:val="25"/>
              <w:ind w:firstLine="0" w:firstLineChars="0"/>
              <w:jc w:val="center"/>
              <w:rPr>
                <w:rFonts w:ascii="宋体"/>
                <w:sz w:val="18"/>
                <w:szCs w:val="18"/>
              </w:rPr>
            </w:pPr>
            <w:r>
              <w:rPr>
                <w:rFonts w:ascii="宋体"/>
                <w:sz w:val="18"/>
                <w:szCs w:val="18"/>
              </w:rPr>
              <w:t>有机质土</w:t>
            </w:r>
          </w:p>
          <w:p>
            <w:pPr>
              <w:pStyle w:val="25"/>
              <w:ind w:firstLine="0" w:firstLineChars="0"/>
              <w:jc w:val="center"/>
              <w:rPr>
                <w:rFonts w:ascii="宋体"/>
                <w:sz w:val="18"/>
                <w:szCs w:val="18"/>
              </w:rPr>
            </w:pPr>
            <w:r>
              <w:rPr>
                <w:rFonts w:ascii="宋体"/>
                <w:sz w:val="18"/>
                <w:szCs w:val="18"/>
              </w:rPr>
              <w:t>及泥炭</w:t>
            </w:r>
          </w:p>
        </w:tc>
        <w:tc>
          <w:tcPr>
            <w:tcW w:w="672" w:type="pct"/>
            <w:vAlign w:val="center"/>
          </w:tcPr>
          <w:p>
            <w:pPr>
              <w:pStyle w:val="25"/>
              <w:ind w:firstLine="0" w:firstLineChars="0"/>
              <w:jc w:val="center"/>
              <w:rPr>
                <w:rFonts w:ascii="宋体"/>
                <w:sz w:val="18"/>
                <w:szCs w:val="18"/>
              </w:rPr>
            </w:pPr>
            <w:r>
              <w:rPr>
                <w:rFonts w:ascii="宋体"/>
                <w:sz w:val="18"/>
                <w:szCs w:val="18"/>
              </w:rPr>
              <w:t>有机质土</w:t>
            </w:r>
          </w:p>
          <w:p>
            <w:pPr>
              <w:pStyle w:val="25"/>
              <w:ind w:firstLine="0" w:firstLineChars="0"/>
              <w:jc w:val="center"/>
              <w:rPr>
                <w:rFonts w:ascii="宋体"/>
                <w:sz w:val="18"/>
                <w:szCs w:val="18"/>
              </w:rPr>
            </w:pPr>
            <w:r>
              <w:rPr>
                <w:rFonts w:ascii="宋体"/>
                <w:sz w:val="18"/>
                <w:szCs w:val="18"/>
              </w:rPr>
              <w:t>及泥炭</w:t>
            </w:r>
          </w:p>
        </w:tc>
        <w:tc>
          <w:tcPr>
            <w:tcW w:w="364" w:type="pct"/>
            <w:vAlign w:val="center"/>
          </w:tcPr>
          <w:p>
            <w:pPr>
              <w:pStyle w:val="25"/>
              <w:ind w:firstLine="0" w:firstLineChars="0"/>
              <w:jc w:val="center"/>
              <w:rPr>
                <w:rFonts w:ascii="宋体"/>
                <w:sz w:val="18"/>
                <w:szCs w:val="18"/>
              </w:rPr>
            </w:pP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p>
        </w:tc>
        <w:tc>
          <w:tcPr>
            <w:tcW w:w="445" w:type="pct"/>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restart"/>
            <w:vAlign w:val="center"/>
          </w:tcPr>
          <w:p>
            <w:pPr>
              <w:pStyle w:val="25"/>
              <w:ind w:firstLine="0" w:firstLineChars="0"/>
              <w:jc w:val="center"/>
              <w:rPr>
                <w:rFonts w:ascii="宋体"/>
                <w:sz w:val="18"/>
                <w:szCs w:val="18"/>
              </w:rPr>
            </w:pPr>
            <w:r>
              <w:rPr>
                <w:rFonts w:ascii="宋体"/>
                <w:sz w:val="18"/>
                <w:szCs w:val="18"/>
              </w:rPr>
              <w:t>淤泥土类</w:t>
            </w:r>
          </w:p>
        </w:tc>
        <w:tc>
          <w:tcPr>
            <w:tcW w:w="672" w:type="pct"/>
            <w:vAlign w:val="center"/>
          </w:tcPr>
          <w:p>
            <w:pPr>
              <w:pStyle w:val="25"/>
              <w:ind w:firstLine="0" w:firstLineChars="0"/>
              <w:jc w:val="center"/>
              <w:rPr>
                <w:rFonts w:ascii="宋体"/>
                <w:sz w:val="18"/>
                <w:szCs w:val="18"/>
              </w:rPr>
            </w:pPr>
            <w:r>
              <w:rPr>
                <w:rFonts w:ascii="宋体"/>
                <w:sz w:val="18"/>
                <w:szCs w:val="18"/>
              </w:rPr>
              <w:t>浮泥</w:t>
            </w:r>
          </w:p>
        </w:tc>
        <w:tc>
          <w:tcPr>
            <w:tcW w:w="364" w:type="pct"/>
            <w:vAlign w:val="center"/>
          </w:tcPr>
          <w:p>
            <w:pPr>
              <w:pStyle w:val="25"/>
              <w:ind w:firstLine="0" w:firstLineChars="0"/>
              <w:jc w:val="center"/>
              <w:rPr>
                <w:rFonts w:ascii="宋体"/>
                <w:sz w:val="18"/>
                <w:szCs w:val="18"/>
              </w:rPr>
            </w:pP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p>
        </w:tc>
        <w:tc>
          <w:tcPr>
            <w:tcW w:w="445" w:type="pct"/>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continue"/>
            <w:vAlign w:val="center"/>
          </w:tcPr>
          <w:p>
            <w:pPr>
              <w:pStyle w:val="25"/>
              <w:ind w:firstLine="0" w:firstLineChars="0"/>
              <w:jc w:val="center"/>
              <w:rPr>
                <w:rFonts w:ascii="宋体"/>
                <w:sz w:val="18"/>
                <w:szCs w:val="18"/>
              </w:rPr>
            </w:pPr>
          </w:p>
        </w:tc>
        <w:tc>
          <w:tcPr>
            <w:tcW w:w="672" w:type="pct"/>
            <w:vAlign w:val="center"/>
          </w:tcPr>
          <w:p>
            <w:pPr>
              <w:pStyle w:val="25"/>
              <w:ind w:firstLine="0" w:firstLineChars="0"/>
              <w:jc w:val="center"/>
              <w:rPr>
                <w:rFonts w:ascii="宋体"/>
                <w:sz w:val="18"/>
                <w:szCs w:val="18"/>
              </w:rPr>
            </w:pPr>
            <w:r>
              <w:rPr>
                <w:rFonts w:ascii="宋体"/>
                <w:sz w:val="18"/>
                <w:szCs w:val="18"/>
              </w:rPr>
              <w:t>流泥</w:t>
            </w:r>
          </w:p>
        </w:tc>
        <w:tc>
          <w:tcPr>
            <w:tcW w:w="364" w:type="pct"/>
            <w:vAlign w:val="center"/>
          </w:tcPr>
          <w:p>
            <w:pPr>
              <w:pStyle w:val="25"/>
              <w:ind w:firstLine="0" w:firstLineChars="0"/>
              <w:jc w:val="center"/>
              <w:rPr>
                <w:rFonts w:ascii="宋体"/>
                <w:sz w:val="18"/>
                <w:szCs w:val="18"/>
              </w:rPr>
            </w:pP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p>
        </w:tc>
        <w:tc>
          <w:tcPr>
            <w:tcW w:w="445" w:type="pct"/>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continue"/>
            <w:vAlign w:val="center"/>
          </w:tcPr>
          <w:p>
            <w:pPr>
              <w:pStyle w:val="25"/>
              <w:ind w:firstLine="0" w:firstLineChars="0"/>
              <w:jc w:val="center"/>
              <w:rPr>
                <w:rFonts w:ascii="宋体"/>
                <w:sz w:val="18"/>
                <w:szCs w:val="18"/>
              </w:rPr>
            </w:pPr>
          </w:p>
        </w:tc>
        <w:tc>
          <w:tcPr>
            <w:tcW w:w="672" w:type="pct"/>
            <w:vAlign w:val="center"/>
          </w:tcPr>
          <w:p>
            <w:pPr>
              <w:pStyle w:val="25"/>
              <w:ind w:firstLine="0" w:firstLineChars="0"/>
              <w:jc w:val="center"/>
              <w:rPr>
                <w:rFonts w:ascii="宋体"/>
                <w:sz w:val="18"/>
                <w:szCs w:val="18"/>
              </w:rPr>
            </w:pPr>
            <w:r>
              <w:rPr>
                <w:rFonts w:ascii="宋体"/>
                <w:sz w:val="18"/>
                <w:szCs w:val="18"/>
              </w:rPr>
              <w:t>淤泥</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45" w:type="pct"/>
            <w:vAlign w:val="center"/>
          </w:tcPr>
          <w:p>
            <w:pPr>
              <w:pStyle w:val="25"/>
              <w:ind w:firstLine="0" w:firstLineChars="0"/>
              <w:jc w:val="center"/>
              <w:rPr>
                <w:rFonts w:ascii="宋体"/>
                <w:sz w:val="18"/>
                <w:szCs w:val="18"/>
              </w:rPr>
            </w:pPr>
            <w:r>
              <w:rPr>
                <w:rFonts w:asci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continue"/>
            <w:vAlign w:val="center"/>
          </w:tcPr>
          <w:p>
            <w:pPr>
              <w:pStyle w:val="25"/>
              <w:ind w:firstLine="0" w:firstLineChars="0"/>
              <w:jc w:val="center"/>
              <w:rPr>
                <w:rFonts w:ascii="宋体"/>
                <w:sz w:val="18"/>
                <w:szCs w:val="18"/>
              </w:rPr>
            </w:pPr>
          </w:p>
        </w:tc>
        <w:tc>
          <w:tcPr>
            <w:tcW w:w="672" w:type="pct"/>
            <w:vAlign w:val="center"/>
          </w:tcPr>
          <w:p>
            <w:pPr>
              <w:pStyle w:val="25"/>
              <w:ind w:firstLine="0" w:firstLineChars="0"/>
              <w:jc w:val="center"/>
              <w:rPr>
                <w:rFonts w:ascii="宋体"/>
                <w:sz w:val="18"/>
                <w:szCs w:val="18"/>
              </w:rPr>
            </w:pPr>
            <w:r>
              <w:rPr>
                <w:rFonts w:ascii="宋体"/>
                <w:sz w:val="18"/>
                <w:szCs w:val="18"/>
              </w:rPr>
              <w:t>淤泥质土</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45" w:type="pct"/>
            <w:vAlign w:val="center"/>
          </w:tcPr>
          <w:p>
            <w:pPr>
              <w:pStyle w:val="25"/>
              <w:ind w:firstLine="0" w:firstLineChars="0"/>
              <w:jc w:val="center"/>
              <w:rPr>
                <w:rFonts w:ascii="宋体"/>
                <w:sz w:val="18"/>
                <w:szCs w:val="18"/>
              </w:rPr>
            </w:pPr>
            <w:r>
              <w:rPr>
                <w:rFonts w:asci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restart"/>
            <w:vAlign w:val="center"/>
          </w:tcPr>
          <w:p>
            <w:pPr>
              <w:pStyle w:val="25"/>
              <w:ind w:firstLine="0" w:firstLineChars="0"/>
              <w:jc w:val="center"/>
              <w:rPr>
                <w:rFonts w:ascii="宋体"/>
                <w:sz w:val="18"/>
                <w:szCs w:val="18"/>
              </w:rPr>
            </w:pPr>
            <w:r>
              <w:rPr>
                <w:rFonts w:ascii="宋体"/>
                <w:sz w:val="18"/>
                <w:szCs w:val="18"/>
              </w:rPr>
              <w:t>黏性土类</w:t>
            </w:r>
          </w:p>
        </w:tc>
        <w:tc>
          <w:tcPr>
            <w:tcW w:w="672" w:type="pct"/>
            <w:vAlign w:val="center"/>
          </w:tcPr>
          <w:p>
            <w:pPr>
              <w:pStyle w:val="25"/>
              <w:ind w:firstLine="0" w:firstLineChars="0"/>
              <w:jc w:val="center"/>
              <w:rPr>
                <w:rFonts w:ascii="宋体"/>
                <w:sz w:val="18"/>
                <w:szCs w:val="18"/>
              </w:rPr>
            </w:pPr>
            <w:r>
              <w:rPr>
                <w:rFonts w:ascii="宋体"/>
                <w:sz w:val="18"/>
                <w:szCs w:val="18"/>
              </w:rPr>
              <w:t>黏土</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45" w:type="pct"/>
            <w:vAlign w:val="center"/>
          </w:tcPr>
          <w:p>
            <w:pPr>
              <w:pStyle w:val="25"/>
              <w:ind w:firstLine="0" w:firstLineChars="0"/>
              <w:jc w:val="center"/>
              <w:rPr>
                <w:rFonts w:ascii="宋体"/>
                <w:sz w:val="18"/>
                <w:szCs w:val="18"/>
              </w:rPr>
            </w:pPr>
            <w:r>
              <w:rPr>
                <w:rFonts w:asci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continue"/>
            <w:vAlign w:val="center"/>
          </w:tcPr>
          <w:p>
            <w:pPr>
              <w:pStyle w:val="25"/>
              <w:ind w:firstLine="0" w:firstLineChars="0"/>
              <w:jc w:val="center"/>
              <w:rPr>
                <w:rFonts w:ascii="宋体"/>
                <w:sz w:val="18"/>
                <w:szCs w:val="18"/>
              </w:rPr>
            </w:pPr>
          </w:p>
        </w:tc>
        <w:tc>
          <w:tcPr>
            <w:tcW w:w="672" w:type="pct"/>
            <w:vAlign w:val="center"/>
          </w:tcPr>
          <w:p>
            <w:pPr>
              <w:pStyle w:val="25"/>
              <w:ind w:firstLine="0" w:firstLineChars="0"/>
              <w:jc w:val="center"/>
              <w:rPr>
                <w:rFonts w:ascii="宋体"/>
                <w:sz w:val="18"/>
                <w:szCs w:val="18"/>
              </w:rPr>
            </w:pPr>
            <w:r>
              <w:rPr>
                <w:rFonts w:ascii="宋体"/>
                <w:sz w:val="18"/>
                <w:szCs w:val="18"/>
              </w:rPr>
              <w:t>粉质黏土</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45" w:type="pct"/>
            <w:vAlign w:val="center"/>
          </w:tcPr>
          <w:p>
            <w:pPr>
              <w:pStyle w:val="25"/>
              <w:ind w:firstLine="0" w:firstLineChars="0"/>
              <w:jc w:val="center"/>
              <w:rPr>
                <w:rFonts w:ascii="宋体"/>
                <w:sz w:val="18"/>
                <w:szCs w:val="18"/>
              </w:rPr>
            </w:pPr>
            <w:r>
              <w:rPr>
                <w:rFonts w:asci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restart"/>
            <w:vAlign w:val="center"/>
          </w:tcPr>
          <w:p>
            <w:pPr>
              <w:pStyle w:val="25"/>
              <w:ind w:firstLine="0" w:firstLineChars="0"/>
              <w:jc w:val="center"/>
              <w:rPr>
                <w:rFonts w:ascii="宋体"/>
                <w:sz w:val="18"/>
                <w:szCs w:val="18"/>
              </w:rPr>
            </w:pPr>
            <w:r>
              <w:rPr>
                <w:rFonts w:ascii="宋体"/>
                <w:sz w:val="18"/>
                <w:szCs w:val="18"/>
              </w:rPr>
              <w:t>粉土类</w:t>
            </w:r>
          </w:p>
        </w:tc>
        <w:tc>
          <w:tcPr>
            <w:tcW w:w="672" w:type="pct"/>
            <w:vAlign w:val="center"/>
          </w:tcPr>
          <w:p>
            <w:pPr>
              <w:pStyle w:val="25"/>
              <w:ind w:firstLine="0" w:firstLineChars="0"/>
              <w:jc w:val="center"/>
              <w:rPr>
                <w:rFonts w:ascii="宋体"/>
                <w:sz w:val="18"/>
                <w:szCs w:val="18"/>
              </w:rPr>
            </w:pPr>
            <w:r>
              <w:rPr>
                <w:rFonts w:ascii="宋体"/>
                <w:sz w:val="18"/>
                <w:szCs w:val="18"/>
              </w:rPr>
              <w:t>黏质粉土</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45" w:type="pct"/>
            <w:vAlign w:val="center"/>
          </w:tcPr>
          <w:p>
            <w:pPr>
              <w:pStyle w:val="25"/>
              <w:ind w:firstLine="0" w:firstLineChars="0"/>
              <w:jc w:val="center"/>
              <w:rPr>
                <w:rFonts w:ascii="宋体"/>
                <w:sz w:val="18"/>
                <w:szCs w:val="18"/>
              </w:rPr>
            </w:pPr>
            <w:r>
              <w:rPr>
                <w:rFonts w:asci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continue"/>
            <w:vAlign w:val="center"/>
          </w:tcPr>
          <w:p>
            <w:pPr>
              <w:pStyle w:val="25"/>
              <w:ind w:firstLine="0" w:firstLineChars="0"/>
              <w:jc w:val="center"/>
              <w:rPr>
                <w:rFonts w:ascii="宋体"/>
                <w:sz w:val="18"/>
                <w:szCs w:val="18"/>
              </w:rPr>
            </w:pPr>
          </w:p>
        </w:tc>
        <w:tc>
          <w:tcPr>
            <w:tcW w:w="672" w:type="pct"/>
            <w:vAlign w:val="center"/>
          </w:tcPr>
          <w:p>
            <w:pPr>
              <w:pStyle w:val="25"/>
              <w:ind w:firstLine="0" w:firstLineChars="0"/>
              <w:jc w:val="center"/>
              <w:rPr>
                <w:rFonts w:ascii="宋体"/>
                <w:sz w:val="18"/>
                <w:szCs w:val="18"/>
              </w:rPr>
            </w:pPr>
            <w:r>
              <w:rPr>
                <w:rFonts w:ascii="宋体"/>
                <w:sz w:val="18"/>
                <w:szCs w:val="18"/>
              </w:rPr>
              <w:t>砂质粉土</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45" w:type="pct"/>
            <w:vAlign w:val="center"/>
          </w:tcPr>
          <w:p>
            <w:pPr>
              <w:pStyle w:val="25"/>
              <w:ind w:firstLine="0" w:firstLineChars="0"/>
              <w:jc w:val="center"/>
              <w:rPr>
                <w:rFonts w:ascii="宋体"/>
                <w:sz w:val="18"/>
                <w:szCs w:val="18"/>
              </w:rPr>
            </w:pPr>
            <w:r>
              <w:rPr>
                <w:rFonts w:asci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restart"/>
            <w:vAlign w:val="center"/>
          </w:tcPr>
          <w:p>
            <w:pPr>
              <w:pStyle w:val="25"/>
              <w:ind w:firstLine="0" w:firstLineChars="0"/>
              <w:jc w:val="center"/>
              <w:rPr>
                <w:rFonts w:ascii="宋体"/>
                <w:sz w:val="18"/>
                <w:szCs w:val="18"/>
              </w:rPr>
            </w:pPr>
            <w:r>
              <w:rPr>
                <w:rFonts w:ascii="宋体"/>
                <w:sz w:val="18"/>
                <w:szCs w:val="18"/>
              </w:rPr>
              <w:t>砂土类</w:t>
            </w:r>
          </w:p>
        </w:tc>
        <w:tc>
          <w:tcPr>
            <w:tcW w:w="672" w:type="pct"/>
            <w:vAlign w:val="center"/>
          </w:tcPr>
          <w:p>
            <w:pPr>
              <w:pStyle w:val="25"/>
              <w:ind w:firstLine="0" w:firstLineChars="0"/>
              <w:jc w:val="center"/>
              <w:rPr>
                <w:rFonts w:ascii="宋体"/>
                <w:sz w:val="18"/>
                <w:szCs w:val="18"/>
              </w:rPr>
            </w:pPr>
            <w:r>
              <w:rPr>
                <w:rFonts w:ascii="宋体"/>
                <w:sz w:val="18"/>
                <w:szCs w:val="18"/>
              </w:rPr>
              <w:t>粉砂</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45" w:type="pct"/>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continue"/>
            <w:vAlign w:val="center"/>
          </w:tcPr>
          <w:p>
            <w:pPr>
              <w:pStyle w:val="25"/>
              <w:ind w:firstLine="0" w:firstLineChars="0"/>
              <w:jc w:val="center"/>
              <w:rPr>
                <w:rFonts w:ascii="宋体"/>
                <w:sz w:val="18"/>
                <w:szCs w:val="18"/>
              </w:rPr>
            </w:pPr>
          </w:p>
        </w:tc>
        <w:tc>
          <w:tcPr>
            <w:tcW w:w="672" w:type="pct"/>
            <w:vAlign w:val="center"/>
          </w:tcPr>
          <w:p>
            <w:pPr>
              <w:pStyle w:val="25"/>
              <w:ind w:firstLine="0" w:firstLineChars="0"/>
              <w:jc w:val="center"/>
              <w:rPr>
                <w:rFonts w:ascii="宋体"/>
                <w:sz w:val="18"/>
                <w:szCs w:val="18"/>
              </w:rPr>
            </w:pPr>
            <w:r>
              <w:rPr>
                <w:rFonts w:ascii="宋体"/>
                <w:sz w:val="18"/>
                <w:szCs w:val="18"/>
              </w:rPr>
              <w:t>细砂</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45" w:type="pct"/>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continue"/>
            <w:vAlign w:val="center"/>
          </w:tcPr>
          <w:p>
            <w:pPr>
              <w:pStyle w:val="25"/>
              <w:ind w:firstLine="0" w:firstLineChars="0"/>
              <w:jc w:val="center"/>
              <w:rPr>
                <w:rFonts w:ascii="宋体"/>
                <w:sz w:val="18"/>
                <w:szCs w:val="18"/>
              </w:rPr>
            </w:pPr>
          </w:p>
        </w:tc>
        <w:tc>
          <w:tcPr>
            <w:tcW w:w="672" w:type="pct"/>
            <w:vAlign w:val="center"/>
          </w:tcPr>
          <w:p>
            <w:pPr>
              <w:pStyle w:val="25"/>
              <w:ind w:firstLine="0" w:firstLineChars="0"/>
              <w:jc w:val="center"/>
              <w:rPr>
                <w:rFonts w:ascii="宋体"/>
                <w:sz w:val="18"/>
                <w:szCs w:val="18"/>
              </w:rPr>
            </w:pPr>
            <w:r>
              <w:rPr>
                <w:rFonts w:ascii="宋体"/>
                <w:sz w:val="18"/>
                <w:szCs w:val="18"/>
              </w:rPr>
              <w:t>中砂</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45" w:type="pct"/>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continue"/>
            <w:vAlign w:val="center"/>
          </w:tcPr>
          <w:p>
            <w:pPr>
              <w:pStyle w:val="25"/>
              <w:ind w:firstLine="0" w:firstLineChars="0"/>
              <w:jc w:val="center"/>
              <w:rPr>
                <w:rFonts w:ascii="宋体"/>
                <w:sz w:val="18"/>
                <w:szCs w:val="18"/>
              </w:rPr>
            </w:pPr>
          </w:p>
        </w:tc>
        <w:tc>
          <w:tcPr>
            <w:tcW w:w="672" w:type="pct"/>
            <w:vAlign w:val="center"/>
          </w:tcPr>
          <w:p>
            <w:pPr>
              <w:pStyle w:val="25"/>
              <w:ind w:firstLine="0" w:firstLineChars="0"/>
              <w:jc w:val="center"/>
              <w:rPr>
                <w:rFonts w:ascii="宋体"/>
                <w:sz w:val="18"/>
                <w:szCs w:val="18"/>
              </w:rPr>
            </w:pPr>
            <w:r>
              <w:rPr>
                <w:rFonts w:ascii="宋体"/>
                <w:sz w:val="18"/>
                <w:szCs w:val="18"/>
              </w:rPr>
              <w:t>粗砂</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45" w:type="pct"/>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1" w:type="pct"/>
            <w:vMerge w:val="continue"/>
            <w:vAlign w:val="center"/>
          </w:tcPr>
          <w:p>
            <w:pPr>
              <w:pStyle w:val="25"/>
              <w:ind w:firstLine="0" w:firstLineChars="0"/>
              <w:jc w:val="center"/>
              <w:rPr>
                <w:rFonts w:ascii="宋体"/>
                <w:sz w:val="18"/>
                <w:szCs w:val="18"/>
              </w:rPr>
            </w:pPr>
          </w:p>
        </w:tc>
        <w:tc>
          <w:tcPr>
            <w:tcW w:w="672" w:type="pct"/>
            <w:vAlign w:val="center"/>
          </w:tcPr>
          <w:p>
            <w:pPr>
              <w:pStyle w:val="25"/>
              <w:ind w:firstLine="0" w:firstLineChars="0"/>
              <w:jc w:val="center"/>
              <w:rPr>
                <w:rFonts w:ascii="宋体"/>
                <w:sz w:val="18"/>
                <w:szCs w:val="18"/>
              </w:rPr>
            </w:pPr>
            <w:r>
              <w:rPr>
                <w:rFonts w:ascii="宋体"/>
                <w:sz w:val="18"/>
                <w:szCs w:val="18"/>
              </w:rPr>
              <w:t>砾砂</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4" w:type="pct"/>
            <w:vAlign w:val="center"/>
          </w:tcPr>
          <w:p>
            <w:pPr>
              <w:pStyle w:val="25"/>
              <w:ind w:firstLine="0" w:firstLineChars="0"/>
              <w:jc w:val="center"/>
              <w:rPr>
                <w:rFonts w:ascii="宋体"/>
                <w:sz w:val="18"/>
                <w:szCs w:val="18"/>
              </w:rPr>
            </w:pPr>
            <w:r>
              <w:rPr>
                <w:rFonts w:ascii="宋体"/>
                <w:sz w:val="18"/>
                <w:szCs w:val="18"/>
              </w:rPr>
              <w:t>△</w:t>
            </w:r>
          </w:p>
        </w:tc>
        <w:tc>
          <w:tcPr>
            <w:tcW w:w="362"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p>
        </w:tc>
        <w:tc>
          <w:tcPr>
            <w:tcW w:w="438" w:type="pct"/>
            <w:vAlign w:val="center"/>
          </w:tcPr>
          <w:p>
            <w:pPr>
              <w:pStyle w:val="25"/>
              <w:ind w:firstLine="0" w:firstLineChars="0"/>
              <w:jc w:val="center"/>
              <w:rPr>
                <w:rFonts w:ascii="宋体"/>
                <w:sz w:val="18"/>
                <w:szCs w:val="18"/>
              </w:rPr>
            </w:pPr>
            <w:r>
              <w:rPr>
                <w:rFonts w:ascii="宋体"/>
                <w:sz w:val="18"/>
                <w:szCs w:val="18"/>
              </w:rPr>
              <w:t>△</w:t>
            </w:r>
          </w:p>
        </w:tc>
        <w:tc>
          <w:tcPr>
            <w:tcW w:w="445" w:type="pct"/>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11"/>
            <w:vAlign w:val="center"/>
          </w:tcPr>
          <w:p>
            <w:pPr>
              <w:pStyle w:val="25"/>
              <w:ind w:firstLine="0" w:firstLineChars="0"/>
              <w:rPr>
                <w:rFonts w:ascii="宋体"/>
                <w:sz w:val="18"/>
                <w:szCs w:val="18"/>
              </w:rPr>
            </w:pPr>
            <w:r>
              <w:rPr>
                <w:rFonts w:ascii="宋体"/>
                <w:sz w:val="18"/>
                <w:szCs w:val="18"/>
              </w:rPr>
              <w:t>注：△表示必做，√表示根据情况选做。</w:t>
            </w:r>
          </w:p>
        </w:tc>
      </w:tr>
    </w:tbl>
    <w:p>
      <w:pPr>
        <w:pStyle w:val="131"/>
        <w:spacing w:before="156" w:afterLines="0"/>
      </w:pPr>
      <w:r>
        <w:t>生态清淤淤泥勘测物理力学指标试验方法及设备</w:t>
      </w:r>
    </w:p>
    <w:tbl>
      <w:tblPr>
        <w:tblStyle w:val="37"/>
        <w:tblW w:w="96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55"/>
        <w:gridCol w:w="1701"/>
        <w:gridCol w:w="2551"/>
        <w:gridCol w:w="2415"/>
        <w:gridCol w:w="14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试验名称</w:t>
            </w:r>
          </w:p>
        </w:tc>
        <w:tc>
          <w:tcPr>
            <w:tcW w:w="1701" w:type="dxa"/>
            <w:vAlign w:val="center"/>
          </w:tcPr>
          <w:p>
            <w:pPr>
              <w:pStyle w:val="25"/>
              <w:ind w:firstLine="0" w:firstLineChars="0"/>
              <w:jc w:val="center"/>
              <w:rPr>
                <w:rFonts w:ascii="宋体"/>
                <w:sz w:val="18"/>
                <w:szCs w:val="18"/>
              </w:rPr>
            </w:pPr>
            <w:r>
              <w:rPr>
                <w:rFonts w:ascii="宋体"/>
                <w:sz w:val="18"/>
                <w:szCs w:val="18"/>
              </w:rPr>
              <w:t>现场试验</w:t>
            </w:r>
          </w:p>
        </w:tc>
        <w:tc>
          <w:tcPr>
            <w:tcW w:w="2551" w:type="dxa"/>
            <w:vAlign w:val="center"/>
          </w:tcPr>
          <w:p>
            <w:pPr>
              <w:pStyle w:val="25"/>
              <w:ind w:firstLine="0" w:firstLineChars="0"/>
              <w:jc w:val="center"/>
              <w:rPr>
                <w:rFonts w:ascii="宋体"/>
                <w:sz w:val="18"/>
                <w:szCs w:val="18"/>
              </w:rPr>
            </w:pPr>
            <w:r>
              <w:rPr>
                <w:rFonts w:ascii="宋体"/>
                <w:sz w:val="18"/>
                <w:szCs w:val="18"/>
              </w:rPr>
              <w:t>室内试验</w:t>
            </w:r>
          </w:p>
        </w:tc>
        <w:tc>
          <w:tcPr>
            <w:tcW w:w="2415" w:type="dxa"/>
            <w:vAlign w:val="center"/>
          </w:tcPr>
          <w:p>
            <w:pPr>
              <w:pStyle w:val="25"/>
              <w:ind w:firstLine="0" w:firstLineChars="0"/>
              <w:jc w:val="center"/>
              <w:rPr>
                <w:rFonts w:ascii="宋体"/>
                <w:sz w:val="18"/>
                <w:szCs w:val="18"/>
              </w:rPr>
            </w:pPr>
            <w:r>
              <w:rPr>
                <w:rFonts w:ascii="宋体"/>
                <w:sz w:val="18"/>
                <w:szCs w:val="18"/>
              </w:rPr>
              <w:t>主要仪器设备</w:t>
            </w:r>
          </w:p>
        </w:tc>
        <w:tc>
          <w:tcPr>
            <w:tcW w:w="1418" w:type="dxa"/>
            <w:vAlign w:val="center"/>
          </w:tcPr>
          <w:p>
            <w:pPr>
              <w:pStyle w:val="25"/>
              <w:ind w:firstLine="0" w:firstLineChars="0"/>
              <w:jc w:val="center"/>
              <w:rPr>
                <w:rFonts w:ascii="宋体"/>
                <w:sz w:val="18"/>
                <w:szCs w:val="18"/>
              </w:rPr>
            </w:pPr>
            <w:r>
              <w:rPr>
                <w:rFonts w:ascii="宋体"/>
                <w:sz w:val="18"/>
                <w:szCs w:val="18"/>
              </w:rPr>
              <w:t>采用标准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含水量试验</w:t>
            </w:r>
          </w:p>
        </w:tc>
        <w:tc>
          <w:tcPr>
            <w:tcW w:w="1701" w:type="dxa"/>
            <w:vAlign w:val="center"/>
          </w:tcPr>
          <w:p>
            <w:pPr>
              <w:pStyle w:val="25"/>
              <w:ind w:firstLine="0" w:firstLineChars="0"/>
              <w:jc w:val="center"/>
              <w:rPr>
                <w:rFonts w:ascii="宋体"/>
                <w:sz w:val="18"/>
                <w:szCs w:val="18"/>
              </w:rPr>
            </w:pPr>
            <w:r>
              <w:rPr>
                <w:rFonts w:ascii="宋体"/>
                <w:sz w:val="18"/>
                <w:szCs w:val="18"/>
              </w:rPr>
              <w:t>不适用</w:t>
            </w:r>
          </w:p>
        </w:tc>
        <w:tc>
          <w:tcPr>
            <w:tcW w:w="2551" w:type="dxa"/>
            <w:vAlign w:val="center"/>
          </w:tcPr>
          <w:p>
            <w:pPr>
              <w:pStyle w:val="25"/>
              <w:ind w:firstLine="0" w:firstLineChars="0"/>
              <w:jc w:val="center"/>
              <w:rPr>
                <w:rFonts w:ascii="宋体"/>
                <w:sz w:val="18"/>
                <w:szCs w:val="18"/>
              </w:rPr>
            </w:pPr>
            <w:r>
              <w:rPr>
                <w:rFonts w:ascii="宋体"/>
                <w:sz w:val="18"/>
                <w:szCs w:val="18"/>
              </w:rPr>
              <w:t>烘干法</w:t>
            </w:r>
          </w:p>
        </w:tc>
        <w:tc>
          <w:tcPr>
            <w:tcW w:w="2415" w:type="dxa"/>
            <w:vAlign w:val="center"/>
          </w:tcPr>
          <w:p>
            <w:pPr>
              <w:pStyle w:val="25"/>
              <w:ind w:firstLine="0" w:firstLineChars="0"/>
              <w:jc w:val="center"/>
              <w:rPr>
                <w:rFonts w:ascii="宋体"/>
                <w:sz w:val="18"/>
                <w:szCs w:val="18"/>
              </w:rPr>
            </w:pPr>
            <w:r>
              <w:rPr>
                <w:rFonts w:ascii="宋体"/>
                <w:sz w:val="18"/>
                <w:szCs w:val="18"/>
              </w:rPr>
              <w:t>电热烘箱（控制温度为105～110℃）、电子天平（最小0.01g）</w:t>
            </w:r>
          </w:p>
        </w:tc>
        <w:tc>
          <w:tcPr>
            <w:tcW w:w="1418" w:type="dxa"/>
            <w:vAlign w:val="center"/>
          </w:tcPr>
          <w:p>
            <w:pPr>
              <w:pStyle w:val="25"/>
              <w:ind w:firstLine="0" w:firstLineChars="0"/>
              <w:jc w:val="center"/>
              <w:rPr>
                <w:rFonts w:ascii="宋体"/>
                <w:sz w:val="18"/>
                <w:szCs w:val="18"/>
              </w:rPr>
            </w:pPr>
            <w:r>
              <w:rPr>
                <w:rFonts w:ascii="宋体"/>
                <w:sz w:val="18"/>
                <w:szCs w:val="18"/>
              </w:rPr>
              <w:t>GB/T 50123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重度试验</w:t>
            </w:r>
          </w:p>
        </w:tc>
        <w:tc>
          <w:tcPr>
            <w:tcW w:w="1701" w:type="dxa"/>
            <w:vAlign w:val="center"/>
          </w:tcPr>
          <w:p>
            <w:pPr>
              <w:pStyle w:val="25"/>
              <w:ind w:firstLine="0" w:firstLineChars="0"/>
              <w:jc w:val="center"/>
              <w:rPr>
                <w:rFonts w:ascii="宋体"/>
                <w:sz w:val="18"/>
                <w:szCs w:val="18"/>
              </w:rPr>
            </w:pPr>
            <w:r>
              <w:rPr>
                <w:rFonts w:ascii="宋体"/>
                <w:sz w:val="18"/>
                <w:szCs w:val="18"/>
              </w:rPr>
              <w:t>灌水法（用于原状砂砾质土）</w:t>
            </w:r>
          </w:p>
        </w:tc>
        <w:tc>
          <w:tcPr>
            <w:tcW w:w="2551" w:type="dxa"/>
            <w:vAlign w:val="center"/>
          </w:tcPr>
          <w:p>
            <w:pPr>
              <w:pStyle w:val="25"/>
              <w:ind w:firstLine="0" w:firstLineChars="0"/>
              <w:jc w:val="center"/>
              <w:rPr>
                <w:rFonts w:ascii="宋体"/>
                <w:sz w:val="18"/>
                <w:szCs w:val="18"/>
              </w:rPr>
            </w:pPr>
            <w:r>
              <w:rPr>
                <w:rFonts w:ascii="宋体"/>
                <w:sz w:val="18"/>
                <w:szCs w:val="18"/>
              </w:rPr>
              <w:t>环刀法</w:t>
            </w:r>
          </w:p>
          <w:p>
            <w:pPr>
              <w:pStyle w:val="25"/>
              <w:ind w:firstLine="0" w:firstLineChars="0"/>
              <w:jc w:val="center"/>
              <w:rPr>
                <w:rFonts w:ascii="宋体"/>
                <w:sz w:val="18"/>
                <w:szCs w:val="18"/>
              </w:rPr>
            </w:pPr>
            <w:r>
              <w:rPr>
                <w:rFonts w:ascii="宋体"/>
                <w:sz w:val="18"/>
                <w:szCs w:val="18"/>
              </w:rPr>
              <w:t>（用于黏性土）</w:t>
            </w:r>
          </w:p>
        </w:tc>
        <w:tc>
          <w:tcPr>
            <w:tcW w:w="2415" w:type="dxa"/>
            <w:vAlign w:val="center"/>
          </w:tcPr>
          <w:p>
            <w:pPr>
              <w:pStyle w:val="25"/>
              <w:ind w:firstLine="0" w:firstLineChars="0"/>
              <w:jc w:val="center"/>
              <w:rPr>
                <w:rFonts w:ascii="宋体"/>
                <w:sz w:val="18"/>
                <w:szCs w:val="18"/>
              </w:rPr>
            </w:pPr>
            <w:r>
              <w:rPr>
                <w:rFonts w:ascii="宋体"/>
                <w:sz w:val="18"/>
                <w:szCs w:val="18"/>
              </w:rPr>
              <w:t>环刀、电子天平</w:t>
            </w:r>
          </w:p>
          <w:p>
            <w:pPr>
              <w:pStyle w:val="25"/>
              <w:ind w:firstLine="0" w:firstLineChars="0"/>
              <w:jc w:val="center"/>
              <w:rPr>
                <w:rFonts w:ascii="宋体"/>
                <w:sz w:val="18"/>
                <w:szCs w:val="18"/>
              </w:rPr>
            </w:pPr>
            <w:r>
              <w:rPr>
                <w:rFonts w:ascii="宋体"/>
                <w:sz w:val="18"/>
                <w:szCs w:val="18"/>
              </w:rPr>
              <w:t>（最小0.01g）</w:t>
            </w:r>
          </w:p>
        </w:tc>
        <w:tc>
          <w:tcPr>
            <w:tcW w:w="1418" w:type="dxa"/>
            <w:vAlign w:val="center"/>
          </w:tcPr>
          <w:p>
            <w:pPr>
              <w:pStyle w:val="25"/>
              <w:ind w:firstLine="0" w:firstLineChars="0"/>
              <w:jc w:val="center"/>
              <w:rPr>
                <w:rFonts w:ascii="宋体"/>
                <w:sz w:val="18"/>
                <w:szCs w:val="18"/>
              </w:rPr>
            </w:pPr>
            <w:r>
              <w:rPr>
                <w:rFonts w:ascii="宋体"/>
                <w:sz w:val="18"/>
                <w:szCs w:val="18"/>
              </w:rPr>
              <w:t>GB/T 50123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比重试验</w:t>
            </w:r>
          </w:p>
        </w:tc>
        <w:tc>
          <w:tcPr>
            <w:tcW w:w="1701" w:type="dxa"/>
            <w:vAlign w:val="center"/>
          </w:tcPr>
          <w:p>
            <w:pPr>
              <w:pStyle w:val="25"/>
              <w:ind w:firstLine="0" w:firstLineChars="0"/>
              <w:jc w:val="center"/>
              <w:rPr>
                <w:rFonts w:ascii="宋体"/>
                <w:sz w:val="18"/>
                <w:szCs w:val="18"/>
              </w:rPr>
            </w:pPr>
            <w:r>
              <w:rPr>
                <w:rFonts w:ascii="宋体"/>
                <w:sz w:val="18"/>
                <w:szCs w:val="18"/>
              </w:rPr>
              <w:t>不适用</w:t>
            </w:r>
          </w:p>
        </w:tc>
        <w:tc>
          <w:tcPr>
            <w:tcW w:w="2551" w:type="dxa"/>
            <w:vAlign w:val="center"/>
          </w:tcPr>
          <w:p>
            <w:pPr>
              <w:pStyle w:val="25"/>
              <w:ind w:firstLine="0" w:firstLineChars="0"/>
              <w:jc w:val="center"/>
              <w:rPr>
                <w:rFonts w:ascii="宋体"/>
                <w:sz w:val="18"/>
                <w:szCs w:val="18"/>
              </w:rPr>
            </w:pPr>
            <w:r>
              <w:rPr>
                <w:rFonts w:ascii="宋体"/>
                <w:sz w:val="18"/>
                <w:szCs w:val="18"/>
              </w:rPr>
              <w:t>根据颗粒大小采用比重瓶法、浮秤法、虹吸筒法</w:t>
            </w:r>
          </w:p>
        </w:tc>
        <w:tc>
          <w:tcPr>
            <w:tcW w:w="2415" w:type="dxa"/>
            <w:vAlign w:val="center"/>
          </w:tcPr>
          <w:p>
            <w:pPr>
              <w:pStyle w:val="25"/>
              <w:ind w:firstLine="0" w:firstLineChars="0"/>
              <w:jc w:val="center"/>
              <w:rPr>
                <w:rFonts w:ascii="宋体"/>
                <w:sz w:val="18"/>
                <w:szCs w:val="18"/>
              </w:rPr>
            </w:pPr>
            <w:r>
              <w:rPr>
                <w:rFonts w:ascii="宋体"/>
                <w:sz w:val="18"/>
                <w:szCs w:val="18"/>
              </w:rPr>
              <w:t>比重瓶、恒温水槽</w:t>
            </w:r>
          </w:p>
          <w:p>
            <w:pPr>
              <w:pStyle w:val="25"/>
              <w:ind w:firstLine="0" w:firstLineChars="0"/>
              <w:jc w:val="center"/>
              <w:rPr>
                <w:rFonts w:ascii="宋体"/>
                <w:sz w:val="18"/>
                <w:szCs w:val="18"/>
              </w:rPr>
            </w:pPr>
            <w:r>
              <w:rPr>
                <w:rFonts w:ascii="宋体"/>
                <w:sz w:val="18"/>
                <w:szCs w:val="18"/>
              </w:rPr>
              <w:t>（±1℃）、砂浴电炉等</w:t>
            </w:r>
          </w:p>
        </w:tc>
        <w:tc>
          <w:tcPr>
            <w:tcW w:w="1418" w:type="dxa"/>
            <w:vAlign w:val="center"/>
          </w:tcPr>
          <w:p>
            <w:pPr>
              <w:pStyle w:val="25"/>
              <w:ind w:firstLine="0" w:firstLineChars="0"/>
              <w:jc w:val="center"/>
              <w:rPr>
                <w:rFonts w:ascii="宋体"/>
                <w:sz w:val="18"/>
                <w:szCs w:val="18"/>
              </w:rPr>
            </w:pPr>
            <w:r>
              <w:rPr>
                <w:rFonts w:ascii="宋体"/>
                <w:sz w:val="18"/>
                <w:szCs w:val="18"/>
              </w:rPr>
              <w:t>GB/T 50123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颗粒分析试验</w:t>
            </w:r>
          </w:p>
        </w:tc>
        <w:tc>
          <w:tcPr>
            <w:tcW w:w="1701" w:type="dxa"/>
            <w:vAlign w:val="center"/>
          </w:tcPr>
          <w:p>
            <w:pPr>
              <w:pStyle w:val="25"/>
              <w:ind w:firstLine="0" w:firstLineChars="0"/>
              <w:jc w:val="center"/>
              <w:rPr>
                <w:rFonts w:ascii="宋体"/>
                <w:sz w:val="18"/>
                <w:szCs w:val="18"/>
              </w:rPr>
            </w:pPr>
            <w:r>
              <w:rPr>
                <w:rFonts w:ascii="宋体"/>
                <w:sz w:val="18"/>
                <w:szCs w:val="18"/>
              </w:rPr>
              <w:t>目测度量法</w:t>
            </w:r>
          </w:p>
          <w:p>
            <w:pPr>
              <w:pStyle w:val="25"/>
              <w:ind w:firstLine="0" w:firstLineChars="0"/>
              <w:jc w:val="center"/>
              <w:rPr>
                <w:rFonts w:ascii="宋体"/>
                <w:sz w:val="18"/>
                <w:szCs w:val="18"/>
              </w:rPr>
            </w:pPr>
            <w:r>
              <w:rPr>
                <w:rFonts w:ascii="宋体"/>
                <w:sz w:val="18"/>
                <w:szCs w:val="18"/>
              </w:rPr>
              <w:t>（用于碎石土）</w:t>
            </w:r>
          </w:p>
        </w:tc>
        <w:tc>
          <w:tcPr>
            <w:tcW w:w="2551" w:type="dxa"/>
            <w:vAlign w:val="center"/>
          </w:tcPr>
          <w:p>
            <w:pPr>
              <w:pStyle w:val="25"/>
              <w:ind w:firstLine="0" w:firstLineChars="0"/>
              <w:jc w:val="center"/>
              <w:rPr>
                <w:rFonts w:ascii="宋体"/>
                <w:sz w:val="18"/>
                <w:szCs w:val="18"/>
              </w:rPr>
            </w:pPr>
            <w:r>
              <w:rPr>
                <w:rFonts w:ascii="宋体"/>
                <w:sz w:val="18"/>
                <w:szCs w:val="18"/>
              </w:rPr>
              <w:t>筛析法(粒径≤60mm)比重计法</w:t>
            </w:r>
          </w:p>
          <w:p>
            <w:pPr>
              <w:pStyle w:val="25"/>
              <w:ind w:firstLine="0" w:firstLineChars="0"/>
              <w:jc w:val="center"/>
              <w:rPr>
                <w:rFonts w:ascii="宋体"/>
                <w:sz w:val="18"/>
                <w:szCs w:val="18"/>
              </w:rPr>
            </w:pPr>
            <w:r>
              <w:rPr>
                <w:rFonts w:ascii="宋体"/>
                <w:sz w:val="18"/>
                <w:szCs w:val="18"/>
              </w:rPr>
              <w:t>（粒径&lt;0.075mm）</w:t>
            </w:r>
          </w:p>
        </w:tc>
        <w:tc>
          <w:tcPr>
            <w:tcW w:w="2415" w:type="dxa"/>
            <w:vAlign w:val="center"/>
          </w:tcPr>
          <w:p>
            <w:pPr>
              <w:pStyle w:val="25"/>
              <w:ind w:firstLine="0" w:firstLineChars="0"/>
              <w:jc w:val="center"/>
              <w:rPr>
                <w:rFonts w:ascii="宋体"/>
                <w:sz w:val="18"/>
                <w:szCs w:val="18"/>
              </w:rPr>
            </w:pPr>
            <w:r>
              <w:rPr>
                <w:rFonts w:ascii="宋体"/>
                <w:sz w:val="18"/>
                <w:szCs w:val="18"/>
              </w:rPr>
              <w:t>分析筛、电子天平</w:t>
            </w:r>
          </w:p>
          <w:p>
            <w:pPr>
              <w:pStyle w:val="25"/>
              <w:ind w:firstLine="0" w:firstLineChars="0"/>
              <w:jc w:val="center"/>
              <w:rPr>
                <w:rFonts w:ascii="宋体"/>
                <w:sz w:val="18"/>
                <w:szCs w:val="18"/>
              </w:rPr>
            </w:pPr>
            <w:r>
              <w:rPr>
                <w:rFonts w:ascii="宋体"/>
                <w:sz w:val="18"/>
                <w:szCs w:val="18"/>
              </w:rPr>
              <w:t>（最小0.01g）、比重计等</w:t>
            </w:r>
          </w:p>
        </w:tc>
        <w:tc>
          <w:tcPr>
            <w:tcW w:w="1418" w:type="dxa"/>
            <w:vAlign w:val="center"/>
          </w:tcPr>
          <w:p>
            <w:pPr>
              <w:pStyle w:val="25"/>
              <w:ind w:firstLine="0" w:firstLineChars="0"/>
              <w:jc w:val="center"/>
              <w:rPr>
                <w:rFonts w:ascii="宋体"/>
                <w:sz w:val="18"/>
                <w:szCs w:val="18"/>
              </w:rPr>
            </w:pPr>
            <w:r>
              <w:rPr>
                <w:rFonts w:ascii="宋体"/>
                <w:sz w:val="18"/>
                <w:szCs w:val="18"/>
              </w:rPr>
              <w:t>GB/T 50123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界限含水量</w:t>
            </w:r>
          </w:p>
          <w:p>
            <w:pPr>
              <w:pStyle w:val="25"/>
              <w:ind w:firstLine="0" w:firstLineChars="0"/>
              <w:jc w:val="center"/>
              <w:rPr>
                <w:rFonts w:ascii="宋体"/>
                <w:sz w:val="18"/>
                <w:szCs w:val="18"/>
              </w:rPr>
            </w:pPr>
            <w:r>
              <w:rPr>
                <w:rFonts w:ascii="宋体"/>
                <w:sz w:val="18"/>
                <w:szCs w:val="18"/>
              </w:rPr>
              <w:t>试验</w:t>
            </w:r>
          </w:p>
        </w:tc>
        <w:tc>
          <w:tcPr>
            <w:tcW w:w="1701" w:type="dxa"/>
            <w:vAlign w:val="center"/>
          </w:tcPr>
          <w:p>
            <w:pPr>
              <w:pStyle w:val="25"/>
              <w:ind w:firstLine="0" w:firstLineChars="0"/>
              <w:jc w:val="center"/>
              <w:rPr>
                <w:rFonts w:ascii="宋体"/>
                <w:sz w:val="18"/>
                <w:szCs w:val="18"/>
              </w:rPr>
            </w:pPr>
            <w:r>
              <w:rPr>
                <w:rFonts w:ascii="宋体"/>
                <w:sz w:val="18"/>
                <w:szCs w:val="18"/>
              </w:rPr>
              <w:t>不适用</w:t>
            </w:r>
          </w:p>
        </w:tc>
        <w:tc>
          <w:tcPr>
            <w:tcW w:w="2551" w:type="dxa"/>
            <w:vAlign w:val="center"/>
          </w:tcPr>
          <w:p>
            <w:pPr>
              <w:pStyle w:val="25"/>
              <w:ind w:firstLine="0" w:firstLineChars="0"/>
              <w:jc w:val="center"/>
              <w:rPr>
                <w:rFonts w:ascii="宋体"/>
                <w:sz w:val="18"/>
                <w:szCs w:val="18"/>
              </w:rPr>
            </w:pPr>
            <w:r>
              <w:rPr>
                <w:rFonts w:ascii="宋体"/>
                <w:sz w:val="18"/>
                <w:szCs w:val="18"/>
              </w:rPr>
              <w:t>液限(76g夜限仪)塑限（搓条法粒径&lt;0.5mm）液、塑限联合测定法</w:t>
            </w:r>
          </w:p>
        </w:tc>
        <w:tc>
          <w:tcPr>
            <w:tcW w:w="2415" w:type="dxa"/>
            <w:vAlign w:val="center"/>
          </w:tcPr>
          <w:p>
            <w:pPr>
              <w:pStyle w:val="25"/>
              <w:ind w:firstLine="0" w:firstLineChars="0"/>
              <w:jc w:val="center"/>
              <w:rPr>
                <w:rFonts w:ascii="宋体"/>
                <w:sz w:val="18"/>
                <w:szCs w:val="18"/>
              </w:rPr>
            </w:pPr>
            <w:r>
              <w:rPr>
                <w:rFonts w:ascii="宋体"/>
                <w:sz w:val="18"/>
                <w:szCs w:val="18"/>
              </w:rPr>
              <w:t>液、塑限联合测定仪、</w:t>
            </w:r>
          </w:p>
          <w:p>
            <w:pPr>
              <w:pStyle w:val="25"/>
              <w:ind w:firstLine="0" w:firstLineChars="0"/>
              <w:jc w:val="center"/>
              <w:rPr>
                <w:rFonts w:ascii="宋体"/>
                <w:sz w:val="18"/>
                <w:szCs w:val="18"/>
              </w:rPr>
            </w:pPr>
            <w:r>
              <w:rPr>
                <w:rFonts w:ascii="宋体"/>
                <w:sz w:val="18"/>
                <w:szCs w:val="18"/>
              </w:rPr>
              <w:t>电子天平（最小0.01g）</w:t>
            </w:r>
          </w:p>
        </w:tc>
        <w:tc>
          <w:tcPr>
            <w:tcW w:w="1418" w:type="dxa"/>
            <w:vAlign w:val="center"/>
          </w:tcPr>
          <w:p>
            <w:pPr>
              <w:pStyle w:val="25"/>
              <w:ind w:firstLine="0" w:firstLineChars="0"/>
              <w:jc w:val="center"/>
              <w:rPr>
                <w:rFonts w:ascii="宋体"/>
                <w:sz w:val="18"/>
                <w:szCs w:val="18"/>
              </w:rPr>
            </w:pPr>
            <w:r>
              <w:rPr>
                <w:rFonts w:ascii="宋体"/>
                <w:sz w:val="18"/>
                <w:szCs w:val="18"/>
              </w:rPr>
              <w:t>GB/T 50123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相对密度试验</w:t>
            </w:r>
          </w:p>
        </w:tc>
        <w:tc>
          <w:tcPr>
            <w:tcW w:w="1701" w:type="dxa"/>
            <w:vAlign w:val="center"/>
          </w:tcPr>
          <w:p>
            <w:pPr>
              <w:pStyle w:val="25"/>
              <w:ind w:firstLine="0" w:firstLineChars="0"/>
              <w:jc w:val="center"/>
              <w:rPr>
                <w:rFonts w:ascii="宋体"/>
                <w:sz w:val="18"/>
                <w:szCs w:val="18"/>
              </w:rPr>
            </w:pPr>
            <w:r>
              <w:rPr>
                <w:rFonts w:ascii="宋体"/>
                <w:sz w:val="18"/>
                <w:szCs w:val="18"/>
              </w:rPr>
              <w:t>宜现场测取砂土的</w:t>
            </w:r>
          </w:p>
          <w:p>
            <w:pPr>
              <w:pStyle w:val="25"/>
              <w:ind w:firstLine="0" w:firstLineChars="0"/>
              <w:jc w:val="center"/>
              <w:rPr>
                <w:rFonts w:ascii="宋体"/>
                <w:sz w:val="18"/>
                <w:szCs w:val="18"/>
              </w:rPr>
            </w:pPr>
            <w:r>
              <w:rPr>
                <w:rFonts w:ascii="宋体"/>
                <w:sz w:val="18"/>
                <w:szCs w:val="18"/>
              </w:rPr>
              <w:t>天然重度、含水量</w:t>
            </w:r>
          </w:p>
        </w:tc>
        <w:tc>
          <w:tcPr>
            <w:tcW w:w="2551" w:type="dxa"/>
            <w:vAlign w:val="center"/>
          </w:tcPr>
          <w:p>
            <w:pPr>
              <w:pStyle w:val="25"/>
              <w:ind w:firstLine="0" w:firstLineChars="0"/>
              <w:jc w:val="center"/>
              <w:rPr>
                <w:rFonts w:ascii="宋体"/>
                <w:sz w:val="18"/>
                <w:szCs w:val="18"/>
              </w:rPr>
            </w:pPr>
            <w:r>
              <w:rPr>
                <w:rFonts w:ascii="宋体"/>
                <w:sz w:val="18"/>
                <w:szCs w:val="18"/>
              </w:rPr>
              <w:t>用漏斗法或量筒法测，取最小干密度；用振动叉击锤测最大干密度</w:t>
            </w:r>
          </w:p>
        </w:tc>
        <w:tc>
          <w:tcPr>
            <w:tcW w:w="2415" w:type="dxa"/>
            <w:vAlign w:val="center"/>
          </w:tcPr>
          <w:p>
            <w:pPr>
              <w:pStyle w:val="25"/>
              <w:ind w:firstLine="0" w:firstLineChars="0"/>
              <w:jc w:val="center"/>
              <w:rPr>
                <w:rFonts w:ascii="宋体"/>
                <w:sz w:val="18"/>
                <w:szCs w:val="18"/>
              </w:rPr>
            </w:pPr>
            <w:r>
              <w:rPr>
                <w:rFonts w:ascii="宋体"/>
                <w:sz w:val="18"/>
                <w:szCs w:val="18"/>
              </w:rPr>
              <w:t>量筒、漏斗、金属圆筒、</w:t>
            </w:r>
          </w:p>
          <w:p>
            <w:pPr>
              <w:pStyle w:val="25"/>
              <w:ind w:firstLine="0" w:firstLineChars="0"/>
              <w:jc w:val="center"/>
              <w:rPr>
                <w:rFonts w:ascii="宋体"/>
                <w:sz w:val="18"/>
                <w:szCs w:val="18"/>
              </w:rPr>
            </w:pPr>
            <w:r>
              <w:rPr>
                <w:rFonts w:ascii="宋体"/>
                <w:sz w:val="18"/>
                <w:szCs w:val="18"/>
              </w:rPr>
              <w:t>振动叉、击锤</w:t>
            </w:r>
          </w:p>
        </w:tc>
        <w:tc>
          <w:tcPr>
            <w:tcW w:w="1418" w:type="dxa"/>
            <w:vAlign w:val="center"/>
          </w:tcPr>
          <w:p>
            <w:pPr>
              <w:pStyle w:val="25"/>
              <w:ind w:firstLine="0" w:firstLineChars="0"/>
              <w:jc w:val="center"/>
              <w:rPr>
                <w:rFonts w:ascii="宋体"/>
                <w:sz w:val="18"/>
                <w:szCs w:val="18"/>
              </w:rPr>
            </w:pPr>
            <w:r>
              <w:rPr>
                <w:rFonts w:ascii="宋体"/>
                <w:sz w:val="18"/>
                <w:szCs w:val="18"/>
              </w:rPr>
              <w:t>GB/T 50123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抗剪强度试验</w:t>
            </w:r>
          </w:p>
        </w:tc>
        <w:tc>
          <w:tcPr>
            <w:tcW w:w="1701" w:type="dxa"/>
            <w:vAlign w:val="center"/>
          </w:tcPr>
          <w:p>
            <w:pPr>
              <w:pStyle w:val="25"/>
              <w:ind w:firstLine="0" w:firstLineChars="0"/>
              <w:jc w:val="center"/>
              <w:rPr>
                <w:rFonts w:ascii="宋体"/>
                <w:sz w:val="18"/>
                <w:szCs w:val="18"/>
              </w:rPr>
            </w:pPr>
            <w:r>
              <w:rPr>
                <w:rFonts w:ascii="宋体"/>
                <w:sz w:val="18"/>
                <w:szCs w:val="18"/>
              </w:rPr>
              <w:t>不适用</w:t>
            </w:r>
          </w:p>
        </w:tc>
        <w:tc>
          <w:tcPr>
            <w:tcW w:w="2551" w:type="dxa"/>
            <w:vAlign w:val="center"/>
          </w:tcPr>
          <w:p>
            <w:pPr>
              <w:pStyle w:val="25"/>
              <w:ind w:firstLine="0" w:firstLineChars="0"/>
              <w:jc w:val="center"/>
              <w:rPr>
                <w:rFonts w:ascii="宋体"/>
                <w:sz w:val="18"/>
                <w:szCs w:val="18"/>
              </w:rPr>
            </w:pPr>
            <w:r>
              <w:rPr>
                <w:rFonts w:ascii="宋体"/>
                <w:sz w:val="18"/>
                <w:szCs w:val="18"/>
              </w:rPr>
              <w:t>应变控制式直剪仪(用于渗透系数&lt;10</w:t>
            </w:r>
            <w:r>
              <w:rPr>
                <w:rFonts w:ascii="宋体"/>
                <w:sz w:val="18"/>
                <w:szCs w:val="18"/>
                <w:vertAlign w:val="superscript"/>
              </w:rPr>
              <w:t xml:space="preserve">-5 </w:t>
            </w:r>
            <w:r>
              <w:rPr>
                <w:rFonts w:ascii="宋体"/>
                <w:sz w:val="18"/>
                <w:szCs w:val="18"/>
              </w:rPr>
              <w:t>cm/s的黏性土)，清淤淤泥分类一般可采用快剪试验</w:t>
            </w:r>
          </w:p>
        </w:tc>
        <w:tc>
          <w:tcPr>
            <w:tcW w:w="2415" w:type="dxa"/>
            <w:vAlign w:val="center"/>
          </w:tcPr>
          <w:p>
            <w:pPr>
              <w:pStyle w:val="25"/>
              <w:ind w:firstLine="0" w:firstLineChars="0"/>
              <w:jc w:val="center"/>
              <w:rPr>
                <w:rFonts w:ascii="宋体"/>
                <w:sz w:val="18"/>
                <w:szCs w:val="18"/>
              </w:rPr>
            </w:pPr>
            <w:r>
              <w:rPr>
                <w:rFonts w:ascii="宋体"/>
                <w:sz w:val="18"/>
                <w:szCs w:val="18"/>
              </w:rPr>
              <w:t>应变控制式直剪仪</w:t>
            </w:r>
          </w:p>
        </w:tc>
        <w:tc>
          <w:tcPr>
            <w:tcW w:w="1418" w:type="dxa"/>
            <w:vAlign w:val="center"/>
          </w:tcPr>
          <w:p>
            <w:pPr>
              <w:pStyle w:val="25"/>
              <w:ind w:firstLine="0" w:firstLineChars="0"/>
              <w:jc w:val="center"/>
              <w:rPr>
                <w:rFonts w:ascii="宋体"/>
                <w:sz w:val="18"/>
                <w:szCs w:val="18"/>
              </w:rPr>
            </w:pPr>
            <w:r>
              <w:rPr>
                <w:rFonts w:ascii="宋体"/>
                <w:sz w:val="18"/>
                <w:szCs w:val="18"/>
              </w:rPr>
              <w:t>GB/T 50123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附着力试验</w:t>
            </w:r>
          </w:p>
        </w:tc>
        <w:tc>
          <w:tcPr>
            <w:tcW w:w="1701" w:type="dxa"/>
            <w:vAlign w:val="center"/>
          </w:tcPr>
          <w:p>
            <w:pPr>
              <w:pStyle w:val="25"/>
              <w:ind w:firstLine="0" w:firstLineChars="0"/>
              <w:jc w:val="center"/>
              <w:rPr>
                <w:rFonts w:ascii="宋体"/>
                <w:sz w:val="18"/>
                <w:szCs w:val="18"/>
              </w:rPr>
            </w:pPr>
            <w:r>
              <w:rPr>
                <w:rFonts w:ascii="宋体"/>
                <w:sz w:val="18"/>
                <w:szCs w:val="18"/>
              </w:rPr>
              <w:t>不适用</w:t>
            </w:r>
          </w:p>
        </w:tc>
        <w:tc>
          <w:tcPr>
            <w:tcW w:w="2551" w:type="dxa"/>
            <w:vAlign w:val="center"/>
          </w:tcPr>
          <w:p>
            <w:pPr>
              <w:pStyle w:val="25"/>
              <w:ind w:firstLine="0" w:firstLineChars="0"/>
              <w:jc w:val="center"/>
              <w:rPr>
                <w:rFonts w:ascii="宋体"/>
                <w:sz w:val="18"/>
                <w:szCs w:val="18"/>
              </w:rPr>
            </w:pPr>
            <w:r>
              <w:rPr>
                <w:rFonts w:ascii="宋体"/>
                <w:sz w:val="18"/>
                <w:szCs w:val="18"/>
              </w:rPr>
              <w:t>弹簧秤附着力仪法</w:t>
            </w:r>
          </w:p>
        </w:tc>
        <w:tc>
          <w:tcPr>
            <w:tcW w:w="2415" w:type="dxa"/>
            <w:vAlign w:val="center"/>
          </w:tcPr>
          <w:p>
            <w:pPr>
              <w:pStyle w:val="25"/>
              <w:ind w:firstLine="0" w:firstLineChars="0"/>
              <w:jc w:val="center"/>
              <w:rPr>
                <w:rFonts w:ascii="宋体"/>
                <w:sz w:val="18"/>
                <w:szCs w:val="18"/>
              </w:rPr>
            </w:pPr>
            <w:r>
              <w:rPr>
                <w:rFonts w:ascii="宋体"/>
                <w:sz w:val="18"/>
                <w:szCs w:val="18"/>
              </w:rPr>
              <w:t>弹簧秤附着力仪</w:t>
            </w:r>
          </w:p>
        </w:tc>
        <w:tc>
          <w:tcPr>
            <w:tcW w:w="1418" w:type="dxa"/>
            <w:vAlign w:val="center"/>
          </w:tcPr>
          <w:p>
            <w:pPr>
              <w:pStyle w:val="25"/>
              <w:ind w:firstLine="0" w:firstLineChars="0"/>
              <w:jc w:val="center"/>
              <w:rPr>
                <w:rFonts w:ascii="宋体"/>
                <w:sz w:val="18"/>
                <w:szCs w:val="18"/>
              </w:rPr>
            </w:pPr>
            <w:r>
              <w:rPr>
                <w:rFonts w:ascii="宋体"/>
                <w:sz w:val="18"/>
                <w:szCs w:val="18"/>
              </w:rPr>
              <w:t>JTJ/T 320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标准贯入试验</w:t>
            </w:r>
          </w:p>
        </w:tc>
        <w:tc>
          <w:tcPr>
            <w:tcW w:w="1701" w:type="dxa"/>
            <w:vAlign w:val="center"/>
          </w:tcPr>
          <w:p>
            <w:pPr>
              <w:pStyle w:val="25"/>
              <w:ind w:firstLine="0" w:firstLineChars="0"/>
              <w:jc w:val="center"/>
              <w:rPr>
                <w:rFonts w:ascii="宋体"/>
                <w:sz w:val="18"/>
                <w:szCs w:val="18"/>
              </w:rPr>
            </w:pPr>
            <w:r>
              <w:rPr>
                <w:rFonts w:ascii="宋体"/>
                <w:sz w:val="18"/>
                <w:szCs w:val="18"/>
              </w:rPr>
              <w:t>原位测试</w:t>
            </w:r>
          </w:p>
        </w:tc>
        <w:tc>
          <w:tcPr>
            <w:tcW w:w="2551" w:type="dxa"/>
            <w:vAlign w:val="center"/>
          </w:tcPr>
          <w:p>
            <w:pPr>
              <w:jc w:val="center"/>
              <w:rPr>
                <w:rFonts w:ascii="宋体"/>
                <w:sz w:val="18"/>
                <w:szCs w:val="18"/>
              </w:rPr>
            </w:pPr>
            <w:r>
              <w:rPr>
                <w:rFonts w:ascii="宋体"/>
                <w:sz w:val="18"/>
                <w:szCs w:val="18"/>
              </w:rPr>
              <w:t>不适用</w:t>
            </w:r>
          </w:p>
        </w:tc>
        <w:tc>
          <w:tcPr>
            <w:tcW w:w="2415" w:type="dxa"/>
            <w:vAlign w:val="center"/>
          </w:tcPr>
          <w:p>
            <w:pPr>
              <w:pStyle w:val="25"/>
              <w:ind w:firstLine="0" w:firstLineChars="0"/>
              <w:jc w:val="center"/>
              <w:rPr>
                <w:rFonts w:ascii="宋体"/>
                <w:sz w:val="18"/>
                <w:szCs w:val="18"/>
              </w:rPr>
            </w:pPr>
            <w:r>
              <w:rPr>
                <w:rFonts w:ascii="宋体"/>
                <w:sz w:val="18"/>
                <w:szCs w:val="18"/>
              </w:rPr>
              <w:t>标准贯入锤、贯入器等</w:t>
            </w:r>
          </w:p>
        </w:tc>
        <w:tc>
          <w:tcPr>
            <w:tcW w:w="1418" w:type="dxa"/>
            <w:vAlign w:val="center"/>
          </w:tcPr>
          <w:p>
            <w:pPr>
              <w:pStyle w:val="25"/>
              <w:ind w:firstLine="0" w:firstLineChars="0"/>
              <w:jc w:val="center"/>
              <w:rPr>
                <w:rFonts w:ascii="宋体"/>
                <w:sz w:val="18"/>
                <w:szCs w:val="18"/>
              </w:rPr>
            </w:pPr>
            <w:r>
              <w:rPr>
                <w:rFonts w:ascii="宋体"/>
                <w:sz w:val="18"/>
                <w:szCs w:val="18"/>
              </w:rPr>
              <w:t>GB 50021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静力触探试验</w:t>
            </w:r>
          </w:p>
        </w:tc>
        <w:tc>
          <w:tcPr>
            <w:tcW w:w="1701" w:type="dxa"/>
            <w:vAlign w:val="center"/>
          </w:tcPr>
          <w:p>
            <w:pPr>
              <w:pStyle w:val="25"/>
              <w:ind w:firstLine="0" w:firstLineChars="0"/>
              <w:jc w:val="center"/>
              <w:rPr>
                <w:rFonts w:ascii="宋体"/>
                <w:sz w:val="18"/>
                <w:szCs w:val="18"/>
              </w:rPr>
            </w:pPr>
            <w:r>
              <w:rPr>
                <w:rFonts w:ascii="宋体"/>
                <w:sz w:val="18"/>
                <w:szCs w:val="18"/>
              </w:rPr>
              <w:t>原位测试</w:t>
            </w:r>
          </w:p>
        </w:tc>
        <w:tc>
          <w:tcPr>
            <w:tcW w:w="2551" w:type="dxa"/>
            <w:vAlign w:val="center"/>
          </w:tcPr>
          <w:p>
            <w:pPr>
              <w:jc w:val="center"/>
              <w:rPr>
                <w:rFonts w:ascii="宋体"/>
                <w:sz w:val="18"/>
                <w:szCs w:val="18"/>
              </w:rPr>
            </w:pPr>
            <w:r>
              <w:rPr>
                <w:rFonts w:ascii="宋体"/>
                <w:sz w:val="18"/>
                <w:szCs w:val="18"/>
              </w:rPr>
              <w:t>不适用</w:t>
            </w:r>
          </w:p>
        </w:tc>
        <w:tc>
          <w:tcPr>
            <w:tcW w:w="2415" w:type="dxa"/>
            <w:vAlign w:val="center"/>
          </w:tcPr>
          <w:p>
            <w:pPr>
              <w:pStyle w:val="25"/>
              <w:ind w:firstLine="0" w:firstLineChars="0"/>
              <w:jc w:val="center"/>
              <w:rPr>
                <w:rFonts w:ascii="宋体"/>
                <w:sz w:val="18"/>
                <w:szCs w:val="18"/>
              </w:rPr>
            </w:pPr>
            <w:r>
              <w:rPr>
                <w:rFonts w:ascii="宋体"/>
                <w:sz w:val="18"/>
                <w:szCs w:val="18"/>
              </w:rPr>
              <w:t>静力触探仪等</w:t>
            </w:r>
          </w:p>
        </w:tc>
        <w:tc>
          <w:tcPr>
            <w:tcW w:w="1418" w:type="dxa"/>
            <w:vAlign w:val="center"/>
          </w:tcPr>
          <w:p>
            <w:pPr>
              <w:pStyle w:val="25"/>
              <w:ind w:firstLine="0" w:firstLineChars="0"/>
              <w:jc w:val="center"/>
              <w:rPr>
                <w:rFonts w:ascii="宋体"/>
                <w:sz w:val="18"/>
                <w:szCs w:val="18"/>
              </w:rPr>
            </w:pPr>
            <w:r>
              <w:rPr>
                <w:rFonts w:ascii="宋体"/>
                <w:sz w:val="18"/>
                <w:szCs w:val="18"/>
              </w:rPr>
              <w:t>GB 50021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vAlign w:val="center"/>
          </w:tcPr>
          <w:p>
            <w:pPr>
              <w:pStyle w:val="25"/>
              <w:ind w:firstLine="0" w:firstLineChars="0"/>
              <w:jc w:val="center"/>
              <w:rPr>
                <w:rFonts w:ascii="宋体"/>
                <w:sz w:val="18"/>
                <w:szCs w:val="18"/>
              </w:rPr>
            </w:pPr>
            <w:r>
              <w:rPr>
                <w:rFonts w:ascii="宋体"/>
                <w:sz w:val="18"/>
                <w:szCs w:val="18"/>
              </w:rPr>
              <w:t>十字板剪切试验</w:t>
            </w:r>
          </w:p>
        </w:tc>
        <w:tc>
          <w:tcPr>
            <w:tcW w:w="1701" w:type="dxa"/>
            <w:vAlign w:val="center"/>
          </w:tcPr>
          <w:p>
            <w:pPr>
              <w:pStyle w:val="25"/>
              <w:ind w:firstLine="0" w:firstLineChars="0"/>
              <w:jc w:val="center"/>
              <w:rPr>
                <w:rFonts w:ascii="宋体"/>
                <w:sz w:val="18"/>
                <w:szCs w:val="18"/>
              </w:rPr>
            </w:pPr>
            <w:r>
              <w:rPr>
                <w:rFonts w:ascii="宋体"/>
                <w:sz w:val="18"/>
                <w:szCs w:val="18"/>
              </w:rPr>
              <w:t>原位测试</w:t>
            </w:r>
          </w:p>
        </w:tc>
        <w:tc>
          <w:tcPr>
            <w:tcW w:w="2551" w:type="dxa"/>
            <w:vAlign w:val="center"/>
          </w:tcPr>
          <w:p>
            <w:pPr>
              <w:jc w:val="center"/>
              <w:rPr>
                <w:rFonts w:ascii="宋体"/>
                <w:sz w:val="18"/>
                <w:szCs w:val="18"/>
              </w:rPr>
            </w:pPr>
            <w:r>
              <w:rPr>
                <w:rFonts w:ascii="宋体"/>
                <w:sz w:val="18"/>
                <w:szCs w:val="18"/>
              </w:rPr>
              <w:t>不适用</w:t>
            </w:r>
          </w:p>
        </w:tc>
        <w:tc>
          <w:tcPr>
            <w:tcW w:w="2415" w:type="dxa"/>
            <w:vAlign w:val="center"/>
          </w:tcPr>
          <w:p>
            <w:pPr>
              <w:pStyle w:val="25"/>
              <w:ind w:firstLine="0" w:firstLineChars="0"/>
              <w:jc w:val="center"/>
              <w:rPr>
                <w:rFonts w:ascii="宋体"/>
                <w:sz w:val="18"/>
                <w:szCs w:val="18"/>
              </w:rPr>
            </w:pPr>
            <w:r>
              <w:rPr>
                <w:rFonts w:ascii="宋体"/>
                <w:sz w:val="18"/>
                <w:szCs w:val="18"/>
              </w:rPr>
              <w:t>十字板剪切仪等</w:t>
            </w:r>
          </w:p>
        </w:tc>
        <w:tc>
          <w:tcPr>
            <w:tcW w:w="1418" w:type="dxa"/>
            <w:vAlign w:val="center"/>
          </w:tcPr>
          <w:p>
            <w:pPr>
              <w:pStyle w:val="25"/>
              <w:ind w:firstLine="0" w:firstLineChars="0"/>
              <w:jc w:val="center"/>
              <w:rPr>
                <w:rFonts w:ascii="宋体"/>
                <w:sz w:val="18"/>
                <w:szCs w:val="18"/>
              </w:rPr>
            </w:pPr>
            <w:r>
              <w:rPr>
                <w:rFonts w:ascii="宋体"/>
                <w:sz w:val="18"/>
                <w:szCs w:val="18"/>
              </w:rPr>
              <w:t>GB 50021</w:t>
            </w:r>
          </w:p>
        </w:tc>
      </w:tr>
    </w:tbl>
    <w:p>
      <w:pPr>
        <w:pStyle w:val="67"/>
      </w:pPr>
      <w:r>
        <w:t>土体物理化学指标应包括pH值、有机质含量、TN、TP、重金属等。工程区淤泥污染状况调查需测定的物理化学指标及分析方法应符合表10的要求。</w:t>
      </w:r>
    </w:p>
    <w:p>
      <w:pPr>
        <w:pStyle w:val="131"/>
        <w:spacing w:before="156" w:afterLines="0"/>
      </w:pPr>
      <w:r>
        <w:t>生态清淤工程区淤泥污染状况调查测定项目及方法</w:t>
      </w:r>
    </w:p>
    <w:tbl>
      <w:tblPr>
        <w:tblStyle w:val="37"/>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5"/>
        <w:gridCol w:w="1591"/>
        <w:gridCol w:w="3191"/>
        <w:gridCol w:w="39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452" w:type="pct"/>
            <w:vAlign w:val="center"/>
          </w:tcPr>
          <w:p>
            <w:pPr>
              <w:pStyle w:val="25"/>
              <w:ind w:firstLine="0" w:firstLineChars="0"/>
              <w:jc w:val="center"/>
              <w:rPr>
                <w:rFonts w:ascii="宋体"/>
                <w:sz w:val="18"/>
                <w:szCs w:val="18"/>
              </w:rPr>
            </w:pPr>
            <w:r>
              <w:rPr>
                <w:rFonts w:ascii="宋体"/>
                <w:sz w:val="18"/>
                <w:szCs w:val="18"/>
              </w:rPr>
              <w:t>类型</w:t>
            </w:r>
          </w:p>
        </w:tc>
        <w:tc>
          <w:tcPr>
            <w:tcW w:w="832" w:type="pct"/>
            <w:vAlign w:val="center"/>
          </w:tcPr>
          <w:p>
            <w:pPr>
              <w:pStyle w:val="25"/>
              <w:ind w:firstLine="0" w:firstLineChars="0"/>
              <w:jc w:val="center"/>
              <w:rPr>
                <w:rFonts w:ascii="宋体"/>
                <w:sz w:val="18"/>
                <w:szCs w:val="18"/>
              </w:rPr>
            </w:pPr>
            <w:r>
              <w:rPr>
                <w:rFonts w:ascii="宋体"/>
                <w:sz w:val="18"/>
                <w:szCs w:val="18"/>
              </w:rPr>
              <w:t>测定项目</w:t>
            </w:r>
          </w:p>
        </w:tc>
        <w:tc>
          <w:tcPr>
            <w:tcW w:w="1668" w:type="pct"/>
            <w:vAlign w:val="center"/>
          </w:tcPr>
          <w:p>
            <w:pPr>
              <w:pStyle w:val="25"/>
              <w:ind w:firstLine="0" w:firstLineChars="0"/>
              <w:jc w:val="center"/>
              <w:rPr>
                <w:rFonts w:ascii="宋体"/>
                <w:sz w:val="18"/>
                <w:szCs w:val="18"/>
              </w:rPr>
            </w:pPr>
            <w:r>
              <w:rPr>
                <w:rFonts w:ascii="宋体"/>
                <w:sz w:val="18"/>
                <w:szCs w:val="18"/>
              </w:rPr>
              <w:t>测定方法</w:t>
            </w:r>
          </w:p>
        </w:tc>
        <w:tc>
          <w:tcPr>
            <w:tcW w:w="2048" w:type="pct"/>
            <w:vAlign w:val="center"/>
          </w:tcPr>
          <w:p>
            <w:pPr>
              <w:pStyle w:val="25"/>
              <w:ind w:firstLine="0" w:firstLineChars="0"/>
              <w:jc w:val="center"/>
              <w:rPr>
                <w:rFonts w:ascii="宋体"/>
                <w:sz w:val="18"/>
                <w:szCs w:val="18"/>
              </w:rPr>
            </w:pPr>
            <w:r>
              <w:rPr>
                <w:rFonts w:ascii="宋体"/>
                <w:sz w:val="18"/>
                <w:szCs w:val="18"/>
              </w:rPr>
              <w:t>测定依据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restart"/>
            <w:vAlign w:val="center"/>
          </w:tcPr>
          <w:p>
            <w:pPr>
              <w:pStyle w:val="25"/>
              <w:ind w:firstLine="0" w:firstLineChars="0"/>
              <w:jc w:val="center"/>
              <w:rPr>
                <w:rFonts w:ascii="宋体"/>
                <w:sz w:val="18"/>
                <w:szCs w:val="18"/>
              </w:rPr>
            </w:pPr>
            <w:r>
              <w:rPr>
                <w:rFonts w:ascii="宋体"/>
                <w:sz w:val="18"/>
                <w:szCs w:val="18"/>
              </w:rPr>
              <w:t>表层水</w:t>
            </w:r>
          </w:p>
          <w:p>
            <w:pPr>
              <w:pStyle w:val="25"/>
              <w:ind w:firstLine="0" w:firstLineChars="0"/>
              <w:jc w:val="center"/>
              <w:rPr>
                <w:rFonts w:ascii="宋体"/>
                <w:sz w:val="18"/>
                <w:szCs w:val="18"/>
              </w:rPr>
            </w:pPr>
            <w:r>
              <w:rPr>
                <w:rFonts w:ascii="宋体"/>
                <w:sz w:val="18"/>
                <w:szCs w:val="18"/>
              </w:rPr>
              <w:t>上覆水</w:t>
            </w:r>
          </w:p>
          <w:p>
            <w:pPr>
              <w:pStyle w:val="25"/>
              <w:ind w:firstLine="0" w:firstLineChars="0"/>
              <w:jc w:val="center"/>
              <w:rPr>
                <w:rFonts w:ascii="宋体"/>
                <w:sz w:val="18"/>
                <w:szCs w:val="18"/>
              </w:rPr>
            </w:pPr>
            <w:r>
              <w:rPr>
                <w:rFonts w:ascii="宋体"/>
                <w:sz w:val="18"/>
                <w:szCs w:val="18"/>
              </w:rPr>
              <w:t>间隙水</w:t>
            </w:r>
          </w:p>
        </w:tc>
        <w:tc>
          <w:tcPr>
            <w:tcW w:w="832" w:type="pct"/>
            <w:vAlign w:val="center"/>
          </w:tcPr>
          <w:p>
            <w:pPr>
              <w:pStyle w:val="25"/>
              <w:ind w:firstLine="0" w:firstLineChars="0"/>
              <w:jc w:val="center"/>
              <w:rPr>
                <w:rFonts w:ascii="宋体"/>
                <w:sz w:val="18"/>
                <w:szCs w:val="18"/>
              </w:rPr>
            </w:pPr>
            <w:r>
              <w:rPr>
                <w:rFonts w:ascii="宋体"/>
                <w:sz w:val="18"/>
                <w:szCs w:val="18"/>
              </w:rPr>
              <w:t>温度</w:t>
            </w:r>
          </w:p>
        </w:tc>
        <w:tc>
          <w:tcPr>
            <w:tcW w:w="1668" w:type="pct"/>
            <w:vAlign w:val="center"/>
          </w:tcPr>
          <w:p>
            <w:pPr>
              <w:pStyle w:val="25"/>
              <w:ind w:firstLine="0" w:firstLineChars="0"/>
              <w:jc w:val="center"/>
              <w:rPr>
                <w:rFonts w:ascii="宋体"/>
                <w:sz w:val="18"/>
                <w:szCs w:val="18"/>
              </w:rPr>
            </w:pPr>
            <w:r>
              <w:rPr>
                <w:rFonts w:ascii="宋体"/>
                <w:sz w:val="18"/>
                <w:szCs w:val="18"/>
              </w:rPr>
              <w:t>温度计或颠倒温度计测定法</w:t>
            </w:r>
          </w:p>
        </w:tc>
        <w:tc>
          <w:tcPr>
            <w:tcW w:w="2048" w:type="pct"/>
            <w:vAlign w:val="center"/>
          </w:tcPr>
          <w:p>
            <w:pPr>
              <w:pStyle w:val="25"/>
              <w:ind w:firstLine="0" w:firstLineChars="0"/>
              <w:jc w:val="center"/>
              <w:rPr>
                <w:rFonts w:ascii="宋体"/>
                <w:sz w:val="18"/>
                <w:szCs w:val="18"/>
              </w:rPr>
            </w:pPr>
            <w:r>
              <w:rPr>
                <w:rFonts w:ascii="宋体"/>
                <w:sz w:val="18"/>
                <w:szCs w:val="18"/>
              </w:rPr>
              <w:t>GB 13195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浊度</w:t>
            </w:r>
          </w:p>
        </w:tc>
        <w:tc>
          <w:tcPr>
            <w:tcW w:w="1668" w:type="pct"/>
            <w:vAlign w:val="center"/>
          </w:tcPr>
          <w:p>
            <w:pPr>
              <w:pStyle w:val="25"/>
              <w:ind w:firstLine="0" w:firstLineChars="0"/>
              <w:jc w:val="center"/>
              <w:rPr>
                <w:rFonts w:ascii="宋体"/>
                <w:sz w:val="18"/>
                <w:szCs w:val="18"/>
              </w:rPr>
            </w:pPr>
            <w:r>
              <w:rPr>
                <w:rFonts w:ascii="宋体"/>
                <w:sz w:val="18"/>
                <w:szCs w:val="18"/>
              </w:rPr>
              <w:t>分光光度法或目视比浊法</w:t>
            </w:r>
          </w:p>
        </w:tc>
        <w:tc>
          <w:tcPr>
            <w:tcW w:w="2048" w:type="pct"/>
            <w:vAlign w:val="center"/>
          </w:tcPr>
          <w:p>
            <w:pPr>
              <w:pStyle w:val="25"/>
              <w:ind w:firstLine="0" w:firstLineChars="0"/>
              <w:jc w:val="center"/>
              <w:rPr>
                <w:rFonts w:ascii="宋体"/>
                <w:sz w:val="18"/>
                <w:szCs w:val="18"/>
              </w:rPr>
            </w:pPr>
            <w:r>
              <w:rPr>
                <w:rFonts w:ascii="宋体"/>
                <w:sz w:val="18"/>
                <w:szCs w:val="18"/>
              </w:rPr>
              <w:t>《水和废水监测分析方法（第四版）》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透明度</w:t>
            </w:r>
          </w:p>
        </w:tc>
        <w:tc>
          <w:tcPr>
            <w:tcW w:w="1668" w:type="pct"/>
            <w:vAlign w:val="center"/>
          </w:tcPr>
          <w:p>
            <w:pPr>
              <w:pStyle w:val="25"/>
              <w:ind w:firstLine="0" w:firstLineChars="0"/>
              <w:jc w:val="center"/>
              <w:rPr>
                <w:rFonts w:ascii="宋体"/>
                <w:sz w:val="18"/>
                <w:szCs w:val="18"/>
              </w:rPr>
            </w:pPr>
            <w:r>
              <w:rPr>
                <w:rFonts w:ascii="宋体"/>
                <w:sz w:val="18"/>
                <w:szCs w:val="18"/>
              </w:rPr>
              <w:t>塞氏盘法</w:t>
            </w:r>
          </w:p>
        </w:tc>
        <w:tc>
          <w:tcPr>
            <w:tcW w:w="2048" w:type="pct"/>
            <w:vAlign w:val="center"/>
          </w:tcPr>
          <w:p>
            <w:pPr>
              <w:pStyle w:val="25"/>
              <w:ind w:firstLine="0" w:firstLineChars="0"/>
              <w:jc w:val="center"/>
              <w:rPr>
                <w:rFonts w:ascii="宋体"/>
                <w:sz w:val="18"/>
                <w:szCs w:val="18"/>
              </w:rPr>
            </w:pPr>
            <w:r>
              <w:rPr>
                <w:rFonts w:ascii="宋体"/>
                <w:sz w:val="18"/>
                <w:szCs w:val="18"/>
              </w:rPr>
              <w:t>《水和废水监测分析方法（第四版）》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pH</w:t>
            </w:r>
          </w:p>
        </w:tc>
        <w:tc>
          <w:tcPr>
            <w:tcW w:w="1668" w:type="pct"/>
            <w:vAlign w:val="center"/>
          </w:tcPr>
          <w:p>
            <w:pPr>
              <w:pStyle w:val="25"/>
              <w:ind w:firstLine="0" w:firstLineChars="0"/>
              <w:jc w:val="center"/>
              <w:rPr>
                <w:rFonts w:ascii="宋体"/>
                <w:sz w:val="18"/>
                <w:szCs w:val="18"/>
              </w:rPr>
            </w:pPr>
            <w:r>
              <w:rPr>
                <w:rFonts w:ascii="宋体"/>
                <w:sz w:val="18"/>
                <w:szCs w:val="18"/>
              </w:rPr>
              <w:t>便携式pH计法</w:t>
            </w:r>
          </w:p>
        </w:tc>
        <w:tc>
          <w:tcPr>
            <w:tcW w:w="2048" w:type="pct"/>
            <w:vAlign w:val="center"/>
          </w:tcPr>
          <w:p>
            <w:pPr>
              <w:pStyle w:val="25"/>
              <w:ind w:firstLine="0" w:firstLineChars="0"/>
              <w:jc w:val="center"/>
              <w:rPr>
                <w:rFonts w:ascii="宋体"/>
                <w:sz w:val="18"/>
                <w:szCs w:val="18"/>
              </w:rPr>
            </w:pPr>
            <w:r>
              <w:rPr>
                <w:rFonts w:ascii="宋体"/>
                <w:sz w:val="18"/>
                <w:szCs w:val="18"/>
              </w:rPr>
              <w:t>《水和废水监测分析方法（第四版）》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氧化还原电位</w:t>
            </w:r>
          </w:p>
        </w:tc>
        <w:tc>
          <w:tcPr>
            <w:tcW w:w="1668" w:type="pct"/>
            <w:vAlign w:val="center"/>
          </w:tcPr>
          <w:p>
            <w:pPr>
              <w:pStyle w:val="25"/>
              <w:ind w:firstLine="0" w:firstLineChars="0"/>
              <w:jc w:val="center"/>
              <w:rPr>
                <w:rFonts w:ascii="宋体"/>
                <w:sz w:val="18"/>
                <w:szCs w:val="18"/>
              </w:rPr>
            </w:pPr>
            <w:r>
              <w:rPr>
                <w:rFonts w:ascii="宋体"/>
                <w:sz w:val="18"/>
                <w:szCs w:val="18"/>
              </w:rPr>
              <w:t>铂电极和pH计法</w:t>
            </w:r>
          </w:p>
        </w:tc>
        <w:tc>
          <w:tcPr>
            <w:tcW w:w="2048" w:type="pct"/>
            <w:vAlign w:val="center"/>
          </w:tcPr>
          <w:p>
            <w:pPr>
              <w:pStyle w:val="25"/>
              <w:ind w:firstLine="0" w:firstLineChars="0"/>
              <w:jc w:val="center"/>
              <w:rPr>
                <w:rFonts w:ascii="宋体"/>
                <w:sz w:val="18"/>
                <w:szCs w:val="18"/>
              </w:rPr>
            </w:pPr>
            <w:r>
              <w:rPr>
                <w:rFonts w:ascii="宋体"/>
                <w:sz w:val="18"/>
                <w:szCs w:val="18"/>
              </w:rPr>
              <w:t>《水和废水监测分析方法（第四版）》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restart"/>
            <w:vAlign w:val="center"/>
          </w:tcPr>
          <w:p>
            <w:pPr>
              <w:pStyle w:val="25"/>
              <w:ind w:firstLine="0" w:firstLineChars="0"/>
              <w:jc w:val="center"/>
              <w:rPr>
                <w:rFonts w:ascii="宋体"/>
                <w:sz w:val="18"/>
                <w:szCs w:val="18"/>
              </w:rPr>
            </w:pPr>
            <w:r>
              <w:rPr>
                <w:rFonts w:ascii="宋体"/>
                <w:sz w:val="18"/>
                <w:szCs w:val="18"/>
              </w:rPr>
              <w:t>表层水</w:t>
            </w:r>
          </w:p>
          <w:p>
            <w:pPr>
              <w:pStyle w:val="25"/>
              <w:ind w:firstLine="0" w:firstLineChars="0"/>
              <w:jc w:val="center"/>
              <w:rPr>
                <w:rFonts w:ascii="宋体"/>
                <w:sz w:val="18"/>
                <w:szCs w:val="18"/>
              </w:rPr>
            </w:pPr>
            <w:r>
              <w:rPr>
                <w:rFonts w:ascii="宋体"/>
                <w:sz w:val="18"/>
                <w:szCs w:val="18"/>
              </w:rPr>
              <w:t>上覆水</w:t>
            </w:r>
          </w:p>
          <w:p>
            <w:pPr>
              <w:pStyle w:val="25"/>
              <w:ind w:firstLine="0" w:firstLineChars="0"/>
              <w:jc w:val="center"/>
              <w:rPr>
                <w:rFonts w:ascii="宋体"/>
                <w:sz w:val="18"/>
                <w:szCs w:val="18"/>
              </w:rPr>
            </w:pPr>
            <w:r>
              <w:rPr>
                <w:rFonts w:ascii="宋体"/>
                <w:sz w:val="18"/>
                <w:szCs w:val="18"/>
              </w:rPr>
              <w:t>间隙水</w:t>
            </w:r>
          </w:p>
        </w:tc>
        <w:tc>
          <w:tcPr>
            <w:tcW w:w="832" w:type="pct"/>
            <w:vAlign w:val="center"/>
          </w:tcPr>
          <w:p>
            <w:pPr>
              <w:pStyle w:val="25"/>
              <w:ind w:firstLine="0" w:firstLineChars="0"/>
              <w:jc w:val="center"/>
              <w:rPr>
                <w:rFonts w:ascii="宋体"/>
                <w:sz w:val="18"/>
                <w:szCs w:val="18"/>
              </w:rPr>
            </w:pPr>
            <w:r>
              <w:rPr>
                <w:rFonts w:ascii="宋体"/>
                <w:sz w:val="18"/>
                <w:szCs w:val="18"/>
              </w:rPr>
              <w:t>电导率</w:t>
            </w:r>
          </w:p>
        </w:tc>
        <w:tc>
          <w:tcPr>
            <w:tcW w:w="1668" w:type="pct"/>
            <w:vAlign w:val="center"/>
          </w:tcPr>
          <w:p>
            <w:pPr>
              <w:pStyle w:val="25"/>
              <w:ind w:firstLine="0" w:firstLineChars="0"/>
              <w:jc w:val="center"/>
              <w:rPr>
                <w:rFonts w:ascii="宋体"/>
                <w:sz w:val="18"/>
                <w:szCs w:val="18"/>
              </w:rPr>
            </w:pPr>
            <w:r>
              <w:rPr>
                <w:rFonts w:ascii="宋体"/>
                <w:sz w:val="18"/>
                <w:szCs w:val="18"/>
              </w:rPr>
              <w:t>便携式和实验电导率仪法</w:t>
            </w:r>
          </w:p>
        </w:tc>
        <w:tc>
          <w:tcPr>
            <w:tcW w:w="2048" w:type="pct"/>
            <w:vAlign w:val="center"/>
          </w:tcPr>
          <w:p>
            <w:pPr>
              <w:pStyle w:val="25"/>
              <w:ind w:firstLine="0" w:firstLineChars="0"/>
              <w:jc w:val="center"/>
              <w:rPr>
                <w:rFonts w:ascii="宋体"/>
                <w:sz w:val="18"/>
                <w:szCs w:val="18"/>
              </w:rPr>
            </w:pPr>
            <w:r>
              <w:rPr>
                <w:rFonts w:ascii="宋体"/>
                <w:sz w:val="18"/>
                <w:szCs w:val="18"/>
              </w:rPr>
              <w:t>《水和废水监测分析方法（第四版）》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溶解氧</w:t>
            </w:r>
          </w:p>
        </w:tc>
        <w:tc>
          <w:tcPr>
            <w:tcW w:w="1668" w:type="pct"/>
            <w:vAlign w:val="center"/>
          </w:tcPr>
          <w:p>
            <w:pPr>
              <w:pStyle w:val="25"/>
              <w:ind w:firstLine="0" w:firstLineChars="0"/>
              <w:jc w:val="center"/>
              <w:rPr>
                <w:rFonts w:ascii="宋体"/>
                <w:sz w:val="18"/>
                <w:szCs w:val="18"/>
              </w:rPr>
            </w:pPr>
            <w:r>
              <w:rPr>
                <w:rFonts w:ascii="宋体"/>
                <w:sz w:val="18"/>
                <w:szCs w:val="18"/>
              </w:rPr>
              <w:t>便携式溶解氧仪法</w:t>
            </w:r>
          </w:p>
        </w:tc>
        <w:tc>
          <w:tcPr>
            <w:tcW w:w="2048" w:type="pct"/>
            <w:vAlign w:val="center"/>
          </w:tcPr>
          <w:p>
            <w:pPr>
              <w:pStyle w:val="25"/>
              <w:ind w:firstLine="0" w:firstLineChars="0"/>
              <w:jc w:val="center"/>
              <w:rPr>
                <w:rFonts w:ascii="宋体"/>
                <w:sz w:val="18"/>
                <w:szCs w:val="18"/>
              </w:rPr>
            </w:pPr>
            <w:r>
              <w:rPr>
                <w:rFonts w:ascii="宋体"/>
                <w:sz w:val="18"/>
                <w:szCs w:val="18"/>
              </w:rPr>
              <w:t>《水和废水监测分析方法（第四版）》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化学需氧量</w:t>
            </w:r>
          </w:p>
        </w:tc>
        <w:tc>
          <w:tcPr>
            <w:tcW w:w="1668" w:type="pct"/>
            <w:vAlign w:val="center"/>
          </w:tcPr>
          <w:p>
            <w:pPr>
              <w:pStyle w:val="25"/>
              <w:ind w:firstLine="0" w:firstLineChars="0"/>
              <w:jc w:val="center"/>
              <w:rPr>
                <w:rFonts w:ascii="宋体"/>
                <w:sz w:val="18"/>
                <w:szCs w:val="18"/>
              </w:rPr>
            </w:pPr>
            <w:r>
              <w:rPr>
                <w:rFonts w:ascii="宋体"/>
                <w:sz w:val="18"/>
                <w:szCs w:val="18"/>
              </w:rPr>
              <w:t>重铬酸盐法</w:t>
            </w:r>
          </w:p>
        </w:tc>
        <w:tc>
          <w:tcPr>
            <w:tcW w:w="2048" w:type="pct"/>
            <w:vAlign w:val="center"/>
          </w:tcPr>
          <w:p>
            <w:pPr>
              <w:pStyle w:val="25"/>
              <w:ind w:firstLine="0" w:firstLineChars="0"/>
              <w:jc w:val="center"/>
              <w:rPr>
                <w:rFonts w:ascii="宋体"/>
                <w:sz w:val="18"/>
                <w:szCs w:val="18"/>
              </w:rPr>
            </w:pPr>
            <w:r>
              <w:rPr>
                <w:rFonts w:ascii="宋体"/>
                <w:sz w:val="18"/>
                <w:szCs w:val="18"/>
              </w:rPr>
              <w:t>GB 11914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总氮</w:t>
            </w:r>
          </w:p>
        </w:tc>
        <w:tc>
          <w:tcPr>
            <w:tcW w:w="1668" w:type="pct"/>
            <w:vAlign w:val="center"/>
          </w:tcPr>
          <w:p>
            <w:pPr>
              <w:pStyle w:val="25"/>
              <w:ind w:firstLine="0" w:firstLineChars="0"/>
              <w:jc w:val="center"/>
              <w:rPr>
                <w:rFonts w:ascii="宋体"/>
                <w:sz w:val="18"/>
                <w:szCs w:val="18"/>
              </w:rPr>
            </w:pPr>
            <w:r>
              <w:rPr>
                <w:rFonts w:ascii="宋体"/>
                <w:sz w:val="18"/>
                <w:szCs w:val="18"/>
              </w:rPr>
              <w:t>碱性过硫酸钾消解紫外分光</w:t>
            </w:r>
          </w:p>
          <w:p>
            <w:pPr>
              <w:pStyle w:val="25"/>
              <w:ind w:firstLine="0" w:firstLineChars="0"/>
              <w:jc w:val="center"/>
              <w:rPr>
                <w:rFonts w:ascii="宋体"/>
                <w:sz w:val="18"/>
                <w:szCs w:val="18"/>
              </w:rPr>
            </w:pPr>
            <w:r>
              <w:rPr>
                <w:rFonts w:ascii="宋体"/>
                <w:sz w:val="18"/>
                <w:szCs w:val="18"/>
              </w:rPr>
              <w:t>光度法</w:t>
            </w:r>
          </w:p>
        </w:tc>
        <w:tc>
          <w:tcPr>
            <w:tcW w:w="2048" w:type="pct"/>
            <w:vAlign w:val="center"/>
          </w:tcPr>
          <w:p>
            <w:pPr>
              <w:pStyle w:val="25"/>
              <w:ind w:firstLine="0" w:firstLineChars="0"/>
              <w:jc w:val="center"/>
              <w:rPr>
                <w:rFonts w:ascii="宋体"/>
                <w:sz w:val="18"/>
                <w:szCs w:val="18"/>
              </w:rPr>
            </w:pPr>
            <w:r>
              <w:rPr>
                <w:rFonts w:ascii="宋体"/>
                <w:sz w:val="18"/>
                <w:szCs w:val="18"/>
              </w:rPr>
              <w:t>HJ 636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总磷</w:t>
            </w:r>
          </w:p>
        </w:tc>
        <w:tc>
          <w:tcPr>
            <w:tcW w:w="1668" w:type="pct"/>
            <w:vAlign w:val="center"/>
          </w:tcPr>
          <w:p>
            <w:pPr>
              <w:pStyle w:val="25"/>
              <w:ind w:firstLine="0" w:firstLineChars="0"/>
              <w:jc w:val="center"/>
              <w:rPr>
                <w:rFonts w:ascii="宋体"/>
                <w:sz w:val="18"/>
                <w:szCs w:val="18"/>
              </w:rPr>
            </w:pPr>
            <w:r>
              <w:rPr>
                <w:rFonts w:ascii="宋体"/>
                <w:sz w:val="18"/>
                <w:szCs w:val="18"/>
              </w:rPr>
              <w:t>钼酸铵分光光度法</w:t>
            </w:r>
          </w:p>
        </w:tc>
        <w:tc>
          <w:tcPr>
            <w:tcW w:w="2048" w:type="pct"/>
            <w:vAlign w:val="center"/>
          </w:tcPr>
          <w:p>
            <w:pPr>
              <w:pStyle w:val="25"/>
              <w:ind w:firstLine="0" w:firstLineChars="0"/>
              <w:jc w:val="center"/>
              <w:rPr>
                <w:rFonts w:ascii="宋体"/>
                <w:sz w:val="18"/>
                <w:szCs w:val="18"/>
              </w:rPr>
            </w:pPr>
            <w:r>
              <w:rPr>
                <w:rFonts w:ascii="宋体"/>
                <w:sz w:val="18"/>
                <w:szCs w:val="18"/>
              </w:rPr>
              <w:t>GB 11893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氨氮</w:t>
            </w:r>
          </w:p>
        </w:tc>
        <w:tc>
          <w:tcPr>
            <w:tcW w:w="1668" w:type="pct"/>
            <w:vAlign w:val="center"/>
          </w:tcPr>
          <w:p>
            <w:pPr>
              <w:pStyle w:val="25"/>
              <w:ind w:firstLine="0" w:firstLineChars="0"/>
              <w:jc w:val="center"/>
              <w:rPr>
                <w:rFonts w:ascii="宋体"/>
                <w:sz w:val="18"/>
                <w:szCs w:val="18"/>
              </w:rPr>
            </w:pPr>
            <w:r>
              <w:rPr>
                <w:rFonts w:ascii="宋体"/>
                <w:sz w:val="18"/>
                <w:szCs w:val="18"/>
              </w:rPr>
              <w:t>纳氏试剂分光光度法</w:t>
            </w:r>
          </w:p>
        </w:tc>
        <w:tc>
          <w:tcPr>
            <w:tcW w:w="2048" w:type="pct"/>
            <w:vAlign w:val="center"/>
          </w:tcPr>
          <w:p>
            <w:pPr>
              <w:pStyle w:val="25"/>
              <w:ind w:firstLine="0" w:firstLineChars="0"/>
              <w:jc w:val="center"/>
              <w:rPr>
                <w:rFonts w:ascii="宋体"/>
                <w:sz w:val="18"/>
                <w:szCs w:val="18"/>
              </w:rPr>
            </w:pPr>
            <w:r>
              <w:rPr>
                <w:rFonts w:ascii="宋体"/>
                <w:sz w:val="18"/>
                <w:szCs w:val="18"/>
              </w:rPr>
              <w:t>HJ 535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总有机碳</w:t>
            </w:r>
          </w:p>
        </w:tc>
        <w:tc>
          <w:tcPr>
            <w:tcW w:w="1668" w:type="pct"/>
            <w:vAlign w:val="center"/>
          </w:tcPr>
          <w:p>
            <w:pPr>
              <w:pStyle w:val="25"/>
              <w:ind w:firstLine="0" w:firstLineChars="0"/>
              <w:jc w:val="center"/>
              <w:rPr>
                <w:rFonts w:ascii="宋体"/>
                <w:sz w:val="18"/>
                <w:szCs w:val="18"/>
              </w:rPr>
            </w:pPr>
            <w:r>
              <w:rPr>
                <w:rFonts w:ascii="宋体"/>
                <w:sz w:val="18"/>
                <w:szCs w:val="18"/>
              </w:rPr>
              <w:t>非分散红外吸收法</w:t>
            </w:r>
          </w:p>
        </w:tc>
        <w:tc>
          <w:tcPr>
            <w:tcW w:w="2048" w:type="pct"/>
            <w:vAlign w:val="center"/>
          </w:tcPr>
          <w:p>
            <w:pPr>
              <w:pStyle w:val="25"/>
              <w:ind w:firstLine="0" w:firstLineChars="0"/>
              <w:jc w:val="center"/>
              <w:rPr>
                <w:rFonts w:ascii="宋体"/>
                <w:sz w:val="18"/>
                <w:szCs w:val="18"/>
              </w:rPr>
            </w:pPr>
            <w:r>
              <w:rPr>
                <w:rFonts w:ascii="宋体"/>
                <w:sz w:val="18"/>
                <w:szCs w:val="18"/>
              </w:rPr>
              <w:t>GB 13193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restart"/>
            <w:vAlign w:val="center"/>
          </w:tcPr>
          <w:p>
            <w:pPr>
              <w:pStyle w:val="25"/>
              <w:ind w:firstLine="0" w:firstLineChars="0"/>
              <w:jc w:val="center"/>
              <w:rPr>
                <w:rFonts w:ascii="宋体"/>
                <w:sz w:val="18"/>
                <w:szCs w:val="18"/>
              </w:rPr>
            </w:pPr>
            <w:r>
              <w:rPr>
                <w:rFonts w:ascii="宋体"/>
                <w:sz w:val="18"/>
                <w:szCs w:val="18"/>
              </w:rPr>
              <w:t>沉积物</w:t>
            </w:r>
          </w:p>
        </w:tc>
        <w:tc>
          <w:tcPr>
            <w:tcW w:w="832" w:type="pct"/>
            <w:vAlign w:val="center"/>
          </w:tcPr>
          <w:p>
            <w:pPr>
              <w:pStyle w:val="25"/>
              <w:ind w:firstLine="0" w:firstLineChars="0"/>
              <w:jc w:val="center"/>
              <w:rPr>
                <w:rFonts w:ascii="宋体"/>
                <w:sz w:val="18"/>
                <w:szCs w:val="18"/>
              </w:rPr>
            </w:pPr>
            <w:r>
              <w:rPr>
                <w:rFonts w:ascii="宋体"/>
                <w:sz w:val="18"/>
                <w:szCs w:val="18"/>
              </w:rPr>
              <w:t>含水率</w:t>
            </w:r>
          </w:p>
        </w:tc>
        <w:tc>
          <w:tcPr>
            <w:tcW w:w="1668" w:type="pct"/>
            <w:vAlign w:val="center"/>
          </w:tcPr>
          <w:p>
            <w:pPr>
              <w:pStyle w:val="25"/>
              <w:ind w:firstLine="0" w:firstLineChars="0"/>
              <w:jc w:val="center"/>
              <w:rPr>
                <w:rFonts w:ascii="宋体"/>
                <w:sz w:val="18"/>
                <w:szCs w:val="18"/>
              </w:rPr>
            </w:pPr>
            <w:r>
              <w:rPr>
                <w:rFonts w:ascii="宋体"/>
                <w:sz w:val="18"/>
                <w:szCs w:val="18"/>
              </w:rPr>
              <w:t>烘干法</w:t>
            </w:r>
          </w:p>
        </w:tc>
        <w:tc>
          <w:tcPr>
            <w:tcW w:w="2048" w:type="pct"/>
            <w:vAlign w:val="center"/>
          </w:tcPr>
          <w:p>
            <w:pPr>
              <w:pStyle w:val="25"/>
              <w:ind w:firstLine="0" w:firstLineChars="0"/>
              <w:jc w:val="center"/>
              <w:rPr>
                <w:rFonts w:ascii="宋体"/>
                <w:sz w:val="18"/>
                <w:szCs w:val="18"/>
              </w:rPr>
            </w:pPr>
            <w:r>
              <w:rPr>
                <w:rFonts w:ascii="宋体"/>
                <w:sz w:val="18"/>
                <w:szCs w:val="18"/>
              </w:rPr>
              <w:t>《沉积物质量调查评估手册》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粒径</w:t>
            </w:r>
          </w:p>
        </w:tc>
        <w:tc>
          <w:tcPr>
            <w:tcW w:w="1668" w:type="pct"/>
            <w:vAlign w:val="center"/>
          </w:tcPr>
          <w:p>
            <w:pPr>
              <w:pStyle w:val="25"/>
              <w:ind w:firstLine="0" w:firstLineChars="0"/>
              <w:jc w:val="center"/>
              <w:rPr>
                <w:rFonts w:ascii="宋体"/>
                <w:sz w:val="18"/>
                <w:szCs w:val="18"/>
              </w:rPr>
            </w:pPr>
            <w:r>
              <w:rPr>
                <w:rFonts w:ascii="宋体"/>
                <w:sz w:val="18"/>
                <w:szCs w:val="18"/>
              </w:rPr>
              <w:t>筛分析法与消光法</w:t>
            </w:r>
          </w:p>
        </w:tc>
        <w:tc>
          <w:tcPr>
            <w:tcW w:w="2048" w:type="pct"/>
            <w:vAlign w:val="center"/>
          </w:tcPr>
          <w:p>
            <w:pPr>
              <w:pStyle w:val="25"/>
              <w:ind w:firstLine="0" w:firstLineChars="0"/>
              <w:jc w:val="center"/>
              <w:rPr>
                <w:rFonts w:ascii="宋体"/>
                <w:sz w:val="18"/>
                <w:szCs w:val="18"/>
              </w:rPr>
            </w:pPr>
            <w:r>
              <w:rPr>
                <w:rFonts w:ascii="宋体"/>
                <w:sz w:val="18"/>
                <w:szCs w:val="18"/>
              </w:rPr>
              <w:t>SL 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有机质</w:t>
            </w:r>
          </w:p>
        </w:tc>
        <w:tc>
          <w:tcPr>
            <w:tcW w:w="1668" w:type="pct"/>
            <w:vAlign w:val="center"/>
          </w:tcPr>
          <w:p>
            <w:pPr>
              <w:pStyle w:val="25"/>
              <w:ind w:firstLine="0" w:firstLineChars="0"/>
              <w:jc w:val="center"/>
              <w:rPr>
                <w:rFonts w:ascii="宋体"/>
                <w:sz w:val="18"/>
                <w:szCs w:val="18"/>
              </w:rPr>
            </w:pPr>
            <w:r>
              <w:rPr>
                <w:rFonts w:ascii="宋体"/>
                <w:sz w:val="18"/>
                <w:szCs w:val="18"/>
              </w:rPr>
              <w:t>油浴外加热—重铬酸钾容量法</w:t>
            </w:r>
          </w:p>
        </w:tc>
        <w:tc>
          <w:tcPr>
            <w:tcW w:w="2048" w:type="pct"/>
            <w:vAlign w:val="center"/>
          </w:tcPr>
          <w:p>
            <w:pPr>
              <w:pStyle w:val="25"/>
              <w:ind w:firstLine="0" w:firstLineChars="0"/>
              <w:jc w:val="center"/>
              <w:rPr>
                <w:rFonts w:ascii="宋体"/>
                <w:sz w:val="18"/>
                <w:szCs w:val="18"/>
              </w:rPr>
            </w:pPr>
            <w:r>
              <w:rPr>
                <w:rFonts w:ascii="宋体"/>
                <w:sz w:val="18"/>
                <w:szCs w:val="18"/>
              </w:rPr>
              <w:t>《土壤元素的近代分析方法》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总磷</w:t>
            </w:r>
          </w:p>
        </w:tc>
        <w:tc>
          <w:tcPr>
            <w:tcW w:w="1668" w:type="pct"/>
            <w:vAlign w:val="center"/>
          </w:tcPr>
          <w:p>
            <w:pPr>
              <w:pStyle w:val="25"/>
              <w:ind w:firstLine="0" w:firstLineChars="0"/>
              <w:jc w:val="center"/>
              <w:rPr>
                <w:rFonts w:ascii="宋体"/>
                <w:sz w:val="18"/>
                <w:szCs w:val="18"/>
              </w:rPr>
            </w:pPr>
            <w:r>
              <w:rPr>
                <w:rFonts w:ascii="宋体"/>
                <w:sz w:val="18"/>
                <w:szCs w:val="18"/>
              </w:rPr>
              <w:t>碱熔—钼锑抗分光光度法</w:t>
            </w:r>
          </w:p>
        </w:tc>
        <w:tc>
          <w:tcPr>
            <w:tcW w:w="2048" w:type="pct"/>
            <w:vAlign w:val="center"/>
          </w:tcPr>
          <w:p>
            <w:pPr>
              <w:pStyle w:val="25"/>
              <w:ind w:firstLine="0" w:firstLineChars="0"/>
              <w:jc w:val="center"/>
              <w:rPr>
                <w:rFonts w:ascii="宋体"/>
                <w:sz w:val="18"/>
                <w:szCs w:val="18"/>
              </w:rPr>
            </w:pPr>
            <w:r>
              <w:rPr>
                <w:rFonts w:ascii="宋体"/>
                <w:sz w:val="18"/>
                <w:szCs w:val="18"/>
              </w:rPr>
              <w:t>HJ 632-2011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总氮</w:t>
            </w:r>
          </w:p>
        </w:tc>
        <w:tc>
          <w:tcPr>
            <w:tcW w:w="1668" w:type="pct"/>
            <w:vAlign w:val="center"/>
          </w:tcPr>
          <w:p>
            <w:pPr>
              <w:pStyle w:val="25"/>
              <w:ind w:firstLine="0" w:firstLineChars="0"/>
              <w:jc w:val="center"/>
              <w:rPr>
                <w:rFonts w:ascii="宋体"/>
                <w:sz w:val="18"/>
                <w:szCs w:val="18"/>
              </w:rPr>
            </w:pPr>
            <w:r>
              <w:rPr>
                <w:rFonts w:ascii="宋体"/>
                <w:sz w:val="18"/>
                <w:szCs w:val="18"/>
              </w:rPr>
              <w:t>半微量开氏法</w:t>
            </w:r>
          </w:p>
        </w:tc>
        <w:tc>
          <w:tcPr>
            <w:tcW w:w="2048" w:type="pct"/>
            <w:vAlign w:val="center"/>
          </w:tcPr>
          <w:p>
            <w:pPr>
              <w:pStyle w:val="25"/>
              <w:ind w:firstLine="0" w:firstLineChars="0"/>
              <w:jc w:val="center"/>
              <w:rPr>
                <w:rFonts w:ascii="宋体"/>
                <w:sz w:val="18"/>
                <w:szCs w:val="18"/>
              </w:rPr>
            </w:pPr>
            <w:r>
              <w:rPr>
                <w:rFonts w:ascii="宋体"/>
                <w:sz w:val="18"/>
                <w:szCs w:val="18"/>
              </w:rPr>
              <w:t>GB 7173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氨氮</w:t>
            </w:r>
          </w:p>
        </w:tc>
        <w:tc>
          <w:tcPr>
            <w:tcW w:w="1668" w:type="pct"/>
            <w:vAlign w:val="center"/>
          </w:tcPr>
          <w:p>
            <w:pPr>
              <w:pStyle w:val="25"/>
              <w:ind w:firstLine="0" w:firstLineChars="0"/>
              <w:jc w:val="center"/>
              <w:rPr>
                <w:rFonts w:ascii="宋体"/>
                <w:sz w:val="18"/>
                <w:szCs w:val="18"/>
              </w:rPr>
            </w:pPr>
            <w:r>
              <w:rPr>
                <w:rFonts w:ascii="宋体"/>
                <w:sz w:val="18"/>
                <w:szCs w:val="18"/>
              </w:rPr>
              <w:t>KCI 提取—纳氏试剂分光</w:t>
            </w:r>
          </w:p>
          <w:p>
            <w:pPr>
              <w:pStyle w:val="25"/>
              <w:ind w:firstLine="0" w:firstLineChars="0"/>
              <w:jc w:val="center"/>
              <w:rPr>
                <w:rFonts w:ascii="宋体"/>
                <w:sz w:val="18"/>
                <w:szCs w:val="18"/>
              </w:rPr>
            </w:pPr>
            <w:r>
              <w:rPr>
                <w:rFonts w:ascii="宋体"/>
                <w:sz w:val="18"/>
                <w:szCs w:val="18"/>
              </w:rPr>
              <w:t>光度法</w:t>
            </w:r>
          </w:p>
        </w:tc>
        <w:tc>
          <w:tcPr>
            <w:tcW w:w="2048" w:type="pct"/>
            <w:vAlign w:val="center"/>
          </w:tcPr>
          <w:p>
            <w:pPr>
              <w:pStyle w:val="25"/>
              <w:ind w:firstLine="0" w:firstLineChars="0"/>
              <w:jc w:val="center"/>
              <w:rPr>
                <w:rFonts w:ascii="宋体"/>
                <w:sz w:val="18"/>
                <w:szCs w:val="18"/>
              </w:rPr>
            </w:pPr>
            <w:r>
              <w:rPr>
                <w:rFonts w:ascii="宋体"/>
                <w:sz w:val="18"/>
                <w:szCs w:val="18"/>
              </w:rPr>
              <w:t>《沉积物质量调查评估手册》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汞</w:t>
            </w:r>
          </w:p>
        </w:tc>
        <w:tc>
          <w:tcPr>
            <w:tcW w:w="1668" w:type="pct"/>
            <w:vAlign w:val="center"/>
          </w:tcPr>
          <w:p>
            <w:pPr>
              <w:pStyle w:val="25"/>
              <w:ind w:firstLine="0" w:firstLineChars="0"/>
              <w:jc w:val="center"/>
              <w:rPr>
                <w:rFonts w:ascii="宋体"/>
                <w:sz w:val="18"/>
                <w:szCs w:val="18"/>
              </w:rPr>
            </w:pPr>
            <w:r>
              <w:rPr>
                <w:rFonts w:ascii="宋体"/>
                <w:sz w:val="18"/>
                <w:szCs w:val="18"/>
              </w:rPr>
              <w:t>原子荧光法</w:t>
            </w:r>
          </w:p>
        </w:tc>
        <w:tc>
          <w:tcPr>
            <w:tcW w:w="2048" w:type="pct"/>
            <w:vAlign w:val="center"/>
          </w:tcPr>
          <w:p>
            <w:pPr>
              <w:pStyle w:val="25"/>
              <w:ind w:firstLine="0" w:firstLineChars="0"/>
              <w:jc w:val="center"/>
              <w:rPr>
                <w:rFonts w:ascii="宋体"/>
                <w:sz w:val="18"/>
                <w:szCs w:val="18"/>
              </w:rPr>
            </w:pPr>
            <w:r>
              <w:rPr>
                <w:rFonts w:ascii="宋体"/>
                <w:sz w:val="18"/>
                <w:szCs w:val="18"/>
              </w:rPr>
              <w:t>GB/T 22105.1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砷</w:t>
            </w:r>
          </w:p>
        </w:tc>
        <w:tc>
          <w:tcPr>
            <w:tcW w:w="1668" w:type="pct"/>
            <w:vAlign w:val="center"/>
          </w:tcPr>
          <w:p>
            <w:pPr>
              <w:pStyle w:val="25"/>
              <w:ind w:firstLine="0" w:firstLineChars="0"/>
              <w:jc w:val="center"/>
              <w:rPr>
                <w:rFonts w:ascii="宋体"/>
                <w:sz w:val="18"/>
                <w:szCs w:val="18"/>
              </w:rPr>
            </w:pPr>
            <w:r>
              <w:rPr>
                <w:rFonts w:ascii="宋体"/>
                <w:sz w:val="18"/>
                <w:szCs w:val="18"/>
              </w:rPr>
              <w:t>原子荧光法</w:t>
            </w:r>
          </w:p>
        </w:tc>
        <w:tc>
          <w:tcPr>
            <w:tcW w:w="2048" w:type="pct"/>
            <w:vAlign w:val="center"/>
          </w:tcPr>
          <w:p>
            <w:pPr>
              <w:pStyle w:val="25"/>
              <w:ind w:firstLine="0" w:firstLineChars="0"/>
              <w:jc w:val="center"/>
              <w:rPr>
                <w:rFonts w:ascii="宋体"/>
                <w:sz w:val="18"/>
                <w:szCs w:val="18"/>
              </w:rPr>
            </w:pPr>
            <w:r>
              <w:rPr>
                <w:rFonts w:ascii="宋体"/>
                <w:sz w:val="18"/>
                <w:szCs w:val="18"/>
              </w:rPr>
              <w:t>GB/T 22105.2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铅</w:t>
            </w:r>
          </w:p>
        </w:tc>
        <w:tc>
          <w:tcPr>
            <w:tcW w:w="1668" w:type="pct"/>
            <w:vAlign w:val="center"/>
          </w:tcPr>
          <w:p>
            <w:pPr>
              <w:pStyle w:val="25"/>
              <w:ind w:firstLine="0" w:firstLineChars="0"/>
              <w:jc w:val="center"/>
              <w:rPr>
                <w:rFonts w:ascii="宋体"/>
                <w:sz w:val="18"/>
                <w:szCs w:val="18"/>
              </w:rPr>
            </w:pPr>
            <w:r>
              <w:rPr>
                <w:rFonts w:ascii="宋体"/>
                <w:sz w:val="18"/>
                <w:szCs w:val="18"/>
              </w:rPr>
              <w:t>原子荧光法</w:t>
            </w:r>
          </w:p>
        </w:tc>
        <w:tc>
          <w:tcPr>
            <w:tcW w:w="2048" w:type="pct"/>
            <w:vAlign w:val="center"/>
          </w:tcPr>
          <w:p>
            <w:pPr>
              <w:pStyle w:val="25"/>
              <w:ind w:firstLine="0" w:firstLineChars="0"/>
              <w:jc w:val="center"/>
              <w:rPr>
                <w:rFonts w:ascii="宋体"/>
                <w:sz w:val="18"/>
                <w:szCs w:val="18"/>
              </w:rPr>
            </w:pPr>
            <w:r>
              <w:rPr>
                <w:rFonts w:ascii="宋体"/>
                <w:sz w:val="18"/>
                <w:szCs w:val="18"/>
              </w:rPr>
              <w:t>GB/T 22105.3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铜</w:t>
            </w:r>
          </w:p>
        </w:tc>
        <w:tc>
          <w:tcPr>
            <w:tcW w:w="1668" w:type="pct"/>
            <w:vAlign w:val="center"/>
          </w:tcPr>
          <w:p>
            <w:pPr>
              <w:pStyle w:val="25"/>
              <w:ind w:firstLine="0" w:firstLineChars="0"/>
              <w:jc w:val="center"/>
              <w:rPr>
                <w:rFonts w:ascii="宋体"/>
                <w:sz w:val="18"/>
                <w:szCs w:val="18"/>
              </w:rPr>
            </w:pPr>
            <w:r>
              <w:rPr>
                <w:rFonts w:ascii="宋体"/>
                <w:sz w:val="18"/>
                <w:szCs w:val="18"/>
              </w:rPr>
              <w:t>火焰原子吸收分光光度法</w:t>
            </w:r>
          </w:p>
        </w:tc>
        <w:tc>
          <w:tcPr>
            <w:tcW w:w="2048" w:type="pct"/>
            <w:vAlign w:val="center"/>
          </w:tcPr>
          <w:p>
            <w:pPr>
              <w:pStyle w:val="25"/>
              <w:ind w:firstLine="0" w:firstLineChars="0"/>
              <w:jc w:val="center"/>
              <w:rPr>
                <w:rFonts w:ascii="宋体"/>
                <w:sz w:val="18"/>
                <w:szCs w:val="18"/>
              </w:rPr>
            </w:pPr>
            <w:r>
              <w:rPr>
                <w:rFonts w:ascii="宋体"/>
                <w:sz w:val="18"/>
                <w:szCs w:val="18"/>
              </w:rPr>
              <w:t>GB/T 17138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锌</w:t>
            </w:r>
          </w:p>
        </w:tc>
        <w:tc>
          <w:tcPr>
            <w:tcW w:w="1668" w:type="pct"/>
            <w:vAlign w:val="center"/>
          </w:tcPr>
          <w:p>
            <w:pPr>
              <w:pStyle w:val="25"/>
              <w:ind w:firstLine="0" w:firstLineChars="0"/>
              <w:jc w:val="center"/>
              <w:rPr>
                <w:rFonts w:ascii="宋体"/>
                <w:sz w:val="18"/>
                <w:szCs w:val="18"/>
              </w:rPr>
            </w:pPr>
            <w:r>
              <w:rPr>
                <w:rFonts w:ascii="宋体"/>
                <w:sz w:val="18"/>
                <w:szCs w:val="18"/>
              </w:rPr>
              <w:t>火焰原子吸收分光光度法</w:t>
            </w:r>
          </w:p>
        </w:tc>
        <w:tc>
          <w:tcPr>
            <w:tcW w:w="2048" w:type="pct"/>
            <w:vAlign w:val="center"/>
          </w:tcPr>
          <w:p>
            <w:pPr>
              <w:pStyle w:val="25"/>
              <w:ind w:firstLine="0" w:firstLineChars="0"/>
              <w:jc w:val="center"/>
              <w:rPr>
                <w:rFonts w:ascii="宋体"/>
                <w:sz w:val="18"/>
                <w:szCs w:val="18"/>
              </w:rPr>
            </w:pPr>
            <w:r>
              <w:rPr>
                <w:rFonts w:ascii="宋体"/>
                <w:sz w:val="18"/>
                <w:szCs w:val="18"/>
              </w:rPr>
              <w:t>GB/T 17138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镍</w:t>
            </w:r>
          </w:p>
        </w:tc>
        <w:tc>
          <w:tcPr>
            <w:tcW w:w="1668" w:type="pct"/>
            <w:vAlign w:val="center"/>
          </w:tcPr>
          <w:p>
            <w:pPr>
              <w:pStyle w:val="25"/>
              <w:ind w:firstLine="0" w:firstLineChars="0"/>
              <w:jc w:val="center"/>
              <w:rPr>
                <w:rFonts w:ascii="宋体"/>
                <w:sz w:val="18"/>
                <w:szCs w:val="18"/>
              </w:rPr>
            </w:pPr>
            <w:r>
              <w:rPr>
                <w:rFonts w:ascii="宋体"/>
                <w:sz w:val="18"/>
                <w:szCs w:val="18"/>
              </w:rPr>
              <w:t>火焰原子吸收分光光度法</w:t>
            </w:r>
          </w:p>
        </w:tc>
        <w:tc>
          <w:tcPr>
            <w:tcW w:w="2048" w:type="pct"/>
            <w:vAlign w:val="center"/>
          </w:tcPr>
          <w:p>
            <w:pPr>
              <w:pStyle w:val="25"/>
              <w:ind w:firstLine="0" w:firstLineChars="0"/>
              <w:jc w:val="center"/>
              <w:rPr>
                <w:rFonts w:ascii="宋体"/>
                <w:sz w:val="18"/>
                <w:szCs w:val="18"/>
              </w:rPr>
            </w:pPr>
            <w:r>
              <w:rPr>
                <w:rFonts w:ascii="宋体"/>
                <w:sz w:val="18"/>
                <w:szCs w:val="18"/>
              </w:rPr>
              <w:t>GB/T 17139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铬</w:t>
            </w:r>
          </w:p>
        </w:tc>
        <w:tc>
          <w:tcPr>
            <w:tcW w:w="1668" w:type="pct"/>
            <w:vAlign w:val="center"/>
          </w:tcPr>
          <w:p>
            <w:pPr>
              <w:pStyle w:val="25"/>
              <w:ind w:firstLine="0" w:firstLineChars="0"/>
              <w:jc w:val="center"/>
              <w:rPr>
                <w:rFonts w:ascii="宋体"/>
                <w:sz w:val="18"/>
                <w:szCs w:val="18"/>
              </w:rPr>
            </w:pPr>
            <w:r>
              <w:rPr>
                <w:rFonts w:ascii="宋体"/>
                <w:sz w:val="18"/>
                <w:szCs w:val="18"/>
              </w:rPr>
              <w:t>火焰原子吸收分光光度法</w:t>
            </w:r>
          </w:p>
        </w:tc>
        <w:tc>
          <w:tcPr>
            <w:tcW w:w="2048" w:type="pct"/>
            <w:vAlign w:val="center"/>
          </w:tcPr>
          <w:p>
            <w:pPr>
              <w:pStyle w:val="25"/>
              <w:ind w:firstLine="0" w:firstLineChars="0"/>
              <w:jc w:val="center"/>
              <w:rPr>
                <w:rFonts w:ascii="宋体"/>
                <w:sz w:val="18"/>
                <w:szCs w:val="18"/>
              </w:rPr>
            </w:pPr>
            <w:r>
              <w:rPr>
                <w:rFonts w:ascii="宋体"/>
                <w:sz w:val="18"/>
                <w:szCs w:val="18"/>
              </w:rPr>
              <w:t>GB/T 17137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镉</w:t>
            </w:r>
          </w:p>
        </w:tc>
        <w:tc>
          <w:tcPr>
            <w:tcW w:w="1668" w:type="pct"/>
            <w:vAlign w:val="center"/>
          </w:tcPr>
          <w:p>
            <w:pPr>
              <w:pStyle w:val="25"/>
              <w:ind w:firstLine="0" w:firstLineChars="0"/>
              <w:jc w:val="center"/>
              <w:rPr>
                <w:rFonts w:ascii="宋体"/>
                <w:sz w:val="18"/>
                <w:szCs w:val="18"/>
              </w:rPr>
            </w:pPr>
            <w:r>
              <w:rPr>
                <w:rFonts w:ascii="宋体"/>
                <w:sz w:val="18"/>
                <w:szCs w:val="18"/>
              </w:rPr>
              <w:t>石墨炉原子吸收分光光度法</w:t>
            </w:r>
          </w:p>
        </w:tc>
        <w:tc>
          <w:tcPr>
            <w:tcW w:w="2048" w:type="pct"/>
            <w:vAlign w:val="center"/>
          </w:tcPr>
          <w:p>
            <w:pPr>
              <w:pStyle w:val="25"/>
              <w:ind w:firstLine="0" w:firstLineChars="0"/>
              <w:jc w:val="center"/>
              <w:rPr>
                <w:rFonts w:ascii="宋体"/>
                <w:sz w:val="18"/>
                <w:szCs w:val="18"/>
              </w:rPr>
            </w:pPr>
            <w:r>
              <w:rPr>
                <w:rFonts w:ascii="宋体"/>
                <w:sz w:val="18"/>
                <w:szCs w:val="18"/>
              </w:rPr>
              <w:t>GB/T 17141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有机磷农药</w:t>
            </w:r>
          </w:p>
        </w:tc>
        <w:tc>
          <w:tcPr>
            <w:tcW w:w="1668" w:type="pct"/>
            <w:vAlign w:val="center"/>
          </w:tcPr>
          <w:p>
            <w:pPr>
              <w:pStyle w:val="25"/>
              <w:ind w:firstLine="0" w:firstLineChars="0"/>
              <w:jc w:val="center"/>
              <w:rPr>
                <w:rFonts w:ascii="宋体"/>
                <w:sz w:val="18"/>
                <w:szCs w:val="18"/>
              </w:rPr>
            </w:pPr>
            <w:r>
              <w:rPr>
                <w:rFonts w:ascii="宋体"/>
                <w:sz w:val="18"/>
                <w:szCs w:val="18"/>
              </w:rPr>
              <w:t>气相色谱法</w:t>
            </w:r>
          </w:p>
        </w:tc>
        <w:tc>
          <w:tcPr>
            <w:tcW w:w="2048" w:type="pct"/>
            <w:vAlign w:val="center"/>
          </w:tcPr>
          <w:p>
            <w:pPr>
              <w:pStyle w:val="25"/>
              <w:ind w:firstLine="0" w:firstLineChars="0"/>
              <w:jc w:val="center"/>
              <w:rPr>
                <w:rFonts w:ascii="宋体"/>
                <w:sz w:val="18"/>
                <w:szCs w:val="18"/>
              </w:rPr>
            </w:pPr>
            <w:r>
              <w:rPr>
                <w:rFonts w:ascii="宋体"/>
                <w:sz w:val="18"/>
                <w:szCs w:val="18"/>
              </w:rPr>
              <w:t>GB/T 14552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有机氯农药</w:t>
            </w:r>
          </w:p>
        </w:tc>
        <w:tc>
          <w:tcPr>
            <w:tcW w:w="1668" w:type="pct"/>
            <w:vAlign w:val="center"/>
          </w:tcPr>
          <w:p>
            <w:pPr>
              <w:pStyle w:val="25"/>
              <w:ind w:firstLine="0" w:firstLineChars="0"/>
              <w:jc w:val="center"/>
              <w:rPr>
                <w:rFonts w:ascii="宋体"/>
                <w:sz w:val="18"/>
                <w:szCs w:val="18"/>
              </w:rPr>
            </w:pPr>
            <w:r>
              <w:rPr>
                <w:rFonts w:ascii="宋体"/>
                <w:sz w:val="18"/>
                <w:szCs w:val="18"/>
              </w:rPr>
              <w:t>气相色谱法</w:t>
            </w:r>
          </w:p>
        </w:tc>
        <w:tc>
          <w:tcPr>
            <w:tcW w:w="2048" w:type="pct"/>
            <w:vAlign w:val="center"/>
          </w:tcPr>
          <w:p>
            <w:pPr>
              <w:pStyle w:val="25"/>
              <w:ind w:firstLine="0" w:firstLineChars="0"/>
              <w:jc w:val="center"/>
              <w:rPr>
                <w:rFonts w:ascii="宋体"/>
                <w:sz w:val="18"/>
                <w:szCs w:val="18"/>
              </w:rPr>
            </w:pPr>
            <w:r>
              <w:rPr>
                <w:rFonts w:ascii="宋体"/>
                <w:sz w:val="18"/>
                <w:szCs w:val="18"/>
              </w:rPr>
              <w:t>GB/T 14550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多环芳烃</w:t>
            </w:r>
          </w:p>
        </w:tc>
        <w:tc>
          <w:tcPr>
            <w:tcW w:w="1668" w:type="pct"/>
            <w:vAlign w:val="center"/>
          </w:tcPr>
          <w:p>
            <w:pPr>
              <w:pStyle w:val="25"/>
              <w:ind w:firstLine="0" w:firstLineChars="0"/>
              <w:jc w:val="center"/>
              <w:rPr>
                <w:rFonts w:ascii="宋体"/>
                <w:sz w:val="18"/>
                <w:szCs w:val="18"/>
              </w:rPr>
            </w:pPr>
            <w:r>
              <w:rPr>
                <w:rFonts w:ascii="宋体"/>
                <w:sz w:val="18"/>
                <w:szCs w:val="18"/>
              </w:rPr>
              <w:t>气相色谱—质谱法</w:t>
            </w:r>
          </w:p>
        </w:tc>
        <w:tc>
          <w:tcPr>
            <w:tcW w:w="2048" w:type="pct"/>
            <w:vAlign w:val="center"/>
          </w:tcPr>
          <w:p>
            <w:pPr>
              <w:pStyle w:val="25"/>
              <w:ind w:firstLine="0" w:firstLineChars="0"/>
              <w:jc w:val="center"/>
              <w:rPr>
                <w:rFonts w:ascii="宋体"/>
                <w:sz w:val="18"/>
                <w:szCs w:val="18"/>
              </w:rPr>
            </w:pPr>
            <w:r>
              <w:rPr>
                <w:rFonts w:ascii="宋体"/>
                <w:sz w:val="18"/>
                <w:szCs w:val="18"/>
              </w:rPr>
              <w:t>《水和废水监测分析方法（第四版）》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 w:type="pct"/>
            <w:vMerge w:val="continue"/>
            <w:vAlign w:val="center"/>
          </w:tcPr>
          <w:p>
            <w:pPr>
              <w:pStyle w:val="25"/>
              <w:ind w:firstLine="0" w:firstLineChars="0"/>
              <w:jc w:val="center"/>
              <w:rPr>
                <w:rFonts w:ascii="宋体"/>
                <w:sz w:val="18"/>
                <w:szCs w:val="18"/>
              </w:rPr>
            </w:pPr>
          </w:p>
        </w:tc>
        <w:tc>
          <w:tcPr>
            <w:tcW w:w="832" w:type="pct"/>
            <w:vAlign w:val="center"/>
          </w:tcPr>
          <w:p>
            <w:pPr>
              <w:pStyle w:val="25"/>
              <w:ind w:firstLine="0" w:firstLineChars="0"/>
              <w:jc w:val="center"/>
              <w:rPr>
                <w:rFonts w:ascii="宋体"/>
                <w:sz w:val="18"/>
                <w:szCs w:val="18"/>
              </w:rPr>
            </w:pPr>
            <w:r>
              <w:rPr>
                <w:rFonts w:ascii="宋体"/>
                <w:sz w:val="18"/>
                <w:szCs w:val="18"/>
              </w:rPr>
              <w:t>多氯联苯</w:t>
            </w:r>
          </w:p>
        </w:tc>
        <w:tc>
          <w:tcPr>
            <w:tcW w:w="1668" w:type="pct"/>
            <w:vAlign w:val="center"/>
          </w:tcPr>
          <w:p>
            <w:pPr>
              <w:pStyle w:val="25"/>
              <w:ind w:firstLine="0" w:firstLineChars="0"/>
              <w:jc w:val="center"/>
              <w:rPr>
                <w:rFonts w:ascii="宋体"/>
                <w:sz w:val="18"/>
                <w:szCs w:val="18"/>
              </w:rPr>
            </w:pPr>
            <w:r>
              <w:rPr>
                <w:rFonts w:ascii="宋体"/>
                <w:sz w:val="18"/>
                <w:szCs w:val="18"/>
              </w:rPr>
              <w:t>气相色谱—质谱法</w:t>
            </w:r>
          </w:p>
        </w:tc>
        <w:tc>
          <w:tcPr>
            <w:tcW w:w="2048" w:type="pct"/>
            <w:vAlign w:val="center"/>
          </w:tcPr>
          <w:p>
            <w:pPr>
              <w:pStyle w:val="25"/>
              <w:ind w:firstLine="0" w:firstLineChars="0"/>
              <w:jc w:val="center"/>
              <w:rPr>
                <w:rFonts w:ascii="宋体"/>
                <w:sz w:val="18"/>
                <w:szCs w:val="18"/>
              </w:rPr>
            </w:pPr>
            <w:r>
              <w:rPr>
                <w:rFonts w:ascii="宋体"/>
                <w:sz w:val="18"/>
                <w:szCs w:val="18"/>
              </w:rPr>
              <w:t>《水和废水监测分析方法（第四版）》</w:t>
            </w:r>
          </w:p>
        </w:tc>
      </w:tr>
    </w:tbl>
    <w:p>
      <w:pPr>
        <w:pStyle w:val="67"/>
      </w:pPr>
      <w:bookmarkStart w:id="119" w:name="_Toc161995487"/>
      <w:r>
        <w:t>应进行地表水、地下水的理化指标及典型污染物的分析，水质检测标准参照规范GB/T 14848执行。</w:t>
      </w:r>
    </w:p>
    <w:bookmarkEnd w:id="118"/>
    <w:p>
      <w:pPr>
        <w:pStyle w:val="46"/>
        <w:tabs>
          <w:tab w:val="left" w:pos="7371"/>
        </w:tabs>
        <w:rPr>
          <w:rFonts w:ascii="Times New Roman"/>
          <w:bCs/>
        </w:rPr>
      </w:pPr>
      <w:bookmarkStart w:id="120" w:name="_Toc162597299"/>
      <w:r>
        <w:rPr>
          <w:rFonts w:ascii="Times New Roman"/>
          <w:bCs/>
        </w:rPr>
        <w:t>勘察评价与分析</w:t>
      </w:r>
      <w:bookmarkEnd w:id="119"/>
      <w:bookmarkEnd w:id="120"/>
    </w:p>
    <w:p>
      <w:pPr>
        <w:pStyle w:val="50"/>
        <w:spacing w:before="156" w:after="156"/>
        <w:ind w:left="0"/>
      </w:pPr>
      <w:r>
        <w:t>清淤工程地质评价</w:t>
      </w:r>
    </w:p>
    <w:p>
      <w:pPr>
        <w:pStyle w:val="117"/>
      </w:pPr>
      <w:r>
        <w:t>生态清淤工程地质评价应包括下列内容：</w:t>
      </w:r>
    </w:p>
    <w:p>
      <w:pPr>
        <w:pStyle w:val="25"/>
        <w:numPr>
          <w:ilvl w:val="0"/>
          <w:numId w:val="28"/>
        </w:numPr>
        <w:ind w:firstLineChars="0"/>
      </w:pPr>
      <w:r>
        <w:t>工程场地的稳定性和适宜性；</w:t>
      </w:r>
    </w:p>
    <w:p>
      <w:pPr>
        <w:pStyle w:val="25"/>
        <w:numPr>
          <w:ilvl w:val="0"/>
          <w:numId w:val="28"/>
        </w:numPr>
        <w:ind w:firstLineChars="0"/>
      </w:pPr>
      <w:r>
        <w:t>对工程场地的工程地质、水文地质条件进行评价；</w:t>
      </w:r>
    </w:p>
    <w:p>
      <w:pPr>
        <w:pStyle w:val="25"/>
        <w:numPr>
          <w:ilvl w:val="0"/>
          <w:numId w:val="28"/>
        </w:numPr>
        <w:ind w:firstLineChars="0"/>
      </w:pPr>
      <w:r>
        <w:t>对河道、湖（淀）泊、水库现状及存在的工程地质问题进行评价，以及场地的不良地质作用对工程的影响；</w:t>
      </w:r>
    </w:p>
    <w:p>
      <w:pPr>
        <w:pStyle w:val="25"/>
        <w:numPr>
          <w:ilvl w:val="0"/>
          <w:numId w:val="28"/>
        </w:numPr>
        <w:ind w:firstLineChars="0"/>
      </w:pPr>
      <w:r>
        <w:t>提出设计所需工程地质、水文地质条件及岩土的物理力学参数，并应满足稳定性验算、变形验算、抗冲刷验算及渗流稳定性分析的要求；</w:t>
      </w:r>
    </w:p>
    <w:p>
      <w:pPr>
        <w:pStyle w:val="25"/>
        <w:numPr>
          <w:ilvl w:val="0"/>
          <w:numId w:val="28"/>
        </w:numPr>
        <w:ind w:firstLineChars="0"/>
      </w:pPr>
      <w:r>
        <w:t>根据勘察掌握的工程地质条件、水文条件、岸坡现状及历史险情等资料，对工程影响区范围内岸坡稳定性进行分类和评价；对工程影响区范围内涉水基础设施的岩土工程地质问题进行评价；对已经失稳的堤岸及需要除险加固的地段，应结合清淤工程设计的断面，分析堤岸失稳的原因，提出加固处理的建议；</w:t>
      </w:r>
    </w:p>
    <w:p>
      <w:pPr>
        <w:pStyle w:val="25"/>
        <w:numPr>
          <w:ilvl w:val="0"/>
          <w:numId w:val="28"/>
        </w:numPr>
        <w:ind w:firstLineChars="0"/>
      </w:pPr>
      <w:r>
        <w:t>对各部分淤泥的污染典型特征及分布范围进行分析评价，为设计和施工提供治理依据；</w:t>
      </w:r>
    </w:p>
    <w:p>
      <w:pPr>
        <w:pStyle w:val="25"/>
        <w:numPr>
          <w:ilvl w:val="0"/>
          <w:numId w:val="28"/>
        </w:numPr>
        <w:ind w:firstLineChars="0"/>
      </w:pPr>
      <w:r>
        <w:t>根据淤泥调查和物理化学分析指标，对工程实施区淤泥污染程度、分布范围及合理的清淤深度进行分析评价；</w:t>
      </w:r>
    </w:p>
    <w:p>
      <w:pPr>
        <w:pStyle w:val="25"/>
        <w:numPr>
          <w:ilvl w:val="0"/>
          <w:numId w:val="28"/>
        </w:numPr>
        <w:ind w:firstLineChars="0"/>
      </w:pPr>
      <w:r>
        <w:t>分析评价淤泥堆存、处理场地的岩土工程特征条件、岩土参数和承载力特性等。</w:t>
      </w:r>
    </w:p>
    <w:p>
      <w:pPr>
        <w:pStyle w:val="50"/>
        <w:spacing w:before="156" w:after="156"/>
        <w:ind w:left="0"/>
      </w:pPr>
      <w:r>
        <w:t>淤泥分层及特征评价</w:t>
      </w:r>
    </w:p>
    <w:p>
      <w:pPr>
        <w:pStyle w:val="117"/>
      </w:pPr>
      <w:r>
        <w:t>根据生态清淤施工过程中，淤泥的污染程度，从垂直方向由上至下一般分为污染淤泥层（A层）、污染过渡层（B层）和正常淤泥层（C层）。其他主要特征描述如下：</w:t>
      </w:r>
    </w:p>
    <w:p>
      <w:pPr>
        <w:pStyle w:val="25"/>
        <w:numPr>
          <w:ilvl w:val="0"/>
          <w:numId w:val="29"/>
        </w:numPr>
        <w:ind w:firstLineChars="0"/>
      </w:pPr>
      <w:r>
        <w:t>污染淤泥层（A层）污染最为严重的一层。一般情况下，在有机质及营养盐严重污染地区，该层颜色为黑色至深黑色，其上部为稀浆状，下部呈流塑状，有臭味。该层沉积年代新，为近年来人类活动的产物，是内源污染物的主要蓄积库；</w:t>
      </w:r>
    </w:p>
    <w:p>
      <w:pPr>
        <w:pStyle w:val="25"/>
        <w:numPr>
          <w:ilvl w:val="0"/>
          <w:numId w:val="29"/>
        </w:numPr>
        <w:ind w:firstLineChars="0"/>
      </w:pPr>
      <w:r>
        <w:t>污染过渡层（B层）污染较轻的一层，正常湖泥层到污染底泥层的渐变层，一般情况下，在有机质及营养盐污染地区，该层颜色多为灰黑色，软塑-塑状，较A层密实；</w:t>
      </w:r>
    </w:p>
    <w:p>
      <w:pPr>
        <w:pStyle w:val="25"/>
        <w:numPr>
          <w:ilvl w:val="0"/>
          <w:numId w:val="29"/>
        </w:numPr>
        <w:ind w:firstLineChars="0"/>
      </w:pPr>
      <w:r>
        <w:t>正常淤泥层（C层）为未被污染的淤泥层。未被污染的底泥层。其颜色保持未被污染的当地土质正常颜色，一般无异味，质地较密实。</w:t>
      </w:r>
    </w:p>
    <w:p>
      <w:pPr>
        <w:pStyle w:val="50"/>
        <w:spacing w:before="156" w:after="156"/>
        <w:ind w:left="0"/>
      </w:pPr>
      <w:r>
        <w:t>淤泥分类及环境质量评价</w:t>
      </w:r>
    </w:p>
    <w:p>
      <w:pPr>
        <w:pStyle w:val="55"/>
        <w:spacing w:before="156" w:after="156"/>
      </w:pPr>
      <w:r>
        <w:t>淤泥分类评价</w:t>
      </w:r>
    </w:p>
    <w:p>
      <w:pPr>
        <w:pStyle w:val="25"/>
        <w:numPr>
          <w:ilvl w:val="0"/>
          <w:numId w:val="30"/>
        </w:numPr>
        <w:ind w:firstLineChars="0"/>
      </w:pPr>
      <w:r>
        <w:t>I类底泥适用于农田利用，熟化和无害化处理后可作为营养土、基质辅料或土壤改良剂等，用于栽培可食用农作物，淤泥中污染物含量应低于GB 15618的最低限值规定；</w:t>
      </w:r>
    </w:p>
    <w:p>
      <w:pPr>
        <w:pStyle w:val="25"/>
        <w:numPr>
          <w:ilvl w:val="0"/>
          <w:numId w:val="30"/>
        </w:numPr>
        <w:ind w:firstLineChars="0"/>
      </w:pPr>
      <w:r>
        <w:t>II类淤泥适用于园林绿化，可用于非食用林地、苗木园地、非牧草地、道路边坡绿化等，淤泥中污染物含量应低于CJ/T340中II级种植土的最低限值；</w:t>
      </w:r>
    </w:p>
    <w:p>
      <w:pPr>
        <w:pStyle w:val="25"/>
        <w:numPr>
          <w:ilvl w:val="0"/>
          <w:numId w:val="30"/>
        </w:numPr>
        <w:ind w:firstLineChars="0"/>
      </w:pPr>
      <w:r>
        <w:t>III类淤泥适用于筑堤、市政道路、商业和工业用地回填等，淤泥中污染物含量应低于GB 36600中第一类场地风险筛选值；</w:t>
      </w:r>
    </w:p>
    <w:p>
      <w:pPr>
        <w:pStyle w:val="25"/>
        <w:numPr>
          <w:ilvl w:val="0"/>
          <w:numId w:val="30"/>
        </w:numPr>
        <w:ind w:firstLineChars="0"/>
      </w:pPr>
      <w:r>
        <w:t>IV类淤泥适用于制砖、陶粒和水泥熟料添加等建材利用，可按工业炉窑协同处置或其他方式处置，淤泥中污染物含量应低于GB/T 25031、CJ/T 314等标准的最低限值规定；</w:t>
      </w:r>
    </w:p>
    <w:p>
      <w:pPr>
        <w:pStyle w:val="25"/>
        <w:numPr>
          <w:ilvl w:val="0"/>
          <w:numId w:val="30"/>
        </w:numPr>
        <w:ind w:firstLineChars="0"/>
      </w:pPr>
      <w:r>
        <w:t>V类淤泥为污染物指标超过IV级的淤泥，环境风险较大，可按国家其他规定进行处置。</w:t>
      </w:r>
    </w:p>
    <w:p>
      <w:pPr>
        <w:pStyle w:val="55"/>
        <w:spacing w:before="156" w:after="156"/>
      </w:pPr>
      <w:r>
        <w:t>淤泥环境质量评价</w:t>
      </w:r>
    </w:p>
    <w:p>
      <w:pPr>
        <w:pStyle w:val="25"/>
        <w:numPr>
          <w:ilvl w:val="0"/>
          <w:numId w:val="31"/>
        </w:numPr>
        <w:ind w:firstLineChars="0"/>
      </w:pPr>
      <w:r>
        <w:t>淤泥环境质量按类型对应分为5级。污染物常见指标的分级与限值应符合表11，生物特性指标分级与限值应符合表12的规定；</w:t>
      </w:r>
    </w:p>
    <w:p>
      <w:pPr>
        <w:pStyle w:val="25"/>
        <w:numPr>
          <w:ilvl w:val="0"/>
          <w:numId w:val="31"/>
        </w:numPr>
        <w:ind w:firstLineChars="0"/>
      </w:pPr>
      <w:r>
        <w:t>污染物常见指标要求清淤前和处置过程中均应进行采样检测分析。根据淤泥污染源调查，可能</w:t>
      </w:r>
    </w:p>
    <w:p>
      <w:pPr>
        <w:pStyle w:val="25"/>
        <w:numPr>
          <w:ilvl w:val="0"/>
          <w:numId w:val="31"/>
        </w:numPr>
        <w:ind w:firstLineChars="0"/>
      </w:pPr>
      <w:r>
        <w:t>存在对环境危害较大、毒性较强污染物的，应依据GB 36600和GB 15618的规定增加检测指标；</w:t>
      </w:r>
    </w:p>
    <w:p>
      <w:pPr>
        <w:pStyle w:val="25"/>
        <w:numPr>
          <w:ilvl w:val="0"/>
          <w:numId w:val="31"/>
        </w:numPr>
        <w:ind w:firstLineChars="0"/>
      </w:pPr>
      <w:r>
        <w:t>对于重金属环境本底值较高区域，应采集周边场地样品测定相应重金属指标。</w:t>
      </w:r>
    </w:p>
    <w:p>
      <w:pPr>
        <w:pStyle w:val="131"/>
        <w:spacing w:before="156" w:afterLines="0"/>
      </w:pPr>
      <w:r>
        <w:t>淤泥有毒有害常见指标和限值</w:t>
      </w:r>
    </w:p>
    <w:tbl>
      <w:tblPr>
        <w:tblStyle w:val="37"/>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28"/>
        <w:gridCol w:w="1608"/>
        <w:gridCol w:w="973"/>
        <w:gridCol w:w="973"/>
        <w:gridCol w:w="973"/>
        <w:gridCol w:w="1101"/>
        <w:gridCol w:w="31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433" w:type="pct"/>
            <w:vMerge w:val="restart"/>
            <w:vAlign w:val="center"/>
          </w:tcPr>
          <w:p>
            <w:pPr>
              <w:pStyle w:val="25"/>
              <w:ind w:firstLine="0" w:firstLineChars="0"/>
              <w:jc w:val="center"/>
              <w:rPr>
                <w:rFonts w:ascii="宋体"/>
                <w:sz w:val="18"/>
                <w:szCs w:val="18"/>
              </w:rPr>
            </w:pPr>
            <w:r>
              <w:rPr>
                <w:rFonts w:ascii="宋体"/>
                <w:sz w:val="18"/>
                <w:szCs w:val="18"/>
              </w:rPr>
              <w:t>序号</w:t>
            </w:r>
          </w:p>
        </w:tc>
        <w:tc>
          <w:tcPr>
            <w:tcW w:w="840" w:type="pct"/>
            <w:vMerge w:val="restart"/>
            <w:vAlign w:val="center"/>
          </w:tcPr>
          <w:p>
            <w:pPr>
              <w:pStyle w:val="25"/>
              <w:ind w:firstLine="0" w:firstLineChars="0"/>
              <w:jc w:val="center"/>
              <w:rPr>
                <w:rFonts w:ascii="宋体"/>
                <w:sz w:val="18"/>
                <w:szCs w:val="18"/>
              </w:rPr>
            </w:pPr>
            <w:r>
              <w:rPr>
                <w:rFonts w:ascii="宋体"/>
                <w:sz w:val="18"/>
                <w:szCs w:val="18"/>
              </w:rPr>
              <w:t>强制控制</w:t>
            </w:r>
          </w:p>
          <w:p>
            <w:pPr>
              <w:pStyle w:val="25"/>
              <w:ind w:firstLine="0" w:firstLineChars="0"/>
              <w:jc w:val="center"/>
              <w:rPr>
                <w:rFonts w:ascii="宋体"/>
                <w:sz w:val="18"/>
                <w:szCs w:val="18"/>
              </w:rPr>
            </w:pPr>
            <w:r>
              <w:rPr>
                <w:rFonts w:ascii="宋体"/>
                <w:sz w:val="18"/>
                <w:szCs w:val="18"/>
              </w:rPr>
              <w:t>指标</w:t>
            </w:r>
          </w:p>
        </w:tc>
        <w:tc>
          <w:tcPr>
            <w:tcW w:w="508" w:type="pct"/>
            <w:vAlign w:val="center"/>
          </w:tcPr>
          <w:p>
            <w:pPr>
              <w:pStyle w:val="25"/>
              <w:ind w:firstLine="0" w:firstLineChars="0"/>
              <w:jc w:val="center"/>
              <w:rPr>
                <w:rFonts w:ascii="宋体"/>
                <w:sz w:val="18"/>
                <w:szCs w:val="18"/>
              </w:rPr>
            </w:pPr>
            <w:r>
              <w:rPr>
                <w:rFonts w:ascii="宋体"/>
                <w:sz w:val="18"/>
                <w:szCs w:val="18"/>
              </w:rPr>
              <w:t>Ⅰ级</w:t>
            </w:r>
          </w:p>
        </w:tc>
        <w:tc>
          <w:tcPr>
            <w:tcW w:w="508" w:type="pct"/>
            <w:vAlign w:val="center"/>
          </w:tcPr>
          <w:p>
            <w:pPr>
              <w:pStyle w:val="25"/>
              <w:ind w:firstLine="0" w:firstLineChars="0"/>
              <w:jc w:val="center"/>
              <w:rPr>
                <w:rFonts w:ascii="宋体"/>
                <w:sz w:val="18"/>
                <w:szCs w:val="18"/>
              </w:rPr>
            </w:pPr>
            <w:r>
              <w:rPr>
                <w:rFonts w:ascii="宋体"/>
                <w:sz w:val="18"/>
                <w:szCs w:val="18"/>
              </w:rPr>
              <w:t>Ⅱ级</w:t>
            </w:r>
          </w:p>
        </w:tc>
        <w:tc>
          <w:tcPr>
            <w:tcW w:w="508" w:type="pct"/>
            <w:vAlign w:val="center"/>
          </w:tcPr>
          <w:p>
            <w:pPr>
              <w:pStyle w:val="25"/>
              <w:ind w:firstLine="0" w:firstLineChars="0"/>
              <w:jc w:val="center"/>
              <w:rPr>
                <w:rFonts w:ascii="宋体"/>
                <w:sz w:val="18"/>
                <w:szCs w:val="18"/>
              </w:rPr>
            </w:pPr>
            <w:r>
              <w:rPr>
                <w:rFonts w:ascii="宋体"/>
                <w:sz w:val="18"/>
                <w:szCs w:val="18"/>
              </w:rPr>
              <w:t>Ⅲ级</w:t>
            </w:r>
          </w:p>
        </w:tc>
        <w:tc>
          <w:tcPr>
            <w:tcW w:w="575" w:type="pct"/>
            <w:vAlign w:val="center"/>
          </w:tcPr>
          <w:p>
            <w:pPr>
              <w:pStyle w:val="25"/>
              <w:ind w:firstLine="0" w:firstLineChars="0"/>
              <w:jc w:val="center"/>
              <w:rPr>
                <w:rFonts w:ascii="宋体"/>
                <w:sz w:val="18"/>
                <w:szCs w:val="18"/>
              </w:rPr>
            </w:pPr>
            <w:r>
              <w:rPr>
                <w:rFonts w:ascii="宋体"/>
                <w:sz w:val="18"/>
                <w:szCs w:val="18"/>
              </w:rPr>
              <w:t>Ⅳ级</w:t>
            </w:r>
          </w:p>
        </w:tc>
        <w:tc>
          <w:tcPr>
            <w:tcW w:w="1624" w:type="pct"/>
            <w:vAlign w:val="center"/>
          </w:tcPr>
          <w:p>
            <w:pPr>
              <w:pStyle w:val="25"/>
              <w:ind w:firstLine="0" w:firstLineChars="0"/>
              <w:jc w:val="center"/>
              <w:rPr>
                <w:rFonts w:ascii="宋体"/>
                <w:sz w:val="18"/>
                <w:szCs w:val="18"/>
              </w:rPr>
            </w:pPr>
            <w:r>
              <w:rPr>
                <w:rFonts w:ascii="宋体"/>
                <w:sz w:val="18"/>
                <w:szCs w:val="18"/>
              </w:rPr>
              <w:t>Ⅴ级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433" w:type="pct"/>
            <w:vMerge w:val="continue"/>
            <w:vAlign w:val="center"/>
          </w:tcPr>
          <w:p>
            <w:pPr>
              <w:pStyle w:val="25"/>
              <w:ind w:firstLine="0" w:firstLineChars="0"/>
              <w:jc w:val="center"/>
              <w:rPr>
                <w:rFonts w:ascii="宋体"/>
                <w:sz w:val="18"/>
                <w:szCs w:val="18"/>
              </w:rPr>
            </w:pPr>
          </w:p>
        </w:tc>
        <w:tc>
          <w:tcPr>
            <w:tcW w:w="840" w:type="pct"/>
            <w:vMerge w:val="continue"/>
            <w:vAlign w:val="center"/>
          </w:tcPr>
          <w:p>
            <w:pPr>
              <w:pStyle w:val="25"/>
              <w:ind w:firstLine="0" w:firstLineChars="0"/>
              <w:jc w:val="center"/>
              <w:rPr>
                <w:rFonts w:ascii="宋体"/>
                <w:sz w:val="18"/>
                <w:szCs w:val="18"/>
              </w:rPr>
            </w:pPr>
          </w:p>
        </w:tc>
        <w:tc>
          <w:tcPr>
            <w:tcW w:w="508" w:type="pct"/>
            <w:vAlign w:val="center"/>
          </w:tcPr>
          <w:p>
            <w:pPr>
              <w:pStyle w:val="25"/>
              <w:ind w:firstLine="0" w:firstLineChars="0"/>
              <w:jc w:val="center"/>
              <w:rPr>
                <w:rFonts w:ascii="宋体"/>
                <w:sz w:val="18"/>
                <w:szCs w:val="18"/>
              </w:rPr>
            </w:pPr>
            <w:r>
              <w:rPr>
                <w:rFonts w:ascii="宋体"/>
                <w:sz w:val="18"/>
                <w:szCs w:val="18"/>
              </w:rPr>
              <w:t>总量</w:t>
            </w:r>
          </w:p>
          <w:p>
            <w:pPr>
              <w:pStyle w:val="25"/>
              <w:ind w:firstLine="0" w:firstLineChars="0"/>
              <w:jc w:val="center"/>
              <w:rPr>
                <w:rFonts w:ascii="宋体"/>
                <w:sz w:val="18"/>
                <w:szCs w:val="18"/>
              </w:rPr>
            </w:pPr>
            <w:r>
              <w:rPr>
                <w:rFonts w:ascii="宋体"/>
                <w:sz w:val="18"/>
                <w:szCs w:val="18"/>
              </w:rPr>
              <w:t>mg/kg</w:t>
            </w:r>
          </w:p>
        </w:tc>
        <w:tc>
          <w:tcPr>
            <w:tcW w:w="508" w:type="pct"/>
            <w:vAlign w:val="center"/>
          </w:tcPr>
          <w:p>
            <w:pPr>
              <w:pStyle w:val="25"/>
              <w:ind w:firstLine="0" w:firstLineChars="0"/>
              <w:jc w:val="center"/>
              <w:rPr>
                <w:rFonts w:ascii="宋体"/>
                <w:sz w:val="18"/>
                <w:szCs w:val="18"/>
              </w:rPr>
            </w:pPr>
            <w:r>
              <w:rPr>
                <w:rFonts w:ascii="宋体"/>
                <w:sz w:val="18"/>
                <w:szCs w:val="18"/>
              </w:rPr>
              <w:t>总量</w:t>
            </w:r>
          </w:p>
          <w:p>
            <w:pPr>
              <w:pStyle w:val="25"/>
              <w:ind w:firstLine="0" w:firstLineChars="0"/>
              <w:jc w:val="center"/>
              <w:rPr>
                <w:rFonts w:ascii="宋体"/>
                <w:sz w:val="18"/>
                <w:szCs w:val="18"/>
              </w:rPr>
            </w:pPr>
            <w:r>
              <w:rPr>
                <w:rFonts w:ascii="宋体"/>
                <w:sz w:val="18"/>
                <w:szCs w:val="18"/>
              </w:rPr>
              <w:t>mg/kg</w:t>
            </w:r>
          </w:p>
        </w:tc>
        <w:tc>
          <w:tcPr>
            <w:tcW w:w="508" w:type="pct"/>
            <w:vAlign w:val="center"/>
          </w:tcPr>
          <w:p>
            <w:pPr>
              <w:pStyle w:val="25"/>
              <w:ind w:firstLine="0" w:firstLineChars="0"/>
              <w:jc w:val="center"/>
              <w:rPr>
                <w:rFonts w:ascii="宋体"/>
                <w:sz w:val="18"/>
                <w:szCs w:val="18"/>
              </w:rPr>
            </w:pPr>
            <w:r>
              <w:rPr>
                <w:rFonts w:ascii="宋体"/>
                <w:sz w:val="18"/>
                <w:szCs w:val="18"/>
              </w:rPr>
              <w:t>总量</w:t>
            </w:r>
          </w:p>
          <w:p>
            <w:pPr>
              <w:pStyle w:val="25"/>
              <w:ind w:firstLine="0" w:firstLineChars="0"/>
              <w:jc w:val="center"/>
              <w:rPr>
                <w:rFonts w:ascii="宋体"/>
                <w:sz w:val="18"/>
                <w:szCs w:val="18"/>
              </w:rPr>
            </w:pPr>
            <w:r>
              <w:rPr>
                <w:rFonts w:ascii="宋体"/>
                <w:sz w:val="18"/>
                <w:szCs w:val="18"/>
              </w:rPr>
              <w:t>mg/kg</w:t>
            </w:r>
          </w:p>
        </w:tc>
        <w:tc>
          <w:tcPr>
            <w:tcW w:w="575" w:type="pct"/>
            <w:vAlign w:val="center"/>
          </w:tcPr>
          <w:p>
            <w:pPr>
              <w:pStyle w:val="25"/>
              <w:ind w:firstLine="0" w:firstLineChars="0"/>
              <w:jc w:val="center"/>
              <w:rPr>
                <w:rFonts w:ascii="宋体"/>
                <w:sz w:val="18"/>
                <w:szCs w:val="18"/>
              </w:rPr>
            </w:pPr>
            <w:r>
              <w:rPr>
                <w:rFonts w:ascii="宋体"/>
                <w:sz w:val="18"/>
                <w:szCs w:val="18"/>
              </w:rPr>
              <w:t>总量</w:t>
            </w:r>
          </w:p>
          <w:p>
            <w:pPr>
              <w:pStyle w:val="25"/>
              <w:ind w:firstLine="0" w:firstLineChars="0"/>
              <w:jc w:val="center"/>
              <w:rPr>
                <w:rFonts w:ascii="宋体"/>
                <w:sz w:val="18"/>
                <w:szCs w:val="18"/>
              </w:rPr>
            </w:pPr>
            <w:r>
              <w:rPr>
                <w:rFonts w:ascii="宋体"/>
                <w:sz w:val="18"/>
                <w:szCs w:val="18"/>
              </w:rPr>
              <w:t>mg/kg</w:t>
            </w:r>
          </w:p>
        </w:tc>
        <w:tc>
          <w:tcPr>
            <w:tcW w:w="1624" w:type="pct"/>
            <w:vAlign w:val="center"/>
          </w:tcPr>
          <w:p>
            <w:pPr>
              <w:pStyle w:val="25"/>
              <w:ind w:firstLine="0" w:firstLineChars="0"/>
              <w:jc w:val="center"/>
              <w:rPr>
                <w:rFonts w:ascii="宋体"/>
                <w:sz w:val="18"/>
                <w:szCs w:val="18"/>
              </w:rPr>
            </w:pPr>
            <w:r>
              <w:rPr>
                <w:rFonts w:ascii="宋体"/>
                <w:sz w:val="18"/>
                <w:szCs w:val="18"/>
              </w:rPr>
              <w:t>总量</w:t>
            </w:r>
          </w:p>
          <w:p>
            <w:pPr>
              <w:pStyle w:val="25"/>
              <w:ind w:firstLine="0" w:firstLineChars="0"/>
              <w:jc w:val="center"/>
              <w:rPr>
                <w:rFonts w:ascii="宋体"/>
                <w:sz w:val="18"/>
                <w:szCs w:val="18"/>
              </w:rPr>
            </w:pPr>
            <w:r>
              <w:rPr>
                <w:rFonts w:ascii="宋体"/>
                <w:sz w:val="18"/>
                <w:szCs w:val="18"/>
              </w:rPr>
              <w:t>mg/kg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3" w:type="pct"/>
            <w:vAlign w:val="center"/>
          </w:tcPr>
          <w:p>
            <w:pPr>
              <w:pStyle w:val="25"/>
              <w:ind w:firstLine="0" w:firstLineChars="0"/>
              <w:jc w:val="center"/>
              <w:rPr>
                <w:rFonts w:ascii="宋体"/>
                <w:sz w:val="18"/>
                <w:szCs w:val="18"/>
              </w:rPr>
            </w:pPr>
            <w:r>
              <w:rPr>
                <w:rFonts w:ascii="宋体"/>
                <w:sz w:val="18"/>
                <w:szCs w:val="18"/>
              </w:rPr>
              <w:t>1</w:t>
            </w:r>
          </w:p>
        </w:tc>
        <w:tc>
          <w:tcPr>
            <w:tcW w:w="840" w:type="pct"/>
            <w:vAlign w:val="center"/>
          </w:tcPr>
          <w:p>
            <w:pPr>
              <w:pStyle w:val="25"/>
              <w:ind w:firstLine="0" w:firstLineChars="0"/>
              <w:jc w:val="center"/>
              <w:rPr>
                <w:rFonts w:ascii="宋体"/>
                <w:sz w:val="18"/>
                <w:szCs w:val="18"/>
              </w:rPr>
            </w:pPr>
            <w:r>
              <w:rPr>
                <w:rFonts w:ascii="宋体"/>
                <w:sz w:val="18"/>
                <w:szCs w:val="18"/>
              </w:rPr>
              <w:t>总镉</w:t>
            </w:r>
          </w:p>
        </w:tc>
        <w:tc>
          <w:tcPr>
            <w:tcW w:w="508" w:type="pct"/>
            <w:vAlign w:val="center"/>
          </w:tcPr>
          <w:p>
            <w:pPr>
              <w:pStyle w:val="25"/>
              <w:ind w:firstLine="0" w:firstLineChars="0"/>
              <w:jc w:val="center"/>
              <w:rPr>
                <w:rFonts w:ascii="宋体"/>
                <w:sz w:val="18"/>
                <w:szCs w:val="18"/>
              </w:rPr>
            </w:pPr>
            <w:r>
              <w:rPr>
                <w:rFonts w:ascii="宋体"/>
                <w:sz w:val="18"/>
                <w:szCs w:val="18"/>
              </w:rPr>
              <w:t>≤0.3</w:t>
            </w:r>
          </w:p>
        </w:tc>
        <w:tc>
          <w:tcPr>
            <w:tcW w:w="508" w:type="pct"/>
            <w:vAlign w:val="center"/>
          </w:tcPr>
          <w:p>
            <w:pPr>
              <w:pStyle w:val="25"/>
              <w:ind w:firstLine="0" w:firstLineChars="0"/>
              <w:jc w:val="center"/>
              <w:rPr>
                <w:rFonts w:ascii="宋体"/>
                <w:sz w:val="18"/>
                <w:szCs w:val="18"/>
              </w:rPr>
            </w:pPr>
            <w:r>
              <w:rPr>
                <w:rFonts w:ascii="宋体"/>
                <w:sz w:val="18"/>
                <w:szCs w:val="18"/>
              </w:rPr>
              <w:t>≤0.6</w:t>
            </w:r>
          </w:p>
        </w:tc>
        <w:tc>
          <w:tcPr>
            <w:tcW w:w="508" w:type="pct"/>
            <w:vAlign w:val="center"/>
          </w:tcPr>
          <w:p>
            <w:pPr>
              <w:pStyle w:val="25"/>
              <w:ind w:firstLine="0" w:firstLineChars="0"/>
              <w:jc w:val="center"/>
              <w:rPr>
                <w:rFonts w:ascii="宋体"/>
                <w:sz w:val="18"/>
                <w:szCs w:val="18"/>
              </w:rPr>
            </w:pPr>
            <w:r>
              <w:rPr>
                <w:rFonts w:ascii="宋体"/>
                <w:sz w:val="18"/>
                <w:szCs w:val="18"/>
              </w:rPr>
              <w:t>≤20</w:t>
            </w:r>
          </w:p>
        </w:tc>
        <w:tc>
          <w:tcPr>
            <w:tcW w:w="575" w:type="pct"/>
            <w:vAlign w:val="center"/>
          </w:tcPr>
          <w:p>
            <w:pPr>
              <w:pStyle w:val="25"/>
              <w:ind w:firstLine="0" w:firstLineChars="0"/>
              <w:jc w:val="center"/>
              <w:rPr>
                <w:rFonts w:ascii="宋体"/>
                <w:sz w:val="18"/>
                <w:szCs w:val="18"/>
              </w:rPr>
            </w:pPr>
            <w:r>
              <w:rPr>
                <w:rFonts w:ascii="宋体"/>
                <w:sz w:val="18"/>
                <w:szCs w:val="18"/>
              </w:rPr>
              <w:t>≤20</w:t>
            </w:r>
          </w:p>
        </w:tc>
        <w:tc>
          <w:tcPr>
            <w:tcW w:w="1624" w:type="pct"/>
            <w:vMerge w:val="restart"/>
            <w:vAlign w:val="center"/>
          </w:tcPr>
          <w:p>
            <w:pPr>
              <w:pStyle w:val="25"/>
              <w:ind w:firstLine="0" w:firstLineChars="0"/>
              <w:jc w:val="center"/>
              <w:rPr>
                <w:rFonts w:ascii="宋体"/>
                <w:sz w:val="18"/>
                <w:szCs w:val="18"/>
              </w:rPr>
            </w:pPr>
            <w:r>
              <w:rPr>
                <w:rFonts w:ascii="宋体"/>
                <w:sz w:val="18"/>
                <w:szCs w:val="18"/>
              </w:rPr>
              <w:t>指标超过Ⅳ级的均为Ⅴ级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3" w:type="pct"/>
            <w:vAlign w:val="center"/>
          </w:tcPr>
          <w:p>
            <w:pPr>
              <w:pStyle w:val="25"/>
              <w:ind w:firstLine="0" w:firstLineChars="0"/>
              <w:jc w:val="center"/>
              <w:rPr>
                <w:rFonts w:ascii="宋体"/>
                <w:sz w:val="18"/>
                <w:szCs w:val="18"/>
              </w:rPr>
            </w:pPr>
            <w:r>
              <w:rPr>
                <w:rFonts w:ascii="宋体"/>
                <w:sz w:val="18"/>
                <w:szCs w:val="18"/>
              </w:rPr>
              <w:t>2</w:t>
            </w:r>
          </w:p>
        </w:tc>
        <w:tc>
          <w:tcPr>
            <w:tcW w:w="840" w:type="pct"/>
            <w:vAlign w:val="center"/>
          </w:tcPr>
          <w:p>
            <w:pPr>
              <w:pStyle w:val="25"/>
              <w:ind w:firstLine="0" w:firstLineChars="0"/>
              <w:jc w:val="center"/>
              <w:rPr>
                <w:rFonts w:ascii="宋体"/>
                <w:sz w:val="18"/>
                <w:szCs w:val="18"/>
              </w:rPr>
            </w:pPr>
            <w:r>
              <w:rPr>
                <w:rFonts w:ascii="宋体"/>
                <w:sz w:val="18"/>
                <w:szCs w:val="18"/>
              </w:rPr>
              <w:t>总汞</w:t>
            </w:r>
          </w:p>
        </w:tc>
        <w:tc>
          <w:tcPr>
            <w:tcW w:w="508" w:type="pct"/>
            <w:vAlign w:val="center"/>
          </w:tcPr>
          <w:p>
            <w:pPr>
              <w:pStyle w:val="25"/>
              <w:ind w:firstLine="0" w:firstLineChars="0"/>
              <w:jc w:val="center"/>
              <w:rPr>
                <w:rFonts w:ascii="宋体"/>
                <w:sz w:val="18"/>
                <w:szCs w:val="18"/>
              </w:rPr>
            </w:pPr>
            <w:r>
              <w:rPr>
                <w:rFonts w:ascii="宋体"/>
                <w:sz w:val="18"/>
                <w:szCs w:val="18"/>
              </w:rPr>
              <w:t>≤0.5</w:t>
            </w:r>
          </w:p>
        </w:tc>
        <w:tc>
          <w:tcPr>
            <w:tcW w:w="508" w:type="pct"/>
            <w:vAlign w:val="center"/>
          </w:tcPr>
          <w:p>
            <w:pPr>
              <w:pStyle w:val="25"/>
              <w:ind w:firstLine="0" w:firstLineChars="0"/>
              <w:jc w:val="center"/>
              <w:rPr>
                <w:rFonts w:ascii="宋体"/>
                <w:sz w:val="18"/>
                <w:szCs w:val="18"/>
              </w:rPr>
            </w:pPr>
            <w:r>
              <w:rPr>
                <w:rFonts w:ascii="宋体"/>
                <w:sz w:val="18"/>
                <w:szCs w:val="18"/>
              </w:rPr>
              <w:t>≤0.6</w:t>
            </w:r>
          </w:p>
        </w:tc>
        <w:tc>
          <w:tcPr>
            <w:tcW w:w="508" w:type="pct"/>
            <w:vAlign w:val="center"/>
          </w:tcPr>
          <w:p>
            <w:pPr>
              <w:pStyle w:val="25"/>
              <w:ind w:firstLine="0" w:firstLineChars="0"/>
              <w:jc w:val="center"/>
              <w:rPr>
                <w:rFonts w:ascii="宋体"/>
                <w:sz w:val="18"/>
                <w:szCs w:val="18"/>
              </w:rPr>
            </w:pPr>
            <w:r>
              <w:rPr>
                <w:rFonts w:ascii="宋体"/>
                <w:sz w:val="18"/>
                <w:szCs w:val="18"/>
              </w:rPr>
              <w:t>≤5</w:t>
            </w:r>
          </w:p>
        </w:tc>
        <w:tc>
          <w:tcPr>
            <w:tcW w:w="575" w:type="pct"/>
            <w:vAlign w:val="center"/>
          </w:tcPr>
          <w:p>
            <w:pPr>
              <w:pStyle w:val="25"/>
              <w:ind w:firstLine="0" w:firstLineChars="0"/>
              <w:jc w:val="center"/>
              <w:rPr>
                <w:rFonts w:ascii="宋体"/>
                <w:sz w:val="18"/>
                <w:szCs w:val="18"/>
              </w:rPr>
            </w:pPr>
            <w:r>
              <w:rPr>
                <w:rFonts w:ascii="宋体"/>
                <w:sz w:val="18"/>
                <w:szCs w:val="18"/>
              </w:rPr>
              <w:t>≤5</w:t>
            </w:r>
          </w:p>
        </w:tc>
        <w:tc>
          <w:tcPr>
            <w:tcW w:w="1624" w:type="pct"/>
            <w:vMerge w:val="continue"/>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3" w:type="pct"/>
            <w:vAlign w:val="center"/>
          </w:tcPr>
          <w:p>
            <w:pPr>
              <w:pStyle w:val="25"/>
              <w:ind w:firstLine="0" w:firstLineChars="0"/>
              <w:jc w:val="center"/>
              <w:rPr>
                <w:rFonts w:ascii="宋体"/>
                <w:sz w:val="18"/>
                <w:szCs w:val="18"/>
              </w:rPr>
            </w:pPr>
            <w:r>
              <w:rPr>
                <w:rFonts w:ascii="宋体"/>
                <w:sz w:val="18"/>
                <w:szCs w:val="18"/>
              </w:rPr>
              <w:t>3</w:t>
            </w:r>
          </w:p>
        </w:tc>
        <w:tc>
          <w:tcPr>
            <w:tcW w:w="840" w:type="pct"/>
            <w:vAlign w:val="center"/>
          </w:tcPr>
          <w:p>
            <w:pPr>
              <w:pStyle w:val="25"/>
              <w:ind w:firstLine="0" w:firstLineChars="0"/>
              <w:jc w:val="center"/>
              <w:rPr>
                <w:rFonts w:ascii="宋体"/>
                <w:sz w:val="18"/>
                <w:szCs w:val="18"/>
              </w:rPr>
            </w:pPr>
            <w:r>
              <w:rPr>
                <w:rFonts w:ascii="宋体"/>
                <w:sz w:val="18"/>
                <w:szCs w:val="18"/>
              </w:rPr>
              <w:t>总砷</w:t>
            </w:r>
          </w:p>
        </w:tc>
        <w:tc>
          <w:tcPr>
            <w:tcW w:w="508" w:type="pct"/>
            <w:vAlign w:val="center"/>
          </w:tcPr>
          <w:p>
            <w:pPr>
              <w:pStyle w:val="25"/>
              <w:ind w:firstLine="0" w:firstLineChars="0"/>
              <w:jc w:val="center"/>
              <w:rPr>
                <w:rFonts w:ascii="宋体"/>
                <w:sz w:val="18"/>
                <w:szCs w:val="18"/>
              </w:rPr>
            </w:pPr>
            <w:r>
              <w:rPr>
                <w:rFonts w:ascii="宋体"/>
                <w:sz w:val="18"/>
                <w:szCs w:val="18"/>
              </w:rPr>
              <w:t>≤20</w:t>
            </w:r>
          </w:p>
        </w:tc>
        <w:tc>
          <w:tcPr>
            <w:tcW w:w="508" w:type="pct"/>
            <w:vAlign w:val="center"/>
          </w:tcPr>
          <w:p>
            <w:pPr>
              <w:pStyle w:val="25"/>
              <w:ind w:firstLine="0" w:firstLineChars="0"/>
              <w:jc w:val="center"/>
              <w:rPr>
                <w:rFonts w:ascii="宋体"/>
                <w:sz w:val="18"/>
                <w:szCs w:val="18"/>
              </w:rPr>
            </w:pPr>
            <w:r>
              <w:rPr>
                <w:rFonts w:ascii="宋体"/>
                <w:sz w:val="18"/>
                <w:szCs w:val="18"/>
              </w:rPr>
              <w:t>≤20</w:t>
            </w:r>
          </w:p>
        </w:tc>
        <w:tc>
          <w:tcPr>
            <w:tcW w:w="508" w:type="pct"/>
            <w:vAlign w:val="center"/>
          </w:tcPr>
          <w:p>
            <w:pPr>
              <w:pStyle w:val="25"/>
              <w:ind w:firstLine="0" w:firstLineChars="0"/>
              <w:jc w:val="center"/>
              <w:rPr>
                <w:rFonts w:ascii="宋体"/>
                <w:sz w:val="18"/>
                <w:szCs w:val="18"/>
              </w:rPr>
            </w:pPr>
            <w:r>
              <w:rPr>
                <w:rFonts w:ascii="宋体"/>
                <w:sz w:val="18"/>
                <w:szCs w:val="18"/>
              </w:rPr>
              <w:t>≤20</w:t>
            </w:r>
          </w:p>
        </w:tc>
        <w:tc>
          <w:tcPr>
            <w:tcW w:w="575" w:type="pct"/>
            <w:vAlign w:val="center"/>
          </w:tcPr>
          <w:p>
            <w:pPr>
              <w:pStyle w:val="25"/>
              <w:ind w:firstLine="0" w:firstLineChars="0"/>
              <w:jc w:val="center"/>
              <w:rPr>
                <w:rFonts w:ascii="宋体"/>
                <w:sz w:val="18"/>
                <w:szCs w:val="18"/>
              </w:rPr>
            </w:pPr>
            <w:r>
              <w:rPr>
                <w:rFonts w:ascii="宋体"/>
                <w:sz w:val="18"/>
                <w:szCs w:val="18"/>
              </w:rPr>
              <w:t>≤75</w:t>
            </w:r>
          </w:p>
        </w:tc>
        <w:tc>
          <w:tcPr>
            <w:tcW w:w="1624" w:type="pct"/>
            <w:vMerge w:val="continue"/>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3" w:type="pct"/>
            <w:vAlign w:val="center"/>
          </w:tcPr>
          <w:p>
            <w:pPr>
              <w:pStyle w:val="25"/>
              <w:ind w:firstLine="0" w:firstLineChars="0"/>
              <w:jc w:val="center"/>
              <w:rPr>
                <w:rFonts w:ascii="宋体"/>
                <w:sz w:val="18"/>
                <w:szCs w:val="18"/>
              </w:rPr>
            </w:pPr>
            <w:r>
              <w:rPr>
                <w:rFonts w:ascii="宋体"/>
                <w:sz w:val="18"/>
                <w:szCs w:val="18"/>
              </w:rPr>
              <w:t>4</w:t>
            </w:r>
          </w:p>
        </w:tc>
        <w:tc>
          <w:tcPr>
            <w:tcW w:w="840" w:type="pct"/>
            <w:vAlign w:val="center"/>
          </w:tcPr>
          <w:p>
            <w:pPr>
              <w:pStyle w:val="25"/>
              <w:ind w:firstLine="0" w:firstLineChars="0"/>
              <w:jc w:val="center"/>
              <w:rPr>
                <w:rFonts w:ascii="宋体"/>
                <w:sz w:val="18"/>
                <w:szCs w:val="18"/>
              </w:rPr>
            </w:pPr>
            <w:r>
              <w:rPr>
                <w:rFonts w:ascii="宋体"/>
                <w:sz w:val="18"/>
                <w:szCs w:val="18"/>
              </w:rPr>
              <w:t>总铅</w:t>
            </w:r>
          </w:p>
        </w:tc>
        <w:tc>
          <w:tcPr>
            <w:tcW w:w="508" w:type="pct"/>
            <w:vAlign w:val="center"/>
          </w:tcPr>
          <w:p>
            <w:pPr>
              <w:pStyle w:val="25"/>
              <w:ind w:firstLine="0" w:firstLineChars="0"/>
              <w:jc w:val="center"/>
              <w:rPr>
                <w:rFonts w:ascii="宋体"/>
                <w:sz w:val="18"/>
                <w:szCs w:val="18"/>
              </w:rPr>
            </w:pPr>
            <w:r>
              <w:rPr>
                <w:rFonts w:ascii="宋体"/>
                <w:sz w:val="18"/>
                <w:szCs w:val="18"/>
              </w:rPr>
              <w:t>≤70</w:t>
            </w:r>
          </w:p>
        </w:tc>
        <w:tc>
          <w:tcPr>
            <w:tcW w:w="508" w:type="pct"/>
            <w:vAlign w:val="center"/>
          </w:tcPr>
          <w:p>
            <w:pPr>
              <w:pStyle w:val="25"/>
              <w:ind w:firstLine="0" w:firstLineChars="0"/>
              <w:jc w:val="center"/>
              <w:rPr>
                <w:rFonts w:ascii="宋体"/>
                <w:sz w:val="18"/>
                <w:szCs w:val="18"/>
              </w:rPr>
            </w:pPr>
            <w:r>
              <w:rPr>
                <w:rFonts w:ascii="宋体"/>
                <w:sz w:val="18"/>
                <w:szCs w:val="18"/>
              </w:rPr>
              <w:t>≤200</w:t>
            </w:r>
          </w:p>
        </w:tc>
        <w:tc>
          <w:tcPr>
            <w:tcW w:w="508" w:type="pct"/>
            <w:vAlign w:val="center"/>
          </w:tcPr>
          <w:p>
            <w:pPr>
              <w:pStyle w:val="25"/>
              <w:ind w:firstLine="0" w:firstLineChars="0"/>
              <w:jc w:val="center"/>
              <w:rPr>
                <w:rFonts w:ascii="宋体"/>
                <w:sz w:val="18"/>
                <w:szCs w:val="18"/>
              </w:rPr>
            </w:pPr>
            <w:r>
              <w:rPr>
                <w:rFonts w:ascii="宋体"/>
                <w:sz w:val="18"/>
                <w:szCs w:val="18"/>
              </w:rPr>
              <w:t>≤300</w:t>
            </w:r>
          </w:p>
        </w:tc>
        <w:tc>
          <w:tcPr>
            <w:tcW w:w="575" w:type="pct"/>
            <w:vAlign w:val="center"/>
          </w:tcPr>
          <w:p>
            <w:pPr>
              <w:pStyle w:val="25"/>
              <w:ind w:firstLine="0" w:firstLineChars="0"/>
              <w:jc w:val="center"/>
              <w:rPr>
                <w:rFonts w:ascii="宋体"/>
                <w:sz w:val="18"/>
                <w:szCs w:val="18"/>
              </w:rPr>
            </w:pPr>
            <w:r>
              <w:rPr>
                <w:rFonts w:ascii="宋体"/>
                <w:sz w:val="18"/>
                <w:szCs w:val="18"/>
              </w:rPr>
              <w:t>≤300</w:t>
            </w:r>
          </w:p>
        </w:tc>
        <w:tc>
          <w:tcPr>
            <w:tcW w:w="1624" w:type="pct"/>
            <w:vMerge w:val="continue"/>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3" w:type="pct"/>
            <w:vAlign w:val="center"/>
          </w:tcPr>
          <w:p>
            <w:pPr>
              <w:pStyle w:val="25"/>
              <w:ind w:firstLine="0" w:firstLineChars="0"/>
              <w:jc w:val="center"/>
              <w:rPr>
                <w:rFonts w:ascii="宋体"/>
                <w:sz w:val="18"/>
                <w:szCs w:val="18"/>
              </w:rPr>
            </w:pPr>
            <w:r>
              <w:rPr>
                <w:rFonts w:ascii="宋体"/>
                <w:sz w:val="18"/>
                <w:szCs w:val="18"/>
              </w:rPr>
              <w:t>5</w:t>
            </w:r>
          </w:p>
        </w:tc>
        <w:tc>
          <w:tcPr>
            <w:tcW w:w="840" w:type="pct"/>
            <w:vAlign w:val="center"/>
          </w:tcPr>
          <w:p>
            <w:pPr>
              <w:pStyle w:val="25"/>
              <w:ind w:firstLine="0" w:firstLineChars="0"/>
              <w:jc w:val="center"/>
              <w:rPr>
                <w:rFonts w:ascii="宋体"/>
                <w:sz w:val="18"/>
                <w:szCs w:val="18"/>
              </w:rPr>
            </w:pPr>
            <w:r>
              <w:rPr>
                <w:rFonts w:ascii="宋体"/>
                <w:sz w:val="18"/>
                <w:szCs w:val="18"/>
              </w:rPr>
              <w:t>总铬</w:t>
            </w:r>
          </w:p>
        </w:tc>
        <w:tc>
          <w:tcPr>
            <w:tcW w:w="508" w:type="pct"/>
            <w:vAlign w:val="center"/>
          </w:tcPr>
          <w:p>
            <w:pPr>
              <w:pStyle w:val="25"/>
              <w:ind w:firstLine="0" w:firstLineChars="0"/>
              <w:jc w:val="center"/>
              <w:rPr>
                <w:rFonts w:ascii="宋体"/>
                <w:sz w:val="18"/>
                <w:szCs w:val="18"/>
              </w:rPr>
            </w:pPr>
            <w:r>
              <w:rPr>
                <w:rFonts w:ascii="宋体"/>
                <w:sz w:val="18"/>
                <w:szCs w:val="18"/>
              </w:rPr>
              <w:t>≤150</w:t>
            </w:r>
          </w:p>
        </w:tc>
        <w:tc>
          <w:tcPr>
            <w:tcW w:w="508" w:type="pct"/>
            <w:vAlign w:val="center"/>
          </w:tcPr>
          <w:p>
            <w:pPr>
              <w:pStyle w:val="25"/>
              <w:ind w:firstLine="0" w:firstLineChars="0"/>
              <w:jc w:val="center"/>
              <w:rPr>
                <w:rFonts w:ascii="宋体"/>
                <w:sz w:val="18"/>
                <w:szCs w:val="18"/>
              </w:rPr>
            </w:pPr>
            <w:r>
              <w:rPr>
                <w:rFonts w:ascii="宋体"/>
                <w:sz w:val="18"/>
                <w:szCs w:val="18"/>
              </w:rPr>
              <w:t>≤150</w:t>
            </w:r>
          </w:p>
        </w:tc>
        <w:tc>
          <w:tcPr>
            <w:tcW w:w="508" w:type="pct"/>
            <w:vAlign w:val="center"/>
          </w:tcPr>
          <w:p>
            <w:pPr>
              <w:pStyle w:val="25"/>
              <w:ind w:firstLine="0" w:firstLineChars="0"/>
              <w:jc w:val="center"/>
              <w:rPr>
                <w:rFonts w:ascii="宋体"/>
                <w:sz w:val="18"/>
                <w:szCs w:val="18"/>
              </w:rPr>
            </w:pPr>
            <w:r>
              <w:rPr>
                <w:rFonts w:ascii="宋体"/>
                <w:sz w:val="18"/>
                <w:szCs w:val="18"/>
              </w:rPr>
              <w:t>≤1000</w:t>
            </w:r>
          </w:p>
        </w:tc>
        <w:tc>
          <w:tcPr>
            <w:tcW w:w="575" w:type="pct"/>
            <w:vAlign w:val="center"/>
          </w:tcPr>
          <w:p>
            <w:pPr>
              <w:pStyle w:val="25"/>
              <w:ind w:firstLine="0" w:firstLineChars="0"/>
              <w:jc w:val="center"/>
              <w:rPr>
                <w:rFonts w:ascii="宋体"/>
                <w:sz w:val="18"/>
                <w:szCs w:val="18"/>
              </w:rPr>
            </w:pPr>
            <w:r>
              <w:rPr>
                <w:rFonts w:ascii="宋体"/>
                <w:sz w:val="18"/>
                <w:szCs w:val="18"/>
              </w:rPr>
              <w:t>≤1000</w:t>
            </w:r>
          </w:p>
        </w:tc>
        <w:tc>
          <w:tcPr>
            <w:tcW w:w="1624" w:type="pct"/>
            <w:vMerge w:val="continue"/>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3" w:type="pct"/>
            <w:vAlign w:val="center"/>
          </w:tcPr>
          <w:p>
            <w:pPr>
              <w:pStyle w:val="25"/>
              <w:ind w:firstLine="0" w:firstLineChars="0"/>
              <w:jc w:val="center"/>
              <w:rPr>
                <w:rFonts w:ascii="宋体"/>
                <w:sz w:val="18"/>
                <w:szCs w:val="18"/>
              </w:rPr>
            </w:pPr>
            <w:r>
              <w:rPr>
                <w:rFonts w:ascii="宋体"/>
                <w:sz w:val="18"/>
                <w:szCs w:val="18"/>
              </w:rPr>
              <w:t>6</w:t>
            </w:r>
          </w:p>
        </w:tc>
        <w:tc>
          <w:tcPr>
            <w:tcW w:w="840" w:type="pct"/>
            <w:vAlign w:val="center"/>
          </w:tcPr>
          <w:p>
            <w:pPr>
              <w:pStyle w:val="25"/>
              <w:ind w:firstLine="0" w:firstLineChars="0"/>
              <w:jc w:val="center"/>
              <w:rPr>
                <w:rFonts w:ascii="宋体"/>
                <w:sz w:val="18"/>
                <w:szCs w:val="18"/>
              </w:rPr>
            </w:pPr>
            <w:r>
              <w:rPr>
                <w:rFonts w:ascii="宋体"/>
                <w:sz w:val="18"/>
                <w:szCs w:val="18"/>
              </w:rPr>
              <w:t>总铜</w:t>
            </w:r>
          </w:p>
        </w:tc>
        <w:tc>
          <w:tcPr>
            <w:tcW w:w="508" w:type="pct"/>
            <w:vAlign w:val="center"/>
          </w:tcPr>
          <w:p>
            <w:pPr>
              <w:pStyle w:val="25"/>
              <w:ind w:firstLine="0" w:firstLineChars="0"/>
              <w:jc w:val="center"/>
              <w:rPr>
                <w:rFonts w:ascii="宋体"/>
                <w:sz w:val="18"/>
                <w:szCs w:val="18"/>
              </w:rPr>
            </w:pPr>
            <w:r>
              <w:rPr>
                <w:rFonts w:ascii="宋体"/>
                <w:sz w:val="18"/>
                <w:szCs w:val="18"/>
              </w:rPr>
              <w:t>≤50</w:t>
            </w:r>
          </w:p>
        </w:tc>
        <w:tc>
          <w:tcPr>
            <w:tcW w:w="508" w:type="pct"/>
            <w:vAlign w:val="center"/>
          </w:tcPr>
          <w:p>
            <w:pPr>
              <w:pStyle w:val="25"/>
              <w:ind w:firstLine="0" w:firstLineChars="0"/>
              <w:jc w:val="center"/>
              <w:rPr>
                <w:rFonts w:ascii="宋体"/>
                <w:sz w:val="18"/>
                <w:szCs w:val="18"/>
              </w:rPr>
            </w:pPr>
            <w:r>
              <w:rPr>
                <w:rFonts w:ascii="宋体"/>
                <w:sz w:val="18"/>
                <w:szCs w:val="18"/>
              </w:rPr>
              <w:t>≤150</w:t>
            </w:r>
          </w:p>
        </w:tc>
        <w:tc>
          <w:tcPr>
            <w:tcW w:w="508" w:type="pct"/>
            <w:vAlign w:val="center"/>
          </w:tcPr>
          <w:p>
            <w:pPr>
              <w:pStyle w:val="25"/>
              <w:ind w:firstLine="0" w:firstLineChars="0"/>
              <w:jc w:val="center"/>
              <w:rPr>
                <w:rFonts w:ascii="宋体"/>
                <w:sz w:val="18"/>
                <w:szCs w:val="18"/>
              </w:rPr>
            </w:pPr>
            <w:r>
              <w:rPr>
                <w:rFonts w:ascii="宋体"/>
                <w:sz w:val="18"/>
                <w:szCs w:val="18"/>
              </w:rPr>
              <w:t>≤1500</w:t>
            </w:r>
          </w:p>
        </w:tc>
        <w:tc>
          <w:tcPr>
            <w:tcW w:w="575" w:type="pct"/>
            <w:vAlign w:val="center"/>
          </w:tcPr>
          <w:p>
            <w:pPr>
              <w:pStyle w:val="25"/>
              <w:ind w:firstLine="0" w:firstLineChars="0"/>
              <w:jc w:val="center"/>
              <w:rPr>
                <w:rFonts w:ascii="宋体"/>
                <w:sz w:val="18"/>
                <w:szCs w:val="18"/>
              </w:rPr>
            </w:pPr>
            <w:r>
              <w:rPr>
                <w:rFonts w:ascii="宋体"/>
                <w:sz w:val="18"/>
                <w:szCs w:val="18"/>
              </w:rPr>
              <w:t>≤1500</w:t>
            </w:r>
          </w:p>
        </w:tc>
        <w:tc>
          <w:tcPr>
            <w:tcW w:w="1624" w:type="pct"/>
            <w:vMerge w:val="continue"/>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3" w:type="pct"/>
            <w:vAlign w:val="center"/>
          </w:tcPr>
          <w:p>
            <w:pPr>
              <w:pStyle w:val="25"/>
              <w:ind w:firstLine="0" w:firstLineChars="0"/>
              <w:jc w:val="center"/>
              <w:rPr>
                <w:rFonts w:ascii="宋体"/>
                <w:sz w:val="18"/>
                <w:szCs w:val="18"/>
              </w:rPr>
            </w:pPr>
            <w:r>
              <w:rPr>
                <w:rFonts w:ascii="宋体"/>
                <w:sz w:val="18"/>
                <w:szCs w:val="18"/>
              </w:rPr>
              <w:t>7</w:t>
            </w:r>
          </w:p>
        </w:tc>
        <w:tc>
          <w:tcPr>
            <w:tcW w:w="840" w:type="pct"/>
            <w:vAlign w:val="center"/>
          </w:tcPr>
          <w:p>
            <w:pPr>
              <w:pStyle w:val="25"/>
              <w:ind w:firstLine="0" w:firstLineChars="0"/>
              <w:jc w:val="center"/>
              <w:rPr>
                <w:rFonts w:ascii="宋体"/>
                <w:sz w:val="18"/>
                <w:szCs w:val="18"/>
              </w:rPr>
            </w:pPr>
            <w:r>
              <w:rPr>
                <w:rFonts w:ascii="宋体"/>
                <w:sz w:val="18"/>
                <w:szCs w:val="18"/>
              </w:rPr>
              <w:t>总镍</w:t>
            </w:r>
          </w:p>
        </w:tc>
        <w:tc>
          <w:tcPr>
            <w:tcW w:w="508" w:type="pct"/>
            <w:vAlign w:val="center"/>
          </w:tcPr>
          <w:p>
            <w:pPr>
              <w:pStyle w:val="25"/>
              <w:ind w:firstLine="0" w:firstLineChars="0"/>
              <w:jc w:val="center"/>
              <w:rPr>
                <w:rFonts w:ascii="宋体"/>
                <w:sz w:val="18"/>
                <w:szCs w:val="18"/>
              </w:rPr>
            </w:pPr>
            <w:r>
              <w:rPr>
                <w:rFonts w:ascii="宋体"/>
                <w:sz w:val="18"/>
                <w:szCs w:val="18"/>
              </w:rPr>
              <w:t>≤50</w:t>
            </w:r>
          </w:p>
        </w:tc>
        <w:tc>
          <w:tcPr>
            <w:tcW w:w="508" w:type="pct"/>
            <w:vAlign w:val="center"/>
          </w:tcPr>
          <w:p>
            <w:pPr>
              <w:pStyle w:val="25"/>
              <w:ind w:firstLine="0" w:firstLineChars="0"/>
              <w:jc w:val="center"/>
              <w:rPr>
                <w:rFonts w:ascii="宋体"/>
                <w:sz w:val="18"/>
                <w:szCs w:val="18"/>
              </w:rPr>
            </w:pPr>
            <w:r>
              <w:rPr>
                <w:rFonts w:ascii="宋体"/>
                <w:sz w:val="18"/>
                <w:szCs w:val="18"/>
              </w:rPr>
              <w:t>≤50</w:t>
            </w:r>
          </w:p>
        </w:tc>
        <w:tc>
          <w:tcPr>
            <w:tcW w:w="508" w:type="pct"/>
            <w:vAlign w:val="center"/>
          </w:tcPr>
          <w:p>
            <w:pPr>
              <w:pStyle w:val="25"/>
              <w:ind w:firstLine="0" w:firstLineChars="0"/>
              <w:jc w:val="center"/>
              <w:rPr>
                <w:rFonts w:ascii="宋体"/>
                <w:sz w:val="18"/>
                <w:szCs w:val="18"/>
              </w:rPr>
            </w:pPr>
            <w:r>
              <w:rPr>
                <w:rFonts w:ascii="宋体"/>
                <w:sz w:val="18"/>
                <w:szCs w:val="18"/>
              </w:rPr>
              <w:t>≤150</w:t>
            </w:r>
          </w:p>
        </w:tc>
        <w:tc>
          <w:tcPr>
            <w:tcW w:w="575" w:type="pct"/>
            <w:vAlign w:val="center"/>
          </w:tcPr>
          <w:p>
            <w:pPr>
              <w:pStyle w:val="25"/>
              <w:ind w:firstLine="0" w:firstLineChars="0"/>
              <w:jc w:val="center"/>
              <w:rPr>
                <w:rFonts w:ascii="宋体"/>
                <w:sz w:val="18"/>
                <w:szCs w:val="18"/>
              </w:rPr>
            </w:pPr>
            <w:r>
              <w:rPr>
                <w:rFonts w:ascii="宋体"/>
                <w:sz w:val="18"/>
                <w:szCs w:val="18"/>
              </w:rPr>
              <w:t>≤200</w:t>
            </w:r>
          </w:p>
        </w:tc>
        <w:tc>
          <w:tcPr>
            <w:tcW w:w="1624" w:type="pct"/>
            <w:vMerge w:val="continue"/>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3" w:type="pct"/>
            <w:vAlign w:val="center"/>
          </w:tcPr>
          <w:p>
            <w:pPr>
              <w:pStyle w:val="25"/>
              <w:ind w:firstLine="0" w:firstLineChars="0"/>
              <w:jc w:val="center"/>
              <w:rPr>
                <w:rFonts w:ascii="宋体"/>
                <w:sz w:val="18"/>
                <w:szCs w:val="18"/>
              </w:rPr>
            </w:pPr>
            <w:r>
              <w:rPr>
                <w:rFonts w:ascii="宋体"/>
                <w:sz w:val="18"/>
                <w:szCs w:val="18"/>
              </w:rPr>
              <w:t>8</w:t>
            </w:r>
          </w:p>
        </w:tc>
        <w:tc>
          <w:tcPr>
            <w:tcW w:w="840" w:type="pct"/>
            <w:vAlign w:val="center"/>
          </w:tcPr>
          <w:p>
            <w:pPr>
              <w:pStyle w:val="25"/>
              <w:ind w:firstLine="0" w:firstLineChars="0"/>
              <w:jc w:val="center"/>
              <w:rPr>
                <w:rFonts w:ascii="宋体"/>
                <w:sz w:val="18"/>
                <w:szCs w:val="18"/>
              </w:rPr>
            </w:pPr>
            <w:r>
              <w:rPr>
                <w:rFonts w:ascii="宋体"/>
                <w:sz w:val="18"/>
                <w:szCs w:val="18"/>
              </w:rPr>
              <w:t>总锌</w:t>
            </w:r>
          </w:p>
        </w:tc>
        <w:tc>
          <w:tcPr>
            <w:tcW w:w="508" w:type="pct"/>
            <w:vAlign w:val="center"/>
          </w:tcPr>
          <w:p>
            <w:pPr>
              <w:pStyle w:val="25"/>
              <w:ind w:firstLine="0" w:firstLineChars="0"/>
              <w:jc w:val="center"/>
              <w:rPr>
                <w:rFonts w:ascii="宋体"/>
                <w:sz w:val="18"/>
                <w:szCs w:val="18"/>
              </w:rPr>
            </w:pPr>
            <w:r>
              <w:rPr>
                <w:rFonts w:ascii="宋体"/>
                <w:sz w:val="18"/>
                <w:szCs w:val="18"/>
              </w:rPr>
              <w:t>≤200</w:t>
            </w:r>
          </w:p>
        </w:tc>
        <w:tc>
          <w:tcPr>
            <w:tcW w:w="508" w:type="pct"/>
            <w:vAlign w:val="center"/>
          </w:tcPr>
          <w:p>
            <w:pPr>
              <w:pStyle w:val="25"/>
              <w:ind w:firstLine="0" w:firstLineChars="0"/>
              <w:jc w:val="center"/>
              <w:rPr>
                <w:rFonts w:ascii="宋体"/>
                <w:sz w:val="18"/>
                <w:szCs w:val="18"/>
              </w:rPr>
            </w:pPr>
            <w:r>
              <w:rPr>
                <w:rFonts w:ascii="宋体"/>
                <w:sz w:val="18"/>
                <w:szCs w:val="18"/>
              </w:rPr>
              <w:t>≤250</w:t>
            </w:r>
          </w:p>
        </w:tc>
        <w:tc>
          <w:tcPr>
            <w:tcW w:w="508" w:type="pct"/>
            <w:vAlign w:val="center"/>
          </w:tcPr>
          <w:p>
            <w:pPr>
              <w:pStyle w:val="25"/>
              <w:ind w:firstLine="0" w:firstLineChars="0"/>
              <w:jc w:val="center"/>
              <w:rPr>
                <w:rFonts w:ascii="宋体"/>
                <w:sz w:val="18"/>
                <w:szCs w:val="18"/>
              </w:rPr>
            </w:pPr>
            <w:r>
              <w:rPr>
                <w:rFonts w:ascii="宋体"/>
                <w:sz w:val="18"/>
                <w:szCs w:val="18"/>
              </w:rPr>
              <w:t>≤4000</w:t>
            </w:r>
          </w:p>
        </w:tc>
        <w:tc>
          <w:tcPr>
            <w:tcW w:w="575" w:type="pct"/>
            <w:vAlign w:val="center"/>
          </w:tcPr>
          <w:p>
            <w:pPr>
              <w:pStyle w:val="25"/>
              <w:ind w:firstLine="0" w:firstLineChars="0"/>
              <w:jc w:val="center"/>
              <w:rPr>
                <w:rFonts w:ascii="宋体"/>
                <w:sz w:val="18"/>
                <w:szCs w:val="18"/>
              </w:rPr>
            </w:pPr>
            <w:r>
              <w:rPr>
                <w:rFonts w:ascii="宋体"/>
                <w:sz w:val="18"/>
                <w:szCs w:val="18"/>
              </w:rPr>
              <w:t>≤4000</w:t>
            </w:r>
          </w:p>
        </w:tc>
        <w:tc>
          <w:tcPr>
            <w:tcW w:w="1624" w:type="pct"/>
            <w:vMerge w:val="continue"/>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3" w:type="pct"/>
            <w:vAlign w:val="center"/>
          </w:tcPr>
          <w:p>
            <w:pPr>
              <w:pStyle w:val="25"/>
              <w:ind w:firstLine="0" w:firstLineChars="0"/>
              <w:jc w:val="center"/>
              <w:rPr>
                <w:rFonts w:ascii="宋体"/>
                <w:sz w:val="18"/>
                <w:szCs w:val="18"/>
              </w:rPr>
            </w:pPr>
            <w:r>
              <w:rPr>
                <w:rFonts w:ascii="宋体"/>
                <w:sz w:val="18"/>
                <w:szCs w:val="18"/>
              </w:rPr>
              <w:t>9</w:t>
            </w:r>
          </w:p>
        </w:tc>
        <w:tc>
          <w:tcPr>
            <w:tcW w:w="840" w:type="pct"/>
            <w:vAlign w:val="center"/>
          </w:tcPr>
          <w:p>
            <w:pPr>
              <w:pStyle w:val="25"/>
              <w:ind w:firstLine="0" w:firstLineChars="0"/>
              <w:jc w:val="center"/>
              <w:rPr>
                <w:rFonts w:ascii="宋体"/>
                <w:sz w:val="18"/>
                <w:szCs w:val="18"/>
              </w:rPr>
            </w:pPr>
            <w:r>
              <w:rPr>
                <w:rFonts w:ascii="宋体"/>
                <w:sz w:val="18"/>
                <w:szCs w:val="18"/>
              </w:rPr>
              <w:t>滴滴涕总量</w:t>
            </w:r>
          </w:p>
        </w:tc>
        <w:tc>
          <w:tcPr>
            <w:tcW w:w="508" w:type="pct"/>
            <w:vAlign w:val="center"/>
          </w:tcPr>
          <w:p>
            <w:pPr>
              <w:pStyle w:val="25"/>
              <w:ind w:firstLine="0" w:firstLineChars="0"/>
              <w:jc w:val="center"/>
              <w:rPr>
                <w:rFonts w:ascii="宋体"/>
                <w:sz w:val="18"/>
                <w:szCs w:val="18"/>
              </w:rPr>
            </w:pPr>
            <w:r>
              <w:rPr>
                <w:rFonts w:ascii="宋体"/>
                <w:sz w:val="18"/>
                <w:szCs w:val="18"/>
              </w:rPr>
              <w:t>≤0.10</w:t>
            </w:r>
          </w:p>
        </w:tc>
        <w:tc>
          <w:tcPr>
            <w:tcW w:w="508" w:type="pct"/>
            <w:vAlign w:val="center"/>
          </w:tcPr>
          <w:p>
            <w:pPr>
              <w:pStyle w:val="25"/>
              <w:ind w:firstLine="0" w:firstLineChars="0"/>
              <w:jc w:val="center"/>
              <w:rPr>
                <w:rFonts w:ascii="宋体"/>
                <w:sz w:val="18"/>
                <w:szCs w:val="18"/>
              </w:rPr>
            </w:pPr>
            <w:r>
              <w:rPr>
                <w:rFonts w:ascii="宋体"/>
                <w:sz w:val="18"/>
                <w:szCs w:val="18"/>
              </w:rPr>
              <w:t>≤2.0</w:t>
            </w:r>
          </w:p>
        </w:tc>
        <w:tc>
          <w:tcPr>
            <w:tcW w:w="508" w:type="pct"/>
            <w:vAlign w:val="center"/>
          </w:tcPr>
          <w:p>
            <w:pPr>
              <w:pStyle w:val="25"/>
              <w:ind w:firstLine="0" w:firstLineChars="0"/>
              <w:jc w:val="center"/>
              <w:rPr>
                <w:rFonts w:ascii="宋体"/>
                <w:sz w:val="18"/>
                <w:szCs w:val="18"/>
              </w:rPr>
            </w:pPr>
            <w:r>
              <w:rPr>
                <w:rFonts w:ascii="宋体"/>
                <w:sz w:val="18"/>
                <w:szCs w:val="18"/>
              </w:rPr>
              <w:t>≤2.0</w:t>
            </w:r>
          </w:p>
        </w:tc>
        <w:tc>
          <w:tcPr>
            <w:tcW w:w="575" w:type="pct"/>
            <w:vAlign w:val="center"/>
          </w:tcPr>
          <w:p>
            <w:pPr>
              <w:pStyle w:val="25"/>
              <w:ind w:firstLine="0" w:firstLineChars="0"/>
              <w:jc w:val="center"/>
              <w:rPr>
                <w:rFonts w:ascii="宋体"/>
                <w:sz w:val="18"/>
                <w:szCs w:val="18"/>
              </w:rPr>
            </w:pPr>
            <w:r>
              <w:rPr>
                <w:rFonts w:ascii="宋体"/>
                <w:sz w:val="18"/>
                <w:szCs w:val="18"/>
              </w:rPr>
              <w:t>≤21</w:t>
            </w:r>
          </w:p>
        </w:tc>
        <w:tc>
          <w:tcPr>
            <w:tcW w:w="1624" w:type="pct"/>
            <w:vMerge w:val="continue"/>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3" w:type="pct"/>
            <w:vAlign w:val="center"/>
          </w:tcPr>
          <w:p>
            <w:pPr>
              <w:pStyle w:val="25"/>
              <w:ind w:firstLine="0" w:firstLineChars="0"/>
              <w:jc w:val="center"/>
              <w:rPr>
                <w:rFonts w:ascii="宋体"/>
                <w:sz w:val="18"/>
                <w:szCs w:val="18"/>
              </w:rPr>
            </w:pPr>
            <w:r>
              <w:rPr>
                <w:rFonts w:ascii="宋体"/>
                <w:sz w:val="18"/>
                <w:szCs w:val="18"/>
              </w:rPr>
              <w:t>10</w:t>
            </w:r>
          </w:p>
        </w:tc>
        <w:tc>
          <w:tcPr>
            <w:tcW w:w="840" w:type="pct"/>
            <w:vAlign w:val="center"/>
          </w:tcPr>
          <w:p>
            <w:pPr>
              <w:pStyle w:val="25"/>
              <w:ind w:firstLine="0" w:firstLineChars="0"/>
              <w:jc w:val="center"/>
              <w:rPr>
                <w:rFonts w:ascii="宋体"/>
                <w:sz w:val="18"/>
                <w:szCs w:val="18"/>
              </w:rPr>
            </w:pPr>
            <w:r>
              <w:rPr>
                <w:rFonts w:ascii="宋体"/>
                <w:sz w:val="18"/>
                <w:szCs w:val="18"/>
              </w:rPr>
              <w:t>苯并[a]芘</w:t>
            </w:r>
          </w:p>
        </w:tc>
        <w:tc>
          <w:tcPr>
            <w:tcW w:w="508" w:type="pct"/>
            <w:vAlign w:val="center"/>
          </w:tcPr>
          <w:p>
            <w:pPr>
              <w:pStyle w:val="25"/>
              <w:ind w:firstLine="0" w:firstLineChars="0"/>
              <w:jc w:val="center"/>
              <w:rPr>
                <w:rFonts w:ascii="宋体"/>
                <w:sz w:val="18"/>
                <w:szCs w:val="18"/>
              </w:rPr>
            </w:pPr>
            <w:r>
              <w:rPr>
                <w:rFonts w:ascii="宋体"/>
                <w:sz w:val="18"/>
                <w:szCs w:val="18"/>
              </w:rPr>
              <w:t>≤0.55</w:t>
            </w:r>
          </w:p>
        </w:tc>
        <w:tc>
          <w:tcPr>
            <w:tcW w:w="508" w:type="pct"/>
            <w:vAlign w:val="center"/>
          </w:tcPr>
          <w:p>
            <w:pPr>
              <w:pStyle w:val="25"/>
              <w:ind w:firstLine="0" w:firstLineChars="0"/>
              <w:jc w:val="center"/>
              <w:rPr>
                <w:rFonts w:ascii="宋体"/>
                <w:sz w:val="18"/>
                <w:szCs w:val="18"/>
              </w:rPr>
            </w:pPr>
            <w:r>
              <w:rPr>
                <w:rFonts w:ascii="宋体"/>
                <w:sz w:val="18"/>
                <w:szCs w:val="18"/>
              </w:rPr>
              <w:t>≤0.55</w:t>
            </w:r>
          </w:p>
        </w:tc>
        <w:tc>
          <w:tcPr>
            <w:tcW w:w="508" w:type="pct"/>
            <w:vAlign w:val="center"/>
          </w:tcPr>
          <w:p>
            <w:pPr>
              <w:pStyle w:val="25"/>
              <w:ind w:firstLine="0" w:firstLineChars="0"/>
              <w:jc w:val="center"/>
              <w:rPr>
                <w:rFonts w:ascii="宋体"/>
                <w:sz w:val="18"/>
                <w:szCs w:val="18"/>
              </w:rPr>
            </w:pPr>
            <w:r>
              <w:rPr>
                <w:rFonts w:ascii="宋体"/>
                <w:sz w:val="18"/>
                <w:szCs w:val="18"/>
              </w:rPr>
              <w:t>≤0.55</w:t>
            </w:r>
          </w:p>
        </w:tc>
        <w:tc>
          <w:tcPr>
            <w:tcW w:w="575" w:type="pct"/>
            <w:vAlign w:val="center"/>
          </w:tcPr>
          <w:p>
            <w:pPr>
              <w:pStyle w:val="25"/>
              <w:ind w:firstLine="0" w:firstLineChars="0"/>
              <w:jc w:val="center"/>
              <w:rPr>
                <w:rFonts w:ascii="宋体"/>
                <w:sz w:val="18"/>
                <w:szCs w:val="18"/>
              </w:rPr>
            </w:pPr>
            <w:r>
              <w:rPr>
                <w:rFonts w:ascii="宋体"/>
                <w:sz w:val="18"/>
                <w:szCs w:val="18"/>
              </w:rPr>
              <w:t>≤5.50</w:t>
            </w:r>
          </w:p>
        </w:tc>
        <w:tc>
          <w:tcPr>
            <w:tcW w:w="1624" w:type="pct"/>
            <w:vMerge w:val="continue"/>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3" w:type="pct"/>
            <w:vAlign w:val="center"/>
          </w:tcPr>
          <w:p>
            <w:pPr>
              <w:pStyle w:val="25"/>
              <w:ind w:firstLine="0" w:firstLineChars="0"/>
              <w:jc w:val="center"/>
              <w:rPr>
                <w:rFonts w:ascii="宋体"/>
                <w:sz w:val="18"/>
                <w:szCs w:val="18"/>
              </w:rPr>
            </w:pPr>
            <w:r>
              <w:rPr>
                <w:rFonts w:ascii="宋体"/>
                <w:sz w:val="18"/>
                <w:szCs w:val="18"/>
              </w:rPr>
              <w:t>11</w:t>
            </w:r>
          </w:p>
        </w:tc>
        <w:tc>
          <w:tcPr>
            <w:tcW w:w="840" w:type="pct"/>
            <w:vAlign w:val="center"/>
          </w:tcPr>
          <w:p>
            <w:pPr>
              <w:pStyle w:val="25"/>
              <w:ind w:firstLine="0" w:firstLineChars="0"/>
              <w:jc w:val="center"/>
              <w:rPr>
                <w:rFonts w:ascii="宋体"/>
                <w:sz w:val="18"/>
                <w:szCs w:val="18"/>
              </w:rPr>
            </w:pPr>
            <w:r>
              <w:rPr>
                <w:rFonts w:ascii="宋体"/>
                <w:sz w:val="18"/>
                <w:szCs w:val="18"/>
              </w:rPr>
              <w:t>六六六总量</w:t>
            </w:r>
          </w:p>
        </w:tc>
        <w:tc>
          <w:tcPr>
            <w:tcW w:w="508" w:type="pct"/>
            <w:vAlign w:val="center"/>
          </w:tcPr>
          <w:p>
            <w:pPr>
              <w:pStyle w:val="25"/>
              <w:ind w:firstLine="0" w:firstLineChars="0"/>
              <w:jc w:val="center"/>
              <w:rPr>
                <w:rFonts w:ascii="宋体"/>
                <w:sz w:val="18"/>
                <w:szCs w:val="18"/>
              </w:rPr>
            </w:pPr>
            <w:r>
              <w:rPr>
                <w:rFonts w:ascii="宋体"/>
                <w:sz w:val="18"/>
                <w:szCs w:val="18"/>
              </w:rPr>
              <w:t>≤0.10</w:t>
            </w:r>
          </w:p>
        </w:tc>
        <w:tc>
          <w:tcPr>
            <w:tcW w:w="508" w:type="pct"/>
            <w:vAlign w:val="center"/>
          </w:tcPr>
          <w:p>
            <w:pPr>
              <w:pStyle w:val="25"/>
              <w:ind w:firstLine="0" w:firstLineChars="0"/>
              <w:jc w:val="center"/>
              <w:rPr>
                <w:rFonts w:ascii="宋体"/>
                <w:sz w:val="18"/>
                <w:szCs w:val="18"/>
              </w:rPr>
            </w:pPr>
            <w:r>
              <w:rPr>
                <w:rFonts w:ascii="宋体"/>
                <w:sz w:val="18"/>
                <w:szCs w:val="18"/>
              </w:rPr>
              <w:t>≤1.03</w:t>
            </w:r>
          </w:p>
        </w:tc>
        <w:tc>
          <w:tcPr>
            <w:tcW w:w="508" w:type="pct"/>
            <w:vAlign w:val="center"/>
          </w:tcPr>
          <w:p>
            <w:pPr>
              <w:pStyle w:val="25"/>
              <w:ind w:firstLine="0" w:firstLineChars="0"/>
              <w:jc w:val="center"/>
              <w:rPr>
                <w:rFonts w:ascii="宋体"/>
                <w:sz w:val="18"/>
                <w:szCs w:val="18"/>
              </w:rPr>
            </w:pPr>
            <w:r>
              <w:rPr>
                <w:rFonts w:ascii="宋体"/>
                <w:sz w:val="18"/>
                <w:szCs w:val="18"/>
              </w:rPr>
              <w:t>≤1.03</w:t>
            </w:r>
          </w:p>
        </w:tc>
        <w:tc>
          <w:tcPr>
            <w:tcW w:w="575" w:type="pct"/>
            <w:vAlign w:val="center"/>
          </w:tcPr>
          <w:p>
            <w:pPr>
              <w:pStyle w:val="25"/>
              <w:ind w:firstLine="0" w:firstLineChars="0"/>
              <w:jc w:val="center"/>
              <w:rPr>
                <w:rFonts w:ascii="宋体"/>
                <w:sz w:val="18"/>
                <w:szCs w:val="18"/>
              </w:rPr>
            </w:pPr>
            <w:r>
              <w:rPr>
                <w:rFonts w:ascii="宋体"/>
                <w:sz w:val="18"/>
                <w:szCs w:val="18"/>
              </w:rPr>
              <w:t>≤10.30</w:t>
            </w:r>
          </w:p>
        </w:tc>
        <w:tc>
          <w:tcPr>
            <w:tcW w:w="1624" w:type="pct"/>
            <w:vMerge w:val="continue"/>
            <w:vAlign w:val="center"/>
          </w:tcPr>
          <w:p>
            <w:pPr>
              <w:pStyle w:val="25"/>
              <w:ind w:firstLine="0" w:firstLineChars="0"/>
              <w:jc w:val="center"/>
              <w:rPr>
                <w:rFonts w:ascii="宋体"/>
                <w:sz w:val="18"/>
                <w:szCs w:val="18"/>
              </w:rPr>
            </w:pPr>
          </w:p>
        </w:tc>
      </w:tr>
    </w:tbl>
    <w:p>
      <w:pPr>
        <w:pStyle w:val="131"/>
        <w:spacing w:before="156" w:afterLines="0"/>
      </w:pPr>
      <w:r>
        <w:t>淤泥生物特性指标和限值</w:t>
      </w:r>
    </w:p>
    <w:tbl>
      <w:tblPr>
        <w:tblStyle w:val="37"/>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10"/>
        <w:gridCol w:w="1720"/>
        <w:gridCol w:w="1366"/>
        <w:gridCol w:w="1366"/>
        <w:gridCol w:w="1366"/>
        <w:gridCol w:w="1366"/>
        <w:gridCol w:w="13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28" w:type="pct"/>
            <w:vAlign w:val="center"/>
          </w:tcPr>
          <w:p>
            <w:pPr>
              <w:pStyle w:val="25"/>
              <w:ind w:firstLine="0" w:firstLineChars="0"/>
              <w:jc w:val="center"/>
              <w:rPr>
                <w:rFonts w:ascii="宋体"/>
                <w:sz w:val="18"/>
                <w:szCs w:val="18"/>
              </w:rPr>
            </w:pPr>
            <w:r>
              <w:rPr>
                <w:rFonts w:ascii="宋体"/>
                <w:sz w:val="18"/>
                <w:szCs w:val="18"/>
              </w:rPr>
              <w:t>序号</w:t>
            </w:r>
          </w:p>
        </w:tc>
        <w:tc>
          <w:tcPr>
            <w:tcW w:w="899" w:type="pct"/>
            <w:vAlign w:val="center"/>
          </w:tcPr>
          <w:p>
            <w:pPr>
              <w:pStyle w:val="25"/>
              <w:ind w:firstLine="0" w:firstLineChars="0"/>
              <w:jc w:val="center"/>
              <w:rPr>
                <w:rFonts w:ascii="宋体"/>
                <w:sz w:val="18"/>
                <w:szCs w:val="18"/>
              </w:rPr>
            </w:pPr>
            <w:r>
              <w:rPr>
                <w:rFonts w:ascii="宋体"/>
                <w:sz w:val="18"/>
                <w:szCs w:val="18"/>
              </w:rPr>
              <w:t>强制控制指标</w:t>
            </w:r>
          </w:p>
        </w:tc>
        <w:tc>
          <w:tcPr>
            <w:tcW w:w="714" w:type="pct"/>
            <w:vAlign w:val="center"/>
          </w:tcPr>
          <w:p>
            <w:pPr>
              <w:pStyle w:val="25"/>
              <w:ind w:firstLine="0" w:firstLineChars="0"/>
              <w:jc w:val="center"/>
              <w:rPr>
                <w:rFonts w:ascii="宋体"/>
                <w:sz w:val="18"/>
                <w:szCs w:val="18"/>
              </w:rPr>
            </w:pPr>
            <w:r>
              <w:rPr>
                <w:rFonts w:ascii="宋体"/>
                <w:sz w:val="18"/>
                <w:szCs w:val="18"/>
              </w:rPr>
              <w:t>Ⅰ级</w:t>
            </w:r>
          </w:p>
        </w:tc>
        <w:tc>
          <w:tcPr>
            <w:tcW w:w="714" w:type="pct"/>
            <w:vAlign w:val="center"/>
          </w:tcPr>
          <w:p>
            <w:pPr>
              <w:pStyle w:val="25"/>
              <w:ind w:firstLine="0" w:firstLineChars="0"/>
              <w:jc w:val="center"/>
              <w:rPr>
                <w:rFonts w:ascii="宋体"/>
                <w:sz w:val="18"/>
                <w:szCs w:val="18"/>
              </w:rPr>
            </w:pPr>
            <w:r>
              <w:rPr>
                <w:rFonts w:ascii="宋体"/>
                <w:sz w:val="18"/>
                <w:szCs w:val="18"/>
              </w:rPr>
              <w:t>Ⅱ级</w:t>
            </w:r>
          </w:p>
        </w:tc>
        <w:tc>
          <w:tcPr>
            <w:tcW w:w="714" w:type="pct"/>
            <w:vAlign w:val="center"/>
          </w:tcPr>
          <w:p>
            <w:pPr>
              <w:pStyle w:val="25"/>
              <w:ind w:firstLine="0" w:firstLineChars="0"/>
              <w:jc w:val="center"/>
              <w:rPr>
                <w:rFonts w:ascii="宋体"/>
                <w:sz w:val="18"/>
                <w:szCs w:val="18"/>
              </w:rPr>
            </w:pPr>
            <w:r>
              <w:rPr>
                <w:rFonts w:ascii="宋体"/>
                <w:sz w:val="18"/>
                <w:szCs w:val="18"/>
              </w:rPr>
              <w:t>Ⅲ级</w:t>
            </w:r>
          </w:p>
        </w:tc>
        <w:tc>
          <w:tcPr>
            <w:tcW w:w="714" w:type="pct"/>
            <w:vAlign w:val="center"/>
          </w:tcPr>
          <w:p>
            <w:pPr>
              <w:pStyle w:val="25"/>
              <w:ind w:firstLine="0" w:firstLineChars="0"/>
              <w:jc w:val="center"/>
              <w:rPr>
                <w:rFonts w:ascii="宋体"/>
                <w:sz w:val="18"/>
                <w:szCs w:val="18"/>
              </w:rPr>
            </w:pPr>
            <w:r>
              <w:rPr>
                <w:rFonts w:ascii="宋体"/>
                <w:sz w:val="18"/>
                <w:szCs w:val="18"/>
              </w:rPr>
              <w:t>Ⅳ级</w:t>
            </w:r>
          </w:p>
        </w:tc>
        <w:tc>
          <w:tcPr>
            <w:tcW w:w="714" w:type="pct"/>
            <w:vAlign w:val="center"/>
          </w:tcPr>
          <w:p>
            <w:pPr>
              <w:pStyle w:val="25"/>
              <w:ind w:firstLine="0" w:firstLineChars="0"/>
              <w:jc w:val="center"/>
              <w:rPr>
                <w:rFonts w:ascii="宋体"/>
                <w:sz w:val="18"/>
                <w:szCs w:val="18"/>
              </w:rPr>
            </w:pPr>
            <w:r>
              <w:rPr>
                <w:rFonts w:ascii="宋体"/>
                <w:sz w:val="18"/>
                <w:szCs w:val="18"/>
              </w:rPr>
              <w:t>Ⅴ级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28" w:type="pct"/>
            <w:vAlign w:val="center"/>
          </w:tcPr>
          <w:p>
            <w:pPr>
              <w:pStyle w:val="25"/>
              <w:ind w:firstLine="0" w:firstLineChars="0"/>
              <w:jc w:val="center"/>
              <w:rPr>
                <w:rFonts w:ascii="宋体"/>
                <w:sz w:val="18"/>
                <w:szCs w:val="18"/>
              </w:rPr>
            </w:pPr>
            <w:r>
              <w:rPr>
                <w:rFonts w:ascii="宋体"/>
                <w:sz w:val="18"/>
                <w:szCs w:val="18"/>
              </w:rPr>
              <w:t>1</w:t>
            </w:r>
          </w:p>
        </w:tc>
        <w:tc>
          <w:tcPr>
            <w:tcW w:w="899" w:type="pct"/>
            <w:vAlign w:val="center"/>
          </w:tcPr>
          <w:p>
            <w:pPr>
              <w:pStyle w:val="25"/>
              <w:ind w:firstLine="0" w:firstLineChars="0"/>
              <w:jc w:val="center"/>
              <w:rPr>
                <w:rFonts w:ascii="宋体"/>
                <w:sz w:val="18"/>
                <w:szCs w:val="18"/>
              </w:rPr>
            </w:pPr>
            <w:r>
              <w:rPr>
                <w:rFonts w:ascii="宋体"/>
                <w:sz w:val="18"/>
                <w:szCs w:val="18"/>
              </w:rPr>
              <w:t>大肠菌值</w:t>
            </w:r>
          </w:p>
        </w:tc>
        <w:tc>
          <w:tcPr>
            <w:tcW w:w="714" w:type="pct"/>
            <w:vAlign w:val="center"/>
          </w:tcPr>
          <w:p>
            <w:pPr>
              <w:pStyle w:val="25"/>
              <w:ind w:firstLine="0" w:firstLineChars="0"/>
              <w:jc w:val="center"/>
              <w:rPr>
                <w:rFonts w:ascii="宋体"/>
                <w:sz w:val="18"/>
                <w:szCs w:val="18"/>
              </w:rPr>
            </w:pPr>
            <w:r>
              <w:rPr>
                <w:rFonts w:ascii="宋体"/>
                <w:sz w:val="18"/>
                <w:szCs w:val="18"/>
              </w:rPr>
              <w:t>0.10</w:t>
            </w:r>
          </w:p>
        </w:tc>
        <w:tc>
          <w:tcPr>
            <w:tcW w:w="714" w:type="pct"/>
            <w:vAlign w:val="center"/>
          </w:tcPr>
          <w:p>
            <w:pPr>
              <w:pStyle w:val="25"/>
              <w:ind w:firstLine="0" w:firstLineChars="0"/>
              <w:jc w:val="center"/>
              <w:rPr>
                <w:rFonts w:ascii="宋体"/>
                <w:sz w:val="18"/>
                <w:szCs w:val="18"/>
              </w:rPr>
            </w:pPr>
            <w:r>
              <w:rPr>
                <w:rFonts w:ascii="宋体"/>
                <w:sz w:val="18"/>
                <w:szCs w:val="18"/>
              </w:rPr>
              <w:t>0.01</w:t>
            </w:r>
          </w:p>
        </w:tc>
        <w:tc>
          <w:tcPr>
            <w:tcW w:w="714" w:type="pct"/>
            <w:vAlign w:val="center"/>
          </w:tcPr>
          <w:p>
            <w:pPr>
              <w:pStyle w:val="25"/>
              <w:ind w:firstLine="0" w:firstLineChars="0"/>
              <w:jc w:val="center"/>
              <w:rPr>
                <w:rFonts w:ascii="宋体"/>
                <w:sz w:val="18"/>
                <w:szCs w:val="18"/>
              </w:rPr>
            </w:pPr>
            <w:r>
              <w:rPr>
                <w:rFonts w:ascii="宋体"/>
                <w:sz w:val="18"/>
                <w:szCs w:val="18"/>
              </w:rPr>
              <w:t>0.01</w:t>
            </w:r>
          </w:p>
        </w:tc>
        <w:tc>
          <w:tcPr>
            <w:tcW w:w="714" w:type="pct"/>
            <w:vAlign w:val="center"/>
          </w:tcPr>
          <w:p>
            <w:pPr>
              <w:pStyle w:val="25"/>
              <w:ind w:firstLine="0" w:firstLineChars="0"/>
              <w:jc w:val="center"/>
              <w:rPr>
                <w:rFonts w:ascii="宋体"/>
                <w:sz w:val="18"/>
                <w:szCs w:val="18"/>
              </w:rPr>
            </w:pPr>
            <w:r>
              <w:rPr>
                <w:rFonts w:ascii="宋体"/>
                <w:sz w:val="18"/>
                <w:szCs w:val="18"/>
              </w:rPr>
              <w:t>0.01</w:t>
            </w:r>
          </w:p>
        </w:tc>
        <w:tc>
          <w:tcPr>
            <w:tcW w:w="714" w:type="pct"/>
            <w:vAlign w:val="center"/>
          </w:tcPr>
          <w:p>
            <w:pPr>
              <w:pStyle w:val="25"/>
              <w:ind w:firstLine="0" w:firstLineChars="0"/>
              <w:jc w:val="center"/>
              <w:rPr>
                <w:rFonts w:ascii="宋体"/>
                <w:sz w:val="18"/>
                <w:szCs w:val="18"/>
              </w:rPr>
            </w:pPr>
            <w:r>
              <w:rPr>
                <w:rFonts w:asci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28" w:type="pct"/>
            <w:vAlign w:val="center"/>
          </w:tcPr>
          <w:p>
            <w:pPr>
              <w:pStyle w:val="25"/>
              <w:ind w:firstLine="0" w:firstLineChars="0"/>
              <w:jc w:val="center"/>
              <w:rPr>
                <w:rFonts w:ascii="宋体"/>
                <w:sz w:val="18"/>
                <w:szCs w:val="18"/>
              </w:rPr>
            </w:pPr>
            <w:r>
              <w:rPr>
                <w:rFonts w:ascii="宋体"/>
                <w:sz w:val="18"/>
                <w:szCs w:val="18"/>
              </w:rPr>
              <w:t>2</w:t>
            </w:r>
          </w:p>
        </w:tc>
        <w:tc>
          <w:tcPr>
            <w:tcW w:w="899" w:type="pct"/>
            <w:vAlign w:val="center"/>
          </w:tcPr>
          <w:p>
            <w:pPr>
              <w:pStyle w:val="25"/>
              <w:ind w:firstLine="0" w:firstLineChars="0"/>
              <w:jc w:val="center"/>
              <w:rPr>
                <w:rFonts w:ascii="宋体"/>
                <w:sz w:val="18"/>
                <w:szCs w:val="18"/>
              </w:rPr>
            </w:pPr>
            <w:r>
              <w:rPr>
                <w:rFonts w:ascii="宋体"/>
                <w:sz w:val="18"/>
                <w:szCs w:val="18"/>
              </w:rPr>
              <w:t>蛔虫卵死亡率%</w:t>
            </w:r>
          </w:p>
        </w:tc>
        <w:tc>
          <w:tcPr>
            <w:tcW w:w="714" w:type="pct"/>
            <w:vAlign w:val="center"/>
          </w:tcPr>
          <w:p>
            <w:pPr>
              <w:pStyle w:val="25"/>
              <w:ind w:firstLine="0" w:firstLineChars="0"/>
              <w:jc w:val="center"/>
              <w:rPr>
                <w:rFonts w:ascii="宋体"/>
                <w:sz w:val="18"/>
                <w:szCs w:val="18"/>
              </w:rPr>
            </w:pPr>
            <w:r>
              <w:rPr>
                <w:rFonts w:ascii="宋体"/>
                <w:sz w:val="18"/>
                <w:szCs w:val="18"/>
              </w:rPr>
              <w:t>95</w:t>
            </w:r>
          </w:p>
        </w:tc>
        <w:tc>
          <w:tcPr>
            <w:tcW w:w="714" w:type="pct"/>
            <w:vAlign w:val="center"/>
          </w:tcPr>
          <w:p>
            <w:pPr>
              <w:pStyle w:val="25"/>
              <w:ind w:firstLine="0" w:firstLineChars="0"/>
              <w:jc w:val="center"/>
              <w:rPr>
                <w:rFonts w:ascii="宋体"/>
                <w:sz w:val="18"/>
                <w:szCs w:val="18"/>
              </w:rPr>
            </w:pPr>
            <w:r>
              <w:rPr>
                <w:rFonts w:ascii="宋体"/>
                <w:sz w:val="18"/>
                <w:szCs w:val="18"/>
              </w:rPr>
              <w:t>95</w:t>
            </w:r>
          </w:p>
        </w:tc>
        <w:tc>
          <w:tcPr>
            <w:tcW w:w="714" w:type="pct"/>
            <w:vAlign w:val="center"/>
          </w:tcPr>
          <w:p>
            <w:pPr>
              <w:pStyle w:val="25"/>
              <w:ind w:firstLine="0" w:firstLineChars="0"/>
              <w:jc w:val="center"/>
              <w:rPr>
                <w:rFonts w:ascii="宋体"/>
                <w:sz w:val="18"/>
                <w:szCs w:val="18"/>
              </w:rPr>
            </w:pPr>
            <w:r>
              <w:rPr>
                <w:rFonts w:ascii="宋体"/>
                <w:sz w:val="18"/>
                <w:szCs w:val="18"/>
              </w:rPr>
              <w:t>95</w:t>
            </w:r>
          </w:p>
        </w:tc>
        <w:tc>
          <w:tcPr>
            <w:tcW w:w="714" w:type="pct"/>
            <w:vAlign w:val="center"/>
          </w:tcPr>
          <w:p>
            <w:pPr>
              <w:pStyle w:val="25"/>
              <w:ind w:firstLine="0" w:firstLineChars="0"/>
              <w:jc w:val="center"/>
              <w:rPr>
                <w:rFonts w:ascii="宋体"/>
                <w:sz w:val="18"/>
                <w:szCs w:val="18"/>
              </w:rPr>
            </w:pPr>
            <w:r>
              <w:rPr>
                <w:rFonts w:ascii="宋体"/>
                <w:sz w:val="18"/>
                <w:szCs w:val="18"/>
              </w:rPr>
              <w:t>95</w:t>
            </w:r>
          </w:p>
        </w:tc>
        <w:tc>
          <w:tcPr>
            <w:tcW w:w="714" w:type="pct"/>
            <w:vAlign w:val="center"/>
          </w:tcPr>
          <w:p>
            <w:pPr>
              <w:pStyle w:val="25"/>
              <w:ind w:firstLine="0" w:firstLineChars="0"/>
              <w:jc w:val="center"/>
              <w:rPr>
                <w:rFonts w:ascii="宋体"/>
                <w:sz w:val="18"/>
                <w:szCs w:val="18"/>
              </w:rPr>
            </w:pPr>
            <w:r>
              <w:rPr>
                <w:rFonts w:asci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7"/>
            <w:vAlign w:val="center"/>
          </w:tcPr>
          <w:p>
            <w:pPr>
              <w:pStyle w:val="25"/>
              <w:ind w:firstLine="0" w:firstLineChars="0"/>
              <w:rPr>
                <w:rFonts w:ascii="宋体"/>
                <w:sz w:val="18"/>
                <w:szCs w:val="18"/>
              </w:rPr>
            </w:pPr>
            <w:r>
              <w:rPr>
                <w:rFonts w:ascii="宋体"/>
                <w:sz w:val="18"/>
                <w:szCs w:val="18"/>
              </w:rPr>
              <w:t>注：表中值为下限值。</w:t>
            </w:r>
          </w:p>
        </w:tc>
      </w:tr>
      <w:bookmarkEnd w:id="89"/>
    </w:tbl>
    <w:p>
      <w:pPr>
        <w:pStyle w:val="49"/>
        <w:spacing w:before="312" w:after="312"/>
        <w:rPr>
          <w:rFonts w:ascii="Times New Roman"/>
        </w:rPr>
      </w:pPr>
      <w:bookmarkStart w:id="121" w:name="_Toc162597499"/>
      <w:r>
        <w:rPr>
          <w:rFonts w:ascii="Times New Roman"/>
        </w:rPr>
        <w:t>勘察测量文件</w:t>
      </w:r>
      <w:bookmarkEnd w:id="121"/>
    </w:p>
    <w:p>
      <w:pPr>
        <w:pStyle w:val="46"/>
        <w:tabs>
          <w:tab w:val="left" w:pos="7371"/>
        </w:tabs>
        <w:rPr>
          <w:rFonts w:ascii="Times New Roman"/>
          <w:bCs/>
        </w:rPr>
      </w:pPr>
      <w:bookmarkStart w:id="122" w:name="_Toc162597500"/>
      <w:r>
        <w:rPr>
          <w:rFonts w:ascii="Times New Roman"/>
          <w:bCs/>
        </w:rPr>
        <w:t>勘察大纲</w:t>
      </w:r>
      <w:bookmarkEnd w:id="122"/>
    </w:p>
    <w:p>
      <w:pPr>
        <w:pStyle w:val="67"/>
        <w:numPr>
          <w:ilvl w:val="0"/>
          <w:numId w:val="0"/>
        </w:numPr>
      </w:pPr>
      <w:r>
        <w:t>工程勘察应在搜集、分析已有资料和现场踏勘的基础上，根据勘察目的、任务和现行相应技术标准的要求，针对拟建工程特点和场地工程地质条件编制勘察纲要。勘察纲要应包括下列内容：</w:t>
      </w:r>
    </w:p>
    <w:p>
      <w:pPr>
        <w:pStyle w:val="25"/>
        <w:numPr>
          <w:ilvl w:val="0"/>
          <w:numId w:val="32"/>
        </w:numPr>
        <w:ind w:firstLineChars="0"/>
      </w:pPr>
      <w:r>
        <w:t>工程概况；</w:t>
      </w:r>
    </w:p>
    <w:p>
      <w:pPr>
        <w:pStyle w:val="25"/>
        <w:numPr>
          <w:ilvl w:val="0"/>
          <w:numId w:val="32"/>
        </w:numPr>
        <w:ind w:firstLineChars="0"/>
      </w:pPr>
      <w:r>
        <w:t>概述拟建场地环境、工程地质条件、附近参考地质资料（如有）；</w:t>
      </w:r>
    </w:p>
    <w:p>
      <w:pPr>
        <w:pStyle w:val="25"/>
        <w:numPr>
          <w:ilvl w:val="0"/>
          <w:numId w:val="32"/>
        </w:numPr>
        <w:ind w:firstLineChars="0"/>
      </w:pPr>
      <w:r>
        <w:t>勘察目的、任务要求及需解决的主要技术问题；</w:t>
      </w:r>
    </w:p>
    <w:p>
      <w:pPr>
        <w:pStyle w:val="25"/>
        <w:numPr>
          <w:ilvl w:val="0"/>
          <w:numId w:val="32"/>
        </w:numPr>
        <w:ind w:firstLineChars="0"/>
      </w:pPr>
      <w:r>
        <w:t>执行的技术标准；</w:t>
      </w:r>
    </w:p>
    <w:p>
      <w:pPr>
        <w:pStyle w:val="25"/>
        <w:numPr>
          <w:ilvl w:val="0"/>
          <w:numId w:val="32"/>
        </w:numPr>
        <w:ind w:firstLineChars="0"/>
      </w:pPr>
      <w:r>
        <w:t>选用的勘探方法；</w:t>
      </w:r>
    </w:p>
    <w:p>
      <w:pPr>
        <w:pStyle w:val="25"/>
        <w:numPr>
          <w:ilvl w:val="0"/>
          <w:numId w:val="32"/>
        </w:numPr>
        <w:ind w:firstLineChars="0"/>
      </w:pPr>
      <w:r>
        <w:t>勘察工作布置；</w:t>
      </w:r>
    </w:p>
    <w:p>
      <w:pPr>
        <w:pStyle w:val="25"/>
        <w:numPr>
          <w:ilvl w:val="0"/>
          <w:numId w:val="32"/>
        </w:numPr>
        <w:ind w:firstLineChars="0"/>
      </w:pPr>
      <w:r>
        <w:t>勘探完成后的现场处理；</w:t>
      </w:r>
    </w:p>
    <w:p>
      <w:pPr>
        <w:pStyle w:val="25"/>
        <w:numPr>
          <w:ilvl w:val="0"/>
          <w:numId w:val="32"/>
        </w:numPr>
        <w:ind w:firstLineChars="0"/>
      </w:pPr>
      <w:r>
        <w:t>拟采取的质量控制、安全保证和环境保护措施；</w:t>
      </w:r>
    </w:p>
    <w:p>
      <w:pPr>
        <w:pStyle w:val="25"/>
        <w:numPr>
          <w:ilvl w:val="0"/>
          <w:numId w:val="32"/>
        </w:numPr>
        <w:ind w:firstLineChars="0"/>
      </w:pPr>
      <w:r>
        <w:t>拟投入的仪器设备、人员安排、勘察进度计划等；</w:t>
      </w:r>
    </w:p>
    <w:p>
      <w:pPr>
        <w:pStyle w:val="25"/>
        <w:numPr>
          <w:ilvl w:val="0"/>
          <w:numId w:val="32"/>
        </w:numPr>
        <w:ind w:firstLineChars="0"/>
      </w:pPr>
      <w:r>
        <w:t>勘察安全、技术交底及验槽等后期服务；</w:t>
      </w:r>
    </w:p>
    <w:p>
      <w:pPr>
        <w:pStyle w:val="25"/>
        <w:numPr>
          <w:ilvl w:val="0"/>
          <w:numId w:val="32"/>
        </w:numPr>
        <w:ind w:firstLineChars="0"/>
      </w:pPr>
      <w:r>
        <w:t>拟建工程勘探点平面布置图。</w:t>
      </w:r>
    </w:p>
    <w:p>
      <w:pPr>
        <w:pStyle w:val="67"/>
      </w:pPr>
      <w:r>
        <w:t>勘察大纲中勘察工作布置应包括下列内容：</w:t>
      </w:r>
    </w:p>
    <w:p>
      <w:pPr>
        <w:pStyle w:val="25"/>
        <w:numPr>
          <w:ilvl w:val="0"/>
          <w:numId w:val="33"/>
        </w:numPr>
        <w:ind w:firstLineChars="0"/>
      </w:pPr>
      <w:r>
        <w:t>钻探（井探、槽探、洞探）布置；</w:t>
      </w:r>
    </w:p>
    <w:p>
      <w:pPr>
        <w:pStyle w:val="25"/>
        <w:numPr>
          <w:ilvl w:val="0"/>
          <w:numId w:val="33"/>
        </w:numPr>
        <w:ind w:firstLineChars="0"/>
      </w:pPr>
      <w:r>
        <w:t>地球物理勘探、原位测试的方法和布置；</w:t>
      </w:r>
    </w:p>
    <w:p>
      <w:pPr>
        <w:pStyle w:val="25"/>
        <w:numPr>
          <w:ilvl w:val="0"/>
          <w:numId w:val="33"/>
        </w:numPr>
        <w:ind w:firstLineChars="0"/>
      </w:pPr>
      <w:r>
        <w:t>取样方法和取样器选择，采取岩样、土样和水样及其存储、保护和运输要求；</w:t>
      </w:r>
    </w:p>
    <w:p>
      <w:pPr>
        <w:pStyle w:val="25"/>
        <w:numPr>
          <w:ilvl w:val="0"/>
          <w:numId w:val="33"/>
        </w:numPr>
        <w:ind w:firstLineChars="0"/>
      </w:pPr>
      <w:r>
        <w:t>室内岩、土、水试验内容、方法与数量；</w:t>
      </w:r>
    </w:p>
    <w:p>
      <w:pPr>
        <w:pStyle w:val="67"/>
      </w:pPr>
      <w:r>
        <w:t>当勘察纲要中拟定的勘察工作不能满足任务要求时，应及时调整勘察纲要或编制补充勘察纲要。</w:t>
      </w:r>
    </w:p>
    <w:p>
      <w:pPr>
        <w:pStyle w:val="67"/>
      </w:pPr>
      <w:r>
        <w:t>勘察纲要及其变更应由勘察项目负责人签字。</w:t>
      </w:r>
    </w:p>
    <w:p>
      <w:pPr>
        <w:pStyle w:val="46"/>
        <w:tabs>
          <w:tab w:val="left" w:pos="7371"/>
        </w:tabs>
        <w:rPr>
          <w:rFonts w:ascii="Times New Roman"/>
          <w:bCs/>
        </w:rPr>
      </w:pPr>
      <w:bookmarkStart w:id="123" w:name="_Toc162597501"/>
      <w:r>
        <w:rPr>
          <w:rFonts w:ascii="Times New Roman"/>
          <w:bCs/>
        </w:rPr>
        <w:t>勘察成果要求及报告</w:t>
      </w:r>
      <w:bookmarkEnd w:id="123"/>
    </w:p>
    <w:p>
      <w:pPr>
        <w:pStyle w:val="67"/>
      </w:pPr>
      <w:r>
        <w:t>工程勘察报告应资料真实、内容完整，有明确的工程针对性。</w:t>
      </w:r>
    </w:p>
    <w:p>
      <w:pPr>
        <w:pStyle w:val="67"/>
      </w:pPr>
      <w:r>
        <w:t>工程勘察报告应包括文字部分和图表部分，并应符合下列规定：</w:t>
      </w:r>
    </w:p>
    <w:p>
      <w:pPr>
        <w:pStyle w:val="25"/>
        <w:numPr>
          <w:ilvl w:val="0"/>
          <w:numId w:val="34"/>
        </w:numPr>
        <w:ind w:firstLineChars="0"/>
      </w:pPr>
      <w:r>
        <w:t>勘察报告应有单位公章、相关责任人签章；</w:t>
      </w:r>
    </w:p>
    <w:p>
      <w:pPr>
        <w:pStyle w:val="25"/>
        <w:numPr>
          <w:ilvl w:val="0"/>
          <w:numId w:val="34"/>
        </w:numPr>
        <w:ind w:firstLineChars="0"/>
      </w:pPr>
      <w:r>
        <w:t>图表应有名称、项日名称及相关责任人签字。</w:t>
      </w:r>
    </w:p>
    <w:p>
      <w:pPr>
        <w:pStyle w:val="67"/>
      </w:pPr>
      <w:r>
        <w:t>工程勘察报告应根据任务要求、勘察阶段、工程特点和地质条件等编写，并应包括下列内容：</w:t>
      </w:r>
    </w:p>
    <w:p>
      <w:pPr>
        <w:pStyle w:val="25"/>
        <w:numPr>
          <w:ilvl w:val="0"/>
          <w:numId w:val="35"/>
        </w:numPr>
        <w:ind w:firstLineChars="0"/>
      </w:pPr>
      <w:r>
        <w:t>勘察目的、任务要求和依据的技术标准；</w:t>
      </w:r>
    </w:p>
    <w:p>
      <w:pPr>
        <w:pStyle w:val="25"/>
        <w:numPr>
          <w:ilvl w:val="0"/>
          <w:numId w:val="35"/>
        </w:numPr>
        <w:ind w:firstLineChars="0"/>
      </w:pPr>
      <w:r>
        <w:t>勘察方法和勘察工作布置；</w:t>
      </w:r>
    </w:p>
    <w:p>
      <w:pPr>
        <w:pStyle w:val="25"/>
        <w:numPr>
          <w:ilvl w:val="0"/>
          <w:numId w:val="35"/>
        </w:numPr>
        <w:ind w:firstLineChars="0"/>
      </w:pPr>
      <w:r>
        <w:t>河道、湖（淀）泊、水库基本资料；</w:t>
      </w:r>
    </w:p>
    <w:p>
      <w:pPr>
        <w:pStyle w:val="25"/>
        <w:numPr>
          <w:ilvl w:val="0"/>
          <w:numId w:val="35"/>
        </w:numPr>
        <w:ind w:firstLineChars="0"/>
      </w:pPr>
      <w:r>
        <w:t>河道、湖（淀）泊、水库生态环境资料；</w:t>
      </w:r>
    </w:p>
    <w:p>
      <w:pPr>
        <w:pStyle w:val="25"/>
        <w:numPr>
          <w:ilvl w:val="0"/>
          <w:numId w:val="35"/>
        </w:numPr>
        <w:ind w:firstLineChars="0"/>
      </w:pPr>
      <w:r>
        <w:t>河道、湖（淀）泊、水库水文气象资料；</w:t>
      </w:r>
    </w:p>
    <w:p>
      <w:pPr>
        <w:pStyle w:val="25"/>
        <w:numPr>
          <w:ilvl w:val="0"/>
          <w:numId w:val="35"/>
        </w:numPr>
        <w:ind w:firstLineChars="0"/>
      </w:pPr>
      <w:r>
        <w:t>河道、湖（淀）泊、水库地形地质资料；</w:t>
      </w:r>
    </w:p>
    <w:p>
      <w:pPr>
        <w:pStyle w:val="25"/>
        <w:numPr>
          <w:ilvl w:val="0"/>
          <w:numId w:val="35"/>
        </w:numPr>
        <w:ind w:firstLineChars="0"/>
      </w:pPr>
      <w:r>
        <w:t>河道、湖（淀）泊、水库底泥物理力学及物理化学特性；</w:t>
      </w:r>
    </w:p>
    <w:p>
      <w:pPr>
        <w:pStyle w:val="25"/>
        <w:numPr>
          <w:ilvl w:val="0"/>
          <w:numId w:val="35"/>
        </w:numPr>
        <w:ind w:firstLineChars="0"/>
      </w:pPr>
      <w:r>
        <w:t>河道、湖（淀）泊、水库清淤对堤岸稳定性的影响评价；</w:t>
      </w:r>
    </w:p>
    <w:p>
      <w:pPr>
        <w:pStyle w:val="25"/>
        <w:numPr>
          <w:ilvl w:val="0"/>
          <w:numId w:val="35"/>
        </w:numPr>
        <w:ind w:firstLineChars="0"/>
      </w:pPr>
      <w:r>
        <w:t>河道、湖（淀）泊、水库清淤对生态环境的影响评价；</w:t>
      </w:r>
    </w:p>
    <w:p>
      <w:pPr>
        <w:pStyle w:val="25"/>
        <w:numPr>
          <w:ilvl w:val="0"/>
          <w:numId w:val="35"/>
        </w:numPr>
        <w:ind w:firstLineChars="0"/>
      </w:pPr>
      <w:r>
        <w:t>清淤堆存、处置场地岩土工程评价；</w:t>
      </w:r>
    </w:p>
    <w:p>
      <w:pPr>
        <w:pStyle w:val="25"/>
        <w:numPr>
          <w:ilvl w:val="0"/>
          <w:numId w:val="35"/>
        </w:numPr>
        <w:ind w:firstLineChars="0"/>
      </w:pPr>
      <w:r>
        <w:t>结论与建议；</w:t>
      </w:r>
    </w:p>
    <w:p>
      <w:pPr>
        <w:pStyle w:val="25"/>
        <w:numPr>
          <w:ilvl w:val="0"/>
          <w:numId w:val="35"/>
        </w:numPr>
        <w:ind w:firstLineChars="0"/>
      </w:pPr>
      <w:r>
        <w:t>相关附图附表。</w:t>
      </w:r>
    </w:p>
    <w:p>
      <w:pPr>
        <w:pStyle w:val="46"/>
        <w:rPr>
          <w:rFonts w:ascii="Times New Roman"/>
          <w:bCs/>
        </w:rPr>
      </w:pPr>
      <w:bookmarkStart w:id="124" w:name="_Toc162597502"/>
      <w:r>
        <w:rPr>
          <w:rFonts w:ascii="Times New Roman"/>
          <w:bCs/>
        </w:rPr>
        <w:t>测量技术设计方案</w:t>
      </w:r>
      <w:bookmarkEnd w:id="124"/>
    </w:p>
    <w:p>
      <w:pPr>
        <w:pStyle w:val="50"/>
        <w:spacing w:before="156" w:after="156"/>
        <w:ind w:left="0"/>
      </w:pPr>
      <w:r>
        <w:t>概述</w:t>
      </w:r>
    </w:p>
    <w:p>
      <w:pPr>
        <w:pStyle w:val="25"/>
        <w:ind w:firstLine="420"/>
      </w:pPr>
      <w:r>
        <w:t>简述任务要求、依据的标准、原有测量资料的精度、测图比例尺，河道、湖（淀）泊、水库清淤工程测区的水下地貌、航行条件、避风锚地、交通运输、通信联络、水文气象、经济状况、物资供应、生活补给和人员组织、仪器、车船配置。</w:t>
      </w:r>
    </w:p>
    <w:p>
      <w:pPr>
        <w:pStyle w:val="50"/>
        <w:spacing w:before="156" w:after="156"/>
        <w:ind w:left="0"/>
      </w:pPr>
      <w:r>
        <w:t>技术设计</w:t>
      </w:r>
    </w:p>
    <w:p>
      <w:pPr>
        <w:pStyle w:val="55"/>
        <w:spacing w:before="156" w:after="156"/>
      </w:pPr>
      <w:r>
        <w:t>控制测量</w:t>
      </w:r>
    </w:p>
    <w:p>
      <w:pPr>
        <w:pStyle w:val="25"/>
        <w:numPr>
          <w:ilvl w:val="0"/>
          <w:numId w:val="36"/>
        </w:numPr>
        <w:ind w:firstLineChars="0"/>
      </w:pPr>
      <w:r>
        <w:t>采用的平面、高程系统、投影带和投影面、平面或高程系统相互转换及对拟利用的原有资料检测的方法；</w:t>
      </w:r>
    </w:p>
    <w:p>
      <w:pPr>
        <w:pStyle w:val="25"/>
        <w:numPr>
          <w:ilvl w:val="0"/>
          <w:numId w:val="36"/>
        </w:numPr>
        <w:ind w:firstLineChars="0"/>
      </w:pPr>
      <w:r>
        <w:t>平面、高程布网方案、观测方法、平差方法；</w:t>
      </w:r>
    </w:p>
    <w:p>
      <w:pPr>
        <w:pStyle w:val="25"/>
        <w:numPr>
          <w:ilvl w:val="0"/>
          <w:numId w:val="36"/>
        </w:numPr>
        <w:ind w:firstLineChars="0"/>
      </w:pPr>
      <w:r>
        <w:t>造标类型高度、埋石规格、需用材料的估算及点之记要求；</w:t>
      </w:r>
    </w:p>
    <w:p>
      <w:pPr>
        <w:pStyle w:val="25"/>
        <w:numPr>
          <w:ilvl w:val="0"/>
          <w:numId w:val="36"/>
        </w:numPr>
        <w:ind w:firstLineChars="0"/>
      </w:pPr>
      <w:r>
        <w:t>水位控制的实施方案，水位站配布的数量、站址、有效控制范围；</w:t>
      </w:r>
    </w:p>
    <w:p>
      <w:pPr>
        <w:pStyle w:val="25"/>
        <w:numPr>
          <w:ilvl w:val="0"/>
          <w:numId w:val="36"/>
        </w:numPr>
        <w:ind w:firstLineChars="0"/>
      </w:pPr>
      <w:r>
        <w:t>平均海面、深度基准面、绘图水位的计算；</w:t>
      </w:r>
    </w:p>
    <w:p>
      <w:pPr>
        <w:pStyle w:val="25"/>
        <w:numPr>
          <w:ilvl w:val="0"/>
          <w:numId w:val="36"/>
        </w:numPr>
        <w:ind w:firstLineChars="0"/>
      </w:pPr>
      <w:r>
        <w:t>人员、仪器、交通设备及测量实施计划进度。</w:t>
      </w:r>
    </w:p>
    <w:p>
      <w:pPr>
        <w:pStyle w:val="55"/>
        <w:spacing w:before="156" w:after="156"/>
      </w:pPr>
      <w:r>
        <w:t>地形测量</w:t>
      </w:r>
    </w:p>
    <w:p>
      <w:pPr>
        <w:pStyle w:val="25"/>
        <w:numPr>
          <w:ilvl w:val="0"/>
          <w:numId w:val="37"/>
        </w:numPr>
        <w:ind w:firstLineChars="0"/>
      </w:pPr>
      <w:r>
        <w:t>测图控制点及测量方法；</w:t>
      </w:r>
    </w:p>
    <w:p>
      <w:pPr>
        <w:pStyle w:val="25"/>
        <w:numPr>
          <w:ilvl w:val="0"/>
          <w:numId w:val="37"/>
        </w:numPr>
        <w:ind w:firstLineChars="0"/>
      </w:pPr>
      <w:r>
        <w:t>实测和修测区域的范围、测绘和检测方法及基本等高距；</w:t>
      </w:r>
    </w:p>
    <w:p>
      <w:pPr>
        <w:pStyle w:val="25"/>
        <w:numPr>
          <w:ilvl w:val="0"/>
          <w:numId w:val="37"/>
        </w:numPr>
        <w:ind w:firstLineChars="0"/>
      </w:pPr>
      <w:r>
        <w:t>内业整理及内业绘图技术要求；</w:t>
      </w:r>
    </w:p>
    <w:p>
      <w:pPr>
        <w:pStyle w:val="25"/>
        <w:numPr>
          <w:ilvl w:val="0"/>
          <w:numId w:val="37"/>
        </w:numPr>
        <w:ind w:firstLineChars="0"/>
      </w:pPr>
      <w:r>
        <w:t>任务委托书中的特殊要求和作业方法；</w:t>
      </w:r>
    </w:p>
    <w:p>
      <w:pPr>
        <w:pStyle w:val="25"/>
        <w:numPr>
          <w:ilvl w:val="0"/>
          <w:numId w:val="37"/>
        </w:numPr>
        <w:ind w:firstLineChars="0"/>
      </w:pPr>
      <w:r>
        <w:t>人员、仪器、交通设备及测量实施计划进度。</w:t>
      </w:r>
    </w:p>
    <w:p>
      <w:pPr>
        <w:pStyle w:val="55"/>
        <w:spacing w:before="156" w:after="156"/>
      </w:pPr>
      <w:r>
        <w:t>水深测量</w:t>
      </w:r>
    </w:p>
    <w:p>
      <w:pPr>
        <w:pStyle w:val="25"/>
        <w:numPr>
          <w:ilvl w:val="0"/>
          <w:numId w:val="38"/>
        </w:numPr>
        <w:ind w:firstLineChars="0"/>
      </w:pPr>
      <w:r>
        <w:t>测深线布设密度、数量、定位点间距及深度插点原则；</w:t>
      </w:r>
    </w:p>
    <w:p>
      <w:pPr>
        <w:pStyle w:val="25"/>
        <w:numPr>
          <w:ilvl w:val="0"/>
          <w:numId w:val="38"/>
        </w:numPr>
        <w:ind w:firstLineChars="0"/>
      </w:pPr>
      <w:r>
        <w:t>水位观测数据；</w:t>
      </w:r>
    </w:p>
    <w:p>
      <w:pPr>
        <w:pStyle w:val="25"/>
        <w:numPr>
          <w:ilvl w:val="0"/>
          <w:numId w:val="38"/>
        </w:numPr>
        <w:ind w:firstLineChars="0"/>
      </w:pPr>
      <w:r>
        <w:t>水位改正区域的划分及深度改正方法；</w:t>
      </w:r>
    </w:p>
    <w:p>
      <w:pPr>
        <w:pStyle w:val="25"/>
        <w:numPr>
          <w:ilvl w:val="0"/>
          <w:numId w:val="38"/>
        </w:numPr>
        <w:ind w:firstLineChars="0"/>
      </w:pPr>
      <w:r>
        <w:t>定位方式、站台布设、精度估算和定位区域划分；</w:t>
      </w:r>
    </w:p>
    <w:p>
      <w:pPr>
        <w:pStyle w:val="25"/>
        <w:numPr>
          <w:ilvl w:val="0"/>
          <w:numId w:val="38"/>
        </w:numPr>
        <w:ind w:firstLineChars="0"/>
      </w:pPr>
      <w:r>
        <w:t>扫测和航行障碍物探测线的布设、作业手段和方法、扫海趟布设和重叠带宽度设计；</w:t>
      </w:r>
    </w:p>
    <w:p>
      <w:pPr>
        <w:pStyle w:val="25"/>
        <w:numPr>
          <w:ilvl w:val="0"/>
          <w:numId w:val="38"/>
        </w:numPr>
        <w:ind w:firstLineChars="0"/>
      </w:pPr>
      <w:r>
        <w:t>适航水深测量的仪器、测量方法、内外业技术要求；</w:t>
      </w:r>
    </w:p>
    <w:p>
      <w:pPr>
        <w:pStyle w:val="25"/>
        <w:numPr>
          <w:ilvl w:val="0"/>
          <w:numId w:val="38"/>
        </w:numPr>
        <w:ind w:firstLineChars="0"/>
      </w:pPr>
      <w:r>
        <w:t>内业整理和绘图方案及技术要求；</w:t>
      </w:r>
    </w:p>
    <w:p>
      <w:pPr>
        <w:pStyle w:val="25"/>
        <w:numPr>
          <w:ilvl w:val="0"/>
          <w:numId w:val="36"/>
        </w:numPr>
        <w:ind w:firstLineChars="0"/>
      </w:pPr>
      <w:r>
        <w:t>人员、仪器、交通设备及测量实施计划进度。</w:t>
      </w:r>
    </w:p>
    <w:p>
      <w:pPr>
        <w:pStyle w:val="55"/>
        <w:spacing w:before="156" w:after="156"/>
      </w:pPr>
      <w:r>
        <w:t>施工测量</w:t>
      </w:r>
    </w:p>
    <w:p>
      <w:pPr>
        <w:pStyle w:val="25"/>
        <w:numPr>
          <w:ilvl w:val="0"/>
          <w:numId w:val="39"/>
        </w:numPr>
        <w:ind w:firstLineChars="0"/>
      </w:pPr>
      <w:r>
        <w:t>施工控制测量实施方案及水位站布设方案；</w:t>
      </w:r>
    </w:p>
    <w:p>
      <w:pPr>
        <w:pStyle w:val="25"/>
        <w:numPr>
          <w:ilvl w:val="0"/>
          <w:numId w:val="39"/>
        </w:numPr>
        <w:ind w:firstLineChars="0"/>
      </w:pPr>
      <w:r>
        <w:t>施工标志及其放样方案；</w:t>
      </w:r>
    </w:p>
    <w:p>
      <w:pPr>
        <w:pStyle w:val="25"/>
        <w:numPr>
          <w:ilvl w:val="0"/>
          <w:numId w:val="39"/>
        </w:numPr>
        <w:ind w:firstLineChars="0"/>
      </w:pPr>
      <w:r>
        <w:t>清淤施工测量要求。</w:t>
      </w:r>
    </w:p>
    <w:p>
      <w:pPr>
        <w:pStyle w:val="55"/>
        <w:spacing w:before="156" w:after="156"/>
      </w:pPr>
      <w:r>
        <w:t>制图</w:t>
      </w:r>
    </w:p>
    <w:p>
      <w:pPr>
        <w:pStyle w:val="25"/>
        <w:numPr>
          <w:ilvl w:val="0"/>
          <w:numId w:val="40"/>
        </w:numPr>
        <w:ind w:firstLineChars="0"/>
      </w:pPr>
      <w:r>
        <w:t>制图数学基础、图幅规格、分幅和制图比例尺；</w:t>
      </w:r>
    </w:p>
    <w:p>
      <w:pPr>
        <w:pStyle w:val="25"/>
        <w:numPr>
          <w:ilvl w:val="0"/>
          <w:numId w:val="40"/>
        </w:numPr>
        <w:ind w:firstLineChars="0"/>
      </w:pPr>
      <w:r>
        <w:t>编图方法和工具；</w:t>
      </w:r>
    </w:p>
    <w:p>
      <w:pPr>
        <w:pStyle w:val="25"/>
        <w:numPr>
          <w:ilvl w:val="0"/>
          <w:numId w:val="40"/>
        </w:numPr>
        <w:ind w:firstLineChars="0"/>
      </w:pPr>
      <w:r>
        <w:t>编图计划、内容；</w:t>
      </w:r>
    </w:p>
    <w:p>
      <w:pPr>
        <w:pStyle w:val="25"/>
        <w:numPr>
          <w:ilvl w:val="0"/>
          <w:numId w:val="40"/>
        </w:numPr>
        <w:ind w:firstLineChars="0"/>
      </w:pPr>
      <w:r>
        <w:t>制图输出精度。</w:t>
      </w:r>
    </w:p>
    <w:p>
      <w:pPr>
        <w:pStyle w:val="55"/>
        <w:spacing w:before="156" w:after="156"/>
      </w:pPr>
      <w:r>
        <w:t>相关图表</w:t>
      </w:r>
    </w:p>
    <w:p>
      <w:pPr>
        <w:pStyle w:val="46"/>
        <w:tabs>
          <w:tab w:val="left" w:pos="7371"/>
        </w:tabs>
        <w:rPr>
          <w:rFonts w:ascii="Times New Roman"/>
          <w:bCs/>
        </w:rPr>
      </w:pPr>
      <w:bookmarkStart w:id="125" w:name="_Toc162597503"/>
      <w:r>
        <w:rPr>
          <w:rFonts w:ascii="Times New Roman"/>
          <w:bCs/>
        </w:rPr>
        <w:t>测量成果要求及报告</w:t>
      </w:r>
      <w:bookmarkEnd w:id="125"/>
    </w:p>
    <w:p>
      <w:pPr>
        <w:pStyle w:val="50"/>
        <w:spacing w:before="156" w:after="156"/>
        <w:ind w:left="0"/>
      </w:pPr>
      <w:r>
        <w:t>质量检查与验收</w:t>
      </w:r>
    </w:p>
    <w:p>
      <w:pPr>
        <w:pStyle w:val="55"/>
        <w:spacing w:before="0" w:beforeLines="0" w:after="0" w:afterLines="0"/>
        <w:rPr>
          <w:rFonts w:eastAsia="宋体"/>
        </w:rPr>
      </w:pPr>
      <w:r>
        <w:rPr>
          <w:rFonts w:eastAsia="宋体"/>
        </w:rPr>
        <w:t>检查验收和质量处理应按照GB/T 24356相关章节内容执行。</w:t>
      </w:r>
    </w:p>
    <w:p>
      <w:pPr>
        <w:pStyle w:val="117"/>
      </w:pPr>
      <w:r>
        <w:t>数据成果质量通过二级检查一级验收，成果应依次通过测量单位作业部门的过程检查，测绘单位质量管理部门的最终检查和项目管理单位组织的验收或委托具有资质的质量检验机构进行质量验收，其要求如下：</w:t>
      </w:r>
    </w:p>
    <w:p>
      <w:pPr>
        <w:pStyle w:val="25"/>
        <w:numPr>
          <w:ilvl w:val="0"/>
          <w:numId w:val="41"/>
        </w:numPr>
        <w:ind w:firstLineChars="0"/>
      </w:pPr>
      <w:r>
        <w:t>测量单位宜实施测量成果质量的过程检查和最终检查。过程检查应采用全数检查。最终检查宜采用全数检查，涉及野外检查项的可采用抽样检查（样本量执行GB/T24356表4有关规定），样本以外的应实施内业下数检查；</w:t>
      </w:r>
    </w:p>
    <w:p>
      <w:pPr>
        <w:pStyle w:val="25"/>
        <w:numPr>
          <w:ilvl w:val="0"/>
          <w:numId w:val="41"/>
        </w:numPr>
        <w:ind w:firstLineChars="0"/>
      </w:pPr>
      <w:r>
        <w:t>验收宜采用抽样检查，样本量同最终检查有关规定。质量检验机构应对样本进行详查，必要时可对样本外的单位成果的重要检查项进行概查；</w:t>
      </w:r>
    </w:p>
    <w:p>
      <w:pPr>
        <w:pStyle w:val="25"/>
        <w:numPr>
          <w:ilvl w:val="0"/>
          <w:numId w:val="41"/>
        </w:numPr>
        <w:ind w:firstLineChars="0"/>
      </w:pPr>
      <w:r>
        <w:t>各级检查验收工作应独立、按照顺序进行，不得省略、代替或颠倒顺序；</w:t>
      </w:r>
    </w:p>
    <w:p>
      <w:pPr>
        <w:pStyle w:val="25"/>
        <w:numPr>
          <w:ilvl w:val="0"/>
          <w:numId w:val="41"/>
        </w:numPr>
        <w:ind w:firstLineChars="0"/>
      </w:pPr>
      <w:r>
        <w:t>最终检查应审核过程检查记录，验收应审核最终检查记录。审核发现问题作为资料质量错漏处理。</w:t>
      </w:r>
    </w:p>
    <w:p>
      <w:pPr>
        <w:pStyle w:val="117"/>
      </w:pPr>
      <w:r>
        <w:t>检查宜包括以下内容：</w:t>
      </w:r>
    </w:p>
    <w:p>
      <w:pPr>
        <w:pStyle w:val="25"/>
        <w:numPr>
          <w:ilvl w:val="0"/>
          <w:numId w:val="42"/>
        </w:numPr>
        <w:ind w:firstLineChars="0"/>
      </w:pPr>
      <w:r>
        <w:t>控制测量资料的合理性、完整性和正确性；</w:t>
      </w:r>
    </w:p>
    <w:p>
      <w:pPr>
        <w:pStyle w:val="25"/>
        <w:numPr>
          <w:ilvl w:val="0"/>
          <w:numId w:val="42"/>
        </w:numPr>
        <w:ind w:firstLineChars="0"/>
      </w:pPr>
      <w:r>
        <w:t>仪器选择的合理性及检定证书的完整性，仪器设备安装的正确性；</w:t>
      </w:r>
    </w:p>
    <w:p>
      <w:pPr>
        <w:pStyle w:val="25"/>
        <w:numPr>
          <w:ilvl w:val="0"/>
          <w:numId w:val="42"/>
        </w:numPr>
        <w:ind w:firstLineChars="0"/>
      </w:pPr>
      <w:r>
        <w:t>水位站布设的合理性及设备的安装可靠性；</w:t>
      </w:r>
    </w:p>
    <w:p>
      <w:pPr>
        <w:pStyle w:val="25"/>
        <w:numPr>
          <w:ilvl w:val="0"/>
          <w:numId w:val="42"/>
        </w:numPr>
        <w:ind w:firstLineChars="0"/>
      </w:pPr>
      <w:r>
        <w:t>水位站基准引测的正确性；</w:t>
      </w:r>
    </w:p>
    <w:p>
      <w:pPr>
        <w:pStyle w:val="25"/>
        <w:numPr>
          <w:ilvl w:val="0"/>
          <w:numId w:val="42"/>
        </w:numPr>
        <w:ind w:firstLineChars="0"/>
      </w:pPr>
      <w:r>
        <w:t>测深线趋势、测深线间距及测点间距设置与测量的符合性；</w:t>
      </w:r>
    </w:p>
    <w:p>
      <w:pPr>
        <w:pStyle w:val="25"/>
        <w:numPr>
          <w:ilvl w:val="0"/>
          <w:numId w:val="42"/>
        </w:numPr>
        <w:ind w:firstLineChars="0"/>
      </w:pPr>
      <w:r>
        <w:t>静吃水与动吃水、声速剖面、姿态改正及测量系统时延检测方法、记录及设置文件的正确性与合理性，水深处理、验算情况和计算结果的正确性；</w:t>
      </w:r>
    </w:p>
    <w:p>
      <w:pPr>
        <w:pStyle w:val="25"/>
        <w:numPr>
          <w:ilvl w:val="0"/>
          <w:numId w:val="42"/>
        </w:numPr>
        <w:ind w:firstLineChars="0"/>
      </w:pPr>
      <w:r>
        <w:t>观测数据记录和处理的完整性、正确性；</w:t>
      </w:r>
    </w:p>
    <w:p>
      <w:pPr>
        <w:pStyle w:val="25"/>
        <w:numPr>
          <w:ilvl w:val="0"/>
          <w:numId w:val="42"/>
        </w:numPr>
        <w:ind w:firstLineChars="0"/>
      </w:pPr>
      <w:r>
        <w:t>水深粗差剔除点及特征水深点选取方法的正确性、符合性；</w:t>
      </w:r>
    </w:p>
    <w:p>
      <w:pPr>
        <w:pStyle w:val="25"/>
        <w:numPr>
          <w:ilvl w:val="0"/>
          <w:numId w:val="42"/>
        </w:numPr>
        <w:ind w:firstLineChars="0"/>
      </w:pPr>
      <w:r>
        <w:t>成果重测与取舍的正确性、合理性，重复观测成果的符合性；</w:t>
      </w:r>
    </w:p>
    <w:p>
      <w:pPr>
        <w:pStyle w:val="25"/>
        <w:numPr>
          <w:ilvl w:val="0"/>
          <w:numId w:val="42"/>
        </w:numPr>
        <w:ind w:firstLineChars="0"/>
      </w:pPr>
      <w:r>
        <w:t>水下地形图绘制的正确性；</w:t>
      </w:r>
    </w:p>
    <w:p>
      <w:pPr>
        <w:pStyle w:val="25"/>
        <w:numPr>
          <w:ilvl w:val="0"/>
          <w:numId w:val="42"/>
        </w:numPr>
        <w:ind w:firstLineChars="0"/>
      </w:pPr>
      <w:r>
        <w:t>技术总结内容的全面性；</w:t>
      </w:r>
    </w:p>
    <w:p>
      <w:pPr>
        <w:pStyle w:val="25"/>
        <w:numPr>
          <w:ilvl w:val="0"/>
          <w:numId w:val="42"/>
        </w:numPr>
        <w:ind w:firstLineChars="0"/>
      </w:pPr>
      <w:r>
        <w:t>提供成果资料项目的完整性。</w:t>
      </w:r>
    </w:p>
    <w:p>
      <w:pPr>
        <w:pStyle w:val="50"/>
        <w:spacing w:before="156" w:after="156"/>
        <w:ind w:left="0"/>
      </w:pPr>
      <w:r>
        <w:t>成果资料的提交</w:t>
      </w:r>
    </w:p>
    <w:p>
      <w:pPr>
        <w:pStyle w:val="25"/>
        <w:numPr>
          <w:ilvl w:val="0"/>
          <w:numId w:val="43"/>
        </w:numPr>
        <w:ind w:firstLineChars="0"/>
      </w:pPr>
      <w:r>
        <w:t>技术设计书；</w:t>
      </w:r>
    </w:p>
    <w:p>
      <w:pPr>
        <w:pStyle w:val="25"/>
        <w:numPr>
          <w:ilvl w:val="0"/>
          <w:numId w:val="43"/>
        </w:numPr>
        <w:ind w:firstLineChars="0"/>
      </w:pPr>
      <w:r>
        <w:t>仪器检定（校准或自检）资料；</w:t>
      </w:r>
    </w:p>
    <w:p>
      <w:pPr>
        <w:pStyle w:val="25"/>
        <w:numPr>
          <w:ilvl w:val="0"/>
          <w:numId w:val="43"/>
        </w:numPr>
        <w:ind w:firstLineChars="0"/>
      </w:pPr>
      <w:r>
        <w:t xml:space="preserve">计算资料； </w:t>
      </w:r>
    </w:p>
    <w:p>
      <w:pPr>
        <w:pStyle w:val="25"/>
        <w:numPr>
          <w:ilvl w:val="0"/>
          <w:numId w:val="43"/>
        </w:numPr>
        <w:ind w:firstLineChars="0"/>
      </w:pPr>
      <w:r>
        <w:t xml:space="preserve">外业观测手簿； </w:t>
      </w:r>
    </w:p>
    <w:p>
      <w:pPr>
        <w:pStyle w:val="25"/>
        <w:numPr>
          <w:ilvl w:val="0"/>
          <w:numId w:val="43"/>
        </w:numPr>
        <w:ind w:firstLineChars="0"/>
      </w:pPr>
      <w:r>
        <w:t xml:space="preserve">控制测量原始观测数据及成果表； </w:t>
      </w:r>
    </w:p>
    <w:p>
      <w:pPr>
        <w:pStyle w:val="25"/>
        <w:numPr>
          <w:ilvl w:val="0"/>
          <w:numId w:val="43"/>
        </w:numPr>
        <w:ind w:firstLineChars="0"/>
      </w:pPr>
      <w:r>
        <w:t>测量放样记录手簿；</w:t>
      </w:r>
    </w:p>
    <w:p>
      <w:pPr>
        <w:pStyle w:val="25"/>
        <w:numPr>
          <w:ilvl w:val="0"/>
          <w:numId w:val="43"/>
        </w:numPr>
        <w:ind w:firstLineChars="0"/>
      </w:pPr>
      <w:r>
        <w:t>放样计算数据资料；</w:t>
      </w:r>
    </w:p>
    <w:p>
      <w:pPr>
        <w:pStyle w:val="25"/>
        <w:numPr>
          <w:ilvl w:val="0"/>
          <w:numId w:val="43"/>
        </w:numPr>
        <w:ind w:firstLineChars="0"/>
      </w:pPr>
      <w:r>
        <w:t>测量放样通知单；</w:t>
      </w:r>
    </w:p>
    <w:p>
      <w:pPr>
        <w:pStyle w:val="25"/>
        <w:numPr>
          <w:ilvl w:val="0"/>
          <w:numId w:val="43"/>
        </w:numPr>
        <w:ind w:firstLineChars="0"/>
      </w:pPr>
      <w:r>
        <w:t>测量放样交样单或测量检查成果表；</w:t>
      </w:r>
    </w:p>
    <w:p>
      <w:pPr>
        <w:pStyle w:val="25"/>
        <w:numPr>
          <w:ilvl w:val="0"/>
          <w:numId w:val="43"/>
        </w:numPr>
        <w:ind w:firstLineChars="0"/>
      </w:pPr>
      <w:r>
        <w:t>测量过程影像资料；</w:t>
      </w:r>
    </w:p>
    <w:p>
      <w:pPr>
        <w:pStyle w:val="25"/>
        <w:numPr>
          <w:ilvl w:val="0"/>
          <w:numId w:val="43"/>
        </w:numPr>
        <w:ind w:firstLineChars="0"/>
      </w:pPr>
      <w:r>
        <w:t xml:space="preserve">水位资料，包括水位站的水准连测资料、水位观测资料； </w:t>
      </w:r>
    </w:p>
    <w:p>
      <w:pPr>
        <w:pStyle w:val="25"/>
        <w:numPr>
          <w:ilvl w:val="0"/>
          <w:numId w:val="43"/>
        </w:numPr>
        <w:ind w:firstLineChars="0"/>
      </w:pPr>
      <w:r>
        <w:t xml:space="preserve">水深测量、处理记录和数据文件； </w:t>
      </w:r>
    </w:p>
    <w:p>
      <w:pPr>
        <w:pStyle w:val="25"/>
        <w:numPr>
          <w:ilvl w:val="0"/>
          <w:numId w:val="43"/>
        </w:numPr>
        <w:ind w:firstLineChars="0"/>
      </w:pPr>
      <w:r>
        <w:t>检查报告和验收报告；</w:t>
      </w:r>
    </w:p>
    <w:p>
      <w:pPr>
        <w:pStyle w:val="25"/>
        <w:numPr>
          <w:ilvl w:val="0"/>
          <w:numId w:val="43"/>
        </w:numPr>
        <w:ind w:firstLineChars="0"/>
      </w:pPr>
      <w:r>
        <w:t>技术总结，总结编写应符合CH/T1001的相关要求；</w:t>
      </w:r>
    </w:p>
    <w:p>
      <w:pPr>
        <w:pStyle w:val="25"/>
        <w:numPr>
          <w:ilvl w:val="0"/>
          <w:numId w:val="43"/>
        </w:numPr>
        <w:ind w:firstLineChars="0"/>
      </w:pPr>
      <w:r>
        <w:t>竣工测量记录、计算资料及必要的说明；</w:t>
      </w:r>
    </w:p>
    <w:p>
      <w:pPr>
        <w:pStyle w:val="25"/>
        <w:numPr>
          <w:ilvl w:val="0"/>
          <w:numId w:val="43"/>
        </w:numPr>
        <w:ind w:firstLineChars="0"/>
      </w:pPr>
      <w:r>
        <w:t>成果图件及图幅接合表、纸质报告及图纸电子版资料；</w:t>
      </w:r>
    </w:p>
    <w:p>
      <w:pPr>
        <w:pStyle w:val="25"/>
        <w:numPr>
          <w:ilvl w:val="0"/>
          <w:numId w:val="43"/>
        </w:numPr>
        <w:ind w:firstLineChars="0"/>
        <w:sectPr>
          <w:footerReference r:id="rId5" w:type="default"/>
          <w:pgSz w:w="11906" w:h="16838"/>
          <w:pgMar w:top="567" w:right="1134" w:bottom="1134" w:left="1418" w:header="1418" w:footer="1134" w:gutter="0"/>
          <w:pgNumType w:start="1"/>
          <w:cols w:space="425" w:num="1"/>
          <w:formProt w:val="0"/>
          <w:docGrid w:type="lines" w:linePitch="312" w:charSpace="0"/>
        </w:sectPr>
      </w:pPr>
      <w:r>
        <w:t>其他资料。</w:t>
      </w:r>
    </w:p>
    <w:p>
      <w:pPr>
        <w:pStyle w:val="88"/>
      </w:pPr>
      <w:bookmarkStart w:id="126" w:name="_Toc162597504"/>
      <w:bookmarkEnd w:id="126"/>
    </w:p>
    <w:p>
      <w:pPr>
        <w:pStyle w:val="25"/>
        <w:ind w:firstLine="0" w:firstLineChars="0"/>
        <w:jc w:val="center"/>
        <w:rPr>
          <w:rFonts w:eastAsia="黑体"/>
        </w:rPr>
      </w:pPr>
      <w:r>
        <w:rPr>
          <w:rFonts w:eastAsia="黑体"/>
        </w:rPr>
        <w:t>（资料性）</w:t>
      </w:r>
    </w:p>
    <w:p>
      <w:pPr>
        <w:pStyle w:val="106"/>
      </w:pPr>
      <w:bookmarkStart w:id="127" w:name="_Toc162597505"/>
      <w:r>
        <w:t>A.1 淤泥状态分类</w:t>
      </w:r>
      <w:bookmarkEnd w:id="127"/>
    </w:p>
    <w:p>
      <w:pPr>
        <w:pStyle w:val="91"/>
      </w:pPr>
      <w:r>
        <w:t>表A.1 淤泥状态分类</w:t>
      </w:r>
    </w:p>
    <w:tbl>
      <w:tblPr>
        <w:tblStyle w:val="36"/>
        <w:tblW w:w="4996" w:type="pct"/>
        <w:jc w:val="center"/>
        <w:tblBorders>
          <w:top w:val="single" w:color="A6A6A6" w:sz="8" w:space="0"/>
          <w:left w:val="single" w:color="A6A6A6" w:sz="8" w:space="0"/>
          <w:bottom w:val="single" w:color="A6A6A6" w:sz="8" w:space="0"/>
          <w:right w:val="single" w:color="A6A6A6" w:sz="8" w:space="0"/>
          <w:insideH w:val="single" w:color="A6A6A6" w:sz="8" w:space="0"/>
          <w:insideV w:val="single" w:color="A6A6A6" w:sz="8" w:space="0"/>
        </w:tblBorders>
        <w:tblLayout w:type="autofit"/>
        <w:tblCellMar>
          <w:top w:w="0" w:type="dxa"/>
          <w:left w:w="108" w:type="dxa"/>
          <w:bottom w:w="0" w:type="dxa"/>
          <w:right w:w="108" w:type="dxa"/>
        </w:tblCellMar>
      </w:tblPr>
      <w:tblGrid>
        <w:gridCol w:w="1688"/>
        <w:gridCol w:w="1689"/>
        <w:gridCol w:w="1507"/>
        <w:gridCol w:w="1509"/>
        <w:gridCol w:w="1513"/>
        <w:gridCol w:w="1656"/>
      </w:tblGrid>
      <w:tr>
        <w:tblPrEx>
          <w:tblBorders>
            <w:top w:val="single" w:color="A6A6A6" w:sz="8" w:space="0"/>
            <w:left w:val="single" w:color="A6A6A6" w:sz="8" w:space="0"/>
            <w:bottom w:val="single" w:color="A6A6A6" w:sz="8" w:space="0"/>
            <w:right w:val="single" w:color="A6A6A6" w:sz="8" w:space="0"/>
            <w:insideH w:val="single" w:color="A6A6A6" w:sz="8" w:space="0"/>
            <w:insideV w:val="single" w:color="A6A6A6" w:sz="8" w:space="0"/>
          </w:tblBorders>
          <w:tblCellMar>
            <w:top w:w="0" w:type="dxa"/>
            <w:left w:w="108" w:type="dxa"/>
            <w:bottom w:w="0" w:type="dxa"/>
            <w:right w:w="108" w:type="dxa"/>
          </w:tblCellMar>
        </w:tblPrEx>
        <w:trPr>
          <w:trHeight w:val="275" w:hRule="atLeast"/>
          <w:jc w:val="center"/>
        </w:trPr>
        <w:tc>
          <w:tcPr>
            <w:tcW w:w="895" w:type="pc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kern w:val="0"/>
                <w:sz w:val="18"/>
                <w:szCs w:val="18"/>
                <w:lang w:bidi="ar"/>
              </w:rPr>
              <w:t>类别</w:t>
            </w:r>
          </w:p>
        </w:tc>
        <w:tc>
          <w:tcPr>
            <w:tcW w:w="895"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名称</w:t>
            </w:r>
          </w:p>
        </w:tc>
        <w:tc>
          <w:tcPr>
            <w:tcW w:w="800"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含水率</w:t>
            </w:r>
            <w:r>
              <w:rPr>
                <w:rFonts w:eastAsiaTheme="minorEastAsia"/>
                <w:i/>
                <w:iCs/>
                <w:kern w:val="0"/>
                <w:sz w:val="18"/>
                <w:szCs w:val="18"/>
                <w:lang w:bidi="ar"/>
              </w:rPr>
              <w:t>w</w:t>
            </w:r>
            <w:r>
              <w:rPr>
                <w:rFonts w:eastAsiaTheme="minorEastAsia"/>
                <w:kern w:val="0"/>
                <w:sz w:val="18"/>
                <w:szCs w:val="18"/>
                <w:lang w:bidi="ar"/>
              </w:rPr>
              <w:t>（％）</w:t>
            </w:r>
          </w:p>
        </w:tc>
        <w:tc>
          <w:tcPr>
            <w:tcW w:w="801"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天然孔隙比</w:t>
            </w:r>
            <w:r>
              <w:rPr>
                <w:rFonts w:eastAsiaTheme="minorEastAsia"/>
                <w:i/>
                <w:iCs/>
                <w:kern w:val="0"/>
                <w:sz w:val="18"/>
                <w:szCs w:val="18"/>
                <w:lang w:bidi="ar"/>
              </w:rPr>
              <w:t>e</w:t>
            </w:r>
          </w:p>
        </w:tc>
        <w:tc>
          <w:tcPr>
            <w:tcW w:w="803" w:type="pc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kern w:val="0"/>
                <w:sz w:val="18"/>
                <w:szCs w:val="18"/>
                <w:lang w:bidi="ar"/>
              </w:rPr>
              <w:t>塑性指数</w:t>
            </w:r>
            <w:r>
              <w:rPr>
                <w:rFonts w:eastAsiaTheme="minorEastAsia"/>
                <w:i/>
                <w:iCs/>
                <w:kern w:val="0"/>
                <w:sz w:val="18"/>
                <w:szCs w:val="18"/>
                <w:lang w:bidi="ar"/>
              </w:rPr>
              <w:t>I</w:t>
            </w:r>
            <w:r>
              <w:rPr>
                <w:rFonts w:eastAsiaTheme="minorEastAsia"/>
                <w:kern w:val="0"/>
                <w:sz w:val="18"/>
                <w:szCs w:val="18"/>
                <w:vertAlign w:val="subscript"/>
                <w:lang w:bidi="ar"/>
              </w:rPr>
              <w:t>p</w:t>
            </w:r>
          </w:p>
        </w:tc>
        <w:tc>
          <w:tcPr>
            <w:tcW w:w="803" w:type="pc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kern w:val="0"/>
                <w:sz w:val="18"/>
                <w:szCs w:val="18"/>
                <w:lang w:bidi="ar"/>
              </w:rPr>
              <w:t>有机质含量（％）</w:t>
            </w:r>
          </w:p>
        </w:tc>
      </w:tr>
      <w:tr>
        <w:tblPrEx>
          <w:tblBorders>
            <w:top w:val="single" w:color="A6A6A6" w:sz="8" w:space="0"/>
            <w:left w:val="single" w:color="A6A6A6" w:sz="8" w:space="0"/>
            <w:bottom w:val="single" w:color="A6A6A6" w:sz="8" w:space="0"/>
            <w:right w:val="single" w:color="A6A6A6" w:sz="8" w:space="0"/>
            <w:insideH w:val="single" w:color="A6A6A6" w:sz="8" w:space="0"/>
            <w:insideV w:val="single" w:color="A6A6A6" w:sz="8" w:space="0"/>
          </w:tblBorders>
          <w:tblCellMar>
            <w:top w:w="0" w:type="dxa"/>
            <w:left w:w="108" w:type="dxa"/>
            <w:bottom w:w="0" w:type="dxa"/>
            <w:right w:w="108" w:type="dxa"/>
          </w:tblCellMar>
        </w:tblPrEx>
        <w:trPr>
          <w:trHeight w:val="275" w:hRule="atLeast"/>
          <w:jc w:val="center"/>
        </w:trPr>
        <w:tc>
          <w:tcPr>
            <w:tcW w:w="895" w:type="pc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kern w:val="0"/>
                <w:sz w:val="18"/>
                <w:szCs w:val="18"/>
                <w:lang w:bidi="ar"/>
              </w:rPr>
              <w:t>有机质土及泥炭</w:t>
            </w:r>
          </w:p>
        </w:tc>
        <w:tc>
          <w:tcPr>
            <w:tcW w:w="895" w:type="pc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kern w:val="0"/>
                <w:sz w:val="18"/>
                <w:szCs w:val="18"/>
                <w:lang w:bidi="ar"/>
              </w:rPr>
              <w:t>有机质土及泥炭</w:t>
            </w:r>
          </w:p>
        </w:tc>
        <w:tc>
          <w:tcPr>
            <w:tcW w:w="800" w:type="pct"/>
            <w:shd w:val="clear" w:color="auto" w:fill="auto"/>
            <w:noWrap/>
            <w:vAlign w:val="center"/>
          </w:tcPr>
          <w:p>
            <w:pPr>
              <w:widowControl/>
              <w:jc w:val="center"/>
              <w:textAlignment w:val="center"/>
              <w:rPr>
                <w:rFonts w:eastAsiaTheme="minorEastAsia"/>
                <w:kern w:val="0"/>
                <w:sz w:val="18"/>
                <w:szCs w:val="18"/>
                <w:lang w:bidi="ar"/>
              </w:rPr>
            </w:pPr>
          </w:p>
        </w:tc>
        <w:tc>
          <w:tcPr>
            <w:tcW w:w="801" w:type="pct"/>
            <w:shd w:val="clear" w:color="auto" w:fill="auto"/>
            <w:noWrap/>
            <w:vAlign w:val="center"/>
          </w:tcPr>
          <w:p>
            <w:pPr>
              <w:widowControl/>
              <w:jc w:val="center"/>
              <w:textAlignment w:val="center"/>
              <w:rPr>
                <w:rFonts w:eastAsiaTheme="minorEastAsia"/>
                <w:kern w:val="0"/>
                <w:sz w:val="18"/>
                <w:szCs w:val="18"/>
                <w:lang w:bidi="ar"/>
              </w:rPr>
            </w:pPr>
          </w:p>
        </w:tc>
        <w:tc>
          <w:tcPr>
            <w:tcW w:w="803" w:type="pct"/>
            <w:shd w:val="clear" w:color="auto" w:fill="auto"/>
            <w:noWrap/>
            <w:vAlign w:val="center"/>
          </w:tcPr>
          <w:p>
            <w:pPr>
              <w:widowControl/>
              <w:jc w:val="center"/>
              <w:textAlignment w:val="center"/>
              <w:rPr>
                <w:rFonts w:eastAsiaTheme="minorEastAsia"/>
                <w:color w:val="000000" w:themeColor="text1"/>
                <w:sz w:val="18"/>
                <w:szCs w:val="18"/>
                <w14:textFill>
                  <w14:solidFill>
                    <w14:schemeClr w14:val="tx1"/>
                  </w14:solidFill>
                </w14:textFill>
              </w:rPr>
            </w:pPr>
          </w:p>
        </w:tc>
        <w:tc>
          <w:tcPr>
            <w:tcW w:w="803" w:type="pc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color w:val="000000" w:themeColor="text1"/>
                <w:sz w:val="18"/>
                <w:szCs w:val="18"/>
                <w14:textFill>
                  <w14:solidFill>
                    <w14:schemeClr w14:val="tx1"/>
                  </w14:solidFill>
                </w14:textFill>
              </w:rPr>
              <w:t>≥5%</w:t>
            </w:r>
          </w:p>
        </w:tc>
      </w:tr>
      <w:tr>
        <w:tblPrEx>
          <w:tblBorders>
            <w:top w:val="single" w:color="A6A6A6" w:sz="8" w:space="0"/>
            <w:left w:val="single" w:color="A6A6A6" w:sz="8" w:space="0"/>
            <w:bottom w:val="single" w:color="A6A6A6" w:sz="8" w:space="0"/>
            <w:right w:val="single" w:color="A6A6A6" w:sz="8" w:space="0"/>
            <w:insideH w:val="single" w:color="A6A6A6" w:sz="8" w:space="0"/>
            <w:insideV w:val="single" w:color="A6A6A6" w:sz="8" w:space="0"/>
          </w:tblBorders>
          <w:tblCellMar>
            <w:top w:w="0" w:type="dxa"/>
            <w:left w:w="108" w:type="dxa"/>
            <w:bottom w:w="0" w:type="dxa"/>
            <w:right w:w="108" w:type="dxa"/>
          </w:tblCellMar>
        </w:tblPrEx>
        <w:trPr>
          <w:trHeight w:val="275" w:hRule="atLeast"/>
          <w:jc w:val="center"/>
        </w:trPr>
        <w:tc>
          <w:tcPr>
            <w:tcW w:w="895" w:type="pct"/>
            <w:vMerge w:val="restar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kern w:val="0"/>
                <w:sz w:val="18"/>
                <w:szCs w:val="18"/>
                <w:lang w:bidi="ar"/>
              </w:rPr>
              <w:t>淤泥类土</w:t>
            </w:r>
          </w:p>
        </w:tc>
        <w:tc>
          <w:tcPr>
            <w:tcW w:w="895"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浮泥状</w:t>
            </w:r>
          </w:p>
        </w:tc>
        <w:tc>
          <w:tcPr>
            <w:tcW w:w="800"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w＞150</w:t>
            </w:r>
          </w:p>
        </w:tc>
        <w:tc>
          <w:tcPr>
            <w:tcW w:w="801"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w:t>
            </w:r>
          </w:p>
        </w:tc>
        <w:tc>
          <w:tcPr>
            <w:tcW w:w="803" w:type="pct"/>
            <w:shd w:val="clear" w:color="auto" w:fill="auto"/>
            <w:noWrap/>
            <w:vAlign w:val="center"/>
          </w:tcPr>
          <w:p>
            <w:pPr>
              <w:widowControl/>
              <w:jc w:val="center"/>
              <w:textAlignment w:val="center"/>
              <w:rPr>
                <w:rFonts w:eastAsiaTheme="minorEastAsia"/>
                <w:kern w:val="0"/>
                <w:sz w:val="18"/>
                <w:szCs w:val="18"/>
                <w:lang w:bidi="ar"/>
              </w:rPr>
            </w:pPr>
          </w:p>
        </w:tc>
        <w:tc>
          <w:tcPr>
            <w:tcW w:w="803" w:type="pct"/>
            <w:shd w:val="clear" w:color="auto" w:fill="auto"/>
            <w:noWrap/>
            <w:vAlign w:val="center"/>
          </w:tcPr>
          <w:p>
            <w:pPr>
              <w:widowControl/>
              <w:jc w:val="center"/>
              <w:textAlignment w:val="center"/>
              <w:rPr>
                <w:rFonts w:eastAsiaTheme="minorEastAsia"/>
                <w:kern w:val="0"/>
                <w:sz w:val="18"/>
                <w:szCs w:val="18"/>
                <w:lang w:bidi="ar"/>
              </w:rPr>
            </w:pPr>
          </w:p>
        </w:tc>
      </w:tr>
      <w:tr>
        <w:tblPrEx>
          <w:tblBorders>
            <w:top w:val="single" w:color="A6A6A6" w:sz="8" w:space="0"/>
            <w:left w:val="single" w:color="A6A6A6" w:sz="8" w:space="0"/>
            <w:bottom w:val="single" w:color="A6A6A6" w:sz="8" w:space="0"/>
            <w:right w:val="single" w:color="A6A6A6" w:sz="8" w:space="0"/>
            <w:insideH w:val="single" w:color="A6A6A6" w:sz="8" w:space="0"/>
            <w:insideV w:val="single" w:color="A6A6A6" w:sz="8" w:space="0"/>
          </w:tblBorders>
          <w:tblCellMar>
            <w:top w:w="0" w:type="dxa"/>
            <w:left w:w="108" w:type="dxa"/>
            <w:bottom w:w="0" w:type="dxa"/>
            <w:right w:w="108" w:type="dxa"/>
          </w:tblCellMar>
        </w:tblPrEx>
        <w:trPr>
          <w:trHeight w:val="275" w:hRule="atLeast"/>
          <w:jc w:val="center"/>
        </w:trPr>
        <w:tc>
          <w:tcPr>
            <w:tcW w:w="895" w:type="pct"/>
            <w:vMerge w:val="continue"/>
            <w:shd w:val="clear" w:color="auto" w:fill="auto"/>
            <w:noWrap/>
            <w:vAlign w:val="center"/>
          </w:tcPr>
          <w:p>
            <w:pPr>
              <w:widowControl/>
              <w:jc w:val="center"/>
              <w:textAlignment w:val="center"/>
              <w:rPr>
                <w:rFonts w:eastAsiaTheme="minorEastAsia"/>
                <w:kern w:val="0"/>
                <w:sz w:val="18"/>
                <w:szCs w:val="18"/>
                <w:lang w:bidi="ar"/>
              </w:rPr>
            </w:pPr>
          </w:p>
        </w:tc>
        <w:tc>
          <w:tcPr>
            <w:tcW w:w="895"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流泥状</w:t>
            </w:r>
          </w:p>
        </w:tc>
        <w:tc>
          <w:tcPr>
            <w:tcW w:w="800"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85＜w≤150</w:t>
            </w:r>
          </w:p>
        </w:tc>
        <w:tc>
          <w:tcPr>
            <w:tcW w:w="801"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w:t>
            </w:r>
          </w:p>
        </w:tc>
        <w:tc>
          <w:tcPr>
            <w:tcW w:w="803" w:type="pct"/>
            <w:shd w:val="clear" w:color="auto" w:fill="auto"/>
            <w:noWrap/>
            <w:vAlign w:val="center"/>
          </w:tcPr>
          <w:p>
            <w:pPr>
              <w:widowControl/>
              <w:jc w:val="center"/>
              <w:textAlignment w:val="center"/>
              <w:rPr>
                <w:rFonts w:eastAsiaTheme="minorEastAsia"/>
                <w:kern w:val="0"/>
                <w:sz w:val="18"/>
                <w:szCs w:val="18"/>
                <w:lang w:bidi="ar"/>
              </w:rPr>
            </w:pPr>
          </w:p>
        </w:tc>
        <w:tc>
          <w:tcPr>
            <w:tcW w:w="803" w:type="pct"/>
            <w:shd w:val="clear" w:color="auto" w:fill="auto"/>
            <w:noWrap/>
            <w:vAlign w:val="center"/>
          </w:tcPr>
          <w:p>
            <w:pPr>
              <w:widowControl/>
              <w:jc w:val="center"/>
              <w:textAlignment w:val="center"/>
              <w:rPr>
                <w:rFonts w:eastAsiaTheme="minorEastAsia"/>
                <w:kern w:val="0"/>
                <w:sz w:val="18"/>
                <w:szCs w:val="18"/>
                <w:lang w:bidi="ar"/>
              </w:rPr>
            </w:pPr>
          </w:p>
        </w:tc>
      </w:tr>
      <w:tr>
        <w:tblPrEx>
          <w:tblBorders>
            <w:top w:val="single" w:color="A6A6A6" w:sz="8" w:space="0"/>
            <w:left w:val="single" w:color="A6A6A6" w:sz="8" w:space="0"/>
            <w:bottom w:val="single" w:color="A6A6A6" w:sz="8" w:space="0"/>
            <w:right w:val="single" w:color="A6A6A6" w:sz="8" w:space="0"/>
            <w:insideH w:val="single" w:color="A6A6A6" w:sz="8" w:space="0"/>
            <w:insideV w:val="single" w:color="A6A6A6" w:sz="8" w:space="0"/>
          </w:tblBorders>
          <w:tblCellMar>
            <w:top w:w="0" w:type="dxa"/>
            <w:left w:w="108" w:type="dxa"/>
            <w:bottom w:w="0" w:type="dxa"/>
            <w:right w:w="108" w:type="dxa"/>
          </w:tblCellMar>
        </w:tblPrEx>
        <w:trPr>
          <w:trHeight w:val="275" w:hRule="atLeast"/>
          <w:jc w:val="center"/>
        </w:trPr>
        <w:tc>
          <w:tcPr>
            <w:tcW w:w="895" w:type="pct"/>
            <w:vMerge w:val="continue"/>
            <w:shd w:val="clear" w:color="auto" w:fill="auto"/>
            <w:noWrap/>
            <w:vAlign w:val="center"/>
          </w:tcPr>
          <w:p>
            <w:pPr>
              <w:widowControl/>
              <w:jc w:val="center"/>
              <w:textAlignment w:val="center"/>
              <w:rPr>
                <w:rFonts w:eastAsiaTheme="minorEastAsia"/>
                <w:kern w:val="0"/>
                <w:sz w:val="18"/>
                <w:szCs w:val="18"/>
                <w:lang w:bidi="ar"/>
              </w:rPr>
            </w:pPr>
          </w:p>
        </w:tc>
        <w:tc>
          <w:tcPr>
            <w:tcW w:w="895"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淤泥状</w:t>
            </w:r>
          </w:p>
        </w:tc>
        <w:tc>
          <w:tcPr>
            <w:tcW w:w="800"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55＜w≤85</w:t>
            </w:r>
          </w:p>
        </w:tc>
        <w:tc>
          <w:tcPr>
            <w:tcW w:w="801"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1.5＜e≤2.4</w:t>
            </w:r>
          </w:p>
        </w:tc>
        <w:tc>
          <w:tcPr>
            <w:tcW w:w="803" w:type="pct"/>
            <w:shd w:val="clear" w:color="auto" w:fill="auto"/>
            <w:noWrap/>
            <w:vAlign w:val="center"/>
          </w:tcPr>
          <w:p>
            <w:pPr>
              <w:widowControl/>
              <w:jc w:val="center"/>
              <w:textAlignment w:val="center"/>
              <w:rPr>
                <w:rFonts w:eastAsiaTheme="minorEastAsia"/>
                <w:kern w:val="0"/>
                <w:sz w:val="18"/>
                <w:szCs w:val="18"/>
                <w:lang w:bidi="ar"/>
              </w:rPr>
            </w:pPr>
          </w:p>
        </w:tc>
        <w:tc>
          <w:tcPr>
            <w:tcW w:w="803" w:type="pct"/>
            <w:shd w:val="clear" w:color="auto" w:fill="auto"/>
            <w:noWrap/>
            <w:vAlign w:val="center"/>
          </w:tcPr>
          <w:p>
            <w:pPr>
              <w:widowControl/>
              <w:jc w:val="center"/>
              <w:textAlignment w:val="center"/>
              <w:rPr>
                <w:rFonts w:eastAsiaTheme="minorEastAsia"/>
                <w:kern w:val="0"/>
                <w:sz w:val="18"/>
                <w:szCs w:val="18"/>
                <w:lang w:bidi="ar"/>
              </w:rPr>
            </w:pPr>
          </w:p>
        </w:tc>
      </w:tr>
      <w:tr>
        <w:tblPrEx>
          <w:tblBorders>
            <w:top w:val="single" w:color="A6A6A6" w:sz="8" w:space="0"/>
            <w:left w:val="single" w:color="A6A6A6" w:sz="8" w:space="0"/>
            <w:bottom w:val="single" w:color="A6A6A6" w:sz="8" w:space="0"/>
            <w:right w:val="single" w:color="A6A6A6" w:sz="8" w:space="0"/>
            <w:insideH w:val="single" w:color="A6A6A6" w:sz="8" w:space="0"/>
            <w:insideV w:val="single" w:color="A6A6A6" w:sz="8" w:space="0"/>
          </w:tblBorders>
          <w:tblCellMar>
            <w:top w:w="0" w:type="dxa"/>
            <w:left w:w="108" w:type="dxa"/>
            <w:bottom w:w="0" w:type="dxa"/>
            <w:right w:w="108" w:type="dxa"/>
          </w:tblCellMar>
        </w:tblPrEx>
        <w:trPr>
          <w:trHeight w:val="275" w:hRule="atLeast"/>
          <w:jc w:val="center"/>
        </w:trPr>
        <w:tc>
          <w:tcPr>
            <w:tcW w:w="895" w:type="pct"/>
            <w:vMerge w:val="restar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kern w:val="0"/>
                <w:sz w:val="18"/>
                <w:szCs w:val="18"/>
                <w:lang w:bidi="ar"/>
              </w:rPr>
              <w:t>淤泥质土类</w:t>
            </w:r>
          </w:p>
        </w:tc>
        <w:tc>
          <w:tcPr>
            <w:tcW w:w="895" w:type="pc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kern w:val="0"/>
                <w:sz w:val="18"/>
                <w:szCs w:val="18"/>
                <w:lang w:bidi="ar"/>
              </w:rPr>
              <w:t>淤泥质粉质粘土</w:t>
            </w:r>
          </w:p>
        </w:tc>
        <w:tc>
          <w:tcPr>
            <w:tcW w:w="800"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36＜w≤55</w:t>
            </w:r>
          </w:p>
        </w:tc>
        <w:tc>
          <w:tcPr>
            <w:tcW w:w="801"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1.0＜e≤1.5</w:t>
            </w:r>
          </w:p>
        </w:tc>
        <w:tc>
          <w:tcPr>
            <w:tcW w:w="803" w:type="pc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kern w:val="0"/>
                <w:sz w:val="18"/>
                <w:szCs w:val="18"/>
                <w:lang w:bidi="ar"/>
              </w:rPr>
              <w:t>10＜Ip≤17</w:t>
            </w:r>
          </w:p>
        </w:tc>
        <w:tc>
          <w:tcPr>
            <w:tcW w:w="803" w:type="pct"/>
            <w:shd w:val="clear" w:color="auto" w:fill="auto"/>
            <w:noWrap/>
            <w:vAlign w:val="center"/>
          </w:tcPr>
          <w:p>
            <w:pPr>
              <w:widowControl/>
              <w:jc w:val="center"/>
              <w:textAlignment w:val="center"/>
              <w:rPr>
                <w:rFonts w:eastAsiaTheme="minorEastAsia"/>
                <w:kern w:val="0"/>
                <w:sz w:val="18"/>
                <w:szCs w:val="18"/>
                <w:lang w:bidi="ar"/>
              </w:rPr>
            </w:pPr>
          </w:p>
        </w:tc>
      </w:tr>
      <w:tr>
        <w:tblPrEx>
          <w:tblBorders>
            <w:top w:val="single" w:color="A6A6A6" w:sz="8" w:space="0"/>
            <w:left w:val="single" w:color="A6A6A6" w:sz="8" w:space="0"/>
            <w:bottom w:val="single" w:color="A6A6A6" w:sz="8" w:space="0"/>
            <w:right w:val="single" w:color="A6A6A6" w:sz="8" w:space="0"/>
            <w:insideH w:val="single" w:color="A6A6A6" w:sz="8" w:space="0"/>
            <w:insideV w:val="single" w:color="A6A6A6" w:sz="8" w:space="0"/>
          </w:tblBorders>
          <w:tblCellMar>
            <w:top w:w="0" w:type="dxa"/>
            <w:left w:w="108" w:type="dxa"/>
            <w:bottom w:w="0" w:type="dxa"/>
            <w:right w:w="108" w:type="dxa"/>
          </w:tblCellMar>
        </w:tblPrEx>
        <w:trPr>
          <w:trHeight w:val="275" w:hRule="atLeast"/>
          <w:jc w:val="center"/>
        </w:trPr>
        <w:tc>
          <w:tcPr>
            <w:tcW w:w="895" w:type="pct"/>
            <w:vMerge w:val="continue"/>
            <w:shd w:val="clear" w:color="auto" w:fill="auto"/>
            <w:noWrap/>
            <w:vAlign w:val="center"/>
          </w:tcPr>
          <w:p>
            <w:pPr>
              <w:widowControl/>
              <w:jc w:val="center"/>
              <w:textAlignment w:val="center"/>
              <w:rPr>
                <w:rFonts w:eastAsiaTheme="minorEastAsia"/>
                <w:kern w:val="0"/>
                <w:sz w:val="18"/>
                <w:szCs w:val="18"/>
                <w:lang w:bidi="ar"/>
              </w:rPr>
            </w:pPr>
          </w:p>
        </w:tc>
        <w:tc>
          <w:tcPr>
            <w:tcW w:w="895" w:type="pc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kern w:val="0"/>
                <w:sz w:val="18"/>
                <w:szCs w:val="18"/>
                <w:lang w:bidi="ar"/>
              </w:rPr>
              <w:t>淤泥质粘土</w:t>
            </w:r>
          </w:p>
        </w:tc>
        <w:tc>
          <w:tcPr>
            <w:tcW w:w="800"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36＜w≤55</w:t>
            </w:r>
          </w:p>
        </w:tc>
        <w:tc>
          <w:tcPr>
            <w:tcW w:w="801" w:type="pct"/>
            <w:shd w:val="clear" w:color="auto" w:fill="auto"/>
            <w:noWrap/>
            <w:vAlign w:val="center"/>
          </w:tcPr>
          <w:p>
            <w:pPr>
              <w:widowControl/>
              <w:jc w:val="center"/>
              <w:textAlignment w:val="center"/>
              <w:rPr>
                <w:rFonts w:eastAsiaTheme="minorEastAsia"/>
                <w:sz w:val="18"/>
                <w:szCs w:val="18"/>
              </w:rPr>
            </w:pPr>
            <w:r>
              <w:rPr>
                <w:rFonts w:eastAsiaTheme="minorEastAsia"/>
                <w:kern w:val="0"/>
                <w:sz w:val="18"/>
                <w:szCs w:val="18"/>
                <w:lang w:bidi="ar"/>
              </w:rPr>
              <w:t>1.0＜e≤1.5</w:t>
            </w:r>
          </w:p>
        </w:tc>
        <w:tc>
          <w:tcPr>
            <w:tcW w:w="803" w:type="pct"/>
            <w:shd w:val="clear" w:color="auto" w:fill="auto"/>
            <w:noWrap/>
            <w:vAlign w:val="center"/>
          </w:tcPr>
          <w:p>
            <w:pPr>
              <w:widowControl/>
              <w:jc w:val="center"/>
              <w:textAlignment w:val="center"/>
              <w:rPr>
                <w:rFonts w:eastAsiaTheme="minorEastAsia"/>
                <w:kern w:val="0"/>
                <w:sz w:val="18"/>
                <w:szCs w:val="18"/>
                <w:lang w:bidi="ar"/>
              </w:rPr>
            </w:pPr>
            <w:r>
              <w:rPr>
                <w:rFonts w:eastAsiaTheme="minorEastAsia"/>
                <w:kern w:val="0"/>
                <w:sz w:val="18"/>
                <w:szCs w:val="18"/>
                <w:lang w:bidi="ar"/>
              </w:rPr>
              <w:t>Ip＞17</w:t>
            </w:r>
          </w:p>
        </w:tc>
        <w:tc>
          <w:tcPr>
            <w:tcW w:w="803" w:type="pct"/>
            <w:shd w:val="clear" w:color="auto" w:fill="auto"/>
            <w:noWrap/>
            <w:vAlign w:val="center"/>
          </w:tcPr>
          <w:p>
            <w:pPr>
              <w:widowControl/>
              <w:jc w:val="center"/>
              <w:textAlignment w:val="center"/>
              <w:rPr>
                <w:rFonts w:eastAsiaTheme="minorEastAsia"/>
                <w:kern w:val="0"/>
                <w:sz w:val="18"/>
                <w:szCs w:val="18"/>
                <w:lang w:bidi="ar"/>
              </w:rPr>
            </w:pPr>
          </w:p>
        </w:tc>
      </w:tr>
    </w:tbl>
    <w:p>
      <w:pPr>
        <w:pStyle w:val="88"/>
        <w:sectPr>
          <w:pgSz w:w="11906" w:h="16838"/>
          <w:pgMar w:top="567" w:right="1134" w:bottom="1134" w:left="1418" w:header="1418" w:footer="1134" w:gutter="0"/>
          <w:pgNumType w:start="0"/>
          <w:cols w:space="425" w:num="1"/>
          <w:formProt w:val="0"/>
          <w:docGrid w:type="lines" w:linePitch="312" w:charSpace="0"/>
        </w:sectPr>
      </w:pPr>
    </w:p>
    <w:p>
      <w:pPr>
        <w:pStyle w:val="88"/>
      </w:pPr>
      <w:bookmarkStart w:id="128" w:name="_Toc162597506"/>
      <w:bookmarkEnd w:id="128"/>
    </w:p>
    <w:p>
      <w:pPr>
        <w:pStyle w:val="25"/>
        <w:ind w:firstLine="0" w:firstLineChars="0"/>
        <w:jc w:val="center"/>
        <w:rPr>
          <w:rFonts w:eastAsia="黑体"/>
        </w:rPr>
      </w:pPr>
      <w:r>
        <w:rPr>
          <w:rFonts w:eastAsia="黑体"/>
        </w:rPr>
        <w:t>（资料性）</w:t>
      </w:r>
    </w:p>
    <w:p>
      <w:pPr>
        <w:pStyle w:val="106"/>
      </w:pPr>
      <w:bookmarkStart w:id="129" w:name="_Toc162597507"/>
      <w:r>
        <w:t>B.1 淤泥污染评价方法及标准</w:t>
      </w:r>
      <w:bookmarkEnd w:id="129"/>
    </w:p>
    <w:p>
      <w:pPr>
        <w:pStyle w:val="25"/>
        <w:ind w:firstLine="420"/>
      </w:pPr>
      <w:r>
        <w:t>生态清淤工程的淤泥污染评价的对象主要为淤积物的重金属污染程度、营养盐富集程度和有毒有害有机物污染程度。</w:t>
      </w:r>
    </w:p>
    <w:p>
      <w:pPr>
        <w:pStyle w:val="25"/>
        <w:numPr>
          <w:ilvl w:val="0"/>
          <w:numId w:val="44"/>
        </w:numPr>
        <w:ind w:firstLineChars="0"/>
      </w:pPr>
      <w:r>
        <w:t>淤泥重金属污染程度可采用生态风险指数法进行评价，可按下式进行计算：</w:t>
      </w:r>
    </w:p>
    <w:p>
      <w:pPr>
        <w:pStyle w:val="25"/>
        <w:ind w:firstLine="420"/>
      </w:pPr>
      <w:r>
        <w:t>单个重金属污染物污染体系应按式（B.1-1）计算：</w:t>
      </w:r>
    </w:p>
    <w:p>
      <w:pPr>
        <w:pStyle w:val="25"/>
        <w:ind w:firstLine="420"/>
        <w:jc w:val="right"/>
      </w:pPr>
      <w:r>
        <w:t xml:space="preserve">                            </w:t>
      </w:r>
      <w:r>
        <w:rPr>
          <w:position w:val="-14"/>
        </w:rPr>
        <w:object>
          <v:shape id="_x0000_i1025" o:spt="75" type="#_x0000_t75" style="height:20.25pt;width:62.65pt;" o:ole="t" filled="f" o:preferrelative="t" stroked="f" coordsize="21600,21600">
            <v:path/>
            <v:fill on="f" focussize="0,0"/>
            <v:stroke on="f" joinstyle="miter"/>
            <v:imagedata r:id="rId8" o:title=""/>
            <o:lock v:ext="edit" aspectratio="t"/>
            <w10:wrap type="none"/>
            <w10:anchorlock/>
          </v:shape>
          <o:OLEObject Type="Embed" ProgID="Equation.DSMT4" ShapeID="_x0000_i1025" DrawAspect="Content" ObjectID="_1468075725" r:id="rId7">
            <o:LockedField>false</o:LockedField>
          </o:OLEObject>
        </w:object>
      </w:r>
      <w:r>
        <w:t xml:space="preserve">                              （B.1-1）</w:t>
      </w:r>
    </w:p>
    <w:p>
      <w:pPr>
        <w:pStyle w:val="25"/>
        <w:ind w:firstLine="420"/>
      </w:pPr>
      <w:r>
        <w:t>式中：</w:t>
      </w:r>
      <w:r>
        <w:rPr>
          <w:position w:val="-14"/>
        </w:rPr>
        <w:object>
          <v:shape id="_x0000_i1026" o:spt="75" type="#_x0000_t75" style="height:20.25pt;width:16.9pt;" o:ole="t" filled="f" o:preferrelative="t" stroked="f" coordsize="21600,21600">
            <v:path/>
            <v:fill on="f" focussize="0,0"/>
            <v:stroke on="f" joinstyle="miter"/>
            <v:imagedata r:id="rId10" o:title=""/>
            <o:lock v:ext="edit" aspectratio="t"/>
            <w10:wrap type="none"/>
            <w10:anchorlock/>
          </v:shape>
          <o:OLEObject Type="Embed" ProgID="Equation.DSMT4" ShapeID="_x0000_i1026" DrawAspect="Content" ObjectID="_1468075726" r:id="rId9">
            <o:LockedField>false</o:LockedField>
          </o:OLEObject>
        </w:object>
      </w:r>
      <w:r>
        <w:t>——单一重金属污染物污染系数；</w:t>
      </w:r>
    </w:p>
    <w:p>
      <w:pPr>
        <w:pStyle w:val="25"/>
        <w:ind w:firstLine="420"/>
      </w:pPr>
      <w:r>
        <w:t xml:space="preserve">      </w:t>
      </w:r>
      <w:r>
        <w:rPr>
          <w:position w:val="-12"/>
        </w:rPr>
        <w:object>
          <v:shape id="_x0000_i1027" o:spt="75" type="#_x0000_t75" style="height:19.15pt;width:16.9pt;" o:ole="t" filled="f" o:preferrelative="t" stroked="f" coordsize="21600,21600">
            <v:path/>
            <v:fill on="f" focussize="0,0"/>
            <v:stroke on="f" joinstyle="miter"/>
            <v:imagedata r:id="rId12" o:title=""/>
            <o:lock v:ext="edit" aspectratio="t"/>
            <w10:wrap type="none"/>
            <w10:anchorlock/>
          </v:shape>
          <o:OLEObject Type="Embed" ProgID="Equation.DSMT4" ShapeID="_x0000_i1027" DrawAspect="Content" ObjectID="_1468075727" r:id="rId11">
            <o:LockedField>false</o:LockedField>
          </o:OLEObject>
        </w:object>
      </w:r>
      <w:r>
        <w:t>——单一重金属污染物的实际检测值，mg/kg；</w:t>
      </w:r>
    </w:p>
    <w:p>
      <w:pPr>
        <w:pStyle w:val="25"/>
        <w:ind w:firstLine="420"/>
      </w:pPr>
      <w:r>
        <w:t xml:space="preserve">      </w:t>
      </w:r>
      <w:r>
        <w:rPr>
          <w:position w:val="-12"/>
        </w:rPr>
        <w:object>
          <v:shape id="_x0000_i1028" o:spt="75" type="#_x0000_t75" style="height:19.15pt;width:15.75pt;" o:ole="t" filled="f" o:preferrelative="t" stroked="f" coordsize="21600,21600">
            <v:path/>
            <v:fill on="f" focussize="0,0"/>
            <v:stroke on="f" joinstyle="miter"/>
            <v:imagedata r:id="rId14" o:title=""/>
            <o:lock v:ext="edit" aspectratio="t"/>
            <w10:wrap type="none"/>
            <w10:anchorlock/>
          </v:shape>
          <o:OLEObject Type="Embed" ProgID="Equation.DSMT4" ShapeID="_x0000_i1028" DrawAspect="Content" ObjectID="_1468075728" r:id="rId13">
            <o:LockedField>false</o:LockedField>
          </o:OLEObject>
        </w:object>
      </w:r>
      <w:r>
        <w:t>——单一重金属污染物计算所需的参比值，mg/kg。参比值应根据疏浚区底泥实际情况或相关标准确定。</w:t>
      </w:r>
    </w:p>
    <w:p>
      <w:pPr>
        <w:pStyle w:val="25"/>
        <w:ind w:firstLine="420"/>
      </w:pPr>
      <w:r>
        <w:t>单个重金属污染物潜在生态风险系数应按式（B.1-2）计算：</w:t>
      </w:r>
    </w:p>
    <w:p>
      <w:pPr>
        <w:pStyle w:val="25"/>
        <w:ind w:firstLine="420"/>
        <w:jc w:val="right"/>
      </w:pPr>
      <w:r>
        <w:t xml:space="preserve">                                  </w:t>
      </w:r>
      <w:r>
        <w:rPr>
          <w:position w:val="-14"/>
        </w:rPr>
        <w:object>
          <v:shape id="_x0000_i1029" o:spt="75" type="#_x0000_t75" style="height:20.25pt;width:58.5pt;" o:ole="t" filled="f" o:preferrelative="t" stroked="f" coordsize="21600,21600">
            <v:path/>
            <v:fill on="f" focussize="0,0"/>
            <v:stroke on="f" joinstyle="miter"/>
            <v:imagedata r:id="rId16" o:title=""/>
            <o:lock v:ext="edit" aspectratio="t"/>
            <w10:wrap type="none"/>
            <w10:anchorlock/>
          </v:shape>
          <o:OLEObject Type="Embed" ProgID="Equation.DSMT4" ShapeID="_x0000_i1029" DrawAspect="Content" ObjectID="_1468075729" r:id="rId15">
            <o:LockedField>false</o:LockedField>
          </o:OLEObject>
        </w:object>
      </w:r>
      <w:r>
        <w:t xml:space="preserve">                              （B.1-2）</w:t>
      </w:r>
    </w:p>
    <w:p>
      <w:pPr>
        <w:pStyle w:val="25"/>
        <w:ind w:firstLine="420"/>
      </w:pPr>
      <w:r>
        <w:t>式中：</w:t>
      </w:r>
      <w:r>
        <w:rPr>
          <w:position w:val="-12"/>
        </w:rPr>
        <w:object>
          <v:shape id="_x0000_i1030" o:spt="75" type="#_x0000_t75" style="height:19.15pt;width:15pt;" o:ole="t" filled="f" o:preferrelative="t" stroked="f" coordsize="21600,21600">
            <v:path/>
            <v:fill on="f" focussize="0,0"/>
            <v:stroke on="f" joinstyle="miter"/>
            <v:imagedata r:id="rId18" o:title=""/>
            <o:lock v:ext="edit" aspectratio="t"/>
            <w10:wrap type="none"/>
            <w10:anchorlock/>
          </v:shape>
          <o:OLEObject Type="Embed" ProgID="Equation.DSMT4" ShapeID="_x0000_i1030" DrawAspect="Content" ObjectID="_1468075730" r:id="rId17">
            <o:LockedField>false</o:LockedField>
          </o:OLEObject>
        </w:object>
      </w:r>
      <w:r>
        <w:t>——单一重金属污染物潜在生态风险系数；</w:t>
      </w:r>
    </w:p>
    <w:p>
      <w:pPr>
        <w:pStyle w:val="25"/>
        <w:ind w:firstLine="420"/>
      </w:pPr>
      <w:r>
        <w:t xml:space="preserve">      </w:t>
      </w:r>
      <w:r>
        <w:rPr>
          <w:position w:val="-12"/>
        </w:rPr>
        <w:object>
          <v:shape id="_x0000_i1031" o:spt="75" type="#_x0000_t75" style="height:19.15pt;width:14.25pt;" o:ole="t" filled="f" o:preferrelative="t" stroked="f" coordsize="21600,21600">
            <v:path/>
            <v:fill on="f" focussize="0,0"/>
            <v:stroke on="f" joinstyle="miter"/>
            <v:imagedata r:id="rId20" o:title=""/>
            <o:lock v:ext="edit" aspectratio="t"/>
            <w10:wrap type="none"/>
            <w10:anchorlock/>
          </v:shape>
          <o:OLEObject Type="Embed" ProgID="Equation.DSMT4" ShapeID="_x0000_i1031" DrawAspect="Content" ObjectID="_1468075731" r:id="rId19">
            <o:LockedField>false</o:LockedField>
          </o:OLEObject>
        </w:object>
      </w:r>
      <w:r>
        <w:t>——淤泥中单一重金属污染物的毒性响应参数，取值可参照表B.1。</w:t>
      </w:r>
    </w:p>
    <w:p>
      <w:pPr>
        <w:pStyle w:val="91"/>
      </w:pPr>
      <w:r>
        <w:t>表 B.1 重金属毒性响应系数</w:t>
      </w:r>
    </w:p>
    <w:tbl>
      <w:tblPr>
        <w:tblStyle w:val="3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8"/>
        <w:gridCol w:w="944"/>
        <w:gridCol w:w="944"/>
        <w:gridCol w:w="944"/>
        <w:gridCol w:w="944"/>
        <w:gridCol w:w="944"/>
        <w:gridCol w:w="944"/>
        <w:gridCol w:w="944"/>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1054" w:type="pct"/>
            <w:vAlign w:val="center"/>
          </w:tcPr>
          <w:p>
            <w:pPr>
              <w:pStyle w:val="25"/>
              <w:ind w:firstLine="0" w:firstLineChars="0"/>
              <w:jc w:val="center"/>
              <w:rPr>
                <w:rFonts w:ascii="宋体"/>
                <w:sz w:val="18"/>
                <w:szCs w:val="18"/>
              </w:rPr>
            </w:pPr>
            <w:r>
              <w:rPr>
                <w:rFonts w:ascii="宋体"/>
                <w:sz w:val="18"/>
                <w:szCs w:val="18"/>
              </w:rPr>
              <w:t>重金属污染物</w:t>
            </w:r>
          </w:p>
        </w:tc>
        <w:tc>
          <w:tcPr>
            <w:tcW w:w="493" w:type="pct"/>
            <w:vAlign w:val="center"/>
          </w:tcPr>
          <w:p>
            <w:pPr>
              <w:pStyle w:val="25"/>
              <w:ind w:firstLine="0" w:firstLineChars="0"/>
              <w:jc w:val="center"/>
              <w:rPr>
                <w:rFonts w:ascii="宋体"/>
                <w:sz w:val="18"/>
                <w:szCs w:val="18"/>
              </w:rPr>
            </w:pPr>
            <w:r>
              <w:rPr>
                <w:rFonts w:ascii="宋体"/>
                <w:sz w:val="18"/>
                <w:szCs w:val="18"/>
              </w:rPr>
              <w:t>镉</w:t>
            </w:r>
          </w:p>
        </w:tc>
        <w:tc>
          <w:tcPr>
            <w:tcW w:w="493" w:type="pct"/>
            <w:vAlign w:val="center"/>
          </w:tcPr>
          <w:p>
            <w:pPr>
              <w:pStyle w:val="25"/>
              <w:ind w:firstLine="0" w:firstLineChars="0"/>
              <w:jc w:val="center"/>
              <w:rPr>
                <w:rFonts w:ascii="宋体"/>
                <w:sz w:val="18"/>
                <w:szCs w:val="18"/>
              </w:rPr>
            </w:pPr>
            <w:r>
              <w:rPr>
                <w:rFonts w:ascii="宋体"/>
                <w:sz w:val="18"/>
                <w:szCs w:val="18"/>
              </w:rPr>
              <w:t>铬</w:t>
            </w:r>
          </w:p>
        </w:tc>
        <w:tc>
          <w:tcPr>
            <w:tcW w:w="493" w:type="pct"/>
            <w:vAlign w:val="center"/>
          </w:tcPr>
          <w:p>
            <w:pPr>
              <w:pStyle w:val="25"/>
              <w:ind w:firstLine="0" w:firstLineChars="0"/>
              <w:jc w:val="center"/>
              <w:rPr>
                <w:rFonts w:ascii="宋体"/>
                <w:sz w:val="18"/>
                <w:szCs w:val="18"/>
              </w:rPr>
            </w:pPr>
            <w:r>
              <w:rPr>
                <w:rFonts w:ascii="宋体"/>
                <w:sz w:val="18"/>
                <w:szCs w:val="18"/>
              </w:rPr>
              <w:t>汞</w:t>
            </w:r>
          </w:p>
        </w:tc>
        <w:tc>
          <w:tcPr>
            <w:tcW w:w="493" w:type="pct"/>
            <w:vAlign w:val="center"/>
          </w:tcPr>
          <w:p>
            <w:pPr>
              <w:pStyle w:val="25"/>
              <w:ind w:firstLine="0" w:firstLineChars="0"/>
              <w:jc w:val="center"/>
              <w:rPr>
                <w:rFonts w:ascii="宋体"/>
                <w:sz w:val="18"/>
                <w:szCs w:val="18"/>
              </w:rPr>
            </w:pPr>
            <w:r>
              <w:rPr>
                <w:rFonts w:ascii="宋体"/>
                <w:sz w:val="18"/>
                <w:szCs w:val="18"/>
              </w:rPr>
              <w:t>砷</w:t>
            </w:r>
          </w:p>
        </w:tc>
        <w:tc>
          <w:tcPr>
            <w:tcW w:w="493" w:type="pct"/>
            <w:vAlign w:val="center"/>
          </w:tcPr>
          <w:p>
            <w:pPr>
              <w:pStyle w:val="25"/>
              <w:ind w:firstLine="0" w:firstLineChars="0"/>
              <w:jc w:val="center"/>
              <w:rPr>
                <w:rFonts w:ascii="宋体"/>
                <w:sz w:val="18"/>
                <w:szCs w:val="18"/>
              </w:rPr>
            </w:pPr>
            <w:r>
              <w:rPr>
                <w:rFonts w:ascii="宋体"/>
                <w:sz w:val="18"/>
                <w:szCs w:val="18"/>
              </w:rPr>
              <w:t>铅</w:t>
            </w:r>
          </w:p>
        </w:tc>
        <w:tc>
          <w:tcPr>
            <w:tcW w:w="493" w:type="pct"/>
            <w:vAlign w:val="center"/>
          </w:tcPr>
          <w:p>
            <w:pPr>
              <w:pStyle w:val="25"/>
              <w:ind w:firstLine="0" w:firstLineChars="0"/>
              <w:jc w:val="center"/>
              <w:rPr>
                <w:rFonts w:ascii="宋体"/>
                <w:sz w:val="18"/>
                <w:szCs w:val="18"/>
              </w:rPr>
            </w:pPr>
            <w:r>
              <w:rPr>
                <w:rFonts w:ascii="宋体"/>
                <w:sz w:val="18"/>
                <w:szCs w:val="18"/>
              </w:rPr>
              <w:t>锌</w:t>
            </w:r>
          </w:p>
        </w:tc>
        <w:tc>
          <w:tcPr>
            <w:tcW w:w="493" w:type="pct"/>
            <w:vAlign w:val="center"/>
          </w:tcPr>
          <w:p>
            <w:pPr>
              <w:pStyle w:val="25"/>
              <w:ind w:firstLine="0" w:firstLineChars="0"/>
              <w:jc w:val="center"/>
              <w:rPr>
                <w:rFonts w:ascii="宋体"/>
                <w:sz w:val="18"/>
                <w:szCs w:val="18"/>
              </w:rPr>
            </w:pPr>
            <w:r>
              <w:rPr>
                <w:rFonts w:ascii="宋体"/>
                <w:sz w:val="18"/>
                <w:szCs w:val="18"/>
              </w:rPr>
              <w:t>铜</w:t>
            </w:r>
          </w:p>
        </w:tc>
        <w:tc>
          <w:tcPr>
            <w:tcW w:w="493" w:type="pct"/>
            <w:vAlign w:val="center"/>
          </w:tcPr>
          <w:p>
            <w:pPr>
              <w:pStyle w:val="25"/>
              <w:ind w:firstLine="0" w:firstLineChars="0"/>
              <w:jc w:val="center"/>
              <w:rPr>
                <w:rFonts w:ascii="宋体"/>
                <w:sz w:val="18"/>
                <w:szCs w:val="18"/>
              </w:rPr>
            </w:pPr>
            <w:r>
              <w:rPr>
                <w:rFonts w:ascii="宋体"/>
                <w:sz w:val="18"/>
                <w:szCs w:val="18"/>
              </w:rPr>
              <w:t>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1054" w:type="pct"/>
            <w:vAlign w:val="center"/>
          </w:tcPr>
          <w:p>
            <w:pPr>
              <w:pStyle w:val="25"/>
              <w:ind w:firstLine="0" w:firstLineChars="0"/>
              <w:jc w:val="center"/>
              <w:rPr>
                <w:rFonts w:ascii="宋体"/>
                <w:sz w:val="18"/>
                <w:szCs w:val="18"/>
              </w:rPr>
            </w:pPr>
            <w:r>
              <w:rPr>
                <w:rFonts w:ascii="宋体"/>
                <w:sz w:val="18"/>
                <w:szCs w:val="18"/>
              </w:rPr>
              <w:t>毒性响应参数</w:t>
            </w:r>
          </w:p>
        </w:tc>
        <w:tc>
          <w:tcPr>
            <w:tcW w:w="493" w:type="pct"/>
            <w:vAlign w:val="center"/>
          </w:tcPr>
          <w:p>
            <w:pPr>
              <w:pStyle w:val="25"/>
              <w:ind w:firstLine="0" w:firstLineChars="0"/>
              <w:jc w:val="center"/>
              <w:rPr>
                <w:rFonts w:ascii="宋体"/>
                <w:sz w:val="18"/>
                <w:szCs w:val="18"/>
              </w:rPr>
            </w:pPr>
            <w:r>
              <w:rPr>
                <w:rFonts w:ascii="宋体"/>
                <w:sz w:val="18"/>
                <w:szCs w:val="18"/>
              </w:rPr>
              <w:t>30</w:t>
            </w:r>
          </w:p>
        </w:tc>
        <w:tc>
          <w:tcPr>
            <w:tcW w:w="493" w:type="pct"/>
            <w:vAlign w:val="center"/>
          </w:tcPr>
          <w:p>
            <w:pPr>
              <w:pStyle w:val="25"/>
              <w:ind w:firstLine="0" w:firstLineChars="0"/>
              <w:jc w:val="center"/>
              <w:rPr>
                <w:rFonts w:ascii="宋体"/>
                <w:sz w:val="18"/>
                <w:szCs w:val="18"/>
              </w:rPr>
            </w:pPr>
            <w:r>
              <w:rPr>
                <w:rFonts w:ascii="宋体"/>
                <w:sz w:val="18"/>
                <w:szCs w:val="18"/>
              </w:rPr>
              <w:t>2</w:t>
            </w:r>
          </w:p>
        </w:tc>
        <w:tc>
          <w:tcPr>
            <w:tcW w:w="493" w:type="pct"/>
            <w:vAlign w:val="center"/>
          </w:tcPr>
          <w:p>
            <w:pPr>
              <w:pStyle w:val="25"/>
              <w:ind w:firstLine="0" w:firstLineChars="0"/>
              <w:jc w:val="center"/>
              <w:rPr>
                <w:rFonts w:ascii="宋体"/>
                <w:sz w:val="18"/>
                <w:szCs w:val="18"/>
              </w:rPr>
            </w:pPr>
            <w:r>
              <w:rPr>
                <w:rFonts w:ascii="宋体"/>
                <w:sz w:val="18"/>
                <w:szCs w:val="18"/>
              </w:rPr>
              <w:t>40</w:t>
            </w:r>
          </w:p>
        </w:tc>
        <w:tc>
          <w:tcPr>
            <w:tcW w:w="493" w:type="pct"/>
            <w:vAlign w:val="center"/>
          </w:tcPr>
          <w:p>
            <w:pPr>
              <w:pStyle w:val="25"/>
              <w:ind w:firstLine="0" w:firstLineChars="0"/>
              <w:jc w:val="center"/>
              <w:rPr>
                <w:rFonts w:ascii="宋体"/>
                <w:sz w:val="18"/>
                <w:szCs w:val="18"/>
              </w:rPr>
            </w:pPr>
            <w:r>
              <w:rPr>
                <w:rFonts w:ascii="宋体"/>
                <w:sz w:val="18"/>
                <w:szCs w:val="18"/>
              </w:rPr>
              <w:t>10</w:t>
            </w:r>
          </w:p>
        </w:tc>
        <w:tc>
          <w:tcPr>
            <w:tcW w:w="493" w:type="pct"/>
            <w:vAlign w:val="center"/>
          </w:tcPr>
          <w:p>
            <w:pPr>
              <w:pStyle w:val="25"/>
              <w:ind w:firstLine="0" w:firstLineChars="0"/>
              <w:jc w:val="center"/>
              <w:rPr>
                <w:rFonts w:ascii="宋体"/>
                <w:sz w:val="18"/>
                <w:szCs w:val="18"/>
              </w:rPr>
            </w:pPr>
            <w:r>
              <w:rPr>
                <w:rFonts w:ascii="宋体"/>
                <w:sz w:val="18"/>
                <w:szCs w:val="18"/>
              </w:rPr>
              <w:t>5</w:t>
            </w:r>
          </w:p>
        </w:tc>
        <w:tc>
          <w:tcPr>
            <w:tcW w:w="493" w:type="pct"/>
            <w:vAlign w:val="center"/>
          </w:tcPr>
          <w:p>
            <w:pPr>
              <w:pStyle w:val="25"/>
              <w:ind w:firstLine="0" w:firstLineChars="0"/>
              <w:jc w:val="center"/>
              <w:rPr>
                <w:rFonts w:ascii="宋体"/>
                <w:sz w:val="18"/>
                <w:szCs w:val="18"/>
              </w:rPr>
            </w:pPr>
            <w:r>
              <w:rPr>
                <w:rFonts w:ascii="宋体"/>
                <w:sz w:val="18"/>
                <w:szCs w:val="18"/>
              </w:rPr>
              <w:t>1</w:t>
            </w:r>
          </w:p>
        </w:tc>
        <w:tc>
          <w:tcPr>
            <w:tcW w:w="493" w:type="pct"/>
            <w:vAlign w:val="center"/>
          </w:tcPr>
          <w:p>
            <w:pPr>
              <w:pStyle w:val="25"/>
              <w:ind w:firstLine="0" w:firstLineChars="0"/>
              <w:jc w:val="center"/>
              <w:rPr>
                <w:rFonts w:ascii="宋体"/>
                <w:sz w:val="18"/>
                <w:szCs w:val="18"/>
              </w:rPr>
            </w:pPr>
            <w:r>
              <w:rPr>
                <w:rFonts w:ascii="宋体"/>
                <w:sz w:val="18"/>
                <w:szCs w:val="18"/>
              </w:rPr>
              <w:t>5</w:t>
            </w:r>
          </w:p>
        </w:tc>
        <w:tc>
          <w:tcPr>
            <w:tcW w:w="493" w:type="pct"/>
            <w:vAlign w:val="center"/>
          </w:tcPr>
          <w:p>
            <w:pPr>
              <w:pStyle w:val="25"/>
              <w:ind w:firstLine="0" w:firstLineChars="0"/>
              <w:jc w:val="center"/>
              <w:rPr>
                <w:rFonts w:ascii="宋体"/>
                <w:sz w:val="18"/>
                <w:szCs w:val="18"/>
              </w:rPr>
            </w:pPr>
            <w:r>
              <w:rPr>
                <w:rFonts w:ascii="宋体"/>
                <w:sz w:val="18"/>
                <w:szCs w:val="18"/>
              </w:rPr>
              <w:t>5</w:t>
            </w:r>
          </w:p>
        </w:tc>
      </w:tr>
    </w:tbl>
    <w:p>
      <w:pPr>
        <w:pStyle w:val="25"/>
        <w:ind w:firstLine="420"/>
      </w:pPr>
      <w:r>
        <w:t>多种重金属污染物潜在生态风险系数应按式（B.1-3）计算：</w:t>
      </w:r>
    </w:p>
    <w:p>
      <w:pPr>
        <w:pStyle w:val="25"/>
        <w:ind w:firstLine="420"/>
        <w:jc w:val="right"/>
      </w:pPr>
      <w:r>
        <w:t xml:space="preserve">                            </w:t>
      </w:r>
      <w:r>
        <w:rPr>
          <w:position w:val="-16"/>
        </w:rPr>
        <w:object>
          <v:shape id="_x0000_i1032" o:spt="75" type="#_x0000_t75" style="height:22.5pt;width:65.25pt;" o:ole="t" filled="f" o:preferrelative="t" stroked="f" coordsize="21600,21600">
            <v:path/>
            <v:fill on="f" focussize="0,0"/>
            <v:stroke on="f" joinstyle="miter"/>
            <v:imagedata r:id="rId22" o:title=""/>
            <o:lock v:ext="edit" aspectratio="t"/>
            <w10:wrap type="none"/>
            <w10:anchorlock/>
          </v:shape>
          <o:OLEObject Type="Embed" ProgID="Equation.DSMT4" ShapeID="_x0000_i1032" DrawAspect="Content" ObjectID="_1468075732" r:id="rId21">
            <o:LockedField>false</o:LockedField>
          </o:OLEObject>
        </w:object>
      </w:r>
      <w:r>
        <w:t xml:space="preserve">                             （B.1-3）</w:t>
      </w:r>
    </w:p>
    <w:p>
      <w:pPr>
        <w:pStyle w:val="25"/>
        <w:ind w:firstLine="420"/>
      </w:pPr>
      <w:r>
        <w:t>式中：</w:t>
      </w:r>
      <w:r>
        <w:rPr>
          <w:i/>
          <w:iCs/>
        </w:rPr>
        <w:t>RI</w:t>
      </w:r>
      <w:r>
        <w:t>——多种重金属污染物潜在生态风险系数。</w:t>
      </w:r>
    </w:p>
    <w:p>
      <w:pPr>
        <w:pStyle w:val="25"/>
        <w:ind w:firstLine="420"/>
      </w:pPr>
      <w:r>
        <w:t>生态风险指数按照表B.2将淤泥划分为污染层（A层）、过渡层（B层）和正常层（C层）。</w:t>
      </w:r>
    </w:p>
    <w:p>
      <w:pPr>
        <w:pStyle w:val="91"/>
      </w:pPr>
      <w:r>
        <w:t>表 B.2 生态风险指数分级标准</w:t>
      </w:r>
    </w:p>
    <w:tbl>
      <w:tblPr>
        <w:tblStyle w:val="37"/>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029"/>
        <w:gridCol w:w="3505"/>
        <w:gridCol w:w="30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blHeader/>
        </w:trPr>
        <w:tc>
          <w:tcPr>
            <w:tcW w:w="3414" w:type="pct"/>
            <w:gridSpan w:val="2"/>
            <w:vAlign w:val="center"/>
          </w:tcPr>
          <w:p>
            <w:pPr>
              <w:pStyle w:val="25"/>
              <w:ind w:firstLine="0" w:firstLineChars="0"/>
              <w:jc w:val="center"/>
              <w:rPr>
                <w:rFonts w:ascii="宋体"/>
                <w:sz w:val="18"/>
                <w:szCs w:val="18"/>
              </w:rPr>
            </w:pPr>
            <w:r>
              <w:rPr>
                <w:rFonts w:ascii="宋体"/>
                <w:sz w:val="18"/>
                <w:szCs w:val="18"/>
              </w:rPr>
              <w:t>潜在生态风险指数分级标准</w:t>
            </w:r>
          </w:p>
        </w:tc>
        <w:tc>
          <w:tcPr>
            <w:tcW w:w="1585" w:type="pct"/>
            <w:vMerge w:val="restart"/>
            <w:vAlign w:val="center"/>
          </w:tcPr>
          <w:p>
            <w:pPr>
              <w:pStyle w:val="25"/>
              <w:ind w:firstLine="0" w:firstLineChars="0"/>
              <w:jc w:val="center"/>
              <w:rPr>
                <w:rFonts w:ascii="宋体"/>
                <w:sz w:val="18"/>
                <w:szCs w:val="18"/>
              </w:rPr>
            </w:pPr>
            <w:r>
              <w:rPr>
                <w:rFonts w:ascii="宋体"/>
                <w:sz w:val="18"/>
                <w:szCs w:val="18"/>
              </w:rPr>
              <w:t>底泥划分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blHeader/>
        </w:trPr>
        <w:tc>
          <w:tcPr>
            <w:tcW w:w="1583" w:type="pct"/>
            <w:vAlign w:val="center"/>
          </w:tcPr>
          <w:p>
            <w:pPr>
              <w:pStyle w:val="25"/>
              <w:ind w:firstLine="0" w:firstLineChars="0"/>
              <w:jc w:val="center"/>
              <w:rPr>
                <w:rFonts w:ascii="宋体"/>
                <w:sz w:val="18"/>
                <w:szCs w:val="18"/>
              </w:rPr>
            </w:pPr>
            <w:r>
              <w:rPr>
                <w:rFonts w:ascii="宋体"/>
                <w:sz w:val="18"/>
                <w:szCs w:val="18"/>
              </w:rPr>
              <w:t>阈值区间</w:t>
            </w:r>
          </w:p>
        </w:tc>
        <w:tc>
          <w:tcPr>
            <w:tcW w:w="1831" w:type="pct"/>
            <w:vAlign w:val="center"/>
          </w:tcPr>
          <w:p>
            <w:pPr>
              <w:pStyle w:val="25"/>
              <w:ind w:firstLine="0" w:firstLineChars="0"/>
              <w:jc w:val="center"/>
              <w:rPr>
                <w:rFonts w:ascii="宋体"/>
                <w:sz w:val="18"/>
                <w:szCs w:val="18"/>
              </w:rPr>
            </w:pPr>
            <w:r>
              <w:rPr>
                <w:rFonts w:ascii="宋体"/>
                <w:sz w:val="18"/>
                <w:szCs w:val="18"/>
              </w:rPr>
              <w:t>污染程度分级</w:t>
            </w:r>
          </w:p>
        </w:tc>
        <w:tc>
          <w:tcPr>
            <w:tcW w:w="1585" w:type="pct"/>
            <w:vMerge w:val="continue"/>
            <w:vAlign w:val="center"/>
          </w:tcPr>
          <w:p>
            <w:pPr>
              <w:pStyle w:val="25"/>
              <w:ind w:firstLine="0" w:firstLineChars="0"/>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1583" w:type="pct"/>
            <w:vAlign w:val="center"/>
          </w:tcPr>
          <w:p>
            <w:pPr>
              <w:pStyle w:val="25"/>
              <w:ind w:firstLine="0" w:firstLineChars="0"/>
              <w:jc w:val="center"/>
              <w:rPr>
                <w:rFonts w:ascii="宋体"/>
                <w:sz w:val="18"/>
                <w:szCs w:val="18"/>
              </w:rPr>
            </w:pPr>
            <w:r>
              <w:rPr>
                <w:rFonts w:ascii="宋体"/>
                <w:i/>
                <w:iCs/>
                <w:sz w:val="18"/>
                <w:szCs w:val="18"/>
              </w:rPr>
              <w:t>RI</w:t>
            </w:r>
            <w:r>
              <w:rPr>
                <w:rFonts w:ascii="宋体"/>
                <w:sz w:val="18"/>
                <w:szCs w:val="18"/>
              </w:rPr>
              <w:t>&lt;150</w:t>
            </w:r>
          </w:p>
        </w:tc>
        <w:tc>
          <w:tcPr>
            <w:tcW w:w="1831" w:type="pct"/>
            <w:vAlign w:val="center"/>
          </w:tcPr>
          <w:p>
            <w:pPr>
              <w:pStyle w:val="25"/>
              <w:ind w:firstLine="0" w:firstLineChars="0"/>
              <w:jc w:val="center"/>
              <w:rPr>
                <w:rFonts w:ascii="宋体"/>
                <w:sz w:val="18"/>
                <w:szCs w:val="18"/>
              </w:rPr>
            </w:pPr>
            <w:r>
              <w:rPr>
                <w:rFonts w:ascii="宋体"/>
                <w:sz w:val="18"/>
                <w:szCs w:val="18"/>
              </w:rPr>
              <w:t>低风险</w:t>
            </w:r>
          </w:p>
        </w:tc>
        <w:tc>
          <w:tcPr>
            <w:tcW w:w="1585" w:type="pct"/>
            <w:vAlign w:val="center"/>
          </w:tcPr>
          <w:p>
            <w:pPr>
              <w:pStyle w:val="25"/>
              <w:ind w:firstLine="0" w:firstLineChars="0"/>
              <w:jc w:val="center"/>
              <w:rPr>
                <w:rFonts w:ascii="宋体"/>
                <w:sz w:val="18"/>
                <w:szCs w:val="18"/>
              </w:rPr>
            </w:pPr>
            <w:r>
              <w:rPr>
                <w:rFonts w:ascii="宋体"/>
                <w:sz w:val="18"/>
                <w:szCs w:val="18"/>
              </w:rPr>
              <w:t>正常层（C层）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1583" w:type="pct"/>
            <w:vAlign w:val="center"/>
          </w:tcPr>
          <w:p>
            <w:pPr>
              <w:pStyle w:val="25"/>
              <w:ind w:firstLine="0" w:firstLineChars="0"/>
              <w:jc w:val="center"/>
              <w:rPr>
                <w:rFonts w:ascii="宋体"/>
                <w:sz w:val="18"/>
                <w:szCs w:val="18"/>
              </w:rPr>
            </w:pPr>
            <w:r>
              <w:rPr>
                <w:rFonts w:ascii="宋体"/>
                <w:sz w:val="18"/>
                <w:szCs w:val="18"/>
              </w:rPr>
              <w:t>150≤</w:t>
            </w:r>
            <w:r>
              <w:rPr>
                <w:rFonts w:ascii="宋体"/>
                <w:i/>
                <w:iCs/>
                <w:sz w:val="18"/>
                <w:szCs w:val="18"/>
              </w:rPr>
              <w:t>RI</w:t>
            </w:r>
            <w:r>
              <w:rPr>
                <w:rFonts w:ascii="宋体"/>
                <w:sz w:val="18"/>
                <w:szCs w:val="18"/>
              </w:rPr>
              <w:t>≤300</w:t>
            </w:r>
          </w:p>
        </w:tc>
        <w:tc>
          <w:tcPr>
            <w:tcW w:w="1831" w:type="pct"/>
            <w:vAlign w:val="center"/>
          </w:tcPr>
          <w:p>
            <w:pPr>
              <w:pStyle w:val="25"/>
              <w:ind w:firstLine="0" w:firstLineChars="0"/>
              <w:jc w:val="center"/>
              <w:rPr>
                <w:rFonts w:ascii="宋体"/>
                <w:sz w:val="18"/>
                <w:szCs w:val="18"/>
              </w:rPr>
            </w:pPr>
            <w:r>
              <w:rPr>
                <w:rFonts w:ascii="宋体"/>
                <w:sz w:val="18"/>
                <w:szCs w:val="18"/>
              </w:rPr>
              <w:t>中风险</w:t>
            </w:r>
          </w:p>
        </w:tc>
        <w:tc>
          <w:tcPr>
            <w:tcW w:w="1585" w:type="pct"/>
            <w:vAlign w:val="center"/>
          </w:tcPr>
          <w:p>
            <w:pPr>
              <w:pStyle w:val="25"/>
              <w:ind w:firstLine="0" w:firstLineChars="0"/>
              <w:jc w:val="center"/>
              <w:rPr>
                <w:rFonts w:ascii="宋体"/>
                <w:sz w:val="18"/>
                <w:szCs w:val="18"/>
              </w:rPr>
            </w:pPr>
            <w:r>
              <w:rPr>
                <w:rFonts w:ascii="宋体"/>
                <w:sz w:val="18"/>
                <w:szCs w:val="18"/>
              </w:rPr>
              <w:t>过渡层（C层）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1583" w:type="pct"/>
            <w:vAlign w:val="center"/>
          </w:tcPr>
          <w:p>
            <w:pPr>
              <w:pStyle w:val="25"/>
              <w:ind w:firstLine="0" w:firstLineChars="0"/>
              <w:jc w:val="center"/>
              <w:rPr>
                <w:rFonts w:ascii="宋体"/>
                <w:sz w:val="18"/>
                <w:szCs w:val="18"/>
              </w:rPr>
            </w:pPr>
            <w:r>
              <w:rPr>
                <w:rFonts w:ascii="宋体"/>
                <w:sz w:val="18"/>
                <w:szCs w:val="18"/>
              </w:rPr>
              <w:t>300≤</w:t>
            </w:r>
            <w:r>
              <w:rPr>
                <w:rFonts w:ascii="宋体"/>
                <w:i/>
                <w:iCs/>
                <w:sz w:val="18"/>
                <w:szCs w:val="18"/>
              </w:rPr>
              <w:t>RI</w:t>
            </w:r>
            <w:r>
              <w:rPr>
                <w:rFonts w:ascii="宋体"/>
                <w:sz w:val="18"/>
                <w:szCs w:val="18"/>
              </w:rPr>
              <w:t>≤600</w:t>
            </w:r>
          </w:p>
        </w:tc>
        <w:tc>
          <w:tcPr>
            <w:tcW w:w="1831" w:type="pct"/>
            <w:vAlign w:val="center"/>
          </w:tcPr>
          <w:p>
            <w:pPr>
              <w:pStyle w:val="25"/>
              <w:ind w:firstLine="0" w:firstLineChars="0"/>
              <w:jc w:val="center"/>
              <w:rPr>
                <w:rFonts w:ascii="宋体"/>
                <w:sz w:val="18"/>
                <w:szCs w:val="18"/>
              </w:rPr>
            </w:pPr>
            <w:r>
              <w:rPr>
                <w:rFonts w:ascii="宋体"/>
                <w:sz w:val="18"/>
                <w:szCs w:val="18"/>
              </w:rPr>
              <w:t>高风险</w:t>
            </w:r>
          </w:p>
        </w:tc>
        <w:tc>
          <w:tcPr>
            <w:tcW w:w="1585" w:type="pct"/>
            <w:vAlign w:val="center"/>
          </w:tcPr>
          <w:p>
            <w:pPr>
              <w:pStyle w:val="25"/>
              <w:ind w:firstLine="0" w:firstLineChars="0"/>
              <w:jc w:val="center"/>
              <w:rPr>
                <w:rFonts w:ascii="宋体"/>
                <w:sz w:val="18"/>
                <w:szCs w:val="18"/>
              </w:rPr>
            </w:pPr>
            <w:r>
              <w:rPr>
                <w:rFonts w:ascii="宋体"/>
                <w:sz w:val="18"/>
                <w:szCs w:val="18"/>
              </w:rPr>
              <w:t>过渡层（B层）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1583" w:type="pct"/>
            <w:vAlign w:val="center"/>
          </w:tcPr>
          <w:p>
            <w:pPr>
              <w:pStyle w:val="25"/>
              <w:ind w:firstLine="0" w:firstLineChars="0"/>
              <w:jc w:val="center"/>
              <w:rPr>
                <w:rFonts w:ascii="宋体"/>
                <w:sz w:val="18"/>
                <w:szCs w:val="18"/>
              </w:rPr>
            </w:pPr>
            <w:r>
              <w:rPr>
                <w:rFonts w:ascii="宋体"/>
                <w:sz w:val="18"/>
                <w:szCs w:val="18"/>
              </w:rPr>
              <w:t>600≤</w:t>
            </w:r>
            <w:r>
              <w:rPr>
                <w:rFonts w:ascii="宋体"/>
                <w:i/>
                <w:iCs/>
                <w:sz w:val="18"/>
                <w:szCs w:val="18"/>
              </w:rPr>
              <w:t>RI</w:t>
            </w:r>
            <w:r>
              <w:rPr>
                <w:rFonts w:ascii="宋体"/>
                <w:sz w:val="18"/>
                <w:szCs w:val="18"/>
              </w:rPr>
              <w:t>≤1200</w:t>
            </w:r>
          </w:p>
        </w:tc>
        <w:tc>
          <w:tcPr>
            <w:tcW w:w="1831" w:type="pct"/>
            <w:vAlign w:val="center"/>
          </w:tcPr>
          <w:p>
            <w:pPr>
              <w:pStyle w:val="25"/>
              <w:ind w:firstLine="0" w:firstLineChars="0"/>
              <w:jc w:val="center"/>
              <w:rPr>
                <w:rFonts w:ascii="宋体"/>
                <w:sz w:val="18"/>
                <w:szCs w:val="18"/>
              </w:rPr>
            </w:pPr>
            <w:r>
              <w:rPr>
                <w:rFonts w:ascii="宋体"/>
                <w:sz w:val="18"/>
                <w:szCs w:val="18"/>
              </w:rPr>
              <w:t>很高风险</w:t>
            </w:r>
          </w:p>
        </w:tc>
        <w:tc>
          <w:tcPr>
            <w:tcW w:w="1585" w:type="pct"/>
            <w:vAlign w:val="center"/>
          </w:tcPr>
          <w:p>
            <w:pPr>
              <w:pStyle w:val="25"/>
              <w:ind w:firstLine="0" w:firstLineChars="0"/>
              <w:jc w:val="center"/>
              <w:rPr>
                <w:rFonts w:ascii="宋体"/>
                <w:sz w:val="18"/>
                <w:szCs w:val="18"/>
              </w:rPr>
            </w:pPr>
            <w:r>
              <w:rPr>
                <w:rFonts w:ascii="宋体"/>
                <w:sz w:val="18"/>
                <w:szCs w:val="18"/>
              </w:rPr>
              <w:t>污染层（A层）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1583" w:type="pct"/>
            <w:vAlign w:val="center"/>
          </w:tcPr>
          <w:p>
            <w:pPr>
              <w:pStyle w:val="25"/>
              <w:ind w:firstLine="0" w:firstLineChars="0"/>
              <w:jc w:val="center"/>
              <w:rPr>
                <w:rFonts w:ascii="宋体"/>
                <w:sz w:val="18"/>
                <w:szCs w:val="18"/>
              </w:rPr>
            </w:pPr>
            <w:r>
              <w:rPr>
                <w:rFonts w:ascii="宋体"/>
                <w:i/>
                <w:iCs/>
                <w:sz w:val="18"/>
                <w:szCs w:val="18"/>
              </w:rPr>
              <w:t>RI</w:t>
            </w:r>
            <w:r>
              <w:rPr>
                <w:rFonts w:ascii="宋体"/>
                <w:sz w:val="18"/>
                <w:szCs w:val="18"/>
              </w:rPr>
              <w:t>≥1200</w:t>
            </w:r>
          </w:p>
        </w:tc>
        <w:tc>
          <w:tcPr>
            <w:tcW w:w="1831" w:type="pct"/>
            <w:vAlign w:val="center"/>
          </w:tcPr>
          <w:p>
            <w:pPr>
              <w:pStyle w:val="25"/>
              <w:ind w:firstLine="0" w:firstLineChars="0"/>
              <w:jc w:val="center"/>
              <w:rPr>
                <w:rFonts w:ascii="宋体"/>
                <w:sz w:val="18"/>
                <w:szCs w:val="18"/>
              </w:rPr>
            </w:pPr>
            <w:r>
              <w:rPr>
                <w:rFonts w:ascii="宋体"/>
                <w:sz w:val="18"/>
                <w:szCs w:val="18"/>
              </w:rPr>
              <w:t>中风险</w:t>
            </w:r>
          </w:p>
        </w:tc>
        <w:tc>
          <w:tcPr>
            <w:tcW w:w="1585" w:type="pct"/>
            <w:vAlign w:val="center"/>
          </w:tcPr>
          <w:p>
            <w:pPr>
              <w:pStyle w:val="25"/>
              <w:ind w:firstLine="0" w:firstLineChars="0"/>
              <w:jc w:val="center"/>
              <w:rPr>
                <w:rFonts w:ascii="宋体"/>
                <w:sz w:val="18"/>
                <w:szCs w:val="18"/>
              </w:rPr>
            </w:pPr>
            <w:r>
              <w:rPr>
                <w:rFonts w:ascii="宋体"/>
                <w:sz w:val="18"/>
                <w:szCs w:val="18"/>
              </w:rPr>
              <w:t>污染层（A层）</w:t>
            </w:r>
          </w:p>
        </w:tc>
      </w:tr>
    </w:tbl>
    <w:p>
      <w:pPr>
        <w:pStyle w:val="25"/>
        <w:ind w:firstLine="420"/>
      </w:pPr>
      <w:r>
        <w:t>根据生态风险指数法分别获得的淤泥单个和多种重金属污染生态风险系数，生态清淤施工过程中淤泥的重金属污染程度可按表B.3执行。</w:t>
      </w:r>
    </w:p>
    <w:p>
      <w:pPr>
        <w:pStyle w:val="91"/>
      </w:pPr>
      <w:r>
        <w:t>表 B.3  底泥重金属污染程度分级</w:t>
      </w:r>
    </w:p>
    <w:tbl>
      <w:tblPr>
        <w:tblStyle w:val="37"/>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27"/>
        <w:gridCol w:w="2103"/>
        <w:gridCol w:w="2103"/>
        <w:gridCol w:w="2103"/>
        <w:gridCol w:w="16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50" w:type="pct"/>
            <w:vAlign w:val="center"/>
          </w:tcPr>
          <w:p>
            <w:pPr>
              <w:pStyle w:val="25"/>
              <w:ind w:firstLine="0" w:firstLineChars="0"/>
              <w:jc w:val="center"/>
              <w:rPr>
                <w:rFonts w:ascii="宋体"/>
                <w:sz w:val="18"/>
                <w:szCs w:val="18"/>
              </w:rPr>
            </w:pPr>
            <w:r>
              <w:rPr>
                <w:rFonts w:ascii="宋体"/>
                <w:sz w:val="18"/>
                <w:szCs w:val="18"/>
              </w:rPr>
              <w:t>等级划分</w:t>
            </w:r>
          </w:p>
        </w:tc>
        <w:tc>
          <w:tcPr>
            <w:tcW w:w="1098" w:type="pct"/>
            <w:vAlign w:val="center"/>
          </w:tcPr>
          <w:p>
            <w:pPr>
              <w:pStyle w:val="25"/>
              <w:ind w:firstLine="0" w:firstLineChars="0"/>
              <w:jc w:val="center"/>
              <w:rPr>
                <w:rFonts w:ascii="宋体"/>
                <w:i/>
                <w:iCs/>
                <w:sz w:val="18"/>
                <w:szCs w:val="18"/>
              </w:rPr>
            </w:pPr>
            <w:r>
              <w:rPr>
                <w:rFonts w:ascii="宋体"/>
                <w:i/>
                <w:iCs/>
                <w:sz w:val="18"/>
                <w:szCs w:val="18"/>
              </w:rPr>
              <w:t>Er</w:t>
            </w:r>
          </w:p>
        </w:tc>
        <w:tc>
          <w:tcPr>
            <w:tcW w:w="1098" w:type="pct"/>
            <w:vAlign w:val="center"/>
          </w:tcPr>
          <w:p>
            <w:pPr>
              <w:pStyle w:val="25"/>
              <w:ind w:firstLine="0" w:firstLineChars="0"/>
              <w:jc w:val="center"/>
              <w:rPr>
                <w:rFonts w:ascii="宋体"/>
                <w:i/>
                <w:iCs/>
                <w:sz w:val="18"/>
                <w:szCs w:val="18"/>
              </w:rPr>
            </w:pPr>
            <w:r>
              <w:rPr>
                <w:rFonts w:ascii="宋体"/>
                <w:i/>
                <w:iCs/>
                <w:sz w:val="18"/>
                <w:szCs w:val="18"/>
              </w:rPr>
              <w:t>RI</w:t>
            </w:r>
          </w:p>
        </w:tc>
        <w:tc>
          <w:tcPr>
            <w:tcW w:w="1098" w:type="pct"/>
            <w:vAlign w:val="center"/>
          </w:tcPr>
          <w:p>
            <w:pPr>
              <w:pStyle w:val="25"/>
              <w:ind w:firstLine="0" w:firstLineChars="0"/>
              <w:jc w:val="center"/>
              <w:rPr>
                <w:rFonts w:ascii="宋体"/>
                <w:sz w:val="18"/>
                <w:szCs w:val="18"/>
              </w:rPr>
            </w:pPr>
            <w:r>
              <w:rPr>
                <w:rFonts w:ascii="宋体"/>
                <w:sz w:val="18"/>
                <w:szCs w:val="18"/>
              </w:rPr>
              <w:t>等级</w:t>
            </w:r>
          </w:p>
        </w:tc>
        <w:tc>
          <w:tcPr>
            <w:tcW w:w="852" w:type="pct"/>
            <w:vAlign w:val="center"/>
          </w:tcPr>
          <w:p>
            <w:pPr>
              <w:pStyle w:val="25"/>
              <w:ind w:firstLine="0" w:firstLineChars="0"/>
              <w:jc w:val="center"/>
              <w:rPr>
                <w:rFonts w:ascii="宋体"/>
                <w:sz w:val="18"/>
                <w:szCs w:val="18"/>
              </w:rPr>
            </w:pPr>
            <w:r>
              <w:rPr>
                <w:rFonts w:ascii="宋体"/>
                <w:sz w:val="18"/>
                <w:szCs w:val="18"/>
              </w:rPr>
              <w:t>是否清淤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50" w:type="pct"/>
            <w:vAlign w:val="center"/>
          </w:tcPr>
          <w:p>
            <w:pPr>
              <w:pStyle w:val="25"/>
              <w:ind w:firstLine="0" w:firstLineChars="0"/>
              <w:jc w:val="center"/>
              <w:rPr>
                <w:rFonts w:ascii="宋体"/>
                <w:sz w:val="18"/>
                <w:szCs w:val="18"/>
              </w:rPr>
            </w:pPr>
            <w:r>
              <w:rPr>
                <w:rFonts w:ascii="宋体"/>
                <w:sz w:val="18"/>
                <w:szCs w:val="18"/>
              </w:rPr>
              <w:t>1</w:t>
            </w:r>
          </w:p>
        </w:tc>
        <w:tc>
          <w:tcPr>
            <w:tcW w:w="1098" w:type="pct"/>
            <w:vAlign w:val="center"/>
          </w:tcPr>
          <w:p>
            <w:pPr>
              <w:pStyle w:val="25"/>
              <w:ind w:firstLine="0" w:firstLineChars="0"/>
              <w:jc w:val="center"/>
              <w:rPr>
                <w:rFonts w:ascii="宋体"/>
                <w:sz w:val="18"/>
                <w:szCs w:val="18"/>
              </w:rPr>
            </w:pPr>
            <w:r>
              <w:rPr>
                <w:rFonts w:ascii="宋体"/>
                <w:i/>
                <w:iCs/>
                <w:sz w:val="18"/>
                <w:szCs w:val="18"/>
              </w:rPr>
              <w:t>Er</w:t>
            </w:r>
            <w:r>
              <w:rPr>
                <w:rFonts w:ascii="宋体"/>
                <w:sz w:val="18"/>
                <w:szCs w:val="18"/>
              </w:rPr>
              <w:t>&lt;40</w:t>
            </w:r>
          </w:p>
        </w:tc>
        <w:tc>
          <w:tcPr>
            <w:tcW w:w="1098" w:type="pct"/>
            <w:vAlign w:val="center"/>
          </w:tcPr>
          <w:p>
            <w:pPr>
              <w:pStyle w:val="25"/>
              <w:ind w:firstLine="0" w:firstLineChars="0"/>
              <w:jc w:val="center"/>
              <w:rPr>
                <w:rFonts w:ascii="宋体"/>
                <w:sz w:val="18"/>
                <w:szCs w:val="18"/>
              </w:rPr>
            </w:pPr>
            <w:r>
              <w:rPr>
                <w:rFonts w:ascii="宋体"/>
                <w:sz w:val="18"/>
                <w:szCs w:val="18"/>
              </w:rPr>
              <w:t>RI&lt;150</w:t>
            </w:r>
          </w:p>
        </w:tc>
        <w:tc>
          <w:tcPr>
            <w:tcW w:w="1098" w:type="pct"/>
            <w:vAlign w:val="center"/>
          </w:tcPr>
          <w:p>
            <w:pPr>
              <w:pStyle w:val="25"/>
              <w:ind w:firstLine="0" w:firstLineChars="0"/>
              <w:jc w:val="center"/>
              <w:rPr>
                <w:rFonts w:ascii="宋体"/>
                <w:sz w:val="18"/>
                <w:szCs w:val="18"/>
              </w:rPr>
            </w:pPr>
            <w:r>
              <w:rPr>
                <w:rFonts w:ascii="宋体"/>
                <w:sz w:val="18"/>
                <w:szCs w:val="18"/>
              </w:rPr>
              <w:t>低</w:t>
            </w:r>
          </w:p>
        </w:tc>
        <w:tc>
          <w:tcPr>
            <w:tcW w:w="852" w:type="pct"/>
            <w:vAlign w:val="center"/>
          </w:tcPr>
          <w:p>
            <w:pPr>
              <w:pStyle w:val="25"/>
              <w:ind w:firstLine="0" w:firstLineChars="0"/>
              <w:jc w:val="center"/>
              <w:rPr>
                <w:rFonts w:ascii="宋体"/>
                <w:sz w:val="18"/>
                <w:szCs w:val="18"/>
              </w:rPr>
            </w:pPr>
            <w:r>
              <w:rPr>
                <w:rFonts w:ascii="宋体"/>
                <w:sz w:val="18"/>
                <w:szCs w:val="18"/>
              </w:rPr>
              <w:t>不清淤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50" w:type="pct"/>
            <w:vAlign w:val="center"/>
          </w:tcPr>
          <w:p>
            <w:pPr>
              <w:pStyle w:val="25"/>
              <w:ind w:firstLine="0" w:firstLineChars="0"/>
              <w:jc w:val="center"/>
              <w:rPr>
                <w:rFonts w:ascii="宋体"/>
                <w:sz w:val="18"/>
                <w:szCs w:val="18"/>
              </w:rPr>
            </w:pPr>
            <w:r>
              <w:rPr>
                <w:rFonts w:ascii="宋体"/>
                <w:sz w:val="18"/>
                <w:szCs w:val="18"/>
              </w:rPr>
              <w:t>2</w:t>
            </w:r>
          </w:p>
        </w:tc>
        <w:tc>
          <w:tcPr>
            <w:tcW w:w="1098" w:type="pct"/>
            <w:vAlign w:val="center"/>
          </w:tcPr>
          <w:p>
            <w:pPr>
              <w:pStyle w:val="25"/>
              <w:ind w:firstLine="0" w:firstLineChars="0"/>
              <w:jc w:val="center"/>
              <w:rPr>
                <w:rFonts w:ascii="宋体"/>
                <w:sz w:val="18"/>
                <w:szCs w:val="18"/>
              </w:rPr>
            </w:pPr>
            <w:r>
              <w:rPr>
                <w:rFonts w:ascii="宋体"/>
                <w:sz w:val="18"/>
                <w:szCs w:val="18"/>
              </w:rPr>
              <w:t>40≤</w:t>
            </w:r>
            <w:r>
              <w:rPr>
                <w:rFonts w:ascii="宋体"/>
                <w:i/>
                <w:iCs/>
                <w:sz w:val="18"/>
                <w:szCs w:val="18"/>
              </w:rPr>
              <w:t>Er</w:t>
            </w:r>
            <w:r>
              <w:rPr>
                <w:rFonts w:ascii="宋体"/>
                <w:sz w:val="18"/>
                <w:szCs w:val="18"/>
              </w:rPr>
              <w:t>&lt;80</w:t>
            </w:r>
          </w:p>
        </w:tc>
        <w:tc>
          <w:tcPr>
            <w:tcW w:w="1098" w:type="pct"/>
            <w:vAlign w:val="center"/>
          </w:tcPr>
          <w:p>
            <w:pPr>
              <w:pStyle w:val="25"/>
              <w:ind w:firstLine="0" w:firstLineChars="0"/>
              <w:jc w:val="center"/>
              <w:rPr>
                <w:rFonts w:ascii="宋体"/>
                <w:sz w:val="18"/>
                <w:szCs w:val="18"/>
              </w:rPr>
            </w:pPr>
            <w:r>
              <w:rPr>
                <w:rFonts w:ascii="宋体"/>
                <w:sz w:val="18"/>
                <w:szCs w:val="18"/>
              </w:rPr>
              <w:t>150≤RI&lt;300</w:t>
            </w:r>
          </w:p>
        </w:tc>
        <w:tc>
          <w:tcPr>
            <w:tcW w:w="1098" w:type="pct"/>
            <w:vAlign w:val="center"/>
          </w:tcPr>
          <w:p>
            <w:pPr>
              <w:pStyle w:val="25"/>
              <w:ind w:firstLine="0" w:firstLineChars="0"/>
              <w:jc w:val="center"/>
              <w:rPr>
                <w:rFonts w:ascii="宋体"/>
                <w:sz w:val="18"/>
                <w:szCs w:val="18"/>
              </w:rPr>
            </w:pPr>
            <w:r>
              <w:rPr>
                <w:rFonts w:ascii="宋体"/>
                <w:sz w:val="18"/>
                <w:szCs w:val="18"/>
              </w:rPr>
              <w:t>中等</w:t>
            </w:r>
          </w:p>
        </w:tc>
        <w:tc>
          <w:tcPr>
            <w:tcW w:w="852" w:type="pct"/>
            <w:vAlign w:val="center"/>
          </w:tcPr>
          <w:p>
            <w:pPr>
              <w:pStyle w:val="25"/>
              <w:ind w:firstLine="0" w:firstLineChars="0"/>
              <w:jc w:val="center"/>
              <w:rPr>
                <w:rFonts w:ascii="宋体"/>
                <w:sz w:val="18"/>
                <w:szCs w:val="18"/>
              </w:rPr>
            </w:pPr>
            <w:r>
              <w:rPr>
                <w:rFonts w:ascii="宋体"/>
                <w:sz w:val="18"/>
                <w:szCs w:val="18"/>
              </w:rPr>
              <w:t>不清淤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50" w:type="pct"/>
            <w:vAlign w:val="center"/>
          </w:tcPr>
          <w:p>
            <w:pPr>
              <w:pStyle w:val="25"/>
              <w:ind w:firstLine="0" w:firstLineChars="0"/>
              <w:jc w:val="center"/>
              <w:rPr>
                <w:rFonts w:ascii="宋体"/>
                <w:sz w:val="18"/>
                <w:szCs w:val="18"/>
              </w:rPr>
            </w:pPr>
            <w:r>
              <w:rPr>
                <w:rFonts w:ascii="宋体"/>
                <w:sz w:val="18"/>
                <w:szCs w:val="18"/>
              </w:rPr>
              <w:t>3</w:t>
            </w:r>
          </w:p>
        </w:tc>
        <w:tc>
          <w:tcPr>
            <w:tcW w:w="1098" w:type="pct"/>
            <w:vAlign w:val="center"/>
          </w:tcPr>
          <w:p>
            <w:pPr>
              <w:pStyle w:val="25"/>
              <w:ind w:firstLine="0" w:firstLineChars="0"/>
              <w:jc w:val="center"/>
              <w:rPr>
                <w:rFonts w:ascii="宋体"/>
                <w:sz w:val="18"/>
                <w:szCs w:val="18"/>
              </w:rPr>
            </w:pPr>
            <w:r>
              <w:rPr>
                <w:rFonts w:ascii="宋体"/>
                <w:sz w:val="18"/>
                <w:szCs w:val="18"/>
              </w:rPr>
              <w:t>80≤</w:t>
            </w:r>
            <w:r>
              <w:rPr>
                <w:rFonts w:ascii="宋体"/>
                <w:i/>
                <w:iCs/>
                <w:sz w:val="18"/>
                <w:szCs w:val="18"/>
              </w:rPr>
              <w:t>Er</w:t>
            </w:r>
            <w:r>
              <w:rPr>
                <w:rFonts w:ascii="宋体"/>
                <w:sz w:val="18"/>
                <w:szCs w:val="18"/>
              </w:rPr>
              <w:t>&lt;160</w:t>
            </w:r>
          </w:p>
        </w:tc>
        <w:tc>
          <w:tcPr>
            <w:tcW w:w="1098" w:type="pct"/>
            <w:vAlign w:val="center"/>
          </w:tcPr>
          <w:p>
            <w:pPr>
              <w:pStyle w:val="25"/>
              <w:ind w:firstLine="0" w:firstLineChars="0"/>
              <w:jc w:val="center"/>
              <w:rPr>
                <w:rFonts w:ascii="宋体"/>
                <w:sz w:val="18"/>
                <w:szCs w:val="18"/>
              </w:rPr>
            </w:pPr>
            <w:r>
              <w:rPr>
                <w:rFonts w:ascii="宋体"/>
                <w:sz w:val="18"/>
                <w:szCs w:val="18"/>
              </w:rPr>
              <w:t>300≤RI&lt;600</w:t>
            </w:r>
          </w:p>
        </w:tc>
        <w:tc>
          <w:tcPr>
            <w:tcW w:w="1098" w:type="pct"/>
            <w:vAlign w:val="center"/>
          </w:tcPr>
          <w:p>
            <w:pPr>
              <w:pStyle w:val="25"/>
              <w:ind w:firstLine="0" w:firstLineChars="0"/>
              <w:jc w:val="center"/>
              <w:rPr>
                <w:rFonts w:ascii="宋体"/>
                <w:sz w:val="18"/>
                <w:szCs w:val="18"/>
              </w:rPr>
            </w:pPr>
            <w:r>
              <w:rPr>
                <w:rFonts w:ascii="宋体"/>
                <w:sz w:val="18"/>
                <w:szCs w:val="18"/>
              </w:rPr>
              <w:t>较重</w:t>
            </w:r>
          </w:p>
        </w:tc>
        <w:tc>
          <w:tcPr>
            <w:tcW w:w="852" w:type="pct"/>
            <w:vAlign w:val="center"/>
          </w:tcPr>
          <w:p>
            <w:pPr>
              <w:pStyle w:val="25"/>
              <w:ind w:firstLine="0" w:firstLineChars="0"/>
              <w:jc w:val="center"/>
              <w:rPr>
                <w:rFonts w:ascii="宋体"/>
                <w:sz w:val="18"/>
                <w:szCs w:val="18"/>
              </w:rPr>
            </w:pPr>
            <w:r>
              <w:rPr>
                <w:rFonts w:ascii="宋体"/>
                <w:sz w:val="18"/>
                <w:szCs w:val="18"/>
              </w:rPr>
              <w:t>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50" w:type="pct"/>
            <w:vAlign w:val="center"/>
          </w:tcPr>
          <w:p>
            <w:pPr>
              <w:pStyle w:val="25"/>
              <w:ind w:firstLine="0" w:firstLineChars="0"/>
              <w:jc w:val="center"/>
              <w:rPr>
                <w:rFonts w:ascii="宋体"/>
                <w:sz w:val="18"/>
                <w:szCs w:val="18"/>
              </w:rPr>
            </w:pPr>
            <w:r>
              <w:rPr>
                <w:rFonts w:ascii="宋体"/>
                <w:sz w:val="18"/>
                <w:szCs w:val="18"/>
              </w:rPr>
              <w:t>4</w:t>
            </w:r>
          </w:p>
        </w:tc>
        <w:tc>
          <w:tcPr>
            <w:tcW w:w="1098" w:type="pct"/>
            <w:vAlign w:val="center"/>
          </w:tcPr>
          <w:p>
            <w:pPr>
              <w:pStyle w:val="25"/>
              <w:ind w:firstLine="0" w:firstLineChars="0"/>
              <w:jc w:val="center"/>
              <w:rPr>
                <w:rFonts w:ascii="宋体"/>
                <w:sz w:val="18"/>
                <w:szCs w:val="18"/>
              </w:rPr>
            </w:pPr>
            <w:r>
              <w:rPr>
                <w:rFonts w:ascii="宋体"/>
                <w:sz w:val="18"/>
                <w:szCs w:val="18"/>
              </w:rPr>
              <w:t>160≤</w:t>
            </w:r>
            <w:r>
              <w:rPr>
                <w:rFonts w:ascii="宋体"/>
                <w:i/>
                <w:iCs/>
                <w:sz w:val="18"/>
                <w:szCs w:val="18"/>
              </w:rPr>
              <w:t>Er</w:t>
            </w:r>
            <w:r>
              <w:rPr>
                <w:rFonts w:ascii="宋体"/>
                <w:sz w:val="18"/>
                <w:szCs w:val="18"/>
              </w:rPr>
              <w:t>&lt;320</w:t>
            </w:r>
          </w:p>
        </w:tc>
        <w:tc>
          <w:tcPr>
            <w:tcW w:w="1098" w:type="pct"/>
            <w:vAlign w:val="center"/>
          </w:tcPr>
          <w:p>
            <w:pPr>
              <w:pStyle w:val="25"/>
              <w:ind w:firstLine="0" w:firstLineChars="0"/>
              <w:jc w:val="center"/>
              <w:rPr>
                <w:rFonts w:ascii="宋体"/>
                <w:sz w:val="18"/>
                <w:szCs w:val="18"/>
              </w:rPr>
            </w:pPr>
            <w:r>
              <w:rPr>
                <w:rFonts w:ascii="宋体"/>
                <w:sz w:val="18"/>
                <w:szCs w:val="18"/>
              </w:rPr>
              <w:t>600≤RI&lt;1200</w:t>
            </w:r>
          </w:p>
        </w:tc>
        <w:tc>
          <w:tcPr>
            <w:tcW w:w="1098" w:type="pct"/>
            <w:vAlign w:val="center"/>
          </w:tcPr>
          <w:p>
            <w:pPr>
              <w:pStyle w:val="25"/>
              <w:ind w:firstLine="0" w:firstLineChars="0"/>
              <w:jc w:val="center"/>
              <w:rPr>
                <w:rFonts w:ascii="宋体"/>
                <w:sz w:val="18"/>
                <w:szCs w:val="18"/>
              </w:rPr>
            </w:pPr>
            <w:r>
              <w:rPr>
                <w:rFonts w:ascii="宋体"/>
                <w:sz w:val="18"/>
                <w:szCs w:val="18"/>
              </w:rPr>
              <w:t>重</w:t>
            </w:r>
          </w:p>
        </w:tc>
        <w:tc>
          <w:tcPr>
            <w:tcW w:w="852" w:type="pct"/>
            <w:vAlign w:val="center"/>
          </w:tcPr>
          <w:p>
            <w:pPr>
              <w:pStyle w:val="25"/>
              <w:ind w:firstLine="0" w:firstLineChars="0"/>
              <w:jc w:val="center"/>
              <w:rPr>
                <w:rFonts w:ascii="宋体"/>
                <w:sz w:val="18"/>
                <w:szCs w:val="18"/>
              </w:rPr>
            </w:pPr>
            <w:r>
              <w:rPr>
                <w:rFonts w:ascii="宋体"/>
                <w:sz w:val="18"/>
                <w:szCs w:val="18"/>
              </w:rPr>
              <w:t>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50" w:type="pct"/>
            <w:vAlign w:val="center"/>
          </w:tcPr>
          <w:p>
            <w:pPr>
              <w:pStyle w:val="25"/>
              <w:ind w:firstLine="0" w:firstLineChars="0"/>
              <w:jc w:val="center"/>
              <w:rPr>
                <w:rFonts w:ascii="宋体"/>
                <w:sz w:val="18"/>
                <w:szCs w:val="18"/>
              </w:rPr>
            </w:pPr>
            <w:r>
              <w:rPr>
                <w:rFonts w:ascii="宋体"/>
                <w:sz w:val="18"/>
                <w:szCs w:val="18"/>
              </w:rPr>
              <w:t>5</w:t>
            </w:r>
          </w:p>
        </w:tc>
        <w:tc>
          <w:tcPr>
            <w:tcW w:w="1098" w:type="pct"/>
            <w:vAlign w:val="center"/>
          </w:tcPr>
          <w:p>
            <w:pPr>
              <w:pStyle w:val="25"/>
              <w:ind w:firstLine="0" w:firstLineChars="0"/>
              <w:jc w:val="center"/>
              <w:rPr>
                <w:rFonts w:ascii="宋体"/>
                <w:sz w:val="18"/>
                <w:szCs w:val="18"/>
              </w:rPr>
            </w:pPr>
            <w:r>
              <w:rPr>
                <w:rFonts w:ascii="宋体"/>
                <w:i/>
                <w:iCs/>
                <w:sz w:val="18"/>
                <w:szCs w:val="18"/>
              </w:rPr>
              <w:t>Er</w:t>
            </w:r>
            <w:r>
              <w:rPr>
                <w:rFonts w:ascii="宋体"/>
                <w:sz w:val="18"/>
                <w:szCs w:val="18"/>
              </w:rPr>
              <w:t>≥320</w:t>
            </w:r>
          </w:p>
        </w:tc>
        <w:tc>
          <w:tcPr>
            <w:tcW w:w="1098" w:type="pct"/>
            <w:vAlign w:val="center"/>
          </w:tcPr>
          <w:p>
            <w:pPr>
              <w:pStyle w:val="25"/>
              <w:ind w:firstLine="0" w:firstLineChars="0"/>
              <w:jc w:val="center"/>
              <w:rPr>
                <w:rFonts w:ascii="宋体"/>
                <w:sz w:val="18"/>
                <w:szCs w:val="18"/>
              </w:rPr>
            </w:pPr>
            <w:r>
              <w:rPr>
                <w:rFonts w:ascii="宋体"/>
                <w:sz w:val="18"/>
                <w:szCs w:val="18"/>
              </w:rPr>
              <w:t>RI≥1200</w:t>
            </w:r>
          </w:p>
        </w:tc>
        <w:tc>
          <w:tcPr>
            <w:tcW w:w="1098" w:type="pct"/>
            <w:vAlign w:val="center"/>
          </w:tcPr>
          <w:p>
            <w:pPr>
              <w:pStyle w:val="25"/>
              <w:ind w:firstLine="0" w:firstLineChars="0"/>
              <w:jc w:val="center"/>
              <w:rPr>
                <w:rFonts w:ascii="宋体"/>
                <w:sz w:val="18"/>
                <w:szCs w:val="18"/>
              </w:rPr>
            </w:pPr>
            <w:r>
              <w:rPr>
                <w:rFonts w:ascii="宋体"/>
                <w:sz w:val="18"/>
                <w:szCs w:val="18"/>
              </w:rPr>
              <w:t>严重</w:t>
            </w:r>
          </w:p>
        </w:tc>
        <w:tc>
          <w:tcPr>
            <w:tcW w:w="852" w:type="pct"/>
            <w:vAlign w:val="center"/>
          </w:tcPr>
          <w:p>
            <w:pPr>
              <w:pStyle w:val="25"/>
              <w:ind w:firstLine="0" w:firstLineChars="0"/>
              <w:jc w:val="center"/>
              <w:rPr>
                <w:rFonts w:ascii="宋体"/>
                <w:sz w:val="18"/>
                <w:szCs w:val="18"/>
              </w:rPr>
            </w:pPr>
            <w:r>
              <w:rPr>
                <w:rFonts w:ascii="宋体"/>
                <w:sz w:val="18"/>
                <w:szCs w:val="18"/>
              </w:rPr>
              <w:t>清淤</w:t>
            </w:r>
          </w:p>
        </w:tc>
      </w:tr>
    </w:tbl>
    <w:p>
      <w:pPr>
        <w:pStyle w:val="25"/>
        <w:numPr>
          <w:ilvl w:val="0"/>
          <w:numId w:val="44"/>
        </w:numPr>
        <w:ind w:firstLineChars="0"/>
      </w:pPr>
      <w:r>
        <w:t>淤泥营养盐富集程度按下列公式计算：</w:t>
      </w:r>
    </w:p>
    <w:p>
      <w:pPr>
        <w:pStyle w:val="25"/>
        <w:ind w:firstLine="420"/>
      </w:pPr>
      <w:r>
        <w:t>可采用污染指数法评估底泥中总磷的污染程度，计算公式如下所示。</w:t>
      </w:r>
    </w:p>
    <w:p>
      <w:pPr>
        <w:pStyle w:val="25"/>
        <w:ind w:firstLine="420"/>
      </w:pPr>
      <w:r>
        <w:t xml:space="preserve">                                    </w:t>
      </w:r>
      <w:r>
        <w:rPr>
          <w:position w:val="-30"/>
        </w:rPr>
        <w:object>
          <v:shape id="_x0000_i1033" o:spt="75" type="#_x0000_t75" style="height:34.5pt;width:37.5pt;" o:ole="t" filled="f" o:preferrelative="t" stroked="f" coordsize="21600,21600">
            <v:path/>
            <v:fill on="f" focussize="0,0"/>
            <v:stroke on="f" joinstyle="miter"/>
            <v:imagedata r:id="rId24" o:title=""/>
            <o:lock v:ext="edit" aspectratio="t"/>
            <w10:wrap type="none"/>
            <w10:anchorlock/>
          </v:shape>
          <o:OLEObject Type="Embed" ProgID="Equation.DSMT4" ShapeID="_x0000_i1033" DrawAspect="Content" ObjectID="_1468075733" r:id="rId23">
            <o:LockedField>false</o:LockedField>
          </o:OLEObject>
        </w:object>
      </w:r>
      <w:r>
        <w:t xml:space="preserve">                                   （B.1-4）</w:t>
      </w:r>
    </w:p>
    <w:p>
      <w:pPr>
        <w:pStyle w:val="25"/>
        <w:ind w:firstLine="420"/>
      </w:pPr>
      <w:r>
        <w:t>式中：</w:t>
      </w:r>
      <w:r>
        <w:rPr>
          <w:i/>
          <w:iCs/>
        </w:rPr>
        <w:t>P</w:t>
      </w:r>
      <w:r>
        <w:rPr>
          <w:i/>
          <w:iCs/>
          <w:vertAlign w:val="subscript"/>
        </w:rPr>
        <w:t>i</w:t>
      </w:r>
      <w:r>
        <w:t>——总磷的污染指数；</w:t>
      </w:r>
    </w:p>
    <w:p>
      <w:pPr>
        <w:pStyle w:val="25"/>
        <w:ind w:firstLine="420"/>
      </w:pPr>
      <w:r>
        <w:t xml:space="preserve">      </w:t>
      </w:r>
      <w:r>
        <w:rPr>
          <w:i/>
          <w:iCs/>
        </w:rPr>
        <w:t>C</w:t>
      </w:r>
      <w:r>
        <w:rPr>
          <w:i/>
          <w:iCs/>
          <w:vertAlign w:val="subscript"/>
        </w:rPr>
        <w:t>i</w:t>
      </w:r>
      <w:r>
        <w:t>——淤泥中总磷的实际浓度，g/kg；</w:t>
      </w:r>
    </w:p>
    <w:p>
      <w:pPr>
        <w:pStyle w:val="25"/>
        <w:ind w:firstLine="420"/>
      </w:pPr>
      <w:r>
        <w:t xml:space="preserve">      </w:t>
      </w:r>
      <w:r>
        <w:rPr>
          <w:i/>
          <w:iCs/>
        </w:rPr>
        <w:t>S</w:t>
      </w:r>
      <w:r>
        <w:rPr>
          <w:i/>
          <w:iCs/>
          <w:vertAlign w:val="subscript"/>
        </w:rPr>
        <w:t>i</w:t>
      </w:r>
      <w:r>
        <w:t>——环境评价中总磷的标准值，g/kg；</w:t>
      </w:r>
    </w:p>
    <w:p>
      <w:pPr>
        <w:pStyle w:val="25"/>
        <w:ind w:firstLine="420"/>
      </w:pPr>
      <w:r>
        <w:t>可采用有机氮指数评估淤泥中氮元素的污染程度，计算公式如下所示。</w:t>
      </w:r>
    </w:p>
    <w:p>
      <w:pPr>
        <w:pStyle w:val="25"/>
        <w:ind w:firstLine="420"/>
      </w:pPr>
      <w:r>
        <w:t xml:space="preserve">                                </w:t>
      </w:r>
      <w:r>
        <w:rPr>
          <w:position w:val="-14"/>
        </w:rPr>
        <w:object>
          <v:shape id="_x0000_i1034" o:spt="75" type="#_x0000_t75" style="height:20.25pt;width:95.65pt;" o:ole="t" filled="f" o:preferrelative="t" stroked="f" coordsize="21600,21600">
            <v:path/>
            <v:fill on="f" focussize="0,0"/>
            <v:stroke on="f" joinstyle="miter"/>
            <v:imagedata r:id="rId26" o:title=""/>
            <o:lock v:ext="edit" aspectratio="t"/>
            <w10:wrap type="none"/>
            <w10:anchorlock/>
          </v:shape>
          <o:OLEObject Type="Embed" ProgID="Equation.DSMT4" ShapeID="_x0000_i1034" DrawAspect="Content" ObjectID="_1468075734" r:id="rId25">
            <o:LockedField>false</o:LockedField>
          </o:OLEObject>
        </w:object>
      </w:r>
      <w:r>
        <w:t xml:space="preserve">                            （B.1-5）</w:t>
      </w:r>
    </w:p>
    <w:p>
      <w:pPr>
        <w:pStyle w:val="25"/>
        <w:ind w:firstLine="420"/>
      </w:pPr>
      <w:r>
        <w:t>式中：ON——淤泥的有机氮指数，%；</w:t>
      </w:r>
    </w:p>
    <w:p>
      <w:pPr>
        <w:pStyle w:val="25"/>
        <w:ind w:firstLine="420"/>
      </w:pPr>
      <w:r>
        <w:t xml:space="preserve">      TN——淤泥中总氮的含量，%。</w:t>
      </w:r>
    </w:p>
    <w:p>
      <w:pPr>
        <w:pStyle w:val="25"/>
        <w:ind w:firstLine="420"/>
      </w:pPr>
      <w:r>
        <w:t>可采用有机指数评估淤泥中有机质的富集程度应按下列公式计算：</w:t>
      </w:r>
    </w:p>
    <w:p>
      <w:pPr>
        <w:pStyle w:val="25"/>
        <w:ind w:firstLine="420"/>
      </w:pPr>
      <w:r>
        <w:t xml:space="preserve">                              </w:t>
      </w:r>
      <w:r>
        <w:rPr>
          <w:position w:val="-14"/>
        </w:rPr>
        <w:object>
          <v:shape id="_x0000_i1035" o:spt="75" type="#_x0000_t75" style="height:20.25pt;width:107.25pt;" o:ole="t" filled="f" o:preferrelative="t" stroked="f" coordsize="21600,21600">
            <v:path/>
            <v:fill on="f" focussize="0,0"/>
            <v:stroke on="f" joinstyle="miter"/>
            <v:imagedata r:id="rId28" o:title=""/>
            <o:lock v:ext="edit" aspectratio="t"/>
            <w10:wrap type="none"/>
            <w10:anchorlock/>
          </v:shape>
          <o:OLEObject Type="Embed" ProgID="Equation.DSMT4" ShapeID="_x0000_i1035" DrawAspect="Content" ObjectID="_1468075735" r:id="rId27">
            <o:LockedField>false</o:LockedField>
          </o:OLEObject>
        </w:object>
      </w:r>
      <w:r>
        <w:t xml:space="preserve">                           （B.1-6）</w:t>
      </w:r>
    </w:p>
    <w:p>
      <w:pPr>
        <w:pStyle w:val="25"/>
        <w:ind w:firstLine="420"/>
      </w:pPr>
      <w:r>
        <w:t xml:space="preserve">                               </w:t>
      </w:r>
      <w:r>
        <w:rPr>
          <w:position w:val="-14"/>
        </w:rPr>
        <w:object>
          <v:shape id="_x0000_i1036" o:spt="75" type="#_x0000_t75" style="height:20.25pt;width:103.9pt;" o:ole="t" filled="f" o:preferrelative="t" stroked="f" coordsize="21600,21600">
            <v:path/>
            <v:fill on="f" focussize="0,0"/>
            <v:stroke on="f" joinstyle="miter"/>
            <v:imagedata r:id="rId30" o:title=""/>
            <o:lock v:ext="edit" aspectratio="t"/>
            <w10:wrap type="none"/>
            <w10:anchorlock/>
          </v:shape>
          <o:OLEObject Type="Embed" ProgID="Equation.DSMT4" ShapeID="_x0000_i1036" DrawAspect="Content" ObjectID="_1468075736" r:id="rId29">
            <o:LockedField>false</o:LockedField>
          </o:OLEObject>
        </w:object>
      </w:r>
      <w:r>
        <w:t xml:space="preserve">                            （B.1-7）</w:t>
      </w:r>
    </w:p>
    <w:p>
      <w:pPr>
        <w:pStyle w:val="25"/>
        <w:ind w:firstLine="420"/>
      </w:pPr>
      <w:r>
        <w:t>式中：OI——沉积物的有机指数；</w:t>
      </w:r>
    </w:p>
    <w:p>
      <w:pPr>
        <w:pStyle w:val="25"/>
        <w:ind w:firstLine="420"/>
      </w:pPr>
      <w:r>
        <w:t xml:space="preserve">      OC——沉积物中有机碳含量，%；</w:t>
      </w:r>
    </w:p>
    <w:p>
      <w:pPr>
        <w:pStyle w:val="25"/>
        <w:ind w:firstLine="420"/>
      </w:pPr>
      <w:r>
        <w:t xml:space="preserve">      OM——沉积物中有机质含量，%。</w:t>
      </w:r>
    </w:p>
    <w:p>
      <w:pPr>
        <w:pStyle w:val="25"/>
        <w:ind w:firstLine="420"/>
      </w:pPr>
      <w:r>
        <w:t>依据（B.1-4）~（B.1-7）各式采用有机污染指数法计算的各项指标，淤泥营养盐富集程度等级划分及清淤控制指标如表B.4所示。</w:t>
      </w:r>
    </w:p>
    <w:p>
      <w:pPr>
        <w:pStyle w:val="91"/>
      </w:pPr>
      <w:r>
        <w:t>表B.4  淤泥营养盐污染程度分级</w:t>
      </w:r>
    </w:p>
    <w:tbl>
      <w:tblPr>
        <w:tblStyle w:val="37"/>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14"/>
        <w:gridCol w:w="1886"/>
        <w:gridCol w:w="2179"/>
        <w:gridCol w:w="1746"/>
        <w:gridCol w:w="1477"/>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exact"/>
          <w:jc w:val="center"/>
        </w:trPr>
        <w:tc>
          <w:tcPr>
            <w:tcW w:w="530" w:type="pct"/>
            <w:vAlign w:val="center"/>
          </w:tcPr>
          <w:p>
            <w:pPr>
              <w:pStyle w:val="25"/>
              <w:ind w:firstLine="0" w:firstLineChars="0"/>
              <w:jc w:val="center"/>
              <w:rPr>
                <w:rFonts w:ascii="宋体"/>
                <w:sz w:val="18"/>
                <w:szCs w:val="18"/>
              </w:rPr>
            </w:pPr>
            <w:r>
              <w:rPr>
                <w:rFonts w:ascii="宋体"/>
                <w:sz w:val="18"/>
                <w:szCs w:val="18"/>
              </w:rPr>
              <w:t>等级划分</w:t>
            </w:r>
          </w:p>
        </w:tc>
        <w:tc>
          <w:tcPr>
            <w:tcW w:w="986" w:type="pct"/>
            <w:vAlign w:val="center"/>
          </w:tcPr>
          <w:p>
            <w:pPr>
              <w:pStyle w:val="25"/>
              <w:ind w:firstLine="0" w:firstLineChars="0"/>
              <w:jc w:val="center"/>
              <w:rPr>
                <w:rFonts w:ascii="宋体"/>
                <w:sz w:val="18"/>
                <w:szCs w:val="18"/>
              </w:rPr>
            </w:pPr>
            <w:r>
              <w:rPr>
                <w:rFonts w:ascii="宋体"/>
                <w:sz w:val="18"/>
                <w:szCs w:val="20"/>
              </w:rPr>
              <w:t>有机氮指数（ON）</w:t>
            </w:r>
          </w:p>
        </w:tc>
        <w:tc>
          <w:tcPr>
            <w:tcW w:w="1139" w:type="pct"/>
            <w:vAlign w:val="center"/>
          </w:tcPr>
          <w:p>
            <w:pPr>
              <w:pStyle w:val="25"/>
              <w:ind w:firstLine="0" w:firstLineChars="0"/>
              <w:jc w:val="center"/>
              <w:rPr>
                <w:rFonts w:ascii="宋体"/>
                <w:sz w:val="18"/>
                <w:szCs w:val="18"/>
              </w:rPr>
            </w:pPr>
            <w:r>
              <w:rPr>
                <w:rFonts w:ascii="宋体"/>
                <w:sz w:val="18"/>
                <w:szCs w:val="20"/>
              </w:rPr>
              <w:t>总磷污染指数</w:t>
            </w:r>
            <w:r>
              <w:rPr>
                <w:rFonts w:ascii="宋体"/>
                <w:sz w:val="18"/>
                <w:szCs w:val="18"/>
              </w:rPr>
              <w:t>（P</w:t>
            </w:r>
            <w:r>
              <w:rPr>
                <w:rFonts w:ascii="宋体"/>
                <w:sz w:val="18"/>
                <w:szCs w:val="18"/>
                <w:vertAlign w:val="subscript"/>
              </w:rPr>
              <w:t>i</w:t>
            </w:r>
            <w:r>
              <w:rPr>
                <w:rFonts w:ascii="宋体"/>
                <w:sz w:val="18"/>
                <w:szCs w:val="18"/>
              </w:rPr>
              <w:t>）</w:t>
            </w:r>
          </w:p>
        </w:tc>
        <w:tc>
          <w:tcPr>
            <w:tcW w:w="913" w:type="pct"/>
            <w:vAlign w:val="center"/>
          </w:tcPr>
          <w:p>
            <w:pPr>
              <w:pStyle w:val="25"/>
              <w:ind w:firstLine="0" w:firstLineChars="0"/>
              <w:jc w:val="center"/>
              <w:rPr>
                <w:rFonts w:ascii="宋体"/>
                <w:sz w:val="18"/>
                <w:szCs w:val="18"/>
              </w:rPr>
            </w:pPr>
            <w:r>
              <w:rPr>
                <w:rFonts w:ascii="宋体"/>
                <w:sz w:val="18"/>
                <w:szCs w:val="20"/>
              </w:rPr>
              <w:t>有机指数（OI）</w:t>
            </w:r>
          </w:p>
        </w:tc>
        <w:tc>
          <w:tcPr>
            <w:tcW w:w="772" w:type="pct"/>
            <w:vAlign w:val="center"/>
          </w:tcPr>
          <w:p>
            <w:pPr>
              <w:pStyle w:val="25"/>
              <w:ind w:firstLine="0" w:firstLineChars="0"/>
              <w:jc w:val="center"/>
              <w:rPr>
                <w:rFonts w:ascii="宋体"/>
                <w:sz w:val="18"/>
                <w:szCs w:val="18"/>
              </w:rPr>
            </w:pPr>
            <w:r>
              <w:rPr>
                <w:rFonts w:ascii="宋体"/>
                <w:sz w:val="18"/>
                <w:szCs w:val="18"/>
              </w:rPr>
              <w:t>等级</w:t>
            </w:r>
          </w:p>
        </w:tc>
        <w:tc>
          <w:tcPr>
            <w:tcW w:w="660" w:type="pct"/>
            <w:vAlign w:val="center"/>
          </w:tcPr>
          <w:p>
            <w:pPr>
              <w:pStyle w:val="25"/>
              <w:ind w:firstLine="0" w:firstLineChars="0"/>
              <w:jc w:val="center"/>
              <w:rPr>
                <w:rFonts w:ascii="宋体"/>
                <w:sz w:val="18"/>
                <w:szCs w:val="18"/>
              </w:rPr>
            </w:pPr>
            <w:r>
              <w:rPr>
                <w:rFonts w:ascii="宋体"/>
                <w:sz w:val="18"/>
                <w:szCs w:val="18"/>
              </w:rPr>
              <w:t>是否清淤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530" w:type="pct"/>
            <w:vAlign w:val="center"/>
          </w:tcPr>
          <w:p>
            <w:pPr>
              <w:pStyle w:val="25"/>
              <w:ind w:firstLine="0" w:firstLineChars="0"/>
              <w:jc w:val="center"/>
              <w:rPr>
                <w:rFonts w:ascii="宋体"/>
                <w:sz w:val="18"/>
                <w:szCs w:val="18"/>
              </w:rPr>
            </w:pPr>
            <w:r>
              <w:rPr>
                <w:rFonts w:ascii="宋体"/>
                <w:sz w:val="18"/>
                <w:szCs w:val="18"/>
              </w:rPr>
              <w:t>1</w:t>
            </w:r>
          </w:p>
        </w:tc>
        <w:tc>
          <w:tcPr>
            <w:tcW w:w="986" w:type="pct"/>
            <w:vAlign w:val="center"/>
          </w:tcPr>
          <w:p>
            <w:pPr>
              <w:pStyle w:val="25"/>
              <w:ind w:firstLine="0" w:firstLineChars="0"/>
              <w:jc w:val="center"/>
              <w:rPr>
                <w:rFonts w:ascii="宋体"/>
                <w:sz w:val="18"/>
                <w:szCs w:val="18"/>
              </w:rPr>
            </w:pPr>
            <w:r>
              <w:rPr>
                <w:rFonts w:ascii="宋体"/>
                <w:sz w:val="18"/>
                <w:szCs w:val="18"/>
              </w:rPr>
              <w:t>ON&lt;0.033</w:t>
            </w:r>
          </w:p>
        </w:tc>
        <w:tc>
          <w:tcPr>
            <w:tcW w:w="1139" w:type="pct"/>
            <w:vAlign w:val="center"/>
          </w:tcPr>
          <w:p>
            <w:pPr>
              <w:pStyle w:val="25"/>
              <w:ind w:firstLine="0" w:firstLineChars="0"/>
              <w:jc w:val="center"/>
              <w:rPr>
                <w:rFonts w:ascii="宋体"/>
                <w:sz w:val="18"/>
                <w:szCs w:val="18"/>
              </w:rPr>
            </w:pPr>
            <w:r>
              <w:rPr>
                <w:rFonts w:ascii="宋体"/>
                <w:sz w:val="18"/>
                <w:szCs w:val="18"/>
              </w:rPr>
              <w:t>P</w:t>
            </w:r>
            <w:r>
              <w:rPr>
                <w:rFonts w:ascii="宋体"/>
                <w:sz w:val="18"/>
                <w:szCs w:val="18"/>
                <w:vertAlign w:val="subscript"/>
              </w:rPr>
              <w:t>i</w:t>
            </w:r>
            <w:r>
              <w:rPr>
                <w:rFonts w:ascii="宋体"/>
                <w:sz w:val="18"/>
                <w:szCs w:val="18"/>
              </w:rPr>
              <w:t>&lt;0.5</w:t>
            </w:r>
          </w:p>
        </w:tc>
        <w:tc>
          <w:tcPr>
            <w:tcW w:w="913" w:type="pct"/>
            <w:vAlign w:val="center"/>
          </w:tcPr>
          <w:p>
            <w:pPr>
              <w:pStyle w:val="25"/>
              <w:ind w:firstLine="0" w:firstLineChars="0"/>
              <w:jc w:val="center"/>
              <w:rPr>
                <w:rFonts w:ascii="宋体"/>
                <w:sz w:val="18"/>
                <w:szCs w:val="18"/>
              </w:rPr>
            </w:pPr>
            <w:r>
              <w:rPr>
                <w:rFonts w:ascii="宋体"/>
                <w:sz w:val="18"/>
                <w:szCs w:val="18"/>
              </w:rPr>
              <w:t>OI&lt;0.05</w:t>
            </w:r>
          </w:p>
        </w:tc>
        <w:tc>
          <w:tcPr>
            <w:tcW w:w="772" w:type="pct"/>
            <w:vAlign w:val="center"/>
          </w:tcPr>
          <w:p>
            <w:pPr>
              <w:pStyle w:val="25"/>
              <w:ind w:firstLine="0" w:firstLineChars="0"/>
              <w:jc w:val="center"/>
              <w:rPr>
                <w:rFonts w:ascii="宋体"/>
                <w:sz w:val="18"/>
                <w:szCs w:val="18"/>
              </w:rPr>
            </w:pPr>
            <w:r>
              <w:rPr>
                <w:rFonts w:ascii="宋体"/>
                <w:sz w:val="18"/>
                <w:szCs w:val="18"/>
              </w:rPr>
              <w:t>清洁</w:t>
            </w:r>
          </w:p>
        </w:tc>
        <w:tc>
          <w:tcPr>
            <w:tcW w:w="660" w:type="pct"/>
            <w:vAlign w:val="center"/>
          </w:tcPr>
          <w:p>
            <w:pPr>
              <w:pStyle w:val="25"/>
              <w:ind w:firstLine="0" w:firstLineChars="0"/>
              <w:jc w:val="center"/>
              <w:rPr>
                <w:rFonts w:ascii="宋体"/>
                <w:sz w:val="18"/>
                <w:szCs w:val="18"/>
              </w:rPr>
            </w:pPr>
            <w:r>
              <w:rPr>
                <w:rFonts w:ascii="宋体"/>
                <w:sz w:val="18"/>
                <w:szCs w:val="18"/>
              </w:rPr>
              <w:t>不清淤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530" w:type="pct"/>
            <w:vAlign w:val="center"/>
          </w:tcPr>
          <w:p>
            <w:pPr>
              <w:pStyle w:val="25"/>
              <w:ind w:firstLine="0" w:firstLineChars="0"/>
              <w:jc w:val="center"/>
              <w:rPr>
                <w:rFonts w:ascii="宋体"/>
                <w:sz w:val="18"/>
                <w:szCs w:val="18"/>
              </w:rPr>
            </w:pPr>
            <w:r>
              <w:rPr>
                <w:rFonts w:ascii="宋体"/>
                <w:sz w:val="18"/>
                <w:szCs w:val="18"/>
              </w:rPr>
              <w:t>2</w:t>
            </w:r>
          </w:p>
        </w:tc>
        <w:tc>
          <w:tcPr>
            <w:tcW w:w="986" w:type="pct"/>
            <w:vAlign w:val="center"/>
          </w:tcPr>
          <w:p>
            <w:pPr>
              <w:pStyle w:val="25"/>
              <w:ind w:firstLine="0" w:firstLineChars="0"/>
              <w:jc w:val="center"/>
              <w:rPr>
                <w:rFonts w:ascii="宋体"/>
                <w:sz w:val="18"/>
                <w:szCs w:val="18"/>
              </w:rPr>
            </w:pPr>
            <w:r>
              <w:rPr>
                <w:rFonts w:ascii="宋体"/>
                <w:sz w:val="18"/>
                <w:szCs w:val="18"/>
              </w:rPr>
              <w:t>0.033≤ON &lt;0.066</w:t>
            </w:r>
          </w:p>
        </w:tc>
        <w:tc>
          <w:tcPr>
            <w:tcW w:w="1139" w:type="pct"/>
            <w:vAlign w:val="center"/>
          </w:tcPr>
          <w:p>
            <w:pPr>
              <w:pStyle w:val="25"/>
              <w:ind w:firstLine="0" w:firstLineChars="0"/>
              <w:jc w:val="center"/>
              <w:rPr>
                <w:rFonts w:ascii="宋体"/>
                <w:sz w:val="18"/>
                <w:szCs w:val="18"/>
              </w:rPr>
            </w:pPr>
            <w:r>
              <w:rPr>
                <w:rFonts w:ascii="宋体"/>
                <w:sz w:val="18"/>
                <w:szCs w:val="18"/>
              </w:rPr>
              <w:t>0.5≤P</w:t>
            </w:r>
            <w:r>
              <w:rPr>
                <w:rFonts w:ascii="宋体"/>
                <w:sz w:val="18"/>
                <w:szCs w:val="18"/>
                <w:vertAlign w:val="subscript"/>
              </w:rPr>
              <w:t>i</w:t>
            </w:r>
            <w:r>
              <w:rPr>
                <w:rFonts w:ascii="宋体"/>
                <w:sz w:val="18"/>
                <w:szCs w:val="18"/>
              </w:rPr>
              <w:t>≤1.0</w:t>
            </w:r>
          </w:p>
        </w:tc>
        <w:tc>
          <w:tcPr>
            <w:tcW w:w="913" w:type="pct"/>
            <w:vAlign w:val="center"/>
          </w:tcPr>
          <w:p>
            <w:pPr>
              <w:pStyle w:val="25"/>
              <w:ind w:firstLine="0" w:firstLineChars="0"/>
              <w:jc w:val="center"/>
              <w:rPr>
                <w:rFonts w:ascii="宋体"/>
                <w:sz w:val="18"/>
                <w:szCs w:val="18"/>
              </w:rPr>
            </w:pPr>
            <w:r>
              <w:rPr>
                <w:rFonts w:ascii="宋体"/>
                <w:sz w:val="18"/>
                <w:szCs w:val="18"/>
              </w:rPr>
              <w:t>0.05≤OI&lt;0.2</w:t>
            </w:r>
          </w:p>
        </w:tc>
        <w:tc>
          <w:tcPr>
            <w:tcW w:w="772" w:type="pct"/>
            <w:vAlign w:val="center"/>
          </w:tcPr>
          <w:p>
            <w:pPr>
              <w:pStyle w:val="25"/>
              <w:ind w:firstLine="0" w:firstLineChars="0"/>
              <w:jc w:val="center"/>
              <w:rPr>
                <w:rFonts w:ascii="宋体"/>
                <w:sz w:val="18"/>
                <w:szCs w:val="18"/>
              </w:rPr>
            </w:pPr>
            <w:r>
              <w:rPr>
                <w:rFonts w:ascii="宋体"/>
                <w:sz w:val="18"/>
                <w:szCs w:val="18"/>
              </w:rPr>
              <w:t>轻度污染</w:t>
            </w:r>
          </w:p>
        </w:tc>
        <w:tc>
          <w:tcPr>
            <w:tcW w:w="660" w:type="pct"/>
            <w:vAlign w:val="center"/>
          </w:tcPr>
          <w:p>
            <w:pPr>
              <w:pStyle w:val="25"/>
              <w:ind w:firstLine="0" w:firstLineChars="0"/>
              <w:jc w:val="center"/>
              <w:rPr>
                <w:rFonts w:ascii="宋体"/>
                <w:sz w:val="18"/>
                <w:szCs w:val="18"/>
              </w:rPr>
            </w:pPr>
            <w:r>
              <w:rPr>
                <w:rFonts w:ascii="宋体"/>
                <w:sz w:val="18"/>
                <w:szCs w:val="18"/>
              </w:rPr>
              <w:t>不清淤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530" w:type="pct"/>
            <w:vAlign w:val="center"/>
          </w:tcPr>
          <w:p>
            <w:pPr>
              <w:pStyle w:val="25"/>
              <w:ind w:firstLine="0" w:firstLineChars="0"/>
              <w:jc w:val="center"/>
              <w:rPr>
                <w:rFonts w:ascii="宋体"/>
                <w:sz w:val="18"/>
                <w:szCs w:val="18"/>
              </w:rPr>
            </w:pPr>
            <w:r>
              <w:rPr>
                <w:rFonts w:ascii="宋体"/>
                <w:sz w:val="18"/>
                <w:szCs w:val="18"/>
              </w:rPr>
              <w:t>3</w:t>
            </w:r>
          </w:p>
        </w:tc>
        <w:tc>
          <w:tcPr>
            <w:tcW w:w="986" w:type="pct"/>
            <w:vAlign w:val="center"/>
          </w:tcPr>
          <w:p>
            <w:pPr>
              <w:pStyle w:val="25"/>
              <w:ind w:firstLine="0" w:firstLineChars="0"/>
              <w:jc w:val="center"/>
              <w:rPr>
                <w:rFonts w:ascii="宋体"/>
                <w:sz w:val="18"/>
                <w:szCs w:val="18"/>
              </w:rPr>
            </w:pPr>
            <w:r>
              <w:rPr>
                <w:rFonts w:ascii="宋体"/>
                <w:sz w:val="18"/>
                <w:szCs w:val="18"/>
              </w:rPr>
              <w:t>0.066≤ON&lt;0.133</w:t>
            </w:r>
          </w:p>
        </w:tc>
        <w:tc>
          <w:tcPr>
            <w:tcW w:w="1139" w:type="pct"/>
            <w:vAlign w:val="center"/>
          </w:tcPr>
          <w:p>
            <w:pPr>
              <w:pStyle w:val="25"/>
              <w:ind w:firstLine="0" w:firstLineChars="0"/>
              <w:jc w:val="center"/>
              <w:rPr>
                <w:rFonts w:ascii="宋体"/>
                <w:sz w:val="18"/>
                <w:szCs w:val="18"/>
              </w:rPr>
            </w:pPr>
            <w:r>
              <w:rPr>
                <w:rFonts w:ascii="宋体"/>
                <w:sz w:val="18"/>
                <w:szCs w:val="18"/>
              </w:rPr>
              <w:t>1.0≤P</w:t>
            </w:r>
            <w:r>
              <w:rPr>
                <w:rFonts w:ascii="宋体"/>
                <w:sz w:val="18"/>
                <w:szCs w:val="18"/>
                <w:vertAlign w:val="subscript"/>
              </w:rPr>
              <w:t>i</w:t>
            </w:r>
            <w:r>
              <w:rPr>
                <w:rFonts w:ascii="宋体"/>
                <w:sz w:val="18"/>
                <w:szCs w:val="18"/>
              </w:rPr>
              <w:t>≤1.5</w:t>
            </w:r>
          </w:p>
        </w:tc>
        <w:tc>
          <w:tcPr>
            <w:tcW w:w="913" w:type="pct"/>
            <w:vAlign w:val="center"/>
          </w:tcPr>
          <w:p>
            <w:pPr>
              <w:pStyle w:val="25"/>
              <w:ind w:firstLine="0" w:firstLineChars="0"/>
              <w:jc w:val="center"/>
              <w:rPr>
                <w:rFonts w:ascii="宋体"/>
                <w:sz w:val="18"/>
                <w:szCs w:val="18"/>
              </w:rPr>
            </w:pPr>
            <w:r>
              <w:rPr>
                <w:rFonts w:ascii="宋体"/>
                <w:sz w:val="18"/>
                <w:szCs w:val="18"/>
              </w:rPr>
              <w:t>0.2≤OI&lt;0.5</w:t>
            </w:r>
          </w:p>
        </w:tc>
        <w:tc>
          <w:tcPr>
            <w:tcW w:w="772" w:type="pct"/>
            <w:vAlign w:val="center"/>
          </w:tcPr>
          <w:p>
            <w:pPr>
              <w:pStyle w:val="25"/>
              <w:ind w:firstLine="0" w:firstLineChars="0"/>
              <w:jc w:val="center"/>
              <w:rPr>
                <w:rFonts w:ascii="宋体"/>
                <w:sz w:val="18"/>
                <w:szCs w:val="18"/>
              </w:rPr>
            </w:pPr>
            <w:r>
              <w:rPr>
                <w:rFonts w:ascii="宋体"/>
                <w:sz w:val="18"/>
                <w:szCs w:val="18"/>
              </w:rPr>
              <w:t>中度污染</w:t>
            </w:r>
          </w:p>
        </w:tc>
        <w:tc>
          <w:tcPr>
            <w:tcW w:w="660" w:type="pct"/>
            <w:vAlign w:val="center"/>
          </w:tcPr>
          <w:p>
            <w:pPr>
              <w:pStyle w:val="25"/>
              <w:ind w:firstLine="0" w:firstLineChars="0"/>
              <w:jc w:val="center"/>
              <w:rPr>
                <w:rFonts w:ascii="宋体"/>
                <w:sz w:val="18"/>
                <w:szCs w:val="18"/>
              </w:rPr>
            </w:pPr>
            <w:r>
              <w:rPr>
                <w:rFonts w:ascii="宋体"/>
                <w:sz w:val="18"/>
                <w:szCs w:val="18"/>
              </w:rPr>
              <w:t>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530" w:type="pct"/>
            <w:vAlign w:val="center"/>
          </w:tcPr>
          <w:p>
            <w:pPr>
              <w:pStyle w:val="25"/>
              <w:ind w:firstLine="0" w:firstLineChars="0"/>
              <w:jc w:val="center"/>
              <w:rPr>
                <w:rFonts w:ascii="宋体"/>
                <w:sz w:val="18"/>
                <w:szCs w:val="18"/>
              </w:rPr>
            </w:pPr>
            <w:r>
              <w:rPr>
                <w:rFonts w:ascii="宋体"/>
                <w:sz w:val="18"/>
                <w:szCs w:val="18"/>
              </w:rPr>
              <w:t>4</w:t>
            </w:r>
          </w:p>
        </w:tc>
        <w:tc>
          <w:tcPr>
            <w:tcW w:w="986" w:type="pct"/>
            <w:vAlign w:val="center"/>
          </w:tcPr>
          <w:p>
            <w:pPr>
              <w:pStyle w:val="25"/>
              <w:ind w:firstLine="0" w:firstLineChars="0"/>
              <w:jc w:val="center"/>
              <w:rPr>
                <w:rFonts w:ascii="宋体"/>
                <w:sz w:val="18"/>
                <w:szCs w:val="18"/>
              </w:rPr>
            </w:pPr>
            <w:r>
              <w:rPr>
                <w:rFonts w:ascii="宋体"/>
                <w:sz w:val="18"/>
                <w:szCs w:val="18"/>
              </w:rPr>
              <w:t>ON≥0.133</w:t>
            </w:r>
          </w:p>
        </w:tc>
        <w:tc>
          <w:tcPr>
            <w:tcW w:w="1139" w:type="pct"/>
            <w:vAlign w:val="center"/>
          </w:tcPr>
          <w:p>
            <w:pPr>
              <w:pStyle w:val="25"/>
              <w:ind w:firstLine="0" w:firstLineChars="0"/>
              <w:jc w:val="center"/>
              <w:rPr>
                <w:rFonts w:ascii="宋体"/>
                <w:sz w:val="18"/>
                <w:szCs w:val="18"/>
              </w:rPr>
            </w:pPr>
            <w:r>
              <w:rPr>
                <w:rFonts w:ascii="宋体"/>
                <w:sz w:val="18"/>
                <w:szCs w:val="18"/>
              </w:rPr>
              <w:t>P</w:t>
            </w:r>
            <w:r>
              <w:rPr>
                <w:rFonts w:ascii="宋体"/>
                <w:sz w:val="18"/>
                <w:szCs w:val="18"/>
                <w:vertAlign w:val="subscript"/>
              </w:rPr>
              <w:t>i</w:t>
            </w:r>
            <w:r>
              <w:rPr>
                <w:rFonts w:ascii="宋体"/>
                <w:sz w:val="18"/>
                <w:szCs w:val="18"/>
              </w:rPr>
              <w:t>&gt;1.5</w:t>
            </w:r>
          </w:p>
        </w:tc>
        <w:tc>
          <w:tcPr>
            <w:tcW w:w="913" w:type="pct"/>
            <w:vAlign w:val="center"/>
          </w:tcPr>
          <w:p>
            <w:pPr>
              <w:pStyle w:val="25"/>
              <w:ind w:firstLine="0" w:firstLineChars="0"/>
              <w:jc w:val="center"/>
              <w:rPr>
                <w:rFonts w:ascii="宋体"/>
                <w:sz w:val="18"/>
                <w:szCs w:val="18"/>
              </w:rPr>
            </w:pPr>
            <w:r>
              <w:rPr>
                <w:rFonts w:ascii="宋体"/>
                <w:sz w:val="18"/>
                <w:szCs w:val="18"/>
              </w:rPr>
              <w:t>OI≥0.5</w:t>
            </w:r>
          </w:p>
        </w:tc>
        <w:tc>
          <w:tcPr>
            <w:tcW w:w="772" w:type="pct"/>
            <w:vAlign w:val="center"/>
          </w:tcPr>
          <w:p>
            <w:pPr>
              <w:pStyle w:val="25"/>
              <w:ind w:firstLine="0" w:firstLineChars="0"/>
              <w:jc w:val="center"/>
              <w:rPr>
                <w:rFonts w:ascii="宋体"/>
                <w:sz w:val="18"/>
                <w:szCs w:val="18"/>
              </w:rPr>
            </w:pPr>
            <w:r>
              <w:rPr>
                <w:rFonts w:ascii="宋体"/>
                <w:sz w:val="18"/>
                <w:szCs w:val="18"/>
              </w:rPr>
              <w:t>重度污染</w:t>
            </w:r>
          </w:p>
        </w:tc>
        <w:tc>
          <w:tcPr>
            <w:tcW w:w="660" w:type="pct"/>
            <w:vAlign w:val="center"/>
          </w:tcPr>
          <w:p>
            <w:pPr>
              <w:pStyle w:val="25"/>
              <w:ind w:firstLine="0" w:firstLineChars="0"/>
              <w:jc w:val="center"/>
              <w:rPr>
                <w:rFonts w:ascii="宋体"/>
                <w:sz w:val="18"/>
                <w:szCs w:val="18"/>
              </w:rPr>
            </w:pPr>
            <w:r>
              <w:rPr>
                <w:rFonts w:ascii="宋体"/>
                <w:sz w:val="18"/>
                <w:szCs w:val="18"/>
              </w:rPr>
              <w:t>清淤</w:t>
            </w:r>
          </w:p>
        </w:tc>
      </w:tr>
    </w:tbl>
    <w:p>
      <w:pPr>
        <w:pStyle w:val="25"/>
        <w:numPr>
          <w:ilvl w:val="0"/>
          <w:numId w:val="44"/>
        </w:numPr>
        <w:ind w:firstLineChars="0"/>
      </w:pPr>
      <w:r>
        <w:t>有毒有害有机物污染程度可采用基于SQG的污染物质生态风险评价指数法，宜按下式进行计算：</w:t>
      </w:r>
    </w:p>
    <w:p>
      <w:pPr>
        <w:pStyle w:val="25"/>
        <w:ind w:firstLine="420"/>
        <w:jc w:val="right"/>
      </w:pPr>
      <w:r>
        <w:rPr>
          <w:position w:val="-16"/>
        </w:rPr>
        <w:object>
          <v:shape id="_x0000_i1037" o:spt="75" type="#_x0000_t75" style="height:21.75pt;width:134.65pt;" o:ole="t" filled="f" o:preferrelative="t" stroked="f" coordsize="21600,21600">
            <v:path/>
            <v:fill on="f" focussize="0,0"/>
            <v:stroke on="f" joinstyle="miter"/>
            <v:imagedata r:id="rId32" o:title=""/>
            <o:lock v:ext="edit" aspectratio="t"/>
            <w10:wrap type="none"/>
            <w10:anchorlock/>
          </v:shape>
          <o:OLEObject Type="Embed" ProgID="Equation.DSMT4" ShapeID="_x0000_i1037" DrawAspect="Content" ObjectID="_1468075737" r:id="rId31">
            <o:LockedField>false</o:LockedField>
          </o:OLEObject>
        </w:object>
      </w:r>
      <w:r>
        <w:t xml:space="preserve">                     （B.1-8）</w:t>
      </w:r>
    </w:p>
    <w:p>
      <w:pPr>
        <w:pStyle w:val="25"/>
        <w:ind w:firstLine="420"/>
        <w:jc w:val="right"/>
      </w:pPr>
      <w:r>
        <w:rPr>
          <w:position w:val="-12"/>
        </w:rPr>
        <w:object>
          <v:shape id="_x0000_i1038" o:spt="75" type="#_x0000_t75" style="height:18.4pt;width:97.15pt;" o:ole="t" filled="f" o:preferrelative="t" stroked="f" coordsize="21600,21600">
            <v:path/>
            <v:fill on="f" focussize="0,0"/>
            <v:stroke on="f" joinstyle="miter"/>
            <v:imagedata r:id="rId34" o:title=""/>
            <o:lock v:ext="edit" aspectratio="t"/>
            <w10:wrap type="none"/>
            <w10:anchorlock/>
          </v:shape>
          <o:OLEObject Type="Embed" ProgID="Equation.DSMT4" ShapeID="_x0000_i1038" DrawAspect="Content" ObjectID="_1468075738" r:id="rId33">
            <o:LockedField>false</o:LockedField>
          </o:OLEObject>
        </w:object>
      </w:r>
      <w:r>
        <w:t xml:space="preserve">                        （B.1-9）</w:t>
      </w:r>
    </w:p>
    <w:p>
      <w:pPr>
        <w:pStyle w:val="25"/>
        <w:ind w:firstLine="420"/>
      </w:pPr>
      <w:r>
        <w:t>式中：n——有毒有害有机物的种类数；</w:t>
      </w:r>
    </w:p>
    <w:p>
      <w:pPr>
        <w:pStyle w:val="25"/>
        <w:ind w:firstLine="420"/>
      </w:pPr>
      <w:r>
        <w:t xml:space="preserve">      C</w:t>
      </w:r>
      <w:r>
        <w:rPr>
          <w:vertAlign w:val="subscript"/>
        </w:rPr>
        <w:t>i</w:t>
      </w:r>
      <w:r>
        <w:t>——第i种污染物的实际测量值；</w:t>
      </w:r>
    </w:p>
    <w:p>
      <w:pPr>
        <w:pStyle w:val="25"/>
        <w:ind w:firstLine="420"/>
      </w:pPr>
      <w:r>
        <w:t xml:space="preserve">      ERM-Q</w:t>
      </w:r>
      <w:r>
        <w:rPr>
          <w:vertAlign w:val="subscript"/>
        </w:rPr>
        <w:t>i</w:t>
      </w:r>
      <w:r>
        <w:t>——第i种污染物的ERM熵；</w:t>
      </w:r>
    </w:p>
    <w:p>
      <w:pPr>
        <w:pStyle w:val="25"/>
        <w:ind w:firstLine="420"/>
      </w:pPr>
      <w:r>
        <w:t xml:space="preserve">      ERM</w:t>
      </w:r>
      <w:r>
        <w:rPr>
          <w:vertAlign w:val="subscript"/>
        </w:rPr>
        <w:t>i</w:t>
      </w:r>
      <w:r>
        <w:t>——第i种污染物的可能效应水平。</w:t>
      </w:r>
    </w:p>
    <w:p>
      <w:pPr>
        <w:pStyle w:val="25"/>
        <w:ind w:firstLine="420"/>
      </w:pPr>
      <w:r>
        <w:t>依据（B.1-8）~（B.1-9）各式计算的有毒有害有机物（多环芳烃）的风险评价指数，淤泥中有毒有害有机物（多环芳烃）污染程度的等级划分及清淤控制指标如表B.5所示。</w:t>
      </w:r>
    </w:p>
    <w:p>
      <w:pPr>
        <w:pStyle w:val="91"/>
      </w:pPr>
      <w:r>
        <w:t>表B.5  有毒有害有机物污染程度分级</w:t>
      </w:r>
    </w:p>
    <w:tbl>
      <w:tblPr>
        <w:tblStyle w:val="37"/>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91"/>
        <w:gridCol w:w="2391"/>
        <w:gridCol w:w="2392"/>
        <w:gridCol w:w="23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1250" w:type="pct"/>
            <w:vAlign w:val="center"/>
          </w:tcPr>
          <w:p>
            <w:pPr>
              <w:pStyle w:val="25"/>
              <w:ind w:firstLine="0" w:firstLineChars="0"/>
              <w:jc w:val="center"/>
              <w:rPr>
                <w:rFonts w:ascii="宋体"/>
                <w:sz w:val="18"/>
                <w:szCs w:val="18"/>
              </w:rPr>
            </w:pPr>
            <w:r>
              <w:rPr>
                <w:rFonts w:ascii="宋体"/>
                <w:sz w:val="18"/>
                <w:szCs w:val="18"/>
              </w:rPr>
              <w:t>等级划分</w:t>
            </w:r>
          </w:p>
        </w:tc>
        <w:tc>
          <w:tcPr>
            <w:tcW w:w="1250" w:type="pct"/>
            <w:vAlign w:val="center"/>
          </w:tcPr>
          <w:p>
            <w:pPr>
              <w:pStyle w:val="25"/>
              <w:ind w:firstLine="0" w:firstLineChars="0"/>
              <w:jc w:val="center"/>
              <w:rPr>
                <w:rFonts w:ascii="宋体"/>
                <w:sz w:val="18"/>
                <w:szCs w:val="18"/>
              </w:rPr>
            </w:pPr>
            <w:r>
              <w:rPr>
                <w:rFonts w:ascii="宋体"/>
                <w:sz w:val="18"/>
                <w:szCs w:val="18"/>
              </w:rPr>
              <w:t>mSQG-Q</w:t>
            </w:r>
          </w:p>
        </w:tc>
        <w:tc>
          <w:tcPr>
            <w:tcW w:w="1250" w:type="pct"/>
            <w:vAlign w:val="center"/>
          </w:tcPr>
          <w:p>
            <w:pPr>
              <w:pStyle w:val="25"/>
              <w:ind w:firstLine="0" w:firstLineChars="0"/>
              <w:jc w:val="center"/>
              <w:rPr>
                <w:rFonts w:ascii="宋体"/>
                <w:sz w:val="18"/>
                <w:szCs w:val="18"/>
              </w:rPr>
            </w:pPr>
            <w:r>
              <w:rPr>
                <w:rFonts w:ascii="宋体"/>
                <w:sz w:val="18"/>
                <w:szCs w:val="18"/>
              </w:rPr>
              <w:t>污染程度及生物效应</w:t>
            </w:r>
          </w:p>
        </w:tc>
        <w:tc>
          <w:tcPr>
            <w:tcW w:w="1250" w:type="pct"/>
            <w:vAlign w:val="center"/>
          </w:tcPr>
          <w:p>
            <w:pPr>
              <w:pStyle w:val="25"/>
              <w:ind w:firstLine="0" w:firstLineChars="0"/>
              <w:jc w:val="center"/>
              <w:rPr>
                <w:rFonts w:ascii="宋体"/>
                <w:sz w:val="18"/>
                <w:szCs w:val="18"/>
              </w:rPr>
            </w:pPr>
            <w:r>
              <w:rPr>
                <w:rFonts w:ascii="宋体"/>
                <w:sz w:val="18"/>
                <w:szCs w:val="18"/>
              </w:rPr>
              <w:t>是否清淤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1250" w:type="pct"/>
            <w:vAlign w:val="center"/>
          </w:tcPr>
          <w:p>
            <w:pPr>
              <w:pStyle w:val="25"/>
              <w:ind w:firstLine="0" w:firstLineChars="0"/>
              <w:jc w:val="center"/>
              <w:rPr>
                <w:rFonts w:ascii="宋体"/>
                <w:sz w:val="18"/>
                <w:szCs w:val="18"/>
              </w:rPr>
            </w:pPr>
            <w:r>
              <w:rPr>
                <w:rFonts w:ascii="宋体"/>
                <w:sz w:val="18"/>
                <w:szCs w:val="18"/>
              </w:rPr>
              <w:t>1</w:t>
            </w:r>
          </w:p>
        </w:tc>
        <w:tc>
          <w:tcPr>
            <w:tcW w:w="1250" w:type="pct"/>
            <w:vAlign w:val="center"/>
          </w:tcPr>
          <w:p>
            <w:pPr>
              <w:pStyle w:val="25"/>
              <w:ind w:firstLine="0" w:firstLineChars="0"/>
              <w:jc w:val="center"/>
              <w:rPr>
                <w:rFonts w:ascii="宋体"/>
                <w:sz w:val="18"/>
                <w:szCs w:val="18"/>
              </w:rPr>
            </w:pPr>
            <w:r>
              <w:rPr>
                <w:rFonts w:ascii="宋体"/>
                <w:sz w:val="18"/>
                <w:szCs w:val="18"/>
              </w:rPr>
              <w:t>≤0.1</w:t>
            </w:r>
          </w:p>
        </w:tc>
        <w:tc>
          <w:tcPr>
            <w:tcW w:w="1250" w:type="pct"/>
            <w:vAlign w:val="center"/>
          </w:tcPr>
          <w:p>
            <w:pPr>
              <w:pStyle w:val="25"/>
              <w:ind w:firstLine="0" w:firstLineChars="0"/>
              <w:jc w:val="center"/>
              <w:rPr>
                <w:rFonts w:ascii="宋体"/>
                <w:sz w:val="18"/>
                <w:szCs w:val="18"/>
              </w:rPr>
            </w:pPr>
            <w:r>
              <w:rPr>
                <w:rFonts w:ascii="宋体"/>
                <w:sz w:val="18"/>
                <w:szCs w:val="18"/>
              </w:rPr>
              <w:t>清洁</w:t>
            </w:r>
          </w:p>
        </w:tc>
        <w:tc>
          <w:tcPr>
            <w:tcW w:w="1250" w:type="pct"/>
            <w:vAlign w:val="center"/>
          </w:tcPr>
          <w:p>
            <w:pPr>
              <w:pStyle w:val="25"/>
              <w:ind w:firstLine="0" w:firstLineChars="0"/>
              <w:jc w:val="center"/>
              <w:rPr>
                <w:rFonts w:ascii="宋体"/>
                <w:sz w:val="18"/>
                <w:szCs w:val="18"/>
              </w:rPr>
            </w:pPr>
            <w:r>
              <w:rPr>
                <w:rFonts w:ascii="宋体"/>
                <w:sz w:val="18"/>
                <w:szCs w:val="18"/>
              </w:rPr>
              <w:t>不清淤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1250" w:type="pct"/>
            <w:vAlign w:val="center"/>
          </w:tcPr>
          <w:p>
            <w:pPr>
              <w:pStyle w:val="25"/>
              <w:ind w:firstLine="0" w:firstLineChars="0"/>
              <w:jc w:val="center"/>
              <w:rPr>
                <w:rFonts w:ascii="宋体"/>
                <w:sz w:val="18"/>
                <w:szCs w:val="18"/>
              </w:rPr>
            </w:pPr>
            <w:r>
              <w:rPr>
                <w:rFonts w:ascii="宋体"/>
                <w:sz w:val="18"/>
                <w:szCs w:val="18"/>
              </w:rPr>
              <w:t>2</w:t>
            </w:r>
          </w:p>
        </w:tc>
        <w:tc>
          <w:tcPr>
            <w:tcW w:w="1250" w:type="pct"/>
            <w:vAlign w:val="center"/>
          </w:tcPr>
          <w:p>
            <w:pPr>
              <w:pStyle w:val="25"/>
              <w:ind w:firstLine="0" w:firstLineChars="0"/>
              <w:jc w:val="center"/>
              <w:rPr>
                <w:rFonts w:ascii="宋体"/>
                <w:sz w:val="18"/>
                <w:szCs w:val="18"/>
              </w:rPr>
            </w:pPr>
            <w:r>
              <w:rPr>
                <w:rFonts w:ascii="宋体"/>
                <w:sz w:val="18"/>
                <w:szCs w:val="18"/>
              </w:rPr>
              <w:t>0.1-0.5</w:t>
            </w:r>
          </w:p>
        </w:tc>
        <w:tc>
          <w:tcPr>
            <w:tcW w:w="1250" w:type="pct"/>
            <w:vAlign w:val="center"/>
          </w:tcPr>
          <w:p>
            <w:pPr>
              <w:pStyle w:val="25"/>
              <w:ind w:firstLine="0" w:firstLineChars="0"/>
              <w:jc w:val="center"/>
              <w:rPr>
                <w:rFonts w:ascii="宋体"/>
                <w:sz w:val="18"/>
                <w:szCs w:val="18"/>
              </w:rPr>
            </w:pPr>
            <w:r>
              <w:rPr>
                <w:rFonts w:ascii="宋体"/>
                <w:sz w:val="18"/>
                <w:szCs w:val="18"/>
              </w:rPr>
              <w:t>轻度污染</w:t>
            </w:r>
          </w:p>
        </w:tc>
        <w:tc>
          <w:tcPr>
            <w:tcW w:w="1250" w:type="pct"/>
            <w:vAlign w:val="center"/>
          </w:tcPr>
          <w:p>
            <w:pPr>
              <w:pStyle w:val="25"/>
              <w:ind w:firstLine="0" w:firstLineChars="0"/>
              <w:jc w:val="center"/>
              <w:rPr>
                <w:rFonts w:ascii="宋体"/>
                <w:sz w:val="18"/>
                <w:szCs w:val="18"/>
              </w:rPr>
            </w:pPr>
            <w:r>
              <w:rPr>
                <w:rFonts w:ascii="宋体"/>
                <w:sz w:val="18"/>
                <w:szCs w:val="18"/>
              </w:rPr>
              <w:t>不清淤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1250" w:type="pct"/>
            <w:vAlign w:val="center"/>
          </w:tcPr>
          <w:p>
            <w:pPr>
              <w:pStyle w:val="25"/>
              <w:ind w:firstLine="0" w:firstLineChars="0"/>
              <w:jc w:val="center"/>
              <w:rPr>
                <w:rFonts w:ascii="宋体"/>
                <w:sz w:val="18"/>
                <w:szCs w:val="18"/>
              </w:rPr>
            </w:pPr>
            <w:r>
              <w:rPr>
                <w:rFonts w:ascii="宋体"/>
                <w:sz w:val="18"/>
                <w:szCs w:val="18"/>
              </w:rPr>
              <w:t>3</w:t>
            </w:r>
          </w:p>
        </w:tc>
        <w:tc>
          <w:tcPr>
            <w:tcW w:w="1250" w:type="pct"/>
            <w:vAlign w:val="center"/>
          </w:tcPr>
          <w:p>
            <w:pPr>
              <w:pStyle w:val="25"/>
              <w:ind w:firstLine="0" w:firstLineChars="0"/>
              <w:jc w:val="center"/>
              <w:rPr>
                <w:rFonts w:ascii="宋体"/>
                <w:sz w:val="18"/>
                <w:szCs w:val="18"/>
              </w:rPr>
            </w:pPr>
            <w:r>
              <w:rPr>
                <w:rFonts w:ascii="宋体"/>
                <w:sz w:val="18"/>
                <w:szCs w:val="18"/>
              </w:rPr>
              <w:t>0.5-1.5</w:t>
            </w:r>
          </w:p>
        </w:tc>
        <w:tc>
          <w:tcPr>
            <w:tcW w:w="1250" w:type="pct"/>
            <w:vAlign w:val="center"/>
          </w:tcPr>
          <w:p>
            <w:pPr>
              <w:pStyle w:val="25"/>
              <w:ind w:firstLine="0" w:firstLineChars="0"/>
              <w:jc w:val="center"/>
              <w:rPr>
                <w:rFonts w:ascii="宋体"/>
                <w:sz w:val="18"/>
                <w:szCs w:val="18"/>
              </w:rPr>
            </w:pPr>
            <w:r>
              <w:rPr>
                <w:rFonts w:ascii="宋体"/>
                <w:sz w:val="18"/>
                <w:szCs w:val="18"/>
              </w:rPr>
              <w:t>中度污染</w:t>
            </w:r>
          </w:p>
        </w:tc>
        <w:tc>
          <w:tcPr>
            <w:tcW w:w="1250" w:type="pct"/>
            <w:vAlign w:val="center"/>
          </w:tcPr>
          <w:p>
            <w:pPr>
              <w:pStyle w:val="25"/>
              <w:ind w:firstLine="0" w:firstLineChars="0"/>
              <w:jc w:val="center"/>
              <w:rPr>
                <w:rFonts w:ascii="宋体"/>
                <w:sz w:val="18"/>
                <w:szCs w:val="18"/>
              </w:rPr>
            </w:pPr>
            <w:r>
              <w:rPr>
                <w:rFonts w:ascii="宋体"/>
                <w:sz w:val="18"/>
                <w:szCs w:val="18"/>
              </w:rPr>
              <w:t>清淤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1250" w:type="pct"/>
            <w:vAlign w:val="center"/>
          </w:tcPr>
          <w:p>
            <w:pPr>
              <w:pStyle w:val="25"/>
              <w:ind w:firstLine="0" w:firstLineChars="0"/>
              <w:jc w:val="center"/>
              <w:rPr>
                <w:rFonts w:ascii="宋体"/>
                <w:sz w:val="18"/>
                <w:szCs w:val="18"/>
              </w:rPr>
            </w:pPr>
            <w:r>
              <w:rPr>
                <w:rFonts w:ascii="宋体"/>
                <w:sz w:val="18"/>
                <w:szCs w:val="18"/>
              </w:rPr>
              <w:t>4</w:t>
            </w:r>
          </w:p>
        </w:tc>
        <w:tc>
          <w:tcPr>
            <w:tcW w:w="1250" w:type="pct"/>
            <w:vAlign w:val="center"/>
          </w:tcPr>
          <w:p>
            <w:pPr>
              <w:pStyle w:val="25"/>
              <w:ind w:firstLine="0" w:firstLineChars="0"/>
              <w:jc w:val="center"/>
              <w:rPr>
                <w:rFonts w:ascii="宋体"/>
                <w:sz w:val="18"/>
                <w:szCs w:val="18"/>
              </w:rPr>
            </w:pPr>
            <w:r>
              <w:rPr>
                <w:rFonts w:ascii="宋体"/>
                <w:sz w:val="18"/>
                <w:szCs w:val="18"/>
              </w:rPr>
              <w:t>&gt;1.5</w:t>
            </w:r>
          </w:p>
        </w:tc>
        <w:tc>
          <w:tcPr>
            <w:tcW w:w="1250" w:type="pct"/>
            <w:vAlign w:val="center"/>
          </w:tcPr>
          <w:p>
            <w:pPr>
              <w:pStyle w:val="25"/>
              <w:ind w:firstLine="0" w:firstLineChars="0"/>
              <w:jc w:val="center"/>
              <w:rPr>
                <w:rFonts w:ascii="宋体"/>
                <w:sz w:val="18"/>
                <w:szCs w:val="18"/>
              </w:rPr>
            </w:pPr>
            <w:r>
              <w:rPr>
                <w:rFonts w:ascii="宋体"/>
                <w:sz w:val="18"/>
                <w:szCs w:val="18"/>
              </w:rPr>
              <w:t>重度污染</w:t>
            </w:r>
          </w:p>
        </w:tc>
        <w:tc>
          <w:tcPr>
            <w:tcW w:w="1250" w:type="pct"/>
            <w:vAlign w:val="center"/>
          </w:tcPr>
          <w:p>
            <w:pPr>
              <w:pStyle w:val="25"/>
              <w:ind w:firstLine="0" w:firstLineChars="0"/>
              <w:jc w:val="center"/>
              <w:rPr>
                <w:rFonts w:ascii="宋体"/>
                <w:sz w:val="18"/>
                <w:szCs w:val="18"/>
              </w:rPr>
            </w:pPr>
            <w:r>
              <w:rPr>
                <w:rFonts w:ascii="宋体"/>
                <w:sz w:val="18"/>
                <w:szCs w:val="18"/>
              </w:rPr>
              <w:t>清淤</w:t>
            </w:r>
          </w:p>
        </w:tc>
      </w:tr>
    </w:tbl>
    <w:p>
      <w:pPr>
        <w:pStyle w:val="25"/>
        <w:ind w:firstLine="420"/>
      </w:pPr>
    </w:p>
    <w:p>
      <w:pPr>
        <w:pStyle w:val="25"/>
        <w:ind w:firstLine="420"/>
      </w:pPr>
    </w:p>
    <w:p>
      <w:pPr>
        <w:pStyle w:val="25"/>
        <w:ind w:firstLine="420"/>
      </w:pPr>
    </w:p>
    <w:p>
      <w:pPr>
        <w:pStyle w:val="25"/>
        <w:ind w:firstLine="420"/>
      </w:pPr>
    </w:p>
    <w:p>
      <w:pPr>
        <w:pStyle w:val="25"/>
        <w:ind w:firstLine="420"/>
        <w:sectPr>
          <w:pgSz w:w="11906" w:h="16838"/>
          <w:pgMar w:top="567" w:right="1134" w:bottom="1134" w:left="1418" w:header="1418" w:footer="1134" w:gutter="0"/>
          <w:cols w:space="425" w:num="1"/>
          <w:formProt w:val="0"/>
          <w:docGrid w:type="lines" w:linePitch="312" w:charSpace="0"/>
        </w:sectPr>
      </w:pPr>
    </w:p>
    <w:p>
      <w:pPr>
        <w:pStyle w:val="88"/>
      </w:pPr>
      <w:bookmarkStart w:id="130" w:name="_Toc162597508"/>
      <w:bookmarkEnd w:id="130"/>
    </w:p>
    <w:p>
      <w:pPr>
        <w:pStyle w:val="25"/>
        <w:ind w:firstLine="0" w:firstLineChars="0"/>
        <w:jc w:val="center"/>
        <w:rPr>
          <w:rFonts w:eastAsia="黑体"/>
        </w:rPr>
      </w:pPr>
      <w:r>
        <w:rPr>
          <w:rFonts w:eastAsia="黑体"/>
        </w:rPr>
        <w:t>（资料性）</w:t>
      </w:r>
    </w:p>
    <w:p>
      <w:pPr>
        <w:pStyle w:val="106"/>
      </w:pPr>
      <w:bookmarkStart w:id="131" w:name="_Toc162597509"/>
      <w:r>
        <w:t>C.1 各类清淤设备最大允许超宽、超深值</w:t>
      </w:r>
      <w:bookmarkEnd w:id="131"/>
    </w:p>
    <w:p>
      <w:pPr>
        <w:pStyle w:val="91"/>
      </w:pPr>
      <w:r>
        <w:t>表C.1 各类清淤设备最大允许超宽、超深值</w:t>
      </w:r>
    </w:p>
    <w:p>
      <w:pPr>
        <w:widowControl/>
        <w:tabs>
          <w:tab w:val="center" w:pos="4201"/>
          <w:tab w:val="right" w:leader="dot" w:pos="9298"/>
        </w:tabs>
        <w:autoSpaceDE w:val="0"/>
        <w:autoSpaceDN w:val="0"/>
        <w:ind w:firstLine="420" w:firstLineChars="200"/>
        <w:jc w:val="right"/>
        <w:rPr>
          <w:kern w:val="0"/>
          <w:szCs w:val="20"/>
        </w:rPr>
      </w:pPr>
      <w:r>
        <w:rPr>
          <w:kern w:val="0"/>
          <w:szCs w:val="20"/>
        </w:rPr>
        <w:t xml:space="preserve">                                                                          单位：m</w:t>
      </w:r>
    </w:p>
    <w:tbl>
      <w:tblPr>
        <w:tblStyle w:val="3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96"/>
        <w:gridCol w:w="993"/>
        <w:gridCol w:w="1701"/>
        <w:gridCol w:w="2126"/>
        <w:gridCol w:w="1276"/>
        <w:gridCol w:w="15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90" w:type="dxa"/>
            <w:gridSpan w:val="3"/>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类别</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计算及最大允许超宽值（每边）</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计算超深值</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最大允许超深值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普通绞吸式挖泥船</w:t>
            </w:r>
          </w:p>
        </w:tc>
        <w:tc>
          <w:tcPr>
            <w:tcW w:w="993" w:type="dxa"/>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绞刀直径</w:t>
            </w: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&lt;1.5 m</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0.5</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993"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1.5 m～2.0 m</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1.0</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993"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&gt;2.0 m</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1.5</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0.4</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斗轮式挖泥船</w:t>
            </w:r>
          </w:p>
        </w:tc>
        <w:tc>
          <w:tcPr>
            <w:tcW w:w="993" w:type="dxa"/>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斗轮直径</w:t>
            </w: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&lt;1.5 m</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0.2</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993"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1.5 m～2.4 m</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0.5</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0.2</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993"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&gt;2.0 m</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1.0</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链斗式挖泥船</w:t>
            </w:r>
          </w:p>
        </w:tc>
        <w:tc>
          <w:tcPr>
            <w:tcW w:w="993" w:type="dxa"/>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斗容</w:t>
            </w: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≤0.5 m</w:t>
            </w:r>
            <w:r>
              <w:rPr>
                <w:rFonts w:ascii="宋体"/>
                <w:kern w:val="0"/>
                <w:sz w:val="18"/>
                <w:szCs w:val="18"/>
                <w:vertAlign w:val="superscript"/>
              </w:rPr>
              <w:t>3</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1.0</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0.2</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993"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&gt;0.5 m</w:t>
            </w:r>
            <w:r>
              <w:rPr>
                <w:rFonts w:ascii="宋体"/>
                <w:kern w:val="0"/>
                <w:sz w:val="18"/>
                <w:szCs w:val="18"/>
                <w:vertAlign w:val="superscript"/>
              </w:rPr>
              <w:t>3</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1.5</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抓斗式挖泥船</w:t>
            </w:r>
          </w:p>
        </w:tc>
        <w:tc>
          <w:tcPr>
            <w:tcW w:w="993" w:type="dxa"/>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斗容</w:t>
            </w: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&lt;2.0 m</w:t>
            </w:r>
            <w:r>
              <w:rPr>
                <w:rFonts w:ascii="宋体"/>
                <w:kern w:val="0"/>
                <w:sz w:val="18"/>
                <w:szCs w:val="18"/>
                <w:vertAlign w:val="superscript"/>
              </w:rPr>
              <w:t>3</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0.5</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993"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2.0 m</w:t>
            </w:r>
            <w:r>
              <w:rPr>
                <w:rFonts w:ascii="宋体"/>
                <w:kern w:val="0"/>
                <w:sz w:val="18"/>
                <w:szCs w:val="18"/>
                <w:vertAlign w:val="superscript"/>
              </w:rPr>
              <w:t>3</w:t>
            </w:r>
            <w:r>
              <w:rPr>
                <w:rFonts w:ascii="宋体"/>
                <w:kern w:val="0"/>
                <w:sz w:val="18"/>
                <w:szCs w:val="18"/>
              </w:rPr>
              <w:t>～4.0 m</w:t>
            </w:r>
            <w:r>
              <w:rPr>
                <w:rFonts w:ascii="宋体"/>
                <w:kern w:val="0"/>
                <w:sz w:val="18"/>
                <w:szCs w:val="18"/>
                <w:vertAlign w:val="superscript"/>
              </w:rPr>
              <w:t>3</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1.0</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0.4</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993"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&gt;4.0 m</w:t>
            </w:r>
            <w:r>
              <w:rPr>
                <w:rFonts w:ascii="宋体"/>
                <w:kern w:val="0"/>
                <w:sz w:val="18"/>
                <w:szCs w:val="18"/>
                <w:vertAlign w:val="superscript"/>
              </w:rPr>
              <w:t>3</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1.5</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0.5</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铲斗式挖泥船</w:t>
            </w:r>
          </w:p>
        </w:tc>
        <w:tc>
          <w:tcPr>
            <w:tcW w:w="993" w:type="dxa"/>
            <w:vMerge w:val="restart"/>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斗容</w:t>
            </w: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≤2.0 m</w:t>
            </w:r>
            <w:r>
              <w:rPr>
                <w:rFonts w:ascii="宋体"/>
                <w:kern w:val="0"/>
                <w:sz w:val="18"/>
                <w:szCs w:val="18"/>
                <w:vertAlign w:val="superscript"/>
              </w:rPr>
              <w:t>3</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1.0</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6"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993" w:type="dxa"/>
            <w:vMerge w:val="continue"/>
            <w:vAlign w:val="center"/>
          </w:tcPr>
          <w:p>
            <w:pPr>
              <w:widowControl/>
              <w:tabs>
                <w:tab w:val="center" w:pos="4201"/>
                <w:tab w:val="right" w:leader="dot" w:pos="9298"/>
              </w:tabs>
              <w:autoSpaceDE w:val="0"/>
              <w:autoSpaceDN w:val="0"/>
              <w:jc w:val="center"/>
              <w:rPr>
                <w:rFonts w:ascii="宋体"/>
                <w:kern w:val="0"/>
                <w:sz w:val="18"/>
                <w:szCs w:val="18"/>
              </w:rPr>
            </w:pPr>
          </w:p>
        </w:tc>
        <w:tc>
          <w:tcPr>
            <w:tcW w:w="1701"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&gt;2.0 m</w:t>
            </w:r>
            <w:r>
              <w:rPr>
                <w:rFonts w:ascii="宋体"/>
                <w:kern w:val="0"/>
                <w:sz w:val="18"/>
                <w:szCs w:val="18"/>
                <w:vertAlign w:val="superscript"/>
              </w:rPr>
              <w:t>3</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1.5</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169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水力冲挖机组</w:t>
            </w:r>
          </w:p>
        </w:tc>
        <w:tc>
          <w:tcPr>
            <w:tcW w:w="2694" w:type="dxa"/>
            <w:gridSpan w:val="2"/>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不限</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0.3</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0.05</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7" w:hRule="atLeast"/>
        </w:trPr>
        <w:tc>
          <w:tcPr>
            <w:tcW w:w="169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生态清淤</w:t>
            </w:r>
          </w:p>
        </w:tc>
        <w:tc>
          <w:tcPr>
            <w:tcW w:w="2694" w:type="dxa"/>
            <w:gridSpan w:val="2"/>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不限</w:t>
            </w:r>
          </w:p>
        </w:tc>
        <w:tc>
          <w:tcPr>
            <w:tcW w:w="212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2.0</w:t>
            </w:r>
          </w:p>
        </w:tc>
        <w:tc>
          <w:tcPr>
            <w:tcW w:w="1276"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0.1</w:t>
            </w:r>
          </w:p>
        </w:tc>
        <w:tc>
          <w:tcPr>
            <w:tcW w:w="1552" w:type="dxa"/>
            <w:vAlign w:val="center"/>
          </w:tcPr>
          <w:p>
            <w:pPr>
              <w:widowControl/>
              <w:tabs>
                <w:tab w:val="center" w:pos="4201"/>
                <w:tab w:val="right" w:leader="dot" w:pos="9298"/>
              </w:tabs>
              <w:autoSpaceDE w:val="0"/>
              <w:autoSpaceDN w:val="0"/>
              <w:jc w:val="center"/>
              <w:rPr>
                <w:rFonts w:ascii="宋体"/>
                <w:kern w:val="0"/>
                <w:sz w:val="18"/>
                <w:szCs w:val="18"/>
              </w:rPr>
            </w:pPr>
            <w:r>
              <w:rPr>
                <w:rFonts w:ascii="宋体"/>
                <w:kern w:val="0"/>
                <w:sz w:val="18"/>
                <w:szCs w:val="18"/>
              </w:rPr>
              <w:t>0.2</w:t>
            </w:r>
          </w:p>
        </w:tc>
      </w:tr>
    </w:tbl>
    <w:p>
      <w:pPr>
        <w:pStyle w:val="91"/>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pStyle w:val="25"/>
        <w:ind w:firstLine="420"/>
      </w:pPr>
    </w:p>
    <w:p>
      <w:pPr>
        <w:widowControl/>
        <w:jc w:val="left"/>
      </w:pPr>
      <w:r>
        <w:br w:type="page"/>
      </w:r>
    </w:p>
    <w:p>
      <w:pPr>
        <w:pStyle w:val="88"/>
      </w:pPr>
      <w:bookmarkStart w:id="132" w:name="_Toc162597510"/>
      <w:bookmarkEnd w:id="132"/>
    </w:p>
    <w:p>
      <w:pPr>
        <w:pStyle w:val="25"/>
        <w:ind w:firstLine="0" w:firstLineChars="0"/>
        <w:jc w:val="center"/>
        <w:rPr>
          <w:rFonts w:eastAsia="黑体"/>
        </w:rPr>
      </w:pPr>
      <w:r>
        <w:rPr>
          <w:rFonts w:eastAsia="黑体"/>
        </w:rPr>
        <w:t>（资料性）</w:t>
      </w:r>
    </w:p>
    <w:p>
      <w:pPr>
        <w:pStyle w:val="106"/>
      </w:pPr>
      <w:bookmarkStart w:id="133" w:name="_Toc162597511"/>
      <w:r>
        <w:t>D.1 平面控制点点之记绘制</w:t>
      </w:r>
      <w:bookmarkEnd w:id="133"/>
    </w:p>
    <w:p>
      <w:pPr>
        <w:pStyle w:val="25"/>
        <w:ind w:firstLine="420"/>
      </w:pPr>
      <w:r>
        <w:t>每个平面控制点绘制一页点之记，点之记格式示例如表D.1所示。</w:t>
      </w:r>
    </w:p>
    <w:p>
      <w:pPr>
        <w:pStyle w:val="91"/>
      </w:pPr>
      <w:r>
        <w:t>表D.1  平面控制点点之记</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1789"/>
        <w:gridCol w:w="1550"/>
        <w:gridCol w:w="1133"/>
        <w:gridCol w:w="926"/>
        <w:gridCol w:w="916"/>
        <w:gridCol w:w="893"/>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pct"/>
            <w:vAlign w:val="center"/>
          </w:tcPr>
          <w:p>
            <w:pPr>
              <w:pStyle w:val="25"/>
              <w:ind w:firstLine="0" w:firstLineChars="0"/>
              <w:jc w:val="center"/>
              <w:rPr>
                <w:rFonts w:ascii="宋体"/>
                <w:sz w:val="18"/>
                <w:szCs w:val="18"/>
              </w:rPr>
            </w:pPr>
            <w:r>
              <w:rPr>
                <w:rFonts w:ascii="宋体"/>
                <w:sz w:val="18"/>
                <w:szCs w:val="18"/>
              </w:rPr>
              <w:t>点名</w:t>
            </w:r>
          </w:p>
          <w:p>
            <w:pPr>
              <w:pStyle w:val="25"/>
              <w:ind w:firstLine="0" w:firstLineChars="0"/>
              <w:jc w:val="center"/>
              <w:rPr>
                <w:rFonts w:ascii="宋体"/>
                <w:sz w:val="18"/>
                <w:szCs w:val="18"/>
              </w:rPr>
            </w:pPr>
            <w:r>
              <w:rPr>
                <w:rFonts w:ascii="宋体"/>
                <w:sz w:val="18"/>
                <w:szCs w:val="18"/>
              </w:rPr>
              <w:t>点号</w:t>
            </w:r>
          </w:p>
        </w:tc>
        <w:tc>
          <w:tcPr>
            <w:tcW w:w="1745" w:type="pct"/>
            <w:gridSpan w:val="2"/>
            <w:vAlign w:val="center"/>
          </w:tcPr>
          <w:p>
            <w:pPr>
              <w:pStyle w:val="25"/>
              <w:ind w:firstLine="0" w:firstLineChars="0"/>
              <w:jc w:val="center"/>
              <w:rPr>
                <w:rFonts w:ascii="宋体"/>
                <w:sz w:val="18"/>
                <w:szCs w:val="18"/>
              </w:rPr>
            </w:pPr>
            <w:r>
              <w:rPr>
                <w:rFonts w:ascii="宋体"/>
                <w:sz w:val="18"/>
                <w:szCs w:val="18"/>
              </w:rPr>
              <w:t>地形示意图</w:t>
            </w:r>
          </w:p>
        </w:tc>
        <w:tc>
          <w:tcPr>
            <w:tcW w:w="592" w:type="pct"/>
            <w:vAlign w:val="center"/>
          </w:tcPr>
          <w:p>
            <w:pPr>
              <w:pStyle w:val="25"/>
              <w:ind w:firstLine="0" w:firstLineChars="0"/>
              <w:jc w:val="center"/>
              <w:rPr>
                <w:rFonts w:ascii="宋体"/>
                <w:sz w:val="18"/>
                <w:szCs w:val="18"/>
              </w:rPr>
            </w:pPr>
            <w:r>
              <w:rPr>
                <w:rFonts w:ascii="宋体"/>
                <w:sz w:val="18"/>
                <w:szCs w:val="18"/>
              </w:rPr>
              <w:t>所在地</w:t>
            </w:r>
          </w:p>
        </w:tc>
        <w:tc>
          <w:tcPr>
            <w:tcW w:w="2134" w:type="pct"/>
            <w:gridSpan w:val="4"/>
            <w:vAlign w:val="center"/>
          </w:tcPr>
          <w:p>
            <w:pPr>
              <w:pStyle w:val="25"/>
              <w:ind w:firstLine="0" w:firstLineChars="0"/>
              <w:jc w:val="center"/>
              <w:rPr>
                <w:rFonts w:ascii="宋体"/>
                <w:sz w:val="18"/>
                <w:szCs w:val="18"/>
              </w:rPr>
            </w:pPr>
            <w:r>
              <w:rPr>
                <w:rFonts w:ascii="宋体"/>
                <w:sz w:val="18"/>
                <w:szCs w:val="18"/>
              </w:rPr>
              <w:t>省（自治区、直辖市）</w:t>
            </w:r>
          </w:p>
          <w:p>
            <w:pPr>
              <w:pStyle w:val="25"/>
              <w:ind w:firstLine="0" w:firstLineChars="0"/>
              <w:jc w:val="center"/>
              <w:rPr>
                <w:rFonts w:ascii="宋体"/>
                <w:sz w:val="18"/>
                <w:szCs w:val="18"/>
              </w:rPr>
            </w:pPr>
            <w:r>
              <w:rPr>
                <w:rFonts w:ascii="宋体"/>
                <w:sz w:val="18"/>
                <w:szCs w:val="18"/>
              </w:rPr>
              <w:t>县（市、区、旗）</w:t>
            </w:r>
          </w:p>
          <w:p>
            <w:pPr>
              <w:pStyle w:val="25"/>
              <w:ind w:firstLine="0" w:firstLineChars="0"/>
              <w:jc w:val="center"/>
              <w:rPr>
                <w:rFonts w:ascii="宋体"/>
                <w:sz w:val="18"/>
                <w:szCs w:val="18"/>
              </w:rPr>
            </w:pPr>
            <w:r>
              <w:rPr>
                <w:rFonts w:ascii="宋体"/>
                <w:sz w:val="18"/>
                <w:szCs w:val="18"/>
              </w:rPr>
              <w:t>乡    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pct"/>
            <w:vMerge w:val="restart"/>
            <w:vAlign w:val="center"/>
          </w:tcPr>
          <w:p>
            <w:pPr>
              <w:pStyle w:val="25"/>
              <w:ind w:firstLine="0" w:firstLineChars="0"/>
              <w:jc w:val="center"/>
              <w:rPr>
                <w:rFonts w:ascii="宋体"/>
                <w:sz w:val="18"/>
                <w:szCs w:val="18"/>
              </w:rPr>
            </w:pPr>
            <w:r>
              <w:rPr>
                <w:rFonts w:ascii="宋体"/>
                <w:sz w:val="18"/>
                <w:szCs w:val="18"/>
              </w:rPr>
              <w:t>位置</w:t>
            </w:r>
          </w:p>
          <w:p>
            <w:pPr>
              <w:pStyle w:val="25"/>
              <w:ind w:firstLine="0" w:firstLineChars="0"/>
              <w:jc w:val="center"/>
              <w:rPr>
                <w:rFonts w:ascii="宋体"/>
                <w:sz w:val="18"/>
                <w:szCs w:val="18"/>
              </w:rPr>
            </w:pPr>
            <w:r>
              <w:rPr>
                <w:rFonts w:ascii="宋体"/>
                <w:sz w:val="18"/>
                <w:szCs w:val="18"/>
              </w:rPr>
              <w:t>略图</w:t>
            </w:r>
          </w:p>
        </w:tc>
        <w:tc>
          <w:tcPr>
            <w:tcW w:w="1745" w:type="pct"/>
            <w:gridSpan w:val="2"/>
            <w:vMerge w:val="restart"/>
            <w:vAlign w:val="center"/>
          </w:tcPr>
          <w:p>
            <w:pPr>
              <w:pStyle w:val="25"/>
              <w:ind w:firstLine="0" w:firstLineChars="0"/>
              <w:jc w:val="center"/>
              <w:rPr>
                <w:rFonts w:ascii="宋体"/>
                <w:sz w:val="18"/>
                <w:szCs w:val="18"/>
              </w:rPr>
            </w:pPr>
          </w:p>
        </w:tc>
        <w:tc>
          <w:tcPr>
            <w:tcW w:w="592" w:type="pct"/>
            <w:vMerge w:val="restart"/>
            <w:vAlign w:val="center"/>
          </w:tcPr>
          <w:p>
            <w:pPr>
              <w:pStyle w:val="25"/>
              <w:ind w:firstLine="0" w:firstLineChars="0"/>
              <w:jc w:val="center"/>
              <w:rPr>
                <w:rFonts w:ascii="宋体"/>
                <w:sz w:val="18"/>
                <w:szCs w:val="18"/>
              </w:rPr>
            </w:pPr>
            <w:r>
              <w:rPr>
                <w:rFonts w:ascii="宋体"/>
                <w:sz w:val="18"/>
                <w:szCs w:val="18"/>
              </w:rPr>
              <w:t>本点至有关点方向</w:t>
            </w:r>
          </w:p>
        </w:tc>
        <w:tc>
          <w:tcPr>
            <w:tcW w:w="484" w:type="pct"/>
            <w:vAlign w:val="center"/>
          </w:tcPr>
          <w:p>
            <w:pPr>
              <w:pStyle w:val="25"/>
              <w:ind w:firstLine="0" w:firstLineChars="0"/>
              <w:jc w:val="center"/>
              <w:rPr>
                <w:rFonts w:ascii="宋体"/>
                <w:sz w:val="18"/>
                <w:szCs w:val="18"/>
              </w:rPr>
            </w:pPr>
            <w:r>
              <w:rPr>
                <w:rFonts w:ascii="宋体"/>
                <w:sz w:val="18"/>
                <w:szCs w:val="18"/>
              </w:rPr>
              <w:t>点名</w:t>
            </w:r>
          </w:p>
        </w:tc>
        <w:tc>
          <w:tcPr>
            <w:tcW w:w="479" w:type="pct"/>
            <w:vAlign w:val="center"/>
          </w:tcPr>
          <w:p>
            <w:pPr>
              <w:pStyle w:val="25"/>
              <w:ind w:firstLine="0" w:firstLineChars="0"/>
              <w:jc w:val="center"/>
              <w:rPr>
                <w:rFonts w:ascii="宋体"/>
                <w:sz w:val="18"/>
                <w:szCs w:val="18"/>
              </w:rPr>
            </w:pPr>
            <w:r>
              <w:rPr>
                <w:rFonts w:ascii="宋体"/>
                <w:sz w:val="18"/>
                <w:szCs w:val="18"/>
              </w:rPr>
              <w:t>等级</w:t>
            </w:r>
          </w:p>
        </w:tc>
        <w:tc>
          <w:tcPr>
            <w:tcW w:w="467" w:type="pct"/>
            <w:vAlign w:val="center"/>
          </w:tcPr>
          <w:p>
            <w:pPr>
              <w:pStyle w:val="25"/>
              <w:ind w:firstLine="0" w:firstLineChars="0"/>
              <w:jc w:val="center"/>
              <w:rPr>
                <w:rFonts w:ascii="宋体"/>
                <w:sz w:val="18"/>
                <w:szCs w:val="18"/>
              </w:rPr>
            </w:pPr>
            <w:r>
              <w:rPr>
                <w:rFonts w:ascii="宋体"/>
                <w:sz w:val="18"/>
                <w:szCs w:val="18"/>
              </w:rPr>
              <w:t>距离</w:t>
            </w:r>
          </w:p>
          <w:p>
            <w:pPr>
              <w:pStyle w:val="25"/>
              <w:ind w:firstLine="0" w:firstLineChars="0"/>
              <w:jc w:val="center"/>
              <w:rPr>
                <w:rFonts w:ascii="宋体"/>
                <w:sz w:val="18"/>
                <w:szCs w:val="18"/>
              </w:rPr>
            </w:pPr>
            <w:r>
              <w:rPr>
                <w:rFonts w:ascii="宋体"/>
                <w:sz w:val="18"/>
                <w:szCs w:val="18"/>
              </w:rPr>
              <w:t>（km）</w:t>
            </w:r>
          </w:p>
        </w:tc>
        <w:tc>
          <w:tcPr>
            <w:tcW w:w="704" w:type="pct"/>
            <w:vAlign w:val="center"/>
          </w:tcPr>
          <w:p>
            <w:pPr>
              <w:pStyle w:val="25"/>
              <w:ind w:firstLine="0" w:firstLineChars="0"/>
              <w:jc w:val="center"/>
              <w:rPr>
                <w:rFonts w:ascii="宋体"/>
                <w:sz w:val="18"/>
                <w:szCs w:val="18"/>
              </w:rPr>
            </w:pPr>
            <w:r>
              <w:rPr>
                <w:rFonts w:ascii="宋体"/>
                <w:sz w:val="18"/>
                <w:szCs w:val="18"/>
              </w:rPr>
              <w:t>磁方位角</w:t>
            </w:r>
          </w:p>
          <w:p>
            <w:pPr>
              <w:pStyle w:val="25"/>
              <w:ind w:firstLine="0" w:firstLineChars="0"/>
              <w:jc w:val="center"/>
              <w:rPr>
                <w:rFonts w:ascii="宋体"/>
                <w:sz w:val="18"/>
                <w:szCs w:val="18"/>
              </w:rPr>
            </w:pPr>
            <w:r>
              <w:rPr>
                <w:rFonts w:asci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9" w:type="pct"/>
            <w:vMerge w:val="continue"/>
            <w:vAlign w:val="center"/>
          </w:tcPr>
          <w:p>
            <w:pPr>
              <w:pStyle w:val="25"/>
              <w:ind w:firstLine="0" w:firstLineChars="0"/>
              <w:jc w:val="center"/>
              <w:rPr>
                <w:rFonts w:ascii="宋体"/>
                <w:sz w:val="18"/>
                <w:szCs w:val="18"/>
              </w:rPr>
            </w:pPr>
          </w:p>
        </w:tc>
        <w:tc>
          <w:tcPr>
            <w:tcW w:w="1745" w:type="pct"/>
            <w:gridSpan w:val="2"/>
            <w:vMerge w:val="continue"/>
            <w:vAlign w:val="center"/>
          </w:tcPr>
          <w:p>
            <w:pPr>
              <w:pStyle w:val="25"/>
              <w:ind w:firstLine="0" w:firstLineChars="0"/>
              <w:jc w:val="center"/>
              <w:rPr>
                <w:rFonts w:ascii="宋体"/>
                <w:sz w:val="18"/>
                <w:szCs w:val="18"/>
              </w:rPr>
            </w:pPr>
          </w:p>
        </w:tc>
        <w:tc>
          <w:tcPr>
            <w:tcW w:w="592" w:type="pct"/>
            <w:vMerge w:val="continue"/>
            <w:vAlign w:val="center"/>
          </w:tcPr>
          <w:p>
            <w:pPr>
              <w:pStyle w:val="25"/>
              <w:ind w:firstLine="0" w:firstLineChars="0"/>
              <w:jc w:val="center"/>
              <w:rPr>
                <w:rFonts w:ascii="宋体"/>
                <w:sz w:val="18"/>
                <w:szCs w:val="18"/>
              </w:rPr>
            </w:pPr>
          </w:p>
        </w:tc>
        <w:tc>
          <w:tcPr>
            <w:tcW w:w="484" w:type="pct"/>
            <w:vAlign w:val="center"/>
          </w:tcPr>
          <w:p>
            <w:pPr>
              <w:pStyle w:val="25"/>
              <w:ind w:firstLine="0" w:firstLineChars="0"/>
              <w:jc w:val="center"/>
              <w:rPr>
                <w:rFonts w:ascii="宋体"/>
                <w:sz w:val="18"/>
                <w:szCs w:val="18"/>
              </w:rPr>
            </w:pPr>
          </w:p>
        </w:tc>
        <w:tc>
          <w:tcPr>
            <w:tcW w:w="479" w:type="pct"/>
            <w:vAlign w:val="center"/>
          </w:tcPr>
          <w:p>
            <w:pPr>
              <w:pStyle w:val="25"/>
              <w:ind w:firstLine="0" w:firstLineChars="0"/>
              <w:jc w:val="center"/>
              <w:rPr>
                <w:rFonts w:ascii="宋体"/>
                <w:sz w:val="18"/>
                <w:szCs w:val="18"/>
              </w:rPr>
            </w:pPr>
          </w:p>
        </w:tc>
        <w:tc>
          <w:tcPr>
            <w:tcW w:w="467" w:type="pct"/>
            <w:vAlign w:val="center"/>
          </w:tcPr>
          <w:p>
            <w:pPr>
              <w:pStyle w:val="25"/>
              <w:ind w:firstLine="0" w:firstLineChars="0"/>
              <w:jc w:val="center"/>
              <w:rPr>
                <w:rFonts w:ascii="宋体"/>
                <w:sz w:val="18"/>
                <w:szCs w:val="18"/>
              </w:rPr>
            </w:pPr>
          </w:p>
        </w:tc>
        <w:tc>
          <w:tcPr>
            <w:tcW w:w="704" w:type="pct"/>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9" w:type="pct"/>
            <w:vMerge w:val="continue"/>
            <w:vAlign w:val="center"/>
          </w:tcPr>
          <w:p>
            <w:pPr>
              <w:pStyle w:val="25"/>
              <w:ind w:firstLine="0" w:firstLineChars="0"/>
              <w:jc w:val="center"/>
              <w:rPr>
                <w:rFonts w:ascii="宋体"/>
                <w:sz w:val="18"/>
                <w:szCs w:val="18"/>
              </w:rPr>
            </w:pPr>
          </w:p>
        </w:tc>
        <w:tc>
          <w:tcPr>
            <w:tcW w:w="1745" w:type="pct"/>
            <w:gridSpan w:val="2"/>
            <w:vMerge w:val="continue"/>
            <w:vAlign w:val="center"/>
          </w:tcPr>
          <w:p>
            <w:pPr>
              <w:pStyle w:val="25"/>
              <w:ind w:firstLine="0" w:firstLineChars="0"/>
              <w:jc w:val="center"/>
              <w:rPr>
                <w:rFonts w:ascii="宋体"/>
                <w:sz w:val="18"/>
                <w:szCs w:val="18"/>
              </w:rPr>
            </w:pPr>
          </w:p>
        </w:tc>
        <w:tc>
          <w:tcPr>
            <w:tcW w:w="592" w:type="pct"/>
            <w:vMerge w:val="continue"/>
            <w:vAlign w:val="center"/>
          </w:tcPr>
          <w:p>
            <w:pPr>
              <w:pStyle w:val="25"/>
              <w:ind w:firstLine="0" w:firstLineChars="0"/>
              <w:jc w:val="center"/>
              <w:rPr>
                <w:rFonts w:ascii="宋体"/>
                <w:sz w:val="18"/>
                <w:szCs w:val="18"/>
              </w:rPr>
            </w:pPr>
          </w:p>
        </w:tc>
        <w:tc>
          <w:tcPr>
            <w:tcW w:w="484" w:type="pct"/>
            <w:vAlign w:val="center"/>
          </w:tcPr>
          <w:p>
            <w:pPr>
              <w:pStyle w:val="25"/>
              <w:ind w:firstLine="0" w:firstLineChars="0"/>
              <w:jc w:val="center"/>
              <w:rPr>
                <w:rFonts w:ascii="宋体"/>
                <w:sz w:val="18"/>
                <w:szCs w:val="18"/>
              </w:rPr>
            </w:pPr>
          </w:p>
        </w:tc>
        <w:tc>
          <w:tcPr>
            <w:tcW w:w="479" w:type="pct"/>
            <w:vAlign w:val="center"/>
          </w:tcPr>
          <w:p>
            <w:pPr>
              <w:pStyle w:val="25"/>
              <w:ind w:firstLine="0" w:firstLineChars="0"/>
              <w:jc w:val="center"/>
              <w:rPr>
                <w:rFonts w:ascii="宋体"/>
                <w:sz w:val="18"/>
                <w:szCs w:val="18"/>
              </w:rPr>
            </w:pPr>
          </w:p>
        </w:tc>
        <w:tc>
          <w:tcPr>
            <w:tcW w:w="467" w:type="pct"/>
            <w:vAlign w:val="center"/>
          </w:tcPr>
          <w:p>
            <w:pPr>
              <w:pStyle w:val="25"/>
              <w:ind w:firstLine="0" w:firstLineChars="0"/>
              <w:jc w:val="center"/>
              <w:rPr>
                <w:rFonts w:ascii="宋体"/>
                <w:sz w:val="18"/>
                <w:szCs w:val="18"/>
              </w:rPr>
            </w:pPr>
          </w:p>
        </w:tc>
        <w:tc>
          <w:tcPr>
            <w:tcW w:w="704" w:type="pct"/>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9" w:type="pct"/>
            <w:vMerge w:val="continue"/>
            <w:vAlign w:val="center"/>
          </w:tcPr>
          <w:p>
            <w:pPr>
              <w:pStyle w:val="25"/>
              <w:ind w:firstLine="0" w:firstLineChars="0"/>
              <w:jc w:val="center"/>
              <w:rPr>
                <w:rFonts w:ascii="宋体"/>
                <w:sz w:val="18"/>
                <w:szCs w:val="18"/>
              </w:rPr>
            </w:pPr>
          </w:p>
        </w:tc>
        <w:tc>
          <w:tcPr>
            <w:tcW w:w="1745" w:type="pct"/>
            <w:gridSpan w:val="2"/>
            <w:vMerge w:val="continue"/>
            <w:vAlign w:val="center"/>
          </w:tcPr>
          <w:p>
            <w:pPr>
              <w:pStyle w:val="25"/>
              <w:ind w:firstLine="0" w:firstLineChars="0"/>
              <w:jc w:val="center"/>
              <w:rPr>
                <w:rFonts w:ascii="宋体"/>
                <w:sz w:val="18"/>
                <w:szCs w:val="18"/>
              </w:rPr>
            </w:pPr>
          </w:p>
        </w:tc>
        <w:tc>
          <w:tcPr>
            <w:tcW w:w="592" w:type="pct"/>
            <w:vMerge w:val="continue"/>
            <w:vAlign w:val="center"/>
          </w:tcPr>
          <w:p>
            <w:pPr>
              <w:pStyle w:val="25"/>
              <w:ind w:firstLine="0" w:firstLineChars="0"/>
              <w:jc w:val="center"/>
              <w:rPr>
                <w:rFonts w:ascii="宋体"/>
                <w:sz w:val="18"/>
                <w:szCs w:val="18"/>
              </w:rPr>
            </w:pPr>
          </w:p>
        </w:tc>
        <w:tc>
          <w:tcPr>
            <w:tcW w:w="484" w:type="pct"/>
            <w:vAlign w:val="center"/>
          </w:tcPr>
          <w:p>
            <w:pPr>
              <w:pStyle w:val="25"/>
              <w:ind w:firstLine="0" w:firstLineChars="0"/>
              <w:jc w:val="center"/>
              <w:rPr>
                <w:rFonts w:ascii="宋体"/>
                <w:sz w:val="18"/>
                <w:szCs w:val="18"/>
              </w:rPr>
            </w:pPr>
          </w:p>
        </w:tc>
        <w:tc>
          <w:tcPr>
            <w:tcW w:w="479" w:type="pct"/>
            <w:vAlign w:val="center"/>
          </w:tcPr>
          <w:p>
            <w:pPr>
              <w:pStyle w:val="25"/>
              <w:ind w:firstLine="0" w:firstLineChars="0"/>
              <w:jc w:val="center"/>
              <w:rPr>
                <w:rFonts w:ascii="宋体"/>
                <w:sz w:val="18"/>
                <w:szCs w:val="18"/>
              </w:rPr>
            </w:pPr>
          </w:p>
        </w:tc>
        <w:tc>
          <w:tcPr>
            <w:tcW w:w="467" w:type="pct"/>
            <w:vAlign w:val="center"/>
          </w:tcPr>
          <w:p>
            <w:pPr>
              <w:pStyle w:val="25"/>
              <w:ind w:firstLine="0" w:firstLineChars="0"/>
              <w:jc w:val="center"/>
              <w:rPr>
                <w:rFonts w:ascii="宋体"/>
                <w:sz w:val="18"/>
                <w:szCs w:val="18"/>
              </w:rPr>
            </w:pPr>
          </w:p>
        </w:tc>
        <w:tc>
          <w:tcPr>
            <w:tcW w:w="704" w:type="pct"/>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9" w:type="pct"/>
            <w:vMerge w:val="continue"/>
            <w:vAlign w:val="center"/>
          </w:tcPr>
          <w:p>
            <w:pPr>
              <w:pStyle w:val="25"/>
              <w:ind w:firstLine="0" w:firstLineChars="0"/>
              <w:jc w:val="center"/>
              <w:rPr>
                <w:rFonts w:ascii="宋体"/>
                <w:sz w:val="18"/>
                <w:szCs w:val="18"/>
              </w:rPr>
            </w:pPr>
          </w:p>
        </w:tc>
        <w:tc>
          <w:tcPr>
            <w:tcW w:w="1745" w:type="pct"/>
            <w:gridSpan w:val="2"/>
            <w:vMerge w:val="continue"/>
            <w:vAlign w:val="center"/>
          </w:tcPr>
          <w:p>
            <w:pPr>
              <w:pStyle w:val="25"/>
              <w:ind w:firstLine="0" w:firstLineChars="0"/>
              <w:jc w:val="center"/>
              <w:rPr>
                <w:rFonts w:ascii="宋体"/>
                <w:sz w:val="18"/>
                <w:szCs w:val="18"/>
              </w:rPr>
            </w:pPr>
          </w:p>
        </w:tc>
        <w:tc>
          <w:tcPr>
            <w:tcW w:w="592" w:type="pct"/>
            <w:vMerge w:val="continue"/>
            <w:vAlign w:val="center"/>
          </w:tcPr>
          <w:p>
            <w:pPr>
              <w:pStyle w:val="25"/>
              <w:ind w:firstLine="0" w:firstLineChars="0"/>
              <w:jc w:val="center"/>
              <w:rPr>
                <w:rFonts w:ascii="宋体"/>
                <w:sz w:val="18"/>
                <w:szCs w:val="18"/>
              </w:rPr>
            </w:pPr>
          </w:p>
        </w:tc>
        <w:tc>
          <w:tcPr>
            <w:tcW w:w="484" w:type="pct"/>
            <w:vAlign w:val="center"/>
          </w:tcPr>
          <w:p>
            <w:pPr>
              <w:pStyle w:val="25"/>
              <w:ind w:firstLine="0" w:firstLineChars="0"/>
              <w:jc w:val="center"/>
              <w:rPr>
                <w:rFonts w:ascii="宋体"/>
                <w:sz w:val="18"/>
                <w:szCs w:val="18"/>
              </w:rPr>
            </w:pPr>
          </w:p>
        </w:tc>
        <w:tc>
          <w:tcPr>
            <w:tcW w:w="479" w:type="pct"/>
            <w:vAlign w:val="center"/>
          </w:tcPr>
          <w:p>
            <w:pPr>
              <w:pStyle w:val="25"/>
              <w:ind w:firstLine="0" w:firstLineChars="0"/>
              <w:jc w:val="center"/>
              <w:rPr>
                <w:rFonts w:ascii="宋体"/>
                <w:sz w:val="18"/>
                <w:szCs w:val="18"/>
              </w:rPr>
            </w:pPr>
          </w:p>
        </w:tc>
        <w:tc>
          <w:tcPr>
            <w:tcW w:w="467" w:type="pct"/>
            <w:vAlign w:val="center"/>
          </w:tcPr>
          <w:p>
            <w:pPr>
              <w:pStyle w:val="25"/>
              <w:ind w:firstLine="0" w:firstLineChars="0"/>
              <w:jc w:val="center"/>
              <w:rPr>
                <w:rFonts w:ascii="宋体"/>
                <w:sz w:val="18"/>
                <w:szCs w:val="18"/>
              </w:rPr>
            </w:pPr>
          </w:p>
        </w:tc>
        <w:tc>
          <w:tcPr>
            <w:tcW w:w="704" w:type="pct"/>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9" w:type="pct"/>
            <w:vMerge w:val="continue"/>
            <w:vAlign w:val="center"/>
          </w:tcPr>
          <w:p>
            <w:pPr>
              <w:pStyle w:val="25"/>
              <w:ind w:firstLine="0" w:firstLineChars="0"/>
              <w:jc w:val="center"/>
              <w:rPr>
                <w:rFonts w:ascii="宋体"/>
                <w:sz w:val="18"/>
                <w:szCs w:val="18"/>
              </w:rPr>
            </w:pPr>
          </w:p>
        </w:tc>
        <w:tc>
          <w:tcPr>
            <w:tcW w:w="1745" w:type="pct"/>
            <w:gridSpan w:val="2"/>
            <w:vMerge w:val="continue"/>
            <w:vAlign w:val="center"/>
          </w:tcPr>
          <w:p>
            <w:pPr>
              <w:pStyle w:val="25"/>
              <w:ind w:firstLine="0" w:firstLineChars="0"/>
              <w:jc w:val="center"/>
              <w:rPr>
                <w:rFonts w:ascii="宋体"/>
                <w:sz w:val="18"/>
                <w:szCs w:val="18"/>
              </w:rPr>
            </w:pPr>
          </w:p>
        </w:tc>
        <w:tc>
          <w:tcPr>
            <w:tcW w:w="592" w:type="pct"/>
            <w:vMerge w:val="continue"/>
            <w:vAlign w:val="center"/>
          </w:tcPr>
          <w:p>
            <w:pPr>
              <w:pStyle w:val="25"/>
              <w:ind w:firstLine="0" w:firstLineChars="0"/>
              <w:jc w:val="center"/>
              <w:rPr>
                <w:rFonts w:ascii="宋体"/>
                <w:sz w:val="18"/>
                <w:szCs w:val="18"/>
              </w:rPr>
            </w:pPr>
          </w:p>
        </w:tc>
        <w:tc>
          <w:tcPr>
            <w:tcW w:w="484" w:type="pct"/>
            <w:vAlign w:val="center"/>
          </w:tcPr>
          <w:p>
            <w:pPr>
              <w:pStyle w:val="25"/>
              <w:ind w:firstLine="0" w:firstLineChars="0"/>
              <w:jc w:val="center"/>
              <w:rPr>
                <w:rFonts w:ascii="宋体"/>
                <w:sz w:val="18"/>
                <w:szCs w:val="18"/>
              </w:rPr>
            </w:pPr>
          </w:p>
        </w:tc>
        <w:tc>
          <w:tcPr>
            <w:tcW w:w="479" w:type="pct"/>
            <w:vAlign w:val="center"/>
          </w:tcPr>
          <w:p>
            <w:pPr>
              <w:pStyle w:val="25"/>
              <w:ind w:firstLine="0" w:firstLineChars="0"/>
              <w:jc w:val="center"/>
              <w:rPr>
                <w:rFonts w:ascii="宋体"/>
                <w:sz w:val="18"/>
                <w:szCs w:val="18"/>
              </w:rPr>
            </w:pPr>
          </w:p>
        </w:tc>
        <w:tc>
          <w:tcPr>
            <w:tcW w:w="467" w:type="pct"/>
            <w:vAlign w:val="center"/>
          </w:tcPr>
          <w:p>
            <w:pPr>
              <w:pStyle w:val="25"/>
              <w:ind w:firstLine="0" w:firstLineChars="0"/>
              <w:jc w:val="center"/>
              <w:rPr>
                <w:rFonts w:ascii="宋体"/>
                <w:sz w:val="18"/>
                <w:szCs w:val="18"/>
              </w:rPr>
            </w:pPr>
          </w:p>
        </w:tc>
        <w:tc>
          <w:tcPr>
            <w:tcW w:w="704" w:type="pct"/>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529" w:type="pct"/>
            <w:vMerge w:val="restart"/>
            <w:vAlign w:val="center"/>
          </w:tcPr>
          <w:p>
            <w:pPr>
              <w:pStyle w:val="25"/>
              <w:ind w:firstLine="0" w:firstLineChars="0"/>
              <w:jc w:val="center"/>
              <w:rPr>
                <w:rFonts w:ascii="宋体"/>
                <w:sz w:val="18"/>
                <w:szCs w:val="18"/>
              </w:rPr>
            </w:pPr>
            <w:r>
              <w:rPr>
                <w:rFonts w:ascii="宋体"/>
                <w:sz w:val="18"/>
                <w:szCs w:val="18"/>
              </w:rPr>
              <w:t>标石</w:t>
            </w:r>
          </w:p>
          <w:p>
            <w:pPr>
              <w:pStyle w:val="25"/>
              <w:ind w:firstLine="0" w:firstLineChars="0"/>
              <w:jc w:val="center"/>
              <w:rPr>
                <w:rFonts w:ascii="宋体"/>
                <w:sz w:val="18"/>
                <w:szCs w:val="18"/>
              </w:rPr>
            </w:pPr>
            <w:r>
              <w:rPr>
                <w:rFonts w:ascii="宋体"/>
                <w:sz w:val="18"/>
                <w:szCs w:val="18"/>
              </w:rPr>
              <w:t>类型</w:t>
            </w:r>
          </w:p>
        </w:tc>
        <w:tc>
          <w:tcPr>
            <w:tcW w:w="935" w:type="pct"/>
            <w:vMerge w:val="restart"/>
            <w:vAlign w:val="center"/>
          </w:tcPr>
          <w:p>
            <w:pPr>
              <w:pStyle w:val="25"/>
              <w:ind w:firstLine="0" w:firstLineChars="0"/>
              <w:jc w:val="center"/>
              <w:rPr>
                <w:rFonts w:ascii="宋体"/>
                <w:sz w:val="18"/>
                <w:szCs w:val="18"/>
              </w:rPr>
            </w:pPr>
          </w:p>
        </w:tc>
        <w:tc>
          <w:tcPr>
            <w:tcW w:w="810" w:type="pct"/>
            <w:vAlign w:val="center"/>
          </w:tcPr>
          <w:p>
            <w:pPr>
              <w:pStyle w:val="25"/>
              <w:ind w:firstLine="0" w:firstLineChars="0"/>
              <w:jc w:val="center"/>
              <w:rPr>
                <w:rFonts w:ascii="宋体"/>
                <w:sz w:val="18"/>
                <w:szCs w:val="18"/>
              </w:rPr>
            </w:pPr>
          </w:p>
        </w:tc>
        <w:tc>
          <w:tcPr>
            <w:tcW w:w="2726" w:type="pct"/>
            <w:gridSpan w:val="5"/>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529" w:type="pct"/>
            <w:vMerge w:val="continue"/>
            <w:vAlign w:val="center"/>
          </w:tcPr>
          <w:p>
            <w:pPr>
              <w:pStyle w:val="25"/>
              <w:ind w:firstLine="0" w:firstLineChars="0"/>
              <w:jc w:val="center"/>
              <w:rPr>
                <w:rFonts w:ascii="宋体"/>
                <w:sz w:val="18"/>
                <w:szCs w:val="18"/>
              </w:rPr>
            </w:pPr>
          </w:p>
        </w:tc>
        <w:tc>
          <w:tcPr>
            <w:tcW w:w="935" w:type="pct"/>
            <w:vMerge w:val="continue"/>
            <w:vAlign w:val="center"/>
          </w:tcPr>
          <w:p>
            <w:pPr>
              <w:pStyle w:val="25"/>
              <w:ind w:firstLine="0" w:firstLineChars="0"/>
              <w:jc w:val="center"/>
              <w:rPr>
                <w:rFonts w:ascii="宋体"/>
                <w:sz w:val="18"/>
                <w:szCs w:val="18"/>
              </w:rPr>
            </w:pPr>
          </w:p>
        </w:tc>
        <w:tc>
          <w:tcPr>
            <w:tcW w:w="810" w:type="pct"/>
            <w:vAlign w:val="center"/>
          </w:tcPr>
          <w:p>
            <w:pPr>
              <w:pStyle w:val="25"/>
              <w:ind w:firstLine="0" w:firstLineChars="0"/>
              <w:jc w:val="center"/>
              <w:rPr>
                <w:rFonts w:ascii="宋体"/>
                <w:sz w:val="18"/>
                <w:szCs w:val="18"/>
              </w:rPr>
            </w:pPr>
          </w:p>
        </w:tc>
        <w:tc>
          <w:tcPr>
            <w:tcW w:w="2726" w:type="pct"/>
            <w:gridSpan w:val="5"/>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529" w:type="pct"/>
            <w:vMerge w:val="continue"/>
            <w:vAlign w:val="center"/>
          </w:tcPr>
          <w:p>
            <w:pPr>
              <w:pStyle w:val="25"/>
              <w:ind w:firstLine="0" w:firstLineChars="0"/>
              <w:jc w:val="center"/>
              <w:rPr>
                <w:rFonts w:ascii="宋体"/>
                <w:sz w:val="18"/>
                <w:szCs w:val="18"/>
              </w:rPr>
            </w:pPr>
          </w:p>
        </w:tc>
        <w:tc>
          <w:tcPr>
            <w:tcW w:w="935" w:type="pct"/>
            <w:vMerge w:val="continue"/>
            <w:vAlign w:val="center"/>
          </w:tcPr>
          <w:p>
            <w:pPr>
              <w:pStyle w:val="25"/>
              <w:ind w:firstLine="0" w:firstLineChars="0"/>
              <w:jc w:val="center"/>
              <w:rPr>
                <w:rFonts w:ascii="宋体"/>
                <w:sz w:val="18"/>
                <w:szCs w:val="18"/>
              </w:rPr>
            </w:pPr>
          </w:p>
        </w:tc>
        <w:tc>
          <w:tcPr>
            <w:tcW w:w="810" w:type="pct"/>
            <w:vAlign w:val="center"/>
          </w:tcPr>
          <w:p>
            <w:pPr>
              <w:pStyle w:val="25"/>
              <w:ind w:firstLine="0" w:firstLineChars="0"/>
              <w:jc w:val="center"/>
              <w:rPr>
                <w:rFonts w:ascii="宋体"/>
                <w:sz w:val="18"/>
                <w:szCs w:val="18"/>
              </w:rPr>
            </w:pPr>
          </w:p>
        </w:tc>
        <w:tc>
          <w:tcPr>
            <w:tcW w:w="2726" w:type="pct"/>
            <w:gridSpan w:val="5"/>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29" w:type="pct"/>
            <w:vMerge w:val="restart"/>
            <w:vAlign w:val="center"/>
          </w:tcPr>
          <w:p>
            <w:pPr>
              <w:pStyle w:val="25"/>
              <w:ind w:firstLine="0" w:firstLineChars="0"/>
              <w:jc w:val="center"/>
              <w:rPr>
                <w:rFonts w:ascii="宋体"/>
                <w:sz w:val="18"/>
                <w:szCs w:val="18"/>
              </w:rPr>
            </w:pPr>
            <w:r>
              <w:rPr>
                <w:rFonts w:ascii="宋体"/>
                <w:sz w:val="18"/>
                <w:szCs w:val="18"/>
              </w:rPr>
              <w:t>实埋</w:t>
            </w:r>
          </w:p>
          <w:p>
            <w:pPr>
              <w:pStyle w:val="25"/>
              <w:ind w:firstLine="0" w:firstLineChars="0"/>
              <w:jc w:val="center"/>
              <w:rPr>
                <w:rFonts w:ascii="宋体"/>
                <w:sz w:val="18"/>
                <w:szCs w:val="18"/>
              </w:rPr>
            </w:pPr>
            <w:r>
              <w:rPr>
                <w:rFonts w:ascii="宋体"/>
                <w:sz w:val="18"/>
                <w:szCs w:val="18"/>
              </w:rPr>
              <w:t>标石</w:t>
            </w:r>
          </w:p>
          <w:p>
            <w:pPr>
              <w:pStyle w:val="25"/>
              <w:ind w:firstLine="0" w:firstLineChars="0"/>
              <w:jc w:val="center"/>
              <w:rPr>
                <w:rFonts w:ascii="宋体"/>
                <w:sz w:val="18"/>
                <w:szCs w:val="18"/>
              </w:rPr>
            </w:pPr>
            <w:r>
              <w:rPr>
                <w:rFonts w:ascii="宋体"/>
                <w:sz w:val="18"/>
                <w:szCs w:val="18"/>
              </w:rPr>
              <w:t>断面图</w:t>
            </w:r>
          </w:p>
        </w:tc>
        <w:tc>
          <w:tcPr>
            <w:tcW w:w="2821" w:type="pct"/>
            <w:gridSpan w:val="4"/>
            <w:vMerge w:val="restart"/>
            <w:vAlign w:val="center"/>
          </w:tcPr>
          <w:p>
            <w:pPr>
              <w:pStyle w:val="25"/>
              <w:ind w:firstLine="0" w:firstLineChars="0"/>
              <w:jc w:val="center"/>
              <w:rPr>
                <w:rFonts w:ascii="宋体"/>
                <w:sz w:val="18"/>
                <w:szCs w:val="18"/>
              </w:rPr>
            </w:pPr>
          </w:p>
        </w:tc>
        <w:tc>
          <w:tcPr>
            <w:tcW w:w="479" w:type="pct"/>
            <w:vMerge w:val="restart"/>
            <w:vAlign w:val="center"/>
          </w:tcPr>
          <w:p>
            <w:pPr>
              <w:pStyle w:val="25"/>
              <w:ind w:firstLine="0" w:firstLineChars="0"/>
              <w:jc w:val="center"/>
              <w:rPr>
                <w:rFonts w:ascii="宋体"/>
                <w:sz w:val="18"/>
                <w:szCs w:val="18"/>
              </w:rPr>
            </w:pPr>
            <w:r>
              <w:rPr>
                <w:rFonts w:ascii="宋体"/>
                <w:sz w:val="18"/>
                <w:szCs w:val="18"/>
              </w:rPr>
              <w:t>选点</w:t>
            </w:r>
          </w:p>
        </w:tc>
        <w:tc>
          <w:tcPr>
            <w:tcW w:w="467" w:type="pct"/>
            <w:vAlign w:val="center"/>
          </w:tcPr>
          <w:p>
            <w:pPr>
              <w:pStyle w:val="25"/>
              <w:ind w:firstLine="0" w:firstLineChars="0"/>
              <w:jc w:val="center"/>
              <w:rPr>
                <w:rFonts w:ascii="宋体"/>
                <w:sz w:val="18"/>
                <w:szCs w:val="18"/>
              </w:rPr>
            </w:pPr>
            <w:r>
              <w:rPr>
                <w:rFonts w:ascii="宋体"/>
                <w:sz w:val="18"/>
                <w:szCs w:val="18"/>
              </w:rPr>
              <w:t>姓名</w:t>
            </w:r>
          </w:p>
        </w:tc>
        <w:tc>
          <w:tcPr>
            <w:tcW w:w="704" w:type="pct"/>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29" w:type="pct"/>
            <w:vMerge w:val="continue"/>
            <w:vAlign w:val="center"/>
          </w:tcPr>
          <w:p>
            <w:pPr>
              <w:pStyle w:val="25"/>
              <w:ind w:firstLine="0" w:firstLineChars="0"/>
              <w:jc w:val="center"/>
              <w:rPr>
                <w:rFonts w:ascii="宋体"/>
                <w:sz w:val="18"/>
                <w:szCs w:val="18"/>
              </w:rPr>
            </w:pPr>
          </w:p>
        </w:tc>
        <w:tc>
          <w:tcPr>
            <w:tcW w:w="2821" w:type="pct"/>
            <w:gridSpan w:val="4"/>
            <w:vMerge w:val="continue"/>
            <w:vAlign w:val="center"/>
          </w:tcPr>
          <w:p>
            <w:pPr>
              <w:pStyle w:val="25"/>
              <w:ind w:firstLine="0" w:firstLineChars="0"/>
              <w:jc w:val="center"/>
              <w:rPr>
                <w:rFonts w:ascii="宋体"/>
                <w:sz w:val="18"/>
                <w:szCs w:val="18"/>
              </w:rPr>
            </w:pPr>
          </w:p>
        </w:tc>
        <w:tc>
          <w:tcPr>
            <w:tcW w:w="479" w:type="pct"/>
            <w:vMerge w:val="continue"/>
            <w:vAlign w:val="center"/>
          </w:tcPr>
          <w:p>
            <w:pPr>
              <w:pStyle w:val="25"/>
              <w:ind w:firstLine="0" w:firstLineChars="0"/>
              <w:jc w:val="center"/>
              <w:rPr>
                <w:rFonts w:ascii="宋体"/>
                <w:sz w:val="18"/>
                <w:szCs w:val="18"/>
              </w:rPr>
            </w:pPr>
          </w:p>
        </w:tc>
        <w:tc>
          <w:tcPr>
            <w:tcW w:w="467" w:type="pct"/>
            <w:vAlign w:val="center"/>
          </w:tcPr>
          <w:p>
            <w:pPr>
              <w:pStyle w:val="25"/>
              <w:ind w:firstLine="0" w:firstLineChars="0"/>
              <w:jc w:val="center"/>
              <w:rPr>
                <w:rFonts w:ascii="宋体"/>
                <w:sz w:val="18"/>
                <w:szCs w:val="18"/>
              </w:rPr>
            </w:pPr>
            <w:r>
              <w:rPr>
                <w:rFonts w:ascii="宋体"/>
                <w:sz w:val="18"/>
                <w:szCs w:val="18"/>
              </w:rPr>
              <w:t>时间</w:t>
            </w:r>
          </w:p>
        </w:tc>
        <w:tc>
          <w:tcPr>
            <w:tcW w:w="704" w:type="pct"/>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529" w:type="pct"/>
            <w:vMerge w:val="continue"/>
            <w:vAlign w:val="center"/>
          </w:tcPr>
          <w:p>
            <w:pPr>
              <w:pStyle w:val="25"/>
              <w:ind w:firstLine="0" w:firstLineChars="0"/>
              <w:jc w:val="center"/>
              <w:rPr>
                <w:rFonts w:ascii="宋体"/>
                <w:sz w:val="18"/>
                <w:szCs w:val="18"/>
              </w:rPr>
            </w:pPr>
          </w:p>
        </w:tc>
        <w:tc>
          <w:tcPr>
            <w:tcW w:w="2821" w:type="pct"/>
            <w:gridSpan w:val="4"/>
            <w:vMerge w:val="continue"/>
            <w:vAlign w:val="center"/>
          </w:tcPr>
          <w:p>
            <w:pPr>
              <w:pStyle w:val="25"/>
              <w:ind w:firstLine="0" w:firstLineChars="0"/>
              <w:jc w:val="center"/>
              <w:rPr>
                <w:rFonts w:ascii="宋体"/>
                <w:sz w:val="18"/>
                <w:szCs w:val="18"/>
              </w:rPr>
            </w:pPr>
          </w:p>
        </w:tc>
        <w:tc>
          <w:tcPr>
            <w:tcW w:w="479" w:type="pct"/>
            <w:vMerge w:val="restart"/>
            <w:vAlign w:val="center"/>
          </w:tcPr>
          <w:p>
            <w:pPr>
              <w:pStyle w:val="25"/>
              <w:ind w:firstLine="0" w:firstLineChars="0"/>
              <w:jc w:val="center"/>
              <w:rPr>
                <w:rFonts w:ascii="宋体"/>
                <w:sz w:val="18"/>
                <w:szCs w:val="18"/>
              </w:rPr>
            </w:pPr>
            <w:r>
              <w:rPr>
                <w:rFonts w:ascii="宋体"/>
                <w:sz w:val="18"/>
                <w:szCs w:val="18"/>
              </w:rPr>
              <w:t>埋标</w:t>
            </w:r>
          </w:p>
        </w:tc>
        <w:tc>
          <w:tcPr>
            <w:tcW w:w="467" w:type="pct"/>
            <w:vAlign w:val="center"/>
          </w:tcPr>
          <w:p>
            <w:pPr>
              <w:pStyle w:val="25"/>
              <w:ind w:firstLine="0" w:firstLineChars="0"/>
              <w:jc w:val="center"/>
              <w:rPr>
                <w:rFonts w:ascii="宋体"/>
                <w:sz w:val="18"/>
                <w:szCs w:val="18"/>
              </w:rPr>
            </w:pPr>
            <w:r>
              <w:rPr>
                <w:rFonts w:ascii="宋体"/>
                <w:sz w:val="18"/>
                <w:szCs w:val="18"/>
              </w:rPr>
              <w:t>姓名</w:t>
            </w:r>
          </w:p>
        </w:tc>
        <w:tc>
          <w:tcPr>
            <w:tcW w:w="704" w:type="pct"/>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29" w:type="pct"/>
            <w:vMerge w:val="continue"/>
            <w:vAlign w:val="center"/>
          </w:tcPr>
          <w:p>
            <w:pPr>
              <w:pStyle w:val="25"/>
              <w:ind w:firstLine="0" w:firstLineChars="0"/>
              <w:jc w:val="center"/>
              <w:rPr>
                <w:rFonts w:ascii="宋体"/>
                <w:sz w:val="18"/>
                <w:szCs w:val="18"/>
              </w:rPr>
            </w:pPr>
          </w:p>
        </w:tc>
        <w:tc>
          <w:tcPr>
            <w:tcW w:w="2821" w:type="pct"/>
            <w:gridSpan w:val="4"/>
            <w:vMerge w:val="continue"/>
            <w:vAlign w:val="center"/>
          </w:tcPr>
          <w:p>
            <w:pPr>
              <w:pStyle w:val="25"/>
              <w:ind w:firstLine="0" w:firstLineChars="0"/>
              <w:jc w:val="center"/>
              <w:rPr>
                <w:rFonts w:ascii="宋体"/>
                <w:sz w:val="18"/>
                <w:szCs w:val="18"/>
              </w:rPr>
            </w:pPr>
          </w:p>
        </w:tc>
        <w:tc>
          <w:tcPr>
            <w:tcW w:w="479" w:type="pct"/>
            <w:vMerge w:val="continue"/>
            <w:vAlign w:val="center"/>
          </w:tcPr>
          <w:p>
            <w:pPr>
              <w:pStyle w:val="25"/>
              <w:ind w:firstLine="0" w:firstLineChars="0"/>
              <w:jc w:val="center"/>
              <w:rPr>
                <w:rFonts w:ascii="宋体"/>
                <w:sz w:val="18"/>
                <w:szCs w:val="18"/>
              </w:rPr>
            </w:pPr>
          </w:p>
        </w:tc>
        <w:tc>
          <w:tcPr>
            <w:tcW w:w="467" w:type="pct"/>
            <w:vAlign w:val="center"/>
          </w:tcPr>
          <w:p>
            <w:pPr>
              <w:pStyle w:val="25"/>
              <w:ind w:firstLine="0" w:firstLineChars="0"/>
              <w:jc w:val="center"/>
              <w:rPr>
                <w:rFonts w:ascii="宋体"/>
                <w:sz w:val="18"/>
                <w:szCs w:val="18"/>
              </w:rPr>
            </w:pPr>
            <w:r>
              <w:rPr>
                <w:rFonts w:ascii="宋体"/>
                <w:sz w:val="18"/>
                <w:szCs w:val="18"/>
              </w:rPr>
              <w:t>时间</w:t>
            </w:r>
          </w:p>
        </w:tc>
        <w:tc>
          <w:tcPr>
            <w:tcW w:w="704" w:type="pct"/>
            <w:vAlign w:val="center"/>
          </w:tcPr>
          <w:p>
            <w:pPr>
              <w:pStyle w:val="25"/>
              <w:ind w:firstLine="0" w:firstLineChars="0"/>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529" w:type="pct"/>
            <w:vAlign w:val="center"/>
          </w:tcPr>
          <w:p>
            <w:pPr>
              <w:pStyle w:val="25"/>
              <w:ind w:firstLine="0" w:firstLineChars="0"/>
              <w:jc w:val="center"/>
              <w:rPr>
                <w:rFonts w:ascii="宋体"/>
                <w:sz w:val="18"/>
                <w:szCs w:val="18"/>
              </w:rPr>
            </w:pPr>
            <w:r>
              <w:rPr>
                <w:rFonts w:ascii="宋体"/>
                <w:sz w:val="18"/>
                <w:szCs w:val="18"/>
              </w:rPr>
              <w:t>附注</w:t>
            </w:r>
          </w:p>
        </w:tc>
        <w:tc>
          <w:tcPr>
            <w:tcW w:w="4471" w:type="pct"/>
            <w:gridSpan w:val="7"/>
            <w:vAlign w:val="center"/>
          </w:tcPr>
          <w:p>
            <w:pPr>
              <w:pStyle w:val="25"/>
              <w:ind w:firstLine="0" w:firstLineChars="0"/>
              <w:jc w:val="center"/>
              <w:rPr>
                <w:rFonts w:ascii="宋体"/>
                <w:sz w:val="18"/>
                <w:szCs w:val="18"/>
              </w:rPr>
            </w:pPr>
            <w:r>
              <w:rPr>
                <w:rFonts w:ascii="宋体"/>
                <w:sz w:val="18"/>
                <w:szCs w:val="18"/>
              </w:rPr>
              <w:t>说明是否选在旧点上，原点为何机关所设，是否需要重新埋石。</w:t>
            </w:r>
          </w:p>
        </w:tc>
      </w:tr>
    </w:tbl>
    <w:p>
      <w:pPr>
        <w:pStyle w:val="25"/>
        <w:ind w:firstLine="420"/>
      </w:pPr>
    </w:p>
    <w:p>
      <w:pPr>
        <w:widowControl/>
        <w:jc w:val="left"/>
        <w:rPr>
          <w:rFonts w:eastAsia="黑体"/>
          <w:kern w:val="21"/>
          <w:szCs w:val="20"/>
        </w:rPr>
      </w:pPr>
      <w:bookmarkStart w:id="134" w:name="_Toc26803"/>
      <w:r>
        <w:br w:type="page"/>
      </w:r>
    </w:p>
    <w:p>
      <w:pPr>
        <w:pStyle w:val="106"/>
      </w:pPr>
      <w:bookmarkStart w:id="135" w:name="_Toc162597512"/>
      <w:r>
        <w:t>D.2 GNSS控制点点之记绘制</w:t>
      </w:r>
      <w:bookmarkEnd w:id="134"/>
      <w:bookmarkEnd w:id="135"/>
    </w:p>
    <w:p>
      <w:pPr>
        <w:pStyle w:val="25"/>
        <w:ind w:firstLine="420"/>
      </w:pPr>
      <w:r>
        <w:t>每个 GNSS 控制点绘制一页点之记，GNSS 控制点点之记格式如表D.2所示。</w:t>
      </w:r>
    </w:p>
    <w:p>
      <w:pPr>
        <w:pStyle w:val="91"/>
      </w:pPr>
      <w:r>
        <w:t>表D.2  GNSS控制点点之记（平面控制点）</w:t>
      </w:r>
    </w:p>
    <w:p>
      <w:pPr>
        <w:pStyle w:val="25"/>
        <w:ind w:firstLine="0" w:firstLineChars="0"/>
        <w:rPr>
          <w:sz w:val="18"/>
          <w:szCs w:val="18"/>
        </w:rPr>
      </w:pPr>
      <w:r>
        <w:rPr>
          <w:sz w:val="18"/>
          <w:szCs w:val="18"/>
        </w:rPr>
        <w:t>网名：                                                                  填表日期：           年   月   日</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2"/>
        <w:gridCol w:w="4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44" w:type="dxa"/>
            <w:gridSpan w:val="2"/>
            <w:vAlign w:val="center"/>
          </w:tcPr>
          <w:p>
            <w:pPr>
              <w:pStyle w:val="25"/>
              <w:ind w:firstLine="0" w:firstLineChars="0"/>
              <w:jc w:val="left"/>
              <w:rPr>
                <w:rFonts w:ascii="宋体"/>
                <w:sz w:val="18"/>
                <w:szCs w:val="18"/>
              </w:rPr>
            </w:pPr>
            <w:r>
              <w:rPr>
                <w:rFonts w:ascii="宋体"/>
                <w:sz w:val="18"/>
                <w:szCs w:val="18"/>
              </w:rPr>
              <w:t xml:space="preserve">点名：               点号：                 等级：                  图幅号：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44" w:type="dxa"/>
            <w:gridSpan w:val="2"/>
            <w:vAlign w:val="center"/>
          </w:tcPr>
          <w:p>
            <w:pPr>
              <w:pStyle w:val="25"/>
              <w:ind w:firstLine="0" w:firstLineChars="0"/>
              <w:jc w:val="left"/>
              <w:rPr>
                <w:rFonts w:ascii="宋体"/>
                <w:sz w:val="18"/>
                <w:szCs w:val="18"/>
              </w:rPr>
            </w:pPr>
            <w:r>
              <w:rPr>
                <w:rFonts w:ascii="宋体"/>
                <w:sz w:val="18"/>
                <w:szCs w:val="18"/>
              </w:rPr>
              <w:t>概略位置：</w:t>
            </w:r>
            <w:r>
              <w:rPr>
                <w:rFonts w:ascii="宋体"/>
                <w:i/>
                <w:iCs/>
                <w:sz w:val="18"/>
                <w:szCs w:val="18"/>
              </w:rPr>
              <w:t>B</w:t>
            </w:r>
            <w:r>
              <w:rPr>
                <w:rFonts w:ascii="宋体"/>
                <w:sz w:val="18"/>
                <w:szCs w:val="18"/>
              </w:rPr>
              <w:t xml:space="preserve">=                              </w:t>
            </w:r>
            <w:r>
              <w:rPr>
                <w:rFonts w:ascii="宋体"/>
                <w:i/>
                <w:iCs/>
                <w:sz w:val="18"/>
                <w:szCs w:val="18"/>
              </w:rPr>
              <w:t>L</w:t>
            </w:r>
            <w:r>
              <w:rPr>
                <w:rFonts w:ascii="宋体"/>
                <w:sz w:val="18"/>
                <w:szCs w:val="18"/>
              </w:rPr>
              <w:t xml:space="preserve">=                             </w:t>
            </w:r>
            <w:r>
              <w:rPr>
                <w:rFonts w:ascii="宋体"/>
                <w:i/>
                <w:iCs/>
                <w:sz w:val="18"/>
                <w:szCs w:val="18"/>
              </w:rPr>
              <w:t>H</w:t>
            </w:r>
            <w:r>
              <w:rPr>
                <w:rFonts w:ascii="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72" w:type="dxa"/>
            <w:vAlign w:val="center"/>
          </w:tcPr>
          <w:p>
            <w:pPr>
              <w:pStyle w:val="25"/>
              <w:ind w:firstLine="0" w:firstLineChars="0"/>
              <w:jc w:val="left"/>
              <w:rPr>
                <w:rFonts w:ascii="宋体"/>
                <w:sz w:val="18"/>
                <w:szCs w:val="18"/>
              </w:rPr>
            </w:pPr>
            <w:r>
              <w:rPr>
                <w:rFonts w:ascii="宋体"/>
                <w:sz w:val="18"/>
                <w:szCs w:val="18"/>
              </w:rPr>
              <w:t>所在地区：</w:t>
            </w:r>
          </w:p>
        </w:tc>
        <w:tc>
          <w:tcPr>
            <w:tcW w:w="4672" w:type="dxa"/>
            <w:vAlign w:val="center"/>
          </w:tcPr>
          <w:p>
            <w:pPr>
              <w:pStyle w:val="25"/>
              <w:ind w:firstLine="0" w:firstLineChars="0"/>
              <w:jc w:val="left"/>
              <w:rPr>
                <w:rFonts w:ascii="宋体"/>
                <w:sz w:val="18"/>
                <w:szCs w:val="18"/>
              </w:rPr>
            </w:pPr>
            <w:r>
              <w:rPr>
                <w:rFonts w:ascii="宋体"/>
                <w:sz w:val="18"/>
                <w:szCs w:val="18"/>
              </w:rPr>
              <w:t>委托保管人：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72" w:type="dxa"/>
            <w:vAlign w:val="center"/>
          </w:tcPr>
          <w:p>
            <w:pPr>
              <w:pStyle w:val="25"/>
              <w:ind w:firstLine="0" w:firstLineChars="0"/>
              <w:jc w:val="left"/>
              <w:rPr>
                <w:rFonts w:ascii="宋体"/>
                <w:sz w:val="18"/>
                <w:szCs w:val="18"/>
              </w:rPr>
            </w:pPr>
            <w:r>
              <w:rPr>
                <w:rFonts w:ascii="宋体"/>
                <w:sz w:val="18"/>
                <w:szCs w:val="18"/>
              </w:rPr>
              <w:t>最近住所：</w:t>
            </w:r>
          </w:p>
        </w:tc>
        <w:tc>
          <w:tcPr>
            <w:tcW w:w="4672" w:type="dxa"/>
            <w:vAlign w:val="center"/>
          </w:tcPr>
          <w:p>
            <w:pPr>
              <w:pStyle w:val="25"/>
              <w:ind w:firstLine="0" w:firstLineChars="0"/>
              <w:jc w:val="left"/>
              <w:rPr>
                <w:rFonts w:ascii="宋体"/>
                <w:sz w:val="18"/>
                <w:szCs w:val="18"/>
              </w:rPr>
            </w:pPr>
            <w:r>
              <w:rPr>
                <w:rFonts w:ascii="宋体"/>
                <w:sz w:val="18"/>
                <w:szCs w:val="18"/>
              </w:rPr>
              <w:t>通信设施：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72" w:type="dxa"/>
            <w:vAlign w:val="center"/>
          </w:tcPr>
          <w:p>
            <w:pPr>
              <w:pStyle w:val="25"/>
              <w:ind w:firstLine="0" w:firstLineChars="0"/>
              <w:jc w:val="left"/>
              <w:rPr>
                <w:rFonts w:ascii="宋体"/>
                <w:sz w:val="18"/>
                <w:szCs w:val="18"/>
              </w:rPr>
            </w:pPr>
            <w:r>
              <w:rPr>
                <w:rFonts w:ascii="宋体"/>
                <w:sz w:val="18"/>
                <w:szCs w:val="18"/>
              </w:rPr>
              <w:t>最近水源：</w:t>
            </w:r>
          </w:p>
        </w:tc>
        <w:tc>
          <w:tcPr>
            <w:tcW w:w="4672" w:type="dxa"/>
            <w:vAlign w:val="center"/>
          </w:tcPr>
          <w:p>
            <w:pPr>
              <w:pStyle w:val="25"/>
              <w:ind w:firstLine="0" w:firstLineChars="0"/>
              <w:jc w:val="left"/>
              <w:rPr>
                <w:rFonts w:ascii="宋体"/>
                <w:sz w:val="18"/>
                <w:szCs w:val="18"/>
              </w:rPr>
            </w:pPr>
            <w:r>
              <w:rPr>
                <w:rFonts w:ascii="宋体"/>
                <w:sz w:val="18"/>
                <w:szCs w:val="18"/>
              </w:rPr>
              <w:t>电源情况：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72" w:type="dxa"/>
            <w:vAlign w:val="center"/>
          </w:tcPr>
          <w:p>
            <w:pPr>
              <w:pStyle w:val="25"/>
              <w:ind w:firstLine="0" w:firstLineChars="0"/>
              <w:jc w:val="left"/>
              <w:rPr>
                <w:rFonts w:ascii="宋体"/>
                <w:sz w:val="18"/>
                <w:szCs w:val="18"/>
              </w:rPr>
            </w:pPr>
            <w:r>
              <w:rPr>
                <w:rFonts w:ascii="宋体"/>
                <w:sz w:val="18"/>
                <w:szCs w:val="18"/>
              </w:rPr>
              <w:t>地类：</w:t>
            </w:r>
          </w:p>
        </w:tc>
        <w:tc>
          <w:tcPr>
            <w:tcW w:w="4672" w:type="dxa"/>
            <w:vAlign w:val="center"/>
          </w:tcPr>
          <w:p>
            <w:pPr>
              <w:pStyle w:val="25"/>
              <w:ind w:firstLine="0" w:firstLineChars="0"/>
              <w:jc w:val="left"/>
              <w:rPr>
                <w:rFonts w:ascii="宋体"/>
                <w:sz w:val="18"/>
                <w:szCs w:val="18"/>
              </w:rPr>
            </w:pPr>
            <w:r>
              <w:rPr>
                <w:rFonts w:ascii="宋体"/>
                <w:sz w:val="18"/>
                <w:szCs w:val="18"/>
              </w:rPr>
              <w:t>石子来源：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1" w:hRule="atLeast"/>
        </w:trPr>
        <w:tc>
          <w:tcPr>
            <w:tcW w:w="4672" w:type="dxa"/>
          </w:tcPr>
          <w:p>
            <w:pPr>
              <w:pStyle w:val="25"/>
              <w:ind w:firstLine="0" w:firstLineChars="0"/>
              <w:jc w:val="left"/>
              <w:rPr>
                <w:rFonts w:ascii="宋体"/>
                <w:sz w:val="18"/>
                <w:szCs w:val="18"/>
              </w:rPr>
            </w:pPr>
            <w:r>
              <w:rPr>
                <w:rFonts w:ascii="宋体"/>
                <w:sz w:val="18"/>
                <w:szCs w:val="18"/>
              </w:rPr>
              <w:t>交通线路图</w:t>
            </w:r>
          </w:p>
        </w:tc>
        <w:tc>
          <w:tcPr>
            <w:tcW w:w="4672" w:type="dxa"/>
          </w:tcPr>
          <w:p>
            <w:pPr>
              <w:pStyle w:val="25"/>
              <w:ind w:firstLine="0" w:firstLineChars="0"/>
              <w:jc w:val="left"/>
              <w:rPr>
                <w:rFonts w:ascii="宋体"/>
                <w:sz w:val="18"/>
                <w:szCs w:val="18"/>
              </w:rPr>
            </w:pPr>
            <w:r>
              <w:rPr>
                <w:rFonts w:ascii="宋体"/>
                <w:sz w:val="18"/>
                <w:szCs w:val="18"/>
              </w:rPr>
              <w:t>本点交通情况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3" w:hRule="atLeast"/>
        </w:trPr>
        <w:tc>
          <w:tcPr>
            <w:tcW w:w="4672" w:type="dxa"/>
          </w:tcPr>
          <w:p>
            <w:pPr>
              <w:pStyle w:val="25"/>
              <w:ind w:firstLine="0" w:firstLineChars="0"/>
              <w:jc w:val="left"/>
              <w:rPr>
                <w:rFonts w:ascii="宋体"/>
                <w:sz w:val="18"/>
                <w:szCs w:val="18"/>
              </w:rPr>
            </w:pPr>
            <w:r>
              <w:rPr>
                <w:rFonts w:ascii="宋体"/>
                <w:sz w:val="18"/>
                <w:szCs w:val="18"/>
              </w:rPr>
              <w:t>点位略图</w:t>
            </w:r>
          </w:p>
        </w:tc>
        <w:tc>
          <w:tcPr>
            <w:tcW w:w="4672" w:type="dxa"/>
          </w:tcPr>
          <w:p>
            <w:pPr>
              <w:pStyle w:val="25"/>
              <w:ind w:firstLine="0" w:firstLineChars="0"/>
              <w:jc w:val="left"/>
              <w:rPr>
                <w:rFonts w:ascii="宋体"/>
                <w:sz w:val="18"/>
                <w:szCs w:val="18"/>
              </w:rPr>
            </w:pPr>
            <w:r>
              <w:rPr>
                <w:rFonts w:ascii="宋体"/>
                <w:sz w:val="18"/>
                <w:szCs w:val="18"/>
              </w:rPr>
              <w:t>点位说明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672" w:type="dxa"/>
            <w:vMerge w:val="restart"/>
          </w:tcPr>
          <w:p>
            <w:pPr>
              <w:pStyle w:val="25"/>
              <w:ind w:firstLine="0" w:firstLineChars="0"/>
              <w:jc w:val="left"/>
              <w:rPr>
                <w:rFonts w:ascii="宋体"/>
                <w:sz w:val="18"/>
                <w:szCs w:val="18"/>
              </w:rPr>
            </w:pPr>
            <w:r>
              <w:rPr>
                <w:rFonts w:ascii="宋体"/>
                <w:sz w:val="18"/>
                <w:szCs w:val="18"/>
              </w:rPr>
              <w:t>埋石断面图</w:t>
            </w:r>
          </w:p>
        </w:tc>
        <w:tc>
          <w:tcPr>
            <w:tcW w:w="4672" w:type="dxa"/>
            <w:vAlign w:val="center"/>
          </w:tcPr>
          <w:p>
            <w:pPr>
              <w:pStyle w:val="25"/>
              <w:ind w:firstLine="0" w:firstLineChars="0"/>
              <w:jc w:val="left"/>
              <w:rPr>
                <w:rFonts w:ascii="宋体"/>
                <w:sz w:val="18"/>
                <w:szCs w:val="18"/>
              </w:rPr>
            </w:pPr>
            <w:r>
              <w:rPr>
                <w:rFonts w:ascii="宋体"/>
                <w:sz w:val="18"/>
                <w:szCs w:val="18"/>
              </w:rPr>
              <w:t>接收机天线计划安排位置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trPr>
        <w:tc>
          <w:tcPr>
            <w:tcW w:w="4672" w:type="dxa"/>
            <w:vMerge w:val="continue"/>
            <w:vAlign w:val="center"/>
          </w:tcPr>
          <w:p>
            <w:pPr>
              <w:pStyle w:val="25"/>
              <w:ind w:firstLine="0" w:firstLineChars="0"/>
              <w:jc w:val="left"/>
              <w:rPr>
                <w:rFonts w:ascii="宋体"/>
                <w:sz w:val="18"/>
                <w:szCs w:val="18"/>
              </w:rPr>
            </w:pPr>
          </w:p>
        </w:tc>
        <w:tc>
          <w:tcPr>
            <w:tcW w:w="4672" w:type="dxa"/>
            <w:vAlign w:val="center"/>
          </w:tcPr>
          <w:p>
            <w:pPr>
              <w:pStyle w:val="25"/>
              <w:ind w:firstLine="0" w:firstLineChars="0"/>
              <w:jc w:val="left"/>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9344" w:type="dxa"/>
            <w:gridSpan w:val="2"/>
            <w:vAlign w:val="center"/>
          </w:tcPr>
          <w:p>
            <w:pPr>
              <w:pStyle w:val="25"/>
              <w:ind w:firstLine="0" w:firstLineChars="0"/>
              <w:jc w:val="left"/>
              <w:rPr>
                <w:rFonts w:ascii="宋体"/>
                <w:sz w:val="18"/>
                <w:szCs w:val="18"/>
              </w:rPr>
            </w:pPr>
            <w:r>
              <w:rPr>
                <w:rFonts w:ascii="宋体"/>
                <w:sz w:val="18"/>
                <w:szCs w:val="18"/>
              </w:rPr>
              <w:t>选埋单位：                                  选点者：                               埋石者：</w:t>
            </w:r>
          </w:p>
        </w:tc>
      </w:tr>
    </w:tbl>
    <w:p>
      <w:pPr>
        <w:pStyle w:val="91"/>
      </w:pPr>
    </w:p>
    <w:p>
      <w:pPr>
        <w:widowControl/>
        <w:jc w:val="left"/>
        <w:rPr>
          <w:rFonts w:eastAsia="黑体"/>
          <w:szCs w:val="21"/>
        </w:rPr>
      </w:pPr>
      <w:r>
        <w:br w:type="page"/>
      </w:r>
    </w:p>
    <w:p>
      <w:pPr>
        <w:pStyle w:val="88"/>
      </w:pPr>
      <w:bookmarkStart w:id="136" w:name="_Toc162597513"/>
      <w:bookmarkEnd w:id="136"/>
    </w:p>
    <w:p>
      <w:pPr>
        <w:pStyle w:val="25"/>
        <w:ind w:firstLine="0" w:firstLineChars="0"/>
        <w:jc w:val="center"/>
        <w:rPr>
          <w:rFonts w:eastAsia="黑体"/>
        </w:rPr>
      </w:pPr>
      <w:r>
        <w:rPr>
          <w:rFonts w:eastAsia="黑体"/>
        </w:rPr>
        <w:t>（资料性）</w:t>
      </w:r>
    </w:p>
    <w:p>
      <w:pPr>
        <w:pStyle w:val="106"/>
      </w:pPr>
      <w:bookmarkStart w:id="137" w:name="_Toc162597514"/>
      <w:r>
        <w:t>E.1 单波束测深现场记录表</w:t>
      </w:r>
      <w:bookmarkEnd w:id="137"/>
    </w:p>
    <w:p>
      <w:pPr>
        <w:pStyle w:val="91"/>
      </w:pPr>
      <w:r>
        <w:t>表E.1  单波束测深现场记录表</w:t>
      </w:r>
    </w:p>
    <w:tbl>
      <w:tblPr>
        <w:tblStyle w:val="3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39"/>
        <w:gridCol w:w="1145"/>
        <w:gridCol w:w="3106"/>
        <w:gridCol w:w="1472"/>
        <w:gridCol w:w="27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95" w:type="pct"/>
            <w:vAlign w:val="center"/>
          </w:tcPr>
          <w:p>
            <w:pPr>
              <w:jc w:val="center"/>
              <w:rPr>
                <w:rFonts w:ascii="宋体"/>
                <w:sz w:val="18"/>
                <w:szCs w:val="18"/>
              </w:rPr>
            </w:pPr>
            <w:r>
              <w:rPr>
                <w:rFonts w:ascii="宋体"/>
                <w:sz w:val="18"/>
                <w:szCs w:val="18"/>
              </w:rPr>
              <w:t>项目名称</w:t>
            </w:r>
          </w:p>
        </w:tc>
        <w:tc>
          <w:tcPr>
            <w:tcW w:w="598" w:type="pct"/>
            <w:vAlign w:val="center"/>
          </w:tcPr>
          <w:p>
            <w:pPr>
              <w:jc w:val="center"/>
              <w:rPr>
                <w:rFonts w:ascii="宋体"/>
                <w:sz w:val="18"/>
                <w:szCs w:val="18"/>
              </w:rPr>
            </w:pP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r>
              <w:rPr>
                <w:rFonts w:ascii="宋体"/>
                <w:sz w:val="18"/>
                <w:szCs w:val="18"/>
              </w:rPr>
              <w:t>测量日期</w:t>
            </w: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4" w:hRule="atLeast"/>
        </w:trPr>
        <w:tc>
          <w:tcPr>
            <w:tcW w:w="595" w:type="pct"/>
            <w:vMerge w:val="restart"/>
            <w:vAlign w:val="center"/>
          </w:tcPr>
          <w:p>
            <w:pPr>
              <w:jc w:val="center"/>
              <w:rPr>
                <w:rFonts w:ascii="宋体"/>
                <w:sz w:val="18"/>
                <w:szCs w:val="18"/>
              </w:rPr>
            </w:pPr>
            <w:r>
              <w:rPr>
                <w:rFonts w:ascii="宋体"/>
                <w:sz w:val="18"/>
                <w:szCs w:val="18"/>
              </w:rPr>
              <w:t>测船</w:t>
            </w:r>
          </w:p>
        </w:tc>
        <w:tc>
          <w:tcPr>
            <w:tcW w:w="598" w:type="pct"/>
            <w:vMerge w:val="restart"/>
            <w:vAlign w:val="center"/>
          </w:tcPr>
          <w:p>
            <w:pPr>
              <w:jc w:val="center"/>
              <w:rPr>
                <w:rFonts w:ascii="宋体"/>
                <w:sz w:val="18"/>
                <w:szCs w:val="18"/>
              </w:rPr>
            </w:pPr>
            <w:r>
              <w:rPr>
                <w:rFonts w:ascii="宋体"/>
                <w:sz w:val="18"/>
                <w:szCs w:val="18"/>
              </w:rPr>
              <w:t>船名</w:t>
            </w:r>
          </w:p>
        </w:tc>
        <w:tc>
          <w:tcPr>
            <w:tcW w:w="1623" w:type="pct"/>
            <w:vMerge w:val="restart"/>
            <w:vAlign w:val="center"/>
          </w:tcPr>
          <w:p>
            <w:pPr>
              <w:jc w:val="center"/>
              <w:rPr>
                <w:rFonts w:ascii="宋体"/>
                <w:sz w:val="18"/>
                <w:szCs w:val="18"/>
              </w:rPr>
            </w:pPr>
          </w:p>
        </w:tc>
        <w:tc>
          <w:tcPr>
            <w:tcW w:w="769" w:type="pct"/>
            <w:vMerge w:val="restart"/>
            <w:vAlign w:val="center"/>
          </w:tcPr>
          <w:p>
            <w:pPr>
              <w:jc w:val="center"/>
              <w:rPr>
                <w:rFonts w:ascii="宋体"/>
                <w:sz w:val="18"/>
                <w:szCs w:val="18"/>
              </w:rPr>
            </w:pPr>
            <w:r>
              <w:rPr>
                <w:rFonts w:ascii="宋体"/>
                <w:sz w:val="18"/>
                <w:szCs w:val="18"/>
              </w:rPr>
              <w:t>测量员</w:t>
            </w: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trPr>
        <w:tc>
          <w:tcPr>
            <w:tcW w:w="595" w:type="pct"/>
            <w:vMerge w:val="continue"/>
            <w:vAlign w:val="center"/>
          </w:tcPr>
          <w:p>
            <w:pPr>
              <w:jc w:val="center"/>
              <w:rPr>
                <w:rFonts w:ascii="宋体"/>
                <w:sz w:val="18"/>
                <w:szCs w:val="18"/>
              </w:rPr>
            </w:pPr>
          </w:p>
        </w:tc>
        <w:tc>
          <w:tcPr>
            <w:tcW w:w="598" w:type="pct"/>
            <w:vMerge w:val="continue"/>
            <w:vAlign w:val="center"/>
          </w:tcPr>
          <w:p>
            <w:pPr>
              <w:jc w:val="center"/>
              <w:rPr>
                <w:rFonts w:ascii="宋体"/>
                <w:sz w:val="18"/>
                <w:szCs w:val="18"/>
              </w:rPr>
            </w:pPr>
          </w:p>
        </w:tc>
        <w:tc>
          <w:tcPr>
            <w:tcW w:w="1623" w:type="pct"/>
            <w:vMerge w:val="continue"/>
            <w:vAlign w:val="center"/>
          </w:tcPr>
          <w:p>
            <w:pPr>
              <w:jc w:val="center"/>
              <w:rPr>
                <w:rFonts w:ascii="宋体"/>
                <w:sz w:val="18"/>
                <w:szCs w:val="18"/>
              </w:rPr>
            </w:pPr>
          </w:p>
        </w:tc>
        <w:tc>
          <w:tcPr>
            <w:tcW w:w="769" w:type="pct"/>
            <w:vMerge w:val="continue"/>
            <w:vAlign w:val="center"/>
          </w:tcPr>
          <w:p>
            <w:pPr>
              <w:jc w:val="center"/>
              <w:rPr>
                <w:rFonts w:ascii="宋体"/>
                <w:sz w:val="18"/>
                <w:szCs w:val="18"/>
              </w:rPr>
            </w:pP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2" w:hRule="atLeast"/>
        </w:trPr>
        <w:tc>
          <w:tcPr>
            <w:tcW w:w="595" w:type="pct"/>
            <w:vMerge w:val="restart"/>
            <w:vAlign w:val="center"/>
          </w:tcPr>
          <w:p>
            <w:pPr>
              <w:jc w:val="center"/>
              <w:rPr>
                <w:rFonts w:ascii="宋体"/>
                <w:sz w:val="18"/>
                <w:szCs w:val="18"/>
              </w:rPr>
            </w:pPr>
            <w:r>
              <w:rPr>
                <w:rFonts w:ascii="宋体"/>
                <w:sz w:val="18"/>
                <w:szCs w:val="18"/>
              </w:rPr>
              <w:t>测量设备</w:t>
            </w:r>
          </w:p>
        </w:tc>
        <w:tc>
          <w:tcPr>
            <w:tcW w:w="598" w:type="pct"/>
            <w:vAlign w:val="center"/>
          </w:tcPr>
          <w:p>
            <w:pPr>
              <w:jc w:val="center"/>
              <w:rPr>
                <w:rFonts w:ascii="宋体"/>
                <w:sz w:val="18"/>
                <w:szCs w:val="18"/>
              </w:rPr>
            </w:pPr>
            <w:r>
              <w:rPr>
                <w:rFonts w:ascii="宋体"/>
                <w:sz w:val="18"/>
                <w:szCs w:val="18"/>
              </w:rPr>
              <w:t>定位仪型号、编号</w:t>
            </w: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r>
              <w:rPr>
                <w:rFonts w:ascii="宋体"/>
                <w:sz w:val="18"/>
                <w:szCs w:val="18"/>
              </w:rPr>
              <w:t>测深仪型号、编号</w:t>
            </w: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2" w:hRule="atLeast"/>
        </w:trPr>
        <w:tc>
          <w:tcPr>
            <w:tcW w:w="595" w:type="pct"/>
            <w:vMerge w:val="continue"/>
            <w:vAlign w:val="center"/>
          </w:tcPr>
          <w:p>
            <w:pPr>
              <w:jc w:val="center"/>
              <w:rPr>
                <w:rFonts w:ascii="宋体"/>
                <w:sz w:val="18"/>
                <w:szCs w:val="18"/>
              </w:rPr>
            </w:pPr>
          </w:p>
        </w:tc>
        <w:tc>
          <w:tcPr>
            <w:tcW w:w="598" w:type="pct"/>
            <w:vAlign w:val="center"/>
          </w:tcPr>
          <w:p>
            <w:pPr>
              <w:jc w:val="center"/>
              <w:rPr>
                <w:rFonts w:ascii="宋体"/>
                <w:sz w:val="18"/>
                <w:szCs w:val="18"/>
              </w:rPr>
            </w:pPr>
            <w:r>
              <w:rPr>
                <w:rFonts w:ascii="宋体"/>
                <w:sz w:val="18"/>
                <w:szCs w:val="18"/>
              </w:rPr>
              <w:t>声速仪型号、编号</w:t>
            </w: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0" w:hRule="atLeast"/>
        </w:trPr>
        <w:tc>
          <w:tcPr>
            <w:tcW w:w="595" w:type="pct"/>
            <w:vAlign w:val="center"/>
          </w:tcPr>
          <w:p>
            <w:pPr>
              <w:jc w:val="center"/>
              <w:rPr>
                <w:rFonts w:ascii="宋体"/>
                <w:sz w:val="18"/>
                <w:szCs w:val="18"/>
              </w:rPr>
            </w:pPr>
            <w:r>
              <w:rPr>
                <w:rFonts w:ascii="宋体"/>
                <w:sz w:val="18"/>
                <w:szCs w:val="18"/>
              </w:rPr>
              <w:t>比测</w:t>
            </w:r>
          </w:p>
        </w:tc>
        <w:tc>
          <w:tcPr>
            <w:tcW w:w="598" w:type="pct"/>
            <w:vAlign w:val="center"/>
          </w:tcPr>
          <w:p>
            <w:pPr>
              <w:jc w:val="center"/>
              <w:rPr>
                <w:rFonts w:ascii="宋体"/>
                <w:sz w:val="18"/>
                <w:szCs w:val="18"/>
              </w:rPr>
            </w:pPr>
            <w:r>
              <w:rPr>
                <w:rFonts w:ascii="宋体"/>
                <w:sz w:val="18"/>
                <w:szCs w:val="18"/>
              </w:rPr>
              <w:t>水深比测（m）</w:t>
            </w:r>
          </w:p>
        </w:tc>
        <w:tc>
          <w:tcPr>
            <w:tcW w:w="3807" w:type="pct"/>
            <w:gridSpan w:val="3"/>
            <w:vAlign w:val="center"/>
          </w:tcPr>
          <w:p>
            <w:pPr>
              <w:rPr>
                <w:rFonts w:ascii="宋体"/>
                <w:sz w:val="18"/>
                <w:szCs w:val="18"/>
              </w:rPr>
            </w:pPr>
            <w:r>
              <w:rPr>
                <w:rFonts w:ascii="宋体"/>
                <w:sz w:val="18"/>
                <w:szCs w:val="18"/>
              </w:rPr>
              <w:t>仪器：</w:t>
            </w:r>
          </w:p>
          <w:p>
            <w:pPr>
              <w:rPr>
                <w:rFonts w:ascii="宋体"/>
                <w:sz w:val="18"/>
                <w:szCs w:val="18"/>
              </w:rPr>
            </w:pPr>
            <w:r>
              <w:rPr>
                <w:rFonts w:ascii="宋体"/>
                <w:sz w:val="18"/>
                <w:szCs w:val="18"/>
              </w:rPr>
              <w:t>比测板：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1" w:hRule="atLeast"/>
        </w:trPr>
        <w:tc>
          <w:tcPr>
            <w:tcW w:w="595" w:type="pct"/>
            <w:vMerge w:val="restart"/>
            <w:vAlign w:val="center"/>
          </w:tcPr>
          <w:p>
            <w:pPr>
              <w:jc w:val="center"/>
              <w:rPr>
                <w:rFonts w:ascii="宋体"/>
                <w:sz w:val="18"/>
                <w:szCs w:val="18"/>
              </w:rPr>
            </w:pPr>
            <w:r>
              <w:rPr>
                <w:rFonts w:ascii="宋体"/>
                <w:sz w:val="18"/>
                <w:szCs w:val="18"/>
              </w:rPr>
              <w:t>仪</w:t>
            </w:r>
          </w:p>
          <w:p>
            <w:pPr>
              <w:jc w:val="center"/>
              <w:rPr>
                <w:rFonts w:ascii="宋体"/>
                <w:sz w:val="18"/>
                <w:szCs w:val="18"/>
              </w:rPr>
            </w:pPr>
            <w:r>
              <w:rPr>
                <w:rFonts w:ascii="宋体"/>
                <w:sz w:val="18"/>
                <w:szCs w:val="18"/>
              </w:rPr>
              <w:t>器</w:t>
            </w:r>
          </w:p>
          <w:p>
            <w:pPr>
              <w:jc w:val="center"/>
              <w:rPr>
                <w:rFonts w:ascii="宋体"/>
                <w:sz w:val="18"/>
                <w:szCs w:val="18"/>
              </w:rPr>
            </w:pPr>
            <w:r>
              <w:rPr>
                <w:rFonts w:ascii="宋体"/>
                <w:sz w:val="18"/>
                <w:szCs w:val="18"/>
              </w:rPr>
              <w:t>安</w:t>
            </w:r>
          </w:p>
          <w:p>
            <w:pPr>
              <w:jc w:val="center"/>
              <w:rPr>
                <w:rFonts w:ascii="宋体"/>
                <w:sz w:val="18"/>
                <w:szCs w:val="18"/>
              </w:rPr>
            </w:pPr>
            <w:r>
              <w:rPr>
                <w:rFonts w:ascii="宋体"/>
                <w:sz w:val="18"/>
                <w:szCs w:val="18"/>
              </w:rPr>
              <w:t>装</w:t>
            </w:r>
          </w:p>
        </w:tc>
        <w:tc>
          <w:tcPr>
            <w:tcW w:w="2221" w:type="pct"/>
            <w:gridSpan w:val="2"/>
            <w:vAlign w:val="center"/>
          </w:tcPr>
          <w:p>
            <w:pPr>
              <w:jc w:val="center"/>
              <w:rPr>
                <w:rFonts w:ascii="宋体"/>
                <w:sz w:val="18"/>
                <w:szCs w:val="18"/>
              </w:rPr>
            </w:pPr>
            <w:r>
              <w:rPr>
                <w:rFonts w:ascii="宋体"/>
                <w:sz w:val="18"/>
                <w:szCs w:val="18"/>
              </w:rPr>
              <w:t>测深仪</w:t>
            </w:r>
          </w:p>
        </w:tc>
        <w:tc>
          <w:tcPr>
            <w:tcW w:w="2184" w:type="pct"/>
            <w:gridSpan w:val="2"/>
            <w:vAlign w:val="center"/>
          </w:tcPr>
          <w:p>
            <w:pPr>
              <w:jc w:val="center"/>
              <w:rPr>
                <w:rFonts w:ascii="宋体"/>
                <w:sz w:val="18"/>
                <w:szCs w:val="18"/>
              </w:rPr>
            </w:pPr>
            <w:r>
              <w:rPr>
                <w:rFonts w:ascii="宋体"/>
                <w:sz w:val="18"/>
                <w:szCs w:val="18"/>
              </w:rPr>
              <w:t>定位仪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trPr>
        <w:tc>
          <w:tcPr>
            <w:tcW w:w="595" w:type="pct"/>
            <w:vMerge w:val="continue"/>
            <w:vAlign w:val="center"/>
          </w:tcPr>
          <w:p>
            <w:pPr>
              <w:jc w:val="center"/>
              <w:rPr>
                <w:rFonts w:ascii="宋体"/>
                <w:sz w:val="18"/>
                <w:szCs w:val="18"/>
              </w:rPr>
            </w:pPr>
          </w:p>
        </w:tc>
        <w:tc>
          <w:tcPr>
            <w:tcW w:w="598" w:type="pct"/>
            <w:vAlign w:val="center"/>
          </w:tcPr>
          <w:p>
            <w:pPr>
              <w:jc w:val="center"/>
              <w:rPr>
                <w:rFonts w:ascii="宋体"/>
                <w:sz w:val="18"/>
                <w:szCs w:val="18"/>
              </w:rPr>
            </w:pPr>
            <w:r>
              <w:rPr>
                <w:rFonts w:ascii="宋体"/>
                <w:sz w:val="18"/>
                <w:szCs w:val="18"/>
              </w:rPr>
              <w:t>项目</w:t>
            </w:r>
          </w:p>
        </w:tc>
        <w:tc>
          <w:tcPr>
            <w:tcW w:w="1623" w:type="pct"/>
            <w:vAlign w:val="center"/>
          </w:tcPr>
          <w:p>
            <w:pPr>
              <w:jc w:val="center"/>
              <w:rPr>
                <w:rFonts w:ascii="宋体"/>
                <w:sz w:val="18"/>
                <w:szCs w:val="18"/>
              </w:rPr>
            </w:pPr>
            <w:r>
              <w:rPr>
                <w:rFonts w:ascii="宋体"/>
                <w:sz w:val="18"/>
                <w:szCs w:val="18"/>
              </w:rPr>
              <w:t>数据</w:t>
            </w:r>
          </w:p>
        </w:tc>
        <w:tc>
          <w:tcPr>
            <w:tcW w:w="769" w:type="pct"/>
            <w:vAlign w:val="center"/>
          </w:tcPr>
          <w:p>
            <w:pPr>
              <w:jc w:val="center"/>
              <w:rPr>
                <w:rFonts w:ascii="宋体"/>
                <w:sz w:val="18"/>
                <w:szCs w:val="18"/>
              </w:rPr>
            </w:pPr>
            <w:r>
              <w:rPr>
                <w:rFonts w:ascii="宋体"/>
                <w:sz w:val="18"/>
                <w:szCs w:val="18"/>
              </w:rPr>
              <w:t>项目</w:t>
            </w:r>
          </w:p>
        </w:tc>
        <w:tc>
          <w:tcPr>
            <w:tcW w:w="1415" w:type="pct"/>
            <w:vAlign w:val="center"/>
          </w:tcPr>
          <w:p>
            <w:pPr>
              <w:jc w:val="center"/>
              <w:rPr>
                <w:rFonts w:ascii="宋体"/>
                <w:sz w:val="18"/>
                <w:szCs w:val="18"/>
              </w:rPr>
            </w:pPr>
            <w:r>
              <w:rPr>
                <w:rFonts w:ascii="宋体"/>
                <w:sz w:val="18"/>
                <w:szCs w:val="18"/>
              </w:rPr>
              <w:t>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595" w:type="pct"/>
            <w:vMerge w:val="continue"/>
            <w:vAlign w:val="center"/>
          </w:tcPr>
          <w:p>
            <w:pPr>
              <w:jc w:val="center"/>
              <w:rPr>
                <w:rFonts w:ascii="宋体"/>
                <w:sz w:val="18"/>
                <w:szCs w:val="18"/>
              </w:rPr>
            </w:pPr>
          </w:p>
        </w:tc>
        <w:tc>
          <w:tcPr>
            <w:tcW w:w="598" w:type="pct"/>
            <w:vMerge w:val="restart"/>
            <w:vAlign w:val="center"/>
          </w:tcPr>
          <w:p>
            <w:pPr>
              <w:jc w:val="center"/>
              <w:rPr>
                <w:rFonts w:ascii="宋体"/>
                <w:sz w:val="18"/>
                <w:szCs w:val="18"/>
              </w:rPr>
            </w:pPr>
            <w:r>
              <w:rPr>
                <w:rFonts w:ascii="宋体"/>
                <w:sz w:val="18"/>
                <w:szCs w:val="18"/>
              </w:rPr>
              <w:t>静吃水（m）</w:t>
            </w: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r>
              <w:rPr>
                <w:rFonts w:ascii="宋体"/>
                <w:sz w:val="18"/>
                <w:szCs w:val="18"/>
              </w:rPr>
              <w:t>天线底部-水面高（m）</w:t>
            </w: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595" w:type="pct"/>
            <w:vMerge w:val="continue"/>
            <w:vAlign w:val="center"/>
          </w:tcPr>
          <w:p>
            <w:pPr>
              <w:jc w:val="center"/>
              <w:rPr>
                <w:rFonts w:ascii="宋体"/>
                <w:sz w:val="18"/>
                <w:szCs w:val="18"/>
              </w:rPr>
            </w:pPr>
          </w:p>
        </w:tc>
        <w:tc>
          <w:tcPr>
            <w:tcW w:w="598" w:type="pct"/>
            <w:vMerge w:val="continue"/>
            <w:vAlign w:val="center"/>
          </w:tcPr>
          <w:p>
            <w:pPr>
              <w:jc w:val="center"/>
              <w:rPr>
                <w:rFonts w:ascii="宋体"/>
                <w:sz w:val="18"/>
                <w:szCs w:val="18"/>
              </w:rPr>
            </w:pP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95" w:type="pct"/>
            <w:vMerge w:val="continue"/>
            <w:vAlign w:val="center"/>
          </w:tcPr>
          <w:p>
            <w:pPr>
              <w:jc w:val="center"/>
              <w:rPr>
                <w:rFonts w:ascii="宋体"/>
                <w:sz w:val="18"/>
                <w:szCs w:val="18"/>
              </w:rPr>
            </w:pPr>
          </w:p>
        </w:tc>
        <w:tc>
          <w:tcPr>
            <w:tcW w:w="598" w:type="pct"/>
            <w:vMerge w:val="restart"/>
            <w:vAlign w:val="center"/>
          </w:tcPr>
          <w:p>
            <w:pPr>
              <w:jc w:val="center"/>
              <w:rPr>
                <w:rFonts w:ascii="宋体"/>
                <w:sz w:val="18"/>
                <w:szCs w:val="18"/>
              </w:rPr>
            </w:pPr>
            <w:r>
              <w:rPr>
                <w:rFonts w:ascii="宋体"/>
                <w:sz w:val="18"/>
                <w:szCs w:val="18"/>
              </w:rPr>
              <w:t>声速仪值（m/s）</w:t>
            </w: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r>
              <w:rPr>
                <w:rFonts w:ascii="宋体"/>
                <w:sz w:val="18"/>
                <w:szCs w:val="18"/>
              </w:rPr>
              <w:t>定位模式及差分信号源</w:t>
            </w: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trPr>
        <w:tc>
          <w:tcPr>
            <w:tcW w:w="595" w:type="pct"/>
            <w:vMerge w:val="continue"/>
            <w:vAlign w:val="center"/>
          </w:tcPr>
          <w:p>
            <w:pPr>
              <w:jc w:val="center"/>
              <w:rPr>
                <w:rFonts w:ascii="宋体"/>
                <w:sz w:val="18"/>
                <w:szCs w:val="18"/>
              </w:rPr>
            </w:pPr>
          </w:p>
        </w:tc>
        <w:tc>
          <w:tcPr>
            <w:tcW w:w="598" w:type="pct"/>
            <w:vMerge w:val="continue"/>
            <w:vAlign w:val="center"/>
          </w:tcPr>
          <w:p>
            <w:pPr>
              <w:jc w:val="center"/>
              <w:rPr>
                <w:rFonts w:ascii="宋体"/>
                <w:sz w:val="18"/>
                <w:szCs w:val="18"/>
              </w:rPr>
            </w:pP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595" w:type="pct"/>
            <w:vMerge w:val="restart"/>
            <w:vAlign w:val="center"/>
          </w:tcPr>
          <w:p>
            <w:pPr>
              <w:jc w:val="center"/>
              <w:rPr>
                <w:rFonts w:ascii="宋体"/>
                <w:sz w:val="18"/>
                <w:szCs w:val="18"/>
              </w:rPr>
            </w:pPr>
            <w:r>
              <w:rPr>
                <w:rFonts w:ascii="宋体"/>
                <w:sz w:val="18"/>
                <w:szCs w:val="18"/>
              </w:rPr>
              <w:t>测</w:t>
            </w:r>
          </w:p>
          <w:p>
            <w:pPr>
              <w:jc w:val="center"/>
              <w:rPr>
                <w:rFonts w:ascii="宋体"/>
                <w:sz w:val="18"/>
                <w:szCs w:val="18"/>
              </w:rPr>
            </w:pPr>
            <w:r>
              <w:rPr>
                <w:rFonts w:ascii="宋体"/>
                <w:sz w:val="18"/>
                <w:szCs w:val="18"/>
              </w:rPr>
              <w:t>量</w:t>
            </w:r>
          </w:p>
          <w:p>
            <w:pPr>
              <w:jc w:val="center"/>
              <w:rPr>
                <w:rFonts w:ascii="宋体"/>
                <w:sz w:val="18"/>
                <w:szCs w:val="18"/>
              </w:rPr>
            </w:pPr>
            <w:r>
              <w:rPr>
                <w:rFonts w:ascii="宋体"/>
                <w:sz w:val="18"/>
                <w:szCs w:val="18"/>
              </w:rPr>
              <w:t>记</w:t>
            </w:r>
          </w:p>
          <w:p>
            <w:pPr>
              <w:jc w:val="center"/>
              <w:rPr>
                <w:rFonts w:ascii="宋体"/>
                <w:sz w:val="18"/>
                <w:szCs w:val="18"/>
              </w:rPr>
            </w:pPr>
            <w:r>
              <w:rPr>
                <w:rFonts w:ascii="宋体"/>
                <w:sz w:val="18"/>
                <w:szCs w:val="18"/>
              </w:rPr>
              <w:t>录</w:t>
            </w:r>
          </w:p>
        </w:tc>
        <w:tc>
          <w:tcPr>
            <w:tcW w:w="598" w:type="pct"/>
            <w:vAlign w:val="center"/>
          </w:tcPr>
          <w:p>
            <w:pPr>
              <w:jc w:val="center"/>
              <w:rPr>
                <w:rFonts w:ascii="宋体"/>
                <w:sz w:val="18"/>
                <w:szCs w:val="18"/>
              </w:rPr>
            </w:pPr>
            <w:r>
              <w:rPr>
                <w:rFonts w:ascii="宋体"/>
                <w:sz w:val="18"/>
                <w:szCs w:val="18"/>
              </w:rPr>
              <w:t>文件名</w:t>
            </w:r>
          </w:p>
        </w:tc>
        <w:tc>
          <w:tcPr>
            <w:tcW w:w="1623" w:type="pct"/>
            <w:vAlign w:val="center"/>
          </w:tcPr>
          <w:p>
            <w:pPr>
              <w:jc w:val="center"/>
              <w:rPr>
                <w:rFonts w:ascii="宋体"/>
                <w:sz w:val="18"/>
                <w:szCs w:val="18"/>
              </w:rPr>
            </w:pPr>
            <w:r>
              <w:rPr>
                <w:rFonts w:ascii="宋体"/>
                <w:sz w:val="18"/>
                <w:szCs w:val="18"/>
              </w:rPr>
              <w:t>记事</w:t>
            </w:r>
          </w:p>
        </w:tc>
        <w:tc>
          <w:tcPr>
            <w:tcW w:w="769" w:type="pct"/>
            <w:vAlign w:val="center"/>
          </w:tcPr>
          <w:p>
            <w:pPr>
              <w:jc w:val="center"/>
              <w:rPr>
                <w:rFonts w:ascii="宋体"/>
                <w:sz w:val="18"/>
                <w:szCs w:val="18"/>
              </w:rPr>
            </w:pPr>
            <w:r>
              <w:rPr>
                <w:rFonts w:ascii="宋体"/>
                <w:sz w:val="18"/>
                <w:szCs w:val="18"/>
              </w:rPr>
              <w:t>文件名</w:t>
            </w:r>
          </w:p>
        </w:tc>
        <w:tc>
          <w:tcPr>
            <w:tcW w:w="1415" w:type="pct"/>
            <w:vAlign w:val="center"/>
          </w:tcPr>
          <w:p>
            <w:pPr>
              <w:jc w:val="center"/>
              <w:rPr>
                <w:rFonts w:ascii="宋体"/>
                <w:sz w:val="18"/>
                <w:szCs w:val="18"/>
              </w:rPr>
            </w:pPr>
            <w:r>
              <w:rPr>
                <w:rFonts w:ascii="宋体"/>
                <w:sz w:val="18"/>
                <w:szCs w:val="18"/>
              </w:rPr>
              <w:t>记事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595" w:type="pct"/>
            <w:vMerge w:val="continue"/>
            <w:vAlign w:val="center"/>
          </w:tcPr>
          <w:p>
            <w:pPr>
              <w:jc w:val="center"/>
              <w:rPr>
                <w:rFonts w:ascii="宋体"/>
                <w:sz w:val="18"/>
                <w:szCs w:val="18"/>
              </w:rPr>
            </w:pPr>
          </w:p>
        </w:tc>
        <w:tc>
          <w:tcPr>
            <w:tcW w:w="598" w:type="pct"/>
            <w:vAlign w:val="center"/>
          </w:tcPr>
          <w:p>
            <w:pPr>
              <w:jc w:val="center"/>
              <w:rPr>
                <w:rFonts w:ascii="宋体"/>
                <w:sz w:val="18"/>
                <w:szCs w:val="18"/>
              </w:rPr>
            </w:pP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595" w:type="pct"/>
            <w:vMerge w:val="continue"/>
            <w:vAlign w:val="center"/>
          </w:tcPr>
          <w:p>
            <w:pPr>
              <w:jc w:val="center"/>
              <w:rPr>
                <w:rFonts w:ascii="宋体"/>
                <w:sz w:val="18"/>
                <w:szCs w:val="18"/>
              </w:rPr>
            </w:pPr>
          </w:p>
        </w:tc>
        <w:tc>
          <w:tcPr>
            <w:tcW w:w="598" w:type="pct"/>
            <w:vAlign w:val="center"/>
          </w:tcPr>
          <w:p>
            <w:pPr>
              <w:jc w:val="center"/>
              <w:rPr>
                <w:rFonts w:ascii="宋体"/>
                <w:sz w:val="18"/>
                <w:szCs w:val="18"/>
              </w:rPr>
            </w:pP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595" w:type="pct"/>
            <w:vMerge w:val="continue"/>
            <w:vAlign w:val="center"/>
          </w:tcPr>
          <w:p>
            <w:pPr>
              <w:jc w:val="center"/>
              <w:rPr>
                <w:rFonts w:ascii="宋体"/>
                <w:sz w:val="18"/>
                <w:szCs w:val="18"/>
              </w:rPr>
            </w:pPr>
          </w:p>
        </w:tc>
        <w:tc>
          <w:tcPr>
            <w:tcW w:w="598" w:type="pct"/>
            <w:vAlign w:val="center"/>
          </w:tcPr>
          <w:p>
            <w:pPr>
              <w:jc w:val="center"/>
              <w:rPr>
                <w:rFonts w:ascii="宋体"/>
                <w:sz w:val="18"/>
                <w:szCs w:val="18"/>
              </w:rPr>
            </w:pP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595" w:type="pct"/>
            <w:vMerge w:val="continue"/>
            <w:vAlign w:val="center"/>
          </w:tcPr>
          <w:p>
            <w:pPr>
              <w:jc w:val="center"/>
              <w:rPr>
                <w:rFonts w:ascii="宋体"/>
                <w:sz w:val="18"/>
                <w:szCs w:val="18"/>
              </w:rPr>
            </w:pPr>
          </w:p>
        </w:tc>
        <w:tc>
          <w:tcPr>
            <w:tcW w:w="598" w:type="pct"/>
            <w:vAlign w:val="center"/>
          </w:tcPr>
          <w:p>
            <w:pPr>
              <w:jc w:val="center"/>
              <w:rPr>
                <w:rFonts w:ascii="宋体"/>
                <w:sz w:val="18"/>
                <w:szCs w:val="18"/>
              </w:rPr>
            </w:pP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595" w:type="pct"/>
            <w:vMerge w:val="continue"/>
            <w:vAlign w:val="center"/>
          </w:tcPr>
          <w:p>
            <w:pPr>
              <w:jc w:val="center"/>
              <w:rPr>
                <w:rFonts w:ascii="宋体"/>
                <w:sz w:val="18"/>
                <w:szCs w:val="18"/>
              </w:rPr>
            </w:pPr>
          </w:p>
        </w:tc>
        <w:tc>
          <w:tcPr>
            <w:tcW w:w="598" w:type="pct"/>
            <w:vAlign w:val="center"/>
          </w:tcPr>
          <w:p>
            <w:pPr>
              <w:jc w:val="center"/>
              <w:rPr>
                <w:rFonts w:ascii="宋体"/>
                <w:sz w:val="18"/>
                <w:szCs w:val="18"/>
              </w:rPr>
            </w:pP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14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595" w:type="pct"/>
            <w:vMerge w:val="continue"/>
            <w:vAlign w:val="center"/>
          </w:tcPr>
          <w:p>
            <w:pPr>
              <w:jc w:val="center"/>
              <w:rPr>
                <w:rFonts w:ascii="宋体"/>
                <w:sz w:val="18"/>
                <w:szCs w:val="18"/>
              </w:rPr>
            </w:pPr>
          </w:p>
        </w:tc>
        <w:tc>
          <w:tcPr>
            <w:tcW w:w="598" w:type="pct"/>
            <w:vAlign w:val="center"/>
          </w:tcPr>
          <w:p>
            <w:pPr>
              <w:jc w:val="center"/>
              <w:rPr>
                <w:rFonts w:ascii="宋体"/>
                <w:sz w:val="18"/>
                <w:szCs w:val="18"/>
              </w:rPr>
            </w:pPr>
          </w:p>
        </w:tc>
        <w:tc>
          <w:tcPr>
            <w:tcW w:w="1623"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1415" w:type="pct"/>
            <w:vAlign w:val="center"/>
          </w:tcPr>
          <w:p>
            <w:pPr>
              <w:jc w:val="center"/>
              <w:rPr>
                <w:rFonts w:ascii="宋体"/>
                <w:sz w:val="18"/>
                <w:szCs w:val="18"/>
              </w:rPr>
            </w:pPr>
          </w:p>
        </w:tc>
      </w:tr>
    </w:tbl>
    <w:p>
      <w:pPr>
        <w:pStyle w:val="91"/>
      </w:pPr>
    </w:p>
    <w:p>
      <w:pPr>
        <w:pStyle w:val="106"/>
      </w:pPr>
      <w:bookmarkStart w:id="138" w:name="_Toc162597515"/>
      <w:r>
        <w:t>E.2 多波束测深现场记录表</w:t>
      </w:r>
      <w:bookmarkEnd w:id="138"/>
    </w:p>
    <w:p>
      <w:pPr>
        <w:pStyle w:val="91"/>
      </w:pPr>
      <w:r>
        <w:t>表E.2  多波束测深现场记录表</w:t>
      </w:r>
    </w:p>
    <w:p>
      <w:pPr>
        <w:rPr>
          <w:sz w:val="18"/>
          <w:szCs w:val="18"/>
        </w:rPr>
      </w:pPr>
      <w:r>
        <w:rPr>
          <w:sz w:val="18"/>
          <w:szCs w:val="18"/>
        </w:rPr>
        <w:t>测量项目：                                 测量区域：                              测量日期：</w:t>
      </w:r>
    </w:p>
    <w:p>
      <w:pPr>
        <w:rPr>
          <w:sz w:val="18"/>
          <w:szCs w:val="18"/>
        </w:rPr>
      </w:pPr>
      <w:r>
        <w:rPr>
          <w:sz w:val="18"/>
          <w:szCs w:val="18"/>
        </w:rPr>
        <w:t>测量船舶：                                 天气情况：                              测量人员：</w:t>
      </w:r>
    </w:p>
    <w:tbl>
      <w:tblPr>
        <w:tblStyle w:val="3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66"/>
        <w:gridCol w:w="1366"/>
        <w:gridCol w:w="1367"/>
        <w:gridCol w:w="1367"/>
        <w:gridCol w:w="1367"/>
        <w:gridCol w:w="1367"/>
        <w:gridCol w:w="13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序号</w:t>
            </w:r>
          </w:p>
        </w:tc>
        <w:tc>
          <w:tcPr>
            <w:tcW w:w="714" w:type="pct"/>
            <w:vAlign w:val="center"/>
          </w:tcPr>
          <w:p>
            <w:pPr>
              <w:jc w:val="center"/>
              <w:rPr>
                <w:rFonts w:ascii="宋体"/>
                <w:sz w:val="18"/>
                <w:szCs w:val="18"/>
              </w:rPr>
            </w:pPr>
            <w:r>
              <w:rPr>
                <w:rFonts w:ascii="宋体"/>
                <w:sz w:val="18"/>
                <w:szCs w:val="18"/>
              </w:rPr>
              <w:t>文件名</w:t>
            </w:r>
          </w:p>
        </w:tc>
        <w:tc>
          <w:tcPr>
            <w:tcW w:w="714" w:type="pct"/>
            <w:vAlign w:val="center"/>
          </w:tcPr>
          <w:p>
            <w:pPr>
              <w:jc w:val="center"/>
              <w:rPr>
                <w:rFonts w:ascii="宋体"/>
                <w:sz w:val="18"/>
                <w:szCs w:val="18"/>
              </w:rPr>
            </w:pPr>
            <w:r>
              <w:rPr>
                <w:rFonts w:ascii="宋体"/>
                <w:sz w:val="18"/>
                <w:szCs w:val="18"/>
              </w:rPr>
              <w:t>上线时间</w:t>
            </w:r>
          </w:p>
        </w:tc>
        <w:tc>
          <w:tcPr>
            <w:tcW w:w="714" w:type="pct"/>
            <w:vAlign w:val="center"/>
          </w:tcPr>
          <w:p>
            <w:pPr>
              <w:jc w:val="center"/>
              <w:rPr>
                <w:rFonts w:ascii="宋体"/>
                <w:sz w:val="18"/>
                <w:szCs w:val="18"/>
              </w:rPr>
            </w:pPr>
            <w:r>
              <w:rPr>
                <w:rFonts w:ascii="宋体"/>
                <w:sz w:val="18"/>
                <w:szCs w:val="18"/>
              </w:rPr>
              <w:t>下线时间</w:t>
            </w:r>
          </w:p>
        </w:tc>
        <w:tc>
          <w:tcPr>
            <w:tcW w:w="714" w:type="pct"/>
            <w:vAlign w:val="center"/>
          </w:tcPr>
          <w:p>
            <w:pPr>
              <w:jc w:val="center"/>
              <w:rPr>
                <w:rFonts w:ascii="宋体"/>
                <w:sz w:val="18"/>
                <w:szCs w:val="18"/>
              </w:rPr>
            </w:pPr>
            <w:r>
              <w:rPr>
                <w:rFonts w:ascii="宋体"/>
                <w:sz w:val="18"/>
                <w:szCs w:val="18"/>
              </w:rPr>
              <w:t>航向</w:t>
            </w:r>
          </w:p>
        </w:tc>
        <w:tc>
          <w:tcPr>
            <w:tcW w:w="714" w:type="pct"/>
            <w:vAlign w:val="center"/>
          </w:tcPr>
          <w:p>
            <w:pPr>
              <w:jc w:val="center"/>
              <w:rPr>
                <w:rFonts w:ascii="宋体"/>
                <w:sz w:val="18"/>
                <w:szCs w:val="18"/>
              </w:rPr>
            </w:pPr>
            <w:r>
              <w:rPr>
                <w:rFonts w:ascii="宋体"/>
                <w:sz w:val="18"/>
                <w:szCs w:val="18"/>
              </w:rPr>
              <w:t>航速</w:t>
            </w:r>
          </w:p>
        </w:tc>
        <w:tc>
          <w:tcPr>
            <w:tcW w:w="715" w:type="pct"/>
            <w:vAlign w:val="center"/>
          </w:tcPr>
          <w:p>
            <w:pPr>
              <w:jc w:val="center"/>
              <w:rPr>
                <w:rFonts w:ascii="宋体"/>
                <w:sz w:val="18"/>
                <w:szCs w:val="18"/>
              </w:rPr>
            </w:pPr>
            <w:r>
              <w:rPr>
                <w:rFonts w:ascii="宋体"/>
                <w:sz w:val="18"/>
                <w:szCs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1</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2</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3</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4</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5</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6</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7</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8</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9</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10</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11</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12</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13</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14</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Align w:val="center"/>
          </w:tcPr>
          <w:p>
            <w:pPr>
              <w:jc w:val="center"/>
              <w:rPr>
                <w:rFonts w:ascii="宋体"/>
                <w:sz w:val="18"/>
                <w:szCs w:val="18"/>
              </w:rPr>
            </w:pPr>
            <w:r>
              <w:rPr>
                <w:rFonts w:ascii="宋体"/>
                <w:sz w:val="18"/>
                <w:szCs w:val="18"/>
              </w:rPr>
              <w:t>15</w:t>
            </w: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Merge w:val="restart"/>
            <w:vAlign w:val="center"/>
          </w:tcPr>
          <w:p>
            <w:pPr>
              <w:jc w:val="center"/>
              <w:rPr>
                <w:rFonts w:ascii="宋体"/>
                <w:sz w:val="18"/>
                <w:szCs w:val="18"/>
              </w:rPr>
            </w:pPr>
            <w:r>
              <w:rPr>
                <w:rFonts w:ascii="宋体"/>
                <w:sz w:val="18"/>
                <w:szCs w:val="18"/>
              </w:rPr>
              <w:t>声</w:t>
            </w:r>
          </w:p>
          <w:p>
            <w:pPr>
              <w:jc w:val="center"/>
              <w:rPr>
                <w:rFonts w:ascii="宋体"/>
                <w:sz w:val="18"/>
                <w:szCs w:val="18"/>
              </w:rPr>
            </w:pPr>
            <w:r>
              <w:rPr>
                <w:rFonts w:ascii="宋体"/>
                <w:sz w:val="18"/>
                <w:szCs w:val="18"/>
              </w:rPr>
              <w:t>速</w:t>
            </w:r>
          </w:p>
          <w:p>
            <w:pPr>
              <w:jc w:val="center"/>
              <w:rPr>
                <w:rFonts w:ascii="宋体"/>
                <w:sz w:val="18"/>
                <w:szCs w:val="18"/>
              </w:rPr>
            </w:pPr>
            <w:r>
              <w:rPr>
                <w:rFonts w:ascii="宋体"/>
                <w:sz w:val="18"/>
                <w:szCs w:val="18"/>
              </w:rPr>
              <w:t>测</w:t>
            </w:r>
          </w:p>
          <w:p>
            <w:pPr>
              <w:jc w:val="center"/>
              <w:rPr>
                <w:rFonts w:ascii="宋体"/>
                <w:sz w:val="18"/>
                <w:szCs w:val="18"/>
              </w:rPr>
            </w:pPr>
            <w:r>
              <w:rPr>
                <w:rFonts w:ascii="宋体"/>
                <w:sz w:val="18"/>
                <w:szCs w:val="18"/>
              </w:rPr>
              <w:t>量</w:t>
            </w:r>
          </w:p>
        </w:tc>
        <w:tc>
          <w:tcPr>
            <w:tcW w:w="714" w:type="pct"/>
            <w:vAlign w:val="center"/>
          </w:tcPr>
          <w:p>
            <w:pPr>
              <w:jc w:val="center"/>
              <w:rPr>
                <w:rFonts w:ascii="宋体"/>
                <w:sz w:val="18"/>
                <w:szCs w:val="18"/>
              </w:rPr>
            </w:pPr>
            <w:r>
              <w:rPr>
                <w:rFonts w:ascii="宋体"/>
                <w:sz w:val="18"/>
                <w:szCs w:val="18"/>
              </w:rPr>
              <w:t>测量时间</w:t>
            </w:r>
          </w:p>
        </w:tc>
        <w:tc>
          <w:tcPr>
            <w:tcW w:w="1428" w:type="pct"/>
            <w:gridSpan w:val="2"/>
            <w:vAlign w:val="center"/>
          </w:tcPr>
          <w:p>
            <w:pPr>
              <w:jc w:val="center"/>
              <w:rPr>
                <w:rFonts w:ascii="宋体"/>
                <w:sz w:val="18"/>
                <w:szCs w:val="18"/>
              </w:rPr>
            </w:pPr>
            <w:r>
              <w:rPr>
                <w:rFonts w:ascii="宋体"/>
                <w:sz w:val="18"/>
                <w:szCs w:val="18"/>
              </w:rPr>
              <w:t>测量位置（B，L）</w:t>
            </w:r>
          </w:p>
        </w:tc>
        <w:tc>
          <w:tcPr>
            <w:tcW w:w="714" w:type="pct"/>
            <w:vAlign w:val="center"/>
          </w:tcPr>
          <w:p>
            <w:pPr>
              <w:jc w:val="center"/>
              <w:rPr>
                <w:rFonts w:ascii="宋体"/>
                <w:sz w:val="18"/>
                <w:szCs w:val="18"/>
              </w:rPr>
            </w:pPr>
            <w:r>
              <w:rPr>
                <w:rFonts w:ascii="宋体"/>
                <w:sz w:val="18"/>
                <w:szCs w:val="18"/>
              </w:rPr>
              <w:t>表层声速</w:t>
            </w:r>
          </w:p>
        </w:tc>
        <w:tc>
          <w:tcPr>
            <w:tcW w:w="714" w:type="pct"/>
            <w:vAlign w:val="center"/>
          </w:tcPr>
          <w:p>
            <w:pPr>
              <w:jc w:val="center"/>
              <w:rPr>
                <w:rFonts w:ascii="宋体"/>
                <w:sz w:val="18"/>
                <w:szCs w:val="18"/>
              </w:rPr>
            </w:pPr>
            <w:r>
              <w:rPr>
                <w:rFonts w:ascii="宋体"/>
                <w:sz w:val="18"/>
                <w:szCs w:val="18"/>
              </w:rPr>
              <w:t>最深水深</w:t>
            </w:r>
          </w:p>
        </w:tc>
        <w:tc>
          <w:tcPr>
            <w:tcW w:w="715" w:type="pct"/>
            <w:vAlign w:val="center"/>
          </w:tcPr>
          <w:p>
            <w:pPr>
              <w:jc w:val="center"/>
              <w:rPr>
                <w:rFonts w:ascii="宋体"/>
                <w:sz w:val="18"/>
                <w:szCs w:val="18"/>
              </w:rPr>
            </w:pPr>
            <w:r>
              <w:rPr>
                <w:rFonts w:ascii="宋体"/>
                <w:sz w:val="18"/>
                <w:szCs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Merge w:val="continue"/>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Merge w:val="continue"/>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Merge w:val="continue"/>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Merge w:val="continue"/>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714" w:type="pct"/>
            <w:vMerge w:val="continue"/>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4" w:type="pct"/>
            <w:vAlign w:val="center"/>
          </w:tcPr>
          <w:p>
            <w:pPr>
              <w:jc w:val="center"/>
              <w:rPr>
                <w:rFonts w:ascii="宋体"/>
                <w:sz w:val="18"/>
                <w:szCs w:val="18"/>
              </w:rPr>
            </w:pPr>
          </w:p>
        </w:tc>
        <w:tc>
          <w:tcPr>
            <w:tcW w:w="71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5000" w:type="pct"/>
            <w:gridSpan w:val="7"/>
            <w:vAlign w:val="center"/>
          </w:tcPr>
          <w:p>
            <w:pPr>
              <w:rPr>
                <w:rFonts w:ascii="宋体"/>
                <w:sz w:val="18"/>
                <w:szCs w:val="18"/>
              </w:rPr>
            </w:pPr>
            <w:r>
              <w:rPr>
                <w:rFonts w:ascii="宋体"/>
                <w:sz w:val="18"/>
                <w:szCs w:val="18"/>
              </w:rPr>
              <w:t>静吃水:                           采集模式: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5000" w:type="pct"/>
            <w:gridSpan w:val="7"/>
            <w:vAlign w:val="center"/>
          </w:tcPr>
          <w:p>
            <w:pPr>
              <w:rPr>
                <w:rFonts w:ascii="宋体"/>
                <w:sz w:val="18"/>
                <w:szCs w:val="18"/>
              </w:rPr>
            </w:pPr>
            <w:r>
              <w:rPr>
                <w:rFonts w:ascii="宋体"/>
                <w:sz w:val="18"/>
                <w:szCs w:val="18"/>
              </w:rPr>
              <w:t>备注</w:t>
            </w:r>
          </w:p>
        </w:tc>
      </w:tr>
    </w:tbl>
    <w:p>
      <w:pPr>
        <w:pStyle w:val="25"/>
        <w:ind w:firstLine="420"/>
      </w:pPr>
    </w:p>
    <w:p>
      <w:pPr>
        <w:widowControl/>
        <w:jc w:val="left"/>
        <w:rPr>
          <w:kern w:val="0"/>
          <w:szCs w:val="20"/>
        </w:rPr>
      </w:pPr>
      <w:r>
        <w:br w:type="page"/>
      </w:r>
    </w:p>
    <w:p>
      <w:pPr>
        <w:pStyle w:val="106"/>
      </w:pPr>
      <w:bookmarkStart w:id="139" w:name="_Toc162597516"/>
      <w:r>
        <w:t>E.3 水位观测场记录表</w:t>
      </w:r>
      <w:bookmarkEnd w:id="139"/>
    </w:p>
    <w:p>
      <w:pPr>
        <w:pStyle w:val="91"/>
      </w:pPr>
      <w:r>
        <w:t>表E.3  水位观测场记录表</w:t>
      </w:r>
    </w:p>
    <w:p>
      <w:pPr>
        <w:rPr>
          <w:sz w:val="18"/>
          <w:szCs w:val="18"/>
        </w:rPr>
      </w:pPr>
      <w:r>
        <w:rPr>
          <w:sz w:val="18"/>
          <w:szCs w:val="18"/>
          <w:u w:val="single"/>
        </w:rPr>
        <w:t xml:space="preserve">             </w:t>
      </w:r>
      <w:r>
        <w:rPr>
          <w:sz w:val="18"/>
          <w:szCs w:val="18"/>
        </w:rPr>
        <w:t>（水位站名）水位记录表                          年     月                         第   页</w:t>
      </w:r>
    </w:p>
    <w:tbl>
      <w:tblPr>
        <w:tblStyle w:val="3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74"/>
        <w:gridCol w:w="655"/>
        <w:gridCol w:w="655"/>
        <w:gridCol w:w="1472"/>
        <w:gridCol w:w="1470"/>
        <w:gridCol w:w="1472"/>
        <w:gridCol w:w="1675"/>
        <w:gridCol w:w="11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r>
              <w:rPr>
                <w:rFonts w:ascii="宋体"/>
                <w:sz w:val="18"/>
                <w:szCs w:val="18"/>
              </w:rPr>
              <w:t>日</w:t>
            </w:r>
          </w:p>
        </w:tc>
        <w:tc>
          <w:tcPr>
            <w:tcW w:w="342" w:type="pct"/>
            <w:vAlign w:val="center"/>
          </w:tcPr>
          <w:p>
            <w:pPr>
              <w:jc w:val="center"/>
              <w:rPr>
                <w:rFonts w:ascii="宋体"/>
                <w:sz w:val="18"/>
                <w:szCs w:val="18"/>
              </w:rPr>
            </w:pPr>
            <w:r>
              <w:rPr>
                <w:rFonts w:ascii="宋体"/>
                <w:sz w:val="18"/>
                <w:szCs w:val="18"/>
              </w:rPr>
              <w:t>时</w:t>
            </w:r>
          </w:p>
        </w:tc>
        <w:tc>
          <w:tcPr>
            <w:tcW w:w="342" w:type="pct"/>
            <w:vAlign w:val="center"/>
          </w:tcPr>
          <w:p>
            <w:pPr>
              <w:jc w:val="center"/>
              <w:rPr>
                <w:rFonts w:ascii="宋体"/>
                <w:sz w:val="18"/>
                <w:szCs w:val="18"/>
              </w:rPr>
            </w:pPr>
            <w:r>
              <w:rPr>
                <w:rFonts w:ascii="宋体"/>
                <w:sz w:val="18"/>
                <w:szCs w:val="18"/>
              </w:rPr>
              <w:t>分</w:t>
            </w:r>
          </w:p>
        </w:tc>
        <w:tc>
          <w:tcPr>
            <w:tcW w:w="769" w:type="pct"/>
            <w:vAlign w:val="center"/>
          </w:tcPr>
          <w:p>
            <w:pPr>
              <w:jc w:val="center"/>
              <w:rPr>
                <w:rFonts w:ascii="宋体"/>
                <w:sz w:val="18"/>
                <w:szCs w:val="18"/>
              </w:rPr>
            </w:pPr>
            <w:r>
              <w:rPr>
                <w:rFonts w:ascii="宋体"/>
                <w:sz w:val="18"/>
                <w:szCs w:val="18"/>
              </w:rPr>
              <w:t>水尺编号</w:t>
            </w:r>
          </w:p>
        </w:tc>
        <w:tc>
          <w:tcPr>
            <w:tcW w:w="768" w:type="pct"/>
            <w:vAlign w:val="center"/>
          </w:tcPr>
          <w:p>
            <w:pPr>
              <w:jc w:val="center"/>
              <w:rPr>
                <w:rFonts w:ascii="宋体"/>
                <w:sz w:val="18"/>
                <w:szCs w:val="18"/>
              </w:rPr>
            </w:pPr>
            <w:r>
              <w:rPr>
                <w:rFonts w:ascii="宋体"/>
                <w:sz w:val="18"/>
                <w:szCs w:val="18"/>
              </w:rPr>
              <w:t>水尺读数（m）</w:t>
            </w:r>
          </w:p>
        </w:tc>
        <w:tc>
          <w:tcPr>
            <w:tcW w:w="769" w:type="pct"/>
            <w:vAlign w:val="center"/>
          </w:tcPr>
          <w:p>
            <w:pPr>
              <w:jc w:val="center"/>
              <w:rPr>
                <w:rFonts w:ascii="宋体"/>
                <w:sz w:val="18"/>
                <w:szCs w:val="18"/>
              </w:rPr>
            </w:pPr>
            <w:r>
              <w:rPr>
                <w:rFonts w:ascii="宋体"/>
                <w:sz w:val="18"/>
                <w:szCs w:val="18"/>
              </w:rPr>
              <w:t>水位（m）</w:t>
            </w:r>
          </w:p>
        </w:tc>
        <w:tc>
          <w:tcPr>
            <w:tcW w:w="875" w:type="pct"/>
            <w:vAlign w:val="center"/>
          </w:tcPr>
          <w:p>
            <w:pPr>
              <w:jc w:val="center"/>
              <w:rPr>
                <w:rFonts w:ascii="宋体"/>
                <w:sz w:val="18"/>
                <w:szCs w:val="18"/>
              </w:rPr>
            </w:pPr>
            <w:r>
              <w:rPr>
                <w:rFonts w:ascii="宋体"/>
                <w:sz w:val="18"/>
                <w:szCs w:val="18"/>
              </w:rPr>
              <w:t>风向风力</w:t>
            </w:r>
          </w:p>
        </w:tc>
        <w:tc>
          <w:tcPr>
            <w:tcW w:w="625" w:type="pct"/>
            <w:vAlign w:val="center"/>
          </w:tcPr>
          <w:p>
            <w:pPr>
              <w:jc w:val="center"/>
              <w:rPr>
                <w:rFonts w:ascii="宋体"/>
                <w:sz w:val="18"/>
                <w:szCs w:val="18"/>
              </w:rPr>
            </w:pPr>
            <w:r>
              <w:rPr>
                <w:rFonts w:ascii="宋体"/>
                <w:sz w:val="18"/>
                <w:szCs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09"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342"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768" w:type="pct"/>
            <w:vAlign w:val="center"/>
          </w:tcPr>
          <w:p>
            <w:pPr>
              <w:jc w:val="center"/>
              <w:rPr>
                <w:rFonts w:ascii="宋体"/>
                <w:sz w:val="18"/>
                <w:szCs w:val="18"/>
              </w:rPr>
            </w:pPr>
          </w:p>
        </w:tc>
        <w:tc>
          <w:tcPr>
            <w:tcW w:w="769" w:type="pct"/>
            <w:vAlign w:val="center"/>
          </w:tcPr>
          <w:p>
            <w:pPr>
              <w:jc w:val="center"/>
              <w:rPr>
                <w:rFonts w:ascii="宋体"/>
                <w:sz w:val="18"/>
                <w:szCs w:val="18"/>
              </w:rPr>
            </w:pPr>
          </w:p>
        </w:tc>
        <w:tc>
          <w:tcPr>
            <w:tcW w:w="875" w:type="pct"/>
            <w:vAlign w:val="center"/>
          </w:tcPr>
          <w:p>
            <w:pPr>
              <w:jc w:val="center"/>
              <w:rPr>
                <w:rFonts w:ascii="宋体"/>
                <w:sz w:val="18"/>
                <w:szCs w:val="18"/>
              </w:rPr>
            </w:pPr>
          </w:p>
        </w:tc>
        <w:tc>
          <w:tcPr>
            <w:tcW w:w="625" w:type="pct"/>
            <w:vAlign w:val="center"/>
          </w:tcPr>
          <w:p>
            <w:pPr>
              <w:jc w:val="center"/>
              <w:rPr>
                <w:rFonts w:ascii="宋体"/>
                <w:sz w:val="18"/>
                <w:szCs w:val="18"/>
              </w:rPr>
            </w:pPr>
          </w:p>
        </w:tc>
      </w:tr>
    </w:tbl>
    <w:p>
      <w:pPr>
        <w:rPr>
          <w:sz w:val="18"/>
          <w:szCs w:val="18"/>
        </w:rPr>
      </w:pPr>
      <w:r>
        <w:rPr>
          <w:sz w:val="18"/>
          <w:szCs w:val="18"/>
        </w:rPr>
        <w:t>观测：                                      审核：</w:t>
      </w:r>
    </w:p>
    <w:p>
      <w:pPr>
        <w:pStyle w:val="25"/>
        <w:ind w:firstLine="420"/>
      </w:pPr>
    </w:p>
    <w:p>
      <w:pPr>
        <w:pStyle w:val="25"/>
        <w:ind w:firstLine="420"/>
      </w:pPr>
    </w:p>
    <w:sectPr>
      <w:pgSz w:w="11906" w:h="16838"/>
      <w:pgMar w:top="567" w:right="1134" w:bottom="1134" w:left="1418" w:header="1418" w:footer="1134" w:gutter="0"/>
      <w:pgNumType w:start="0"/>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8881152"/>
    </w:sdtPr>
    <w:sdtContent>
      <w:p>
        <w:pPr>
          <w:pStyle w:val="19"/>
          <w:jc w:val="center"/>
        </w:pPr>
        <w:r>
          <w:fldChar w:fldCharType="begin"/>
        </w:r>
        <w:r>
          <w:instrText xml:space="preserve">PAGE   \* MERGEFORMAT</w:instrText>
        </w:r>
        <w:r>
          <w:fldChar w:fldCharType="separate"/>
        </w:r>
        <w:r>
          <w:rPr>
            <w:lang w:val="zh-CN"/>
          </w:rPr>
          <w:t>III</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3859416"/>
    </w:sdtPr>
    <w:sdtContent>
      <w:p>
        <w:pPr>
          <w:pStyle w:val="19"/>
          <w:jc w:val="center"/>
        </w:pPr>
        <w:r>
          <w:fldChar w:fldCharType="begin"/>
        </w:r>
        <w:r>
          <w:instrText xml:space="preserve">PAGE   \* MERGEFORMAT</w:instrText>
        </w:r>
        <w:r>
          <w:fldChar w:fldCharType="separate"/>
        </w:r>
        <w:r>
          <w:rPr>
            <w:lang w:val="zh-CN"/>
          </w:rPr>
          <w:t>5</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62"/>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8A97BF5"/>
    <w:multiLevelType w:val="multilevel"/>
    <w:tmpl w:val="08A97BF5"/>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
    <w:nsid w:val="093C6778"/>
    <w:multiLevelType w:val="multilevel"/>
    <w:tmpl w:val="093C6778"/>
    <w:lvl w:ilvl="0" w:tentative="0">
      <w:start w:val="1"/>
      <w:numFmt w:val="decimal"/>
      <w:pStyle w:val="120"/>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AE367E9"/>
    <w:multiLevelType w:val="multilevel"/>
    <w:tmpl w:val="0AE367E9"/>
    <w:lvl w:ilvl="0" w:tentative="0">
      <w:start w:val="1"/>
      <w:numFmt w:val="none"/>
      <w:pStyle w:val="56"/>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4">
    <w:nsid w:val="0D983844"/>
    <w:multiLevelType w:val="multilevel"/>
    <w:tmpl w:val="0D983844"/>
    <w:lvl w:ilvl="0" w:tentative="0">
      <w:start w:val="1"/>
      <w:numFmt w:val="decimal"/>
      <w:pStyle w:val="133"/>
      <w:suff w:val="nothing"/>
      <w:lvlText w:val="图%1　"/>
      <w:lvlJc w:val="left"/>
      <w:pPr>
        <w:ind w:left="0" w:firstLine="0"/>
      </w:p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
    <w:nsid w:val="0DDE2B46"/>
    <w:multiLevelType w:val="multilevel"/>
    <w:tmpl w:val="0DDE2B46"/>
    <w:lvl w:ilvl="0" w:tentative="0">
      <w:start w:val="1"/>
      <w:numFmt w:val="lowerLetter"/>
      <w:pStyle w:val="125"/>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6">
    <w:nsid w:val="0F222DBF"/>
    <w:multiLevelType w:val="multilevel"/>
    <w:tmpl w:val="0F222DBF"/>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7">
    <w:nsid w:val="16667BBD"/>
    <w:multiLevelType w:val="multilevel"/>
    <w:tmpl w:val="16667BBD"/>
    <w:lvl w:ilvl="0" w:tentative="0">
      <w:start w:val="1"/>
      <w:numFmt w:val="lowerLetter"/>
      <w:pStyle w:val="63"/>
      <w:lvlText w:val="%1)"/>
      <w:lvlJc w:val="left"/>
      <w:pPr>
        <w:tabs>
          <w:tab w:val="left" w:pos="840"/>
        </w:tabs>
        <w:ind w:left="839" w:hanging="419"/>
      </w:pPr>
      <w:rPr>
        <w:rFonts w:hint="eastAsia"/>
        <w:b w:val="0"/>
        <w:i w:val="0"/>
        <w:sz w:val="21"/>
        <w:szCs w:val="21"/>
      </w:rPr>
    </w:lvl>
    <w:lvl w:ilvl="1" w:tentative="0">
      <w:start w:val="1"/>
      <w:numFmt w:val="decimal"/>
      <w:pStyle w:val="58"/>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8">
    <w:nsid w:val="1B177168"/>
    <w:multiLevelType w:val="multilevel"/>
    <w:tmpl w:val="1B177168"/>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9">
    <w:nsid w:val="1C7868F2"/>
    <w:multiLevelType w:val="multilevel"/>
    <w:tmpl w:val="1C7868F2"/>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10">
    <w:nsid w:val="1E043046"/>
    <w:multiLevelType w:val="multilevel"/>
    <w:tmpl w:val="1E043046"/>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11">
    <w:nsid w:val="22827D5B"/>
    <w:multiLevelType w:val="multilevel"/>
    <w:tmpl w:val="22827D5B"/>
    <w:lvl w:ilvl="0" w:tentative="0">
      <w:start w:val="1"/>
      <w:numFmt w:val="none"/>
      <w:pStyle w:val="68"/>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12">
    <w:nsid w:val="261C38B2"/>
    <w:multiLevelType w:val="multilevel"/>
    <w:tmpl w:val="261C38B2"/>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13">
    <w:nsid w:val="2A3B4BA8"/>
    <w:multiLevelType w:val="multilevel"/>
    <w:tmpl w:val="2A3B4BA8"/>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14">
    <w:nsid w:val="2A8F7113"/>
    <w:multiLevelType w:val="multilevel"/>
    <w:tmpl w:val="2A8F7113"/>
    <w:lvl w:ilvl="0" w:tentative="0">
      <w:start w:val="1"/>
      <w:numFmt w:val="upperLetter"/>
      <w:pStyle w:val="102"/>
      <w:suff w:val="space"/>
      <w:lvlText w:val="%1"/>
      <w:lvlJc w:val="left"/>
      <w:pPr>
        <w:ind w:left="623" w:hanging="425"/>
      </w:pPr>
      <w:rPr>
        <w:rFonts w:hint="eastAsia"/>
      </w:rPr>
    </w:lvl>
    <w:lvl w:ilvl="1" w:tentative="0">
      <w:start w:val="1"/>
      <w:numFmt w:val="decimal"/>
      <w:pStyle w:val="103"/>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5">
    <w:nsid w:val="2C5917C3"/>
    <w:multiLevelType w:val="multilevel"/>
    <w:tmpl w:val="2C5917C3"/>
    <w:lvl w:ilvl="0" w:tentative="0">
      <w:start w:val="1"/>
      <w:numFmt w:val="none"/>
      <w:pStyle w:val="52"/>
      <w:suff w:val="nothing"/>
      <w:lvlText w:val="%1——"/>
      <w:lvlJc w:val="left"/>
      <w:pPr>
        <w:ind w:left="833" w:hanging="408"/>
      </w:pPr>
      <w:rPr>
        <w:rFonts w:hint="eastAsia"/>
      </w:rPr>
    </w:lvl>
    <w:lvl w:ilvl="1" w:tentative="0">
      <w:start w:val="1"/>
      <w:numFmt w:val="bullet"/>
      <w:pStyle w:val="53"/>
      <w:lvlText w:val=""/>
      <w:lvlJc w:val="left"/>
      <w:pPr>
        <w:tabs>
          <w:tab w:val="left" w:pos="760"/>
        </w:tabs>
        <w:ind w:left="1264" w:hanging="413"/>
      </w:pPr>
      <w:rPr>
        <w:rFonts w:hint="default" w:ascii="Symbol" w:hAnsi="Symbol"/>
        <w:color w:val="auto"/>
      </w:rPr>
    </w:lvl>
    <w:lvl w:ilvl="2" w:tentative="0">
      <w:start w:val="1"/>
      <w:numFmt w:val="bullet"/>
      <w:pStyle w:val="6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6">
    <w:nsid w:val="307E0774"/>
    <w:multiLevelType w:val="multilevel"/>
    <w:tmpl w:val="307E0774"/>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17">
    <w:nsid w:val="3D675C33"/>
    <w:multiLevelType w:val="multilevel"/>
    <w:tmpl w:val="3D675C33"/>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18">
    <w:nsid w:val="3D733618"/>
    <w:multiLevelType w:val="multilevel"/>
    <w:tmpl w:val="3D733618"/>
    <w:lvl w:ilvl="0" w:tentative="0">
      <w:start w:val="1"/>
      <w:numFmt w:val="decimal"/>
      <w:pStyle w:val="26"/>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9">
    <w:nsid w:val="490465A2"/>
    <w:multiLevelType w:val="multilevel"/>
    <w:tmpl w:val="490465A2"/>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0">
    <w:nsid w:val="4A93320E"/>
    <w:multiLevelType w:val="multilevel"/>
    <w:tmpl w:val="4A93320E"/>
    <w:lvl w:ilvl="0" w:tentative="0">
      <w:start w:val="1"/>
      <w:numFmt w:val="decimal"/>
      <w:pStyle w:val="49"/>
      <w:suff w:val="space"/>
      <w:lvlText w:val="%1 "/>
      <w:lvlJc w:val="left"/>
      <w:pPr>
        <w:ind w:left="0" w:firstLine="0"/>
      </w:pPr>
      <w:rPr>
        <w:rFonts w:hint="eastAsia" w:eastAsia="黑体"/>
        <w:sz w:val="21"/>
      </w:rPr>
    </w:lvl>
    <w:lvl w:ilvl="1" w:tentative="0">
      <w:start w:val="1"/>
      <w:numFmt w:val="decimal"/>
      <w:pStyle w:val="46"/>
      <w:suff w:val="space"/>
      <w:lvlText w:val="%1.%2 "/>
      <w:lvlJc w:val="left"/>
      <w:pPr>
        <w:ind w:left="0" w:firstLine="0"/>
      </w:pPr>
      <w:rPr>
        <w:rFonts w:hint="eastAsia"/>
      </w:rPr>
    </w:lvl>
    <w:lvl w:ilvl="2" w:tentative="0">
      <w:start w:val="1"/>
      <w:numFmt w:val="decimal"/>
      <w:pStyle w:val="50"/>
      <w:suff w:val="space"/>
      <w:lvlText w:val="%1.%2.%3 "/>
      <w:lvlJc w:val="left"/>
      <w:pPr>
        <w:ind w:left="4112" w:firstLine="0"/>
      </w:pPr>
      <w:rPr>
        <w:rFonts w:hint="eastAsia"/>
        <w:color w:val="auto"/>
      </w:rPr>
    </w:lvl>
    <w:lvl w:ilvl="3" w:tentative="0">
      <w:start w:val="1"/>
      <w:numFmt w:val="decimal"/>
      <w:pStyle w:val="55"/>
      <w:suff w:val="space"/>
      <w:lvlText w:val="%1.%2.%3.%4 "/>
      <w:lvlJc w:val="left"/>
      <w:pPr>
        <w:ind w:left="0" w:firstLine="0"/>
      </w:pPr>
      <w:rPr>
        <w:b w:val="0"/>
        <w:bCs w:val="0"/>
        <w:i w:val="0"/>
        <w:iCs w:val="0"/>
        <w:caps w:val="0"/>
        <w:smallCaps w:val="0"/>
        <w:strike w:val="0"/>
        <w:dstrike w:val="0"/>
        <w:vanish w:val="0"/>
        <w:color w:val="000000"/>
        <w:spacing w:val="0"/>
        <w:position w:val="0"/>
        <w:sz w:val="21"/>
        <w:szCs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4" w:tentative="0">
      <w:start w:val="1"/>
      <w:numFmt w:val="decimal"/>
      <w:pStyle w:val="59"/>
      <w:suff w:val="space"/>
      <w:lvlText w:val="%1.%2.%3.%4.%5 "/>
      <w:lvlJc w:val="left"/>
      <w:pPr>
        <w:ind w:left="0" w:firstLine="0"/>
      </w:pPr>
      <w:rPr>
        <w:rFonts w:hint="eastAsia"/>
      </w:rPr>
    </w:lvl>
    <w:lvl w:ilvl="5" w:tentative="0">
      <w:start w:val="1"/>
      <w:numFmt w:val="decimal"/>
      <w:pStyle w:val="60"/>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21">
    <w:nsid w:val="4B733A5F"/>
    <w:multiLevelType w:val="multilevel"/>
    <w:tmpl w:val="4B733A5F"/>
    <w:lvl w:ilvl="0" w:tentative="0">
      <w:start w:val="1"/>
      <w:numFmt w:val="decimal"/>
      <w:pStyle w:val="66"/>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22">
    <w:nsid w:val="4DEA5613"/>
    <w:multiLevelType w:val="multilevel"/>
    <w:tmpl w:val="4DEA5613"/>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3">
    <w:nsid w:val="541A435E"/>
    <w:multiLevelType w:val="multilevel"/>
    <w:tmpl w:val="541A435E"/>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4">
    <w:nsid w:val="55C777B0"/>
    <w:multiLevelType w:val="multilevel"/>
    <w:tmpl w:val="55C777B0"/>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5">
    <w:nsid w:val="5671769A"/>
    <w:multiLevelType w:val="multilevel"/>
    <w:tmpl w:val="5671769A"/>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6">
    <w:nsid w:val="59F128A2"/>
    <w:multiLevelType w:val="multilevel"/>
    <w:tmpl w:val="59F128A2"/>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7">
    <w:nsid w:val="5B7449B3"/>
    <w:multiLevelType w:val="multilevel"/>
    <w:tmpl w:val="5B7449B3"/>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8">
    <w:nsid w:val="5FCB4922"/>
    <w:multiLevelType w:val="multilevel"/>
    <w:tmpl w:val="5FCB4922"/>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9">
    <w:nsid w:val="60B55DC2"/>
    <w:multiLevelType w:val="multilevel"/>
    <w:tmpl w:val="60B55DC2"/>
    <w:lvl w:ilvl="0" w:tentative="0">
      <w:start w:val="1"/>
      <w:numFmt w:val="upperLetter"/>
      <w:pStyle w:val="90"/>
      <w:lvlText w:val="%1"/>
      <w:lvlJc w:val="left"/>
      <w:pPr>
        <w:tabs>
          <w:tab w:val="left" w:pos="0"/>
        </w:tabs>
        <w:ind w:left="0" w:hanging="425"/>
      </w:pPr>
      <w:rPr>
        <w:rFonts w:hint="eastAsia"/>
      </w:rPr>
    </w:lvl>
    <w:lvl w:ilvl="1" w:tentative="0">
      <w:start w:val="1"/>
      <w:numFmt w:val="decimal"/>
      <w:suff w:val="nothing"/>
      <w:lvlText w:val="表%1.%2　"/>
      <w:lvlJc w:val="left"/>
      <w:pPr>
        <w:ind w:left="3545"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30">
    <w:nsid w:val="63395591"/>
    <w:multiLevelType w:val="multilevel"/>
    <w:tmpl w:val="63395591"/>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31">
    <w:nsid w:val="646260FA"/>
    <w:multiLevelType w:val="multilevel"/>
    <w:tmpl w:val="646260FA"/>
    <w:lvl w:ilvl="0" w:tentative="0">
      <w:start w:val="1"/>
      <w:numFmt w:val="decimal"/>
      <w:pStyle w:val="131"/>
      <w:suff w:val="nothing"/>
      <w:lvlText w:val="表%1　"/>
      <w:lvlJc w:val="left"/>
      <w:pPr>
        <w:ind w:left="0" w:firstLine="0"/>
      </w:pPr>
      <w:rPr>
        <w:rFonts w:hint="default" w:ascii="Times New Roman" w:hAnsi="Times New Roman" w:eastAsia="黑体" w:cs="Times New Roman"/>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2">
    <w:nsid w:val="657D3FBC"/>
    <w:multiLevelType w:val="multilevel"/>
    <w:tmpl w:val="657D3FBC"/>
    <w:lvl w:ilvl="0" w:tentative="0">
      <w:start w:val="1"/>
      <w:numFmt w:val="upperLetter"/>
      <w:pStyle w:val="88"/>
      <w:suff w:val="nothing"/>
      <w:lvlText w:val="附　录　%1"/>
      <w:lvlJc w:val="left"/>
      <w:pPr>
        <w:ind w:left="0" w:firstLine="0"/>
      </w:p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993" w:firstLine="0"/>
      </w:pPr>
      <w:rPr>
        <w:rFonts w:hint="eastAsia" w:ascii="黑体" w:hAnsi="Times New Roman" w:eastAsia="黑体"/>
        <w:b w:val="0"/>
        <w:i w:val="0"/>
        <w:sz w:val="21"/>
      </w:rPr>
    </w:lvl>
    <w:lvl w:ilvl="3" w:tentative="0">
      <w:start w:val="1"/>
      <w:numFmt w:val="decimal"/>
      <w:pStyle w:val="92"/>
      <w:suff w:val="nothing"/>
      <w:lvlText w:val="%1.%2.%3.%4　"/>
      <w:lvlJc w:val="left"/>
      <w:pPr>
        <w:ind w:left="0" w:firstLine="0"/>
      </w:pPr>
      <w:rPr>
        <w:rFonts w:hint="eastAsia" w:ascii="黑体" w:hAnsi="Times New Roman" w:eastAsia="黑体"/>
        <w:b w:val="0"/>
        <w:i w:val="0"/>
        <w:sz w:val="21"/>
      </w:rPr>
    </w:lvl>
    <w:lvl w:ilvl="4" w:tentative="0">
      <w:start w:val="1"/>
      <w:numFmt w:val="decimal"/>
      <w:pStyle w:val="97"/>
      <w:suff w:val="nothing"/>
      <w:lvlText w:val="%1.%2.%3.%4.%5　"/>
      <w:lvlJc w:val="left"/>
      <w:pPr>
        <w:ind w:left="0" w:firstLine="0"/>
      </w:pPr>
      <w:rPr>
        <w:rFonts w:hint="eastAsia" w:ascii="黑体" w:hAnsi="Times New Roman" w:eastAsia="黑体"/>
        <w:b w:val="0"/>
        <w:i w:val="0"/>
        <w:sz w:val="21"/>
      </w:rPr>
    </w:lvl>
    <w:lvl w:ilvl="5" w:tentative="0">
      <w:start w:val="1"/>
      <w:numFmt w:val="decimal"/>
      <w:pStyle w:val="100"/>
      <w:suff w:val="nothing"/>
      <w:lvlText w:val="%1.%2.%3.%4.%5.%6　"/>
      <w:lvlJc w:val="left"/>
      <w:pPr>
        <w:ind w:left="0" w:firstLine="0"/>
      </w:pPr>
      <w:rPr>
        <w:rFonts w:hint="eastAsia" w:ascii="黑体" w:hAnsi="Times New Roman" w:eastAsia="黑体"/>
        <w:b w:val="0"/>
        <w:i w:val="0"/>
        <w:sz w:val="21"/>
      </w:rPr>
    </w:lvl>
    <w:lvl w:ilvl="6" w:tentative="0">
      <w:start w:val="1"/>
      <w:numFmt w:val="decimal"/>
      <w:pStyle w:val="10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3">
    <w:nsid w:val="66314568"/>
    <w:multiLevelType w:val="multilevel"/>
    <w:tmpl w:val="66314568"/>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34">
    <w:nsid w:val="6A6D3780"/>
    <w:multiLevelType w:val="multilevel"/>
    <w:tmpl w:val="6A6D3780"/>
    <w:lvl w:ilvl="0" w:tentative="0">
      <w:start w:val="1"/>
      <w:numFmt w:val="decimal"/>
      <w:pStyle w:val="69"/>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35">
    <w:nsid w:val="6D6C07CD"/>
    <w:multiLevelType w:val="multilevel"/>
    <w:tmpl w:val="6D6C07CD"/>
    <w:lvl w:ilvl="0" w:tentative="0">
      <w:start w:val="1"/>
      <w:numFmt w:val="lowerLetter"/>
      <w:pStyle w:val="109"/>
      <w:lvlText w:val="%1)"/>
      <w:lvlJc w:val="left"/>
      <w:pPr>
        <w:tabs>
          <w:tab w:val="left" w:pos="839"/>
        </w:tabs>
        <w:ind w:left="839" w:hanging="419"/>
      </w:pPr>
      <w:rPr>
        <w:rFonts w:hint="eastAsia" w:ascii="宋体" w:eastAsia="宋体"/>
        <w:b w:val="0"/>
        <w:i w:val="0"/>
        <w:sz w:val="21"/>
      </w:rPr>
    </w:lvl>
    <w:lvl w:ilvl="1" w:tentative="0">
      <w:start w:val="1"/>
      <w:numFmt w:val="decimal"/>
      <w:pStyle w:val="99"/>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36">
    <w:nsid w:val="6DBF04F4"/>
    <w:multiLevelType w:val="multilevel"/>
    <w:tmpl w:val="6DBF04F4"/>
    <w:lvl w:ilvl="0" w:tentative="0">
      <w:start w:val="1"/>
      <w:numFmt w:val="none"/>
      <w:pStyle w:val="61"/>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7">
    <w:nsid w:val="6FAE3B16"/>
    <w:multiLevelType w:val="multilevel"/>
    <w:tmpl w:val="6FAE3B16"/>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38">
    <w:nsid w:val="70801E00"/>
    <w:multiLevelType w:val="multilevel"/>
    <w:tmpl w:val="70801E00"/>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39">
    <w:nsid w:val="74897C6F"/>
    <w:multiLevelType w:val="multilevel"/>
    <w:tmpl w:val="74897C6F"/>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40">
    <w:nsid w:val="7A4872A0"/>
    <w:multiLevelType w:val="multilevel"/>
    <w:tmpl w:val="7A4872A0"/>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41">
    <w:nsid w:val="7A705BBA"/>
    <w:multiLevelType w:val="multilevel"/>
    <w:tmpl w:val="7A705BBA"/>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42">
    <w:nsid w:val="7B33233A"/>
    <w:multiLevelType w:val="multilevel"/>
    <w:tmpl w:val="7B33233A"/>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43">
    <w:nsid w:val="7D48096C"/>
    <w:multiLevelType w:val="multilevel"/>
    <w:tmpl w:val="7D48096C"/>
    <w:lvl w:ilvl="0" w:tentative="0">
      <w:start w:val="1"/>
      <w:numFmt w:val="lowerLetter"/>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18"/>
  </w:num>
  <w:num w:numId="2">
    <w:abstractNumId w:val="20"/>
  </w:num>
  <w:num w:numId="3">
    <w:abstractNumId w:val="15"/>
  </w:num>
  <w:num w:numId="4">
    <w:abstractNumId w:val="3"/>
  </w:num>
  <w:num w:numId="5">
    <w:abstractNumId w:val="7"/>
  </w:num>
  <w:num w:numId="6">
    <w:abstractNumId w:val="36"/>
  </w:num>
  <w:num w:numId="7">
    <w:abstractNumId w:val="0"/>
  </w:num>
  <w:num w:numId="8">
    <w:abstractNumId w:val="21"/>
  </w:num>
  <w:num w:numId="9">
    <w:abstractNumId w:val="11"/>
  </w:num>
  <w:num w:numId="10">
    <w:abstractNumId w:val="34"/>
  </w:num>
  <w:num w:numId="11">
    <w:abstractNumId w:val="32"/>
  </w:num>
  <w:num w:numId="12">
    <w:abstractNumId w:val="29"/>
  </w:num>
  <w:num w:numId="13">
    <w:abstractNumId w:val="35"/>
  </w:num>
  <w:num w:numId="14">
    <w:abstractNumId w:val="14"/>
  </w:num>
  <w:num w:numId="15">
    <w:abstractNumId w:val="2"/>
  </w:num>
  <w:num w:numId="16">
    <w:abstractNumId w:val="5"/>
  </w:num>
  <w:num w:numId="17">
    <w:abstractNumId w:val="31"/>
  </w:num>
  <w:num w:numId="18">
    <w:abstractNumId w:val="4"/>
  </w:num>
  <w:num w:numId="19">
    <w:abstractNumId w:val="25"/>
  </w:num>
  <w:num w:numId="20">
    <w:abstractNumId w:val="19"/>
  </w:num>
  <w:num w:numId="21">
    <w:abstractNumId w:val="42"/>
  </w:num>
  <w:num w:numId="22">
    <w:abstractNumId w:val="37"/>
  </w:num>
  <w:num w:numId="23">
    <w:abstractNumId w:val="27"/>
  </w:num>
  <w:num w:numId="24">
    <w:abstractNumId w:val="39"/>
  </w:num>
  <w:num w:numId="25">
    <w:abstractNumId w:val="8"/>
  </w:num>
  <w:num w:numId="26">
    <w:abstractNumId w:val="13"/>
  </w:num>
  <w:num w:numId="27">
    <w:abstractNumId w:val="40"/>
  </w:num>
  <w:num w:numId="28">
    <w:abstractNumId w:val="22"/>
  </w:num>
  <w:num w:numId="29">
    <w:abstractNumId w:val="9"/>
  </w:num>
  <w:num w:numId="30">
    <w:abstractNumId w:val="41"/>
  </w:num>
  <w:num w:numId="31">
    <w:abstractNumId w:val="12"/>
  </w:num>
  <w:num w:numId="32">
    <w:abstractNumId w:val="38"/>
  </w:num>
  <w:num w:numId="33">
    <w:abstractNumId w:val="33"/>
  </w:num>
  <w:num w:numId="34">
    <w:abstractNumId w:val="23"/>
  </w:num>
  <w:num w:numId="35">
    <w:abstractNumId w:val="17"/>
  </w:num>
  <w:num w:numId="36">
    <w:abstractNumId w:val="1"/>
  </w:num>
  <w:num w:numId="37">
    <w:abstractNumId w:val="6"/>
  </w:num>
  <w:num w:numId="38">
    <w:abstractNumId w:val="43"/>
  </w:num>
  <w:num w:numId="39">
    <w:abstractNumId w:val="26"/>
  </w:num>
  <w:num w:numId="40">
    <w:abstractNumId w:val="10"/>
  </w:num>
  <w:num w:numId="41">
    <w:abstractNumId w:val="30"/>
  </w:num>
  <w:num w:numId="42">
    <w:abstractNumId w:val="16"/>
  </w:num>
  <w:num w:numId="43">
    <w:abstractNumId w:val="28"/>
  </w:num>
  <w:num w:numId="4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QxZGUyMjliMTMzMDQ4ZjUxNjUwMzhlOTdkNjg2NDYifQ=="/>
  </w:docVars>
  <w:rsids>
    <w:rsidRoot w:val="00172A27"/>
    <w:rsid w:val="00000244"/>
    <w:rsid w:val="0000185F"/>
    <w:rsid w:val="000053B0"/>
    <w:rsid w:val="0000586F"/>
    <w:rsid w:val="00006A6E"/>
    <w:rsid w:val="00007432"/>
    <w:rsid w:val="0000799C"/>
    <w:rsid w:val="00007DE9"/>
    <w:rsid w:val="00011EBD"/>
    <w:rsid w:val="0001233B"/>
    <w:rsid w:val="00012DE2"/>
    <w:rsid w:val="0001301D"/>
    <w:rsid w:val="00013D86"/>
    <w:rsid w:val="00013E02"/>
    <w:rsid w:val="000175D6"/>
    <w:rsid w:val="000204AC"/>
    <w:rsid w:val="0002121F"/>
    <w:rsid w:val="0002143C"/>
    <w:rsid w:val="000215FE"/>
    <w:rsid w:val="00025489"/>
    <w:rsid w:val="00025A65"/>
    <w:rsid w:val="00026C31"/>
    <w:rsid w:val="00027280"/>
    <w:rsid w:val="00027869"/>
    <w:rsid w:val="00030602"/>
    <w:rsid w:val="00031263"/>
    <w:rsid w:val="00031D14"/>
    <w:rsid w:val="000320A7"/>
    <w:rsid w:val="000330E5"/>
    <w:rsid w:val="00033FBA"/>
    <w:rsid w:val="00034553"/>
    <w:rsid w:val="00034CE5"/>
    <w:rsid w:val="0003578B"/>
    <w:rsid w:val="00035925"/>
    <w:rsid w:val="0003648E"/>
    <w:rsid w:val="000378F3"/>
    <w:rsid w:val="00037E3D"/>
    <w:rsid w:val="0004077A"/>
    <w:rsid w:val="000432E5"/>
    <w:rsid w:val="00043F8B"/>
    <w:rsid w:val="000456E4"/>
    <w:rsid w:val="00050549"/>
    <w:rsid w:val="000519E5"/>
    <w:rsid w:val="00053025"/>
    <w:rsid w:val="00055016"/>
    <w:rsid w:val="0005676A"/>
    <w:rsid w:val="00056891"/>
    <w:rsid w:val="00060186"/>
    <w:rsid w:val="00061BD7"/>
    <w:rsid w:val="000631E0"/>
    <w:rsid w:val="000651BA"/>
    <w:rsid w:val="0006652B"/>
    <w:rsid w:val="00066E9E"/>
    <w:rsid w:val="00067CDF"/>
    <w:rsid w:val="00070887"/>
    <w:rsid w:val="0007478C"/>
    <w:rsid w:val="00074FBE"/>
    <w:rsid w:val="00075D22"/>
    <w:rsid w:val="00081D80"/>
    <w:rsid w:val="00082A7E"/>
    <w:rsid w:val="00083640"/>
    <w:rsid w:val="000836F4"/>
    <w:rsid w:val="0008379F"/>
    <w:rsid w:val="00083A09"/>
    <w:rsid w:val="00084296"/>
    <w:rsid w:val="00084969"/>
    <w:rsid w:val="00085C2E"/>
    <w:rsid w:val="000873CC"/>
    <w:rsid w:val="00087CA8"/>
    <w:rsid w:val="00087F5D"/>
    <w:rsid w:val="0009005E"/>
    <w:rsid w:val="00090B04"/>
    <w:rsid w:val="00091627"/>
    <w:rsid w:val="00092857"/>
    <w:rsid w:val="00094926"/>
    <w:rsid w:val="000979C3"/>
    <w:rsid w:val="000A20A9"/>
    <w:rsid w:val="000A24CB"/>
    <w:rsid w:val="000A3168"/>
    <w:rsid w:val="000A37C0"/>
    <w:rsid w:val="000A417A"/>
    <w:rsid w:val="000A45C4"/>
    <w:rsid w:val="000A48B1"/>
    <w:rsid w:val="000A5731"/>
    <w:rsid w:val="000A5B5C"/>
    <w:rsid w:val="000A68AB"/>
    <w:rsid w:val="000A7CE1"/>
    <w:rsid w:val="000B0CA9"/>
    <w:rsid w:val="000B2587"/>
    <w:rsid w:val="000B3143"/>
    <w:rsid w:val="000B3C4F"/>
    <w:rsid w:val="000B7ED1"/>
    <w:rsid w:val="000C1A31"/>
    <w:rsid w:val="000C582C"/>
    <w:rsid w:val="000C6B05"/>
    <w:rsid w:val="000C6DD6"/>
    <w:rsid w:val="000C73D4"/>
    <w:rsid w:val="000D1735"/>
    <w:rsid w:val="000D2CF3"/>
    <w:rsid w:val="000D3D4C"/>
    <w:rsid w:val="000D4F51"/>
    <w:rsid w:val="000D6245"/>
    <w:rsid w:val="000D6CFF"/>
    <w:rsid w:val="000D718B"/>
    <w:rsid w:val="000E0C46"/>
    <w:rsid w:val="000E0D69"/>
    <w:rsid w:val="000E1C46"/>
    <w:rsid w:val="000E6566"/>
    <w:rsid w:val="000E6EC9"/>
    <w:rsid w:val="000E78FD"/>
    <w:rsid w:val="000F030C"/>
    <w:rsid w:val="000F129C"/>
    <w:rsid w:val="000F429B"/>
    <w:rsid w:val="000F58B9"/>
    <w:rsid w:val="00100680"/>
    <w:rsid w:val="0010459C"/>
    <w:rsid w:val="00104F16"/>
    <w:rsid w:val="001054EA"/>
    <w:rsid w:val="001056DE"/>
    <w:rsid w:val="00105D6D"/>
    <w:rsid w:val="0010663F"/>
    <w:rsid w:val="001124C0"/>
    <w:rsid w:val="00116FFA"/>
    <w:rsid w:val="001230FD"/>
    <w:rsid w:val="00123FC2"/>
    <w:rsid w:val="00124380"/>
    <w:rsid w:val="00124433"/>
    <w:rsid w:val="00125A8B"/>
    <w:rsid w:val="0013156E"/>
    <w:rsid w:val="0013161C"/>
    <w:rsid w:val="0013175F"/>
    <w:rsid w:val="001322E8"/>
    <w:rsid w:val="0013332E"/>
    <w:rsid w:val="00133887"/>
    <w:rsid w:val="0013554D"/>
    <w:rsid w:val="00137A49"/>
    <w:rsid w:val="00140BBB"/>
    <w:rsid w:val="00140C93"/>
    <w:rsid w:val="0014191A"/>
    <w:rsid w:val="00142131"/>
    <w:rsid w:val="0014319E"/>
    <w:rsid w:val="0014563F"/>
    <w:rsid w:val="00146274"/>
    <w:rsid w:val="00147B89"/>
    <w:rsid w:val="001512B4"/>
    <w:rsid w:val="00151930"/>
    <w:rsid w:val="00152390"/>
    <w:rsid w:val="001534BD"/>
    <w:rsid w:val="00154971"/>
    <w:rsid w:val="001559F2"/>
    <w:rsid w:val="001620A5"/>
    <w:rsid w:val="00162368"/>
    <w:rsid w:val="001629BC"/>
    <w:rsid w:val="00164E53"/>
    <w:rsid w:val="001668AD"/>
    <w:rsid w:val="0016699D"/>
    <w:rsid w:val="00166BED"/>
    <w:rsid w:val="00166CE7"/>
    <w:rsid w:val="00170CFF"/>
    <w:rsid w:val="00172A27"/>
    <w:rsid w:val="001748C0"/>
    <w:rsid w:val="00175159"/>
    <w:rsid w:val="00176208"/>
    <w:rsid w:val="00176AA8"/>
    <w:rsid w:val="00176DCF"/>
    <w:rsid w:val="0018211B"/>
    <w:rsid w:val="00183C89"/>
    <w:rsid w:val="001840D3"/>
    <w:rsid w:val="00185E08"/>
    <w:rsid w:val="00186C51"/>
    <w:rsid w:val="00187759"/>
    <w:rsid w:val="001900F8"/>
    <w:rsid w:val="00190858"/>
    <w:rsid w:val="00191258"/>
    <w:rsid w:val="00192680"/>
    <w:rsid w:val="00193037"/>
    <w:rsid w:val="00193A2C"/>
    <w:rsid w:val="00195A71"/>
    <w:rsid w:val="001A0771"/>
    <w:rsid w:val="001A210A"/>
    <w:rsid w:val="001A288E"/>
    <w:rsid w:val="001A2AF1"/>
    <w:rsid w:val="001A5E1B"/>
    <w:rsid w:val="001B0AA8"/>
    <w:rsid w:val="001B50EB"/>
    <w:rsid w:val="001B5853"/>
    <w:rsid w:val="001B5B9B"/>
    <w:rsid w:val="001B6DC2"/>
    <w:rsid w:val="001B7F45"/>
    <w:rsid w:val="001C149C"/>
    <w:rsid w:val="001C1C23"/>
    <w:rsid w:val="001C1F6B"/>
    <w:rsid w:val="001C21AC"/>
    <w:rsid w:val="001C2381"/>
    <w:rsid w:val="001C2A0D"/>
    <w:rsid w:val="001C2FAA"/>
    <w:rsid w:val="001C47BA"/>
    <w:rsid w:val="001C59EA"/>
    <w:rsid w:val="001D024A"/>
    <w:rsid w:val="001D102C"/>
    <w:rsid w:val="001D25EF"/>
    <w:rsid w:val="001D3894"/>
    <w:rsid w:val="001D3B0B"/>
    <w:rsid w:val="001D3CC9"/>
    <w:rsid w:val="001D406C"/>
    <w:rsid w:val="001D41EE"/>
    <w:rsid w:val="001D6298"/>
    <w:rsid w:val="001D7BE1"/>
    <w:rsid w:val="001E0380"/>
    <w:rsid w:val="001E135E"/>
    <w:rsid w:val="001E13B1"/>
    <w:rsid w:val="001E13E8"/>
    <w:rsid w:val="001E18CF"/>
    <w:rsid w:val="001E35DF"/>
    <w:rsid w:val="001E4196"/>
    <w:rsid w:val="001E4C0E"/>
    <w:rsid w:val="001E563D"/>
    <w:rsid w:val="001E5682"/>
    <w:rsid w:val="001E7022"/>
    <w:rsid w:val="001F3A19"/>
    <w:rsid w:val="001F4068"/>
    <w:rsid w:val="001F68D8"/>
    <w:rsid w:val="00202AA4"/>
    <w:rsid w:val="00203A99"/>
    <w:rsid w:val="00203C28"/>
    <w:rsid w:val="002046D4"/>
    <w:rsid w:val="0020719B"/>
    <w:rsid w:val="0021044D"/>
    <w:rsid w:val="0021158D"/>
    <w:rsid w:val="002139C6"/>
    <w:rsid w:val="00215F0E"/>
    <w:rsid w:val="00215F95"/>
    <w:rsid w:val="00221B0E"/>
    <w:rsid w:val="00221D49"/>
    <w:rsid w:val="002245D5"/>
    <w:rsid w:val="0022543D"/>
    <w:rsid w:val="00225C8E"/>
    <w:rsid w:val="00226814"/>
    <w:rsid w:val="00234467"/>
    <w:rsid w:val="002346F0"/>
    <w:rsid w:val="00237D8D"/>
    <w:rsid w:val="00241DA2"/>
    <w:rsid w:val="00245A0E"/>
    <w:rsid w:val="00246C16"/>
    <w:rsid w:val="00247FEE"/>
    <w:rsid w:val="00250E7D"/>
    <w:rsid w:val="002559A7"/>
    <w:rsid w:val="0025654C"/>
    <w:rsid w:val="002565D5"/>
    <w:rsid w:val="00261E4A"/>
    <w:rsid w:val="002622C0"/>
    <w:rsid w:val="00262BEE"/>
    <w:rsid w:val="002651F4"/>
    <w:rsid w:val="00265267"/>
    <w:rsid w:val="00271195"/>
    <w:rsid w:val="002717C6"/>
    <w:rsid w:val="00271A16"/>
    <w:rsid w:val="0027208C"/>
    <w:rsid w:val="002730EB"/>
    <w:rsid w:val="00274CC1"/>
    <w:rsid w:val="00274D48"/>
    <w:rsid w:val="00276A65"/>
    <w:rsid w:val="002778AE"/>
    <w:rsid w:val="0028129D"/>
    <w:rsid w:val="00281667"/>
    <w:rsid w:val="0028269A"/>
    <w:rsid w:val="00283590"/>
    <w:rsid w:val="0028373D"/>
    <w:rsid w:val="00284F69"/>
    <w:rsid w:val="00286973"/>
    <w:rsid w:val="00292704"/>
    <w:rsid w:val="00292BE5"/>
    <w:rsid w:val="002946B7"/>
    <w:rsid w:val="00294AAC"/>
    <w:rsid w:val="00294E70"/>
    <w:rsid w:val="002A0F5C"/>
    <w:rsid w:val="002A141D"/>
    <w:rsid w:val="002A1924"/>
    <w:rsid w:val="002A56DA"/>
    <w:rsid w:val="002A595F"/>
    <w:rsid w:val="002A629F"/>
    <w:rsid w:val="002A7420"/>
    <w:rsid w:val="002B0F12"/>
    <w:rsid w:val="002B1308"/>
    <w:rsid w:val="002B1D86"/>
    <w:rsid w:val="002B35CC"/>
    <w:rsid w:val="002B4554"/>
    <w:rsid w:val="002B5976"/>
    <w:rsid w:val="002B5B99"/>
    <w:rsid w:val="002C1B99"/>
    <w:rsid w:val="002C2ED6"/>
    <w:rsid w:val="002C6126"/>
    <w:rsid w:val="002C72D8"/>
    <w:rsid w:val="002D11FA"/>
    <w:rsid w:val="002D23FF"/>
    <w:rsid w:val="002D24AC"/>
    <w:rsid w:val="002D322F"/>
    <w:rsid w:val="002D327C"/>
    <w:rsid w:val="002D6055"/>
    <w:rsid w:val="002E0DDF"/>
    <w:rsid w:val="002E2906"/>
    <w:rsid w:val="002E363B"/>
    <w:rsid w:val="002E4928"/>
    <w:rsid w:val="002E50A6"/>
    <w:rsid w:val="002E5635"/>
    <w:rsid w:val="002E64C3"/>
    <w:rsid w:val="002E6A2C"/>
    <w:rsid w:val="002E6EBC"/>
    <w:rsid w:val="002F05A5"/>
    <w:rsid w:val="002F1418"/>
    <w:rsid w:val="002F1D8C"/>
    <w:rsid w:val="002F21DA"/>
    <w:rsid w:val="002F27B3"/>
    <w:rsid w:val="002F3489"/>
    <w:rsid w:val="002F7BE0"/>
    <w:rsid w:val="00301E9E"/>
    <w:rsid w:val="00301F39"/>
    <w:rsid w:val="00304C5F"/>
    <w:rsid w:val="00310A54"/>
    <w:rsid w:val="0031262C"/>
    <w:rsid w:val="0031380D"/>
    <w:rsid w:val="00315B8D"/>
    <w:rsid w:val="00315E5D"/>
    <w:rsid w:val="00317A41"/>
    <w:rsid w:val="00320A43"/>
    <w:rsid w:val="00324677"/>
    <w:rsid w:val="00325926"/>
    <w:rsid w:val="003268D1"/>
    <w:rsid w:val="003277B3"/>
    <w:rsid w:val="00327A8A"/>
    <w:rsid w:val="00331D31"/>
    <w:rsid w:val="00336610"/>
    <w:rsid w:val="00337F11"/>
    <w:rsid w:val="00340FFA"/>
    <w:rsid w:val="00342D92"/>
    <w:rsid w:val="00343F73"/>
    <w:rsid w:val="00344F93"/>
    <w:rsid w:val="00345060"/>
    <w:rsid w:val="00345278"/>
    <w:rsid w:val="00346B94"/>
    <w:rsid w:val="00346FE0"/>
    <w:rsid w:val="00351B28"/>
    <w:rsid w:val="0035323B"/>
    <w:rsid w:val="0035378A"/>
    <w:rsid w:val="00355BDE"/>
    <w:rsid w:val="00356989"/>
    <w:rsid w:val="00356F97"/>
    <w:rsid w:val="003609D2"/>
    <w:rsid w:val="00363F22"/>
    <w:rsid w:val="003654C4"/>
    <w:rsid w:val="003674EB"/>
    <w:rsid w:val="003717D4"/>
    <w:rsid w:val="003742A1"/>
    <w:rsid w:val="003743A2"/>
    <w:rsid w:val="00375564"/>
    <w:rsid w:val="0037729F"/>
    <w:rsid w:val="00377DB7"/>
    <w:rsid w:val="003821A8"/>
    <w:rsid w:val="00382EAB"/>
    <w:rsid w:val="00383191"/>
    <w:rsid w:val="003854DA"/>
    <w:rsid w:val="00386DED"/>
    <w:rsid w:val="003912E7"/>
    <w:rsid w:val="00392703"/>
    <w:rsid w:val="0039273A"/>
    <w:rsid w:val="00393947"/>
    <w:rsid w:val="0039552F"/>
    <w:rsid w:val="003A0757"/>
    <w:rsid w:val="003A170B"/>
    <w:rsid w:val="003A1C6A"/>
    <w:rsid w:val="003A2275"/>
    <w:rsid w:val="003A2A45"/>
    <w:rsid w:val="003A6A4F"/>
    <w:rsid w:val="003A7088"/>
    <w:rsid w:val="003B00DF"/>
    <w:rsid w:val="003B114F"/>
    <w:rsid w:val="003B1275"/>
    <w:rsid w:val="003B1778"/>
    <w:rsid w:val="003B2EAC"/>
    <w:rsid w:val="003B42A4"/>
    <w:rsid w:val="003B4C8A"/>
    <w:rsid w:val="003B5553"/>
    <w:rsid w:val="003B6DF1"/>
    <w:rsid w:val="003C01DE"/>
    <w:rsid w:val="003C11CB"/>
    <w:rsid w:val="003C1D27"/>
    <w:rsid w:val="003C1F63"/>
    <w:rsid w:val="003C24DC"/>
    <w:rsid w:val="003C75F3"/>
    <w:rsid w:val="003C78A3"/>
    <w:rsid w:val="003C7D80"/>
    <w:rsid w:val="003D10CA"/>
    <w:rsid w:val="003D14C0"/>
    <w:rsid w:val="003D6D58"/>
    <w:rsid w:val="003D6FD7"/>
    <w:rsid w:val="003E1867"/>
    <w:rsid w:val="003E3CC1"/>
    <w:rsid w:val="003E42BF"/>
    <w:rsid w:val="003E5729"/>
    <w:rsid w:val="003E5EAE"/>
    <w:rsid w:val="003E6A28"/>
    <w:rsid w:val="003E7514"/>
    <w:rsid w:val="003F2990"/>
    <w:rsid w:val="003F2AF5"/>
    <w:rsid w:val="003F3888"/>
    <w:rsid w:val="003F3E91"/>
    <w:rsid w:val="003F4EE0"/>
    <w:rsid w:val="003F5AC7"/>
    <w:rsid w:val="003F7207"/>
    <w:rsid w:val="004009C8"/>
    <w:rsid w:val="00400E9E"/>
    <w:rsid w:val="00401D60"/>
    <w:rsid w:val="00402153"/>
    <w:rsid w:val="004028D5"/>
    <w:rsid w:val="00402FC1"/>
    <w:rsid w:val="004035C7"/>
    <w:rsid w:val="004046C4"/>
    <w:rsid w:val="00406147"/>
    <w:rsid w:val="00406823"/>
    <w:rsid w:val="004100FE"/>
    <w:rsid w:val="00410EBB"/>
    <w:rsid w:val="00410F8E"/>
    <w:rsid w:val="0041188B"/>
    <w:rsid w:val="004166CB"/>
    <w:rsid w:val="00421E5E"/>
    <w:rsid w:val="00425082"/>
    <w:rsid w:val="00427D04"/>
    <w:rsid w:val="00431DEB"/>
    <w:rsid w:val="0043263E"/>
    <w:rsid w:val="00436B51"/>
    <w:rsid w:val="00440A09"/>
    <w:rsid w:val="004410AF"/>
    <w:rsid w:val="00443515"/>
    <w:rsid w:val="00443D02"/>
    <w:rsid w:val="00444FE4"/>
    <w:rsid w:val="00445E5E"/>
    <w:rsid w:val="00446B29"/>
    <w:rsid w:val="00447308"/>
    <w:rsid w:val="00453F9A"/>
    <w:rsid w:val="00454017"/>
    <w:rsid w:val="00455C6A"/>
    <w:rsid w:val="00455CE5"/>
    <w:rsid w:val="0045691C"/>
    <w:rsid w:val="00462CEC"/>
    <w:rsid w:val="00462E90"/>
    <w:rsid w:val="004632B9"/>
    <w:rsid w:val="00464D1A"/>
    <w:rsid w:val="004650C1"/>
    <w:rsid w:val="0046603C"/>
    <w:rsid w:val="00471E91"/>
    <w:rsid w:val="00473A52"/>
    <w:rsid w:val="00474675"/>
    <w:rsid w:val="0047470C"/>
    <w:rsid w:val="004760BA"/>
    <w:rsid w:val="00480200"/>
    <w:rsid w:val="004837AE"/>
    <w:rsid w:val="00485BDC"/>
    <w:rsid w:val="00490372"/>
    <w:rsid w:val="004906F6"/>
    <w:rsid w:val="0049215C"/>
    <w:rsid w:val="00492D95"/>
    <w:rsid w:val="00493BC3"/>
    <w:rsid w:val="0049613A"/>
    <w:rsid w:val="004969B2"/>
    <w:rsid w:val="00496F58"/>
    <w:rsid w:val="004A35F9"/>
    <w:rsid w:val="004A5FB4"/>
    <w:rsid w:val="004A7F6F"/>
    <w:rsid w:val="004B15D8"/>
    <w:rsid w:val="004B24C1"/>
    <w:rsid w:val="004B5351"/>
    <w:rsid w:val="004B79DD"/>
    <w:rsid w:val="004C292F"/>
    <w:rsid w:val="004C2EE9"/>
    <w:rsid w:val="004C5C89"/>
    <w:rsid w:val="004C711D"/>
    <w:rsid w:val="004C75A1"/>
    <w:rsid w:val="004D1D6D"/>
    <w:rsid w:val="004D25C0"/>
    <w:rsid w:val="004D4F0A"/>
    <w:rsid w:val="004D56B9"/>
    <w:rsid w:val="004E3212"/>
    <w:rsid w:val="004F25FC"/>
    <w:rsid w:val="004F32AA"/>
    <w:rsid w:val="004F49A3"/>
    <w:rsid w:val="004F49F6"/>
    <w:rsid w:val="004F73D0"/>
    <w:rsid w:val="005008F7"/>
    <w:rsid w:val="00500D5A"/>
    <w:rsid w:val="00501741"/>
    <w:rsid w:val="00501F7B"/>
    <w:rsid w:val="005024D2"/>
    <w:rsid w:val="00507C63"/>
    <w:rsid w:val="00510280"/>
    <w:rsid w:val="00512188"/>
    <w:rsid w:val="00512F3E"/>
    <w:rsid w:val="00513425"/>
    <w:rsid w:val="00513D73"/>
    <w:rsid w:val="00514A43"/>
    <w:rsid w:val="005160E3"/>
    <w:rsid w:val="00516319"/>
    <w:rsid w:val="00516C20"/>
    <w:rsid w:val="005174E5"/>
    <w:rsid w:val="00522393"/>
    <w:rsid w:val="00522620"/>
    <w:rsid w:val="00525656"/>
    <w:rsid w:val="00525BC0"/>
    <w:rsid w:val="00527AF7"/>
    <w:rsid w:val="0053046D"/>
    <w:rsid w:val="00532043"/>
    <w:rsid w:val="00532518"/>
    <w:rsid w:val="00532FB0"/>
    <w:rsid w:val="00534764"/>
    <w:rsid w:val="00534C02"/>
    <w:rsid w:val="00535E75"/>
    <w:rsid w:val="00540BCD"/>
    <w:rsid w:val="00541D7D"/>
    <w:rsid w:val="0054264B"/>
    <w:rsid w:val="00543786"/>
    <w:rsid w:val="0054387C"/>
    <w:rsid w:val="00550E1B"/>
    <w:rsid w:val="005533D7"/>
    <w:rsid w:val="00557D42"/>
    <w:rsid w:val="00562246"/>
    <w:rsid w:val="005636DF"/>
    <w:rsid w:val="00563EBE"/>
    <w:rsid w:val="00564C39"/>
    <w:rsid w:val="00565966"/>
    <w:rsid w:val="00570354"/>
    <w:rsid w:val="005703DE"/>
    <w:rsid w:val="00570CF6"/>
    <w:rsid w:val="0057196D"/>
    <w:rsid w:val="0057242D"/>
    <w:rsid w:val="005725BC"/>
    <w:rsid w:val="0057501A"/>
    <w:rsid w:val="00575A21"/>
    <w:rsid w:val="00575F5E"/>
    <w:rsid w:val="00581128"/>
    <w:rsid w:val="0058464E"/>
    <w:rsid w:val="0058610C"/>
    <w:rsid w:val="0059030D"/>
    <w:rsid w:val="00593AE4"/>
    <w:rsid w:val="00593B48"/>
    <w:rsid w:val="00596272"/>
    <w:rsid w:val="005A014D"/>
    <w:rsid w:val="005A01CB"/>
    <w:rsid w:val="005A0D5D"/>
    <w:rsid w:val="005A0D62"/>
    <w:rsid w:val="005A52E4"/>
    <w:rsid w:val="005A58FF"/>
    <w:rsid w:val="005A5EAF"/>
    <w:rsid w:val="005A64C0"/>
    <w:rsid w:val="005A7487"/>
    <w:rsid w:val="005B0023"/>
    <w:rsid w:val="005B0A4B"/>
    <w:rsid w:val="005B182A"/>
    <w:rsid w:val="005B2597"/>
    <w:rsid w:val="005B3C11"/>
    <w:rsid w:val="005B4FF9"/>
    <w:rsid w:val="005B5A19"/>
    <w:rsid w:val="005C0079"/>
    <w:rsid w:val="005C1706"/>
    <w:rsid w:val="005C1C28"/>
    <w:rsid w:val="005C53B2"/>
    <w:rsid w:val="005C6318"/>
    <w:rsid w:val="005C6DB5"/>
    <w:rsid w:val="005D065B"/>
    <w:rsid w:val="005D0D3E"/>
    <w:rsid w:val="005D3001"/>
    <w:rsid w:val="005D39B7"/>
    <w:rsid w:val="005D47E5"/>
    <w:rsid w:val="005D5259"/>
    <w:rsid w:val="005E19E7"/>
    <w:rsid w:val="005E1AC6"/>
    <w:rsid w:val="005E232A"/>
    <w:rsid w:val="005E259F"/>
    <w:rsid w:val="005E59DE"/>
    <w:rsid w:val="005E60CE"/>
    <w:rsid w:val="005F0D35"/>
    <w:rsid w:val="005F3A96"/>
    <w:rsid w:val="005F724D"/>
    <w:rsid w:val="005F7640"/>
    <w:rsid w:val="005F7E9E"/>
    <w:rsid w:val="0060413E"/>
    <w:rsid w:val="0060453F"/>
    <w:rsid w:val="00604B74"/>
    <w:rsid w:val="00607EC9"/>
    <w:rsid w:val="006126C0"/>
    <w:rsid w:val="006128E9"/>
    <w:rsid w:val="006149F1"/>
    <w:rsid w:val="0061716C"/>
    <w:rsid w:val="0062263D"/>
    <w:rsid w:val="006243A1"/>
    <w:rsid w:val="006278EC"/>
    <w:rsid w:val="00630341"/>
    <w:rsid w:val="006305B2"/>
    <w:rsid w:val="0063162D"/>
    <w:rsid w:val="00631E62"/>
    <w:rsid w:val="0063200E"/>
    <w:rsid w:val="0063229D"/>
    <w:rsid w:val="00632E56"/>
    <w:rsid w:val="006353F9"/>
    <w:rsid w:val="00635CBA"/>
    <w:rsid w:val="006372CF"/>
    <w:rsid w:val="006407B5"/>
    <w:rsid w:val="006428DD"/>
    <w:rsid w:val="0064338B"/>
    <w:rsid w:val="00643614"/>
    <w:rsid w:val="00646542"/>
    <w:rsid w:val="006474F5"/>
    <w:rsid w:val="006504F4"/>
    <w:rsid w:val="006507F4"/>
    <w:rsid w:val="00651F45"/>
    <w:rsid w:val="00654BC9"/>
    <w:rsid w:val="006552CA"/>
    <w:rsid w:val="006552FD"/>
    <w:rsid w:val="0065690F"/>
    <w:rsid w:val="006571F2"/>
    <w:rsid w:val="00663AF3"/>
    <w:rsid w:val="006660CE"/>
    <w:rsid w:val="00666B6C"/>
    <w:rsid w:val="00666C42"/>
    <w:rsid w:val="0066776B"/>
    <w:rsid w:val="0066799C"/>
    <w:rsid w:val="00671963"/>
    <w:rsid w:val="00674E9D"/>
    <w:rsid w:val="00675F88"/>
    <w:rsid w:val="00676405"/>
    <w:rsid w:val="006771DF"/>
    <w:rsid w:val="00682682"/>
    <w:rsid w:val="00682702"/>
    <w:rsid w:val="00682CAE"/>
    <w:rsid w:val="00682DF1"/>
    <w:rsid w:val="00684333"/>
    <w:rsid w:val="00687003"/>
    <w:rsid w:val="0068761D"/>
    <w:rsid w:val="00687A8A"/>
    <w:rsid w:val="00692368"/>
    <w:rsid w:val="00692DB1"/>
    <w:rsid w:val="00693782"/>
    <w:rsid w:val="00693C38"/>
    <w:rsid w:val="00693D37"/>
    <w:rsid w:val="006959D6"/>
    <w:rsid w:val="006A0055"/>
    <w:rsid w:val="006A01CA"/>
    <w:rsid w:val="006A0D44"/>
    <w:rsid w:val="006A160C"/>
    <w:rsid w:val="006A1AB3"/>
    <w:rsid w:val="006A227E"/>
    <w:rsid w:val="006A2EBC"/>
    <w:rsid w:val="006A5EA0"/>
    <w:rsid w:val="006A783B"/>
    <w:rsid w:val="006A7B33"/>
    <w:rsid w:val="006B0130"/>
    <w:rsid w:val="006B020F"/>
    <w:rsid w:val="006B1BCD"/>
    <w:rsid w:val="006B204A"/>
    <w:rsid w:val="006B2306"/>
    <w:rsid w:val="006B2CB6"/>
    <w:rsid w:val="006B4E13"/>
    <w:rsid w:val="006B61FC"/>
    <w:rsid w:val="006B6203"/>
    <w:rsid w:val="006B75DD"/>
    <w:rsid w:val="006C08B7"/>
    <w:rsid w:val="006C145F"/>
    <w:rsid w:val="006C1A24"/>
    <w:rsid w:val="006C2666"/>
    <w:rsid w:val="006C4CFF"/>
    <w:rsid w:val="006C62D5"/>
    <w:rsid w:val="006C67E0"/>
    <w:rsid w:val="006C7ABA"/>
    <w:rsid w:val="006D0D60"/>
    <w:rsid w:val="006D1122"/>
    <w:rsid w:val="006D2090"/>
    <w:rsid w:val="006D2F81"/>
    <w:rsid w:val="006D3C00"/>
    <w:rsid w:val="006D4330"/>
    <w:rsid w:val="006D5156"/>
    <w:rsid w:val="006D6CF4"/>
    <w:rsid w:val="006E05BB"/>
    <w:rsid w:val="006E11C4"/>
    <w:rsid w:val="006E2AF4"/>
    <w:rsid w:val="006E3675"/>
    <w:rsid w:val="006E431E"/>
    <w:rsid w:val="006E4A7F"/>
    <w:rsid w:val="006E4BEC"/>
    <w:rsid w:val="006E59DB"/>
    <w:rsid w:val="006F12C6"/>
    <w:rsid w:val="006F2082"/>
    <w:rsid w:val="006F39FB"/>
    <w:rsid w:val="006F5451"/>
    <w:rsid w:val="006F7139"/>
    <w:rsid w:val="006F75ED"/>
    <w:rsid w:val="00701D24"/>
    <w:rsid w:val="007045DE"/>
    <w:rsid w:val="00704DF6"/>
    <w:rsid w:val="0070651C"/>
    <w:rsid w:val="00710440"/>
    <w:rsid w:val="007124B8"/>
    <w:rsid w:val="00712A29"/>
    <w:rsid w:val="007132A3"/>
    <w:rsid w:val="007134EB"/>
    <w:rsid w:val="0071447D"/>
    <w:rsid w:val="00715A69"/>
    <w:rsid w:val="00716421"/>
    <w:rsid w:val="007248B4"/>
    <w:rsid w:val="00724EFB"/>
    <w:rsid w:val="00725FD8"/>
    <w:rsid w:val="00726FFE"/>
    <w:rsid w:val="0073036F"/>
    <w:rsid w:val="007334E0"/>
    <w:rsid w:val="00736C24"/>
    <w:rsid w:val="007419C3"/>
    <w:rsid w:val="0074261B"/>
    <w:rsid w:val="00744814"/>
    <w:rsid w:val="00744F22"/>
    <w:rsid w:val="007454DE"/>
    <w:rsid w:val="00745EE3"/>
    <w:rsid w:val="007467A7"/>
    <w:rsid w:val="007469DD"/>
    <w:rsid w:val="0074741B"/>
    <w:rsid w:val="0074759E"/>
    <w:rsid w:val="007478EA"/>
    <w:rsid w:val="007500DC"/>
    <w:rsid w:val="0075415C"/>
    <w:rsid w:val="007549D1"/>
    <w:rsid w:val="00756937"/>
    <w:rsid w:val="00756A6C"/>
    <w:rsid w:val="00762B7C"/>
    <w:rsid w:val="00763502"/>
    <w:rsid w:val="00763B74"/>
    <w:rsid w:val="00766ABD"/>
    <w:rsid w:val="00770A68"/>
    <w:rsid w:val="0077339F"/>
    <w:rsid w:val="00774FCA"/>
    <w:rsid w:val="00780812"/>
    <w:rsid w:val="00781A03"/>
    <w:rsid w:val="007823C1"/>
    <w:rsid w:val="007863B8"/>
    <w:rsid w:val="007909D8"/>
    <w:rsid w:val="007913AB"/>
    <w:rsid w:val="007914F7"/>
    <w:rsid w:val="007972CC"/>
    <w:rsid w:val="00797409"/>
    <w:rsid w:val="007A1051"/>
    <w:rsid w:val="007A17DD"/>
    <w:rsid w:val="007A6D6B"/>
    <w:rsid w:val="007B1625"/>
    <w:rsid w:val="007B2949"/>
    <w:rsid w:val="007B3631"/>
    <w:rsid w:val="007B4AAB"/>
    <w:rsid w:val="007B5A52"/>
    <w:rsid w:val="007B65F0"/>
    <w:rsid w:val="007B6C5B"/>
    <w:rsid w:val="007B706E"/>
    <w:rsid w:val="007B71EB"/>
    <w:rsid w:val="007B7457"/>
    <w:rsid w:val="007B7A39"/>
    <w:rsid w:val="007C1A4D"/>
    <w:rsid w:val="007C24C3"/>
    <w:rsid w:val="007C6205"/>
    <w:rsid w:val="007C6359"/>
    <w:rsid w:val="007C686A"/>
    <w:rsid w:val="007C728E"/>
    <w:rsid w:val="007C7EA8"/>
    <w:rsid w:val="007C7F3F"/>
    <w:rsid w:val="007D2C53"/>
    <w:rsid w:val="007D3D60"/>
    <w:rsid w:val="007D5174"/>
    <w:rsid w:val="007D66C9"/>
    <w:rsid w:val="007D6B2A"/>
    <w:rsid w:val="007E1980"/>
    <w:rsid w:val="007E1EEB"/>
    <w:rsid w:val="007E4B76"/>
    <w:rsid w:val="007E4BED"/>
    <w:rsid w:val="007E5EA8"/>
    <w:rsid w:val="007E6D5E"/>
    <w:rsid w:val="007F052A"/>
    <w:rsid w:val="007F0CF1"/>
    <w:rsid w:val="007F12A5"/>
    <w:rsid w:val="007F1923"/>
    <w:rsid w:val="007F26FD"/>
    <w:rsid w:val="007F4CF1"/>
    <w:rsid w:val="007F74E8"/>
    <w:rsid w:val="007F758D"/>
    <w:rsid w:val="007F7D52"/>
    <w:rsid w:val="00801608"/>
    <w:rsid w:val="00802672"/>
    <w:rsid w:val="0080423A"/>
    <w:rsid w:val="00804503"/>
    <w:rsid w:val="0080453F"/>
    <w:rsid w:val="0080654C"/>
    <w:rsid w:val="00806796"/>
    <w:rsid w:val="008071C6"/>
    <w:rsid w:val="0080769E"/>
    <w:rsid w:val="00812D4B"/>
    <w:rsid w:val="00813900"/>
    <w:rsid w:val="00814471"/>
    <w:rsid w:val="00815D7E"/>
    <w:rsid w:val="00817A00"/>
    <w:rsid w:val="008203B6"/>
    <w:rsid w:val="0082108D"/>
    <w:rsid w:val="00821CAE"/>
    <w:rsid w:val="00822158"/>
    <w:rsid w:val="008235F0"/>
    <w:rsid w:val="00825DC3"/>
    <w:rsid w:val="00831AA2"/>
    <w:rsid w:val="00834220"/>
    <w:rsid w:val="00835DB3"/>
    <w:rsid w:val="0083617B"/>
    <w:rsid w:val="008370D2"/>
    <w:rsid w:val="008371BD"/>
    <w:rsid w:val="00841E8E"/>
    <w:rsid w:val="0084297F"/>
    <w:rsid w:val="00843283"/>
    <w:rsid w:val="008446E3"/>
    <w:rsid w:val="008447FF"/>
    <w:rsid w:val="00844A26"/>
    <w:rsid w:val="008504A8"/>
    <w:rsid w:val="0085202D"/>
    <w:rsid w:val="00852108"/>
    <w:rsid w:val="0085282E"/>
    <w:rsid w:val="008652BC"/>
    <w:rsid w:val="0086605E"/>
    <w:rsid w:val="00867FDC"/>
    <w:rsid w:val="0087198C"/>
    <w:rsid w:val="00872C1F"/>
    <w:rsid w:val="008735C6"/>
    <w:rsid w:val="00873B42"/>
    <w:rsid w:val="00873F6C"/>
    <w:rsid w:val="008768B0"/>
    <w:rsid w:val="00885446"/>
    <w:rsid w:val="008856D8"/>
    <w:rsid w:val="00885AD8"/>
    <w:rsid w:val="00885F7A"/>
    <w:rsid w:val="0089069C"/>
    <w:rsid w:val="008916C2"/>
    <w:rsid w:val="00892E82"/>
    <w:rsid w:val="00893D49"/>
    <w:rsid w:val="00896411"/>
    <w:rsid w:val="00896E69"/>
    <w:rsid w:val="008A1536"/>
    <w:rsid w:val="008A236D"/>
    <w:rsid w:val="008A46D1"/>
    <w:rsid w:val="008A753A"/>
    <w:rsid w:val="008A75BD"/>
    <w:rsid w:val="008B276C"/>
    <w:rsid w:val="008B3473"/>
    <w:rsid w:val="008B7032"/>
    <w:rsid w:val="008C06EB"/>
    <w:rsid w:val="008C1B4A"/>
    <w:rsid w:val="008C1B58"/>
    <w:rsid w:val="008C1E50"/>
    <w:rsid w:val="008C26D3"/>
    <w:rsid w:val="008C39AE"/>
    <w:rsid w:val="008C54F4"/>
    <w:rsid w:val="008C590D"/>
    <w:rsid w:val="008C67C7"/>
    <w:rsid w:val="008C6F06"/>
    <w:rsid w:val="008C782C"/>
    <w:rsid w:val="008D0215"/>
    <w:rsid w:val="008D06E7"/>
    <w:rsid w:val="008D1911"/>
    <w:rsid w:val="008D2FAF"/>
    <w:rsid w:val="008D3E2C"/>
    <w:rsid w:val="008D55FD"/>
    <w:rsid w:val="008D564F"/>
    <w:rsid w:val="008D565B"/>
    <w:rsid w:val="008D6781"/>
    <w:rsid w:val="008D72AE"/>
    <w:rsid w:val="008D758F"/>
    <w:rsid w:val="008E031B"/>
    <w:rsid w:val="008E059C"/>
    <w:rsid w:val="008E1C59"/>
    <w:rsid w:val="008E581A"/>
    <w:rsid w:val="008E5E48"/>
    <w:rsid w:val="008E7029"/>
    <w:rsid w:val="008E7749"/>
    <w:rsid w:val="008E7EF6"/>
    <w:rsid w:val="008F0092"/>
    <w:rsid w:val="008F1F98"/>
    <w:rsid w:val="008F329C"/>
    <w:rsid w:val="008F4675"/>
    <w:rsid w:val="008F650E"/>
    <w:rsid w:val="008F6758"/>
    <w:rsid w:val="008F692D"/>
    <w:rsid w:val="008F716A"/>
    <w:rsid w:val="00900275"/>
    <w:rsid w:val="00903C64"/>
    <w:rsid w:val="009040DD"/>
    <w:rsid w:val="00904828"/>
    <w:rsid w:val="00905B47"/>
    <w:rsid w:val="009072C5"/>
    <w:rsid w:val="00911190"/>
    <w:rsid w:val="00913224"/>
    <w:rsid w:val="0091331C"/>
    <w:rsid w:val="00913C85"/>
    <w:rsid w:val="00915E33"/>
    <w:rsid w:val="00921F4F"/>
    <w:rsid w:val="00922992"/>
    <w:rsid w:val="00924134"/>
    <w:rsid w:val="009257CC"/>
    <w:rsid w:val="00927443"/>
    <w:rsid w:val="009279DE"/>
    <w:rsid w:val="00930116"/>
    <w:rsid w:val="00930D34"/>
    <w:rsid w:val="00935495"/>
    <w:rsid w:val="00936757"/>
    <w:rsid w:val="00937554"/>
    <w:rsid w:val="0094212C"/>
    <w:rsid w:val="009438A2"/>
    <w:rsid w:val="0094647C"/>
    <w:rsid w:val="009468EF"/>
    <w:rsid w:val="0095100A"/>
    <w:rsid w:val="009543BE"/>
    <w:rsid w:val="0095442D"/>
    <w:rsid w:val="00954689"/>
    <w:rsid w:val="00955A90"/>
    <w:rsid w:val="00955E6E"/>
    <w:rsid w:val="0095662C"/>
    <w:rsid w:val="009617C9"/>
    <w:rsid w:val="00961C93"/>
    <w:rsid w:val="00963DD4"/>
    <w:rsid w:val="00965324"/>
    <w:rsid w:val="0097058A"/>
    <w:rsid w:val="0097091E"/>
    <w:rsid w:val="009739DE"/>
    <w:rsid w:val="009760D3"/>
    <w:rsid w:val="009770CC"/>
    <w:rsid w:val="00977132"/>
    <w:rsid w:val="009805EA"/>
    <w:rsid w:val="0098100A"/>
    <w:rsid w:val="00981A4B"/>
    <w:rsid w:val="00982501"/>
    <w:rsid w:val="00986B9C"/>
    <w:rsid w:val="009877D3"/>
    <w:rsid w:val="00987806"/>
    <w:rsid w:val="00990471"/>
    <w:rsid w:val="00990746"/>
    <w:rsid w:val="0099200F"/>
    <w:rsid w:val="00992CA5"/>
    <w:rsid w:val="009939DD"/>
    <w:rsid w:val="00994E8F"/>
    <w:rsid w:val="009951DC"/>
    <w:rsid w:val="009958CA"/>
    <w:rsid w:val="009959BB"/>
    <w:rsid w:val="0099714D"/>
    <w:rsid w:val="00997158"/>
    <w:rsid w:val="009A1324"/>
    <w:rsid w:val="009A2D72"/>
    <w:rsid w:val="009A3A7C"/>
    <w:rsid w:val="009A6F7F"/>
    <w:rsid w:val="009A7597"/>
    <w:rsid w:val="009B2293"/>
    <w:rsid w:val="009B2ADB"/>
    <w:rsid w:val="009B603A"/>
    <w:rsid w:val="009B756D"/>
    <w:rsid w:val="009C0054"/>
    <w:rsid w:val="009C0608"/>
    <w:rsid w:val="009C0DF3"/>
    <w:rsid w:val="009C2D0E"/>
    <w:rsid w:val="009C3814"/>
    <w:rsid w:val="009C3DAC"/>
    <w:rsid w:val="009C42E0"/>
    <w:rsid w:val="009C6B8E"/>
    <w:rsid w:val="009D206E"/>
    <w:rsid w:val="009D42F1"/>
    <w:rsid w:val="009D5362"/>
    <w:rsid w:val="009D7D2E"/>
    <w:rsid w:val="009E1415"/>
    <w:rsid w:val="009E4D58"/>
    <w:rsid w:val="009E60F2"/>
    <w:rsid w:val="009E6116"/>
    <w:rsid w:val="009F096B"/>
    <w:rsid w:val="009F14AB"/>
    <w:rsid w:val="009F31C5"/>
    <w:rsid w:val="00A020A7"/>
    <w:rsid w:val="00A02E43"/>
    <w:rsid w:val="00A036F9"/>
    <w:rsid w:val="00A04762"/>
    <w:rsid w:val="00A051F5"/>
    <w:rsid w:val="00A05ACB"/>
    <w:rsid w:val="00A05F3A"/>
    <w:rsid w:val="00A065F9"/>
    <w:rsid w:val="00A07F34"/>
    <w:rsid w:val="00A10EDD"/>
    <w:rsid w:val="00A12E22"/>
    <w:rsid w:val="00A13FFC"/>
    <w:rsid w:val="00A14968"/>
    <w:rsid w:val="00A16306"/>
    <w:rsid w:val="00A22154"/>
    <w:rsid w:val="00A24CA6"/>
    <w:rsid w:val="00A25C38"/>
    <w:rsid w:val="00A26CC4"/>
    <w:rsid w:val="00A27CA2"/>
    <w:rsid w:val="00A31C69"/>
    <w:rsid w:val="00A324E9"/>
    <w:rsid w:val="00A3328C"/>
    <w:rsid w:val="00A3618A"/>
    <w:rsid w:val="00A36B07"/>
    <w:rsid w:val="00A36BBE"/>
    <w:rsid w:val="00A37E7F"/>
    <w:rsid w:val="00A403E4"/>
    <w:rsid w:val="00A40DA4"/>
    <w:rsid w:val="00A4175A"/>
    <w:rsid w:val="00A417C1"/>
    <w:rsid w:val="00A4307A"/>
    <w:rsid w:val="00A45884"/>
    <w:rsid w:val="00A46208"/>
    <w:rsid w:val="00A47EBB"/>
    <w:rsid w:val="00A5103A"/>
    <w:rsid w:val="00A51890"/>
    <w:rsid w:val="00A51CDD"/>
    <w:rsid w:val="00A542D0"/>
    <w:rsid w:val="00A54FD3"/>
    <w:rsid w:val="00A5580E"/>
    <w:rsid w:val="00A5714F"/>
    <w:rsid w:val="00A62EA1"/>
    <w:rsid w:val="00A6457A"/>
    <w:rsid w:val="00A66513"/>
    <w:rsid w:val="00A6730D"/>
    <w:rsid w:val="00A70562"/>
    <w:rsid w:val="00A7086D"/>
    <w:rsid w:val="00A70B14"/>
    <w:rsid w:val="00A71074"/>
    <w:rsid w:val="00A71625"/>
    <w:rsid w:val="00A71B9B"/>
    <w:rsid w:val="00A72534"/>
    <w:rsid w:val="00A751C7"/>
    <w:rsid w:val="00A75AE0"/>
    <w:rsid w:val="00A769E6"/>
    <w:rsid w:val="00A77E57"/>
    <w:rsid w:val="00A80D1E"/>
    <w:rsid w:val="00A8178C"/>
    <w:rsid w:val="00A81974"/>
    <w:rsid w:val="00A82E0D"/>
    <w:rsid w:val="00A82FD1"/>
    <w:rsid w:val="00A836A4"/>
    <w:rsid w:val="00A84780"/>
    <w:rsid w:val="00A84816"/>
    <w:rsid w:val="00A86922"/>
    <w:rsid w:val="00A873DE"/>
    <w:rsid w:val="00A87798"/>
    <w:rsid w:val="00A87844"/>
    <w:rsid w:val="00A95699"/>
    <w:rsid w:val="00A977ED"/>
    <w:rsid w:val="00AA038C"/>
    <w:rsid w:val="00AA29AA"/>
    <w:rsid w:val="00AA3705"/>
    <w:rsid w:val="00AA7A09"/>
    <w:rsid w:val="00AB3235"/>
    <w:rsid w:val="00AB3B1C"/>
    <w:rsid w:val="00AB3B50"/>
    <w:rsid w:val="00AB4665"/>
    <w:rsid w:val="00AB5E69"/>
    <w:rsid w:val="00AB5FFA"/>
    <w:rsid w:val="00AB78F9"/>
    <w:rsid w:val="00AC05B1"/>
    <w:rsid w:val="00AC05C9"/>
    <w:rsid w:val="00AC06A3"/>
    <w:rsid w:val="00AC08AB"/>
    <w:rsid w:val="00AC164A"/>
    <w:rsid w:val="00AC3B75"/>
    <w:rsid w:val="00AC5220"/>
    <w:rsid w:val="00AC59A4"/>
    <w:rsid w:val="00AC5D4C"/>
    <w:rsid w:val="00AC63DF"/>
    <w:rsid w:val="00AD356C"/>
    <w:rsid w:val="00AD5177"/>
    <w:rsid w:val="00AD5A2E"/>
    <w:rsid w:val="00AD6053"/>
    <w:rsid w:val="00AD62FE"/>
    <w:rsid w:val="00AD6BB9"/>
    <w:rsid w:val="00AD7634"/>
    <w:rsid w:val="00AD7D5B"/>
    <w:rsid w:val="00AE0EE4"/>
    <w:rsid w:val="00AE2914"/>
    <w:rsid w:val="00AE33F9"/>
    <w:rsid w:val="00AE375D"/>
    <w:rsid w:val="00AE4FD7"/>
    <w:rsid w:val="00AE6035"/>
    <w:rsid w:val="00AE647E"/>
    <w:rsid w:val="00AE6D15"/>
    <w:rsid w:val="00AE7097"/>
    <w:rsid w:val="00AE7116"/>
    <w:rsid w:val="00AE7AC7"/>
    <w:rsid w:val="00AF122C"/>
    <w:rsid w:val="00AF128B"/>
    <w:rsid w:val="00AF28B2"/>
    <w:rsid w:val="00AF3D92"/>
    <w:rsid w:val="00AF5774"/>
    <w:rsid w:val="00B00E13"/>
    <w:rsid w:val="00B017DA"/>
    <w:rsid w:val="00B02CB7"/>
    <w:rsid w:val="00B04182"/>
    <w:rsid w:val="00B05887"/>
    <w:rsid w:val="00B06C4F"/>
    <w:rsid w:val="00B07AE3"/>
    <w:rsid w:val="00B07CCD"/>
    <w:rsid w:val="00B10718"/>
    <w:rsid w:val="00B10F81"/>
    <w:rsid w:val="00B11430"/>
    <w:rsid w:val="00B11D69"/>
    <w:rsid w:val="00B11EF6"/>
    <w:rsid w:val="00B14289"/>
    <w:rsid w:val="00B1718F"/>
    <w:rsid w:val="00B23A84"/>
    <w:rsid w:val="00B242BD"/>
    <w:rsid w:val="00B26FAF"/>
    <w:rsid w:val="00B353EB"/>
    <w:rsid w:val="00B3550C"/>
    <w:rsid w:val="00B3613F"/>
    <w:rsid w:val="00B402AB"/>
    <w:rsid w:val="00B439C4"/>
    <w:rsid w:val="00B4535E"/>
    <w:rsid w:val="00B517F0"/>
    <w:rsid w:val="00B51CF0"/>
    <w:rsid w:val="00B52554"/>
    <w:rsid w:val="00B52A8C"/>
    <w:rsid w:val="00B5449E"/>
    <w:rsid w:val="00B56A98"/>
    <w:rsid w:val="00B57EF4"/>
    <w:rsid w:val="00B61351"/>
    <w:rsid w:val="00B61764"/>
    <w:rsid w:val="00B624C8"/>
    <w:rsid w:val="00B636A8"/>
    <w:rsid w:val="00B6444E"/>
    <w:rsid w:val="00B665C6"/>
    <w:rsid w:val="00B7048A"/>
    <w:rsid w:val="00B70A90"/>
    <w:rsid w:val="00B711D1"/>
    <w:rsid w:val="00B71E88"/>
    <w:rsid w:val="00B7534A"/>
    <w:rsid w:val="00B805AF"/>
    <w:rsid w:val="00B82543"/>
    <w:rsid w:val="00B869EC"/>
    <w:rsid w:val="00B86D82"/>
    <w:rsid w:val="00B86DC7"/>
    <w:rsid w:val="00B91C4A"/>
    <w:rsid w:val="00B93704"/>
    <w:rsid w:val="00B9397A"/>
    <w:rsid w:val="00B939D2"/>
    <w:rsid w:val="00B9633D"/>
    <w:rsid w:val="00BA0447"/>
    <w:rsid w:val="00BA0B75"/>
    <w:rsid w:val="00BA1C07"/>
    <w:rsid w:val="00BA2810"/>
    <w:rsid w:val="00BA29A2"/>
    <w:rsid w:val="00BA2EBE"/>
    <w:rsid w:val="00BA6962"/>
    <w:rsid w:val="00BA6D23"/>
    <w:rsid w:val="00BB0E1E"/>
    <w:rsid w:val="00BB0F28"/>
    <w:rsid w:val="00BB2720"/>
    <w:rsid w:val="00BB2F33"/>
    <w:rsid w:val="00BB3ED1"/>
    <w:rsid w:val="00BB458A"/>
    <w:rsid w:val="00BB7251"/>
    <w:rsid w:val="00BB73FC"/>
    <w:rsid w:val="00BB7A92"/>
    <w:rsid w:val="00BC17FE"/>
    <w:rsid w:val="00BC256C"/>
    <w:rsid w:val="00BC2D92"/>
    <w:rsid w:val="00BC6A9F"/>
    <w:rsid w:val="00BD00D3"/>
    <w:rsid w:val="00BD0356"/>
    <w:rsid w:val="00BD0785"/>
    <w:rsid w:val="00BD1659"/>
    <w:rsid w:val="00BD3AA9"/>
    <w:rsid w:val="00BD4A18"/>
    <w:rsid w:val="00BD5ABE"/>
    <w:rsid w:val="00BD69A8"/>
    <w:rsid w:val="00BD6DB2"/>
    <w:rsid w:val="00BD7165"/>
    <w:rsid w:val="00BD79B5"/>
    <w:rsid w:val="00BE11CF"/>
    <w:rsid w:val="00BE21AB"/>
    <w:rsid w:val="00BE4DC9"/>
    <w:rsid w:val="00BE55CB"/>
    <w:rsid w:val="00BF617A"/>
    <w:rsid w:val="00BF6FCE"/>
    <w:rsid w:val="00BF7E3E"/>
    <w:rsid w:val="00C001EE"/>
    <w:rsid w:val="00C00794"/>
    <w:rsid w:val="00C01210"/>
    <w:rsid w:val="00C0349C"/>
    <w:rsid w:val="00C0378F"/>
    <w:rsid w:val="00C0379D"/>
    <w:rsid w:val="00C038E9"/>
    <w:rsid w:val="00C03931"/>
    <w:rsid w:val="00C04D89"/>
    <w:rsid w:val="00C05A76"/>
    <w:rsid w:val="00C05FE3"/>
    <w:rsid w:val="00C10708"/>
    <w:rsid w:val="00C153C6"/>
    <w:rsid w:val="00C1634B"/>
    <w:rsid w:val="00C20250"/>
    <w:rsid w:val="00C2136D"/>
    <w:rsid w:val="00C214EE"/>
    <w:rsid w:val="00C22DA9"/>
    <w:rsid w:val="00C2314B"/>
    <w:rsid w:val="00C24971"/>
    <w:rsid w:val="00C26BE5"/>
    <w:rsid w:val="00C26E4D"/>
    <w:rsid w:val="00C27357"/>
    <w:rsid w:val="00C27909"/>
    <w:rsid w:val="00C27B03"/>
    <w:rsid w:val="00C3076F"/>
    <w:rsid w:val="00C30D69"/>
    <w:rsid w:val="00C314E1"/>
    <w:rsid w:val="00C34397"/>
    <w:rsid w:val="00C34927"/>
    <w:rsid w:val="00C34E41"/>
    <w:rsid w:val="00C361CD"/>
    <w:rsid w:val="00C36205"/>
    <w:rsid w:val="00C36721"/>
    <w:rsid w:val="00C368BE"/>
    <w:rsid w:val="00C36EE5"/>
    <w:rsid w:val="00C3788B"/>
    <w:rsid w:val="00C4095D"/>
    <w:rsid w:val="00C447C4"/>
    <w:rsid w:val="00C4529D"/>
    <w:rsid w:val="00C47D1A"/>
    <w:rsid w:val="00C528D4"/>
    <w:rsid w:val="00C53475"/>
    <w:rsid w:val="00C55A36"/>
    <w:rsid w:val="00C601D2"/>
    <w:rsid w:val="00C65BCC"/>
    <w:rsid w:val="00C65FBC"/>
    <w:rsid w:val="00C66970"/>
    <w:rsid w:val="00C70B3C"/>
    <w:rsid w:val="00C732CC"/>
    <w:rsid w:val="00C746FB"/>
    <w:rsid w:val="00C74886"/>
    <w:rsid w:val="00C77C2E"/>
    <w:rsid w:val="00C8288E"/>
    <w:rsid w:val="00C8340D"/>
    <w:rsid w:val="00C837DC"/>
    <w:rsid w:val="00C85A67"/>
    <w:rsid w:val="00C8691C"/>
    <w:rsid w:val="00C8772C"/>
    <w:rsid w:val="00C906E9"/>
    <w:rsid w:val="00C93987"/>
    <w:rsid w:val="00C94226"/>
    <w:rsid w:val="00C952D7"/>
    <w:rsid w:val="00C97F28"/>
    <w:rsid w:val="00CA046B"/>
    <w:rsid w:val="00CA1225"/>
    <w:rsid w:val="00CA15B9"/>
    <w:rsid w:val="00CA168A"/>
    <w:rsid w:val="00CA3025"/>
    <w:rsid w:val="00CA357E"/>
    <w:rsid w:val="00CA417A"/>
    <w:rsid w:val="00CA44F9"/>
    <w:rsid w:val="00CA49C9"/>
    <w:rsid w:val="00CA4A69"/>
    <w:rsid w:val="00CB2D56"/>
    <w:rsid w:val="00CB2E75"/>
    <w:rsid w:val="00CB40ED"/>
    <w:rsid w:val="00CB6968"/>
    <w:rsid w:val="00CB6E9C"/>
    <w:rsid w:val="00CC0922"/>
    <w:rsid w:val="00CC3E0C"/>
    <w:rsid w:val="00CC4599"/>
    <w:rsid w:val="00CC56E2"/>
    <w:rsid w:val="00CC58D3"/>
    <w:rsid w:val="00CC6BC3"/>
    <w:rsid w:val="00CC784D"/>
    <w:rsid w:val="00CD11F7"/>
    <w:rsid w:val="00CD2990"/>
    <w:rsid w:val="00CD7858"/>
    <w:rsid w:val="00CE0024"/>
    <w:rsid w:val="00CE095F"/>
    <w:rsid w:val="00CE287F"/>
    <w:rsid w:val="00CE2DDE"/>
    <w:rsid w:val="00CE50BB"/>
    <w:rsid w:val="00CE5BF1"/>
    <w:rsid w:val="00CE6079"/>
    <w:rsid w:val="00CE6C85"/>
    <w:rsid w:val="00CE712E"/>
    <w:rsid w:val="00CE7211"/>
    <w:rsid w:val="00CF1B01"/>
    <w:rsid w:val="00CF2C7A"/>
    <w:rsid w:val="00CF425A"/>
    <w:rsid w:val="00CF4B8D"/>
    <w:rsid w:val="00CF50A6"/>
    <w:rsid w:val="00CF51BD"/>
    <w:rsid w:val="00CF5580"/>
    <w:rsid w:val="00CF56F7"/>
    <w:rsid w:val="00CF753D"/>
    <w:rsid w:val="00D00C42"/>
    <w:rsid w:val="00D01A9E"/>
    <w:rsid w:val="00D02467"/>
    <w:rsid w:val="00D0337B"/>
    <w:rsid w:val="00D04DD5"/>
    <w:rsid w:val="00D079B2"/>
    <w:rsid w:val="00D114E9"/>
    <w:rsid w:val="00D116CD"/>
    <w:rsid w:val="00D11C0C"/>
    <w:rsid w:val="00D12E76"/>
    <w:rsid w:val="00D1417A"/>
    <w:rsid w:val="00D174F2"/>
    <w:rsid w:val="00D17A82"/>
    <w:rsid w:val="00D20C18"/>
    <w:rsid w:val="00D23FBF"/>
    <w:rsid w:val="00D258AB"/>
    <w:rsid w:val="00D30301"/>
    <w:rsid w:val="00D324D3"/>
    <w:rsid w:val="00D362A9"/>
    <w:rsid w:val="00D36907"/>
    <w:rsid w:val="00D42827"/>
    <w:rsid w:val="00D428C1"/>
    <w:rsid w:val="00D429C6"/>
    <w:rsid w:val="00D44827"/>
    <w:rsid w:val="00D46256"/>
    <w:rsid w:val="00D4628B"/>
    <w:rsid w:val="00D47748"/>
    <w:rsid w:val="00D4790D"/>
    <w:rsid w:val="00D523CD"/>
    <w:rsid w:val="00D54CC3"/>
    <w:rsid w:val="00D57710"/>
    <w:rsid w:val="00D603DE"/>
    <w:rsid w:val="00D6041A"/>
    <w:rsid w:val="00D62B03"/>
    <w:rsid w:val="00D62B04"/>
    <w:rsid w:val="00D633EB"/>
    <w:rsid w:val="00D650D8"/>
    <w:rsid w:val="00D65A9F"/>
    <w:rsid w:val="00D65AA1"/>
    <w:rsid w:val="00D66B2B"/>
    <w:rsid w:val="00D6739B"/>
    <w:rsid w:val="00D71773"/>
    <w:rsid w:val="00D7302C"/>
    <w:rsid w:val="00D73699"/>
    <w:rsid w:val="00D77F5E"/>
    <w:rsid w:val="00D81822"/>
    <w:rsid w:val="00D81E9F"/>
    <w:rsid w:val="00D82FF7"/>
    <w:rsid w:val="00D83A1D"/>
    <w:rsid w:val="00D83E6E"/>
    <w:rsid w:val="00D847FE"/>
    <w:rsid w:val="00D87922"/>
    <w:rsid w:val="00D9055F"/>
    <w:rsid w:val="00D9070D"/>
    <w:rsid w:val="00D9262C"/>
    <w:rsid w:val="00D9303B"/>
    <w:rsid w:val="00D960DD"/>
    <w:rsid w:val="00D964EA"/>
    <w:rsid w:val="00D966D0"/>
    <w:rsid w:val="00DA0C59"/>
    <w:rsid w:val="00DA1301"/>
    <w:rsid w:val="00DA3991"/>
    <w:rsid w:val="00DA4099"/>
    <w:rsid w:val="00DA40E3"/>
    <w:rsid w:val="00DA5EE5"/>
    <w:rsid w:val="00DA7974"/>
    <w:rsid w:val="00DA79E0"/>
    <w:rsid w:val="00DB0990"/>
    <w:rsid w:val="00DB2C4C"/>
    <w:rsid w:val="00DB56D7"/>
    <w:rsid w:val="00DB6F5C"/>
    <w:rsid w:val="00DB7A00"/>
    <w:rsid w:val="00DB7A07"/>
    <w:rsid w:val="00DB7E6C"/>
    <w:rsid w:val="00DC296C"/>
    <w:rsid w:val="00DC37E2"/>
    <w:rsid w:val="00DD0CAB"/>
    <w:rsid w:val="00DD17E6"/>
    <w:rsid w:val="00DD3358"/>
    <w:rsid w:val="00DD4A93"/>
    <w:rsid w:val="00DD4DEA"/>
    <w:rsid w:val="00DD5A29"/>
    <w:rsid w:val="00DD5D9D"/>
    <w:rsid w:val="00DD6CAC"/>
    <w:rsid w:val="00DD7BD3"/>
    <w:rsid w:val="00DD7E5B"/>
    <w:rsid w:val="00DE35CB"/>
    <w:rsid w:val="00DE51C9"/>
    <w:rsid w:val="00DE52AA"/>
    <w:rsid w:val="00DE7967"/>
    <w:rsid w:val="00DF031E"/>
    <w:rsid w:val="00DF19EC"/>
    <w:rsid w:val="00DF21E9"/>
    <w:rsid w:val="00DF3602"/>
    <w:rsid w:val="00DF5F6D"/>
    <w:rsid w:val="00DF7C76"/>
    <w:rsid w:val="00E0018E"/>
    <w:rsid w:val="00E00F14"/>
    <w:rsid w:val="00E0104C"/>
    <w:rsid w:val="00E01E5D"/>
    <w:rsid w:val="00E01FFC"/>
    <w:rsid w:val="00E02D2A"/>
    <w:rsid w:val="00E02F4E"/>
    <w:rsid w:val="00E0302E"/>
    <w:rsid w:val="00E06386"/>
    <w:rsid w:val="00E117D0"/>
    <w:rsid w:val="00E12664"/>
    <w:rsid w:val="00E12A2F"/>
    <w:rsid w:val="00E15072"/>
    <w:rsid w:val="00E173CE"/>
    <w:rsid w:val="00E17A24"/>
    <w:rsid w:val="00E214BC"/>
    <w:rsid w:val="00E228EC"/>
    <w:rsid w:val="00E24B93"/>
    <w:rsid w:val="00E24EB4"/>
    <w:rsid w:val="00E26404"/>
    <w:rsid w:val="00E26AB3"/>
    <w:rsid w:val="00E3109D"/>
    <w:rsid w:val="00E320ED"/>
    <w:rsid w:val="00E32C33"/>
    <w:rsid w:val="00E339DA"/>
    <w:rsid w:val="00E33AFB"/>
    <w:rsid w:val="00E34218"/>
    <w:rsid w:val="00E36530"/>
    <w:rsid w:val="00E36BA6"/>
    <w:rsid w:val="00E423A0"/>
    <w:rsid w:val="00E44E1F"/>
    <w:rsid w:val="00E46282"/>
    <w:rsid w:val="00E5216E"/>
    <w:rsid w:val="00E540D5"/>
    <w:rsid w:val="00E5457F"/>
    <w:rsid w:val="00E57187"/>
    <w:rsid w:val="00E6028C"/>
    <w:rsid w:val="00E6115B"/>
    <w:rsid w:val="00E6399C"/>
    <w:rsid w:val="00E67142"/>
    <w:rsid w:val="00E72AA5"/>
    <w:rsid w:val="00E7378A"/>
    <w:rsid w:val="00E73E16"/>
    <w:rsid w:val="00E7509E"/>
    <w:rsid w:val="00E807F5"/>
    <w:rsid w:val="00E81396"/>
    <w:rsid w:val="00E81A7A"/>
    <w:rsid w:val="00E81D77"/>
    <w:rsid w:val="00E82344"/>
    <w:rsid w:val="00E82EC9"/>
    <w:rsid w:val="00E84AA8"/>
    <w:rsid w:val="00E84C82"/>
    <w:rsid w:val="00E84D64"/>
    <w:rsid w:val="00E86E3C"/>
    <w:rsid w:val="00E87408"/>
    <w:rsid w:val="00E914C4"/>
    <w:rsid w:val="00E934F5"/>
    <w:rsid w:val="00E95524"/>
    <w:rsid w:val="00E96961"/>
    <w:rsid w:val="00E9789B"/>
    <w:rsid w:val="00E978C6"/>
    <w:rsid w:val="00EA3C1C"/>
    <w:rsid w:val="00EA604D"/>
    <w:rsid w:val="00EA6ED4"/>
    <w:rsid w:val="00EA72EC"/>
    <w:rsid w:val="00EB11CB"/>
    <w:rsid w:val="00EB19CE"/>
    <w:rsid w:val="00EB1ABF"/>
    <w:rsid w:val="00EB275A"/>
    <w:rsid w:val="00EB29A1"/>
    <w:rsid w:val="00EB468B"/>
    <w:rsid w:val="00EB4D7C"/>
    <w:rsid w:val="00EB6345"/>
    <w:rsid w:val="00EB70EF"/>
    <w:rsid w:val="00EB786A"/>
    <w:rsid w:val="00EC1578"/>
    <w:rsid w:val="00EC1C72"/>
    <w:rsid w:val="00EC1F42"/>
    <w:rsid w:val="00EC385A"/>
    <w:rsid w:val="00EC3CC9"/>
    <w:rsid w:val="00EC55A7"/>
    <w:rsid w:val="00EC6047"/>
    <w:rsid w:val="00EC680A"/>
    <w:rsid w:val="00ED14EF"/>
    <w:rsid w:val="00ED35D0"/>
    <w:rsid w:val="00ED3CF3"/>
    <w:rsid w:val="00ED532B"/>
    <w:rsid w:val="00ED7160"/>
    <w:rsid w:val="00ED7999"/>
    <w:rsid w:val="00ED7F55"/>
    <w:rsid w:val="00EE2BED"/>
    <w:rsid w:val="00EE374B"/>
    <w:rsid w:val="00EE39A6"/>
    <w:rsid w:val="00EE430A"/>
    <w:rsid w:val="00EE5C86"/>
    <w:rsid w:val="00EE62B1"/>
    <w:rsid w:val="00EE62FA"/>
    <w:rsid w:val="00EE7151"/>
    <w:rsid w:val="00EE7AF7"/>
    <w:rsid w:val="00EF08D1"/>
    <w:rsid w:val="00EF1500"/>
    <w:rsid w:val="00EF27A7"/>
    <w:rsid w:val="00EF2FAB"/>
    <w:rsid w:val="00EF4865"/>
    <w:rsid w:val="00EF508D"/>
    <w:rsid w:val="00EF76AB"/>
    <w:rsid w:val="00F02756"/>
    <w:rsid w:val="00F02DCC"/>
    <w:rsid w:val="00F04D4C"/>
    <w:rsid w:val="00F07F16"/>
    <w:rsid w:val="00F116ED"/>
    <w:rsid w:val="00F11BB5"/>
    <w:rsid w:val="00F12B73"/>
    <w:rsid w:val="00F1417B"/>
    <w:rsid w:val="00F14206"/>
    <w:rsid w:val="00F20367"/>
    <w:rsid w:val="00F23255"/>
    <w:rsid w:val="00F2605B"/>
    <w:rsid w:val="00F30140"/>
    <w:rsid w:val="00F30D1F"/>
    <w:rsid w:val="00F327DD"/>
    <w:rsid w:val="00F328CE"/>
    <w:rsid w:val="00F340DA"/>
    <w:rsid w:val="00F34311"/>
    <w:rsid w:val="00F34B99"/>
    <w:rsid w:val="00F363DC"/>
    <w:rsid w:val="00F36636"/>
    <w:rsid w:val="00F366CD"/>
    <w:rsid w:val="00F40985"/>
    <w:rsid w:val="00F42F3E"/>
    <w:rsid w:val="00F44367"/>
    <w:rsid w:val="00F44DB6"/>
    <w:rsid w:val="00F47529"/>
    <w:rsid w:val="00F512B5"/>
    <w:rsid w:val="00F51DFB"/>
    <w:rsid w:val="00F52773"/>
    <w:rsid w:val="00F52DAB"/>
    <w:rsid w:val="00F5325B"/>
    <w:rsid w:val="00F543F0"/>
    <w:rsid w:val="00F5484D"/>
    <w:rsid w:val="00F55FF3"/>
    <w:rsid w:val="00F60887"/>
    <w:rsid w:val="00F61A57"/>
    <w:rsid w:val="00F633F5"/>
    <w:rsid w:val="00F63464"/>
    <w:rsid w:val="00F63DB1"/>
    <w:rsid w:val="00F64463"/>
    <w:rsid w:val="00F64FDC"/>
    <w:rsid w:val="00F65F4C"/>
    <w:rsid w:val="00F7033B"/>
    <w:rsid w:val="00F726A4"/>
    <w:rsid w:val="00F72932"/>
    <w:rsid w:val="00F74675"/>
    <w:rsid w:val="00F74DC5"/>
    <w:rsid w:val="00F76FC8"/>
    <w:rsid w:val="00F77003"/>
    <w:rsid w:val="00F77574"/>
    <w:rsid w:val="00F77DB4"/>
    <w:rsid w:val="00F81675"/>
    <w:rsid w:val="00F81D29"/>
    <w:rsid w:val="00F84A0E"/>
    <w:rsid w:val="00F84E63"/>
    <w:rsid w:val="00F85769"/>
    <w:rsid w:val="00F8694B"/>
    <w:rsid w:val="00F87094"/>
    <w:rsid w:val="00F87372"/>
    <w:rsid w:val="00F91C4D"/>
    <w:rsid w:val="00F9277F"/>
    <w:rsid w:val="00F92FD9"/>
    <w:rsid w:val="00FA0B10"/>
    <w:rsid w:val="00FA190C"/>
    <w:rsid w:val="00FA2BE5"/>
    <w:rsid w:val="00FA40E0"/>
    <w:rsid w:val="00FA46F4"/>
    <w:rsid w:val="00FA6684"/>
    <w:rsid w:val="00FA731E"/>
    <w:rsid w:val="00FB0F2B"/>
    <w:rsid w:val="00FB2B38"/>
    <w:rsid w:val="00FB3157"/>
    <w:rsid w:val="00FB3952"/>
    <w:rsid w:val="00FC16B9"/>
    <w:rsid w:val="00FC6358"/>
    <w:rsid w:val="00FC7654"/>
    <w:rsid w:val="00FC7BE9"/>
    <w:rsid w:val="00FD01CF"/>
    <w:rsid w:val="00FD1D7F"/>
    <w:rsid w:val="00FD20B6"/>
    <w:rsid w:val="00FD229E"/>
    <w:rsid w:val="00FD320D"/>
    <w:rsid w:val="00FD7021"/>
    <w:rsid w:val="00FE0064"/>
    <w:rsid w:val="00FE1C50"/>
    <w:rsid w:val="00FE1E23"/>
    <w:rsid w:val="00FE23C7"/>
    <w:rsid w:val="00FE23DE"/>
    <w:rsid w:val="00FE2F09"/>
    <w:rsid w:val="00FE54A0"/>
    <w:rsid w:val="00FE54DF"/>
    <w:rsid w:val="00FE6D94"/>
    <w:rsid w:val="00FE71EC"/>
    <w:rsid w:val="00FE7D1A"/>
    <w:rsid w:val="00FF04A9"/>
    <w:rsid w:val="00FF34EC"/>
    <w:rsid w:val="01626688"/>
    <w:rsid w:val="02624152"/>
    <w:rsid w:val="027F423E"/>
    <w:rsid w:val="02B00BF5"/>
    <w:rsid w:val="02E84657"/>
    <w:rsid w:val="03323B24"/>
    <w:rsid w:val="0388408C"/>
    <w:rsid w:val="039E11BA"/>
    <w:rsid w:val="058645FB"/>
    <w:rsid w:val="05C23227"/>
    <w:rsid w:val="0822685D"/>
    <w:rsid w:val="085E1AEC"/>
    <w:rsid w:val="09E10052"/>
    <w:rsid w:val="09FC6C3A"/>
    <w:rsid w:val="0A9B28F7"/>
    <w:rsid w:val="0B01106A"/>
    <w:rsid w:val="0B575A7C"/>
    <w:rsid w:val="0BA15948"/>
    <w:rsid w:val="0C675EAB"/>
    <w:rsid w:val="0CF307C8"/>
    <w:rsid w:val="0D156991"/>
    <w:rsid w:val="0F3F1AA3"/>
    <w:rsid w:val="0F76123D"/>
    <w:rsid w:val="0FA638D0"/>
    <w:rsid w:val="0FF87EA4"/>
    <w:rsid w:val="10967DE9"/>
    <w:rsid w:val="10AA11F8"/>
    <w:rsid w:val="10C646C7"/>
    <w:rsid w:val="10FC5772"/>
    <w:rsid w:val="130628D8"/>
    <w:rsid w:val="1343334A"/>
    <w:rsid w:val="13CB5FFB"/>
    <w:rsid w:val="157D0378"/>
    <w:rsid w:val="15D31162"/>
    <w:rsid w:val="165B22CB"/>
    <w:rsid w:val="166444E5"/>
    <w:rsid w:val="16B234A2"/>
    <w:rsid w:val="194B373A"/>
    <w:rsid w:val="19A960F2"/>
    <w:rsid w:val="19E571BA"/>
    <w:rsid w:val="19E82D37"/>
    <w:rsid w:val="1A0A53A3"/>
    <w:rsid w:val="1A4A1E01"/>
    <w:rsid w:val="1A7D161A"/>
    <w:rsid w:val="1AF04599"/>
    <w:rsid w:val="1DE64689"/>
    <w:rsid w:val="1DF900D4"/>
    <w:rsid w:val="1EEE2B9E"/>
    <w:rsid w:val="1F0E4FEE"/>
    <w:rsid w:val="1F846076"/>
    <w:rsid w:val="225D0766"/>
    <w:rsid w:val="232079E6"/>
    <w:rsid w:val="24803401"/>
    <w:rsid w:val="26A60202"/>
    <w:rsid w:val="27FE6547"/>
    <w:rsid w:val="2858552C"/>
    <w:rsid w:val="28B754A5"/>
    <w:rsid w:val="2C2E6CCF"/>
    <w:rsid w:val="2CA111CD"/>
    <w:rsid w:val="2CD44AC1"/>
    <w:rsid w:val="2D796670"/>
    <w:rsid w:val="2DB63420"/>
    <w:rsid w:val="2DDB2F86"/>
    <w:rsid w:val="2E440758"/>
    <w:rsid w:val="2E954DE4"/>
    <w:rsid w:val="2EA8435B"/>
    <w:rsid w:val="2EDF0755"/>
    <w:rsid w:val="2FD76D50"/>
    <w:rsid w:val="30F93D50"/>
    <w:rsid w:val="3159659D"/>
    <w:rsid w:val="32C24615"/>
    <w:rsid w:val="33251C93"/>
    <w:rsid w:val="33FB52BF"/>
    <w:rsid w:val="34FA3BF3"/>
    <w:rsid w:val="34FC64FF"/>
    <w:rsid w:val="35FE4BBC"/>
    <w:rsid w:val="365E4655"/>
    <w:rsid w:val="369265E4"/>
    <w:rsid w:val="369D1FC8"/>
    <w:rsid w:val="37092813"/>
    <w:rsid w:val="37103BA1"/>
    <w:rsid w:val="378123A9"/>
    <w:rsid w:val="37DC3A83"/>
    <w:rsid w:val="37E1553E"/>
    <w:rsid w:val="39F50563"/>
    <w:rsid w:val="3A777A93"/>
    <w:rsid w:val="3B9E4F5D"/>
    <w:rsid w:val="3C88242C"/>
    <w:rsid w:val="3ED5122D"/>
    <w:rsid w:val="3F6F1681"/>
    <w:rsid w:val="3FF43934"/>
    <w:rsid w:val="40CD2B03"/>
    <w:rsid w:val="40EC0E0D"/>
    <w:rsid w:val="42206C63"/>
    <w:rsid w:val="42806E5B"/>
    <w:rsid w:val="42CC61CC"/>
    <w:rsid w:val="430B16C1"/>
    <w:rsid w:val="43334D92"/>
    <w:rsid w:val="4368266F"/>
    <w:rsid w:val="442A0DE4"/>
    <w:rsid w:val="45176E69"/>
    <w:rsid w:val="45774DEB"/>
    <w:rsid w:val="4590011C"/>
    <w:rsid w:val="4614088C"/>
    <w:rsid w:val="46206CE3"/>
    <w:rsid w:val="469A3487"/>
    <w:rsid w:val="472A6E17"/>
    <w:rsid w:val="475278BE"/>
    <w:rsid w:val="489857A5"/>
    <w:rsid w:val="4A127B2B"/>
    <w:rsid w:val="4AF56EDE"/>
    <w:rsid w:val="4B647D1B"/>
    <w:rsid w:val="4BE74BE4"/>
    <w:rsid w:val="4C054B7E"/>
    <w:rsid w:val="4CBB5F06"/>
    <w:rsid w:val="4D6D71CA"/>
    <w:rsid w:val="4EC94BF8"/>
    <w:rsid w:val="4ED65279"/>
    <w:rsid w:val="50E86D2D"/>
    <w:rsid w:val="51F3415F"/>
    <w:rsid w:val="5209326F"/>
    <w:rsid w:val="52331739"/>
    <w:rsid w:val="53901E9A"/>
    <w:rsid w:val="53956947"/>
    <w:rsid w:val="540463E4"/>
    <w:rsid w:val="552705DC"/>
    <w:rsid w:val="562B1713"/>
    <w:rsid w:val="566B274A"/>
    <w:rsid w:val="567C4958"/>
    <w:rsid w:val="56D144B5"/>
    <w:rsid w:val="588E0972"/>
    <w:rsid w:val="5A9E61D4"/>
    <w:rsid w:val="5BBB7CD0"/>
    <w:rsid w:val="5BCF7227"/>
    <w:rsid w:val="5C4F21C6"/>
    <w:rsid w:val="5D6458D1"/>
    <w:rsid w:val="5EDB3CD7"/>
    <w:rsid w:val="5EF57055"/>
    <w:rsid w:val="5FB36828"/>
    <w:rsid w:val="613D2D02"/>
    <w:rsid w:val="630E2DDB"/>
    <w:rsid w:val="6410636A"/>
    <w:rsid w:val="64740587"/>
    <w:rsid w:val="6569254B"/>
    <w:rsid w:val="65B118D8"/>
    <w:rsid w:val="66106E6A"/>
    <w:rsid w:val="66342B59"/>
    <w:rsid w:val="67ED7463"/>
    <w:rsid w:val="68111D21"/>
    <w:rsid w:val="681E62EA"/>
    <w:rsid w:val="68701E42"/>
    <w:rsid w:val="687F5BE1"/>
    <w:rsid w:val="6A016B20"/>
    <w:rsid w:val="6A93331C"/>
    <w:rsid w:val="6B2A0BF9"/>
    <w:rsid w:val="6B620FDE"/>
    <w:rsid w:val="6BD66460"/>
    <w:rsid w:val="6C263746"/>
    <w:rsid w:val="6E4D024D"/>
    <w:rsid w:val="6F011A46"/>
    <w:rsid w:val="6F3E67F6"/>
    <w:rsid w:val="6FC53AB1"/>
    <w:rsid w:val="6FEF189F"/>
    <w:rsid w:val="707B75D6"/>
    <w:rsid w:val="70877D29"/>
    <w:rsid w:val="70DA047E"/>
    <w:rsid w:val="74F02F30"/>
    <w:rsid w:val="75AC7C60"/>
    <w:rsid w:val="75F220E9"/>
    <w:rsid w:val="77DE0B76"/>
    <w:rsid w:val="78654DF4"/>
    <w:rsid w:val="786A196B"/>
    <w:rsid w:val="78AF565B"/>
    <w:rsid w:val="78F70CBA"/>
    <w:rsid w:val="7A293BFF"/>
    <w:rsid w:val="7A94551C"/>
    <w:rsid w:val="7D3B0266"/>
    <w:rsid w:val="7DA0242A"/>
    <w:rsid w:val="7E8D605B"/>
    <w:rsid w:val="7F0C45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qFormat="1" w:uiPriority="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6"/>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3"/>
    <w:autoRedefine/>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4"/>
    <w:autoRedefine/>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8">
    <w:name w:val="Default Paragraph Font"/>
    <w:autoRedefine/>
    <w:semiHidden/>
    <w:unhideWhenUsed/>
    <w:qFormat/>
    <w:uiPriority w:val="1"/>
  </w:style>
  <w:style w:type="table" w:default="1" w:styleId="36">
    <w:name w:val="Normal Table"/>
    <w:autoRedefine/>
    <w:semiHidden/>
    <w:unhideWhenUsed/>
    <w:qFormat/>
    <w:uiPriority w:val="99"/>
    <w:tblPr>
      <w:tblCellMar>
        <w:top w:w="0" w:type="dxa"/>
        <w:left w:w="108" w:type="dxa"/>
        <w:bottom w:w="0" w:type="dxa"/>
        <w:right w:w="108" w:type="dxa"/>
      </w:tblCellMar>
    </w:tblPr>
  </w:style>
  <w:style w:type="paragraph" w:styleId="5">
    <w:name w:val="toc 7"/>
    <w:basedOn w:val="1"/>
    <w:next w:val="1"/>
    <w:autoRedefine/>
    <w:semiHidden/>
    <w:qFormat/>
    <w:uiPriority w:val="0"/>
    <w:pPr>
      <w:tabs>
        <w:tab w:val="right" w:leader="dot" w:pos="9241"/>
      </w:tabs>
      <w:ind w:firstLine="500" w:firstLineChars="500"/>
      <w:jc w:val="left"/>
    </w:pPr>
    <w:rPr>
      <w:rFonts w:ascii="宋体"/>
      <w:szCs w:val="21"/>
    </w:rPr>
  </w:style>
  <w:style w:type="paragraph" w:styleId="6">
    <w:name w:val="index 8"/>
    <w:basedOn w:val="1"/>
    <w:next w:val="1"/>
    <w:autoRedefine/>
    <w:qFormat/>
    <w:uiPriority w:val="0"/>
    <w:pPr>
      <w:ind w:left="1680" w:hanging="210"/>
      <w:jc w:val="left"/>
    </w:pPr>
    <w:rPr>
      <w:rFonts w:ascii="Calibri" w:hAnsi="Calibri"/>
      <w:sz w:val="20"/>
      <w:szCs w:val="20"/>
    </w:rPr>
  </w:style>
  <w:style w:type="paragraph" w:styleId="7">
    <w:name w:val="caption"/>
    <w:basedOn w:val="1"/>
    <w:next w:val="1"/>
    <w:autoRedefine/>
    <w:qFormat/>
    <w:uiPriority w:val="0"/>
    <w:pPr>
      <w:spacing w:before="152" w:after="160"/>
    </w:pPr>
    <w:rPr>
      <w:rFonts w:ascii="Arial" w:hAnsi="Arial" w:eastAsia="黑体" w:cs="Arial"/>
      <w:sz w:val="20"/>
      <w:szCs w:val="20"/>
    </w:rPr>
  </w:style>
  <w:style w:type="paragraph" w:styleId="8">
    <w:name w:val="index 5"/>
    <w:basedOn w:val="1"/>
    <w:next w:val="1"/>
    <w:autoRedefine/>
    <w:qFormat/>
    <w:uiPriority w:val="0"/>
    <w:pPr>
      <w:ind w:left="1050" w:hanging="210"/>
      <w:jc w:val="left"/>
    </w:pPr>
    <w:rPr>
      <w:rFonts w:ascii="Calibri" w:hAnsi="Calibri"/>
      <w:sz w:val="20"/>
      <w:szCs w:val="20"/>
    </w:rPr>
  </w:style>
  <w:style w:type="paragraph" w:styleId="9">
    <w:name w:val="Document Map"/>
    <w:basedOn w:val="1"/>
    <w:autoRedefine/>
    <w:semiHidden/>
    <w:qFormat/>
    <w:uiPriority w:val="0"/>
    <w:pPr>
      <w:shd w:val="clear" w:color="auto" w:fill="000080"/>
    </w:pPr>
  </w:style>
  <w:style w:type="paragraph" w:styleId="10">
    <w:name w:val="annotation text"/>
    <w:basedOn w:val="1"/>
    <w:link w:val="155"/>
    <w:autoRedefine/>
    <w:semiHidden/>
    <w:unhideWhenUsed/>
    <w:qFormat/>
    <w:uiPriority w:val="0"/>
    <w:pPr>
      <w:jc w:val="left"/>
    </w:pPr>
  </w:style>
  <w:style w:type="paragraph" w:styleId="11">
    <w:name w:val="index 6"/>
    <w:basedOn w:val="1"/>
    <w:next w:val="1"/>
    <w:autoRedefine/>
    <w:qFormat/>
    <w:uiPriority w:val="0"/>
    <w:pPr>
      <w:ind w:left="1260" w:hanging="210"/>
      <w:jc w:val="left"/>
    </w:pPr>
    <w:rPr>
      <w:rFonts w:ascii="Calibri" w:hAnsi="Calibri"/>
      <w:sz w:val="20"/>
      <w:szCs w:val="20"/>
    </w:rPr>
  </w:style>
  <w:style w:type="paragraph" w:styleId="12">
    <w:name w:val="index 4"/>
    <w:basedOn w:val="1"/>
    <w:next w:val="1"/>
    <w:autoRedefine/>
    <w:qFormat/>
    <w:uiPriority w:val="0"/>
    <w:pPr>
      <w:ind w:left="840" w:hanging="210"/>
      <w:jc w:val="left"/>
    </w:pPr>
    <w:rPr>
      <w:rFonts w:ascii="Calibri" w:hAnsi="Calibri"/>
      <w:sz w:val="20"/>
      <w:szCs w:val="20"/>
    </w:rPr>
  </w:style>
  <w:style w:type="paragraph" w:styleId="13">
    <w:name w:val="toc 5"/>
    <w:basedOn w:val="1"/>
    <w:next w:val="1"/>
    <w:autoRedefine/>
    <w:semiHidden/>
    <w:qFormat/>
    <w:uiPriority w:val="0"/>
    <w:pPr>
      <w:tabs>
        <w:tab w:val="right" w:leader="dot" w:pos="9241"/>
      </w:tabs>
      <w:ind w:firstLine="300" w:firstLineChars="300"/>
      <w:jc w:val="left"/>
    </w:pPr>
    <w:rPr>
      <w:rFonts w:ascii="宋体"/>
      <w:szCs w:val="21"/>
    </w:rPr>
  </w:style>
  <w:style w:type="paragraph" w:styleId="14">
    <w:name w:val="toc 3"/>
    <w:basedOn w:val="1"/>
    <w:next w:val="1"/>
    <w:autoRedefine/>
    <w:qFormat/>
    <w:uiPriority w:val="39"/>
    <w:pPr>
      <w:tabs>
        <w:tab w:val="right" w:leader="dot" w:pos="9241"/>
      </w:tabs>
      <w:ind w:firstLine="100" w:firstLineChars="100"/>
      <w:jc w:val="left"/>
    </w:pPr>
    <w:rPr>
      <w:rFonts w:ascii="宋体"/>
      <w:szCs w:val="21"/>
    </w:rPr>
  </w:style>
  <w:style w:type="paragraph" w:styleId="15">
    <w:name w:val="toc 8"/>
    <w:basedOn w:val="1"/>
    <w:next w:val="1"/>
    <w:autoRedefine/>
    <w:semiHidden/>
    <w:qFormat/>
    <w:uiPriority w:val="0"/>
    <w:pPr>
      <w:tabs>
        <w:tab w:val="right" w:leader="dot" w:pos="9241"/>
      </w:tabs>
      <w:ind w:firstLine="607" w:firstLineChars="600"/>
      <w:jc w:val="left"/>
    </w:pPr>
    <w:rPr>
      <w:rFonts w:ascii="宋体"/>
      <w:szCs w:val="21"/>
    </w:rPr>
  </w:style>
  <w:style w:type="paragraph" w:styleId="16">
    <w:name w:val="index 3"/>
    <w:basedOn w:val="1"/>
    <w:next w:val="1"/>
    <w:autoRedefine/>
    <w:qFormat/>
    <w:uiPriority w:val="0"/>
    <w:pPr>
      <w:ind w:left="630" w:hanging="210"/>
      <w:jc w:val="left"/>
    </w:pPr>
    <w:rPr>
      <w:rFonts w:ascii="Calibri" w:hAnsi="Calibri"/>
      <w:sz w:val="20"/>
      <w:szCs w:val="20"/>
    </w:rPr>
  </w:style>
  <w:style w:type="paragraph" w:styleId="17">
    <w:name w:val="endnote text"/>
    <w:basedOn w:val="1"/>
    <w:autoRedefine/>
    <w:semiHidden/>
    <w:qFormat/>
    <w:uiPriority w:val="0"/>
    <w:pPr>
      <w:snapToGrid w:val="0"/>
      <w:jc w:val="left"/>
    </w:pPr>
  </w:style>
  <w:style w:type="paragraph" w:styleId="18">
    <w:name w:val="Balloon Text"/>
    <w:basedOn w:val="1"/>
    <w:link w:val="145"/>
    <w:autoRedefine/>
    <w:qFormat/>
    <w:uiPriority w:val="0"/>
    <w:rPr>
      <w:sz w:val="18"/>
      <w:szCs w:val="18"/>
    </w:rPr>
  </w:style>
  <w:style w:type="paragraph" w:styleId="19">
    <w:name w:val="footer"/>
    <w:basedOn w:val="1"/>
    <w:link w:val="150"/>
    <w:autoRedefine/>
    <w:qFormat/>
    <w:uiPriority w:val="99"/>
    <w:pPr>
      <w:snapToGrid w:val="0"/>
      <w:ind w:right="210" w:rightChars="100"/>
      <w:jc w:val="right"/>
    </w:pPr>
    <w:rPr>
      <w:sz w:val="18"/>
      <w:szCs w:val="18"/>
    </w:rPr>
  </w:style>
  <w:style w:type="paragraph" w:styleId="20">
    <w:name w:val="header"/>
    <w:basedOn w:val="1"/>
    <w:autoRedefine/>
    <w:qFormat/>
    <w:uiPriority w:val="0"/>
    <w:pPr>
      <w:snapToGrid w:val="0"/>
      <w:jc w:val="left"/>
    </w:pPr>
    <w:rPr>
      <w:sz w:val="18"/>
      <w:szCs w:val="18"/>
    </w:rPr>
  </w:style>
  <w:style w:type="paragraph" w:styleId="21">
    <w:name w:val="toc 1"/>
    <w:basedOn w:val="1"/>
    <w:next w:val="1"/>
    <w:autoRedefine/>
    <w:qFormat/>
    <w:uiPriority w:val="39"/>
    <w:pPr>
      <w:tabs>
        <w:tab w:val="right" w:leader="dot" w:pos="9242"/>
      </w:tabs>
      <w:spacing w:beforeLines="25" w:afterLines="25"/>
      <w:jc w:val="left"/>
    </w:pPr>
    <w:rPr>
      <w:rFonts w:ascii="宋体"/>
      <w:szCs w:val="21"/>
    </w:rPr>
  </w:style>
  <w:style w:type="paragraph" w:styleId="22">
    <w:name w:val="toc 4"/>
    <w:basedOn w:val="1"/>
    <w:next w:val="1"/>
    <w:autoRedefine/>
    <w:semiHidden/>
    <w:qFormat/>
    <w:uiPriority w:val="0"/>
    <w:pPr>
      <w:tabs>
        <w:tab w:val="right" w:leader="dot" w:pos="9241"/>
      </w:tabs>
      <w:ind w:firstLine="200" w:firstLineChars="200"/>
      <w:jc w:val="left"/>
    </w:pPr>
    <w:rPr>
      <w:rFonts w:ascii="宋体"/>
      <w:szCs w:val="21"/>
    </w:rPr>
  </w:style>
  <w:style w:type="paragraph" w:styleId="23">
    <w:name w:val="index heading"/>
    <w:basedOn w:val="1"/>
    <w:next w:val="24"/>
    <w:autoRedefine/>
    <w:qFormat/>
    <w:uiPriority w:val="0"/>
    <w:pPr>
      <w:spacing w:before="120" w:after="120"/>
      <w:jc w:val="center"/>
    </w:pPr>
    <w:rPr>
      <w:rFonts w:ascii="Calibri" w:hAnsi="Calibri"/>
      <w:b/>
      <w:bCs/>
      <w:iCs/>
      <w:szCs w:val="20"/>
    </w:rPr>
  </w:style>
  <w:style w:type="paragraph" w:styleId="24">
    <w:name w:val="index 1"/>
    <w:basedOn w:val="1"/>
    <w:next w:val="25"/>
    <w:autoRedefine/>
    <w:qFormat/>
    <w:uiPriority w:val="0"/>
    <w:pPr>
      <w:tabs>
        <w:tab w:val="right" w:leader="dot" w:pos="9299"/>
      </w:tabs>
      <w:jc w:val="left"/>
    </w:pPr>
    <w:rPr>
      <w:rFonts w:ascii="宋体"/>
      <w:szCs w:val="21"/>
    </w:rPr>
  </w:style>
  <w:style w:type="paragraph" w:customStyle="1" w:styleId="25">
    <w:name w:val="段"/>
    <w:link w:val="45"/>
    <w:autoRedefine/>
    <w:qFormat/>
    <w:uiPriority w:val="0"/>
    <w:pPr>
      <w:tabs>
        <w:tab w:val="center" w:pos="4201"/>
        <w:tab w:val="right" w:leader="dot" w:pos="9298"/>
      </w:tabs>
      <w:autoSpaceDE w:val="0"/>
      <w:autoSpaceDN w:val="0"/>
      <w:ind w:firstLine="200" w:firstLineChars="200"/>
      <w:jc w:val="both"/>
    </w:pPr>
    <w:rPr>
      <w:rFonts w:ascii="Times New Roman" w:hAnsi="Times New Roman" w:eastAsia="宋体" w:cs="Times New Roman"/>
      <w:sz w:val="21"/>
      <w:lang w:val="en-US" w:eastAsia="zh-CN" w:bidi="ar-SA"/>
    </w:rPr>
  </w:style>
  <w:style w:type="paragraph" w:styleId="26">
    <w:name w:val="footnote text"/>
    <w:basedOn w:val="1"/>
    <w:autoRedefine/>
    <w:qFormat/>
    <w:uiPriority w:val="0"/>
    <w:pPr>
      <w:numPr>
        <w:ilvl w:val="0"/>
        <w:numId w:val="1"/>
      </w:numPr>
      <w:snapToGrid w:val="0"/>
      <w:jc w:val="left"/>
    </w:pPr>
    <w:rPr>
      <w:rFonts w:ascii="宋体"/>
      <w:sz w:val="18"/>
      <w:szCs w:val="18"/>
    </w:rPr>
  </w:style>
  <w:style w:type="paragraph" w:styleId="27">
    <w:name w:val="toc 6"/>
    <w:basedOn w:val="1"/>
    <w:next w:val="1"/>
    <w:autoRedefine/>
    <w:semiHidden/>
    <w:qFormat/>
    <w:uiPriority w:val="0"/>
    <w:pPr>
      <w:tabs>
        <w:tab w:val="right" w:leader="dot" w:pos="9241"/>
      </w:tabs>
      <w:ind w:firstLine="400" w:firstLineChars="400"/>
      <w:jc w:val="left"/>
    </w:pPr>
    <w:rPr>
      <w:rFonts w:ascii="宋体"/>
      <w:szCs w:val="21"/>
    </w:rPr>
  </w:style>
  <w:style w:type="paragraph" w:styleId="28">
    <w:name w:val="index 7"/>
    <w:basedOn w:val="1"/>
    <w:next w:val="1"/>
    <w:autoRedefine/>
    <w:qFormat/>
    <w:uiPriority w:val="0"/>
    <w:pPr>
      <w:ind w:left="1470" w:hanging="210"/>
      <w:jc w:val="left"/>
    </w:pPr>
    <w:rPr>
      <w:rFonts w:ascii="Calibri" w:hAnsi="Calibri"/>
      <w:sz w:val="20"/>
      <w:szCs w:val="20"/>
    </w:rPr>
  </w:style>
  <w:style w:type="paragraph" w:styleId="29">
    <w:name w:val="index 9"/>
    <w:basedOn w:val="1"/>
    <w:next w:val="1"/>
    <w:autoRedefine/>
    <w:qFormat/>
    <w:uiPriority w:val="0"/>
    <w:pPr>
      <w:ind w:left="1890" w:hanging="210"/>
      <w:jc w:val="left"/>
    </w:pPr>
    <w:rPr>
      <w:rFonts w:ascii="Calibri" w:hAnsi="Calibri"/>
      <w:sz w:val="20"/>
      <w:szCs w:val="20"/>
    </w:rPr>
  </w:style>
  <w:style w:type="paragraph" w:styleId="30">
    <w:name w:val="toc 2"/>
    <w:basedOn w:val="1"/>
    <w:next w:val="1"/>
    <w:autoRedefine/>
    <w:qFormat/>
    <w:uiPriority w:val="39"/>
    <w:pPr>
      <w:tabs>
        <w:tab w:val="right" w:leader="dot" w:pos="9242"/>
      </w:tabs>
      <w:ind w:left="100" w:leftChars="100"/>
    </w:pPr>
    <w:rPr>
      <w:rFonts w:ascii="宋体"/>
      <w:szCs w:val="21"/>
    </w:rPr>
  </w:style>
  <w:style w:type="paragraph" w:styleId="31">
    <w:name w:val="toc 9"/>
    <w:basedOn w:val="1"/>
    <w:next w:val="1"/>
    <w:autoRedefine/>
    <w:semiHidden/>
    <w:qFormat/>
    <w:uiPriority w:val="0"/>
    <w:pPr>
      <w:ind w:left="1470"/>
      <w:jc w:val="left"/>
    </w:pPr>
    <w:rPr>
      <w:sz w:val="20"/>
      <w:szCs w:val="20"/>
    </w:rPr>
  </w:style>
  <w:style w:type="paragraph" w:styleId="32">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33">
    <w:name w:val="index 2"/>
    <w:basedOn w:val="1"/>
    <w:next w:val="1"/>
    <w:autoRedefine/>
    <w:qFormat/>
    <w:uiPriority w:val="0"/>
    <w:pPr>
      <w:ind w:left="420" w:hanging="210"/>
      <w:jc w:val="left"/>
    </w:pPr>
    <w:rPr>
      <w:rFonts w:ascii="Calibri" w:hAnsi="Calibri"/>
      <w:sz w:val="20"/>
      <w:szCs w:val="20"/>
    </w:rPr>
  </w:style>
  <w:style w:type="paragraph" w:styleId="34">
    <w:name w:val="Title"/>
    <w:basedOn w:val="1"/>
    <w:next w:val="1"/>
    <w:link w:val="149"/>
    <w:autoRedefine/>
    <w:qFormat/>
    <w:uiPriority w:val="0"/>
    <w:pPr>
      <w:spacing w:before="240" w:after="60"/>
      <w:jc w:val="center"/>
      <w:outlineLvl w:val="0"/>
    </w:pPr>
    <w:rPr>
      <w:rFonts w:asciiTheme="majorHAnsi" w:hAnsiTheme="majorHAnsi" w:eastAsiaTheme="majorEastAsia" w:cstheme="majorBidi"/>
      <w:b/>
      <w:bCs/>
      <w:sz w:val="32"/>
      <w:szCs w:val="32"/>
    </w:rPr>
  </w:style>
  <w:style w:type="paragraph" w:styleId="35">
    <w:name w:val="annotation subject"/>
    <w:basedOn w:val="10"/>
    <w:next w:val="10"/>
    <w:link w:val="156"/>
    <w:autoRedefine/>
    <w:semiHidden/>
    <w:unhideWhenUsed/>
    <w:qFormat/>
    <w:uiPriority w:val="0"/>
    <w:rPr>
      <w:b/>
      <w:bCs/>
    </w:rPr>
  </w:style>
  <w:style w:type="table" w:styleId="37">
    <w:name w:val="Table Grid"/>
    <w:basedOn w:val="36"/>
    <w:autoRedefine/>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9">
    <w:name w:val="Strong"/>
    <w:autoRedefine/>
    <w:qFormat/>
    <w:uiPriority w:val="22"/>
    <w:rPr>
      <w:b/>
      <w:bCs/>
    </w:rPr>
  </w:style>
  <w:style w:type="character" w:styleId="40">
    <w:name w:val="endnote reference"/>
    <w:autoRedefine/>
    <w:semiHidden/>
    <w:qFormat/>
    <w:uiPriority w:val="0"/>
    <w:rPr>
      <w:vertAlign w:val="superscript"/>
    </w:rPr>
  </w:style>
  <w:style w:type="character" w:styleId="41">
    <w:name w:val="page number"/>
    <w:autoRedefine/>
    <w:qFormat/>
    <w:uiPriority w:val="0"/>
    <w:rPr>
      <w:rFonts w:ascii="Times New Roman" w:hAnsi="Times New Roman" w:eastAsia="宋体"/>
      <w:sz w:val="18"/>
    </w:rPr>
  </w:style>
  <w:style w:type="character" w:styleId="42">
    <w:name w:val="Hyperlink"/>
    <w:autoRedefine/>
    <w:qFormat/>
    <w:uiPriority w:val="99"/>
    <w:rPr>
      <w:color w:val="0000FF"/>
      <w:spacing w:val="0"/>
      <w:w w:val="100"/>
      <w:szCs w:val="21"/>
      <w:u w:val="single"/>
    </w:rPr>
  </w:style>
  <w:style w:type="character" w:styleId="43">
    <w:name w:val="annotation reference"/>
    <w:basedOn w:val="38"/>
    <w:autoRedefine/>
    <w:semiHidden/>
    <w:unhideWhenUsed/>
    <w:qFormat/>
    <w:uiPriority w:val="0"/>
    <w:rPr>
      <w:sz w:val="21"/>
      <w:szCs w:val="21"/>
    </w:rPr>
  </w:style>
  <w:style w:type="character" w:styleId="44">
    <w:name w:val="footnote reference"/>
    <w:autoRedefine/>
    <w:semiHidden/>
    <w:qFormat/>
    <w:uiPriority w:val="0"/>
    <w:rPr>
      <w:vertAlign w:val="superscript"/>
    </w:rPr>
  </w:style>
  <w:style w:type="character" w:customStyle="1" w:styleId="45">
    <w:name w:val="段 Char"/>
    <w:link w:val="25"/>
    <w:autoRedefine/>
    <w:qFormat/>
    <w:uiPriority w:val="0"/>
    <w:rPr>
      <w:sz w:val="21"/>
    </w:rPr>
  </w:style>
  <w:style w:type="paragraph" w:customStyle="1" w:styleId="46">
    <w:name w:val="一级条标题"/>
    <w:next w:val="25"/>
    <w:autoRedefine/>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7">
    <w:name w:val="标准书脚_奇数页"/>
    <w:autoRedefine/>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8">
    <w:name w:val="标准书眉_奇数页"/>
    <w:next w:val="1"/>
    <w:autoRedefine/>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9">
    <w:name w:val="章标题"/>
    <w:next w:val="25"/>
    <w:autoRedefine/>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50">
    <w:name w:val="二级条标题"/>
    <w:basedOn w:val="46"/>
    <w:next w:val="25"/>
    <w:autoRedefine/>
    <w:qFormat/>
    <w:uiPriority w:val="0"/>
    <w:pPr>
      <w:numPr>
        <w:ilvl w:val="2"/>
      </w:numPr>
      <w:spacing w:before="50" w:after="50"/>
      <w:outlineLvl w:val="3"/>
    </w:pPr>
    <w:rPr>
      <w:rFonts w:ascii="Times New Roman"/>
    </w:rPr>
  </w:style>
  <w:style w:type="paragraph" w:customStyle="1" w:styleId="51">
    <w:name w:val="封面标准号2"/>
    <w:autoRedefine/>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2">
    <w:name w:val="列项——（一级）"/>
    <w:autoRedefine/>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3">
    <w:name w:val="列项●（二级）"/>
    <w:autoRedefine/>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4">
    <w:name w:val="目次、标准名称标题"/>
    <w:basedOn w:val="1"/>
    <w:next w:val="25"/>
    <w:autoRedefine/>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5">
    <w:name w:val="三级条标题"/>
    <w:basedOn w:val="50"/>
    <w:next w:val="25"/>
    <w:link w:val="161"/>
    <w:autoRedefine/>
    <w:qFormat/>
    <w:uiPriority w:val="0"/>
    <w:pPr>
      <w:numPr>
        <w:ilvl w:val="3"/>
      </w:numPr>
      <w:outlineLvl w:val="4"/>
    </w:pPr>
  </w:style>
  <w:style w:type="paragraph" w:customStyle="1" w:styleId="56">
    <w:name w:val="示例"/>
    <w:next w:val="57"/>
    <w:autoRedefine/>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7">
    <w:name w:val="示例内容"/>
    <w:autoRedefine/>
    <w:qFormat/>
    <w:uiPriority w:val="0"/>
    <w:pPr>
      <w:ind w:firstLine="200" w:firstLineChars="200"/>
    </w:pPr>
    <w:rPr>
      <w:rFonts w:ascii="宋体" w:hAnsi="Times New Roman" w:eastAsia="宋体" w:cs="Times New Roman"/>
      <w:sz w:val="18"/>
      <w:szCs w:val="18"/>
      <w:lang w:val="en-US" w:eastAsia="zh-CN" w:bidi="ar-SA"/>
    </w:rPr>
  </w:style>
  <w:style w:type="paragraph" w:customStyle="1" w:styleId="58">
    <w:name w:val="数字编号列项（二级）"/>
    <w:autoRedefine/>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9">
    <w:name w:val="四级条标题"/>
    <w:basedOn w:val="55"/>
    <w:next w:val="25"/>
    <w:autoRedefine/>
    <w:qFormat/>
    <w:uiPriority w:val="0"/>
    <w:pPr>
      <w:numPr>
        <w:ilvl w:val="4"/>
      </w:numPr>
      <w:outlineLvl w:val="5"/>
    </w:pPr>
  </w:style>
  <w:style w:type="paragraph" w:customStyle="1" w:styleId="60">
    <w:name w:val="五级条标题"/>
    <w:basedOn w:val="59"/>
    <w:next w:val="25"/>
    <w:autoRedefine/>
    <w:qFormat/>
    <w:uiPriority w:val="0"/>
    <w:pPr>
      <w:numPr>
        <w:ilvl w:val="5"/>
      </w:numPr>
      <w:outlineLvl w:val="6"/>
    </w:pPr>
  </w:style>
  <w:style w:type="paragraph" w:customStyle="1" w:styleId="61">
    <w:name w:val="注："/>
    <w:next w:val="25"/>
    <w:autoRedefine/>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2">
    <w:name w:val="注×："/>
    <w:autoRedefine/>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3">
    <w:name w:val="字母编号列项（一级）"/>
    <w:autoRedefine/>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4">
    <w:name w:val="列项◆（三级）"/>
    <w:basedOn w:val="1"/>
    <w:autoRedefine/>
    <w:qFormat/>
    <w:uiPriority w:val="0"/>
    <w:pPr>
      <w:numPr>
        <w:ilvl w:val="2"/>
        <w:numId w:val="3"/>
      </w:numPr>
    </w:pPr>
    <w:rPr>
      <w:rFonts w:ascii="宋体"/>
      <w:szCs w:val="21"/>
    </w:rPr>
  </w:style>
  <w:style w:type="paragraph" w:customStyle="1" w:styleId="65">
    <w:name w:val="编号列项（三级）"/>
    <w:autoRedefine/>
    <w:qFormat/>
    <w:uiPriority w:val="0"/>
    <w:rPr>
      <w:rFonts w:ascii="宋体" w:hAnsi="Times New Roman" w:eastAsia="宋体" w:cs="Times New Roman"/>
      <w:sz w:val="21"/>
      <w:lang w:val="en-US" w:eastAsia="zh-CN" w:bidi="ar-SA"/>
    </w:rPr>
  </w:style>
  <w:style w:type="paragraph" w:customStyle="1" w:styleId="66">
    <w:name w:val="示例×："/>
    <w:basedOn w:val="49"/>
    <w:autoRedefine/>
    <w:qFormat/>
    <w:uiPriority w:val="0"/>
    <w:pPr>
      <w:numPr>
        <w:numId w:val="8"/>
      </w:numPr>
      <w:spacing w:beforeLines="0" w:afterLines="0"/>
      <w:outlineLvl w:val="9"/>
    </w:pPr>
    <w:rPr>
      <w:rFonts w:ascii="宋体" w:eastAsia="宋体"/>
      <w:sz w:val="18"/>
      <w:szCs w:val="18"/>
    </w:rPr>
  </w:style>
  <w:style w:type="paragraph" w:customStyle="1" w:styleId="67">
    <w:name w:val="二级无"/>
    <w:basedOn w:val="50"/>
    <w:autoRedefine/>
    <w:qFormat/>
    <w:uiPriority w:val="0"/>
    <w:pPr>
      <w:spacing w:before="0" w:beforeLines="0" w:after="0" w:afterLines="0"/>
      <w:ind w:left="0"/>
      <w:jc w:val="both"/>
    </w:pPr>
    <w:rPr>
      <w:rFonts w:eastAsia="宋体"/>
    </w:rPr>
  </w:style>
  <w:style w:type="paragraph" w:customStyle="1" w:styleId="68">
    <w:name w:val="注：（正文）"/>
    <w:basedOn w:val="61"/>
    <w:next w:val="25"/>
    <w:autoRedefine/>
    <w:qFormat/>
    <w:uiPriority w:val="0"/>
    <w:pPr>
      <w:numPr>
        <w:ilvl w:val="0"/>
        <w:numId w:val="9"/>
      </w:numPr>
    </w:pPr>
  </w:style>
  <w:style w:type="paragraph" w:customStyle="1" w:styleId="69">
    <w:name w:val="注×：（正文）"/>
    <w:autoRedefine/>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70">
    <w:name w:val="标准标志"/>
    <w:next w:val="1"/>
    <w:autoRedefine/>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1">
    <w:name w:val="标准称谓"/>
    <w:next w:val="1"/>
    <w:autoRedefine/>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2">
    <w:name w:val="标准书脚_偶数页"/>
    <w:autoRedefine/>
    <w:qFormat/>
    <w:uiPriority w:val="0"/>
    <w:pPr>
      <w:spacing w:before="120"/>
      <w:ind w:left="221"/>
    </w:pPr>
    <w:rPr>
      <w:rFonts w:ascii="宋体" w:hAnsi="Times New Roman" w:eastAsia="宋体" w:cs="Times New Roman"/>
      <w:sz w:val="18"/>
      <w:szCs w:val="18"/>
      <w:lang w:val="en-US" w:eastAsia="zh-CN" w:bidi="ar-SA"/>
    </w:rPr>
  </w:style>
  <w:style w:type="paragraph" w:customStyle="1" w:styleId="73">
    <w:name w:val="标准书眉_偶数页"/>
    <w:basedOn w:val="48"/>
    <w:next w:val="1"/>
    <w:autoRedefine/>
    <w:qFormat/>
    <w:uiPriority w:val="0"/>
    <w:pPr>
      <w:jc w:val="left"/>
    </w:pPr>
  </w:style>
  <w:style w:type="paragraph" w:customStyle="1" w:styleId="74">
    <w:name w:val="标准书眉一"/>
    <w:autoRedefine/>
    <w:qFormat/>
    <w:uiPriority w:val="0"/>
    <w:pPr>
      <w:jc w:val="both"/>
    </w:pPr>
    <w:rPr>
      <w:rFonts w:ascii="Times New Roman" w:hAnsi="Times New Roman" w:eastAsia="宋体" w:cs="Times New Roman"/>
      <w:lang w:val="en-US" w:eastAsia="zh-CN" w:bidi="ar-SA"/>
    </w:rPr>
  </w:style>
  <w:style w:type="paragraph" w:customStyle="1" w:styleId="75">
    <w:name w:val="参考文献"/>
    <w:basedOn w:val="1"/>
    <w:next w:val="25"/>
    <w:autoRedefine/>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6">
    <w:name w:val="参考文献、索引标题"/>
    <w:basedOn w:val="1"/>
    <w:next w:val="25"/>
    <w:autoRedefine/>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7">
    <w:name w:val="发布"/>
    <w:autoRedefine/>
    <w:qFormat/>
    <w:uiPriority w:val="0"/>
    <w:rPr>
      <w:rFonts w:ascii="黑体" w:eastAsia="黑体"/>
      <w:spacing w:val="85"/>
      <w:w w:val="100"/>
      <w:position w:val="3"/>
      <w:sz w:val="28"/>
      <w:szCs w:val="28"/>
    </w:rPr>
  </w:style>
  <w:style w:type="paragraph" w:customStyle="1" w:styleId="78">
    <w:name w:val="发布部门"/>
    <w:next w:val="25"/>
    <w:autoRedefine/>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9">
    <w:name w:val="发布日期"/>
    <w:autoRedefine/>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0">
    <w:name w:val="封面标准代替信息"/>
    <w:autoRedefine/>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1">
    <w:name w:val="封面标准号1"/>
    <w:autoRedefine/>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2">
    <w:name w:val="封面标准名称"/>
    <w:autoRedefine/>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3">
    <w:name w:val="封面标准英文名称"/>
    <w:basedOn w:val="82"/>
    <w:autoRedefine/>
    <w:qFormat/>
    <w:uiPriority w:val="0"/>
    <w:pPr>
      <w:framePr w:wrap="around"/>
      <w:spacing w:before="370" w:line="400" w:lineRule="exact"/>
    </w:pPr>
    <w:rPr>
      <w:rFonts w:ascii="Times New Roman"/>
      <w:sz w:val="28"/>
      <w:szCs w:val="28"/>
    </w:rPr>
  </w:style>
  <w:style w:type="paragraph" w:customStyle="1" w:styleId="84">
    <w:name w:val="封面一致性程度标识"/>
    <w:basedOn w:val="83"/>
    <w:autoRedefine/>
    <w:qFormat/>
    <w:uiPriority w:val="0"/>
    <w:pPr>
      <w:framePr w:wrap="around"/>
      <w:spacing w:before="440"/>
    </w:pPr>
    <w:rPr>
      <w:rFonts w:ascii="宋体" w:eastAsia="宋体"/>
    </w:rPr>
  </w:style>
  <w:style w:type="paragraph" w:customStyle="1" w:styleId="85">
    <w:name w:val="封面标准文稿类别"/>
    <w:basedOn w:val="84"/>
    <w:autoRedefine/>
    <w:qFormat/>
    <w:uiPriority w:val="0"/>
    <w:pPr>
      <w:framePr w:wrap="around"/>
      <w:spacing w:after="160" w:line="240" w:lineRule="auto"/>
    </w:pPr>
    <w:rPr>
      <w:sz w:val="24"/>
    </w:rPr>
  </w:style>
  <w:style w:type="paragraph" w:customStyle="1" w:styleId="86">
    <w:name w:val="封面标准文稿编辑信息"/>
    <w:basedOn w:val="85"/>
    <w:autoRedefine/>
    <w:qFormat/>
    <w:uiPriority w:val="0"/>
    <w:pPr>
      <w:framePr w:wrap="around"/>
      <w:spacing w:before="180" w:line="180" w:lineRule="exact"/>
    </w:pPr>
    <w:rPr>
      <w:sz w:val="21"/>
    </w:rPr>
  </w:style>
  <w:style w:type="paragraph" w:customStyle="1" w:styleId="87">
    <w:name w:val="封面正文"/>
    <w:autoRedefine/>
    <w:qFormat/>
    <w:uiPriority w:val="0"/>
    <w:pPr>
      <w:jc w:val="both"/>
    </w:pPr>
    <w:rPr>
      <w:rFonts w:ascii="Times New Roman" w:hAnsi="Times New Roman" w:eastAsia="宋体" w:cs="Times New Roman"/>
      <w:lang w:val="en-US" w:eastAsia="zh-CN" w:bidi="ar-SA"/>
    </w:rPr>
  </w:style>
  <w:style w:type="paragraph" w:customStyle="1" w:styleId="88">
    <w:name w:val="附录标识"/>
    <w:basedOn w:val="1"/>
    <w:next w:val="25"/>
    <w:autoRedefine/>
    <w:qFormat/>
    <w:uiPriority w:val="0"/>
    <w:pPr>
      <w:keepNext/>
      <w:widowControl/>
      <w:numPr>
        <w:ilvl w:val="0"/>
        <w:numId w:val="11"/>
      </w:numPr>
      <w:shd w:val="clear" w:color="FFFFFF" w:fill="FFFFFF"/>
      <w:tabs>
        <w:tab w:val="left" w:pos="360"/>
        <w:tab w:val="left" w:pos="6405"/>
      </w:tabs>
      <w:spacing w:before="640"/>
      <w:jc w:val="center"/>
      <w:outlineLvl w:val="0"/>
    </w:pPr>
    <w:rPr>
      <w:rFonts w:eastAsia="黑体"/>
      <w:kern w:val="0"/>
      <w:szCs w:val="20"/>
    </w:rPr>
  </w:style>
  <w:style w:type="paragraph" w:customStyle="1" w:styleId="89">
    <w:name w:val="附录标题"/>
    <w:basedOn w:val="25"/>
    <w:next w:val="25"/>
    <w:autoRedefine/>
    <w:qFormat/>
    <w:uiPriority w:val="0"/>
    <w:pPr>
      <w:ind w:firstLine="0" w:firstLineChars="0"/>
      <w:jc w:val="center"/>
    </w:pPr>
    <w:rPr>
      <w:rFonts w:ascii="黑体" w:eastAsia="黑体"/>
    </w:rPr>
  </w:style>
  <w:style w:type="paragraph" w:customStyle="1" w:styleId="90">
    <w:name w:val="附录表标号"/>
    <w:basedOn w:val="1"/>
    <w:next w:val="25"/>
    <w:autoRedefine/>
    <w:qFormat/>
    <w:uiPriority w:val="0"/>
    <w:pPr>
      <w:numPr>
        <w:ilvl w:val="0"/>
        <w:numId w:val="12"/>
      </w:numPr>
      <w:spacing w:line="14" w:lineRule="exact"/>
      <w:ind w:left="811" w:hanging="448"/>
      <w:jc w:val="center"/>
      <w:outlineLvl w:val="0"/>
    </w:pPr>
    <w:rPr>
      <w:color w:val="FFFFFF"/>
    </w:rPr>
  </w:style>
  <w:style w:type="paragraph" w:customStyle="1" w:styleId="91">
    <w:name w:val="附录表标题"/>
    <w:basedOn w:val="1"/>
    <w:next w:val="25"/>
    <w:autoRedefine/>
    <w:qFormat/>
    <w:uiPriority w:val="0"/>
    <w:pPr>
      <w:tabs>
        <w:tab w:val="left" w:pos="0"/>
        <w:tab w:val="left" w:pos="180"/>
      </w:tabs>
      <w:spacing w:before="156" w:beforeLines="50" w:after="156" w:afterLines="50"/>
      <w:jc w:val="center"/>
    </w:pPr>
    <w:rPr>
      <w:rFonts w:eastAsia="黑体"/>
      <w:szCs w:val="21"/>
    </w:rPr>
  </w:style>
  <w:style w:type="paragraph" w:customStyle="1" w:styleId="92">
    <w:name w:val="附录二级条标题"/>
    <w:basedOn w:val="1"/>
    <w:next w:val="25"/>
    <w:autoRedefine/>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3">
    <w:name w:val="附录二级无"/>
    <w:basedOn w:val="92"/>
    <w:autoRedefine/>
    <w:qFormat/>
    <w:uiPriority w:val="0"/>
    <w:pPr>
      <w:tabs>
        <w:tab w:val="clear" w:pos="360"/>
      </w:tabs>
      <w:spacing w:beforeLines="0" w:afterLines="0"/>
    </w:pPr>
    <w:rPr>
      <w:rFonts w:ascii="宋体" w:eastAsia="宋体"/>
      <w:szCs w:val="21"/>
    </w:rPr>
  </w:style>
  <w:style w:type="paragraph" w:customStyle="1" w:styleId="94">
    <w:name w:val="附录公式"/>
    <w:basedOn w:val="25"/>
    <w:next w:val="25"/>
    <w:link w:val="95"/>
    <w:autoRedefine/>
    <w:qFormat/>
    <w:uiPriority w:val="0"/>
  </w:style>
  <w:style w:type="character" w:customStyle="1" w:styleId="95">
    <w:name w:val="附录公式 Char"/>
    <w:basedOn w:val="45"/>
    <w:link w:val="94"/>
    <w:autoRedefine/>
    <w:qFormat/>
    <w:uiPriority w:val="0"/>
    <w:rPr>
      <w:rFonts w:ascii="宋体"/>
      <w:sz w:val="21"/>
      <w:lang w:val="en-US" w:eastAsia="zh-CN" w:bidi="ar-SA"/>
    </w:rPr>
  </w:style>
  <w:style w:type="paragraph" w:customStyle="1" w:styleId="96">
    <w:name w:val="附录公式编号制表符"/>
    <w:basedOn w:val="1"/>
    <w:next w:val="25"/>
    <w:autoRedefine/>
    <w:qFormat/>
    <w:uiPriority w:val="0"/>
    <w:pPr>
      <w:widowControl/>
      <w:tabs>
        <w:tab w:val="center" w:pos="4201"/>
        <w:tab w:val="right" w:leader="dot" w:pos="9298"/>
      </w:tabs>
      <w:autoSpaceDE w:val="0"/>
      <w:autoSpaceDN w:val="0"/>
    </w:pPr>
    <w:rPr>
      <w:rFonts w:ascii="宋体"/>
      <w:kern w:val="0"/>
      <w:szCs w:val="20"/>
    </w:rPr>
  </w:style>
  <w:style w:type="paragraph" w:customStyle="1" w:styleId="97">
    <w:name w:val="附录三级条标题"/>
    <w:basedOn w:val="92"/>
    <w:next w:val="25"/>
    <w:autoRedefine/>
    <w:qFormat/>
    <w:uiPriority w:val="0"/>
    <w:pPr>
      <w:numPr>
        <w:ilvl w:val="4"/>
      </w:numPr>
      <w:outlineLvl w:val="4"/>
    </w:pPr>
  </w:style>
  <w:style w:type="paragraph" w:customStyle="1" w:styleId="98">
    <w:name w:val="附录三级无"/>
    <w:basedOn w:val="97"/>
    <w:autoRedefine/>
    <w:qFormat/>
    <w:uiPriority w:val="0"/>
    <w:pPr>
      <w:tabs>
        <w:tab w:val="clear" w:pos="360"/>
      </w:tabs>
      <w:spacing w:beforeLines="0" w:afterLines="0"/>
    </w:pPr>
    <w:rPr>
      <w:rFonts w:ascii="宋体" w:eastAsia="宋体"/>
      <w:szCs w:val="21"/>
    </w:rPr>
  </w:style>
  <w:style w:type="paragraph" w:customStyle="1" w:styleId="99">
    <w:name w:val="附录数字编号列项（二级）"/>
    <w:autoRedefine/>
    <w:qFormat/>
    <w:uiPriority w:val="0"/>
    <w:pPr>
      <w:numPr>
        <w:ilvl w:val="1"/>
        <w:numId w:val="13"/>
      </w:numPr>
    </w:pPr>
    <w:rPr>
      <w:rFonts w:ascii="宋体" w:hAnsi="Times New Roman" w:eastAsia="宋体" w:cs="Times New Roman"/>
      <w:sz w:val="21"/>
      <w:lang w:val="en-US" w:eastAsia="zh-CN" w:bidi="ar-SA"/>
    </w:rPr>
  </w:style>
  <w:style w:type="paragraph" w:customStyle="1" w:styleId="100">
    <w:name w:val="附录四级条标题"/>
    <w:basedOn w:val="97"/>
    <w:next w:val="25"/>
    <w:autoRedefine/>
    <w:qFormat/>
    <w:uiPriority w:val="0"/>
    <w:pPr>
      <w:numPr>
        <w:ilvl w:val="5"/>
      </w:numPr>
      <w:outlineLvl w:val="5"/>
    </w:pPr>
  </w:style>
  <w:style w:type="paragraph" w:customStyle="1" w:styleId="101">
    <w:name w:val="附录四级无"/>
    <w:basedOn w:val="100"/>
    <w:autoRedefine/>
    <w:qFormat/>
    <w:uiPriority w:val="0"/>
    <w:pPr>
      <w:tabs>
        <w:tab w:val="clear" w:pos="360"/>
      </w:tabs>
      <w:spacing w:beforeLines="0" w:afterLines="0"/>
    </w:pPr>
    <w:rPr>
      <w:rFonts w:ascii="宋体" w:eastAsia="宋体"/>
      <w:szCs w:val="21"/>
    </w:rPr>
  </w:style>
  <w:style w:type="paragraph" w:customStyle="1" w:styleId="102">
    <w:name w:val="附录图标号"/>
    <w:basedOn w:val="1"/>
    <w:autoRedefine/>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3">
    <w:name w:val="附录图标题"/>
    <w:basedOn w:val="1"/>
    <w:next w:val="25"/>
    <w:autoRedefine/>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104">
    <w:name w:val="附录五级条标题"/>
    <w:basedOn w:val="100"/>
    <w:next w:val="25"/>
    <w:autoRedefine/>
    <w:qFormat/>
    <w:uiPriority w:val="0"/>
    <w:pPr>
      <w:numPr>
        <w:ilvl w:val="6"/>
      </w:numPr>
      <w:outlineLvl w:val="6"/>
    </w:pPr>
  </w:style>
  <w:style w:type="paragraph" w:customStyle="1" w:styleId="105">
    <w:name w:val="附录五级无"/>
    <w:basedOn w:val="104"/>
    <w:autoRedefine/>
    <w:qFormat/>
    <w:uiPriority w:val="0"/>
    <w:pPr>
      <w:tabs>
        <w:tab w:val="clear" w:pos="360"/>
      </w:tabs>
      <w:spacing w:beforeLines="0" w:afterLines="0"/>
    </w:pPr>
    <w:rPr>
      <w:rFonts w:ascii="宋体" w:eastAsia="宋体"/>
      <w:szCs w:val="21"/>
    </w:rPr>
  </w:style>
  <w:style w:type="paragraph" w:customStyle="1" w:styleId="106">
    <w:name w:val="附录章标题"/>
    <w:next w:val="25"/>
    <w:autoRedefine/>
    <w:qFormat/>
    <w:uiPriority w:val="0"/>
    <w:pPr>
      <w:tabs>
        <w:tab w:val="left" w:pos="360"/>
      </w:tabs>
      <w:wordWrap w:val="0"/>
      <w:overflowPunct w:val="0"/>
      <w:autoSpaceDE w:val="0"/>
      <w:spacing w:before="312" w:beforeLines="100" w:after="312" w:afterLines="100"/>
      <w:jc w:val="both"/>
      <w:textAlignment w:val="baseline"/>
      <w:outlineLvl w:val="1"/>
    </w:pPr>
    <w:rPr>
      <w:rFonts w:ascii="Times New Roman" w:hAnsi="Times New Roman" w:eastAsia="黑体" w:cs="Times New Roman"/>
      <w:kern w:val="21"/>
      <w:sz w:val="21"/>
      <w:lang w:val="en-US" w:eastAsia="zh-CN" w:bidi="ar-SA"/>
    </w:rPr>
  </w:style>
  <w:style w:type="paragraph" w:customStyle="1" w:styleId="107">
    <w:name w:val="附录一级条标题"/>
    <w:basedOn w:val="106"/>
    <w:next w:val="25"/>
    <w:autoRedefine/>
    <w:qFormat/>
    <w:uiPriority w:val="0"/>
    <w:pPr>
      <w:autoSpaceDN w:val="0"/>
      <w:spacing w:before="50" w:beforeLines="50" w:after="50" w:afterLines="50"/>
      <w:outlineLvl w:val="2"/>
    </w:pPr>
  </w:style>
  <w:style w:type="paragraph" w:customStyle="1" w:styleId="108">
    <w:name w:val="附录一级无"/>
    <w:basedOn w:val="107"/>
    <w:autoRedefine/>
    <w:qFormat/>
    <w:uiPriority w:val="0"/>
    <w:pPr>
      <w:tabs>
        <w:tab w:val="clear" w:pos="360"/>
      </w:tabs>
      <w:spacing w:beforeLines="0" w:afterLines="0"/>
    </w:pPr>
    <w:rPr>
      <w:rFonts w:ascii="宋体" w:eastAsia="宋体"/>
      <w:szCs w:val="21"/>
    </w:rPr>
  </w:style>
  <w:style w:type="paragraph" w:customStyle="1" w:styleId="109">
    <w:name w:val="附录字母编号列项（一级）"/>
    <w:autoRedefine/>
    <w:qFormat/>
    <w:uiPriority w:val="0"/>
    <w:pPr>
      <w:numPr>
        <w:ilvl w:val="0"/>
        <w:numId w:val="13"/>
      </w:numPr>
    </w:pPr>
    <w:rPr>
      <w:rFonts w:ascii="宋体" w:hAnsi="Times New Roman" w:eastAsia="宋体" w:cs="Times New Roman"/>
      <w:sz w:val="21"/>
      <w:lang w:val="en-US" w:eastAsia="zh-CN" w:bidi="ar-SA"/>
    </w:rPr>
  </w:style>
  <w:style w:type="paragraph" w:customStyle="1" w:styleId="110">
    <w:name w:val="列项说明"/>
    <w:basedOn w:val="1"/>
    <w:autoRedefine/>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1">
    <w:name w:val="列项说明数字编号"/>
    <w:autoRedefine/>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2">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13">
    <w:name w:val="其他标准标志"/>
    <w:basedOn w:val="70"/>
    <w:autoRedefine/>
    <w:qFormat/>
    <w:uiPriority w:val="0"/>
    <w:pPr>
      <w:framePr w:w="6101" w:wrap="around" w:vAnchor="page" w:hAnchor="page" w:x="4673" w:y="942"/>
    </w:pPr>
    <w:rPr>
      <w:w w:val="130"/>
    </w:rPr>
  </w:style>
  <w:style w:type="paragraph" w:customStyle="1" w:styleId="114">
    <w:name w:val="其他标准称谓"/>
    <w:next w:val="1"/>
    <w:autoRedefine/>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5">
    <w:name w:val="其他发布部门"/>
    <w:basedOn w:val="78"/>
    <w:autoRedefine/>
    <w:qFormat/>
    <w:uiPriority w:val="0"/>
    <w:pPr>
      <w:framePr w:wrap="around" w:y="15310"/>
      <w:spacing w:line="0" w:lineRule="atLeast"/>
    </w:pPr>
    <w:rPr>
      <w:rFonts w:ascii="黑体" w:eastAsia="黑体"/>
      <w:b w:val="0"/>
    </w:rPr>
  </w:style>
  <w:style w:type="paragraph" w:customStyle="1" w:styleId="116">
    <w:name w:val="前言、引言标题"/>
    <w:next w:val="25"/>
    <w:autoRedefine/>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7">
    <w:name w:val="三级无"/>
    <w:basedOn w:val="55"/>
    <w:autoRedefine/>
    <w:qFormat/>
    <w:uiPriority w:val="0"/>
    <w:pPr>
      <w:spacing w:before="0" w:beforeLines="0" w:after="0" w:afterLines="0"/>
      <w:jc w:val="both"/>
    </w:pPr>
    <w:rPr>
      <w:rFonts w:eastAsiaTheme="minorEastAsia"/>
    </w:rPr>
  </w:style>
  <w:style w:type="paragraph" w:customStyle="1" w:styleId="118">
    <w:name w:val="实施日期"/>
    <w:basedOn w:val="79"/>
    <w:autoRedefine/>
    <w:qFormat/>
    <w:uiPriority w:val="0"/>
    <w:pPr>
      <w:framePr w:wrap="around" w:vAnchor="page" w:hAnchor="text"/>
      <w:jc w:val="right"/>
    </w:pPr>
  </w:style>
  <w:style w:type="paragraph" w:customStyle="1" w:styleId="119">
    <w:name w:val="示例后文字"/>
    <w:basedOn w:val="25"/>
    <w:next w:val="25"/>
    <w:autoRedefine/>
    <w:qFormat/>
    <w:uiPriority w:val="0"/>
    <w:pPr>
      <w:ind w:firstLine="360"/>
    </w:pPr>
    <w:rPr>
      <w:sz w:val="18"/>
    </w:rPr>
  </w:style>
  <w:style w:type="paragraph" w:customStyle="1" w:styleId="120">
    <w:name w:val="首示例"/>
    <w:next w:val="25"/>
    <w:link w:val="121"/>
    <w:autoRedefine/>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21">
    <w:name w:val="首示例 Char"/>
    <w:link w:val="120"/>
    <w:autoRedefine/>
    <w:qFormat/>
    <w:uiPriority w:val="0"/>
    <w:rPr>
      <w:rFonts w:ascii="宋体" w:hAnsi="宋体"/>
      <w:kern w:val="2"/>
      <w:sz w:val="18"/>
      <w:szCs w:val="18"/>
    </w:rPr>
  </w:style>
  <w:style w:type="paragraph" w:customStyle="1" w:styleId="122">
    <w:name w:val="四级无"/>
    <w:basedOn w:val="59"/>
    <w:autoRedefine/>
    <w:qFormat/>
    <w:uiPriority w:val="0"/>
    <w:pPr>
      <w:spacing w:before="0" w:beforeLines="0" w:after="0" w:afterLines="0"/>
    </w:pPr>
    <w:rPr>
      <w:rFonts w:asciiTheme="minorEastAsia" w:hAnsiTheme="minorEastAsia" w:eastAsiaTheme="minorEastAsia"/>
    </w:rPr>
  </w:style>
  <w:style w:type="paragraph" w:customStyle="1" w:styleId="123">
    <w:name w:val="条文脚注"/>
    <w:basedOn w:val="26"/>
    <w:autoRedefine/>
    <w:qFormat/>
    <w:uiPriority w:val="0"/>
    <w:pPr>
      <w:numPr>
        <w:numId w:val="0"/>
      </w:numPr>
      <w:jc w:val="both"/>
    </w:pPr>
  </w:style>
  <w:style w:type="paragraph" w:customStyle="1" w:styleId="124">
    <w:name w:val="图标脚注说明"/>
    <w:basedOn w:val="25"/>
    <w:autoRedefine/>
    <w:qFormat/>
    <w:uiPriority w:val="0"/>
    <w:pPr>
      <w:ind w:left="840" w:hanging="420"/>
    </w:pPr>
    <w:rPr>
      <w:sz w:val="18"/>
      <w:szCs w:val="18"/>
    </w:rPr>
  </w:style>
  <w:style w:type="paragraph" w:customStyle="1" w:styleId="125">
    <w:name w:val="图表脚注说明"/>
    <w:basedOn w:val="1"/>
    <w:autoRedefine/>
    <w:qFormat/>
    <w:uiPriority w:val="0"/>
    <w:pPr>
      <w:numPr>
        <w:ilvl w:val="0"/>
        <w:numId w:val="16"/>
      </w:numPr>
    </w:pPr>
    <w:rPr>
      <w:rFonts w:ascii="宋体"/>
      <w:sz w:val="18"/>
      <w:szCs w:val="18"/>
    </w:rPr>
  </w:style>
  <w:style w:type="paragraph" w:customStyle="1" w:styleId="126">
    <w:name w:val="图的脚注"/>
    <w:next w:val="25"/>
    <w:autoRedefine/>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7">
    <w:name w:val="文献分类号"/>
    <w:autoRedefine/>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8">
    <w:name w:val="五级无"/>
    <w:basedOn w:val="60"/>
    <w:autoRedefine/>
    <w:qFormat/>
    <w:uiPriority w:val="0"/>
    <w:pPr>
      <w:spacing w:before="0" w:beforeLines="0" w:after="0" w:afterLines="0"/>
    </w:pPr>
    <w:rPr>
      <w:rFonts w:asciiTheme="minorEastAsia" w:hAnsiTheme="minorEastAsia" w:eastAsiaTheme="minorEastAsia"/>
    </w:rPr>
  </w:style>
  <w:style w:type="paragraph" w:customStyle="1" w:styleId="129">
    <w:name w:val="一级无"/>
    <w:basedOn w:val="46"/>
    <w:autoRedefine/>
    <w:qFormat/>
    <w:uiPriority w:val="0"/>
    <w:pPr>
      <w:spacing w:before="0" w:beforeLines="0" w:after="0" w:afterLines="0"/>
    </w:pPr>
    <w:rPr>
      <w:rFonts w:ascii="宋体" w:eastAsia="宋体"/>
    </w:rPr>
  </w:style>
  <w:style w:type="character" w:customStyle="1" w:styleId="130">
    <w:name w:val="已访问的超链接1"/>
    <w:autoRedefine/>
    <w:qFormat/>
    <w:uiPriority w:val="0"/>
    <w:rPr>
      <w:color w:val="800080"/>
      <w:u w:val="single"/>
    </w:rPr>
  </w:style>
  <w:style w:type="paragraph" w:customStyle="1" w:styleId="131">
    <w:name w:val="正文表标题"/>
    <w:next w:val="25"/>
    <w:autoRedefine/>
    <w:qFormat/>
    <w:uiPriority w:val="0"/>
    <w:pPr>
      <w:numPr>
        <w:ilvl w:val="0"/>
        <w:numId w:val="17"/>
      </w:numPr>
      <w:tabs>
        <w:tab w:val="left" w:pos="360"/>
      </w:tabs>
      <w:spacing w:beforeLines="50" w:afterLines="50"/>
      <w:jc w:val="center"/>
    </w:pPr>
    <w:rPr>
      <w:rFonts w:ascii="Times New Roman" w:hAnsi="Times New Roman" w:eastAsia="黑体" w:cs="Times New Roman"/>
      <w:sz w:val="21"/>
      <w:lang w:val="en-US" w:eastAsia="zh-CN" w:bidi="ar-SA"/>
    </w:rPr>
  </w:style>
  <w:style w:type="paragraph" w:customStyle="1" w:styleId="132">
    <w:name w:val="正文公式编号制表符"/>
    <w:basedOn w:val="25"/>
    <w:next w:val="25"/>
    <w:autoRedefine/>
    <w:qFormat/>
    <w:uiPriority w:val="0"/>
  </w:style>
  <w:style w:type="paragraph" w:customStyle="1" w:styleId="133">
    <w:name w:val="正文图标题"/>
    <w:next w:val="25"/>
    <w:autoRedefine/>
    <w:qFormat/>
    <w:uiPriority w:val="0"/>
    <w:pPr>
      <w:numPr>
        <w:ilvl w:val="0"/>
        <w:numId w:val="18"/>
      </w:numPr>
      <w:spacing w:beforeLines="50" w:afterLines="50"/>
      <w:jc w:val="center"/>
    </w:pPr>
    <w:rPr>
      <w:rFonts w:ascii="Times New Roman" w:hAnsi="Times New Roman" w:eastAsia="黑体" w:cs="Times New Roman"/>
      <w:sz w:val="21"/>
      <w:lang w:val="en-US" w:eastAsia="zh-CN" w:bidi="ar-SA"/>
    </w:rPr>
  </w:style>
  <w:style w:type="paragraph" w:customStyle="1" w:styleId="134">
    <w:name w:val="终结线"/>
    <w:basedOn w:val="1"/>
    <w:autoRedefine/>
    <w:qFormat/>
    <w:uiPriority w:val="0"/>
    <w:pPr>
      <w:framePr w:hSpace="181" w:vSpace="181" w:wrap="around" w:vAnchor="text" w:hAnchor="margin" w:xAlign="center" w:y="285"/>
    </w:pPr>
  </w:style>
  <w:style w:type="paragraph" w:customStyle="1" w:styleId="135">
    <w:name w:val="其他发布日期"/>
    <w:basedOn w:val="79"/>
    <w:autoRedefine/>
    <w:qFormat/>
    <w:uiPriority w:val="0"/>
    <w:pPr>
      <w:framePr w:wrap="around" w:vAnchor="page" w:hAnchor="text" w:x="1419"/>
    </w:pPr>
  </w:style>
  <w:style w:type="paragraph" w:customStyle="1" w:styleId="136">
    <w:name w:val="其他实施日期"/>
    <w:basedOn w:val="118"/>
    <w:autoRedefine/>
    <w:qFormat/>
    <w:uiPriority w:val="0"/>
    <w:pPr>
      <w:framePr w:wrap="around"/>
    </w:pPr>
  </w:style>
  <w:style w:type="paragraph" w:customStyle="1" w:styleId="137">
    <w:name w:val="封面标准名称2"/>
    <w:basedOn w:val="82"/>
    <w:autoRedefine/>
    <w:qFormat/>
    <w:uiPriority w:val="0"/>
    <w:pPr>
      <w:framePr w:wrap="around" w:y="4469"/>
      <w:spacing w:beforeLines="630"/>
    </w:pPr>
  </w:style>
  <w:style w:type="paragraph" w:customStyle="1" w:styleId="138">
    <w:name w:val="封面标准英文名称2"/>
    <w:basedOn w:val="83"/>
    <w:autoRedefine/>
    <w:qFormat/>
    <w:uiPriority w:val="0"/>
    <w:pPr>
      <w:framePr w:wrap="around" w:y="4469"/>
    </w:pPr>
  </w:style>
  <w:style w:type="paragraph" w:customStyle="1" w:styleId="139">
    <w:name w:val="封面一致性程度标识2"/>
    <w:basedOn w:val="84"/>
    <w:autoRedefine/>
    <w:qFormat/>
    <w:uiPriority w:val="0"/>
    <w:pPr>
      <w:framePr w:wrap="around" w:y="4469"/>
    </w:pPr>
  </w:style>
  <w:style w:type="paragraph" w:customStyle="1" w:styleId="140">
    <w:name w:val="封面标准文稿类别2"/>
    <w:basedOn w:val="85"/>
    <w:autoRedefine/>
    <w:qFormat/>
    <w:uiPriority w:val="0"/>
    <w:pPr>
      <w:framePr w:wrap="around" w:y="4469"/>
    </w:pPr>
  </w:style>
  <w:style w:type="paragraph" w:customStyle="1" w:styleId="141">
    <w:name w:val="封面标准文稿编辑信息2"/>
    <w:basedOn w:val="86"/>
    <w:autoRedefine/>
    <w:qFormat/>
    <w:uiPriority w:val="0"/>
    <w:pPr>
      <w:framePr w:wrap="around" w:y="4469"/>
    </w:pPr>
  </w:style>
  <w:style w:type="paragraph" w:customStyle="1" w:styleId="142">
    <w:name w:val="列出段落1"/>
    <w:basedOn w:val="1"/>
    <w:autoRedefine/>
    <w:qFormat/>
    <w:uiPriority w:val="34"/>
    <w:pPr>
      <w:ind w:firstLine="420" w:firstLineChars="200"/>
    </w:pPr>
    <w:rPr>
      <w:rFonts w:ascii="Calibri" w:hAnsi="Calibri"/>
      <w:sz w:val="28"/>
      <w:szCs w:val="22"/>
    </w:rPr>
  </w:style>
  <w:style w:type="character" w:customStyle="1" w:styleId="143">
    <w:name w:val="标题 2 字符"/>
    <w:link w:val="3"/>
    <w:autoRedefine/>
    <w:qFormat/>
    <w:uiPriority w:val="9"/>
    <w:rPr>
      <w:rFonts w:ascii="Cambria" w:hAnsi="Cambria" w:eastAsia="宋体" w:cs="Times New Roman"/>
      <w:b/>
      <w:bCs/>
      <w:kern w:val="2"/>
      <w:sz w:val="32"/>
      <w:szCs w:val="32"/>
    </w:rPr>
  </w:style>
  <w:style w:type="character" w:customStyle="1" w:styleId="144">
    <w:name w:val="标题 3 字符"/>
    <w:link w:val="4"/>
    <w:autoRedefine/>
    <w:qFormat/>
    <w:uiPriority w:val="9"/>
    <w:rPr>
      <w:rFonts w:ascii="Calibri" w:hAnsi="Calibri" w:eastAsia="宋体" w:cs="Times New Roman"/>
      <w:b/>
      <w:bCs/>
      <w:kern w:val="2"/>
      <w:sz w:val="32"/>
      <w:szCs w:val="32"/>
    </w:rPr>
  </w:style>
  <w:style w:type="character" w:customStyle="1" w:styleId="145">
    <w:name w:val="批注框文本 字符"/>
    <w:link w:val="18"/>
    <w:autoRedefine/>
    <w:qFormat/>
    <w:uiPriority w:val="0"/>
    <w:rPr>
      <w:kern w:val="2"/>
      <w:sz w:val="18"/>
      <w:szCs w:val="18"/>
    </w:rPr>
  </w:style>
  <w:style w:type="character" w:customStyle="1" w:styleId="146">
    <w:name w:val="标题 1 字符"/>
    <w:link w:val="2"/>
    <w:autoRedefine/>
    <w:qFormat/>
    <w:uiPriority w:val="0"/>
    <w:rPr>
      <w:b/>
      <w:bCs/>
      <w:kern w:val="44"/>
      <w:sz w:val="44"/>
      <w:szCs w:val="44"/>
    </w:rPr>
  </w:style>
  <w:style w:type="paragraph" w:customStyle="1" w:styleId="147">
    <w:name w:val="TOC 标题1"/>
    <w:basedOn w:val="2"/>
    <w:next w:val="1"/>
    <w:autoRedefine/>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8">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49">
    <w:name w:val="标题 字符"/>
    <w:basedOn w:val="38"/>
    <w:link w:val="34"/>
    <w:autoRedefine/>
    <w:qFormat/>
    <w:uiPriority w:val="0"/>
    <w:rPr>
      <w:rFonts w:asciiTheme="majorHAnsi" w:hAnsiTheme="majorHAnsi" w:eastAsiaTheme="majorEastAsia" w:cstheme="majorBidi"/>
      <w:b/>
      <w:bCs/>
      <w:kern w:val="2"/>
      <w:sz w:val="32"/>
      <w:szCs w:val="32"/>
    </w:rPr>
  </w:style>
  <w:style w:type="character" w:customStyle="1" w:styleId="150">
    <w:name w:val="页脚 字符"/>
    <w:basedOn w:val="38"/>
    <w:link w:val="19"/>
    <w:autoRedefine/>
    <w:qFormat/>
    <w:uiPriority w:val="99"/>
    <w:rPr>
      <w:kern w:val="2"/>
      <w:sz w:val="18"/>
      <w:szCs w:val="18"/>
    </w:rPr>
  </w:style>
  <w:style w:type="paragraph" w:customStyle="1" w:styleId="151">
    <w:name w:val="Body text|2"/>
    <w:basedOn w:val="1"/>
    <w:autoRedefine/>
    <w:qFormat/>
    <w:uiPriority w:val="0"/>
    <w:pPr>
      <w:spacing w:line="670" w:lineRule="exact"/>
      <w:ind w:firstLine="820"/>
      <w:jc w:val="left"/>
    </w:pPr>
    <w:rPr>
      <w:color w:val="000000"/>
      <w:kern w:val="0"/>
      <w:sz w:val="40"/>
      <w:szCs w:val="40"/>
    </w:rPr>
  </w:style>
  <w:style w:type="paragraph" w:customStyle="1" w:styleId="152">
    <w:name w:val="Body text|1"/>
    <w:basedOn w:val="1"/>
    <w:autoRedefine/>
    <w:qFormat/>
    <w:uiPriority w:val="0"/>
    <w:pPr>
      <w:spacing w:line="352" w:lineRule="auto"/>
      <w:ind w:firstLine="400"/>
      <w:jc w:val="left"/>
    </w:pPr>
    <w:rPr>
      <w:rFonts w:ascii="宋体" w:hAnsi="宋体" w:cs="宋体"/>
      <w:color w:val="000000"/>
      <w:kern w:val="0"/>
      <w:sz w:val="36"/>
      <w:szCs w:val="36"/>
    </w:rPr>
  </w:style>
  <w:style w:type="paragraph" w:customStyle="1" w:styleId="153">
    <w:name w:val="Table Paragraph"/>
    <w:basedOn w:val="1"/>
    <w:autoRedefine/>
    <w:qFormat/>
    <w:uiPriority w:val="1"/>
    <w:pPr>
      <w:autoSpaceDE w:val="0"/>
      <w:autoSpaceDN w:val="0"/>
      <w:jc w:val="left"/>
    </w:pPr>
    <w:rPr>
      <w:rFonts w:ascii="宋体" w:hAnsi="宋体" w:cs="宋体"/>
      <w:kern w:val="0"/>
      <w:sz w:val="22"/>
      <w:szCs w:val="22"/>
      <w:lang w:eastAsia="en-US"/>
    </w:rPr>
  </w:style>
  <w:style w:type="paragraph" w:customStyle="1" w:styleId="154">
    <w:name w:val="修订2"/>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55">
    <w:name w:val="批注文字 字符"/>
    <w:basedOn w:val="38"/>
    <w:link w:val="10"/>
    <w:autoRedefine/>
    <w:semiHidden/>
    <w:qFormat/>
    <w:uiPriority w:val="0"/>
    <w:rPr>
      <w:kern w:val="2"/>
      <w:sz w:val="21"/>
      <w:szCs w:val="24"/>
    </w:rPr>
  </w:style>
  <w:style w:type="character" w:customStyle="1" w:styleId="156">
    <w:name w:val="批注主题 字符"/>
    <w:basedOn w:val="155"/>
    <w:link w:val="35"/>
    <w:autoRedefine/>
    <w:semiHidden/>
    <w:qFormat/>
    <w:uiPriority w:val="0"/>
    <w:rPr>
      <w:b/>
      <w:bCs/>
      <w:kern w:val="2"/>
      <w:sz w:val="21"/>
      <w:szCs w:val="24"/>
    </w:rPr>
  </w:style>
  <w:style w:type="paragraph" w:styleId="157">
    <w:name w:val="List Paragraph"/>
    <w:basedOn w:val="1"/>
    <w:autoRedefine/>
    <w:qFormat/>
    <w:uiPriority w:val="99"/>
    <w:pPr>
      <w:ind w:firstLine="420" w:firstLineChars="200"/>
    </w:pPr>
  </w:style>
  <w:style w:type="character" w:customStyle="1" w:styleId="158">
    <w:name w:val="MTEquationSection"/>
    <w:basedOn w:val="38"/>
    <w:autoRedefine/>
    <w:qFormat/>
    <w:uiPriority w:val="0"/>
    <w:rPr>
      <w:rFonts w:ascii="Times New Roman"/>
      <w:vanish/>
      <w:color w:val="FF0000"/>
    </w:rPr>
  </w:style>
  <w:style w:type="paragraph" w:customStyle="1" w:styleId="159">
    <w:name w:val="MTDisplayEquation"/>
    <w:basedOn w:val="25"/>
    <w:next w:val="1"/>
    <w:link w:val="160"/>
    <w:autoRedefine/>
    <w:qFormat/>
    <w:uiPriority w:val="0"/>
    <w:pPr>
      <w:tabs>
        <w:tab w:val="center" w:pos="4680"/>
        <w:tab w:val="right" w:pos="9360"/>
        <w:tab w:val="clear" w:pos="4201"/>
        <w:tab w:val="clear" w:pos="9298"/>
      </w:tabs>
      <w:adjustRightInd w:val="0"/>
      <w:snapToGrid w:val="0"/>
    </w:pPr>
  </w:style>
  <w:style w:type="character" w:customStyle="1" w:styleId="160">
    <w:name w:val="MTDisplayEquation 字符"/>
    <w:basedOn w:val="45"/>
    <w:link w:val="159"/>
    <w:autoRedefine/>
    <w:qFormat/>
    <w:uiPriority w:val="0"/>
    <w:rPr>
      <w:sz w:val="21"/>
    </w:rPr>
  </w:style>
  <w:style w:type="character" w:customStyle="1" w:styleId="161">
    <w:name w:val="三级条标题 Char"/>
    <w:link w:val="55"/>
    <w:autoRedefine/>
    <w:qFormat/>
    <w:uiPriority w:val="0"/>
  </w:style>
  <w:style w:type="paragraph" w:customStyle="1" w:styleId="162">
    <w:name w:val="修订3"/>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w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8" Type="http://schemas.openxmlformats.org/officeDocument/2006/relationships/fontTable" Target="fontTable.xml"/><Relationship Id="rId37" Type="http://schemas.openxmlformats.org/officeDocument/2006/relationships/customXml" Target="../customXml/item2.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4.wmf"/><Relationship Id="rId33" Type="http://schemas.openxmlformats.org/officeDocument/2006/relationships/oleObject" Target="embeddings/oleObject14.bin"/><Relationship Id="rId32" Type="http://schemas.openxmlformats.org/officeDocument/2006/relationships/image" Target="media/image13.wmf"/><Relationship Id="rId31" Type="http://schemas.openxmlformats.org/officeDocument/2006/relationships/oleObject" Target="embeddings/oleObject13.bin"/><Relationship Id="rId30" Type="http://schemas.openxmlformats.org/officeDocument/2006/relationships/image" Target="media/image12.wmf"/><Relationship Id="rId3" Type="http://schemas.openxmlformats.org/officeDocument/2006/relationships/header" Target="header1.xml"/><Relationship Id="rId29" Type="http://schemas.openxmlformats.org/officeDocument/2006/relationships/oleObject" Target="embeddings/oleObject12.bin"/><Relationship Id="rId28" Type="http://schemas.openxmlformats.org/officeDocument/2006/relationships/image" Target="media/image11.wmf"/><Relationship Id="rId27" Type="http://schemas.openxmlformats.org/officeDocument/2006/relationships/oleObject" Target="embeddings/oleObject11.bin"/><Relationship Id="rId26" Type="http://schemas.openxmlformats.org/officeDocument/2006/relationships/image" Target="media/image10.wmf"/><Relationship Id="rId25" Type="http://schemas.openxmlformats.org/officeDocument/2006/relationships/oleObject" Target="embeddings/oleObject10.bin"/><Relationship Id="rId24" Type="http://schemas.openxmlformats.org/officeDocument/2006/relationships/image" Target="media/image9.wmf"/><Relationship Id="rId23" Type="http://schemas.openxmlformats.org/officeDocument/2006/relationships/oleObject" Target="embeddings/oleObject9.bin"/><Relationship Id="rId22" Type="http://schemas.openxmlformats.org/officeDocument/2006/relationships/image" Target="media/image8.wmf"/><Relationship Id="rId21" Type="http://schemas.openxmlformats.org/officeDocument/2006/relationships/oleObject" Target="embeddings/oleObject8.bin"/><Relationship Id="rId20" Type="http://schemas.openxmlformats.org/officeDocument/2006/relationships/image" Target="media/image7.wmf"/><Relationship Id="rId2" Type="http://schemas.openxmlformats.org/officeDocument/2006/relationships/settings" Target="settings.xml"/><Relationship Id="rId19" Type="http://schemas.openxmlformats.org/officeDocument/2006/relationships/oleObject" Target="embeddings/oleObject7.bin"/><Relationship Id="rId18" Type="http://schemas.openxmlformats.org/officeDocument/2006/relationships/image" Target="media/image6.wmf"/><Relationship Id="rId17" Type="http://schemas.openxmlformats.org/officeDocument/2006/relationships/oleObject" Target="embeddings/oleObject6.bin"/><Relationship Id="rId16" Type="http://schemas.openxmlformats.org/officeDocument/2006/relationships/image" Target="media/image5.wmf"/><Relationship Id="rId15" Type="http://schemas.openxmlformats.org/officeDocument/2006/relationships/oleObject" Target="embeddings/oleObject5.bin"/><Relationship Id="rId14" Type="http://schemas.openxmlformats.org/officeDocument/2006/relationships/image" Target="media/image4.wmf"/><Relationship Id="rId13" Type="http://schemas.openxmlformats.org/officeDocument/2006/relationships/oleObject" Target="embeddings/oleObject4.bin"/><Relationship Id="rId12" Type="http://schemas.openxmlformats.org/officeDocument/2006/relationships/image" Target="media/image3.wmf"/><Relationship Id="rId11" Type="http://schemas.openxmlformats.org/officeDocument/2006/relationships/oleObject" Target="embeddings/oleObject3.bin"/><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CB2DB7-4794-41A5-A644-DF2A7699904A}">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29</Pages>
  <Words>3475</Words>
  <Characters>19814</Characters>
  <Lines>165</Lines>
  <Paragraphs>46</Paragraphs>
  <TotalTime>12</TotalTime>
  <ScaleCrop>false</ScaleCrop>
  <LinksUpToDate>false</LinksUpToDate>
  <CharactersWithSpaces>23243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2023-10-29T10:14:00Z</dcterms:created>
  <dc:creator>HP</dc:creator>
  <cp:lastModifiedBy>霍学平</cp:lastModifiedBy>
  <cp:lastPrinted>2017-03-02T02:34:00Z</cp:lastPrinted>
  <dcterms:modified xsi:type="dcterms:W3CDTF">2024-04-28T15:08:15Z</dcterms:modified>
  <dc:title>标准名称</dc:title>
  <cp:revision>718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D19FF3D69A264C3DA2B92E6E2C1ABD90_13</vt:lpwstr>
  </property>
  <property fmtid="{D5CDD505-2E9C-101B-9397-08002B2CF9AE}" pid="4" name="MTEquationSection">
    <vt:lpwstr>1</vt:lpwstr>
  </property>
  <property fmtid="{D5CDD505-2E9C-101B-9397-08002B2CF9AE}" pid="5" name="MTWinEqns">
    <vt:bool>true</vt:bool>
  </property>
  <property fmtid="{D5CDD505-2E9C-101B-9397-08002B2CF9AE}" pid="6" name="MTEquationNumber2">
    <vt:lpwstr>(#E1)</vt:lpwstr>
  </property>
</Properties>
</file>