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小标宋_GBK" w:eastAsia="方正小标宋_GBK"/>
          <w:sz w:val="44"/>
          <w:szCs w:val="44"/>
        </w:rPr>
      </w:pPr>
      <w:r>
        <w:rPr>
          <w:rFonts w:hint="eastAsia" w:ascii="方正小标宋_GBK" w:eastAsia="方正小标宋_GBK"/>
          <w:sz w:val="44"/>
          <w:szCs w:val="44"/>
        </w:rPr>
        <w:t xml:space="preserve">  </w:t>
      </w:r>
    </w:p>
    <w:p>
      <w:pPr>
        <w:rPr>
          <w:rFonts w:ascii="黑体" w:hAnsi="黑体" w:eastAsia="黑体" w:cs="黑体"/>
          <w:sz w:val="32"/>
          <w:szCs w:val="32"/>
        </w:rPr>
      </w:pPr>
      <w:bookmarkStart w:id="0" w:name="_GoBack"/>
      <w:bookmarkEnd w:id="0"/>
      <w:r>
        <w:rPr>
          <w:rFonts w:hint="eastAsia" w:ascii="黑体" w:hAnsi="黑体" w:eastAsia="黑体" w:cs="黑体"/>
          <w:sz w:val="32"/>
          <w:szCs w:val="32"/>
        </w:rPr>
        <w:t>附件6</w:t>
      </w:r>
    </w:p>
    <w:p>
      <w:pPr>
        <w:spacing w:before="156" w:beforeLines="50" w:after="156" w:afterLines="50"/>
        <w:jc w:val="center"/>
        <w:rPr>
          <w:rFonts w:ascii="仿宋_GB2312" w:eastAsia="仿宋_GB2312"/>
          <w:sz w:val="36"/>
          <w:szCs w:val="36"/>
        </w:rPr>
      </w:pPr>
      <w:r>
        <w:rPr>
          <w:rFonts w:ascii="黑体" w:hAnsi="黑体" w:eastAsia="黑体" w:cs="黑体"/>
          <w:szCs w:val="21"/>
        </w:rPr>
        <w:tab/>
      </w:r>
      <w:r>
        <w:rPr>
          <w:rFonts w:hint="eastAsia" w:ascii="方正小标宋_GBK" w:eastAsia="方正小标宋_GBK"/>
          <w:sz w:val="36"/>
          <w:szCs w:val="36"/>
        </w:rPr>
        <w:t>诚信计量承诺书</w:t>
      </w:r>
      <w:r>
        <w:rPr>
          <w:rFonts w:hint="eastAsia" w:ascii="仿宋_GB2312" w:eastAsia="仿宋_GB2312"/>
          <w:sz w:val="36"/>
          <w:szCs w:val="36"/>
        </w:rPr>
        <w:t xml:space="preserve">                    </w:t>
      </w:r>
    </w:p>
    <w:p>
      <w:pPr>
        <w:spacing w:line="520" w:lineRule="exact"/>
        <w:ind w:firstLine="560" w:firstLineChars="200"/>
        <w:jc w:val="left"/>
        <w:rPr>
          <w:rFonts w:ascii="仿宋_GB2312" w:hAnsi="黑体" w:eastAsia="仿宋_GB2312"/>
          <w:sz w:val="28"/>
          <w:szCs w:val="28"/>
        </w:rPr>
      </w:pPr>
      <w:r>
        <w:rPr>
          <w:rFonts w:hint="eastAsia" w:ascii="仿宋_GB2312" w:hAnsi="黑体" w:eastAsia="仿宋_GB2312"/>
          <w:sz w:val="28"/>
          <w:szCs w:val="28"/>
        </w:rPr>
        <w:t>为构建诚信经营市场环境，树立和维护企业良好形象，本单位自愿参与诚信计量承诺单位创建，按照《公路计重收费站诚信计量建设规范》要求开展诚信计量体系建设，经自我评价符合</w:t>
      </w:r>
      <w:r>
        <w:rPr>
          <w:rFonts w:ascii="仿宋_GB2312" w:hAnsi="黑体" w:eastAsia="仿宋_GB2312"/>
          <w:sz w:val="28"/>
          <w:szCs w:val="28"/>
        </w:rPr>
        <w:t>要求</w:t>
      </w:r>
      <w:r>
        <w:rPr>
          <w:rFonts w:hint="eastAsia" w:ascii="仿宋_GB2312" w:hAnsi="黑体" w:eastAsia="仿宋_GB2312"/>
          <w:sz w:val="28"/>
          <w:szCs w:val="28"/>
        </w:rPr>
        <w:t>，特</w:t>
      </w:r>
      <w:r>
        <w:rPr>
          <w:rFonts w:ascii="仿宋_GB2312" w:hAnsi="黑体" w:eastAsia="仿宋_GB2312"/>
          <w:sz w:val="28"/>
          <w:szCs w:val="28"/>
        </w:rPr>
        <w:t>向社会公开承诺</w:t>
      </w:r>
      <w:r>
        <w:rPr>
          <w:rFonts w:hint="eastAsia" w:ascii="仿宋_GB2312" w:hAnsi="黑体" w:eastAsia="仿宋_GB2312"/>
          <w:sz w:val="28"/>
          <w:szCs w:val="28"/>
        </w:rPr>
        <w:t>：</w:t>
      </w:r>
    </w:p>
    <w:p>
      <w:pPr>
        <w:spacing w:line="520" w:lineRule="exact"/>
        <w:ind w:firstLine="560" w:firstLineChars="200"/>
        <w:jc w:val="left"/>
        <w:rPr>
          <w:rFonts w:ascii="仿宋_GB2312" w:eastAsia="仿宋_GB2312"/>
          <w:sz w:val="28"/>
          <w:szCs w:val="28"/>
        </w:rPr>
      </w:pPr>
      <w:r>
        <w:rPr>
          <w:rFonts w:hint="eastAsia" w:ascii="仿宋_GB2312" w:eastAsia="仿宋_GB2312"/>
          <w:sz w:val="28"/>
          <w:szCs w:val="28"/>
        </w:rPr>
        <w:t>一、自觉遵守《中华</w:t>
      </w:r>
      <w:r>
        <w:rPr>
          <w:rFonts w:ascii="仿宋_GB2312" w:eastAsia="仿宋_GB2312"/>
          <w:sz w:val="28"/>
          <w:szCs w:val="28"/>
        </w:rPr>
        <w:t>人民共和国</w:t>
      </w:r>
      <w:r>
        <w:rPr>
          <w:rFonts w:hint="eastAsia" w:ascii="仿宋_GB2312" w:eastAsia="仿宋_GB2312"/>
          <w:sz w:val="28"/>
          <w:szCs w:val="28"/>
        </w:rPr>
        <w:t>计量法》等法律法规对计量器具的有关规定。</w:t>
      </w:r>
    </w:p>
    <w:p>
      <w:pPr>
        <w:pStyle w:val="31"/>
        <w:numPr>
          <w:ilvl w:val="0"/>
          <w:numId w:val="0"/>
        </w:numPr>
        <w:spacing w:line="520" w:lineRule="exact"/>
        <w:ind w:firstLine="560" w:firstLineChars="200"/>
        <w:rPr>
          <w:rFonts w:ascii="仿宋_GB2312" w:eastAsia="仿宋_GB2312"/>
          <w:sz w:val="28"/>
          <w:szCs w:val="28"/>
        </w:rPr>
      </w:pPr>
      <w:r>
        <w:rPr>
          <w:rFonts w:hint="eastAsia" w:ascii="仿宋_GB2312" w:eastAsia="仿宋_GB2312"/>
          <w:sz w:val="28"/>
          <w:szCs w:val="28"/>
        </w:rPr>
        <w:t>二、积极宣传和带头遵守《商业 服务业诚信计量行为规范》，建立诚信计量管理体系并实施有效管理、控制和持续改进。</w:t>
      </w:r>
    </w:p>
    <w:p>
      <w:pPr>
        <w:pStyle w:val="31"/>
        <w:numPr>
          <w:ilvl w:val="0"/>
          <w:numId w:val="0"/>
        </w:numPr>
        <w:spacing w:line="520" w:lineRule="exact"/>
        <w:ind w:firstLine="560" w:firstLineChars="200"/>
        <w:rPr>
          <w:rFonts w:ascii="仿宋_GB2312" w:eastAsia="仿宋_GB2312"/>
          <w:sz w:val="28"/>
          <w:szCs w:val="28"/>
        </w:rPr>
      </w:pPr>
      <w:r>
        <w:rPr>
          <w:rFonts w:hint="eastAsia" w:ascii="仿宋_GB2312" w:eastAsia="仿宋_GB2312"/>
          <w:sz w:val="28"/>
          <w:szCs w:val="28"/>
        </w:rPr>
        <w:t>三、加强</w:t>
      </w:r>
      <w:r>
        <w:rPr>
          <w:rFonts w:ascii="仿宋_GB2312" w:eastAsia="仿宋_GB2312"/>
          <w:sz w:val="28"/>
          <w:szCs w:val="28"/>
        </w:rPr>
        <w:t>计量器具管理，</w:t>
      </w:r>
      <w:r>
        <w:rPr>
          <w:rFonts w:hint="eastAsia" w:ascii="仿宋_GB2312" w:eastAsia="仿宋_GB2312"/>
          <w:sz w:val="28"/>
          <w:szCs w:val="28"/>
        </w:rPr>
        <w:t>配备符合国家要求的称重计量器具并定期检定。不使用未经检定、检定不合格和</w:t>
      </w:r>
      <w:r>
        <w:rPr>
          <w:rFonts w:ascii="仿宋_GB2312" w:eastAsia="仿宋_GB2312"/>
          <w:sz w:val="28"/>
          <w:szCs w:val="28"/>
        </w:rPr>
        <w:t>超检定</w:t>
      </w:r>
      <w:r>
        <w:rPr>
          <w:rFonts w:hint="eastAsia" w:ascii="仿宋_GB2312" w:eastAsia="仿宋_GB2312"/>
          <w:sz w:val="28"/>
          <w:szCs w:val="28"/>
        </w:rPr>
        <w:t>周期的计量器具，不</w:t>
      </w:r>
      <w:r>
        <w:rPr>
          <w:rFonts w:ascii="仿宋_GB2312" w:eastAsia="仿宋_GB2312"/>
          <w:sz w:val="28"/>
          <w:szCs w:val="28"/>
        </w:rPr>
        <w:t>对计量器具进行未经授权的调整。</w:t>
      </w:r>
    </w:p>
    <w:p>
      <w:pPr>
        <w:pStyle w:val="31"/>
        <w:numPr>
          <w:ilvl w:val="0"/>
          <w:numId w:val="0"/>
        </w:numPr>
        <w:spacing w:line="520" w:lineRule="exact"/>
        <w:ind w:firstLine="560" w:firstLineChars="200"/>
        <w:rPr>
          <w:rFonts w:ascii="仿宋_GB2312" w:eastAsia="仿宋_GB2312"/>
          <w:sz w:val="28"/>
          <w:szCs w:val="28"/>
        </w:rPr>
      </w:pPr>
      <w:r>
        <w:rPr>
          <w:rFonts w:hint="eastAsia" w:ascii="仿宋_GB2312" w:eastAsia="仿宋_GB2312"/>
          <w:sz w:val="28"/>
          <w:szCs w:val="28"/>
        </w:rPr>
        <w:t>四、公开</w:t>
      </w:r>
      <w:r>
        <w:rPr>
          <w:rFonts w:ascii="仿宋_GB2312" w:eastAsia="仿宋_GB2312"/>
          <w:sz w:val="28"/>
          <w:szCs w:val="28"/>
        </w:rPr>
        <w:t>公示计量收费标准，</w:t>
      </w:r>
      <w:r>
        <w:rPr>
          <w:rFonts w:hint="eastAsia" w:ascii="仿宋_GB2312" w:eastAsia="仿宋_GB2312"/>
          <w:sz w:val="28"/>
          <w:szCs w:val="28"/>
        </w:rPr>
        <w:t>使用法定计量单位，向</w:t>
      </w:r>
      <w:r>
        <w:rPr>
          <w:rFonts w:ascii="仿宋_GB2312" w:eastAsia="仿宋_GB2312"/>
          <w:sz w:val="28"/>
          <w:szCs w:val="28"/>
        </w:rPr>
        <w:t>消费者明示测量结果和收费金额。</w:t>
      </w:r>
    </w:p>
    <w:p>
      <w:pPr>
        <w:pStyle w:val="31"/>
        <w:numPr>
          <w:ilvl w:val="0"/>
          <w:numId w:val="0"/>
        </w:numPr>
        <w:spacing w:line="520" w:lineRule="exact"/>
        <w:ind w:firstLine="560" w:firstLineChars="200"/>
        <w:rPr>
          <w:rFonts w:ascii="仿宋_GB2312" w:eastAsia="仿宋_GB2312"/>
          <w:sz w:val="28"/>
          <w:szCs w:val="28"/>
        </w:rPr>
      </w:pPr>
      <w:r>
        <w:rPr>
          <w:rFonts w:hint="eastAsia" w:ascii="仿宋_GB2312" w:eastAsia="仿宋_GB2312"/>
          <w:sz w:val="28"/>
          <w:szCs w:val="28"/>
        </w:rPr>
        <w:t>五、</w:t>
      </w:r>
      <w:r>
        <w:rPr>
          <w:rFonts w:ascii="仿宋_GB2312" w:eastAsia="仿宋_GB2312"/>
          <w:sz w:val="28"/>
          <w:szCs w:val="28"/>
        </w:rPr>
        <w:t>注重保护消费者权益，积极妥善处理计量争议。</w:t>
      </w:r>
    </w:p>
    <w:p>
      <w:pPr>
        <w:pStyle w:val="31"/>
        <w:numPr>
          <w:ilvl w:val="0"/>
          <w:numId w:val="0"/>
        </w:numPr>
        <w:spacing w:line="520" w:lineRule="exact"/>
        <w:ind w:firstLine="560" w:firstLineChars="200"/>
        <w:rPr>
          <w:rFonts w:ascii="仿宋_GB2312" w:eastAsia="仿宋_GB2312"/>
          <w:sz w:val="28"/>
          <w:szCs w:val="28"/>
        </w:rPr>
      </w:pPr>
      <w:r>
        <w:rPr>
          <w:rFonts w:hint="eastAsia" w:ascii="仿宋_GB2312" w:eastAsia="仿宋_GB2312"/>
          <w:sz w:val="28"/>
          <w:szCs w:val="28"/>
        </w:rPr>
        <w:t>本单位将严格履行以上承诺，如有违反，愿意承担相应的法律责任，欢迎社会各界予以监督</w:t>
      </w:r>
      <w:r>
        <w:rPr>
          <w:rFonts w:ascii="仿宋_GB2312" w:eastAsia="仿宋_GB2312"/>
          <w:sz w:val="28"/>
          <w:szCs w:val="28"/>
        </w:rPr>
        <w:t>。</w:t>
      </w:r>
    </w:p>
    <w:p>
      <w:pPr>
        <w:pStyle w:val="31"/>
        <w:numPr>
          <w:ilvl w:val="0"/>
          <w:numId w:val="0"/>
        </w:numPr>
        <w:spacing w:line="520" w:lineRule="exact"/>
        <w:ind w:firstLine="560" w:firstLineChars="200"/>
        <w:rPr>
          <w:rFonts w:ascii="仿宋_GB2312" w:eastAsia="仿宋_GB2312"/>
          <w:sz w:val="28"/>
          <w:szCs w:val="28"/>
        </w:rPr>
      </w:pPr>
      <w:r>
        <w:rPr>
          <w:rFonts w:hint="eastAsia" w:ascii="仿宋_GB2312" w:eastAsia="仿宋_GB2312"/>
          <w:sz w:val="28"/>
          <w:szCs w:val="28"/>
        </w:rPr>
        <w:t xml:space="preserve">                </w:t>
      </w:r>
      <w:r>
        <w:rPr>
          <w:rFonts w:ascii="仿宋_GB2312" w:eastAsia="仿宋_GB2312"/>
          <w:sz w:val="28"/>
          <w:szCs w:val="28"/>
        </w:rPr>
        <w:t xml:space="preserve">               </w:t>
      </w:r>
    </w:p>
    <w:p>
      <w:pPr>
        <w:pStyle w:val="31"/>
        <w:numPr>
          <w:ilvl w:val="0"/>
          <w:numId w:val="0"/>
        </w:numPr>
        <w:spacing w:line="520" w:lineRule="exact"/>
        <w:ind w:firstLine="4060" w:firstLineChars="1450"/>
        <w:rPr>
          <w:rFonts w:ascii="仿宋_GB2312" w:eastAsia="仿宋_GB2312"/>
          <w:sz w:val="28"/>
          <w:szCs w:val="28"/>
        </w:rPr>
      </w:pPr>
    </w:p>
    <w:p>
      <w:pPr>
        <w:pStyle w:val="31"/>
        <w:numPr>
          <w:ilvl w:val="0"/>
          <w:numId w:val="0"/>
        </w:numPr>
        <w:spacing w:line="520" w:lineRule="exact"/>
        <w:ind w:firstLine="5740" w:firstLineChars="2050"/>
        <w:rPr>
          <w:rFonts w:ascii="仿宋_GB2312" w:eastAsia="仿宋_GB2312"/>
          <w:sz w:val="28"/>
          <w:szCs w:val="28"/>
        </w:rPr>
      </w:pPr>
      <w:r>
        <w:rPr>
          <w:rFonts w:hint="eastAsia" w:ascii="仿宋_GB2312" w:eastAsia="仿宋_GB2312"/>
          <w:sz w:val="28"/>
          <w:szCs w:val="28"/>
        </w:rPr>
        <w:t>单位（盖章）</w:t>
      </w:r>
    </w:p>
    <w:p>
      <w:pPr>
        <w:ind w:firstLine="5740" w:firstLineChars="2050"/>
        <w:rPr>
          <w:rFonts w:ascii="黑体" w:hAnsi="黑体" w:eastAsia="黑体" w:cs="黑体"/>
          <w:sz w:val="28"/>
          <w:szCs w:val="28"/>
        </w:rPr>
        <w:sectPr>
          <w:pgSz w:w="11906" w:h="16838"/>
          <w:pgMar w:top="1134" w:right="1474" w:bottom="1134" w:left="1588" w:header="851" w:footer="992" w:gutter="0"/>
          <w:cols w:space="425" w:num="1"/>
          <w:docGrid w:type="lines" w:linePitch="312" w:charSpace="0"/>
        </w:sectPr>
      </w:pPr>
      <w:r>
        <w:rPr>
          <w:rFonts w:hint="eastAsia" w:ascii="仿宋_GB2312" w:eastAsia="仿宋_GB2312"/>
          <w:sz w:val="28"/>
          <w:szCs w:val="28"/>
        </w:rPr>
        <w:t>举报电话：123</w:t>
      </w:r>
      <w:r>
        <w:rPr>
          <w:rFonts w:ascii="仿宋_GB2312" w:eastAsia="仿宋_GB2312"/>
          <w:sz w:val="28"/>
          <w:szCs w:val="28"/>
        </w:rPr>
        <w:t>15</w:t>
      </w:r>
      <w:r>
        <w:rPr>
          <w:rFonts w:ascii="黑体" w:hAnsi="黑体" w:eastAsia="黑体" w:cs="黑体"/>
          <w:sz w:val="28"/>
          <w:szCs w:val="28"/>
        </w:rPr>
        <w:tab/>
      </w:r>
    </w:p>
    <w:p>
      <w:pPr>
        <w:kinsoku w:val="0"/>
        <w:overflowPunct w:val="0"/>
        <w:jc w:val="center"/>
        <w:rPr>
          <w:rFonts w:ascii="黑体" w:hAnsi="黑体" w:eastAsia="黑体" w:cs="黑体"/>
          <w:sz w:val="28"/>
          <w:szCs w:val="28"/>
        </w:rPr>
      </w:pPr>
      <w:r>
        <w:rPr>
          <w:rFonts w:hint="eastAsia" w:ascii="黑体" w:hAnsi="黑体" w:eastAsia="黑体" w:cs="黑体"/>
          <w:sz w:val="28"/>
          <w:szCs w:val="28"/>
        </w:rPr>
        <w:t>公路计重收费站诚信计量承诺单位</w:t>
      </w:r>
      <w:r>
        <w:rPr>
          <w:rFonts w:ascii="黑体" w:hAnsi="黑体" w:eastAsia="黑体" w:cs="黑体"/>
          <w:sz w:val="28"/>
          <w:szCs w:val="28"/>
        </w:rPr>
        <w:t>自评表</w:t>
      </w:r>
      <w:r>
        <w:rPr>
          <w:rFonts w:hint="eastAsia" w:ascii="黑体" w:hAnsi="黑体" w:eastAsia="黑体" w:cs="黑体"/>
          <w:sz w:val="28"/>
          <w:szCs w:val="28"/>
        </w:rPr>
        <w:t>（试用</w:t>
      </w:r>
      <w:r>
        <w:rPr>
          <w:rFonts w:ascii="黑体" w:hAnsi="黑体" w:eastAsia="黑体" w:cs="黑体"/>
          <w:sz w:val="28"/>
          <w:szCs w:val="28"/>
        </w:rPr>
        <w:t>）</w:t>
      </w:r>
    </w:p>
    <w:p>
      <w:pPr>
        <w:spacing w:after="156" w:afterLines="50" w:line="240" w:lineRule="exact"/>
        <w:rPr>
          <w:rFonts w:ascii="Arial" w:hAnsi="Arial" w:eastAsia="黑体" w:cs="宋体"/>
          <w:b/>
          <w:kern w:val="0"/>
          <w:szCs w:val="21"/>
        </w:rPr>
      </w:pPr>
      <w:r>
        <w:rPr>
          <w:rFonts w:hint="eastAsia" w:ascii="Arial" w:hAnsi="Arial" w:eastAsia="黑体" w:cs="宋体"/>
          <w:kern w:val="0"/>
          <w:szCs w:val="21"/>
        </w:rPr>
        <w:t>4</w:t>
      </w:r>
      <w:r>
        <w:rPr>
          <w:rFonts w:ascii="Arial" w:hAnsi="Arial" w:eastAsia="黑体" w:cs="宋体"/>
          <w:kern w:val="0"/>
          <w:szCs w:val="21"/>
        </w:rPr>
        <w:t xml:space="preserve"> </w:t>
      </w:r>
      <w:r>
        <w:rPr>
          <w:rFonts w:hint="eastAsia" w:ascii="Arial" w:hAnsi="Arial" w:eastAsia="黑体" w:cs="宋体"/>
          <w:kern w:val="0"/>
          <w:szCs w:val="21"/>
        </w:rPr>
        <w:t>基本要求（总分15分</w:t>
      </w:r>
      <w:r>
        <w:rPr>
          <w:rFonts w:hint="eastAsia" w:ascii="Arial" w:hAnsi="Arial" w:eastAsia="黑体" w:cs="宋体"/>
          <w:b/>
          <w:kern w:val="0"/>
          <w:szCs w:val="21"/>
        </w:rPr>
        <w:t>）</w:t>
      </w:r>
    </w:p>
    <w:tbl>
      <w:tblPr>
        <w:tblStyle w:val="7"/>
        <w:tblW w:w="1453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1368"/>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trPr>
        <w:tc>
          <w:tcPr>
            <w:tcW w:w="759" w:type="dxa"/>
            <w:vAlign w:val="center"/>
          </w:tcPr>
          <w:p>
            <w:pPr>
              <w:spacing w:line="240" w:lineRule="exact"/>
              <w:jc w:val="center"/>
              <w:rPr>
                <w:sz w:val="18"/>
                <w:szCs w:val="18"/>
              </w:rPr>
            </w:pPr>
            <w:r>
              <w:rPr>
                <w:sz w:val="18"/>
                <w:szCs w:val="18"/>
              </w:rPr>
              <w:t>序号</w:t>
            </w:r>
          </w:p>
        </w:tc>
        <w:tc>
          <w:tcPr>
            <w:tcW w:w="1368" w:type="dxa"/>
            <w:vAlign w:val="center"/>
          </w:tcPr>
          <w:p>
            <w:pPr>
              <w:spacing w:line="240" w:lineRule="exact"/>
              <w:jc w:val="center"/>
              <w:rPr>
                <w:sz w:val="18"/>
                <w:szCs w:val="18"/>
              </w:rPr>
            </w:pPr>
            <w:r>
              <w:rPr>
                <w:sz w:val="18"/>
                <w:szCs w:val="18"/>
              </w:rPr>
              <w:t>标准条款</w:t>
            </w:r>
          </w:p>
        </w:tc>
        <w:tc>
          <w:tcPr>
            <w:tcW w:w="5244" w:type="dxa"/>
            <w:vAlign w:val="center"/>
          </w:tcPr>
          <w:p>
            <w:pPr>
              <w:spacing w:line="240" w:lineRule="exact"/>
              <w:jc w:val="center"/>
              <w:rPr>
                <w:sz w:val="18"/>
                <w:szCs w:val="18"/>
              </w:rPr>
            </w:pPr>
            <w:r>
              <w:rPr>
                <w:sz w:val="18"/>
                <w:szCs w:val="18"/>
              </w:rPr>
              <w:t>诚信计量要求</w:t>
            </w:r>
          </w:p>
        </w:tc>
        <w:tc>
          <w:tcPr>
            <w:tcW w:w="3402" w:type="dxa"/>
            <w:vAlign w:val="center"/>
          </w:tcPr>
          <w:p>
            <w:pPr>
              <w:spacing w:line="240" w:lineRule="exact"/>
              <w:jc w:val="center"/>
              <w:rPr>
                <w:sz w:val="18"/>
                <w:szCs w:val="18"/>
              </w:rPr>
            </w:pPr>
            <w:r>
              <w:rPr>
                <w:sz w:val="18"/>
                <w:szCs w:val="18"/>
              </w:rPr>
              <w:t>评价方法</w:t>
            </w:r>
          </w:p>
        </w:tc>
        <w:tc>
          <w:tcPr>
            <w:tcW w:w="2835" w:type="dxa"/>
            <w:vAlign w:val="center"/>
          </w:tcPr>
          <w:p>
            <w:pPr>
              <w:spacing w:line="240" w:lineRule="exact"/>
              <w:jc w:val="center"/>
              <w:rPr>
                <w:sz w:val="18"/>
                <w:szCs w:val="18"/>
              </w:rPr>
            </w:pPr>
            <w:r>
              <w:rPr>
                <w:sz w:val="18"/>
                <w:szCs w:val="18"/>
              </w:rPr>
              <w:t>评价记录</w:t>
            </w:r>
          </w:p>
        </w:tc>
        <w:tc>
          <w:tcPr>
            <w:tcW w:w="924" w:type="dxa"/>
            <w:vAlign w:val="center"/>
          </w:tcPr>
          <w:p>
            <w:pPr>
              <w:spacing w:line="240" w:lineRule="exact"/>
              <w:jc w:val="center"/>
              <w:rPr>
                <w:sz w:val="18"/>
                <w:szCs w:val="18"/>
              </w:rPr>
            </w:pPr>
            <w:r>
              <w:rPr>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blHeader/>
        </w:trPr>
        <w:tc>
          <w:tcPr>
            <w:tcW w:w="759" w:type="dxa"/>
            <w:vAlign w:val="center"/>
          </w:tcPr>
          <w:p>
            <w:pPr>
              <w:spacing w:line="240" w:lineRule="exact"/>
              <w:jc w:val="center"/>
              <w:rPr>
                <w:sz w:val="18"/>
                <w:szCs w:val="18"/>
              </w:rPr>
            </w:pPr>
            <w:r>
              <w:rPr>
                <w:sz w:val="18"/>
                <w:szCs w:val="18"/>
              </w:rPr>
              <w:t>1</w:t>
            </w:r>
          </w:p>
        </w:tc>
        <w:tc>
          <w:tcPr>
            <w:tcW w:w="1368" w:type="dxa"/>
            <w:vAlign w:val="center"/>
          </w:tcPr>
          <w:p>
            <w:pPr>
              <w:spacing w:line="240" w:lineRule="exact"/>
              <w:jc w:val="center"/>
              <w:rPr>
                <w:sz w:val="18"/>
                <w:szCs w:val="18"/>
              </w:rPr>
            </w:pPr>
            <w:r>
              <w:rPr>
                <w:rFonts w:hint="eastAsia" w:ascii="黑体" w:hAnsi="黑体" w:eastAsia="黑体" w:cs="微软雅黑"/>
                <w:sz w:val="18"/>
                <w:szCs w:val="18"/>
              </w:rPr>
              <w:t>※</w:t>
            </w:r>
            <w:r>
              <w:rPr>
                <w:sz w:val="18"/>
                <w:szCs w:val="18"/>
              </w:rPr>
              <w:t>4.1能承担法律责任的实体（2分）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应具有符合相关执照或许可证所规定的经营条件，依法取得必要的执照或许可证，并保持有效。</w:t>
            </w:r>
          </w:p>
        </w:tc>
        <w:tc>
          <w:tcPr>
            <w:tcW w:w="3402" w:type="dxa"/>
            <w:vAlign w:val="center"/>
          </w:tcPr>
          <w:p>
            <w:pPr>
              <w:pStyle w:val="34"/>
              <w:numPr>
                <w:ilvl w:val="0"/>
                <w:numId w:val="0"/>
              </w:numPr>
              <w:spacing w:line="240" w:lineRule="exact"/>
              <w:ind w:firstLine="180" w:firstLineChars="100"/>
              <w:rPr>
                <w:rFonts w:asciiTheme="minorEastAsia" w:hAnsiTheme="minorEastAsia" w:eastAsiaTheme="minorEastAsia"/>
                <w:kern w:val="2"/>
                <w:sz w:val="18"/>
                <w:szCs w:val="18"/>
              </w:rPr>
            </w:pPr>
            <w:r>
              <w:rPr>
                <w:rFonts w:asciiTheme="minorEastAsia" w:hAnsiTheme="minorEastAsia" w:eastAsiaTheme="minorEastAsia"/>
                <w:sz w:val="18"/>
                <w:szCs w:val="18"/>
              </w:rPr>
              <w:t>依法取得所必要的执照或许可证。</w:t>
            </w:r>
            <w:r>
              <w:rPr>
                <w:rFonts w:asciiTheme="minorEastAsia" w:hAnsiTheme="minorEastAsia" w:eastAsiaTheme="minorEastAsia"/>
                <w:kern w:val="2"/>
                <w:sz w:val="18"/>
                <w:szCs w:val="18"/>
              </w:rPr>
              <w:t>法人单位需要有社会信用代码证书等，授权经营需要有授权经营的上级文件。（2分）</w:t>
            </w:r>
          </w:p>
        </w:tc>
        <w:tc>
          <w:tcPr>
            <w:tcW w:w="2835"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blHeader/>
        </w:trPr>
        <w:tc>
          <w:tcPr>
            <w:tcW w:w="759" w:type="dxa"/>
            <w:vAlign w:val="center"/>
          </w:tcPr>
          <w:p>
            <w:pPr>
              <w:spacing w:line="240" w:lineRule="exact"/>
              <w:jc w:val="center"/>
              <w:rPr>
                <w:sz w:val="18"/>
                <w:szCs w:val="18"/>
              </w:rPr>
            </w:pPr>
            <w:r>
              <w:rPr>
                <w:sz w:val="18"/>
                <w:szCs w:val="18"/>
              </w:rPr>
              <w:t>2</w:t>
            </w:r>
          </w:p>
        </w:tc>
        <w:tc>
          <w:tcPr>
            <w:tcW w:w="1368" w:type="dxa"/>
            <w:vAlign w:val="center"/>
          </w:tcPr>
          <w:p>
            <w:pPr>
              <w:spacing w:line="240" w:lineRule="exact"/>
              <w:rPr>
                <w:sz w:val="18"/>
                <w:szCs w:val="18"/>
              </w:rPr>
            </w:pPr>
            <w:r>
              <w:rPr>
                <w:sz w:val="18"/>
                <w:szCs w:val="18"/>
              </w:rPr>
              <w:t>4.2制定诚信计量方针和目标</w:t>
            </w:r>
          </w:p>
          <w:p>
            <w:pPr>
              <w:spacing w:line="240" w:lineRule="exact"/>
              <w:jc w:val="center"/>
              <w:rPr>
                <w:sz w:val="18"/>
                <w:szCs w:val="18"/>
              </w:rPr>
            </w:pPr>
            <w:r>
              <w:rPr>
                <w:sz w:val="18"/>
                <w:szCs w:val="18"/>
              </w:rPr>
              <w:t>（5分）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管理者应当按GB/T 31950、GB/T 19022、《商业</w:t>
            </w:r>
            <w:r>
              <w:rPr>
                <w:rFonts w:hint="eastAsia" w:asciiTheme="minorEastAsia" w:hAnsiTheme="minorEastAsia"/>
                <w:sz w:val="18"/>
                <w:szCs w:val="18"/>
              </w:rPr>
              <w:t xml:space="preserve"> </w:t>
            </w:r>
            <w:r>
              <w:rPr>
                <w:rFonts w:asciiTheme="minorEastAsia" w:hAnsiTheme="minorEastAsia"/>
                <w:sz w:val="18"/>
                <w:szCs w:val="18"/>
              </w:rPr>
              <w:t>服务业诚信计量行为规范》等标准规范要求，制定诚信计量方针，明确诚信计量目标，识别诚信计量要素，建立诚信计量管理体系并实施有效管理、控制和持续改进。</w:t>
            </w:r>
          </w:p>
        </w:tc>
        <w:tc>
          <w:tcPr>
            <w:tcW w:w="3402" w:type="dxa"/>
            <w:vAlign w:val="center"/>
          </w:tcPr>
          <w:p>
            <w:pPr>
              <w:widowControl/>
              <w:spacing w:line="240" w:lineRule="exact"/>
              <w:rPr>
                <w:rFonts w:asciiTheme="minorEastAsia" w:hAnsiTheme="minorEastAsia"/>
                <w:sz w:val="18"/>
                <w:szCs w:val="18"/>
              </w:rPr>
            </w:pPr>
            <w:r>
              <w:rPr>
                <w:rFonts w:asciiTheme="minorEastAsia" w:hAnsiTheme="minorEastAsia"/>
                <w:sz w:val="18"/>
                <w:szCs w:val="18"/>
              </w:rPr>
              <w:t>1.是否制定了诚信计量方针，是否有明确的诚信计量目标。（2分）</w:t>
            </w:r>
          </w:p>
          <w:p>
            <w:pPr>
              <w:widowControl/>
              <w:spacing w:line="240" w:lineRule="exact"/>
              <w:rPr>
                <w:rFonts w:asciiTheme="minorEastAsia" w:hAnsiTheme="minorEastAsia"/>
                <w:sz w:val="18"/>
                <w:szCs w:val="18"/>
              </w:rPr>
            </w:pPr>
            <w:r>
              <w:rPr>
                <w:rFonts w:asciiTheme="minorEastAsia" w:hAnsiTheme="minorEastAsia"/>
                <w:sz w:val="18"/>
                <w:szCs w:val="18"/>
              </w:rPr>
              <w:t>2.方针、目标是否合理。（1分）</w:t>
            </w:r>
          </w:p>
          <w:p>
            <w:pPr>
              <w:widowControl/>
              <w:spacing w:line="240" w:lineRule="exact"/>
              <w:rPr>
                <w:rFonts w:asciiTheme="minorEastAsia" w:hAnsiTheme="minorEastAsia"/>
                <w:sz w:val="18"/>
                <w:szCs w:val="18"/>
              </w:rPr>
            </w:pPr>
            <w:r>
              <w:rPr>
                <w:rFonts w:asciiTheme="minorEastAsia" w:hAnsiTheme="minorEastAsia"/>
                <w:sz w:val="18"/>
                <w:szCs w:val="18"/>
              </w:rPr>
              <w:t>3.是否建立诚信计量管理体系并实施。</w:t>
            </w:r>
          </w:p>
          <w:p>
            <w:pPr>
              <w:widowControl/>
              <w:spacing w:line="240" w:lineRule="exact"/>
              <w:rPr>
                <w:rFonts w:asciiTheme="minorEastAsia" w:hAnsiTheme="minorEastAsia"/>
                <w:sz w:val="18"/>
                <w:szCs w:val="18"/>
              </w:rPr>
            </w:pPr>
            <w:r>
              <w:rPr>
                <w:rFonts w:asciiTheme="minorEastAsia" w:hAnsiTheme="minorEastAsia"/>
                <w:sz w:val="18"/>
                <w:szCs w:val="18"/>
              </w:rPr>
              <w:t>（2分）</w:t>
            </w:r>
          </w:p>
        </w:tc>
        <w:tc>
          <w:tcPr>
            <w:tcW w:w="2835"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blHeader/>
        </w:trPr>
        <w:tc>
          <w:tcPr>
            <w:tcW w:w="759" w:type="dxa"/>
            <w:vAlign w:val="center"/>
          </w:tcPr>
          <w:p>
            <w:pPr>
              <w:spacing w:line="240" w:lineRule="exact"/>
              <w:jc w:val="center"/>
              <w:rPr>
                <w:sz w:val="18"/>
                <w:szCs w:val="18"/>
              </w:rPr>
            </w:pPr>
            <w:r>
              <w:rPr>
                <w:sz w:val="18"/>
                <w:szCs w:val="18"/>
              </w:rPr>
              <w:t>3</w:t>
            </w:r>
          </w:p>
        </w:tc>
        <w:tc>
          <w:tcPr>
            <w:tcW w:w="1368" w:type="dxa"/>
            <w:vAlign w:val="center"/>
          </w:tcPr>
          <w:p>
            <w:pPr>
              <w:spacing w:line="240" w:lineRule="exact"/>
              <w:jc w:val="center"/>
              <w:rPr>
                <w:sz w:val="18"/>
                <w:szCs w:val="18"/>
              </w:rPr>
            </w:pPr>
            <w:r>
              <w:rPr>
                <w:rFonts w:hint="eastAsia" w:ascii="黑体" w:hAnsi="黑体" w:eastAsia="黑体" w:cs="微软雅黑"/>
                <w:sz w:val="18"/>
                <w:szCs w:val="18"/>
              </w:rPr>
              <w:t>※</w:t>
            </w:r>
            <w:r>
              <w:rPr>
                <w:sz w:val="18"/>
                <w:szCs w:val="18"/>
              </w:rPr>
              <w:t>4.3执行相关法律、法规及政策规定</w:t>
            </w:r>
          </w:p>
          <w:p>
            <w:pPr>
              <w:spacing w:line="240" w:lineRule="exact"/>
              <w:jc w:val="center"/>
              <w:rPr>
                <w:sz w:val="18"/>
                <w:szCs w:val="18"/>
              </w:rPr>
            </w:pPr>
            <w:r>
              <w:rPr>
                <w:sz w:val="18"/>
                <w:szCs w:val="18"/>
              </w:rPr>
              <w:t>（3分）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应执行相关法律、法规及政策规定，遵循公正、公平、公开的原则，确保计重收费计量准确。</w:t>
            </w:r>
          </w:p>
        </w:tc>
        <w:tc>
          <w:tcPr>
            <w:tcW w:w="3402" w:type="dxa"/>
            <w:vAlign w:val="center"/>
          </w:tcPr>
          <w:p>
            <w:pPr>
              <w:widowControl/>
              <w:spacing w:line="240" w:lineRule="exact"/>
              <w:ind w:firstLine="180" w:firstLineChars="100"/>
              <w:rPr>
                <w:rFonts w:asciiTheme="minorEastAsia" w:hAnsiTheme="minorEastAsia"/>
                <w:sz w:val="18"/>
                <w:szCs w:val="18"/>
              </w:rPr>
            </w:pPr>
            <w:r>
              <w:rPr>
                <w:rFonts w:asciiTheme="minorEastAsia" w:hAnsiTheme="minorEastAsia"/>
                <w:sz w:val="18"/>
                <w:szCs w:val="18"/>
              </w:rPr>
              <w:t>管理体系文件是否有规定。（3分）</w:t>
            </w:r>
          </w:p>
        </w:tc>
        <w:tc>
          <w:tcPr>
            <w:tcW w:w="2835"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blHeader/>
        </w:trPr>
        <w:tc>
          <w:tcPr>
            <w:tcW w:w="759" w:type="dxa"/>
            <w:vAlign w:val="center"/>
          </w:tcPr>
          <w:p>
            <w:pPr>
              <w:spacing w:line="240" w:lineRule="exact"/>
              <w:jc w:val="center"/>
              <w:rPr>
                <w:sz w:val="18"/>
                <w:szCs w:val="18"/>
              </w:rPr>
            </w:pPr>
            <w:r>
              <w:rPr>
                <w:sz w:val="18"/>
                <w:szCs w:val="18"/>
              </w:rPr>
              <w:t>4</w:t>
            </w:r>
          </w:p>
        </w:tc>
        <w:tc>
          <w:tcPr>
            <w:tcW w:w="1368" w:type="dxa"/>
            <w:vAlign w:val="center"/>
          </w:tcPr>
          <w:p>
            <w:pPr>
              <w:spacing w:line="240" w:lineRule="exact"/>
              <w:rPr>
                <w:sz w:val="18"/>
                <w:szCs w:val="18"/>
              </w:rPr>
            </w:pPr>
            <w:r>
              <w:rPr>
                <w:rFonts w:hint="eastAsia" w:ascii="黑体" w:hAnsi="黑体" w:eastAsia="黑体" w:cs="微软雅黑"/>
                <w:sz w:val="18"/>
                <w:szCs w:val="18"/>
              </w:rPr>
              <w:t>※</w:t>
            </w:r>
            <w:r>
              <w:rPr>
                <w:sz w:val="18"/>
                <w:szCs w:val="18"/>
              </w:rPr>
              <w:t>4.4建立诚信计量承诺制度</w:t>
            </w:r>
          </w:p>
          <w:p>
            <w:pPr>
              <w:spacing w:line="240" w:lineRule="exact"/>
              <w:jc w:val="center"/>
              <w:rPr>
                <w:sz w:val="18"/>
                <w:szCs w:val="18"/>
              </w:rPr>
            </w:pPr>
            <w:r>
              <w:rPr>
                <w:sz w:val="18"/>
                <w:szCs w:val="18"/>
              </w:rPr>
              <w:t>（5分）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应建立诚信计量承诺制度，公开公示计量收费标准，做出诚信计量方面的承诺，保证计量收费符合国家标准，主动接受社会监督，对未兑现承诺的行为做出相应的改正和补偿规定。</w:t>
            </w:r>
          </w:p>
        </w:tc>
        <w:tc>
          <w:tcPr>
            <w:tcW w:w="3402" w:type="dxa"/>
            <w:vAlign w:val="center"/>
          </w:tcPr>
          <w:p>
            <w:pPr>
              <w:widowControl/>
              <w:spacing w:line="240" w:lineRule="exact"/>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.是否建立了诚信计量承诺制度，是否已经公开</w:t>
            </w:r>
            <w:r>
              <w:rPr>
                <w:rFonts w:hint="eastAsia" w:asciiTheme="minorEastAsia" w:hAnsiTheme="minorEastAsia"/>
                <w:sz w:val="18"/>
                <w:szCs w:val="18"/>
              </w:rPr>
              <w:t>公示</w:t>
            </w:r>
            <w:r>
              <w:rPr>
                <w:rFonts w:asciiTheme="minorEastAsia" w:hAnsiTheme="minorEastAsia"/>
                <w:sz w:val="18"/>
                <w:szCs w:val="18"/>
              </w:rPr>
              <w:t>承诺</w:t>
            </w:r>
            <w:r>
              <w:rPr>
                <w:rFonts w:hint="eastAsia" w:asciiTheme="minorEastAsia" w:hAnsiTheme="minorEastAsia"/>
                <w:sz w:val="18"/>
                <w:szCs w:val="18"/>
              </w:rPr>
              <w:t>。</w:t>
            </w:r>
            <w:r>
              <w:rPr>
                <w:rFonts w:asciiTheme="minorEastAsia" w:hAnsiTheme="minorEastAsia"/>
                <w:sz w:val="18"/>
                <w:szCs w:val="18"/>
              </w:rPr>
              <w:t>（</w:t>
            </w:r>
            <w:r>
              <w:rPr>
                <w:rFonts w:hint="eastAsia" w:asciiTheme="minorEastAsia" w:hAnsiTheme="minorEastAsia"/>
                <w:sz w:val="18"/>
                <w:szCs w:val="18"/>
              </w:rPr>
              <w:t>3分</w:t>
            </w:r>
            <w:r>
              <w:rPr>
                <w:rFonts w:asciiTheme="minorEastAsia" w:hAnsiTheme="minorEastAsia"/>
                <w:sz w:val="18"/>
                <w:szCs w:val="18"/>
              </w:rPr>
              <w:t>）</w:t>
            </w:r>
          </w:p>
          <w:p>
            <w:pPr>
              <w:widowControl/>
              <w:spacing w:line="240" w:lineRule="exact"/>
              <w:rPr>
                <w:rFonts w:asciiTheme="minorEastAsia" w:hAnsiTheme="minorEastAsia"/>
                <w:sz w:val="18"/>
                <w:szCs w:val="18"/>
              </w:rPr>
            </w:pPr>
            <w:r>
              <w:rPr>
                <w:rFonts w:asciiTheme="minorEastAsia" w:hAnsiTheme="minorEastAsia"/>
                <w:sz w:val="18"/>
                <w:szCs w:val="18"/>
              </w:rPr>
              <w:t>2.承诺的内容是否包含了本要求的内容。（2分）</w:t>
            </w:r>
          </w:p>
        </w:tc>
        <w:tc>
          <w:tcPr>
            <w:tcW w:w="2835"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bl>
    <w:p>
      <w:pPr>
        <w:spacing w:before="156" w:beforeLines="50" w:after="156" w:afterLines="50" w:line="240" w:lineRule="exact"/>
        <w:rPr>
          <w:rFonts w:ascii="Arial" w:hAnsi="Arial" w:eastAsia="黑体" w:cs="宋体"/>
          <w:kern w:val="0"/>
          <w:szCs w:val="21"/>
        </w:rPr>
      </w:pPr>
      <w:r>
        <w:rPr>
          <w:rFonts w:hint="eastAsia" w:ascii="Arial" w:hAnsi="Arial" w:eastAsia="黑体" w:cs="宋体"/>
          <w:kern w:val="0"/>
          <w:szCs w:val="21"/>
        </w:rPr>
        <w:t>5</w:t>
      </w:r>
      <w:r>
        <w:rPr>
          <w:rFonts w:ascii="Arial" w:hAnsi="Arial" w:eastAsia="黑体" w:cs="宋体"/>
          <w:kern w:val="0"/>
          <w:szCs w:val="21"/>
        </w:rPr>
        <w:t xml:space="preserve"> </w:t>
      </w:r>
      <w:r>
        <w:rPr>
          <w:rFonts w:hint="eastAsia" w:ascii="Arial" w:hAnsi="Arial" w:eastAsia="黑体" w:cs="宋体"/>
          <w:kern w:val="0"/>
          <w:szCs w:val="21"/>
        </w:rPr>
        <w:t>技术要求（总分40分）</w:t>
      </w:r>
    </w:p>
    <w:tbl>
      <w:tblPr>
        <w:tblStyle w:val="7"/>
        <w:tblW w:w="1453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366"/>
        <w:gridCol w:w="5244"/>
        <w:gridCol w:w="3402"/>
        <w:gridCol w:w="2835"/>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761" w:type="dxa"/>
            <w:vAlign w:val="center"/>
          </w:tcPr>
          <w:p>
            <w:pPr>
              <w:spacing w:line="240" w:lineRule="exact"/>
              <w:jc w:val="center"/>
              <w:rPr>
                <w:sz w:val="18"/>
                <w:szCs w:val="18"/>
              </w:rPr>
            </w:pPr>
            <w:r>
              <w:rPr>
                <w:sz w:val="18"/>
                <w:szCs w:val="18"/>
              </w:rPr>
              <w:t>序号</w:t>
            </w:r>
          </w:p>
        </w:tc>
        <w:tc>
          <w:tcPr>
            <w:tcW w:w="1366" w:type="dxa"/>
            <w:vAlign w:val="center"/>
          </w:tcPr>
          <w:p>
            <w:pPr>
              <w:spacing w:line="240" w:lineRule="exact"/>
              <w:jc w:val="center"/>
              <w:rPr>
                <w:sz w:val="18"/>
                <w:szCs w:val="18"/>
              </w:rPr>
            </w:pPr>
            <w:r>
              <w:rPr>
                <w:sz w:val="18"/>
                <w:szCs w:val="18"/>
              </w:rPr>
              <w:t>标准条款</w:t>
            </w:r>
          </w:p>
        </w:tc>
        <w:tc>
          <w:tcPr>
            <w:tcW w:w="5244" w:type="dxa"/>
            <w:vAlign w:val="center"/>
          </w:tcPr>
          <w:p>
            <w:pPr>
              <w:spacing w:line="240" w:lineRule="exact"/>
              <w:jc w:val="center"/>
              <w:rPr>
                <w:sz w:val="18"/>
                <w:szCs w:val="18"/>
              </w:rPr>
            </w:pPr>
            <w:r>
              <w:rPr>
                <w:sz w:val="18"/>
                <w:szCs w:val="18"/>
              </w:rPr>
              <w:t>诚信计量要求</w:t>
            </w:r>
          </w:p>
        </w:tc>
        <w:tc>
          <w:tcPr>
            <w:tcW w:w="3402" w:type="dxa"/>
            <w:vAlign w:val="center"/>
          </w:tcPr>
          <w:p>
            <w:pPr>
              <w:spacing w:line="240" w:lineRule="exact"/>
              <w:jc w:val="center"/>
              <w:rPr>
                <w:sz w:val="18"/>
                <w:szCs w:val="18"/>
              </w:rPr>
            </w:pPr>
            <w:r>
              <w:rPr>
                <w:sz w:val="18"/>
                <w:szCs w:val="18"/>
              </w:rPr>
              <w:t>评价方法</w:t>
            </w:r>
          </w:p>
        </w:tc>
        <w:tc>
          <w:tcPr>
            <w:tcW w:w="2835" w:type="dxa"/>
            <w:vAlign w:val="center"/>
          </w:tcPr>
          <w:p>
            <w:pPr>
              <w:spacing w:line="240" w:lineRule="exact"/>
              <w:jc w:val="center"/>
              <w:rPr>
                <w:sz w:val="18"/>
                <w:szCs w:val="18"/>
              </w:rPr>
            </w:pPr>
            <w:r>
              <w:rPr>
                <w:sz w:val="18"/>
                <w:szCs w:val="18"/>
              </w:rPr>
              <w:t>评价记录</w:t>
            </w:r>
          </w:p>
        </w:tc>
        <w:tc>
          <w:tcPr>
            <w:tcW w:w="924" w:type="dxa"/>
            <w:vAlign w:val="center"/>
          </w:tcPr>
          <w:p>
            <w:pPr>
              <w:spacing w:line="240" w:lineRule="exact"/>
              <w:jc w:val="center"/>
              <w:rPr>
                <w:sz w:val="18"/>
                <w:szCs w:val="18"/>
              </w:rPr>
            </w:pPr>
            <w:r>
              <w:rPr>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8" w:hRule="atLeast"/>
        </w:trPr>
        <w:tc>
          <w:tcPr>
            <w:tcW w:w="761" w:type="dxa"/>
            <w:vAlign w:val="center"/>
          </w:tcPr>
          <w:p>
            <w:pPr>
              <w:spacing w:line="240" w:lineRule="exact"/>
              <w:jc w:val="center"/>
              <w:rPr>
                <w:sz w:val="18"/>
                <w:szCs w:val="18"/>
              </w:rPr>
            </w:pPr>
            <w:r>
              <w:rPr>
                <w:sz w:val="18"/>
                <w:szCs w:val="18"/>
              </w:rPr>
              <w:t>5</w:t>
            </w:r>
          </w:p>
        </w:tc>
        <w:tc>
          <w:tcPr>
            <w:tcW w:w="1366" w:type="dxa"/>
            <w:vAlign w:val="center"/>
          </w:tcPr>
          <w:p>
            <w:pPr>
              <w:widowControl/>
              <w:spacing w:line="240" w:lineRule="exact"/>
              <w:jc w:val="center"/>
              <w:rPr>
                <w:rFonts w:cs="宋体"/>
                <w:kern w:val="0"/>
                <w:sz w:val="18"/>
                <w:szCs w:val="18"/>
              </w:rPr>
            </w:pPr>
            <w:r>
              <w:rPr>
                <w:rFonts w:cs="宋体"/>
                <w:kern w:val="0"/>
                <w:sz w:val="18"/>
                <w:szCs w:val="18"/>
              </w:rPr>
              <w:t>5.1人员</w:t>
            </w:r>
          </w:p>
          <w:p>
            <w:pPr>
              <w:widowControl/>
              <w:spacing w:line="240" w:lineRule="exact"/>
              <w:jc w:val="center"/>
              <w:rPr>
                <w:rFonts w:cs="宋体"/>
                <w:kern w:val="0"/>
                <w:sz w:val="18"/>
                <w:szCs w:val="18"/>
              </w:rPr>
            </w:pPr>
            <w:r>
              <w:rPr>
                <w:sz w:val="18"/>
                <w:szCs w:val="18"/>
              </w:rPr>
              <w:t>（3分）</w:t>
            </w:r>
          </w:p>
        </w:tc>
        <w:tc>
          <w:tcPr>
            <w:tcW w:w="5244" w:type="dxa"/>
            <w:vAlign w:val="center"/>
          </w:tcPr>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1</w:t>
            </w:r>
            <w:r>
              <w:rPr>
                <w:rFonts w:hint="eastAsia" w:cs="宋体" w:asciiTheme="minorEastAsia" w:hAnsiTheme="minorEastAsia"/>
                <w:kern w:val="0"/>
                <w:sz w:val="18"/>
                <w:szCs w:val="18"/>
              </w:rPr>
              <w:t>.</w:t>
            </w:r>
            <w:r>
              <w:rPr>
                <w:rFonts w:cs="宋体" w:asciiTheme="minorEastAsia" w:hAnsiTheme="minorEastAsia"/>
                <w:kern w:val="0"/>
                <w:sz w:val="18"/>
                <w:szCs w:val="18"/>
              </w:rPr>
              <w:t>应配备足够的管理、技术、监督和服务人员，所有人员应诚实、公正、严谨地按照诚信计量管体系要求工作。</w:t>
            </w:r>
          </w:p>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2</w:t>
            </w:r>
            <w:r>
              <w:rPr>
                <w:rFonts w:hint="eastAsia" w:cs="宋体" w:asciiTheme="minorEastAsia" w:hAnsiTheme="minorEastAsia"/>
                <w:kern w:val="0"/>
                <w:sz w:val="18"/>
                <w:szCs w:val="18"/>
              </w:rPr>
              <w:t>.</w:t>
            </w:r>
            <w:r>
              <w:rPr>
                <w:rFonts w:cs="宋体" w:asciiTheme="minorEastAsia" w:hAnsiTheme="minorEastAsia"/>
                <w:kern w:val="0"/>
                <w:sz w:val="18"/>
                <w:szCs w:val="18"/>
              </w:rPr>
              <w:t>应对有关诚信计量岗位人员的资格、知识、培训、技能、授权等做出规定，并形成文件，保证人员有能力执行分配的任务。应保存人员的相关记录。</w:t>
            </w:r>
          </w:p>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3</w:t>
            </w:r>
            <w:r>
              <w:rPr>
                <w:rFonts w:hint="eastAsia" w:cs="宋体" w:asciiTheme="minorEastAsia" w:hAnsiTheme="minorEastAsia"/>
                <w:kern w:val="0"/>
                <w:sz w:val="18"/>
                <w:szCs w:val="18"/>
              </w:rPr>
              <w:t>.</w:t>
            </w:r>
            <w:r>
              <w:rPr>
                <w:rFonts w:cs="宋体" w:asciiTheme="minorEastAsia" w:hAnsiTheme="minorEastAsia"/>
                <w:kern w:val="0"/>
                <w:sz w:val="18"/>
                <w:szCs w:val="18"/>
              </w:rPr>
              <w:t>应制定人员培训工作程序，制定培训政策，明确培训需求，开展人员教育、技能培训。培训计划应适应本单位任务需要。应评价这些活动的有效性。</w:t>
            </w:r>
          </w:p>
        </w:tc>
        <w:tc>
          <w:tcPr>
            <w:tcW w:w="3402" w:type="dxa"/>
            <w:vAlign w:val="center"/>
          </w:tcPr>
          <w:p>
            <w:pPr>
              <w:widowControl/>
              <w:spacing w:line="240" w:lineRule="exact"/>
              <w:rPr>
                <w:rFonts w:cs="宋体" w:asciiTheme="minorEastAsia" w:hAnsiTheme="minorEastAsia"/>
                <w:kern w:val="0"/>
                <w:sz w:val="18"/>
                <w:szCs w:val="18"/>
              </w:rPr>
            </w:pPr>
            <w:r>
              <w:rPr>
                <w:rFonts w:cs="宋体" w:asciiTheme="minorEastAsia" w:hAnsiTheme="minorEastAsia"/>
                <w:kern w:val="0"/>
                <w:sz w:val="18"/>
                <w:szCs w:val="18"/>
              </w:rPr>
              <w:t>1.人员配备是否足够、合理，是否按体系要求工作。</w:t>
            </w:r>
            <w:r>
              <w:rPr>
                <w:rFonts w:asciiTheme="minorEastAsia" w:hAnsiTheme="minorEastAsia"/>
                <w:sz w:val="18"/>
                <w:szCs w:val="18"/>
              </w:rPr>
              <w:t>（1分）</w:t>
            </w:r>
          </w:p>
          <w:p>
            <w:pPr>
              <w:widowControl/>
              <w:spacing w:line="240" w:lineRule="exact"/>
              <w:rPr>
                <w:rFonts w:cs="宋体" w:asciiTheme="minorEastAsia" w:hAnsiTheme="minorEastAsia"/>
                <w:kern w:val="0"/>
                <w:sz w:val="18"/>
                <w:szCs w:val="18"/>
              </w:rPr>
            </w:pPr>
            <w:r>
              <w:rPr>
                <w:rFonts w:cs="宋体" w:asciiTheme="minorEastAsia" w:hAnsiTheme="minorEastAsia"/>
                <w:kern w:val="0"/>
                <w:sz w:val="18"/>
                <w:szCs w:val="18"/>
              </w:rPr>
              <w:t>2.是否有体系文件对各有关岗位的人员的资格、知识、培训、技能、授权等作出规定，是否有人员记录（档案）。</w:t>
            </w:r>
            <w:r>
              <w:rPr>
                <w:rFonts w:asciiTheme="minorEastAsia" w:hAnsiTheme="minorEastAsia"/>
                <w:sz w:val="18"/>
                <w:szCs w:val="18"/>
              </w:rPr>
              <w:t>（1分）</w:t>
            </w:r>
          </w:p>
          <w:p>
            <w:pPr>
              <w:widowControl/>
              <w:spacing w:line="240" w:lineRule="exact"/>
              <w:rPr>
                <w:rFonts w:cs="宋体" w:asciiTheme="minorEastAsia" w:hAnsiTheme="minorEastAsia"/>
                <w:kern w:val="0"/>
                <w:sz w:val="18"/>
                <w:szCs w:val="18"/>
              </w:rPr>
            </w:pPr>
            <w:r>
              <w:rPr>
                <w:rFonts w:cs="宋体" w:asciiTheme="minorEastAsia" w:hAnsiTheme="minorEastAsia"/>
                <w:kern w:val="0"/>
                <w:sz w:val="18"/>
                <w:szCs w:val="18"/>
              </w:rPr>
              <w:t>3.是否制定了人员培训程序文件，是否有培训记录，是否有绩效评价，记录是否齐全。（1分）</w:t>
            </w:r>
          </w:p>
        </w:tc>
        <w:tc>
          <w:tcPr>
            <w:tcW w:w="2835" w:type="dxa"/>
            <w:vAlign w:val="center"/>
          </w:tcPr>
          <w:p>
            <w:pPr>
              <w:spacing w:line="240" w:lineRule="exact"/>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2" w:hRule="atLeast"/>
        </w:trPr>
        <w:tc>
          <w:tcPr>
            <w:tcW w:w="761" w:type="dxa"/>
            <w:vAlign w:val="center"/>
          </w:tcPr>
          <w:p>
            <w:pPr>
              <w:spacing w:line="240" w:lineRule="exact"/>
              <w:jc w:val="center"/>
              <w:rPr>
                <w:sz w:val="18"/>
                <w:szCs w:val="18"/>
              </w:rPr>
            </w:pPr>
            <w:r>
              <w:rPr>
                <w:sz w:val="18"/>
                <w:szCs w:val="18"/>
              </w:rPr>
              <w:t>6</w:t>
            </w:r>
          </w:p>
        </w:tc>
        <w:tc>
          <w:tcPr>
            <w:tcW w:w="1366" w:type="dxa"/>
            <w:vAlign w:val="center"/>
          </w:tcPr>
          <w:p>
            <w:pPr>
              <w:widowControl/>
              <w:spacing w:line="240" w:lineRule="exact"/>
              <w:ind w:firstLine="270" w:firstLineChars="150"/>
              <w:jc w:val="left"/>
              <w:rPr>
                <w:rFonts w:cs="宋体"/>
                <w:kern w:val="0"/>
                <w:sz w:val="18"/>
                <w:szCs w:val="18"/>
              </w:rPr>
            </w:pPr>
            <w:r>
              <w:rPr>
                <w:rFonts w:cs="宋体"/>
                <w:kern w:val="0"/>
                <w:sz w:val="18"/>
                <w:szCs w:val="18"/>
              </w:rPr>
              <w:t>5.2设备</w:t>
            </w:r>
          </w:p>
          <w:p>
            <w:pPr>
              <w:widowControl/>
              <w:spacing w:line="240" w:lineRule="exact"/>
              <w:jc w:val="center"/>
              <w:rPr>
                <w:rFonts w:cs="宋体"/>
                <w:kern w:val="0"/>
                <w:sz w:val="18"/>
                <w:szCs w:val="18"/>
              </w:rPr>
            </w:pPr>
            <w:r>
              <w:rPr>
                <w:sz w:val="18"/>
                <w:szCs w:val="18"/>
              </w:rPr>
              <w:t>（10分）</w:t>
            </w:r>
          </w:p>
        </w:tc>
        <w:tc>
          <w:tcPr>
            <w:tcW w:w="5244" w:type="dxa"/>
            <w:vAlign w:val="center"/>
          </w:tcPr>
          <w:p>
            <w:pPr>
              <w:pStyle w:val="36"/>
              <w:rPr>
                <w:shd w:val="clear" w:color="auto" w:fill="auto"/>
              </w:rPr>
            </w:pPr>
            <w:r>
              <w:rPr>
                <w:rFonts w:hint="eastAsia" w:cs="微软雅黑"/>
                <w:shd w:val="clear" w:color="auto" w:fill="auto"/>
              </w:rPr>
              <w:t>※</w:t>
            </w:r>
            <w:r>
              <w:rPr>
                <w:shd w:val="clear" w:color="auto" w:fill="auto"/>
              </w:rPr>
              <w:t>1</w:t>
            </w:r>
            <w:r>
              <w:rPr>
                <w:rFonts w:hint="eastAsia"/>
                <w:shd w:val="clear" w:color="auto" w:fill="auto"/>
              </w:rPr>
              <w:t>.</w:t>
            </w:r>
            <w:r>
              <w:rPr>
                <w:shd w:val="clear" w:color="auto" w:fill="auto"/>
              </w:rPr>
              <w:t>应配备称重计量设备。</w:t>
            </w:r>
          </w:p>
          <w:p>
            <w:pPr>
              <w:pStyle w:val="36"/>
              <w:rPr>
                <w:shd w:val="clear" w:color="auto" w:fill="auto"/>
              </w:rPr>
            </w:pPr>
            <w:r>
              <w:rPr>
                <w:shd w:val="clear" w:color="auto" w:fill="auto"/>
              </w:rPr>
              <w:t>2</w:t>
            </w:r>
            <w:r>
              <w:rPr>
                <w:rFonts w:hint="eastAsia"/>
                <w:shd w:val="clear" w:color="auto" w:fill="auto"/>
              </w:rPr>
              <w:t>.</w:t>
            </w:r>
            <w:r>
              <w:rPr>
                <w:shd w:val="clear" w:color="auto" w:fill="auto"/>
              </w:rPr>
              <w:t>称重计量设备的安装、使用应符合标准要求，计量性能应符合相关检定规程要求。称重计量设备在日常使用前应检查，确保设备处于正常状态。</w:t>
            </w:r>
          </w:p>
          <w:p>
            <w:pPr>
              <w:pStyle w:val="36"/>
              <w:rPr>
                <w:shd w:val="clear" w:color="auto" w:fill="auto"/>
              </w:rPr>
            </w:pPr>
            <w:r>
              <w:rPr>
                <w:shd w:val="clear" w:color="auto" w:fill="auto"/>
              </w:rPr>
              <w:t>3</w:t>
            </w:r>
            <w:r>
              <w:rPr>
                <w:rFonts w:hint="eastAsia"/>
                <w:shd w:val="clear" w:color="auto" w:fill="auto"/>
              </w:rPr>
              <w:t>.</w:t>
            </w:r>
            <w:r>
              <w:rPr>
                <w:shd w:val="clear" w:color="auto" w:fill="auto"/>
              </w:rPr>
              <w:t>称重计量设备应由经过培训合格的收费员操作。</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4</w:t>
            </w:r>
            <w:r>
              <w:rPr>
                <w:rFonts w:hint="eastAsia" w:cs="宋体"/>
                <w:sz w:val="18"/>
                <w:szCs w:val="18"/>
                <w:shd w:val="clear" w:color="auto" w:fill="auto"/>
              </w:rPr>
              <w:t>.</w:t>
            </w:r>
            <w:r>
              <w:rPr>
                <w:rFonts w:cs="宋体"/>
                <w:sz w:val="18"/>
                <w:szCs w:val="18"/>
                <w:shd w:val="clear" w:color="auto" w:fill="auto"/>
              </w:rPr>
              <w:t>应建立、保持称重计量设备记录（档案），记录至少应包括设备名称、型号规格、制造商、唯一性标识、安装地点、检定/校准周期、检定/校准日期、检定/校准机构、检定/校准证书、设备维修维护计划和记录等。</w:t>
            </w:r>
          </w:p>
          <w:p>
            <w:pPr>
              <w:pStyle w:val="36"/>
              <w:rPr>
                <w:shd w:val="clear" w:color="auto" w:fill="auto"/>
              </w:rPr>
            </w:pPr>
            <w:r>
              <w:rPr>
                <w:shd w:val="clear" w:color="auto" w:fill="auto"/>
              </w:rPr>
              <w:t>5.所有需要检定/校准的称重计量设备，应使用标签、编码或其他标识表明设备检定/校准状态，便于使用人方便地识别。</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6</w:t>
            </w:r>
            <w:r>
              <w:rPr>
                <w:rFonts w:hint="eastAsia" w:cs="宋体"/>
                <w:sz w:val="18"/>
                <w:szCs w:val="18"/>
                <w:shd w:val="clear" w:color="auto" w:fill="auto"/>
              </w:rPr>
              <w:t>.</w:t>
            </w:r>
            <w:r>
              <w:rPr>
                <w:rFonts w:cs="宋体"/>
                <w:sz w:val="18"/>
                <w:szCs w:val="18"/>
                <w:shd w:val="clear" w:color="auto" w:fill="auto"/>
              </w:rPr>
              <w:t>如果称重计量设备出现过载或处置不当、出现可疑结果、已显示有缺陷或超出规定要求时，应停止使用，暂时关闭车道。出现上述状况的设备应加贴标签、标记表明已停用，防止误用。直至修复，验证合格后再投入使用。应检查设备缺陷、故障等偏离规定要求的影响，必要时启动不符合工作程序（见8.1）。</w:t>
            </w:r>
          </w:p>
          <w:p>
            <w:pPr>
              <w:pStyle w:val="36"/>
              <w:rPr>
                <w:shd w:val="clear" w:color="auto" w:fill="auto"/>
              </w:rPr>
            </w:pPr>
            <w:r>
              <w:rPr>
                <w:shd w:val="clear" w:color="auto" w:fill="auto"/>
              </w:rPr>
              <w:t>7</w:t>
            </w:r>
            <w:r>
              <w:rPr>
                <w:rFonts w:hint="eastAsia"/>
                <w:shd w:val="clear" w:color="auto" w:fill="auto"/>
              </w:rPr>
              <w:t>.</w:t>
            </w:r>
            <w:r>
              <w:rPr>
                <w:shd w:val="clear" w:color="auto" w:fill="auto"/>
              </w:rPr>
              <w:t>应制定称重计量设备的处置、使用和维护的程序，保证其正常使用。</w:t>
            </w:r>
          </w:p>
          <w:p>
            <w:pPr>
              <w:pStyle w:val="35"/>
              <w:numPr>
                <w:ilvl w:val="0"/>
                <w:numId w:val="0"/>
              </w:numPr>
              <w:spacing w:line="240" w:lineRule="exact"/>
              <w:jc w:val="both"/>
              <w:outlineLvl w:val="9"/>
              <w:rPr>
                <w:rFonts w:cs="宋体"/>
                <w:sz w:val="18"/>
                <w:szCs w:val="18"/>
                <w:shd w:val="clear" w:color="auto" w:fill="auto"/>
              </w:rPr>
            </w:pPr>
            <w:r>
              <w:rPr>
                <w:rFonts w:cs="宋体"/>
                <w:sz w:val="18"/>
                <w:szCs w:val="18"/>
                <w:shd w:val="clear" w:color="auto" w:fill="auto"/>
              </w:rPr>
              <w:t>8</w:t>
            </w:r>
            <w:r>
              <w:rPr>
                <w:rFonts w:hint="eastAsia" w:cs="宋体"/>
                <w:sz w:val="18"/>
                <w:szCs w:val="18"/>
                <w:shd w:val="clear" w:color="auto" w:fill="auto"/>
              </w:rPr>
              <w:t>.</w:t>
            </w:r>
            <w:r>
              <w:rPr>
                <w:rFonts w:cs="宋体"/>
                <w:sz w:val="18"/>
                <w:szCs w:val="18"/>
                <w:shd w:val="clear" w:color="auto" w:fill="auto"/>
              </w:rPr>
              <w:t>当需要利用期间核查保持对称重计量设备的信心时，应按规定的程序进行，并做好期间核查记录。</w:t>
            </w:r>
          </w:p>
          <w:p>
            <w:pPr>
              <w:pStyle w:val="36"/>
              <w:rPr>
                <w:shd w:val="clear" w:color="auto" w:fill="auto"/>
              </w:rPr>
            </w:pPr>
            <w:r>
              <w:rPr>
                <w:shd w:val="clear" w:color="auto" w:fill="auto"/>
              </w:rPr>
              <w:t>9</w:t>
            </w:r>
            <w:r>
              <w:rPr>
                <w:rFonts w:hint="eastAsia"/>
                <w:shd w:val="clear" w:color="auto" w:fill="auto"/>
              </w:rPr>
              <w:t>.</w:t>
            </w:r>
            <w:r>
              <w:rPr>
                <w:shd w:val="clear" w:color="auto" w:fill="auto"/>
              </w:rPr>
              <w:t>应有切实可行的措施，保护已经检定/校准的称重计量设备内设参数、机械密封、电子印封等。防止非授权人调整。</w:t>
            </w:r>
          </w:p>
        </w:tc>
        <w:tc>
          <w:tcPr>
            <w:tcW w:w="3402" w:type="dxa"/>
            <w:vAlign w:val="center"/>
          </w:tcPr>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1.是否制定了设备管理程序，对称重计量设备配备、使用、性能要求、标识、正确处置、保护措施等做出规定。是否有相应实施记录。（2分）</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2.操作人员是否经过培训。是否有相应实施记录。（2分）</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3.是否建立了设备档案（记录）。</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（2分）</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4.是否制定了设备的处置、使用和维护程序。是否有相应实施记录。（2分）</w:t>
            </w:r>
          </w:p>
          <w:p>
            <w:pPr>
              <w:pStyle w:val="35"/>
              <w:numPr>
                <w:ilvl w:val="0"/>
                <w:numId w:val="0"/>
              </w:numPr>
              <w:spacing w:line="240" w:lineRule="exact"/>
              <w:rPr>
                <w:rFonts w:cs="宋体"/>
                <w:sz w:val="18"/>
                <w:szCs w:val="18"/>
                <w:shd w:val="clear" w:color="auto" w:fill="auto"/>
              </w:rPr>
            </w:pPr>
            <w:r>
              <w:rPr>
                <w:rFonts w:cs="宋体"/>
                <w:sz w:val="18"/>
                <w:szCs w:val="18"/>
                <w:shd w:val="clear" w:color="auto" w:fill="auto"/>
              </w:rPr>
              <w:t>5.是否制定了设备期间核查程序。是否有相应实施记录。（2分）</w:t>
            </w:r>
          </w:p>
        </w:tc>
        <w:tc>
          <w:tcPr>
            <w:tcW w:w="2835" w:type="dxa"/>
            <w:vAlign w:val="center"/>
          </w:tcPr>
          <w:p>
            <w:pPr>
              <w:spacing w:line="240" w:lineRule="exact"/>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761" w:type="dxa"/>
            <w:vAlign w:val="center"/>
          </w:tcPr>
          <w:p>
            <w:pPr>
              <w:spacing w:line="240" w:lineRule="exact"/>
              <w:jc w:val="center"/>
              <w:rPr>
                <w:sz w:val="18"/>
                <w:szCs w:val="18"/>
              </w:rPr>
            </w:pPr>
            <w:r>
              <w:rPr>
                <w:sz w:val="18"/>
                <w:szCs w:val="18"/>
              </w:rPr>
              <w:t>7</w:t>
            </w:r>
          </w:p>
        </w:tc>
        <w:tc>
          <w:tcPr>
            <w:tcW w:w="1366" w:type="dxa"/>
            <w:vAlign w:val="center"/>
          </w:tcPr>
          <w:p>
            <w:pPr>
              <w:spacing w:line="240" w:lineRule="exact"/>
              <w:rPr>
                <w:sz w:val="18"/>
                <w:szCs w:val="18"/>
              </w:rPr>
            </w:pPr>
            <w:r>
              <w:rPr>
                <w:sz w:val="18"/>
                <w:szCs w:val="18"/>
              </w:rPr>
              <w:t>5.3环境设施</w:t>
            </w:r>
          </w:p>
          <w:p>
            <w:pPr>
              <w:spacing w:line="240" w:lineRule="exact"/>
              <w:jc w:val="center"/>
              <w:rPr>
                <w:sz w:val="18"/>
                <w:szCs w:val="18"/>
              </w:rPr>
            </w:pPr>
            <w:r>
              <w:rPr>
                <w:sz w:val="18"/>
                <w:szCs w:val="18"/>
              </w:rPr>
              <w:t>（5分）</w:t>
            </w:r>
          </w:p>
        </w:tc>
        <w:tc>
          <w:tcPr>
            <w:tcW w:w="5244" w:type="dxa"/>
            <w:vAlign w:val="center"/>
          </w:tcPr>
          <w:p>
            <w:pPr>
              <w:spacing w:line="240" w:lineRule="exact"/>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w:t>
            </w:r>
            <w:r>
              <w:rPr>
                <w:rFonts w:asciiTheme="minorEastAsia" w:hAnsiTheme="minorEastAsia"/>
                <w:sz w:val="18"/>
                <w:szCs w:val="18"/>
              </w:rPr>
              <w:t>设施环境应满足称重计量设备的使用要求。</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w:t>
            </w:r>
            <w:r>
              <w:rPr>
                <w:rFonts w:asciiTheme="minorEastAsia" w:hAnsiTheme="minorEastAsia"/>
                <w:sz w:val="18"/>
                <w:szCs w:val="18"/>
              </w:rPr>
              <w:t>应将不相容的相邻区域进行有效隔离，防止相互影响。</w:t>
            </w:r>
          </w:p>
          <w:p>
            <w:pPr>
              <w:spacing w:line="240" w:lineRule="exact"/>
              <w:rPr>
                <w:rFonts w:asciiTheme="minorEastAsia" w:hAnsiTheme="minorEastAsia"/>
                <w:sz w:val="18"/>
                <w:szCs w:val="18"/>
              </w:rPr>
            </w:pPr>
            <w:r>
              <w:rPr>
                <w:rFonts w:asciiTheme="minorEastAsia" w:hAnsiTheme="minorEastAsia"/>
                <w:sz w:val="18"/>
                <w:szCs w:val="18"/>
              </w:rPr>
              <w:t>3</w:t>
            </w:r>
            <w:r>
              <w:rPr>
                <w:rFonts w:hint="eastAsia" w:asciiTheme="minorEastAsia" w:hAnsiTheme="minorEastAsia"/>
                <w:sz w:val="18"/>
                <w:szCs w:val="18"/>
              </w:rPr>
              <w:t>.</w:t>
            </w:r>
            <w:r>
              <w:rPr>
                <w:rFonts w:asciiTheme="minorEastAsia" w:hAnsiTheme="minorEastAsia"/>
                <w:sz w:val="18"/>
                <w:szCs w:val="18"/>
              </w:rPr>
              <w:t>应对开展的检测活动进行有效管理，保持良好内务。</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1.环境设施是否满足称重计量设备的使用要求。（2分）</w:t>
            </w:r>
          </w:p>
          <w:p>
            <w:pPr>
              <w:spacing w:line="240" w:lineRule="exact"/>
              <w:rPr>
                <w:rFonts w:asciiTheme="minorEastAsia" w:hAnsiTheme="minorEastAsia"/>
                <w:sz w:val="18"/>
                <w:szCs w:val="18"/>
              </w:rPr>
            </w:pPr>
            <w:r>
              <w:rPr>
                <w:rFonts w:asciiTheme="minorEastAsia" w:hAnsiTheme="minorEastAsia"/>
                <w:sz w:val="18"/>
                <w:szCs w:val="18"/>
              </w:rPr>
              <w:t>2.不相容的相邻区域是否有效隔离。</w:t>
            </w:r>
          </w:p>
          <w:p>
            <w:pPr>
              <w:spacing w:line="240" w:lineRule="exact"/>
              <w:rPr>
                <w:rFonts w:asciiTheme="minorEastAsia" w:hAnsiTheme="minorEastAsia"/>
                <w:sz w:val="18"/>
                <w:szCs w:val="18"/>
              </w:rPr>
            </w:pPr>
            <w:r>
              <w:rPr>
                <w:rFonts w:asciiTheme="minorEastAsia" w:hAnsiTheme="minorEastAsia"/>
                <w:sz w:val="18"/>
                <w:szCs w:val="18"/>
              </w:rPr>
              <w:t>（2分）</w:t>
            </w:r>
          </w:p>
          <w:p>
            <w:pPr>
              <w:spacing w:line="240" w:lineRule="exact"/>
              <w:rPr>
                <w:rFonts w:asciiTheme="minorEastAsia" w:hAnsiTheme="minorEastAsia"/>
                <w:sz w:val="18"/>
                <w:szCs w:val="18"/>
              </w:rPr>
            </w:pPr>
            <w:r>
              <w:rPr>
                <w:rFonts w:asciiTheme="minorEastAsia" w:hAnsiTheme="minorEastAsia"/>
                <w:sz w:val="18"/>
                <w:szCs w:val="18"/>
              </w:rPr>
              <w:t>3.是否保持良好内务。（1分）</w:t>
            </w:r>
          </w:p>
        </w:tc>
        <w:tc>
          <w:tcPr>
            <w:tcW w:w="2835"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trPr>
        <w:tc>
          <w:tcPr>
            <w:tcW w:w="761" w:type="dxa"/>
            <w:vAlign w:val="center"/>
          </w:tcPr>
          <w:p>
            <w:pPr>
              <w:spacing w:line="240" w:lineRule="exact"/>
              <w:jc w:val="center"/>
              <w:rPr>
                <w:sz w:val="18"/>
                <w:szCs w:val="18"/>
              </w:rPr>
            </w:pPr>
            <w:r>
              <w:rPr>
                <w:sz w:val="18"/>
                <w:szCs w:val="18"/>
              </w:rPr>
              <w:t>8</w:t>
            </w:r>
          </w:p>
        </w:tc>
        <w:tc>
          <w:tcPr>
            <w:tcW w:w="1366" w:type="dxa"/>
            <w:vAlign w:val="center"/>
          </w:tcPr>
          <w:p>
            <w:pPr>
              <w:spacing w:line="240" w:lineRule="exact"/>
              <w:jc w:val="center"/>
              <w:rPr>
                <w:sz w:val="18"/>
                <w:szCs w:val="18"/>
              </w:rPr>
            </w:pPr>
            <w:r>
              <w:rPr>
                <w:sz w:val="18"/>
                <w:szCs w:val="18"/>
              </w:rPr>
              <w:t>5.4计量溯源性（8分）</w:t>
            </w:r>
          </w:p>
        </w:tc>
        <w:tc>
          <w:tcPr>
            <w:tcW w:w="5244" w:type="dxa"/>
            <w:vAlign w:val="center"/>
          </w:tcPr>
          <w:p>
            <w:pPr>
              <w:pStyle w:val="36"/>
              <w:rPr>
                <w:shd w:val="clear" w:color="auto" w:fill="auto"/>
              </w:rPr>
            </w:pPr>
            <w:r>
              <w:rPr>
                <w:shd w:val="clear" w:color="auto" w:fill="auto"/>
              </w:rPr>
              <w:t>1</w:t>
            </w:r>
            <w:r>
              <w:rPr>
                <w:rFonts w:hint="eastAsia"/>
                <w:shd w:val="clear" w:color="auto" w:fill="auto"/>
              </w:rPr>
              <w:t>.</w:t>
            </w:r>
            <w:r>
              <w:rPr>
                <w:shd w:val="clear" w:color="auto" w:fill="auto"/>
              </w:rPr>
              <w:t>所有用于称重计量的设备（包括辅助设备）均应溯源至计量基准或社会公用计量标准。应制定称重计量设备检定/校准的程序和计划，明确称重计量设备检定/校准周期和上级溯源机构。</w:t>
            </w:r>
          </w:p>
          <w:p>
            <w:pPr>
              <w:pStyle w:val="36"/>
              <w:rPr>
                <w:shd w:val="clear" w:color="auto" w:fill="auto"/>
              </w:rPr>
            </w:pPr>
            <w:r>
              <w:rPr>
                <w:rFonts w:hint="eastAsia" w:cs="微软雅黑"/>
                <w:b/>
                <w:shd w:val="clear" w:color="auto" w:fill="auto"/>
              </w:rPr>
              <w:t>※</w:t>
            </w:r>
            <w:r>
              <w:rPr>
                <w:shd w:val="clear" w:color="auto" w:fill="auto"/>
              </w:rPr>
              <w:t>2</w:t>
            </w:r>
            <w:r>
              <w:rPr>
                <w:rFonts w:hint="eastAsia"/>
                <w:shd w:val="clear" w:color="auto" w:fill="auto"/>
              </w:rPr>
              <w:t>.</w:t>
            </w:r>
            <w:r>
              <w:rPr>
                <w:shd w:val="clear" w:color="auto" w:fill="auto"/>
              </w:rPr>
              <w:t>属于强制检定的称重计量设备应按照法律法规的规定，向当地计量行政主管部门指定的计量技术机构申请强制检定。</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检定/校准</w:t>
            </w:r>
            <w:r>
              <w:rPr>
                <w:rFonts w:asciiTheme="minorEastAsia" w:hAnsiTheme="minorEastAsia"/>
                <w:sz w:val="18"/>
                <w:szCs w:val="18"/>
              </w:rPr>
              <w:t>证书是否齐全、连续、有效。（</w:t>
            </w:r>
            <w:r>
              <w:rPr>
                <w:rFonts w:hint="eastAsia" w:asciiTheme="minorEastAsia" w:hAnsiTheme="minorEastAsia"/>
                <w:sz w:val="18"/>
                <w:szCs w:val="18"/>
              </w:rPr>
              <w:t>6分</w:t>
            </w:r>
            <w:r>
              <w:rPr>
                <w:rFonts w:asciiTheme="minorEastAsia" w:hAnsiTheme="minorEastAsia"/>
                <w:sz w:val="18"/>
                <w:szCs w:val="18"/>
              </w:rPr>
              <w:t>）</w:t>
            </w:r>
          </w:p>
          <w:p>
            <w:pPr>
              <w:spacing w:line="240" w:lineRule="exact"/>
              <w:rPr>
                <w:rFonts w:asciiTheme="minorEastAsia" w:hAnsiTheme="minorEastAsia"/>
                <w:sz w:val="18"/>
                <w:szCs w:val="18"/>
              </w:rPr>
            </w:pPr>
            <w:r>
              <w:rPr>
                <w:rFonts w:asciiTheme="minorEastAsia" w:hAnsiTheme="minorEastAsia"/>
                <w:sz w:val="18"/>
                <w:szCs w:val="18"/>
              </w:rPr>
              <w:t>2.是否有称重计量设备检定/校准的程序和计划。（2分）</w:t>
            </w:r>
          </w:p>
        </w:tc>
        <w:tc>
          <w:tcPr>
            <w:tcW w:w="2835"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trPr>
        <w:tc>
          <w:tcPr>
            <w:tcW w:w="761" w:type="dxa"/>
            <w:vAlign w:val="center"/>
          </w:tcPr>
          <w:p>
            <w:pPr>
              <w:spacing w:line="240" w:lineRule="exact"/>
              <w:jc w:val="center"/>
              <w:rPr>
                <w:sz w:val="18"/>
                <w:szCs w:val="18"/>
              </w:rPr>
            </w:pPr>
            <w:r>
              <w:rPr>
                <w:sz w:val="18"/>
                <w:szCs w:val="18"/>
              </w:rPr>
              <w:t>9</w:t>
            </w:r>
          </w:p>
        </w:tc>
        <w:tc>
          <w:tcPr>
            <w:tcW w:w="1366" w:type="dxa"/>
            <w:vAlign w:val="center"/>
          </w:tcPr>
          <w:p>
            <w:pPr>
              <w:spacing w:line="240" w:lineRule="exact"/>
              <w:rPr>
                <w:sz w:val="18"/>
                <w:szCs w:val="18"/>
              </w:rPr>
            </w:pPr>
            <w:r>
              <w:rPr>
                <w:sz w:val="18"/>
                <w:szCs w:val="18"/>
              </w:rPr>
              <w:t>5.5外部供方</w:t>
            </w:r>
          </w:p>
          <w:p>
            <w:pPr>
              <w:spacing w:line="240" w:lineRule="exact"/>
              <w:jc w:val="center"/>
              <w:rPr>
                <w:sz w:val="18"/>
                <w:szCs w:val="18"/>
              </w:rPr>
            </w:pPr>
            <w:r>
              <w:rPr>
                <w:sz w:val="18"/>
                <w:szCs w:val="18"/>
              </w:rPr>
              <w:t>（5分）</w:t>
            </w:r>
          </w:p>
        </w:tc>
        <w:tc>
          <w:tcPr>
            <w:tcW w:w="5244" w:type="dxa"/>
            <w:vAlign w:val="center"/>
          </w:tcPr>
          <w:p>
            <w:pPr>
              <w:pStyle w:val="36"/>
              <w:rPr>
                <w:kern w:val="2"/>
                <w:shd w:val="clear" w:color="auto" w:fill="auto"/>
              </w:rPr>
            </w:pPr>
            <w:r>
              <w:rPr>
                <w:kern w:val="2"/>
                <w:shd w:val="clear" w:color="auto" w:fill="auto"/>
              </w:rPr>
              <w:t>1</w:t>
            </w:r>
            <w:r>
              <w:rPr>
                <w:rFonts w:hint="eastAsia"/>
                <w:kern w:val="2"/>
                <w:shd w:val="clear" w:color="auto" w:fill="auto"/>
              </w:rPr>
              <w:t>.</w:t>
            </w:r>
            <w:r>
              <w:rPr>
                <w:kern w:val="2"/>
                <w:shd w:val="clear" w:color="auto" w:fill="auto"/>
              </w:rPr>
              <w:t>应制定选择、购买对测量结果有影响的外部供方服务的政策和程序。</w:t>
            </w:r>
            <w:r>
              <w:rPr>
                <w:shd w:val="clear" w:color="auto" w:fill="auto"/>
              </w:rPr>
              <w:t>通常包括但不限于称重计量设备（含零部件）采购、设备维护、溯源服务、人员培训等。</w:t>
            </w:r>
          </w:p>
          <w:p>
            <w:pPr>
              <w:pStyle w:val="36"/>
              <w:rPr>
                <w:shd w:val="clear" w:color="auto" w:fill="auto"/>
              </w:rPr>
            </w:pPr>
            <w:r>
              <w:rPr>
                <w:shd w:val="clear" w:color="auto" w:fill="auto"/>
              </w:rPr>
              <w:t>2</w:t>
            </w:r>
            <w:r>
              <w:rPr>
                <w:rFonts w:hint="eastAsia"/>
                <w:shd w:val="clear" w:color="auto" w:fill="auto"/>
              </w:rPr>
              <w:t>.</w:t>
            </w:r>
            <w:r>
              <w:rPr>
                <w:shd w:val="clear" w:color="auto" w:fill="auto"/>
              </w:rPr>
              <w:t>应制定上述外部供方的评价程序，保证上述外部供方提供的产品和服务适应需求。保存外部供方的评价记录和供应商的名单。</w:t>
            </w:r>
          </w:p>
          <w:p>
            <w:pPr>
              <w:pStyle w:val="36"/>
              <w:rPr>
                <w:shd w:val="clear" w:color="auto" w:fill="auto"/>
              </w:rPr>
            </w:pPr>
            <w:r>
              <w:rPr>
                <w:shd w:val="clear" w:color="auto" w:fill="auto"/>
              </w:rPr>
              <w:t>3</w:t>
            </w:r>
            <w:r>
              <w:rPr>
                <w:rFonts w:hint="eastAsia"/>
                <w:shd w:val="clear" w:color="auto" w:fill="auto"/>
              </w:rPr>
              <w:t>.</w:t>
            </w:r>
            <w:r>
              <w:rPr>
                <w:shd w:val="clear" w:color="auto" w:fill="auto"/>
              </w:rPr>
              <w:t>测量结果有影响的外部产品和服务采购文件（合同），应包含所购产品和服务的要求信息，并经过审查和批准。</w:t>
            </w:r>
          </w:p>
          <w:p>
            <w:pPr>
              <w:pStyle w:val="36"/>
              <w:rPr>
                <w:shd w:val="clear" w:color="auto" w:fill="auto"/>
              </w:rPr>
            </w:pPr>
            <w:r>
              <w:rPr>
                <w:shd w:val="clear" w:color="auto" w:fill="auto"/>
              </w:rPr>
              <w:t>4</w:t>
            </w:r>
            <w:r>
              <w:rPr>
                <w:rFonts w:hint="eastAsia"/>
                <w:shd w:val="clear" w:color="auto" w:fill="auto"/>
              </w:rPr>
              <w:t>.</w:t>
            </w:r>
            <w:r>
              <w:rPr>
                <w:shd w:val="clear" w:color="auto" w:fill="auto"/>
              </w:rPr>
              <w:t>对外部供方提供的产品或服务，应经过检查或验收。证明符合有关标准规程规范或规定的要求后，方可投入使用。应保存符合性检查的相关记录。</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1.是否制定了外部供方管理程序，对外部供方的选择、采购、验收作出规定。（2分）</w:t>
            </w:r>
          </w:p>
          <w:p>
            <w:pPr>
              <w:spacing w:line="240" w:lineRule="exact"/>
              <w:rPr>
                <w:rFonts w:asciiTheme="minorEastAsia" w:hAnsiTheme="minorEastAsia"/>
                <w:sz w:val="18"/>
                <w:szCs w:val="18"/>
              </w:rPr>
            </w:pPr>
            <w:r>
              <w:rPr>
                <w:rFonts w:asciiTheme="minorEastAsia" w:hAnsiTheme="minorEastAsia"/>
                <w:sz w:val="18"/>
                <w:szCs w:val="18"/>
              </w:rPr>
              <w:t>2.是否保存供应商名单。（1分）</w:t>
            </w:r>
          </w:p>
          <w:p>
            <w:pPr>
              <w:spacing w:line="240" w:lineRule="exact"/>
              <w:rPr>
                <w:rFonts w:asciiTheme="minorEastAsia" w:hAnsiTheme="minorEastAsia"/>
                <w:sz w:val="18"/>
                <w:szCs w:val="18"/>
              </w:rPr>
            </w:pPr>
            <w:r>
              <w:rPr>
                <w:rFonts w:asciiTheme="minorEastAsia" w:hAnsiTheme="minorEastAsia"/>
                <w:sz w:val="18"/>
                <w:szCs w:val="18"/>
              </w:rPr>
              <w:t>3.是否有相应实施记录。（2分）</w:t>
            </w:r>
          </w:p>
        </w:tc>
        <w:tc>
          <w:tcPr>
            <w:tcW w:w="2835"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0" w:hRule="atLeast"/>
        </w:trPr>
        <w:tc>
          <w:tcPr>
            <w:tcW w:w="761" w:type="dxa"/>
            <w:vAlign w:val="center"/>
          </w:tcPr>
          <w:p>
            <w:pPr>
              <w:spacing w:line="240" w:lineRule="exact"/>
              <w:jc w:val="center"/>
              <w:rPr>
                <w:sz w:val="18"/>
                <w:szCs w:val="18"/>
              </w:rPr>
            </w:pPr>
            <w:r>
              <w:rPr>
                <w:sz w:val="18"/>
                <w:szCs w:val="18"/>
              </w:rPr>
              <w:t>10</w:t>
            </w:r>
          </w:p>
        </w:tc>
        <w:tc>
          <w:tcPr>
            <w:tcW w:w="1366" w:type="dxa"/>
            <w:vAlign w:val="center"/>
          </w:tcPr>
          <w:p>
            <w:pPr>
              <w:spacing w:line="240" w:lineRule="exact"/>
              <w:rPr>
                <w:sz w:val="18"/>
                <w:szCs w:val="18"/>
              </w:rPr>
            </w:pPr>
            <w:r>
              <w:rPr>
                <w:sz w:val="18"/>
                <w:szCs w:val="18"/>
              </w:rPr>
              <w:t>5.6操作程序</w:t>
            </w:r>
          </w:p>
          <w:p>
            <w:pPr>
              <w:spacing w:line="240" w:lineRule="exact"/>
              <w:jc w:val="center"/>
              <w:rPr>
                <w:sz w:val="18"/>
                <w:szCs w:val="18"/>
              </w:rPr>
            </w:pPr>
            <w:r>
              <w:rPr>
                <w:sz w:val="18"/>
                <w:szCs w:val="18"/>
              </w:rPr>
              <w:t>（2分）</w:t>
            </w:r>
          </w:p>
        </w:tc>
        <w:tc>
          <w:tcPr>
            <w:tcW w:w="5244" w:type="dxa"/>
            <w:vAlign w:val="center"/>
          </w:tcPr>
          <w:p>
            <w:pPr>
              <w:pStyle w:val="36"/>
              <w:rPr>
                <w:kern w:val="2"/>
                <w:shd w:val="clear" w:color="auto" w:fill="auto"/>
              </w:rPr>
            </w:pPr>
            <w:r>
              <w:rPr>
                <w:kern w:val="2"/>
                <w:shd w:val="clear" w:color="auto" w:fill="auto"/>
              </w:rPr>
              <w:t>1</w:t>
            </w:r>
            <w:r>
              <w:rPr>
                <w:rFonts w:hint="eastAsia"/>
                <w:kern w:val="2"/>
                <w:shd w:val="clear" w:color="auto" w:fill="auto"/>
              </w:rPr>
              <w:t>.</w:t>
            </w:r>
            <w:r>
              <w:rPr>
                <w:kern w:val="2"/>
                <w:shd w:val="clear" w:color="auto" w:fill="auto"/>
              </w:rPr>
              <w:t>应根据有关标准/规程/规范、设备使用说明以及相关规定，制定称重计量设备的操作方法或手册，保证测量过程和测量结果准确无误。操作方法或手册应保持有效版本并易于人员取阅。</w:t>
            </w:r>
          </w:p>
          <w:p>
            <w:pPr>
              <w:pStyle w:val="36"/>
              <w:rPr>
                <w:kern w:val="2"/>
              </w:rPr>
            </w:pPr>
            <w:r>
              <w:rPr>
                <w:kern w:val="2"/>
                <w:shd w:val="clear" w:color="auto" w:fill="auto"/>
              </w:rPr>
              <w:t>2</w:t>
            </w:r>
            <w:r>
              <w:rPr>
                <w:rFonts w:hint="eastAsia"/>
                <w:kern w:val="2"/>
                <w:shd w:val="clear" w:color="auto" w:fill="auto"/>
              </w:rPr>
              <w:t>.</w:t>
            </w:r>
            <w:r>
              <w:rPr>
                <w:kern w:val="2"/>
                <w:shd w:val="clear" w:color="auto" w:fill="auto"/>
              </w:rPr>
              <w:t>现场测量时应向客户（司乘人员，以下同）明示计量单位、操作过程和计量设备显示的量值（货物总重量、超重值等）。对有异议的，协商一致后，可采取静态称量等其他检测方式。</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1.是否有操作方法（1分）</w:t>
            </w:r>
          </w:p>
          <w:p>
            <w:pPr>
              <w:spacing w:line="240" w:lineRule="exact"/>
              <w:rPr>
                <w:rFonts w:asciiTheme="minorEastAsia" w:hAnsiTheme="minorEastAsia"/>
                <w:sz w:val="18"/>
                <w:szCs w:val="18"/>
              </w:rPr>
            </w:pPr>
            <w:r>
              <w:rPr>
                <w:rFonts w:asciiTheme="minorEastAsia" w:hAnsiTheme="minorEastAsia"/>
                <w:sz w:val="18"/>
                <w:szCs w:val="18"/>
              </w:rPr>
              <w:t>2.观察操作人员是否按操作方法熟练操作。（0.5分）</w:t>
            </w:r>
          </w:p>
          <w:p>
            <w:pPr>
              <w:pStyle w:val="36"/>
              <w:rPr>
                <w:shd w:val="clear" w:color="auto" w:fill="auto"/>
              </w:rPr>
            </w:pPr>
            <w:r>
              <w:rPr>
                <w:shd w:val="clear" w:color="auto" w:fill="auto"/>
              </w:rPr>
              <w:t>3.现场观察，是否在现场称重时</w:t>
            </w:r>
            <w:r>
              <w:rPr>
                <w:rFonts w:hint="eastAsia"/>
                <w:shd w:val="clear" w:color="auto" w:fill="auto"/>
              </w:rPr>
              <w:t>向</w:t>
            </w:r>
            <w:r>
              <w:rPr>
                <w:shd w:val="clear" w:color="auto" w:fill="auto"/>
              </w:rPr>
              <w:t>客户明示计量单位、操作过程和计量设备显示的量值。（0.5分）</w:t>
            </w:r>
          </w:p>
        </w:tc>
        <w:tc>
          <w:tcPr>
            <w:tcW w:w="2835"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8" w:hRule="atLeast"/>
        </w:trPr>
        <w:tc>
          <w:tcPr>
            <w:tcW w:w="761" w:type="dxa"/>
            <w:vAlign w:val="center"/>
          </w:tcPr>
          <w:p>
            <w:pPr>
              <w:spacing w:line="240" w:lineRule="exact"/>
              <w:jc w:val="center"/>
              <w:rPr>
                <w:sz w:val="18"/>
                <w:szCs w:val="18"/>
              </w:rPr>
            </w:pPr>
            <w:r>
              <w:rPr>
                <w:sz w:val="18"/>
                <w:szCs w:val="18"/>
              </w:rPr>
              <w:t>11</w:t>
            </w:r>
          </w:p>
        </w:tc>
        <w:tc>
          <w:tcPr>
            <w:tcW w:w="1366" w:type="dxa"/>
            <w:vAlign w:val="center"/>
          </w:tcPr>
          <w:p>
            <w:pPr>
              <w:spacing w:line="240" w:lineRule="exact"/>
              <w:rPr>
                <w:sz w:val="18"/>
                <w:szCs w:val="18"/>
              </w:rPr>
            </w:pPr>
            <w:r>
              <w:rPr>
                <w:sz w:val="18"/>
                <w:szCs w:val="18"/>
              </w:rPr>
              <w:t>5.7原始记录</w:t>
            </w:r>
          </w:p>
          <w:p>
            <w:pPr>
              <w:spacing w:line="240" w:lineRule="exact"/>
              <w:jc w:val="center"/>
              <w:rPr>
                <w:sz w:val="18"/>
                <w:szCs w:val="18"/>
              </w:rPr>
            </w:pPr>
            <w:r>
              <w:rPr>
                <w:sz w:val="18"/>
                <w:szCs w:val="18"/>
              </w:rPr>
              <w:t>（5分）</w:t>
            </w:r>
          </w:p>
        </w:tc>
        <w:tc>
          <w:tcPr>
            <w:tcW w:w="5244" w:type="dxa"/>
            <w:vAlign w:val="center"/>
          </w:tcPr>
          <w:p>
            <w:pPr>
              <w:pStyle w:val="36"/>
              <w:rPr>
                <w:shd w:val="clear" w:color="auto" w:fill="auto"/>
              </w:rPr>
            </w:pPr>
            <w:r>
              <w:rPr>
                <w:shd w:val="clear" w:color="auto" w:fill="auto"/>
              </w:rPr>
              <w:t>1</w:t>
            </w:r>
            <w:r>
              <w:rPr>
                <w:rFonts w:hint="eastAsia"/>
                <w:shd w:val="clear" w:color="auto" w:fill="auto"/>
              </w:rPr>
              <w:t>.</w:t>
            </w:r>
            <w:r>
              <w:rPr>
                <w:shd w:val="clear" w:color="auto" w:fill="auto"/>
              </w:rPr>
              <w:t>应制定测量原始记录格式，每份记录应包含足够的信息，以便于识别影响结果准确的因素，并在尽可能接近原使用条件下能够复现。记录中应有操作人员的签字或标识。</w:t>
            </w:r>
          </w:p>
          <w:p>
            <w:pPr>
              <w:pStyle w:val="36"/>
              <w:rPr>
                <w:shd w:val="clear" w:color="auto" w:fill="auto"/>
              </w:rPr>
            </w:pPr>
            <w:r>
              <w:rPr>
                <w:shd w:val="clear" w:color="auto" w:fill="auto"/>
              </w:rPr>
              <w:t>2</w:t>
            </w:r>
            <w:r>
              <w:rPr>
                <w:rFonts w:hint="eastAsia"/>
                <w:shd w:val="clear" w:color="auto" w:fill="auto"/>
              </w:rPr>
              <w:t>.</w:t>
            </w:r>
            <w:r>
              <w:rPr>
                <w:shd w:val="clear" w:color="auto" w:fill="auto"/>
              </w:rPr>
              <w:t>测量数据、计算和结果应在产生当时予以记录（或计算机自动生成记录并保存），并按特定任务分类标识。</w:t>
            </w:r>
          </w:p>
          <w:p>
            <w:pPr>
              <w:pStyle w:val="36"/>
              <w:rPr>
                <w:shd w:val="clear" w:color="auto" w:fill="auto"/>
              </w:rPr>
            </w:pPr>
            <w:r>
              <w:rPr>
                <w:shd w:val="clear" w:color="auto" w:fill="auto"/>
              </w:rPr>
              <w:t>3</w:t>
            </w:r>
            <w:r>
              <w:rPr>
                <w:rFonts w:hint="eastAsia"/>
                <w:shd w:val="clear" w:color="auto" w:fill="auto"/>
              </w:rPr>
              <w:t>.</w:t>
            </w:r>
            <w:r>
              <w:rPr>
                <w:shd w:val="clear" w:color="auto" w:fill="auto"/>
              </w:rPr>
              <w:t>记录应予以保护，防</w:t>
            </w:r>
            <w:r>
              <w:rPr>
                <w:rFonts w:hint="eastAsia"/>
                <w:shd w:val="clear" w:color="auto" w:fill="auto"/>
              </w:rPr>
              <w:t>止</w:t>
            </w:r>
            <w:r>
              <w:rPr>
                <w:shd w:val="clear" w:color="auto" w:fill="auto"/>
              </w:rPr>
              <w:t>非预期更改。</w:t>
            </w:r>
          </w:p>
          <w:p>
            <w:pPr>
              <w:pStyle w:val="36"/>
              <w:rPr>
                <w:shd w:val="clear" w:color="auto" w:fill="auto"/>
              </w:rPr>
            </w:pPr>
            <w:r>
              <w:rPr>
                <w:shd w:val="clear" w:color="auto" w:fill="auto"/>
              </w:rPr>
              <w:t>4</w:t>
            </w:r>
            <w:r>
              <w:rPr>
                <w:rFonts w:hint="eastAsia"/>
                <w:shd w:val="clear" w:color="auto" w:fill="auto"/>
              </w:rPr>
              <w:t>.</w:t>
            </w:r>
            <w:r>
              <w:rPr>
                <w:shd w:val="clear" w:color="auto" w:fill="auto"/>
              </w:rPr>
              <w:t>应规定测量原始记录的保存期限。</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1.原始记录格式是否有足够的信息。</w:t>
            </w:r>
          </w:p>
          <w:p>
            <w:pPr>
              <w:spacing w:line="240" w:lineRule="exact"/>
              <w:rPr>
                <w:rFonts w:asciiTheme="minorEastAsia" w:hAnsiTheme="minorEastAsia"/>
                <w:sz w:val="18"/>
                <w:szCs w:val="18"/>
              </w:rPr>
            </w:pPr>
            <w:r>
              <w:rPr>
                <w:rFonts w:asciiTheme="minorEastAsia" w:hAnsiTheme="minorEastAsia"/>
                <w:sz w:val="18"/>
                <w:szCs w:val="18"/>
              </w:rPr>
              <w:t>（2分）</w:t>
            </w:r>
          </w:p>
          <w:p>
            <w:pPr>
              <w:spacing w:line="240" w:lineRule="exact"/>
              <w:rPr>
                <w:rFonts w:asciiTheme="minorEastAsia" w:hAnsiTheme="minorEastAsia"/>
                <w:sz w:val="18"/>
                <w:szCs w:val="18"/>
              </w:rPr>
            </w:pPr>
            <w:r>
              <w:rPr>
                <w:rFonts w:asciiTheme="minorEastAsia" w:hAnsiTheme="minorEastAsia"/>
                <w:sz w:val="18"/>
                <w:szCs w:val="18"/>
              </w:rPr>
              <w:t>2.数据、结果是否有记录，记录是否保存。（2分）</w:t>
            </w:r>
          </w:p>
          <w:p>
            <w:pPr>
              <w:spacing w:line="240" w:lineRule="exact"/>
              <w:rPr>
                <w:rFonts w:asciiTheme="minorEastAsia" w:hAnsiTheme="minorEastAsia"/>
                <w:sz w:val="18"/>
                <w:szCs w:val="18"/>
              </w:rPr>
            </w:pPr>
            <w:r>
              <w:rPr>
                <w:rFonts w:asciiTheme="minorEastAsia" w:hAnsiTheme="minorEastAsia"/>
                <w:sz w:val="18"/>
                <w:szCs w:val="18"/>
              </w:rPr>
              <w:t>3.是否规定了保存期限。（1分）</w:t>
            </w:r>
          </w:p>
        </w:tc>
        <w:tc>
          <w:tcPr>
            <w:tcW w:w="2835"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761" w:type="dxa"/>
            <w:vAlign w:val="center"/>
          </w:tcPr>
          <w:p>
            <w:pPr>
              <w:spacing w:line="240" w:lineRule="exact"/>
              <w:jc w:val="center"/>
              <w:rPr>
                <w:sz w:val="18"/>
                <w:szCs w:val="18"/>
              </w:rPr>
            </w:pPr>
            <w:r>
              <w:rPr>
                <w:sz w:val="18"/>
                <w:szCs w:val="18"/>
              </w:rPr>
              <w:t>12</w:t>
            </w:r>
          </w:p>
        </w:tc>
        <w:tc>
          <w:tcPr>
            <w:tcW w:w="1366" w:type="dxa"/>
            <w:vAlign w:val="center"/>
          </w:tcPr>
          <w:p>
            <w:pPr>
              <w:spacing w:line="240" w:lineRule="exact"/>
              <w:jc w:val="center"/>
              <w:rPr>
                <w:sz w:val="18"/>
                <w:szCs w:val="18"/>
              </w:rPr>
            </w:pPr>
            <w:r>
              <w:rPr>
                <w:sz w:val="18"/>
                <w:szCs w:val="18"/>
              </w:rPr>
              <w:t>5.8测量结果（2分）</w:t>
            </w:r>
          </w:p>
        </w:tc>
        <w:tc>
          <w:tcPr>
            <w:tcW w:w="5244" w:type="dxa"/>
            <w:vAlign w:val="center"/>
          </w:tcPr>
          <w:p>
            <w:pPr>
              <w:pStyle w:val="36"/>
              <w:rPr>
                <w:shd w:val="clear" w:color="auto" w:fill="auto"/>
              </w:rPr>
            </w:pPr>
            <w:r>
              <w:rPr>
                <w:shd w:val="clear" w:color="auto" w:fill="auto"/>
              </w:rPr>
              <w:t>1</w:t>
            </w:r>
            <w:r>
              <w:rPr>
                <w:rFonts w:hint="eastAsia"/>
                <w:shd w:val="clear" w:color="auto" w:fill="auto"/>
              </w:rPr>
              <w:t>.</w:t>
            </w:r>
            <w:r>
              <w:rPr>
                <w:shd w:val="clear" w:color="auto" w:fill="auto"/>
              </w:rPr>
              <w:t>应准确、清晰、明确和客观的向客户告知测量结果，测量结果应符合标准/规范/规程或规定的要求。</w:t>
            </w:r>
          </w:p>
          <w:p>
            <w:pPr>
              <w:pStyle w:val="36"/>
              <w:rPr>
                <w:shd w:val="clear" w:color="auto" w:fill="auto"/>
              </w:rPr>
            </w:pPr>
            <w:r>
              <w:rPr>
                <w:shd w:val="clear" w:color="auto" w:fill="auto"/>
              </w:rPr>
              <w:t>2</w:t>
            </w:r>
            <w:r>
              <w:rPr>
                <w:rFonts w:hint="eastAsia"/>
                <w:shd w:val="clear" w:color="auto" w:fill="auto"/>
              </w:rPr>
              <w:t>.</w:t>
            </w:r>
            <w:r>
              <w:rPr>
                <w:shd w:val="clear" w:color="auto" w:fill="auto"/>
              </w:rPr>
              <w:t>当称重计量设备故障导致不能出具结果和数据时，应制定相应的应对方案。</w:t>
            </w:r>
          </w:p>
        </w:tc>
        <w:tc>
          <w:tcPr>
            <w:tcW w:w="3402" w:type="dxa"/>
            <w:vAlign w:val="center"/>
          </w:tcPr>
          <w:p>
            <w:pPr>
              <w:pStyle w:val="36"/>
              <w:rPr>
                <w:shd w:val="clear" w:color="auto" w:fill="auto"/>
              </w:rPr>
            </w:pPr>
            <w:r>
              <w:rPr>
                <w:shd w:val="clear" w:color="auto" w:fill="auto"/>
              </w:rPr>
              <w:t>1.是否有测量结果管理程序文件，对不能出具结果等事项作出规定。</w:t>
            </w:r>
            <w:r>
              <w:t>（1分）</w:t>
            </w:r>
          </w:p>
          <w:p>
            <w:pPr>
              <w:pStyle w:val="36"/>
              <w:rPr>
                <w:shd w:val="clear" w:color="auto" w:fill="auto"/>
              </w:rPr>
            </w:pPr>
            <w:r>
              <w:rPr>
                <w:shd w:val="clear" w:color="auto" w:fill="auto"/>
              </w:rPr>
              <w:t>2.是否有设备故障时的预案。</w:t>
            </w:r>
          </w:p>
          <w:p>
            <w:pPr>
              <w:pStyle w:val="36"/>
            </w:pPr>
            <w:r>
              <w:rPr>
                <w:shd w:val="clear" w:color="auto" w:fill="auto"/>
              </w:rPr>
              <w:t>（1分）</w:t>
            </w:r>
          </w:p>
        </w:tc>
        <w:tc>
          <w:tcPr>
            <w:tcW w:w="2835"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bl>
    <w:p>
      <w:pPr>
        <w:spacing w:before="312" w:beforeLines="100" w:after="156" w:afterLines="50"/>
        <w:ind w:left="23"/>
        <w:rPr>
          <w:rFonts w:ascii="Arial" w:hAnsi="Arial" w:eastAsia="黑体" w:cs="宋体"/>
          <w:kern w:val="0"/>
          <w:szCs w:val="21"/>
        </w:rPr>
      </w:pPr>
      <w:r>
        <w:rPr>
          <w:rFonts w:hint="eastAsia" w:ascii="Arial" w:hAnsi="Arial" w:eastAsia="黑体" w:cs="宋体"/>
          <w:kern w:val="0"/>
          <w:szCs w:val="21"/>
        </w:rPr>
        <w:t>6</w:t>
      </w:r>
      <w:r>
        <w:rPr>
          <w:rFonts w:ascii="Arial" w:hAnsi="Arial" w:eastAsia="黑体" w:cs="宋体"/>
          <w:kern w:val="0"/>
          <w:szCs w:val="21"/>
        </w:rPr>
        <w:t xml:space="preserve"> </w:t>
      </w:r>
      <w:r>
        <w:rPr>
          <w:rFonts w:hint="eastAsia" w:ascii="Arial" w:hAnsi="Arial" w:eastAsia="黑体" w:cs="宋体"/>
          <w:kern w:val="0"/>
          <w:szCs w:val="21"/>
        </w:rPr>
        <w:t>管理要求（总分20分）</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92"/>
        <w:gridCol w:w="5244"/>
        <w:gridCol w:w="3402"/>
        <w:gridCol w:w="2268"/>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5" w:type="dxa"/>
            <w:vAlign w:val="center"/>
          </w:tcPr>
          <w:p>
            <w:pPr>
              <w:spacing w:line="240" w:lineRule="exact"/>
              <w:jc w:val="center"/>
              <w:rPr>
                <w:sz w:val="18"/>
                <w:szCs w:val="18"/>
              </w:rPr>
            </w:pPr>
            <w:r>
              <w:rPr>
                <w:sz w:val="18"/>
                <w:szCs w:val="18"/>
              </w:rPr>
              <w:t>序号</w:t>
            </w:r>
          </w:p>
        </w:tc>
        <w:tc>
          <w:tcPr>
            <w:tcW w:w="1392" w:type="dxa"/>
            <w:vAlign w:val="center"/>
          </w:tcPr>
          <w:p>
            <w:pPr>
              <w:spacing w:line="240" w:lineRule="exact"/>
              <w:jc w:val="center"/>
              <w:rPr>
                <w:sz w:val="18"/>
                <w:szCs w:val="18"/>
              </w:rPr>
            </w:pPr>
            <w:r>
              <w:rPr>
                <w:sz w:val="18"/>
                <w:szCs w:val="18"/>
              </w:rPr>
              <w:t>标准条款</w:t>
            </w:r>
          </w:p>
        </w:tc>
        <w:tc>
          <w:tcPr>
            <w:tcW w:w="5244" w:type="dxa"/>
            <w:vAlign w:val="center"/>
          </w:tcPr>
          <w:p>
            <w:pPr>
              <w:spacing w:line="240" w:lineRule="exact"/>
              <w:jc w:val="center"/>
              <w:rPr>
                <w:sz w:val="18"/>
                <w:szCs w:val="18"/>
              </w:rPr>
            </w:pPr>
            <w:r>
              <w:rPr>
                <w:sz w:val="18"/>
                <w:szCs w:val="18"/>
              </w:rPr>
              <w:t>诚信计量要求</w:t>
            </w:r>
          </w:p>
        </w:tc>
        <w:tc>
          <w:tcPr>
            <w:tcW w:w="3402" w:type="dxa"/>
            <w:vAlign w:val="center"/>
          </w:tcPr>
          <w:p>
            <w:pPr>
              <w:spacing w:line="240" w:lineRule="exact"/>
              <w:jc w:val="center"/>
              <w:rPr>
                <w:sz w:val="18"/>
                <w:szCs w:val="18"/>
              </w:rPr>
            </w:pPr>
            <w:r>
              <w:rPr>
                <w:sz w:val="18"/>
                <w:szCs w:val="18"/>
              </w:rPr>
              <w:t>评价方法</w:t>
            </w:r>
          </w:p>
        </w:tc>
        <w:tc>
          <w:tcPr>
            <w:tcW w:w="2268" w:type="dxa"/>
            <w:vAlign w:val="center"/>
          </w:tcPr>
          <w:p>
            <w:pPr>
              <w:spacing w:line="240" w:lineRule="exact"/>
              <w:jc w:val="center"/>
              <w:rPr>
                <w:sz w:val="18"/>
                <w:szCs w:val="18"/>
              </w:rPr>
            </w:pPr>
            <w:r>
              <w:rPr>
                <w:sz w:val="18"/>
                <w:szCs w:val="18"/>
              </w:rPr>
              <w:t>评价记录</w:t>
            </w:r>
          </w:p>
        </w:tc>
        <w:tc>
          <w:tcPr>
            <w:tcW w:w="924" w:type="dxa"/>
            <w:vAlign w:val="center"/>
          </w:tcPr>
          <w:p>
            <w:pPr>
              <w:spacing w:line="240" w:lineRule="exact"/>
              <w:jc w:val="center"/>
              <w:rPr>
                <w:sz w:val="18"/>
                <w:szCs w:val="18"/>
              </w:rPr>
            </w:pPr>
            <w:r>
              <w:rPr>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2" w:hRule="atLeast"/>
          <w:tblHeader/>
        </w:trPr>
        <w:tc>
          <w:tcPr>
            <w:tcW w:w="735" w:type="dxa"/>
            <w:vAlign w:val="center"/>
          </w:tcPr>
          <w:p>
            <w:pPr>
              <w:spacing w:line="240" w:lineRule="exact"/>
              <w:jc w:val="center"/>
              <w:rPr>
                <w:sz w:val="18"/>
                <w:szCs w:val="18"/>
              </w:rPr>
            </w:pPr>
            <w:r>
              <w:rPr>
                <w:sz w:val="18"/>
                <w:szCs w:val="18"/>
              </w:rPr>
              <w:t>13</w:t>
            </w:r>
          </w:p>
        </w:tc>
        <w:tc>
          <w:tcPr>
            <w:tcW w:w="1392" w:type="dxa"/>
            <w:vAlign w:val="center"/>
          </w:tcPr>
          <w:p>
            <w:pPr>
              <w:spacing w:line="240" w:lineRule="exact"/>
              <w:rPr>
                <w:rFonts w:cs="宋体"/>
                <w:kern w:val="0"/>
                <w:sz w:val="18"/>
                <w:szCs w:val="18"/>
              </w:rPr>
            </w:pPr>
            <w:r>
              <w:rPr>
                <w:rFonts w:cs="宋体"/>
                <w:kern w:val="0"/>
                <w:sz w:val="18"/>
                <w:szCs w:val="18"/>
              </w:rPr>
              <w:t>6.1管理者职责</w:t>
            </w:r>
          </w:p>
          <w:p>
            <w:pPr>
              <w:spacing w:line="240" w:lineRule="exact"/>
              <w:jc w:val="center"/>
              <w:rPr>
                <w:rFonts w:cs="宋体"/>
                <w:kern w:val="0"/>
                <w:sz w:val="18"/>
                <w:szCs w:val="18"/>
              </w:rPr>
            </w:pPr>
            <w:r>
              <w:rPr>
                <w:sz w:val="18"/>
                <w:szCs w:val="18"/>
              </w:rPr>
              <w:t>（3分）</w:t>
            </w:r>
          </w:p>
        </w:tc>
        <w:tc>
          <w:tcPr>
            <w:tcW w:w="5244" w:type="dxa"/>
            <w:vAlign w:val="center"/>
          </w:tcPr>
          <w:p>
            <w:pPr>
              <w:spacing w:line="240" w:lineRule="exact"/>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w:t>
            </w:r>
            <w:r>
              <w:rPr>
                <w:rFonts w:asciiTheme="minorEastAsia" w:hAnsiTheme="minorEastAsia"/>
                <w:sz w:val="18"/>
                <w:szCs w:val="18"/>
              </w:rPr>
              <w:t>最高管理者策划、建立、实施并改进诚信计量管理体系。</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w:t>
            </w:r>
            <w:r>
              <w:rPr>
                <w:rFonts w:asciiTheme="minorEastAsia" w:hAnsiTheme="minorEastAsia"/>
                <w:sz w:val="18"/>
                <w:szCs w:val="18"/>
              </w:rPr>
              <w:t>明确诚信计量工作有关组织结构、部门设置、岗位职责及相互关系，明确各实施过程及其相互衔接,管理内部诚信计量信息、处理相关方投诉，以及建立执行、保障和监督的协调机制等。</w:t>
            </w:r>
          </w:p>
        </w:tc>
        <w:tc>
          <w:tcPr>
            <w:tcW w:w="3402" w:type="dxa"/>
            <w:vAlign w:val="center"/>
          </w:tcPr>
          <w:p>
            <w:pPr>
              <w:pStyle w:val="34"/>
              <w:numPr>
                <w:ilvl w:val="0"/>
                <w:numId w:val="0"/>
              </w:numPr>
              <w:spacing w:line="240" w:lineRule="exact"/>
              <w:ind w:left="418" w:hanging="417" w:hangingChars="232"/>
              <w:rPr>
                <w:rFonts w:asciiTheme="minorEastAsia" w:hAnsiTheme="minorEastAsia" w:eastAsiaTheme="minorEastAsia"/>
                <w:kern w:val="2"/>
                <w:sz w:val="18"/>
                <w:szCs w:val="18"/>
              </w:rPr>
            </w:pPr>
            <w:r>
              <w:rPr>
                <w:rFonts w:asciiTheme="minorEastAsia" w:hAnsiTheme="minorEastAsia" w:eastAsiaTheme="minorEastAsia"/>
                <w:kern w:val="2"/>
                <w:sz w:val="18"/>
                <w:szCs w:val="18"/>
              </w:rPr>
              <w:t>1.是否建立了诚信计量管理体系。（2分）</w:t>
            </w:r>
          </w:p>
          <w:p>
            <w:pPr>
              <w:pStyle w:val="34"/>
              <w:numPr>
                <w:ilvl w:val="0"/>
                <w:numId w:val="0"/>
              </w:numPr>
              <w:spacing w:line="240" w:lineRule="exact"/>
              <w:rPr>
                <w:rFonts w:asciiTheme="minorEastAsia" w:hAnsiTheme="minorEastAsia" w:eastAsiaTheme="minorEastAsia"/>
                <w:kern w:val="2"/>
                <w:sz w:val="18"/>
                <w:szCs w:val="18"/>
              </w:rPr>
            </w:pPr>
            <w:r>
              <w:rPr>
                <w:rFonts w:asciiTheme="minorEastAsia" w:hAnsiTheme="minorEastAsia" w:eastAsiaTheme="minorEastAsia"/>
                <w:kern w:val="2"/>
                <w:sz w:val="18"/>
                <w:szCs w:val="18"/>
              </w:rPr>
              <w:t>2.是否明确了有关诚信计量工作的主管领导、组织机构、部门设置、岗位职责、权限及相互关系。（1分）</w:t>
            </w:r>
          </w:p>
        </w:tc>
        <w:tc>
          <w:tcPr>
            <w:tcW w:w="2268" w:type="dxa"/>
            <w:vAlign w:val="center"/>
          </w:tcPr>
          <w:p>
            <w:pPr>
              <w:spacing w:line="240" w:lineRule="exact"/>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blHeader/>
        </w:trPr>
        <w:tc>
          <w:tcPr>
            <w:tcW w:w="735" w:type="dxa"/>
            <w:vAlign w:val="center"/>
          </w:tcPr>
          <w:p>
            <w:pPr>
              <w:spacing w:line="240" w:lineRule="exact"/>
              <w:jc w:val="center"/>
              <w:rPr>
                <w:sz w:val="18"/>
                <w:szCs w:val="18"/>
              </w:rPr>
            </w:pPr>
            <w:r>
              <w:rPr>
                <w:sz w:val="18"/>
                <w:szCs w:val="18"/>
              </w:rPr>
              <w:t>14</w:t>
            </w:r>
          </w:p>
        </w:tc>
        <w:tc>
          <w:tcPr>
            <w:tcW w:w="1392" w:type="dxa"/>
            <w:vAlign w:val="center"/>
          </w:tcPr>
          <w:p>
            <w:pPr>
              <w:spacing w:line="240" w:lineRule="exact"/>
              <w:rPr>
                <w:sz w:val="18"/>
                <w:szCs w:val="18"/>
              </w:rPr>
            </w:pPr>
            <w:r>
              <w:rPr>
                <w:sz w:val="18"/>
                <w:szCs w:val="18"/>
              </w:rPr>
              <w:t>6.2管理体系文件（3分）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应将政策、制度、计划、程序和作业指导书等制定成文件，管理体系文件应包括但不限于城信计量方针和目标、公开承诺、管理手册、程序文件、记录等。并保证诚信管理体系有效实施。</w:t>
            </w:r>
          </w:p>
        </w:tc>
        <w:tc>
          <w:tcPr>
            <w:tcW w:w="3402" w:type="dxa"/>
            <w:vAlign w:val="center"/>
          </w:tcPr>
          <w:p>
            <w:pPr>
              <w:widowControl/>
              <w:spacing w:line="240" w:lineRule="exact"/>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.是否制定了</w:t>
            </w:r>
            <w:r>
              <w:rPr>
                <w:rFonts w:hint="eastAsia" w:asciiTheme="minorEastAsia" w:hAnsiTheme="minorEastAsia"/>
                <w:sz w:val="18"/>
                <w:szCs w:val="18"/>
                <w:lang w:eastAsia="zh"/>
              </w:rPr>
              <w:t>管理</w:t>
            </w:r>
            <w:r>
              <w:rPr>
                <w:rFonts w:asciiTheme="minorEastAsia" w:hAnsiTheme="minorEastAsia"/>
                <w:sz w:val="18"/>
                <w:szCs w:val="18"/>
              </w:rPr>
              <w:t>体系文件。（2分）</w:t>
            </w:r>
          </w:p>
          <w:p>
            <w:pPr>
              <w:widowControl/>
              <w:spacing w:line="240" w:lineRule="exact"/>
              <w:rPr>
                <w:rFonts w:asciiTheme="minorEastAsia" w:hAnsiTheme="minorEastAsia"/>
                <w:sz w:val="18"/>
                <w:szCs w:val="18"/>
              </w:rPr>
            </w:pPr>
            <w:r>
              <w:rPr>
                <w:rFonts w:asciiTheme="minorEastAsia" w:hAnsiTheme="minorEastAsia"/>
                <w:sz w:val="18"/>
                <w:szCs w:val="18"/>
              </w:rPr>
              <w:t>2.是否有宣贯记录。（1分）</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2" w:hRule="atLeast"/>
          <w:tblHeader/>
        </w:trPr>
        <w:tc>
          <w:tcPr>
            <w:tcW w:w="735" w:type="dxa"/>
            <w:vAlign w:val="center"/>
          </w:tcPr>
          <w:p>
            <w:pPr>
              <w:spacing w:line="240" w:lineRule="exact"/>
              <w:jc w:val="center"/>
              <w:rPr>
                <w:sz w:val="18"/>
                <w:szCs w:val="18"/>
              </w:rPr>
            </w:pPr>
            <w:r>
              <w:rPr>
                <w:sz w:val="18"/>
                <w:szCs w:val="18"/>
              </w:rPr>
              <w:t>15</w:t>
            </w:r>
          </w:p>
        </w:tc>
        <w:tc>
          <w:tcPr>
            <w:tcW w:w="1392" w:type="dxa"/>
            <w:vAlign w:val="center"/>
          </w:tcPr>
          <w:p>
            <w:pPr>
              <w:spacing w:line="240" w:lineRule="exact"/>
              <w:rPr>
                <w:sz w:val="18"/>
                <w:szCs w:val="18"/>
              </w:rPr>
            </w:pPr>
            <w:r>
              <w:rPr>
                <w:sz w:val="18"/>
                <w:szCs w:val="18"/>
              </w:rPr>
              <w:t>6.3 文件控制</w:t>
            </w:r>
          </w:p>
          <w:p>
            <w:pPr>
              <w:spacing w:line="240" w:lineRule="exact"/>
              <w:jc w:val="center"/>
              <w:rPr>
                <w:sz w:val="18"/>
                <w:szCs w:val="18"/>
              </w:rPr>
            </w:pPr>
            <w:r>
              <w:rPr>
                <w:sz w:val="18"/>
                <w:szCs w:val="18"/>
              </w:rPr>
              <w:t>（3分）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应控制和管理诚信计量管理体系所要求的文件（含内部和外部），包括法律法规、规章、政策声明、标准、规程、规范、规则和方法、制造商的说明书、指导书和手册、程序文件、计划等。</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1.是否制定了文件控制程序。（2分）</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是否</w:t>
            </w:r>
            <w:r>
              <w:rPr>
                <w:rFonts w:asciiTheme="minorEastAsia" w:hAnsiTheme="minorEastAsia"/>
                <w:sz w:val="18"/>
                <w:szCs w:val="18"/>
              </w:rPr>
              <w:t>有相</w:t>
            </w:r>
            <w:r>
              <w:rPr>
                <w:rFonts w:hint="eastAsia" w:asciiTheme="minorEastAsia" w:hAnsiTheme="minorEastAsia"/>
                <w:sz w:val="18"/>
                <w:szCs w:val="18"/>
              </w:rPr>
              <w:t>应实施记录</w:t>
            </w:r>
            <w:r>
              <w:rPr>
                <w:rFonts w:asciiTheme="minorEastAsia" w:hAnsiTheme="minorEastAsia"/>
                <w:sz w:val="18"/>
                <w:szCs w:val="18"/>
              </w:rPr>
              <w:t>。（1分）</w:t>
            </w:r>
          </w:p>
        </w:tc>
        <w:tc>
          <w:tcPr>
            <w:tcW w:w="2268" w:type="dxa"/>
            <w:vAlign w:val="center"/>
          </w:tcPr>
          <w:p>
            <w:pPr>
              <w:spacing w:line="240" w:lineRule="exact"/>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blHeader/>
        </w:trPr>
        <w:tc>
          <w:tcPr>
            <w:tcW w:w="735" w:type="dxa"/>
            <w:vAlign w:val="center"/>
          </w:tcPr>
          <w:p>
            <w:pPr>
              <w:spacing w:line="240" w:lineRule="exact"/>
              <w:jc w:val="center"/>
              <w:rPr>
                <w:sz w:val="18"/>
                <w:szCs w:val="18"/>
              </w:rPr>
            </w:pPr>
            <w:r>
              <w:rPr>
                <w:sz w:val="18"/>
                <w:szCs w:val="18"/>
              </w:rPr>
              <w:t>16</w:t>
            </w:r>
          </w:p>
        </w:tc>
        <w:tc>
          <w:tcPr>
            <w:tcW w:w="1392" w:type="dxa"/>
            <w:vAlign w:val="center"/>
          </w:tcPr>
          <w:p>
            <w:pPr>
              <w:spacing w:line="240" w:lineRule="exact"/>
              <w:rPr>
                <w:sz w:val="18"/>
                <w:szCs w:val="18"/>
              </w:rPr>
            </w:pPr>
            <w:r>
              <w:rPr>
                <w:sz w:val="18"/>
                <w:szCs w:val="18"/>
              </w:rPr>
              <w:t>6.4 记录控制</w:t>
            </w:r>
          </w:p>
          <w:p>
            <w:pPr>
              <w:spacing w:line="240" w:lineRule="exact"/>
              <w:jc w:val="center"/>
              <w:rPr>
                <w:sz w:val="18"/>
                <w:szCs w:val="18"/>
              </w:rPr>
            </w:pPr>
            <w:r>
              <w:rPr>
                <w:sz w:val="18"/>
                <w:szCs w:val="18"/>
              </w:rPr>
              <w:t>（3分）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应建立和保持识别、收集、检索、存取、存档、存放、维护和清理记录的程序，以提供诚信计量管理体系有效运行的证据。对记录调阅应作出规定。</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1.是否制定了文件控制程序。（2分）</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是否</w:t>
            </w:r>
            <w:r>
              <w:rPr>
                <w:rFonts w:asciiTheme="minorEastAsia" w:hAnsiTheme="minorEastAsia"/>
                <w:sz w:val="18"/>
                <w:szCs w:val="18"/>
              </w:rPr>
              <w:t>有相</w:t>
            </w:r>
            <w:r>
              <w:rPr>
                <w:rFonts w:hint="eastAsia" w:asciiTheme="minorEastAsia" w:hAnsiTheme="minorEastAsia"/>
                <w:sz w:val="18"/>
                <w:szCs w:val="18"/>
              </w:rPr>
              <w:t>应实施记录</w:t>
            </w:r>
            <w:r>
              <w:rPr>
                <w:rFonts w:asciiTheme="minorEastAsia" w:hAnsiTheme="minorEastAsia"/>
                <w:sz w:val="18"/>
                <w:szCs w:val="18"/>
              </w:rPr>
              <w:t>。（1分）</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3" w:hRule="atLeast"/>
          <w:tblHeader/>
        </w:trPr>
        <w:tc>
          <w:tcPr>
            <w:tcW w:w="735" w:type="dxa"/>
            <w:vAlign w:val="center"/>
          </w:tcPr>
          <w:p>
            <w:pPr>
              <w:spacing w:line="240" w:lineRule="exact"/>
              <w:jc w:val="center"/>
              <w:rPr>
                <w:sz w:val="18"/>
                <w:szCs w:val="18"/>
              </w:rPr>
            </w:pPr>
            <w:r>
              <w:rPr>
                <w:sz w:val="18"/>
                <w:szCs w:val="18"/>
              </w:rPr>
              <w:t>17</w:t>
            </w:r>
          </w:p>
        </w:tc>
        <w:tc>
          <w:tcPr>
            <w:tcW w:w="1392" w:type="dxa"/>
            <w:vAlign w:val="center"/>
          </w:tcPr>
          <w:p>
            <w:pPr>
              <w:spacing w:line="240" w:lineRule="exact"/>
              <w:jc w:val="center"/>
              <w:rPr>
                <w:sz w:val="18"/>
                <w:szCs w:val="18"/>
              </w:rPr>
            </w:pPr>
            <w:r>
              <w:rPr>
                <w:sz w:val="18"/>
                <w:szCs w:val="18"/>
              </w:rPr>
              <w:t>6.5信息交流和控制（3分）</w:t>
            </w:r>
          </w:p>
        </w:tc>
        <w:tc>
          <w:tcPr>
            <w:tcW w:w="5244" w:type="dxa"/>
            <w:vAlign w:val="center"/>
          </w:tcPr>
          <w:p>
            <w:pPr>
              <w:widowControl/>
              <w:spacing w:line="240" w:lineRule="exact"/>
              <w:ind w:firstLine="180" w:firstLineChars="100"/>
              <w:jc w:val="left"/>
              <w:rPr>
                <w:rFonts w:asciiTheme="minorEastAsia" w:hAnsiTheme="minorEastAsia"/>
                <w:sz w:val="18"/>
                <w:szCs w:val="18"/>
              </w:rPr>
            </w:pPr>
            <w:r>
              <w:rPr>
                <w:rFonts w:asciiTheme="minorEastAsia" w:hAnsiTheme="minorEastAsia"/>
                <w:sz w:val="18"/>
                <w:szCs w:val="18"/>
              </w:rPr>
              <w:t>应建立、实施并保持诚信计量信息交流和控制的程序，规定内部、外部计量信息的交流内容、形式、范围，规范诚信计量信息的接收、传递和处理，确保诚信计量信息的真实、客观、全面、合法合规、可识别和可追溯。</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1.是否制定了文件控制程序。（2分）</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是否</w:t>
            </w:r>
            <w:r>
              <w:rPr>
                <w:rFonts w:asciiTheme="minorEastAsia" w:hAnsiTheme="minorEastAsia"/>
                <w:sz w:val="18"/>
                <w:szCs w:val="18"/>
              </w:rPr>
              <w:t>有相</w:t>
            </w:r>
            <w:r>
              <w:rPr>
                <w:rFonts w:hint="eastAsia" w:asciiTheme="minorEastAsia" w:hAnsiTheme="minorEastAsia"/>
                <w:sz w:val="18"/>
                <w:szCs w:val="18"/>
              </w:rPr>
              <w:t>应实施记录</w:t>
            </w:r>
            <w:r>
              <w:rPr>
                <w:rFonts w:asciiTheme="minorEastAsia" w:hAnsiTheme="minorEastAsia"/>
                <w:sz w:val="18"/>
                <w:szCs w:val="18"/>
              </w:rPr>
              <w:t>。（1分）</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atLeast"/>
          <w:tblHeader/>
        </w:trPr>
        <w:tc>
          <w:tcPr>
            <w:tcW w:w="735" w:type="dxa"/>
            <w:vAlign w:val="center"/>
          </w:tcPr>
          <w:p>
            <w:pPr>
              <w:spacing w:line="240" w:lineRule="exact"/>
              <w:jc w:val="center"/>
              <w:rPr>
                <w:sz w:val="18"/>
                <w:szCs w:val="18"/>
              </w:rPr>
            </w:pPr>
            <w:r>
              <w:rPr>
                <w:sz w:val="18"/>
                <w:szCs w:val="18"/>
              </w:rPr>
              <w:t>18</w:t>
            </w:r>
          </w:p>
        </w:tc>
        <w:tc>
          <w:tcPr>
            <w:tcW w:w="1392" w:type="dxa"/>
            <w:vAlign w:val="center"/>
          </w:tcPr>
          <w:p>
            <w:pPr>
              <w:spacing w:line="240" w:lineRule="exact"/>
              <w:rPr>
                <w:sz w:val="18"/>
                <w:szCs w:val="18"/>
              </w:rPr>
            </w:pPr>
            <w:r>
              <w:rPr>
                <w:sz w:val="18"/>
                <w:szCs w:val="18"/>
              </w:rPr>
              <w:t>6.6风险管理</w:t>
            </w:r>
          </w:p>
          <w:p>
            <w:pPr>
              <w:spacing w:line="240" w:lineRule="exact"/>
              <w:jc w:val="center"/>
              <w:rPr>
                <w:sz w:val="18"/>
                <w:szCs w:val="18"/>
              </w:rPr>
            </w:pPr>
            <w:r>
              <w:rPr>
                <w:sz w:val="18"/>
                <w:szCs w:val="18"/>
              </w:rPr>
              <w:t>（3分）</w:t>
            </w:r>
          </w:p>
        </w:tc>
        <w:tc>
          <w:tcPr>
            <w:tcW w:w="5244" w:type="dxa"/>
            <w:vAlign w:val="center"/>
          </w:tcPr>
          <w:p>
            <w:pPr>
              <w:pStyle w:val="16"/>
              <w:spacing w:line="240" w:lineRule="exact"/>
              <w:ind w:firstLine="180" w:firstLineChars="100"/>
              <w:rPr>
                <w:rFonts w:asciiTheme="minorEastAsia" w:hAnsiTheme="minorEastAsia" w:eastAsiaTheme="minorEastAsia"/>
                <w:kern w:val="2"/>
                <w:sz w:val="18"/>
                <w:szCs w:val="18"/>
              </w:rPr>
            </w:pPr>
            <w:r>
              <w:rPr>
                <w:rFonts w:asciiTheme="minorEastAsia" w:hAnsiTheme="minorEastAsia" w:eastAsiaTheme="minorEastAsia"/>
                <w:kern w:val="2"/>
                <w:sz w:val="18"/>
                <w:szCs w:val="18"/>
              </w:rPr>
              <w:t>应制定风险管理程序，其内容包括但不限于政策风险、产品风险、经营风险、舆情风险等，应制定应对风险的预警、预防、纠正措施等控制措施。</w:t>
            </w:r>
          </w:p>
        </w:tc>
        <w:tc>
          <w:tcPr>
            <w:tcW w:w="3402" w:type="dxa"/>
            <w:vAlign w:val="center"/>
          </w:tcPr>
          <w:p>
            <w:pPr>
              <w:widowControl/>
              <w:snapToGrid w:val="0"/>
              <w:spacing w:line="240" w:lineRule="exact"/>
              <w:rPr>
                <w:rFonts w:asciiTheme="minorEastAsia" w:hAnsiTheme="minorEastAsia"/>
                <w:sz w:val="18"/>
                <w:szCs w:val="18"/>
              </w:rPr>
            </w:pPr>
            <w:r>
              <w:rPr>
                <w:rFonts w:asciiTheme="minorEastAsia" w:hAnsiTheme="minorEastAsia"/>
                <w:sz w:val="18"/>
                <w:szCs w:val="18"/>
              </w:rPr>
              <w:t>1.是否制定了风险管理程序文件。是否有风险的预警、预防、纠正措施等控制措施。（2分）</w:t>
            </w:r>
          </w:p>
          <w:p>
            <w:pPr>
              <w:spacing w:line="240" w:lineRule="exact"/>
              <w:rPr>
                <w:rFonts w:asciiTheme="minorEastAsia" w:hAnsiTheme="minorEastAsia"/>
                <w:sz w:val="18"/>
                <w:szCs w:val="18"/>
              </w:rPr>
            </w:pPr>
            <w:r>
              <w:rPr>
                <w:rFonts w:asciiTheme="minorEastAsia" w:hAnsiTheme="minorEastAsia"/>
                <w:sz w:val="18"/>
                <w:szCs w:val="18"/>
              </w:rPr>
              <w:t>2.是否有相应的实施记录。（1分）</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6" w:hRule="atLeast"/>
          <w:tblHeader/>
        </w:trPr>
        <w:tc>
          <w:tcPr>
            <w:tcW w:w="735" w:type="dxa"/>
            <w:vAlign w:val="center"/>
          </w:tcPr>
          <w:p>
            <w:pPr>
              <w:spacing w:line="240" w:lineRule="exact"/>
              <w:jc w:val="center"/>
              <w:rPr>
                <w:sz w:val="18"/>
                <w:szCs w:val="18"/>
              </w:rPr>
            </w:pPr>
            <w:r>
              <w:rPr>
                <w:sz w:val="18"/>
                <w:szCs w:val="18"/>
              </w:rPr>
              <w:t>19</w:t>
            </w:r>
          </w:p>
        </w:tc>
        <w:tc>
          <w:tcPr>
            <w:tcW w:w="1392" w:type="dxa"/>
            <w:vAlign w:val="center"/>
          </w:tcPr>
          <w:p>
            <w:pPr>
              <w:spacing w:line="240" w:lineRule="exact"/>
              <w:jc w:val="center"/>
              <w:rPr>
                <w:sz w:val="18"/>
                <w:szCs w:val="18"/>
              </w:rPr>
            </w:pPr>
            <w:r>
              <w:rPr>
                <w:sz w:val="18"/>
                <w:szCs w:val="18"/>
              </w:rPr>
              <w:t>6.7诚信文化建设（2分）</w:t>
            </w:r>
          </w:p>
        </w:tc>
        <w:tc>
          <w:tcPr>
            <w:tcW w:w="5244" w:type="dxa"/>
            <w:vAlign w:val="center"/>
          </w:tcPr>
          <w:p>
            <w:pPr>
              <w:pStyle w:val="16"/>
              <w:spacing w:line="240" w:lineRule="exact"/>
              <w:ind w:firstLine="180" w:firstLineChars="100"/>
              <w:rPr>
                <w:rFonts w:asciiTheme="minorEastAsia" w:hAnsiTheme="minorEastAsia" w:eastAsiaTheme="minorEastAsia"/>
                <w:kern w:val="2"/>
                <w:sz w:val="18"/>
                <w:szCs w:val="18"/>
              </w:rPr>
            </w:pPr>
            <w:r>
              <w:rPr>
                <w:rFonts w:asciiTheme="minorEastAsia" w:hAnsiTheme="minorEastAsia" w:eastAsiaTheme="minorEastAsia"/>
                <w:kern w:val="2"/>
                <w:sz w:val="18"/>
                <w:szCs w:val="18"/>
              </w:rPr>
              <w:t>应开展诚信计量文化建设，树立诚信理念，增强质量意识，关注品牌效应，履行社会承诺，参与诚信文化传播活动。开展与诚信计量管理体系有关的培训。</w:t>
            </w:r>
          </w:p>
        </w:tc>
        <w:tc>
          <w:tcPr>
            <w:tcW w:w="3402" w:type="dxa"/>
            <w:vAlign w:val="center"/>
          </w:tcPr>
          <w:p>
            <w:pPr>
              <w:widowControl/>
              <w:snapToGrid w:val="0"/>
              <w:spacing w:line="240" w:lineRule="exact"/>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是否制定了诚信文化建设程序文件。</w:t>
            </w:r>
          </w:p>
          <w:p>
            <w:pPr>
              <w:widowControl/>
              <w:snapToGrid w:val="0"/>
              <w:spacing w:line="240" w:lineRule="exact"/>
              <w:rPr>
                <w:rFonts w:asciiTheme="minorEastAsia" w:hAnsiTheme="minorEastAsia"/>
                <w:sz w:val="18"/>
                <w:szCs w:val="18"/>
              </w:rPr>
            </w:pPr>
            <w:r>
              <w:rPr>
                <w:rFonts w:hint="eastAsia" w:asciiTheme="minorEastAsia" w:hAnsiTheme="minorEastAsia"/>
                <w:sz w:val="18"/>
                <w:szCs w:val="18"/>
              </w:rPr>
              <w:t>（1分）</w:t>
            </w:r>
          </w:p>
          <w:p>
            <w:pPr>
              <w:widowControl/>
              <w:snapToGrid w:val="0"/>
              <w:spacing w:line="240" w:lineRule="exact"/>
              <w:rPr>
                <w:rFonts w:asciiTheme="minorEastAsia" w:hAnsiTheme="minorEastAsia"/>
                <w:sz w:val="18"/>
                <w:szCs w:val="18"/>
              </w:rPr>
            </w:pPr>
            <w:r>
              <w:rPr>
                <w:rFonts w:asciiTheme="minorEastAsia" w:hAnsiTheme="minorEastAsia"/>
                <w:sz w:val="18"/>
                <w:szCs w:val="18"/>
              </w:rPr>
              <w:t>2.是否有相应实施记录。（1分）</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bl>
    <w:p>
      <w:pPr>
        <w:spacing w:before="312" w:beforeLines="100" w:after="156" w:afterLines="50"/>
        <w:rPr>
          <w:rFonts w:ascii="黑体" w:hAnsi="黑体" w:eastAsia="黑体" w:cs="宋体"/>
          <w:kern w:val="0"/>
          <w:szCs w:val="21"/>
        </w:rPr>
      </w:pPr>
      <w:r>
        <w:rPr>
          <w:rFonts w:hint="eastAsia" w:ascii="黑体" w:hAnsi="黑体" w:eastAsia="黑体" w:cs="宋体"/>
          <w:kern w:val="0"/>
          <w:szCs w:val="21"/>
        </w:rPr>
        <w:t>7</w:t>
      </w:r>
      <w:r>
        <w:rPr>
          <w:rFonts w:ascii="黑体" w:hAnsi="黑体" w:eastAsia="黑体" w:cs="宋体"/>
          <w:kern w:val="0"/>
          <w:szCs w:val="21"/>
        </w:rPr>
        <w:t xml:space="preserve"> </w:t>
      </w:r>
      <w:r>
        <w:rPr>
          <w:rFonts w:hint="eastAsia" w:ascii="黑体" w:hAnsi="黑体" w:eastAsia="黑体" w:cs="宋体"/>
          <w:kern w:val="0"/>
          <w:szCs w:val="21"/>
        </w:rPr>
        <w:t>评价（总分15分）</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92"/>
        <w:gridCol w:w="5244"/>
        <w:gridCol w:w="3402"/>
        <w:gridCol w:w="2268"/>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5" w:type="dxa"/>
            <w:vAlign w:val="center"/>
          </w:tcPr>
          <w:p>
            <w:pPr>
              <w:spacing w:line="240" w:lineRule="exact"/>
              <w:jc w:val="center"/>
              <w:rPr>
                <w:sz w:val="18"/>
                <w:szCs w:val="18"/>
              </w:rPr>
            </w:pPr>
            <w:r>
              <w:rPr>
                <w:sz w:val="18"/>
                <w:szCs w:val="18"/>
              </w:rPr>
              <w:t>序号</w:t>
            </w:r>
          </w:p>
        </w:tc>
        <w:tc>
          <w:tcPr>
            <w:tcW w:w="1392" w:type="dxa"/>
            <w:vAlign w:val="center"/>
          </w:tcPr>
          <w:p>
            <w:pPr>
              <w:spacing w:line="240" w:lineRule="exact"/>
              <w:jc w:val="center"/>
              <w:rPr>
                <w:sz w:val="18"/>
                <w:szCs w:val="18"/>
              </w:rPr>
            </w:pPr>
            <w:r>
              <w:rPr>
                <w:sz w:val="18"/>
                <w:szCs w:val="18"/>
              </w:rPr>
              <w:t>标准条款</w:t>
            </w:r>
          </w:p>
        </w:tc>
        <w:tc>
          <w:tcPr>
            <w:tcW w:w="5244" w:type="dxa"/>
            <w:vAlign w:val="center"/>
          </w:tcPr>
          <w:p>
            <w:pPr>
              <w:spacing w:line="240" w:lineRule="exact"/>
              <w:jc w:val="center"/>
              <w:rPr>
                <w:sz w:val="18"/>
                <w:szCs w:val="18"/>
              </w:rPr>
            </w:pPr>
            <w:r>
              <w:rPr>
                <w:sz w:val="18"/>
                <w:szCs w:val="18"/>
              </w:rPr>
              <w:t>诚信计量要求</w:t>
            </w:r>
          </w:p>
        </w:tc>
        <w:tc>
          <w:tcPr>
            <w:tcW w:w="3402" w:type="dxa"/>
            <w:vAlign w:val="center"/>
          </w:tcPr>
          <w:p>
            <w:pPr>
              <w:spacing w:line="240" w:lineRule="exact"/>
              <w:jc w:val="center"/>
              <w:rPr>
                <w:sz w:val="18"/>
                <w:szCs w:val="18"/>
              </w:rPr>
            </w:pPr>
            <w:r>
              <w:rPr>
                <w:sz w:val="18"/>
                <w:szCs w:val="18"/>
              </w:rPr>
              <w:t>评价方法</w:t>
            </w:r>
          </w:p>
        </w:tc>
        <w:tc>
          <w:tcPr>
            <w:tcW w:w="2268" w:type="dxa"/>
            <w:vAlign w:val="center"/>
          </w:tcPr>
          <w:p>
            <w:pPr>
              <w:spacing w:line="240" w:lineRule="exact"/>
              <w:jc w:val="center"/>
              <w:rPr>
                <w:sz w:val="18"/>
                <w:szCs w:val="18"/>
              </w:rPr>
            </w:pPr>
            <w:r>
              <w:rPr>
                <w:sz w:val="18"/>
                <w:szCs w:val="18"/>
              </w:rPr>
              <w:t>评价记录</w:t>
            </w:r>
          </w:p>
        </w:tc>
        <w:tc>
          <w:tcPr>
            <w:tcW w:w="924" w:type="dxa"/>
            <w:vAlign w:val="center"/>
          </w:tcPr>
          <w:p>
            <w:pPr>
              <w:spacing w:line="240" w:lineRule="exact"/>
              <w:jc w:val="center"/>
              <w:rPr>
                <w:sz w:val="18"/>
                <w:szCs w:val="18"/>
              </w:rPr>
            </w:pPr>
            <w:r>
              <w:rPr>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blHeader/>
        </w:trPr>
        <w:tc>
          <w:tcPr>
            <w:tcW w:w="735" w:type="dxa"/>
            <w:vAlign w:val="center"/>
          </w:tcPr>
          <w:p>
            <w:pPr>
              <w:spacing w:line="240" w:lineRule="exact"/>
              <w:jc w:val="center"/>
              <w:rPr>
                <w:sz w:val="18"/>
                <w:szCs w:val="18"/>
              </w:rPr>
            </w:pPr>
            <w:r>
              <w:rPr>
                <w:sz w:val="18"/>
                <w:szCs w:val="18"/>
              </w:rPr>
              <w:t>20</w:t>
            </w:r>
          </w:p>
        </w:tc>
        <w:tc>
          <w:tcPr>
            <w:tcW w:w="1392" w:type="dxa"/>
            <w:vAlign w:val="center"/>
          </w:tcPr>
          <w:p>
            <w:pPr>
              <w:spacing w:line="240" w:lineRule="exact"/>
              <w:jc w:val="center"/>
              <w:rPr>
                <w:sz w:val="18"/>
                <w:szCs w:val="18"/>
              </w:rPr>
            </w:pPr>
            <w:r>
              <w:rPr>
                <w:sz w:val="18"/>
                <w:szCs w:val="18"/>
              </w:rPr>
              <w:t>7.1 监督和检查（5分）</w:t>
            </w:r>
          </w:p>
        </w:tc>
        <w:tc>
          <w:tcPr>
            <w:tcW w:w="5244" w:type="dxa"/>
            <w:vAlign w:val="center"/>
          </w:tcPr>
          <w:p>
            <w:pPr>
              <w:spacing w:line="240" w:lineRule="exact"/>
              <w:ind w:firstLine="180" w:firstLineChars="100"/>
              <w:rPr>
                <w:rFonts w:asciiTheme="minorEastAsia" w:hAnsiTheme="minorEastAsia"/>
                <w:sz w:val="18"/>
                <w:szCs w:val="18"/>
              </w:rPr>
            </w:pPr>
            <w:r>
              <w:rPr>
                <w:rFonts w:asciiTheme="minorEastAsia" w:hAnsiTheme="minorEastAsia"/>
                <w:sz w:val="18"/>
                <w:szCs w:val="18"/>
              </w:rPr>
              <w:t>应制定日常监督和检查工作程序，监督和检查诚信计量管理体系运行的各个过程和环节，建立防止偏离体系要求的机制。监督和检查的方式和时间间隔应适合本单位工作特点。</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1.是否制定了日常监督和检查工作程序文件。（3分）</w:t>
            </w:r>
          </w:p>
          <w:p>
            <w:pPr>
              <w:spacing w:line="240" w:lineRule="exact"/>
              <w:rPr>
                <w:rFonts w:asciiTheme="minorEastAsia" w:hAnsiTheme="minorEastAsia"/>
                <w:sz w:val="18"/>
                <w:szCs w:val="18"/>
              </w:rPr>
            </w:pPr>
            <w:r>
              <w:rPr>
                <w:rFonts w:asciiTheme="minorEastAsia" w:hAnsiTheme="minorEastAsia"/>
                <w:sz w:val="18"/>
                <w:szCs w:val="18"/>
              </w:rPr>
              <w:t>2.是否有相</w:t>
            </w:r>
            <w:r>
              <w:rPr>
                <w:rFonts w:hint="eastAsia" w:asciiTheme="minorEastAsia" w:hAnsiTheme="minorEastAsia"/>
                <w:sz w:val="18"/>
                <w:szCs w:val="18"/>
              </w:rPr>
              <w:t>应</w:t>
            </w:r>
            <w:r>
              <w:rPr>
                <w:rFonts w:asciiTheme="minorEastAsia" w:hAnsiTheme="minorEastAsia"/>
                <w:sz w:val="18"/>
                <w:szCs w:val="18"/>
              </w:rPr>
              <w:t>实施记录。（2分）</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0" w:hRule="atLeast"/>
          <w:tblHeader/>
        </w:trPr>
        <w:tc>
          <w:tcPr>
            <w:tcW w:w="735" w:type="dxa"/>
            <w:vAlign w:val="center"/>
          </w:tcPr>
          <w:p>
            <w:pPr>
              <w:spacing w:line="240" w:lineRule="exact"/>
              <w:jc w:val="center"/>
              <w:rPr>
                <w:sz w:val="18"/>
                <w:szCs w:val="18"/>
              </w:rPr>
            </w:pPr>
            <w:r>
              <w:rPr>
                <w:sz w:val="18"/>
                <w:szCs w:val="18"/>
              </w:rPr>
              <w:t>21</w:t>
            </w:r>
          </w:p>
        </w:tc>
        <w:tc>
          <w:tcPr>
            <w:tcW w:w="1392" w:type="dxa"/>
            <w:vAlign w:val="center"/>
          </w:tcPr>
          <w:p>
            <w:pPr>
              <w:spacing w:line="240" w:lineRule="exact"/>
              <w:jc w:val="center"/>
              <w:rPr>
                <w:sz w:val="18"/>
                <w:szCs w:val="18"/>
              </w:rPr>
            </w:pPr>
            <w:r>
              <w:rPr>
                <w:sz w:val="18"/>
                <w:szCs w:val="18"/>
              </w:rPr>
              <w:t>7.2客户投诉、满意度调查和承诺兑现</w:t>
            </w:r>
          </w:p>
          <w:p>
            <w:pPr>
              <w:spacing w:line="240" w:lineRule="exact"/>
              <w:jc w:val="center"/>
              <w:rPr>
                <w:sz w:val="18"/>
                <w:szCs w:val="18"/>
              </w:rPr>
            </w:pPr>
            <w:r>
              <w:rPr>
                <w:sz w:val="18"/>
                <w:szCs w:val="18"/>
              </w:rPr>
              <w:t>（5分）</w:t>
            </w:r>
          </w:p>
        </w:tc>
        <w:tc>
          <w:tcPr>
            <w:tcW w:w="5244" w:type="dxa"/>
            <w:vAlign w:val="center"/>
          </w:tcPr>
          <w:p>
            <w:pPr>
              <w:spacing w:line="240" w:lineRule="exact"/>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w:t>
            </w:r>
            <w:r>
              <w:rPr>
                <w:rFonts w:asciiTheme="minorEastAsia" w:hAnsiTheme="minorEastAsia"/>
                <w:sz w:val="18"/>
                <w:szCs w:val="18"/>
              </w:rPr>
              <w:t>应制定客户投诉管理程序。明确受理投诉机构，收集投诉信息，公开投诉电话，采取处理措施，保证投诉处理有效，并保存投诉处理记录。</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w:t>
            </w:r>
            <w:r>
              <w:rPr>
                <w:rFonts w:asciiTheme="minorEastAsia" w:hAnsiTheme="minorEastAsia"/>
                <w:sz w:val="18"/>
                <w:szCs w:val="18"/>
              </w:rPr>
              <w:t>应制定客户满意度调查程序，收集客户对服务是否满足要求的信息，规定调查方法和信息的分析、使用方法，改进诚信计量管理体系。</w:t>
            </w:r>
          </w:p>
          <w:p>
            <w:pPr>
              <w:spacing w:line="240" w:lineRule="exact"/>
              <w:rPr>
                <w:rFonts w:asciiTheme="minorEastAsia" w:hAnsiTheme="minorEastAsia"/>
                <w:sz w:val="18"/>
                <w:szCs w:val="18"/>
              </w:rPr>
            </w:pPr>
            <w:r>
              <w:rPr>
                <w:rFonts w:asciiTheme="minorEastAsia" w:hAnsiTheme="minorEastAsia"/>
                <w:sz w:val="18"/>
                <w:szCs w:val="18"/>
              </w:rPr>
              <w:t>3</w:t>
            </w:r>
            <w:r>
              <w:rPr>
                <w:rFonts w:hint="eastAsia" w:asciiTheme="minorEastAsia" w:hAnsiTheme="minorEastAsia"/>
                <w:sz w:val="18"/>
                <w:szCs w:val="18"/>
              </w:rPr>
              <w:t>.</w:t>
            </w:r>
            <w:r>
              <w:rPr>
                <w:rFonts w:asciiTheme="minorEastAsia" w:hAnsiTheme="minorEastAsia"/>
                <w:sz w:val="18"/>
                <w:szCs w:val="18"/>
              </w:rPr>
              <w:t>应制定诚信计量公开承诺履行评价程序，定期检查和评价诚信计量公开承诺的履行情况。</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1.是否制定了客户投诉程序文件。（1分）</w:t>
            </w:r>
          </w:p>
          <w:p>
            <w:pPr>
              <w:spacing w:line="240" w:lineRule="exact"/>
              <w:rPr>
                <w:rFonts w:asciiTheme="minorEastAsia" w:hAnsiTheme="minorEastAsia"/>
                <w:sz w:val="18"/>
                <w:szCs w:val="18"/>
              </w:rPr>
            </w:pPr>
            <w:r>
              <w:rPr>
                <w:rFonts w:asciiTheme="minorEastAsia" w:hAnsiTheme="minorEastAsia"/>
                <w:sz w:val="18"/>
                <w:szCs w:val="18"/>
              </w:rPr>
              <w:t>2.是否制定了客户满意度调查程序文件。（1分）</w:t>
            </w:r>
          </w:p>
          <w:p>
            <w:pPr>
              <w:spacing w:line="240" w:lineRule="exact"/>
              <w:rPr>
                <w:rFonts w:asciiTheme="minorEastAsia" w:hAnsiTheme="minorEastAsia"/>
                <w:sz w:val="18"/>
                <w:szCs w:val="18"/>
              </w:rPr>
            </w:pPr>
            <w:r>
              <w:rPr>
                <w:rFonts w:asciiTheme="minorEastAsia" w:hAnsiTheme="minorEastAsia"/>
                <w:sz w:val="18"/>
                <w:szCs w:val="18"/>
              </w:rPr>
              <w:t>3.是否制定了诚信计量公开承诺履行评价程序。（1分）</w:t>
            </w:r>
          </w:p>
          <w:p>
            <w:pPr>
              <w:spacing w:line="240" w:lineRule="exact"/>
              <w:rPr>
                <w:rFonts w:asciiTheme="minorEastAsia" w:hAnsiTheme="minorEastAsia"/>
                <w:sz w:val="18"/>
                <w:szCs w:val="18"/>
              </w:rPr>
            </w:pPr>
            <w:r>
              <w:rPr>
                <w:rFonts w:asciiTheme="minorEastAsia" w:hAnsiTheme="minorEastAsia"/>
                <w:sz w:val="18"/>
                <w:szCs w:val="18"/>
              </w:rPr>
              <w:t>4.是否有以上相</w:t>
            </w:r>
            <w:r>
              <w:rPr>
                <w:rFonts w:hint="eastAsia" w:asciiTheme="minorEastAsia" w:hAnsiTheme="minorEastAsia"/>
                <w:sz w:val="18"/>
                <w:szCs w:val="18"/>
              </w:rPr>
              <w:t>应</w:t>
            </w:r>
            <w:r>
              <w:rPr>
                <w:rFonts w:asciiTheme="minorEastAsia" w:hAnsiTheme="minorEastAsia"/>
                <w:sz w:val="18"/>
                <w:szCs w:val="18"/>
              </w:rPr>
              <w:t>实施记录</w:t>
            </w:r>
            <w:r>
              <w:rPr>
                <w:rFonts w:hint="eastAsia" w:asciiTheme="minorEastAsia" w:hAnsiTheme="minorEastAsia"/>
                <w:sz w:val="18"/>
                <w:szCs w:val="18"/>
              </w:rPr>
              <w:t>。（2分）</w:t>
            </w:r>
            <w:r>
              <w:rPr>
                <w:rFonts w:asciiTheme="minorEastAsia" w:hAnsiTheme="minorEastAsia"/>
                <w:sz w:val="18"/>
                <w:szCs w:val="18"/>
              </w:rPr>
              <w:t xml:space="preserve"> </w:t>
            </w:r>
          </w:p>
        </w:tc>
        <w:tc>
          <w:tcPr>
            <w:tcW w:w="2268" w:type="dxa"/>
            <w:vAlign w:val="center"/>
          </w:tcPr>
          <w:p>
            <w:pPr>
              <w:spacing w:line="240" w:lineRule="exact"/>
              <w:jc w:val="center"/>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5" w:hRule="atLeast"/>
          <w:tblHeader/>
        </w:trPr>
        <w:tc>
          <w:tcPr>
            <w:tcW w:w="735" w:type="dxa"/>
            <w:vAlign w:val="center"/>
          </w:tcPr>
          <w:p>
            <w:pPr>
              <w:spacing w:line="240" w:lineRule="exact"/>
              <w:jc w:val="center"/>
              <w:rPr>
                <w:sz w:val="18"/>
                <w:szCs w:val="18"/>
              </w:rPr>
            </w:pPr>
            <w:r>
              <w:rPr>
                <w:sz w:val="18"/>
                <w:szCs w:val="18"/>
              </w:rPr>
              <w:t>22</w:t>
            </w:r>
          </w:p>
        </w:tc>
        <w:tc>
          <w:tcPr>
            <w:tcW w:w="1392" w:type="dxa"/>
            <w:vAlign w:val="center"/>
          </w:tcPr>
          <w:p>
            <w:pPr>
              <w:spacing w:line="240" w:lineRule="exact"/>
              <w:rPr>
                <w:sz w:val="18"/>
                <w:szCs w:val="18"/>
              </w:rPr>
            </w:pPr>
            <w:r>
              <w:rPr>
                <w:sz w:val="18"/>
                <w:szCs w:val="18"/>
              </w:rPr>
              <w:t>7.3内部审核</w:t>
            </w:r>
          </w:p>
          <w:p>
            <w:pPr>
              <w:spacing w:line="240" w:lineRule="exact"/>
              <w:jc w:val="center"/>
              <w:rPr>
                <w:sz w:val="18"/>
                <w:szCs w:val="18"/>
              </w:rPr>
            </w:pPr>
            <w:r>
              <w:rPr>
                <w:sz w:val="18"/>
                <w:szCs w:val="18"/>
              </w:rPr>
              <w:t>（2分）</w:t>
            </w:r>
          </w:p>
        </w:tc>
        <w:tc>
          <w:tcPr>
            <w:tcW w:w="5244" w:type="dxa"/>
            <w:vAlign w:val="center"/>
          </w:tcPr>
          <w:p>
            <w:pPr>
              <w:spacing w:line="240" w:lineRule="exact"/>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w:t>
            </w:r>
            <w:r>
              <w:rPr>
                <w:rFonts w:asciiTheme="minorEastAsia" w:hAnsiTheme="minorEastAsia"/>
                <w:sz w:val="18"/>
                <w:szCs w:val="18"/>
              </w:rPr>
              <w:t>应按照程序文件和预定计划表，定期对诚信计量管理体系运行进行内部审核。内审应涉及诚信计量管理体系的所有要素。</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w:t>
            </w:r>
            <w:r>
              <w:rPr>
                <w:rFonts w:asciiTheme="minorEastAsia" w:hAnsiTheme="minorEastAsia"/>
                <w:sz w:val="18"/>
                <w:szCs w:val="18"/>
              </w:rPr>
              <w:t>内部审查人员应经培训合格，独立于被审核的活动，并经管理者批准。内审周期一般为12个月。</w:t>
            </w:r>
          </w:p>
          <w:p>
            <w:pPr>
              <w:spacing w:line="240" w:lineRule="exact"/>
              <w:rPr>
                <w:rFonts w:asciiTheme="minorEastAsia" w:hAnsiTheme="minorEastAsia"/>
                <w:sz w:val="18"/>
                <w:szCs w:val="18"/>
              </w:rPr>
            </w:pPr>
            <w:r>
              <w:rPr>
                <w:rFonts w:asciiTheme="minorEastAsia" w:hAnsiTheme="minorEastAsia"/>
                <w:sz w:val="18"/>
                <w:szCs w:val="18"/>
              </w:rPr>
              <w:t>3</w:t>
            </w:r>
            <w:r>
              <w:rPr>
                <w:rFonts w:hint="eastAsia" w:asciiTheme="minorEastAsia" w:hAnsiTheme="minorEastAsia"/>
                <w:sz w:val="18"/>
                <w:szCs w:val="18"/>
              </w:rPr>
              <w:t>.</w:t>
            </w:r>
            <w:r>
              <w:rPr>
                <w:rFonts w:asciiTheme="minorEastAsia" w:hAnsiTheme="minorEastAsia"/>
                <w:sz w:val="18"/>
                <w:szCs w:val="18"/>
              </w:rPr>
              <w:t>内部审核的领域、发现，以及发现不符合后应采取的纠正或纠正措施等，应予以记录。</w:t>
            </w:r>
          </w:p>
          <w:p>
            <w:pPr>
              <w:spacing w:line="240" w:lineRule="exact"/>
              <w:rPr>
                <w:rFonts w:asciiTheme="minorEastAsia" w:hAnsiTheme="minorEastAsia"/>
                <w:sz w:val="18"/>
                <w:szCs w:val="18"/>
              </w:rPr>
            </w:pPr>
            <w:r>
              <w:rPr>
                <w:rFonts w:asciiTheme="minorEastAsia" w:hAnsiTheme="minorEastAsia"/>
                <w:sz w:val="18"/>
                <w:szCs w:val="18"/>
              </w:rPr>
              <w:t>4</w:t>
            </w:r>
            <w:r>
              <w:rPr>
                <w:rFonts w:hint="eastAsia" w:asciiTheme="minorEastAsia" w:hAnsiTheme="minorEastAsia"/>
                <w:sz w:val="18"/>
                <w:szCs w:val="18"/>
              </w:rPr>
              <w:t>.</w:t>
            </w:r>
            <w:r>
              <w:rPr>
                <w:rFonts w:asciiTheme="minorEastAsia" w:hAnsiTheme="minorEastAsia"/>
                <w:sz w:val="18"/>
                <w:szCs w:val="18"/>
              </w:rPr>
              <w:t>应保存内部审查活动的所有记录。包括但不限于审查计划、审查记录、纠正或纠正措施、跟踪验证、内部审查报告等。</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1.是否制定了内部审核程序文件。（1分）</w:t>
            </w:r>
          </w:p>
          <w:p>
            <w:pPr>
              <w:spacing w:line="240" w:lineRule="exact"/>
              <w:rPr>
                <w:rFonts w:asciiTheme="minorEastAsia" w:hAnsiTheme="minorEastAsia"/>
                <w:sz w:val="18"/>
                <w:szCs w:val="18"/>
              </w:rPr>
            </w:pPr>
            <w:r>
              <w:rPr>
                <w:rFonts w:asciiTheme="minorEastAsia" w:hAnsiTheme="minorEastAsia"/>
                <w:sz w:val="18"/>
                <w:szCs w:val="18"/>
              </w:rPr>
              <w:t>2.是否定期进行内部审核。（1分）</w:t>
            </w:r>
          </w:p>
        </w:tc>
        <w:tc>
          <w:tcPr>
            <w:tcW w:w="2268" w:type="dxa"/>
            <w:vAlign w:val="center"/>
          </w:tcPr>
          <w:p>
            <w:pPr>
              <w:spacing w:line="240" w:lineRule="exact"/>
              <w:rPr>
                <w:kern w:val="10"/>
                <w:sz w:val="18"/>
                <w:szCs w:val="18"/>
              </w:rPr>
            </w:pPr>
          </w:p>
        </w:tc>
        <w:tc>
          <w:tcPr>
            <w:tcW w:w="924" w:type="dxa"/>
            <w:vAlign w:val="center"/>
          </w:tcPr>
          <w:p>
            <w:pPr>
              <w:spacing w:line="240" w:lineRule="exact"/>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7" w:hRule="atLeast"/>
          <w:tblHeader/>
        </w:trPr>
        <w:tc>
          <w:tcPr>
            <w:tcW w:w="735" w:type="dxa"/>
            <w:vAlign w:val="center"/>
          </w:tcPr>
          <w:p>
            <w:pPr>
              <w:spacing w:line="240" w:lineRule="exact"/>
              <w:jc w:val="center"/>
              <w:rPr>
                <w:sz w:val="18"/>
                <w:szCs w:val="18"/>
              </w:rPr>
            </w:pPr>
            <w:r>
              <w:rPr>
                <w:sz w:val="18"/>
                <w:szCs w:val="18"/>
              </w:rPr>
              <w:t>23</w:t>
            </w:r>
          </w:p>
        </w:tc>
        <w:tc>
          <w:tcPr>
            <w:tcW w:w="1392" w:type="dxa"/>
            <w:vAlign w:val="center"/>
          </w:tcPr>
          <w:p>
            <w:pPr>
              <w:spacing w:line="240" w:lineRule="exact"/>
              <w:rPr>
                <w:sz w:val="18"/>
                <w:szCs w:val="18"/>
              </w:rPr>
            </w:pPr>
            <w:r>
              <w:rPr>
                <w:sz w:val="18"/>
                <w:szCs w:val="18"/>
              </w:rPr>
              <w:t>7.4 管理评审</w:t>
            </w:r>
          </w:p>
          <w:p>
            <w:pPr>
              <w:spacing w:line="240" w:lineRule="exact"/>
              <w:jc w:val="center"/>
              <w:rPr>
                <w:sz w:val="18"/>
                <w:szCs w:val="18"/>
              </w:rPr>
            </w:pPr>
            <w:r>
              <w:rPr>
                <w:sz w:val="18"/>
                <w:szCs w:val="18"/>
              </w:rPr>
              <w:t>（3分）</w:t>
            </w:r>
          </w:p>
        </w:tc>
        <w:tc>
          <w:tcPr>
            <w:tcW w:w="5244" w:type="dxa"/>
            <w:vAlign w:val="center"/>
          </w:tcPr>
          <w:p>
            <w:pPr>
              <w:spacing w:line="240" w:lineRule="exact"/>
              <w:rPr>
                <w:rFonts w:asciiTheme="minorEastAsia" w:hAnsiTheme="minorEastAsia"/>
                <w:sz w:val="18"/>
                <w:szCs w:val="18"/>
              </w:rPr>
            </w:pPr>
            <w:r>
              <w:rPr>
                <w:rFonts w:asciiTheme="minorEastAsia" w:hAnsiTheme="minorEastAsia"/>
                <w:sz w:val="18"/>
                <w:szCs w:val="18"/>
              </w:rPr>
              <w:t>1</w:t>
            </w:r>
            <w:r>
              <w:rPr>
                <w:rFonts w:hint="eastAsia" w:asciiTheme="minorEastAsia" w:hAnsiTheme="minorEastAsia"/>
                <w:sz w:val="18"/>
                <w:szCs w:val="18"/>
              </w:rPr>
              <w:t>.</w:t>
            </w:r>
            <w:r>
              <w:rPr>
                <w:rFonts w:asciiTheme="minorEastAsia" w:hAnsiTheme="minorEastAsia"/>
                <w:sz w:val="18"/>
                <w:szCs w:val="18"/>
              </w:rPr>
              <w:t>最高管理者应按照程序文件和预定计划表，系统地评审诚信计量管理体系。</w:t>
            </w:r>
          </w:p>
          <w:p>
            <w:pPr>
              <w:spacing w:line="240" w:lineRule="exact"/>
              <w:rPr>
                <w:rFonts w:asciiTheme="minorEastAsia" w:hAnsiTheme="minorEastAsia"/>
                <w:sz w:val="18"/>
                <w:szCs w:val="18"/>
              </w:rPr>
            </w:pPr>
            <w:r>
              <w:rPr>
                <w:rFonts w:asciiTheme="minorEastAsia" w:hAnsiTheme="minorEastAsia"/>
                <w:sz w:val="18"/>
                <w:szCs w:val="18"/>
              </w:rPr>
              <w:t>2</w:t>
            </w:r>
            <w:r>
              <w:rPr>
                <w:rFonts w:hint="eastAsia" w:asciiTheme="minorEastAsia" w:hAnsiTheme="minorEastAsia"/>
                <w:sz w:val="18"/>
                <w:szCs w:val="18"/>
              </w:rPr>
              <w:t>.</w:t>
            </w:r>
            <w:r>
              <w:rPr>
                <w:rFonts w:asciiTheme="minorEastAsia" w:hAnsiTheme="minorEastAsia"/>
                <w:sz w:val="18"/>
                <w:szCs w:val="18"/>
              </w:rPr>
              <w:t>管理评审应包括输入和输出的内容。</w:t>
            </w:r>
          </w:p>
          <w:p>
            <w:pPr>
              <w:pStyle w:val="36"/>
              <w:rPr>
                <w:shd w:val="clear" w:color="auto" w:fill="auto"/>
              </w:rPr>
            </w:pPr>
            <w:r>
              <w:rPr>
                <w:shd w:val="clear" w:color="auto" w:fill="auto"/>
              </w:rPr>
              <w:t>3</w:t>
            </w:r>
            <w:r>
              <w:rPr>
                <w:rFonts w:hint="eastAsia"/>
                <w:shd w:val="clear" w:color="auto" w:fill="auto"/>
              </w:rPr>
              <w:t>.</w:t>
            </w:r>
            <w:r>
              <w:rPr>
                <w:shd w:val="clear" w:color="auto" w:fill="auto"/>
              </w:rPr>
              <w:t>最高管理者应根据管理评审的结果，确定对诚信计量管理体系修正、完善。</w:t>
            </w:r>
          </w:p>
          <w:p>
            <w:pPr>
              <w:pStyle w:val="36"/>
              <w:rPr>
                <w:shd w:val="clear" w:color="auto" w:fill="auto"/>
              </w:rPr>
            </w:pPr>
            <w:r>
              <w:rPr>
                <w:shd w:val="clear" w:color="auto" w:fill="auto"/>
              </w:rPr>
              <w:t>4</w:t>
            </w:r>
            <w:r>
              <w:rPr>
                <w:rFonts w:hint="eastAsia"/>
                <w:shd w:val="clear" w:color="auto" w:fill="auto"/>
              </w:rPr>
              <w:t>.</w:t>
            </w:r>
            <w:r>
              <w:rPr>
                <w:shd w:val="clear" w:color="auto" w:fill="auto"/>
              </w:rPr>
              <w:t>应保存管理评审的记录。</w:t>
            </w:r>
          </w:p>
        </w:tc>
        <w:tc>
          <w:tcPr>
            <w:tcW w:w="3402" w:type="dxa"/>
            <w:vAlign w:val="center"/>
          </w:tcPr>
          <w:p>
            <w:pPr>
              <w:spacing w:line="240" w:lineRule="exact"/>
              <w:rPr>
                <w:rFonts w:asciiTheme="minorEastAsia" w:hAnsiTheme="minorEastAsia"/>
                <w:sz w:val="18"/>
                <w:szCs w:val="18"/>
              </w:rPr>
            </w:pPr>
            <w:r>
              <w:rPr>
                <w:rFonts w:asciiTheme="minorEastAsia" w:hAnsiTheme="minorEastAsia"/>
                <w:sz w:val="18"/>
                <w:szCs w:val="18"/>
              </w:rPr>
              <w:t>1.是否制定了管理评审程序文件。（2分）</w:t>
            </w:r>
          </w:p>
          <w:p>
            <w:pPr>
              <w:widowControl/>
              <w:spacing w:line="240" w:lineRule="exact"/>
              <w:outlineLvl w:val="3"/>
              <w:rPr>
                <w:rFonts w:asciiTheme="minorEastAsia" w:hAnsiTheme="minorEastAsia"/>
                <w:sz w:val="18"/>
                <w:szCs w:val="18"/>
              </w:rPr>
            </w:pPr>
            <w:r>
              <w:rPr>
                <w:rFonts w:asciiTheme="minorEastAsia" w:hAnsiTheme="minorEastAsia"/>
                <w:sz w:val="18"/>
                <w:szCs w:val="18"/>
              </w:rPr>
              <w:t>2.检查诚信计量管理体系评审、修正、完善情况。（1分）</w:t>
            </w:r>
          </w:p>
        </w:tc>
        <w:tc>
          <w:tcPr>
            <w:tcW w:w="2268" w:type="dxa"/>
            <w:vAlign w:val="center"/>
          </w:tcPr>
          <w:p>
            <w:pPr>
              <w:spacing w:line="240" w:lineRule="exact"/>
              <w:rPr>
                <w:kern w:val="10"/>
                <w:sz w:val="18"/>
                <w:szCs w:val="18"/>
              </w:rPr>
            </w:pPr>
          </w:p>
        </w:tc>
        <w:tc>
          <w:tcPr>
            <w:tcW w:w="924" w:type="dxa"/>
            <w:vAlign w:val="center"/>
          </w:tcPr>
          <w:p>
            <w:pPr>
              <w:spacing w:line="240" w:lineRule="exact"/>
              <w:jc w:val="center"/>
              <w:rPr>
                <w:sz w:val="18"/>
                <w:szCs w:val="18"/>
              </w:rPr>
            </w:pPr>
          </w:p>
        </w:tc>
      </w:tr>
    </w:tbl>
    <w:p>
      <w:pPr>
        <w:spacing w:before="312" w:beforeLines="100" w:after="156" w:afterLines="50"/>
        <w:rPr>
          <w:rFonts w:ascii="黑体" w:hAnsi="黑体" w:eastAsia="黑体" w:cs="宋体"/>
          <w:kern w:val="0"/>
          <w:szCs w:val="21"/>
        </w:rPr>
      </w:pPr>
    </w:p>
    <w:p>
      <w:pPr>
        <w:spacing w:before="312" w:beforeLines="100" w:after="156" w:afterLines="50"/>
        <w:rPr>
          <w:rFonts w:ascii="黑体" w:hAnsi="黑体" w:eastAsia="黑体" w:cs="宋体"/>
          <w:kern w:val="0"/>
          <w:szCs w:val="21"/>
        </w:rPr>
      </w:pPr>
      <w:r>
        <w:rPr>
          <w:rFonts w:hint="eastAsia" w:ascii="黑体" w:hAnsi="黑体" w:eastAsia="黑体" w:cs="宋体"/>
          <w:kern w:val="0"/>
          <w:szCs w:val="21"/>
        </w:rPr>
        <w:t>8</w:t>
      </w:r>
      <w:r>
        <w:rPr>
          <w:rFonts w:ascii="黑体" w:hAnsi="黑体" w:eastAsia="黑体" w:cs="宋体"/>
          <w:kern w:val="0"/>
          <w:szCs w:val="21"/>
        </w:rPr>
        <w:t xml:space="preserve"> </w:t>
      </w:r>
      <w:r>
        <w:rPr>
          <w:rFonts w:hint="eastAsia" w:ascii="黑体" w:hAnsi="黑体" w:eastAsia="黑体" w:cs="宋体"/>
          <w:kern w:val="0"/>
          <w:szCs w:val="21"/>
        </w:rPr>
        <w:t>改进（总分10分）</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92"/>
        <w:gridCol w:w="5244"/>
        <w:gridCol w:w="3402"/>
        <w:gridCol w:w="2268"/>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735" w:type="dxa"/>
            <w:vAlign w:val="center"/>
          </w:tcPr>
          <w:p>
            <w:pPr>
              <w:spacing w:line="240" w:lineRule="exact"/>
              <w:jc w:val="center"/>
              <w:rPr>
                <w:sz w:val="18"/>
                <w:szCs w:val="18"/>
              </w:rPr>
            </w:pPr>
            <w:r>
              <w:rPr>
                <w:sz w:val="18"/>
                <w:szCs w:val="18"/>
              </w:rPr>
              <w:t>序号</w:t>
            </w:r>
          </w:p>
        </w:tc>
        <w:tc>
          <w:tcPr>
            <w:tcW w:w="1392" w:type="dxa"/>
            <w:vAlign w:val="center"/>
          </w:tcPr>
          <w:p>
            <w:pPr>
              <w:spacing w:line="240" w:lineRule="exact"/>
              <w:jc w:val="center"/>
              <w:rPr>
                <w:sz w:val="18"/>
                <w:szCs w:val="18"/>
              </w:rPr>
            </w:pPr>
            <w:r>
              <w:rPr>
                <w:sz w:val="18"/>
                <w:szCs w:val="18"/>
              </w:rPr>
              <w:t>标准条款</w:t>
            </w:r>
          </w:p>
        </w:tc>
        <w:tc>
          <w:tcPr>
            <w:tcW w:w="5244" w:type="dxa"/>
            <w:vAlign w:val="center"/>
          </w:tcPr>
          <w:p>
            <w:pPr>
              <w:spacing w:line="240" w:lineRule="exact"/>
              <w:jc w:val="center"/>
              <w:rPr>
                <w:sz w:val="18"/>
                <w:szCs w:val="18"/>
              </w:rPr>
            </w:pPr>
            <w:r>
              <w:rPr>
                <w:sz w:val="18"/>
                <w:szCs w:val="18"/>
              </w:rPr>
              <w:t>诚信计量要求</w:t>
            </w:r>
          </w:p>
        </w:tc>
        <w:tc>
          <w:tcPr>
            <w:tcW w:w="3402" w:type="dxa"/>
            <w:vAlign w:val="center"/>
          </w:tcPr>
          <w:p>
            <w:pPr>
              <w:spacing w:line="240" w:lineRule="exact"/>
              <w:jc w:val="center"/>
              <w:rPr>
                <w:sz w:val="18"/>
                <w:szCs w:val="18"/>
              </w:rPr>
            </w:pPr>
            <w:r>
              <w:rPr>
                <w:sz w:val="18"/>
                <w:szCs w:val="18"/>
              </w:rPr>
              <w:t>评价方法</w:t>
            </w:r>
          </w:p>
        </w:tc>
        <w:tc>
          <w:tcPr>
            <w:tcW w:w="2268" w:type="dxa"/>
            <w:vAlign w:val="center"/>
          </w:tcPr>
          <w:p>
            <w:pPr>
              <w:spacing w:line="240" w:lineRule="exact"/>
              <w:jc w:val="center"/>
              <w:rPr>
                <w:sz w:val="18"/>
                <w:szCs w:val="18"/>
              </w:rPr>
            </w:pPr>
            <w:r>
              <w:rPr>
                <w:sz w:val="18"/>
                <w:szCs w:val="18"/>
              </w:rPr>
              <w:t>评价记录</w:t>
            </w:r>
          </w:p>
        </w:tc>
        <w:tc>
          <w:tcPr>
            <w:tcW w:w="924" w:type="dxa"/>
            <w:vAlign w:val="center"/>
          </w:tcPr>
          <w:p>
            <w:pPr>
              <w:spacing w:line="240" w:lineRule="exact"/>
              <w:jc w:val="center"/>
              <w:rPr>
                <w:sz w:val="18"/>
                <w:szCs w:val="18"/>
              </w:rPr>
            </w:pPr>
            <w:r>
              <w:rPr>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6" w:hRule="atLeast"/>
          <w:tblHeader/>
        </w:trPr>
        <w:tc>
          <w:tcPr>
            <w:tcW w:w="735" w:type="dxa"/>
            <w:vAlign w:val="center"/>
          </w:tcPr>
          <w:p>
            <w:pPr>
              <w:spacing w:line="240" w:lineRule="exact"/>
              <w:jc w:val="center"/>
              <w:rPr>
                <w:sz w:val="18"/>
                <w:szCs w:val="18"/>
              </w:rPr>
            </w:pPr>
            <w:r>
              <w:rPr>
                <w:sz w:val="18"/>
                <w:szCs w:val="18"/>
              </w:rPr>
              <w:t>24</w:t>
            </w:r>
          </w:p>
        </w:tc>
        <w:tc>
          <w:tcPr>
            <w:tcW w:w="1392" w:type="dxa"/>
            <w:vAlign w:val="center"/>
          </w:tcPr>
          <w:p>
            <w:pPr>
              <w:spacing w:line="240" w:lineRule="exact"/>
              <w:jc w:val="center"/>
              <w:rPr>
                <w:rFonts w:cs="宋体"/>
                <w:kern w:val="0"/>
                <w:sz w:val="18"/>
                <w:szCs w:val="18"/>
              </w:rPr>
            </w:pPr>
            <w:r>
              <w:rPr>
                <w:rFonts w:cs="宋体"/>
                <w:kern w:val="0"/>
                <w:sz w:val="18"/>
                <w:szCs w:val="18"/>
              </w:rPr>
              <w:t>8.1 不符合控制</w:t>
            </w:r>
            <w:r>
              <w:rPr>
                <w:sz w:val="18"/>
                <w:szCs w:val="18"/>
              </w:rPr>
              <w:t>（5分）</w:t>
            </w:r>
          </w:p>
        </w:tc>
        <w:tc>
          <w:tcPr>
            <w:tcW w:w="5244" w:type="dxa"/>
            <w:vAlign w:val="center"/>
          </w:tcPr>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1</w:t>
            </w:r>
            <w:r>
              <w:rPr>
                <w:rFonts w:hint="eastAsia" w:cs="宋体" w:asciiTheme="minorEastAsia" w:hAnsiTheme="minorEastAsia"/>
                <w:kern w:val="0"/>
                <w:sz w:val="18"/>
                <w:szCs w:val="18"/>
              </w:rPr>
              <w:t>.</w:t>
            </w:r>
            <w:r>
              <w:rPr>
                <w:rFonts w:cs="宋体" w:asciiTheme="minorEastAsia" w:hAnsiTheme="minorEastAsia"/>
                <w:kern w:val="0"/>
                <w:sz w:val="18"/>
                <w:szCs w:val="18"/>
              </w:rPr>
              <w:t>应建立、实施并保持不符合控制程序，确保发现与诚信计量管理体系或客户要求的不符合。</w:t>
            </w:r>
          </w:p>
          <w:p>
            <w:pPr>
              <w:pStyle w:val="36"/>
              <w:rPr>
                <w:shd w:val="clear" w:color="auto" w:fill="auto"/>
              </w:rPr>
            </w:pPr>
            <w:r>
              <w:rPr>
                <w:shd w:val="clear" w:color="auto" w:fill="auto"/>
              </w:rPr>
              <w:t>2</w:t>
            </w:r>
            <w:r>
              <w:rPr>
                <w:rFonts w:hint="eastAsia"/>
                <w:shd w:val="clear" w:color="auto" w:fill="auto"/>
              </w:rPr>
              <w:t>.</w:t>
            </w:r>
            <w:r>
              <w:rPr>
                <w:shd w:val="clear" w:color="auto" w:fill="auto"/>
              </w:rPr>
              <w:t>失信是严重的不符合，应特别关注失信的评估、处置和社会效果。</w:t>
            </w:r>
          </w:p>
          <w:p>
            <w:pPr>
              <w:pStyle w:val="36"/>
              <w:rPr>
                <w:shd w:val="clear" w:color="auto" w:fill="auto"/>
              </w:rPr>
            </w:pPr>
            <w:r>
              <w:rPr>
                <w:shd w:val="clear" w:color="auto" w:fill="auto"/>
              </w:rPr>
              <w:t>3</w:t>
            </w:r>
            <w:r>
              <w:rPr>
                <w:rFonts w:hint="eastAsia"/>
                <w:shd w:val="clear" w:color="auto" w:fill="auto"/>
              </w:rPr>
              <w:t>.</w:t>
            </w:r>
            <w:r>
              <w:rPr>
                <w:shd w:val="clear" w:color="auto" w:fill="auto"/>
              </w:rPr>
              <w:t>当评价表明不符合可能再度发生或对诚信计量管理系运行产生怀疑时，应采取纠正措施。</w:t>
            </w:r>
          </w:p>
        </w:tc>
        <w:tc>
          <w:tcPr>
            <w:tcW w:w="3402" w:type="dxa"/>
            <w:vAlign w:val="center"/>
          </w:tcPr>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1.是否制定了不符合控制程序。（2分）</w:t>
            </w:r>
          </w:p>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2.是否有失信应对预案。（1分）</w:t>
            </w:r>
          </w:p>
          <w:p>
            <w:pPr>
              <w:spacing w:line="240" w:lineRule="exact"/>
              <w:rPr>
                <w:rFonts w:cs="宋体" w:asciiTheme="minorEastAsia" w:hAnsiTheme="minorEastAsia"/>
                <w:kern w:val="0"/>
                <w:sz w:val="18"/>
                <w:szCs w:val="18"/>
              </w:rPr>
            </w:pPr>
            <w:r>
              <w:rPr>
                <w:rFonts w:hint="eastAsia" w:cs="宋体" w:asciiTheme="minorEastAsia" w:hAnsiTheme="minorEastAsia"/>
                <w:kern w:val="0"/>
                <w:sz w:val="18"/>
                <w:szCs w:val="18"/>
              </w:rPr>
              <w:t>3</w:t>
            </w:r>
            <w:r>
              <w:rPr>
                <w:rFonts w:cs="宋体" w:asciiTheme="minorEastAsia" w:hAnsiTheme="minorEastAsia"/>
                <w:kern w:val="0"/>
                <w:sz w:val="18"/>
                <w:szCs w:val="18"/>
              </w:rPr>
              <w:t>.</w:t>
            </w:r>
            <w:r>
              <w:rPr>
                <w:rFonts w:hint="eastAsia" w:cs="宋体" w:asciiTheme="minorEastAsia" w:hAnsiTheme="minorEastAsia"/>
                <w:kern w:val="0"/>
                <w:sz w:val="18"/>
                <w:szCs w:val="18"/>
              </w:rPr>
              <w:t>是否有</w:t>
            </w:r>
            <w:r>
              <w:rPr>
                <w:rFonts w:cs="宋体" w:asciiTheme="minorEastAsia" w:hAnsiTheme="minorEastAsia"/>
                <w:kern w:val="0"/>
                <w:sz w:val="18"/>
                <w:szCs w:val="18"/>
              </w:rPr>
              <w:t>相应的实施记录。（</w:t>
            </w:r>
            <w:r>
              <w:rPr>
                <w:rFonts w:hint="eastAsia" w:cs="宋体" w:asciiTheme="minorEastAsia" w:hAnsiTheme="minorEastAsia"/>
                <w:kern w:val="0"/>
                <w:sz w:val="18"/>
                <w:szCs w:val="18"/>
              </w:rPr>
              <w:t>2分</w:t>
            </w:r>
            <w:r>
              <w:rPr>
                <w:rFonts w:cs="宋体" w:asciiTheme="minorEastAsia" w:hAnsiTheme="minorEastAsia"/>
                <w:kern w:val="0"/>
                <w:sz w:val="18"/>
                <w:szCs w:val="18"/>
              </w:rPr>
              <w:t>）</w:t>
            </w:r>
          </w:p>
        </w:tc>
        <w:tc>
          <w:tcPr>
            <w:tcW w:w="2268"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blHeader/>
        </w:trPr>
        <w:tc>
          <w:tcPr>
            <w:tcW w:w="735" w:type="dxa"/>
            <w:vAlign w:val="center"/>
          </w:tcPr>
          <w:p>
            <w:pPr>
              <w:spacing w:line="240" w:lineRule="exact"/>
              <w:jc w:val="center"/>
              <w:rPr>
                <w:sz w:val="18"/>
                <w:szCs w:val="18"/>
              </w:rPr>
            </w:pPr>
            <w:r>
              <w:rPr>
                <w:sz w:val="18"/>
                <w:szCs w:val="18"/>
              </w:rPr>
              <w:t>25</w:t>
            </w:r>
          </w:p>
        </w:tc>
        <w:tc>
          <w:tcPr>
            <w:tcW w:w="1392" w:type="dxa"/>
            <w:vAlign w:val="center"/>
          </w:tcPr>
          <w:p>
            <w:pPr>
              <w:spacing w:line="240" w:lineRule="exact"/>
              <w:rPr>
                <w:rFonts w:cs="宋体"/>
                <w:kern w:val="0"/>
                <w:sz w:val="18"/>
                <w:szCs w:val="18"/>
              </w:rPr>
            </w:pPr>
            <w:r>
              <w:rPr>
                <w:rFonts w:cs="宋体"/>
                <w:kern w:val="0"/>
                <w:sz w:val="18"/>
                <w:szCs w:val="18"/>
              </w:rPr>
              <w:t>8.2 纠正措施</w:t>
            </w:r>
          </w:p>
          <w:p>
            <w:pPr>
              <w:spacing w:line="240" w:lineRule="exact"/>
              <w:jc w:val="center"/>
              <w:rPr>
                <w:rFonts w:cs="宋体"/>
                <w:kern w:val="0"/>
                <w:sz w:val="18"/>
                <w:szCs w:val="18"/>
              </w:rPr>
            </w:pPr>
            <w:r>
              <w:rPr>
                <w:sz w:val="18"/>
                <w:szCs w:val="18"/>
              </w:rPr>
              <w:t>（2分）</w:t>
            </w:r>
          </w:p>
        </w:tc>
        <w:tc>
          <w:tcPr>
            <w:tcW w:w="5244" w:type="dxa"/>
            <w:vAlign w:val="center"/>
          </w:tcPr>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1</w:t>
            </w:r>
            <w:r>
              <w:rPr>
                <w:rFonts w:hint="eastAsia" w:cs="宋体" w:asciiTheme="minorEastAsia" w:hAnsiTheme="minorEastAsia"/>
                <w:kern w:val="0"/>
                <w:sz w:val="18"/>
                <w:szCs w:val="18"/>
              </w:rPr>
              <w:t>.</w:t>
            </w:r>
            <w:r>
              <w:rPr>
                <w:rFonts w:cs="宋体" w:asciiTheme="minorEastAsia" w:hAnsiTheme="minorEastAsia"/>
                <w:kern w:val="0"/>
                <w:sz w:val="18"/>
                <w:szCs w:val="18"/>
              </w:rPr>
              <w:t>应制定纠正措施程序文件，指定合适的人员，对发现的不符合采取纠正措施。</w:t>
            </w:r>
          </w:p>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2</w:t>
            </w:r>
            <w:r>
              <w:rPr>
                <w:rFonts w:hint="eastAsia" w:cs="宋体" w:asciiTheme="minorEastAsia" w:hAnsiTheme="minorEastAsia"/>
                <w:kern w:val="0"/>
                <w:sz w:val="18"/>
                <w:szCs w:val="18"/>
              </w:rPr>
              <w:t>.</w:t>
            </w:r>
            <w:r>
              <w:rPr>
                <w:rFonts w:cs="宋体" w:asciiTheme="minorEastAsia" w:hAnsiTheme="minorEastAsia"/>
                <w:kern w:val="0"/>
                <w:sz w:val="18"/>
                <w:szCs w:val="18"/>
              </w:rPr>
              <w:t>纠正措施应从原因调查开始，分析和确定不符合的原因，制定采取的纠正措施。纠正措施应与问题的严重程度和风险大小相适应，实施纠正措施后，应能消除不符合、并防止再次发生。</w:t>
            </w:r>
          </w:p>
        </w:tc>
        <w:tc>
          <w:tcPr>
            <w:tcW w:w="3402" w:type="dxa"/>
            <w:vAlign w:val="center"/>
          </w:tcPr>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1.是否制定实施了纠正措施程序文件。</w:t>
            </w:r>
          </w:p>
          <w:p>
            <w:pPr>
              <w:spacing w:line="240" w:lineRule="exact"/>
              <w:rPr>
                <w:rFonts w:cs="宋体" w:asciiTheme="minorEastAsia" w:hAnsiTheme="minorEastAsia"/>
                <w:kern w:val="0"/>
                <w:sz w:val="18"/>
                <w:szCs w:val="18"/>
              </w:rPr>
            </w:pPr>
            <w:r>
              <w:rPr>
                <w:rFonts w:cs="宋体" w:asciiTheme="minorEastAsia" w:hAnsiTheme="minorEastAsia"/>
                <w:kern w:val="0"/>
                <w:sz w:val="18"/>
                <w:szCs w:val="18"/>
              </w:rPr>
              <w:t>（1分）</w:t>
            </w:r>
          </w:p>
          <w:p>
            <w:pPr>
              <w:spacing w:line="240" w:lineRule="exact"/>
              <w:rPr>
                <w:rFonts w:cs="宋体" w:asciiTheme="minorEastAsia" w:hAnsiTheme="minorEastAsia"/>
                <w:kern w:val="0"/>
                <w:sz w:val="18"/>
                <w:szCs w:val="18"/>
              </w:rPr>
            </w:pPr>
            <w:r>
              <w:rPr>
                <w:rFonts w:hint="eastAsia" w:cs="宋体" w:asciiTheme="minorEastAsia" w:hAnsiTheme="minorEastAsia"/>
                <w:kern w:val="0"/>
                <w:sz w:val="18"/>
                <w:szCs w:val="18"/>
              </w:rPr>
              <w:t>2</w:t>
            </w:r>
            <w:r>
              <w:rPr>
                <w:rFonts w:cs="宋体" w:asciiTheme="minorEastAsia" w:hAnsiTheme="minorEastAsia"/>
                <w:kern w:val="0"/>
                <w:sz w:val="18"/>
                <w:szCs w:val="18"/>
              </w:rPr>
              <w:t>.</w:t>
            </w:r>
            <w:r>
              <w:rPr>
                <w:rFonts w:hint="eastAsia" w:cs="宋体" w:asciiTheme="minorEastAsia" w:hAnsiTheme="minorEastAsia"/>
                <w:kern w:val="0"/>
                <w:sz w:val="18"/>
                <w:szCs w:val="18"/>
              </w:rPr>
              <w:t>是否</w:t>
            </w:r>
            <w:r>
              <w:rPr>
                <w:rFonts w:cs="宋体" w:asciiTheme="minorEastAsia" w:hAnsiTheme="minorEastAsia"/>
                <w:kern w:val="0"/>
                <w:sz w:val="18"/>
                <w:szCs w:val="18"/>
              </w:rPr>
              <w:t>有相应实施记录。（</w:t>
            </w:r>
            <w:r>
              <w:rPr>
                <w:rFonts w:hint="eastAsia" w:cs="宋体" w:asciiTheme="minorEastAsia" w:hAnsiTheme="minorEastAsia"/>
                <w:kern w:val="0"/>
                <w:sz w:val="18"/>
                <w:szCs w:val="18"/>
              </w:rPr>
              <w:t>1分</w:t>
            </w:r>
            <w:r>
              <w:rPr>
                <w:rFonts w:cs="宋体" w:asciiTheme="minorEastAsia" w:hAnsiTheme="minorEastAsia"/>
                <w:kern w:val="0"/>
                <w:sz w:val="18"/>
                <w:szCs w:val="18"/>
              </w:rPr>
              <w:t>）</w:t>
            </w:r>
          </w:p>
        </w:tc>
        <w:tc>
          <w:tcPr>
            <w:tcW w:w="2268"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tblHeader/>
        </w:trPr>
        <w:tc>
          <w:tcPr>
            <w:tcW w:w="735" w:type="dxa"/>
            <w:vAlign w:val="center"/>
          </w:tcPr>
          <w:p>
            <w:pPr>
              <w:spacing w:line="240" w:lineRule="exact"/>
              <w:jc w:val="center"/>
              <w:rPr>
                <w:sz w:val="18"/>
                <w:szCs w:val="18"/>
              </w:rPr>
            </w:pPr>
            <w:r>
              <w:rPr>
                <w:sz w:val="18"/>
                <w:szCs w:val="18"/>
              </w:rPr>
              <w:t>26</w:t>
            </w:r>
          </w:p>
        </w:tc>
        <w:tc>
          <w:tcPr>
            <w:tcW w:w="1392" w:type="dxa"/>
            <w:vAlign w:val="center"/>
          </w:tcPr>
          <w:p>
            <w:pPr>
              <w:spacing w:line="240" w:lineRule="exact"/>
              <w:rPr>
                <w:rFonts w:cs="宋体"/>
                <w:kern w:val="0"/>
                <w:sz w:val="18"/>
                <w:szCs w:val="18"/>
              </w:rPr>
            </w:pPr>
            <w:r>
              <w:rPr>
                <w:rFonts w:cs="宋体"/>
                <w:kern w:val="0"/>
                <w:sz w:val="18"/>
                <w:szCs w:val="18"/>
              </w:rPr>
              <w:t>8.3持续改进</w:t>
            </w:r>
          </w:p>
          <w:p>
            <w:pPr>
              <w:spacing w:line="240" w:lineRule="exact"/>
              <w:jc w:val="center"/>
              <w:rPr>
                <w:rFonts w:cs="宋体"/>
                <w:kern w:val="0"/>
                <w:sz w:val="18"/>
                <w:szCs w:val="18"/>
              </w:rPr>
            </w:pPr>
            <w:r>
              <w:rPr>
                <w:sz w:val="18"/>
                <w:szCs w:val="18"/>
              </w:rPr>
              <w:t>（3分）</w:t>
            </w:r>
          </w:p>
        </w:tc>
        <w:tc>
          <w:tcPr>
            <w:tcW w:w="5244" w:type="dxa"/>
            <w:vAlign w:val="center"/>
          </w:tcPr>
          <w:p>
            <w:pPr>
              <w:spacing w:line="240" w:lineRule="exact"/>
              <w:ind w:firstLine="180" w:firstLineChars="100"/>
              <w:rPr>
                <w:rFonts w:cs="宋体" w:asciiTheme="minorEastAsia" w:hAnsiTheme="minorEastAsia"/>
                <w:kern w:val="0"/>
                <w:sz w:val="18"/>
                <w:szCs w:val="18"/>
              </w:rPr>
            </w:pPr>
            <w:r>
              <w:rPr>
                <w:rFonts w:cs="宋体" w:asciiTheme="minorEastAsia" w:hAnsiTheme="minorEastAsia"/>
                <w:kern w:val="0"/>
                <w:sz w:val="18"/>
                <w:szCs w:val="18"/>
              </w:rPr>
              <w:t>应建立符合本单位特点的持续改进机制，通过方针和目标的实施、分析审核和评价的结果以及管理评审的输出，寻找需要改进的薄弱环节，发现改进的机会，制定和实施改进的措施，记录改进的结果，评估持续改进的有效性，不断提高诚信计量管理体系的适宜性、充分性和有效性。</w:t>
            </w:r>
          </w:p>
        </w:tc>
        <w:tc>
          <w:tcPr>
            <w:tcW w:w="3402" w:type="dxa"/>
            <w:vAlign w:val="center"/>
          </w:tcPr>
          <w:p>
            <w:pPr>
              <w:spacing w:line="240" w:lineRule="exact"/>
              <w:rPr>
                <w:rFonts w:cs="宋体" w:asciiTheme="minorEastAsia" w:hAnsiTheme="minorEastAsia"/>
                <w:kern w:val="0"/>
                <w:sz w:val="18"/>
                <w:szCs w:val="18"/>
              </w:rPr>
            </w:pPr>
            <w:r>
              <w:rPr>
                <w:rFonts w:hint="eastAsia" w:cs="宋体" w:asciiTheme="minorEastAsia" w:hAnsiTheme="minorEastAsia"/>
                <w:kern w:val="0"/>
                <w:sz w:val="18"/>
                <w:szCs w:val="18"/>
              </w:rPr>
              <w:t>1</w:t>
            </w:r>
            <w:r>
              <w:rPr>
                <w:rFonts w:cs="宋体" w:asciiTheme="minorEastAsia" w:hAnsiTheme="minorEastAsia"/>
                <w:kern w:val="0"/>
                <w:sz w:val="18"/>
                <w:szCs w:val="18"/>
              </w:rPr>
              <w:t>.是否制定了持续改进程序文件</w:t>
            </w:r>
            <w:r>
              <w:rPr>
                <w:rFonts w:hint="eastAsia" w:cs="宋体" w:asciiTheme="minorEastAsia" w:hAnsiTheme="minorEastAsia"/>
                <w:kern w:val="0"/>
                <w:sz w:val="18"/>
                <w:szCs w:val="18"/>
              </w:rPr>
              <w:t>。（2分）</w:t>
            </w:r>
          </w:p>
          <w:p>
            <w:pPr>
              <w:spacing w:line="240" w:lineRule="exact"/>
              <w:rPr>
                <w:rFonts w:cs="宋体" w:asciiTheme="minorEastAsia" w:hAnsiTheme="minorEastAsia"/>
                <w:kern w:val="0"/>
                <w:sz w:val="18"/>
                <w:szCs w:val="18"/>
              </w:rPr>
            </w:pPr>
            <w:r>
              <w:rPr>
                <w:rFonts w:hint="eastAsia" w:cs="宋体" w:asciiTheme="minorEastAsia" w:hAnsiTheme="minorEastAsia"/>
                <w:kern w:val="0"/>
                <w:sz w:val="18"/>
                <w:szCs w:val="18"/>
              </w:rPr>
              <w:t>2</w:t>
            </w:r>
            <w:r>
              <w:rPr>
                <w:rFonts w:cs="宋体" w:asciiTheme="minorEastAsia" w:hAnsiTheme="minorEastAsia"/>
                <w:kern w:val="0"/>
                <w:sz w:val="18"/>
                <w:szCs w:val="18"/>
              </w:rPr>
              <w:t>.是否有</w:t>
            </w:r>
            <w:r>
              <w:rPr>
                <w:rFonts w:hint="eastAsia" w:cs="宋体" w:asciiTheme="minorEastAsia" w:hAnsiTheme="minorEastAsia"/>
                <w:kern w:val="0"/>
                <w:sz w:val="18"/>
                <w:szCs w:val="18"/>
              </w:rPr>
              <w:t>相应</w:t>
            </w:r>
            <w:r>
              <w:rPr>
                <w:rFonts w:cs="宋体" w:asciiTheme="minorEastAsia" w:hAnsiTheme="minorEastAsia"/>
                <w:kern w:val="0"/>
                <w:sz w:val="18"/>
                <w:szCs w:val="18"/>
              </w:rPr>
              <w:t>实施记录。（1分）</w:t>
            </w:r>
          </w:p>
        </w:tc>
        <w:tc>
          <w:tcPr>
            <w:tcW w:w="2268" w:type="dxa"/>
            <w:vAlign w:val="center"/>
          </w:tcPr>
          <w:p>
            <w:pPr>
              <w:spacing w:line="240" w:lineRule="exact"/>
              <w:rPr>
                <w:kern w:val="10"/>
                <w:sz w:val="18"/>
                <w:szCs w:val="18"/>
              </w:rPr>
            </w:pPr>
          </w:p>
        </w:tc>
        <w:tc>
          <w:tcPr>
            <w:tcW w:w="924" w:type="dxa"/>
            <w:vAlign w:val="center"/>
          </w:tcPr>
          <w:p>
            <w:pPr>
              <w:spacing w:line="240" w:lineRule="exact"/>
              <w:rPr>
                <w:sz w:val="18"/>
                <w:szCs w:val="18"/>
              </w:rPr>
            </w:pPr>
          </w:p>
        </w:tc>
      </w:tr>
    </w:tbl>
    <w:p>
      <w:pPr>
        <w:widowControl/>
        <w:snapToGrid w:val="0"/>
        <w:ind w:firstLine="180" w:firstLineChars="100"/>
        <w:jc w:val="left"/>
        <w:rPr>
          <w:rFonts w:asciiTheme="minorEastAsia" w:hAnsiTheme="minorEastAsia"/>
          <w:sz w:val="18"/>
          <w:szCs w:val="18"/>
        </w:rPr>
      </w:pPr>
      <w:r>
        <w:rPr>
          <w:rFonts w:hint="eastAsia" w:asciiTheme="minorEastAsia" w:hAnsiTheme="minorEastAsia"/>
          <w:sz w:val="18"/>
          <w:szCs w:val="18"/>
        </w:rPr>
        <w:t>注：</w:t>
      </w:r>
    </w:p>
    <w:p>
      <w:pPr>
        <w:widowControl/>
        <w:spacing w:line="240" w:lineRule="exact"/>
        <w:ind w:firstLine="450" w:firstLineChars="250"/>
        <w:jc w:val="left"/>
        <w:rPr>
          <w:sz w:val="18"/>
          <w:szCs w:val="18"/>
        </w:rPr>
      </w:pPr>
      <w:r>
        <w:rPr>
          <w:sz w:val="18"/>
          <w:szCs w:val="18"/>
        </w:rPr>
        <w:t>1. 当发现不符合时，应在“评价记录”栏中注明扣分内容。</w:t>
      </w:r>
    </w:p>
    <w:p>
      <w:pPr>
        <w:widowControl/>
        <w:spacing w:line="240" w:lineRule="exact"/>
        <w:ind w:firstLine="450" w:firstLineChars="250"/>
        <w:jc w:val="left"/>
        <w:rPr>
          <w:sz w:val="18"/>
          <w:szCs w:val="18"/>
        </w:rPr>
      </w:pPr>
      <w:r>
        <w:rPr>
          <w:rFonts w:hint="eastAsia"/>
          <w:sz w:val="18"/>
          <w:szCs w:val="18"/>
        </w:rPr>
        <w:t xml:space="preserve">2. </w:t>
      </w:r>
      <w:r>
        <w:rPr>
          <w:sz w:val="18"/>
          <w:szCs w:val="18"/>
        </w:rPr>
        <w:t>自评表条款号同《</w:t>
      </w:r>
      <w:r>
        <w:rPr>
          <w:rFonts w:hint="eastAsia" w:ascii="宋体" w:hAnsi="宋体" w:eastAsia="宋体" w:cs="Times New Roman"/>
          <w:sz w:val="18"/>
          <w:szCs w:val="18"/>
        </w:rPr>
        <w:t>公路计重收费站诚信计量建设规范</w:t>
      </w:r>
      <w:r>
        <w:rPr>
          <w:sz w:val="18"/>
          <w:szCs w:val="18"/>
        </w:rPr>
        <w:t>》</w:t>
      </w:r>
      <w:r>
        <w:rPr>
          <w:rFonts w:hint="eastAsia"/>
          <w:sz w:val="18"/>
          <w:szCs w:val="18"/>
        </w:rPr>
        <w:t>地方</w:t>
      </w:r>
      <w:r>
        <w:rPr>
          <w:sz w:val="18"/>
          <w:szCs w:val="18"/>
        </w:rPr>
        <w:t>标准条款号</w:t>
      </w:r>
      <w:r>
        <w:rPr>
          <w:rFonts w:hint="eastAsia"/>
          <w:sz w:val="18"/>
          <w:szCs w:val="18"/>
        </w:rPr>
        <w:t>。</w:t>
      </w:r>
    </w:p>
    <w:p>
      <w:pPr>
        <w:widowControl/>
        <w:spacing w:line="240" w:lineRule="exact"/>
        <w:ind w:firstLine="450" w:firstLineChars="250"/>
        <w:jc w:val="left"/>
        <w:rPr>
          <w:sz w:val="18"/>
          <w:szCs w:val="18"/>
        </w:rPr>
      </w:pPr>
      <w:r>
        <w:rPr>
          <w:sz w:val="18"/>
          <w:szCs w:val="18"/>
        </w:rPr>
        <w:t xml:space="preserve">3. </w:t>
      </w:r>
      <w:r>
        <w:rPr>
          <w:rFonts w:cs="宋体"/>
          <w:kern w:val="0"/>
          <w:sz w:val="18"/>
          <w:szCs w:val="18"/>
          <w:lang w:val="zh-CN"/>
        </w:rPr>
        <w:t>条款4.1、4.3、4.4</w:t>
      </w:r>
      <w:r>
        <w:rPr>
          <w:rFonts w:hint="eastAsia" w:cs="宋体"/>
          <w:kern w:val="0"/>
          <w:sz w:val="18"/>
          <w:szCs w:val="18"/>
          <w:lang w:val="zh-CN"/>
        </w:rPr>
        <w:t>、</w:t>
      </w:r>
      <w:r>
        <w:rPr>
          <w:rFonts w:cs="宋体"/>
          <w:kern w:val="0"/>
          <w:sz w:val="18"/>
          <w:szCs w:val="18"/>
          <w:lang w:val="zh-CN"/>
        </w:rPr>
        <w:t>5.2.1</w:t>
      </w:r>
      <w:r>
        <w:rPr>
          <w:rFonts w:hint="eastAsia" w:cs="宋体"/>
          <w:kern w:val="0"/>
          <w:sz w:val="18"/>
          <w:szCs w:val="18"/>
          <w:lang w:val="zh-CN"/>
        </w:rPr>
        <w:t>和5.4.2</w:t>
      </w:r>
      <w:r>
        <w:rPr>
          <w:rFonts w:cs="宋体"/>
          <w:kern w:val="0"/>
          <w:sz w:val="18"/>
          <w:szCs w:val="18"/>
          <w:lang w:val="zh-CN"/>
        </w:rPr>
        <w:t>为必备条款（</w:t>
      </w:r>
      <w:r>
        <w:rPr>
          <w:sz w:val="18"/>
          <w:szCs w:val="18"/>
        </w:rPr>
        <w:t>用“</w:t>
      </w:r>
      <w:r>
        <w:rPr>
          <w:rFonts w:hint="eastAsia" w:ascii="黑体" w:hAnsi="黑体" w:eastAsia="黑体" w:cs="微软雅黑"/>
          <w:sz w:val="18"/>
          <w:szCs w:val="18"/>
        </w:rPr>
        <w:t>※</w:t>
      </w:r>
      <w:r>
        <w:rPr>
          <w:rFonts w:ascii="Calibri" w:hAnsi="Calibri" w:cs="Calibri"/>
          <w:sz w:val="18"/>
          <w:szCs w:val="18"/>
        </w:rPr>
        <w:t>”</w:t>
      </w:r>
      <w:r>
        <w:rPr>
          <w:sz w:val="18"/>
          <w:szCs w:val="18"/>
        </w:rPr>
        <w:t>表示</w:t>
      </w:r>
      <w:r>
        <w:rPr>
          <w:rFonts w:cs="宋体"/>
          <w:kern w:val="0"/>
          <w:sz w:val="18"/>
          <w:szCs w:val="18"/>
          <w:lang w:val="zh-CN"/>
        </w:rPr>
        <w:t>），若有不符合，不可进行诚信计量承诺</w:t>
      </w:r>
      <w:r>
        <w:rPr>
          <w:rFonts w:hint="eastAsia" w:cs="宋体"/>
          <w:kern w:val="0"/>
          <w:sz w:val="18"/>
          <w:szCs w:val="18"/>
          <w:lang w:val="zh-CN"/>
        </w:rPr>
        <w:t>。</w:t>
      </w:r>
      <w:r>
        <w:rPr>
          <w:sz w:val="18"/>
          <w:szCs w:val="18"/>
        </w:rPr>
        <w:t xml:space="preserve"> </w:t>
      </w:r>
    </w:p>
    <w:p>
      <w:pPr>
        <w:widowControl/>
        <w:spacing w:line="240" w:lineRule="exact"/>
        <w:ind w:firstLine="450" w:firstLineChars="250"/>
        <w:jc w:val="left"/>
        <w:rPr>
          <w:sz w:val="18"/>
          <w:szCs w:val="18"/>
        </w:rPr>
      </w:pPr>
      <w:r>
        <w:rPr>
          <w:sz w:val="18"/>
          <w:szCs w:val="18"/>
        </w:rPr>
        <w:t xml:space="preserve">4. </w:t>
      </w:r>
      <w:r>
        <w:rPr>
          <w:rFonts w:hint="eastAsia" w:ascii="宋体" w:hAnsi="宋体" w:eastAsia="宋体" w:cs="Times New Roman"/>
          <w:sz w:val="18"/>
          <w:szCs w:val="18"/>
        </w:rPr>
        <w:t>每个</w:t>
      </w:r>
      <w:r>
        <w:rPr>
          <w:rFonts w:ascii="宋体" w:hAnsi="宋体" w:eastAsia="宋体" w:cs="Times New Roman"/>
          <w:sz w:val="18"/>
          <w:szCs w:val="18"/>
        </w:rPr>
        <w:t>二级条款</w:t>
      </w:r>
      <w:r>
        <w:rPr>
          <w:rFonts w:hint="eastAsia" w:ascii="宋体" w:hAnsi="宋体" w:eastAsia="宋体" w:cs="Times New Roman"/>
          <w:sz w:val="18"/>
          <w:szCs w:val="18"/>
        </w:rPr>
        <w:t>评分</w:t>
      </w:r>
      <w:r>
        <w:rPr>
          <w:rFonts w:ascii="宋体" w:hAnsi="宋体" w:eastAsia="宋体" w:cs="Times New Roman"/>
          <w:sz w:val="18"/>
          <w:szCs w:val="18"/>
        </w:rPr>
        <w:t>不可为</w:t>
      </w:r>
      <w:r>
        <w:rPr>
          <w:rFonts w:hint="eastAsia" w:ascii="宋体" w:hAnsi="宋体" w:eastAsia="宋体" w:cs="Times New Roman"/>
          <w:sz w:val="18"/>
          <w:szCs w:val="18"/>
        </w:rPr>
        <w:t>0</w:t>
      </w:r>
      <w:r>
        <w:rPr>
          <w:sz w:val="18"/>
          <w:szCs w:val="18"/>
        </w:rPr>
        <w:t>。</w:t>
      </w:r>
    </w:p>
    <w:p>
      <w:pPr>
        <w:widowControl/>
        <w:spacing w:line="240" w:lineRule="exact"/>
        <w:ind w:firstLine="450" w:firstLineChars="250"/>
        <w:jc w:val="left"/>
        <w:rPr>
          <w:sz w:val="18"/>
          <w:szCs w:val="18"/>
        </w:rPr>
      </w:pPr>
      <w:r>
        <w:rPr>
          <w:sz w:val="18"/>
          <w:szCs w:val="18"/>
        </w:rPr>
        <w:t>5. 累计分值达到 80分为评价合格</w:t>
      </w:r>
      <w:r>
        <w:rPr>
          <w:rFonts w:hint="eastAsia"/>
          <w:sz w:val="18"/>
          <w:szCs w:val="18"/>
        </w:rPr>
        <w:t>。</w:t>
      </w:r>
    </w:p>
    <w:p>
      <w:pPr>
        <w:widowControl/>
        <w:snapToGrid w:val="0"/>
        <w:jc w:val="left"/>
        <w:rPr>
          <w:rFonts w:ascii="Arial"/>
          <w:b/>
          <w:szCs w:val="21"/>
        </w:rPr>
      </w:pPr>
    </w:p>
    <w:p>
      <w:pPr>
        <w:widowControl/>
        <w:snapToGrid w:val="0"/>
        <w:ind w:firstLine="1791" w:firstLineChars="850"/>
        <w:jc w:val="left"/>
        <w:rPr>
          <w:rFonts w:ascii="Arial"/>
          <w:b/>
          <w:szCs w:val="21"/>
        </w:rPr>
      </w:pPr>
      <w:r>
        <w:rPr>
          <w:rFonts w:ascii="Arial"/>
          <w:b/>
          <w:szCs w:val="21"/>
        </w:rPr>
        <w:t>单位</w:t>
      </w:r>
      <w:r>
        <w:rPr>
          <w:rFonts w:hint="eastAsia" w:ascii="Arial"/>
          <w:b/>
          <w:szCs w:val="21"/>
        </w:rPr>
        <w:t>（盖章）</w:t>
      </w:r>
      <w:r>
        <w:rPr>
          <w:rFonts w:ascii="Arial"/>
          <w:b/>
          <w:szCs w:val="21"/>
        </w:rPr>
        <w:t>：</w:t>
      </w:r>
    </w:p>
    <w:p>
      <w:pPr>
        <w:widowControl/>
        <w:snapToGrid w:val="0"/>
        <w:ind w:firstLine="1791" w:firstLineChars="850"/>
        <w:jc w:val="left"/>
        <w:rPr>
          <w:rFonts w:ascii="Arial"/>
          <w:b/>
          <w:szCs w:val="21"/>
        </w:rPr>
      </w:pPr>
    </w:p>
    <w:p>
      <w:pPr>
        <w:widowControl/>
        <w:snapToGrid w:val="0"/>
        <w:ind w:firstLine="1791" w:firstLineChars="850"/>
        <w:jc w:val="left"/>
        <w:rPr>
          <w:rFonts w:ascii="黑体" w:hAnsi="黑体" w:eastAsia="黑体" w:cs="黑体"/>
          <w:szCs w:val="21"/>
        </w:rPr>
      </w:pPr>
      <w:r>
        <w:rPr>
          <w:rFonts w:hint="eastAsia" w:ascii="Arial"/>
          <w:b/>
          <w:szCs w:val="21"/>
        </w:rPr>
        <w:t>评价</w:t>
      </w:r>
      <w:r>
        <w:rPr>
          <w:rFonts w:ascii="Arial"/>
          <w:b/>
          <w:szCs w:val="21"/>
        </w:rPr>
        <w:t>结果：</w:t>
      </w:r>
      <w:r>
        <w:rPr>
          <w:rFonts w:hint="eastAsia" w:ascii="Arial"/>
          <w:b/>
          <w:szCs w:val="21"/>
        </w:rPr>
        <w:t xml:space="preserve">                  </w:t>
      </w:r>
      <w:r>
        <w:rPr>
          <w:rFonts w:ascii="Arial"/>
          <w:b/>
          <w:szCs w:val="21"/>
        </w:rPr>
        <w:t xml:space="preserve">    </w:t>
      </w:r>
      <w:r>
        <w:rPr>
          <w:rFonts w:hint="eastAsia" w:ascii="Arial"/>
          <w:b/>
          <w:szCs w:val="21"/>
        </w:rPr>
        <w:t xml:space="preserve">  评价人员签字：</w:t>
      </w:r>
      <w:r>
        <w:rPr>
          <w:rFonts w:ascii="Arial" w:hAnsi="Arial"/>
          <w:szCs w:val="21"/>
        </w:rPr>
        <w:t xml:space="preserve">                                    </w:t>
      </w:r>
      <w:r>
        <w:rPr>
          <w:rFonts w:hint="eastAsia" w:ascii="Arial"/>
          <w:b/>
          <w:szCs w:val="21"/>
        </w:rPr>
        <w:t>评价日期：</w:t>
      </w:r>
    </w:p>
    <w:sectPr>
      <w:pgSz w:w="16838" w:h="11906" w:orient="landscape"/>
      <w:pgMar w:top="1418" w:right="1134" w:bottom="1418"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altName w:val="Nimbus Roman No9 L"/>
    <w:panose1 w:val="020B0604020202020204"/>
    <w:charset w:val="00"/>
    <w:family w:val="swiss"/>
    <w:pitch w:val="default"/>
    <w:sig w:usb0="00000000" w:usb1="00000000" w:usb2="00000009" w:usb3="00000000" w:csb0="000001FF" w:csb1="00000000"/>
  </w:font>
  <w:font w:name="微软雅黑">
    <w:altName w:val="黑体"/>
    <w:panose1 w:val="020B0503020204020204"/>
    <w:charset w:val="86"/>
    <w:family w:val="swiss"/>
    <w:pitch w:val="default"/>
    <w:sig w:usb0="00000000" w:usb1="00000000"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42"/>
      <w:suff w:val="nothing"/>
      <w:lvlText w:val="注%1："/>
      <w:lvlJc w:val="left"/>
      <w:pPr>
        <w:ind w:left="811" w:hanging="448"/>
      </w:pPr>
      <w:rPr>
        <w:rFonts w:hint="eastAsia" w:ascii="黑体" w:eastAsia="黑体" w:cs="Times New Roman"/>
        <w:b w:val="0"/>
        <w:i w:val="0"/>
        <w:sz w:val="18"/>
      </w:rPr>
    </w:lvl>
    <w:lvl w:ilvl="1" w:tentative="0">
      <w:start w:val="1"/>
      <w:numFmt w:val="lowerLetter"/>
      <w:lvlText w:val="%2)"/>
      <w:lvlJc w:val="left"/>
      <w:pPr>
        <w:tabs>
          <w:tab w:val="left" w:pos="0"/>
        </w:tabs>
        <w:ind w:left="992" w:hanging="629"/>
      </w:pPr>
      <w:rPr>
        <w:rFonts w:hint="eastAsia" w:cs="Times New Roman"/>
      </w:rPr>
    </w:lvl>
    <w:lvl w:ilvl="2" w:tentative="0">
      <w:start w:val="1"/>
      <w:numFmt w:val="lowerRoman"/>
      <w:lvlText w:val="%3."/>
      <w:lvlJc w:val="right"/>
      <w:pPr>
        <w:tabs>
          <w:tab w:val="left" w:pos="0"/>
        </w:tabs>
        <w:ind w:left="992" w:hanging="629"/>
      </w:pPr>
      <w:rPr>
        <w:rFonts w:hint="eastAsia" w:cs="Times New Roman"/>
      </w:rPr>
    </w:lvl>
    <w:lvl w:ilvl="3" w:tentative="0">
      <w:start w:val="1"/>
      <w:numFmt w:val="decimal"/>
      <w:lvlText w:val="%4."/>
      <w:lvlJc w:val="left"/>
      <w:pPr>
        <w:tabs>
          <w:tab w:val="left" w:pos="0"/>
        </w:tabs>
        <w:ind w:left="992" w:hanging="629"/>
      </w:pPr>
      <w:rPr>
        <w:rFonts w:hint="eastAsia" w:cs="Times New Roman"/>
      </w:rPr>
    </w:lvl>
    <w:lvl w:ilvl="4" w:tentative="0">
      <w:start w:val="1"/>
      <w:numFmt w:val="lowerLetter"/>
      <w:lvlText w:val="%5)"/>
      <w:lvlJc w:val="left"/>
      <w:pPr>
        <w:tabs>
          <w:tab w:val="left" w:pos="0"/>
        </w:tabs>
        <w:ind w:left="992" w:hanging="629"/>
      </w:pPr>
      <w:rPr>
        <w:rFonts w:hint="eastAsia" w:cs="Times New Roman"/>
      </w:rPr>
    </w:lvl>
    <w:lvl w:ilvl="5" w:tentative="0">
      <w:start w:val="1"/>
      <w:numFmt w:val="lowerRoman"/>
      <w:lvlText w:val="%6."/>
      <w:lvlJc w:val="right"/>
      <w:pPr>
        <w:tabs>
          <w:tab w:val="left" w:pos="0"/>
        </w:tabs>
        <w:ind w:left="992" w:hanging="629"/>
      </w:pPr>
      <w:rPr>
        <w:rFonts w:hint="eastAsia" w:cs="Times New Roman"/>
      </w:rPr>
    </w:lvl>
    <w:lvl w:ilvl="6" w:tentative="0">
      <w:start w:val="1"/>
      <w:numFmt w:val="decimal"/>
      <w:lvlText w:val="%7."/>
      <w:lvlJc w:val="left"/>
      <w:pPr>
        <w:tabs>
          <w:tab w:val="left" w:pos="0"/>
        </w:tabs>
        <w:ind w:left="992" w:hanging="629"/>
      </w:pPr>
      <w:rPr>
        <w:rFonts w:hint="eastAsia" w:cs="Times New Roman"/>
      </w:rPr>
    </w:lvl>
    <w:lvl w:ilvl="7" w:tentative="0">
      <w:start w:val="1"/>
      <w:numFmt w:val="lowerLetter"/>
      <w:lvlText w:val="%8)"/>
      <w:lvlJc w:val="left"/>
      <w:pPr>
        <w:tabs>
          <w:tab w:val="left" w:pos="0"/>
        </w:tabs>
        <w:ind w:left="992" w:hanging="629"/>
      </w:pPr>
      <w:rPr>
        <w:rFonts w:hint="eastAsia" w:cs="Times New Roman"/>
      </w:rPr>
    </w:lvl>
    <w:lvl w:ilvl="8" w:tentative="0">
      <w:start w:val="1"/>
      <w:numFmt w:val="lowerRoman"/>
      <w:lvlText w:val="%9."/>
      <w:lvlJc w:val="right"/>
      <w:pPr>
        <w:tabs>
          <w:tab w:val="left" w:pos="0"/>
        </w:tabs>
        <w:ind w:left="992" w:hanging="629"/>
      </w:pPr>
      <w:rPr>
        <w:rFonts w:hint="eastAsia" w:cs="Times New Roman"/>
      </w:rPr>
    </w:lvl>
  </w:abstractNum>
  <w:abstractNum w:abstractNumId="1">
    <w:nsid w:val="16667BBD"/>
    <w:multiLevelType w:val="multilevel"/>
    <w:tmpl w:val="16667BBD"/>
    <w:lvl w:ilvl="0" w:tentative="0">
      <w:start w:val="1"/>
      <w:numFmt w:val="lowerLetter"/>
      <w:pStyle w:val="34"/>
      <w:lvlText w:val="%1)"/>
      <w:lvlJc w:val="left"/>
      <w:pPr>
        <w:tabs>
          <w:tab w:val="left" w:pos="840"/>
        </w:tabs>
        <w:ind w:left="839" w:hanging="419"/>
      </w:pPr>
      <w:rPr>
        <w:rFonts w:hint="eastAsia"/>
        <w:b w:val="0"/>
        <w:i w:val="0"/>
        <w:sz w:val="21"/>
        <w:szCs w:val="21"/>
      </w:rPr>
    </w:lvl>
    <w:lvl w:ilvl="1" w:tentative="0">
      <w:start w:val="1"/>
      <w:numFmt w:val="decimal"/>
      <w:pStyle w:val="32"/>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
    <w:nsid w:val="657D3FBC"/>
    <w:multiLevelType w:val="multilevel"/>
    <w:tmpl w:val="657D3FBC"/>
    <w:lvl w:ilvl="0" w:tentative="0">
      <w:start w:val="1"/>
      <w:numFmt w:val="upperLetter"/>
      <w:pStyle w:val="18"/>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23"/>
      <w:suff w:val="nothing"/>
      <w:lvlText w:val="%1.%2　"/>
      <w:lvlJc w:val="left"/>
      <w:pPr>
        <w:ind w:left="2836" w:firstLine="0"/>
      </w:pPr>
      <w:rPr>
        <w:rFonts w:hint="eastAsia" w:ascii="黑体" w:hAnsi="Times New Roman" w:eastAsia="黑体"/>
        <w:b w:val="0"/>
        <w:i w:val="0"/>
        <w:snapToGrid/>
        <w:spacing w:val="0"/>
        <w:w w:val="100"/>
        <w:kern w:val="21"/>
        <w:sz w:val="21"/>
      </w:rPr>
    </w:lvl>
    <w:lvl w:ilvl="2" w:tentative="0">
      <w:start w:val="1"/>
      <w:numFmt w:val="decimal"/>
      <w:pStyle w:val="24"/>
      <w:suff w:val="nothing"/>
      <w:lvlText w:val="%1.%2.%3　"/>
      <w:lvlJc w:val="left"/>
      <w:pPr>
        <w:ind w:left="0" w:firstLine="0"/>
      </w:pPr>
      <w:rPr>
        <w:rFonts w:hint="eastAsia" w:ascii="黑体" w:hAnsi="Times New Roman" w:eastAsia="黑体"/>
        <w:b w:val="0"/>
        <w:i w:val="0"/>
        <w:sz w:val="21"/>
      </w:rPr>
    </w:lvl>
    <w:lvl w:ilvl="3" w:tentative="0">
      <w:start w:val="1"/>
      <w:numFmt w:val="decimal"/>
      <w:pStyle w:val="19"/>
      <w:suff w:val="nothing"/>
      <w:lvlText w:val="%1.%2.%3.%4　"/>
      <w:lvlJc w:val="left"/>
      <w:pPr>
        <w:ind w:left="0" w:firstLine="0"/>
      </w:pPr>
      <w:rPr>
        <w:rFonts w:hint="eastAsia" w:ascii="黑体" w:hAnsi="Times New Roman" w:eastAsia="黑体"/>
        <w:b w:val="0"/>
        <w:i w:val="0"/>
        <w:sz w:val="21"/>
      </w:rPr>
    </w:lvl>
    <w:lvl w:ilvl="4" w:tentative="0">
      <w:start w:val="1"/>
      <w:numFmt w:val="decimal"/>
      <w:pStyle w:val="20"/>
      <w:suff w:val="nothing"/>
      <w:lvlText w:val="%1.%2.%3.%4.%5　"/>
      <w:lvlJc w:val="left"/>
      <w:pPr>
        <w:ind w:left="0" w:firstLine="0"/>
      </w:pPr>
      <w:rPr>
        <w:rFonts w:hint="eastAsia" w:ascii="黑体" w:hAnsi="Times New Roman" w:eastAsia="黑体"/>
        <w:b w:val="0"/>
        <w:i w:val="0"/>
        <w:sz w:val="21"/>
      </w:rPr>
    </w:lvl>
    <w:lvl w:ilvl="5" w:tentative="0">
      <w:start w:val="1"/>
      <w:numFmt w:val="decimal"/>
      <w:pStyle w:val="21"/>
      <w:suff w:val="nothing"/>
      <w:lvlText w:val="%1.%2.%3.%4.%5.%6　"/>
      <w:lvlJc w:val="left"/>
      <w:pPr>
        <w:ind w:left="0" w:firstLine="0"/>
      </w:pPr>
      <w:rPr>
        <w:rFonts w:hint="eastAsia" w:ascii="黑体" w:hAnsi="Times New Roman" w:eastAsia="黑体"/>
        <w:b w:val="0"/>
        <w:i w:val="0"/>
        <w:sz w:val="21"/>
      </w:rPr>
    </w:lvl>
    <w:lvl w:ilvl="6" w:tentative="0">
      <w:start w:val="1"/>
      <w:numFmt w:val="decimal"/>
      <w:pStyle w:val="22"/>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9FA6A86"/>
    <w:multiLevelType w:val="multilevel"/>
    <w:tmpl w:val="69FA6A86"/>
    <w:lvl w:ilvl="0" w:tentative="0">
      <w:start w:val="1"/>
      <w:numFmt w:val="decimal"/>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35"/>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4">
    <w:nsid w:val="6CE73117"/>
    <w:multiLevelType w:val="multilevel"/>
    <w:tmpl w:val="6CE73117"/>
    <w:lvl w:ilvl="0" w:tentative="0">
      <w:start w:val="1"/>
      <w:numFmt w:val="decimal"/>
      <w:pStyle w:val="26"/>
      <w:suff w:val="space"/>
      <w:lvlText w:val="%1 "/>
      <w:lvlJc w:val="left"/>
      <w:pPr>
        <w:ind w:left="0" w:firstLine="0"/>
      </w:pPr>
      <w:rPr>
        <w:rFonts w:hint="eastAsia" w:eastAsia="黑体"/>
        <w:sz w:val="21"/>
      </w:rPr>
    </w:lvl>
    <w:lvl w:ilvl="1" w:tentative="0">
      <w:start w:val="1"/>
      <w:numFmt w:val="decimal"/>
      <w:pStyle w:val="25"/>
      <w:suff w:val="space"/>
      <w:lvlText w:val="%1.%2 "/>
      <w:lvlJc w:val="left"/>
      <w:pPr>
        <w:ind w:left="0" w:firstLine="0"/>
      </w:pPr>
      <w:rPr>
        <w:rFonts w:hint="eastAsia" w:ascii="黑体" w:hAnsi="黑体" w:eastAsia="黑体"/>
      </w:rPr>
    </w:lvl>
    <w:lvl w:ilvl="2" w:tentative="0">
      <w:start w:val="1"/>
      <w:numFmt w:val="decimal"/>
      <w:pStyle w:val="27"/>
      <w:suff w:val="space"/>
      <w:lvlText w:val="%1.%2.%3 "/>
      <w:lvlJc w:val="left"/>
      <w:pPr>
        <w:ind w:left="142" w:firstLine="0"/>
      </w:pPr>
      <w:rPr>
        <w:rFonts w:hint="eastAsia" w:ascii="黑体" w:hAnsi="黑体" w:eastAsia="黑体"/>
        <w:color w:val="auto"/>
      </w:rPr>
    </w:lvl>
    <w:lvl w:ilvl="3" w:tentative="0">
      <w:start w:val="1"/>
      <w:numFmt w:val="decimal"/>
      <w:pStyle w:val="28"/>
      <w:suff w:val="space"/>
      <w:lvlText w:val="%1.%2.%3.%4 "/>
      <w:lvlJc w:val="left"/>
      <w:pPr>
        <w:ind w:left="0" w:firstLine="0"/>
      </w:pPr>
      <w:rPr>
        <w:rFonts w:hint="eastAsia"/>
      </w:rPr>
    </w:lvl>
    <w:lvl w:ilvl="4" w:tentative="0">
      <w:start w:val="1"/>
      <w:numFmt w:val="decimal"/>
      <w:pStyle w:val="29"/>
      <w:suff w:val="space"/>
      <w:lvlText w:val="%1.%2.%3.%4.%5 "/>
      <w:lvlJc w:val="left"/>
      <w:pPr>
        <w:ind w:left="0" w:firstLine="0"/>
      </w:pPr>
      <w:rPr>
        <w:rFonts w:hint="eastAsia"/>
      </w:rPr>
    </w:lvl>
    <w:lvl w:ilvl="5" w:tentative="0">
      <w:start w:val="1"/>
      <w:numFmt w:val="decimal"/>
      <w:pStyle w:val="30"/>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5">
    <w:nsid w:val="6DBF04F4"/>
    <w:multiLevelType w:val="multilevel"/>
    <w:tmpl w:val="6DBF04F4"/>
    <w:lvl w:ilvl="0" w:tentative="0">
      <w:start w:val="1"/>
      <w:numFmt w:val="none"/>
      <w:pStyle w:val="33"/>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2"/>
  </w:num>
  <w:num w:numId="2">
    <w:abstractNumId w:val="4"/>
  </w:num>
  <w:num w:numId="3">
    <w:abstractNumId w:val="1"/>
  </w:num>
  <w:num w:numId="4">
    <w:abstractNumId w:val="5"/>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D51"/>
    <w:rsid w:val="00003587"/>
    <w:rsid w:val="00023A54"/>
    <w:rsid w:val="000242F7"/>
    <w:rsid w:val="00026306"/>
    <w:rsid w:val="000332EA"/>
    <w:rsid w:val="00035152"/>
    <w:rsid w:val="00046128"/>
    <w:rsid w:val="00062C1A"/>
    <w:rsid w:val="00072CE0"/>
    <w:rsid w:val="00077702"/>
    <w:rsid w:val="00082B75"/>
    <w:rsid w:val="00084E9F"/>
    <w:rsid w:val="00093B84"/>
    <w:rsid w:val="000952AE"/>
    <w:rsid w:val="000A58A5"/>
    <w:rsid w:val="000A6A28"/>
    <w:rsid w:val="000B31D1"/>
    <w:rsid w:val="000C1526"/>
    <w:rsid w:val="000D4BEC"/>
    <w:rsid w:val="000D6440"/>
    <w:rsid w:val="000D7E64"/>
    <w:rsid w:val="000F3DDD"/>
    <w:rsid w:val="00100ECC"/>
    <w:rsid w:val="00104FAB"/>
    <w:rsid w:val="00116D51"/>
    <w:rsid w:val="001204B3"/>
    <w:rsid w:val="0014630E"/>
    <w:rsid w:val="001513BF"/>
    <w:rsid w:val="00154ACF"/>
    <w:rsid w:val="00156E77"/>
    <w:rsid w:val="00157076"/>
    <w:rsid w:val="0018441D"/>
    <w:rsid w:val="00184F8A"/>
    <w:rsid w:val="00193572"/>
    <w:rsid w:val="001D266E"/>
    <w:rsid w:val="001D6D31"/>
    <w:rsid w:val="001F14AC"/>
    <w:rsid w:val="001F26BE"/>
    <w:rsid w:val="001F5616"/>
    <w:rsid w:val="001F683F"/>
    <w:rsid w:val="001F75F9"/>
    <w:rsid w:val="00201AD7"/>
    <w:rsid w:val="00204E36"/>
    <w:rsid w:val="00205E29"/>
    <w:rsid w:val="0021773C"/>
    <w:rsid w:val="00226C67"/>
    <w:rsid w:val="00231AAE"/>
    <w:rsid w:val="002367C5"/>
    <w:rsid w:val="00247606"/>
    <w:rsid w:val="00253C08"/>
    <w:rsid w:val="00267034"/>
    <w:rsid w:val="002777E9"/>
    <w:rsid w:val="00282B68"/>
    <w:rsid w:val="00283994"/>
    <w:rsid w:val="00283D91"/>
    <w:rsid w:val="00297372"/>
    <w:rsid w:val="002C68B3"/>
    <w:rsid w:val="002D2609"/>
    <w:rsid w:val="002E0E24"/>
    <w:rsid w:val="002F110A"/>
    <w:rsid w:val="00305A44"/>
    <w:rsid w:val="003131AF"/>
    <w:rsid w:val="00327ED2"/>
    <w:rsid w:val="003559B2"/>
    <w:rsid w:val="003560A2"/>
    <w:rsid w:val="0036343A"/>
    <w:rsid w:val="00366814"/>
    <w:rsid w:val="003708E4"/>
    <w:rsid w:val="00384F68"/>
    <w:rsid w:val="003851B3"/>
    <w:rsid w:val="00385EE6"/>
    <w:rsid w:val="003914A7"/>
    <w:rsid w:val="0039404F"/>
    <w:rsid w:val="0039486D"/>
    <w:rsid w:val="003974CB"/>
    <w:rsid w:val="003A5C68"/>
    <w:rsid w:val="003C22FE"/>
    <w:rsid w:val="003F3F6F"/>
    <w:rsid w:val="00403849"/>
    <w:rsid w:val="004152D3"/>
    <w:rsid w:val="00415D41"/>
    <w:rsid w:val="004251C7"/>
    <w:rsid w:val="00427BF9"/>
    <w:rsid w:val="0043354B"/>
    <w:rsid w:val="00437E62"/>
    <w:rsid w:val="004609EA"/>
    <w:rsid w:val="00463210"/>
    <w:rsid w:val="004638A8"/>
    <w:rsid w:val="00466DEC"/>
    <w:rsid w:val="004933BE"/>
    <w:rsid w:val="004A1019"/>
    <w:rsid w:val="004B0168"/>
    <w:rsid w:val="004B14D1"/>
    <w:rsid w:val="004B7B4B"/>
    <w:rsid w:val="004C0A6B"/>
    <w:rsid w:val="004C2C42"/>
    <w:rsid w:val="004C4759"/>
    <w:rsid w:val="004D4B4D"/>
    <w:rsid w:val="0050094B"/>
    <w:rsid w:val="00507801"/>
    <w:rsid w:val="005343F6"/>
    <w:rsid w:val="00536A6C"/>
    <w:rsid w:val="00543183"/>
    <w:rsid w:val="00546BDF"/>
    <w:rsid w:val="00557B0B"/>
    <w:rsid w:val="005664AA"/>
    <w:rsid w:val="0057447B"/>
    <w:rsid w:val="005919A9"/>
    <w:rsid w:val="0059398F"/>
    <w:rsid w:val="005942C9"/>
    <w:rsid w:val="005B4EAA"/>
    <w:rsid w:val="005B5C22"/>
    <w:rsid w:val="005B5CF4"/>
    <w:rsid w:val="005C1044"/>
    <w:rsid w:val="005C25F3"/>
    <w:rsid w:val="005C6C9B"/>
    <w:rsid w:val="005E0408"/>
    <w:rsid w:val="005E6770"/>
    <w:rsid w:val="005F01FC"/>
    <w:rsid w:val="005F0EC4"/>
    <w:rsid w:val="005F2B78"/>
    <w:rsid w:val="005F31E3"/>
    <w:rsid w:val="00601381"/>
    <w:rsid w:val="006035EF"/>
    <w:rsid w:val="00617F4E"/>
    <w:rsid w:val="00626F81"/>
    <w:rsid w:val="00632940"/>
    <w:rsid w:val="00640DE4"/>
    <w:rsid w:val="00641FB1"/>
    <w:rsid w:val="00645127"/>
    <w:rsid w:val="006519DE"/>
    <w:rsid w:val="00652CAF"/>
    <w:rsid w:val="00657EDB"/>
    <w:rsid w:val="006618A8"/>
    <w:rsid w:val="006619EA"/>
    <w:rsid w:val="00667945"/>
    <w:rsid w:val="00671AD3"/>
    <w:rsid w:val="00680CEF"/>
    <w:rsid w:val="0068364A"/>
    <w:rsid w:val="00691AE1"/>
    <w:rsid w:val="0069446C"/>
    <w:rsid w:val="00694EAB"/>
    <w:rsid w:val="006B02E2"/>
    <w:rsid w:val="006B0BC4"/>
    <w:rsid w:val="006B7DF7"/>
    <w:rsid w:val="006C2DEB"/>
    <w:rsid w:val="006C3723"/>
    <w:rsid w:val="006D08C1"/>
    <w:rsid w:val="006E142C"/>
    <w:rsid w:val="007142FB"/>
    <w:rsid w:val="00735B0E"/>
    <w:rsid w:val="00745517"/>
    <w:rsid w:val="007653C1"/>
    <w:rsid w:val="00771101"/>
    <w:rsid w:val="00777DA8"/>
    <w:rsid w:val="007806D7"/>
    <w:rsid w:val="00790262"/>
    <w:rsid w:val="007907BF"/>
    <w:rsid w:val="00791969"/>
    <w:rsid w:val="007A60AC"/>
    <w:rsid w:val="007B2D93"/>
    <w:rsid w:val="007C5BE2"/>
    <w:rsid w:val="007C74B4"/>
    <w:rsid w:val="007E1FAB"/>
    <w:rsid w:val="007E57A2"/>
    <w:rsid w:val="007E602F"/>
    <w:rsid w:val="007F0EA1"/>
    <w:rsid w:val="0080236C"/>
    <w:rsid w:val="0080739F"/>
    <w:rsid w:val="00812D15"/>
    <w:rsid w:val="00820367"/>
    <w:rsid w:val="00823C05"/>
    <w:rsid w:val="00825331"/>
    <w:rsid w:val="008270E5"/>
    <w:rsid w:val="00831A9B"/>
    <w:rsid w:val="008404CD"/>
    <w:rsid w:val="00845582"/>
    <w:rsid w:val="00847A8F"/>
    <w:rsid w:val="008520B3"/>
    <w:rsid w:val="00853298"/>
    <w:rsid w:val="0085422E"/>
    <w:rsid w:val="008553DA"/>
    <w:rsid w:val="008717E8"/>
    <w:rsid w:val="00885988"/>
    <w:rsid w:val="008872B7"/>
    <w:rsid w:val="0089442E"/>
    <w:rsid w:val="00897A71"/>
    <w:rsid w:val="008A5FBD"/>
    <w:rsid w:val="008B0A86"/>
    <w:rsid w:val="008B5A26"/>
    <w:rsid w:val="008B6384"/>
    <w:rsid w:val="008C2B6F"/>
    <w:rsid w:val="008C6E62"/>
    <w:rsid w:val="008E590B"/>
    <w:rsid w:val="008E79EC"/>
    <w:rsid w:val="008F1BA4"/>
    <w:rsid w:val="008F273E"/>
    <w:rsid w:val="008F7007"/>
    <w:rsid w:val="00902401"/>
    <w:rsid w:val="00913C58"/>
    <w:rsid w:val="00916090"/>
    <w:rsid w:val="009238C7"/>
    <w:rsid w:val="00924C47"/>
    <w:rsid w:val="00932982"/>
    <w:rsid w:val="0093795A"/>
    <w:rsid w:val="0094047A"/>
    <w:rsid w:val="009458B3"/>
    <w:rsid w:val="00950726"/>
    <w:rsid w:val="00954986"/>
    <w:rsid w:val="0095555B"/>
    <w:rsid w:val="0096224F"/>
    <w:rsid w:val="00966BBB"/>
    <w:rsid w:val="00993C26"/>
    <w:rsid w:val="00995891"/>
    <w:rsid w:val="009A1AF4"/>
    <w:rsid w:val="009A29B2"/>
    <w:rsid w:val="009A4BDE"/>
    <w:rsid w:val="009B2BE9"/>
    <w:rsid w:val="009C616B"/>
    <w:rsid w:val="009C6500"/>
    <w:rsid w:val="009C7126"/>
    <w:rsid w:val="009E7F05"/>
    <w:rsid w:val="009F65FE"/>
    <w:rsid w:val="00A152D4"/>
    <w:rsid w:val="00A156CF"/>
    <w:rsid w:val="00A30427"/>
    <w:rsid w:val="00A30838"/>
    <w:rsid w:val="00A46E31"/>
    <w:rsid w:val="00A623DF"/>
    <w:rsid w:val="00A67762"/>
    <w:rsid w:val="00A70E4A"/>
    <w:rsid w:val="00AA3342"/>
    <w:rsid w:val="00AB4109"/>
    <w:rsid w:val="00AB4665"/>
    <w:rsid w:val="00AD518A"/>
    <w:rsid w:val="00AE2672"/>
    <w:rsid w:val="00AE7263"/>
    <w:rsid w:val="00B16382"/>
    <w:rsid w:val="00B21BE4"/>
    <w:rsid w:val="00B24824"/>
    <w:rsid w:val="00B25670"/>
    <w:rsid w:val="00B27BF6"/>
    <w:rsid w:val="00B37C21"/>
    <w:rsid w:val="00B448FA"/>
    <w:rsid w:val="00B47AC3"/>
    <w:rsid w:val="00B63403"/>
    <w:rsid w:val="00B638AB"/>
    <w:rsid w:val="00B66DE0"/>
    <w:rsid w:val="00B93037"/>
    <w:rsid w:val="00B93E38"/>
    <w:rsid w:val="00B94B99"/>
    <w:rsid w:val="00BA291A"/>
    <w:rsid w:val="00BA4CDE"/>
    <w:rsid w:val="00BA6720"/>
    <w:rsid w:val="00BB27D7"/>
    <w:rsid w:val="00BB4092"/>
    <w:rsid w:val="00BC7694"/>
    <w:rsid w:val="00BF41D3"/>
    <w:rsid w:val="00C04DB2"/>
    <w:rsid w:val="00C05E9B"/>
    <w:rsid w:val="00C728CF"/>
    <w:rsid w:val="00C827F9"/>
    <w:rsid w:val="00CA2D26"/>
    <w:rsid w:val="00CA4BC1"/>
    <w:rsid w:val="00CC3643"/>
    <w:rsid w:val="00CD27BE"/>
    <w:rsid w:val="00CD70D0"/>
    <w:rsid w:val="00CE07F4"/>
    <w:rsid w:val="00CF6BCD"/>
    <w:rsid w:val="00D0026A"/>
    <w:rsid w:val="00D02509"/>
    <w:rsid w:val="00D03CE2"/>
    <w:rsid w:val="00D15F77"/>
    <w:rsid w:val="00D33993"/>
    <w:rsid w:val="00D41210"/>
    <w:rsid w:val="00D55C3B"/>
    <w:rsid w:val="00D62CC6"/>
    <w:rsid w:val="00D7379E"/>
    <w:rsid w:val="00D73A4A"/>
    <w:rsid w:val="00D87364"/>
    <w:rsid w:val="00D87D5F"/>
    <w:rsid w:val="00D918A6"/>
    <w:rsid w:val="00D95692"/>
    <w:rsid w:val="00DA2E3B"/>
    <w:rsid w:val="00DC14DB"/>
    <w:rsid w:val="00DC2D3C"/>
    <w:rsid w:val="00DC7E26"/>
    <w:rsid w:val="00DD5766"/>
    <w:rsid w:val="00DD5D3E"/>
    <w:rsid w:val="00DE1E74"/>
    <w:rsid w:val="00DE5729"/>
    <w:rsid w:val="00DE67F9"/>
    <w:rsid w:val="00DE7CB9"/>
    <w:rsid w:val="00DF310F"/>
    <w:rsid w:val="00DF4734"/>
    <w:rsid w:val="00E20444"/>
    <w:rsid w:val="00E268EF"/>
    <w:rsid w:val="00E33576"/>
    <w:rsid w:val="00E462B3"/>
    <w:rsid w:val="00E61D5B"/>
    <w:rsid w:val="00E6757E"/>
    <w:rsid w:val="00E77AD1"/>
    <w:rsid w:val="00E82614"/>
    <w:rsid w:val="00E95373"/>
    <w:rsid w:val="00E954B9"/>
    <w:rsid w:val="00E95E37"/>
    <w:rsid w:val="00EA5948"/>
    <w:rsid w:val="00ED4C24"/>
    <w:rsid w:val="00ED78D0"/>
    <w:rsid w:val="00EF6068"/>
    <w:rsid w:val="00F0281E"/>
    <w:rsid w:val="00F0759A"/>
    <w:rsid w:val="00F100E3"/>
    <w:rsid w:val="00F23CD7"/>
    <w:rsid w:val="00F37BBC"/>
    <w:rsid w:val="00F6124F"/>
    <w:rsid w:val="00F6228B"/>
    <w:rsid w:val="00F90851"/>
    <w:rsid w:val="00F96DAB"/>
    <w:rsid w:val="00FA007E"/>
    <w:rsid w:val="00FD204E"/>
    <w:rsid w:val="00FE4830"/>
    <w:rsid w:val="A9FB0C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7"/>
    <w:qFormat/>
    <w:uiPriority w:val="99"/>
    <w:pPr>
      <w:autoSpaceDE w:val="0"/>
      <w:autoSpaceDN w:val="0"/>
      <w:adjustRightInd w:val="0"/>
      <w:jc w:val="left"/>
    </w:pPr>
    <w:rPr>
      <w:rFonts w:ascii="宋体" w:cs="宋体"/>
      <w:sz w:val="22"/>
    </w:rPr>
  </w:style>
  <w:style w:type="paragraph" w:styleId="3">
    <w:name w:val="Balloon Text"/>
    <w:basedOn w:val="1"/>
    <w:link w:val="15"/>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8">
    <w:name w:val="Table Grid"/>
    <w:basedOn w:val="7"/>
    <w:qFormat/>
    <w:uiPriority w:val="0"/>
    <w:rPr>
      <w:rFonts w:ascii="宋体" w:hAnsi="Times New Roman" w:eastAsia="宋体" w:cs="Times New Roman"/>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页眉 Char"/>
    <w:basedOn w:val="9"/>
    <w:link w:val="5"/>
    <w:qFormat/>
    <w:uiPriority w:val="99"/>
    <w:rPr>
      <w:sz w:val="18"/>
      <w:szCs w:val="18"/>
    </w:rPr>
  </w:style>
  <w:style w:type="character" w:customStyle="1" w:styleId="13">
    <w:name w:val="页脚 Char"/>
    <w:basedOn w:val="9"/>
    <w:link w:val="4"/>
    <w:qFormat/>
    <w:uiPriority w:val="99"/>
    <w:rPr>
      <w:sz w:val="18"/>
      <w:szCs w:val="18"/>
    </w:rPr>
  </w:style>
  <w:style w:type="paragraph" w:styleId="14">
    <w:name w:val="List Paragraph"/>
    <w:basedOn w:val="1"/>
    <w:qFormat/>
    <w:uiPriority w:val="1"/>
    <w:pPr>
      <w:ind w:firstLine="420" w:firstLineChars="200"/>
    </w:pPr>
  </w:style>
  <w:style w:type="character" w:customStyle="1" w:styleId="15">
    <w:name w:val="批注框文本 Char"/>
    <w:basedOn w:val="9"/>
    <w:link w:val="3"/>
    <w:semiHidden/>
    <w:qFormat/>
    <w:uiPriority w:val="99"/>
    <w:rPr>
      <w:sz w:val="18"/>
      <w:szCs w:val="18"/>
    </w:rPr>
  </w:style>
  <w:style w:type="paragraph" w:customStyle="1" w:styleId="16">
    <w:name w:val="段"/>
    <w:link w:val="17"/>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0"/>
      <w:sz w:val="21"/>
      <w:szCs w:val="20"/>
      <w:lang w:val="en-US" w:eastAsia="zh-CN" w:bidi="ar-SA"/>
    </w:rPr>
  </w:style>
  <w:style w:type="character" w:customStyle="1" w:styleId="17">
    <w:name w:val="段 Char"/>
    <w:link w:val="16"/>
    <w:qFormat/>
    <w:uiPriority w:val="0"/>
    <w:rPr>
      <w:rFonts w:ascii="宋体" w:hAnsi="Times New Roman" w:eastAsia="宋体" w:cs="Times New Roman"/>
      <w:kern w:val="0"/>
      <w:szCs w:val="20"/>
    </w:rPr>
  </w:style>
  <w:style w:type="paragraph" w:customStyle="1" w:styleId="18">
    <w:name w:val="附录标识"/>
    <w:basedOn w:val="1"/>
    <w:next w:val="16"/>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19">
    <w:name w:val="附录二级条标题"/>
    <w:basedOn w:val="1"/>
    <w:next w:val="16"/>
    <w:qFormat/>
    <w:uiPriority w:val="0"/>
    <w:pPr>
      <w:widowControl/>
      <w:numPr>
        <w:ilvl w:val="3"/>
        <w:numId w:val="1"/>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20">
    <w:name w:val="附录三级条标题"/>
    <w:basedOn w:val="19"/>
    <w:next w:val="16"/>
    <w:qFormat/>
    <w:uiPriority w:val="0"/>
    <w:pPr>
      <w:numPr>
        <w:ilvl w:val="4"/>
      </w:numPr>
      <w:outlineLvl w:val="4"/>
    </w:pPr>
  </w:style>
  <w:style w:type="paragraph" w:customStyle="1" w:styleId="21">
    <w:name w:val="附录四级条标题"/>
    <w:basedOn w:val="20"/>
    <w:next w:val="16"/>
    <w:qFormat/>
    <w:uiPriority w:val="0"/>
    <w:pPr>
      <w:numPr>
        <w:ilvl w:val="5"/>
      </w:numPr>
      <w:outlineLvl w:val="5"/>
    </w:pPr>
  </w:style>
  <w:style w:type="paragraph" w:customStyle="1" w:styleId="22">
    <w:name w:val="附录五级条标题"/>
    <w:basedOn w:val="21"/>
    <w:next w:val="16"/>
    <w:qFormat/>
    <w:uiPriority w:val="0"/>
    <w:pPr>
      <w:numPr>
        <w:ilvl w:val="6"/>
      </w:numPr>
      <w:outlineLvl w:val="6"/>
    </w:pPr>
  </w:style>
  <w:style w:type="paragraph" w:customStyle="1" w:styleId="23">
    <w:name w:val="附录章标题"/>
    <w:next w:val="16"/>
    <w:qFormat/>
    <w:uiPriority w:val="0"/>
    <w:pPr>
      <w:numPr>
        <w:ilvl w:val="1"/>
        <w:numId w:val="1"/>
      </w:numPr>
      <w:tabs>
        <w:tab w:val="left" w:pos="360"/>
      </w:tabs>
      <w:wordWrap w:val="0"/>
      <w:overflowPunct w:val="0"/>
      <w:autoSpaceDE w:val="0"/>
      <w:spacing w:beforeLines="100" w:afterLines="100"/>
      <w:ind w:left="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24">
    <w:name w:val="附录一级条标题"/>
    <w:basedOn w:val="23"/>
    <w:next w:val="16"/>
    <w:qFormat/>
    <w:uiPriority w:val="0"/>
    <w:pPr>
      <w:numPr>
        <w:ilvl w:val="2"/>
      </w:numPr>
      <w:autoSpaceDN w:val="0"/>
      <w:spacing w:beforeLines="50" w:afterLines="50"/>
      <w:outlineLvl w:val="2"/>
    </w:pPr>
  </w:style>
  <w:style w:type="paragraph" w:customStyle="1" w:styleId="25">
    <w:name w:val="一级条标题"/>
    <w:next w:val="1"/>
    <w:qFormat/>
    <w:uiPriority w:val="0"/>
    <w:pPr>
      <w:numPr>
        <w:ilvl w:val="1"/>
        <w:numId w:val="2"/>
      </w:numPr>
      <w:spacing w:beforeLines="50" w:afterLines="50"/>
      <w:outlineLvl w:val="2"/>
    </w:pPr>
    <w:rPr>
      <w:rFonts w:ascii="黑体" w:hAnsi="Times New Roman" w:eastAsia="黑体" w:cs="Times New Roman"/>
      <w:kern w:val="0"/>
      <w:sz w:val="21"/>
      <w:szCs w:val="21"/>
      <w:shd w:val="clear" w:color="auto" w:fill="FFFFFF"/>
      <w:lang w:val="en-US" w:eastAsia="zh-CN" w:bidi="ar-SA"/>
    </w:rPr>
  </w:style>
  <w:style w:type="paragraph" w:customStyle="1" w:styleId="26">
    <w:name w:val="章标题"/>
    <w:next w:val="1"/>
    <w:qFormat/>
    <w:uiPriority w:val="0"/>
    <w:pPr>
      <w:numPr>
        <w:ilvl w:val="0"/>
        <w:numId w:val="2"/>
      </w:numPr>
      <w:spacing w:beforeLines="100" w:afterLines="100"/>
      <w:jc w:val="both"/>
      <w:outlineLvl w:val="1"/>
    </w:pPr>
    <w:rPr>
      <w:rFonts w:ascii="黑体" w:hAnsi="Times New Roman" w:eastAsia="黑体" w:cs="Times New Roman"/>
      <w:kern w:val="0"/>
      <w:sz w:val="21"/>
      <w:szCs w:val="20"/>
      <w:shd w:val="clear" w:color="auto" w:fill="FFFFFF"/>
      <w:lang w:val="en-US" w:eastAsia="zh-CN" w:bidi="ar-SA"/>
    </w:rPr>
  </w:style>
  <w:style w:type="paragraph" w:customStyle="1" w:styleId="27">
    <w:name w:val="二级条标题"/>
    <w:basedOn w:val="25"/>
    <w:next w:val="1"/>
    <w:qFormat/>
    <w:uiPriority w:val="0"/>
    <w:pPr>
      <w:numPr>
        <w:ilvl w:val="2"/>
      </w:numPr>
      <w:ind w:left="0"/>
      <w:outlineLvl w:val="3"/>
    </w:pPr>
  </w:style>
  <w:style w:type="paragraph" w:customStyle="1" w:styleId="28">
    <w:name w:val="三级条标题"/>
    <w:basedOn w:val="27"/>
    <w:next w:val="1"/>
    <w:qFormat/>
    <w:uiPriority w:val="0"/>
    <w:pPr>
      <w:numPr>
        <w:ilvl w:val="3"/>
      </w:numPr>
      <w:outlineLvl w:val="4"/>
    </w:pPr>
    <w:rPr>
      <w:rFonts w:asciiTheme="minorEastAsia" w:hAnsiTheme="minorEastAsia"/>
    </w:rPr>
  </w:style>
  <w:style w:type="paragraph" w:customStyle="1" w:styleId="29">
    <w:name w:val="四级条标题"/>
    <w:basedOn w:val="28"/>
    <w:next w:val="1"/>
    <w:qFormat/>
    <w:uiPriority w:val="0"/>
    <w:pPr>
      <w:numPr>
        <w:ilvl w:val="4"/>
      </w:numPr>
      <w:outlineLvl w:val="5"/>
    </w:pPr>
  </w:style>
  <w:style w:type="paragraph" w:customStyle="1" w:styleId="30">
    <w:name w:val="五级条标题"/>
    <w:basedOn w:val="29"/>
    <w:next w:val="1"/>
    <w:qFormat/>
    <w:uiPriority w:val="0"/>
    <w:pPr>
      <w:numPr>
        <w:ilvl w:val="5"/>
      </w:numPr>
      <w:spacing w:before="50" w:after="50"/>
      <w:outlineLvl w:val="6"/>
    </w:pPr>
  </w:style>
  <w:style w:type="paragraph" w:customStyle="1" w:styleId="31">
    <w:name w:val="一级无标题条"/>
    <w:basedOn w:val="25"/>
    <w:link w:val="44"/>
    <w:qFormat/>
    <w:uiPriority w:val="0"/>
    <w:pPr>
      <w:spacing w:beforeLines="0" w:afterLines="0"/>
    </w:pPr>
    <w:rPr>
      <w:rFonts w:asciiTheme="majorEastAsia" w:hAnsiTheme="majorEastAsia" w:eastAsiaTheme="majorEastAsia"/>
    </w:rPr>
  </w:style>
  <w:style w:type="paragraph" w:customStyle="1" w:styleId="32">
    <w:name w:val="数字编号列项（二级）"/>
    <w:qFormat/>
    <w:uiPriority w:val="0"/>
    <w:pPr>
      <w:numPr>
        <w:ilvl w:val="1"/>
        <w:numId w:val="3"/>
      </w:numPr>
      <w:jc w:val="both"/>
    </w:pPr>
    <w:rPr>
      <w:rFonts w:ascii="宋体" w:hAnsi="Times New Roman" w:eastAsia="宋体" w:cs="Times New Roman"/>
      <w:kern w:val="0"/>
      <w:sz w:val="21"/>
      <w:szCs w:val="20"/>
      <w:lang w:val="en-US" w:eastAsia="zh-CN" w:bidi="ar-SA"/>
    </w:rPr>
  </w:style>
  <w:style w:type="paragraph" w:customStyle="1" w:styleId="33">
    <w:name w:val="注："/>
    <w:next w:val="16"/>
    <w:qFormat/>
    <w:uiPriority w:val="0"/>
    <w:pPr>
      <w:widowControl w:val="0"/>
      <w:numPr>
        <w:ilvl w:val="0"/>
        <w:numId w:val="4"/>
      </w:numPr>
      <w:autoSpaceDE w:val="0"/>
      <w:autoSpaceDN w:val="0"/>
      <w:jc w:val="both"/>
    </w:pPr>
    <w:rPr>
      <w:rFonts w:ascii="宋体" w:hAnsi="Times New Roman" w:eastAsia="宋体" w:cs="Times New Roman"/>
      <w:kern w:val="0"/>
      <w:sz w:val="18"/>
      <w:szCs w:val="18"/>
      <w:lang w:val="en-US" w:eastAsia="zh-CN" w:bidi="ar-SA"/>
    </w:rPr>
  </w:style>
  <w:style w:type="paragraph" w:customStyle="1" w:styleId="34">
    <w:name w:val="字母编号列项（一级）"/>
    <w:qFormat/>
    <w:uiPriority w:val="0"/>
    <w:pPr>
      <w:numPr>
        <w:ilvl w:val="0"/>
        <w:numId w:val="3"/>
      </w:numPr>
      <w:jc w:val="both"/>
    </w:pPr>
    <w:rPr>
      <w:rFonts w:ascii="宋体" w:hAnsi="Times New Roman" w:eastAsia="宋体" w:cs="Times New Roman"/>
      <w:kern w:val="0"/>
      <w:sz w:val="21"/>
      <w:szCs w:val="20"/>
      <w:lang w:val="en-US" w:eastAsia="zh-CN" w:bidi="ar-SA"/>
    </w:rPr>
  </w:style>
  <w:style w:type="paragraph" w:customStyle="1" w:styleId="35">
    <w:name w:val="二级无标题条"/>
    <w:basedOn w:val="27"/>
    <w:qFormat/>
    <w:uiPriority w:val="0"/>
    <w:pPr>
      <w:numPr>
        <w:numId w:val="5"/>
      </w:numPr>
      <w:tabs>
        <w:tab w:val="left" w:pos="2160"/>
      </w:tabs>
      <w:spacing w:beforeLines="0" w:afterLines="0"/>
      <w:ind w:left="0"/>
    </w:pPr>
    <w:rPr>
      <w:rFonts w:asciiTheme="minorEastAsia" w:hAnsiTheme="minorEastAsia" w:eastAsiaTheme="minorEastAsia"/>
    </w:rPr>
  </w:style>
  <w:style w:type="paragraph" w:customStyle="1" w:styleId="36">
    <w:name w:val="二级无"/>
    <w:basedOn w:val="27"/>
    <w:qFormat/>
    <w:uiPriority w:val="0"/>
    <w:pPr>
      <w:numPr>
        <w:ilvl w:val="0"/>
        <w:numId w:val="0"/>
      </w:numPr>
      <w:spacing w:beforeLines="0" w:afterLines="0" w:line="240" w:lineRule="exact"/>
    </w:pPr>
    <w:rPr>
      <w:rFonts w:asciiTheme="minorEastAsia" w:hAnsiTheme="minorEastAsia" w:eastAsiaTheme="minorEastAsia"/>
      <w:sz w:val="18"/>
      <w:szCs w:val="18"/>
    </w:rPr>
  </w:style>
  <w:style w:type="character" w:customStyle="1" w:styleId="37">
    <w:name w:val="正文文本 Char"/>
    <w:basedOn w:val="9"/>
    <w:link w:val="2"/>
    <w:qFormat/>
    <w:locked/>
    <w:uiPriority w:val="99"/>
    <w:rPr>
      <w:rFonts w:ascii="宋体" w:cs="宋体"/>
      <w:sz w:val="22"/>
    </w:rPr>
  </w:style>
  <w:style w:type="character" w:customStyle="1" w:styleId="38">
    <w:name w:val="正文文本 Char1"/>
    <w:basedOn w:val="9"/>
    <w:semiHidden/>
    <w:qFormat/>
    <w:uiPriority w:val="99"/>
  </w:style>
  <w:style w:type="paragraph" w:customStyle="1" w:styleId="39">
    <w:name w:val="示例×："/>
    <w:basedOn w:val="26"/>
    <w:qFormat/>
    <w:uiPriority w:val="0"/>
    <w:pPr>
      <w:numPr>
        <w:numId w:val="0"/>
      </w:numPr>
      <w:spacing w:beforeLines="0" w:afterLines="0"/>
      <w:ind w:firstLine="363"/>
      <w:jc w:val="left"/>
      <w:outlineLvl w:val="9"/>
    </w:pPr>
    <w:rPr>
      <w:rFonts w:ascii="宋体" w:eastAsia="宋体"/>
      <w:sz w:val="18"/>
      <w:szCs w:val="18"/>
      <w:shd w:val="clear" w:color="auto" w:fill="auto"/>
    </w:rPr>
  </w:style>
  <w:style w:type="paragraph" w:customStyle="1" w:styleId="40">
    <w:name w:val="五级无标题条"/>
    <w:basedOn w:val="30"/>
    <w:qFormat/>
    <w:uiPriority w:val="0"/>
    <w:pPr>
      <w:numPr>
        <w:ilvl w:val="0"/>
        <w:numId w:val="0"/>
      </w:numPr>
      <w:spacing w:beforeLines="0" w:afterLines="0"/>
    </w:pPr>
    <w:rPr>
      <w:rFonts w:ascii="宋体" w:hAnsi="宋体" w:eastAsia="宋体"/>
      <w:sz w:val="22"/>
      <w:szCs w:val="22"/>
      <w:shd w:val="clear" w:color="auto" w:fill="auto"/>
    </w:rPr>
  </w:style>
  <w:style w:type="paragraph" w:customStyle="1" w:styleId="41">
    <w:name w:val="注：（正文）"/>
    <w:basedOn w:val="33"/>
    <w:next w:val="16"/>
    <w:qFormat/>
    <w:uiPriority w:val="0"/>
    <w:pPr>
      <w:numPr>
        <w:numId w:val="0"/>
      </w:numPr>
      <w:ind w:left="789" w:hanging="363"/>
    </w:pPr>
  </w:style>
  <w:style w:type="paragraph" w:customStyle="1" w:styleId="42">
    <w:name w:val="标准标志"/>
    <w:next w:val="1"/>
    <w:qFormat/>
    <w:uiPriority w:val="0"/>
    <w:pPr>
      <w:framePr w:w="2546" w:h="1389" w:hRule="exact" w:hSpace="181" w:vSpace="181" w:wrap="around" w:vAnchor="margin" w:hAnchor="margin" w:x="6522" w:y="398" w:anchorLock="1"/>
      <w:numPr>
        <w:ilvl w:val="0"/>
        <w:numId w:val="6"/>
      </w:numPr>
      <w:shd w:val="solid" w:color="FFFFFF" w:fill="FFFFFF"/>
      <w:spacing w:line="240" w:lineRule="atLeast"/>
      <w:ind w:left="0" w:firstLine="0"/>
      <w:jc w:val="right"/>
    </w:pPr>
    <w:rPr>
      <w:rFonts w:ascii="Times New Roman" w:hAnsi="Times New Roman" w:eastAsia="宋体" w:cs="Times New Roman"/>
      <w:b/>
      <w:w w:val="170"/>
      <w:kern w:val="0"/>
      <w:sz w:val="96"/>
      <w:szCs w:val="96"/>
      <w:lang w:val="en-US" w:eastAsia="zh-CN" w:bidi="ar-SA"/>
    </w:rPr>
  </w:style>
  <w:style w:type="paragraph" w:customStyle="1" w:styleId="43">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Times New Roman"/>
      <w:b/>
      <w:bCs/>
      <w:spacing w:val="20"/>
      <w:w w:val="148"/>
      <w:kern w:val="0"/>
      <w:sz w:val="48"/>
      <w:szCs w:val="20"/>
      <w:lang w:val="en-US" w:eastAsia="zh-CN" w:bidi="ar-SA"/>
    </w:rPr>
  </w:style>
  <w:style w:type="character" w:customStyle="1" w:styleId="44">
    <w:name w:val="一级无标题条 Char"/>
    <w:link w:val="31"/>
    <w:qFormat/>
    <w:locked/>
    <w:uiPriority w:val="0"/>
    <w:rPr>
      <w:rFonts w:cs="Times New Roman" w:asciiTheme="majorEastAsia" w:hAnsiTheme="majorEastAsia" w:eastAsiaTheme="majorEastAsia"/>
      <w:kern w:val="0"/>
      <w:szCs w:val="21"/>
    </w:rPr>
  </w:style>
  <w:style w:type="paragraph" w:customStyle="1" w:styleId="45">
    <w:name w:val="列出段落1"/>
    <w:basedOn w:val="1"/>
    <w:qFormat/>
    <w:uiPriority w:val="0"/>
    <w:pPr>
      <w:autoSpaceDE w:val="0"/>
      <w:autoSpaceDN w:val="0"/>
      <w:adjustRightInd w:val="0"/>
      <w:ind w:left="1053" w:hanging="420"/>
      <w:jc w:val="left"/>
    </w:pPr>
    <w:rPr>
      <w:rFonts w:ascii="宋体" w:hAnsi="Times New Roman" w:eastAsia="宋体" w:cs="宋体"/>
      <w:kern w:val="0"/>
      <w:sz w:val="24"/>
      <w:szCs w:val="24"/>
    </w:rPr>
  </w:style>
  <w:style w:type="paragraph" w:customStyle="1" w:styleId="46">
    <w:name w:val="一级无"/>
    <w:basedOn w:val="25"/>
    <w:qFormat/>
    <w:uiPriority w:val="0"/>
    <w:pPr>
      <w:numPr>
        <w:ilvl w:val="0"/>
        <w:numId w:val="0"/>
      </w:numPr>
      <w:spacing w:beforeLines="0" w:afterLines="0"/>
      <w:ind w:firstLine="90" w:firstLineChars="50"/>
    </w:pPr>
    <w:rPr>
      <w:rFonts w:ascii="宋体" w:hAnsi="宋体" w:eastAsia="宋体"/>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958</Words>
  <Characters>5461</Characters>
  <Lines>45</Lines>
  <Paragraphs>12</Paragraphs>
  <TotalTime>1</TotalTime>
  <ScaleCrop>false</ScaleCrop>
  <LinksUpToDate>false</LinksUpToDate>
  <CharactersWithSpaces>6407</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2019-03-28T15:50:00Z</dcterms:created>
  <dc:creator>刘金合</dc:creator>
  <cp:lastModifiedBy>uos</cp:lastModifiedBy>
  <cp:lastPrinted>2019-03-26T14:08:00Z</cp:lastPrinted>
  <dcterms:modified xsi:type="dcterms:W3CDTF">2024-04-24T16:16:01Z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