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2"/>
        <w:framePr/>
        <w:rPr>
          <w:rFonts w:ascii="Times New Roman" w:eastAsia="宋体"/>
        </w:rPr>
      </w:pPr>
      <w:bookmarkStart w:id="14" w:name="_GoBack"/>
      <w:bookmarkEnd w:id="14"/>
    </w:p>
    <w:p>
      <w:pPr>
        <w:pStyle w:val="32"/>
        <w:framePr/>
        <w:rPr>
          <w:rFonts w:ascii="Times New Roman"/>
        </w:rPr>
      </w:pPr>
    </w:p>
    <w:p>
      <w:pPr>
        <w:pStyle w:val="41"/>
        <w:framePr w:w="9168" w:x="1635" w:y="961"/>
      </w:pPr>
      <w:r>
        <w:t>DB</w:t>
      </w:r>
    </w:p>
    <w:p>
      <w:pPr>
        <w:framePr w:w="9408" w:hSpace="181" w:vSpace="181" w:wrap="around" w:vAnchor="page" w:hAnchor="page" w:x="1395" w:y="2266" w:anchorLock="1"/>
        <w:jc w:val="center"/>
        <w:rPr>
          <w:rFonts w:ascii="Times New Roman" w:hAnsi="Times New Roman" w:cs="Times New Roman"/>
          <w:spacing w:val="414"/>
        </w:rPr>
      </w:pPr>
      <w:r>
        <w:rPr>
          <w:rFonts w:ascii="Times New Roman" w:hAnsi="Times New Roman" w:eastAsia="黑体" w:cs="Times New Roman"/>
          <w:spacing w:val="414"/>
          <w:sz w:val="48"/>
          <w:szCs w:val="48"/>
        </w:rPr>
        <w:t>河北省地方标准</w:t>
      </w:r>
    </w:p>
    <w:p>
      <w:pPr>
        <w:pStyle w:val="36"/>
        <w:framePr/>
        <w:rPr>
          <w:rFonts w:ascii="Times New Roman"/>
        </w:rPr>
      </w:pPr>
      <w:r>
        <w:rPr>
          <w:rFonts w:ascii="Times New Roman"/>
        </w:rPr>
        <w:t>DB/T XX-2023</w:t>
      </w:r>
    </w:p>
    <w:tbl>
      <w:tblPr>
        <w:tblStyle w:val="1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34"/>
              <w:framePr/>
              <w:rPr>
                <w:rFonts w:ascii="Times New Roman"/>
              </w:rPr>
            </w:pPr>
          </w:p>
        </w:tc>
      </w:tr>
    </w:tbl>
    <w:p>
      <w:pPr>
        <w:pStyle w:val="36"/>
        <w:framePr/>
        <w:rPr>
          <w:rFonts w:ascii="Times New Roman"/>
        </w:rPr>
      </w:pPr>
    </w:p>
    <w:p>
      <w:pPr>
        <w:pStyle w:val="36"/>
        <w:framePr/>
        <w:rPr>
          <w:rFonts w:ascii="Times New Roman"/>
        </w:rPr>
      </w:pPr>
    </w:p>
    <w:p>
      <w:pPr>
        <w:pStyle w:val="33"/>
        <w:framePr/>
        <w:rPr>
          <w:rFonts w:ascii="Times New Roman"/>
        </w:rPr>
      </w:pPr>
      <w:r>
        <w:rPr>
          <w:rFonts w:hint="eastAsia" w:ascii="Times New Roman"/>
        </w:rPr>
        <w:t>涉氢</w:t>
      </w:r>
      <w:r>
        <w:rPr>
          <w:rFonts w:ascii="Times New Roman"/>
        </w:rPr>
        <w:t>实验室安全管理规范</w:t>
      </w:r>
    </w:p>
    <w:p>
      <w:pPr>
        <w:pStyle w:val="33"/>
        <w:framePr/>
        <w:rPr>
          <w:rFonts w:ascii="Times New Roman"/>
          <w:sz w:val="24"/>
        </w:rPr>
      </w:pPr>
      <w:r>
        <w:rPr>
          <w:rFonts w:ascii="Times New Roman"/>
          <w:sz w:val="24"/>
        </w:rPr>
        <w:t>(</w:t>
      </w:r>
      <w:r>
        <w:rPr>
          <w:rFonts w:hint="eastAsia" w:ascii="Times New Roman"/>
          <w:sz w:val="24"/>
        </w:rPr>
        <w:t>征求意见</w:t>
      </w:r>
      <w:r>
        <w:rPr>
          <w:rFonts w:ascii="Times New Roman"/>
          <w:sz w:val="24"/>
        </w:rPr>
        <w:t>稿)</w:t>
      </w:r>
    </w:p>
    <w:p>
      <w:pPr>
        <w:pStyle w:val="37"/>
        <w:framePr/>
      </w:pPr>
      <w:r>
        <w:t>2023- XX - XX发布</w:t>
      </w:r>
      <w:r>
        <mc:AlternateContent>
          <mc:Choice Requires="wps">
            <w:drawing>
              <wp:anchor distT="0" distB="0" distL="114300" distR="114300" simplePos="0" relativeHeight="251659264" behindDoc="0" locked="1" layoutInCell="1" allowOverlap="1">
                <wp:simplePos x="0" y="0"/>
                <wp:positionH relativeFrom="column">
                  <wp:posOffset>-635</wp:posOffset>
                </wp:positionH>
                <wp:positionV relativeFrom="page">
                  <wp:posOffset>9251315</wp:posOffset>
                </wp:positionV>
                <wp:extent cx="6120130" cy="0"/>
                <wp:effectExtent l="0" t="0" r="33020" b="19050"/>
                <wp:wrapNone/>
                <wp:docPr id="3" name="直接连接符 3"/>
                <wp:cNvGraphicFramePr/>
                <a:graphic xmlns:a="http://schemas.openxmlformats.org/drawingml/2006/main">
                  <a:graphicData uri="http://schemas.microsoft.com/office/word/2010/wordprocessingShape">
                    <wps:wsp>
                      <wps:cNvCnPr>
                        <a:cxnSpLocks noChangeShapeType="true"/>
                      </wps:cNvCnPr>
                      <wps:spPr bwMode="auto">
                        <a:xfrm>
                          <a:off x="0" y="0"/>
                          <a:ext cx="612013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05pt;margin-top:728.45pt;height:0pt;width:481.9pt;mso-position-vertical-relative:page;z-index:251659264;mso-width-relative:page;mso-height-relative:page;" filled="f" stroked="t" coordsize="21600,21600" o:gfxdata="UEsFBgAAAAAAAAAAAAAAAAAAAAAAAFBLAwQKAAAAAACHTuJAAAAAAAAAAAAAAAAABAAAAGRycy9Q&#10;SwMEFAAAAAgAh07iQGMtL/PXAAAACwEAAA8AAABkcnMvZG93bnJldi54bWxNjz1Pw0AMhnck/sPJ&#10;SCxVe5cWAg25dACysbSAWN3EJBE5X5q7fsCvxwwIRr9+9Ppxvjq5Xh1oDJ1nC8nMgCKufN1xY+Hl&#10;uZzeggoRucbeM1n4pACr4vwsx6z2R17TYRMbJSUcMrTQxjhkWoeqJYdh5gdi2b370WGUcWx0PeJR&#10;yl2v58ak2mHHcqHFge5bqj42e2chlK+0K78m1cS8LRpP893D0yNae3mRmDtQkU7xD4YffVGHQpy2&#10;fs91UL2FaSKgxFfX6RKUAMt0cQNq+xvpItf/fyi+AVBLAwQUAAAACACHTuJA7sjU4MkBAABfAwAA&#10;DgAAAGRycy9lMm9Eb2MueG1srVNLjhMxEN0jcQfLe9L5aEbQSmcWGQ2bASLNcICK7U5b2C7LdtKd&#10;S3ABJHawYsme2zAcg7LzYYAdoheldn2e670qz68Ga9hOhajRNXwyGnOmnECp3abhb+9vnj3nLCZw&#10;Egw61fC9ivxq8fTJvPe1mmKHRqrACMTFuvcN71LydVVF0SkLcYReOQq2GCwkOoZNJQP0hG5NNR2P&#10;L6seg/QBhYqRvNeHIF8U/LZVIr1p26gSMw2n3lKxodh1ttViDvUmgO+0OLYB/9CFBe3o0jPUNSRg&#10;26D/grJaBIzYppFAW2HbaqEKB2IzGf/B5q4DrwoXEif6s0zx/8GK17tVYFo2fMaZA0sjevjw9fv7&#10;Tz++fST78OUzm2WReh9ryl26Vcg0xeDu/C2Kd5E5XHbgNqo0e7/3hJDCVuWi6reqfIieblv3r1BS&#10;GmwTFtGGNtiMSnKwocxmf56NGhIT5LyckEAzGqE4xSqoT4U+xPRSoWX5p+FGuywb1LC7jSk3AvUp&#10;Jbsd3mhjyuiNY33DX1xML0pBRKNlDua0GDbrpQlsB3l5yldYUeRxWsCtk4dLjDuSzjwPoq1R7lfh&#10;JAZNsXRz3Li8Jo/PpfrXu1j8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GMtL/PXAAAACwEAAA8A&#10;AAAAAAAAAQAgAAAAOAAAAGRycy9kb3ducmV2LnhtbFBLAQIUABQAAAAIAIdO4kDuyNTgyQEAAF8D&#10;AAAOAAAAAAAAAAEAIAAAADwBAABkcnMvZTJvRG9jLnhtbFBLBQYAAAAABgAGAFkBAAB3BQAAAAA=&#10;">
                <v:fill on="f" focussize="0,0"/>
                <v:stroke color="#000000" joinstyle="round"/>
                <v:imagedata o:title=""/>
                <o:lock v:ext="edit" aspectratio="f"/>
                <w10:anchorlock/>
              </v:line>
            </w:pict>
          </mc:Fallback>
        </mc:AlternateContent>
      </w:r>
    </w:p>
    <w:p>
      <w:pPr>
        <w:pStyle w:val="38"/>
        <w:framePr/>
      </w:pPr>
      <w:r>
        <w:t>2023- XX - XX实施</w:t>
      </w:r>
    </w:p>
    <w:p>
      <w:pPr>
        <w:pStyle w:val="42"/>
        <w:framePr w:h="411" w:hRule="exact" w:x="2280" w:y="14810"/>
        <w:rPr>
          <w:rFonts w:ascii="Times New Roman"/>
        </w:rPr>
      </w:pPr>
      <w:r>
        <w:rPr>
          <w:rFonts w:ascii="Times New Roman"/>
        </w:rPr>
        <w:t>河北省市场监督管理局</w:t>
      </w:r>
      <w:r>
        <w:rPr>
          <w:rFonts w:ascii="Times New Roman" w:eastAsia="MS Mincho"/>
        </w:rPr>
        <w:t>   </w:t>
      </w:r>
      <w:r>
        <w:rPr>
          <w:rStyle w:val="29"/>
          <w:rFonts w:ascii="Times New Roman"/>
        </w:rPr>
        <w:t>发布</w:t>
      </w:r>
    </w:p>
    <w:p>
      <w:pPr>
        <w:pStyle w:val="28"/>
        <w:ind w:firstLine="0" w:firstLineChars="0"/>
        <w:rPr>
          <w:rFonts w:ascii="Times New Roman" w:hAnsi="Times New Roman" w:cs="Times New Roman"/>
        </w:rPr>
      </w:pPr>
      <w:r>
        <w:rPr>
          <w:rFonts w:ascii="Times New Roman" w:hAnsi="Times New Roman" w:cs="Times New Roman"/>
        </w:rPr>
        <mc:AlternateContent>
          <mc:Choice Requires="wps">
            <w:drawing>
              <wp:anchor distT="0" distB="0" distL="114300" distR="114300" simplePos="0" relativeHeight="251662336" behindDoc="0" locked="0" layoutInCell="1" allowOverlap="1">
                <wp:simplePos x="0" y="0"/>
                <wp:positionH relativeFrom="column">
                  <wp:posOffset>-31115</wp:posOffset>
                </wp:positionH>
                <wp:positionV relativeFrom="paragraph">
                  <wp:posOffset>8203565</wp:posOffset>
                </wp:positionV>
                <wp:extent cx="6120130" cy="0"/>
                <wp:effectExtent l="0" t="0" r="33020" b="19050"/>
                <wp:wrapNone/>
                <wp:docPr id="1" name="直接连接符 1"/>
                <wp:cNvGraphicFramePr/>
                <a:graphic xmlns:a="http://schemas.openxmlformats.org/drawingml/2006/main">
                  <a:graphicData uri="http://schemas.microsoft.com/office/word/2010/wordprocessingShape">
                    <wps:wsp>
                      <wps:cNvCnPr>
                        <a:cxnSpLocks noChangeShapeType="true"/>
                      </wps:cNvCnPr>
                      <wps:spPr bwMode="auto">
                        <a:xfrm>
                          <a:off x="0" y="0"/>
                          <a:ext cx="612013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2.45pt;margin-top:645.95pt;height:0pt;width:481.9pt;z-index:251662336;mso-width-relative:page;mso-height-relative:page;" filled="f" stroked="t" coordsize="21600,21600" o:gfxdata="UEsFBgAAAAAAAAAAAAAAAAAAAAAAAFBLAwQKAAAAAACHTuJAAAAAAAAAAAAAAAAABAAAAGRycy9Q&#10;SwMEFAAAAAgAh07iQBDCyBPWAAAADAEAAA8AAABkcnMvZG93bnJldi54bWxNj0tPw0AMhO9I/IeV&#10;kbhU7SbhoSZk0wOQGxcKiKubNUlE1ptmtw/49ZhDBbfxeDT+XK6OblB7mkLv2UC6SEARN9723Bp4&#10;fannS1AhIlscPJOBLwqwqs7PSiysP/Az7dexVVLCoUADXYxjoXVoOnIYFn4klt2HnxxGGadW2wkP&#10;Uu4GnSXJrXbYs1zocKT7jprP9c4ZCPUbbevvWTNL3q9aT9n24ekRjbm8SJM7UJGO8S8Mv/iCDpUw&#10;bfyObVCDgfl1LknxszwVJYn8Zilic7J0Ver/T1Q/UEsDBBQAAAAIAIdO4kCyPoBtyQEAAF8DAAAO&#10;AAAAZHJzL2Uyb0RvYy54bWytU81uEzEQviPxDpbvZJOgVrDKpodU5VIgUssDTGxv1sL2WLaT3bwE&#10;L4DEDU4cufM2LY/B2PmhLTfEHkZrz8zn+b7Pnl0M1rCtClGja/hkNOZMOYFSu3XDP9xevXjFWUzg&#10;JBh0quE7FfnF/PmzWe9rNcUOjVSBEYiLde8b3qXk66qKolMW4gi9cpRsMVhItAzrSgboCd2aajoe&#10;n1c9BukDChUj7V7uk3xe8NtWifS+baNKzDScZkslhhJXOVbzGdTrAL7T4jAG/MMUFrSjQ09Ql5CA&#10;bYL+C8pqETBim0YCbYVtq4UqHIjNZPyEzU0HXhUuJE70J5ni/4MV77bLwLQk7zhzYMmi+88/7j59&#10;/fXzC8X779/YJIvU+1hT7cItQ6YpBnfjr1F8jMzhogO3VmXY250nhBQ2KjdVj7ryIno6bdW/RUll&#10;sElYRBvaYDMqycGG4s3u5I0aEhO0eT4hgV6SheKYq6A+NvoQ0xuFluWfhhvtsmxQw/Y6pjwI1MeS&#10;vO3wShtTrDeO9Q1/fTY9Kw0RjZY5mctiWK8WJrAt5MtTvsKKMg/LAm6c3B9i3IF05rkXbYVytwxH&#10;McjFMs3hxuVr8nBduv+8i/l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EMLIE9YAAAAMAQAADwAA&#10;AAAAAAABACAAAAA4AAAAZHJzL2Rvd25yZXYueG1sUEsBAhQAFAAAAAgAh07iQLI+gG3JAQAAXwMA&#10;AA4AAAAAAAAAAQAgAAAAOwEAAGRycy9lMm9Eb2MueG1sUEsFBgAAAAAGAAYAWQEAAHYFAAAAAA==&#10;">
                <v:fill on="f" focussize="0,0"/>
                <v:stroke color="#000000" joinstyle="round"/>
                <v:imagedata o:title=""/>
                <o:lock v:ext="edit" aspectratio="f"/>
              </v:line>
            </w:pict>
          </mc:Fallback>
        </mc:AlternateContent>
      </w:r>
      <w:r>
        <w:rPr>
          <w:rFonts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column">
                  <wp:posOffset>10160</wp:posOffset>
                </wp:positionH>
                <wp:positionV relativeFrom="paragraph">
                  <wp:posOffset>1337945</wp:posOffset>
                </wp:positionV>
                <wp:extent cx="6120130" cy="0"/>
                <wp:effectExtent l="0" t="0" r="33020" b="19050"/>
                <wp:wrapNone/>
                <wp:docPr id="2" name="直接连接符 2"/>
                <wp:cNvGraphicFramePr/>
                <a:graphic xmlns:a="http://schemas.openxmlformats.org/drawingml/2006/main">
                  <a:graphicData uri="http://schemas.microsoft.com/office/word/2010/wordprocessingShape">
                    <wps:wsp>
                      <wps:cNvCnPr>
                        <a:cxnSpLocks noChangeShapeType="true"/>
                      </wps:cNvCnPr>
                      <wps:spPr bwMode="auto">
                        <a:xfrm>
                          <a:off x="0" y="0"/>
                          <a:ext cx="612013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8pt;margin-top:105.35pt;height:0pt;width:481.9pt;z-index:251660288;mso-width-relative:page;mso-height-relative:page;" filled="f" stroked="t" coordsize="21600,21600" o:gfxdata="UEsFBgAAAAAAAAAAAAAAAAAAAAAAAFBLAwQKAAAAAACHTuJAAAAAAAAAAAAAAAAABAAAAGRycy9Q&#10;SwMEFAAAAAgAh07iQEXBEK3VAAAACQEAAA8AAABkcnMvZG93bnJldi54bWxNj81OwzAQhO9IvIO1&#10;SFwqaidAgBCnByA3LhSqXrfJkkTE6zR2f+DpWSQkOM7OaPabYnF0g9rTFHrPFpK5AUVc+6bn1sLb&#10;a3VxCypE5AYHz2ThkwIsytOTAvPGH/iF9svYKinhkKOFLsYx1zrUHTkMcz8Si/fuJ4dR5NTqZsKD&#10;lLtBp8Zk2mHP8qHDkR46qj+WO2chVCvaVl+zembWl62ndPv4/ITWnp8l5h5UpGP8C8MPvqBDKUwb&#10;v+MmqEF0JkELaWJuQIl/l11fgdr8XnRZ6P8Lym9QSwMEFAAAAAgAh07iQMCzfqbKAQAAXwMAAA4A&#10;AABkcnMvZTJvRG9jLnhtbK1TzW7UMBC+I/EOlu9sdoNaQbTZHrYqlwIrtTyA13YSC8djjb2b7Evw&#10;Akjc4MSRO2/T8hiMvT+05YbIYRTPz+f5vhnPL8besq3GYMDVfDaZcqadBGVcW/MPt1cvXnEWonBK&#10;WHC65jsd+MXi+bP54CtdQgdWaWQE4kI1+Jp3MfqqKILsdC/CBLx2FGwAexHpiG2hUAyE3tuinE7P&#10;iwFQeQSpQyDv5T7IFxm/abSM75sm6Mhszam3mC1mu062WMxF1aLwnZGHNsQ/dNEL4+jSE9SliIJt&#10;0PwF1RuJEKCJEwl9AU1jpM4ciM1s+oTNTSe8zlxInOBPMoX/ByvfbVfIjKp5yZkTPY3o/vOPu09f&#10;f/38Qvb++zdWJpEGHyrKXboVJppydDf+GuTHwBwsO+FanZu93XlCiLjRqah4VJUOwdNt6+EtKEoT&#10;mwhZtLHBPqGSHGzMs9mdZqPHyCQ5z2ck0EsaoTzGClEdCz2G+EZDz9JPza1xSTZRie11iKkRUR1T&#10;ktvBlbE2j946NtT89Vl5lgsCWKNSMKUFbNdLi2wr0vLkL7OiyMM0hI1T+0usO5BOPPeirUHtVngU&#10;g6aYuzlsXFqTh+dc/eddLH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RcEQrdUAAAAJAQAADwAA&#10;AAAAAAABACAAAAA4AAAAZHJzL2Rvd25yZXYueG1sUEsBAhQAFAAAAAgAh07iQMCzfqbKAQAAXwMA&#10;AA4AAAAAAAAAAQAgAAAAOgEAAGRycy9lMm9Eb2MueG1sUEsFBgAAAAAGAAYAWQEAAHYFAAAAAA==&#10;">
                <v:fill on="f" focussize="0,0"/>
                <v:stroke color="#000000" joinstyle="round"/>
                <v:imagedata o:title=""/>
                <o:lock v:ext="edit" aspectratio="f"/>
              </v:line>
            </w:pict>
          </mc:Fallback>
        </mc:AlternateContent>
      </w:r>
    </w:p>
    <w:p>
      <w:pPr>
        <w:rPr>
          <w:rFonts w:cs="Times New Roman" w:asciiTheme="minorEastAsia" w:hAnsiTheme="minorEastAsia"/>
        </w:rPr>
        <w:sectPr>
          <w:headerReference r:id="rId5" w:type="first"/>
          <w:footerReference r:id="rId8" w:type="first"/>
          <w:headerReference r:id="rId3" w:type="default"/>
          <w:footerReference r:id="rId6" w:type="default"/>
          <w:headerReference r:id="rId4" w:type="even"/>
          <w:footerReference r:id="rId7" w:type="even"/>
          <w:pgSz w:w="11906" w:h="16838"/>
          <w:pgMar w:top="567" w:right="1134" w:bottom="1134" w:left="1418" w:header="1418" w:footer="1134" w:gutter="0"/>
          <w:pgNumType w:fmt="upperRoman" w:start="1"/>
          <w:cols w:space="720" w:num="1"/>
          <w:formProt w:val="0"/>
          <w:titlePg/>
          <w:docGrid w:type="lines" w:linePitch="312" w:charSpace="0"/>
        </w:sectPr>
      </w:pPr>
    </w:p>
    <w:p>
      <w:pPr>
        <w:jc w:val="center"/>
        <w:rPr>
          <w:rFonts w:ascii="黑体" w:hAnsi="黑体" w:eastAsia="黑体" w:cs="Times New Roman"/>
          <w:sz w:val="32"/>
        </w:rPr>
      </w:pPr>
      <w:r>
        <w:rPr>
          <w:rFonts w:ascii="黑体" w:hAnsi="黑体" w:eastAsia="黑体" w:cs="Times New Roman"/>
          <w:sz w:val="32"/>
        </w:rPr>
        <w:t>目</w:t>
      </w:r>
      <w:bookmarkStart w:id="0" w:name="BKML"/>
      <w:r>
        <w:rPr>
          <w:rFonts w:ascii="黑体" w:hAnsi="黑体" w:eastAsia="黑体" w:cs="Times New Roman"/>
          <w:sz w:val="32"/>
        </w:rPr>
        <w:t>  次</w:t>
      </w:r>
      <w:bookmarkEnd w:id="0"/>
    </w:p>
    <w:p>
      <w:pPr>
        <w:pStyle w:val="13"/>
        <w:tabs>
          <w:tab w:val="right" w:leader="dot" w:pos="8296"/>
        </w:tabs>
        <w:spacing w:line="360" w:lineRule="auto"/>
        <w:rPr>
          <w:rFonts w:ascii="宋体" w:hAnsi="宋体" w:eastAsia="宋体"/>
        </w:rPr>
      </w:pP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TOC \o "1-3" \h \z \u </w:instrText>
      </w:r>
      <w:r>
        <w:rPr>
          <w:rFonts w:ascii="Times New Roman" w:hAnsi="Times New Roman" w:eastAsia="宋体" w:cs="Times New Roman"/>
          <w:szCs w:val="21"/>
        </w:rPr>
        <w:fldChar w:fldCharType="separate"/>
      </w:r>
      <w:r>
        <w:fldChar w:fldCharType="begin"/>
      </w:r>
      <w:r>
        <w:instrText xml:space="preserve"> HYPERLINK \l "_Toc135402374" </w:instrText>
      </w:r>
      <w:r>
        <w:fldChar w:fldCharType="separate"/>
      </w:r>
      <w:r>
        <w:rPr>
          <w:rStyle w:val="22"/>
          <w:rFonts w:ascii="宋体" w:hAnsi="宋体" w:eastAsia="宋体" w:cs="Times New Roman"/>
        </w:rPr>
        <w:t xml:space="preserve">1  </w:t>
      </w:r>
      <w:r>
        <w:rPr>
          <w:rStyle w:val="22"/>
          <w:rFonts w:hint="eastAsia" w:ascii="宋体" w:hAnsi="宋体" w:eastAsia="宋体" w:cs="Times New Roman"/>
        </w:rPr>
        <w:t>范围</w:t>
      </w:r>
      <w:r>
        <w:rPr>
          <w:rFonts w:ascii="宋体" w:hAnsi="宋体" w:eastAsia="宋体"/>
        </w:rPr>
        <w:tab/>
      </w:r>
      <w:r>
        <w:rPr>
          <w:rFonts w:ascii="宋体" w:hAnsi="宋体" w:eastAsia="宋体"/>
        </w:rPr>
        <w:fldChar w:fldCharType="begin"/>
      </w:r>
      <w:r>
        <w:rPr>
          <w:rFonts w:ascii="宋体" w:hAnsi="宋体" w:eastAsia="宋体"/>
        </w:rPr>
        <w:instrText xml:space="preserve"> PAGEREF _Toc135402374 \h </w:instrText>
      </w:r>
      <w:r>
        <w:rPr>
          <w:rFonts w:ascii="宋体" w:hAnsi="宋体" w:eastAsia="宋体"/>
        </w:rPr>
        <w:fldChar w:fldCharType="separate"/>
      </w:r>
      <w:r>
        <w:rPr>
          <w:rFonts w:ascii="宋体" w:hAnsi="宋体" w:eastAsia="宋体"/>
        </w:rPr>
        <w:t>4</w:t>
      </w:r>
      <w:r>
        <w:rPr>
          <w:rFonts w:ascii="宋体" w:hAnsi="宋体" w:eastAsia="宋体"/>
        </w:rPr>
        <w:fldChar w:fldCharType="end"/>
      </w:r>
      <w:r>
        <w:rPr>
          <w:rFonts w:ascii="宋体" w:hAnsi="宋体" w:eastAsia="宋体"/>
        </w:rPr>
        <w:fldChar w:fldCharType="end"/>
      </w:r>
    </w:p>
    <w:p>
      <w:pPr>
        <w:pStyle w:val="13"/>
        <w:tabs>
          <w:tab w:val="right" w:leader="dot" w:pos="8296"/>
        </w:tabs>
        <w:spacing w:line="360" w:lineRule="auto"/>
        <w:rPr>
          <w:rFonts w:ascii="宋体" w:hAnsi="宋体" w:eastAsia="宋体"/>
        </w:rPr>
      </w:pPr>
      <w:r>
        <w:fldChar w:fldCharType="begin"/>
      </w:r>
      <w:r>
        <w:instrText xml:space="preserve"> HYPERLINK \l "_Toc135402375" </w:instrText>
      </w:r>
      <w:r>
        <w:fldChar w:fldCharType="separate"/>
      </w:r>
      <w:r>
        <w:rPr>
          <w:rStyle w:val="22"/>
          <w:rFonts w:ascii="宋体" w:hAnsi="宋体" w:eastAsia="宋体" w:cs="Times New Roman"/>
        </w:rPr>
        <w:t xml:space="preserve">2  </w:t>
      </w:r>
      <w:r>
        <w:rPr>
          <w:rStyle w:val="22"/>
          <w:rFonts w:hint="eastAsia" w:ascii="宋体" w:hAnsi="宋体" w:eastAsia="宋体" w:cs="Times New Roman"/>
        </w:rPr>
        <w:t>规范性引用文件</w:t>
      </w:r>
      <w:r>
        <w:rPr>
          <w:rFonts w:ascii="宋体" w:hAnsi="宋体" w:eastAsia="宋体"/>
        </w:rPr>
        <w:tab/>
      </w:r>
      <w:r>
        <w:rPr>
          <w:rFonts w:ascii="宋体" w:hAnsi="宋体" w:eastAsia="宋体"/>
        </w:rPr>
        <w:fldChar w:fldCharType="begin"/>
      </w:r>
      <w:r>
        <w:rPr>
          <w:rFonts w:ascii="宋体" w:hAnsi="宋体" w:eastAsia="宋体"/>
        </w:rPr>
        <w:instrText xml:space="preserve"> PAGEREF _Toc135402375 \h </w:instrText>
      </w:r>
      <w:r>
        <w:rPr>
          <w:rFonts w:ascii="宋体" w:hAnsi="宋体" w:eastAsia="宋体"/>
        </w:rPr>
        <w:fldChar w:fldCharType="separate"/>
      </w:r>
      <w:r>
        <w:rPr>
          <w:rFonts w:ascii="宋体" w:hAnsi="宋体" w:eastAsia="宋体"/>
        </w:rPr>
        <w:t>4</w:t>
      </w:r>
      <w:r>
        <w:rPr>
          <w:rFonts w:ascii="宋体" w:hAnsi="宋体" w:eastAsia="宋体"/>
        </w:rPr>
        <w:fldChar w:fldCharType="end"/>
      </w:r>
      <w:r>
        <w:rPr>
          <w:rFonts w:ascii="宋体" w:hAnsi="宋体" w:eastAsia="宋体"/>
        </w:rPr>
        <w:fldChar w:fldCharType="end"/>
      </w:r>
    </w:p>
    <w:p>
      <w:pPr>
        <w:pStyle w:val="13"/>
        <w:tabs>
          <w:tab w:val="right" w:leader="dot" w:pos="8296"/>
        </w:tabs>
        <w:spacing w:line="360" w:lineRule="auto"/>
        <w:rPr>
          <w:rFonts w:ascii="宋体" w:hAnsi="宋体" w:eastAsia="宋体"/>
        </w:rPr>
      </w:pPr>
      <w:r>
        <w:fldChar w:fldCharType="begin"/>
      </w:r>
      <w:r>
        <w:instrText xml:space="preserve"> HYPERLINK \l "_Toc135402376" </w:instrText>
      </w:r>
      <w:r>
        <w:fldChar w:fldCharType="separate"/>
      </w:r>
      <w:r>
        <w:rPr>
          <w:rStyle w:val="22"/>
          <w:rFonts w:ascii="宋体" w:hAnsi="宋体" w:eastAsia="宋体" w:cs="Times New Roman"/>
        </w:rPr>
        <w:t xml:space="preserve">3  </w:t>
      </w:r>
      <w:r>
        <w:rPr>
          <w:rStyle w:val="22"/>
          <w:rFonts w:hint="eastAsia" w:ascii="宋体" w:hAnsi="宋体" w:eastAsia="宋体" w:cs="Times New Roman"/>
        </w:rPr>
        <w:t>术语和定义</w:t>
      </w:r>
      <w:r>
        <w:rPr>
          <w:rFonts w:ascii="宋体" w:hAnsi="宋体" w:eastAsia="宋体"/>
        </w:rPr>
        <w:tab/>
      </w:r>
      <w:r>
        <w:rPr>
          <w:rFonts w:ascii="宋体" w:hAnsi="宋体" w:eastAsia="宋体"/>
        </w:rPr>
        <w:fldChar w:fldCharType="begin"/>
      </w:r>
      <w:r>
        <w:rPr>
          <w:rFonts w:ascii="宋体" w:hAnsi="宋体" w:eastAsia="宋体"/>
        </w:rPr>
        <w:instrText xml:space="preserve"> PAGEREF _Toc135402376 \h </w:instrText>
      </w:r>
      <w:r>
        <w:rPr>
          <w:rFonts w:ascii="宋体" w:hAnsi="宋体" w:eastAsia="宋体"/>
        </w:rPr>
        <w:fldChar w:fldCharType="separate"/>
      </w:r>
      <w:r>
        <w:rPr>
          <w:rFonts w:ascii="宋体" w:hAnsi="宋体" w:eastAsia="宋体"/>
        </w:rPr>
        <w:t>4</w:t>
      </w:r>
      <w:r>
        <w:rPr>
          <w:rFonts w:ascii="宋体" w:hAnsi="宋体" w:eastAsia="宋体"/>
        </w:rPr>
        <w:fldChar w:fldCharType="end"/>
      </w:r>
      <w:r>
        <w:rPr>
          <w:rFonts w:ascii="宋体" w:hAnsi="宋体" w:eastAsia="宋体"/>
        </w:rPr>
        <w:fldChar w:fldCharType="end"/>
      </w:r>
    </w:p>
    <w:p>
      <w:pPr>
        <w:pStyle w:val="13"/>
        <w:tabs>
          <w:tab w:val="right" w:leader="dot" w:pos="8296"/>
        </w:tabs>
        <w:spacing w:line="360" w:lineRule="auto"/>
        <w:rPr>
          <w:rFonts w:ascii="宋体" w:hAnsi="宋体" w:eastAsia="宋体"/>
        </w:rPr>
      </w:pPr>
      <w:r>
        <w:fldChar w:fldCharType="begin"/>
      </w:r>
      <w:r>
        <w:instrText xml:space="preserve"> HYPERLINK \l "_Toc135402377" </w:instrText>
      </w:r>
      <w:r>
        <w:fldChar w:fldCharType="separate"/>
      </w:r>
      <w:r>
        <w:rPr>
          <w:rStyle w:val="22"/>
          <w:rFonts w:ascii="宋体" w:hAnsi="宋体" w:eastAsia="宋体" w:cs="Times New Roman"/>
        </w:rPr>
        <w:t>4 </w:t>
      </w:r>
      <w:r>
        <w:rPr>
          <w:rStyle w:val="22"/>
          <w:rFonts w:hint="eastAsia" w:ascii="宋体" w:hAnsi="宋体" w:eastAsia="宋体" w:cs="Times New Roman"/>
        </w:rPr>
        <w:t>安全管理组织和职责</w:t>
      </w:r>
      <w:r>
        <w:rPr>
          <w:rFonts w:ascii="宋体" w:hAnsi="宋体" w:eastAsia="宋体"/>
        </w:rPr>
        <w:tab/>
      </w:r>
      <w:r>
        <w:rPr>
          <w:rFonts w:ascii="宋体" w:hAnsi="宋体" w:eastAsia="宋体"/>
        </w:rPr>
        <w:fldChar w:fldCharType="begin"/>
      </w:r>
      <w:r>
        <w:rPr>
          <w:rFonts w:ascii="宋体" w:hAnsi="宋体" w:eastAsia="宋体"/>
        </w:rPr>
        <w:instrText xml:space="preserve"> PAGEREF _Toc135402377 \h </w:instrText>
      </w:r>
      <w:r>
        <w:rPr>
          <w:rFonts w:ascii="宋体" w:hAnsi="宋体" w:eastAsia="宋体"/>
        </w:rPr>
        <w:fldChar w:fldCharType="separate"/>
      </w:r>
      <w:r>
        <w:rPr>
          <w:rFonts w:ascii="宋体" w:hAnsi="宋体" w:eastAsia="宋体"/>
        </w:rPr>
        <w:t>5</w:t>
      </w:r>
      <w:r>
        <w:rPr>
          <w:rFonts w:ascii="宋体" w:hAnsi="宋体" w:eastAsia="宋体"/>
        </w:rPr>
        <w:fldChar w:fldCharType="end"/>
      </w:r>
      <w:r>
        <w:rPr>
          <w:rFonts w:ascii="宋体" w:hAnsi="宋体" w:eastAsia="宋体"/>
        </w:rPr>
        <w:fldChar w:fldCharType="end"/>
      </w:r>
    </w:p>
    <w:p>
      <w:pPr>
        <w:pStyle w:val="13"/>
        <w:tabs>
          <w:tab w:val="right" w:leader="dot" w:pos="8296"/>
        </w:tabs>
        <w:spacing w:line="360" w:lineRule="auto"/>
        <w:rPr>
          <w:rFonts w:ascii="宋体" w:hAnsi="宋体" w:eastAsia="宋体"/>
        </w:rPr>
      </w:pPr>
      <w:r>
        <w:fldChar w:fldCharType="begin"/>
      </w:r>
      <w:r>
        <w:instrText xml:space="preserve"> HYPERLINK \l "_Toc135402378" </w:instrText>
      </w:r>
      <w:r>
        <w:fldChar w:fldCharType="separate"/>
      </w:r>
      <w:r>
        <w:rPr>
          <w:rStyle w:val="22"/>
          <w:rFonts w:ascii="宋体" w:hAnsi="宋体" w:eastAsia="宋体" w:cs="Times New Roman"/>
        </w:rPr>
        <w:t xml:space="preserve">5  </w:t>
      </w:r>
      <w:r>
        <w:rPr>
          <w:rStyle w:val="22"/>
          <w:rFonts w:hint="eastAsia" w:ascii="宋体" w:hAnsi="宋体" w:eastAsia="宋体" w:cs="Times New Roman"/>
        </w:rPr>
        <w:t>安全管理体系</w:t>
      </w:r>
      <w:r>
        <w:rPr>
          <w:rFonts w:ascii="宋体" w:hAnsi="宋体" w:eastAsia="宋体"/>
        </w:rPr>
        <w:tab/>
      </w:r>
      <w:r>
        <w:rPr>
          <w:rFonts w:ascii="宋体" w:hAnsi="宋体" w:eastAsia="宋体"/>
        </w:rPr>
        <w:fldChar w:fldCharType="begin"/>
      </w:r>
      <w:r>
        <w:rPr>
          <w:rFonts w:ascii="宋体" w:hAnsi="宋体" w:eastAsia="宋体"/>
        </w:rPr>
        <w:instrText xml:space="preserve"> PAGEREF _Toc135402378 \h </w:instrText>
      </w:r>
      <w:r>
        <w:rPr>
          <w:rFonts w:ascii="宋体" w:hAnsi="宋体" w:eastAsia="宋体"/>
        </w:rPr>
        <w:fldChar w:fldCharType="separate"/>
      </w:r>
      <w:r>
        <w:rPr>
          <w:rFonts w:ascii="宋体" w:hAnsi="宋体" w:eastAsia="宋体"/>
        </w:rPr>
        <w:t>5</w:t>
      </w:r>
      <w:r>
        <w:rPr>
          <w:rFonts w:ascii="宋体" w:hAnsi="宋体" w:eastAsia="宋体"/>
        </w:rPr>
        <w:fldChar w:fldCharType="end"/>
      </w:r>
      <w:r>
        <w:rPr>
          <w:rFonts w:ascii="宋体" w:hAnsi="宋体" w:eastAsia="宋体"/>
        </w:rPr>
        <w:fldChar w:fldCharType="end"/>
      </w:r>
    </w:p>
    <w:p>
      <w:pPr>
        <w:pStyle w:val="13"/>
        <w:tabs>
          <w:tab w:val="right" w:leader="dot" w:pos="8296"/>
        </w:tabs>
        <w:spacing w:line="360" w:lineRule="auto"/>
        <w:rPr>
          <w:rFonts w:ascii="宋体" w:hAnsi="宋体" w:eastAsia="宋体"/>
        </w:rPr>
      </w:pPr>
      <w:r>
        <w:fldChar w:fldCharType="begin"/>
      </w:r>
      <w:r>
        <w:instrText xml:space="preserve"> HYPERLINK \l "_Toc135402379" </w:instrText>
      </w:r>
      <w:r>
        <w:fldChar w:fldCharType="separate"/>
      </w:r>
      <w:r>
        <w:rPr>
          <w:rStyle w:val="22"/>
          <w:rFonts w:ascii="宋体" w:hAnsi="宋体" w:eastAsia="宋体" w:cs="Times New Roman"/>
        </w:rPr>
        <w:t xml:space="preserve">6  </w:t>
      </w:r>
      <w:r>
        <w:rPr>
          <w:rStyle w:val="22"/>
          <w:rFonts w:hint="eastAsia" w:ascii="宋体" w:hAnsi="宋体" w:eastAsia="宋体" w:cs="Times New Roman"/>
        </w:rPr>
        <w:t>人员管理</w:t>
      </w:r>
      <w:r>
        <w:rPr>
          <w:rFonts w:ascii="宋体" w:hAnsi="宋体" w:eastAsia="宋体"/>
        </w:rPr>
        <w:tab/>
      </w:r>
      <w:r>
        <w:rPr>
          <w:rFonts w:ascii="宋体" w:hAnsi="宋体" w:eastAsia="宋体"/>
        </w:rPr>
        <w:fldChar w:fldCharType="begin"/>
      </w:r>
      <w:r>
        <w:rPr>
          <w:rFonts w:ascii="宋体" w:hAnsi="宋体" w:eastAsia="宋体"/>
        </w:rPr>
        <w:instrText xml:space="preserve"> PAGEREF _Toc135402379 \h </w:instrText>
      </w:r>
      <w:r>
        <w:rPr>
          <w:rFonts w:ascii="宋体" w:hAnsi="宋体" w:eastAsia="宋体"/>
        </w:rPr>
        <w:fldChar w:fldCharType="separate"/>
      </w:r>
      <w:r>
        <w:rPr>
          <w:rFonts w:ascii="宋体" w:hAnsi="宋体" w:eastAsia="宋体"/>
        </w:rPr>
        <w:t>5</w:t>
      </w:r>
      <w:r>
        <w:rPr>
          <w:rFonts w:ascii="宋体" w:hAnsi="宋体" w:eastAsia="宋体"/>
        </w:rPr>
        <w:fldChar w:fldCharType="end"/>
      </w:r>
      <w:r>
        <w:rPr>
          <w:rFonts w:ascii="宋体" w:hAnsi="宋体" w:eastAsia="宋体"/>
        </w:rPr>
        <w:fldChar w:fldCharType="end"/>
      </w:r>
    </w:p>
    <w:p>
      <w:pPr>
        <w:pStyle w:val="13"/>
        <w:tabs>
          <w:tab w:val="right" w:leader="dot" w:pos="8296"/>
        </w:tabs>
        <w:spacing w:line="360" w:lineRule="auto"/>
        <w:rPr>
          <w:rFonts w:ascii="宋体" w:hAnsi="宋体" w:eastAsia="宋体"/>
        </w:rPr>
      </w:pPr>
      <w:r>
        <w:fldChar w:fldCharType="begin"/>
      </w:r>
      <w:r>
        <w:instrText xml:space="preserve"> HYPERLINK \l "_Toc135402380" </w:instrText>
      </w:r>
      <w:r>
        <w:fldChar w:fldCharType="separate"/>
      </w:r>
      <w:r>
        <w:rPr>
          <w:rStyle w:val="22"/>
          <w:rFonts w:ascii="宋体" w:hAnsi="宋体" w:eastAsia="宋体" w:cs="Times New Roman"/>
        </w:rPr>
        <w:t>7 </w:t>
      </w:r>
      <w:r>
        <w:rPr>
          <w:rStyle w:val="22"/>
          <w:rFonts w:hint="eastAsia" w:ascii="宋体" w:hAnsi="宋体" w:eastAsia="宋体" w:cs="Times New Roman"/>
        </w:rPr>
        <w:t>设备设施安全管理</w:t>
      </w:r>
      <w:r>
        <w:rPr>
          <w:rFonts w:ascii="宋体" w:hAnsi="宋体" w:eastAsia="宋体"/>
        </w:rPr>
        <w:tab/>
      </w:r>
      <w:r>
        <w:rPr>
          <w:rFonts w:ascii="宋体" w:hAnsi="宋体" w:eastAsia="宋体"/>
        </w:rPr>
        <w:fldChar w:fldCharType="begin"/>
      </w:r>
      <w:r>
        <w:rPr>
          <w:rFonts w:ascii="宋体" w:hAnsi="宋体" w:eastAsia="宋体"/>
        </w:rPr>
        <w:instrText xml:space="preserve"> PAGEREF _Toc135402380 \h </w:instrText>
      </w:r>
      <w:r>
        <w:rPr>
          <w:rFonts w:ascii="宋体" w:hAnsi="宋体" w:eastAsia="宋体"/>
        </w:rPr>
        <w:fldChar w:fldCharType="separate"/>
      </w:r>
      <w:r>
        <w:rPr>
          <w:rFonts w:ascii="宋体" w:hAnsi="宋体" w:eastAsia="宋体"/>
        </w:rPr>
        <w:t>6</w:t>
      </w:r>
      <w:r>
        <w:rPr>
          <w:rFonts w:ascii="宋体" w:hAnsi="宋体" w:eastAsia="宋体"/>
        </w:rPr>
        <w:fldChar w:fldCharType="end"/>
      </w:r>
      <w:r>
        <w:rPr>
          <w:rFonts w:ascii="宋体" w:hAnsi="宋体" w:eastAsia="宋体"/>
        </w:rPr>
        <w:fldChar w:fldCharType="end"/>
      </w:r>
    </w:p>
    <w:p>
      <w:pPr>
        <w:pStyle w:val="13"/>
        <w:tabs>
          <w:tab w:val="right" w:leader="dot" w:pos="8296"/>
        </w:tabs>
        <w:spacing w:line="360" w:lineRule="auto"/>
        <w:rPr>
          <w:rFonts w:ascii="宋体" w:hAnsi="宋体" w:eastAsia="宋体"/>
        </w:rPr>
      </w:pPr>
      <w:r>
        <w:fldChar w:fldCharType="begin"/>
      </w:r>
      <w:r>
        <w:instrText xml:space="preserve"> HYPERLINK \l "_Toc135402381" </w:instrText>
      </w:r>
      <w:r>
        <w:fldChar w:fldCharType="separate"/>
      </w:r>
      <w:r>
        <w:rPr>
          <w:rStyle w:val="22"/>
          <w:rFonts w:ascii="宋体" w:hAnsi="宋体" w:eastAsia="宋体" w:cs="Times New Roman"/>
        </w:rPr>
        <w:t xml:space="preserve">8  </w:t>
      </w:r>
      <w:r>
        <w:rPr>
          <w:rStyle w:val="22"/>
          <w:rFonts w:hint="eastAsia" w:ascii="宋体" w:hAnsi="宋体" w:eastAsia="宋体" w:cs="Times New Roman"/>
        </w:rPr>
        <w:t>现场环境管理</w:t>
      </w:r>
      <w:r>
        <w:rPr>
          <w:rFonts w:ascii="宋体" w:hAnsi="宋体" w:eastAsia="宋体"/>
        </w:rPr>
        <w:tab/>
      </w:r>
      <w:r>
        <w:rPr>
          <w:rFonts w:ascii="宋体" w:hAnsi="宋体" w:eastAsia="宋体"/>
        </w:rPr>
        <w:fldChar w:fldCharType="begin"/>
      </w:r>
      <w:r>
        <w:rPr>
          <w:rFonts w:ascii="宋体" w:hAnsi="宋体" w:eastAsia="宋体"/>
        </w:rPr>
        <w:instrText xml:space="preserve"> PAGEREF _Toc135402381 \h </w:instrText>
      </w:r>
      <w:r>
        <w:rPr>
          <w:rFonts w:ascii="宋体" w:hAnsi="宋体" w:eastAsia="宋体"/>
        </w:rPr>
        <w:fldChar w:fldCharType="separate"/>
      </w:r>
      <w:r>
        <w:rPr>
          <w:rFonts w:ascii="宋体" w:hAnsi="宋体" w:eastAsia="宋体"/>
        </w:rPr>
        <w:t>8</w:t>
      </w:r>
      <w:r>
        <w:rPr>
          <w:rFonts w:ascii="宋体" w:hAnsi="宋体" w:eastAsia="宋体"/>
        </w:rPr>
        <w:fldChar w:fldCharType="end"/>
      </w:r>
      <w:r>
        <w:rPr>
          <w:rFonts w:ascii="宋体" w:hAnsi="宋体" w:eastAsia="宋体"/>
        </w:rPr>
        <w:fldChar w:fldCharType="end"/>
      </w:r>
    </w:p>
    <w:p>
      <w:pPr>
        <w:pStyle w:val="13"/>
        <w:tabs>
          <w:tab w:val="right" w:leader="dot" w:pos="8296"/>
        </w:tabs>
        <w:spacing w:line="360" w:lineRule="auto"/>
        <w:rPr>
          <w:rFonts w:ascii="宋体" w:hAnsi="宋体" w:eastAsia="宋体"/>
        </w:rPr>
      </w:pPr>
      <w:r>
        <w:fldChar w:fldCharType="begin"/>
      </w:r>
      <w:r>
        <w:instrText xml:space="preserve"> HYPERLINK \l "_Toc135402382" </w:instrText>
      </w:r>
      <w:r>
        <w:fldChar w:fldCharType="separate"/>
      </w:r>
      <w:r>
        <w:rPr>
          <w:rStyle w:val="22"/>
          <w:rFonts w:ascii="宋体" w:hAnsi="宋体" w:eastAsia="宋体" w:cs="Times New Roman"/>
        </w:rPr>
        <w:t xml:space="preserve">9  </w:t>
      </w:r>
      <w:r>
        <w:rPr>
          <w:rStyle w:val="22"/>
          <w:rFonts w:hint="eastAsia" w:ascii="宋体" w:hAnsi="宋体" w:eastAsia="宋体" w:cs="Times New Roman"/>
        </w:rPr>
        <w:t>职业健康管理</w:t>
      </w:r>
      <w:r>
        <w:rPr>
          <w:rFonts w:ascii="宋体" w:hAnsi="宋体" w:eastAsia="宋体"/>
        </w:rPr>
        <w:tab/>
      </w:r>
      <w:r>
        <w:rPr>
          <w:rFonts w:ascii="宋体" w:hAnsi="宋体" w:eastAsia="宋体"/>
        </w:rPr>
        <w:fldChar w:fldCharType="begin"/>
      </w:r>
      <w:r>
        <w:rPr>
          <w:rFonts w:ascii="宋体" w:hAnsi="宋体" w:eastAsia="宋体"/>
        </w:rPr>
        <w:instrText xml:space="preserve"> PAGEREF _Toc135402382 \h </w:instrText>
      </w:r>
      <w:r>
        <w:rPr>
          <w:rFonts w:ascii="宋体" w:hAnsi="宋体" w:eastAsia="宋体"/>
        </w:rPr>
        <w:fldChar w:fldCharType="separate"/>
      </w:r>
      <w:r>
        <w:rPr>
          <w:rFonts w:ascii="宋体" w:hAnsi="宋体" w:eastAsia="宋体"/>
        </w:rPr>
        <w:t>8</w:t>
      </w:r>
      <w:r>
        <w:rPr>
          <w:rFonts w:ascii="宋体" w:hAnsi="宋体" w:eastAsia="宋体"/>
        </w:rPr>
        <w:fldChar w:fldCharType="end"/>
      </w:r>
      <w:r>
        <w:rPr>
          <w:rFonts w:ascii="宋体" w:hAnsi="宋体" w:eastAsia="宋体"/>
        </w:rPr>
        <w:fldChar w:fldCharType="end"/>
      </w:r>
    </w:p>
    <w:p>
      <w:pPr>
        <w:pStyle w:val="13"/>
        <w:tabs>
          <w:tab w:val="right" w:leader="dot" w:pos="8296"/>
        </w:tabs>
        <w:spacing w:line="360" w:lineRule="auto"/>
      </w:pPr>
      <w:r>
        <w:fldChar w:fldCharType="begin"/>
      </w:r>
      <w:r>
        <w:instrText xml:space="preserve"> HYPERLINK \l "_Toc135402383" </w:instrText>
      </w:r>
      <w:r>
        <w:fldChar w:fldCharType="separate"/>
      </w:r>
      <w:r>
        <w:rPr>
          <w:rStyle w:val="22"/>
          <w:rFonts w:ascii="宋体" w:hAnsi="宋体" w:eastAsia="宋体" w:cs="Times New Roman"/>
        </w:rPr>
        <w:t xml:space="preserve">10 </w:t>
      </w:r>
      <w:r>
        <w:rPr>
          <w:rStyle w:val="22"/>
          <w:rFonts w:hint="eastAsia" w:ascii="宋体" w:hAnsi="宋体" w:eastAsia="宋体" w:cs="Times New Roman"/>
        </w:rPr>
        <w:t>实验过程安全</w:t>
      </w:r>
      <w:r>
        <w:rPr>
          <w:rFonts w:ascii="宋体" w:hAnsi="宋体" w:eastAsia="宋体"/>
        </w:rPr>
        <w:tab/>
      </w:r>
      <w:r>
        <w:rPr>
          <w:rFonts w:ascii="宋体" w:hAnsi="宋体" w:eastAsia="宋体"/>
        </w:rPr>
        <w:fldChar w:fldCharType="begin"/>
      </w:r>
      <w:r>
        <w:rPr>
          <w:rFonts w:ascii="宋体" w:hAnsi="宋体" w:eastAsia="宋体"/>
        </w:rPr>
        <w:instrText xml:space="preserve"> PAGEREF _Toc135402383 \h </w:instrText>
      </w:r>
      <w:r>
        <w:rPr>
          <w:rFonts w:ascii="宋体" w:hAnsi="宋体" w:eastAsia="宋体"/>
        </w:rPr>
        <w:fldChar w:fldCharType="separate"/>
      </w:r>
      <w:r>
        <w:rPr>
          <w:rFonts w:ascii="宋体" w:hAnsi="宋体" w:eastAsia="宋体"/>
        </w:rPr>
        <w:t>9</w:t>
      </w:r>
      <w:r>
        <w:rPr>
          <w:rFonts w:ascii="宋体" w:hAnsi="宋体" w:eastAsia="宋体"/>
        </w:rPr>
        <w:fldChar w:fldCharType="end"/>
      </w:r>
      <w:r>
        <w:rPr>
          <w:rFonts w:ascii="宋体" w:hAnsi="宋体" w:eastAsia="宋体"/>
        </w:rPr>
        <w:fldChar w:fldCharType="end"/>
      </w:r>
    </w:p>
    <w:p>
      <w:pPr>
        <w:pStyle w:val="28"/>
        <w:spacing w:line="360" w:lineRule="auto"/>
        <w:ind w:firstLine="0" w:firstLineChars="0"/>
        <w:rPr>
          <w:rFonts w:ascii="Times New Roman" w:hAnsi="Times New Roman" w:eastAsia="黑体" w:cs="Times New Roman"/>
          <w:sz w:val="32"/>
          <w:szCs w:val="32"/>
        </w:rPr>
      </w:pPr>
      <w:r>
        <w:rPr>
          <w:rFonts w:ascii="Times New Roman" w:hAnsi="Times New Roman" w:eastAsia="宋体" w:cs="Times New Roman"/>
          <w:szCs w:val="21"/>
        </w:rPr>
        <w:fldChar w:fldCharType="end"/>
      </w: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jc w:val="center"/>
        <w:rPr>
          <w:rFonts w:ascii="Times New Roman" w:hAnsi="Times New Roman" w:cs="Times New Roman"/>
          <w:b/>
          <w:sz w:val="52"/>
          <w:szCs w:val="52"/>
        </w:rPr>
      </w:pPr>
      <w:r>
        <w:rPr>
          <w:rFonts w:ascii="Times New Roman" w:hAnsi="Times New Roman" w:eastAsia="黑体" w:cs="Times New Roman"/>
          <w:sz w:val="32"/>
          <w:szCs w:val="32"/>
        </w:rPr>
        <w:t>前</w:t>
      </w:r>
      <w:bookmarkStart w:id="1" w:name="BKQY"/>
      <w:r>
        <w:rPr>
          <w:rFonts w:ascii="Times New Roman" w:hAnsi="Times New Roman" w:eastAsia="MS Mincho" w:cs="Times New Roman"/>
          <w:sz w:val="32"/>
          <w:szCs w:val="32"/>
        </w:rPr>
        <w:t xml:space="preserve">  </w:t>
      </w:r>
      <w:r>
        <w:rPr>
          <w:rFonts w:ascii="Times New Roman" w:hAnsi="Times New Roman" w:eastAsia="黑体" w:cs="Times New Roman"/>
          <w:sz w:val="32"/>
          <w:szCs w:val="32"/>
        </w:rPr>
        <w:t>言</w:t>
      </w:r>
      <w:bookmarkEnd w:id="1"/>
    </w:p>
    <w:p>
      <w:pPr>
        <w:ind w:firstLine="420" w:firstLineChars="200"/>
        <w:rPr>
          <w:rFonts w:ascii="Times New Roman" w:hAnsi="Times New Roman" w:cs="Times New Roman"/>
          <w:szCs w:val="21"/>
        </w:rPr>
      </w:pPr>
    </w:p>
    <w:p>
      <w:pPr>
        <w:ind w:firstLine="420" w:firstLineChars="200"/>
        <w:rPr>
          <w:rFonts w:ascii="Times New Roman" w:hAnsi="Times New Roman" w:cs="Times New Roman"/>
          <w:szCs w:val="21"/>
        </w:rPr>
      </w:pPr>
    </w:p>
    <w:p>
      <w:pPr>
        <w:pStyle w:val="28"/>
        <w:jc w:val="left"/>
        <w:rPr>
          <w:rFonts w:cs="Times New Roman" w:asciiTheme="minorEastAsia" w:hAnsiTheme="minorEastAsia"/>
        </w:rPr>
      </w:pPr>
      <w:r>
        <w:rPr>
          <w:rFonts w:hint="eastAsia" w:cs="Times New Roman" w:asciiTheme="minorEastAsia" w:hAnsiTheme="minorEastAsia"/>
        </w:rPr>
        <w:t>本标准按GB/T1.1-2020《标准化工作导则 第1部分:标准的结构和编写》的规定编写。</w:t>
      </w:r>
      <w:r>
        <w:rPr>
          <w:rFonts w:hint="eastAsia" w:cs="Times New Roman" w:asciiTheme="minorEastAsia" w:hAnsiTheme="minorEastAsia"/>
        </w:rPr>
        <w:br w:type="textWrapping"/>
      </w:r>
      <w:r>
        <w:rPr>
          <w:rFonts w:cs="Times New Roman" w:asciiTheme="minorEastAsia" w:hAnsiTheme="minorEastAsia"/>
        </w:rPr>
        <w:t xml:space="preserve">    </w:t>
      </w:r>
      <w:r>
        <w:rPr>
          <w:rFonts w:hint="eastAsia" w:cs="Times New Roman" w:asciiTheme="minorEastAsia" w:hAnsiTheme="minorEastAsia"/>
        </w:rPr>
        <w:t>本标准由河北省工业和信息化厅提出。</w:t>
      </w:r>
      <w:r>
        <w:rPr>
          <w:rFonts w:hint="eastAsia" w:cs="Times New Roman" w:asciiTheme="minorEastAsia" w:hAnsiTheme="minorEastAsia"/>
        </w:rPr>
        <w:br w:type="textWrapping"/>
      </w:r>
      <w:r>
        <w:rPr>
          <w:rFonts w:cs="Times New Roman" w:asciiTheme="minorEastAsia" w:hAnsiTheme="minorEastAsia"/>
        </w:rPr>
        <w:t xml:space="preserve">    </w:t>
      </w:r>
      <w:r>
        <w:rPr>
          <w:rFonts w:hint="eastAsia" w:cs="Times New Roman" w:asciiTheme="minorEastAsia" w:hAnsiTheme="minorEastAsia"/>
        </w:rPr>
        <w:t>本标准由河北省燃料电池标准化技术委员会（HeB/TC29）归口。</w:t>
      </w:r>
      <w:r>
        <w:rPr>
          <w:rFonts w:hint="eastAsia" w:cs="Times New Roman" w:asciiTheme="minorEastAsia" w:hAnsiTheme="minorEastAsia"/>
        </w:rPr>
        <w:br w:type="textWrapping"/>
      </w:r>
      <w:r>
        <w:rPr>
          <w:rFonts w:cs="Times New Roman" w:asciiTheme="minorEastAsia" w:hAnsiTheme="minorEastAsia"/>
        </w:rPr>
        <w:t xml:space="preserve">    </w:t>
      </w:r>
      <w:r>
        <w:rPr>
          <w:rFonts w:hint="eastAsia" w:cs="Times New Roman" w:asciiTheme="minorEastAsia" w:hAnsiTheme="minorEastAsia"/>
        </w:rPr>
        <w:t>本标准由河北省市场监督管理局发布。</w:t>
      </w:r>
    </w:p>
    <w:p>
      <w:pPr>
        <w:pStyle w:val="28"/>
        <w:ind w:firstLineChars="0"/>
        <w:jc w:val="left"/>
        <w:rPr>
          <w:rFonts w:cs="Times New Roman" w:asciiTheme="minorEastAsia" w:hAnsiTheme="minorEastAsia"/>
        </w:rPr>
      </w:pPr>
      <w:r>
        <w:rPr>
          <w:rFonts w:hint="eastAsia" w:cs="Times New Roman" w:asciiTheme="minorEastAsia" w:hAnsiTheme="minorEastAsia"/>
        </w:rPr>
        <w:t>本标准起草单位：特嗨氢能检测（保定）有限公司、河北省消防救援总队、保定市消防救援支队、河北省工业和信息化发展研究院、安瑞科（廊坊）能源装备集成有限公司。</w:t>
      </w:r>
    </w:p>
    <w:p>
      <w:pPr>
        <w:pStyle w:val="28"/>
        <w:ind w:firstLineChars="0"/>
        <w:jc w:val="left"/>
        <w:rPr>
          <w:rFonts w:cs="Times New Roman" w:asciiTheme="minorEastAsia" w:hAnsiTheme="minorEastAsia"/>
        </w:rPr>
      </w:pPr>
      <w:r>
        <w:rPr>
          <w:rFonts w:hint="eastAsia" w:cs="Times New Roman" w:asciiTheme="minorEastAsia" w:hAnsiTheme="minorEastAsia"/>
        </w:rPr>
        <w:t>本标准主要起草人：孙辉、杜东升、段志洁、马强、葛政、杨晓春、隋志强、卢鹏、武晓飞、封利利、鲍学智、杨浩、张学华、魏彬、王大威、张英、卢百吉</w:t>
      </w:r>
      <w:r>
        <w:rPr>
          <w:rFonts w:cs="Times New Roman" w:asciiTheme="minorEastAsia" w:hAnsiTheme="minorEastAsia"/>
        </w:rPr>
        <w:t>。</w:t>
      </w:r>
    </w:p>
    <w:p>
      <w:pPr>
        <w:pStyle w:val="28"/>
        <w:jc w:val="left"/>
        <w:rPr>
          <w:rFonts w:cs="Times New Roman" w:asciiTheme="minorEastAsia" w:hAnsiTheme="minorEastAsia"/>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p>
    <w:p>
      <w:pPr>
        <w:pStyle w:val="28"/>
        <w:ind w:firstLine="0" w:firstLineChars="0"/>
        <w:jc w:val="center"/>
        <w:rPr>
          <w:rFonts w:ascii="Times New Roman" w:hAnsi="Times New Roman" w:eastAsia="黑体" w:cs="Times New Roman"/>
          <w:sz w:val="32"/>
          <w:szCs w:val="32"/>
        </w:rPr>
      </w:pPr>
      <w:r>
        <w:rPr>
          <w:rFonts w:hint="eastAsia" w:ascii="Times New Roman" w:hAnsi="Times New Roman" w:eastAsia="黑体" w:cs="Times New Roman"/>
          <w:sz w:val="32"/>
          <w:szCs w:val="32"/>
        </w:rPr>
        <w:t>涉氢</w:t>
      </w:r>
      <w:r>
        <w:rPr>
          <w:rFonts w:ascii="Times New Roman" w:hAnsi="Times New Roman" w:eastAsia="黑体" w:cs="Times New Roman"/>
          <w:sz w:val="32"/>
          <w:szCs w:val="32"/>
        </w:rPr>
        <w:t>实验室安全管理规范</w:t>
      </w:r>
      <w:bookmarkStart w:id="2" w:name="_Toc135402374"/>
    </w:p>
    <w:p>
      <w:pPr>
        <w:pStyle w:val="28"/>
        <w:ind w:firstLine="0" w:firstLineChars="0"/>
        <w:rPr>
          <w:rFonts w:ascii="黑体" w:hAnsi="黑体" w:eastAsia="黑体" w:cs="Times New Roman"/>
          <w:szCs w:val="21"/>
        </w:rPr>
      </w:pPr>
    </w:p>
    <w:p>
      <w:pPr>
        <w:pStyle w:val="28"/>
        <w:ind w:firstLine="0" w:firstLineChars="0"/>
        <w:rPr>
          <w:rFonts w:ascii="黑体" w:hAnsi="黑体" w:eastAsia="黑体" w:cs="Times New Roman"/>
          <w:szCs w:val="21"/>
        </w:rPr>
      </w:pPr>
      <w:r>
        <w:rPr>
          <w:rFonts w:ascii="黑体" w:hAnsi="黑体" w:eastAsia="黑体" w:cs="Times New Roman"/>
          <w:szCs w:val="21"/>
        </w:rPr>
        <w:t xml:space="preserve">1   </w:t>
      </w:r>
      <w:r>
        <w:rPr>
          <w:rFonts w:ascii="黑体" w:hAnsi="黑体" w:eastAsia="黑体"/>
          <w:szCs w:val="21"/>
        </w:rPr>
        <w:t>范围</w:t>
      </w:r>
      <w:bookmarkEnd w:id="2"/>
    </w:p>
    <w:p>
      <w:pPr>
        <w:ind w:firstLine="420" w:firstLineChars="200"/>
        <w:rPr>
          <w:rFonts w:ascii="宋体" w:hAnsi="宋体" w:eastAsia="宋体" w:cs="Times New Roman"/>
          <w:szCs w:val="21"/>
        </w:rPr>
      </w:pPr>
    </w:p>
    <w:p>
      <w:pPr>
        <w:ind w:firstLine="420" w:firstLineChars="200"/>
        <w:rPr>
          <w:rFonts w:ascii="宋体" w:hAnsi="宋体" w:eastAsia="宋体" w:cs="Times New Roman"/>
          <w:szCs w:val="21"/>
        </w:rPr>
      </w:pPr>
      <w:r>
        <w:rPr>
          <w:rFonts w:ascii="宋体" w:hAnsi="宋体" w:eastAsia="宋体" w:cs="Times New Roman"/>
          <w:szCs w:val="21"/>
        </w:rPr>
        <w:t>本</w:t>
      </w:r>
      <w:r>
        <w:rPr>
          <w:rFonts w:hint="eastAsia" w:ascii="宋体" w:hAnsi="宋体" w:eastAsia="宋体" w:cs="Times New Roman"/>
          <w:szCs w:val="21"/>
        </w:rPr>
        <w:t>标准</w:t>
      </w:r>
      <w:r>
        <w:rPr>
          <w:rFonts w:ascii="宋体" w:hAnsi="宋体" w:eastAsia="宋体" w:cs="Times New Roman"/>
          <w:szCs w:val="21"/>
        </w:rPr>
        <w:t>制定了</w:t>
      </w:r>
      <w:r>
        <w:rPr>
          <w:rFonts w:hint="eastAsia" w:ascii="宋体" w:hAnsi="宋体" w:eastAsia="宋体" w:cs="Times New Roman"/>
          <w:szCs w:val="21"/>
        </w:rPr>
        <w:t>涉氢</w:t>
      </w:r>
      <w:r>
        <w:rPr>
          <w:rFonts w:ascii="宋体" w:hAnsi="宋体" w:eastAsia="宋体" w:cs="Times New Roman"/>
          <w:szCs w:val="21"/>
        </w:rPr>
        <w:t>实验室（以下简称实验室）安全管理规范</w:t>
      </w:r>
      <w:r>
        <w:rPr>
          <w:rFonts w:hint="eastAsia" w:ascii="宋体" w:hAnsi="宋体" w:eastAsia="宋体" w:cs="Times New Roman"/>
          <w:szCs w:val="21"/>
        </w:rPr>
        <w:t>，</w:t>
      </w:r>
      <w:r>
        <w:rPr>
          <w:rFonts w:ascii="宋体" w:hAnsi="宋体" w:eastAsia="宋体" w:cs="Times New Roman"/>
          <w:spacing w:val="8"/>
        </w:rPr>
        <w:t>规定了与实验室活动相关的</w:t>
      </w:r>
      <w:r>
        <w:rPr>
          <w:rFonts w:hint="eastAsia" w:ascii="宋体" w:hAnsi="宋体" w:eastAsia="宋体" w:cs="Times New Roman"/>
          <w:spacing w:val="8"/>
        </w:rPr>
        <w:t>安全管理组织和体系、</w:t>
      </w:r>
      <w:r>
        <w:rPr>
          <w:rFonts w:ascii="宋体" w:hAnsi="宋体" w:eastAsia="宋体" w:cs="Times New Roman"/>
          <w:spacing w:val="8"/>
        </w:rPr>
        <w:t>人员、设备设施、</w:t>
      </w:r>
      <w:r>
        <w:rPr>
          <w:rFonts w:hint="eastAsia" w:ascii="宋体" w:hAnsi="宋体" w:eastAsia="宋体" w:cs="Times New Roman"/>
          <w:spacing w:val="8"/>
        </w:rPr>
        <w:t>现场</w:t>
      </w:r>
      <w:r>
        <w:rPr>
          <w:rFonts w:ascii="宋体" w:hAnsi="宋体" w:eastAsia="宋体" w:cs="Times New Roman"/>
          <w:spacing w:val="8"/>
        </w:rPr>
        <w:t>环境、</w:t>
      </w:r>
      <w:r>
        <w:rPr>
          <w:rFonts w:hint="eastAsia" w:ascii="宋体" w:hAnsi="宋体" w:eastAsia="宋体" w:cs="Times New Roman"/>
          <w:spacing w:val="8"/>
        </w:rPr>
        <w:t>职业健康和作业活动的</w:t>
      </w:r>
      <w:r>
        <w:rPr>
          <w:rFonts w:ascii="宋体" w:hAnsi="宋体" w:eastAsia="宋体" w:cs="Times New Roman"/>
          <w:spacing w:val="8"/>
        </w:rPr>
        <w:t>安全管理要求。</w:t>
      </w:r>
    </w:p>
    <w:p>
      <w:pPr>
        <w:pStyle w:val="28"/>
        <w:rPr>
          <w:rFonts w:ascii="Times New Roman" w:hAnsi="Times New Roman" w:cs="Times New Roman"/>
          <w:szCs w:val="21"/>
        </w:rPr>
      </w:pPr>
      <w:r>
        <w:rPr>
          <w:rFonts w:hAnsi="宋体" w:eastAsia="宋体" w:cs="Times New Roman"/>
          <w:szCs w:val="21"/>
        </w:rPr>
        <w:t>本规范适用于涉氢实验室，其他涉氢应用场所和实验室可参照使用</w:t>
      </w:r>
      <w:r>
        <w:rPr>
          <w:rFonts w:ascii="Times New Roman" w:hAnsi="Times New Roman" w:cs="Times New Roman"/>
          <w:szCs w:val="21"/>
        </w:rPr>
        <w:t>。</w:t>
      </w:r>
      <w:bookmarkStart w:id="3" w:name="_Toc135402375"/>
    </w:p>
    <w:p>
      <w:pPr>
        <w:pStyle w:val="28"/>
        <w:ind w:firstLine="0" w:firstLineChars="0"/>
        <w:rPr>
          <w:rFonts w:ascii="黑体" w:hAnsi="黑体" w:eastAsia="黑体" w:cs="Times New Roman"/>
          <w:szCs w:val="21"/>
        </w:rPr>
      </w:pPr>
    </w:p>
    <w:p>
      <w:pPr>
        <w:pStyle w:val="28"/>
        <w:ind w:firstLine="0" w:firstLineChars="0"/>
        <w:rPr>
          <w:rFonts w:ascii="黑体" w:hAnsi="黑体" w:eastAsia="黑体" w:cs="Times New Roman"/>
          <w:szCs w:val="21"/>
        </w:rPr>
      </w:pPr>
      <w:r>
        <w:rPr>
          <w:rFonts w:hint="eastAsia" w:ascii="黑体" w:hAnsi="黑体" w:eastAsia="黑体" w:cs="Times New Roman"/>
          <w:szCs w:val="21"/>
        </w:rPr>
        <w:t>2</w:t>
      </w:r>
      <w:r>
        <w:rPr>
          <w:rFonts w:ascii="黑体" w:hAnsi="黑体" w:eastAsia="黑体" w:cs="Times New Roman"/>
          <w:szCs w:val="21"/>
        </w:rPr>
        <w:t xml:space="preserve">   </w:t>
      </w:r>
      <w:r>
        <w:rPr>
          <w:rFonts w:ascii="黑体" w:hAnsi="黑体" w:eastAsia="黑体"/>
        </w:rPr>
        <w:t>规范性引用文件</w:t>
      </w:r>
      <w:bookmarkEnd w:id="3"/>
    </w:p>
    <w:p>
      <w:pPr>
        <w:spacing w:line="300" w:lineRule="auto"/>
        <w:ind w:firstLine="420" w:firstLineChars="200"/>
        <w:rPr>
          <w:rFonts w:ascii="宋体" w:hAnsi="宋体" w:eastAsia="宋体" w:cs="Times New Roman"/>
          <w:szCs w:val="21"/>
        </w:rPr>
      </w:pPr>
    </w:p>
    <w:p>
      <w:pPr>
        <w:spacing w:line="300" w:lineRule="auto"/>
        <w:ind w:firstLine="420" w:firstLineChars="200"/>
        <w:rPr>
          <w:rFonts w:ascii="宋体" w:hAnsi="宋体" w:eastAsia="宋体" w:cs="Times New Roman"/>
          <w:szCs w:val="21"/>
        </w:rPr>
      </w:pPr>
      <w:r>
        <w:rPr>
          <w:rFonts w:ascii="宋体" w:hAnsi="宋体" w:eastAsia="宋体" w:cs="Times New Roman"/>
          <w:szCs w:val="21"/>
        </w:rPr>
        <w:t>下列文件对于本文件的应用是必不可少的。凡是注日期的引用文件，仅注日期的版本适用于本文件。凡是不注日期的引用文件，其最新版本（包括所有的修改单）适用于本文件。</w:t>
      </w:r>
    </w:p>
    <w:p>
      <w:pPr>
        <w:spacing w:line="300" w:lineRule="auto"/>
        <w:ind w:firstLine="420" w:firstLineChars="200"/>
        <w:rPr>
          <w:rFonts w:ascii="宋体" w:hAnsi="宋体" w:eastAsia="宋体" w:cs="Times New Roman"/>
          <w:szCs w:val="21"/>
        </w:rPr>
      </w:pPr>
      <w:r>
        <w:rPr>
          <w:rFonts w:ascii="Times New Roman" w:hAnsi="Times New Roman" w:cs="Times New Roman"/>
          <w:szCs w:val="21"/>
        </w:rPr>
        <w:t xml:space="preserve">GB 4962  </w:t>
      </w:r>
      <w:r>
        <w:rPr>
          <w:rFonts w:ascii="宋体" w:hAnsi="宋体" w:eastAsia="宋体" w:cs="Times New Roman"/>
          <w:szCs w:val="21"/>
        </w:rPr>
        <w:t>氢气使用安全技术规程</w:t>
      </w:r>
    </w:p>
    <w:p>
      <w:pPr>
        <w:spacing w:line="300" w:lineRule="auto"/>
        <w:ind w:firstLine="420" w:firstLineChars="200"/>
        <w:rPr>
          <w:rFonts w:ascii="Times New Roman" w:hAnsi="Times New Roman" w:cs="Times New Roman"/>
          <w:szCs w:val="21"/>
        </w:rPr>
      </w:pPr>
      <w:r>
        <w:rPr>
          <w:rFonts w:hint="eastAsia" w:ascii="Times New Roman" w:hAnsi="Times New Roman" w:cs="Times New Roman"/>
          <w:szCs w:val="21"/>
        </w:rPr>
        <w:t>GB</w:t>
      </w:r>
      <w:r>
        <w:rPr>
          <w:rFonts w:ascii="Times New Roman" w:hAnsi="Times New Roman" w:cs="Times New Roman"/>
          <w:szCs w:val="21"/>
        </w:rPr>
        <w:t>/</w:t>
      </w:r>
      <w:r>
        <w:rPr>
          <w:rFonts w:hint="eastAsia" w:ascii="Times New Roman" w:hAnsi="Times New Roman" w:cs="Times New Roman"/>
          <w:szCs w:val="21"/>
        </w:rPr>
        <w:t xml:space="preserve">T 29729 </w:t>
      </w:r>
      <w:r>
        <w:rPr>
          <w:rFonts w:ascii="Times New Roman" w:hAnsi="Times New Roman" w:cs="Times New Roman"/>
          <w:szCs w:val="21"/>
        </w:rPr>
        <w:t xml:space="preserve"> </w:t>
      </w:r>
      <w:r>
        <w:rPr>
          <w:rFonts w:hint="eastAsia" w:ascii="宋体" w:hAnsi="宋体" w:eastAsia="宋体" w:cs="Times New Roman"/>
          <w:szCs w:val="21"/>
        </w:rPr>
        <w:t>氢系统安全的基本要求</w:t>
      </w:r>
    </w:p>
    <w:p>
      <w:pPr>
        <w:spacing w:line="300" w:lineRule="auto"/>
        <w:ind w:firstLine="420" w:firstLineChars="200"/>
        <w:rPr>
          <w:rFonts w:ascii="Helvetica" w:hAnsi="Helvetica"/>
          <w:color w:val="333333"/>
          <w:szCs w:val="21"/>
          <w:shd w:val="clear" w:color="auto" w:fill="FFFFFF"/>
        </w:rPr>
      </w:pPr>
      <w:r>
        <w:rPr>
          <w:rFonts w:ascii="Times New Roman" w:hAnsi="Times New Roman" w:cs="Times New Roman"/>
          <w:szCs w:val="21"/>
        </w:rPr>
        <w:t xml:space="preserve">GB 50177  </w:t>
      </w:r>
      <w:r>
        <w:rPr>
          <w:rFonts w:ascii="宋体" w:hAnsi="宋体" w:eastAsia="宋体" w:cs="Times New Roman"/>
          <w:szCs w:val="21"/>
        </w:rPr>
        <w:t>氢气站设计规范</w:t>
      </w:r>
    </w:p>
    <w:p>
      <w:pPr>
        <w:spacing w:line="300" w:lineRule="auto"/>
        <w:ind w:firstLine="420" w:firstLineChars="200"/>
        <w:rPr>
          <w:rFonts w:ascii="Times New Roman" w:hAnsi="Times New Roman" w:cs="Times New Roman"/>
          <w:szCs w:val="21"/>
        </w:rPr>
      </w:pPr>
      <w:r>
        <w:rPr>
          <w:rFonts w:ascii="Times New Roman" w:hAnsi="Times New Roman" w:cs="Times New Roman"/>
          <w:szCs w:val="21"/>
        </w:rPr>
        <w:t xml:space="preserve">GB 50516  </w:t>
      </w:r>
      <w:r>
        <w:rPr>
          <w:rFonts w:ascii="宋体" w:hAnsi="宋体" w:eastAsia="宋体" w:cs="Times New Roman"/>
          <w:szCs w:val="21"/>
        </w:rPr>
        <w:t>加氢站技术规范</w:t>
      </w:r>
    </w:p>
    <w:p>
      <w:pPr>
        <w:spacing w:line="300" w:lineRule="auto"/>
        <w:ind w:firstLine="420" w:firstLineChars="200"/>
        <w:rPr>
          <w:rFonts w:ascii="Times New Roman" w:hAnsi="Times New Roman" w:cs="Times New Roman"/>
          <w:szCs w:val="21"/>
        </w:rPr>
      </w:pPr>
      <w:r>
        <w:rPr>
          <w:rFonts w:ascii="Times New Roman" w:hAnsi="Times New Roman" w:cs="Times New Roman"/>
          <w:szCs w:val="21"/>
        </w:rPr>
        <w:t xml:space="preserve">GB/T 27476.1 </w:t>
      </w:r>
      <w:r>
        <w:rPr>
          <w:rFonts w:ascii="宋体" w:hAnsi="宋体" w:eastAsia="宋体" w:cs="Times New Roman"/>
          <w:szCs w:val="21"/>
        </w:rPr>
        <w:t>检测实验室安全 第1部分</w:t>
      </w:r>
      <w:r>
        <w:rPr>
          <w:rFonts w:hint="eastAsia" w:ascii="宋体" w:hAnsi="宋体" w:eastAsia="宋体" w:cs="Times New Roman"/>
          <w:szCs w:val="21"/>
        </w:rPr>
        <w:t>：</w:t>
      </w:r>
      <w:r>
        <w:rPr>
          <w:rFonts w:ascii="宋体" w:hAnsi="宋体" w:eastAsia="宋体" w:cs="Times New Roman"/>
          <w:szCs w:val="21"/>
        </w:rPr>
        <w:t>总则</w:t>
      </w:r>
    </w:p>
    <w:p>
      <w:pPr>
        <w:spacing w:line="300" w:lineRule="auto"/>
        <w:ind w:firstLine="420" w:firstLineChars="200"/>
        <w:rPr>
          <w:rFonts w:ascii="Times New Roman" w:hAnsi="Times New Roman" w:cs="Times New Roman"/>
          <w:szCs w:val="21"/>
        </w:rPr>
      </w:pPr>
      <w:r>
        <w:rPr>
          <w:rFonts w:ascii="Times New Roman" w:hAnsi="Times New Roman" w:cs="Times New Roman"/>
          <w:szCs w:val="21"/>
        </w:rPr>
        <w:t xml:space="preserve">GB 50058  </w:t>
      </w:r>
      <w:r>
        <w:rPr>
          <w:rFonts w:ascii="宋体" w:hAnsi="宋体" w:eastAsia="宋体" w:cs="Times New Roman"/>
          <w:szCs w:val="21"/>
        </w:rPr>
        <w:t>爆炸危险环境电力装置设计规范</w:t>
      </w:r>
    </w:p>
    <w:p>
      <w:pPr>
        <w:spacing w:line="300" w:lineRule="auto"/>
        <w:ind w:firstLine="420" w:firstLineChars="200"/>
        <w:rPr>
          <w:rFonts w:ascii="Times New Roman" w:hAnsi="Times New Roman" w:cs="Times New Roman"/>
          <w:szCs w:val="21"/>
        </w:rPr>
      </w:pPr>
      <w:r>
        <w:rPr>
          <w:rFonts w:ascii="Times New Roman" w:hAnsi="Times New Roman" w:cs="Times New Roman"/>
          <w:szCs w:val="21"/>
        </w:rPr>
        <w:t xml:space="preserve">GB 50016  </w:t>
      </w:r>
      <w:r>
        <w:rPr>
          <w:rFonts w:ascii="宋体" w:hAnsi="宋体" w:eastAsia="宋体" w:cs="Times New Roman"/>
          <w:szCs w:val="21"/>
        </w:rPr>
        <w:t>建筑设计防火规范</w:t>
      </w:r>
    </w:p>
    <w:p>
      <w:pPr>
        <w:spacing w:line="300" w:lineRule="auto"/>
        <w:ind w:firstLine="420" w:firstLineChars="200"/>
        <w:rPr>
          <w:rFonts w:ascii="Times New Roman" w:hAnsi="Times New Roman" w:cs="Times New Roman"/>
          <w:szCs w:val="21"/>
        </w:rPr>
      </w:pPr>
      <w:r>
        <w:rPr>
          <w:rFonts w:hint="eastAsia" w:ascii="Times New Roman" w:hAnsi="Times New Roman" w:cs="Times New Roman"/>
          <w:szCs w:val="21"/>
        </w:rPr>
        <w:t>GB 55036</w:t>
      </w:r>
      <w:r>
        <w:rPr>
          <w:rFonts w:ascii="Times New Roman" w:hAnsi="Times New Roman" w:cs="Times New Roman"/>
          <w:szCs w:val="21"/>
        </w:rPr>
        <w:t xml:space="preserve"> </w:t>
      </w:r>
      <w:r>
        <w:rPr>
          <w:rFonts w:ascii="宋体" w:hAnsi="宋体" w:eastAsia="宋体" w:cs="Times New Roman"/>
          <w:szCs w:val="21"/>
        </w:rPr>
        <w:t xml:space="preserve"> </w:t>
      </w:r>
      <w:r>
        <w:rPr>
          <w:rFonts w:hint="eastAsia" w:ascii="宋体" w:hAnsi="宋体" w:eastAsia="宋体" w:cs="Times New Roman"/>
          <w:szCs w:val="21"/>
        </w:rPr>
        <w:t>消防设施通用规范</w:t>
      </w:r>
    </w:p>
    <w:p>
      <w:pPr>
        <w:spacing w:line="300" w:lineRule="auto"/>
        <w:ind w:firstLine="420" w:firstLineChars="200"/>
        <w:rPr>
          <w:rFonts w:ascii="Times New Roman" w:hAnsi="Times New Roman" w:cs="Times New Roman"/>
          <w:szCs w:val="21"/>
        </w:rPr>
      </w:pPr>
      <w:r>
        <w:rPr>
          <w:rFonts w:hint="eastAsia" w:ascii="Times New Roman" w:hAnsi="Times New Roman" w:cs="Times New Roman"/>
          <w:szCs w:val="21"/>
        </w:rPr>
        <w:t>G</w:t>
      </w:r>
      <w:r>
        <w:rPr>
          <w:rFonts w:ascii="Times New Roman" w:hAnsi="Times New Roman" w:cs="Times New Roman"/>
          <w:szCs w:val="21"/>
        </w:rPr>
        <w:t xml:space="preserve">B 55037 </w:t>
      </w:r>
      <w:r>
        <w:rPr>
          <w:rFonts w:ascii="宋体" w:hAnsi="宋体" w:eastAsia="宋体" w:cs="Times New Roman"/>
          <w:szCs w:val="21"/>
        </w:rPr>
        <w:t xml:space="preserve"> 建筑防火通用规范</w:t>
      </w:r>
    </w:p>
    <w:p>
      <w:pPr>
        <w:spacing w:line="300" w:lineRule="auto"/>
        <w:ind w:firstLine="420" w:firstLineChars="200"/>
        <w:rPr>
          <w:rFonts w:ascii="Times New Roman" w:hAnsi="Times New Roman" w:cs="Times New Roman"/>
          <w:szCs w:val="21"/>
        </w:rPr>
      </w:pPr>
      <w:r>
        <w:rPr>
          <w:rFonts w:ascii="Times New Roman" w:hAnsi="Times New Roman" w:cs="Times New Roman"/>
          <w:szCs w:val="21"/>
        </w:rPr>
        <w:t xml:space="preserve">GB 50163  </w:t>
      </w:r>
      <w:r>
        <w:rPr>
          <w:rFonts w:ascii="宋体" w:hAnsi="宋体" w:eastAsia="宋体" w:cs="Times New Roman"/>
          <w:szCs w:val="21"/>
        </w:rPr>
        <w:t>火灾自动报警系统设计规范</w:t>
      </w:r>
    </w:p>
    <w:p>
      <w:pPr>
        <w:spacing w:line="300" w:lineRule="auto"/>
        <w:ind w:firstLine="420" w:firstLineChars="200"/>
        <w:rPr>
          <w:rFonts w:ascii="Times New Roman" w:hAnsi="Times New Roman" w:cs="Times New Roman"/>
          <w:szCs w:val="21"/>
        </w:rPr>
      </w:pPr>
      <w:r>
        <w:rPr>
          <w:rFonts w:ascii="Times New Roman" w:hAnsi="Times New Roman" w:cs="Times New Roman"/>
          <w:szCs w:val="21"/>
        </w:rPr>
        <w:t xml:space="preserve">GB 25201  </w:t>
      </w:r>
      <w:r>
        <w:rPr>
          <w:rFonts w:ascii="宋体" w:hAnsi="宋体" w:eastAsia="宋体" w:cs="Times New Roman"/>
          <w:szCs w:val="21"/>
        </w:rPr>
        <w:t>建筑消防设施的维护管理</w:t>
      </w:r>
    </w:p>
    <w:p>
      <w:pPr>
        <w:spacing w:line="300" w:lineRule="auto"/>
        <w:ind w:firstLine="420" w:firstLineChars="200"/>
        <w:rPr>
          <w:rFonts w:ascii="Times New Roman" w:hAnsi="Times New Roman" w:cs="Times New Roman"/>
          <w:szCs w:val="21"/>
        </w:rPr>
      </w:pPr>
      <w:r>
        <w:rPr>
          <w:rFonts w:hint="eastAsia" w:ascii="Times New Roman" w:hAnsi="Times New Roman" w:cs="Times New Roman"/>
          <w:szCs w:val="21"/>
        </w:rPr>
        <w:t>G</w:t>
      </w:r>
      <w:r>
        <w:rPr>
          <w:rFonts w:ascii="Times New Roman" w:hAnsi="Times New Roman" w:cs="Times New Roman"/>
          <w:szCs w:val="21"/>
        </w:rPr>
        <w:t>B</w:t>
      </w:r>
      <w:r>
        <w:rPr>
          <w:rFonts w:hint="eastAsia" w:ascii="Times New Roman" w:hAnsi="Times New Roman" w:cs="Times New Roman"/>
          <w:szCs w:val="21"/>
        </w:rPr>
        <w:t>/</w:t>
      </w:r>
      <w:r>
        <w:rPr>
          <w:rFonts w:ascii="Times New Roman" w:hAnsi="Times New Roman" w:cs="Times New Roman"/>
          <w:szCs w:val="21"/>
        </w:rPr>
        <w:t xml:space="preserve">T 38315 </w:t>
      </w:r>
      <w:r>
        <w:rPr>
          <w:rFonts w:ascii="宋体" w:hAnsi="宋体" w:eastAsia="宋体" w:cs="Times New Roman"/>
          <w:szCs w:val="21"/>
        </w:rPr>
        <w:t xml:space="preserve"> 社会单位灭火和应急疏散预案编制及实施导则</w:t>
      </w:r>
    </w:p>
    <w:p>
      <w:pPr>
        <w:spacing w:line="300" w:lineRule="auto"/>
        <w:ind w:firstLine="420" w:firstLineChars="200"/>
        <w:rPr>
          <w:rFonts w:ascii="Times New Roman" w:hAnsi="Times New Roman" w:cs="Times New Roman"/>
          <w:szCs w:val="21"/>
        </w:rPr>
      </w:pPr>
      <w:r>
        <w:rPr>
          <w:rFonts w:ascii="Times New Roman" w:hAnsi="Times New Roman" w:cs="Times New Roman"/>
          <w:szCs w:val="21"/>
        </w:rPr>
        <w:t xml:space="preserve">GB 50019  </w:t>
      </w:r>
      <w:r>
        <w:rPr>
          <w:rFonts w:ascii="宋体" w:hAnsi="宋体" w:eastAsia="宋体" w:cs="Times New Roman"/>
          <w:szCs w:val="21"/>
        </w:rPr>
        <w:t>工业建筑供暖通风与空气调节设计规范</w:t>
      </w:r>
    </w:p>
    <w:p>
      <w:pPr>
        <w:spacing w:line="300" w:lineRule="auto"/>
        <w:ind w:firstLine="420" w:firstLineChars="200"/>
        <w:rPr>
          <w:rFonts w:ascii="Times New Roman" w:hAnsi="Times New Roman" w:cs="Times New Roman"/>
          <w:szCs w:val="21"/>
        </w:rPr>
      </w:pPr>
      <w:r>
        <w:rPr>
          <w:rFonts w:ascii="Times New Roman" w:hAnsi="Times New Roman" w:cs="Times New Roman"/>
          <w:szCs w:val="21"/>
        </w:rPr>
        <w:t xml:space="preserve">GB 50057  </w:t>
      </w:r>
      <w:r>
        <w:rPr>
          <w:rFonts w:ascii="宋体" w:hAnsi="宋体" w:eastAsia="宋体" w:cs="Times New Roman"/>
          <w:szCs w:val="21"/>
        </w:rPr>
        <w:t>建筑物防雷设计规范</w:t>
      </w:r>
    </w:p>
    <w:p>
      <w:pPr>
        <w:spacing w:line="300" w:lineRule="auto"/>
        <w:ind w:firstLine="420" w:firstLineChars="200"/>
        <w:rPr>
          <w:rFonts w:ascii="Times New Roman" w:hAnsi="Times New Roman" w:cs="Times New Roman"/>
          <w:szCs w:val="21"/>
        </w:rPr>
      </w:pPr>
      <w:r>
        <w:rPr>
          <w:rFonts w:ascii="Times New Roman" w:hAnsi="Times New Roman" w:cs="Times New Roman"/>
          <w:szCs w:val="21"/>
        </w:rPr>
        <w:t xml:space="preserve">GB/T 32937 </w:t>
      </w:r>
      <w:r>
        <w:rPr>
          <w:rFonts w:ascii="宋体" w:hAnsi="宋体" w:eastAsia="宋体" w:cs="Times New Roman"/>
          <w:szCs w:val="21"/>
        </w:rPr>
        <w:t>爆炸和火灾危险场所防雷装置检测技术规范</w:t>
      </w:r>
    </w:p>
    <w:p>
      <w:pPr>
        <w:spacing w:line="300" w:lineRule="auto"/>
        <w:ind w:firstLine="420" w:firstLineChars="200"/>
        <w:rPr>
          <w:rFonts w:ascii="Times New Roman" w:hAnsi="Times New Roman" w:cs="Times New Roman"/>
          <w:szCs w:val="21"/>
        </w:rPr>
      </w:pPr>
      <w:r>
        <w:rPr>
          <w:rFonts w:ascii="Times New Roman" w:hAnsi="Times New Roman" w:cs="Times New Roman"/>
          <w:szCs w:val="21"/>
        </w:rPr>
        <w:t xml:space="preserve">GB 7231 </w:t>
      </w:r>
      <w:r>
        <w:rPr>
          <w:rFonts w:ascii="宋体" w:hAnsi="宋体" w:eastAsia="宋体" w:cs="Times New Roman"/>
          <w:szCs w:val="21"/>
        </w:rPr>
        <w:t>工业管道的基本识别色、识别符号和安全标识</w:t>
      </w:r>
    </w:p>
    <w:p>
      <w:pPr>
        <w:spacing w:line="300" w:lineRule="auto"/>
        <w:ind w:firstLine="420" w:firstLineChars="200"/>
        <w:rPr>
          <w:rFonts w:ascii="Times New Roman" w:hAnsi="Times New Roman" w:cs="Times New Roman"/>
          <w:szCs w:val="21"/>
        </w:rPr>
      </w:pPr>
      <w:r>
        <w:rPr>
          <w:rFonts w:ascii="Times New Roman" w:hAnsi="Times New Roman" w:cs="Times New Roman"/>
          <w:szCs w:val="21"/>
        </w:rPr>
        <w:t xml:space="preserve">GB 2894  </w:t>
      </w:r>
      <w:r>
        <w:rPr>
          <w:rFonts w:ascii="宋体" w:hAnsi="宋体" w:eastAsia="宋体" w:cs="Times New Roman"/>
          <w:szCs w:val="21"/>
        </w:rPr>
        <w:t>安全标志及其使用导则</w:t>
      </w:r>
    </w:p>
    <w:p>
      <w:pPr>
        <w:spacing w:line="300" w:lineRule="auto"/>
        <w:ind w:firstLine="420" w:firstLineChars="200"/>
        <w:rPr>
          <w:rFonts w:ascii="Times New Roman" w:hAnsi="Times New Roman" w:cs="Times New Roman"/>
          <w:szCs w:val="21"/>
        </w:rPr>
      </w:pPr>
      <w:r>
        <w:rPr>
          <w:rFonts w:ascii="Times New Roman" w:hAnsi="Times New Roman" w:cs="Times New Roman"/>
          <w:szCs w:val="21"/>
        </w:rPr>
        <w:t xml:space="preserve">GB/T 50493  </w:t>
      </w:r>
      <w:r>
        <w:rPr>
          <w:rFonts w:ascii="宋体" w:hAnsi="宋体" w:eastAsia="宋体" w:cs="Times New Roman"/>
          <w:szCs w:val="21"/>
        </w:rPr>
        <w:t xml:space="preserve">石油化工可燃气体和有毒气体检测报警设计标准 </w:t>
      </w:r>
    </w:p>
    <w:p>
      <w:pPr>
        <w:spacing w:line="300" w:lineRule="auto"/>
        <w:ind w:firstLine="420" w:firstLineChars="200"/>
        <w:rPr>
          <w:rFonts w:ascii="Times New Roman" w:hAnsi="Times New Roman" w:cs="Times New Roman"/>
          <w:szCs w:val="21"/>
        </w:rPr>
      </w:pPr>
      <w:r>
        <w:rPr>
          <w:rFonts w:ascii="Times New Roman" w:hAnsi="Times New Roman" w:cs="Times New Roman"/>
          <w:szCs w:val="21"/>
        </w:rPr>
        <w:t xml:space="preserve">TSG 08  </w:t>
      </w:r>
      <w:r>
        <w:rPr>
          <w:rFonts w:ascii="宋体" w:hAnsi="宋体" w:eastAsia="宋体" w:cs="Times New Roman"/>
          <w:szCs w:val="21"/>
        </w:rPr>
        <w:t>特种设备使用管理规则</w:t>
      </w:r>
    </w:p>
    <w:p>
      <w:pPr>
        <w:spacing w:line="300" w:lineRule="auto"/>
        <w:ind w:firstLine="420" w:firstLineChars="200"/>
        <w:rPr>
          <w:rFonts w:ascii="Times New Roman" w:hAnsi="Times New Roman" w:cs="Times New Roman"/>
          <w:szCs w:val="21"/>
        </w:rPr>
      </w:pPr>
      <w:r>
        <w:rPr>
          <w:rFonts w:ascii="Times New Roman" w:hAnsi="Times New Roman" w:cs="Times New Roman"/>
          <w:szCs w:val="21"/>
        </w:rPr>
        <w:t xml:space="preserve">GB 39800.1  </w:t>
      </w:r>
      <w:r>
        <w:rPr>
          <w:rFonts w:ascii="宋体" w:hAnsi="宋体" w:eastAsia="宋体" w:cs="Times New Roman"/>
          <w:szCs w:val="21"/>
        </w:rPr>
        <w:t>个体防护装备配备规范 第1部分：总则</w:t>
      </w:r>
    </w:p>
    <w:p>
      <w:pPr>
        <w:spacing w:line="300" w:lineRule="auto"/>
        <w:ind w:firstLine="420" w:firstLineChars="200"/>
        <w:rPr>
          <w:rFonts w:ascii="Times New Roman" w:hAnsi="Times New Roman" w:cs="Times New Roman"/>
          <w:szCs w:val="21"/>
        </w:rPr>
      </w:pPr>
      <w:r>
        <w:rPr>
          <w:rFonts w:ascii="Times New Roman" w:hAnsi="Times New Roman" w:cs="Times New Roman"/>
          <w:szCs w:val="21"/>
        </w:rPr>
        <w:t xml:space="preserve">GB 39800.2  </w:t>
      </w:r>
      <w:r>
        <w:rPr>
          <w:rFonts w:ascii="宋体" w:hAnsi="宋体" w:eastAsia="宋体" w:cs="Times New Roman"/>
          <w:szCs w:val="21"/>
        </w:rPr>
        <w:t>个体防护装备配备规范 第2部分：石油、化工、天然气</w:t>
      </w:r>
    </w:p>
    <w:p>
      <w:pPr>
        <w:spacing w:line="300" w:lineRule="auto"/>
        <w:ind w:firstLine="420" w:firstLineChars="200"/>
        <w:rPr>
          <w:rFonts w:ascii="宋体" w:hAnsi="宋体" w:eastAsia="宋体" w:cs="Times New Roman"/>
          <w:szCs w:val="21"/>
        </w:rPr>
      </w:pPr>
      <w:r>
        <w:rPr>
          <w:rFonts w:ascii="Times New Roman" w:hAnsi="Times New Roman" w:cs="Times New Roman"/>
          <w:szCs w:val="21"/>
        </w:rPr>
        <w:t xml:space="preserve">GB 30871  </w:t>
      </w:r>
      <w:r>
        <w:rPr>
          <w:rFonts w:ascii="宋体" w:hAnsi="宋体" w:eastAsia="宋体" w:cs="Times New Roman"/>
          <w:szCs w:val="21"/>
        </w:rPr>
        <w:t>危险化学品企业特殊作业安全规范</w:t>
      </w:r>
      <w:bookmarkStart w:id="4" w:name="_Toc135402376"/>
    </w:p>
    <w:p>
      <w:pPr>
        <w:spacing w:line="300" w:lineRule="auto"/>
        <w:rPr>
          <w:rFonts w:ascii="黑体" w:hAnsi="黑体" w:eastAsia="黑体" w:cs="Times New Roman"/>
          <w:szCs w:val="21"/>
        </w:rPr>
      </w:pPr>
    </w:p>
    <w:p>
      <w:pPr>
        <w:spacing w:line="300" w:lineRule="auto"/>
        <w:rPr>
          <w:rFonts w:ascii="黑体" w:hAnsi="黑体" w:eastAsia="黑体" w:cs="Times New Roman"/>
          <w:szCs w:val="21"/>
        </w:rPr>
      </w:pPr>
      <w:r>
        <w:rPr>
          <w:rFonts w:ascii="黑体" w:hAnsi="黑体" w:eastAsia="黑体" w:cs="Times New Roman"/>
          <w:szCs w:val="21"/>
        </w:rPr>
        <w:t xml:space="preserve">3   </w:t>
      </w:r>
      <w:r>
        <w:rPr>
          <w:rFonts w:ascii="黑体" w:hAnsi="黑体" w:eastAsia="黑体"/>
        </w:rPr>
        <w:t>术语和定义</w:t>
      </w:r>
      <w:bookmarkEnd w:id="4"/>
    </w:p>
    <w:p>
      <w:pPr>
        <w:spacing w:line="300" w:lineRule="auto"/>
        <w:ind w:firstLine="420" w:firstLineChars="200"/>
        <w:rPr>
          <w:rFonts w:ascii="宋体" w:hAnsi="宋体" w:eastAsia="宋体" w:cs="Times New Roman"/>
        </w:rPr>
      </w:pPr>
    </w:p>
    <w:p>
      <w:pPr>
        <w:spacing w:line="300" w:lineRule="auto"/>
        <w:ind w:firstLine="420" w:firstLineChars="200"/>
        <w:rPr>
          <w:rFonts w:ascii="宋体" w:hAnsi="宋体" w:eastAsia="宋体" w:cs="Times New Roman"/>
        </w:rPr>
      </w:pPr>
      <w:r>
        <w:rPr>
          <w:rFonts w:ascii="宋体" w:hAnsi="宋体" w:eastAsia="宋体" w:cs="Times New Roman"/>
        </w:rPr>
        <w:t>下列术语和定义适用于本文件。</w:t>
      </w:r>
    </w:p>
    <w:p>
      <w:pPr>
        <w:rPr>
          <w:rFonts w:ascii="黑体" w:hAnsi="黑体" w:eastAsia="黑体" w:cs="Times New Roman"/>
        </w:rPr>
      </w:pPr>
      <w:r>
        <w:rPr>
          <w:rFonts w:ascii="黑体" w:hAnsi="黑体" w:eastAsia="黑体" w:cs="Times New Roman"/>
        </w:rPr>
        <w:t xml:space="preserve">3.1  </w:t>
      </w:r>
    </w:p>
    <w:p>
      <w:pPr>
        <w:spacing w:line="300" w:lineRule="auto"/>
        <w:ind w:firstLine="420" w:firstLineChars="200"/>
        <w:rPr>
          <w:rFonts w:ascii="黑体" w:hAnsi="黑体" w:eastAsia="黑体" w:cs="Times New Roman"/>
        </w:rPr>
      </w:pPr>
      <w:r>
        <w:rPr>
          <w:rFonts w:hint="eastAsia" w:ascii="黑体" w:hAnsi="黑体" w:eastAsia="黑体" w:cs="Times New Roman"/>
        </w:rPr>
        <w:t>涉氢实验室</w:t>
      </w:r>
      <w:r>
        <w:rPr>
          <w:rFonts w:ascii="黑体" w:hAnsi="黑体" w:eastAsia="黑体" w:cs="Times New Roman"/>
        </w:rPr>
        <w:t xml:space="preserve">  </w:t>
      </w:r>
      <w:r>
        <w:rPr>
          <w:rFonts w:ascii="Times New Roman" w:hAnsi="Times New Roman" w:eastAsia="黑体" w:cs="Times New Roman"/>
        </w:rPr>
        <w:t>hydrogen related laboratory</w:t>
      </w:r>
    </w:p>
    <w:p>
      <w:pPr>
        <w:spacing w:line="300" w:lineRule="auto"/>
        <w:ind w:firstLine="420" w:firstLineChars="200"/>
        <w:rPr>
          <w:rFonts w:ascii="宋体" w:hAnsi="宋体" w:eastAsia="宋体" w:cs="Times New Roman"/>
        </w:rPr>
      </w:pPr>
      <w:r>
        <w:rPr>
          <w:rFonts w:hint="eastAsia" w:ascii="宋体" w:hAnsi="宋体" w:eastAsia="宋体" w:cs="Times New Roman"/>
        </w:rPr>
        <w:t>实验过程中涉及氢气使用的实验场所以及配套的附属场所。包括高等院校实验室、科研院所实验室、企业实验室（含化验室）、公共实验平台等，不包括中试性质和工业化放大性质的实验室或试验场所。</w:t>
      </w:r>
    </w:p>
    <w:p>
      <w:pPr>
        <w:rPr>
          <w:rFonts w:ascii="黑体" w:hAnsi="黑体" w:eastAsia="黑体" w:cs="Times New Roman"/>
        </w:rPr>
      </w:pPr>
      <w:r>
        <w:rPr>
          <w:rFonts w:ascii="黑体" w:hAnsi="黑体" w:eastAsia="黑体" w:cs="Times New Roman"/>
        </w:rPr>
        <w:t xml:space="preserve">3.2  </w:t>
      </w:r>
    </w:p>
    <w:p>
      <w:pPr>
        <w:spacing w:line="300" w:lineRule="auto"/>
        <w:ind w:firstLine="420" w:firstLineChars="200"/>
        <w:rPr>
          <w:rFonts w:ascii="黑体" w:hAnsi="黑体" w:eastAsia="黑体" w:cs="Times New Roman"/>
        </w:rPr>
      </w:pPr>
      <w:r>
        <w:rPr>
          <w:rFonts w:ascii="黑体" w:hAnsi="黑体" w:eastAsia="黑体" w:cs="Times New Roman"/>
        </w:rPr>
        <w:t>固定式氢气储罐</w:t>
      </w:r>
      <w:r>
        <w:rPr>
          <w:rFonts w:hint="eastAsia" w:ascii="黑体" w:hAnsi="黑体" w:eastAsia="黑体" w:cs="Times New Roman"/>
        </w:rPr>
        <w:t xml:space="preserve">  </w:t>
      </w:r>
      <w:r>
        <w:rPr>
          <w:rFonts w:ascii="Times New Roman" w:hAnsi="Times New Roman" w:eastAsia="黑体" w:cs="Times New Roman"/>
        </w:rPr>
        <w:t>stationary hydrogen storage container</w:t>
      </w:r>
    </w:p>
    <w:p>
      <w:pPr>
        <w:spacing w:line="300" w:lineRule="auto"/>
        <w:ind w:firstLine="435"/>
        <w:rPr>
          <w:rFonts w:ascii="宋体" w:hAnsi="宋体" w:eastAsia="宋体" w:cs="Times New Roman"/>
        </w:rPr>
      </w:pPr>
      <w:r>
        <w:rPr>
          <w:rFonts w:ascii="宋体" w:hAnsi="宋体" w:eastAsia="宋体" w:cs="Times New Roman"/>
        </w:rPr>
        <w:t>固定安装的高压</w:t>
      </w:r>
      <w:r>
        <w:rPr>
          <w:rFonts w:hint="eastAsia" w:ascii="宋体" w:hAnsi="宋体" w:eastAsia="宋体" w:cs="Times New Roman"/>
        </w:rPr>
        <w:t>、</w:t>
      </w:r>
      <w:r>
        <w:rPr>
          <w:rFonts w:ascii="宋体" w:hAnsi="宋体" w:eastAsia="宋体" w:cs="Times New Roman"/>
        </w:rPr>
        <w:t>中压氢气储气压力容器</w:t>
      </w:r>
      <w:r>
        <w:rPr>
          <w:rFonts w:hint="eastAsia" w:ascii="宋体" w:hAnsi="宋体" w:eastAsia="宋体" w:cs="Times New Roman"/>
        </w:rPr>
        <w:t>，</w:t>
      </w:r>
      <w:r>
        <w:rPr>
          <w:rFonts w:hint="eastAsia" w:ascii="宋体" w:hAnsi="宋体" w:eastAsia="宋体" w:cs="Times New Roman"/>
          <w:lang w:eastAsia="zh"/>
        </w:rPr>
        <w:t>佩戴</w:t>
      </w:r>
      <w:r>
        <w:rPr>
          <w:rFonts w:ascii="宋体" w:hAnsi="宋体" w:eastAsia="宋体" w:cs="Times New Roman"/>
        </w:rPr>
        <w:t>有必要的安全装置</w:t>
      </w:r>
      <w:r>
        <w:rPr>
          <w:rFonts w:hint="eastAsia" w:ascii="宋体" w:hAnsi="宋体" w:eastAsia="宋体" w:cs="Times New Roman"/>
        </w:rPr>
        <w:t>、</w:t>
      </w:r>
      <w:r>
        <w:rPr>
          <w:rFonts w:ascii="宋体" w:hAnsi="宋体" w:eastAsia="宋体" w:cs="Times New Roman"/>
        </w:rPr>
        <w:t>压力和温度检测</w:t>
      </w:r>
      <w:r>
        <w:rPr>
          <w:rFonts w:hint="eastAsia" w:ascii="宋体" w:hAnsi="宋体" w:eastAsia="宋体" w:cs="Times New Roman"/>
        </w:rPr>
        <w:t>、</w:t>
      </w:r>
      <w:r>
        <w:rPr>
          <w:rFonts w:ascii="宋体" w:hAnsi="宋体" w:eastAsia="宋体" w:cs="Times New Roman"/>
        </w:rPr>
        <w:t>显示仪器等</w:t>
      </w:r>
      <w:r>
        <w:rPr>
          <w:rFonts w:hint="eastAsia" w:ascii="宋体" w:hAnsi="宋体" w:eastAsia="宋体" w:cs="Times New Roman"/>
        </w:rPr>
        <w:t>。</w:t>
      </w:r>
    </w:p>
    <w:p>
      <w:pPr>
        <w:rPr>
          <w:rFonts w:ascii="黑体" w:hAnsi="黑体" w:eastAsia="黑体" w:cs="Times New Roman"/>
        </w:rPr>
      </w:pPr>
      <w:r>
        <w:rPr>
          <w:rFonts w:ascii="黑体" w:hAnsi="黑体" w:eastAsia="黑体" w:cs="Times New Roman"/>
        </w:rPr>
        <w:t xml:space="preserve">3.3  </w:t>
      </w:r>
    </w:p>
    <w:p>
      <w:pPr>
        <w:spacing w:line="300" w:lineRule="auto"/>
        <w:ind w:firstLine="420" w:firstLineChars="200"/>
        <w:rPr>
          <w:rFonts w:ascii="Times New Roman" w:hAnsi="Times New Roman" w:eastAsia="黑体" w:cs="Times New Roman"/>
        </w:rPr>
      </w:pPr>
      <w:r>
        <w:rPr>
          <w:rFonts w:ascii="黑体" w:hAnsi="黑体" w:eastAsia="黑体" w:cs="Times New Roman"/>
        </w:rPr>
        <w:t xml:space="preserve">氢气长管拖车  </w:t>
      </w:r>
      <w:r>
        <w:rPr>
          <w:rFonts w:ascii="Times New Roman" w:hAnsi="Times New Roman" w:eastAsia="黑体" w:cs="Times New Roman"/>
        </w:rPr>
        <w:t>tube trailers for gaseous hydrogen</w:t>
      </w:r>
    </w:p>
    <w:p>
      <w:pPr>
        <w:spacing w:line="300" w:lineRule="auto"/>
        <w:ind w:firstLine="420" w:firstLineChars="200"/>
        <w:rPr>
          <w:rFonts w:ascii="宋体" w:hAnsi="宋体" w:eastAsia="宋体" w:cs="Times New Roman"/>
        </w:rPr>
      </w:pPr>
      <w:r>
        <w:rPr>
          <w:rFonts w:ascii="宋体" w:hAnsi="宋体" w:eastAsia="宋体" w:cs="Times New Roman"/>
        </w:rPr>
        <w:t>由若干个大容积高压氢气瓶组装后设置在汽车拖车上，用于运输高压氢气的装置，配带相应的连接管道、阀门、安全装置等。</w:t>
      </w:r>
    </w:p>
    <w:p>
      <w:pPr>
        <w:rPr>
          <w:rFonts w:cs="Times New Roman" w:asciiTheme="minorEastAsia" w:hAnsiTheme="minorEastAsia"/>
        </w:rPr>
      </w:pPr>
      <w:r>
        <w:rPr>
          <w:rFonts w:ascii="黑体" w:hAnsi="黑体" w:eastAsia="黑体" w:cs="Times New Roman"/>
        </w:rPr>
        <w:t xml:space="preserve">3.4 </w:t>
      </w:r>
      <w:r>
        <w:rPr>
          <w:rFonts w:cs="Times New Roman" w:asciiTheme="minorEastAsia" w:hAnsiTheme="minorEastAsia"/>
        </w:rPr>
        <w:t xml:space="preserve"> </w:t>
      </w:r>
    </w:p>
    <w:p>
      <w:pPr>
        <w:spacing w:line="300" w:lineRule="auto"/>
        <w:ind w:firstLine="420" w:firstLineChars="200"/>
        <w:rPr>
          <w:rFonts w:ascii="黑体" w:hAnsi="黑体" w:eastAsia="黑体" w:cs="Times New Roman"/>
        </w:rPr>
      </w:pPr>
      <w:r>
        <w:rPr>
          <w:rFonts w:ascii="黑体" w:hAnsi="黑体" w:eastAsia="黑体" w:cs="Times New Roman"/>
        </w:rPr>
        <w:t xml:space="preserve">供氢站  </w:t>
      </w:r>
      <w:r>
        <w:rPr>
          <w:rFonts w:ascii="Times New Roman" w:hAnsi="Times New Roman" w:eastAsia="黑体" w:cs="Times New Roman"/>
        </w:rPr>
        <w:t>hydrogen supply station</w:t>
      </w:r>
    </w:p>
    <w:p>
      <w:pPr>
        <w:spacing w:line="300" w:lineRule="auto"/>
        <w:ind w:firstLine="420"/>
        <w:rPr>
          <w:rFonts w:ascii="宋体" w:hAnsi="宋体" w:eastAsia="宋体" w:cs="Times New Roman"/>
        </w:rPr>
      </w:pPr>
      <w:r>
        <w:rPr>
          <w:rFonts w:ascii="宋体" w:hAnsi="宋体" w:eastAsia="宋体" w:cs="Times New Roman"/>
        </w:rPr>
        <w:t>不含氢气发生设备，以瓶装和</w:t>
      </w:r>
      <w:r>
        <w:rPr>
          <w:rFonts w:hint="eastAsia" w:ascii="宋体" w:hAnsi="宋体" w:eastAsia="宋体" w:cs="Times New Roman"/>
        </w:rPr>
        <w:t>/</w:t>
      </w:r>
      <w:r>
        <w:rPr>
          <w:rFonts w:ascii="宋体" w:hAnsi="宋体" w:eastAsia="宋体" w:cs="Times New Roman"/>
        </w:rPr>
        <w:t>或管道供应氢气的建筑物或场所的统称。</w:t>
      </w:r>
      <w:bookmarkStart w:id="5" w:name="_Toc135402377"/>
    </w:p>
    <w:p>
      <w:pPr>
        <w:rPr>
          <w:rFonts w:ascii="黑体" w:hAnsi="黑体" w:eastAsia="黑体" w:cs="Times New Roman"/>
        </w:rPr>
      </w:pPr>
    </w:p>
    <w:p>
      <w:pPr>
        <w:rPr>
          <w:rFonts w:ascii="黑体" w:hAnsi="黑体" w:eastAsia="黑体"/>
        </w:rPr>
      </w:pPr>
      <w:r>
        <w:rPr>
          <w:rFonts w:ascii="黑体" w:hAnsi="黑体" w:eastAsia="黑体" w:cs="Times New Roman"/>
        </w:rPr>
        <w:t xml:space="preserve">4   </w:t>
      </w:r>
      <w:r>
        <w:rPr>
          <w:rFonts w:ascii="黑体" w:hAnsi="黑体" w:eastAsia="黑体"/>
        </w:rPr>
        <w:t>安全生产管理组织和职责</w:t>
      </w:r>
      <w:bookmarkEnd w:id="5"/>
    </w:p>
    <w:p>
      <w:pPr>
        <w:rPr>
          <w:rFonts w:ascii="黑体" w:hAnsi="黑体" w:eastAsia="黑体"/>
        </w:rPr>
      </w:pPr>
    </w:p>
    <w:p>
      <w:pPr>
        <w:spacing w:line="300" w:lineRule="auto"/>
        <w:rPr>
          <w:rFonts w:ascii="黑体" w:hAnsi="黑体" w:eastAsia="黑体" w:cs="Times New Roman"/>
          <w:bCs/>
        </w:rPr>
      </w:pPr>
      <w:r>
        <w:rPr>
          <w:rFonts w:ascii="黑体" w:hAnsi="黑体" w:eastAsia="黑体" w:cs="Times New Roman"/>
          <w:bCs/>
        </w:rPr>
        <w:t xml:space="preserve">4.1 </w:t>
      </w:r>
      <w:r>
        <w:rPr>
          <w:rFonts w:cs="Times New Roman" w:asciiTheme="minorEastAsia" w:hAnsiTheme="minorEastAsia"/>
          <w:bCs/>
        </w:rPr>
        <w:t>应设置安全生产管理机构</w:t>
      </w:r>
      <w:r>
        <w:rPr>
          <w:rFonts w:hint="eastAsia" w:cs="Times New Roman" w:asciiTheme="minorEastAsia" w:hAnsiTheme="minorEastAsia"/>
          <w:bCs/>
        </w:rPr>
        <w:t>并</w:t>
      </w:r>
      <w:r>
        <w:rPr>
          <w:rFonts w:cs="Times New Roman" w:asciiTheme="minorEastAsia" w:hAnsiTheme="minorEastAsia"/>
          <w:bCs/>
        </w:rPr>
        <w:t>任命专职的安全管理人员负责实验室安全监督管理工作，相关设置和任命文件应经实验室主要负责人签署。</w:t>
      </w:r>
    </w:p>
    <w:p>
      <w:pPr>
        <w:spacing w:line="300" w:lineRule="auto"/>
        <w:rPr>
          <w:rFonts w:ascii="黑体" w:hAnsi="黑体" w:eastAsia="黑体" w:cs="Times New Roman"/>
          <w:bCs/>
        </w:rPr>
      </w:pPr>
      <w:r>
        <w:rPr>
          <w:rFonts w:ascii="黑体" w:hAnsi="黑体" w:eastAsia="黑体" w:cs="Times New Roman"/>
          <w:bCs/>
        </w:rPr>
        <w:t>4.2</w:t>
      </w:r>
      <w:r>
        <w:rPr>
          <w:rFonts w:hint="eastAsia" w:ascii="宋体" w:hAnsi="宋体" w:eastAsia="宋体" w:cs="Times New Roman"/>
          <w:bCs/>
        </w:rPr>
        <w:t xml:space="preserve"> </w:t>
      </w:r>
      <w:r>
        <w:rPr>
          <w:rFonts w:cs="Times New Roman" w:asciiTheme="minorEastAsia" w:hAnsiTheme="minorEastAsia"/>
          <w:bCs/>
        </w:rPr>
        <w:t>应建立自上而下的安全生产管理架构（网络），明确安全管理层级和岗位安全生产职责。应建立全员安全生产责任制，明确各岗位在实验室安全管理体系中的职责。</w:t>
      </w:r>
    </w:p>
    <w:p>
      <w:pPr>
        <w:spacing w:line="300" w:lineRule="auto"/>
        <w:rPr>
          <w:rFonts w:cs="Times New Roman" w:asciiTheme="minorEastAsia" w:hAnsiTheme="minorEastAsia"/>
          <w:bCs/>
        </w:rPr>
      </w:pPr>
      <w:r>
        <w:rPr>
          <w:rFonts w:ascii="黑体" w:hAnsi="黑体" w:eastAsia="黑体" w:cs="Times New Roman"/>
          <w:bCs/>
        </w:rPr>
        <w:t>4.3</w:t>
      </w:r>
      <w:r>
        <w:rPr>
          <w:rFonts w:cs="Times New Roman" w:asciiTheme="minorEastAsia" w:hAnsiTheme="minorEastAsia"/>
          <w:bCs/>
        </w:rPr>
        <w:t xml:space="preserve"> 应成立安全生产委员会，统一研究、管理实验室安全生产工作。</w:t>
      </w:r>
      <w:bookmarkStart w:id="6" w:name="_Toc135402378"/>
    </w:p>
    <w:p>
      <w:pPr>
        <w:spacing w:line="300" w:lineRule="auto"/>
        <w:rPr>
          <w:rFonts w:ascii="黑体" w:hAnsi="黑体" w:eastAsia="黑体" w:cs="Times New Roman"/>
          <w:bCs/>
        </w:rPr>
      </w:pPr>
    </w:p>
    <w:p>
      <w:pPr>
        <w:spacing w:line="300" w:lineRule="auto"/>
        <w:rPr>
          <w:rFonts w:ascii="黑体" w:hAnsi="黑体" w:eastAsia="黑体" w:cs="Times New Roman"/>
          <w:bCs/>
        </w:rPr>
      </w:pPr>
      <w:r>
        <w:rPr>
          <w:rFonts w:hint="eastAsia" w:ascii="黑体" w:hAnsi="黑体" w:eastAsia="黑体" w:cs="Times New Roman"/>
          <w:bCs/>
        </w:rPr>
        <w:t>5</w:t>
      </w:r>
      <w:r>
        <w:rPr>
          <w:rFonts w:ascii="黑体" w:hAnsi="黑体" w:eastAsia="黑体" w:cs="Times New Roman"/>
          <w:bCs/>
        </w:rPr>
        <w:t xml:space="preserve">   </w:t>
      </w:r>
      <w:r>
        <w:rPr>
          <w:rFonts w:ascii="黑体" w:hAnsi="黑体" w:eastAsia="黑体"/>
        </w:rPr>
        <w:t>安全生产管理体系</w:t>
      </w:r>
      <w:bookmarkEnd w:id="6"/>
    </w:p>
    <w:p>
      <w:pPr>
        <w:rPr>
          <w:rFonts w:ascii="Times New Roman" w:hAnsi="Times New Roman" w:cs="Times New Roman"/>
          <w:bCs/>
        </w:rPr>
      </w:pPr>
    </w:p>
    <w:p>
      <w:pPr>
        <w:spacing w:line="300" w:lineRule="auto"/>
        <w:rPr>
          <w:rFonts w:ascii="Times New Roman" w:hAnsi="Times New Roman" w:cs="Times New Roman"/>
          <w:bCs/>
        </w:rPr>
      </w:pPr>
      <w:r>
        <w:rPr>
          <w:rFonts w:ascii="黑体" w:hAnsi="黑体" w:eastAsia="黑体" w:cs="Times New Roman"/>
          <w:bCs/>
        </w:rPr>
        <w:t>5.1</w:t>
      </w:r>
      <w:r>
        <w:rPr>
          <w:rFonts w:ascii="Times New Roman" w:hAnsi="Times New Roman" w:cs="Times New Roman"/>
          <w:bCs/>
        </w:rPr>
        <w:t xml:space="preserve"> 应根据GB/T 27476.1的规定建立职业健康安全管理体系并运行和维护，鼓励实验室邀请第三方</w:t>
      </w:r>
      <w:r>
        <w:rPr>
          <w:rFonts w:hint="eastAsia" w:ascii="Times New Roman" w:hAnsi="Times New Roman" w:cs="Times New Roman"/>
          <w:bCs/>
        </w:rPr>
        <w:t>开展</w:t>
      </w:r>
      <w:r>
        <w:rPr>
          <w:rFonts w:ascii="Times New Roman" w:hAnsi="Times New Roman" w:cs="Times New Roman"/>
          <w:bCs/>
        </w:rPr>
        <w:t>职业健康安全管理体系认证。</w:t>
      </w:r>
    </w:p>
    <w:p>
      <w:pPr>
        <w:spacing w:line="300" w:lineRule="auto"/>
        <w:rPr>
          <w:rFonts w:ascii="Times New Roman" w:hAnsi="Times New Roman" w:cs="Times New Roman"/>
          <w:bCs/>
        </w:rPr>
      </w:pPr>
      <w:r>
        <w:rPr>
          <w:rFonts w:ascii="黑体" w:hAnsi="黑体" w:eastAsia="黑体" w:cs="Times New Roman"/>
          <w:bCs/>
        </w:rPr>
        <w:t>5.2</w:t>
      </w:r>
      <w:r>
        <w:rPr>
          <w:rFonts w:ascii="Times New Roman" w:hAnsi="Times New Roman" w:cs="Times New Roman"/>
          <w:bCs/>
        </w:rPr>
        <w:t xml:space="preserve"> 应建立风险分级管控和隐患排查治理双重预防机制</w:t>
      </w:r>
      <w:r>
        <w:rPr>
          <w:rFonts w:hint="eastAsia" w:ascii="Times New Roman" w:hAnsi="Times New Roman" w:cs="Times New Roman"/>
          <w:bCs/>
        </w:rPr>
        <w:t>，并落实机制长效运行：</w:t>
      </w:r>
    </w:p>
    <w:p>
      <w:pPr>
        <w:spacing w:line="300" w:lineRule="auto"/>
        <w:ind w:firstLine="420" w:firstLineChars="200"/>
        <w:rPr>
          <w:rFonts w:ascii="宋体" w:hAnsi="宋体" w:eastAsia="宋体" w:cs="Times New Roman"/>
          <w:bCs/>
        </w:rPr>
      </w:pPr>
      <w:r>
        <w:rPr>
          <w:rFonts w:ascii="宋体" w:hAnsi="宋体" w:eastAsia="宋体" w:cs="Times New Roman"/>
          <w:bCs/>
        </w:rPr>
        <w:t>1</w:t>
      </w:r>
      <w:r>
        <w:rPr>
          <w:rFonts w:hint="eastAsia" w:ascii="宋体" w:hAnsi="宋体" w:eastAsia="宋体" w:cs="Times New Roman"/>
          <w:bCs/>
        </w:rPr>
        <w:t>）</w:t>
      </w:r>
      <w:r>
        <w:rPr>
          <w:rFonts w:ascii="宋体" w:hAnsi="宋体" w:eastAsia="宋体" w:cs="Times New Roman"/>
          <w:bCs/>
        </w:rPr>
        <w:t>每年辨识和更新所有管理活动和管理区域的风险及管控措施</w:t>
      </w:r>
      <w:r>
        <w:rPr>
          <w:rFonts w:hint="eastAsia" w:ascii="宋体" w:hAnsi="宋体" w:eastAsia="宋体" w:cs="Times New Roman"/>
          <w:bCs/>
        </w:rPr>
        <w:t>。</w:t>
      </w:r>
    </w:p>
    <w:p>
      <w:pPr>
        <w:spacing w:line="300" w:lineRule="auto"/>
        <w:ind w:left="735" w:leftChars="200" w:hanging="315" w:hangingChars="150"/>
        <w:rPr>
          <w:rFonts w:ascii="宋体" w:hAnsi="宋体" w:eastAsia="宋体" w:cs="Times New Roman"/>
          <w:bCs/>
        </w:rPr>
      </w:pPr>
      <w:r>
        <w:rPr>
          <w:rFonts w:ascii="宋体" w:hAnsi="宋体" w:eastAsia="宋体" w:cs="Times New Roman"/>
          <w:bCs/>
        </w:rPr>
        <w:t>2</w:t>
      </w:r>
      <w:r>
        <w:rPr>
          <w:rFonts w:hint="eastAsia" w:ascii="宋体" w:hAnsi="宋体" w:eastAsia="宋体" w:cs="Times New Roman"/>
          <w:bCs/>
        </w:rPr>
        <w:t>）</w:t>
      </w:r>
      <w:r>
        <w:rPr>
          <w:rFonts w:ascii="宋体" w:hAnsi="宋体" w:eastAsia="宋体" w:cs="Times New Roman"/>
          <w:bCs/>
        </w:rPr>
        <w:t>定期开展周期性的隐患排查，包括年度检查、节假日检查、季节性检查、月度检查、周检查和日常检查等</w:t>
      </w:r>
      <w:r>
        <w:rPr>
          <w:rFonts w:hint="eastAsia" w:ascii="宋体" w:hAnsi="宋体" w:eastAsia="宋体" w:cs="Times New Roman"/>
          <w:bCs/>
        </w:rPr>
        <w:t>。</w:t>
      </w:r>
    </w:p>
    <w:p>
      <w:pPr>
        <w:spacing w:line="300" w:lineRule="auto"/>
        <w:rPr>
          <w:rFonts w:ascii="Times New Roman" w:hAnsi="Times New Roman" w:cs="Times New Roman"/>
          <w:bCs/>
        </w:rPr>
      </w:pPr>
      <w:r>
        <w:rPr>
          <w:rFonts w:hint="eastAsia" w:ascii="黑体" w:hAnsi="黑体" w:eastAsia="黑体" w:cs="Times New Roman"/>
          <w:bCs/>
        </w:rPr>
        <w:t>5</w:t>
      </w:r>
      <w:r>
        <w:rPr>
          <w:rFonts w:ascii="黑体" w:hAnsi="黑体" w:eastAsia="黑体" w:cs="Times New Roman"/>
          <w:bCs/>
        </w:rPr>
        <w:t>.3</w:t>
      </w:r>
      <w:r>
        <w:rPr>
          <w:rFonts w:ascii="Times New Roman" w:hAnsi="Times New Roman" w:cs="Times New Roman"/>
          <w:bCs/>
        </w:rPr>
        <w:t xml:space="preserve"> 对排查出的隐患，根据重要和紧急程度开展针对性的整改</w:t>
      </w:r>
      <w:r>
        <w:rPr>
          <w:rFonts w:hint="eastAsia" w:ascii="Times New Roman" w:hAnsi="Times New Roman" w:cs="Times New Roman"/>
          <w:bCs/>
        </w:rPr>
        <w:t>。</w:t>
      </w:r>
      <w:r>
        <w:rPr>
          <w:rFonts w:ascii="Times New Roman" w:hAnsi="Times New Roman" w:cs="Times New Roman"/>
          <w:bCs/>
        </w:rPr>
        <w:t>无法立即整改或</w:t>
      </w:r>
      <w:r>
        <w:rPr>
          <w:rFonts w:hint="eastAsia" w:ascii="Times New Roman" w:hAnsi="Times New Roman" w:cs="Times New Roman"/>
          <w:bCs/>
        </w:rPr>
        <w:t>无法</w:t>
      </w:r>
      <w:r>
        <w:rPr>
          <w:rFonts w:ascii="Times New Roman" w:hAnsi="Times New Roman" w:cs="Times New Roman"/>
          <w:bCs/>
        </w:rPr>
        <w:t>按时整改的隐患，应逐级上报至实验室主要负责人</w:t>
      </w:r>
      <w:r>
        <w:rPr>
          <w:rFonts w:hint="eastAsia" w:ascii="Times New Roman" w:hAnsi="Times New Roman" w:cs="Times New Roman"/>
          <w:bCs/>
        </w:rPr>
        <w:t>，</w:t>
      </w:r>
      <w:r>
        <w:rPr>
          <w:rFonts w:ascii="Times New Roman" w:hAnsi="Times New Roman" w:cs="Times New Roman"/>
          <w:bCs/>
        </w:rPr>
        <w:t>重大隐患按要求上报属地应急管理部门。</w:t>
      </w:r>
      <w:bookmarkStart w:id="7" w:name="_Toc135402379"/>
    </w:p>
    <w:p>
      <w:pPr>
        <w:spacing w:line="300" w:lineRule="auto"/>
        <w:rPr>
          <w:rFonts w:ascii="Times New Roman" w:hAnsi="Times New Roman" w:cs="Times New Roman"/>
          <w:bCs/>
        </w:rPr>
      </w:pPr>
    </w:p>
    <w:p>
      <w:pPr>
        <w:spacing w:line="300" w:lineRule="auto"/>
        <w:rPr>
          <w:rFonts w:ascii="黑体" w:hAnsi="黑体" w:eastAsia="黑体" w:cs="Times New Roman"/>
          <w:bCs/>
        </w:rPr>
      </w:pPr>
      <w:r>
        <w:rPr>
          <w:rFonts w:hint="eastAsia" w:ascii="黑体" w:hAnsi="黑体" w:eastAsia="黑体" w:cs="Times New Roman"/>
          <w:bCs/>
        </w:rPr>
        <w:t>6</w:t>
      </w:r>
      <w:r>
        <w:rPr>
          <w:rFonts w:ascii="黑体" w:hAnsi="黑体" w:eastAsia="黑体" w:cs="Times New Roman"/>
          <w:bCs/>
        </w:rPr>
        <w:t xml:space="preserve">   </w:t>
      </w:r>
      <w:r>
        <w:rPr>
          <w:rFonts w:ascii="黑体" w:hAnsi="黑体" w:eastAsia="黑体"/>
        </w:rPr>
        <w:t>人员管理</w:t>
      </w:r>
      <w:bookmarkEnd w:id="7"/>
    </w:p>
    <w:p>
      <w:pPr>
        <w:rPr>
          <w:rFonts w:cs="Times New Roman" w:asciiTheme="minorEastAsia" w:hAnsiTheme="minorEastAsia"/>
          <w:bCs/>
        </w:rPr>
      </w:pPr>
    </w:p>
    <w:p>
      <w:pPr>
        <w:spacing w:line="300" w:lineRule="auto"/>
        <w:rPr>
          <w:rFonts w:ascii="黑体" w:hAnsi="黑体" w:eastAsia="黑体" w:cs="Times New Roman"/>
          <w:bCs/>
        </w:rPr>
      </w:pPr>
      <w:r>
        <w:rPr>
          <w:rFonts w:ascii="黑体" w:hAnsi="黑体" w:eastAsia="黑体" w:cs="Times New Roman"/>
          <w:bCs/>
        </w:rPr>
        <w:t>6.1 人员能力要求</w:t>
      </w:r>
    </w:p>
    <w:p>
      <w:pPr>
        <w:spacing w:line="300" w:lineRule="auto"/>
        <w:rPr>
          <w:rFonts w:cs="Times New Roman" w:asciiTheme="minorEastAsia" w:hAnsiTheme="minorEastAsia"/>
          <w:bCs/>
        </w:rPr>
      </w:pPr>
      <w:r>
        <w:rPr>
          <w:rFonts w:ascii="黑体" w:hAnsi="黑体" w:eastAsia="黑体" w:cs="Times New Roman"/>
          <w:bCs/>
        </w:rPr>
        <w:t>6.1.1</w:t>
      </w:r>
      <w:r>
        <w:rPr>
          <w:rFonts w:ascii="宋体" w:hAnsi="宋体" w:eastAsia="宋体" w:cs="Times New Roman"/>
          <w:bCs/>
        </w:rPr>
        <w:t xml:space="preserve"> </w:t>
      </w:r>
      <w:r>
        <w:rPr>
          <w:rFonts w:hint="eastAsia" w:ascii="宋体" w:hAnsi="宋体" w:eastAsia="宋体" w:cs="Times New Roman"/>
          <w:bCs/>
        </w:rPr>
        <w:t>每年</w:t>
      </w:r>
      <w:r>
        <w:rPr>
          <w:rFonts w:ascii="宋体" w:hAnsi="宋体" w:eastAsia="宋体" w:cs="Times New Roman"/>
          <w:bCs/>
        </w:rPr>
        <w:t>应制定安全（</w:t>
      </w:r>
      <w:r>
        <w:rPr>
          <w:rFonts w:hint="eastAsia" w:ascii="宋体" w:hAnsi="宋体" w:eastAsia="宋体" w:cs="Times New Roman"/>
          <w:bCs/>
        </w:rPr>
        <w:t>含职业健康</w:t>
      </w:r>
      <w:r>
        <w:rPr>
          <w:rFonts w:ascii="宋体" w:hAnsi="宋体" w:eastAsia="宋体" w:cs="Times New Roman"/>
          <w:bCs/>
        </w:rPr>
        <w:t>）培训计划并组织实施。</w:t>
      </w:r>
    </w:p>
    <w:p>
      <w:pPr>
        <w:spacing w:line="300" w:lineRule="auto"/>
        <w:rPr>
          <w:rFonts w:cs="Times New Roman" w:asciiTheme="minorEastAsia" w:hAnsiTheme="minorEastAsia"/>
          <w:bCs/>
        </w:rPr>
      </w:pPr>
      <w:r>
        <w:rPr>
          <w:rFonts w:ascii="黑体" w:hAnsi="黑体" w:eastAsia="黑体" w:cs="Times New Roman"/>
          <w:bCs/>
        </w:rPr>
        <w:t>6.1.2</w:t>
      </w:r>
      <w:r>
        <w:rPr>
          <w:rFonts w:cs="Times New Roman" w:asciiTheme="minorEastAsia" w:hAnsiTheme="minorEastAsia"/>
          <w:bCs/>
        </w:rPr>
        <w:t xml:space="preserve"> </w:t>
      </w:r>
      <w:r>
        <w:rPr>
          <w:rFonts w:ascii="宋体" w:hAnsi="宋体" w:eastAsia="宋体" w:cs="Times New Roman"/>
          <w:bCs/>
        </w:rPr>
        <w:t>按要求对新员工（包括实习学生、调岗和离岗超过半年的员工）开展三级安全生产教育培训、建立培训档案</w:t>
      </w:r>
      <w:r>
        <w:rPr>
          <w:rFonts w:hint="eastAsia" w:ascii="宋体" w:hAnsi="宋体" w:eastAsia="宋体" w:cs="Times New Roman"/>
          <w:bCs/>
        </w:rPr>
        <w:t>。</w:t>
      </w:r>
      <w:r>
        <w:rPr>
          <w:rFonts w:ascii="宋体" w:hAnsi="宋体" w:eastAsia="宋体" w:cs="Times New Roman"/>
          <w:bCs/>
        </w:rPr>
        <w:t>新员工经安全生产考核合格后方可正式上岗作业。</w:t>
      </w:r>
    </w:p>
    <w:p>
      <w:pPr>
        <w:spacing w:line="300" w:lineRule="auto"/>
        <w:rPr>
          <w:rFonts w:cs="Times New Roman" w:asciiTheme="minorEastAsia" w:hAnsiTheme="minorEastAsia"/>
          <w:bCs/>
        </w:rPr>
      </w:pPr>
      <w:r>
        <w:rPr>
          <w:rFonts w:ascii="黑体" w:hAnsi="黑体" w:eastAsia="黑体" w:cs="Times New Roman"/>
          <w:bCs/>
        </w:rPr>
        <w:t>6.1.3</w:t>
      </w:r>
      <w:r>
        <w:rPr>
          <w:rFonts w:cs="Times New Roman" w:asciiTheme="minorEastAsia" w:hAnsiTheme="minorEastAsia"/>
          <w:bCs/>
        </w:rPr>
        <w:t xml:space="preserve"> </w:t>
      </w:r>
      <w:r>
        <w:rPr>
          <w:rFonts w:ascii="宋体" w:hAnsi="宋体" w:eastAsia="宋体" w:cs="Times New Roman"/>
          <w:bCs/>
        </w:rPr>
        <w:t>对所有进入实验区域的作业人员，包括</w:t>
      </w:r>
      <w:r>
        <w:rPr>
          <w:rFonts w:hint="eastAsia" w:ascii="宋体" w:hAnsi="宋体" w:eastAsia="宋体" w:cs="Times New Roman"/>
          <w:bCs/>
        </w:rPr>
        <w:t>自有</w:t>
      </w:r>
      <w:r>
        <w:rPr>
          <w:rFonts w:ascii="宋体" w:hAnsi="宋体" w:eastAsia="宋体" w:cs="Times New Roman"/>
          <w:bCs/>
        </w:rPr>
        <w:t>员工、承包商、访客、车辆驾驶</w:t>
      </w:r>
      <w:r>
        <w:rPr>
          <w:rFonts w:hint="eastAsia" w:ascii="宋体" w:hAnsi="宋体" w:eastAsia="宋体" w:cs="Times New Roman"/>
          <w:bCs/>
        </w:rPr>
        <w:t>司机</w:t>
      </w:r>
      <w:r>
        <w:rPr>
          <w:rFonts w:ascii="宋体" w:hAnsi="宋体" w:eastAsia="宋体" w:cs="Times New Roman"/>
          <w:bCs/>
        </w:rPr>
        <w:t>和押运人员等开展专项安全生产培训。培训内容应至少包括氢气及涉氢检测过程中的风险、</w:t>
      </w:r>
      <w:r>
        <w:rPr>
          <w:rFonts w:hint="eastAsia" w:ascii="宋体" w:hAnsi="宋体" w:eastAsia="宋体" w:cs="Times New Roman"/>
          <w:bCs/>
        </w:rPr>
        <w:t>实验及</w:t>
      </w:r>
      <w:r>
        <w:rPr>
          <w:rFonts w:ascii="宋体" w:hAnsi="宋体" w:eastAsia="宋体" w:cs="Times New Roman"/>
          <w:bCs/>
        </w:rPr>
        <w:t>配套设备功能和工作原理、各类设备安全操作规程、劳动保护要求及应急处置程序等。</w:t>
      </w:r>
    </w:p>
    <w:p>
      <w:pPr>
        <w:spacing w:line="300" w:lineRule="auto"/>
        <w:rPr>
          <w:rFonts w:ascii="黑体" w:hAnsi="黑体" w:eastAsia="黑体" w:cs="Times New Roman"/>
          <w:bCs/>
        </w:rPr>
      </w:pPr>
      <w:r>
        <w:rPr>
          <w:rFonts w:ascii="黑体" w:hAnsi="黑体" w:eastAsia="黑体" w:cs="Times New Roman"/>
          <w:bCs/>
        </w:rPr>
        <w:t>6.1.4 重点人员管理</w:t>
      </w:r>
    </w:p>
    <w:p>
      <w:pPr>
        <w:spacing w:line="300" w:lineRule="auto"/>
        <w:rPr>
          <w:rFonts w:ascii="宋体" w:hAnsi="宋体" w:eastAsia="宋体" w:cs="Times New Roman"/>
          <w:bCs/>
        </w:rPr>
      </w:pPr>
      <w:r>
        <w:rPr>
          <w:rFonts w:ascii="黑体" w:hAnsi="黑体" w:eastAsia="黑体" w:cs="Times New Roman"/>
          <w:bCs/>
        </w:rPr>
        <w:t>6.1.4.1</w:t>
      </w:r>
      <w:r>
        <w:rPr>
          <w:rFonts w:cs="Times New Roman" w:asciiTheme="minorEastAsia" w:hAnsiTheme="minorEastAsia"/>
          <w:bCs/>
        </w:rPr>
        <w:t xml:space="preserve"> </w:t>
      </w:r>
      <w:r>
        <w:rPr>
          <w:rFonts w:ascii="宋体" w:hAnsi="宋体" w:eastAsia="宋体" w:cs="Times New Roman"/>
          <w:bCs/>
        </w:rPr>
        <w:t>建立重点人员台账</w:t>
      </w:r>
      <w:r>
        <w:rPr>
          <w:rFonts w:hint="eastAsia" w:ascii="宋体" w:hAnsi="宋体" w:eastAsia="宋体" w:cs="Times New Roman"/>
          <w:bCs/>
        </w:rPr>
        <w:t>。</w:t>
      </w:r>
      <w:r>
        <w:rPr>
          <w:rFonts w:ascii="宋体" w:hAnsi="宋体" w:eastAsia="宋体" w:cs="Times New Roman"/>
          <w:bCs/>
        </w:rPr>
        <w:t>重点人员包括特种作业人员、特种设备管理和操作人员、消防设施操作员</w:t>
      </w:r>
      <w:r>
        <w:rPr>
          <w:rFonts w:hint="eastAsia" w:ascii="宋体" w:hAnsi="宋体" w:eastAsia="宋体" w:cs="Times New Roman"/>
          <w:bCs/>
        </w:rPr>
        <w:t>、</w:t>
      </w:r>
      <w:r>
        <w:rPr>
          <w:rFonts w:ascii="宋体" w:hAnsi="宋体" w:eastAsia="宋体" w:cs="Times New Roman"/>
          <w:bCs/>
        </w:rPr>
        <w:t>起重设备操作人员、</w:t>
      </w:r>
      <w:r>
        <w:rPr>
          <w:rFonts w:hint="eastAsia" w:ascii="宋体" w:hAnsi="宋体" w:eastAsia="宋体" w:cs="Times New Roman"/>
          <w:bCs/>
        </w:rPr>
        <w:t>应急</w:t>
      </w:r>
      <w:r>
        <w:rPr>
          <w:rFonts w:ascii="宋体" w:hAnsi="宋体" w:eastAsia="宋体" w:cs="Times New Roman"/>
          <w:bCs/>
        </w:rPr>
        <w:t>消防队员等</w:t>
      </w:r>
      <w:r>
        <w:rPr>
          <w:rFonts w:hint="eastAsia" w:ascii="宋体" w:hAnsi="宋体" w:eastAsia="宋体" w:cs="Times New Roman"/>
          <w:bCs/>
        </w:rPr>
        <w:t>，</w:t>
      </w:r>
      <w:r>
        <w:rPr>
          <w:rFonts w:ascii="宋体" w:hAnsi="宋体" w:eastAsia="宋体" w:cs="Times New Roman"/>
          <w:bCs/>
        </w:rPr>
        <w:t>台账内容应包括个人信息、资格证书信息、教育和培训情况等。</w:t>
      </w:r>
    </w:p>
    <w:p>
      <w:pPr>
        <w:spacing w:line="300" w:lineRule="auto"/>
        <w:rPr>
          <w:rFonts w:ascii="宋体" w:hAnsi="宋体" w:eastAsia="宋体" w:cs="Times New Roman"/>
          <w:bCs/>
        </w:rPr>
      </w:pPr>
      <w:r>
        <w:rPr>
          <w:rFonts w:ascii="黑体" w:hAnsi="黑体" w:eastAsia="黑体" w:cs="Times New Roman"/>
          <w:bCs/>
        </w:rPr>
        <w:t>6.1.4.2</w:t>
      </w:r>
      <w:r>
        <w:rPr>
          <w:rFonts w:hint="eastAsia" w:ascii="宋体" w:hAnsi="宋体" w:eastAsia="宋体" w:cs="Times New Roman"/>
          <w:bCs/>
        </w:rPr>
        <w:t xml:space="preserve"> </w:t>
      </w:r>
      <w:r>
        <w:rPr>
          <w:rFonts w:ascii="宋体" w:hAnsi="宋体" w:eastAsia="宋体" w:cs="Times New Roman"/>
          <w:bCs/>
        </w:rPr>
        <w:t>特种作业人员、特种设备管理和操作人员</w:t>
      </w:r>
      <w:r>
        <w:rPr>
          <w:rFonts w:hint="eastAsia" w:ascii="宋体" w:hAnsi="宋体" w:eastAsia="宋体" w:cs="Times New Roman"/>
          <w:bCs/>
        </w:rPr>
        <w:t>、</w:t>
      </w:r>
      <w:r>
        <w:rPr>
          <w:rFonts w:ascii="宋体" w:hAnsi="宋体" w:eastAsia="宋体" w:cs="Times New Roman"/>
          <w:bCs/>
        </w:rPr>
        <w:t>消防设施操作员应经过专业培训，持有相应资格证书，且在有效期内持证上岗。其他重点作业人员也应经过专业培训且考核合格，实行内部准入管理，无准入资格的人员，禁止操作相关设备或开展相关活动。</w:t>
      </w:r>
    </w:p>
    <w:p>
      <w:pPr>
        <w:spacing w:line="300" w:lineRule="auto"/>
        <w:rPr>
          <w:rFonts w:ascii="黑体" w:hAnsi="黑体" w:eastAsia="黑体" w:cs="Times New Roman"/>
          <w:bCs/>
        </w:rPr>
      </w:pPr>
      <w:r>
        <w:rPr>
          <w:rFonts w:hint="eastAsia" w:ascii="黑体" w:hAnsi="黑体" w:eastAsia="黑体" w:cs="Times New Roman"/>
          <w:bCs/>
        </w:rPr>
        <w:t>6</w:t>
      </w:r>
      <w:r>
        <w:rPr>
          <w:rFonts w:ascii="黑体" w:hAnsi="黑体" w:eastAsia="黑体" w:cs="Times New Roman"/>
          <w:bCs/>
        </w:rPr>
        <w:t>.2 消防</w:t>
      </w:r>
      <w:r>
        <w:rPr>
          <w:rFonts w:hint="eastAsia" w:ascii="黑体" w:hAnsi="黑体" w:eastAsia="黑体" w:cs="Times New Roman"/>
          <w:bCs/>
        </w:rPr>
        <w:t>控制室</w:t>
      </w:r>
      <w:r>
        <w:rPr>
          <w:rFonts w:ascii="黑体" w:hAnsi="黑体" w:eastAsia="黑体" w:cs="Times New Roman"/>
          <w:bCs/>
        </w:rPr>
        <w:t>值守人员管理</w:t>
      </w:r>
    </w:p>
    <w:p>
      <w:pPr>
        <w:spacing w:line="300" w:lineRule="auto"/>
        <w:rPr>
          <w:rFonts w:cs="Times New Roman" w:asciiTheme="minorEastAsia" w:hAnsiTheme="minorEastAsia"/>
          <w:bCs/>
        </w:rPr>
      </w:pPr>
      <w:r>
        <w:rPr>
          <w:rFonts w:hint="eastAsia" w:ascii="黑体" w:hAnsi="黑体" w:eastAsia="黑体" w:cs="Times New Roman"/>
          <w:bCs/>
        </w:rPr>
        <w:t>6</w:t>
      </w:r>
      <w:r>
        <w:rPr>
          <w:rFonts w:ascii="黑体" w:hAnsi="黑体" w:eastAsia="黑体" w:cs="Times New Roman"/>
          <w:bCs/>
        </w:rPr>
        <w:t xml:space="preserve">.2.1 </w:t>
      </w:r>
      <w:r>
        <w:rPr>
          <w:rFonts w:cs="Times New Roman" w:asciiTheme="minorEastAsia" w:hAnsiTheme="minorEastAsia"/>
          <w:bCs/>
        </w:rPr>
        <w:t>实验室消防控制室必须实行每日</w:t>
      </w:r>
      <w:r>
        <w:rPr>
          <w:rFonts w:ascii="Times New Roman" w:hAnsi="Times New Roman" w:cs="Times New Roman"/>
          <w:bCs/>
        </w:rPr>
        <w:t>24</w:t>
      </w:r>
      <w:r>
        <w:rPr>
          <w:rFonts w:cs="Times New Roman" w:asciiTheme="minorEastAsia" w:hAnsiTheme="minorEastAsia"/>
          <w:bCs/>
        </w:rPr>
        <w:t>小时专人值班制度，</w:t>
      </w:r>
      <w:r>
        <w:rPr>
          <w:rFonts w:hint="eastAsia" w:cs="Times New Roman" w:asciiTheme="minorEastAsia" w:hAnsiTheme="minorEastAsia"/>
          <w:bCs/>
        </w:rPr>
        <w:t>每班</w:t>
      </w:r>
      <w:r>
        <w:rPr>
          <w:rFonts w:cs="Times New Roman" w:asciiTheme="minorEastAsia" w:hAnsiTheme="minorEastAsia"/>
          <w:bCs/>
        </w:rPr>
        <w:t>不少于</w:t>
      </w:r>
      <w:r>
        <w:rPr>
          <w:rFonts w:ascii="Times New Roman" w:hAnsi="Times New Roman" w:cs="Times New Roman"/>
          <w:bCs/>
        </w:rPr>
        <w:t>2</w:t>
      </w:r>
      <w:r>
        <w:rPr>
          <w:rFonts w:cs="Times New Roman" w:asciiTheme="minorEastAsia" w:hAnsiTheme="minorEastAsia"/>
          <w:bCs/>
        </w:rPr>
        <w:t>人。消防控制室值班人员应持有中级（四级）及以上等级消防设施操作员证书</w:t>
      </w:r>
      <w:r>
        <w:rPr>
          <w:rFonts w:hint="eastAsia" w:cs="Times New Roman" w:asciiTheme="minorEastAsia" w:hAnsiTheme="minorEastAsia"/>
          <w:bCs/>
        </w:rPr>
        <w:t>。</w:t>
      </w:r>
    </w:p>
    <w:p>
      <w:pPr>
        <w:spacing w:line="300" w:lineRule="auto"/>
        <w:rPr>
          <w:rFonts w:cs="Times New Roman" w:asciiTheme="minorEastAsia" w:hAnsiTheme="minorEastAsia"/>
          <w:bCs/>
        </w:rPr>
      </w:pPr>
      <w:r>
        <w:rPr>
          <w:rFonts w:hint="eastAsia" w:ascii="黑体" w:hAnsi="黑体" w:eastAsia="黑体" w:cs="Times New Roman"/>
          <w:bCs/>
        </w:rPr>
        <w:t>6</w:t>
      </w:r>
      <w:r>
        <w:rPr>
          <w:rFonts w:ascii="黑体" w:hAnsi="黑体" w:eastAsia="黑体" w:cs="Times New Roman"/>
          <w:bCs/>
        </w:rPr>
        <w:t xml:space="preserve">.2.2 </w:t>
      </w:r>
      <w:r>
        <w:rPr>
          <w:rFonts w:cs="Times New Roman" w:asciiTheme="minorEastAsia" w:hAnsiTheme="minorEastAsia"/>
          <w:bCs/>
        </w:rPr>
        <w:t>消防控制室值班人员应</w:t>
      </w:r>
      <w:r>
        <w:rPr>
          <w:rFonts w:hint="eastAsia" w:cs="Times New Roman" w:asciiTheme="minorEastAsia" w:hAnsiTheme="minorEastAsia"/>
          <w:bCs/>
        </w:rPr>
        <w:t>掌握</w:t>
      </w:r>
      <w:r>
        <w:rPr>
          <w:rFonts w:cs="Times New Roman" w:asciiTheme="minorEastAsia" w:hAnsiTheme="minorEastAsia"/>
          <w:bCs/>
        </w:rPr>
        <w:t>消防控制设备操作</w:t>
      </w:r>
      <w:r>
        <w:rPr>
          <w:rFonts w:hint="eastAsia" w:cs="Times New Roman" w:asciiTheme="minorEastAsia" w:hAnsiTheme="minorEastAsia"/>
          <w:bCs/>
        </w:rPr>
        <w:t>、</w:t>
      </w:r>
      <w:r>
        <w:rPr>
          <w:rFonts w:cs="Times New Roman" w:asciiTheme="minorEastAsia" w:hAnsiTheme="minorEastAsia"/>
          <w:bCs/>
        </w:rPr>
        <w:t>消防警报处理和处置</w:t>
      </w:r>
      <w:r>
        <w:rPr>
          <w:rFonts w:hint="eastAsia" w:cs="Times New Roman" w:asciiTheme="minorEastAsia" w:hAnsiTheme="minorEastAsia"/>
          <w:bCs/>
        </w:rPr>
        <w:t>、初起</w:t>
      </w:r>
      <w:r>
        <w:rPr>
          <w:rFonts w:cs="Times New Roman" w:asciiTheme="minorEastAsia" w:hAnsiTheme="minorEastAsia"/>
          <w:bCs/>
        </w:rPr>
        <w:t>火灾扑救</w:t>
      </w:r>
      <w:r>
        <w:rPr>
          <w:rFonts w:hint="eastAsia" w:cs="Times New Roman" w:asciiTheme="minorEastAsia" w:hAnsiTheme="minorEastAsia"/>
          <w:bCs/>
        </w:rPr>
        <w:t>等技能，规范填写交接班和值班记录。</w:t>
      </w:r>
    </w:p>
    <w:p>
      <w:pPr>
        <w:spacing w:line="300" w:lineRule="auto"/>
        <w:rPr>
          <w:rFonts w:ascii="黑体" w:hAnsi="黑体" w:eastAsia="黑体" w:cs="Times New Roman"/>
          <w:bCs/>
        </w:rPr>
      </w:pPr>
      <w:r>
        <w:rPr>
          <w:rFonts w:ascii="黑体" w:hAnsi="黑体" w:eastAsia="黑体" w:cs="Times New Roman"/>
          <w:bCs/>
        </w:rPr>
        <w:t>6.3 门禁授权管理</w:t>
      </w:r>
    </w:p>
    <w:p>
      <w:pPr>
        <w:spacing w:line="300" w:lineRule="auto"/>
        <w:rPr>
          <w:rFonts w:cs="Times New Roman" w:asciiTheme="minorEastAsia" w:hAnsiTheme="minorEastAsia"/>
          <w:bCs/>
        </w:rPr>
      </w:pPr>
      <w:r>
        <w:rPr>
          <w:rFonts w:ascii="黑体" w:hAnsi="黑体" w:eastAsia="黑体" w:cs="Times New Roman"/>
          <w:bCs/>
        </w:rPr>
        <w:t>6.3.1</w:t>
      </w:r>
      <w:r>
        <w:rPr>
          <w:rFonts w:cs="Times New Roman" w:asciiTheme="minorEastAsia" w:hAnsiTheme="minorEastAsia"/>
          <w:bCs/>
        </w:rPr>
        <w:t xml:space="preserve"> </w:t>
      </w:r>
      <w:r>
        <w:rPr>
          <w:rFonts w:hint="eastAsia" w:cs="Times New Roman" w:asciiTheme="minorEastAsia" w:hAnsiTheme="minorEastAsia"/>
          <w:bCs/>
        </w:rPr>
        <w:t>严格</w:t>
      </w:r>
      <w:r>
        <w:rPr>
          <w:rFonts w:cs="Times New Roman" w:asciiTheme="minorEastAsia" w:hAnsiTheme="minorEastAsia"/>
          <w:bCs/>
        </w:rPr>
        <w:t>门禁管理，禁止无关人员进入实验室和附属区域。明确门禁权限申请流程和权限等级确定规则，留存门禁权限申请和批准的记录。</w:t>
      </w:r>
    </w:p>
    <w:p>
      <w:pPr>
        <w:spacing w:line="300" w:lineRule="auto"/>
        <w:rPr>
          <w:rFonts w:cs="Times New Roman" w:asciiTheme="minorEastAsia" w:hAnsiTheme="minorEastAsia"/>
          <w:bCs/>
        </w:rPr>
      </w:pPr>
      <w:r>
        <w:rPr>
          <w:rFonts w:ascii="黑体" w:hAnsi="黑体" w:eastAsia="黑体" w:cs="Times New Roman"/>
          <w:bCs/>
        </w:rPr>
        <w:t>6.3.2</w:t>
      </w:r>
      <w:r>
        <w:rPr>
          <w:rFonts w:cs="Times New Roman" w:asciiTheme="minorEastAsia" w:hAnsiTheme="minorEastAsia"/>
          <w:bCs/>
        </w:rPr>
        <w:t xml:space="preserve"> 实验室管理人员和技术人员、安全生产管理人员和</w:t>
      </w:r>
      <w:r>
        <w:rPr>
          <w:rFonts w:hint="eastAsia" w:cs="Times New Roman" w:asciiTheme="minorEastAsia" w:hAnsiTheme="minorEastAsia"/>
          <w:bCs/>
        </w:rPr>
        <w:t>消防</w:t>
      </w:r>
      <w:r>
        <w:rPr>
          <w:rFonts w:cs="Times New Roman" w:asciiTheme="minorEastAsia" w:hAnsiTheme="minorEastAsia"/>
          <w:bCs/>
        </w:rPr>
        <w:t>控制室值班人员</w:t>
      </w:r>
      <w:r>
        <w:rPr>
          <w:rFonts w:hint="eastAsia" w:cs="Times New Roman" w:asciiTheme="minorEastAsia" w:hAnsiTheme="minorEastAsia"/>
          <w:bCs/>
        </w:rPr>
        <w:t>、</w:t>
      </w:r>
      <w:r>
        <w:rPr>
          <w:rFonts w:cs="Times New Roman" w:asciiTheme="minorEastAsia" w:hAnsiTheme="minorEastAsia"/>
          <w:bCs/>
        </w:rPr>
        <w:t>应急消防队员的门禁权限应能覆盖所负责的区域。</w:t>
      </w:r>
      <w:bookmarkStart w:id="8" w:name="_Toc135402380"/>
    </w:p>
    <w:p>
      <w:pPr>
        <w:spacing w:line="300" w:lineRule="auto"/>
        <w:rPr>
          <w:rFonts w:cs="Times New Roman" w:asciiTheme="minorEastAsia" w:hAnsiTheme="minorEastAsia"/>
          <w:bCs/>
        </w:rPr>
      </w:pPr>
    </w:p>
    <w:p>
      <w:pPr>
        <w:spacing w:line="300" w:lineRule="auto"/>
        <w:rPr>
          <w:rFonts w:ascii="黑体" w:hAnsi="黑体" w:eastAsia="黑体" w:cs="Times New Roman"/>
          <w:bCs/>
        </w:rPr>
      </w:pPr>
      <w:r>
        <w:rPr>
          <w:rFonts w:hint="eastAsia" w:ascii="黑体" w:hAnsi="黑体" w:eastAsia="黑体" w:cs="Times New Roman"/>
          <w:bCs/>
        </w:rPr>
        <w:t>7</w:t>
      </w:r>
      <w:r>
        <w:rPr>
          <w:rFonts w:ascii="黑体" w:hAnsi="黑体" w:eastAsia="黑体" w:cs="Times New Roman"/>
          <w:bCs/>
        </w:rPr>
        <w:t xml:space="preserve">   </w:t>
      </w:r>
      <w:r>
        <w:rPr>
          <w:rFonts w:ascii="黑体" w:hAnsi="黑体" w:eastAsia="黑体"/>
        </w:rPr>
        <w:t>设备设施安全管理</w:t>
      </w:r>
      <w:bookmarkEnd w:id="8"/>
    </w:p>
    <w:p>
      <w:pPr>
        <w:rPr>
          <w:rFonts w:ascii="Times New Roman" w:hAnsi="Times New Roman" w:cs="Times New Roman"/>
        </w:rPr>
      </w:pPr>
    </w:p>
    <w:p>
      <w:pPr>
        <w:spacing w:line="300" w:lineRule="auto"/>
        <w:rPr>
          <w:rFonts w:ascii="黑体" w:hAnsi="黑体" w:eastAsia="黑体" w:cs="Times New Roman"/>
        </w:rPr>
      </w:pPr>
      <w:r>
        <w:rPr>
          <w:rFonts w:ascii="黑体" w:hAnsi="黑体" w:eastAsia="黑体" w:cs="Times New Roman"/>
        </w:rPr>
        <w:t>7.1  设施安全管理</w:t>
      </w:r>
    </w:p>
    <w:p>
      <w:pPr>
        <w:spacing w:line="300" w:lineRule="auto"/>
        <w:rPr>
          <w:rFonts w:ascii="黑体" w:hAnsi="黑体" w:eastAsia="黑体" w:cs="Times New Roman"/>
          <w:bCs/>
        </w:rPr>
      </w:pPr>
      <w:r>
        <w:rPr>
          <w:rFonts w:ascii="黑体" w:hAnsi="黑体" w:eastAsia="黑体" w:cs="Times New Roman"/>
          <w:bCs/>
        </w:rPr>
        <w:t>7.1.1 消防</w:t>
      </w:r>
      <w:r>
        <w:rPr>
          <w:rFonts w:hint="eastAsia" w:ascii="黑体" w:hAnsi="黑体" w:eastAsia="黑体" w:cs="Times New Roman"/>
          <w:bCs/>
        </w:rPr>
        <w:t>要求</w:t>
      </w:r>
    </w:p>
    <w:p>
      <w:pPr>
        <w:spacing w:line="300" w:lineRule="auto"/>
        <w:ind w:firstLine="420" w:firstLineChars="200"/>
        <w:rPr>
          <w:rFonts w:ascii="Times New Roman" w:hAnsi="Times New Roman" w:cs="Times New Roman"/>
          <w:szCs w:val="21"/>
        </w:rPr>
      </w:pPr>
      <w:r>
        <w:rPr>
          <w:rFonts w:ascii="Times New Roman" w:hAnsi="Times New Roman" w:cs="Times New Roman"/>
          <w:bCs/>
        </w:rPr>
        <w:t xml:space="preserve">  实验室主体建筑按照甲类厂房</w:t>
      </w:r>
      <w:r>
        <w:rPr>
          <w:rFonts w:hint="eastAsia" w:ascii="Times New Roman" w:hAnsi="Times New Roman" w:cs="Times New Roman"/>
          <w:bCs/>
        </w:rPr>
        <w:t>，</w:t>
      </w:r>
      <w:r>
        <w:rPr>
          <w:rFonts w:ascii="Times New Roman" w:hAnsi="Times New Roman" w:cs="Times New Roman"/>
          <w:bCs/>
        </w:rPr>
        <w:t>供氢站（含加氢机，下同）按照甲类仓库</w:t>
      </w:r>
      <w:r>
        <w:rPr>
          <w:rFonts w:hint="eastAsia" w:ascii="Times New Roman" w:hAnsi="Times New Roman" w:cs="Times New Roman"/>
          <w:bCs/>
        </w:rPr>
        <w:t>，</w:t>
      </w:r>
      <w:r>
        <w:rPr>
          <w:rFonts w:ascii="Times New Roman" w:hAnsi="Times New Roman" w:cs="Times New Roman"/>
          <w:bCs/>
        </w:rPr>
        <w:t>动力站房按照丁类厂房进行消防设计并满足GB 50016</w:t>
      </w:r>
      <w:r>
        <w:rPr>
          <w:rFonts w:hint="eastAsia" w:ascii="Times New Roman" w:hAnsi="Times New Roman" w:cs="Times New Roman"/>
          <w:bCs/>
        </w:rPr>
        <w:t>、</w:t>
      </w:r>
      <w:r>
        <w:rPr>
          <w:rFonts w:hint="eastAsia" w:ascii="Times New Roman" w:hAnsi="Times New Roman" w:cs="Times New Roman"/>
          <w:szCs w:val="21"/>
        </w:rPr>
        <w:t>GB</w:t>
      </w:r>
      <w:r>
        <w:rPr>
          <w:rFonts w:ascii="Times New Roman" w:hAnsi="Times New Roman" w:cs="Times New Roman"/>
          <w:szCs w:val="21"/>
        </w:rPr>
        <w:t xml:space="preserve"> </w:t>
      </w:r>
      <w:r>
        <w:rPr>
          <w:rFonts w:hint="eastAsia" w:ascii="Times New Roman" w:hAnsi="Times New Roman" w:cs="Times New Roman"/>
          <w:szCs w:val="21"/>
        </w:rPr>
        <w:t>55036、G</w:t>
      </w:r>
      <w:r>
        <w:rPr>
          <w:rFonts w:ascii="Times New Roman" w:hAnsi="Times New Roman" w:cs="Times New Roman"/>
          <w:szCs w:val="21"/>
        </w:rPr>
        <w:t>B 55037</w:t>
      </w:r>
      <w:r>
        <w:rPr>
          <w:rFonts w:hint="eastAsia" w:ascii="Times New Roman" w:hAnsi="Times New Roman" w:cs="Times New Roman"/>
          <w:szCs w:val="21"/>
        </w:rPr>
        <w:t>、</w:t>
      </w:r>
      <w:r>
        <w:rPr>
          <w:rFonts w:ascii="Times New Roman" w:hAnsi="Times New Roman" w:cs="Times New Roman"/>
          <w:bCs/>
        </w:rPr>
        <w:t>GB 4962和</w:t>
      </w:r>
      <w:r>
        <w:rPr>
          <w:rFonts w:hint="eastAsia" w:ascii="Times New Roman" w:hAnsi="Times New Roman" w:cs="Times New Roman"/>
          <w:szCs w:val="21"/>
        </w:rPr>
        <w:t>GB</w:t>
      </w:r>
      <w:r>
        <w:rPr>
          <w:rFonts w:ascii="Times New Roman" w:hAnsi="Times New Roman" w:cs="Times New Roman"/>
          <w:szCs w:val="21"/>
        </w:rPr>
        <w:t>/</w:t>
      </w:r>
      <w:r>
        <w:rPr>
          <w:rFonts w:hint="eastAsia" w:ascii="Times New Roman" w:hAnsi="Times New Roman" w:cs="Times New Roman"/>
          <w:szCs w:val="21"/>
        </w:rPr>
        <w:t>T 29729的</w:t>
      </w:r>
      <w:r>
        <w:rPr>
          <w:rFonts w:ascii="Times New Roman" w:hAnsi="Times New Roman" w:cs="Times New Roman"/>
          <w:bCs/>
        </w:rPr>
        <w:t>相关</w:t>
      </w:r>
      <w:r>
        <w:rPr>
          <w:rFonts w:hint="eastAsia" w:ascii="Times New Roman" w:hAnsi="Times New Roman" w:cs="Times New Roman"/>
          <w:bCs/>
        </w:rPr>
        <w:t>规定</w:t>
      </w:r>
      <w:r>
        <w:rPr>
          <w:rFonts w:ascii="Times New Roman" w:hAnsi="Times New Roman" w:cs="Times New Roman"/>
          <w:bCs/>
        </w:rPr>
        <w:t>，且应符合：</w:t>
      </w:r>
    </w:p>
    <w:p>
      <w:pPr>
        <w:spacing w:line="300" w:lineRule="auto"/>
        <w:rPr>
          <w:rFonts w:ascii="宋体" w:hAnsi="宋体" w:eastAsia="宋体" w:cs="Times New Roman"/>
          <w:bCs/>
        </w:rPr>
      </w:pPr>
      <w:r>
        <w:rPr>
          <w:rFonts w:hint="eastAsia" w:ascii="Times New Roman" w:hAnsi="Times New Roman" w:cs="Times New Roman"/>
          <w:bCs/>
        </w:rPr>
        <w:t>——</w:t>
      </w:r>
      <w:r>
        <w:rPr>
          <w:rFonts w:ascii="宋体" w:hAnsi="宋体" w:eastAsia="宋体" w:cs="Times New Roman"/>
          <w:bCs/>
        </w:rPr>
        <w:t>火灾探测要求</w:t>
      </w:r>
      <w:r>
        <w:rPr>
          <w:rFonts w:hint="eastAsia" w:ascii="宋体" w:hAnsi="宋体" w:eastAsia="宋体" w:cs="Times New Roman"/>
          <w:bCs/>
        </w:rPr>
        <w:t>：</w:t>
      </w:r>
      <w:r>
        <w:rPr>
          <w:rFonts w:ascii="宋体" w:hAnsi="宋体" w:eastAsia="宋体" w:cs="Times New Roman"/>
          <w:bCs/>
        </w:rPr>
        <w:t>涉氢场所应设置感烟火灾探测器</w:t>
      </w:r>
      <w:r>
        <w:rPr>
          <w:rFonts w:hint="eastAsia" w:ascii="宋体" w:hAnsi="宋体" w:eastAsia="宋体" w:cs="Times New Roman"/>
          <w:bCs/>
        </w:rPr>
        <w:t>、</w:t>
      </w:r>
      <w:r>
        <w:rPr>
          <w:rFonts w:ascii="宋体" w:hAnsi="宋体" w:eastAsia="宋体" w:cs="Times New Roman"/>
          <w:bCs/>
        </w:rPr>
        <w:t>紫外火焰</w:t>
      </w:r>
      <w:r>
        <w:rPr>
          <w:rFonts w:hint="eastAsia" w:ascii="宋体" w:hAnsi="宋体" w:eastAsia="宋体" w:cs="Times New Roman"/>
          <w:bCs/>
        </w:rPr>
        <w:t>（或紫红外复合型）</w:t>
      </w:r>
      <w:r>
        <w:rPr>
          <w:rFonts w:ascii="宋体" w:hAnsi="宋体" w:eastAsia="宋体" w:cs="Times New Roman"/>
          <w:bCs/>
        </w:rPr>
        <w:t>探测器，具体规定按照</w:t>
      </w:r>
      <w:r>
        <w:rPr>
          <w:rFonts w:ascii="Times New Roman" w:hAnsi="Times New Roman" w:eastAsia="宋体" w:cs="Times New Roman"/>
          <w:bCs/>
        </w:rPr>
        <w:t>GB 50116</w:t>
      </w:r>
      <w:r>
        <w:rPr>
          <w:rFonts w:ascii="宋体" w:hAnsi="宋体" w:eastAsia="宋体" w:cs="Times New Roman"/>
          <w:bCs/>
        </w:rPr>
        <w:t>和</w:t>
      </w:r>
      <w:r>
        <w:rPr>
          <w:rFonts w:ascii="Times New Roman" w:hAnsi="Times New Roman" w:eastAsia="宋体" w:cs="Times New Roman"/>
          <w:bCs/>
        </w:rPr>
        <w:t>GB 50516</w:t>
      </w:r>
      <w:r>
        <w:rPr>
          <w:rFonts w:ascii="宋体" w:hAnsi="宋体" w:eastAsia="宋体" w:cs="Times New Roman"/>
          <w:bCs/>
        </w:rPr>
        <w:t>执行。</w:t>
      </w:r>
    </w:p>
    <w:p>
      <w:pPr>
        <w:spacing w:line="300" w:lineRule="auto"/>
        <w:rPr>
          <w:rFonts w:ascii="宋体" w:hAnsi="宋体" w:eastAsia="宋体" w:cs="Times New Roman"/>
          <w:bCs/>
        </w:rPr>
      </w:pPr>
      <w:r>
        <w:rPr>
          <w:rFonts w:hint="eastAsia" w:ascii="宋体" w:hAnsi="宋体" w:eastAsia="宋体" w:cs="Times New Roman"/>
          <w:bCs/>
        </w:rPr>
        <w:t>——</w:t>
      </w:r>
      <w:r>
        <w:rPr>
          <w:rFonts w:ascii="宋体" w:hAnsi="宋体" w:eastAsia="宋体" w:cs="Times New Roman"/>
          <w:bCs/>
        </w:rPr>
        <w:t>氢气探测要求</w:t>
      </w:r>
      <w:r>
        <w:rPr>
          <w:rFonts w:hint="eastAsia" w:ascii="宋体" w:hAnsi="宋体" w:eastAsia="宋体" w:cs="Times New Roman"/>
          <w:bCs/>
        </w:rPr>
        <w:t>：</w:t>
      </w:r>
      <w:r>
        <w:rPr>
          <w:rFonts w:ascii="宋体" w:hAnsi="宋体" w:eastAsia="宋体" w:cs="Times New Roman"/>
          <w:bCs/>
        </w:rPr>
        <w:t>涉氢场所应设置氢气探测报警系统并与火灾自动报警系统联动，具体规定按照</w:t>
      </w:r>
      <w:r>
        <w:rPr>
          <w:rFonts w:ascii="Times New Roman" w:hAnsi="Times New Roman" w:eastAsia="宋体" w:cs="Times New Roman"/>
          <w:bCs/>
        </w:rPr>
        <w:t>GB 50116</w:t>
      </w:r>
      <w:r>
        <w:rPr>
          <w:rFonts w:ascii="宋体" w:hAnsi="宋体" w:eastAsia="宋体" w:cs="Times New Roman"/>
          <w:bCs/>
        </w:rPr>
        <w:t>执行。</w:t>
      </w:r>
      <w:r>
        <w:rPr>
          <w:rFonts w:hint="eastAsia" w:ascii="宋体" w:hAnsi="宋体" w:eastAsia="宋体" w:cs="Times New Roman"/>
          <w:bCs/>
        </w:rPr>
        <w:t>固定式</w:t>
      </w:r>
      <w:r>
        <w:rPr>
          <w:rFonts w:ascii="宋体" w:hAnsi="宋体" w:eastAsia="宋体" w:cs="Times New Roman"/>
          <w:bCs/>
        </w:rPr>
        <w:t>氢气</w:t>
      </w:r>
      <w:r>
        <w:rPr>
          <w:rFonts w:hint="eastAsia" w:ascii="宋体" w:hAnsi="宋体" w:eastAsia="宋体" w:cs="Times New Roman"/>
          <w:bCs/>
        </w:rPr>
        <w:t>检测装置</w:t>
      </w:r>
      <w:r>
        <w:rPr>
          <w:rFonts w:ascii="宋体" w:hAnsi="宋体" w:eastAsia="宋体" w:cs="Times New Roman"/>
          <w:bCs/>
        </w:rPr>
        <w:t>宜在监测点（释放源）上方和所在建筑物屋顶下方双层设置，报警阈值宜设定为0.4%（</w:t>
      </w:r>
      <w:r>
        <w:rPr>
          <w:rFonts w:hint="eastAsia" w:ascii="宋体" w:hAnsi="宋体" w:eastAsia="宋体" w:cs="Times New Roman"/>
          <w:bCs/>
        </w:rPr>
        <w:t>体积</w:t>
      </w:r>
      <w:r>
        <w:rPr>
          <w:rFonts w:ascii="宋体" w:hAnsi="宋体" w:eastAsia="宋体" w:cs="Times New Roman"/>
          <w:bCs/>
        </w:rPr>
        <w:t>分数），安装位置按照</w:t>
      </w:r>
      <w:r>
        <w:rPr>
          <w:rFonts w:ascii="Times New Roman" w:hAnsi="Times New Roman" w:eastAsia="宋体" w:cs="Times New Roman"/>
          <w:bCs/>
        </w:rPr>
        <w:t>GB 4962</w:t>
      </w:r>
      <w:r>
        <w:rPr>
          <w:rFonts w:ascii="宋体" w:hAnsi="宋体" w:eastAsia="宋体" w:cs="Times New Roman"/>
          <w:bCs/>
        </w:rPr>
        <w:t>的规定执行。氢气检测装置</w:t>
      </w:r>
      <w:r>
        <w:rPr>
          <w:rFonts w:hint="eastAsia" w:ascii="宋体" w:hAnsi="宋体" w:eastAsia="宋体" w:cs="Times New Roman"/>
          <w:bCs/>
        </w:rPr>
        <w:t>应至少每年检测一次。</w:t>
      </w:r>
    </w:p>
    <w:p>
      <w:pPr>
        <w:spacing w:line="300" w:lineRule="auto"/>
        <w:rPr>
          <w:rFonts w:ascii="Times New Roman" w:hAnsi="Times New Roman" w:cs="Times New Roman"/>
          <w:bCs/>
        </w:rPr>
      </w:pPr>
      <w:r>
        <w:rPr>
          <w:rFonts w:hint="eastAsia" w:ascii="Times New Roman" w:hAnsi="Times New Roman" w:cs="Times New Roman"/>
          <w:bCs/>
        </w:rPr>
        <w:t>——</w:t>
      </w:r>
      <w:r>
        <w:rPr>
          <w:rFonts w:ascii="Times New Roman" w:hAnsi="Times New Roman" w:cs="Times New Roman"/>
          <w:bCs/>
        </w:rPr>
        <w:t>氧气及其他气体探测要求</w:t>
      </w:r>
      <w:r>
        <w:rPr>
          <w:rFonts w:hint="eastAsia" w:ascii="Times New Roman" w:hAnsi="Times New Roman" w:cs="Times New Roman"/>
          <w:bCs/>
        </w:rPr>
        <w:t>：</w:t>
      </w:r>
      <w:r>
        <w:rPr>
          <w:rFonts w:ascii="Times New Roman" w:hAnsi="Times New Roman" w:cs="Times New Roman"/>
          <w:bCs/>
        </w:rPr>
        <w:t>使用氮气进行氢气置换、吹扫的</w:t>
      </w:r>
      <w:r>
        <w:rPr>
          <w:rFonts w:hint="eastAsia" w:ascii="Times New Roman" w:hAnsi="Times New Roman" w:cs="Times New Roman"/>
          <w:bCs/>
        </w:rPr>
        <w:t>室内场所</w:t>
      </w:r>
      <w:r>
        <w:rPr>
          <w:rFonts w:ascii="Times New Roman" w:hAnsi="Times New Roman" w:cs="Times New Roman"/>
          <w:bCs/>
        </w:rPr>
        <w:t>应设置氧气气体报警器，报警阈值宜分别设定为19.5%（</w:t>
      </w:r>
      <w:r>
        <w:rPr>
          <w:rFonts w:hint="eastAsia" w:ascii="Times New Roman" w:hAnsi="Times New Roman" w:cs="Times New Roman"/>
          <w:bCs/>
        </w:rPr>
        <w:t>氧含量下限值，</w:t>
      </w:r>
      <w:r>
        <w:rPr>
          <w:rFonts w:ascii="Times New Roman" w:hAnsi="Times New Roman" w:cs="Times New Roman"/>
          <w:bCs/>
        </w:rPr>
        <w:t>体积</w:t>
      </w:r>
      <w:r>
        <w:rPr>
          <w:rFonts w:hint="eastAsia" w:ascii="Times New Roman" w:hAnsi="Times New Roman" w:cs="Times New Roman"/>
          <w:bCs/>
        </w:rPr>
        <w:t>分数</w:t>
      </w:r>
      <w:r>
        <w:rPr>
          <w:rFonts w:ascii="Times New Roman" w:hAnsi="Times New Roman" w:cs="Times New Roman"/>
          <w:bCs/>
        </w:rPr>
        <w:t>）、23.5%（</w:t>
      </w:r>
      <w:r>
        <w:rPr>
          <w:rFonts w:hint="eastAsia" w:ascii="Times New Roman" w:hAnsi="Times New Roman" w:cs="Times New Roman"/>
          <w:bCs/>
        </w:rPr>
        <w:t>氧含量上限值，</w:t>
      </w:r>
      <w:r>
        <w:rPr>
          <w:rFonts w:ascii="Times New Roman" w:hAnsi="Times New Roman" w:cs="Times New Roman"/>
          <w:bCs/>
        </w:rPr>
        <w:t>体积分数）。现场使用或检测过程产生其他有害气体时，应设置相应的气体报警器并设定合理的报警阈值。氧气和其他有害气体气体报警器按照GB/T 50493的规定进行安装。</w:t>
      </w:r>
    </w:p>
    <w:p>
      <w:pPr>
        <w:spacing w:line="300" w:lineRule="auto"/>
        <w:rPr>
          <w:rFonts w:ascii="Times New Roman" w:hAnsi="Times New Roman" w:cs="Times New Roman"/>
          <w:bCs/>
        </w:rPr>
      </w:pPr>
      <w:r>
        <w:rPr>
          <w:rFonts w:hint="eastAsia" w:ascii="Times New Roman" w:hAnsi="Times New Roman" w:cs="Times New Roman"/>
          <w:bCs/>
        </w:rPr>
        <w:t>——</w:t>
      </w:r>
      <w:r>
        <w:rPr>
          <w:rFonts w:ascii="Times New Roman" w:hAnsi="Times New Roman" w:cs="Times New Roman"/>
          <w:bCs/>
        </w:rPr>
        <w:t>实验设备</w:t>
      </w:r>
      <w:r>
        <w:rPr>
          <w:rFonts w:hint="eastAsia" w:ascii="Times New Roman" w:hAnsi="Times New Roman" w:cs="Times New Roman"/>
          <w:bCs/>
        </w:rPr>
        <w:t>本体</w:t>
      </w:r>
      <w:r>
        <w:rPr>
          <w:rFonts w:ascii="Times New Roman" w:hAnsi="Times New Roman" w:cs="Times New Roman"/>
          <w:bCs/>
        </w:rPr>
        <w:t>气体探测器设置要求</w:t>
      </w:r>
      <w:r>
        <w:rPr>
          <w:rFonts w:hint="eastAsia" w:ascii="Times New Roman" w:hAnsi="Times New Roman" w:cs="Times New Roman"/>
          <w:bCs/>
        </w:rPr>
        <w:t>：</w:t>
      </w:r>
      <w:r>
        <w:rPr>
          <w:rFonts w:ascii="Times New Roman" w:hAnsi="Times New Roman" w:cs="Times New Roman"/>
          <w:bCs/>
        </w:rPr>
        <w:t>实验设备本体安装的可燃气体、氧气或其他有害气体自动监测装置动作后</w:t>
      </w:r>
      <w:r>
        <w:rPr>
          <w:rFonts w:hint="eastAsia" w:ascii="Times New Roman" w:hAnsi="Times New Roman" w:cs="Times New Roman"/>
          <w:bCs/>
        </w:rPr>
        <w:t>，</w:t>
      </w:r>
      <w:r>
        <w:rPr>
          <w:rFonts w:ascii="Times New Roman" w:hAnsi="Times New Roman" w:cs="Times New Roman"/>
          <w:bCs/>
        </w:rPr>
        <w:t>应能实现设备停机</w:t>
      </w:r>
      <w:r>
        <w:rPr>
          <w:rFonts w:hint="eastAsia" w:ascii="Times New Roman" w:hAnsi="Times New Roman" w:cs="Times New Roman"/>
          <w:bCs/>
        </w:rPr>
        <w:t>、</w:t>
      </w:r>
      <w:r>
        <w:rPr>
          <w:rFonts w:ascii="Times New Roman" w:hAnsi="Times New Roman" w:cs="Times New Roman"/>
          <w:bCs/>
        </w:rPr>
        <w:t>停止供气并发出声光报警，可不与实验室氢气探测报警系统和火灾自动报警系统进行联动。</w:t>
      </w:r>
    </w:p>
    <w:p>
      <w:pPr>
        <w:spacing w:line="300" w:lineRule="auto"/>
        <w:rPr>
          <w:rFonts w:ascii="Times New Roman" w:hAnsi="Times New Roman" w:cs="Times New Roman"/>
          <w:bCs/>
        </w:rPr>
      </w:pPr>
      <w:r>
        <w:rPr>
          <w:rFonts w:hint="eastAsia" w:ascii="Times New Roman" w:hAnsi="Times New Roman" w:cs="Times New Roman"/>
          <w:bCs/>
        </w:rPr>
        <w:t>——</w:t>
      </w:r>
      <w:r>
        <w:rPr>
          <w:rFonts w:ascii="Times New Roman" w:hAnsi="Times New Roman" w:cs="Times New Roman"/>
          <w:bCs/>
        </w:rPr>
        <w:t>防爆安全要求</w:t>
      </w:r>
      <w:r>
        <w:rPr>
          <w:rFonts w:hint="eastAsia" w:ascii="Times New Roman" w:hAnsi="Times New Roman" w:cs="Times New Roman"/>
          <w:bCs/>
        </w:rPr>
        <w:t>：</w:t>
      </w:r>
      <w:r>
        <w:rPr>
          <w:rFonts w:ascii="Times New Roman" w:hAnsi="Times New Roman" w:cs="Times New Roman"/>
          <w:bCs/>
        </w:rPr>
        <w:t>涉氢场所</w:t>
      </w:r>
      <w:r>
        <w:rPr>
          <w:rFonts w:hint="eastAsia" w:ascii="Times New Roman" w:hAnsi="Times New Roman" w:cs="Times New Roman"/>
          <w:bCs/>
        </w:rPr>
        <w:t>应</w:t>
      </w:r>
      <w:r>
        <w:rPr>
          <w:rFonts w:ascii="Times New Roman" w:hAnsi="Times New Roman" w:cs="Times New Roman"/>
          <w:bCs/>
        </w:rPr>
        <w:t>按照气体爆炸危险场所2区进行管理</w:t>
      </w:r>
      <w:r>
        <w:rPr>
          <w:rFonts w:hint="eastAsia" w:ascii="Times New Roman" w:hAnsi="Times New Roman" w:cs="Times New Roman"/>
          <w:bCs/>
        </w:rPr>
        <w:t>并</w:t>
      </w:r>
      <w:r>
        <w:rPr>
          <w:rFonts w:ascii="Times New Roman" w:hAnsi="Times New Roman" w:cs="Times New Roman"/>
          <w:bCs/>
        </w:rPr>
        <w:t>符合GB 50058的相关规定，使用相应防爆等级的防爆设备设施。供氢站除满足上述要求外，还</w:t>
      </w:r>
      <w:r>
        <w:rPr>
          <w:rFonts w:hint="eastAsia" w:ascii="Times New Roman" w:hAnsi="Times New Roman" w:cs="Times New Roman"/>
          <w:bCs/>
        </w:rPr>
        <w:t>应</w:t>
      </w:r>
      <w:r>
        <w:rPr>
          <w:rFonts w:ascii="Times New Roman" w:hAnsi="Times New Roman" w:cs="Times New Roman"/>
          <w:bCs/>
        </w:rPr>
        <w:t>满足</w:t>
      </w:r>
      <w:r>
        <w:rPr>
          <w:rFonts w:hint="eastAsia" w:ascii="Times New Roman" w:hAnsi="Times New Roman" w:cs="Times New Roman"/>
          <w:bCs/>
        </w:rPr>
        <w:t>G</w:t>
      </w:r>
      <w:r>
        <w:rPr>
          <w:rFonts w:ascii="Times New Roman" w:hAnsi="Times New Roman" w:cs="Times New Roman"/>
          <w:bCs/>
        </w:rPr>
        <w:t>B 50177的</w:t>
      </w:r>
      <w:r>
        <w:rPr>
          <w:rFonts w:hint="eastAsia" w:ascii="Times New Roman" w:hAnsi="Times New Roman" w:cs="Times New Roman"/>
          <w:bCs/>
        </w:rPr>
        <w:t>相关</w:t>
      </w:r>
      <w:r>
        <w:rPr>
          <w:rFonts w:ascii="Times New Roman" w:hAnsi="Times New Roman" w:cs="Times New Roman"/>
          <w:bCs/>
        </w:rPr>
        <w:t>要求。</w:t>
      </w:r>
    </w:p>
    <w:p>
      <w:pPr>
        <w:spacing w:line="300" w:lineRule="auto"/>
        <w:rPr>
          <w:rFonts w:ascii="Times New Roman" w:hAnsi="Times New Roman" w:cs="Times New Roman"/>
          <w:bCs/>
        </w:rPr>
      </w:pPr>
      <w:r>
        <w:rPr>
          <w:rFonts w:hint="eastAsia" w:ascii="Times New Roman" w:hAnsi="Times New Roman" w:cs="Times New Roman"/>
          <w:bCs/>
        </w:rPr>
        <w:t>——</w:t>
      </w:r>
      <w:r>
        <w:rPr>
          <w:rFonts w:ascii="Times New Roman" w:hAnsi="Times New Roman" w:cs="Times New Roman"/>
          <w:bCs/>
        </w:rPr>
        <w:t>消防设施日常管理</w:t>
      </w:r>
      <w:r>
        <w:rPr>
          <w:rFonts w:hint="eastAsia" w:ascii="Times New Roman" w:hAnsi="Times New Roman" w:cs="Times New Roman"/>
          <w:bCs/>
        </w:rPr>
        <w:t>：</w:t>
      </w:r>
      <w:r>
        <w:rPr>
          <w:rFonts w:ascii="Times New Roman" w:hAnsi="Times New Roman" w:cs="Times New Roman"/>
          <w:bCs/>
        </w:rPr>
        <w:t>实验室按照消防安全重点单位进行管理并依照GB 25201和</w:t>
      </w:r>
      <w:r>
        <w:rPr>
          <w:rFonts w:hint="eastAsia" w:ascii="Times New Roman" w:hAnsi="Times New Roman" w:cs="Times New Roman"/>
          <w:bCs/>
        </w:rPr>
        <w:t>G</w:t>
      </w:r>
      <w:r>
        <w:rPr>
          <w:rFonts w:ascii="Times New Roman" w:hAnsi="Times New Roman" w:cs="Times New Roman"/>
          <w:bCs/>
        </w:rPr>
        <w:t>B 55037的要求开展消防设施的维护管理并建立相关记录。</w:t>
      </w:r>
    </w:p>
    <w:p>
      <w:pPr>
        <w:spacing w:line="300" w:lineRule="auto"/>
        <w:rPr>
          <w:rFonts w:ascii="黑体" w:hAnsi="黑体" w:eastAsia="黑体" w:cs="Times New Roman"/>
          <w:bCs/>
        </w:rPr>
      </w:pPr>
      <w:r>
        <w:rPr>
          <w:rFonts w:ascii="黑体" w:hAnsi="黑体" w:eastAsia="黑体" w:cs="Times New Roman"/>
          <w:bCs/>
        </w:rPr>
        <w:t>7.1.2 通风要求</w:t>
      </w:r>
    </w:p>
    <w:p>
      <w:pPr>
        <w:spacing w:line="300" w:lineRule="auto"/>
        <w:ind w:firstLine="630" w:firstLineChars="300"/>
        <w:rPr>
          <w:rFonts w:ascii="Times New Roman" w:hAnsi="Times New Roman" w:cs="Times New Roman"/>
          <w:bCs/>
        </w:rPr>
      </w:pPr>
      <w:r>
        <w:rPr>
          <w:rFonts w:ascii="Times New Roman" w:hAnsi="Times New Roman" w:cs="Times New Roman"/>
          <w:bCs/>
        </w:rPr>
        <w:t>通风能力应与实验活动相适应并应符合GB 50019的规定。氢气排放管应符合GB 4962的规定。应定期对通风</w:t>
      </w:r>
      <w:r>
        <w:rPr>
          <w:rFonts w:hint="eastAsia" w:ascii="Times New Roman" w:hAnsi="Times New Roman" w:cs="Times New Roman"/>
          <w:bCs/>
        </w:rPr>
        <w:t>、</w:t>
      </w:r>
      <w:r>
        <w:rPr>
          <w:rFonts w:ascii="Times New Roman" w:hAnsi="Times New Roman" w:cs="Times New Roman"/>
          <w:bCs/>
        </w:rPr>
        <w:t>排放系统的功能有效性进行检查确认并保存相关记录。</w:t>
      </w:r>
    </w:p>
    <w:p>
      <w:pPr>
        <w:spacing w:line="300" w:lineRule="auto"/>
        <w:rPr>
          <w:rFonts w:ascii="黑体" w:hAnsi="黑体" w:eastAsia="黑体" w:cs="Times New Roman"/>
          <w:bCs/>
        </w:rPr>
      </w:pPr>
      <w:r>
        <w:rPr>
          <w:rFonts w:ascii="黑体" w:hAnsi="黑体" w:eastAsia="黑体" w:cs="Times New Roman"/>
          <w:bCs/>
        </w:rPr>
        <w:t>7.1.3 防雷防静电要求</w:t>
      </w:r>
    </w:p>
    <w:p>
      <w:pPr>
        <w:spacing w:line="300" w:lineRule="auto"/>
        <w:rPr>
          <w:rFonts w:ascii="Times New Roman" w:hAnsi="Times New Roman" w:cs="Times New Roman"/>
          <w:bCs/>
        </w:rPr>
      </w:pPr>
      <w:r>
        <w:rPr>
          <w:rFonts w:ascii="黑体" w:hAnsi="黑体" w:eastAsia="黑体" w:cs="Times New Roman"/>
          <w:bCs/>
        </w:rPr>
        <w:t>7.1.3.1</w:t>
      </w:r>
      <w:r>
        <w:rPr>
          <w:rFonts w:ascii="Times New Roman" w:hAnsi="Times New Roman" w:cs="Times New Roman"/>
          <w:bCs/>
        </w:rPr>
        <w:t xml:space="preserve"> 实验室防雷装置应符合GB 50057的规定，涉氢场所还应符合GB/T 32937和GB 50516的相关规定。</w:t>
      </w:r>
    </w:p>
    <w:p>
      <w:pPr>
        <w:spacing w:line="300" w:lineRule="auto"/>
        <w:rPr>
          <w:rFonts w:ascii="Times New Roman" w:hAnsi="Times New Roman" w:cs="Times New Roman"/>
          <w:bCs/>
        </w:rPr>
      </w:pPr>
      <w:r>
        <w:rPr>
          <w:rFonts w:ascii="黑体" w:hAnsi="黑体" w:eastAsia="黑体" w:cs="Times New Roman"/>
          <w:bCs/>
        </w:rPr>
        <w:t>7.1.3.2</w:t>
      </w:r>
      <w:r>
        <w:rPr>
          <w:rFonts w:ascii="Times New Roman" w:hAnsi="Times New Roman" w:cs="Times New Roman"/>
          <w:bCs/>
        </w:rPr>
        <w:t xml:space="preserve"> 涉氢设备设施接地装置的接地电阻不大于4Ω</w:t>
      </w:r>
      <w:r>
        <w:rPr>
          <w:rFonts w:hint="eastAsia" w:ascii="Times New Roman" w:hAnsi="Times New Roman" w:cs="Times New Roman"/>
          <w:bCs/>
        </w:rPr>
        <w:t>，</w:t>
      </w:r>
      <w:r>
        <w:rPr>
          <w:rFonts w:ascii="Times New Roman" w:hAnsi="Times New Roman" w:cs="Times New Roman"/>
          <w:bCs/>
        </w:rPr>
        <w:t>等电位连接过渡电阻不大于0.2Ω。防静电接地装置工频接地电阻不大于100Ω，供氢站和危险化学品仓库的避雷装置冲击接地电阻不大于10Ω，供氢站各接地系统单个连接部位之间的电阻值不应大于0.1Ω</w:t>
      </w:r>
      <w:r>
        <w:rPr>
          <w:rFonts w:hint="eastAsia" w:ascii="Times New Roman" w:hAnsi="Times New Roman" w:cs="Times New Roman"/>
          <w:bCs/>
        </w:rPr>
        <w:t>，</w:t>
      </w:r>
      <w:r>
        <w:rPr>
          <w:rFonts w:ascii="Times New Roman" w:hAnsi="Times New Roman" w:cs="Times New Roman"/>
          <w:bCs/>
        </w:rPr>
        <w:t>供氢管线接地装置冲击接地电阻应不大于30Ω。</w:t>
      </w:r>
    </w:p>
    <w:p>
      <w:pPr>
        <w:spacing w:line="300" w:lineRule="auto"/>
        <w:rPr>
          <w:rFonts w:ascii="Times New Roman" w:hAnsi="Times New Roman" w:cs="Times New Roman"/>
          <w:bCs/>
        </w:rPr>
      </w:pPr>
      <w:r>
        <w:rPr>
          <w:rFonts w:ascii="黑体" w:hAnsi="黑体" w:eastAsia="黑体" w:cs="Times New Roman"/>
          <w:bCs/>
        </w:rPr>
        <w:t xml:space="preserve">7.1.3.3 </w:t>
      </w:r>
      <w:r>
        <w:rPr>
          <w:rFonts w:ascii="Times New Roman" w:hAnsi="Times New Roman" w:cs="Times New Roman"/>
          <w:bCs/>
        </w:rPr>
        <w:t>涉氢场所的金属管道、穿线管的弯头、阀门、法兰盘、线管接头等连接处应用金属线跨接</w:t>
      </w:r>
      <w:r>
        <w:rPr>
          <w:rFonts w:hint="eastAsia" w:ascii="Times New Roman" w:hAnsi="Times New Roman" w:cs="Times New Roman"/>
          <w:bCs/>
        </w:rPr>
        <w:t>，</w:t>
      </w:r>
      <w:r>
        <w:rPr>
          <w:rFonts w:ascii="Times New Roman" w:hAnsi="Times New Roman" w:cs="Times New Roman"/>
          <w:bCs/>
        </w:rPr>
        <w:t>其他场所的上述连接处的过渡电阻大于 0.03Ω时，连接处应用金属线跨接。</w:t>
      </w:r>
    </w:p>
    <w:p>
      <w:pPr>
        <w:spacing w:line="300" w:lineRule="auto"/>
        <w:rPr>
          <w:rFonts w:ascii="Times New Roman" w:hAnsi="Times New Roman" w:cs="Times New Roman"/>
          <w:bCs/>
        </w:rPr>
      </w:pPr>
      <w:r>
        <w:rPr>
          <w:rFonts w:ascii="黑体" w:hAnsi="黑体" w:eastAsia="黑体" w:cs="Times New Roman"/>
          <w:bCs/>
        </w:rPr>
        <w:t>7.1.3.4</w:t>
      </w:r>
      <w:r>
        <w:rPr>
          <w:rFonts w:ascii="Times New Roman" w:hAnsi="Times New Roman" w:cs="Times New Roman"/>
          <w:bCs/>
        </w:rPr>
        <w:t xml:space="preserve"> 实验室地面均采用防静电不发火地面，涉氢场所入口均设置静电导除装置，进入人员应导除身体静电。</w:t>
      </w:r>
    </w:p>
    <w:p>
      <w:pPr>
        <w:spacing w:line="300" w:lineRule="auto"/>
        <w:rPr>
          <w:rStyle w:val="19"/>
          <w:rFonts w:ascii="Times New Roman" w:hAnsi="Times New Roman" w:cs="Times New Roman"/>
          <w:b w:val="0"/>
        </w:rPr>
      </w:pPr>
      <w:r>
        <w:rPr>
          <w:rFonts w:ascii="黑体" w:hAnsi="黑体" w:eastAsia="黑体" w:cs="Times New Roman"/>
          <w:bCs/>
        </w:rPr>
        <w:t>7.1.</w:t>
      </w:r>
      <w:r>
        <w:rPr>
          <w:rFonts w:hint="eastAsia" w:ascii="黑体" w:hAnsi="黑体" w:eastAsia="黑体" w:cs="Times New Roman"/>
          <w:bCs/>
        </w:rPr>
        <w:t>3</w:t>
      </w:r>
      <w:r>
        <w:rPr>
          <w:rFonts w:ascii="黑体" w:hAnsi="黑体" w:eastAsia="黑体" w:cs="Times New Roman"/>
          <w:bCs/>
        </w:rPr>
        <w:t>.5</w:t>
      </w:r>
      <w:r>
        <w:rPr>
          <w:rFonts w:ascii="Times New Roman" w:hAnsi="Times New Roman" w:cs="Times New Roman"/>
          <w:bCs/>
        </w:rPr>
        <w:t xml:space="preserve"> 每半年对建构筑物开展一次避雷防静电装置的专业检测，对检测中不符合规范的项目进行整改和复测，直至符合规范要求。</w:t>
      </w:r>
    </w:p>
    <w:p>
      <w:pPr>
        <w:spacing w:line="300" w:lineRule="auto"/>
        <w:rPr>
          <w:rFonts w:ascii="黑体" w:hAnsi="黑体" w:eastAsia="黑体" w:cs="Times New Roman"/>
        </w:rPr>
      </w:pPr>
      <w:r>
        <w:rPr>
          <w:rFonts w:ascii="黑体" w:hAnsi="黑体" w:eastAsia="黑体" w:cs="Times New Roman"/>
        </w:rPr>
        <w:t>7.2 设备安全管理</w:t>
      </w:r>
    </w:p>
    <w:p>
      <w:pPr>
        <w:spacing w:line="300" w:lineRule="auto"/>
        <w:rPr>
          <w:rFonts w:ascii="Times New Roman" w:hAnsi="Times New Roman" w:cs="Times New Roman"/>
          <w:bCs/>
        </w:rPr>
      </w:pPr>
      <w:r>
        <w:rPr>
          <w:rFonts w:ascii="Times New Roman" w:hAnsi="Times New Roman" w:cs="Times New Roman"/>
          <w:bCs/>
        </w:rPr>
        <w:t xml:space="preserve">     应编制设备安全操作规程，明确岗位安全职责、设备风险及防护要求、操作要领和应急处置措施等内容。</w:t>
      </w:r>
    </w:p>
    <w:p>
      <w:pPr>
        <w:spacing w:line="300" w:lineRule="auto"/>
        <w:rPr>
          <w:rFonts w:ascii="黑体" w:hAnsi="黑体" w:eastAsia="黑体" w:cs="Times New Roman"/>
          <w:bCs/>
        </w:rPr>
      </w:pPr>
      <w:r>
        <w:rPr>
          <w:rFonts w:ascii="黑体" w:hAnsi="黑体" w:eastAsia="黑体" w:cs="Times New Roman"/>
          <w:bCs/>
        </w:rPr>
        <w:t>7.2.1 特种设备管理</w:t>
      </w:r>
    </w:p>
    <w:p>
      <w:pPr>
        <w:spacing w:line="300" w:lineRule="auto"/>
        <w:ind w:firstLine="630" w:firstLineChars="300"/>
        <w:rPr>
          <w:rFonts w:ascii="Times New Roman" w:hAnsi="Times New Roman" w:cs="Times New Roman"/>
          <w:bCs/>
        </w:rPr>
      </w:pPr>
      <w:r>
        <w:rPr>
          <w:rFonts w:ascii="Times New Roman" w:hAnsi="Times New Roman" w:cs="Times New Roman"/>
          <w:bCs/>
        </w:rPr>
        <w:t>特种设备的安全管理应符合TSG 08的规定，氢气长管拖车、</w:t>
      </w:r>
      <w:r>
        <w:rPr>
          <w:rFonts w:hint="eastAsia" w:ascii="Times New Roman" w:hAnsi="Times New Roman" w:cs="Times New Roman"/>
          <w:bCs/>
        </w:rPr>
        <w:t>固定式氢气储罐</w:t>
      </w:r>
      <w:r>
        <w:rPr>
          <w:rFonts w:ascii="Times New Roman" w:hAnsi="Times New Roman" w:cs="Times New Roman"/>
          <w:bCs/>
        </w:rPr>
        <w:t>还应符合GB 4962的规定。租赁第三方的特种设备，应在租赁合同中明确第三方的安全生产职责和特种设备安全管理要求，定期对其合同履行情况进行安全监督检查。</w:t>
      </w:r>
    </w:p>
    <w:p>
      <w:pPr>
        <w:spacing w:line="300" w:lineRule="auto"/>
        <w:rPr>
          <w:rFonts w:ascii="黑体" w:hAnsi="黑体" w:eastAsia="黑体" w:cs="Times New Roman"/>
          <w:bCs/>
        </w:rPr>
      </w:pPr>
      <w:r>
        <w:rPr>
          <w:rFonts w:ascii="黑体" w:hAnsi="黑体" w:eastAsia="黑体" w:cs="Times New Roman"/>
          <w:bCs/>
        </w:rPr>
        <w:t>7.2.2 实验设备管理</w:t>
      </w:r>
    </w:p>
    <w:p>
      <w:pPr>
        <w:spacing w:line="300" w:lineRule="auto"/>
        <w:rPr>
          <w:rFonts w:ascii="Times New Roman" w:hAnsi="Times New Roman" w:cs="Times New Roman"/>
          <w:bCs/>
        </w:rPr>
      </w:pPr>
      <w:r>
        <w:rPr>
          <w:rFonts w:hint="eastAsia" w:ascii="黑体" w:hAnsi="黑体" w:eastAsia="黑体" w:cs="Times New Roman"/>
          <w:bCs/>
        </w:rPr>
        <w:t>7</w:t>
      </w:r>
      <w:r>
        <w:rPr>
          <w:rFonts w:ascii="黑体" w:hAnsi="黑体" w:eastAsia="黑体" w:cs="Times New Roman"/>
          <w:bCs/>
        </w:rPr>
        <w:t>.2.2.1</w:t>
      </w:r>
      <w:r>
        <w:rPr>
          <w:rFonts w:ascii="Times New Roman" w:hAnsi="Times New Roman" w:cs="Times New Roman"/>
          <w:bCs/>
        </w:rPr>
        <w:t xml:space="preserve"> 实验设备及配套电力、水、动力、气体管线的布局应充分考虑作业人员操作、</w:t>
      </w:r>
      <w:r>
        <w:rPr>
          <w:rFonts w:hint="eastAsia" w:ascii="Times New Roman" w:hAnsi="Times New Roman" w:cs="Times New Roman"/>
          <w:bCs/>
        </w:rPr>
        <w:t>实验样件</w:t>
      </w:r>
      <w:r>
        <w:rPr>
          <w:rFonts w:ascii="Times New Roman" w:hAnsi="Times New Roman" w:cs="Times New Roman"/>
          <w:bCs/>
        </w:rPr>
        <w:t>移动、检维修作业的安全性和便捷性</w:t>
      </w:r>
      <w:r>
        <w:rPr>
          <w:rFonts w:hint="eastAsia" w:ascii="Times New Roman" w:hAnsi="Times New Roman" w:cs="Times New Roman"/>
          <w:bCs/>
        </w:rPr>
        <w:t>。</w:t>
      </w:r>
      <w:r>
        <w:rPr>
          <w:rFonts w:ascii="Times New Roman" w:hAnsi="Times New Roman" w:cs="Times New Roman"/>
          <w:bCs/>
        </w:rPr>
        <w:t>实设备应固定</w:t>
      </w:r>
      <w:r>
        <w:rPr>
          <w:rFonts w:hint="eastAsia" w:ascii="Times New Roman" w:hAnsi="Times New Roman" w:cs="Times New Roman"/>
          <w:bCs/>
        </w:rPr>
        <w:t>并做好定位标识</w:t>
      </w:r>
      <w:r>
        <w:rPr>
          <w:rFonts w:ascii="Times New Roman" w:hAnsi="Times New Roman" w:cs="Times New Roman"/>
          <w:bCs/>
        </w:rPr>
        <w:t>。</w:t>
      </w:r>
    </w:p>
    <w:p>
      <w:pPr>
        <w:spacing w:line="300" w:lineRule="auto"/>
        <w:rPr>
          <w:rFonts w:ascii="Times New Roman" w:hAnsi="Times New Roman" w:cs="Times New Roman"/>
          <w:bCs/>
        </w:rPr>
      </w:pPr>
      <w:r>
        <w:rPr>
          <w:rFonts w:hint="eastAsia" w:ascii="黑体" w:hAnsi="黑体" w:eastAsia="黑体" w:cs="Times New Roman"/>
          <w:bCs/>
        </w:rPr>
        <w:t>7</w:t>
      </w:r>
      <w:r>
        <w:rPr>
          <w:rFonts w:ascii="黑体" w:hAnsi="黑体" w:eastAsia="黑体" w:cs="Times New Roman"/>
          <w:bCs/>
        </w:rPr>
        <w:t>.2.2.2</w:t>
      </w:r>
      <w:r>
        <w:rPr>
          <w:rFonts w:ascii="Times New Roman" w:hAnsi="Times New Roman" w:cs="Times New Roman"/>
          <w:bCs/>
        </w:rPr>
        <w:t xml:space="preserve"> </w:t>
      </w:r>
      <w:r>
        <w:rPr>
          <w:rFonts w:hint="eastAsia" w:ascii="Times New Roman" w:hAnsi="Times New Roman" w:cs="Times New Roman"/>
          <w:bCs/>
        </w:rPr>
        <w:t>按</w:t>
      </w:r>
      <w:r>
        <w:rPr>
          <w:rFonts w:ascii="Times New Roman" w:hAnsi="Times New Roman" w:cs="Times New Roman"/>
          <w:bCs/>
        </w:rPr>
        <w:t>实验设备规范和供应商的要求</w:t>
      </w:r>
      <w:r>
        <w:rPr>
          <w:rFonts w:hint="eastAsia" w:ascii="Times New Roman" w:hAnsi="Times New Roman" w:cs="Times New Roman"/>
          <w:bCs/>
        </w:rPr>
        <w:t>开展</w:t>
      </w:r>
      <w:r>
        <w:rPr>
          <w:rFonts w:ascii="Times New Roman" w:hAnsi="Times New Roman" w:cs="Times New Roman"/>
          <w:bCs/>
        </w:rPr>
        <w:t>设备所属仪表</w:t>
      </w:r>
      <w:r>
        <w:rPr>
          <w:rFonts w:hint="eastAsia" w:ascii="Times New Roman" w:hAnsi="Times New Roman" w:cs="Times New Roman"/>
          <w:bCs/>
        </w:rPr>
        <w:t>、</w:t>
      </w:r>
      <w:r>
        <w:rPr>
          <w:rFonts w:ascii="Times New Roman" w:hAnsi="Times New Roman" w:cs="Times New Roman"/>
          <w:bCs/>
        </w:rPr>
        <w:t>物理防护、紧急停止、连锁、声光报警以及气体检测装置等安全附件的维护保养和检查</w:t>
      </w:r>
      <w:r>
        <w:rPr>
          <w:rFonts w:hint="eastAsia" w:ascii="Times New Roman" w:hAnsi="Times New Roman" w:cs="Times New Roman"/>
          <w:bCs/>
        </w:rPr>
        <w:t>，</w:t>
      </w:r>
      <w:r>
        <w:rPr>
          <w:rFonts w:ascii="Times New Roman" w:hAnsi="Times New Roman" w:cs="Times New Roman"/>
          <w:bCs/>
        </w:rPr>
        <w:t>确保各项功能正常有效。检测过程中的任何异常应按要求紧急关闭设备，委托专业厂家进行维修。</w:t>
      </w:r>
    </w:p>
    <w:p>
      <w:pPr>
        <w:spacing w:line="300" w:lineRule="auto"/>
        <w:rPr>
          <w:rFonts w:ascii="黑体" w:hAnsi="黑体" w:eastAsia="黑体" w:cs="Times New Roman"/>
          <w:bCs/>
        </w:rPr>
      </w:pPr>
      <w:r>
        <w:rPr>
          <w:rFonts w:ascii="黑体" w:hAnsi="黑体" w:eastAsia="黑体" w:cs="Times New Roman"/>
          <w:bCs/>
        </w:rPr>
        <w:t>7.2.3 供氢储氢设备管理</w:t>
      </w:r>
    </w:p>
    <w:p>
      <w:pPr>
        <w:spacing w:line="300" w:lineRule="auto"/>
        <w:rPr>
          <w:rFonts w:ascii="Times New Roman" w:hAnsi="Times New Roman" w:cs="Times New Roman"/>
          <w:bCs/>
        </w:rPr>
      </w:pPr>
      <w:r>
        <w:rPr>
          <w:rFonts w:ascii="黑体" w:hAnsi="黑体" w:eastAsia="黑体" w:cs="Times New Roman"/>
          <w:bCs/>
        </w:rPr>
        <w:t>7.2.3.1</w:t>
      </w:r>
      <w:r>
        <w:rPr>
          <w:rFonts w:ascii="Times New Roman" w:hAnsi="Times New Roman" w:cs="Times New Roman"/>
          <w:bCs/>
        </w:rPr>
        <w:t xml:space="preserve"> 氢气长管拖车、</w:t>
      </w:r>
      <w:r>
        <w:rPr>
          <w:rFonts w:hint="eastAsia" w:ascii="Times New Roman" w:hAnsi="Times New Roman" w:cs="Times New Roman"/>
          <w:bCs/>
        </w:rPr>
        <w:t>固定式氢气储罐</w:t>
      </w:r>
      <w:r>
        <w:rPr>
          <w:rFonts w:ascii="Times New Roman" w:hAnsi="Times New Roman" w:cs="Times New Roman"/>
          <w:bCs/>
        </w:rPr>
        <w:t>及附属安全设备、供气管道、加氢机等设备，除满足GB 4962</w:t>
      </w:r>
      <w:r>
        <w:rPr>
          <w:rFonts w:hint="eastAsia" w:ascii="Times New Roman" w:hAnsi="Times New Roman" w:cs="Times New Roman"/>
          <w:bCs/>
        </w:rPr>
        <w:t>、</w:t>
      </w:r>
      <w:r>
        <w:rPr>
          <w:rFonts w:ascii="Times New Roman" w:hAnsi="Times New Roman" w:cs="Times New Roman"/>
          <w:bCs/>
        </w:rPr>
        <w:t>GB 50516的规定外，还需定期开展点检和维护保养并留存记录。检查和维护保养过程中发现任何问题或隐患，应第一时间消除，确保涉氢设备设施正常。</w:t>
      </w:r>
    </w:p>
    <w:p>
      <w:pPr>
        <w:spacing w:line="300" w:lineRule="auto"/>
        <w:rPr>
          <w:rFonts w:ascii="Times New Roman" w:hAnsi="Times New Roman" w:cs="Times New Roman"/>
          <w:bCs/>
        </w:rPr>
      </w:pPr>
      <w:r>
        <w:rPr>
          <w:rFonts w:ascii="黑体" w:hAnsi="黑体" w:eastAsia="黑体" w:cs="Times New Roman"/>
          <w:bCs/>
        </w:rPr>
        <w:t xml:space="preserve">7.2.3.2 </w:t>
      </w:r>
      <w:r>
        <w:rPr>
          <w:rFonts w:ascii="Times New Roman" w:hAnsi="Times New Roman" w:cs="Times New Roman"/>
          <w:bCs/>
        </w:rPr>
        <w:t>未列入特种设备的压力容器和管道附属的压力表，</w:t>
      </w:r>
      <w:r>
        <w:rPr>
          <w:rFonts w:hint="eastAsia" w:ascii="Times New Roman" w:hAnsi="Times New Roman" w:cs="Times New Roman"/>
          <w:bCs/>
        </w:rPr>
        <w:t>应</w:t>
      </w:r>
      <w:r>
        <w:rPr>
          <w:rFonts w:ascii="Times New Roman" w:hAnsi="Times New Roman" w:cs="Times New Roman"/>
          <w:bCs/>
        </w:rPr>
        <w:t>每半年委托第三方或内部进行校验并张贴校验合格标签。禁止超期未校验或使用校验不合格的仪表。</w:t>
      </w:r>
    </w:p>
    <w:p>
      <w:pPr>
        <w:spacing w:line="300" w:lineRule="auto"/>
        <w:rPr>
          <w:rFonts w:ascii="黑体" w:hAnsi="黑体" w:eastAsia="黑体" w:cs="Times New Roman"/>
          <w:bCs/>
        </w:rPr>
      </w:pPr>
      <w:r>
        <w:rPr>
          <w:rFonts w:ascii="黑体" w:hAnsi="黑体" w:eastAsia="黑体" w:cs="Times New Roman"/>
          <w:bCs/>
        </w:rPr>
        <w:t>7.2.4 动力设备管理</w:t>
      </w:r>
    </w:p>
    <w:p>
      <w:pPr>
        <w:spacing w:line="300" w:lineRule="auto"/>
        <w:rPr>
          <w:rFonts w:ascii="Times New Roman" w:hAnsi="Times New Roman" w:cs="Times New Roman"/>
          <w:bCs/>
        </w:rPr>
      </w:pPr>
      <w:r>
        <w:rPr>
          <w:rFonts w:ascii="黑体" w:hAnsi="黑体" w:eastAsia="黑体" w:cs="Times New Roman"/>
          <w:bCs/>
        </w:rPr>
        <w:t>7.2.4.1</w:t>
      </w:r>
      <w:r>
        <w:rPr>
          <w:rFonts w:ascii="Times New Roman" w:hAnsi="Times New Roman" w:cs="Times New Roman"/>
          <w:bCs/>
        </w:rPr>
        <w:t xml:space="preserve"> 热力、空调、电力、压缩空气制备、纯水制备、氮气制备或供应等动力设备的设计、安装和维护</w:t>
      </w:r>
      <w:r>
        <w:rPr>
          <w:rFonts w:hint="eastAsia" w:ascii="Times New Roman" w:hAnsi="Times New Roman" w:cs="Times New Roman"/>
          <w:bCs/>
        </w:rPr>
        <w:t>应</w:t>
      </w:r>
      <w:r>
        <w:rPr>
          <w:rFonts w:ascii="Times New Roman" w:hAnsi="Times New Roman" w:cs="Times New Roman"/>
          <w:bCs/>
        </w:rPr>
        <w:t>满足相应国家规范的要求。涉氢场所的电气装置设计、选型与安装、检查维护维修应符合</w:t>
      </w:r>
      <w:r>
        <w:rPr>
          <w:rFonts w:hint="eastAsia" w:ascii="Times New Roman" w:hAnsi="Times New Roman" w:cs="Times New Roman"/>
          <w:bCs/>
        </w:rPr>
        <w:t>国家相关规定。</w:t>
      </w:r>
    </w:p>
    <w:p>
      <w:pPr>
        <w:spacing w:line="300" w:lineRule="auto"/>
        <w:rPr>
          <w:rFonts w:ascii="Times New Roman" w:hAnsi="Times New Roman" w:cs="Times New Roman"/>
          <w:bCs/>
        </w:rPr>
      </w:pPr>
      <w:r>
        <w:rPr>
          <w:rFonts w:ascii="黑体" w:hAnsi="黑体" w:eastAsia="黑体" w:cs="Times New Roman"/>
          <w:bCs/>
        </w:rPr>
        <w:t>7.2.4.2</w:t>
      </w:r>
      <w:r>
        <w:rPr>
          <w:rFonts w:ascii="Times New Roman" w:hAnsi="Times New Roman" w:cs="Times New Roman"/>
          <w:bCs/>
        </w:rPr>
        <w:t xml:space="preserve"> 应根据动力设备管理规范和使用情况制定详细的维护保养计划，列明维护保养周期</w:t>
      </w:r>
      <w:r>
        <w:rPr>
          <w:rFonts w:hint="eastAsia" w:ascii="Times New Roman" w:hAnsi="Times New Roman" w:cs="Times New Roman"/>
          <w:bCs/>
        </w:rPr>
        <w:t>、</w:t>
      </w:r>
      <w:r>
        <w:rPr>
          <w:rFonts w:ascii="Times New Roman" w:hAnsi="Times New Roman" w:cs="Times New Roman"/>
          <w:bCs/>
        </w:rPr>
        <w:t>内容和标准，按时完成维护保养工作并填写相关记录。</w:t>
      </w:r>
    </w:p>
    <w:p>
      <w:pPr>
        <w:spacing w:line="300" w:lineRule="auto"/>
        <w:rPr>
          <w:rFonts w:ascii="Times New Roman" w:hAnsi="Times New Roman" w:cs="Times New Roman"/>
          <w:bCs/>
        </w:rPr>
      </w:pPr>
      <w:r>
        <w:rPr>
          <w:rFonts w:hint="eastAsia" w:ascii="黑体" w:hAnsi="黑体" w:eastAsia="黑体" w:cs="Times New Roman"/>
          <w:bCs/>
        </w:rPr>
        <w:t>7</w:t>
      </w:r>
      <w:r>
        <w:rPr>
          <w:rFonts w:ascii="黑体" w:hAnsi="黑体" w:eastAsia="黑体" w:cs="Times New Roman"/>
          <w:bCs/>
        </w:rPr>
        <w:t xml:space="preserve">.2.4.3 </w:t>
      </w:r>
      <w:r>
        <w:rPr>
          <w:rFonts w:hint="eastAsia" w:ascii="Times New Roman" w:hAnsi="Times New Roman" w:cs="Times New Roman"/>
          <w:bCs/>
        </w:rPr>
        <w:t>氢压机冷却水系统宜独立布置，并设置压力和温度超限报警及连锁。</w:t>
      </w:r>
    </w:p>
    <w:p>
      <w:pPr>
        <w:spacing w:line="300" w:lineRule="auto"/>
        <w:rPr>
          <w:rFonts w:ascii="黑体" w:hAnsi="黑体" w:eastAsia="黑体" w:cs="Times New Roman"/>
        </w:rPr>
      </w:pPr>
      <w:r>
        <w:rPr>
          <w:rFonts w:ascii="黑体" w:hAnsi="黑体" w:eastAsia="黑体" w:cs="Times New Roman"/>
        </w:rPr>
        <w:t>7.3 劳动保护和</w:t>
      </w:r>
      <w:r>
        <w:rPr>
          <w:rFonts w:hint="eastAsia" w:ascii="黑体" w:hAnsi="黑体" w:eastAsia="黑体" w:cs="Times New Roman"/>
        </w:rPr>
        <w:t>工器具</w:t>
      </w:r>
      <w:r>
        <w:rPr>
          <w:rFonts w:ascii="黑体" w:hAnsi="黑体" w:eastAsia="黑体" w:cs="Times New Roman"/>
        </w:rPr>
        <w:t>管理</w:t>
      </w:r>
    </w:p>
    <w:p>
      <w:pPr>
        <w:spacing w:line="300" w:lineRule="auto"/>
        <w:rPr>
          <w:rFonts w:ascii="Times New Roman" w:hAnsi="Times New Roman" w:cs="Times New Roman"/>
        </w:rPr>
      </w:pPr>
      <w:r>
        <w:rPr>
          <w:rFonts w:ascii="黑体" w:hAnsi="黑体" w:eastAsia="黑体" w:cs="Times New Roman"/>
        </w:rPr>
        <w:t>7.3.1</w:t>
      </w:r>
      <w:r>
        <w:rPr>
          <w:rFonts w:ascii="Times New Roman" w:hAnsi="Times New Roman" w:cs="Times New Roman"/>
        </w:rPr>
        <w:t xml:space="preserve"> 应使用</w:t>
      </w:r>
      <w:r>
        <w:rPr>
          <w:rFonts w:hint="eastAsia" w:ascii="Times New Roman" w:hAnsi="Times New Roman" w:cs="Times New Roman"/>
        </w:rPr>
        <w:t>防爆</w:t>
      </w:r>
      <w:r>
        <w:rPr>
          <w:rFonts w:ascii="Times New Roman" w:hAnsi="Times New Roman" w:cs="Times New Roman"/>
        </w:rPr>
        <w:t>工具对涉氢设备设施和管路进行安装</w:t>
      </w:r>
      <w:r>
        <w:rPr>
          <w:rFonts w:hint="eastAsia" w:ascii="Times New Roman" w:hAnsi="Times New Roman" w:cs="Times New Roman"/>
        </w:rPr>
        <w:t>、</w:t>
      </w:r>
      <w:r>
        <w:rPr>
          <w:rFonts w:ascii="Times New Roman" w:hAnsi="Times New Roman" w:cs="Times New Roman"/>
        </w:rPr>
        <w:t>维修维护和拆卸</w:t>
      </w:r>
      <w:r>
        <w:rPr>
          <w:rFonts w:hint="eastAsia" w:ascii="Times New Roman" w:hAnsi="Times New Roman" w:cs="Times New Roman"/>
        </w:rPr>
        <w:t>。</w:t>
      </w:r>
    </w:p>
    <w:p>
      <w:pPr>
        <w:spacing w:line="300" w:lineRule="auto"/>
        <w:rPr>
          <w:rFonts w:ascii="Times New Roman" w:hAnsi="Times New Roman" w:cs="Times New Roman"/>
        </w:rPr>
      </w:pPr>
      <w:r>
        <w:rPr>
          <w:rFonts w:hint="eastAsia" w:ascii="黑体" w:hAnsi="黑体" w:eastAsia="黑体" w:cs="Times New Roman"/>
        </w:rPr>
        <w:t>7</w:t>
      </w:r>
      <w:r>
        <w:rPr>
          <w:rFonts w:ascii="黑体" w:hAnsi="黑体" w:eastAsia="黑体" w:cs="Times New Roman"/>
        </w:rPr>
        <w:t>.3.2</w:t>
      </w:r>
      <w:r>
        <w:rPr>
          <w:rFonts w:ascii="Times New Roman" w:hAnsi="Times New Roman" w:cs="Times New Roman"/>
        </w:rPr>
        <w:t xml:space="preserve"> 实验室应按照GB/T 11651和GB 39800.1、GB 39800.2的规定为不同岗位的员工配备劳动防护用品并监督佩戴和使用</w:t>
      </w:r>
      <w:r>
        <w:rPr>
          <w:rFonts w:hint="eastAsia" w:ascii="Times New Roman" w:hAnsi="Times New Roman" w:cs="Times New Roman"/>
        </w:rPr>
        <w:t>，</w:t>
      </w:r>
      <w:r>
        <w:rPr>
          <w:rFonts w:ascii="Times New Roman" w:hAnsi="Times New Roman" w:cs="Times New Roman"/>
        </w:rPr>
        <w:t>具体</w:t>
      </w:r>
      <w:r>
        <w:rPr>
          <w:rFonts w:hint="eastAsia" w:ascii="Times New Roman" w:hAnsi="Times New Roman" w:cs="Times New Roman"/>
        </w:rPr>
        <w:t>要求详见附录A</w:t>
      </w:r>
      <w:r>
        <w:rPr>
          <w:rFonts w:ascii="Times New Roman" w:hAnsi="Times New Roman" w:cs="Times New Roman"/>
        </w:rPr>
        <w:t>。</w:t>
      </w:r>
    </w:p>
    <w:p>
      <w:pPr>
        <w:spacing w:line="300" w:lineRule="auto"/>
        <w:rPr>
          <w:rFonts w:ascii="Times New Roman" w:hAnsi="Times New Roman" w:cs="Times New Roman"/>
        </w:rPr>
      </w:pPr>
      <w:r>
        <w:rPr>
          <w:rFonts w:ascii="黑体" w:hAnsi="黑体" w:eastAsia="黑体" w:cs="Times New Roman"/>
        </w:rPr>
        <w:t>7.3.3</w:t>
      </w:r>
      <w:r>
        <w:rPr>
          <w:rFonts w:ascii="Times New Roman" w:hAnsi="Times New Roman" w:cs="Times New Roman"/>
        </w:rPr>
        <w:t xml:space="preserve"> 应对重复使用的劳动防护用品进行定期的功能性点检，确保劳动防护用品处于有效状态</w:t>
      </w:r>
      <w:r>
        <w:rPr>
          <w:rFonts w:hint="eastAsia" w:ascii="Times New Roman" w:hAnsi="Times New Roman" w:cs="Times New Roman"/>
        </w:rPr>
        <w:t>，</w:t>
      </w:r>
      <w:r>
        <w:rPr>
          <w:rFonts w:ascii="Times New Roman" w:hAnsi="Times New Roman" w:cs="Times New Roman"/>
        </w:rPr>
        <w:t>点检应留存记录。严禁使用不符合规范要求或存在缺陷的劳动防护用品。</w:t>
      </w:r>
    </w:p>
    <w:p>
      <w:pPr>
        <w:spacing w:line="300" w:lineRule="auto"/>
        <w:rPr>
          <w:rFonts w:ascii="Times New Roman" w:hAnsi="Times New Roman" w:cs="Times New Roman"/>
        </w:rPr>
      </w:pPr>
      <w:r>
        <w:rPr>
          <w:rFonts w:ascii="黑体" w:hAnsi="黑体" w:eastAsia="黑体" w:cs="Times New Roman"/>
          <w:bCs/>
        </w:rPr>
        <w:t>7.3.4</w:t>
      </w:r>
      <w:r>
        <w:rPr>
          <w:rFonts w:ascii="Times New Roman" w:hAnsi="Times New Roman" w:cs="Times New Roman"/>
        </w:rPr>
        <w:t>高压配电室需根据操作需要配备高压绝缘靴、高压绝缘手套、高压绝缘拉杆、高压验电器等防护用品和工器具，并按要求定期检测。</w:t>
      </w:r>
    </w:p>
    <w:p>
      <w:pPr>
        <w:spacing w:line="300" w:lineRule="auto"/>
        <w:rPr>
          <w:rFonts w:ascii="Times New Roman" w:hAnsi="Times New Roman" w:cs="Times New Roman"/>
        </w:rPr>
      </w:pPr>
      <w:r>
        <w:rPr>
          <w:rFonts w:ascii="黑体" w:hAnsi="黑体" w:eastAsia="黑体" w:cs="Times New Roman"/>
        </w:rPr>
        <w:t>7.3.5</w:t>
      </w:r>
      <w:r>
        <w:rPr>
          <w:rFonts w:ascii="Times New Roman" w:hAnsi="Times New Roman" w:cs="Times New Roman"/>
          <w:bCs/>
        </w:rPr>
        <w:t>涉及化学品集中使用的区域宜设置</w:t>
      </w:r>
      <w:r>
        <w:rPr>
          <w:rFonts w:ascii="Times New Roman" w:hAnsi="Times New Roman" w:cs="Times New Roman"/>
        </w:rPr>
        <w:t>安全冲洗装置，并定期点检和维护保养，确保装置处于正常状态。</w:t>
      </w:r>
    </w:p>
    <w:p>
      <w:pPr>
        <w:spacing w:line="300" w:lineRule="auto"/>
        <w:rPr>
          <w:rFonts w:ascii="黑体" w:hAnsi="黑体" w:eastAsia="黑体" w:cs="Times New Roman"/>
        </w:rPr>
      </w:pPr>
      <w:r>
        <w:rPr>
          <w:rFonts w:hint="eastAsia" w:ascii="黑体" w:hAnsi="黑体" w:eastAsia="黑体" w:cs="Times New Roman"/>
        </w:rPr>
        <w:t>7</w:t>
      </w:r>
      <w:r>
        <w:rPr>
          <w:rFonts w:ascii="黑体" w:hAnsi="黑体" w:eastAsia="黑体" w:cs="Times New Roman"/>
        </w:rPr>
        <w:t>.4 设备连锁要求</w:t>
      </w:r>
    </w:p>
    <w:p>
      <w:pPr>
        <w:spacing w:line="300" w:lineRule="auto"/>
        <w:rPr>
          <w:rFonts w:ascii="Times New Roman" w:hAnsi="Times New Roman" w:cs="Times New Roman"/>
        </w:rPr>
      </w:pPr>
      <w:r>
        <w:rPr>
          <w:rFonts w:hint="eastAsia" w:ascii="黑体" w:hAnsi="黑体" w:eastAsia="黑体" w:cs="Times New Roman"/>
        </w:rPr>
        <w:t>7</w:t>
      </w:r>
      <w:r>
        <w:rPr>
          <w:rFonts w:ascii="黑体" w:hAnsi="黑体" w:eastAsia="黑体" w:cs="Times New Roman"/>
        </w:rPr>
        <w:t>.4.1</w:t>
      </w:r>
      <w:r>
        <w:rPr>
          <w:rFonts w:ascii="Times New Roman" w:hAnsi="Times New Roman" w:cs="Times New Roman"/>
        </w:rPr>
        <w:t xml:space="preserve"> 火灾报警装置</w:t>
      </w:r>
      <w:r>
        <w:rPr>
          <w:rFonts w:hint="eastAsia" w:ascii="Times New Roman" w:hAnsi="Times New Roman" w:cs="Times New Roman"/>
        </w:rPr>
        <w:t>、涉氢场所</w:t>
      </w:r>
      <w:r>
        <w:rPr>
          <w:rFonts w:ascii="Times New Roman" w:hAnsi="Times New Roman" w:cs="Times New Roman"/>
        </w:rPr>
        <w:t>氢气检测装置应与氢气供气装置实现连锁控制</w:t>
      </w:r>
      <w:r>
        <w:rPr>
          <w:rFonts w:hint="eastAsia" w:ascii="Times New Roman" w:hAnsi="Times New Roman" w:cs="Times New Roman"/>
        </w:rPr>
        <w:t>，</w:t>
      </w:r>
      <w:r>
        <w:rPr>
          <w:rFonts w:ascii="Times New Roman" w:hAnsi="Times New Roman" w:cs="Times New Roman"/>
        </w:rPr>
        <w:t>当发生火灾或氢气浓度达到检测最低限值时</w:t>
      </w:r>
      <w:r>
        <w:rPr>
          <w:rFonts w:hint="eastAsia" w:ascii="Times New Roman" w:hAnsi="Times New Roman" w:cs="Times New Roman"/>
        </w:rPr>
        <w:t>，连锁装置应</w:t>
      </w:r>
      <w:r>
        <w:rPr>
          <w:rFonts w:ascii="Times New Roman" w:hAnsi="Times New Roman" w:cs="Times New Roman"/>
        </w:rPr>
        <w:t>立即动作</w:t>
      </w:r>
      <w:r>
        <w:rPr>
          <w:rFonts w:hint="eastAsia" w:ascii="Times New Roman" w:hAnsi="Times New Roman" w:cs="Times New Roman"/>
        </w:rPr>
        <w:t>，</w:t>
      </w:r>
      <w:r>
        <w:rPr>
          <w:rFonts w:ascii="Times New Roman" w:hAnsi="Times New Roman" w:cs="Times New Roman"/>
        </w:rPr>
        <w:t>切断氢气供应</w:t>
      </w:r>
      <w:r>
        <w:rPr>
          <w:rFonts w:hint="eastAsia" w:ascii="Times New Roman" w:hAnsi="Times New Roman" w:cs="Times New Roman"/>
        </w:rPr>
        <w:t>。</w:t>
      </w:r>
    </w:p>
    <w:p>
      <w:pPr>
        <w:spacing w:line="300" w:lineRule="auto"/>
        <w:rPr>
          <w:rFonts w:ascii="Times New Roman" w:hAnsi="Times New Roman" w:cs="Times New Roman"/>
        </w:rPr>
      </w:pPr>
      <w:r>
        <w:rPr>
          <w:rFonts w:hint="eastAsia" w:ascii="黑体" w:hAnsi="黑体" w:eastAsia="黑体" w:cs="Times New Roman"/>
        </w:rPr>
        <w:t>7</w:t>
      </w:r>
      <w:r>
        <w:rPr>
          <w:rFonts w:ascii="黑体" w:hAnsi="黑体" w:eastAsia="黑体" w:cs="Times New Roman"/>
        </w:rPr>
        <w:t>.4.2</w:t>
      </w:r>
      <w:r>
        <w:rPr>
          <w:rFonts w:ascii="Times New Roman" w:hAnsi="Times New Roman" w:cs="Times New Roman"/>
        </w:rPr>
        <w:t xml:space="preserve"> </w:t>
      </w:r>
      <w:r>
        <w:rPr>
          <w:rFonts w:hint="eastAsia" w:ascii="Times New Roman" w:hAnsi="Times New Roman" w:cs="Times New Roman"/>
        </w:rPr>
        <w:t>氢循环、加压、燃烧爆炸、发电等危险度较高的涉氢实验，实验室或实验装置门应与实验设备进行连锁。实验过程中，当门被打开时，应立即触发实验警报、停止实验设备、切断氢气供应。</w:t>
      </w:r>
      <w:bookmarkStart w:id="9" w:name="_Toc135402381"/>
    </w:p>
    <w:p>
      <w:pPr>
        <w:spacing w:line="300" w:lineRule="auto"/>
        <w:rPr>
          <w:rFonts w:ascii="Times New Roman" w:hAnsi="Times New Roman" w:cs="Times New Roman"/>
        </w:rPr>
      </w:pPr>
    </w:p>
    <w:p>
      <w:pPr>
        <w:spacing w:line="300" w:lineRule="auto"/>
        <w:rPr>
          <w:rFonts w:ascii="黑体" w:hAnsi="黑体" w:eastAsia="黑体" w:cs="Times New Roman"/>
        </w:rPr>
      </w:pPr>
      <w:r>
        <w:rPr>
          <w:rFonts w:hint="eastAsia" w:ascii="黑体" w:hAnsi="黑体" w:eastAsia="黑体" w:cs="Times New Roman"/>
        </w:rPr>
        <w:t>8</w:t>
      </w:r>
      <w:r>
        <w:rPr>
          <w:rFonts w:ascii="黑体" w:hAnsi="黑体" w:eastAsia="黑体" w:cs="Times New Roman"/>
        </w:rPr>
        <w:t xml:space="preserve">   </w:t>
      </w:r>
      <w:r>
        <w:rPr>
          <w:rFonts w:ascii="黑体" w:hAnsi="黑体" w:eastAsia="黑体"/>
        </w:rPr>
        <w:t>现场环境管理</w:t>
      </w:r>
      <w:bookmarkEnd w:id="9"/>
    </w:p>
    <w:p>
      <w:pPr>
        <w:rPr>
          <w:rFonts w:ascii="Times New Roman" w:hAnsi="Times New Roman" w:cs="Times New Roman"/>
          <w:bCs/>
        </w:rPr>
      </w:pPr>
    </w:p>
    <w:p>
      <w:pPr>
        <w:spacing w:line="300" w:lineRule="auto"/>
        <w:rPr>
          <w:rFonts w:ascii="黑体" w:hAnsi="黑体" w:eastAsia="黑体" w:cs="Times New Roman"/>
          <w:bCs/>
        </w:rPr>
      </w:pPr>
      <w:r>
        <w:rPr>
          <w:rFonts w:ascii="黑体" w:hAnsi="黑体" w:eastAsia="黑体" w:cs="Times New Roman"/>
          <w:bCs/>
        </w:rPr>
        <w:t>8.1  目视化管理</w:t>
      </w:r>
    </w:p>
    <w:p>
      <w:pPr>
        <w:spacing w:line="300" w:lineRule="auto"/>
        <w:rPr>
          <w:rFonts w:ascii="Times New Roman" w:hAnsi="Times New Roman" w:cs="Times New Roman"/>
        </w:rPr>
      </w:pPr>
      <w:r>
        <w:rPr>
          <w:rFonts w:ascii="黑体" w:hAnsi="黑体" w:eastAsia="黑体" w:cs="Times New Roman"/>
        </w:rPr>
        <w:t xml:space="preserve">8.1.1 </w:t>
      </w:r>
      <w:r>
        <w:rPr>
          <w:rFonts w:ascii="Times New Roman" w:hAnsi="Times New Roman" w:cs="Times New Roman"/>
        </w:rPr>
        <w:t>实验室应加强现场目视化管理并符合GB 7231、GB 2894、GB 15630的规定，其中氢气、氮气、压缩空气等供排放管道的控制阀门还应设置便于区分和识别的名称和编号。</w:t>
      </w:r>
    </w:p>
    <w:p>
      <w:pPr>
        <w:spacing w:line="300" w:lineRule="auto"/>
        <w:rPr>
          <w:rFonts w:ascii="Times New Roman" w:hAnsi="Times New Roman" w:cs="Times New Roman"/>
        </w:rPr>
      </w:pPr>
      <w:r>
        <w:rPr>
          <w:rFonts w:ascii="黑体" w:hAnsi="黑体" w:eastAsia="黑体" w:cs="Times New Roman"/>
        </w:rPr>
        <w:t>8.1.2</w:t>
      </w:r>
      <w:r>
        <w:rPr>
          <w:rFonts w:ascii="Times New Roman" w:hAnsi="Times New Roman" w:cs="Times New Roman"/>
        </w:rPr>
        <w:t xml:space="preserve"> 实验室应设置室外集合点标志</w:t>
      </w:r>
      <w:r>
        <w:rPr>
          <w:rFonts w:hint="eastAsia" w:ascii="Times New Roman" w:hAnsi="Times New Roman" w:cs="Times New Roman"/>
        </w:rPr>
        <w:t>，在</w:t>
      </w:r>
      <w:r>
        <w:rPr>
          <w:rFonts w:ascii="Times New Roman" w:hAnsi="Times New Roman" w:cs="Times New Roman"/>
        </w:rPr>
        <w:t>实验</w:t>
      </w:r>
      <w:r>
        <w:rPr>
          <w:rFonts w:hint="eastAsia" w:ascii="Times New Roman" w:hAnsi="Times New Roman" w:cs="Times New Roman"/>
        </w:rPr>
        <w:t>人员集中场所张贴或悬挂消防疏散路线图。</w:t>
      </w:r>
      <w:r>
        <w:rPr>
          <w:rFonts w:ascii="Times New Roman" w:hAnsi="Times New Roman" w:cs="Times New Roman"/>
        </w:rPr>
        <w:t>供氢站应设置风向标</w:t>
      </w:r>
      <w:r>
        <w:rPr>
          <w:rFonts w:hint="eastAsia" w:ascii="Times New Roman" w:hAnsi="Times New Roman" w:cs="Times New Roman"/>
        </w:rPr>
        <w:t>。</w:t>
      </w:r>
    </w:p>
    <w:p>
      <w:pPr>
        <w:spacing w:line="300" w:lineRule="auto"/>
        <w:rPr>
          <w:rFonts w:ascii="Times New Roman" w:hAnsi="Times New Roman" w:cs="Times New Roman"/>
        </w:rPr>
      </w:pPr>
      <w:r>
        <w:rPr>
          <w:rFonts w:ascii="黑体" w:hAnsi="黑体" w:eastAsia="黑体" w:cs="Times New Roman"/>
        </w:rPr>
        <w:t>8.1.3</w:t>
      </w:r>
      <w:r>
        <w:rPr>
          <w:rFonts w:ascii="Times New Roman" w:hAnsi="Times New Roman" w:cs="Times New Roman"/>
        </w:rPr>
        <w:t xml:space="preserve"> </w:t>
      </w:r>
      <w:r>
        <w:rPr>
          <w:rFonts w:hint="eastAsia" w:ascii="Times New Roman" w:hAnsi="Times New Roman" w:cs="Times New Roman"/>
        </w:rPr>
        <w:t>变配电装置及各级配电柜控制按钮、断路器、急停按钮等应有清晰明确的名称和醒目的颜色标识。配电柜内部的电气线路、零线连接排、接地连接排（含接地扁钢等）应有明显的相序标志和安全色。配电柜门及人体可能接触的带电设备应张贴安全警示标志，防爆电气设备应有明显的防爆标识。</w:t>
      </w:r>
    </w:p>
    <w:p>
      <w:pPr>
        <w:spacing w:line="300" w:lineRule="auto"/>
        <w:rPr>
          <w:rFonts w:ascii="Times New Roman" w:hAnsi="Times New Roman" w:cs="Times New Roman"/>
        </w:rPr>
      </w:pPr>
      <w:r>
        <w:rPr>
          <w:rFonts w:ascii="黑体" w:hAnsi="黑体" w:eastAsia="黑体" w:cs="Times New Roman"/>
        </w:rPr>
        <w:t>8.1.4</w:t>
      </w:r>
      <w:r>
        <w:rPr>
          <w:rFonts w:ascii="Times New Roman" w:hAnsi="Times New Roman" w:cs="Times New Roman"/>
        </w:rPr>
        <w:t xml:space="preserve"> 各实验场所入口应悬挂或张贴风险告知牌，明确风险类别、内容、管控和应急措施。</w:t>
      </w:r>
    </w:p>
    <w:p>
      <w:pPr>
        <w:spacing w:line="300" w:lineRule="auto"/>
        <w:rPr>
          <w:rFonts w:ascii="Times New Roman" w:hAnsi="Times New Roman" w:cs="Times New Roman"/>
        </w:rPr>
      </w:pPr>
      <w:r>
        <w:rPr>
          <w:rFonts w:ascii="黑体" w:hAnsi="黑体" w:eastAsia="黑体" w:cs="Times New Roman"/>
        </w:rPr>
        <w:t>8.1.5</w:t>
      </w:r>
      <w:r>
        <w:rPr>
          <w:rFonts w:ascii="Times New Roman" w:hAnsi="Times New Roman" w:cs="Times New Roman"/>
        </w:rPr>
        <w:t xml:space="preserve"> 实验区和非实验区，涉氢区和非涉氢区均应有明显的分隔标识。实验中的设备、封闭区域，应悬挂或张贴明显的标志/标识，禁止无关人员触摸或进入。</w:t>
      </w:r>
    </w:p>
    <w:p>
      <w:pPr>
        <w:spacing w:line="300" w:lineRule="auto"/>
        <w:rPr>
          <w:rFonts w:ascii="Times New Roman" w:hAnsi="Times New Roman" w:cs="Times New Roman"/>
        </w:rPr>
      </w:pPr>
      <w:r>
        <w:rPr>
          <w:rFonts w:ascii="黑体" w:hAnsi="黑体" w:eastAsia="黑体" w:cs="Times New Roman"/>
        </w:rPr>
        <w:t>8.1.6</w:t>
      </w:r>
      <w:r>
        <w:rPr>
          <w:rFonts w:ascii="Times New Roman" w:hAnsi="Times New Roman" w:cs="Times New Roman"/>
        </w:rPr>
        <w:t xml:space="preserve"> 应定期对管道识别色（名称</w:t>
      </w:r>
      <w:r>
        <w:rPr>
          <w:rFonts w:hint="eastAsia" w:ascii="Times New Roman" w:hAnsi="Times New Roman" w:cs="Times New Roman"/>
        </w:rPr>
        <w:t>、</w:t>
      </w:r>
      <w:r>
        <w:rPr>
          <w:rFonts w:ascii="Times New Roman" w:hAnsi="Times New Roman" w:cs="Times New Roman"/>
        </w:rPr>
        <w:t>符号），安全、告知或分隔标识，安全和消防标志进行点检和维护，确保有效。</w:t>
      </w:r>
    </w:p>
    <w:p>
      <w:pPr>
        <w:spacing w:line="300" w:lineRule="auto"/>
        <w:rPr>
          <w:rFonts w:ascii="黑体" w:hAnsi="黑体" w:eastAsia="黑体" w:cs="Times New Roman"/>
        </w:rPr>
      </w:pPr>
      <w:r>
        <w:rPr>
          <w:rFonts w:ascii="黑体" w:hAnsi="黑体" w:eastAsia="黑体" w:cs="Times New Roman"/>
        </w:rPr>
        <w:t>8.2 温湿度管理</w:t>
      </w:r>
    </w:p>
    <w:p>
      <w:pPr>
        <w:spacing w:line="300" w:lineRule="auto"/>
        <w:ind w:firstLine="420" w:firstLineChars="200"/>
        <w:rPr>
          <w:rFonts w:ascii="Times New Roman" w:hAnsi="Times New Roman" w:cs="Times New Roman"/>
        </w:rPr>
      </w:pPr>
      <w:r>
        <w:rPr>
          <w:rFonts w:ascii="Times New Roman" w:hAnsi="Times New Roman" w:cs="Times New Roman"/>
        </w:rPr>
        <w:t>严格控制实验室内环境温度、湿度，温度宜在10℃-30℃，相对湿度宜大于30%且不得大于80%。</w:t>
      </w:r>
    </w:p>
    <w:p>
      <w:pPr>
        <w:spacing w:line="300" w:lineRule="auto"/>
        <w:rPr>
          <w:rFonts w:ascii="黑体" w:hAnsi="黑体" w:eastAsia="黑体" w:cs="Times New Roman"/>
        </w:rPr>
      </w:pPr>
      <w:r>
        <w:rPr>
          <w:rFonts w:ascii="黑体" w:hAnsi="黑体" w:eastAsia="黑体" w:cs="Times New Roman"/>
        </w:rPr>
        <w:t>8.3 照度管理</w:t>
      </w:r>
    </w:p>
    <w:p>
      <w:pPr>
        <w:spacing w:line="300" w:lineRule="auto"/>
        <w:rPr>
          <w:rFonts w:ascii="Times New Roman" w:hAnsi="Times New Roman" w:cs="Times New Roman"/>
        </w:rPr>
      </w:pPr>
      <w:r>
        <w:rPr>
          <w:rFonts w:ascii="黑体" w:hAnsi="黑体" w:eastAsia="黑体" w:cs="Times New Roman"/>
        </w:rPr>
        <w:t>8.3.1</w:t>
      </w:r>
      <w:r>
        <w:rPr>
          <w:rFonts w:ascii="Times New Roman" w:hAnsi="Times New Roman" w:cs="Times New Roman"/>
        </w:rPr>
        <w:t xml:space="preserve"> 实验室各区域的照度应不低于300LX。同时应根据实验需要，在实验设备上增设局部照明。</w:t>
      </w:r>
    </w:p>
    <w:p>
      <w:pPr>
        <w:spacing w:line="300" w:lineRule="auto"/>
        <w:rPr>
          <w:rFonts w:ascii="Times New Roman" w:hAnsi="Times New Roman" w:cs="Times New Roman"/>
        </w:rPr>
      </w:pPr>
      <w:r>
        <w:rPr>
          <w:rFonts w:ascii="黑体" w:hAnsi="黑体" w:eastAsia="黑体" w:cs="Times New Roman"/>
        </w:rPr>
        <w:t>8.3.2</w:t>
      </w:r>
      <w:r>
        <w:rPr>
          <w:rFonts w:ascii="Times New Roman" w:hAnsi="Times New Roman" w:cs="Times New Roman"/>
        </w:rPr>
        <w:t xml:space="preserve"> 日常应对照明灯具进行点检，及时更换失去功能的照明灯具。</w:t>
      </w:r>
    </w:p>
    <w:p>
      <w:pPr>
        <w:spacing w:line="300" w:lineRule="auto"/>
        <w:rPr>
          <w:rFonts w:ascii="黑体" w:hAnsi="黑体" w:eastAsia="黑体" w:cs="Times New Roman"/>
        </w:rPr>
      </w:pPr>
      <w:r>
        <w:rPr>
          <w:rFonts w:ascii="黑体" w:hAnsi="黑体" w:eastAsia="黑体" w:cs="Times New Roman"/>
        </w:rPr>
        <w:t>8.4 环境卫生管理</w:t>
      </w:r>
    </w:p>
    <w:p>
      <w:pPr>
        <w:spacing w:line="300" w:lineRule="auto"/>
        <w:rPr>
          <w:rFonts w:ascii="Times New Roman" w:hAnsi="Times New Roman" w:cs="Times New Roman"/>
        </w:rPr>
      </w:pPr>
      <w:r>
        <w:rPr>
          <w:rFonts w:ascii="黑体" w:hAnsi="黑体" w:eastAsia="黑体" w:cs="Times New Roman"/>
        </w:rPr>
        <w:t>8.4.1</w:t>
      </w:r>
      <w:r>
        <w:rPr>
          <w:rFonts w:ascii="Times New Roman" w:hAnsi="Times New Roman" w:cs="Times New Roman"/>
        </w:rPr>
        <w:t xml:space="preserve"> 加强区域环境管理，定期开展环境清洁工作。当清扫</w:t>
      </w:r>
      <w:r>
        <w:rPr>
          <w:rFonts w:hint="eastAsia" w:ascii="Times New Roman" w:hAnsi="Times New Roman" w:cs="Times New Roman"/>
        </w:rPr>
        <w:t>、</w:t>
      </w:r>
      <w:r>
        <w:rPr>
          <w:rFonts w:ascii="Times New Roman" w:hAnsi="Times New Roman" w:cs="Times New Roman"/>
        </w:rPr>
        <w:t>清洁地面时，应有预防静电产生的措施。</w:t>
      </w:r>
    </w:p>
    <w:p>
      <w:pPr>
        <w:spacing w:line="300" w:lineRule="auto"/>
        <w:rPr>
          <w:rFonts w:ascii="Times New Roman" w:hAnsi="Times New Roman" w:cs="Times New Roman"/>
        </w:rPr>
      </w:pPr>
      <w:r>
        <w:rPr>
          <w:rFonts w:ascii="黑体" w:hAnsi="黑体" w:eastAsia="黑体" w:cs="Times New Roman"/>
        </w:rPr>
        <w:t>8.4.2</w:t>
      </w:r>
      <w:r>
        <w:rPr>
          <w:rFonts w:ascii="Times New Roman" w:hAnsi="Times New Roman" w:cs="Times New Roman"/>
        </w:rPr>
        <w:t xml:space="preserve"> 实验室宜推行5S管理，做好设备、工具、实验样件的定置定位管理，明确设备“运行-停机-故障”状态。对报废的实验样件，使用完毕的试剂容器或其他杂物分区存放、明确标识、及时外运处理。</w:t>
      </w:r>
    </w:p>
    <w:p>
      <w:pPr>
        <w:spacing w:line="300" w:lineRule="auto"/>
        <w:rPr>
          <w:rFonts w:ascii="黑体" w:hAnsi="黑体" w:eastAsia="黑体" w:cs="Times New Roman"/>
        </w:rPr>
      </w:pPr>
      <w:r>
        <w:rPr>
          <w:rFonts w:ascii="黑体" w:hAnsi="黑体" w:eastAsia="黑体" w:cs="Times New Roman"/>
        </w:rPr>
        <w:t>8.5 其他要求</w:t>
      </w:r>
    </w:p>
    <w:p>
      <w:pPr>
        <w:spacing w:line="300" w:lineRule="auto"/>
        <w:rPr>
          <w:rFonts w:ascii="Times New Roman" w:hAnsi="Times New Roman" w:cs="Times New Roman"/>
        </w:rPr>
      </w:pPr>
      <w:r>
        <w:rPr>
          <w:rFonts w:ascii="黑体" w:hAnsi="黑体" w:eastAsia="黑体" w:cs="Times New Roman"/>
        </w:rPr>
        <w:t>8.5.1</w:t>
      </w:r>
      <w:r>
        <w:rPr>
          <w:rFonts w:ascii="Times New Roman" w:hAnsi="Times New Roman" w:cs="Times New Roman"/>
        </w:rPr>
        <w:t xml:space="preserve"> 禁止在实验室及附属区域内私拉乱接电源、气源管线，禁止管线横穿地板或横于通道敷设。</w:t>
      </w:r>
      <w:bookmarkStart w:id="10" w:name="10_环境管理"/>
      <w:bookmarkEnd w:id="10"/>
    </w:p>
    <w:p>
      <w:pPr>
        <w:spacing w:line="300" w:lineRule="auto"/>
        <w:rPr>
          <w:rFonts w:ascii="Times New Roman" w:hAnsi="Times New Roman" w:cs="Times New Roman"/>
        </w:rPr>
      </w:pPr>
      <w:r>
        <w:rPr>
          <w:rFonts w:ascii="黑体" w:hAnsi="黑体" w:eastAsia="黑体" w:cs="Times New Roman"/>
        </w:rPr>
        <w:t xml:space="preserve">8.5.2 </w:t>
      </w:r>
      <w:r>
        <w:rPr>
          <w:rFonts w:ascii="Times New Roman" w:hAnsi="Times New Roman" w:cs="Times New Roman"/>
        </w:rPr>
        <w:t>实验室房间门应向安全出口方向开启，通道门前后1.5米范围内不应有任何障碍物，配电柜、消火栓前应留出柜（箱）门开启的间距。</w:t>
      </w:r>
      <w:bookmarkStart w:id="11" w:name="_Toc135402382"/>
    </w:p>
    <w:p>
      <w:pPr>
        <w:spacing w:line="300" w:lineRule="auto"/>
        <w:rPr>
          <w:rFonts w:ascii="黑体" w:hAnsi="黑体" w:eastAsia="黑体" w:cs="Times New Roman"/>
        </w:rPr>
      </w:pPr>
    </w:p>
    <w:p>
      <w:pPr>
        <w:spacing w:line="300" w:lineRule="auto"/>
        <w:rPr>
          <w:rFonts w:ascii="黑体" w:hAnsi="黑体" w:eastAsia="黑体" w:cs="Times New Roman"/>
        </w:rPr>
      </w:pPr>
      <w:r>
        <w:rPr>
          <w:rFonts w:hint="eastAsia" w:ascii="黑体" w:hAnsi="黑体" w:eastAsia="黑体" w:cs="Times New Roman"/>
        </w:rPr>
        <w:t>9</w:t>
      </w:r>
      <w:r>
        <w:rPr>
          <w:rFonts w:ascii="黑体" w:hAnsi="黑体" w:eastAsia="黑体" w:cs="Times New Roman"/>
        </w:rPr>
        <w:t xml:space="preserve">   </w:t>
      </w:r>
      <w:r>
        <w:rPr>
          <w:rFonts w:ascii="黑体" w:hAnsi="黑体" w:eastAsia="黑体"/>
        </w:rPr>
        <w:t>职业健康管理</w:t>
      </w:r>
      <w:bookmarkEnd w:id="11"/>
    </w:p>
    <w:p>
      <w:pPr>
        <w:rPr>
          <w:rFonts w:ascii="Times New Roman" w:hAnsi="Times New Roman" w:cs="Times New Roman"/>
        </w:rPr>
      </w:pPr>
    </w:p>
    <w:p>
      <w:pPr>
        <w:spacing w:line="300" w:lineRule="auto"/>
        <w:rPr>
          <w:rFonts w:ascii="Times New Roman" w:hAnsi="Times New Roman" w:cs="Times New Roman"/>
        </w:rPr>
      </w:pPr>
      <w:r>
        <w:rPr>
          <w:rFonts w:ascii="黑体" w:hAnsi="黑体" w:eastAsia="黑体" w:cs="Times New Roman"/>
        </w:rPr>
        <w:t>9.1</w:t>
      </w:r>
      <w:r>
        <w:rPr>
          <w:rFonts w:ascii="Times New Roman" w:hAnsi="Times New Roman" w:cs="Times New Roman"/>
        </w:rPr>
        <w:t xml:space="preserve"> 应根据</w:t>
      </w:r>
      <w:r>
        <w:rPr>
          <w:rFonts w:hint="eastAsia" w:ascii="Times New Roman" w:hAnsi="Times New Roman" w:cs="Times New Roman"/>
        </w:rPr>
        <w:t>职业病</w:t>
      </w:r>
      <w:r>
        <w:rPr>
          <w:rFonts w:ascii="Times New Roman" w:hAnsi="Times New Roman" w:cs="Times New Roman"/>
        </w:rPr>
        <w:t>防治的法律法规开展</w:t>
      </w:r>
      <w:r>
        <w:rPr>
          <w:rFonts w:ascii="Arial" w:hAnsi="Arial" w:cs="Arial"/>
          <w:color w:val="333333"/>
          <w:szCs w:val="21"/>
          <w:shd w:val="clear" w:color="auto" w:fill="FFFFFF"/>
        </w:rPr>
        <w:t>实验室</w:t>
      </w:r>
      <w:r>
        <w:rPr>
          <w:rFonts w:ascii="Times New Roman" w:hAnsi="Times New Roman" w:cs="Times New Roman"/>
        </w:rPr>
        <w:t>职业健康管理工作，成立职业健康管理的组织</w:t>
      </w:r>
      <w:r>
        <w:rPr>
          <w:rFonts w:hint="eastAsia" w:ascii="Times New Roman" w:hAnsi="Times New Roman" w:cs="Times New Roman"/>
        </w:rPr>
        <w:t>，</w:t>
      </w:r>
      <w:r>
        <w:rPr>
          <w:rFonts w:ascii="Times New Roman" w:hAnsi="Times New Roman" w:cs="Times New Roman"/>
        </w:rPr>
        <w:t>编制职业健康管理制度</w:t>
      </w:r>
      <w:r>
        <w:rPr>
          <w:rFonts w:hint="eastAsia" w:ascii="Times New Roman" w:hAnsi="Times New Roman" w:cs="Times New Roman"/>
        </w:rPr>
        <w:t>，组织专项培训，</w:t>
      </w:r>
      <w:r>
        <w:rPr>
          <w:rFonts w:ascii="Times New Roman" w:hAnsi="Times New Roman" w:cs="Times New Roman"/>
        </w:rPr>
        <w:t>定期开展职业病危害因素检测，建立职业病危害因素接触人员职业健康监护档案并开展岗前、岗中、离岗人员的职业健康体检。</w:t>
      </w:r>
    </w:p>
    <w:p>
      <w:pPr>
        <w:spacing w:line="300" w:lineRule="auto"/>
        <w:rPr>
          <w:rFonts w:ascii="Times New Roman" w:hAnsi="Times New Roman" w:cs="Times New Roman"/>
        </w:rPr>
      </w:pPr>
      <w:r>
        <w:rPr>
          <w:rFonts w:ascii="黑体" w:hAnsi="黑体" w:eastAsia="黑体" w:cs="Times New Roman"/>
        </w:rPr>
        <w:t>9.2</w:t>
      </w:r>
      <w:r>
        <w:rPr>
          <w:rFonts w:ascii="Times New Roman" w:hAnsi="Times New Roman" w:cs="Times New Roman"/>
        </w:rPr>
        <w:t xml:space="preserve"> 实验室涉及的职业病有害因素应</w:t>
      </w:r>
      <w:r>
        <w:rPr>
          <w:rFonts w:hint="eastAsia" w:ascii="Times New Roman" w:hAnsi="Times New Roman" w:cs="Times New Roman"/>
        </w:rPr>
        <w:t>符合</w:t>
      </w:r>
      <w:r>
        <w:rPr>
          <w:rFonts w:ascii="Times New Roman" w:hAnsi="Times New Roman" w:cs="Times New Roman"/>
        </w:rPr>
        <w:t>国家规定的限值。</w:t>
      </w:r>
      <w:bookmarkStart w:id="12" w:name="_Toc135402383"/>
    </w:p>
    <w:p>
      <w:pPr>
        <w:rPr>
          <w:rFonts w:ascii="黑体" w:hAnsi="黑体" w:eastAsia="黑体"/>
        </w:rPr>
      </w:pPr>
    </w:p>
    <w:p>
      <w:pPr>
        <w:rPr>
          <w:rFonts w:ascii="黑体" w:hAnsi="黑体" w:eastAsia="黑体" w:cs="Times New Roman"/>
        </w:rPr>
      </w:pPr>
      <w:r>
        <w:rPr>
          <w:rFonts w:hint="eastAsia" w:ascii="黑体" w:hAnsi="黑体" w:eastAsia="黑体"/>
        </w:rPr>
        <w:t>1</w:t>
      </w:r>
      <w:r>
        <w:rPr>
          <w:rFonts w:ascii="黑体" w:hAnsi="黑体" w:eastAsia="黑体"/>
        </w:rPr>
        <w:t>0  实验过程安全</w:t>
      </w:r>
      <w:bookmarkEnd w:id="12"/>
    </w:p>
    <w:p>
      <w:pPr>
        <w:rPr>
          <w:rFonts w:ascii="Times New Roman" w:hAnsi="Times New Roman" w:cs="Times New Roman"/>
        </w:rPr>
      </w:pPr>
    </w:p>
    <w:p>
      <w:pPr>
        <w:spacing w:line="300" w:lineRule="auto"/>
        <w:rPr>
          <w:rFonts w:ascii="Times New Roman" w:hAnsi="Times New Roman" w:cs="Times New Roman"/>
        </w:rPr>
      </w:pPr>
      <w:r>
        <w:rPr>
          <w:rFonts w:ascii="黑体" w:hAnsi="黑体" w:eastAsia="黑体" w:cs="Times New Roman"/>
        </w:rPr>
        <w:t>10.1</w:t>
      </w:r>
      <w:r>
        <w:rPr>
          <w:rFonts w:ascii="Times New Roman" w:hAnsi="Times New Roman" w:cs="Times New Roman"/>
        </w:rPr>
        <w:t xml:space="preserve"> 除编制实验设备操作规程外，还应针对主要实验过程编制安全操作规程，明确作业风险及防护要求、操作要领和应急处置措施等内容。</w:t>
      </w:r>
    </w:p>
    <w:p>
      <w:pPr>
        <w:spacing w:line="300" w:lineRule="auto"/>
        <w:rPr>
          <w:rFonts w:ascii="黑体" w:hAnsi="黑体" w:eastAsia="黑体" w:cs="Times New Roman"/>
        </w:rPr>
      </w:pPr>
      <w:r>
        <w:rPr>
          <w:rFonts w:ascii="黑体" w:hAnsi="黑体" w:eastAsia="黑体" w:cs="Times New Roman"/>
        </w:rPr>
        <w:t>10.2 实验过程安全</w:t>
      </w:r>
    </w:p>
    <w:p>
      <w:pPr>
        <w:spacing w:line="300" w:lineRule="auto"/>
        <w:rPr>
          <w:rFonts w:ascii="Times New Roman" w:hAnsi="Times New Roman" w:cs="Times New Roman"/>
        </w:rPr>
      </w:pPr>
      <w:r>
        <w:rPr>
          <w:rFonts w:ascii="黑体" w:hAnsi="黑体" w:eastAsia="黑体" w:cs="Times New Roman"/>
        </w:rPr>
        <w:t>10.2.1</w:t>
      </w:r>
      <w:r>
        <w:rPr>
          <w:rFonts w:ascii="Times New Roman" w:hAnsi="Times New Roman" w:cs="Times New Roman"/>
        </w:rPr>
        <w:t xml:space="preserve"> 实验工作至少2人协同开展，并</w:t>
      </w:r>
      <w:r>
        <w:rPr>
          <w:rFonts w:hint="eastAsia" w:ascii="Times New Roman" w:hAnsi="Times New Roman" w:cs="Times New Roman"/>
        </w:rPr>
        <w:t>宜采用</w:t>
      </w:r>
      <w:r>
        <w:rPr>
          <w:rFonts w:ascii="Times New Roman" w:hAnsi="Times New Roman" w:cs="Times New Roman"/>
        </w:rPr>
        <w:t>实验室信息</w:t>
      </w:r>
      <w:r>
        <w:rPr>
          <w:rFonts w:hint="eastAsia" w:ascii="Times New Roman" w:hAnsi="Times New Roman" w:cs="Times New Roman"/>
        </w:rPr>
        <w:t>管理</w:t>
      </w:r>
      <w:r>
        <w:rPr>
          <w:rFonts w:ascii="Times New Roman" w:hAnsi="Times New Roman" w:cs="Times New Roman"/>
        </w:rPr>
        <w:t>系统（以下简称信息系统）辅助。</w:t>
      </w:r>
    </w:p>
    <w:p>
      <w:pPr>
        <w:spacing w:line="300" w:lineRule="auto"/>
        <w:rPr>
          <w:rFonts w:ascii="Times New Roman" w:hAnsi="Times New Roman" w:cs="Times New Roman"/>
        </w:rPr>
      </w:pPr>
      <w:r>
        <w:rPr>
          <w:rFonts w:ascii="黑体" w:hAnsi="黑体" w:eastAsia="黑体" w:cs="Times New Roman"/>
        </w:rPr>
        <w:t>10.2.2</w:t>
      </w:r>
      <w:r>
        <w:rPr>
          <w:rFonts w:ascii="Times New Roman" w:hAnsi="Times New Roman" w:cs="Times New Roman"/>
        </w:rPr>
        <w:t xml:space="preserve"> 涉氢实验项目开展前，必须使用便携式氢气探测仪对实验样件、供排气管道、阀门和仪表连接处进行氢气泄漏量检测，当表面1cm处泄漏值＞10ppm时停止开展实验，立即查找泄</w:t>
      </w:r>
      <w:r>
        <w:rPr>
          <w:rFonts w:hint="eastAsia" w:ascii="Times New Roman" w:hAnsi="Times New Roman" w:cs="Times New Roman"/>
        </w:rPr>
        <w:t>漏</w:t>
      </w:r>
      <w:r>
        <w:rPr>
          <w:rFonts w:ascii="Times New Roman" w:hAnsi="Times New Roman" w:cs="Times New Roman"/>
        </w:rPr>
        <w:t>源并处理，二次测漏合格后方可继续实验准备工作</w:t>
      </w:r>
      <w:r>
        <w:rPr>
          <w:rFonts w:hint="eastAsia" w:ascii="Times New Roman" w:hAnsi="Times New Roman" w:cs="Times New Roman"/>
        </w:rPr>
        <w:t>；</w:t>
      </w:r>
      <w:r>
        <w:rPr>
          <w:rFonts w:ascii="Times New Roman" w:hAnsi="Times New Roman" w:cs="Times New Roman"/>
        </w:rPr>
        <w:t>实验过程中允许人员进入实验区域的涉氢实验项目，应每2小时对环境中的氢气含量进行检测并记录。</w:t>
      </w:r>
    </w:p>
    <w:p>
      <w:pPr>
        <w:spacing w:line="300" w:lineRule="auto"/>
        <w:rPr>
          <w:rFonts w:ascii="Times New Roman" w:hAnsi="Times New Roman" w:cs="Times New Roman"/>
        </w:rPr>
      </w:pPr>
      <w:r>
        <w:rPr>
          <w:rFonts w:ascii="黑体" w:hAnsi="黑体" w:eastAsia="黑体" w:cs="Times New Roman"/>
        </w:rPr>
        <w:t>10.2.3</w:t>
      </w:r>
      <w:r>
        <w:rPr>
          <w:rFonts w:ascii="Times New Roman" w:hAnsi="Times New Roman" w:cs="Times New Roman"/>
        </w:rPr>
        <w:t xml:space="preserve"> 涉氢</w:t>
      </w:r>
      <w:r>
        <w:rPr>
          <w:rFonts w:hint="eastAsia" w:ascii="Times New Roman" w:hAnsi="Times New Roman" w:cs="Times New Roman"/>
        </w:rPr>
        <w:t>实验必须</w:t>
      </w:r>
      <w:r>
        <w:rPr>
          <w:rFonts w:ascii="Times New Roman" w:hAnsi="Times New Roman" w:cs="Times New Roman"/>
        </w:rPr>
        <w:t>落实实验前“双确认”的安全</w:t>
      </w:r>
      <w:r>
        <w:rPr>
          <w:rFonts w:hint="eastAsia" w:ascii="Times New Roman" w:hAnsi="Times New Roman" w:cs="Times New Roman"/>
        </w:rPr>
        <w:t>措施。在</w:t>
      </w:r>
      <w:r>
        <w:rPr>
          <w:rFonts w:ascii="Times New Roman" w:hAnsi="Times New Roman" w:cs="Times New Roman"/>
        </w:rPr>
        <w:t>实验所需水、电、气源管路和信号采集线路连接完毕后，由一名工作人员逐项确认检查，检查结果全部正常后上传信息系统。复核人员接到信息系统指令后，开展二次确认检查，检查结果全部正常并经信息系统判定合格后，</w:t>
      </w:r>
      <w:r>
        <w:rPr>
          <w:rFonts w:hint="eastAsia" w:ascii="Times New Roman" w:hAnsi="Times New Roman" w:cs="Times New Roman"/>
        </w:rPr>
        <w:t>实验活动方可</w:t>
      </w:r>
      <w:r>
        <w:rPr>
          <w:rFonts w:ascii="Times New Roman" w:hAnsi="Times New Roman" w:cs="Times New Roman"/>
        </w:rPr>
        <w:t>启动。</w:t>
      </w:r>
    </w:p>
    <w:p>
      <w:pPr>
        <w:spacing w:line="300" w:lineRule="auto"/>
        <w:rPr>
          <w:rFonts w:ascii="Times New Roman" w:hAnsi="Times New Roman" w:cs="Times New Roman"/>
        </w:rPr>
      </w:pPr>
      <w:r>
        <w:rPr>
          <w:rFonts w:ascii="黑体" w:hAnsi="黑体" w:eastAsia="黑体" w:cs="Times New Roman"/>
        </w:rPr>
        <w:t xml:space="preserve">10.2.4 </w:t>
      </w:r>
      <w:r>
        <w:rPr>
          <w:rFonts w:hint="eastAsia" w:ascii="Times New Roman" w:hAnsi="Times New Roman" w:cs="Times New Roman"/>
        </w:rPr>
        <w:t>实验</w:t>
      </w:r>
      <w:r>
        <w:rPr>
          <w:rFonts w:ascii="Times New Roman" w:hAnsi="Times New Roman" w:cs="Times New Roman"/>
        </w:rPr>
        <w:t>过程中应密切关注信息系统采集的各项数据</w:t>
      </w:r>
      <w:r>
        <w:rPr>
          <w:rFonts w:hint="eastAsia" w:ascii="Times New Roman" w:hAnsi="Times New Roman" w:cs="Times New Roman"/>
        </w:rPr>
        <w:t>，以及实验</w:t>
      </w:r>
      <w:r>
        <w:rPr>
          <w:rFonts w:ascii="Times New Roman" w:hAnsi="Times New Roman" w:cs="Times New Roman"/>
        </w:rPr>
        <w:t>设备本体气体</w:t>
      </w:r>
      <w:r>
        <w:rPr>
          <w:rFonts w:hint="eastAsia" w:ascii="Times New Roman" w:hAnsi="Times New Roman" w:cs="Times New Roman"/>
        </w:rPr>
        <w:t>监测</w:t>
      </w:r>
      <w:r>
        <w:rPr>
          <w:rFonts w:ascii="Times New Roman" w:hAnsi="Times New Roman" w:cs="Times New Roman"/>
        </w:rPr>
        <w:t>和声光报警装置以及水、电、气源显示仪表，确认是否正常或处于合理区间。</w:t>
      </w:r>
    </w:p>
    <w:p>
      <w:pPr>
        <w:spacing w:line="300" w:lineRule="auto"/>
        <w:rPr>
          <w:rFonts w:ascii="Times New Roman" w:hAnsi="Times New Roman" w:cs="Times New Roman"/>
        </w:rPr>
      </w:pPr>
      <w:r>
        <w:rPr>
          <w:rFonts w:ascii="黑体" w:hAnsi="黑体" w:eastAsia="黑体" w:cs="Times New Roman"/>
        </w:rPr>
        <w:t>10.2.5</w:t>
      </w:r>
      <w:r>
        <w:rPr>
          <w:rFonts w:ascii="Times New Roman" w:hAnsi="Times New Roman" w:cs="Times New Roman"/>
        </w:rPr>
        <w:t xml:space="preserve"> 开展</w:t>
      </w:r>
      <w:r>
        <w:rPr>
          <w:rFonts w:hint="eastAsia" w:ascii="Times New Roman" w:hAnsi="Times New Roman" w:cs="Times New Roman"/>
        </w:rPr>
        <w:t>氢循环、加压、燃烧爆炸、发电等危险度较高的涉氢实验</w:t>
      </w:r>
      <w:r>
        <w:rPr>
          <w:rFonts w:ascii="Times New Roman" w:hAnsi="Times New Roman" w:cs="Times New Roman"/>
        </w:rPr>
        <w:t>时，实验区</w:t>
      </w:r>
      <w:r>
        <w:rPr>
          <w:rFonts w:hint="eastAsia" w:ascii="Times New Roman" w:hAnsi="Times New Roman" w:cs="Times New Roman"/>
        </w:rPr>
        <w:t>（箱）</w:t>
      </w:r>
      <w:r>
        <w:rPr>
          <w:rFonts w:ascii="Times New Roman" w:hAnsi="Times New Roman" w:cs="Times New Roman"/>
        </w:rPr>
        <w:t>禁止人员进入。在进入实验区（箱）的门上明显位置张贴或悬挂“实验中 禁止进入”等警示标志并启用</w:t>
      </w:r>
      <w:r>
        <w:rPr>
          <w:rFonts w:hint="eastAsia" w:ascii="Times New Roman" w:hAnsi="Times New Roman" w:cs="Times New Roman"/>
        </w:rPr>
        <w:t>门禁</w:t>
      </w:r>
      <w:r>
        <w:rPr>
          <w:rFonts w:ascii="Times New Roman" w:hAnsi="Times New Roman" w:cs="Times New Roman"/>
        </w:rPr>
        <w:t>连锁装置。</w:t>
      </w:r>
    </w:p>
    <w:p>
      <w:pPr>
        <w:spacing w:line="300" w:lineRule="auto"/>
        <w:rPr>
          <w:rFonts w:ascii="Times New Roman" w:hAnsi="Times New Roman" w:cs="Times New Roman"/>
        </w:rPr>
      </w:pPr>
      <w:r>
        <w:rPr>
          <w:rFonts w:ascii="黑体" w:hAnsi="黑体" w:eastAsia="黑体" w:cs="Times New Roman"/>
        </w:rPr>
        <w:t>10.2.6</w:t>
      </w:r>
      <w:r>
        <w:rPr>
          <w:rFonts w:ascii="Times New Roman" w:hAnsi="Times New Roman" w:cs="Times New Roman"/>
        </w:rPr>
        <w:t xml:space="preserve"> </w:t>
      </w:r>
      <w:r>
        <w:rPr>
          <w:rFonts w:hint="eastAsia" w:ascii="Times New Roman" w:hAnsi="Times New Roman" w:cs="Times New Roman"/>
        </w:rPr>
        <w:t>氢气储存装置或气瓶</w:t>
      </w:r>
      <w:r>
        <w:rPr>
          <w:rFonts w:ascii="Times New Roman" w:hAnsi="Times New Roman" w:cs="Times New Roman"/>
        </w:rPr>
        <w:t>充装、装运时，应使用专业工具协助，搬运时应多人协助。使用起重设备协助吊运时，应规范操作起重设备</w:t>
      </w:r>
      <w:r>
        <w:rPr>
          <w:rFonts w:hint="eastAsia" w:ascii="Times New Roman" w:hAnsi="Times New Roman" w:cs="Times New Roman"/>
        </w:rPr>
        <w:t>、</w:t>
      </w:r>
      <w:r>
        <w:rPr>
          <w:rFonts w:ascii="Times New Roman" w:hAnsi="Times New Roman" w:cs="Times New Roman"/>
        </w:rPr>
        <w:t>使用合适的吊带或吊具。</w:t>
      </w:r>
    </w:p>
    <w:p>
      <w:pPr>
        <w:spacing w:line="300" w:lineRule="auto"/>
        <w:rPr>
          <w:rFonts w:ascii="Times New Roman" w:hAnsi="Times New Roman" w:cs="Times New Roman"/>
        </w:rPr>
      </w:pPr>
      <w:r>
        <w:rPr>
          <w:rFonts w:ascii="黑体" w:hAnsi="黑体" w:eastAsia="黑体" w:cs="Times New Roman"/>
        </w:rPr>
        <w:t>10.2.7</w:t>
      </w:r>
      <w:r>
        <w:rPr>
          <w:rFonts w:ascii="Times New Roman" w:hAnsi="Times New Roman" w:cs="Times New Roman"/>
        </w:rPr>
        <w:t xml:space="preserve"> </w:t>
      </w:r>
      <w:r>
        <w:rPr>
          <w:rFonts w:hint="eastAsia" w:ascii="Times New Roman" w:hAnsi="Times New Roman" w:cs="Times New Roman"/>
        </w:rPr>
        <w:t>氢气储存装置或气瓶</w:t>
      </w:r>
      <w:r>
        <w:rPr>
          <w:rFonts w:ascii="Times New Roman" w:hAnsi="Times New Roman" w:cs="Times New Roman"/>
        </w:rPr>
        <w:t>液压爆破</w:t>
      </w:r>
      <w:r>
        <w:rPr>
          <w:rFonts w:hint="eastAsia" w:ascii="Times New Roman" w:hAnsi="Times New Roman" w:cs="Times New Roman"/>
        </w:rPr>
        <w:t>或</w:t>
      </w:r>
      <w:r>
        <w:rPr>
          <w:rFonts w:ascii="Times New Roman" w:hAnsi="Times New Roman" w:cs="Times New Roman"/>
        </w:rPr>
        <w:t>其他检测过程中泄漏的实验溶剂和水，应做好收容、处置并及时清洁作业地面，避免人员滑倒摔伤。</w:t>
      </w:r>
    </w:p>
    <w:p>
      <w:pPr>
        <w:spacing w:line="300" w:lineRule="auto"/>
        <w:rPr>
          <w:rFonts w:ascii="黑体" w:hAnsi="黑体" w:eastAsia="黑体" w:cs="Times New Roman"/>
        </w:rPr>
      </w:pPr>
      <w:r>
        <w:rPr>
          <w:rFonts w:ascii="黑体" w:hAnsi="黑体" w:eastAsia="黑体" w:cs="Times New Roman"/>
        </w:rPr>
        <w:t>10.3 氢气长管拖车更换作业安全</w:t>
      </w:r>
    </w:p>
    <w:p>
      <w:pPr>
        <w:spacing w:line="300" w:lineRule="auto"/>
        <w:rPr>
          <w:rFonts w:ascii="Times New Roman" w:hAnsi="Times New Roman" w:cs="Times New Roman"/>
        </w:rPr>
      </w:pPr>
      <w:r>
        <w:rPr>
          <w:rFonts w:ascii="黑体" w:hAnsi="黑体" w:eastAsia="黑体" w:cs="Times New Roman"/>
        </w:rPr>
        <w:t>10.3.1</w:t>
      </w:r>
      <w:r>
        <w:rPr>
          <w:rFonts w:ascii="Times New Roman" w:hAnsi="Times New Roman" w:cs="Times New Roman"/>
        </w:rPr>
        <w:t xml:space="preserve"> 进入供氢站的所有人员，应在入口处的静电导除仪上触摸，导除身体静电。第三方拖车司机和押运员必须</w:t>
      </w:r>
      <w:r>
        <w:rPr>
          <w:rFonts w:hint="eastAsia" w:ascii="Times New Roman" w:hAnsi="Times New Roman" w:cs="Times New Roman"/>
        </w:rPr>
        <w:t>按规范</w:t>
      </w:r>
      <w:r>
        <w:rPr>
          <w:rFonts w:ascii="Times New Roman" w:hAnsi="Times New Roman" w:cs="Times New Roman"/>
        </w:rPr>
        <w:t>佩戴劳动防护用品并在供氢站工作人员陪同下方可进入供氢站。</w:t>
      </w:r>
    </w:p>
    <w:p>
      <w:pPr>
        <w:spacing w:line="300" w:lineRule="auto"/>
        <w:rPr>
          <w:rFonts w:ascii="黑体" w:hAnsi="黑体" w:eastAsia="黑体" w:cs="Times New Roman"/>
        </w:rPr>
      </w:pPr>
      <w:r>
        <w:rPr>
          <w:rFonts w:ascii="黑体" w:hAnsi="黑体" w:eastAsia="黑体" w:cs="Times New Roman"/>
        </w:rPr>
        <w:t>10.3.2 氢气长管拖车检查</w:t>
      </w:r>
    </w:p>
    <w:p>
      <w:pPr>
        <w:spacing w:line="300" w:lineRule="auto"/>
        <w:rPr>
          <w:rFonts w:ascii="Times New Roman" w:hAnsi="Times New Roman" w:cs="Times New Roman"/>
        </w:rPr>
      </w:pPr>
      <w:r>
        <w:rPr>
          <w:rFonts w:hint="eastAsia" w:ascii="黑体" w:hAnsi="黑体" w:eastAsia="黑体" w:cs="Times New Roman"/>
        </w:rPr>
        <w:t>1</w:t>
      </w:r>
      <w:r>
        <w:rPr>
          <w:rFonts w:ascii="黑体" w:hAnsi="黑体" w:eastAsia="黑体" w:cs="Times New Roman"/>
        </w:rPr>
        <w:t>0.3.2.1</w:t>
      </w:r>
      <w:r>
        <w:rPr>
          <w:rFonts w:ascii="Times New Roman" w:hAnsi="Times New Roman" w:cs="Times New Roman"/>
        </w:rPr>
        <w:t xml:space="preserve"> 供氢站工作人员会同拖车司机</w:t>
      </w:r>
      <w:r>
        <w:rPr>
          <w:rFonts w:hint="eastAsia" w:ascii="Times New Roman" w:hAnsi="Times New Roman" w:cs="Times New Roman"/>
        </w:rPr>
        <w:t>、</w:t>
      </w:r>
      <w:r>
        <w:rPr>
          <w:rFonts w:ascii="Times New Roman" w:hAnsi="Times New Roman" w:cs="Times New Roman"/>
        </w:rPr>
        <w:t>押运员检查拖车车辆资料，包括压力容器检验合格证、车辆行驶证、危险化学品运输许可证、驾驶证、危险化学品押运证等证件并核对存档。</w:t>
      </w:r>
      <w:r>
        <w:rPr>
          <w:rFonts w:hint="eastAsia" w:ascii="黑体" w:hAnsi="黑体" w:eastAsia="黑体" w:cs="Times New Roman"/>
        </w:rPr>
        <w:t>1</w:t>
      </w:r>
      <w:r>
        <w:rPr>
          <w:rFonts w:ascii="黑体" w:hAnsi="黑体" w:eastAsia="黑体" w:cs="Times New Roman"/>
        </w:rPr>
        <w:t>0.3.2.2</w:t>
      </w:r>
      <w:r>
        <w:rPr>
          <w:rFonts w:ascii="Times New Roman" w:hAnsi="Times New Roman" w:cs="Times New Roman"/>
        </w:rPr>
        <w:t xml:space="preserve"> 拖车检测</w:t>
      </w:r>
      <w:r>
        <w:rPr>
          <w:rFonts w:hint="eastAsia" w:ascii="Times New Roman" w:hAnsi="Times New Roman" w:cs="Times New Roman"/>
        </w:rPr>
        <w:t>：</w:t>
      </w:r>
      <w:r>
        <w:rPr>
          <w:rFonts w:ascii="Times New Roman" w:hAnsi="Times New Roman" w:cs="Times New Roman"/>
        </w:rPr>
        <w:t>检查拖车底盘</w:t>
      </w:r>
      <w:r>
        <w:rPr>
          <w:rFonts w:hint="eastAsia" w:ascii="Times New Roman" w:hAnsi="Times New Roman" w:cs="Times New Roman"/>
        </w:rPr>
        <w:t>、箱体框架、瓶体、管路系统、安全附件、车载灭火器、</w:t>
      </w:r>
      <w:r>
        <w:rPr>
          <w:rFonts w:ascii="Times New Roman" w:hAnsi="Times New Roman" w:cs="Times New Roman"/>
        </w:rPr>
        <w:t>车体安全警示标识标志等</w:t>
      </w:r>
      <w:r>
        <w:rPr>
          <w:rFonts w:hint="eastAsia" w:ascii="Times New Roman" w:hAnsi="Times New Roman" w:cs="Times New Roman"/>
        </w:rPr>
        <w:t>，均应完好正常。</w:t>
      </w:r>
    </w:p>
    <w:p>
      <w:pPr>
        <w:spacing w:line="300" w:lineRule="auto"/>
        <w:rPr>
          <w:rFonts w:ascii="Times New Roman" w:hAnsi="Times New Roman" w:cs="Times New Roman"/>
        </w:rPr>
      </w:pPr>
      <w:r>
        <w:rPr>
          <w:rFonts w:hint="eastAsia" w:ascii="黑体" w:hAnsi="黑体" w:eastAsia="黑体" w:cs="Times New Roman"/>
        </w:rPr>
        <w:t>1</w:t>
      </w:r>
      <w:r>
        <w:rPr>
          <w:rFonts w:ascii="黑体" w:hAnsi="黑体" w:eastAsia="黑体" w:cs="Times New Roman"/>
        </w:rPr>
        <w:t>0.3.2.3</w:t>
      </w:r>
      <w:r>
        <w:rPr>
          <w:rFonts w:ascii="Times New Roman" w:hAnsi="Times New Roman" w:cs="Times New Roman"/>
        </w:rPr>
        <w:t xml:space="preserve"> 氢气泄漏检测</w:t>
      </w:r>
      <w:r>
        <w:rPr>
          <w:rFonts w:hint="eastAsia" w:ascii="Times New Roman" w:hAnsi="Times New Roman" w:cs="Times New Roman"/>
        </w:rPr>
        <w:t>：使用</w:t>
      </w:r>
      <w:r>
        <w:rPr>
          <w:rFonts w:ascii="Times New Roman" w:hAnsi="Times New Roman" w:cs="Times New Roman"/>
        </w:rPr>
        <w:t>便携式氢气</w:t>
      </w:r>
      <w:r>
        <w:rPr>
          <w:rFonts w:hint="eastAsia" w:ascii="Times New Roman" w:hAnsi="Times New Roman" w:cs="Times New Roman"/>
        </w:rPr>
        <w:t>检</w:t>
      </w:r>
      <w:r>
        <w:rPr>
          <w:rFonts w:ascii="Times New Roman" w:hAnsi="Times New Roman" w:cs="Times New Roman"/>
        </w:rPr>
        <w:t>测仪对拖车自身阀门</w:t>
      </w:r>
      <w:r>
        <w:rPr>
          <w:rFonts w:hint="eastAsia" w:ascii="Times New Roman" w:hAnsi="Times New Roman" w:cs="Times New Roman"/>
        </w:rPr>
        <w:t>、螺栓及</w:t>
      </w:r>
      <w:r>
        <w:rPr>
          <w:rFonts w:ascii="Times New Roman" w:hAnsi="Times New Roman" w:cs="Times New Roman"/>
        </w:rPr>
        <w:t>连接部位进行氢气泄漏量检测</w:t>
      </w:r>
      <w:r>
        <w:rPr>
          <w:rFonts w:hint="eastAsia" w:ascii="Times New Roman" w:hAnsi="Times New Roman" w:cs="Times New Roman"/>
        </w:rPr>
        <w:t>。</w:t>
      </w:r>
      <w:r>
        <w:rPr>
          <w:rFonts w:ascii="Times New Roman" w:hAnsi="Times New Roman" w:cs="Times New Roman"/>
        </w:rPr>
        <w:t>当</w:t>
      </w:r>
      <w:r>
        <w:rPr>
          <w:rFonts w:hint="eastAsia" w:ascii="Times New Roman" w:hAnsi="Times New Roman" w:cs="Times New Roman"/>
        </w:rPr>
        <w:t>发现氢气泄漏后，应立即</w:t>
      </w:r>
      <w:r>
        <w:rPr>
          <w:rFonts w:ascii="Times New Roman" w:hAnsi="Times New Roman" w:cs="Times New Roman"/>
        </w:rPr>
        <w:t>要求拖车司机</w:t>
      </w:r>
      <w:r>
        <w:rPr>
          <w:rFonts w:hint="eastAsia" w:ascii="Times New Roman" w:hAnsi="Times New Roman" w:cs="Times New Roman"/>
        </w:rPr>
        <w:t>、</w:t>
      </w:r>
      <w:r>
        <w:rPr>
          <w:rFonts w:ascii="Times New Roman" w:hAnsi="Times New Roman" w:cs="Times New Roman"/>
        </w:rPr>
        <w:t>押运员采取防泄漏措施</w:t>
      </w:r>
      <w:r>
        <w:rPr>
          <w:rFonts w:hint="eastAsia" w:ascii="Times New Roman" w:hAnsi="Times New Roman" w:cs="Times New Roman"/>
        </w:rPr>
        <w:t>。如现场</w:t>
      </w:r>
      <w:r>
        <w:rPr>
          <w:rFonts w:ascii="Times New Roman" w:hAnsi="Times New Roman" w:cs="Times New Roman"/>
        </w:rPr>
        <w:t>无法处理时</w:t>
      </w:r>
      <w:r>
        <w:rPr>
          <w:rFonts w:hint="eastAsia" w:ascii="Times New Roman" w:hAnsi="Times New Roman" w:cs="Times New Roman"/>
        </w:rPr>
        <w:t>，</w:t>
      </w:r>
      <w:r>
        <w:rPr>
          <w:rFonts w:ascii="Times New Roman" w:hAnsi="Times New Roman" w:cs="Times New Roman"/>
        </w:rPr>
        <w:t>应要求车辆驶离并安全处置</w:t>
      </w:r>
      <w:r>
        <w:rPr>
          <w:rFonts w:hint="eastAsia" w:ascii="Times New Roman" w:hAnsi="Times New Roman" w:cs="Times New Roman"/>
        </w:rPr>
        <w:t>。</w:t>
      </w:r>
    </w:p>
    <w:p>
      <w:pPr>
        <w:spacing w:line="300" w:lineRule="auto"/>
        <w:rPr>
          <w:rFonts w:ascii="Times New Roman" w:hAnsi="Times New Roman" w:cs="Times New Roman"/>
        </w:rPr>
      </w:pPr>
      <w:r>
        <w:rPr>
          <w:rFonts w:hint="eastAsia" w:ascii="黑体" w:hAnsi="黑体" w:eastAsia="黑体" w:cs="Times New Roman"/>
        </w:rPr>
        <w:t>1</w:t>
      </w:r>
      <w:r>
        <w:rPr>
          <w:rFonts w:ascii="黑体" w:hAnsi="黑体" w:eastAsia="黑体" w:cs="Times New Roman"/>
        </w:rPr>
        <w:t>0.3.2.3</w:t>
      </w:r>
      <w:r>
        <w:rPr>
          <w:rFonts w:ascii="Times New Roman" w:hAnsi="Times New Roman" w:cs="Times New Roman"/>
        </w:rPr>
        <w:t xml:space="preserve"> </w:t>
      </w:r>
      <w:r>
        <w:rPr>
          <w:rFonts w:hint="eastAsia" w:ascii="Times New Roman" w:hAnsi="Times New Roman" w:cs="Times New Roman"/>
        </w:rPr>
        <w:t>确认</w:t>
      </w:r>
      <w:r>
        <w:rPr>
          <w:rFonts w:ascii="Times New Roman" w:hAnsi="Times New Roman" w:cs="Times New Roman"/>
        </w:rPr>
        <w:t>车辆资料有效</w:t>
      </w:r>
      <w:r>
        <w:rPr>
          <w:rFonts w:hint="eastAsia" w:ascii="Times New Roman" w:hAnsi="Times New Roman" w:cs="Times New Roman"/>
        </w:rPr>
        <w:t>，</w:t>
      </w:r>
      <w:r>
        <w:rPr>
          <w:rFonts w:ascii="Times New Roman" w:hAnsi="Times New Roman" w:cs="Times New Roman"/>
        </w:rPr>
        <w:t>车况良好后，方可允许车辆进站。检查应留存记录，由双方共同签字确认。</w:t>
      </w:r>
    </w:p>
    <w:p>
      <w:pPr>
        <w:spacing w:line="300" w:lineRule="auto"/>
        <w:rPr>
          <w:rFonts w:ascii="黑体" w:hAnsi="黑体" w:eastAsia="黑体" w:cs="Times New Roman"/>
        </w:rPr>
      </w:pPr>
      <w:r>
        <w:rPr>
          <w:rFonts w:ascii="黑体" w:hAnsi="黑体" w:eastAsia="黑体" w:cs="Times New Roman"/>
        </w:rPr>
        <w:t>10.3.3 车辆进站和管路连接</w:t>
      </w:r>
    </w:p>
    <w:p>
      <w:pPr>
        <w:spacing w:line="300" w:lineRule="auto"/>
        <w:ind w:firstLine="420" w:firstLineChars="200"/>
        <w:rPr>
          <w:rFonts w:ascii="宋体" w:hAnsi="宋体" w:eastAsia="宋体" w:cs="Times New Roman"/>
        </w:rPr>
      </w:pPr>
      <w:r>
        <w:rPr>
          <w:rFonts w:ascii="宋体" w:hAnsi="宋体" w:eastAsia="宋体" w:cs="Times New Roman"/>
        </w:rPr>
        <w:t>拖车司机停稳车辆后，立即拉起车辆制动器，下车将拖车支撑架放下并牢固支撑，拖车后车轮前后放置防滑移止挡，连接汇流排处的静电导除线，然后进行氢气管路的连接和置换吹扫</w:t>
      </w:r>
      <w:r>
        <w:rPr>
          <w:rFonts w:hint="eastAsia" w:ascii="宋体" w:hAnsi="宋体" w:eastAsia="宋体" w:cs="Times New Roman"/>
        </w:rPr>
        <w:t>，</w:t>
      </w:r>
      <w:r>
        <w:rPr>
          <w:rFonts w:ascii="宋体" w:hAnsi="宋体" w:eastAsia="宋体" w:cs="Times New Roman"/>
        </w:rPr>
        <w:t>吹扫不少于</w:t>
      </w:r>
      <w:r>
        <w:rPr>
          <w:rFonts w:hint="eastAsia" w:ascii="宋体" w:hAnsi="宋体" w:eastAsia="宋体" w:cs="Times New Roman"/>
        </w:rPr>
        <w:t>3次，每次不少于3</w:t>
      </w:r>
      <w:r>
        <w:rPr>
          <w:rFonts w:ascii="宋体" w:hAnsi="宋体" w:eastAsia="宋体" w:cs="Times New Roman"/>
        </w:rPr>
        <w:t>0S</w:t>
      </w:r>
      <w:r>
        <w:rPr>
          <w:rFonts w:hint="eastAsia" w:ascii="宋体" w:hAnsi="宋体" w:eastAsia="宋体" w:cs="Times New Roman"/>
        </w:rPr>
        <w:t>，</w:t>
      </w:r>
      <w:r>
        <w:rPr>
          <w:rFonts w:ascii="宋体" w:hAnsi="宋体" w:eastAsia="宋体" w:cs="Times New Roman"/>
        </w:rPr>
        <w:t>吹扫完成后开启氢气供应阀门。</w:t>
      </w:r>
    </w:p>
    <w:p>
      <w:pPr>
        <w:spacing w:line="300" w:lineRule="auto"/>
        <w:ind w:firstLine="420" w:firstLineChars="200"/>
        <w:rPr>
          <w:rFonts w:ascii="宋体" w:hAnsi="宋体" w:eastAsia="宋体" w:cs="Times New Roman"/>
        </w:rPr>
      </w:pPr>
      <w:r>
        <w:rPr>
          <w:rFonts w:ascii="宋体" w:hAnsi="宋体" w:eastAsia="宋体" w:cs="Times New Roman"/>
        </w:rPr>
        <w:t>氢气正常供应后</w:t>
      </w:r>
      <w:r>
        <w:rPr>
          <w:rFonts w:hint="eastAsia" w:ascii="宋体" w:hAnsi="宋体" w:eastAsia="宋体" w:cs="Times New Roman"/>
        </w:rPr>
        <w:t>，对</w:t>
      </w:r>
      <w:r>
        <w:rPr>
          <w:rFonts w:ascii="宋体" w:hAnsi="宋体" w:eastAsia="宋体" w:cs="Times New Roman"/>
        </w:rPr>
        <w:t>氢气供应管路进行泄漏量检测</w:t>
      </w:r>
      <w:r>
        <w:rPr>
          <w:rFonts w:hint="eastAsia" w:ascii="宋体" w:hAnsi="宋体" w:eastAsia="宋体" w:cs="Times New Roman"/>
        </w:rPr>
        <w:t>，如</w:t>
      </w:r>
      <w:r>
        <w:rPr>
          <w:rFonts w:ascii="宋体" w:hAnsi="宋体" w:eastAsia="宋体" w:cs="Times New Roman"/>
        </w:rPr>
        <w:t>出现泄漏应立即停止氢气供应</w:t>
      </w:r>
      <w:r>
        <w:rPr>
          <w:rFonts w:hint="eastAsia" w:ascii="宋体" w:hAnsi="宋体" w:eastAsia="宋体" w:cs="Times New Roman"/>
        </w:rPr>
        <w:t>并组织</w:t>
      </w:r>
      <w:r>
        <w:rPr>
          <w:rFonts w:ascii="宋体" w:hAnsi="宋体" w:eastAsia="宋体" w:cs="Times New Roman"/>
        </w:rPr>
        <w:t>对泄漏点</w:t>
      </w:r>
      <w:r>
        <w:rPr>
          <w:rFonts w:hint="eastAsia" w:ascii="宋体" w:hAnsi="宋体" w:eastAsia="宋体" w:cs="Times New Roman"/>
        </w:rPr>
        <w:t>的</w:t>
      </w:r>
      <w:r>
        <w:rPr>
          <w:rFonts w:ascii="宋体" w:hAnsi="宋体" w:eastAsia="宋体" w:cs="Times New Roman"/>
        </w:rPr>
        <w:t>处理</w:t>
      </w:r>
      <w:r>
        <w:rPr>
          <w:rFonts w:hint="eastAsia" w:ascii="宋体" w:hAnsi="宋体" w:eastAsia="宋体" w:cs="Times New Roman"/>
        </w:rPr>
        <w:t>。</w:t>
      </w:r>
    </w:p>
    <w:p>
      <w:pPr>
        <w:spacing w:line="300" w:lineRule="auto"/>
        <w:rPr>
          <w:rFonts w:ascii="Times New Roman" w:hAnsi="Times New Roman" w:cs="Times New Roman"/>
        </w:rPr>
      </w:pPr>
      <w:r>
        <w:rPr>
          <w:rFonts w:hint="eastAsia" w:ascii="黑体" w:hAnsi="黑体" w:eastAsia="黑体" w:cs="Times New Roman"/>
        </w:rPr>
        <w:t>1</w:t>
      </w:r>
      <w:r>
        <w:rPr>
          <w:rFonts w:ascii="黑体" w:hAnsi="黑体" w:eastAsia="黑体" w:cs="Times New Roman"/>
        </w:rPr>
        <w:t>0.3.4</w:t>
      </w:r>
      <w:r>
        <w:rPr>
          <w:rFonts w:ascii="Times New Roman" w:hAnsi="Times New Roman" w:cs="Times New Roman"/>
        </w:rPr>
        <w:t xml:space="preserve"> 氢气长管拖车连接管路的拆卸和驶离作业按上述过程的相反顺序操作。</w:t>
      </w:r>
    </w:p>
    <w:p>
      <w:pPr>
        <w:spacing w:line="300" w:lineRule="auto"/>
        <w:rPr>
          <w:rFonts w:ascii="黑体" w:hAnsi="黑体" w:eastAsia="黑体" w:cs="Times New Roman"/>
        </w:rPr>
      </w:pPr>
      <w:r>
        <w:rPr>
          <w:rFonts w:ascii="黑体" w:hAnsi="黑体" w:eastAsia="黑体" w:cs="Times New Roman"/>
        </w:rPr>
        <w:t>10.4 车辆加氢作业安全</w:t>
      </w:r>
    </w:p>
    <w:p>
      <w:pPr>
        <w:spacing w:line="300" w:lineRule="auto"/>
        <w:ind w:firstLine="420" w:firstLineChars="200"/>
        <w:rPr>
          <w:rFonts w:ascii="宋体" w:hAnsi="宋体" w:eastAsia="宋体" w:cs="Times New Roman"/>
        </w:rPr>
      </w:pPr>
      <w:r>
        <w:rPr>
          <w:rFonts w:ascii="宋体" w:hAnsi="宋体" w:eastAsia="宋体" w:cs="Times New Roman"/>
        </w:rPr>
        <w:t>加氢车辆应停放至制定区域，关闭车载电堆及电源，拉起手刹，由受到专业训练的加氢人员进行管路连接</w:t>
      </w:r>
      <w:r>
        <w:rPr>
          <w:rFonts w:hint="eastAsia" w:ascii="宋体" w:hAnsi="宋体" w:eastAsia="宋体" w:cs="Times New Roman"/>
        </w:rPr>
        <w:t>、</w:t>
      </w:r>
      <w:r>
        <w:rPr>
          <w:rFonts w:ascii="宋体" w:hAnsi="宋体" w:eastAsia="宋体" w:cs="Times New Roman"/>
        </w:rPr>
        <w:t>置换吹扫和加氢作业。相关作业步骤和要求参照</w:t>
      </w:r>
      <w:r>
        <w:rPr>
          <w:rFonts w:hint="eastAsia" w:ascii="宋体" w:hAnsi="宋体" w:eastAsia="宋体" w:cs="Times New Roman"/>
        </w:rPr>
        <w:t>1</w:t>
      </w:r>
      <w:r>
        <w:rPr>
          <w:rFonts w:ascii="宋体" w:hAnsi="宋体" w:eastAsia="宋体" w:cs="Times New Roman"/>
        </w:rPr>
        <w:t>0.4执行</w:t>
      </w:r>
      <w:r>
        <w:rPr>
          <w:rFonts w:hint="eastAsia" w:ascii="宋体" w:hAnsi="宋体" w:eastAsia="宋体" w:cs="Times New Roman"/>
        </w:rPr>
        <w:t>。</w:t>
      </w:r>
    </w:p>
    <w:p>
      <w:pPr>
        <w:spacing w:line="300" w:lineRule="auto"/>
        <w:rPr>
          <w:rFonts w:ascii="黑体" w:hAnsi="黑体" w:eastAsia="黑体" w:cs="Times New Roman"/>
        </w:rPr>
      </w:pPr>
      <w:r>
        <w:rPr>
          <w:rFonts w:ascii="黑体" w:hAnsi="黑体" w:eastAsia="黑体" w:cs="Times New Roman"/>
        </w:rPr>
        <w:t xml:space="preserve">10.5 </w:t>
      </w:r>
      <w:r>
        <w:rPr>
          <w:rFonts w:hint="eastAsia" w:ascii="黑体" w:hAnsi="黑体" w:eastAsia="黑体" w:cs="Times New Roman"/>
        </w:rPr>
        <w:t>危险作业（特殊作业）安全</w:t>
      </w:r>
    </w:p>
    <w:p>
      <w:pPr>
        <w:spacing w:line="300" w:lineRule="auto"/>
        <w:rPr>
          <w:rFonts w:ascii="Times New Roman" w:hAnsi="Times New Roman" w:cs="Times New Roman"/>
        </w:rPr>
      </w:pPr>
      <w:r>
        <w:rPr>
          <w:rFonts w:ascii="Times New Roman" w:hAnsi="Times New Roman" w:cs="Times New Roman"/>
        </w:rPr>
        <w:t xml:space="preserve">     </w:t>
      </w:r>
      <w:r>
        <w:rPr>
          <w:rFonts w:hint="eastAsia" w:ascii="Times New Roman" w:hAnsi="Times New Roman" w:cs="Times New Roman"/>
        </w:rPr>
        <w:t>实验室所有区域的危险作业，应严格执行GB</w:t>
      </w:r>
      <w:r>
        <w:rPr>
          <w:rFonts w:ascii="Times New Roman" w:hAnsi="Times New Roman" w:cs="Times New Roman"/>
        </w:rPr>
        <w:t xml:space="preserve"> </w:t>
      </w:r>
      <w:r>
        <w:rPr>
          <w:rFonts w:hint="eastAsia" w:ascii="Times New Roman" w:hAnsi="Times New Roman" w:cs="Times New Roman"/>
        </w:rPr>
        <w:t>30871-2022的规定。</w:t>
      </w:r>
    </w:p>
    <w:p>
      <w:pPr>
        <w:spacing w:line="300" w:lineRule="auto"/>
        <w:rPr>
          <w:rFonts w:ascii="黑体" w:hAnsi="黑体" w:eastAsia="黑体" w:cs="Times New Roman"/>
        </w:rPr>
      </w:pPr>
      <w:r>
        <w:rPr>
          <w:rFonts w:hint="eastAsia" w:ascii="黑体" w:hAnsi="黑体" w:eastAsia="黑体" w:cs="Times New Roman"/>
        </w:rPr>
        <w:t>1</w:t>
      </w:r>
      <w:r>
        <w:rPr>
          <w:rFonts w:ascii="黑体" w:hAnsi="黑体" w:eastAsia="黑体" w:cs="Times New Roman"/>
        </w:rPr>
        <w:t>0.6 应急管理</w:t>
      </w:r>
    </w:p>
    <w:p>
      <w:pPr>
        <w:spacing w:line="300" w:lineRule="auto"/>
        <w:rPr>
          <w:rFonts w:ascii="Times New Roman" w:hAnsi="Times New Roman" w:cs="Times New Roman"/>
        </w:rPr>
      </w:pPr>
      <w:r>
        <w:rPr>
          <w:rFonts w:hint="eastAsia" w:ascii="黑体" w:hAnsi="黑体" w:eastAsia="黑体" w:cs="Times New Roman"/>
        </w:rPr>
        <w:t>1</w:t>
      </w:r>
      <w:r>
        <w:rPr>
          <w:rFonts w:ascii="黑体" w:hAnsi="黑体" w:eastAsia="黑体" w:cs="Times New Roman"/>
        </w:rPr>
        <w:t>0.6.1</w:t>
      </w:r>
      <w:r>
        <w:rPr>
          <w:rFonts w:ascii="Times New Roman" w:hAnsi="Times New Roman" w:cs="Times New Roman"/>
        </w:rPr>
        <w:t xml:space="preserve"> 应成立涉氢火灾</w:t>
      </w:r>
      <w:r>
        <w:rPr>
          <w:rFonts w:hint="eastAsia" w:ascii="Times New Roman" w:hAnsi="Times New Roman" w:cs="Times New Roman"/>
        </w:rPr>
        <w:t>、</w:t>
      </w:r>
      <w:r>
        <w:rPr>
          <w:rFonts w:ascii="Times New Roman" w:hAnsi="Times New Roman" w:cs="Times New Roman"/>
        </w:rPr>
        <w:t>爆炸等事故应急救援组织</w:t>
      </w:r>
      <w:r>
        <w:rPr>
          <w:rFonts w:hint="eastAsia" w:ascii="Times New Roman" w:hAnsi="Times New Roman" w:cs="Times New Roman"/>
        </w:rPr>
        <w:t>，明确组织成员和相应职责。</w:t>
      </w:r>
    </w:p>
    <w:p>
      <w:pPr>
        <w:spacing w:line="300" w:lineRule="auto"/>
        <w:rPr>
          <w:rFonts w:ascii="Times New Roman" w:hAnsi="Times New Roman" w:cs="Times New Roman"/>
        </w:rPr>
      </w:pPr>
      <w:bookmarkStart w:id="13" w:name="_Toc128490809"/>
      <w:r>
        <w:rPr>
          <w:rFonts w:ascii="黑体" w:hAnsi="黑体" w:eastAsia="黑体"/>
        </w:rPr>
        <w:t>10.6.</w:t>
      </w:r>
      <w:bookmarkEnd w:id="13"/>
      <w:r>
        <w:rPr>
          <w:rFonts w:ascii="黑体" w:hAnsi="黑体" w:eastAsia="黑体"/>
        </w:rPr>
        <w:t>2</w:t>
      </w:r>
      <w:r>
        <w:rPr>
          <w:rFonts w:ascii="Times New Roman" w:hAnsi="Times New Roman" w:cs="Times New Roman"/>
        </w:rPr>
        <w:t xml:space="preserve"> 预案编制和使用</w:t>
      </w:r>
    </w:p>
    <w:p>
      <w:pPr>
        <w:spacing w:line="300" w:lineRule="auto"/>
        <w:rPr>
          <w:rFonts w:ascii="Times New Roman" w:hAnsi="Times New Roman" w:cs="Times New Roman"/>
        </w:rPr>
      </w:pPr>
      <w:r>
        <w:rPr>
          <w:rFonts w:hint="eastAsia" w:ascii="黑体" w:hAnsi="黑体" w:eastAsia="黑体" w:cs="Times New Roman"/>
        </w:rPr>
        <w:t>1</w:t>
      </w:r>
      <w:r>
        <w:rPr>
          <w:rFonts w:ascii="黑体" w:hAnsi="黑体" w:eastAsia="黑体" w:cs="Times New Roman"/>
        </w:rPr>
        <w:t>0.6.2.1</w:t>
      </w:r>
      <w:r>
        <w:rPr>
          <w:rFonts w:ascii="Times New Roman" w:hAnsi="Times New Roman" w:cs="Times New Roman"/>
        </w:rPr>
        <w:t xml:space="preserve"> 应根据GB 4962</w:t>
      </w:r>
      <w:r>
        <w:rPr>
          <w:rFonts w:hint="eastAsia" w:ascii="Times New Roman" w:hAnsi="Times New Roman" w:cs="Times New Roman"/>
        </w:rPr>
        <w:t>、</w:t>
      </w:r>
      <w:r>
        <w:rPr>
          <w:rFonts w:ascii="Times New Roman" w:hAnsi="Times New Roman" w:cs="Times New Roman"/>
        </w:rPr>
        <w:t>GB/T 29639</w:t>
      </w:r>
      <w:r>
        <w:rPr>
          <w:rFonts w:hint="eastAsia" w:ascii="Times New Roman" w:hAnsi="Times New Roman" w:cs="Times New Roman"/>
        </w:rPr>
        <w:t>、</w:t>
      </w:r>
      <w:r>
        <w:rPr>
          <w:rFonts w:hint="eastAsia" w:ascii="Times New Roman" w:hAnsi="Times New Roman" w:cs="Times New Roman"/>
          <w:szCs w:val="21"/>
        </w:rPr>
        <w:t>G</w:t>
      </w:r>
      <w:r>
        <w:rPr>
          <w:rFonts w:ascii="Times New Roman" w:hAnsi="Times New Roman" w:cs="Times New Roman"/>
          <w:szCs w:val="21"/>
        </w:rPr>
        <w:t>B</w:t>
      </w:r>
      <w:r>
        <w:rPr>
          <w:rFonts w:hint="eastAsia" w:ascii="Times New Roman" w:hAnsi="Times New Roman" w:cs="Times New Roman"/>
          <w:szCs w:val="21"/>
        </w:rPr>
        <w:t>/</w:t>
      </w:r>
      <w:r>
        <w:rPr>
          <w:rFonts w:ascii="Times New Roman" w:hAnsi="Times New Roman" w:cs="Times New Roman"/>
          <w:szCs w:val="21"/>
        </w:rPr>
        <w:t>T 38315 的规定</w:t>
      </w:r>
      <w:r>
        <w:rPr>
          <w:rFonts w:ascii="Times New Roman" w:hAnsi="Times New Roman" w:cs="Times New Roman"/>
        </w:rPr>
        <w:t>编制氢气泄漏、火灾、爆炸、触电、停电、灾害天气、物体打击等事故综合应急预案</w:t>
      </w:r>
      <w:r>
        <w:rPr>
          <w:rFonts w:hint="eastAsia" w:ascii="Times New Roman" w:hAnsi="Times New Roman" w:cs="Times New Roman"/>
        </w:rPr>
        <w:t>、</w:t>
      </w:r>
      <w:r>
        <w:rPr>
          <w:rFonts w:ascii="Times New Roman" w:hAnsi="Times New Roman" w:cs="Times New Roman"/>
        </w:rPr>
        <w:t>专项应急预案和现场处置方案，应急预案和方案应放置在涉氢作业场所和各相关部门，应急预案按要求向属地应急管理部门备案。</w:t>
      </w:r>
    </w:p>
    <w:p>
      <w:pPr>
        <w:spacing w:line="300" w:lineRule="auto"/>
        <w:rPr>
          <w:rFonts w:ascii="Times New Roman" w:hAnsi="Times New Roman" w:cs="Times New Roman"/>
          <w:szCs w:val="21"/>
        </w:rPr>
      </w:pPr>
      <w:r>
        <w:rPr>
          <w:rFonts w:ascii="黑体" w:hAnsi="黑体" w:eastAsia="黑体" w:cs="Times New Roman"/>
        </w:rPr>
        <w:t>10.6.2.2</w:t>
      </w:r>
      <w:r>
        <w:rPr>
          <w:rFonts w:ascii="Times New Roman" w:hAnsi="Times New Roman" w:cs="Times New Roman"/>
        </w:rPr>
        <w:t xml:space="preserve"> 涉氢场所的应急处置方案应详细分析氢气泄漏风险</w:t>
      </w:r>
      <w:r>
        <w:rPr>
          <w:rFonts w:hint="eastAsia" w:ascii="Times New Roman" w:hAnsi="Times New Roman" w:cs="Times New Roman"/>
        </w:rPr>
        <w:t>、</w:t>
      </w:r>
      <w:r>
        <w:rPr>
          <w:rFonts w:ascii="Times New Roman" w:hAnsi="Times New Roman" w:cs="Times New Roman"/>
        </w:rPr>
        <w:t>应急处置责任分工和具体应</w:t>
      </w:r>
      <w:r>
        <w:rPr>
          <w:rFonts w:ascii="宋体" w:hAnsi="宋体" w:eastAsia="宋体" w:cs="Times New Roman"/>
        </w:rPr>
        <w:t>急流程和措施</w:t>
      </w:r>
      <w:r>
        <w:rPr>
          <w:rFonts w:hint="eastAsia" w:ascii="宋体" w:hAnsi="宋体" w:eastAsia="宋体" w:cs="Times New Roman"/>
        </w:rPr>
        <w:t>，</w:t>
      </w:r>
      <w:r>
        <w:rPr>
          <w:rFonts w:ascii="宋体" w:hAnsi="宋体" w:eastAsia="宋体" w:cs="Times New Roman"/>
        </w:rPr>
        <w:t>并于设备本体或者靠近设备的易于观察的地方张贴</w:t>
      </w:r>
      <w:r>
        <w:rPr>
          <w:rFonts w:hint="eastAsia" w:ascii="宋体" w:hAnsi="宋体" w:eastAsia="宋体" w:cs="Times New Roman"/>
        </w:rPr>
        <w:t>。</w:t>
      </w:r>
    </w:p>
    <w:p>
      <w:pPr>
        <w:spacing w:line="300" w:lineRule="auto"/>
        <w:rPr>
          <w:rFonts w:ascii="Times New Roman" w:hAnsi="Times New Roman" w:cs="Times New Roman"/>
        </w:rPr>
      </w:pPr>
      <w:r>
        <w:rPr>
          <w:rFonts w:ascii="黑体" w:hAnsi="黑体" w:eastAsia="黑体" w:cs="Times New Roman"/>
        </w:rPr>
        <w:t xml:space="preserve">10.6.3 </w:t>
      </w:r>
      <w:r>
        <w:rPr>
          <w:rFonts w:ascii="宋体" w:hAnsi="宋体" w:eastAsia="宋体" w:cs="Times New Roman"/>
        </w:rPr>
        <w:t>应定期组织开展</w:t>
      </w:r>
      <w:r>
        <w:rPr>
          <w:rFonts w:hint="eastAsia" w:ascii="宋体" w:hAnsi="宋体" w:eastAsia="宋体" w:cs="Times New Roman"/>
        </w:rPr>
        <w:t>实验室</w:t>
      </w:r>
      <w:r>
        <w:rPr>
          <w:rFonts w:ascii="宋体" w:hAnsi="宋体" w:eastAsia="宋体" w:cs="Times New Roman"/>
        </w:rPr>
        <w:t>事故应急预案演练，</w:t>
      </w:r>
      <w:r>
        <w:rPr>
          <w:rFonts w:hint="eastAsia" w:ascii="宋体" w:hAnsi="宋体" w:eastAsia="宋体" w:cs="Times New Roman"/>
        </w:rPr>
        <w:t>涉及</w:t>
      </w:r>
      <w:r>
        <w:rPr>
          <w:rFonts w:ascii="宋体" w:hAnsi="宋体" w:eastAsia="宋体" w:cs="Times New Roman"/>
        </w:rPr>
        <w:t>氢气泄漏、火灾、爆炸相关的演练，每半年至少全覆盖一次</w:t>
      </w:r>
      <w:r>
        <w:rPr>
          <w:rFonts w:hint="eastAsia" w:ascii="宋体" w:hAnsi="宋体" w:eastAsia="宋体" w:cs="Times New Roman"/>
        </w:rPr>
        <w:t>。</w:t>
      </w:r>
    </w:p>
    <w:p>
      <w:pPr>
        <w:spacing w:line="300" w:lineRule="auto"/>
        <w:rPr>
          <w:rFonts w:ascii="黑体" w:hAnsi="黑体" w:eastAsia="黑体" w:cs="Times New Roman"/>
        </w:rPr>
      </w:pPr>
      <w:r>
        <w:rPr>
          <w:rFonts w:ascii="黑体" w:hAnsi="黑体" w:eastAsia="黑体" w:cs="Times New Roman"/>
        </w:rPr>
        <w:t>10.7 其他安全要求</w:t>
      </w:r>
    </w:p>
    <w:p>
      <w:pPr>
        <w:spacing w:line="300" w:lineRule="auto"/>
        <w:rPr>
          <w:rFonts w:ascii="Times New Roman" w:hAnsi="Times New Roman" w:cs="Times New Roman"/>
        </w:rPr>
      </w:pPr>
      <w:r>
        <w:rPr>
          <w:rFonts w:ascii="黑体" w:hAnsi="黑体" w:eastAsia="黑体" w:cs="Times New Roman"/>
        </w:rPr>
        <w:t>10.7.1</w:t>
      </w:r>
      <w:r>
        <w:rPr>
          <w:rFonts w:ascii="Times New Roman" w:hAnsi="Times New Roman" w:cs="Times New Roman"/>
        </w:rPr>
        <w:t xml:space="preserve"> </w:t>
      </w:r>
      <w:r>
        <w:rPr>
          <w:rFonts w:ascii="宋体" w:hAnsi="宋体" w:eastAsia="宋体" w:cs="Times New Roman"/>
        </w:rPr>
        <w:t>进</w:t>
      </w:r>
      <w:r>
        <w:rPr>
          <w:rFonts w:hint="eastAsia" w:ascii="宋体" w:hAnsi="宋体" w:eastAsia="宋体" w:cs="Times New Roman"/>
        </w:rPr>
        <w:t>入</w:t>
      </w:r>
      <w:r>
        <w:rPr>
          <w:rFonts w:ascii="宋体" w:hAnsi="宋体" w:eastAsia="宋体" w:cs="Times New Roman"/>
        </w:rPr>
        <w:t>实验室管辖区域的车辆，行驶速度不宜超过</w:t>
      </w:r>
      <w:r>
        <w:rPr>
          <w:rFonts w:ascii="Times New Roman" w:hAnsi="Times New Roman" w:cs="Times New Roman"/>
        </w:rPr>
        <w:t>10km/h。</w:t>
      </w:r>
    </w:p>
    <w:p>
      <w:pPr>
        <w:spacing w:line="300" w:lineRule="auto"/>
        <w:rPr>
          <w:rFonts w:ascii="宋体" w:hAnsi="宋体" w:eastAsia="宋体" w:cs="Times New Roman"/>
        </w:rPr>
      </w:pPr>
      <w:r>
        <w:rPr>
          <w:rFonts w:ascii="黑体" w:hAnsi="黑体" w:eastAsia="黑体" w:cs="Times New Roman"/>
        </w:rPr>
        <w:t>10.7.2</w:t>
      </w:r>
      <w:r>
        <w:rPr>
          <w:rFonts w:ascii="Times New Roman" w:hAnsi="Times New Roman" w:cs="Times New Roman"/>
        </w:rPr>
        <w:t xml:space="preserve"> </w:t>
      </w:r>
      <w:r>
        <w:rPr>
          <w:rFonts w:ascii="宋体" w:hAnsi="宋体" w:eastAsia="宋体" w:cs="Times New Roman"/>
        </w:rPr>
        <w:t>实验室所有区域禁止携带火种</w:t>
      </w:r>
      <w:r>
        <w:rPr>
          <w:rFonts w:hint="eastAsia" w:ascii="宋体" w:hAnsi="宋体" w:eastAsia="宋体" w:cs="Times New Roman"/>
        </w:rPr>
        <w:t>。设置</w:t>
      </w:r>
      <w:r>
        <w:rPr>
          <w:rFonts w:ascii="宋体" w:hAnsi="宋体" w:eastAsia="宋体" w:cs="Times New Roman"/>
        </w:rPr>
        <w:t>吸烟区的</w:t>
      </w:r>
      <w:r>
        <w:rPr>
          <w:rFonts w:hint="eastAsia" w:ascii="宋体" w:hAnsi="宋体" w:eastAsia="宋体" w:cs="Times New Roman"/>
        </w:rPr>
        <w:t>，应安装电子</w:t>
      </w:r>
      <w:r>
        <w:rPr>
          <w:rFonts w:ascii="宋体" w:hAnsi="宋体" w:eastAsia="宋体" w:cs="Times New Roman"/>
        </w:rPr>
        <w:t>点火器</w:t>
      </w:r>
      <w:r>
        <w:rPr>
          <w:rFonts w:hint="eastAsia" w:ascii="宋体" w:hAnsi="宋体" w:eastAsia="宋体" w:cs="Times New Roman"/>
        </w:rPr>
        <w:t>和通风装置，按规范设置灭火器材</w:t>
      </w:r>
      <w:r>
        <w:rPr>
          <w:rFonts w:ascii="宋体" w:hAnsi="宋体" w:eastAsia="宋体" w:cs="Times New Roman"/>
        </w:rPr>
        <w:t>。</w: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jc w:val="center"/>
        <w:rPr>
          <w:rFonts w:ascii="黑体" w:hAnsi="黑体" w:eastAsia="黑体" w:cs="Times New Roman"/>
        </w:rPr>
      </w:pPr>
      <w:r>
        <w:rPr>
          <w:rFonts w:hint="eastAsia" w:ascii="黑体" w:hAnsi="黑体" w:eastAsia="黑体" w:cs="Times New Roman"/>
        </w:rPr>
        <w:t>附录</w:t>
      </w:r>
      <w:r>
        <w:rPr>
          <w:rFonts w:ascii="黑体" w:hAnsi="黑体" w:eastAsia="黑体" w:cs="Times New Roman"/>
        </w:rPr>
        <w:t>A</w:t>
      </w:r>
    </w:p>
    <w:p>
      <w:pPr>
        <w:jc w:val="center"/>
        <w:rPr>
          <w:rFonts w:ascii="黑体" w:hAnsi="黑体" w:eastAsia="黑体" w:cs="Times New Roman"/>
        </w:rPr>
      </w:pPr>
    </w:p>
    <w:p>
      <w:pPr>
        <w:jc w:val="center"/>
        <w:rPr>
          <w:rFonts w:ascii="黑体" w:hAnsi="黑体" w:eastAsia="黑体" w:cs="Times New Roman"/>
        </w:rPr>
      </w:pPr>
      <w:r>
        <w:rPr>
          <w:rFonts w:hint="eastAsia" w:ascii="黑体" w:hAnsi="黑体" w:eastAsia="黑体" w:cs="Times New Roman"/>
        </w:rPr>
        <w:t>实验室作业人员劳动防护用品配备表</w:t>
      </w:r>
    </w:p>
    <w:p>
      <w:pPr>
        <w:jc w:val="center"/>
        <w:rPr>
          <w:rFonts w:ascii="黑体" w:hAnsi="黑体" w:eastAsia="黑体" w:cs="Times New Roman"/>
        </w:rPr>
      </w:pPr>
    </w:p>
    <w:tbl>
      <w:tblPr>
        <w:tblStyle w:val="17"/>
        <w:tblW w:w="8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701"/>
        <w:gridCol w:w="411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704"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序列</w:t>
            </w:r>
          </w:p>
        </w:tc>
        <w:tc>
          <w:tcPr>
            <w:tcW w:w="170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作业活动</w:t>
            </w:r>
          </w:p>
        </w:tc>
        <w:tc>
          <w:tcPr>
            <w:tcW w:w="411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所需劳动防护用品</w:t>
            </w:r>
          </w:p>
        </w:tc>
        <w:tc>
          <w:tcPr>
            <w:tcW w:w="1559"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04"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1</w:t>
            </w:r>
          </w:p>
        </w:tc>
        <w:tc>
          <w:tcPr>
            <w:tcW w:w="170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进入涉氢</w:t>
            </w:r>
            <w:r>
              <w:rPr>
                <w:rFonts w:hint="eastAsia" w:cs="Times New Roman" w:asciiTheme="minorEastAsia" w:hAnsiTheme="minorEastAsia" w:eastAsiaTheme="minorEastAsia"/>
                <w:sz w:val="21"/>
                <w:szCs w:val="21"/>
              </w:rPr>
              <w:t>实验</w:t>
            </w:r>
            <w:r>
              <w:rPr>
                <w:rFonts w:cs="Times New Roman" w:asciiTheme="minorEastAsia" w:hAnsiTheme="minorEastAsia" w:eastAsiaTheme="minorEastAsia"/>
                <w:sz w:val="21"/>
                <w:szCs w:val="21"/>
              </w:rPr>
              <w:t>场所</w:t>
            </w:r>
          </w:p>
        </w:tc>
        <w:tc>
          <w:tcPr>
            <w:tcW w:w="411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防静电工作服</w:t>
            </w:r>
            <w:r>
              <w:rPr>
                <w:rFonts w:hint="eastAsia" w:cs="Times New Roman" w:asciiTheme="minorEastAsia" w:hAnsiTheme="minorEastAsia" w:eastAsiaTheme="minorEastAsia"/>
                <w:sz w:val="21"/>
                <w:szCs w:val="21"/>
              </w:rPr>
              <w:t>、</w:t>
            </w:r>
            <w:r>
              <w:rPr>
                <w:rFonts w:cs="Times New Roman" w:asciiTheme="minorEastAsia" w:hAnsiTheme="minorEastAsia" w:eastAsiaTheme="minorEastAsia"/>
                <w:sz w:val="21"/>
                <w:szCs w:val="21"/>
              </w:rPr>
              <w:t>防静电鞋</w:t>
            </w:r>
          </w:p>
        </w:tc>
        <w:tc>
          <w:tcPr>
            <w:tcW w:w="1559"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根据季节选用合适工作服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3</w:t>
            </w:r>
          </w:p>
        </w:tc>
        <w:tc>
          <w:tcPr>
            <w:tcW w:w="170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涉氢测试准备、检查和整理工作</w:t>
            </w:r>
          </w:p>
        </w:tc>
        <w:tc>
          <w:tcPr>
            <w:tcW w:w="411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防冲击护目镜（或防护面屏）、防静电手套</w:t>
            </w:r>
          </w:p>
        </w:tc>
        <w:tc>
          <w:tcPr>
            <w:tcW w:w="1559"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4</w:t>
            </w:r>
          </w:p>
        </w:tc>
        <w:tc>
          <w:tcPr>
            <w:tcW w:w="170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化学品</w:t>
            </w:r>
            <w:r>
              <w:rPr>
                <w:rFonts w:cs="Times New Roman" w:asciiTheme="minorEastAsia" w:hAnsiTheme="minorEastAsia" w:eastAsiaTheme="minorEastAsia"/>
                <w:sz w:val="21"/>
                <w:szCs w:val="21"/>
              </w:rPr>
              <w:t>操作</w:t>
            </w:r>
          </w:p>
        </w:tc>
        <w:tc>
          <w:tcPr>
            <w:tcW w:w="411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耐酸碱手套、防冲击护目镜（或防护面屏）</w:t>
            </w:r>
          </w:p>
        </w:tc>
        <w:tc>
          <w:tcPr>
            <w:tcW w:w="1559"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5</w:t>
            </w:r>
          </w:p>
        </w:tc>
        <w:tc>
          <w:tcPr>
            <w:tcW w:w="170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工作环境噪声大于75</w:t>
            </w:r>
            <w:r>
              <w:rPr>
                <w:rStyle w:val="24"/>
                <w:rFonts w:cs="Times New Roman" w:asciiTheme="minorEastAsia" w:hAnsiTheme="minorEastAsia" w:eastAsiaTheme="minorEastAsia"/>
                <w:b w:val="0"/>
                <w:i/>
                <w:iCs/>
                <w:sz w:val="21"/>
                <w:szCs w:val="21"/>
                <w:shd w:val="clear" w:color="auto" w:fill="FFFFFF"/>
              </w:rPr>
              <w:t xml:space="preserve"> </w:t>
            </w:r>
            <w:r>
              <w:rPr>
                <w:rStyle w:val="21"/>
                <w:rFonts w:cs="Times New Roman" w:asciiTheme="minorEastAsia" w:hAnsiTheme="minorEastAsia" w:eastAsiaTheme="minorEastAsia"/>
                <w:i w:val="0"/>
                <w:iCs w:val="0"/>
                <w:sz w:val="21"/>
                <w:szCs w:val="21"/>
                <w:shd w:val="clear" w:color="auto" w:fill="FFFFFF"/>
              </w:rPr>
              <w:t>dB的场所</w:t>
            </w:r>
          </w:p>
        </w:tc>
        <w:tc>
          <w:tcPr>
            <w:tcW w:w="411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防噪声耳塞</w:t>
            </w:r>
          </w:p>
        </w:tc>
        <w:tc>
          <w:tcPr>
            <w:tcW w:w="1559"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6</w:t>
            </w:r>
          </w:p>
        </w:tc>
        <w:tc>
          <w:tcPr>
            <w:tcW w:w="170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实验样件搬运</w:t>
            </w:r>
          </w:p>
        </w:tc>
        <w:tc>
          <w:tcPr>
            <w:tcW w:w="411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防砸绝缘鞋</w:t>
            </w:r>
          </w:p>
        </w:tc>
        <w:tc>
          <w:tcPr>
            <w:tcW w:w="1559"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样</w:t>
            </w:r>
            <w:r>
              <w:rPr>
                <w:rFonts w:cs="Times New Roman" w:asciiTheme="minorEastAsia" w:hAnsiTheme="minorEastAsia" w:eastAsiaTheme="minorEastAsia"/>
                <w:sz w:val="21"/>
                <w:szCs w:val="21"/>
              </w:rPr>
              <w:t>件重量</w:t>
            </w:r>
            <w:r>
              <w:rPr>
                <w:rFonts w:hint="eastAsia" w:cs="Times New Roman" w:asciiTheme="minorEastAsia" w:hAnsiTheme="minorEastAsia" w:eastAsiaTheme="minorEastAsia"/>
                <w:sz w:val="21"/>
                <w:szCs w:val="21"/>
              </w:rPr>
              <w:t>≥</w:t>
            </w:r>
            <w:r>
              <w:rPr>
                <w:rFonts w:cs="Times New Roman" w:asciiTheme="minorEastAsia" w:hAnsiTheme="minorEastAsia" w:eastAsiaTheme="minorEastAsia"/>
                <w:sz w:val="21"/>
                <w:szCs w:val="21"/>
              </w:rPr>
              <w:t>20KG时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7</w:t>
            </w:r>
          </w:p>
        </w:tc>
        <w:tc>
          <w:tcPr>
            <w:tcW w:w="170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爆破测试</w:t>
            </w:r>
          </w:p>
        </w:tc>
        <w:tc>
          <w:tcPr>
            <w:tcW w:w="411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全身式防护服、自吸过滤式防颗粒物呼吸器（全面式）、长筒胶靴、工业乳胶手套</w:t>
            </w:r>
          </w:p>
        </w:tc>
        <w:tc>
          <w:tcPr>
            <w:tcW w:w="1559"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碳纤维或其他粉尘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8</w:t>
            </w:r>
          </w:p>
        </w:tc>
        <w:tc>
          <w:tcPr>
            <w:tcW w:w="170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常规承压测试</w:t>
            </w:r>
          </w:p>
        </w:tc>
        <w:tc>
          <w:tcPr>
            <w:tcW w:w="411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机械危害防护手套、防静电工作服、防砸绝缘鞋</w:t>
            </w:r>
          </w:p>
        </w:tc>
        <w:tc>
          <w:tcPr>
            <w:tcW w:w="1559"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704"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9</w:t>
            </w:r>
          </w:p>
        </w:tc>
        <w:tc>
          <w:tcPr>
            <w:tcW w:w="170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高低压电工作业</w:t>
            </w:r>
          </w:p>
        </w:tc>
        <w:tc>
          <w:tcPr>
            <w:tcW w:w="411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绝缘手套、绝缘鞋</w:t>
            </w:r>
          </w:p>
        </w:tc>
        <w:tc>
          <w:tcPr>
            <w:tcW w:w="1559"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匹配</w:t>
            </w:r>
            <w:r>
              <w:rPr>
                <w:rFonts w:cs="Times New Roman" w:asciiTheme="minorEastAsia" w:hAnsiTheme="minorEastAsia" w:eastAsiaTheme="minorEastAsia"/>
                <w:sz w:val="21"/>
                <w:szCs w:val="21"/>
              </w:rPr>
              <w:t>电压值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04"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10</w:t>
            </w:r>
          </w:p>
        </w:tc>
        <w:tc>
          <w:tcPr>
            <w:tcW w:w="170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接触</w:t>
            </w:r>
            <w:r>
              <w:rPr>
                <w:rFonts w:hint="eastAsia" w:cs="Times New Roman" w:asciiTheme="minorEastAsia" w:hAnsiTheme="minorEastAsia" w:eastAsiaTheme="minorEastAsia"/>
                <w:sz w:val="21"/>
                <w:szCs w:val="21"/>
              </w:rPr>
              <w:t>火或</w:t>
            </w:r>
            <w:r>
              <w:rPr>
                <w:rFonts w:cs="Times New Roman" w:asciiTheme="minorEastAsia" w:hAnsiTheme="minorEastAsia" w:eastAsiaTheme="minorEastAsia"/>
                <w:sz w:val="21"/>
                <w:szCs w:val="21"/>
              </w:rPr>
              <w:t>热表面</w:t>
            </w:r>
          </w:p>
        </w:tc>
        <w:tc>
          <w:tcPr>
            <w:tcW w:w="411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隔热服、</w:t>
            </w:r>
            <w:r>
              <w:rPr>
                <w:rFonts w:cs="Times New Roman" w:asciiTheme="minorEastAsia" w:hAnsiTheme="minorEastAsia" w:eastAsiaTheme="minorEastAsia"/>
                <w:sz w:val="21"/>
                <w:szCs w:val="21"/>
              </w:rPr>
              <w:t>隔热手套、</w:t>
            </w:r>
            <w:r>
              <w:rPr>
                <w:rFonts w:hint="eastAsia" w:cs="Times New Roman" w:asciiTheme="minorEastAsia" w:hAnsiTheme="minorEastAsia" w:eastAsiaTheme="minorEastAsia"/>
                <w:sz w:val="21"/>
                <w:szCs w:val="21"/>
              </w:rPr>
              <w:t>隔热靴</w:t>
            </w:r>
          </w:p>
        </w:tc>
        <w:tc>
          <w:tcPr>
            <w:tcW w:w="1559"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704"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11</w:t>
            </w:r>
          </w:p>
        </w:tc>
        <w:tc>
          <w:tcPr>
            <w:tcW w:w="170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危险作业</w:t>
            </w:r>
          </w:p>
        </w:tc>
        <w:tc>
          <w:tcPr>
            <w:tcW w:w="411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按照GB 30871中的8种特殊作业防护要求执行</w:t>
            </w:r>
          </w:p>
        </w:tc>
        <w:tc>
          <w:tcPr>
            <w:tcW w:w="1559"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即特殊作业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704"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12</w:t>
            </w:r>
          </w:p>
        </w:tc>
        <w:tc>
          <w:tcPr>
            <w:tcW w:w="170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氢气长管拖车更换作业</w:t>
            </w:r>
          </w:p>
        </w:tc>
        <w:tc>
          <w:tcPr>
            <w:tcW w:w="411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防静电工作服、防静电鞋、安全帽、防冲击护目镜（或防护面屏）、防静电手套</w:t>
            </w:r>
          </w:p>
        </w:tc>
        <w:tc>
          <w:tcPr>
            <w:tcW w:w="1559"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704"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13</w:t>
            </w:r>
          </w:p>
        </w:tc>
        <w:tc>
          <w:tcPr>
            <w:tcW w:w="170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液氮卸车作业</w:t>
            </w:r>
          </w:p>
        </w:tc>
        <w:tc>
          <w:tcPr>
            <w:tcW w:w="4111"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防静电工作服、防静电鞋、安全帽、防冲击护目镜（或防护面屏）、防冻保温手套</w:t>
            </w:r>
          </w:p>
        </w:tc>
        <w:tc>
          <w:tcPr>
            <w:tcW w:w="1559" w:type="dxa"/>
            <w:vAlign w:val="center"/>
          </w:tcPr>
          <w:p>
            <w:pPr>
              <w:pStyle w:val="14"/>
              <w:spacing w:before="0" w:beforeAutospacing="0" w:after="0" w:afterAutospacing="0"/>
              <w:jc w:val="center"/>
              <w:rPr>
                <w:rFonts w:cs="Times New Roman" w:asciiTheme="minorEastAsia" w:hAnsiTheme="minorEastAsia" w:eastAsiaTheme="minorEastAsia"/>
                <w:sz w:val="21"/>
                <w:szCs w:val="21"/>
              </w:rPr>
            </w:pPr>
          </w:p>
        </w:tc>
      </w:tr>
    </w:tbl>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Tahoma">
    <w:altName w:val="DejaVu Sans"/>
    <w:panose1 w:val="020B0604030504040204"/>
    <w:charset w:val="00"/>
    <w:family w:val="swiss"/>
    <w:pitch w:val="default"/>
    <w:sig w:usb0="00000000" w:usb1="00000000" w:usb2="00000029" w:usb3="00000000" w:csb0="000101FF" w:csb1="00000000"/>
  </w:font>
  <w:font w:name="MS Mincho">
    <w:altName w:val="方正书宋_GBK"/>
    <w:panose1 w:val="02020609040205080304"/>
    <w:charset w:val="80"/>
    <w:family w:val="roman"/>
    <w:pitch w:val="default"/>
    <w:sig w:usb0="00000000" w:usb1="00000000" w:usb2="00000010" w:usb3="00000000" w:csb0="00020000" w:csb1="00000000"/>
  </w:font>
  <w:font w:name="Helvetica">
    <w:altName w:val="DejaVu Sans"/>
    <w:panose1 w:val="020B0604020202020204"/>
    <w:charset w:val="00"/>
    <w:family w:val="swiss"/>
    <w:pitch w:val="default"/>
    <w:sig w:usb0="00000000" w:usb1="00000000" w:usb2="00000009" w:usb3="00000000" w:csb0="000001FF" w:csb1="00000000"/>
  </w:font>
  <w:font w:name="Arial">
    <w:altName w:val="Nimbus Roman No9 L"/>
    <w:panose1 w:val="020B0604020202020204"/>
    <w:charset w:val="00"/>
    <w:family w:val="swiss"/>
    <w:pitch w:val="default"/>
    <w:sig w:usb0="00000000" w:usb1="00000000" w:usb2="00000009" w:usb3="00000000" w:csb0="000001F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45041685"/>
      <w:docPartObj>
        <w:docPartGallery w:val="AutoText"/>
      </w:docPartObj>
    </w:sdtPr>
    <w:sdtContent>
      <w:p>
        <w:pPr>
          <w:pStyle w:val="10"/>
          <w:jc w:val="center"/>
        </w:pPr>
        <w:r>
          <w:rPr>
            <w:rFonts w:hint="eastAsia"/>
          </w:rPr>
          <w:t>-</w:t>
        </w:r>
        <w:r>
          <w:t xml:space="preserve"> </w:t>
        </w:r>
        <w:r>
          <w:fldChar w:fldCharType="begin"/>
        </w:r>
        <w:r>
          <w:instrText xml:space="preserve">PAGE   \* MERGEFORMAT</w:instrText>
        </w:r>
        <w:r>
          <w:fldChar w:fldCharType="separate"/>
        </w:r>
        <w:r>
          <w:rPr>
            <w:lang w:val="zh-CN"/>
          </w:rPr>
          <w:t>13</w:t>
        </w:r>
        <w:r>
          <w:fldChar w:fldCharType="end"/>
        </w:r>
        <w:r>
          <w:t xml:space="preserve"> </w:t>
        </w:r>
        <w:r>
          <w:rPr>
            <w:rFonts w:hint="eastAsia"/>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w:rPr>
        <w:rFonts w:hint="eastAsia"/>
      </w:rPr>
      <w:t>I</w:t>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180"/>
      <w:jc w:val="right"/>
    </w:pP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framePr w:w="0" w:hRule="auto" w:hSpace="0" w:wrap="auto" w:vAnchor="margin" w:hAnchor="text" w:xAlign="left" w:yAlign="inline"/>
      <w:spacing w:before="0"/>
      <w:rPr>
        <w:rFonts w:hAnsi="黑体"/>
        <w:sz w:val="22"/>
      </w:rPr>
    </w:pPr>
    <w:r>
      <w:rPr>
        <w:rFonts w:hAnsi="黑体"/>
        <w:sz w:val="22"/>
      </w:rPr>
      <w:t>DB/T XX-2023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rPr>
        <w:rFonts w:hAnsi="黑体"/>
      </w:rPr>
    </w:pPr>
    <w:r>
      <w:rPr>
        <w:rFonts w:hAnsi="黑体"/>
      </w:rPr>
      <w:t>DB/T XXXX-2023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w:rPr>
        <w:rFonts w:hAnsi="黑体"/>
      </w:rPr>
      <w:t>Q/161 afafa-2019</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6E86"/>
    <w:rsid w:val="00003E65"/>
    <w:rsid w:val="00006859"/>
    <w:rsid w:val="000124C9"/>
    <w:rsid w:val="00013C4E"/>
    <w:rsid w:val="0003520B"/>
    <w:rsid w:val="00036D3E"/>
    <w:rsid w:val="0004182D"/>
    <w:rsid w:val="00044695"/>
    <w:rsid w:val="0005028C"/>
    <w:rsid w:val="000528B5"/>
    <w:rsid w:val="0006655A"/>
    <w:rsid w:val="00084F20"/>
    <w:rsid w:val="00086B28"/>
    <w:rsid w:val="000963E7"/>
    <w:rsid w:val="00096704"/>
    <w:rsid w:val="000A4A8B"/>
    <w:rsid w:val="000A6EE6"/>
    <w:rsid w:val="000B06AD"/>
    <w:rsid w:val="000B39F4"/>
    <w:rsid w:val="000C3BF7"/>
    <w:rsid w:val="000D036C"/>
    <w:rsid w:val="001027F1"/>
    <w:rsid w:val="001067BB"/>
    <w:rsid w:val="001101BC"/>
    <w:rsid w:val="0012355A"/>
    <w:rsid w:val="0013512E"/>
    <w:rsid w:val="001363CF"/>
    <w:rsid w:val="00137CB3"/>
    <w:rsid w:val="00143EA8"/>
    <w:rsid w:val="00146CBE"/>
    <w:rsid w:val="00151078"/>
    <w:rsid w:val="001579B1"/>
    <w:rsid w:val="00172321"/>
    <w:rsid w:val="00183DDD"/>
    <w:rsid w:val="00185E38"/>
    <w:rsid w:val="00190045"/>
    <w:rsid w:val="001A337A"/>
    <w:rsid w:val="001A4391"/>
    <w:rsid w:val="001B4580"/>
    <w:rsid w:val="001D270B"/>
    <w:rsid w:val="001D2E6B"/>
    <w:rsid w:val="001D69DE"/>
    <w:rsid w:val="001E11A4"/>
    <w:rsid w:val="001E768B"/>
    <w:rsid w:val="001F0D9C"/>
    <w:rsid w:val="001F3DC7"/>
    <w:rsid w:val="001F705F"/>
    <w:rsid w:val="001F70D8"/>
    <w:rsid w:val="00224B3C"/>
    <w:rsid w:val="00243453"/>
    <w:rsid w:val="00256E4C"/>
    <w:rsid w:val="002669BD"/>
    <w:rsid w:val="00272CE2"/>
    <w:rsid w:val="0028462E"/>
    <w:rsid w:val="00287F24"/>
    <w:rsid w:val="0029451A"/>
    <w:rsid w:val="00295174"/>
    <w:rsid w:val="00296809"/>
    <w:rsid w:val="00297B4F"/>
    <w:rsid w:val="002A02CA"/>
    <w:rsid w:val="002A08E0"/>
    <w:rsid w:val="002A39A6"/>
    <w:rsid w:val="002B6638"/>
    <w:rsid w:val="002D6233"/>
    <w:rsid w:val="002D6E9A"/>
    <w:rsid w:val="002E0CC9"/>
    <w:rsid w:val="002E37C6"/>
    <w:rsid w:val="002F3AF5"/>
    <w:rsid w:val="00300896"/>
    <w:rsid w:val="00305E3D"/>
    <w:rsid w:val="0031108A"/>
    <w:rsid w:val="0031322B"/>
    <w:rsid w:val="003216BA"/>
    <w:rsid w:val="00325887"/>
    <w:rsid w:val="003347BA"/>
    <w:rsid w:val="00345463"/>
    <w:rsid w:val="00354A96"/>
    <w:rsid w:val="00361D37"/>
    <w:rsid w:val="00364DAF"/>
    <w:rsid w:val="00370271"/>
    <w:rsid w:val="00373FDC"/>
    <w:rsid w:val="0038103F"/>
    <w:rsid w:val="00393851"/>
    <w:rsid w:val="003A04F9"/>
    <w:rsid w:val="003A2D93"/>
    <w:rsid w:val="003A7EC0"/>
    <w:rsid w:val="003B5D9B"/>
    <w:rsid w:val="003B68BD"/>
    <w:rsid w:val="003C0F97"/>
    <w:rsid w:val="003C265E"/>
    <w:rsid w:val="003C41A1"/>
    <w:rsid w:val="003C582C"/>
    <w:rsid w:val="003C7DF3"/>
    <w:rsid w:val="003D4C2D"/>
    <w:rsid w:val="003F6138"/>
    <w:rsid w:val="00403FAE"/>
    <w:rsid w:val="0041071C"/>
    <w:rsid w:val="00421855"/>
    <w:rsid w:val="0043305C"/>
    <w:rsid w:val="00454784"/>
    <w:rsid w:val="004567BE"/>
    <w:rsid w:val="00457D80"/>
    <w:rsid w:val="004A7FA5"/>
    <w:rsid w:val="004B2E39"/>
    <w:rsid w:val="004B3D6E"/>
    <w:rsid w:val="004C1FC2"/>
    <w:rsid w:val="004D3955"/>
    <w:rsid w:val="004F399F"/>
    <w:rsid w:val="004F532C"/>
    <w:rsid w:val="0050440D"/>
    <w:rsid w:val="00506A00"/>
    <w:rsid w:val="005077DC"/>
    <w:rsid w:val="00516965"/>
    <w:rsid w:val="0053047B"/>
    <w:rsid w:val="00530A58"/>
    <w:rsid w:val="005326F4"/>
    <w:rsid w:val="00533AEF"/>
    <w:rsid w:val="00546487"/>
    <w:rsid w:val="00550D8C"/>
    <w:rsid w:val="00554582"/>
    <w:rsid w:val="00556333"/>
    <w:rsid w:val="00561557"/>
    <w:rsid w:val="0056218C"/>
    <w:rsid w:val="0056676B"/>
    <w:rsid w:val="00593409"/>
    <w:rsid w:val="005B06B3"/>
    <w:rsid w:val="005D1300"/>
    <w:rsid w:val="005E1523"/>
    <w:rsid w:val="005E6BB6"/>
    <w:rsid w:val="005F5E61"/>
    <w:rsid w:val="00611171"/>
    <w:rsid w:val="00617EAF"/>
    <w:rsid w:val="0063153B"/>
    <w:rsid w:val="0063726C"/>
    <w:rsid w:val="00645313"/>
    <w:rsid w:val="006454CB"/>
    <w:rsid w:val="0064567B"/>
    <w:rsid w:val="0065002C"/>
    <w:rsid w:val="00673B10"/>
    <w:rsid w:val="0069025D"/>
    <w:rsid w:val="006A0281"/>
    <w:rsid w:val="006B5F05"/>
    <w:rsid w:val="006B7F75"/>
    <w:rsid w:val="006E1FC8"/>
    <w:rsid w:val="006E202D"/>
    <w:rsid w:val="006E2D05"/>
    <w:rsid w:val="006E3AF1"/>
    <w:rsid w:val="006E7E6E"/>
    <w:rsid w:val="006F5593"/>
    <w:rsid w:val="00717B5E"/>
    <w:rsid w:val="00721E37"/>
    <w:rsid w:val="00724740"/>
    <w:rsid w:val="00724CF0"/>
    <w:rsid w:val="00744283"/>
    <w:rsid w:val="0075083B"/>
    <w:rsid w:val="00752C03"/>
    <w:rsid w:val="00770F48"/>
    <w:rsid w:val="007867AD"/>
    <w:rsid w:val="00791BA1"/>
    <w:rsid w:val="007A313B"/>
    <w:rsid w:val="007D2F36"/>
    <w:rsid w:val="007D5CEA"/>
    <w:rsid w:val="007E7CAF"/>
    <w:rsid w:val="00803F66"/>
    <w:rsid w:val="00820074"/>
    <w:rsid w:val="00822300"/>
    <w:rsid w:val="008237B6"/>
    <w:rsid w:val="0083518F"/>
    <w:rsid w:val="008362D7"/>
    <w:rsid w:val="008402FC"/>
    <w:rsid w:val="0084604C"/>
    <w:rsid w:val="008555BB"/>
    <w:rsid w:val="00863E85"/>
    <w:rsid w:val="00882BFF"/>
    <w:rsid w:val="00885883"/>
    <w:rsid w:val="008973AE"/>
    <w:rsid w:val="008A1D50"/>
    <w:rsid w:val="008A1F5F"/>
    <w:rsid w:val="008A2B9E"/>
    <w:rsid w:val="008A46F1"/>
    <w:rsid w:val="008B21C6"/>
    <w:rsid w:val="008E2069"/>
    <w:rsid w:val="008F3D06"/>
    <w:rsid w:val="008F7C95"/>
    <w:rsid w:val="00907431"/>
    <w:rsid w:val="009144B8"/>
    <w:rsid w:val="009149F0"/>
    <w:rsid w:val="009226F4"/>
    <w:rsid w:val="00937BCF"/>
    <w:rsid w:val="0095339F"/>
    <w:rsid w:val="00966645"/>
    <w:rsid w:val="009729C6"/>
    <w:rsid w:val="00984E10"/>
    <w:rsid w:val="009B0B9C"/>
    <w:rsid w:val="009B1717"/>
    <w:rsid w:val="009B5933"/>
    <w:rsid w:val="009B79AE"/>
    <w:rsid w:val="009C002E"/>
    <w:rsid w:val="009E47BD"/>
    <w:rsid w:val="009F067E"/>
    <w:rsid w:val="009F16AC"/>
    <w:rsid w:val="009F5BF9"/>
    <w:rsid w:val="00A22531"/>
    <w:rsid w:val="00A26D06"/>
    <w:rsid w:val="00A32CB2"/>
    <w:rsid w:val="00A47485"/>
    <w:rsid w:val="00A5329E"/>
    <w:rsid w:val="00A6153C"/>
    <w:rsid w:val="00A65B68"/>
    <w:rsid w:val="00A747B7"/>
    <w:rsid w:val="00A839E2"/>
    <w:rsid w:val="00A83E27"/>
    <w:rsid w:val="00A85253"/>
    <w:rsid w:val="00A90016"/>
    <w:rsid w:val="00AA1356"/>
    <w:rsid w:val="00AA26C3"/>
    <w:rsid w:val="00AB3770"/>
    <w:rsid w:val="00AD2BA8"/>
    <w:rsid w:val="00AD4511"/>
    <w:rsid w:val="00AF5424"/>
    <w:rsid w:val="00AF5EB9"/>
    <w:rsid w:val="00AF7424"/>
    <w:rsid w:val="00B06164"/>
    <w:rsid w:val="00B074F5"/>
    <w:rsid w:val="00B07B9E"/>
    <w:rsid w:val="00B1340B"/>
    <w:rsid w:val="00B15EDE"/>
    <w:rsid w:val="00B25115"/>
    <w:rsid w:val="00B314C7"/>
    <w:rsid w:val="00B36597"/>
    <w:rsid w:val="00B36A26"/>
    <w:rsid w:val="00B4496B"/>
    <w:rsid w:val="00B86B8C"/>
    <w:rsid w:val="00B91739"/>
    <w:rsid w:val="00B96074"/>
    <w:rsid w:val="00BA52A2"/>
    <w:rsid w:val="00BC2334"/>
    <w:rsid w:val="00BC42D7"/>
    <w:rsid w:val="00BC51F3"/>
    <w:rsid w:val="00BD5889"/>
    <w:rsid w:val="00BE2913"/>
    <w:rsid w:val="00BE5450"/>
    <w:rsid w:val="00BF0148"/>
    <w:rsid w:val="00BF08DF"/>
    <w:rsid w:val="00C011DB"/>
    <w:rsid w:val="00C0252C"/>
    <w:rsid w:val="00C2725B"/>
    <w:rsid w:val="00C40119"/>
    <w:rsid w:val="00C439A4"/>
    <w:rsid w:val="00C43B6B"/>
    <w:rsid w:val="00C500A5"/>
    <w:rsid w:val="00C6394A"/>
    <w:rsid w:val="00C71AA2"/>
    <w:rsid w:val="00C76E86"/>
    <w:rsid w:val="00C8196E"/>
    <w:rsid w:val="00C85601"/>
    <w:rsid w:val="00C86CB1"/>
    <w:rsid w:val="00CA19B4"/>
    <w:rsid w:val="00CC32E2"/>
    <w:rsid w:val="00CC7BCF"/>
    <w:rsid w:val="00CD57E1"/>
    <w:rsid w:val="00CF1791"/>
    <w:rsid w:val="00CF29C2"/>
    <w:rsid w:val="00D016E7"/>
    <w:rsid w:val="00D0646D"/>
    <w:rsid w:val="00D13848"/>
    <w:rsid w:val="00D20244"/>
    <w:rsid w:val="00D33F1E"/>
    <w:rsid w:val="00D376C7"/>
    <w:rsid w:val="00D44023"/>
    <w:rsid w:val="00D44543"/>
    <w:rsid w:val="00D52C2E"/>
    <w:rsid w:val="00D53921"/>
    <w:rsid w:val="00D61E00"/>
    <w:rsid w:val="00D65767"/>
    <w:rsid w:val="00D74636"/>
    <w:rsid w:val="00D834F3"/>
    <w:rsid w:val="00DA42B9"/>
    <w:rsid w:val="00DA797C"/>
    <w:rsid w:val="00DB0348"/>
    <w:rsid w:val="00DC0D2D"/>
    <w:rsid w:val="00DC16C3"/>
    <w:rsid w:val="00DC2661"/>
    <w:rsid w:val="00DC3F5F"/>
    <w:rsid w:val="00DD730C"/>
    <w:rsid w:val="00DE46CF"/>
    <w:rsid w:val="00E0127E"/>
    <w:rsid w:val="00E021EE"/>
    <w:rsid w:val="00E135F0"/>
    <w:rsid w:val="00E1378E"/>
    <w:rsid w:val="00E24BA1"/>
    <w:rsid w:val="00E37DC1"/>
    <w:rsid w:val="00E60EB9"/>
    <w:rsid w:val="00E65D0E"/>
    <w:rsid w:val="00E71B62"/>
    <w:rsid w:val="00E75538"/>
    <w:rsid w:val="00E76FE3"/>
    <w:rsid w:val="00E91A1F"/>
    <w:rsid w:val="00EA38D4"/>
    <w:rsid w:val="00EB4051"/>
    <w:rsid w:val="00EC57BA"/>
    <w:rsid w:val="00ED66D8"/>
    <w:rsid w:val="00EE6493"/>
    <w:rsid w:val="00EF3CB3"/>
    <w:rsid w:val="00EF4AD3"/>
    <w:rsid w:val="00EF4E63"/>
    <w:rsid w:val="00F0084A"/>
    <w:rsid w:val="00F025E5"/>
    <w:rsid w:val="00F02AC7"/>
    <w:rsid w:val="00F06A97"/>
    <w:rsid w:val="00F13A07"/>
    <w:rsid w:val="00F1490B"/>
    <w:rsid w:val="00F1494C"/>
    <w:rsid w:val="00F156A7"/>
    <w:rsid w:val="00F255EC"/>
    <w:rsid w:val="00F308C9"/>
    <w:rsid w:val="00F37B4D"/>
    <w:rsid w:val="00F40DA3"/>
    <w:rsid w:val="00F44F9B"/>
    <w:rsid w:val="00F50D4C"/>
    <w:rsid w:val="00F541BB"/>
    <w:rsid w:val="00F550AA"/>
    <w:rsid w:val="00F67077"/>
    <w:rsid w:val="00F77C85"/>
    <w:rsid w:val="00FA3E19"/>
    <w:rsid w:val="00FB02C5"/>
    <w:rsid w:val="00FB18B2"/>
    <w:rsid w:val="00FC1378"/>
    <w:rsid w:val="00FC357E"/>
    <w:rsid w:val="00FC3842"/>
    <w:rsid w:val="00FF6F4D"/>
    <w:rsid w:val="BFC869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53"/>
    <w:unhideWhenUsed/>
    <w:qFormat/>
    <w:uiPriority w:val="9"/>
    <w:pPr>
      <w:keepNext/>
      <w:keepLines/>
      <w:spacing w:before="240" w:after="240"/>
      <w:outlineLvl w:val="1"/>
    </w:pPr>
    <w:rPr>
      <w:rFonts w:ascii="黑体" w:hAnsi="黑体" w:eastAsia="黑体" w:cs="Times New Roman"/>
      <w:bCs/>
      <w:szCs w:val="32"/>
    </w:rPr>
  </w:style>
  <w:style w:type="paragraph" w:styleId="4">
    <w:name w:val="heading 3"/>
    <w:basedOn w:val="1"/>
    <w:next w:val="1"/>
    <w:link w:val="24"/>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46"/>
    <w:semiHidden/>
    <w:qFormat/>
    <w:uiPriority w:val="0"/>
    <w:pPr>
      <w:shd w:val="clear" w:color="auto" w:fill="000080"/>
    </w:pPr>
    <w:rPr>
      <w:rFonts w:ascii="Times New Roman" w:hAnsi="Times New Roman" w:eastAsia="宋体" w:cs="Times New Roman"/>
      <w:szCs w:val="24"/>
    </w:rPr>
  </w:style>
  <w:style w:type="paragraph" w:styleId="6">
    <w:name w:val="annotation text"/>
    <w:basedOn w:val="1"/>
    <w:link w:val="47"/>
    <w:qFormat/>
    <w:uiPriority w:val="0"/>
    <w:pPr>
      <w:jc w:val="left"/>
    </w:pPr>
    <w:rPr>
      <w:rFonts w:ascii="Times New Roman" w:hAnsi="Times New Roman" w:eastAsia="宋体" w:cs="Times New Roman"/>
      <w:szCs w:val="24"/>
    </w:rPr>
  </w:style>
  <w:style w:type="paragraph" w:styleId="7">
    <w:name w:val="Body Text"/>
    <w:basedOn w:val="1"/>
    <w:link w:val="50"/>
    <w:qFormat/>
    <w:uiPriority w:val="0"/>
    <w:pPr>
      <w:tabs>
        <w:tab w:val="left" w:pos="6750"/>
      </w:tabs>
    </w:pPr>
    <w:rPr>
      <w:rFonts w:ascii="Times New Roman" w:hAnsi="Times New Roman" w:eastAsia="宋体" w:cs="Times New Roman"/>
      <w:sz w:val="30"/>
      <w:szCs w:val="24"/>
    </w:rPr>
  </w:style>
  <w:style w:type="paragraph" w:styleId="8">
    <w:name w:val="Date"/>
    <w:basedOn w:val="1"/>
    <w:next w:val="1"/>
    <w:link w:val="44"/>
    <w:qFormat/>
    <w:uiPriority w:val="0"/>
    <w:pPr>
      <w:ind w:left="100" w:leftChars="2500"/>
    </w:pPr>
    <w:rPr>
      <w:rFonts w:ascii="Times New Roman" w:hAnsi="Times New Roman" w:eastAsia="宋体" w:cs="Times New Roman"/>
      <w:szCs w:val="24"/>
    </w:rPr>
  </w:style>
  <w:style w:type="paragraph" w:styleId="9">
    <w:name w:val="Balloon Text"/>
    <w:basedOn w:val="1"/>
    <w:link w:val="49"/>
    <w:qFormat/>
    <w:uiPriority w:val="0"/>
    <w:rPr>
      <w:rFonts w:ascii="Times New Roman" w:hAnsi="Times New Roman" w:eastAsia="宋体" w:cs="Times New Roman"/>
      <w:sz w:val="18"/>
      <w:szCs w:val="18"/>
    </w:rPr>
  </w:style>
  <w:style w:type="paragraph" w:styleId="10">
    <w:name w:val="footer"/>
    <w:basedOn w:val="1"/>
    <w:link w:val="26"/>
    <w:unhideWhenUsed/>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1">
    <w:name w:val="header"/>
    <w:basedOn w:val="1"/>
    <w:link w:val="25"/>
    <w:unhideWhenUsed/>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2">
    <w:name w:val="toc 1"/>
    <w:basedOn w:val="1"/>
    <w:next w:val="1"/>
    <w:qFormat/>
    <w:uiPriority w:val="39"/>
    <w:pPr>
      <w:tabs>
        <w:tab w:val="right" w:leader="dot" w:pos="9241"/>
      </w:tabs>
      <w:spacing w:before="25" w:beforeLines="25" w:after="25" w:afterLines="25"/>
      <w:jc w:val="left"/>
    </w:pPr>
    <w:rPr>
      <w:rFonts w:ascii="宋体" w:hAnsi="Times New Roman" w:eastAsia="宋体" w:cs="Times New Roman"/>
      <w:szCs w:val="21"/>
    </w:rPr>
  </w:style>
  <w:style w:type="paragraph" w:styleId="13">
    <w:name w:val="toc 2"/>
    <w:basedOn w:val="1"/>
    <w:next w:val="1"/>
    <w:unhideWhenUsed/>
    <w:qFormat/>
    <w:uiPriority w:val="39"/>
    <w:pPr>
      <w:ind w:left="420" w:leftChars="200"/>
    </w:pPr>
  </w:style>
  <w:style w:type="paragraph" w:styleId="1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annotation subject"/>
    <w:basedOn w:val="6"/>
    <w:next w:val="6"/>
    <w:link w:val="48"/>
    <w:qFormat/>
    <w:uiPriority w:val="0"/>
    <w:rPr>
      <w:b/>
      <w:bCs/>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22"/>
    <w:rPr>
      <w:b/>
      <w:bCs/>
    </w:rPr>
  </w:style>
  <w:style w:type="character" w:styleId="20">
    <w:name w:val="page number"/>
    <w:basedOn w:val="18"/>
    <w:qFormat/>
    <w:uiPriority w:val="0"/>
  </w:style>
  <w:style w:type="character" w:styleId="21">
    <w:name w:val="Emphasis"/>
    <w:basedOn w:val="18"/>
    <w:qFormat/>
    <w:uiPriority w:val="20"/>
    <w:rPr>
      <w:i/>
      <w:iCs/>
    </w:rPr>
  </w:style>
  <w:style w:type="character" w:styleId="22">
    <w:name w:val="Hyperlink"/>
    <w:qFormat/>
    <w:uiPriority w:val="99"/>
    <w:rPr>
      <w:color w:val="0000FF"/>
      <w:spacing w:val="0"/>
      <w:w w:val="100"/>
      <w:szCs w:val="21"/>
      <w:u w:val="single"/>
      <w:lang w:val="en-US" w:eastAsia="zh-CN"/>
    </w:rPr>
  </w:style>
  <w:style w:type="character" w:styleId="23">
    <w:name w:val="annotation reference"/>
    <w:qFormat/>
    <w:uiPriority w:val="0"/>
    <w:rPr>
      <w:sz w:val="21"/>
      <w:szCs w:val="21"/>
    </w:rPr>
  </w:style>
  <w:style w:type="character" w:customStyle="1" w:styleId="24">
    <w:name w:val="标题 3 Char"/>
    <w:basedOn w:val="18"/>
    <w:link w:val="4"/>
    <w:qFormat/>
    <w:uiPriority w:val="9"/>
    <w:rPr>
      <w:rFonts w:ascii="宋体" w:hAnsi="宋体" w:eastAsia="宋体" w:cs="宋体"/>
      <w:b/>
      <w:bCs/>
      <w:kern w:val="0"/>
      <w:sz w:val="27"/>
      <w:szCs w:val="27"/>
    </w:rPr>
  </w:style>
  <w:style w:type="character" w:customStyle="1" w:styleId="25">
    <w:name w:val="页眉 Char"/>
    <w:basedOn w:val="18"/>
    <w:link w:val="11"/>
    <w:qFormat/>
    <w:uiPriority w:val="99"/>
    <w:rPr>
      <w:rFonts w:ascii="Times New Roman" w:hAnsi="Times New Roman" w:eastAsia="宋体" w:cs="Times New Roman"/>
      <w:sz w:val="18"/>
      <w:szCs w:val="18"/>
    </w:rPr>
  </w:style>
  <w:style w:type="character" w:customStyle="1" w:styleId="26">
    <w:name w:val="页脚 Char"/>
    <w:basedOn w:val="18"/>
    <w:link w:val="10"/>
    <w:qFormat/>
    <w:uiPriority w:val="99"/>
    <w:rPr>
      <w:rFonts w:ascii="Times New Roman" w:hAnsi="Times New Roman" w:eastAsia="宋体" w:cs="Times New Roman"/>
      <w:sz w:val="18"/>
      <w:szCs w:val="18"/>
    </w:rPr>
  </w:style>
  <w:style w:type="character" w:customStyle="1" w:styleId="27">
    <w:name w:val="段 Char"/>
    <w:link w:val="28"/>
    <w:qFormat/>
    <w:uiPriority w:val="0"/>
    <w:rPr>
      <w:rFonts w:ascii="宋体"/>
    </w:rPr>
  </w:style>
  <w:style w:type="paragraph" w:customStyle="1" w:styleId="28">
    <w:name w:val="段"/>
    <w:link w:val="27"/>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kern w:val="2"/>
      <w:sz w:val="21"/>
      <w:szCs w:val="22"/>
      <w:lang w:val="en-US" w:eastAsia="zh-CN" w:bidi="ar-SA"/>
    </w:rPr>
  </w:style>
  <w:style w:type="character" w:customStyle="1" w:styleId="29">
    <w:name w:val="发布"/>
    <w:qFormat/>
    <w:uiPriority w:val="0"/>
    <w:rPr>
      <w:rFonts w:ascii="黑体" w:eastAsia="黑体"/>
      <w:spacing w:val="85"/>
      <w:w w:val="100"/>
      <w:position w:val="3"/>
      <w:sz w:val="28"/>
      <w:szCs w:val="28"/>
    </w:rPr>
  </w:style>
  <w:style w:type="paragraph" w:customStyle="1" w:styleId="30">
    <w:name w:val="目次、标准名称标题"/>
    <w:basedOn w:val="1"/>
    <w:next w:val="28"/>
    <w:qFormat/>
    <w:uiPriority w:val="0"/>
    <w:pPr>
      <w:keepNext/>
      <w:pageBreakBefore/>
      <w:widowControl/>
      <w:shd w:val="clear" w:color="FFFFFF" w:fill="FFFFFF"/>
      <w:spacing w:before="640" w:after="560" w:line="460" w:lineRule="exact"/>
      <w:jc w:val="center"/>
      <w:outlineLvl w:val="0"/>
    </w:pPr>
    <w:rPr>
      <w:rFonts w:ascii="黑体" w:hAnsi="Times New Roman" w:eastAsia="黑体" w:cs="Times New Roman"/>
      <w:kern w:val="0"/>
      <w:sz w:val="32"/>
      <w:szCs w:val="20"/>
    </w:rPr>
  </w:style>
  <w:style w:type="paragraph" w:customStyle="1" w:styleId="31">
    <w:name w:val="标准书眉_奇数页"/>
    <w:next w:val="1"/>
    <w:qFormat/>
    <w:uiPriority w:val="0"/>
    <w:pPr>
      <w:tabs>
        <w:tab w:val="center" w:pos="4154"/>
        <w:tab w:val="right" w:pos="8306"/>
      </w:tabs>
      <w:spacing w:after="220"/>
      <w:jc w:val="right"/>
    </w:pPr>
    <w:rPr>
      <w:rFonts w:ascii="黑体" w:hAnsi="Times New Roman" w:eastAsia="黑体" w:cs="Times New Roman"/>
      <w:kern w:val="0"/>
      <w:sz w:val="21"/>
      <w:szCs w:val="21"/>
      <w:lang w:val="en-US" w:eastAsia="zh-CN" w:bidi="ar-SA"/>
    </w:rPr>
  </w:style>
  <w:style w:type="paragraph" w:customStyle="1" w:styleId="32">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kern w:val="0"/>
      <w:sz w:val="21"/>
      <w:szCs w:val="21"/>
      <w:lang w:val="en-US" w:eastAsia="zh-CN" w:bidi="ar-SA"/>
    </w:rPr>
  </w:style>
  <w:style w:type="paragraph" w:customStyle="1" w:styleId="33">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kern w:val="0"/>
      <w:sz w:val="52"/>
      <w:szCs w:val="20"/>
      <w:lang w:val="en-US" w:eastAsia="zh-CN" w:bidi="ar-SA"/>
    </w:rPr>
  </w:style>
  <w:style w:type="paragraph" w:customStyle="1" w:styleId="34">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kern w:val="0"/>
      <w:sz w:val="21"/>
      <w:szCs w:val="21"/>
      <w:lang w:val="en-US" w:eastAsia="zh-CN" w:bidi="ar-SA"/>
    </w:rPr>
  </w:style>
  <w:style w:type="paragraph" w:customStyle="1" w:styleId="35">
    <w:name w:val="一级条标题"/>
    <w:next w:val="28"/>
    <w:qFormat/>
    <w:uiPriority w:val="0"/>
    <w:pPr>
      <w:spacing w:before="156" w:beforeLines="50" w:after="156" w:afterLines="50"/>
      <w:outlineLvl w:val="2"/>
    </w:pPr>
    <w:rPr>
      <w:rFonts w:ascii="黑体" w:hAnsi="Times New Roman" w:eastAsia="黑体" w:cs="Times New Roman"/>
      <w:kern w:val="0"/>
      <w:sz w:val="21"/>
      <w:szCs w:val="21"/>
      <w:lang w:val="en-US" w:eastAsia="zh-CN" w:bidi="ar-SA"/>
    </w:rPr>
  </w:style>
  <w:style w:type="paragraph" w:customStyle="1" w:styleId="36">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kern w:val="0"/>
      <w:sz w:val="28"/>
      <w:szCs w:val="28"/>
      <w:lang w:val="en-US" w:eastAsia="zh-CN" w:bidi="ar-SA"/>
    </w:rPr>
  </w:style>
  <w:style w:type="paragraph" w:customStyle="1" w:styleId="37">
    <w:name w:val="其他发布日期"/>
    <w:basedOn w:val="1"/>
    <w:qFormat/>
    <w:uiPriority w:val="0"/>
    <w:pPr>
      <w:framePr w:w="3997" w:h="471" w:hRule="exact" w:vSpace="181" w:wrap="around" w:vAnchor="page" w:hAnchor="page" w:x="1419" w:y="14097" w:anchorLock="1"/>
      <w:widowControl/>
      <w:jc w:val="left"/>
    </w:pPr>
    <w:rPr>
      <w:rFonts w:ascii="Times New Roman" w:hAnsi="Times New Roman" w:eastAsia="黑体" w:cs="Times New Roman"/>
      <w:kern w:val="0"/>
      <w:sz w:val="28"/>
      <w:szCs w:val="20"/>
    </w:rPr>
  </w:style>
  <w:style w:type="paragraph" w:customStyle="1" w:styleId="38">
    <w:name w:val="其他实施日期"/>
    <w:basedOn w:val="1"/>
    <w:qFormat/>
    <w:uiPriority w:val="0"/>
    <w:pPr>
      <w:framePr w:w="3997" w:h="471" w:hRule="exact" w:vSpace="181" w:wrap="around" w:vAnchor="page" w:hAnchor="page" w:x="7089" w:y="14097" w:anchorLock="1"/>
      <w:widowControl/>
      <w:jc w:val="right"/>
    </w:pPr>
    <w:rPr>
      <w:rFonts w:ascii="Times New Roman" w:hAnsi="Times New Roman" w:eastAsia="黑体" w:cs="Times New Roman"/>
      <w:kern w:val="0"/>
      <w:sz w:val="28"/>
      <w:szCs w:val="20"/>
    </w:rPr>
  </w:style>
  <w:style w:type="paragraph" w:customStyle="1" w:styleId="39">
    <w:name w:val="章标题"/>
    <w:next w:val="28"/>
    <w:qFormat/>
    <w:uiPriority w:val="0"/>
    <w:pPr>
      <w:spacing w:before="312" w:beforeLines="100" w:after="312" w:afterLines="100"/>
      <w:jc w:val="both"/>
      <w:outlineLvl w:val="1"/>
    </w:pPr>
    <w:rPr>
      <w:rFonts w:ascii="黑体" w:hAnsi="Times New Roman" w:eastAsia="黑体" w:cs="Times New Roman"/>
      <w:kern w:val="0"/>
      <w:sz w:val="21"/>
      <w:szCs w:val="20"/>
      <w:lang w:val="en-US" w:eastAsia="zh-CN" w:bidi="ar-SA"/>
    </w:rPr>
  </w:style>
  <w:style w:type="paragraph" w:customStyle="1" w:styleId="40">
    <w:name w:val="终结线"/>
    <w:basedOn w:val="1"/>
    <w:qFormat/>
    <w:uiPriority w:val="0"/>
    <w:pPr>
      <w:framePr w:hSpace="181" w:vSpace="181" w:wrap="around" w:vAnchor="text" w:hAnchor="margin" w:xAlign="center" w:y="285"/>
    </w:pPr>
    <w:rPr>
      <w:rFonts w:ascii="Times New Roman" w:hAnsi="Times New Roman" w:eastAsia="宋体" w:cs="Times New Roman"/>
      <w:szCs w:val="24"/>
    </w:rPr>
  </w:style>
  <w:style w:type="paragraph" w:customStyle="1" w:styleId="41">
    <w:name w:val="其他标准标志"/>
    <w:basedOn w:val="1"/>
    <w:qFormat/>
    <w:uiPriority w:val="0"/>
    <w:pPr>
      <w:framePr w:w="6101" w:h="1389" w:hRule="exact" w:hSpace="181" w:vSpace="181" w:wrap="around" w:vAnchor="page" w:hAnchor="page" w:x="4673" w:y="942" w:anchorLock="1"/>
      <w:widowControl/>
      <w:shd w:val="solid" w:color="FFFFFF" w:fill="FFFFFF"/>
      <w:spacing w:line="0" w:lineRule="atLeast"/>
      <w:jc w:val="right"/>
    </w:pPr>
    <w:rPr>
      <w:rFonts w:ascii="Times New Roman" w:hAnsi="Times New Roman" w:eastAsia="宋体" w:cs="Times New Roman"/>
      <w:b/>
      <w:w w:val="130"/>
      <w:kern w:val="0"/>
      <w:sz w:val="96"/>
      <w:szCs w:val="96"/>
    </w:rPr>
  </w:style>
  <w:style w:type="paragraph" w:customStyle="1" w:styleId="42">
    <w:name w:val="其他发布部门"/>
    <w:basedOn w:val="1"/>
    <w:qFormat/>
    <w:uiPriority w:val="0"/>
    <w:pPr>
      <w:framePr w:w="7938" w:h="1134" w:hRule="exact" w:hSpace="125" w:vSpace="181" w:wrap="around" w:vAnchor="page" w:hAnchor="page" w:x="2150" w:y="15310" w:anchorLock="1"/>
      <w:widowControl/>
      <w:spacing w:line="0" w:lineRule="atLeast"/>
      <w:jc w:val="center"/>
    </w:pPr>
    <w:rPr>
      <w:rFonts w:ascii="黑体" w:hAnsi="Times New Roman" w:eastAsia="黑体" w:cs="Times New Roman"/>
      <w:spacing w:val="20"/>
      <w:w w:val="135"/>
      <w:kern w:val="0"/>
      <w:sz w:val="28"/>
      <w:szCs w:val="20"/>
    </w:rPr>
  </w:style>
  <w:style w:type="paragraph" w:styleId="43">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44">
    <w:name w:val="日期 Char"/>
    <w:basedOn w:val="18"/>
    <w:link w:val="8"/>
    <w:qFormat/>
    <w:uiPriority w:val="0"/>
    <w:rPr>
      <w:rFonts w:ascii="Times New Roman" w:hAnsi="Times New Roman" w:eastAsia="宋体" w:cs="Times New Roman"/>
      <w:szCs w:val="24"/>
    </w:rPr>
  </w:style>
  <w:style w:type="paragraph" w:customStyle="1" w:styleId="45">
    <w:name w:val="Char"/>
    <w:basedOn w:val="5"/>
    <w:qFormat/>
    <w:uiPriority w:val="0"/>
    <w:rPr>
      <w:rFonts w:ascii="Tahoma" w:hAnsi="Tahoma"/>
      <w:sz w:val="24"/>
    </w:rPr>
  </w:style>
  <w:style w:type="character" w:customStyle="1" w:styleId="46">
    <w:name w:val="文档结构图 Char"/>
    <w:basedOn w:val="18"/>
    <w:link w:val="5"/>
    <w:semiHidden/>
    <w:qFormat/>
    <w:uiPriority w:val="0"/>
    <w:rPr>
      <w:rFonts w:ascii="Times New Roman" w:hAnsi="Times New Roman" w:eastAsia="宋体" w:cs="Times New Roman"/>
      <w:szCs w:val="24"/>
      <w:shd w:val="clear" w:color="auto" w:fill="000080"/>
    </w:rPr>
  </w:style>
  <w:style w:type="character" w:customStyle="1" w:styleId="47">
    <w:name w:val="批注文字 Char"/>
    <w:basedOn w:val="18"/>
    <w:link w:val="6"/>
    <w:qFormat/>
    <w:uiPriority w:val="0"/>
    <w:rPr>
      <w:rFonts w:ascii="Times New Roman" w:hAnsi="Times New Roman" w:eastAsia="宋体" w:cs="Times New Roman"/>
      <w:szCs w:val="24"/>
    </w:rPr>
  </w:style>
  <w:style w:type="character" w:customStyle="1" w:styleId="48">
    <w:name w:val="批注主题 Char"/>
    <w:basedOn w:val="47"/>
    <w:link w:val="15"/>
    <w:qFormat/>
    <w:uiPriority w:val="0"/>
    <w:rPr>
      <w:rFonts w:ascii="Times New Roman" w:hAnsi="Times New Roman" w:eastAsia="宋体" w:cs="Times New Roman"/>
      <w:b/>
      <w:bCs/>
      <w:szCs w:val="24"/>
    </w:rPr>
  </w:style>
  <w:style w:type="character" w:customStyle="1" w:styleId="49">
    <w:name w:val="批注框文本 Char"/>
    <w:basedOn w:val="18"/>
    <w:link w:val="9"/>
    <w:qFormat/>
    <w:uiPriority w:val="0"/>
    <w:rPr>
      <w:rFonts w:ascii="Times New Roman" w:hAnsi="Times New Roman" w:eastAsia="宋体" w:cs="Times New Roman"/>
      <w:sz w:val="18"/>
      <w:szCs w:val="18"/>
    </w:rPr>
  </w:style>
  <w:style w:type="character" w:customStyle="1" w:styleId="50">
    <w:name w:val="正文文本 Char"/>
    <w:basedOn w:val="18"/>
    <w:link w:val="7"/>
    <w:qFormat/>
    <w:uiPriority w:val="0"/>
    <w:rPr>
      <w:rFonts w:ascii="Times New Roman" w:hAnsi="Times New Roman" w:eastAsia="宋体" w:cs="Times New Roman"/>
      <w:sz w:val="30"/>
      <w:szCs w:val="24"/>
    </w:rPr>
  </w:style>
  <w:style w:type="paragraph" w:styleId="51">
    <w:name w:val="List Paragraph"/>
    <w:basedOn w:val="1"/>
    <w:qFormat/>
    <w:uiPriority w:val="99"/>
    <w:pPr>
      <w:ind w:firstLine="420" w:firstLineChars="200"/>
    </w:pPr>
    <w:rPr>
      <w:rFonts w:ascii="Calibri" w:hAnsi="Calibri" w:eastAsia="宋体" w:cs="Times New Roman"/>
    </w:rPr>
  </w:style>
  <w:style w:type="character" w:customStyle="1" w:styleId="52">
    <w:name w:val="标题 1 Char"/>
    <w:basedOn w:val="18"/>
    <w:link w:val="2"/>
    <w:qFormat/>
    <w:uiPriority w:val="9"/>
    <w:rPr>
      <w:b/>
      <w:bCs/>
      <w:kern w:val="44"/>
      <w:sz w:val="44"/>
      <w:szCs w:val="44"/>
    </w:rPr>
  </w:style>
  <w:style w:type="character" w:customStyle="1" w:styleId="53">
    <w:name w:val="标题 2 Char"/>
    <w:basedOn w:val="18"/>
    <w:link w:val="3"/>
    <w:qFormat/>
    <w:uiPriority w:val="9"/>
    <w:rPr>
      <w:rFonts w:ascii="黑体" w:hAnsi="黑体" w:eastAsia="黑体" w:cs="Times New Roman"/>
      <w:bCs/>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1470</Words>
  <Characters>8380</Characters>
  <Lines>69</Lines>
  <Paragraphs>19</Paragraphs>
  <TotalTime>301</TotalTime>
  <ScaleCrop>false</ScaleCrop>
  <LinksUpToDate>false</LinksUpToDate>
  <CharactersWithSpaces>9831</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2023-05-17T16:10:00Z</dcterms:created>
  <dc:creator>隋志强</dc:creator>
  <cp:lastModifiedBy>uos</cp:lastModifiedBy>
  <dcterms:modified xsi:type="dcterms:W3CDTF">2024-04-24T08:20:16Z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