
<file path=[Content_Types].xml><?xml version="1.0" encoding="utf-8"?>
<Types xmlns="http://schemas.openxmlformats.org/package/2006/content-types">
  <Default Extension="xml" ContentType="application/xml"/>
  <Default Extension="jpeg" ContentType="image/jpe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 </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pic:cNvPicPr>
                        </pic:nvPicPr>
                        <pic:blipFill>
                          <a:blip r:embed="rId15" cstate="print">
                            <a:extLst>
                              <a:ext uri="{28A0092B-C50C-407E-A947-70E740481C1C}">
                                <a14:useLocalDpi xmlns:a14="http://schemas.microsoft.com/office/drawing/2010/main" val="false"/>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13</w:t>
            </w:r>
            <w:r>
              <w:fldChar w:fldCharType="end"/>
            </w:r>
            <w:bookmarkEnd w:id="3"/>
          </w:p>
        </w:tc>
      </w:tr>
    </w:tbl>
    <w:p>
      <w:pPr>
        <w:pStyle w:val="50"/>
        <w:framePr w:w="9639" w:h="624" w:hRule="exact" w:hSpace="181" w:vSpace="181"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5"/>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lang w:val="fr-FR"/>
        </w:rPr>
        <w:t>13</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6"/>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ng0mW2AAAAAwB&#10;AAAPAAAAAAAAAAEAIAAAADgAAABkcnMvZG93bnJldi54bWxQSwECFAAUAAAACACHTuJASfTgWswB&#10;AABhAwAADgAAAAAAAAABACAAAAA9AQAAZHJzL2Uyb0RvYy54bWxQSwUGAAAAAAYABgBZAQAAewUA&#10;AAAA&#10;">
                <v:fill on="f" focussize="0,0"/>
                <v:stroke color="#000000" joinstyle="round"/>
                <v:imagedata o:title=""/>
                <o:lock v:ext="edit" aspectratio="f"/>
              </v:line>
            </w:pict>
          </mc:Fallback>
        </mc:AlternateContent>
      </w:r>
    </w:p>
    <w:p>
      <w:pPr>
        <w:pStyle w:val="50"/>
        <w:framePr w:w="9639" w:h="6976" w:hRule="exact" w:hSpace="0" w:vSpace="0" w:hAnchor="page" w:y="6408"/>
        <w:jc w:val="center"/>
        <w:rPr>
          <w:rFonts w:ascii="黑体" w:hAnsi="黑体" w:eastAsia="黑体"/>
          <w:b w:val="0"/>
          <w:bCs w:val="0"/>
          <w:w w:val="100"/>
        </w:rPr>
      </w:pPr>
    </w:p>
    <w:p>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bookmarkStart w:id="46" w:name="_GoBack"/>
      <w:bookmarkEnd w:id="46"/>
      <w:r>
        <w:t>红皮梨生产技术规程</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hint="eastAsia" w:ascii="黑体" w:hAnsi="黑体" w:eastAsia="黑体"/>
          <w:szCs w:val="28"/>
        </w:rPr>
        <w:t xml:space="preserve"> </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河北</w:t>
      </w:r>
      <w:r>
        <w:rPr>
          <w:rFonts w:hAnsi="黑体"/>
          <w:w w:val="100"/>
          <w:sz w:val="28"/>
        </w:rPr>
        <w:t>省市场监督管理局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rMxz71wAAAA4BAAAP&#10;AAAAAAAAAAEAIAAAADgAAABkcnMvZG93bnJldi54bWxQSwECFAAUAAAACACHTuJAEc9x0soBAABf&#10;AwAADgAAAAAAAAABACAAAAA8AQAAZHJzL2Uyb0RvYy54bWxQSwUGAAAAAAYABgBZAQAAeAUAAAAA&#10;">
                <v:fill on="f" focussize="0,0"/>
                <v:stroke color="#000000" joinstyle="round"/>
                <v:imagedata o:title=""/>
                <o:lock v:ext="edit" aspectratio="f"/>
                <w10:anchorlock/>
              </v:line>
            </w:pict>
          </mc:Fallback>
        </mc:AlternateContent>
      </w:r>
    </w:p>
    <w:p>
      <w:pPr>
        <w:pStyle w:val="89"/>
        <w:spacing w:before="900" w:after="468"/>
      </w:pPr>
      <w:bookmarkStart w:id="21" w:name="BookMark2"/>
      <w:r>
        <w:rPr>
          <w:spacing w:val="320"/>
        </w:rPr>
        <w:t>前</w:t>
      </w:r>
      <w:r>
        <w:t>言</w:t>
      </w:r>
    </w:p>
    <w:p>
      <w:pPr>
        <w:pStyle w:val="56"/>
        <w:ind w:firstLine="420"/>
      </w:pPr>
      <w:r>
        <w:rPr>
          <w:rFonts w:hint="eastAsia"/>
        </w:rPr>
        <w:t>本文件按照GB/T 1.1—2020《标准化工作导则  第1部分：标准化文件的结构和起草规则》的规定起草。</w:t>
      </w:r>
    </w:p>
    <w:p>
      <w:pPr>
        <w:pStyle w:val="56"/>
        <w:ind w:firstLine="420"/>
      </w:pPr>
      <w:r>
        <w:rPr>
          <w:rFonts w:hint="eastAsia"/>
        </w:rPr>
        <w:t>本文件由衡水市市场监督管理局提出。</w:t>
      </w:r>
    </w:p>
    <w:p>
      <w:pPr>
        <w:pStyle w:val="56"/>
        <w:ind w:firstLine="420"/>
      </w:pPr>
      <w:r>
        <w:rPr>
          <w:rFonts w:hint="eastAsia"/>
        </w:rPr>
        <w:t>本文件起草单位：河北鑫鼎农业科技有限公司。</w:t>
      </w:r>
    </w:p>
    <w:p>
      <w:pPr>
        <w:pStyle w:val="56"/>
        <w:ind w:firstLine="420"/>
      </w:pPr>
      <w:r>
        <w:rPr>
          <w:rFonts w:hint="eastAsia"/>
        </w:rPr>
        <w:t>本文件主要起草人：王龙、张贺帅、刘铁铮、张海章、张存在、</w:t>
      </w:r>
      <w:r>
        <w:rPr>
          <w:rFonts w:hint="eastAsia"/>
          <w:lang w:val="en-US" w:eastAsia="zh-CN"/>
        </w:rPr>
        <w:t>周鸿韬、</w:t>
      </w:r>
      <w:r>
        <w:rPr>
          <w:rFonts w:hint="eastAsia"/>
        </w:rPr>
        <w:t>董秋芳、闫萍、骆文忠、孙金卓。</w:t>
      </w:r>
    </w:p>
    <w:p>
      <w:pPr>
        <w:pStyle w:val="56"/>
        <w:ind w:firstLine="420"/>
      </w:pPr>
    </w:p>
    <w:p>
      <w:pPr>
        <w:pStyle w:val="56"/>
        <w:ind w:firstLine="420"/>
      </w:pPr>
    </w:p>
    <w:p>
      <w:pPr>
        <w:pStyle w:val="56"/>
        <w:ind w:firstLine="420"/>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p>
    <w:bookmarkEnd w:id="21"/>
    <w:p>
      <w:pPr>
        <w:spacing w:line="20" w:lineRule="exact"/>
        <w:jc w:val="center"/>
        <w:rPr>
          <w:rFonts w:ascii="黑体" w:hAnsi="黑体" w:eastAsia="黑体"/>
          <w:sz w:val="32"/>
          <w:szCs w:val="32"/>
        </w:rPr>
      </w:pPr>
      <w:bookmarkStart w:id="22" w:name="BookMark4"/>
    </w:p>
    <w:p>
      <w:pPr>
        <w:spacing w:line="20" w:lineRule="exact"/>
        <w:jc w:val="center"/>
        <w:rPr>
          <w:rFonts w:ascii="黑体" w:hAnsi="黑体" w:eastAsia="黑体"/>
          <w:sz w:val="32"/>
          <w:szCs w:val="32"/>
        </w:rPr>
      </w:pPr>
    </w:p>
    <w:sdt>
      <w:sdtPr>
        <w:tag w:val="NEW_STAND_NAME"/>
        <w:id w:val="595910757"/>
        <w:lock w:val="sdtLocked"/>
        <w:placeholder>
          <w:docPart w:val="CDFBEEDC2AAF4C1A8D46D0647C14957F"/>
        </w:placeholder>
      </w:sdtPr>
      <w:sdtContent>
        <w:p>
          <w:pPr>
            <w:pStyle w:val="177"/>
            <w:spacing w:before="3" w:beforeLines="1" w:after="686" w:afterLines="220"/>
          </w:pPr>
          <w:bookmarkStart w:id="23" w:name="NEW_STAND_NAME"/>
          <w:r>
            <w:rPr>
              <w:rFonts w:hint="eastAsia"/>
            </w:rPr>
            <w:t>红皮梨生产技术规程</w:t>
          </w:r>
        </w:p>
      </w:sdtContent>
    </w:sdt>
    <w:bookmarkEnd w:id="23"/>
    <w:p>
      <w:pPr>
        <w:pStyle w:val="104"/>
        <w:spacing w:before="312" w:after="312"/>
      </w:pPr>
      <w:bookmarkStart w:id="24" w:name="_Toc26648465"/>
      <w:bookmarkStart w:id="25" w:name="_Toc24884218"/>
      <w:bookmarkStart w:id="26" w:name="_Toc26986771"/>
      <w:bookmarkStart w:id="27" w:name="_Toc26718930"/>
      <w:bookmarkStart w:id="28" w:name="_Toc97191423"/>
      <w:bookmarkStart w:id="29" w:name="_Toc17233325"/>
      <w:bookmarkStart w:id="30" w:name="_Toc26986530"/>
      <w:bookmarkStart w:id="31" w:name="_Toc17233333"/>
      <w:bookmarkStart w:id="32" w:name="_Toc24884211"/>
      <w:r>
        <w:rPr>
          <w:rFonts w:hint="eastAsia"/>
        </w:rPr>
        <w:t>范围</w:t>
      </w:r>
      <w:bookmarkEnd w:id="24"/>
      <w:bookmarkEnd w:id="25"/>
      <w:bookmarkEnd w:id="26"/>
      <w:bookmarkEnd w:id="27"/>
      <w:bookmarkEnd w:id="28"/>
      <w:bookmarkEnd w:id="29"/>
      <w:bookmarkEnd w:id="30"/>
      <w:bookmarkEnd w:id="31"/>
      <w:bookmarkEnd w:id="32"/>
    </w:p>
    <w:p>
      <w:pPr>
        <w:pStyle w:val="56"/>
        <w:ind w:firstLine="420"/>
      </w:pPr>
      <w:bookmarkStart w:id="33" w:name="_Toc26648466"/>
      <w:bookmarkStart w:id="34" w:name="_Toc17233326"/>
      <w:bookmarkStart w:id="35" w:name="_Toc24884212"/>
      <w:bookmarkStart w:id="36" w:name="_Toc24884219"/>
      <w:bookmarkStart w:id="37" w:name="_Toc17233334"/>
      <w:r>
        <w:rPr>
          <w:rFonts w:hint="eastAsia"/>
        </w:rPr>
        <w:t>本文件描述了红皮梨生产的流程，确定了各环节的操作步骤，描述了技术流程的追溯记录。</w:t>
      </w:r>
    </w:p>
    <w:p>
      <w:pPr>
        <w:pStyle w:val="56"/>
        <w:ind w:firstLine="420"/>
      </w:pPr>
      <w:r>
        <w:t>本文件适用于河北省的红皮梨生产。</w:t>
      </w:r>
    </w:p>
    <w:p>
      <w:pPr>
        <w:pStyle w:val="104"/>
        <w:spacing w:before="312" w:after="312"/>
      </w:pPr>
      <w:bookmarkStart w:id="38" w:name="_Toc97191424"/>
      <w:bookmarkStart w:id="39" w:name="_Toc26986772"/>
      <w:bookmarkStart w:id="40" w:name="_Toc26718931"/>
      <w:bookmarkStart w:id="41" w:name="_Toc26986531"/>
      <w:r>
        <w:rPr>
          <w:rFonts w:hint="eastAsia"/>
        </w:rPr>
        <w:t>规范性引用文件</w:t>
      </w:r>
      <w:bookmarkEnd w:id="33"/>
      <w:bookmarkEnd w:id="34"/>
      <w:bookmarkEnd w:id="35"/>
      <w:bookmarkEnd w:id="36"/>
      <w:bookmarkEnd w:id="37"/>
      <w:bookmarkEnd w:id="38"/>
      <w:bookmarkEnd w:id="39"/>
      <w:bookmarkEnd w:id="40"/>
      <w:bookmarkEnd w:id="41"/>
    </w:p>
    <w:sdt>
      <w:sdtPr>
        <w:rPr>
          <w:rFonts w:hint="eastAsia"/>
        </w:rPr>
        <w:id w:val="715848253"/>
        <w:placeholder>
          <w:docPart w:val="C40B8EDFCE8E418DAED64C95340C00C4"/>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6"/>
        <w:ind w:firstLine="420"/>
        <w:rPr>
          <w:rFonts w:hint="eastAsia" w:hAnsi="宋体"/>
        </w:rPr>
      </w:pPr>
      <w:bookmarkStart w:id="42" w:name="_Toc97191425"/>
      <w:r>
        <w:rPr>
          <w:rFonts w:hint="eastAsia"/>
        </w:rPr>
        <w:t>NY/T 391</w:t>
      </w:r>
      <w:r>
        <w:t xml:space="preserve"> </w:t>
      </w:r>
      <w:r>
        <w:rPr>
          <w:rFonts w:hint="eastAsia" w:hAnsi="宋体"/>
        </w:rPr>
        <w:t>绿色食品</w:t>
      </w:r>
      <w:r>
        <w:rPr>
          <w:rFonts w:hint="eastAsia"/>
        </w:rPr>
        <w:t xml:space="preserve"> </w:t>
      </w:r>
      <w:r>
        <w:rPr>
          <w:rFonts w:hint="eastAsia" w:hAnsi="宋体"/>
        </w:rPr>
        <w:t>产地环境质量</w:t>
      </w:r>
    </w:p>
    <w:p>
      <w:pPr>
        <w:pStyle w:val="56"/>
        <w:ind w:firstLine="420"/>
        <w:rPr>
          <w:rFonts w:hint="eastAsia" w:hAnsi="宋体"/>
        </w:rPr>
      </w:pPr>
      <w:r>
        <w:rPr>
          <w:rFonts w:hint="eastAsia"/>
        </w:rPr>
        <w:t>NY/T 393</w:t>
      </w:r>
      <w:r>
        <w:t xml:space="preserve"> </w:t>
      </w:r>
      <w:r>
        <w:rPr>
          <w:rFonts w:hint="eastAsia" w:hAnsi="宋体"/>
        </w:rPr>
        <w:t>绿色食品</w:t>
      </w:r>
      <w:r>
        <w:rPr>
          <w:rFonts w:hint="eastAsia"/>
        </w:rPr>
        <w:t xml:space="preserve"> </w:t>
      </w:r>
      <w:r>
        <w:rPr>
          <w:rFonts w:hint="eastAsia" w:hAnsi="宋体"/>
        </w:rPr>
        <w:t>农药使用准则</w:t>
      </w:r>
    </w:p>
    <w:p>
      <w:pPr>
        <w:pStyle w:val="56"/>
        <w:ind w:firstLine="420"/>
        <w:rPr>
          <w:rFonts w:hint="eastAsia" w:hAnsi="宋体"/>
        </w:rPr>
      </w:pPr>
      <w:r>
        <w:rPr>
          <w:rFonts w:hint="eastAsia"/>
        </w:rPr>
        <w:t>NY/T 394</w:t>
      </w:r>
      <w:r>
        <w:t xml:space="preserve"> </w:t>
      </w:r>
      <w:r>
        <w:rPr>
          <w:rFonts w:hint="eastAsia" w:hAnsi="宋体"/>
        </w:rPr>
        <w:t>绿色食品</w:t>
      </w:r>
      <w:r>
        <w:rPr>
          <w:rFonts w:hint="eastAsia"/>
        </w:rPr>
        <w:t xml:space="preserve"> </w:t>
      </w:r>
      <w:r>
        <w:rPr>
          <w:rFonts w:hint="eastAsia" w:hAnsi="宋体"/>
        </w:rPr>
        <w:t>肥料使用准则</w:t>
      </w:r>
    </w:p>
    <w:p>
      <w:pPr>
        <w:pStyle w:val="56"/>
        <w:ind w:firstLine="420"/>
        <w:rPr>
          <w:rFonts w:hint="eastAsia" w:hAnsi="仿宋_GB2312"/>
        </w:rPr>
      </w:pPr>
      <w:r>
        <w:rPr>
          <w:rFonts w:hint="eastAsia"/>
        </w:rPr>
        <w:t>NY/T 442</w:t>
      </w:r>
      <w:r>
        <w:t xml:space="preserve"> </w:t>
      </w:r>
      <w:r>
        <w:rPr>
          <w:rFonts w:hint="eastAsia" w:hAnsi="宋体"/>
        </w:rPr>
        <w:t>梨生产技术规程</w:t>
      </w:r>
    </w:p>
    <w:p>
      <w:pPr>
        <w:pStyle w:val="56"/>
        <w:ind w:firstLine="420"/>
        <w:rPr>
          <w:rFonts w:hint="eastAsia" w:hAnsi="仿宋_GB2312"/>
        </w:rPr>
      </w:pPr>
      <w:r>
        <w:rPr>
          <w:rFonts w:hint="eastAsia"/>
        </w:rPr>
        <w:t>NY/T 47</w:t>
      </w:r>
      <w:r>
        <w:rPr>
          <w:rFonts w:hint="eastAsia" w:hAnsi="仿宋_GB2312" w:eastAsia="仿宋_GB2312"/>
        </w:rPr>
        <w:t>5</w:t>
      </w:r>
      <w:r>
        <w:rPr>
          <w:rFonts w:hint="eastAsia"/>
        </w:rPr>
        <w:t xml:space="preserve"> </w:t>
      </w:r>
      <w:r>
        <w:rPr>
          <w:rFonts w:hint="eastAsia" w:hAnsi="宋体"/>
        </w:rPr>
        <w:t>梨苗木</w:t>
      </w:r>
      <w:r>
        <w:rPr>
          <w:rFonts w:hint="eastAsia"/>
        </w:rPr>
        <w:t xml:space="preserve"> </w:t>
      </w:r>
    </w:p>
    <w:p>
      <w:pPr>
        <w:pStyle w:val="104"/>
        <w:spacing w:before="312" w:after="312"/>
      </w:pPr>
      <w:r>
        <w:rPr>
          <w:rFonts w:hint="eastAsia"/>
          <w:szCs w:val="21"/>
        </w:rPr>
        <w:t>术语和定义</w:t>
      </w:r>
      <w:bookmarkEnd w:id="42"/>
    </w:p>
    <w:sdt>
      <w:sdtPr>
        <w:id w:val="-1909835108"/>
        <w:placeholder>
          <w:docPart w:val="7EC5DF40FEDB49E495FBDCAC7A27DABA"/>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6"/>
            <w:ind w:firstLine="420"/>
          </w:pPr>
          <w:bookmarkStart w:id="43" w:name="_Toc26986532"/>
          <w:bookmarkEnd w:id="43"/>
          <w:r>
            <w:t>本文件没有需要界定的术语和定义。</w:t>
          </w:r>
        </w:p>
      </w:sdtContent>
    </w:sdt>
    <w:p>
      <w:pPr>
        <w:pStyle w:val="104"/>
        <w:spacing w:before="312" w:after="312"/>
      </w:pPr>
      <w:r>
        <w:rPr>
          <w:rFonts w:hint="eastAsia"/>
        </w:rPr>
        <w:t>红皮梨生产技术流程图</w:t>
      </w:r>
    </w:p>
    <w:p>
      <w:pPr>
        <w:pStyle w:val="56"/>
        <w:ind w:firstLine="420"/>
      </w:pPr>
      <w:r>
        <w:rPr>
          <w:rFonts w:hint="eastAsia"/>
        </w:rPr>
        <w:t>红皮梨生产技术流程图如图1所示。</w:t>
      </w:r>
    </w:p>
    <w:p>
      <w:pPr>
        <w:pStyle w:val="56"/>
        <w:ind w:firstLine="420"/>
        <w:jc w:val="center"/>
        <w:rPr>
          <w:rFonts w:hint="eastAsia" w:eastAsia="宋体"/>
          <w:lang w:eastAsia="zh-CN"/>
        </w:rPr>
      </w:pPr>
      <w:r>
        <w:rPr>
          <w:rFonts w:hint="eastAsia" w:eastAsia="宋体"/>
          <w:lang w:eastAsia="zh-CN"/>
        </w:rPr>
        <w:drawing>
          <wp:inline distT="0" distB="0" distL="114300" distR="114300">
            <wp:extent cx="3134360" cy="2712720"/>
            <wp:effectExtent l="0" t="0" r="8890" b="11430"/>
            <wp:docPr id="1" name="图片 1" descr="红梨生产技术规程流程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红梨生产技术规程流程图"/>
                    <pic:cNvPicPr>
                      <a:picLocks noChangeAspect="true"/>
                    </pic:cNvPicPr>
                  </pic:nvPicPr>
                  <pic:blipFill>
                    <a:blip r:embed="rId16"/>
                    <a:stretch>
                      <a:fillRect/>
                    </a:stretch>
                  </pic:blipFill>
                  <pic:spPr>
                    <a:xfrm>
                      <a:off x="0" y="0"/>
                      <a:ext cx="3134360" cy="2712720"/>
                    </a:xfrm>
                    <a:prstGeom prst="rect">
                      <a:avLst/>
                    </a:prstGeom>
                  </pic:spPr>
                </pic:pic>
              </a:graphicData>
            </a:graphic>
          </wp:inline>
        </w:drawing>
      </w:r>
    </w:p>
    <w:p>
      <w:pPr>
        <w:pStyle w:val="114"/>
        <w:spacing w:before="156" w:after="156"/>
        <w:rPr>
          <w:rFonts w:hint="eastAsia"/>
        </w:rPr>
      </w:pPr>
      <w:r>
        <w:rPr>
          <w:rFonts w:hint="eastAsia"/>
        </w:rPr>
        <w:t>红皮梨生产技术流程图</w:t>
      </w:r>
    </w:p>
    <w:p>
      <w:pPr>
        <w:pStyle w:val="104"/>
        <w:spacing w:before="312" w:after="312"/>
      </w:pPr>
      <w:r>
        <w:rPr>
          <w:rFonts w:hint="eastAsia"/>
        </w:rPr>
        <w:t>园地选择与规划</w:t>
      </w:r>
    </w:p>
    <w:p>
      <w:pPr>
        <w:pStyle w:val="105"/>
        <w:spacing w:before="156" w:after="156"/>
      </w:pPr>
      <w:r>
        <w:rPr>
          <w:rFonts w:hint="eastAsia"/>
        </w:rPr>
        <w:t>园地选择</w:t>
      </w:r>
    </w:p>
    <w:p>
      <w:pPr>
        <w:pStyle w:val="65"/>
        <w:spacing w:before="156" w:after="156"/>
      </w:pPr>
      <w:r>
        <w:rPr>
          <w:rFonts w:hint="eastAsia"/>
        </w:rPr>
        <w:t xml:space="preserve">气候条件  </w:t>
      </w:r>
    </w:p>
    <w:p>
      <w:pPr>
        <w:pStyle w:val="56"/>
        <w:ind w:firstLine="420"/>
        <w:rPr>
          <w:rFonts w:hint="eastAsia"/>
          <w:kern w:val="2"/>
          <w:szCs w:val="21"/>
        </w:rPr>
      </w:pPr>
      <w:r>
        <w:rPr>
          <w:rFonts w:hint="eastAsia"/>
        </w:rPr>
        <w:t>栽培种主要涉及白梨、秋子梨品系。其适宜气候条件见表1。</w:t>
      </w:r>
    </w:p>
    <w:p>
      <w:pPr>
        <w:pStyle w:val="112"/>
        <w:spacing w:before="156" w:after="156"/>
      </w:pPr>
      <w:r>
        <w:rPr>
          <w:rFonts w:hint="eastAsia"/>
        </w:rPr>
        <w:t>适宜气候条件</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4121"/>
        <w:gridCol w:w="1701"/>
        <w:gridCol w:w="1843"/>
        <w:gridCol w:w="170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4121" w:type="dxa"/>
            <w:tcBorders>
              <w:top w:val="single" w:color="auto" w:sz="8" w:space="0"/>
              <w:bottom w:val="single" w:color="auto" w:sz="8" w:space="0"/>
            </w:tcBorders>
            <w:shd w:val="clear" w:color="auto" w:fill="auto"/>
            <w:vAlign w:val="center"/>
          </w:tcPr>
          <w:p>
            <w:pPr>
              <w:pStyle w:val="178"/>
              <w:rPr>
                <w:sz w:val="18"/>
                <w:szCs w:val="18"/>
              </w:rPr>
            </w:pPr>
            <w:r>
              <w:rPr>
                <w:sz w:val="18"/>
                <w:szCs w:val="18"/>
              </w:rPr>
              <w:t>梨</w:t>
            </w:r>
            <w:r>
              <w:rPr>
                <w:rFonts w:hint="eastAsia"/>
                <w:sz w:val="18"/>
                <w:szCs w:val="18"/>
                <w:lang w:eastAsia="zh"/>
              </w:rPr>
              <w:t>栽培</w:t>
            </w:r>
            <w:r>
              <w:rPr>
                <w:sz w:val="18"/>
                <w:szCs w:val="18"/>
              </w:rPr>
              <w:t>种</w:t>
            </w:r>
          </w:p>
        </w:tc>
        <w:tc>
          <w:tcPr>
            <w:tcW w:w="1701" w:type="dxa"/>
            <w:tcBorders>
              <w:top w:val="single" w:color="auto" w:sz="8" w:space="0"/>
              <w:bottom w:val="single" w:color="auto" w:sz="8" w:space="0"/>
            </w:tcBorders>
            <w:shd w:val="clear" w:color="auto" w:fill="auto"/>
            <w:vAlign w:val="center"/>
          </w:tcPr>
          <w:p>
            <w:pPr>
              <w:pStyle w:val="178"/>
              <w:rPr>
                <w:sz w:val="18"/>
                <w:szCs w:val="18"/>
              </w:rPr>
            </w:pPr>
            <w:r>
              <w:rPr>
                <w:rFonts w:hint="eastAsia"/>
                <w:sz w:val="18"/>
                <w:szCs w:val="18"/>
              </w:rPr>
              <w:t>年平均气温</w:t>
            </w:r>
          </w:p>
          <w:p>
            <w:pPr>
              <w:pStyle w:val="178"/>
              <w:rPr>
                <w:sz w:val="18"/>
                <w:szCs w:val="18"/>
              </w:rPr>
            </w:pPr>
            <w:r>
              <w:rPr>
                <w:rFonts w:hint="eastAsia"/>
                <w:sz w:val="18"/>
                <w:szCs w:val="18"/>
              </w:rPr>
              <w:t>℃</w:t>
            </w:r>
          </w:p>
        </w:tc>
        <w:tc>
          <w:tcPr>
            <w:tcW w:w="1843" w:type="dxa"/>
            <w:tcBorders>
              <w:top w:val="single" w:color="auto" w:sz="8" w:space="0"/>
              <w:bottom w:val="single" w:color="auto" w:sz="8" w:space="0"/>
            </w:tcBorders>
            <w:shd w:val="clear" w:color="auto" w:fill="auto"/>
            <w:vAlign w:val="center"/>
          </w:tcPr>
          <w:p>
            <w:pPr>
              <w:pStyle w:val="178"/>
              <w:rPr>
                <w:sz w:val="18"/>
                <w:szCs w:val="18"/>
              </w:rPr>
            </w:pPr>
            <w:r>
              <w:rPr>
                <w:rFonts w:hint="eastAsia"/>
                <w:sz w:val="18"/>
                <w:szCs w:val="18"/>
              </w:rPr>
              <w:t>1月份平均气温</w:t>
            </w:r>
          </w:p>
          <w:p>
            <w:pPr>
              <w:pStyle w:val="178"/>
              <w:rPr>
                <w:sz w:val="18"/>
                <w:szCs w:val="18"/>
              </w:rPr>
            </w:pPr>
            <w:r>
              <w:rPr>
                <w:rFonts w:hint="eastAsia"/>
                <w:sz w:val="18"/>
                <w:szCs w:val="18"/>
              </w:rPr>
              <w:t>℃</w:t>
            </w:r>
          </w:p>
        </w:tc>
        <w:tc>
          <w:tcPr>
            <w:tcW w:w="1709" w:type="dxa"/>
            <w:tcBorders>
              <w:top w:val="single" w:color="auto" w:sz="8" w:space="0"/>
              <w:bottom w:val="single" w:color="auto" w:sz="8" w:space="0"/>
            </w:tcBorders>
            <w:shd w:val="clear" w:color="auto" w:fill="auto"/>
            <w:vAlign w:val="center"/>
          </w:tcPr>
          <w:p>
            <w:pPr>
              <w:pStyle w:val="178"/>
              <w:rPr>
                <w:sz w:val="18"/>
                <w:szCs w:val="18"/>
              </w:rPr>
            </w:pPr>
            <w:r>
              <w:rPr>
                <w:rFonts w:hint="eastAsia"/>
                <w:sz w:val="18"/>
                <w:szCs w:val="18"/>
              </w:rPr>
              <w:t>年降雨量</w:t>
            </w:r>
          </w:p>
          <w:p>
            <w:pPr>
              <w:pStyle w:val="178"/>
              <w:rPr>
                <w:sz w:val="18"/>
                <w:szCs w:val="18"/>
              </w:rPr>
            </w:pPr>
            <w:r>
              <w:rPr>
                <w:rFonts w:hint="eastAsia"/>
                <w:sz w:val="18"/>
                <w:szCs w:val="18"/>
              </w:rPr>
              <w:t>mm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21" w:type="dxa"/>
            <w:tcBorders>
              <w:top w:val="single" w:color="auto" w:sz="8" w:space="0"/>
            </w:tcBorders>
            <w:shd w:val="clear" w:color="auto" w:fill="auto"/>
            <w:vAlign w:val="center"/>
          </w:tcPr>
          <w:p>
            <w:pPr>
              <w:pStyle w:val="178"/>
              <w:rPr>
                <w:sz w:val="18"/>
                <w:szCs w:val="18"/>
              </w:rPr>
            </w:pPr>
            <w:r>
              <w:rPr>
                <w:rFonts w:hint="eastAsia"/>
                <w:sz w:val="18"/>
                <w:szCs w:val="18"/>
              </w:rPr>
              <w:t>白梨（Pyrus  bretschneideri）</w:t>
            </w:r>
          </w:p>
        </w:tc>
        <w:tc>
          <w:tcPr>
            <w:tcW w:w="1701" w:type="dxa"/>
            <w:tcBorders>
              <w:top w:val="single" w:color="auto" w:sz="8" w:space="0"/>
            </w:tcBorders>
            <w:shd w:val="clear" w:color="auto" w:fill="auto"/>
            <w:vAlign w:val="center"/>
          </w:tcPr>
          <w:p>
            <w:pPr>
              <w:pStyle w:val="178"/>
              <w:rPr>
                <w:sz w:val="18"/>
                <w:szCs w:val="18"/>
              </w:rPr>
            </w:pPr>
            <w:r>
              <w:rPr>
                <w:rFonts w:hint="eastAsia"/>
                <w:sz w:val="18"/>
                <w:szCs w:val="18"/>
              </w:rPr>
              <w:t>8～14</w:t>
            </w:r>
          </w:p>
        </w:tc>
        <w:tc>
          <w:tcPr>
            <w:tcW w:w="1843" w:type="dxa"/>
            <w:tcBorders>
              <w:top w:val="single" w:color="auto" w:sz="8" w:space="0"/>
            </w:tcBorders>
            <w:shd w:val="clear" w:color="auto" w:fill="auto"/>
            <w:vAlign w:val="center"/>
          </w:tcPr>
          <w:p>
            <w:pPr>
              <w:pStyle w:val="178"/>
              <w:rPr>
                <w:sz w:val="18"/>
                <w:szCs w:val="18"/>
              </w:rPr>
            </w:pPr>
            <w:r>
              <w:rPr>
                <w:rFonts w:hint="eastAsia"/>
                <w:sz w:val="18"/>
                <w:szCs w:val="18"/>
              </w:rPr>
              <w:t>-9～-3</w:t>
            </w:r>
          </w:p>
        </w:tc>
        <w:tc>
          <w:tcPr>
            <w:tcW w:w="1709" w:type="dxa"/>
            <w:tcBorders>
              <w:top w:val="single" w:color="auto" w:sz="8" w:space="0"/>
            </w:tcBorders>
            <w:shd w:val="clear" w:color="auto" w:fill="auto"/>
            <w:vAlign w:val="center"/>
          </w:tcPr>
          <w:p>
            <w:pPr>
              <w:pStyle w:val="178"/>
              <w:rPr>
                <w:sz w:val="18"/>
                <w:szCs w:val="18"/>
              </w:rPr>
            </w:pPr>
            <w:r>
              <w:rPr>
                <w:rFonts w:hint="eastAsia"/>
                <w:sz w:val="18"/>
                <w:szCs w:val="18"/>
              </w:rPr>
              <w:t>450～900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21" w:type="dxa"/>
            <w:shd w:val="clear" w:color="auto" w:fill="auto"/>
            <w:vAlign w:val="center"/>
          </w:tcPr>
          <w:p>
            <w:pPr>
              <w:pStyle w:val="178"/>
              <w:rPr>
                <w:sz w:val="18"/>
                <w:szCs w:val="18"/>
              </w:rPr>
            </w:pPr>
            <w:r>
              <w:rPr>
                <w:rFonts w:hint="eastAsia"/>
                <w:sz w:val="18"/>
                <w:szCs w:val="18"/>
              </w:rPr>
              <w:t>秋子梨（Pyrus  ussuriensis）</w:t>
            </w:r>
          </w:p>
        </w:tc>
        <w:tc>
          <w:tcPr>
            <w:tcW w:w="1701" w:type="dxa"/>
            <w:shd w:val="clear" w:color="auto" w:fill="auto"/>
            <w:vAlign w:val="center"/>
          </w:tcPr>
          <w:p>
            <w:pPr>
              <w:pStyle w:val="178"/>
              <w:rPr>
                <w:sz w:val="18"/>
                <w:szCs w:val="18"/>
              </w:rPr>
            </w:pPr>
            <w:r>
              <w:rPr>
                <w:rFonts w:hint="eastAsia"/>
                <w:sz w:val="18"/>
                <w:szCs w:val="18"/>
              </w:rPr>
              <w:t>6～13</w:t>
            </w:r>
          </w:p>
        </w:tc>
        <w:tc>
          <w:tcPr>
            <w:tcW w:w="1843" w:type="dxa"/>
            <w:shd w:val="clear" w:color="auto" w:fill="auto"/>
            <w:vAlign w:val="center"/>
          </w:tcPr>
          <w:p>
            <w:pPr>
              <w:pStyle w:val="178"/>
              <w:rPr>
                <w:sz w:val="18"/>
                <w:szCs w:val="18"/>
              </w:rPr>
            </w:pPr>
            <w:r>
              <w:rPr>
                <w:rFonts w:hint="eastAsia"/>
                <w:sz w:val="18"/>
                <w:szCs w:val="18"/>
              </w:rPr>
              <w:t>-11～-4</w:t>
            </w:r>
          </w:p>
        </w:tc>
        <w:tc>
          <w:tcPr>
            <w:tcW w:w="1709" w:type="dxa"/>
            <w:shd w:val="clear" w:color="auto" w:fill="auto"/>
            <w:vAlign w:val="center"/>
          </w:tcPr>
          <w:p>
            <w:pPr>
              <w:pStyle w:val="178"/>
              <w:rPr>
                <w:sz w:val="18"/>
                <w:szCs w:val="18"/>
              </w:rPr>
            </w:pPr>
            <w:r>
              <w:rPr>
                <w:rFonts w:hint="eastAsia"/>
                <w:sz w:val="18"/>
                <w:szCs w:val="18"/>
              </w:rPr>
              <w:t>500～750</w:t>
            </w:r>
          </w:p>
        </w:tc>
      </w:tr>
    </w:tbl>
    <w:p>
      <w:pPr>
        <w:pStyle w:val="56"/>
        <w:ind w:firstLine="420"/>
      </w:pPr>
    </w:p>
    <w:p>
      <w:pPr>
        <w:pStyle w:val="65"/>
        <w:spacing w:before="156" w:after="156"/>
        <w:rPr>
          <w:rFonts w:ascii="Times New Roman"/>
        </w:rPr>
      </w:pPr>
      <w:r>
        <w:rPr>
          <w:rFonts w:hint="eastAsia"/>
        </w:rPr>
        <w:t>土壤条件</w:t>
      </w:r>
      <w:r>
        <w:rPr>
          <w:rFonts w:hint="eastAsia" w:ascii="Times New Roman"/>
        </w:rPr>
        <w:t xml:space="preserve"> </w:t>
      </w:r>
    </w:p>
    <w:p>
      <w:pPr>
        <w:pStyle w:val="56"/>
        <w:ind w:firstLine="420"/>
        <w:rPr>
          <w:rFonts w:hint="eastAsia"/>
          <w:b/>
        </w:rPr>
      </w:pPr>
      <w:r>
        <w:rPr>
          <w:rFonts w:hint="eastAsia"/>
        </w:rPr>
        <w:t>土壤肥沃，有机质含量</w:t>
      </w:r>
      <w:r>
        <w:rPr>
          <w:rFonts w:ascii="Times New Roman"/>
        </w:rPr>
        <w:t> </w:t>
      </w:r>
      <w:r>
        <w:rPr>
          <w:rFonts w:hint="eastAsia" w:ascii="Times New Roman"/>
        </w:rPr>
        <w:t>1.0%</w:t>
      </w:r>
      <w:r>
        <w:rPr>
          <w:rFonts w:hint="eastAsia"/>
        </w:rPr>
        <w:t>以上；土层深厚，活土层在</w:t>
      </w:r>
      <w:r>
        <w:rPr>
          <w:rFonts w:ascii="Times New Roman"/>
        </w:rPr>
        <w:t> </w:t>
      </w:r>
      <w:r>
        <w:rPr>
          <w:rFonts w:hint="eastAsia" w:ascii="Times New Roman"/>
        </w:rPr>
        <w:t>50</w:t>
      </w:r>
      <w:r>
        <w:rPr>
          <w:rFonts w:ascii="Times New Roman"/>
        </w:rPr>
        <w:t> </w:t>
      </w:r>
      <w:r>
        <w:rPr>
          <w:rFonts w:hint="eastAsia" w:ascii="Times New Roman"/>
        </w:rPr>
        <w:t>cm</w:t>
      </w:r>
      <w:r>
        <w:rPr>
          <w:rFonts w:hint="eastAsia"/>
        </w:rPr>
        <w:t>以上；地下水位在</w:t>
      </w:r>
      <w:r>
        <w:rPr>
          <w:rFonts w:ascii="Times New Roman"/>
        </w:rPr>
        <w:t> </w:t>
      </w:r>
      <w:r>
        <w:rPr>
          <w:rFonts w:hint="eastAsia" w:ascii="Times New Roman"/>
        </w:rPr>
        <w:t>1</w:t>
      </w:r>
      <w:r>
        <w:rPr>
          <w:rFonts w:ascii="Times New Roman"/>
        </w:rPr>
        <w:t> </w:t>
      </w:r>
      <w:r>
        <w:rPr>
          <w:rFonts w:hint="eastAsia" w:ascii="Times New Roman"/>
        </w:rPr>
        <w:t>m</w:t>
      </w:r>
      <w:r>
        <w:rPr>
          <w:rFonts w:hint="eastAsia"/>
        </w:rPr>
        <w:t>以下；土壤</w:t>
      </w:r>
      <w:r>
        <w:rPr>
          <w:rFonts w:hint="eastAsia" w:ascii="Times New Roman"/>
        </w:rPr>
        <w:t>pH</w:t>
      </w:r>
      <w:r>
        <w:rPr>
          <w:rFonts w:hint="eastAsia"/>
        </w:rPr>
        <w:t>值</w:t>
      </w:r>
      <w:r>
        <w:rPr>
          <w:rFonts w:hint="eastAsia" w:ascii="Times New Roman"/>
        </w:rPr>
        <w:t>6~8</w:t>
      </w:r>
      <w:r>
        <w:rPr>
          <w:rFonts w:hint="eastAsia"/>
        </w:rPr>
        <w:t>；含盐量不超过</w:t>
      </w:r>
      <w:r>
        <w:rPr>
          <w:rFonts w:ascii="Times New Roman"/>
        </w:rPr>
        <w:t> </w:t>
      </w:r>
      <w:r>
        <w:rPr>
          <w:rFonts w:hint="eastAsia" w:ascii="Times New Roman"/>
        </w:rPr>
        <w:t>0.2%</w:t>
      </w:r>
      <w:r>
        <w:rPr>
          <w:rFonts w:hint="eastAsia"/>
        </w:rPr>
        <w:t>。切忌重茬地连作。土壤质量应符合</w:t>
      </w:r>
      <w:r>
        <w:rPr>
          <w:rFonts w:hint="eastAsia" w:ascii="仿宋_GB2312"/>
        </w:rPr>
        <w:t>NY/T 391</w:t>
      </w:r>
      <w:r>
        <w:rPr>
          <w:rFonts w:hint="eastAsia"/>
        </w:rPr>
        <w:t>要求。</w:t>
      </w:r>
    </w:p>
    <w:p>
      <w:pPr>
        <w:pStyle w:val="65"/>
        <w:spacing w:before="156" w:after="156"/>
        <w:rPr>
          <w:rFonts w:hint="eastAsia"/>
        </w:rPr>
      </w:pPr>
      <w:r>
        <w:rPr>
          <w:rFonts w:hint="eastAsia" w:ascii="宋体" w:hAnsi="宋体"/>
        </w:rPr>
        <w:t xml:space="preserve">地势地形 </w:t>
      </w:r>
    </w:p>
    <w:p>
      <w:pPr>
        <w:pStyle w:val="56"/>
        <w:ind w:firstLine="420"/>
        <w:rPr>
          <w:rFonts w:hint="eastAsia" w:ascii="Times New Roman"/>
          <w:b/>
        </w:rPr>
      </w:pPr>
      <w:r>
        <w:rPr>
          <w:rFonts w:hint="eastAsia"/>
        </w:rPr>
        <w:t>园地坡度应低于</w:t>
      </w:r>
      <w:r>
        <w:rPr>
          <w:rFonts w:hint="eastAsia" w:ascii="Times New Roman"/>
        </w:rPr>
        <w:t>15</w:t>
      </w:r>
      <w:r>
        <w:rPr>
          <w:rFonts w:hint="eastAsia"/>
        </w:rPr>
        <w:t>°，在</w:t>
      </w:r>
      <w:r>
        <w:rPr>
          <w:rFonts w:hint="eastAsia" w:ascii="Times New Roman"/>
        </w:rPr>
        <w:t>6</w:t>
      </w:r>
      <w:r>
        <w:rPr>
          <w:rFonts w:hint="eastAsia"/>
        </w:rPr>
        <w:t>°～</w:t>
      </w:r>
      <w:r>
        <w:rPr>
          <w:rFonts w:hint="eastAsia" w:ascii="Times New Roman"/>
        </w:rPr>
        <w:t>15</w:t>
      </w:r>
      <w:r>
        <w:rPr>
          <w:rFonts w:hint="eastAsia"/>
        </w:rPr>
        <w:t>°的山区、丘陵，要求修筑梯田，坡向以东到西南为宜。</w:t>
      </w:r>
    </w:p>
    <w:p>
      <w:pPr>
        <w:pStyle w:val="65"/>
        <w:spacing w:before="156" w:after="156"/>
        <w:rPr>
          <w:rFonts w:hint="eastAsia"/>
        </w:rPr>
      </w:pPr>
      <w:r>
        <w:rPr>
          <w:rFonts w:hint="eastAsia"/>
        </w:rPr>
        <w:t xml:space="preserve">环境条件 </w:t>
      </w:r>
    </w:p>
    <w:p>
      <w:pPr>
        <w:pStyle w:val="56"/>
        <w:ind w:firstLine="420"/>
        <w:rPr>
          <w:rFonts w:hint="eastAsia"/>
        </w:rPr>
      </w:pPr>
      <w:r>
        <w:rPr>
          <w:rFonts w:hint="eastAsia"/>
        </w:rPr>
        <w:t>产地的环境空气质量、灌溉水质量、土壤环境质量等要符合</w:t>
      </w:r>
      <w:r>
        <w:rPr>
          <w:rFonts w:hint="eastAsia" w:ascii="仿宋_GB2312"/>
        </w:rPr>
        <w:t>NY/T 391</w:t>
      </w:r>
      <w:r>
        <w:rPr>
          <w:rFonts w:hint="eastAsia"/>
        </w:rPr>
        <w:t>和</w:t>
      </w:r>
      <w:r>
        <w:rPr>
          <w:rFonts w:hint="eastAsia" w:ascii="仿宋_GB2312"/>
        </w:rPr>
        <w:t>NY/T 442</w:t>
      </w:r>
      <w:r>
        <w:rPr>
          <w:rFonts w:hint="eastAsia"/>
        </w:rPr>
        <w:t>要求。</w:t>
      </w:r>
    </w:p>
    <w:p>
      <w:pPr>
        <w:pStyle w:val="105"/>
        <w:spacing w:before="156" w:after="156"/>
        <w:rPr>
          <w:rFonts w:hint="eastAsia"/>
        </w:rPr>
      </w:pPr>
      <w:r>
        <w:rPr>
          <w:rFonts w:hint="eastAsia"/>
        </w:rPr>
        <w:t xml:space="preserve">园地规划  </w:t>
      </w:r>
    </w:p>
    <w:p>
      <w:pPr>
        <w:pStyle w:val="56"/>
        <w:ind w:firstLine="420"/>
        <w:rPr>
          <w:rFonts w:hint="eastAsia"/>
          <w:b/>
        </w:rPr>
      </w:pPr>
      <w:r>
        <w:rPr>
          <w:rFonts w:hint="eastAsia"/>
        </w:rPr>
        <w:t>梨树栽植面积应占园地总面积的</w:t>
      </w:r>
      <w:r>
        <w:rPr>
          <w:rFonts w:ascii="Times New Roman"/>
        </w:rPr>
        <w:t> </w:t>
      </w:r>
      <w:r>
        <w:rPr>
          <w:rFonts w:hint="eastAsia"/>
        </w:rPr>
        <w:t>85%</w:t>
      </w:r>
      <w:r>
        <w:rPr>
          <w:rFonts w:ascii="Times New Roman"/>
        </w:rPr>
        <w:t> </w:t>
      </w:r>
      <w:r>
        <w:rPr>
          <w:rFonts w:hint="eastAsia"/>
        </w:rPr>
        <w:t>以上。平地、滩地和</w:t>
      </w:r>
      <w:r>
        <w:rPr>
          <w:rFonts w:hint="eastAsia" w:ascii="Times New Roman"/>
        </w:rPr>
        <w:t>6</w:t>
      </w:r>
      <w:r>
        <w:rPr>
          <w:rFonts w:hint="eastAsia"/>
        </w:rPr>
        <w:t>°以下的缓坡地，以</w:t>
      </w:r>
      <w:r>
        <w:rPr>
          <w:rFonts w:hint="eastAsia"/>
          <w:color w:val="000000"/>
        </w:rPr>
        <w:t>南北行栽植为主</w:t>
      </w:r>
      <w:r>
        <w:rPr>
          <w:rFonts w:hint="eastAsia"/>
        </w:rPr>
        <w:t>；</w:t>
      </w:r>
      <w:r>
        <w:rPr>
          <w:rFonts w:hint="eastAsia" w:ascii="Times New Roman"/>
        </w:rPr>
        <w:t>6</w:t>
      </w:r>
      <w:r>
        <w:rPr>
          <w:rFonts w:hint="eastAsia"/>
        </w:rPr>
        <w:t>°</w:t>
      </w:r>
      <w:r>
        <w:rPr>
          <w:rFonts w:hint="eastAsia" w:ascii="Times New Roman"/>
        </w:rPr>
        <w:t>~15</w:t>
      </w:r>
      <w:r>
        <w:rPr>
          <w:rFonts w:hint="eastAsia"/>
        </w:rPr>
        <w:t>°的坡地，栽植行沿等高线延长。</w:t>
      </w:r>
    </w:p>
    <w:p>
      <w:pPr>
        <w:pStyle w:val="104"/>
        <w:spacing w:before="312" w:after="312"/>
        <w:rPr>
          <w:rFonts w:hint="eastAsia" w:ascii="Times New Roman"/>
        </w:rPr>
      </w:pPr>
      <w:r>
        <w:rPr>
          <w:rFonts w:hint="eastAsia"/>
        </w:rPr>
        <w:t>品种和砧木选择</w:t>
      </w:r>
      <w:r>
        <w:rPr>
          <w:rFonts w:hint="eastAsia" w:ascii="Times New Roman"/>
        </w:rPr>
        <w:t xml:space="preserve">  </w:t>
      </w:r>
    </w:p>
    <w:p>
      <w:pPr>
        <w:pStyle w:val="105"/>
        <w:spacing w:before="156" w:after="156"/>
        <w:rPr>
          <w:rFonts w:hint="eastAsia"/>
        </w:rPr>
      </w:pPr>
      <w:r>
        <w:rPr>
          <w:rFonts w:hint="eastAsia" w:ascii="宋体" w:hAnsi="宋体"/>
        </w:rPr>
        <w:t xml:space="preserve">原则  </w:t>
      </w:r>
    </w:p>
    <w:p>
      <w:pPr>
        <w:pStyle w:val="56"/>
        <w:ind w:firstLine="420"/>
        <w:rPr>
          <w:rFonts w:hint="eastAsia" w:ascii="Times New Roman"/>
          <w:b/>
          <w:bCs/>
        </w:rPr>
      </w:pPr>
      <w:r>
        <w:rPr>
          <w:rFonts w:hint="eastAsia"/>
        </w:rPr>
        <w:t>红皮梨品种和砧木的选择应以区域化和良种化为基础，遵照区划，结合当地自然条件，选择优良品种及砧木。实行适地适栽。</w:t>
      </w:r>
    </w:p>
    <w:p>
      <w:pPr>
        <w:pStyle w:val="105"/>
        <w:spacing w:before="156" w:after="156"/>
        <w:rPr>
          <w:rFonts w:hint="eastAsia"/>
        </w:rPr>
      </w:pPr>
      <w:r>
        <w:rPr>
          <w:rFonts w:hint="eastAsia"/>
        </w:rPr>
        <w:t xml:space="preserve">品种选择  </w:t>
      </w:r>
    </w:p>
    <w:p>
      <w:pPr>
        <w:pStyle w:val="56"/>
        <w:ind w:firstLine="420"/>
        <w:rPr>
          <w:rFonts w:hint="eastAsia"/>
          <w:b/>
          <w:bCs/>
        </w:rPr>
      </w:pPr>
      <w:r>
        <w:rPr>
          <w:rFonts w:hint="eastAsia"/>
        </w:rPr>
        <w:t>可选用奧红一号、新梨7号、红香酥、红酥脆、满天红、美人酥、红太阳、玉露香等红皮梨新品种。</w:t>
      </w:r>
    </w:p>
    <w:p>
      <w:pPr>
        <w:pStyle w:val="105"/>
        <w:spacing w:before="156" w:after="156"/>
        <w:rPr>
          <w:rFonts w:hint="eastAsia"/>
        </w:rPr>
      </w:pPr>
      <w:r>
        <w:rPr>
          <w:rFonts w:hint="eastAsia" w:ascii="宋体" w:hAnsi="宋体"/>
        </w:rPr>
        <w:t>砧木选择</w:t>
      </w:r>
      <w:r>
        <w:rPr>
          <w:rFonts w:hint="eastAsia"/>
        </w:rPr>
        <w:t xml:space="preserve">  </w:t>
      </w:r>
    </w:p>
    <w:p>
      <w:pPr>
        <w:pStyle w:val="56"/>
        <w:ind w:firstLine="420"/>
        <w:rPr>
          <w:rFonts w:hint="eastAsia"/>
        </w:rPr>
      </w:pPr>
      <w:r>
        <w:rPr>
          <w:rFonts w:hint="eastAsia"/>
        </w:rPr>
        <w:t>河北省中南部</w:t>
      </w:r>
      <w:r>
        <w:rPr>
          <w:rFonts w:hint="eastAsia"/>
          <w:bCs/>
        </w:rPr>
        <w:t>宜选用</w:t>
      </w:r>
      <w:r>
        <w:rPr>
          <w:rFonts w:hint="eastAsia"/>
        </w:rPr>
        <w:t>杜梨为砧木，北部寒冷地区</w:t>
      </w:r>
      <w:r>
        <w:rPr>
          <w:rFonts w:hint="eastAsia"/>
          <w:bCs/>
        </w:rPr>
        <w:t>宜</w:t>
      </w:r>
      <w:r>
        <w:rPr>
          <w:rFonts w:hint="eastAsia"/>
        </w:rPr>
        <w:t>选用秋子梨为砧木。</w:t>
      </w:r>
    </w:p>
    <w:p>
      <w:pPr>
        <w:pStyle w:val="104"/>
        <w:spacing w:before="312" w:after="312"/>
        <w:rPr>
          <w:rFonts w:hint="eastAsia"/>
        </w:rPr>
      </w:pPr>
      <w:r>
        <w:rPr>
          <w:rFonts w:hint="eastAsia"/>
        </w:rPr>
        <w:t>苗木质量要求</w:t>
      </w:r>
    </w:p>
    <w:p>
      <w:pPr>
        <w:pStyle w:val="56"/>
        <w:ind w:firstLine="420"/>
        <w:rPr>
          <w:rFonts w:hint="eastAsia"/>
        </w:rPr>
      </w:pPr>
      <w:r>
        <w:rPr>
          <w:rFonts w:hint="eastAsia"/>
        </w:rPr>
        <w:t>苗木质量应符合</w:t>
      </w:r>
      <w:r>
        <w:rPr>
          <w:rFonts w:hint="eastAsia" w:ascii="仿宋_GB2312"/>
        </w:rPr>
        <w:t>NY/T 47</w:t>
      </w:r>
      <w:r>
        <w:rPr>
          <w:rFonts w:hint="eastAsia" w:ascii="仿宋_GB2312" w:hAnsi="仿宋_GB2312" w:eastAsia="仿宋_GB2312"/>
        </w:rPr>
        <w:t>5</w:t>
      </w:r>
      <w:r>
        <w:rPr>
          <w:rFonts w:hint="eastAsia"/>
        </w:rPr>
        <w:t xml:space="preserve">要求并按规定履行检疫手续。 </w:t>
      </w:r>
    </w:p>
    <w:p>
      <w:pPr>
        <w:pStyle w:val="104"/>
        <w:spacing w:before="312" w:after="312"/>
        <w:rPr>
          <w:rFonts w:hint="eastAsia"/>
        </w:rPr>
      </w:pPr>
      <w:r>
        <w:rPr>
          <w:rFonts w:hint="eastAsia" w:ascii="宋体" w:hAnsi="宋体"/>
        </w:rPr>
        <w:t>定植技术</w:t>
      </w:r>
    </w:p>
    <w:p>
      <w:pPr>
        <w:pStyle w:val="105"/>
        <w:spacing w:before="156" w:after="156"/>
        <w:rPr>
          <w:rFonts w:hint="eastAsia"/>
        </w:rPr>
      </w:pPr>
      <w:r>
        <w:rPr>
          <w:rFonts w:hint="eastAsia"/>
        </w:rPr>
        <w:t>确定栽植密度、方式和行向</w:t>
      </w:r>
    </w:p>
    <w:p>
      <w:pPr>
        <w:pStyle w:val="65"/>
        <w:spacing w:before="156" w:after="156"/>
        <w:rPr>
          <w:rFonts w:hint="eastAsia" w:hAnsi="宋体"/>
        </w:rPr>
      </w:pPr>
      <w:r>
        <w:rPr>
          <w:rFonts w:ascii="宋体" w:hAnsi="宋体"/>
        </w:rPr>
        <w:t>栽植密度</w:t>
      </w:r>
      <w:r>
        <w:rPr>
          <w:rFonts w:hAnsi="宋体"/>
        </w:rPr>
        <w:t xml:space="preserve">  </w:t>
      </w:r>
    </w:p>
    <w:p>
      <w:pPr>
        <w:pStyle w:val="56"/>
        <w:ind w:firstLine="420"/>
        <w:rPr>
          <w:b/>
        </w:rPr>
      </w:pPr>
      <w:r>
        <w:rPr>
          <w:rFonts w:hint="eastAsia"/>
        </w:rPr>
        <w:t>红皮梨可选用</w:t>
      </w:r>
      <w:r>
        <w:rPr>
          <w:rFonts w:hint="eastAsia" w:cs="Calibri"/>
        </w:rPr>
        <w:t>1.5</w:t>
      </w:r>
      <w:r>
        <w:rPr>
          <w:rFonts w:ascii="Times New Roman"/>
        </w:rPr>
        <w:t> </w:t>
      </w:r>
      <w:r>
        <w:rPr>
          <w:rFonts w:hint="eastAsia" w:cs="Calibri"/>
        </w:rPr>
        <w:t>m</w:t>
      </w:r>
      <w:r>
        <w:t>×</w:t>
      </w:r>
      <w:r>
        <w:rPr>
          <w:rFonts w:cs="Calibri"/>
        </w:rPr>
        <w:t>4</w:t>
      </w:r>
      <w:r>
        <w:rPr>
          <w:rFonts w:ascii="Times New Roman"/>
        </w:rPr>
        <w:t> </w:t>
      </w:r>
      <w:r>
        <w:rPr>
          <w:rFonts w:hint="eastAsia" w:cs="Calibri"/>
        </w:rPr>
        <w:t>m</w:t>
      </w:r>
      <w:r>
        <w:t>或</w:t>
      </w:r>
      <w:r>
        <w:rPr>
          <w:rFonts w:hint="eastAsia" w:cs="Calibri"/>
        </w:rPr>
        <w:t>3</w:t>
      </w:r>
      <w:r>
        <w:rPr>
          <w:rFonts w:ascii="Times New Roman"/>
        </w:rPr>
        <w:t> </w:t>
      </w:r>
      <w:r>
        <w:rPr>
          <w:rFonts w:hint="eastAsia" w:cs="Calibri"/>
        </w:rPr>
        <w:t>m</w:t>
      </w:r>
      <w:r>
        <w:t>×</w:t>
      </w:r>
      <w:r>
        <w:rPr>
          <w:rFonts w:hint="eastAsia"/>
        </w:rPr>
        <w:t>（</w:t>
      </w:r>
      <w:r>
        <w:rPr>
          <w:rFonts w:hint="eastAsia" w:cs="Calibri"/>
        </w:rPr>
        <w:t>4</w:t>
      </w:r>
      <w:r>
        <w:rPr>
          <w:rFonts w:ascii="Times New Roman"/>
        </w:rPr>
        <w:t> </w:t>
      </w:r>
      <w:r>
        <w:rPr>
          <w:rFonts w:hint="eastAsia" w:cs="Calibri"/>
        </w:rPr>
        <w:t>m</w:t>
      </w:r>
      <w:r>
        <w:rPr>
          <w:rFonts w:hint="eastAsia"/>
        </w:rPr>
        <w:t>～</w:t>
      </w:r>
      <w:r>
        <w:rPr>
          <w:rFonts w:hint="eastAsia" w:cs="Calibri"/>
        </w:rPr>
        <w:t>5</w:t>
      </w:r>
      <w:r>
        <w:rPr>
          <w:rFonts w:ascii="Times New Roman"/>
        </w:rPr>
        <w:t> </w:t>
      </w:r>
      <w:r>
        <w:rPr>
          <w:rFonts w:hint="eastAsia" w:cs="Calibri"/>
        </w:rPr>
        <w:t>m</w:t>
      </w:r>
      <w:r>
        <w:rPr>
          <w:rFonts w:hint="eastAsia"/>
        </w:rPr>
        <w:t>）的株行距</w:t>
      </w:r>
      <w:r>
        <w:t>。</w:t>
      </w:r>
      <w:r>
        <w:rPr>
          <w:rFonts w:hint="eastAsia"/>
        </w:rPr>
        <w:t>密植果园</w:t>
      </w:r>
      <w:r>
        <w:t>出现郁闭时进行间伐或移栽。</w:t>
      </w:r>
    </w:p>
    <w:p>
      <w:pPr>
        <w:pStyle w:val="65"/>
        <w:spacing w:before="156" w:after="156"/>
      </w:pPr>
      <w:r>
        <w:rPr>
          <w:rFonts w:ascii="宋体"/>
        </w:rPr>
        <w:t>栽植方式</w:t>
      </w:r>
      <w:r>
        <w:rPr>
          <w:rFonts w:hint="eastAsia" w:ascii="宋体"/>
        </w:rPr>
        <w:t>和行向</w:t>
      </w:r>
      <w:r>
        <w:t xml:space="preserve">  </w:t>
      </w:r>
    </w:p>
    <w:p>
      <w:pPr>
        <w:pStyle w:val="56"/>
        <w:ind w:firstLine="420"/>
        <w:rPr>
          <w:b/>
        </w:rPr>
      </w:pPr>
      <w:r>
        <w:rPr>
          <w:rFonts w:hint="eastAsia"/>
        </w:rPr>
        <w:t>平地、滩地和</w:t>
      </w:r>
      <w:r>
        <w:rPr>
          <w:rFonts w:hint="eastAsia" w:cs="Calibri"/>
        </w:rPr>
        <w:t>6</w:t>
      </w:r>
      <w:r>
        <w:rPr>
          <w:rFonts w:hint="eastAsia"/>
        </w:rPr>
        <w:t>°以下的缓坡地要按长方形栽植，采用</w:t>
      </w:r>
      <w:r>
        <w:t>南北行</w:t>
      </w:r>
      <w:r>
        <w:rPr>
          <w:rFonts w:hint="eastAsia"/>
        </w:rPr>
        <w:t>向；</w:t>
      </w:r>
      <w:r>
        <w:rPr>
          <w:rFonts w:hint="eastAsia" w:cs="Calibri"/>
        </w:rPr>
        <w:t>6</w:t>
      </w:r>
      <w:r>
        <w:rPr>
          <w:rFonts w:hint="eastAsia"/>
        </w:rPr>
        <w:t>°～</w:t>
      </w:r>
      <w:r>
        <w:rPr>
          <w:rFonts w:hint="eastAsia" w:cs="Calibri"/>
        </w:rPr>
        <w:t>15</w:t>
      </w:r>
      <w:r>
        <w:rPr>
          <w:rFonts w:hint="eastAsia"/>
        </w:rPr>
        <w:t>°的坡地采用等高栽植方式。</w:t>
      </w:r>
    </w:p>
    <w:p>
      <w:pPr>
        <w:pStyle w:val="105"/>
        <w:spacing w:before="156" w:after="156"/>
        <w:rPr>
          <w:rFonts w:hint="eastAsia"/>
          <w:bCs/>
        </w:rPr>
      </w:pPr>
      <w:r>
        <w:rPr>
          <w:rFonts w:hint="eastAsia"/>
        </w:rPr>
        <w:t>整地与</w:t>
      </w:r>
      <w:r>
        <w:rPr>
          <w:bCs/>
        </w:rPr>
        <w:t>挖定植穴（沟）</w:t>
      </w:r>
    </w:p>
    <w:p>
      <w:pPr>
        <w:pStyle w:val="65"/>
        <w:spacing w:before="156" w:after="156"/>
        <w:rPr>
          <w:rFonts w:hint="eastAsia" w:hAnsi="宋体"/>
        </w:rPr>
      </w:pPr>
      <w:r>
        <w:rPr>
          <w:rFonts w:hint="eastAsia" w:ascii="宋体" w:hAnsi="宋体"/>
        </w:rPr>
        <w:t xml:space="preserve">整地  </w:t>
      </w:r>
    </w:p>
    <w:p>
      <w:pPr>
        <w:pStyle w:val="56"/>
        <w:ind w:firstLine="420"/>
        <w:rPr>
          <w:rFonts w:hint="eastAsia"/>
          <w:b/>
        </w:rPr>
      </w:pPr>
      <w:r>
        <w:rPr>
          <w:rFonts w:hint="eastAsia"/>
        </w:rPr>
        <w:t>依据果园的规划设计，以有利于果园的排灌、管理作业等为目的，进行土地平整。</w:t>
      </w:r>
    </w:p>
    <w:p>
      <w:pPr>
        <w:pStyle w:val="65"/>
        <w:spacing w:before="156" w:after="156"/>
        <w:rPr>
          <w:rFonts w:hint="eastAsia"/>
        </w:rPr>
      </w:pPr>
      <w:r>
        <w:rPr>
          <w:rFonts w:ascii="宋体"/>
        </w:rPr>
        <w:t>挖</w:t>
      </w:r>
      <w:r>
        <w:rPr>
          <w:rFonts w:hint="eastAsia" w:ascii="宋体"/>
        </w:rPr>
        <w:t>栽植</w:t>
      </w:r>
      <w:r>
        <w:rPr>
          <w:rFonts w:ascii="宋体"/>
        </w:rPr>
        <w:t>穴（沟）</w:t>
      </w:r>
      <w:r>
        <w:rPr>
          <w:rFonts w:hint="eastAsia"/>
        </w:rPr>
        <w:t xml:space="preserve">  </w:t>
      </w:r>
    </w:p>
    <w:p>
      <w:pPr>
        <w:pStyle w:val="56"/>
        <w:ind w:firstLine="420"/>
        <w:rPr>
          <w:rFonts w:hint="eastAsia"/>
        </w:rPr>
      </w:pPr>
      <w:r>
        <w:t>按株行距挖深</w:t>
      </w:r>
      <w:r>
        <w:rPr>
          <w:rFonts w:hint="eastAsia"/>
        </w:rPr>
        <w:t>、长、</w:t>
      </w:r>
      <w:r>
        <w:t>宽0.8</w:t>
      </w:r>
      <w:r>
        <w:rPr>
          <w:rFonts w:ascii="Times New Roman"/>
        </w:rPr>
        <w:t> </w:t>
      </w:r>
      <w:r>
        <w:rPr>
          <w:rFonts w:hint="eastAsia" w:cs="Calibri"/>
        </w:rPr>
        <w:t>m</w:t>
      </w:r>
      <w:r>
        <w:t>～1.0</w:t>
      </w:r>
      <w:r>
        <w:rPr>
          <w:rFonts w:ascii="Times New Roman"/>
        </w:rPr>
        <w:t> </w:t>
      </w:r>
      <w:r>
        <w:rPr>
          <w:rFonts w:hint="eastAsia" w:cs="Calibri"/>
        </w:rPr>
        <w:t>m</w:t>
      </w:r>
      <w:r>
        <w:t>的栽植穴，穴底填厚30</w:t>
      </w:r>
      <w:r>
        <w:rPr>
          <w:rFonts w:ascii="Times New Roman"/>
        </w:rPr>
        <w:t> </w:t>
      </w:r>
      <w:r>
        <w:rPr>
          <w:rFonts w:hint="eastAsia" w:cs="Calibri"/>
        </w:rPr>
        <w:t>cm</w:t>
      </w:r>
      <w:r>
        <w:t>左右的作物秸秆。挖出的表土与足量有机肥、磷肥混匀，回填沟中。待填至</w:t>
      </w:r>
      <w:r>
        <w:rPr>
          <w:rFonts w:hint="eastAsia"/>
        </w:rPr>
        <w:t>距</w:t>
      </w:r>
      <w:r>
        <w:t>地面20</w:t>
      </w:r>
      <w:r>
        <w:rPr>
          <w:rFonts w:ascii="Times New Roman"/>
        </w:rPr>
        <w:t> </w:t>
      </w:r>
      <w:r>
        <w:rPr>
          <w:rFonts w:hint="eastAsia" w:cs="Calibri"/>
        </w:rPr>
        <w:t>cm</w:t>
      </w:r>
      <w:r>
        <w:rPr>
          <w:rFonts w:hint="eastAsia"/>
        </w:rPr>
        <w:t>时</w:t>
      </w:r>
      <w:r>
        <w:t>，灌水浇透，使土沉实，然后覆上一层表土保墒。下层如有砂浆层或砂石层，定植穴宜挖大些，并打破不透水层和掏石换土，经改良土壤后，再行栽树</w:t>
      </w:r>
      <w:r>
        <w:rPr>
          <w:rFonts w:hint="eastAsia"/>
        </w:rPr>
        <w:t>。</w:t>
      </w:r>
      <w:r>
        <w:t>株距小于2</w:t>
      </w:r>
      <w:r>
        <w:rPr>
          <w:rFonts w:ascii="Times New Roman"/>
        </w:rPr>
        <w:t> </w:t>
      </w:r>
      <w:r>
        <w:rPr>
          <w:rFonts w:hint="eastAsia" w:cs="Calibri"/>
        </w:rPr>
        <w:t>m</w:t>
      </w:r>
      <w:r>
        <w:t>时，</w:t>
      </w:r>
      <w:r>
        <w:rPr>
          <w:rFonts w:hint="eastAsia"/>
        </w:rPr>
        <w:t>可按</w:t>
      </w:r>
      <w:r>
        <w:t>深</w:t>
      </w:r>
      <w:r>
        <w:rPr>
          <w:rFonts w:hint="eastAsia"/>
        </w:rPr>
        <w:t>、</w:t>
      </w:r>
      <w:r>
        <w:t>宽</w:t>
      </w:r>
      <w:r>
        <w:rPr>
          <w:rFonts w:hint="eastAsia"/>
        </w:rPr>
        <w:t>均为</w:t>
      </w:r>
      <w:r>
        <w:t>0.8</w:t>
      </w:r>
      <w:r>
        <w:rPr>
          <w:rFonts w:ascii="Times New Roman"/>
        </w:rPr>
        <w:t> </w:t>
      </w:r>
      <w:r>
        <w:rPr>
          <w:rFonts w:hint="eastAsia" w:cs="Calibri"/>
        </w:rPr>
        <w:t>m</w:t>
      </w:r>
      <w:r>
        <w:t>～1.0</w:t>
      </w:r>
      <w:r>
        <w:rPr>
          <w:rFonts w:ascii="Times New Roman"/>
        </w:rPr>
        <w:t> </w:t>
      </w:r>
      <w:r>
        <w:rPr>
          <w:rFonts w:hint="eastAsia" w:cs="Calibri"/>
        </w:rPr>
        <w:t>m</w:t>
      </w:r>
      <w:r>
        <w:rPr>
          <w:rFonts w:hint="eastAsia"/>
        </w:rPr>
        <w:t>，</w:t>
      </w:r>
      <w:r>
        <w:t>顺行挖</w:t>
      </w:r>
      <w:r>
        <w:rPr>
          <w:rFonts w:hint="eastAsia"/>
        </w:rPr>
        <w:t>栽</w:t>
      </w:r>
      <w:r>
        <w:t>植沟</w:t>
      </w:r>
      <w:r>
        <w:rPr>
          <w:rFonts w:hint="eastAsia"/>
        </w:rPr>
        <w:t>。</w:t>
      </w:r>
      <w:r>
        <w:t>挖穴</w:t>
      </w:r>
      <w:r>
        <w:rPr>
          <w:rFonts w:hint="eastAsia"/>
        </w:rPr>
        <w:t>（沟）</w:t>
      </w:r>
      <w:r>
        <w:t>时间应在定植前3个月～</w:t>
      </w:r>
      <w:r>
        <w:rPr>
          <w:rFonts w:cs="Calibri"/>
        </w:rPr>
        <w:t>5</w:t>
      </w:r>
      <w:r>
        <w:t>个月完成。春季定植应在前一年秋季挖穴</w:t>
      </w:r>
      <w:r>
        <w:rPr>
          <w:rFonts w:hint="eastAsia"/>
        </w:rPr>
        <w:t>（沟）</w:t>
      </w:r>
      <w:r>
        <w:t>；秋栽宜在夏季挖穴</w:t>
      </w:r>
      <w:r>
        <w:rPr>
          <w:rFonts w:hint="eastAsia"/>
        </w:rPr>
        <w:t>（沟）</w:t>
      </w:r>
      <w:r>
        <w:t>。底肥以</w:t>
      </w:r>
      <w:r>
        <w:rPr>
          <w:rFonts w:hint="eastAsia"/>
        </w:rPr>
        <w:t>腐熟</w:t>
      </w:r>
      <w:r>
        <w:t>有机肥料为主，每株应施优质有机肥50</w:t>
      </w:r>
      <w:r>
        <w:rPr>
          <w:rFonts w:ascii="Times New Roman"/>
        </w:rPr>
        <w:t> </w:t>
      </w:r>
      <w:r>
        <w:rPr>
          <w:rFonts w:hint="eastAsia" w:cs="Calibri"/>
        </w:rPr>
        <w:t>kg</w:t>
      </w:r>
      <w:r>
        <w:t>～100</w:t>
      </w:r>
      <w:r>
        <w:rPr>
          <w:rFonts w:ascii="Times New Roman"/>
        </w:rPr>
        <w:t> </w:t>
      </w:r>
      <w:r>
        <w:rPr>
          <w:rFonts w:hint="eastAsia" w:cs="Calibri"/>
        </w:rPr>
        <w:t>kg</w:t>
      </w:r>
      <w:r>
        <w:t>，如猪粪、牛粪等，并在有机肥中混入磷肥1</w:t>
      </w:r>
      <w:r>
        <w:rPr>
          <w:rFonts w:ascii="Times New Roman"/>
        </w:rPr>
        <w:t> </w:t>
      </w:r>
      <w:r>
        <w:rPr>
          <w:rFonts w:hint="eastAsia" w:cs="Calibri"/>
        </w:rPr>
        <w:t>kg</w:t>
      </w:r>
      <w:r>
        <w:t>～2</w:t>
      </w:r>
      <w:r>
        <w:rPr>
          <w:rFonts w:ascii="Times New Roman"/>
        </w:rPr>
        <w:t> </w:t>
      </w:r>
      <w:r>
        <w:rPr>
          <w:rFonts w:hint="eastAsia" w:cs="Calibri"/>
        </w:rPr>
        <w:t>kg</w:t>
      </w:r>
      <w:r>
        <w:t>或饼肥2</w:t>
      </w:r>
      <w:r>
        <w:rPr>
          <w:rFonts w:ascii="Times New Roman"/>
        </w:rPr>
        <w:t> </w:t>
      </w:r>
      <w:r>
        <w:rPr>
          <w:rFonts w:hint="eastAsia" w:cs="Calibri"/>
        </w:rPr>
        <w:t>kg</w:t>
      </w:r>
      <w:r>
        <w:t>～3</w:t>
      </w:r>
      <w:r>
        <w:rPr>
          <w:rFonts w:ascii="Times New Roman"/>
        </w:rPr>
        <w:t> </w:t>
      </w:r>
      <w:r>
        <w:rPr>
          <w:rFonts w:hint="eastAsia" w:cs="Calibri"/>
        </w:rPr>
        <w:t>kg</w:t>
      </w:r>
      <w:r>
        <w:t>。</w:t>
      </w:r>
    </w:p>
    <w:p>
      <w:pPr>
        <w:pStyle w:val="105"/>
        <w:spacing w:before="156" w:after="156"/>
        <w:rPr>
          <w:rFonts w:hint="eastAsia" w:ascii="Times New Roman"/>
        </w:rPr>
      </w:pPr>
      <w:r>
        <w:rPr>
          <w:rFonts w:hint="eastAsia"/>
        </w:rPr>
        <w:t xml:space="preserve">授粉树配置  </w:t>
      </w:r>
    </w:p>
    <w:p>
      <w:pPr>
        <w:pStyle w:val="65"/>
        <w:spacing w:before="156" w:after="156"/>
        <w:rPr>
          <w:rFonts w:hint="eastAsia"/>
        </w:rPr>
      </w:pPr>
      <w:r>
        <w:rPr>
          <w:rFonts w:hint="eastAsia"/>
        </w:rPr>
        <w:t>原则</w:t>
      </w:r>
    </w:p>
    <w:p>
      <w:pPr>
        <w:pStyle w:val="56"/>
        <w:ind w:firstLine="420"/>
        <w:rPr>
          <w:rFonts w:hint="eastAsia"/>
          <w:b/>
        </w:rPr>
      </w:pPr>
      <w:r>
        <w:rPr>
          <w:rFonts w:hint="eastAsia"/>
        </w:rPr>
        <w:t>建园时必须配置适量的授粉树，</w:t>
      </w:r>
      <w:r>
        <w:rPr>
          <w:rFonts w:hint="eastAsia"/>
          <w:color w:val="333333"/>
        </w:rPr>
        <w:t>要求授粉树</w:t>
      </w:r>
      <w:r>
        <w:rPr>
          <w:rFonts w:hint="eastAsia"/>
        </w:rPr>
        <w:t>与主栽品种有良好的亲合力，并能互相授粉；与主栽品种花期基本一致，花粉量大，发芽率高；果实有较高的经济价值。</w:t>
      </w:r>
    </w:p>
    <w:p>
      <w:pPr>
        <w:pStyle w:val="65"/>
        <w:spacing w:before="156" w:after="156"/>
        <w:rPr>
          <w:rFonts w:hint="eastAsia"/>
        </w:rPr>
      </w:pPr>
      <w:r>
        <w:rPr>
          <w:rFonts w:hint="eastAsia"/>
        </w:rPr>
        <w:t xml:space="preserve">授粉树的配置比例  </w:t>
      </w:r>
    </w:p>
    <w:p>
      <w:pPr>
        <w:pStyle w:val="56"/>
        <w:ind w:firstLine="420"/>
        <w:rPr>
          <w:rFonts w:hint="eastAsia"/>
          <w:b/>
          <w:bCs/>
        </w:rPr>
      </w:pPr>
      <w:r>
        <w:rPr>
          <w:rFonts w:hint="eastAsia"/>
        </w:rPr>
        <w:t>主栽品种和授粉品种果实经济价值相仿时，可等量成行配置，否则实行差量成行配置（主栽品种与授粉品种的栽植比例为</w:t>
      </w:r>
      <w:r>
        <w:rPr>
          <w:rFonts w:hint="eastAsia" w:ascii="Times New Roman"/>
        </w:rPr>
        <w:t>4</w:t>
      </w:r>
      <w:r>
        <w:t>～</w:t>
      </w:r>
      <w:r>
        <w:rPr>
          <w:rFonts w:hint="eastAsia" w:ascii="Times New Roman"/>
        </w:rPr>
        <w:t>5</w:t>
      </w:r>
      <w:r>
        <w:rPr>
          <w:rFonts w:hint="eastAsia"/>
        </w:rPr>
        <w:t>：</w:t>
      </w:r>
      <w:r>
        <w:rPr>
          <w:rFonts w:hint="eastAsia" w:ascii="Times New Roman"/>
        </w:rPr>
        <w:t>1</w:t>
      </w:r>
      <w:r>
        <w:rPr>
          <w:rFonts w:hint="eastAsia"/>
        </w:rPr>
        <w:t>）。同一果园内栽植</w:t>
      </w:r>
      <w:r>
        <w:rPr>
          <w:rFonts w:hint="eastAsia" w:ascii="Times New Roman"/>
        </w:rPr>
        <w:t>2</w:t>
      </w:r>
      <w:r>
        <w:t>～</w:t>
      </w:r>
      <w:r>
        <w:rPr>
          <w:rFonts w:hint="eastAsia" w:ascii="Times New Roman"/>
        </w:rPr>
        <w:t>4</w:t>
      </w:r>
      <w:r>
        <w:rPr>
          <w:rFonts w:hint="eastAsia"/>
        </w:rPr>
        <w:t>个品种。</w:t>
      </w:r>
    </w:p>
    <w:p>
      <w:pPr>
        <w:pStyle w:val="65"/>
        <w:spacing w:before="156" w:after="156"/>
        <w:rPr>
          <w:rFonts w:hint="eastAsia"/>
        </w:rPr>
      </w:pPr>
      <w:r>
        <w:rPr>
          <w:rFonts w:hint="eastAsia"/>
        </w:rPr>
        <w:t xml:space="preserve">授粉树的配置方式  </w:t>
      </w:r>
    </w:p>
    <w:p>
      <w:pPr>
        <w:pStyle w:val="56"/>
        <w:ind w:firstLine="420"/>
        <w:rPr>
          <w:rFonts w:hint="eastAsia"/>
        </w:rPr>
      </w:pPr>
      <w:r>
        <w:rPr>
          <w:rFonts w:hint="eastAsia"/>
        </w:rPr>
        <w:t>等量配置先栽4</w:t>
      </w:r>
      <w:r>
        <w:rPr>
          <w:rFonts w:ascii="Times New Roman"/>
        </w:rPr>
        <w:t> </w:t>
      </w:r>
      <w:r>
        <w:rPr>
          <w:rFonts w:hint="eastAsia"/>
        </w:rPr>
        <w:t>行～5</w:t>
      </w:r>
      <w:r>
        <w:rPr>
          <w:rFonts w:ascii="Times New Roman"/>
        </w:rPr>
        <w:t> </w:t>
      </w:r>
      <w:r>
        <w:rPr>
          <w:rFonts w:hint="eastAsia"/>
        </w:rPr>
        <w:t>行主栽品种，然后栽4</w:t>
      </w:r>
      <w:r>
        <w:rPr>
          <w:rFonts w:ascii="Times New Roman"/>
        </w:rPr>
        <w:t> </w:t>
      </w:r>
      <w:r>
        <w:rPr>
          <w:rFonts w:hint="eastAsia"/>
        </w:rPr>
        <w:t>行依此类推。</w:t>
      </w:r>
    </w:p>
    <w:p>
      <w:pPr>
        <w:pStyle w:val="105"/>
        <w:spacing w:before="156" w:after="156"/>
        <w:rPr>
          <w:rFonts w:hint="eastAsia"/>
        </w:rPr>
      </w:pPr>
      <w:r>
        <w:rPr>
          <w:rFonts w:hint="eastAsia" w:ascii="宋体" w:hAnsi="宋体"/>
        </w:rPr>
        <w:t xml:space="preserve">栽植时间  </w:t>
      </w:r>
    </w:p>
    <w:p>
      <w:pPr>
        <w:pStyle w:val="56"/>
        <w:ind w:firstLine="420"/>
        <w:rPr>
          <w:rFonts w:hint="eastAsia" w:ascii="Times New Roman"/>
          <w:b/>
        </w:rPr>
      </w:pPr>
      <w:r>
        <w:rPr>
          <w:rFonts w:hint="eastAsia"/>
        </w:rPr>
        <w:t>冬季温暖、湿润的地区适于秋冬栽。气候寒冷、干旱和风大的地区，多采用春栽。</w:t>
      </w:r>
    </w:p>
    <w:p>
      <w:pPr>
        <w:pStyle w:val="105"/>
        <w:spacing w:before="156" w:after="156"/>
        <w:rPr>
          <w:rFonts w:hint="eastAsia"/>
        </w:rPr>
      </w:pPr>
      <w:r>
        <w:rPr>
          <w:rFonts w:ascii="宋体"/>
        </w:rPr>
        <w:t>苗木准备</w:t>
      </w:r>
      <w:r>
        <w:t xml:space="preserve">  </w:t>
      </w:r>
    </w:p>
    <w:p>
      <w:pPr>
        <w:pStyle w:val="56"/>
        <w:ind w:firstLine="420"/>
      </w:pPr>
      <w:r>
        <w:t>栽植前进行品种核对和苗木分级，剔除劣质苗木。经长途运输的苗木，应立即解包并浸根一昼夜，待充分吸水后再</w:t>
      </w:r>
      <w:r>
        <w:rPr>
          <w:rFonts w:hint="eastAsia"/>
        </w:rPr>
        <w:t>行</w:t>
      </w:r>
      <w:r>
        <w:t>定植。</w:t>
      </w:r>
    </w:p>
    <w:p>
      <w:pPr>
        <w:pStyle w:val="105"/>
        <w:spacing w:before="156" w:after="156"/>
      </w:pPr>
      <w:r>
        <w:rPr>
          <w:rFonts w:hint="eastAsia"/>
        </w:rPr>
        <w:t xml:space="preserve">栽植方法  </w:t>
      </w:r>
    </w:p>
    <w:p>
      <w:pPr>
        <w:pStyle w:val="56"/>
        <w:ind w:firstLine="420"/>
        <w:rPr>
          <w:rFonts w:hint="eastAsia" w:ascii="Times New Roman"/>
        </w:rPr>
      </w:pPr>
      <w:r>
        <w:rPr>
          <w:rFonts w:hint="eastAsia"/>
        </w:rPr>
        <w:t>栽植时，首先按照株行距确定栽植穴位置，挖定植小穴（30</w:t>
      </w:r>
      <w:r>
        <w:rPr>
          <w:rFonts w:ascii="Times New Roman"/>
        </w:rPr>
        <w:t> </w:t>
      </w:r>
      <w:r>
        <w:rPr>
          <w:rFonts w:hint="eastAsia"/>
        </w:rPr>
        <w:t>cm×30</w:t>
      </w:r>
      <w:r>
        <w:rPr>
          <w:rFonts w:ascii="Times New Roman"/>
        </w:rPr>
        <w:t> </w:t>
      </w:r>
      <w:r>
        <w:rPr>
          <w:rFonts w:hint="eastAsia"/>
        </w:rPr>
        <w:t>cm×20</w:t>
      </w:r>
      <w:r>
        <w:rPr>
          <w:rFonts w:ascii="Times New Roman"/>
        </w:rPr>
        <w:t> </w:t>
      </w:r>
      <w:r>
        <w:rPr>
          <w:rFonts w:hint="eastAsia"/>
        </w:rPr>
        <w:t>cm）。然后，将苗木放入穴中央，嫁接伤口背风（指春季主风向），摆正扶直，使根系舒展，用手握苗，一边填土一边慢慢向上提苗，最后填土踏实，填土直到刨苗土印与地面相平或略低于地面，降雨较少的地区可适当深栽。再沿树苗周围做直径</w:t>
      </w:r>
      <w:r>
        <w:rPr>
          <w:rFonts w:hint="eastAsia" w:ascii="Times New Roman"/>
        </w:rPr>
        <w:t>1</w:t>
      </w:r>
      <w:r>
        <w:rPr>
          <w:rFonts w:ascii="Times New Roman"/>
        </w:rPr>
        <w:t> </w:t>
      </w:r>
      <w:r>
        <w:rPr>
          <w:rFonts w:hint="eastAsia" w:ascii="Times New Roman"/>
        </w:rPr>
        <w:t>m</w:t>
      </w:r>
      <w:r>
        <w:rPr>
          <w:rFonts w:hint="eastAsia"/>
        </w:rPr>
        <w:t>的树盘，立即浇1次透水。间隔10</w:t>
      </w:r>
      <w:r>
        <w:rPr>
          <w:rFonts w:ascii="Times New Roman"/>
        </w:rPr>
        <w:t> </w:t>
      </w:r>
      <w:r>
        <w:rPr>
          <w:rFonts w:hint="eastAsia"/>
        </w:rPr>
        <w:t>天连续浇水三次，待能进地后逐棵检查，将苗木扶正，并将地表裂缝填平，覆盖地膜保墒。栽植时，力求横竖成行，定植后按整形要求立即定干，定干剪口涂油漆或愈合剂。</w:t>
      </w:r>
    </w:p>
    <w:p>
      <w:pPr>
        <w:pStyle w:val="104"/>
        <w:spacing w:before="312" w:after="312"/>
        <w:rPr>
          <w:rFonts w:hint="eastAsia" w:ascii="Times New Roman"/>
        </w:rPr>
      </w:pPr>
      <w:r>
        <w:rPr>
          <w:rFonts w:hint="eastAsia"/>
        </w:rPr>
        <w:t>土肥水管理</w:t>
      </w:r>
    </w:p>
    <w:p>
      <w:pPr>
        <w:pStyle w:val="105"/>
        <w:spacing w:before="156" w:after="156"/>
        <w:rPr>
          <w:rFonts w:hint="eastAsia"/>
        </w:rPr>
      </w:pPr>
      <w:r>
        <w:rPr>
          <w:rFonts w:hint="eastAsia" w:ascii="宋体" w:hAnsi="宋体"/>
        </w:rPr>
        <w:t>土壤管理</w:t>
      </w:r>
    </w:p>
    <w:p>
      <w:pPr>
        <w:pStyle w:val="65"/>
        <w:spacing w:before="156" w:after="156"/>
      </w:pPr>
      <w:r>
        <w:rPr>
          <w:rFonts w:hint="eastAsia" w:ascii="宋体" w:hAnsi="宋体"/>
        </w:rPr>
        <w:t>深翻改土</w:t>
      </w:r>
      <w:r>
        <w:rPr>
          <w:rFonts w:hint="eastAsia"/>
        </w:rPr>
        <w:t xml:space="preserve">  </w:t>
      </w:r>
    </w:p>
    <w:p>
      <w:pPr>
        <w:pStyle w:val="56"/>
        <w:ind w:firstLine="420"/>
        <w:rPr>
          <w:rFonts w:hint="eastAsia" w:ascii="Times New Roman"/>
          <w:b/>
        </w:rPr>
      </w:pPr>
      <w:r>
        <w:rPr>
          <w:rFonts w:hint="eastAsia"/>
        </w:rPr>
        <w:t>幼树定植后，从定植穴外缘开始，每年秋季结合秋施基肥逐年向外深翻扩展</w:t>
      </w:r>
      <w:r>
        <w:rPr>
          <w:rFonts w:hint="eastAsia" w:ascii="Times New Roman"/>
        </w:rPr>
        <w:t>0.6</w:t>
      </w:r>
      <w:r>
        <w:rPr>
          <w:rFonts w:ascii="Times New Roman"/>
        </w:rPr>
        <w:t> </w:t>
      </w:r>
      <w:r>
        <w:rPr>
          <w:rFonts w:hint="eastAsia" w:ascii="Times New Roman"/>
        </w:rPr>
        <w:t>m</w:t>
      </w:r>
      <w:r>
        <w:t>～</w:t>
      </w:r>
      <w:r>
        <w:rPr>
          <w:rFonts w:hint="eastAsia" w:ascii="Times New Roman"/>
        </w:rPr>
        <w:t>1.0</w:t>
      </w:r>
      <w:r>
        <w:rPr>
          <w:rFonts w:ascii="Times New Roman"/>
        </w:rPr>
        <w:t> </w:t>
      </w:r>
      <w:r>
        <w:rPr>
          <w:rFonts w:hint="eastAsia" w:ascii="Times New Roman"/>
        </w:rPr>
        <w:t>m</w:t>
      </w:r>
      <w:r>
        <w:rPr>
          <w:rFonts w:hint="eastAsia"/>
        </w:rPr>
        <w:t>，</w:t>
      </w:r>
      <w:r>
        <w:rPr>
          <w:rFonts w:hint="eastAsia"/>
          <w:bCs/>
        </w:rPr>
        <w:t>深度0.8</w:t>
      </w:r>
      <w:r>
        <w:rPr>
          <w:rFonts w:ascii="Times New Roman"/>
        </w:rPr>
        <w:t> </w:t>
      </w:r>
      <w:r>
        <w:rPr>
          <w:rFonts w:hint="eastAsia"/>
          <w:bCs/>
        </w:rPr>
        <w:t>m，</w:t>
      </w:r>
      <w:r>
        <w:rPr>
          <w:rFonts w:hint="eastAsia"/>
        </w:rPr>
        <w:t>直至全园深翻完为止，以后再更换其它施肥方式（如坑施、放射沟施、行间撒施加耕翻等）轮换进行。土壤回填时混以有机肥，表土放在底层，底土放在上层，然后充分灌水，使根土密接。翻土1</w:t>
      </w:r>
      <w:r>
        <w:rPr>
          <w:rFonts w:ascii="Times New Roman"/>
        </w:rPr>
        <w:t> </w:t>
      </w:r>
      <w:r>
        <w:rPr>
          <w:rFonts w:hint="eastAsia"/>
        </w:rPr>
        <w:t>m</w:t>
      </w:r>
      <w:r>
        <w:rPr>
          <w:rFonts w:hint="eastAsia"/>
          <w:vertAlign w:val="superscript"/>
        </w:rPr>
        <w:t>3</w:t>
      </w:r>
      <w:r>
        <w:rPr>
          <w:rFonts w:hint="eastAsia"/>
        </w:rPr>
        <w:t>均施入有机肥40</w:t>
      </w:r>
      <w:r>
        <w:rPr>
          <w:rFonts w:ascii="Times New Roman"/>
        </w:rPr>
        <w:t> </w:t>
      </w:r>
      <w:r>
        <w:rPr>
          <w:rFonts w:hint="eastAsia"/>
        </w:rPr>
        <w:t>kg～80</w:t>
      </w:r>
      <w:r>
        <w:rPr>
          <w:rFonts w:ascii="Times New Roman"/>
        </w:rPr>
        <w:t> </w:t>
      </w:r>
      <w:r>
        <w:rPr>
          <w:rFonts w:hint="eastAsia"/>
        </w:rPr>
        <w:t>kg。</w:t>
      </w:r>
    </w:p>
    <w:p>
      <w:pPr>
        <w:pStyle w:val="65"/>
        <w:spacing w:before="156" w:after="156"/>
        <w:rPr>
          <w:rFonts w:hint="eastAsia"/>
        </w:rPr>
      </w:pPr>
      <w:r>
        <w:rPr>
          <w:rFonts w:hint="eastAsia" w:ascii="宋体" w:hAnsi="宋体"/>
        </w:rPr>
        <w:t xml:space="preserve">行间种植绿肥  </w:t>
      </w:r>
    </w:p>
    <w:p>
      <w:pPr>
        <w:pStyle w:val="56"/>
        <w:ind w:firstLine="420"/>
        <w:rPr>
          <w:rFonts w:hint="eastAsia"/>
          <w:color w:val="000000"/>
        </w:rPr>
      </w:pPr>
      <w:r>
        <w:rPr>
          <w:rFonts w:hint="eastAsia"/>
        </w:rPr>
        <w:t>提倡行间间作绿肥，通常在年降雨量800</w:t>
      </w:r>
      <w:r>
        <w:rPr>
          <w:rFonts w:ascii="Times New Roman"/>
        </w:rPr>
        <w:t> </w:t>
      </w:r>
      <w:r>
        <w:rPr>
          <w:rFonts w:hint="eastAsia"/>
        </w:rPr>
        <w:t>mm</w:t>
      </w:r>
      <w:r>
        <w:rPr>
          <w:rFonts w:hint="eastAsia"/>
          <w:bCs/>
        </w:rPr>
        <w:t>～1000</w:t>
      </w:r>
      <w:r>
        <w:rPr>
          <w:rFonts w:ascii="Times New Roman"/>
        </w:rPr>
        <w:t> </w:t>
      </w:r>
      <w:r>
        <w:rPr>
          <w:rFonts w:hint="eastAsia"/>
          <w:bCs/>
        </w:rPr>
        <w:t>mm的地区或有良好灌溉条件的梨园均可间作</w:t>
      </w:r>
      <w:r>
        <w:rPr>
          <w:rFonts w:hint="eastAsia"/>
        </w:rPr>
        <w:t>。果园常用的绿肥作物有：苕子、箭豌豆、草木樨、紫云英、蚕豆、三叶草、金花菜、肥田萝卜、油菜、二月兰、白三叶、扁叶黄芪、意大利黑麦草等。也可在剔除高大及蔓生杂草后实行自然生草。</w:t>
      </w:r>
      <w:r>
        <w:rPr>
          <w:rFonts w:hint="eastAsia"/>
          <w:color w:val="000000"/>
        </w:rPr>
        <w:t>种植绿肥时，以树为中心，留出树盘，幼树树盘应不少于1</w:t>
      </w:r>
      <w:r>
        <w:rPr>
          <w:rFonts w:ascii="Times New Roman"/>
        </w:rPr>
        <w:t> </w:t>
      </w:r>
      <w:r>
        <w:rPr>
          <w:rFonts w:hint="eastAsia"/>
          <w:color w:val="000000"/>
        </w:rPr>
        <w:t>m直径，树冠超过1</w:t>
      </w:r>
      <w:r>
        <w:rPr>
          <w:rFonts w:ascii="Times New Roman"/>
        </w:rPr>
        <w:t> </w:t>
      </w:r>
      <w:r>
        <w:rPr>
          <w:rFonts w:hint="eastAsia"/>
          <w:color w:val="000000"/>
        </w:rPr>
        <w:t>m的树盘应比树冠大25</w:t>
      </w:r>
      <w:r>
        <w:rPr>
          <w:rFonts w:ascii="Times New Roman"/>
        </w:rPr>
        <w:t> </w:t>
      </w:r>
      <w:r>
        <w:rPr>
          <w:rFonts w:hint="eastAsia"/>
          <w:color w:val="000000"/>
        </w:rPr>
        <w:t>cm左右，最终要不低于2</w:t>
      </w:r>
      <w:r>
        <w:rPr>
          <w:rFonts w:ascii="Times New Roman"/>
        </w:rPr>
        <w:t> </w:t>
      </w:r>
      <w:r>
        <w:rPr>
          <w:rFonts w:hint="eastAsia"/>
          <w:color w:val="000000"/>
        </w:rPr>
        <w:t>m。播种多年生绿肥作物， 4</w:t>
      </w:r>
      <w:r>
        <w:rPr>
          <w:rFonts w:ascii="Times New Roman"/>
        </w:rPr>
        <w:t> </w:t>
      </w:r>
      <w:r>
        <w:rPr>
          <w:rFonts w:hint="eastAsia"/>
          <w:color w:val="000000"/>
        </w:rPr>
        <w:t>年～5</w:t>
      </w:r>
      <w:r>
        <w:rPr>
          <w:rFonts w:ascii="Times New Roman"/>
        </w:rPr>
        <w:t> </w:t>
      </w:r>
      <w:r>
        <w:rPr>
          <w:rFonts w:hint="eastAsia"/>
          <w:color w:val="000000"/>
        </w:rPr>
        <w:t>年应翻耕一次，重新播种，并且改换绿肥品种。绿肥可以</w:t>
      </w:r>
      <w:r>
        <w:rPr>
          <w:rFonts w:hint="eastAsia"/>
        </w:rPr>
        <w:t>覆盖树盘、树下压青、沤制肥料，也可以做饲料，以草养畜，然后过腹还田。</w:t>
      </w:r>
    </w:p>
    <w:p>
      <w:pPr>
        <w:pStyle w:val="65"/>
        <w:spacing w:before="156" w:after="156"/>
        <w:rPr>
          <w:rFonts w:hint="eastAsia"/>
        </w:rPr>
      </w:pPr>
      <w:r>
        <w:rPr>
          <w:rFonts w:hint="eastAsia" w:ascii="宋体" w:hAnsi="宋体"/>
        </w:rPr>
        <w:t xml:space="preserve">树盘覆盖  </w:t>
      </w:r>
    </w:p>
    <w:p>
      <w:pPr>
        <w:pStyle w:val="56"/>
        <w:ind w:firstLine="420"/>
        <w:rPr>
          <w:rFonts w:hint="eastAsia" w:ascii="Times New Roman"/>
        </w:rPr>
      </w:pPr>
      <w:r>
        <w:rPr>
          <w:rFonts w:hint="eastAsia"/>
        </w:rPr>
        <w:t>树盘内提倡秸秆覆盖，覆盖材料可选用绿肥、作物秸秆、杂草、薄膜等。用作物秸秆、杂草覆盖时，厚度一般在20</w:t>
      </w:r>
      <w:r>
        <w:rPr>
          <w:rFonts w:ascii="Times New Roman"/>
        </w:rPr>
        <w:t> </w:t>
      </w:r>
      <w:r>
        <w:rPr>
          <w:rFonts w:hint="eastAsia"/>
        </w:rPr>
        <w:t>cm左右，上面零星压土，待覆盖物逐渐腐烂减少，然后重新覆盖。连覆</w:t>
      </w:r>
      <w:r>
        <w:rPr>
          <w:rFonts w:ascii="Times New Roman"/>
        </w:rPr>
        <w:t>3 </w:t>
      </w:r>
      <w:r>
        <w:rPr>
          <w:rFonts w:hint="eastAsia"/>
        </w:rPr>
        <w:t>年～</w:t>
      </w:r>
      <w:r>
        <w:rPr>
          <w:rFonts w:ascii="Times New Roman"/>
        </w:rPr>
        <w:t>4 </w:t>
      </w:r>
      <w:r>
        <w:rPr>
          <w:rFonts w:hint="eastAsia"/>
        </w:rPr>
        <w:t>年后结合秋施基肥浅翻一次，将其埋入土中，再重新覆盖。在早春覆盖地膜，可提高地温，抑制杂草生长；在果实着色期覆盖银色反光膜，可增进果实着色。</w:t>
      </w:r>
    </w:p>
    <w:p>
      <w:pPr>
        <w:pStyle w:val="65"/>
        <w:spacing w:before="156" w:after="156"/>
        <w:rPr>
          <w:rFonts w:hint="eastAsia"/>
          <w:bCs/>
        </w:rPr>
      </w:pPr>
      <w:r>
        <w:rPr>
          <w:rFonts w:hint="eastAsia" w:ascii="宋体" w:hAnsi="宋体"/>
          <w:bCs/>
        </w:rPr>
        <w:t>中耕除草</w:t>
      </w:r>
      <w:r>
        <w:rPr>
          <w:rFonts w:hint="eastAsia"/>
          <w:bCs/>
        </w:rPr>
        <w:t xml:space="preserve">  </w:t>
      </w:r>
    </w:p>
    <w:p>
      <w:pPr>
        <w:pStyle w:val="56"/>
        <w:ind w:firstLine="420"/>
        <w:rPr>
          <w:rFonts w:hint="eastAsia" w:ascii="Times New Roman"/>
        </w:rPr>
      </w:pPr>
      <w:r>
        <w:rPr>
          <w:rFonts w:hint="eastAsia"/>
        </w:rPr>
        <w:t>生长季降雨或灌水后，及时中耕除草，保持土壤疏松。中耕深度</w:t>
      </w:r>
      <w:r>
        <w:rPr>
          <w:rFonts w:ascii="Times New Roman"/>
        </w:rPr>
        <w:t>5 </w:t>
      </w:r>
      <w:r>
        <w:rPr>
          <w:rFonts w:hint="eastAsia" w:ascii="Times New Roman"/>
        </w:rPr>
        <w:t>cm</w:t>
      </w:r>
      <w:r>
        <w:rPr>
          <w:rFonts w:hint="eastAsia"/>
        </w:rPr>
        <w:t>～</w:t>
      </w:r>
      <w:r>
        <w:rPr>
          <w:rFonts w:ascii="Times New Roman"/>
        </w:rPr>
        <w:t>10 </w:t>
      </w:r>
      <w:r>
        <w:rPr>
          <w:rFonts w:hint="eastAsia" w:ascii="Times New Roman"/>
        </w:rPr>
        <w:t>cm</w:t>
      </w:r>
      <w:r>
        <w:rPr>
          <w:rFonts w:hint="eastAsia"/>
        </w:rPr>
        <w:t>。</w:t>
      </w:r>
    </w:p>
    <w:p>
      <w:pPr>
        <w:pStyle w:val="105"/>
        <w:spacing w:before="156" w:after="156"/>
      </w:pPr>
      <w:r>
        <w:rPr>
          <w:rFonts w:hint="eastAsia" w:ascii="宋体" w:hAnsi="宋体"/>
        </w:rPr>
        <w:t>施肥</w:t>
      </w:r>
    </w:p>
    <w:p>
      <w:pPr>
        <w:pStyle w:val="56"/>
        <w:ind w:firstLine="420"/>
        <w:rPr>
          <w:rFonts w:ascii="Times New Roman"/>
          <w:b/>
        </w:rPr>
      </w:pPr>
      <w:r>
        <w:rPr>
          <w:rFonts w:hint="eastAsia" w:hAnsi="宋体"/>
          <w:bCs/>
        </w:rPr>
        <w:t>应按照</w:t>
      </w:r>
      <w:r>
        <w:rPr>
          <w:rFonts w:hint="eastAsia"/>
        </w:rPr>
        <w:t>NY/T 394</w:t>
      </w:r>
      <w:r>
        <w:rPr>
          <w:rFonts w:hint="eastAsia" w:hAnsi="宋体"/>
        </w:rPr>
        <w:t>施肥。</w:t>
      </w:r>
    </w:p>
    <w:p>
      <w:pPr>
        <w:pStyle w:val="105"/>
        <w:spacing w:before="156" w:after="156"/>
        <w:rPr>
          <w:rFonts w:hint="eastAsia"/>
        </w:rPr>
      </w:pPr>
      <w:r>
        <w:rPr>
          <w:rFonts w:hint="eastAsia" w:ascii="宋体" w:hAnsi="宋体"/>
        </w:rPr>
        <w:t>水分管理</w:t>
      </w:r>
    </w:p>
    <w:p>
      <w:pPr>
        <w:pStyle w:val="65"/>
        <w:spacing w:before="156" w:after="156"/>
      </w:pPr>
      <w:r>
        <w:rPr>
          <w:rFonts w:hint="eastAsia" w:ascii="宋体" w:hAnsi="宋体"/>
        </w:rPr>
        <w:t>需水量</w:t>
      </w:r>
      <w:r>
        <w:rPr>
          <w:rFonts w:hint="eastAsia"/>
        </w:rPr>
        <w:t xml:space="preserve">  </w:t>
      </w:r>
    </w:p>
    <w:p>
      <w:pPr>
        <w:autoSpaceDE w:val="0"/>
        <w:autoSpaceDN w:val="0"/>
        <w:spacing w:line="360" w:lineRule="auto"/>
        <w:ind w:firstLine="420" w:firstLineChars="200"/>
        <w:jc w:val="left"/>
        <w:outlineLvl w:val="0"/>
        <w:rPr>
          <w:rFonts w:hint="eastAsia"/>
          <w:bCs/>
          <w:kern w:val="0"/>
        </w:rPr>
      </w:pPr>
      <w:r>
        <w:rPr>
          <w:rFonts w:hint="eastAsia" w:ascii="宋体" w:hAnsi="宋体"/>
          <w:kern w:val="0"/>
        </w:rPr>
        <w:t>每亩产2500</w:t>
      </w:r>
      <w:r>
        <w:rPr>
          <w:rFonts w:ascii="Times New Roman"/>
        </w:rPr>
        <w:t> </w:t>
      </w:r>
      <w:r>
        <w:rPr>
          <w:rFonts w:hint="eastAsia" w:ascii="宋体" w:hAnsi="宋体"/>
          <w:kern w:val="0"/>
        </w:rPr>
        <w:t>kg的梨园，亩需水量为300</w:t>
      </w:r>
      <w:r>
        <w:rPr>
          <w:rFonts w:ascii="Times New Roman"/>
        </w:rPr>
        <w:t> </w:t>
      </w:r>
      <w:r>
        <w:rPr>
          <w:rFonts w:hint="eastAsia" w:ascii="宋体" w:hAnsi="宋体"/>
          <w:kern w:val="0"/>
        </w:rPr>
        <w:t>t～500</w:t>
      </w:r>
      <w:r>
        <w:rPr>
          <w:rFonts w:ascii="Times New Roman"/>
        </w:rPr>
        <w:t> </w:t>
      </w:r>
      <w:r>
        <w:rPr>
          <w:rFonts w:hint="eastAsia" w:ascii="宋体" w:hAnsi="宋体"/>
          <w:kern w:val="0"/>
        </w:rPr>
        <w:t>t。</w:t>
      </w:r>
    </w:p>
    <w:p>
      <w:pPr>
        <w:pStyle w:val="65"/>
        <w:spacing w:before="156" w:after="156"/>
        <w:rPr>
          <w:rFonts w:hint="eastAsia"/>
        </w:rPr>
      </w:pPr>
      <w:r>
        <w:rPr>
          <w:rFonts w:hint="eastAsia"/>
        </w:rPr>
        <w:t xml:space="preserve">灌水时期的确定  </w:t>
      </w:r>
    </w:p>
    <w:p>
      <w:pPr>
        <w:pStyle w:val="56"/>
        <w:ind w:firstLine="420"/>
        <w:rPr>
          <w:rFonts w:hint="eastAsia"/>
        </w:rPr>
      </w:pPr>
      <w:r>
        <w:rPr>
          <w:rFonts w:hint="eastAsia"/>
        </w:rPr>
        <w:t>当土壤的含水量达到持水量的60％～80％时，为梨树最适土壤含量水。当土壤含水量低于最大持水量的60％时，应进行灌溉。土壤含水量可用土壤水分张力仪进行测定，也可挖土观测，取果园内20厘米以下土壤，手握不能成团，即应尽快浇灌。</w:t>
      </w:r>
    </w:p>
    <w:p>
      <w:pPr>
        <w:pStyle w:val="56"/>
        <w:ind w:firstLine="420"/>
        <w:rPr>
          <w:rFonts w:hint="eastAsia"/>
        </w:rPr>
      </w:pPr>
      <w:r>
        <w:rPr>
          <w:rFonts w:hint="eastAsia"/>
        </w:rPr>
        <w:t>严重干旱时树体特征主要表现为梢尖弯垂、果实皱缩、叶片萎蔫。当中午观察树上的叶片发现萎蔫，经过1个晚上，第2天仍不能恢复原状，说明土壤已经严重缺水，应立即灌溉。</w:t>
      </w:r>
    </w:p>
    <w:p>
      <w:pPr>
        <w:pStyle w:val="56"/>
        <w:ind w:firstLine="420"/>
        <w:rPr>
          <w:rFonts w:hint="eastAsia"/>
        </w:rPr>
      </w:pPr>
      <w:r>
        <w:rPr>
          <w:rFonts w:hint="eastAsia"/>
        </w:rPr>
        <w:t>主要灌水时期有：花前水（３月下旬左右）、花后水（4月下或5月上中旬）、果实膨大水（6～7月份）、采后补水、越冬封冻水。</w:t>
      </w:r>
    </w:p>
    <w:p>
      <w:pPr>
        <w:pStyle w:val="65"/>
        <w:spacing w:before="156" w:after="156"/>
        <w:rPr>
          <w:rFonts w:hint="eastAsia"/>
        </w:rPr>
      </w:pPr>
      <w:r>
        <w:rPr>
          <w:rFonts w:hint="eastAsia"/>
        </w:rPr>
        <w:t xml:space="preserve">灌水方法  </w:t>
      </w:r>
    </w:p>
    <w:p>
      <w:pPr>
        <w:pStyle w:val="56"/>
        <w:ind w:firstLine="420"/>
        <w:rPr>
          <w:rFonts w:hint="eastAsia"/>
          <w:b/>
        </w:rPr>
      </w:pPr>
      <w:r>
        <w:rPr>
          <w:rFonts w:hint="eastAsia"/>
        </w:rPr>
        <w:t>可采用沟灌、树下漫灌、滴灌、喷灌、微喷等方法。干旱地区，最好喷灌，可有效增加红皮梨着色。灌水后及时松土，水源缺乏的果园可用作物秸杆等覆盖树盘，以利保墒。</w:t>
      </w:r>
    </w:p>
    <w:p>
      <w:pPr>
        <w:pStyle w:val="65"/>
        <w:spacing w:before="156" w:after="156"/>
        <w:rPr>
          <w:rFonts w:hint="eastAsia"/>
        </w:rPr>
      </w:pPr>
      <w:r>
        <w:rPr>
          <w:rFonts w:hint="eastAsia"/>
        </w:rPr>
        <w:t xml:space="preserve">排水  </w:t>
      </w:r>
    </w:p>
    <w:p>
      <w:pPr>
        <w:pStyle w:val="56"/>
        <w:ind w:firstLine="420"/>
        <w:rPr>
          <w:rFonts w:hint="eastAsia"/>
          <w:b/>
          <w:bCs/>
        </w:rPr>
      </w:pPr>
      <w:r>
        <w:rPr>
          <w:rFonts w:hint="eastAsia"/>
        </w:rPr>
        <w:t>当果园出现积水时，要利用沟渠及时排水。</w:t>
      </w:r>
    </w:p>
    <w:p>
      <w:pPr>
        <w:pStyle w:val="104"/>
        <w:spacing w:before="312" w:after="312"/>
        <w:rPr>
          <w:rFonts w:hint="eastAsia" w:ascii="Times New Roman"/>
        </w:rPr>
      </w:pPr>
      <w:r>
        <w:rPr>
          <w:rFonts w:hint="eastAsia"/>
        </w:rPr>
        <w:t>整形修剪</w:t>
      </w:r>
    </w:p>
    <w:p>
      <w:pPr>
        <w:pStyle w:val="105"/>
        <w:spacing w:before="156" w:after="156"/>
      </w:pPr>
      <w:r>
        <w:rPr>
          <w:rFonts w:hint="eastAsia" w:ascii="宋体" w:hAnsi="宋体"/>
        </w:rPr>
        <w:t xml:space="preserve">适宜树形  </w:t>
      </w:r>
    </w:p>
    <w:p>
      <w:pPr>
        <w:pStyle w:val="56"/>
        <w:ind w:firstLine="420"/>
        <w:rPr>
          <w:rFonts w:hint="eastAsia" w:ascii="Times New Roman"/>
        </w:rPr>
      </w:pPr>
      <w:r>
        <w:rPr>
          <w:rFonts w:hint="eastAsia"/>
        </w:rPr>
        <w:t>红皮梨需要良好的光照条件，常用树形为小冠疏层形和细长纺锤形，其结构特点见表</w:t>
      </w:r>
      <w:r>
        <w:rPr>
          <w:rFonts w:hint="eastAsia" w:ascii="Times New Roman"/>
        </w:rPr>
        <w:t>2</w:t>
      </w:r>
      <w:r>
        <w:rPr>
          <w:rFonts w:hint="eastAsia"/>
        </w:rPr>
        <w:t>。</w:t>
      </w:r>
    </w:p>
    <w:p>
      <w:pPr>
        <w:pStyle w:val="112"/>
        <w:spacing w:before="156" w:after="156"/>
      </w:pPr>
      <w:r>
        <w:rPr>
          <w:rFonts w:hint="eastAsia"/>
        </w:rPr>
        <w:t>红皮梨常见树形及结构特点</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711"/>
        <w:gridCol w:w="1418"/>
        <w:gridCol w:w="624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1711" w:type="dxa"/>
            <w:tcBorders>
              <w:top w:val="single" w:color="auto" w:sz="8" w:space="0"/>
              <w:bottom w:val="single" w:color="auto" w:sz="8" w:space="0"/>
            </w:tcBorders>
            <w:shd w:val="clear" w:color="auto" w:fill="auto"/>
            <w:vAlign w:val="center"/>
          </w:tcPr>
          <w:p>
            <w:pPr>
              <w:pStyle w:val="178"/>
              <w:rPr>
                <w:rFonts w:hint="eastAsia" w:ascii="宋体" w:hAnsi="宋体" w:eastAsia="宋体" w:cs="宋体"/>
                <w:sz w:val="18"/>
                <w:szCs w:val="18"/>
              </w:rPr>
            </w:pPr>
            <w:r>
              <w:rPr>
                <w:rFonts w:hint="eastAsia" w:ascii="宋体" w:hAnsi="宋体" w:eastAsia="宋体" w:cs="宋体"/>
                <w:sz w:val="18"/>
                <w:szCs w:val="18"/>
              </w:rPr>
              <w:t>树形</w:t>
            </w:r>
          </w:p>
        </w:tc>
        <w:tc>
          <w:tcPr>
            <w:tcW w:w="1418" w:type="dxa"/>
            <w:tcBorders>
              <w:top w:val="single" w:color="auto" w:sz="8" w:space="0"/>
              <w:bottom w:val="single" w:color="auto" w:sz="8" w:space="0"/>
            </w:tcBorders>
            <w:shd w:val="clear" w:color="auto" w:fill="auto"/>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密度</w:t>
            </w:r>
          </w:p>
          <w:p>
            <w:pPr>
              <w:pStyle w:val="178"/>
              <w:rPr>
                <w:rFonts w:hint="eastAsia" w:ascii="宋体" w:hAnsi="宋体" w:eastAsia="宋体" w:cs="宋体"/>
                <w:sz w:val="18"/>
                <w:szCs w:val="18"/>
              </w:rPr>
            </w:pPr>
            <w:r>
              <w:rPr>
                <w:rFonts w:hint="eastAsia" w:ascii="宋体" w:hAnsi="宋体" w:eastAsia="宋体" w:cs="宋体"/>
                <w:sz w:val="18"/>
                <w:szCs w:val="18"/>
              </w:rPr>
              <w:t>株/亩</w:t>
            </w:r>
          </w:p>
        </w:tc>
        <w:tc>
          <w:tcPr>
            <w:tcW w:w="6245" w:type="dxa"/>
            <w:tcBorders>
              <w:top w:val="single" w:color="auto" w:sz="8" w:space="0"/>
              <w:bottom w:val="single" w:color="auto" w:sz="8" w:space="0"/>
            </w:tcBorders>
            <w:shd w:val="clear" w:color="auto" w:fill="auto"/>
            <w:vAlign w:val="center"/>
          </w:tcPr>
          <w:p>
            <w:pPr>
              <w:pStyle w:val="178"/>
              <w:rPr>
                <w:rFonts w:hint="eastAsia" w:ascii="宋体" w:hAnsi="宋体" w:eastAsia="宋体" w:cs="宋体"/>
                <w:sz w:val="18"/>
                <w:szCs w:val="18"/>
              </w:rPr>
            </w:pPr>
            <w:r>
              <w:rPr>
                <w:rFonts w:hint="eastAsia" w:ascii="宋体" w:hAnsi="宋体" w:eastAsia="宋体" w:cs="宋体"/>
                <w:sz w:val="18"/>
                <w:szCs w:val="18"/>
              </w:rPr>
              <w:t>结 构 特 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711" w:type="dxa"/>
            <w:tcBorders>
              <w:top w:val="single" w:color="auto" w:sz="8" w:space="0"/>
            </w:tcBorders>
            <w:shd w:val="clear" w:color="auto" w:fill="auto"/>
            <w:vAlign w:val="center"/>
          </w:tcPr>
          <w:p>
            <w:pPr>
              <w:pStyle w:val="178"/>
              <w:rPr>
                <w:rFonts w:hint="eastAsia" w:ascii="宋体" w:hAnsi="宋体" w:eastAsia="宋体" w:cs="宋体"/>
                <w:sz w:val="18"/>
                <w:szCs w:val="18"/>
              </w:rPr>
            </w:pPr>
            <w:r>
              <w:rPr>
                <w:rFonts w:hint="eastAsia" w:ascii="宋体" w:hAnsi="宋体" w:eastAsia="宋体" w:cs="宋体"/>
                <w:sz w:val="18"/>
                <w:szCs w:val="18"/>
              </w:rPr>
              <w:t>小冠疏层形</w:t>
            </w:r>
          </w:p>
        </w:tc>
        <w:tc>
          <w:tcPr>
            <w:tcW w:w="1418" w:type="dxa"/>
            <w:tcBorders>
              <w:top w:val="single" w:color="auto" w:sz="8" w:space="0"/>
            </w:tcBorders>
            <w:shd w:val="clear" w:color="auto" w:fill="auto"/>
            <w:vAlign w:val="center"/>
          </w:tcPr>
          <w:p>
            <w:pPr>
              <w:pStyle w:val="178"/>
              <w:rPr>
                <w:rFonts w:hint="eastAsia" w:ascii="宋体" w:hAnsi="宋体" w:eastAsia="宋体" w:cs="宋体"/>
                <w:sz w:val="18"/>
                <w:szCs w:val="18"/>
              </w:rPr>
            </w:pPr>
            <w:r>
              <w:rPr>
                <w:rFonts w:hint="eastAsia" w:ascii="宋体" w:hAnsi="宋体" w:eastAsia="宋体" w:cs="宋体"/>
                <w:sz w:val="18"/>
                <w:szCs w:val="18"/>
              </w:rPr>
              <w:t>33～56</w:t>
            </w:r>
          </w:p>
        </w:tc>
        <w:tc>
          <w:tcPr>
            <w:tcW w:w="6245" w:type="dxa"/>
            <w:tcBorders>
              <w:top w:val="single" w:color="auto" w:sz="8" w:space="0"/>
            </w:tcBorders>
            <w:shd w:val="clear" w:color="auto" w:fill="auto"/>
            <w:vAlign w:val="center"/>
          </w:tcPr>
          <w:p>
            <w:pPr>
              <w:pStyle w:val="178"/>
              <w:jc w:val="left"/>
              <w:rPr>
                <w:rFonts w:hint="eastAsia" w:ascii="宋体" w:hAnsi="宋体" w:eastAsia="宋体" w:cs="宋体"/>
                <w:sz w:val="18"/>
                <w:szCs w:val="18"/>
              </w:rPr>
            </w:pPr>
            <w:r>
              <w:rPr>
                <w:rFonts w:hint="eastAsia" w:ascii="宋体" w:hAnsi="宋体" w:eastAsia="宋体" w:cs="宋体"/>
                <w:sz w:val="18"/>
                <w:szCs w:val="18"/>
              </w:rPr>
              <w:t>树高3 m，干高0.6 m，冠幅3 m～3.5 m。第一层主枝3个，层内距30 cm；第二层主枝2个，层内距20 cm；第三层主枝1个。一二层间距80 cm；二三层间距60 cm，主枝上不配侧枝，直接着生大中小型枝组。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711" w:type="dxa"/>
            <w:shd w:val="clear" w:color="auto" w:fill="auto"/>
            <w:vAlign w:val="center"/>
          </w:tcPr>
          <w:p>
            <w:pPr>
              <w:pStyle w:val="178"/>
              <w:rPr>
                <w:rFonts w:hint="eastAsia" w:ascii="宋体" w:hAnsi="宋体" w:eastAsia="宋体" w:cs="宋体"/>
                <w:sz w:val="18"/>
                <w:szCs w:val="18"/>
              </w:rPr>
            </w:pPr>
            <w:r>
              <w:rPr>
                <w:rFonts w:hint="eastAsia" w:ascii="宋体" w:hAnsi="宋体" w:eastAsia="宋体" w:cs="宋体"/>
                <w:sz w:val="18"/>
                <w:szCs w:val="18"/>
              </w:rPr>
              <w:t>细长纺锤形</w:t>
            </w:r>
          </w:p>
        </w:tc>
        <w:tc>
          <w:tcPr>
            <w:tcW w:w="1418" w:type="dxa"/>
            <w:shd w:val="clear" w:color="auto" w:fill="auto"/>
            <w:vAlign w:val="center"/>
          </w:tcPr>
          <w:p>
            <w:pPr>
              <w:pStyle w:val="178"/>
              <w:rPr>
                <w:rFonts w:hint="eastAsia" w:ascii="宋体" w:hAnsi="宋体" w:eastAsia="宋体" w:cs="宋体"/>
                <w:sz w:val="18"/>
                <w:szCs w:val="18"/>
              </w:rPr>
            </w:pPr>
            <w:r>
              <w:rPr>
                <w:rFonts w:hint="eastAsia" w:ascii="宋体" w:hAnsi="宋体" w:eastAsia="宋体" w:cs="宋体"/>
                <w:sz w:val="18"/>
                <w:szCs w:val="18"/>
              </w:rPr>
              <w:t>84～166</w:t>
            </w:r>
          </w:p>
        </w:tc>
        <w:tc>
          <w:tcPr>
            <w:tcW w:w="6245" w:type="dxa"/>
            <w:shd w:val="clear" w:color="auto" w:fill="auto"/>
            <w:vAlign w:val="center"/>
          </w:tcPr>
          <w:p>
            <w:pPr>
              <w:pStyle w:val="178"/>
              <w:jc w:val="left"/>
              <w:rPr>
                <w:rFonts w:hint="eastAsia" w:ascii="宋体" w:hAnsi="宋体" w:eastAsia="宋体" w:cs="宋体"/>
                <w:sz w:val="18"/>
                <w:szCs w:val="18"/>
              </w:rPr>
            </w:pPr>
            <w:r>
              <w:rPr>
                <w:rFonts w:hint="eastAsia" w:ascii="宋体" w:hAnsi="宋体" w:eastAsia="宋体" w:cs="宋体"/>
                <w:sz w:val="18"/>
                <w:szCs w:val="18"/>
              </w:rPr>
              <w:t>树高不超过3 m～3.5 m。主干高0.6 m左右，中心干上着生20个～25小主枝，小主枝围绕中心干螺旋式上升，间隔15 cm左右。小主枝与主干分生角度为80°左右，小主枝上直接着生小枝组。</w:t>
            </w:r>
          </w:p>
        </w:tc>
      </w:tr>
    </w:tbl>
    <w:p>
      <w:pPr>
        <w:pStyle w:val="56"/>
        <w:ind w:firstLine="0" w:firstLineChars="0"/>
        <w:rPr>
          <w:rFonts w:hint="eastAsia"/>
        </w:rPr>
      </w:pPr>
    </w:p>
    <w:p>
      <w:pPr>
        <w:pStyle w:val="105"/>
        <w:spacing w:before="156" w:after="156"/>
        <w:rPr>
          <w:kern w:val="2"/>
          <w:szCs w:val="21"/>
        </w:rPr>
      </w:pPr>
      <w:r>
        <w:rPr>
          <w:rFonts w:hint="eastAsia" w:ascii="宋体" w:hAnsi="宋体"/>
        </w:rPr>
        <w:t>树形的培养</w:t>
      </w:r>
    </w:p>
    <w:p>
      <w:pPr>
        <w:pStyle w:val="65"/>
        <w:spacing w:before="156" w:after="156"/>
        <w:rPr>
          <w:rFonts w:hint="eastAsia"/>
        </w:rPr>
      </w:pPr>
      <w:r>
        <w:rPr>
          <w:rFonts w:hint="eastAsia"/>
        </w:rPr>
        <w:t xml:space="preserve">小冠疏层形的培养  </w:t>
      </w:r>
    </w:p>
    <w:p>
      <w:pPr>
        <w:pStyle w:val="56"/>
        <w:ind w:firstLine="420"/>
        <w:rPr>
          <w:rFonts w:hint="eastAsia"/>
          <w:b/>
        </w:rPr>
      </w:pPr>
      <w:r>
        <w:rPr>
          <w:rFonts w:hint="eastAsia"/>
        </w:rPr>
        <w:t>定干高度80</w:t>
      </w:r>
      <w:r>
        <w:rPr>
          <w:rFonts w:ascii="Times New Roman"/>
          <w:sz w:val="18"/>
          <w:szCs w:val="18"/>
        </w:rPr>
        <w:t> </w:t>
      </w:r>
      <w:r>
        <w:rPr>
          <w:rFonts w:hint="eastAsia"/>
        </w:rPr>
        <w:t>cm～90</w:t>
      </w:r>
      <w:r>
        <w:rPr>
          <w:rFonts w:ascii="Times New Roman"/>
          <w:sz w:val="18"/>
          <w:szCs w:val="18"/>
        </w:rPr>
        <w:t> </w:t>
      </w:r>
      <w:r>
        <w:rPr>
          <w:rFonts w:hint="eastAsia"/>
        </w:rPr>
        <w:t>cm。定植后2年内，在基部3个方向选出3个主枝，主枝间水平夹角以120°为最佳。在中央干上距第三主枝以上80</w:t>
      </w:r>
      <w:r>
        <w:rPr>
          <w:rFonts w:ascii="Times New Roman"/>
          <w:sz w:val="18"/>
          <w:szCs w:val="18"/>
        </w:rPr>
        <w:t> </w:t>
      </w:r>
      <w:r>
        <w:rPr>
          <w:rFonts w:hint="eastAsia"/>
        </w:rPr>
        <w:t>cm左右处选出方位适当的第四、第五主枝。距第五主枝以上60</w:t>
      </w:r>
      <w:r>
        <w:rPr>
          <w:rFonts w:ascii="Times New Roman"/>
          <w:sz w:val="18"/>
          <w:szCs w:val="18"/>
        </w:rPr>
        <w:t> </w:t>
      </w:r>
      <w:r>
        <w:rPr>
          <w:rFonts w:hint="eastAsia"/>
        </w:rPr>
        <w:t>cm处选第六主枝，其位置最好在北部。主枝配齐后，及时落头开心。定植后的前几年，根据树冠生长情况，对中央干和主枝延长枝进行短截或长放。主枝要及时拉枝开角，基角50°，腰角70°左右。</w:t>
      </w:r>
    </w:p>
    <w:p>
      <w:pPr>
        <w:pStyle w:val="56"/>
        <w:ind w:firstLine="420"/>
        <w:rPr>
          <w:rFonts w:hint="eastAsia"/>
        </w:rPr>
      </w:pPr>
      <w:r>
        <w:rPr>
          <w:rFonts w:hint="eastAsia"/>
        </w:rPr>
        <w:t>小冠疏层形主枝上一般不配侧枝，直接着生各类结果枝组。在第一层主枝上配置两个大型枝组，第二层主枝上可选一个大枝组，第三层无大枝组。大枝组多用连截法培养。主枝上其他枝培养成中小枝组。背上直立枝培养成的枝组不易控制，幼树期尽量不用。</w:t>
      </w:r>
    </w:p>
    <w:p>
      <w:pPr>
        <w:pStyle w:val="65"/>
        <w:spacing w:before="156" w:after="156"/>
        <w:rPr>
          <w:rFonts w:hint="eastAsia"/>
        </w:rPr>
      </w:pPr>
      <w:r>
        <w:rPr>
          <w:rFonts w:hint="eastAsia"/>
        </w:rPr>
        <w:t xml:space="preserve">细长纺锤形的培养  </w:t>
      </w:r>
    </w:p>
    <w:p>
      <w:pPr>
        <w:pStyle w:val="56"/>
        <w:ind w:firstLine="420"/>
        <w:rPr>
          <w:rFonts w:hint="eastAsia"/>
          <w:b/>
        </w:rPr>
      </w:pPr>
      <w:r>
        <w:rPr>
          <w:rFonts w:hint="eastAsia"/>
        </w:rPr>
        <w:t>定干高度40</w:t>
      </w:r>
      <w:r>
        <w:rPr>
          <w:rFonts w:ascii="Times New Roman"/>
          <w:sz w:val="18"/>
          <w:szCs w:val="18"/>
        </w:rPr>
        <w:t> </w:t>
      </w:r>
      <w:r>
        <w:rPr>
          <w:rFonts w:hint="eastAsia"/>
        </w:rPr>
        <w:t>cm左右，中心干直立生长。第一年，立支柱辅助中心主干直立生长，主干上所发新梢生长到20</w:t>
      </w:r>
      <w:r>
        <w:rPr>
          <w:rFonts w:ascii="Times New Roman"/>
          <w:sz w:val="18"/>
          <w:szCs w:val="18"/>
        </w:rPr>
        <w:t> </w:t>
      </w:r>
      <w:r>
        <w:rPr>
          <w:rFonts w:hint="eastAsia"/>
        </w:rPr>
        <w:t>cm时都进行摘心处理，以确保中心主干尽快加粗加高生长。第一年要求树体生长到180</w:t>
      </w:r>
      <w:r>
        <w:rPr>
          <w:rFonts w:ascii="Times New Roman"/>
          <w:sz w:val="18"/>
          <w:szCs w:val="18"/>
        </w:rPr>
        <w:t> </w:t>
      </w:r>
      <w:r>
        <w:rPr>
          <w:rFonts w:hint="eastAsia"/>
        </w:rPr>
        <w:t>cm以上。第二年，疏除中心干上的所有强旺枝条，并在萌芽前对主干上距地面60</w:t>
      </w:r>
      <w:r>
        <w:rPr>
          <w:rFonts w:ascii="Times New Roman"/>
          <w:sz w:val="18"/>
          <w:szCs w:val="18"/>
        </w:rPr>
        <w:t> </w:t>
      </w:r>
      <w:r>
        <w:rPr>
          <w:rFonts w:hint="eastAsia"/>
        </w:rPr>
        <w:t>cm以上和延长头20</w:t>
      </w:r>
      <w:r>
        <w:rPr>
          <w:rFonts w:ascii="Times New Roman"/>
          <w:sz w:val="18"/>
          <w:szCs w:val="18"/>
        </w:rPr>
        <w:t> </w:t>
      </w:r>
      <w:r>
        <w:rPr>
          <w:rFonts w:hint="eastAsia"/>
        </w:rPr>
        <w:t>cm以下的所有芽进行刻芽，促进萌发；新梢生长到30</w:t>
      </w:r>
      <w:r>
        <w:rPr>
          <w:rFonts w:ascii="Times New Roman"/>
          <w:sz w:val="18"/>
          <w:szCs w:val="18"/>
        </w:rPr>
        <w:t> </w:t>
      </w:r>
      <w:r>
        <w:rPr>
          <w:rFonts w:hint="eastAsia"/>
        </w:rPr>
        <w:t>cm时，采用牙签撑开角度，一般要求新梢和中心干夹角达到50～70°；进入5月中旬后，可根据树势情况进行促花，离地30</w:t>
      </w:r>
      <w:r>
        <w:rPr>
          <w:rFonts w:ascii="Times New Roman"/>
          <w:sz w:val="18"/>
          <w:szCs w:val="18"/>
        </w:rPr>
        <w:t> </w:t>
      </w:r>
      <w:r>
        <w:rPr>
          <w:rFonts w:hint="eastAsia"/>
        </w:rPr>
        <w:t>cm对主干进行环割，一般1</w:t>
      </w:r>
      <w:r>
        <w:rPr>
          <w:rFonts w:ascii="Times New Roman"/>
          <w:sz w:val="18"/>
          <w:szCs w:val="18"/>
        </w:rPr>
        <w:t> </w:t>
      </w:r>
      <w:r>
        <w:rPr>
          <w:rFonts w:hint="eastAsia"/>
        </w:rPr>
        <w:t>次～3</w:t>
      </w:r>
      <w:r>
        <w:rPr>
          <w:rFonts w:ascii="Times New Roman"/>
          <w:sz w:val="18"/>
          <w:szCs w:val="18"/>
        </w:rPr>
        <w:t> </w:t>
      </w:r>
      <w:r>
        <w:rPr>
          <w:rFonts w:hint="eastAsia"/>
        </w:rPr>
        <w:t>次，每隔10</w:t>
      </w:r>
      <w:r>
        <w:rPr>
          <w:rFonts w:ascii="Times New Roman"/>
          <w:sz w:val="18"/>
          <w:szCs w:val="18"/>
        </w:rPr>
        <w:t> </w:t>
      </w:r>
      <w:r>
        <w:rPr>
          <w:rFonts w:hint="eastAsia"/>
        </w:rPr>
        <w:t>天1</w:t>
      </w:r>
      <w:r>
        <w:rPr>
          <w:rFonts w:ascii="Times New Roman"/>
          <w:sz w:val="18"/>
          <w:szCs w:val="18"/>
        </w:rPr>
        <w:t> </w:t>
      </w:r>
      <w:r>
        <w:rPr>
          <w:rFonts w:hint="eastAsia"/>
        </w:rPr>
        <w:t>次。主干上新梢超过50</w:t>
      </w:r>
      <w:r>
        <w:rPr>
          <w:rFonts w:ascii="Times New Roman"/>
          <w:sz w:val="18"/>
          <w:szCs w:val="18"/>
        </w:rPr>
        <w:t> </w:t>
      </w:r>
      <w:r>
        <w:rPr>
          <w:rFonts w:hint="eastAsia"/>
        </w:rPr>
        <w:t>cm的要进行摘心，以促进形成腋花芽。第三年，当树体高度达到3</w:t>
      </w:r>
      <w:r>
        <w:rPr>
          <w:rFonts w:ascii="Times New Roman"/>
          <w:sz w:val="18"/>
          <w:szCs w:val="18"/>
        </w:rPr>
        <w:t> </w:t>
      </w:r>
      <w:r>
        <w:rPr>
          <w:rFonts w:hint="eastAsia"/>
        </w:rPr>
        <w:t>m以上时，要在中心干延长头2</w:t>
      </w:r>
      <w:r>
        <w:rPr>
          <w:rFonts w:ascii="Times New Roman"/>
          <w:sz w:val="18"/>
          <w:szCs w:val="18"/>
        </w:rPr>
        <w:t> </w:t>
      </w:r>
      <w:r>
        <w:rPr>
          <w:rFonts w:hint="eastAsia"/>
        </w:rPr>
        <w:t>个分枝处落头。为保持3</w:t>
      </w:r>
      <w:r>
        <w:rPr>
          <w:rFonts w:ascii="Times New Roman"/>
          <w:sz w:val="18"/>
          <w:szCs w:val="18"/>
        </w:rPr>
        <w:t> </w:t>
      </w:r>
      <w:r>
        <w:rPr>
          <w:rFonts w:hint="eastAsia"/>
        </w:rPr>
        <w:t>m～3.5</w:t>
      </w:r>
      <w:r>
        <w:rPr>
          <w:rFonts w:ascii="Times New Roman"/>
          <w:sz w:val="18"/>
          <w:szCs w:val="18"/>
        </w:rPr>
        <w:t> </w:t>
      </w:r>
      <w:r>
        <w:rPr>
          <w:rFonts w:hint="eastAsia"/>
        </w:rPr>
        <w:t>m的高度，每年可以用弱枝换头，维持良好的树势，并注意更新复壮。</w:t>
      </w:r>
    </w:p>
    <w:p>
      <w:pPr>
        <w:pStyle w:val="105"/>
        <w:spacing w:before="156" w:after="156"/>
        <w:rPr>
          <w:rFonts w:hint="eastAsia" w:ascii="Times New Roman"/>
        </w:rPr>
      </w:pPr>
      <w:r>
        <w:rPr>
          <w:rFonts w:hint="eastAsia" w:ascii="宋体" w:hAnsi="宋体"/>
        </w:rPr>
        <w:t xml:space="preserve">修剪  </w:t>
      </w:r>
    </w:p>
    <w:p>
      <w:pPr>
        <w:pStyle w:val="65"/>
        <w:spacing w:before="156" w:after="156"/>
        <w:rPr>
          <w:rFonts w:hint="eastAsia" w:ascii="Times New Roman"/>
        </w:rPr>
      </w:pPr>
      <w:r>
        <w:rPr>
          <w:rFonts w:hint="eastAsia"/>
        </w:rPr>
        <w:t xml:space="preserve">幼树和初果期树  </w:t>
      </w:r>
    </w:p>
    <w:p>
      <w:pPr>
        <w:pStyle w:val="56"/>
        <w:ind w:firstLine="420"/>
        <w:rPr>
          <w:rFonts w:hint="eastAsia"/>
          <w:b/>
        </w:rPr>
      </w:pPr>
      <w:r>
        <w:rPr>
          <w:rFonts w:hint="eastAsia"/>
          <w:bCs/>
          <w:szCs w:val="21"/>
        </w:rPr>
        <w:t>此期应采取</w:t>
      </w:r>
      <w:r>
        <w:rPr>
          <w:rFonts w:hint="eastAsia"/>
          <w:szCs w:val="21"/>
        </w:rPr>
        <w:t>以整形为主， 实行“轻剪、少疏枝”。选好骨干枝、延长头，进行中截，促发长枝，培养树形骨架，加快长树扩冠，及早成形。拉枝开角，调节枝干角度和枝间主从关系，促进花芽形成，提早结果，平衡树势。一般需要3</w:t>
      </w:r>
      <w:r>
        <w:rPr>
          <w:rFonts w:ascii="Times New Roman"/>
          <w:szCs w:val="21"/>
        </w:rPr>
        <w:t> </w:t>
      </w:r>
      <w:r>
        <w:rPr>
          <w:rFonts w:hint="eastAsia" w:ascii="Times New Roman"/>
          <w:szCs w:val="21"/>
        </w:rPr>
        <w:t>年</w:t>
      </w:r>
      <w:r>
        <w:rPr>
          <w:rFonts w:hint="eastAsia"/>
          <w:szCs w:val="21"/>
        </w:rPr>
        <w:t>～4</w:t>
      </w:r>
      <w:r>
        <w:rPr>
          <w:rFonts w:ascii="Times New Roman"/>
          <w:szCs w:val="21"/>
        </w:rPr>
        <w:t> </w:t>
      </w:r>
      <w:r>
        <w:rPr>
          <w:rFonts w:hint="eastAsia"/>
          <w:szCs w:val="21"/>
        </w:rPr>
        <w:t>年</w:t>
      </w:r>
      <w:r>
        <w:rPr>
          <w:rFonts w:hint="eastAsia"/>
        </w:rPr>
        <w:t>。</w:t>
      </w:r>
    </w:p>
    <w:p>
      <w:pPr>
        <w:pStyle w:val="65"/>
        <w:spacing w:before="156" w:after="156"/>
        <w:rPr>
          <w:rFonts w:hint="eastAsia"/>
        </w:rPr>
      </w:pPr>
      <w:r>
        <w:rPr>
          <w:rFonts w:hint="eastAsia"/>
        </w:rPr>
        <w:t xml:space="preserve">盛果期树的修剪   </w:t>
      </w:r>
    </w:p>
    <w:p>
      <w:pPr>
        <w:pStyle w:val="56"/>
        <w:ind w:firstLine="420"/>
        <w:rPr>
          <w:rFonts w:hint="eastAsia"/>
          <w:b/>
          <w:bCs/>
        </w:rPr>
      </w:pPr>
      <w:r>
        <w:rPr>
          <w:rFonts w:hint="eastAsia"/>
        </w:rPr>
        <w:t>树冠外围新梢长度以30</w:t>
      </w:r>
      <w:r>
        <w:rPr>
          <w:rFonts w:ascii="Times New Roman"/>
          <w:sz w:val="18"/>
          <w:szCs w:val="18"/>
        </w:rPr>
        <w:t> </w:t>
      </w:r>
      <w:r>
        <w:rPr>
          <w:rFonts w:hint="eastAsia"/>
        </w:rPr>
        <w:t>cm为好，中短枝健壮。花芽饱满，约占总芽量的30%。枝组年轻化，中小枝组约占90%。采取适宜修剪方法，调节树势至中庸状态，及时落头开心，疏除外围密生旺枝，改善冠内光照。协调营养生长与生殖生长的关系，达到优质丰产。</w:t>
      </w:r>
    </w:p>
    <w:p>
      <w:pPr>
        <w:pStyle w:val="65"/>
        <w:spacing w:before="156" w:after="156"/>
        <w:rPr>
          <w:rFonts w:hint="eastAsia"/>
        </w:rPr>
      </w:pPr>
      <w:r>
        <w:rPr>
          <w:rFonts w:hint="eastAsia"/>
        </w:rPr>
        <w:t xml:space="preserve">衰老期的修剪  </w:t>
      </w:r>
    </w:p>
    <w:p>
      <w:pPr>
        <w:pStyle w:val="56"/>
        <w:ind w:firstLine="420"/>
        <w:rPr>
          <w:rFonts w:hint="eastAsia"/>
          <w:b/>
        </w:rPr>
      </w:pPr>
      <w:r>
        <w:rPr>
          <w:rFonts w:hint="eastAsia"/>
        </w:rPr>
        <w:t>梨树结果50</w:t>
      </w:r>
      <w:r>
        <w:rPr>
          <w:rFonts w:ascii="Times New Roman"/>
          <w:sz w:val="18"/>
          <w:szCs w:val="18"/>
        </w:rPr>
        <w:t> </w:t>
      </w:r>
      <w:r>
        <w:rPr>
          <w:rFonts w:hint="eastAsia"/>
        </w:rPr>
        <w:t>年～60</w:t>
      </w:r>
      <w:r>
        <w:rPr>
          <w:rFonts w:ascii="Times New Roman"/>
          <w:sz w:val="18"/>
          <w:szCs w:val="18"/>
        </w:rPr>
        <w:t> </w:t>
      </w:r>
      <w:r>
        <w:rPr>
          <w:rFonts w:hint="eastAsia"/>
        </w:rPr>
        <w:t>年后，当产量降至不足1000</w:t>
      </w:r>
      <w:r>
        <w:rPr>
          <w:rFonts w:ascii="Times New Roman"/>
          <w:sz w:val="18"/>
          <w:szCs w:val="18"/>
        </w:rPr>
        <w:t> </w:t>
      </w:r>
      <w:r>
        <w:rPr>
          <w:rFonts w:hint="eastAsia"/>
        </w:rPr>
        <w:t>kg/亩时， 应及时更新复壮。在更新复壮前必须加强肥水管理，适当控制挂果，留用较多的枝叶，增加树体营养积累。复壮后的新发枝，很快就能形成花芽结果，应适当控制其结果量，以免影响树势恢复，待复壮较好后，再使之正常挂果。</w:t>
      </w:r>
    </w:p>
    <w:p>
      <w:pPr>
        <w:pStyle w:val="105"/>
        <w:spacing w:before="156" w:after="156"/>
        <w:rPr>
          <w:rFonts w:hint="eastAsia"/>
        </w:rPr>
      </w:pPr>
      <w:r>
        <w:rPr>
          <w:rFonts w:hint="eastAsia"/>
        </w:rPr>
        <w:t xml:space="preserve">修剪注意事项  </w:t>
      </w:r>
    </w:p>
    <w:p>
      <w:pPr>
        <w:pStyle w:val="56"/>
        <w:ind w:firstLine="420"/>
        <w:rPr>
          <w:rFonts w:hint="eastAsia"/>
          <w:b/>
          <w:bCs/>
        </w:rPr>
      </w:pPr>
      <w:r>
        <w:rPr>
          <w:rFonts w:hint="eastAsia"/>
        </w:rPr>
        <w:t>修剪工具要特别注意消毒，开水冲泡，擦干后用酒精喷涂。剪锯口要及时涂抹愈合剂或油漆，油漆中可加入6%的甲基托布津。剪下枝条要及时运出果园，病虫枝要妥善处理。</w:t>
      </w:r>
    </w:p>
    <w:p>
      <w:pPr>
        <w:pStyle w:val="104"/>
        <w:spacing w:before="312" w:after="312"/>
        <w:rPr>
          <w:rFonts w:hint="eastAsia" w:ascii="Times New Roman"/>
          <w:kern w:val="2"/>
        </w:rPr>
      </w:pPr>
      <w:r>
        <w:rPr>
          <w:rFonts w:hint="eastAsia" w:ascii="宋体" w:hAnsi="宋体"/>
        </w:rPr>
        <w:t>花果管理</w:t>
      </w:r>
    </w:p>
    <w:p>
      <w:pPr>
        <w:pStyle w:val="105"/>
        <w:spacing w:before="156" w:after="156"/>
      </w:pPr>
      <w:r>
        <w:rPr>
          <w:rFonts w:hint="eastAsia" w:ascii="宋体" w:hAnsi="宋体"/>
        </w:rPr>
        <w:t xml:space="preserve">授粉  </w:t>
      </w:r>
    </w:p>
    <w:p>
      <w:pPr>
        <w:pStyle w:val="56"/>
        <w:ind w:firstLine="420"/>
        <w:rPr>
          <w:rFonts w:hint="eastAsia"/>
          <w:b/>
        </w:rPr>
      </w:pPr>
      <w:r>
        <w:rPr>
          <w:rFonts w:hint="eastAsia"/>
        </w:rPr>
        <w:t>除自然授粉外，采用蜜蜂或壁蜂传粉、人工点授或机械授粉等方法辅助授粉，以确保产量、提高单果重和果实整齐度。</w:t>
      </w:r>
    </w:p>
    <w:p>
      <w:pPr>
        <w:pStyle w:val="105"/>
        <w:spacing w:before="156" w:after="156"/>
        <w:rPr>
          <w:rFonts w:hint="eastAsia"/>
        </w:rPr>
      </w:pPr>
      <w:r>
        <w:rPr>
          <w:rFonts w:hint="eastAsia" w:ascii="宋体" w:hAnsi="宋体"/>
        </w:rPr>
        <w:t>疏花疏果</w:t>
      </w:r>
    </w:p>
    <w:p>
      <w:pPr>
        <w:pStyle w:val="65"/>
        <w:spacing w:before="156" w:after="156"/>
        <w:rPr>
          <w:rFonts w:hint="eastAsia"/>
        </w:rPr>
      </w:pPr>
      <w:r>
        <w:rPr>
          <w:rFonts w:hint="eastAsia"/>
        </w:rPr>
        <w:t>疏花</w:t>
      </w:r>
    </w:p>
    <w:p>
      <w:pPr>
        <w:pStyle w:val="56"/>
        <w:ind w:firstLine="420"/>
        <w:rPr>
          <w:rFonts w:hint="eastAsia"/>
          <w:kern w:val="2"/>
        </w:rPr>
      </w:pPr>
      <w:r>
        <w:rPr>
          <w:rFonts w:hint="eastAsia"/>
        </w:rPr>
        <w:t>疏花应在花蕾分离期至落花之前，每15</w:t>
      </w:r>
      <w:r>
        <w:rPr>
          <w:rFonts w:ascii="Times New Roman"/>
          <w:sz w:val="18"/>
          <w:szCs w:val="18"/>
        </w:rPr>
        <w:t> </w:t>
      </w:r>
      <w:r>
        <w:rPr>
          <w:rFonts w:hint="eastAsia"/>
        </w:rPr>
        <w:t>cm～30</w:t>
      </w:r>
      <w:r>
        <w:rPr>
          <w:rFonts w:ascii="Times New Roman"/>
          <w:sz w:val="18"/>
          <w:szCs w:val="18"/>
        </w:rPr>
        <w:t> </w:t>
      </w:r>
      <w:r>
        <w:rPr>
          <w:rFonts w:hint="eastAsia"/>
        </w:rPr>
        <w:t>cm保留一个花序（果实直径80</w:t>
      </w:r>
      <w:r>
        <w:rPr>
          <w:rFonts w:ascii="Times New Roman"/>
          <w:sz w:val="18"/>
          <w:szCs w:val="18"/>
        </w:rPr>
        <w:t> </w:t>
      </w:r>
      <w:r>
        <w:rPr>
          <w:rFonts w:hint="eastAsia"/>
        </w:rPr>
        <w:t>mm以上品种25</w:t>
      </w:r>
      <w:r>
        <w:rPr>
          <w:rFonts w:ascii="Times New Roman"/>
          <w:sz w:val="18"/>
          <w:szCs w:val="18"/>
        </w:rPr>
        <w:t> </w:t>
      </w:r>
      <w:r>
        <w:rPr>
          <w:rFonts w:hint="eastAsia"/>
        </w:rPr>
        <w:t>cm～30</w:t>
      </w:r>
      <w:r>
        <w:rPr>
          <w:rFonts w:ascii="Times New Roman"/>
          <w:sz w:val="18"/>
          <w:szCs w:val="18"/>
        </w:rPr>
        <w:t> </w:t>
      </w:r>
      <w:r>
        <w:rPr>
          <w:rFonts w:hint="eastAsia"/>
        </w:rPr>
        <w:t>cm、直径60</w:t>
      </w:r>
      <w:r>
        <w:rPr>
          <w:rFonts w:ascii="Times New Roman"/>
          <w:sz w:val="18"/>
          <w:szCs w:val="18"/>
        </w:rPr>
        <w:t> </w:t>
      </w:r>
      <w:r>
        <w:rPr>
          <w:rFonts w:hint="eastAsia"/>
        </w:rPr>
        <w:t>mm～80</w:t>
      </w:r>
      <w:r>
        <w:rPr>
          <w:rFonts w:ascii="Times New Roman"/>
          <w:sz w:val="18"/>
          <w:szCs w:val="18"/>
        </w:rPr>
        <w:t> </w:t>
      </w:r>
      <w:r>
        <w:rPr>
          <w:rFonts w:hint="eastAsia"/>
        </w:rPr>
        <w:t>mm的20</w:t>
      </w:r>
      <w:r>
        <w:rPr>
          <w:rFonts w:ascii="Times New Roman"/>
          <w:sz w:val="18"/>
          <w:szCs w:val="18"/>
        </w:rPr>
        <w:t> </w:t>
      </w:r>
      <w:r>
        <w:rPr>
          <w:rFonts w:hint="eastAsia"/>
        </w:rPr>
        <w:t>cm～25</w:t>
      </w:r>
      <w:r>
        <w:rPr>
          <w:rFonts w:ascii="Times New Roman"/>
          <w:sz w:val="18"/>
          <w:szCs w:val="18"/>
        </w:rPr>
        <w:t> </w:t>
      </w:r>
      <w:r>
        <w:rPr>
          <w:rFonts w:hint="eastAsia"/>
        </w:rPr>
        <w:t>cm、直径60mm以下的15</w:t>
      </w:r>
      <w:r>
        <w:rPr>
          <w:rFonts w:ascii="Times New Roman"/>
          <w:sz w:val="18"/>
          <w:szCs w:val="18"/>
        </w:rPr>
        <w:t> </w:t>
      </w:r>
      <w:r>
        <w:rPr>
          <w:rFonts w:hint="eastAsia"/>
        </w:rPr>
        <w:t>cm～20</w:t>
      </w:r>
      <w:r>
        <w:rPr>
          <w:rFonts w:ascii="Times New Roman"/>
          <w:sz w:val="18"/>
          <w:szCs w:val="18"/>
        </w:rPr>
        <w:t> </w:t>
      </w:r>
      <w:r>
        <w:rPr>
          <w:rFonts w:hint="eastAsia"/>
        </w:rPr>
        <w:t>cm），每花序留2</w:t>
      </w:r>
      <w:r>
        <w:rPr>
          <w:rFonts w:ascii="Times New Roman"/>
          <w:sz w:val="18"/>
          <w:szCs w:val="18"/>
        </w:rPr>
        <w:t> </w:t>
      </w:r>
      <w:r>
        <w:rPr>
          <w:rFonts w:hint="eastAsia"/>
        </w:rPr>
        <w:t>朵～3</w:t>
      </w:r>
      <w:r>
        <w:rPr>
          <w:rFonts w:ascii="Times New Roman"/>
          <w:sz w:val="18"/>
          <w:szCs w:val="18"/>
        </w:rPr>
        <w:t> </w:t>
      </w:r>
      <w:r>
        <w:rPr>
          <w:rFonts w:hint="eastAsia"/>
        </w:rPr>
        <w:t>朵花，依据弱枝少留，壮枝多留的原则，使留花在全树上均匀分布。</w:t>
      </w:r>
    </w:p>
    <w:p>
      <w:pPr>
        <w:pStyle w:val="65"/>
        <w:spacing w:before="156" w:after="156"/>
        <w:rPr>
          <w:rFonts w:hint="eastAsia"/>
        </w:rPr>
      </w:pPr>
      <w:r>
        <w:rPr>
          <w:rFonts w:hint="eastAsia"/>
        </w:rPr>
        <w:t xml:space="preserve">疏果 </w:t>
      </w:r>
    </w:p>
    <w:p>
      <w:pPr>
        <w:pStyle w:val="56"/>
        <w:ind w:firstLine="420"/>
        <w:rPr>
          <w:rFonts w:hint="eastAsia"/>
        </w:rPr>
      </w:pPr>
      <w:r>
        <w:rPr>
          <w:rFonts w:hint="eastAsia"/>
        </w:rPr>
        <w:t>在盛花后15</w:t>
      </w:r>
      <w:r>
        <w:rPr>
          <w:rFonts w:ascii="Times New Roman"/>
          <w:sz w:val="18"/>
          <w:szCs w:val="18"/>
        </w:rPr>
        <w:t> </w:t>
      </w:r>
      <w:r>
        <w:rPr>
          <w:rFonts w:hint="eastAsia"/>
        </w:rPr>
        <w:t>天～25</w:t>
      </w:r>
      <w:r>
        <w:rPr>
          <w:rFonts w:ascii="Times New Roman"/>
          <w:sz w:val="18"/>
          <w:szCs w:val="18"/>
        </w:rPr>
        <w:t> </w:t>
      </w:r>
      <w:r>
        <w:rPr>
          <w:rFonts w:hint="eastAsia"/>
        </w:rPr>
        <w:t>天内，进行初步疏果，每个花序仅留1</w:t>
      </w:r>
      <w:r>
        <w:rPr>
          <w:rFonts w:ascii="Times New Roman"/>
          <w:sz w:val="18"/>
          <w:szCs w:val="18"/>
        </w:rPr>
        <w:t> </w:t>
      </w:r>
      <w:r>
        <w:rPr>
          <w:rFonts w:hint="eastAsia"/>
        </w:rPr>
        <w:t>个果。坐果已稳定后，按照设定的负载量进行严格定果。疏果时，用疏果剪或剪刀在果柄处剪掉，切勿碰预留果；注意保留纵径长的幼果。应遵循：壮枝多留，弱枝少留；临时枝多留，永久枝少留；直立枝多留，下垂枝少留；树冠上部、外围多留，树冠下层、内膛少留。</w:t>
      </w:r>
    </w:p>
    <w:p>
      <w:pPr>
        <w:pStyle w:val="105"/>
        <w:spacing w:before="156" w:after="156"/>
        <w:rPr>
          <w:rFonts w:hint="eastAsia" w:ascii="Times New Roman"/>
          <w:kern w:val="2"/>
        </w:rPr>
      </w:pPr>
      <w:r>
        <w:rPr>
          <w:rFonts w:hint="eastAsia" w:ascii="宋体" w:hAnsi="宋体"/>
        </w:rPr>
        <w:t>果实套袋</w:t>
      </w:r>
    </w:p>
    <w:p>
      <w:pPr>
        <w:pStyle w:val="65"/>
        <w:spacing w:before="156" w:after="156"/>
        <w:rPr>
          <w:rFonts w:hint="eastAsia"/>
        </w:rPr>
      </w:pPr>
      <w:r>
        <w:rPr>
          <w:rFonts w:hint="eastAsia" w:ascii="宋体" w:hAnsi="宋体"/>
        </w:rPr>
        <w:t xml:space="preserve">纸袋选择  </w:t>
      </w:r>
    </w:p>
    <w:p>
      <w:pPr>
        <w:pStyle w:val="56"/>
        <w:ind w:firstLine="420"/>
        <w:rPr>
          <w:rFonts w:hint="eastAsia"/>
          <w:b/>
          <w:bCs/>
        </w:rPr>
      </w:pPr>
      <w:r>
        <w:rPr>
          <w:rFonts w:hint="eastAsia"/>
        </w:rPr>
        <w:t>选择抗风吹雨淋、透气性良好的优质梨专用双层袋（外黄内黑或外黄内红）。</w:t>
      </w:r>
    </w:p>
    <w:p>
      <w:pPr>
        <w:pStyle w:val="65"/>
        <w:spacing w:before="156" w:after="156"/>
        <w:rPr>
          <w:rFonts w:hint="eastAsia"/>
        </w:rPr>
      </w:pPr>
      <w:r>
        <w:rPr>
          <w:rFonts w:hint="eastAsia"/>
        </w:rPr>
        <w:t xml:space="preserve">套袋时期   </w:t>
      </w:r>
    </w:p>
    <w:p>
      <w:pPr>
        <w:pStyle w:val="56"/>
        <w:ind w:firstLine="420"/>
        <w:rPr>
          <w:rFonts w:hint="eastAsia"/>
          <w:b/>
        </w:rPr>
      </w:pPr>
      <w:r>
        <w:rPr>
          <w:rFonts w:hint="eastAsia"/>
        </w:rPr>
        <w:t>在落花后30</w:t>
      </w:r>
      <w:r>
        <w:rPr>
          <w:rFonts w:ascii="Times New Roman"/>
          <w:sz w:val="18"/>
          <w:szCs w:val="18"/>
        </w:rPr>
        <w:t> </w:t>
      </w:r>
      <w:r>
        <w:rPr>
          <w:rFonts w:hint="eastAsia"/>
        </w:rPr>
        <w:t>天～35</w:t>
      </w:r>
      <w:r>
        <w:rPr>
          <w:rFonts w:ascii="Times New Roman"/>
          <w:sz w:val="18"/>
          <w:szCs w:val="18"/>
        </w:rPr>
        <w:t> </w:t>
      </w:r>
      <w:r>
        <w:rPr>
          <w:rFonts w:hint="eastAsia"/>
        </w:rPr>
        <w:t>天进行，在完成疏果后越早越好。一天内套袋时间，以上午8</w:t>
      </w:r>
      <w:r>
        <w:rPr>
          <w:rFonts w:ascii="Times New Roman"/>
          <w:sz w:val="18"/>
          <w:szCs w:val="18"/>
        </w:rPr>
        <w:t> </w:t>
      </w:r>
      <w:r>
        <w:rPr>
          <w:rFonts w:hint="eastAsia"/>
        </w:rPr>
        <w:t>时～12</w:t>
      </w:r>
      <w:r>
        <w:rPr>
          <w:rFonts w:ascii="Times New Roman"/>
          <w:sz w:val="18"/>
          <w:szCs w:val="18"/>
        </w:rPr>
        <w:t> </w:t>
      </w:r>
      <w:r>
        <w:rPr>
          <w:rFonts w:hint="eastAsia"/>
        </w:rPr>
        <w:t>时，下午3</w:t>
      </w:r>
      <w:r>
        <w:rPr>
          <w:rFonts w:ascii="Times New Roman"/>
          <w:sz w:val="18"/>
          <w:szCs w:val="18"/>
        </w:rPr>
        <w:t> </w:t>
      </w:r>
      <w:r>
        <w:rPr>
          <w:rFonts w:hint="eastAsia"/>
        </w:rPr>
        <w:t>时～6</w:t>
      </w:r>
      <w:r>
        <w:rPr>
          <w:rFonts w:ascii="Times New Roman"/>
          <w:sz w:val="18"/>
          <w:szCs w:val="18"/>
        </w:rPr>
        <w:t> </w:t>
      </w:r>
      <w:r>
        <w:rPr>
          <w:rFonts w:hint="eastAsia"/>
        </w:rPr>
        <w:t>时为宜。在晨露未干、傍晚返潮和中午高温、阳光最强时不宜套袋；在雨天雾天也不宜套袋。</w:t>
      </w:r>
    </w:p>
    <w:p>
      <w:pPr>
        <w:pStyle w:val="65"/>
        <w:spacing w:before="156" w:after="156"/>
        <w:rPr>
          <w:rFonts w:hint="eastAsia" w:ascii="Times New Roman"/>
          <w:kern w:val="2"/>
        </w:rPr>
      </w:pPr>
      <w:r>
        <w:rPr>
          <w:rFonts w:hint="eastAsia" w:ascii="宋体" w:hAnsi="宋体"/>
        </w:rPr>
        <w:t xml:space="preserve">套袋方法  </w:t>
      </w:r>
    </w:p>
    <w:p>
      <w:pPr>
        <w:pStyle w:val="56"/>
        <w:ind w:firstLine="420"/>
        <w:rPr>
          <w:rFonts w:hint="eastAsia"/>
        </w:rPr>
      </w:pPr>
      <w:r>
        <w:rPr>
          <w:rFonts w:hint="eastAsia"/>
        </w:rPr>
        <w:t>套袋前喷1</w:t>
      </w:r>
      <w:r>
        <w:rPr>
          <w:rFonts w:ascii="Times New Roman"/>
          <w:sz w:val="18"/>
          <w:szCs w:val="18"/>
        </w:rPr>
        <w:t> </w:t>
      </w:r>
      <w:r>
        <w:rPr>
          <w:rFonts w:hint="eastAsia"/>
        </w:rPr>
        <w:t>次～2</w:t>
      </w:r>
      <w:r>
        <w:rPr>
          <w:rFonts w:ascii="Times New Roman"/>
          <w:sz w:val="18"/>
          <w:szCs w:val="18"/>
        </w:rPr>
        <w:t> </w:t>
      </w:r>
      <w:r>
        <w:rPr>
          <w:rFonts w:hint="eastAsia"/>
        </w:rPr>
        <w:t>次防虫补钙药剂，药干后即行套袋。若喷药后10</w:t>
      </w:r>
      <w:r>
        <w:rPr>
          <w:rFonts w:ascii="Times New Roman"/>
          <w:sz w:val="18"/>
          <w:szCs w:val="18"/>
        </w:rPr>
        <w:t> </w:t>
      </w:r>
      <w:r>
        <w:rPr>
          <w:rFonts w:hint="eastAsia"/>
        </w:rPr>
        <w:t>天未套完，应喷药后再进行。套袋前3</w:t>
      </w:r>
      <w:r>
        <w:rPr>
          <w:rFonts w:ascii="Times New Roman"/>
          <w:sz w:val="18"/>
          <w:szCs w:val="18"/>
        </w:rPr>
        <w:t> </w:t>
      </w:r>
      <w:r>
        <w:rPr>
          <w:rFonts w:hint="eastAsia"/>
        </w:rPr>
        <w:t>天～5</w:t>
      </w:r>
      <w:r>
        <w:rPr>
          <w:rFonts w:ascii="Times New Roman"/>
          <w:sz w:val="18"/>
          <w:szCs w:val="18"/>
        </w:rPr>
        <w:t> </w:t>
      </w:r>
      <w:r>
        <w:rPr>
          <w:rFonts w:hint="eastAsia"/>
        </w:rPr>
        <w:t>天，应将整捆果袋放于潮湿处，使之返潮。套袋时，先撑开袋口，托起袋底，使两底角的通气和放水口张开，令袋体膨起。手握袋口下2</w:t>
      </w:r>
      <w:r>
        <w:rPr>
          <w:rFonts w:ascii="Times New Roman"/>
          <w:sz w:val="18"/>
          <w:szCs w:val="18"/>
        </w:rPr>
        <w:t> </w:t>
      </w:r>
      <w:r>
        <w:rPr>
          <w:rFonts w:hint="eastAsia"/>
        </w:rPr>
        <w:t>cm～3</w:t>
      </w:r>
      <w:r>
        <w:rPr>
          <w:rFonts w:ascii="Times New Roman"/>
          <w:sz w:val="18"/>
          <w:szCs w:val="18"/>
        </w:rPr>
        <w:t> </w:t>
      </w:r>
      <w:r>
        <w:rPr>
          <w:rFonts w:hint="eastAsia"/>
        </w:rPr>
        <w:t>cm处，套上果实后，从中间向两侧依次按“折扇”的方式折叠袋口，从袋口上方连接点处将捆扎丝反转90度，沿袋口旋转一周扎紧袋口（以虫、水进不了袋内为宜，不宜太紧），并将果柄封在中间，使袋口缠绕在果柄上，并且防止纸袋贴近果皮。套袋应按照冠上、冠内、冠下、冠外的顺序进行。</w:t>
      </w:r>
    </w:p>
    <w:p>
      <w:pPr>
        <w:pStyle w:val="65"/>
        <w:spacing w:before="156" w:after="156"/>
        <w:rPr>
          <w:rFonts w:hint="eastAsia"/>
        </w:rPr>
      </w:pPr>
      <w:r>
        <w:rPr>
          <w:rFonts w:hint="eastAsia" w:ascii="宋体" w:hAnsi="宋体"/>
        </w:rPr>
        <w:t xml:space="preserve">除袋  </w:t>
      </w:r>
    </w:p>
    <w:p>
      <w:pPr>
        <w:pStyle w:val="56"/>
        <w:ind w:firstLine="420"/>
        <w:rPr>
          <w:rFonts w:hint="eastAsia"/>
          <w:b/>
          <w:bCs/>
        </w:rPr>
      </w:pPr>
      <w:r>
        <w:rPr>
          <w:rFonts w:hint="eastAsia"/>
        </w:rPr>
        <w:t>红皮梨应于采前15</w:t>
      </w:r>
      <w:r>
        <w:rPr>
          <w:rFonts w:ascii="Times New Roman"/>
          <w:sz w:val="18"/>
          <w:szCs w:val="18"/>
        </w:rPr>
        <w:t> </w:t>
      </w:r>
      <w:r>
        <w:rPr>
          <w:rFonts w:hint="eastAsia"/>
        </w:rPr>
        <w:t>天～20</w:t>
      </w:r>
      <w:r>
        <w:rPr>
          <w:rFonts w:ascii="Times New Roman"/>
          <w:sz w:val="18"/>
          <w:szCs w:val="18"/>
        </w:rPr>
        <w:t> </w:t>
      </w:r>
      <w:r>
        <w:rPr>
          <w:rFonts w:hint="eastAsia"/>
        </w:rPr>
        <w:t>天除袋。</w:t>
      </w:r>
    </w:p>
    <w:p>
      <w:pPr>
        <w:pStyle w:val="104"/>
        <w:spacing w:before="312" w:after="312"/>
        <w:rPr>
          <w:rFonts w:hint="eastAsia"/>
        </w:rPr>
      </w:pPr>
      <w:r>
        <w:rPr>
          <w:rFonts w:hint="eastAsia" w:ascii="宋体" w:hAnsi="宋体"/>
        </w:rPr>
        <w:t>病虫害防治</w:t>
      </w:r>
    </w:p>
    <w:p>
      <w:pPr>
        <w:snapToGrid w:val="0"/>
        <w:spacing w:line="360" w:lineRule="auto"/>
        <w:ind w:firstLine="420" w:firstLineChars="200"/>
        <w:rPr>
          <w:rFonts w:ascii="仿宋_GB2312" w:hAnsi="仿宋_GB2312"/>
        </w:rPr>
      </w:pPr>
      <w:r>
        <w:rPr>
          <w:rFonts w:hint="eastAsia" w:ascii="宋体" w:hAnsi="宋体"/>
          <w:bCs/>
        </w:rPr>
        <w:t>按</w:t>
      </w:r>
      <w:r>
        <w:rPr>
          <w:rFonts w:hint="eastAsia" w:ascii="仿宋_GB2312"/>
        </w:rPr>
        <w:t>NY/T 393</w:t>
      </w:r>
      <w:r>
        <w:rPr>
          <w:rFonts w:hint="eastAsia" w:ascii="宋体" w:hAnsi="宋体"/>
        </w:rPr>
        <w:t>规定执行，农药使用见附录A，病虫害防治规程见附录B。</w:t>
      </w:r>
    </w:p>
    <w:p>
      <w:pPr>
        <w:pStyle w:val="104"/>
        <w:spacing w:before="312" w:after="312"/>
        <w:rPr>
          <w:rFonts w:hint="eastAsia"/>
        </w:rPr>
      </w:pPr>
      <w:r>
        <w:rPr>
          <w:rFonts w:hint="eastAsia"/>
        </w:rPr>
        <w:t>果实采收</w:t>
      </w:r>
    </w:p>
    <w:p>
      <w:pPr>
        <w:pStyle w:val="105"/>
        <w:spacing w:before="156" w:after="156"/>
        <w:rPr>
          <w:rFonts w:hint="eastAsia"/>
        </w:rPr>
      </w:pPr>
      <w:r>
        <w:rPr>
          <w:rFonts w:hint="eastAsia"/>
        </w:rPr>
        <w:t xml:space="preserve">采收方法  </w:t>
      </w:r>
    </w:p>
    <w:p>
      <w:pPr>
        <w:pStyle w:val="56"/>
        <w:ind w:firstLine="420"/>
        <w:rPr>
          <w:kern w:val="2"/>
          <w:szCs w:val="21"/>
        </w:rPr>
      </w:pPr>
      <w:r>
        <w:rPr>
          <w:rFonts w:hint="eastAsia"/>
        </w:rPr>
        <w:t>根据果实成熟度、用途和市场需求综合确定采收适期。成熟期不一致的品种，应分期采收。</w:t>
      </w:r>
    </w:p>
    <w:p>
      <w:pPr>
        <w:pStyle w:val="56"/>
        <w:ind w:firstLine="420"/>
        <w:rPr>
          <w:rFonts w:hint="eastAsia"/>
        </w:rPr>
      </w:pPr>
      <w:r>
        <w:rPr>
          <w:rFonts w:hint="eastAsia"/>
        </w:rPr>
        <w:t>采取人工采收的办法采摘果实。采果人员要剪短指甲，最好配戴手套。采收过程中要尽量使果实完整无损，供采果用的筐（篓）内要铺垫软物，轻拿轻放，尽量减少转换筐（篓）的次数，运输过程中要防止挤、压、碰等，以避免碰伤、擦伤。</w:t>
      </w:r>
    </w:p>
    <w:p>
      <w:pPr>
        <w:pStyle w:val="56"/>
        <w:ind w:firstLine="420"/>
        <w:rPr>
          <w:rFonts w:hint="eastAsia"/>
        </w:rPr>
      </w:pPr>
      <w:r>
        <w:rPr>
          <w:rFonts w:hint="eastAsia"/>
        </w:rPr>
        <w:t>采果应避开阴雨天气和露水未干时进行。此时果实较脆易引起受伤、果面潮湿易引起果实腐烂。还应避开中午高温时采果，此时果温较高，采后堆在一起不易散热，对贮藏不利。</w:t>
      </w:r>
    </w:p>
    <w:p>
      <w:pPr>
        <w:pStyle w:val="56"/>
        <w:ind w:firstLine="420"/>
        <w:rPr>
          <w:rFonts w:hint="eastAsia"/>
        </w:rPr>
      </w:pPr>
      <w:r>
        <w:rPr>
          <w:rFonts w:hint="eastAsia"/>
        </w:rPr>
        <w:t>采收时先用手轻握果实，食指压住果柄基部（靠近枝条处），向上侧翻转果实，使果柄从基部脱落。采下的果实要保留果柄，并尽量保护好果粉及蜡质。</w:t>
      </w:r>
    </w:p>
    <w:p>
      <w:pPr>
        <w:pStyle w:val="56"/>
        <w:ind w:firstLine="420"/>
        <w:rPr>
          <w:rFonts w:hint="eastAsia"/>
        </w:rPr>
      </w:pPr>
      <w:r>
        <w:rPr>
          <w:rFonts w:hint="eastAsia"/>
        </w:rPr>
        <w:t>采收过程应多用梯、凳，少上树，并按“先外后内，先下后上”的顺序采摘，以免碰落或碰伤其它果实，减少损失，并尽量在较短时间内完成。如果劳力不足，可考虑分批采收，按“先采树冠外围和上层的果，后采内膛和下部的果”顺序。</w:t>
      </w:r>
    </w:p>
    <w:p>
      <w:pPr>
        <w:pStyle w:val="105"/>
        <w:spacing w:before="156" w:after="156"/>
        <w:rPr>
          <w:rFonts w:hint="eastAsia"/>
        </w:rPr>
      </w:pPr>
      <w:r>
        <w:rPr>
          <w:rFonts w:hint="eastAsia"/>
        </w:rPr>
        <w:t xml:space="preserve">果实清洗和消毒  </w:t>
      </w:r>
    </w:p>
    <w:p>
      <w:pPr>
        <w:pStyle w:val="56"/>
        <w:ind w:firstLine="420"/>
        <w:rPr>
          <w:rFonts w:hint="eastAsia"/>
          <w:b/>
          <w:bCs/>
        </w:rPr>
      </w:pPr>
      <w:r>
        <w:rPr>
          <w:rFonts w:hint="eastAsia"/>
        </w:rPr>
        <w:t>用清洗剂如稀盐酸、高锰酸钾、氯化钠、硼酸的水溶液，将采收的果实进行淋洗式清洗消毒。淋洗时间约5分钟。为洗掉果面上的有机污垢，可在无机清洗剂中加入少量的肥皂液。</w:t>
      </w:r>
    </w:p>
    <w:p>
      <w:pPr>
        <w:pStyle w:val="105"/>
        <w:spacing w:before="156" w:after="156"/>
        <w:rPr>
          <w:rFonts w:hint="eastAsia"/>
        </w:rPr>
      </w:pPr>
      <w:r>
        <w:rPr>
          <w:rFonts w:hint="eastAsia"/>
        </w:rPr>
        <w:t xml:space="preserve">选果分级  </w:t>
      </w:r>
    </w:p>
    <w:p>
      <w:pPr>
        <w:pStyle w:val="56"/>
        <w:ind w:firstLine="420"/>
        <w:rPr>
          <w:rFonts w:hint="eastAsia" w:ascii="Times New Roman"/>
        </w:rPr>
      </w:pPr>
      <w:r>
        <w:rPr>
          <w:rFonts w:hint="eastAsia"/>
        </w:rPr>
        <w:t>果实采收后，首先要进行选果，剔除病果、虫果和伤果。</w:t>
      </w:r>
      <w:r>
        <w:rPr>
          <w:rFonts w:hint="eastAsia"/>
          <w:bCs/>
        </w:rPr>
        <w:t>果实在包装前</w:t>
      </w:r>
      <w:r>
        <w:rPr>
          <w:rFonts w:hint="eastAsia"/>
        </w:rPr>
        <w:t>要根据国家规定的销售分级标准或市场要求，进行严格的分级。</w:t>
      </w:r>
    </w:p>
    <w:p>
      <w:pPr>
        <w:pStyle w:val="104"/>
        <w:spacing w:before="312" w:after="312"/>
        <w:rPr>
          <w:rFonts w:hint="eastAsia"/>
        </w:rPr>
      </w:pPr>
      <w:r>
        <w:rPr>
          <w:rFonts w:hint="eastAsia"/>
        </w:rPr>
        <w:t>生产档案管理</w:t>
      </w:r>
    </w:p>
    <w:p>
      <w:pPr>
        <w:pStyle w:val="56"/>
        <w:ind w:firstLine="420"/>
        <w:rPr>
          <w:rFonts w:hint="eastAsia"/>
        </w:rPr>
      </w:pPr>
      <w:r>
        <w:rPr>
          <w:rFonts w:hint="eastAsia"/>
        </w:rPr>
        <w:t>生产者需建立生产档案，记录品种特性、施肥、病虫草害防治、采收以及田间操作管理措施；所有记录应真实、准确、规范，并具有可追溯性；生产档案应有专人专柜保管，至少保存3年。</w:t>
      </w:r>
    </w:p>
    <w:p>
      <w:pPr>
        <w:pStyle w:val="56"/>
        <w:ind w:firstLine="420"/>
        <w:rPr>
          <w:rFonts w:hint="eastAsia"/>
        </w:rPr>
      </w:pPr>
    </w:p>
    <w:p>
      <w:pPr>
        <w:pStyle w:val="56"/>
        <w:ind w:firstLine="420"/>
        <w:sectPr>
          <w:pgSz w:w="11906" w:h="16838"/>
          <w:pgMar w:top="1928" w:right="1134" w:bottom="1134" w:left="1134" w:header="1418" w:footer="1134" w:gutter="284"/>
          <w:pgNumType w:start="1"/>
          <w:cols w:space="425" w:num="1"/>
          <w:formProt w:val="0"/>
          <w:docGrid w:type="lines" w:linePitch="312" w:charSpace="0"/>
        </w:sectPr>
      </w:pPr>
    </w:p>
    <w:bookmarkEnd w:id="22"/>
    <w:p>
      <w:pPr>
        <w:pStyle w:val="198"/>
        <w:rPr>
          <w:rFonts w:hint="eastAsia"/>
          <w:vanish w:val="0"/>
        </w:rPr>
      </w:pPr>
      <w:bookmarkStart w:id="44" w:name="BookMark5"/>
    </w:p>
    <w:p>
      <w:pPr>
        <w:pStyle w:val="199"/>
        <w:rPr>
          <w:rFonts w:hint="eastAsia"/>
          <w:vanish w:val="0"/>
        </w:rPr>
      </w:pPr>
    </w:p>
    <w:p>
      <w:pPr>
        <w:pStyle w:val="76"/>
        <w:spacing w:after="156"/>
        <w:rPr>
          <w:rFonts w:hint="eastAsia"/>
        </w:rPr>
      </w:pPr>
      <w:r>
        <w:br w:type="textWrapping"/>
      </w:r>
      <w:r>
        <w:rPr>
          <w:rFonts w:hint="eastAsia"/>
        </w:rPr>
        <w:t>（资料性）</w:t>
      </w:r>
      <w:r>
        <w:br w:type="textWrapping"/>
      </w:r>
      <w:r>
        <w:rPr>
          <w:rFonts w:hint="eastAsia"/>
        </w:rPr>
        <w:t>农药使用准则</w:t>
      </w:r>
    </w:p>
    <w:p>
      <w:pPr>
        <w:pStyle w:val="78"/>
        <w:spacing w:before="156" w:after="156"/>
        <w:ind w:firstLine="420"/>
        <w:rPr>
          <w:rFonts w:hint="eastAsia"/>
        </w:rPr>
      </w:pPr>
      <w:r>
        <w:rPr>
          <w:rFonts w:hint="eastAsia"/>
        </w:rPr>
        <w:t>杀虫杀螨剂</w:t>
      </w:r>
    </w:p>
    <w:p>
      <w:pPr>
        <w:pStyle w:val="56"/>
        <w:ind w:firstLine="420"/>
        <w:rPr>
          <w:kern w:val="2"/>
          <w:szCs w:val="21"/>
        </w:rPr>
      </w:pPr>
      <w:r>
        <w:rPr>
          <w:rFonts w:hint="eastAsia"/>
        </w:rPr>
        <w:t>杀虫杀螨剂及使用准则见表A</w:t>
      </w:r>
      <w:r>
        <w:t>.1</w:t>
      </w:r>
      <w:r>
        <w:rPr>
          <w:rFonts w:hint="eastAsia"/>
        </w:rPr>
        <w:t>。</w:t>
      </w:r>
    </w:p>
    <w:p>
      <w:pPr>
        <w:pStyle w:val="77"/>
        <w:spacing w:before="156" w:after="156"/>
      </w:pPr>
      <w:r>
        <w:rPr>
          <w:rFonts w:hint="eastAsia"/>
        </w:rPr>
        <w:t>杀虫杀螨剂及使用准则</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3124"/>
        <w:gridCol w:w="3125"/>
        <w:gridCol w:w="312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3124" w:type="dxa"/>
            <w:tcBorders>
              <w:top w:val="single" w:color="auto" w:sz="8" w:space="0"/>
              <w:bottom w:val="single" w:color="auto" w:sz="8" w:space="0"/>
            </w:tcBorders>
            <w:shd w:val="clear" w:color="auto" w:fill="auto"/>
          </w:tcPr>
          <w:p>
            <w:pPr>
              <w:pStyle w:val="178"/>
              <w:rPr>
                <w:rFonts w:hint="eastAsia"/>
                <w:sz w:val="18"/>
                <w:szCs w:val="18"/>
              </w:rPr>
            </w:pPr>
            <w:r>
              <w:rPr>
                <w:rFonts w:hint="eastAsia" w:hAnsi="宋体"/>
                <w:sz w:val="18"/>
                <w:szCs w:val="18"/>
              </w:rPr>
              <w:t>农药名称</w:t>
            </w:r>
          </w:p>
        </w:tc>
        <w:tc>
          <w:tcPr>
            <w:tcW w:w="3125" w:type="dxa"/>
            <w:tcBorders>
              <w:top w:val="single" w:color="auto" w:sz="8" w:space="0"/>
              <w:bottom w:val="single" w:color="auto" w:sz="8" w:space="0"/>
            </w:tcBorders>
            <w:shd w:val="clear" w:color="auto" w:fill="auto"/>
          </w:tcPr>
          <w:p>
            <w:pPr>
              <w:pStyle w:val="178"/>
              <w:rPr>
                <w:rFonts w:hint="eastAsia"/>
                <w:sz w:val="18"/>
                <w:szCs w:val="18"/>
              </w:rPr>
            </w:pPr>
            <w:r>
              <w:rPr>
                <w:rFonts w:hint="eastAsia" w:hAnsi="宋体"/>
                <w:sz w:val="18"/>
                <w:szCs w:val="18"/>
              </w:rPr>
              <w:t>每年最多使用次数</w:t>
            </w:r>
          </w:p>
        </w:tc>
        <w:tc>
          <w:tcPr>
            <w:tcW w:w="3125" w:type="dxa"/>
            <w:tcBorders>
              <w:top w:val="single" w:color="auto" w:sz="8" w:space="0"/>
              <w:bottom w:val="single" w:color="auto" w:sz="8" w:space="0"/>
            </w:tcBorders>
            <w:shd w:val="clear" w:color="auto" w:fill="auto"/>
          </w:tcPr>
          <w:p>
            <w:pPr>
              <w:pStyle w:val="178"/>
              <w:rPr>
                <w:rFonts w:hint="eastAsia"/>
                <w:sz w:val="18"/>
                <w:szCs w:val="18"/>
              </w:rPr>
            </w:pPr>
            <w:r>
              <w:rPr>
                <w:rFonts w:hint="eastAsia" w:hAnsi="宋体"/>
                <w:sz w:val="18"/>
                <w:szCs w:val="18"/>
              </w:rPr>
              <w:t>安全间隔期</w:t>
            </w:r>
            <w:r>
              <w:rPr>
                <w:rFonts w:hAnsi="宋体"/>
                <w:sz w:val="18"/>
                <w:szCs w:val="18"/>
              </w:rPr>
              <w:t>/d</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4" w:type="dxa"/>
            <w:tcBorders>
              <w:top w:val="single" w:color="auto" w:sz="8" w:space="0"/>
            </w:tcBorders>
            <w:shd w:val="clear" w:color="auto" w:fill="auto"/>
          </w:tcPr>
          <w:p>
            <w:pPr>
              <w:pStyle w:val="178"/>
              <w:rPr>
                <w:rFonts w:hint="eastAsia"/>
                <w:sz w:val="18"/>
                <w:szCs w:val="18"/>
              </w:rPr>
            </w:pPr>
            <w:r>
              <w:rPr>
                <w:rFonts w:hint="eastAsia" w:hAnsi="宋体"/>
                <w:sz w:val="18"/>
                <w:szCs w:val="18"/>
              </w:rPr>
              <w:t>吡虫啉</w:t>
            </w:r>
          </w:p>
        </w:tc>
        <w:tc>
          <w:tcPr>
            <w:tcW w:w="3125" w:type="dxa"/>
            <w:tcBorders>
              <w:top w:val="single" w:color="auto" w:sz="8" w:space="0"/>
            </w:tcBorders>
            <w:shd w:val="clear" w:color="auto" w:fill="auto"/>
          </w:tcPr>
          <w:p>
            <w:pPr>
              <w:pStyle w:val="178"/>
              <w:rPr>
                <w:rFonts w:hint="eastAsia"/>
                <w:sz w:val="18"/>
                <w:szCs w:val="18"/>
              </w:rPr>
            </w:pPr>
            <w:r>
              <w:rPr>
                <w:rFonts w:hint="eastAsia" w:hAnsi="宋体"/>
                <w:sz w:val="18"/>
                <w:szCs w:val="18"/>
              </w:rPr>
              <w:t>3</w:t>
            </w:r>
          </w:p>
        </w:tc>
        <w:tc>
          <w:tcPr>
            <w:tcW w:w="3125" w:type="dxa"/>
            <w:tcBorders>
              <w:top w:val="single" w:color="auto" w:sz="8" w:space="0"/>
            </w:tcBorders>
            <w:shd w:val="clear" w:color="auto" w:fill="auto"/>
          </w:tcPr>
          <w:p>
            <w:pPr>
              <w:pStyle w:val="178"/>
              <w:rPr>
                <w:rFonts w:hint="eastAsia"/>
                <w:sz w:val="18"/>
                <w:szCs w:val="18"/>
              </w:rPr>
            </w:pPr>
            <w:r>
              <w:rPr>
                <w:rFonts w:hint="eastAsia" w:hAnsi="宋体"/>
                <w:sz w:val="18"/>
                <w:szCs w:val="18"/>
              </w:rPr>
              <w:t>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4" w:type="dxa"/>
            <w:shd w:val="clear" w:color="auto" w:fill="auto"/>
          </w:tcPr>
          <w:p>
            <w:pPr>
              <w:pStyle w:val="178"/>
              <w:rPr>
                <w:rFonts w:hint="eastAsia"/>
                <w:sz w:val="18"/>
                <w:szCs w:val="18"/>
              </w:rPr>
            </w:pPr>
            <w:r>
              <w:rPr>
                <w:rFonts w:hint="eastAsia" w:hAnsi="宋体"/>
                <w:sz w:val="18"/>
                <w:szCs w:val="18"/>
              </w:rPr>
              <w:t>石硫合剂</w:t>
            </w:r>
          </w:p>
        </w:tc>
        <w:tc>
          <w:tcPr>
            <w:tcW w:w="3125" w:type="dxa"/>
            <w:shd w:val="clear" w:color="auto" w:fill="auto"/>
          </w:tcPr>
          <w:p>
            <w:pPr>
              <w:pStyle w:val="178"/>
              <w:rPr>
                <w:rFonts w:hint="eastAsia"/>
                <w:sz w:val="18"/>
                <w:szCs w:val="18"/>
              </w:rPr>
            </w:pPr>
            <w:r>
              <w:rPr>
                <w:rFonts w:hint="eastAsia" w:hAnsi="宋体"/>
                <w:sz w:val="18"/>
                <w:szCs w:val="18"/>
              </w:rPr>
              <w:t>1</w:t>
            </w:r>
          </w:p>
        </w:tc>
        <w:tc>
          <w:tcPr>
            <w:tcW w:w="3125" w:type="dxa"/>
            <w:shd w:val="clear" w:color="auto" w:fill="auto"/>
          </w:tcPr>
          <w:p>
            <w:pPr>
              <w:pStyle w:val="178"/>
              <w:rPr>
                <w:rFonts w:hint="eastAsia"/>
                <w:sz w:val="18"/>
                <w:szCs w:val="18"/>
              </w:rPr>
            </w:pPr>
            <w:r>
              <w:rPr>
                <w:rFonts w:hint="eastAsia" w:hAnsi="宋体"/>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3124" w:type="dxa"/>
            <w:shd w:val="clear" w:color="auto" w:fill="auto"/>
          </w:tcPr>
          <w:p>
            <w:pPr>
              <w:pStyle w:val="178"/>
              <w:rPr>
                <w:rFonts w:hint="eastAsia"/>
                <w:sz w:val="18"/>
                <w:szCs w:val="18"/>
              </w:rPr>
            </w:pPr>
            <w:r>
              <w:rPr>
                <w:rFonts w:hint="eastAsia" w:hAnsi="宋体"/>
                <w:sz w:val="18"/>
                <w:szCs w:val="18"/>
              </w:rPr>
              <w:t>甲氰菊酯</w:t>
            </w:r>
          </w:p>
        </w:tc>
        <w:tc>
          <w:tcPr>
            <w:tcW w:w="3125" w:type="dxa"/>
            <w:shd w:val="clear" w:color="auto" w:fill="auto"/>
          </w:tcPr>
          <w:p>
            <w:pPr>
              <w:pStyle w:val="178"/>
              <w:rPr>
                <w:rFonts w:hint="eastAsia"/>
                <w:sz w:val="18"/>
                <w:szCs w:val="18"/>
              </w:rPr>
            </w:pPr>
            <w:r>
              <w:rPr>
                <w:rFonts w:hAnsi="宋体"/>
                <w:sz w:val="18"/>
                <w:szCs w:val="18"/>
              </w:rPr>
              <w:t>2</w:t>
            </w:r>
          </w:p>
        </w:tc>
        <w:tc>
          <w:tcPr>
            <w:tcW w:w="3125" w:type="dxa"/>
            <w:shd w:val="clear" w:color="auto" w:fill="auto"/>
          </w:tcPr>
          <w:p>
            <w:pPr>
              <w:pStyle w:val="178"/>
              <w:rPr>
                <w:rFonts w:hint="eastAsia"/>
                <w:sz w:val="18"/>
                <w:szCs w:val="18"/>
              </w:rPr>
            </w:pPr>
            <w:r>
              <w:rPr>
                <w:rFonts w:hAnsi="宋体"/>
                <w:sz w:val="18"/>
                <w:szCs w:val="18"/>
              </w:rPr>
              <w:t>21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4" w:type="dxa"/>
            <w:shd w:val="clear" w:color="auto" w:fill="auto"/>
          </w:tcPr>
          <w:p>
            <w:pPr>
              <w:pStyle w:val="178"/>
              <w:rPr>
                <w:rFonts w:hint="eastAsia"/>
                <w:sz w:val="18"/>
                <w:szCs w:val="18"/>
              </w:rPr>
            </w:pPr>
            <w:r>
              <w:rPr>
                <w:rFonts w:hint="eastAsia" w:hAnsi="宋体"/>
                <w:sz w:val="18"/>
                <w:szCs w:val="18"/>
              </w:rPr>
              <w:t>甲氨基阿维菌素苯甲酸盐（甲维盐）</w:t>
            </w:r>
          </w:p>
        </w:tc>
        <w:tc>
          <w:tcPr>
            <w:tcW w:w="3125" w:type="dxa"/>
            <w:shd w:val="clear" w:color="auto" w:fill="auto"/>
          </w:tcPr>
          <w:p>
            <w:pPr>
              <w:pStyle w:val="178"/>
              <w:rPr>
                <w:rFonts w:hint="eastAsia"/>
                <w:sz w:val="18"/>
                <w:szCs w:val="18"/>
              </w:rPr>
            </w:pPr>
            <w:r>
              <w:rPr>
                <w:rFonts w:hint="eastAsia" w:hAnsi="宋体"/>
                <w:sz w:val="18"/>
                <w:szCs w:val="18"/>
              </w:rPr>
              <w:t>2</w:t>
            </w:r>
          </w:p>
        </w:tc>
        <w:tc>
          <w:tcPr>
            <w:tcW w:w="3125" w:type="dxa"/>
            <w:shd w:val="clear" w:color="auto" w:fill="auto"/>
          </w:tcPr>
          <w:p>
            <w:pPr>
              <w:pStyle w:val="178"/>
              <w:rPr>
                <w:rFonts w:hint="eastAsia"/>
                <w:sz w:val="18"/>
                <w:szCs w:val="18"/>
              </w:rPr>
            </w:pPr>
            <w:r>
              <w:rPr>
                <w:rFonts w:hint="eastAsia" w:hAnsi="宋体"/>
                <w:sz w:val="18"/>
                <w:szCs w:val="18"/>
              </w:rPr>
              <w:t>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4" w:type="dxa"/>
            <w:shd w:val="clear" w:color="auto" w:fill="auto"/>
          </w:tcPr>
          <w:p>
            <w:pPr>
              <w:pStyle w:val="178"/>
              <w:rPr>
                <w:rFonts w:hint="eastAsia"/>
                <w:sz w:val="18"/>
                <w:szCs w:val="18"/>
              </w:rPr>
            </w:pPr>
            <w:r>
              <w:rPr>
                <w:rFonts w:hint="eastAsia" w:hAnsi="宋体"/>
                <w:sz w:val="18"/>
                <w:szCs w:val="18"/>
              </w:rPr>
              <w:t>高效氯氰菊酯</w:t>
            </w:r>
          </w:p>
        </w:tc>
        <w:tc>
          <w:tcPr>
            <w:tcW w:w="3125" w:type="dxa"/>
            <w:shd w:val="clear" w:color="auto" w:fill="auto"/>
          </w:tcPr>
          <w:p>
            <w:pPr>
              <w:pStyle w:val="178"/>
              <w:rPr>
                <w:rFonts w:hint="eastAsia"/>
                <w:sz w:val="18"/>
                <w:szCs w:val="18"/>
              </w:rPr>
            </w:pPr>
            <w:r>
              <w:rPr>
                <w:rFonts w:hAnsi="宋体"/>
                <w:sz w:val="18"/>
                <w:szCs w:val="18"/>
              </w:rPr>
              <w:t>3</w:t>
            </w:r>
          </w:p>
        </w:tc>
        <w:tc>
          <w:tcPr>
            <w:tcW w:w="3125" w:type="dxa"/>
            <w:shd w:val="clear" w:color="auto" w:fill="auto"/>
          </w:tcPr>
          <w:p>
            <w:pPr>
              <w:pStyle w:val="178"/>
              <w:rPr>
                <w:rFonts w:hint="eastAsia"/>
                <w:sz w:val="18"/>
                <w:szCs w:val="18"/>
              </w:rPr>
            </w:pPr>
            <w:r>
              <w:rPr>
                <w:rFonts w:hAnsi="宋体"/>
                <w:sz w:val="18"/>
                <w:szCs w:val="18"/>
              </w:rPr>
              <w:t>21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4" w:type="dxa"/>
            <w:shd w:val="clear" w:color="auto" w:fill="auto"/>
          </w:tcPr>
          <w:p>
            <w:pPr>
              <w:pStyle w:val="178"/>
              <w:rPr>
                <w:rFonts w:hint="eastAsia"/>
                <w:sz w:val="18"/>
                <w:szCs w:val="18"/>
              </w:rPr>
            </w:pPr>
            <w:r>
              <w:rPr>
                <w:rFonts w:hint="eastAsia" w:hAnsi="宋体"/>
                <w:sz w:val="18"/>
                <w:szCs w:val="18"/>
              </w:rPr>
              <w:t>螺虫乙酯</w:t>
            </w:r>
          </w:p>
        </w:tc>
        <w:tc>
          <w:tcPr>
            <w:tcW w:w="3125" w:type="dxa"/>
            <w:shd w:val="clear" w:color="auto" w:fill="auto"/>
          </w:tcPr>
          <w:p>
            <w:pPr>
              <w:pStyle w:val="178"/>
              <w:rPr>
                <w:rFonts w:hint="eastAsia"/>
                <w:sz w:val="18"/>
                <w:szCs w:val="18"/>
              </w:rPr>
            </w:pPr>
            <w:r>
              <w:rPr>
                <w:rFonts w:hAnsi="宋体"/>
                <w:sz w:val="18"/>
                <w:szCs w:val="18"/>
              </w:rPr>
              <w:t>3</w:t>
            </w:r>
          </w:p>
        </w:tc>
        <w:tc>
          <w:tcPr>
            <w:tcW w:w="3125" w:type="dxa"/>
            <w:shd w:val="clear" w:color="auto" w:fill="auto"/>
          </w:tcPr>
          <w:p>
            <w:pPr>
              <w:pStyle w:val="178"/>
              <w:rPr>
                <w:rFonts w:hint="eastAsia"/>
                <w:sz w:val="18"/>
                <w:szCs w:val="18"/>
              </w:rPr>
            </w:pPr>
            <w:r>
              <w:rPr>
                <w:rFonts w:hint="eastAsia" w:hAnsi="宋体"/>
                <w:sz w:val="18"/>
                <w:szCs w:val="18"/>
              </w:rPr>
              <w:t>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3124" w:type="dxa"/>
            <w:shd w:val="clear" w:color="auto" w:fill="auto"/>
          </w:tcPr>
          <w:p>
            <w:pPr>
              <w:pStyle w:val="178"/>
              <w:rPr>
                <w:rFonts w:hint="eastAsia"/>
                <w:sz w:val="18"/>
                <w:szCs w:val="18"/>
              </w:rPr>
            </w:pPr>
            <w:r>
              <w:rPr>
                <w:rFonts w:hint="eastAsia" w:hAnsi="宋体"/>
                <w:sz w:val="18"/>
                <w:szCs w:val="18"/>
              </w:rPr>
              <w:t>四螨嗪</w:t>
            </w:r>
          </w:p>
        </w:tc>
        <w:tc>
          <w:tcPr>
            <w:tcW w:w="3125" w:type="dxa"/>
            <w:shd w:val="clear" w:color="auto" w:fill="auto"/>
          </w:tcPr>
          <w:p>
            <w:pPr>
              <w:pStyle w:val="178"/>
              <w:rPr>
                <w:rFonts w:hint="eastAsia"/>
                <w:sz w:val="18"/>
                <w:szCs w:val="18"/>
              </w:rPr>
            </w:pPr>
            <w:r>
              <w:rPr>
                <w:rFonts w:hAnsi="宋体"/>
                <w:sz w:val="18"/>
                <w:szCs w:val="18"/>
              </w:rPr>
              <w:t>3</w:t>
            </w:r>
          </w:p>
        </w:tc>
        <w:tc>
          <w:tcPr>
            <w:tcW w:w="3125" w:type="dxa"/>
            <w:shd w:val="clear" w:color="auto" w:fill="auto"/>
          </w:tcPr>
          <w:p>
            <w:pPr>
              <w:pStyle w:val="178"/>
              <w:rPr>
                <w:rFonts w:hint="eastAsia"/>
                <w:sz w:val="18"/>
                <w:szCs w:val="18"/>
              </w:rPr>
            </w:pPr>
            <w:r>
              <w:rPr>
                <w:rFonts w:hAnsi="宋体"/>
                <w:sz w:val="18"/>
                <w:szCs w:val="18"/>
              </w:rPr>
              <w:t>14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4" w:type="dxa"/>
            <w:shd w:val="clear" w:color="auto" w:fill="auto"/>
          </w:tcPr>
          <w:p>
            <w:pPr>
              <w:pStyle w:val="178"/>
              <w:rPr>
                <w:rFonts w:hint="eastAsia"/>
                <w:sz w:val="18"/>
                <w:szCs w:val="18"/>
              </w:rPr>
            </w:pPr>
            <w:r>
              <w:rPr>
                <w:rFonts w:hint="eastAsia" w:hAnsi="宋体"/>
                <w:sz w:val="18"/>
                <w:szCs w:val="18"/>
              </w:rPr>
              <w:t>辛硫磷</w:t>
            </w:r>
          </w:p>
        </w:tc>
        <w:tc>
          <w:tcPr>
            <w:tcW w:w="3125" w:type="dxa"/>
            <w:shd w:val="clear" w:color="auto" w:fill="auto"/>
          </w:tcPr>
          <w:p>
            <w:pPr>
              <w:pStyle w:val="178"/>
              <w:rPr>
                <w:rFonts w:hint="eastAsia"/>
                <w:sz w:val="18"/>
                <w:szCs w:val="18"/>
              </w:rPr>
            </w:pPr>
            <w:r>
              <w:rPr>
                <w:rFonts w:hint="eastAsia" w:hAnsi="宋体"/>
                <w:sz w:val="18"/>
                <w:szCs w:val="18"/>
              </w:rPr>
              <w:t>3</w:t>
            </w:r>
          </w:p>
        </w:tc>
        <w:tc>
          <w:tcPr>
            <w:tcW w:w="3125" w:type="dxa"/>
            <w:shd w:val="clear" w:color="auto" w:fill="auto"/>
          </w:tcPr>
          <w:p>
            <w:pPr>
              <w:pStyle w:val="178"/>
              <w:rPr>
                <w:rFonts w:hint="eastAsia"/>
                <w:sz w:val="18"/>
                <w:szCs w:val="18"/>
              </w:rPr>
            </w:pPr>
            <w:r>
              <w:rPr>
                <w:rFonts w:hAnsi="宋体"/>
                <w:sz w:val="18"/>
                <w:szCs w:val="18"/>
              </w:rPr>
              <w:t>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4" w:type="dxa"/>
            <w:shd w:val="clear" w:color="auto" w:fill="auto"/>
          </w:tcPr>
          <w:p>
            <w:pPr>
              <w:pStyle w:val="178"/>
              <w:rPr>
                <w:rFonts w:hint="eastAsia"/>
                <w:sz w:val="18"/>
                <w:szCs w:val="18"/>
              </w:rPr>
            </w:pPr>
            <w:r>
              <w:rPr>
                <w:rFonts w:hint="eastAsia" w:hAnsi="宋体"/>
                <w:sz w:val="18"/>
                <w:szCs w:val="18"/>
              </w:rPr>
              <w:t>灭幼脲</w:t>
            </w:r>
          </w:p>
        </w:tc>
        <w:tc>
          <w:tcPr>
            <w:tcW w:w="3125" w:type="dxa"/>
            <w:shd w:val="clear" w:color="auto" w:fill="auto"/>
          </w:tcPr>
          <w:p>
            <w:pPr>
              <w:pStyle w:val="178"/>
              <w:rPr>
                <w:rFonts w:hint="eastAsia"/>
                <w:sz w:val="18"/>
                <w:szCs w:val="18"/>
              </w:rPr>
            </w:pPr>
            <w:r>
              <w:rPr>
                <w:rFonts w:hint="eastAsia" w:hAnsi="宋体"/>
                <w:sz w:val="18"/>
                <w:szCs w:val="18"/>
              </w:rPr>
              <w:t>3</w:t>
            </w:r>
          </w:p>
        </w:tc>
        <w:tc>
          <w:tcPr>
            <w:tcW w:w="3125" w:type="dxa"/>
            <w:shd w:val="clear" w:color="auto" w:fill="auto"/>
          </w:tcPr>
          <w:p>
            <w:pPr>
              <w:pStyle w:val="178"/>
              <w:rPr>
                <w:rFonts w:hint="eastAsia"/>
                <w:sz w:val="18"/>
                <w:szCs w:val="18"/>
              </w:rPr>
            </w:pPr>
            <w:r>
              <w:rPr>
                <w:rFonts w:hint="eastAsia" w:hAnsi="宋体"/>
                <w:sz w:val="18"/>
                <w:szCs w:val="18"/>
              </w:rPr>
              <w:t>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4" w:type="dxa"/>
            <w:shd w:val="clear" w:color="auto" w:fill="auto"/>
          </w:tcPr>
          <w:p>
            <w:pPr>
              <w:pStyle w:val="178"/>
              <w:rPr>
                <w:rFonts w:hint="eastAsia"/>
                <w:sz w:val="18"/>
                <w:szCs w:val="18"/>
              </w:rPr>
            </w:pPr>
            <w:r>
              <w:rPr>
                <w:rFonts w:hint="eastAsia" w:hAnsi="宋体"/>
                <w:sz w:val="18"/>
                <w:szCs w:val="18"/>
              </w:rPr>
              <w:t>苦参碱</w:t>
            </w:r>
          </w:p>
        </w:tc>
        <w:tc>
          <w:tcPr>
            <w:tcW w:w="3125" w:type="dxa"/>
            <w:shd w:val="clear" w:color="auto" w:fill="auto"/>
          </w:tcPr>
          <w:p>
            <w:pPr>
              <w:pStyle w:val="178"/>
              <w:rPr>
                <w:rFonts w:hint="eastAsia"/>
                <w:sz w:val="18"/>
                <w:szCs w:val="18"/>
              </w:rPr>
            </w:pPr>
            <w:r>
              <w:rPr>
                <w:rFonts w:hint="eastAsia" w:hAnsi="宋体"/>
                <w:sz w:val="18"/>
                <w:szCs w:val="18"/>
              </w:rPr>
              <w:t>3</w:t>
            </w:r>
          </w:p>
        </w:tc>
        <w:tc>
          <w:tcPr>
            <w:tcW w:w="3125" w:type="dxa"/>
            <w:shd w:val="clear" w:color="auto" w:fill="auto"/>
          </w:tcPr>
          <w:p>
            <w:pPr>
              <w:pStyle w:val="178"/>
              <w:rPr>
                <w:rFonts w:hint="eastAsia"/>
                <w:sz w:val="18"/>
                <w:szCs w:val="18"/>
              </w:rPr>
            </w:pPr>
            <w:r>
              <w:rPr>
                <w:rFonts w:hint="eastAsia" w:hAnsi="宋体"/>
                <w:sz w:val="18"/>
                <w:szCs w:val="18"/>
              </w:rPr>
              <w:t>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3124" w:type="dxa"/>
            <w:shd w:val="clear" w:color="auto" w:fill="auto"/>
          </w:tcPr>
          <w:p>
            <w:pPr>
              <w:pStyle w:val="178"/>
              <w:rPr>
                <w:rFonts w:hint="eastAsia"/>
                <w:sz w:val="18"/>
                <w:szCs w:val="18"/>
              </w:rPr>
            </w:pPr>
            <w:r>
              <w:rPr>
                <w:rFonts w:hint="eastAsia" w:hAnsi="宋体"/>
                <w:sz w:val="18"/>
                <w:szCs w:val="18"/>
              </w:rPr>
              <w:t>啶虫脒</w:t>
            </w:r>
          </w:p>
        </w:tc>
        <w:tc>
          <w:tcPr>
            <w:tcW w:w="3125" w:type="dxa"/>
            <w:shd w:val="clear" w:color="auto" w:fill="auto"/>
          </w:tcPr>
          <w:p>
            <w:pPr>
              <w:pStyle w:val="178"/>
              <w:rPr>
                <w:rFonts w:hint="eastAsia"/>
                <w:sz w:val="18"/>
                <w:szCs w:val="18"/>
              </w:rPr>
            </w:pPr>
            <w:r>
              <w:rPr>
                <w:rFonts w:hint="eastAsia" w:hAnsi="宋体"/>
                <w:sz w:val="18"/>
                <w:szCs w:val="18"/>
              </w:rPr>
              <w:t>3</w:t>
            </w:r>
          </w:p>
        </w:tc>
        <w:tc>
          <w:tcPr>
            <w:tcW w:w="3125" w:type="dxa"/>
            <w:shd w:val="clear" w:color="auto" w:fill="auto"/>
          </w:tcPr>
          <w:p>
            <w:pPr>
              <w:pStyle w:val="178"/>
              <w:rPr>
                <w:rFonts w:hint="eastAsia"/>
                <w:sz w:val="18"/>
                <w:szCs w:val="18"/>
              </w:rPr>
            </w:pPr>
            <w:r>
              <w:rPr>
                <w:rFonts w:hint="eastAsia" w:hAnsi="宋体"/>
                <w:sz w:val="18"/>
                <w:szCs w:val="18"/>
              </w:rPr>
              <w:t>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9374" w:type="dxa"/>
            <w:gridSpan w:val="3"/>
            <w:shd w:val="clear" w:color="auto" w:fill="auto"/>
          </w:tcPr>
          <w:p>
            <w:pPr>
              <w:pStyle w:val="178"/>
              <w:jc w:val="left"/>
              <w:rPr>
                <w:rFonts w:hint="eastAsia" w:hAnsi="宋体"/>
                <w:sz w:val="18"/>
                <w:szCs w:val="18"/>
              </w:rPr>
            </w:pPr>
            <w:r>
              <w:rPr>
                <w:rFonts w:hint="eastAsia" w:hAnsi="宋体"/>
                <w:sz w:val="18"/>
                <w:szCs w:val="18"/>
              </w:rPr>
              <w:t>注：所有农药的施用方法及使用浓度均按国家规定执行。</w:t>
            </w:r>
          </w:p>
        </w:tc>
      </w:tr>
    </w:tbl>
    <w:p>
      <w:pPr>
        <w:pStyle w:val="56"/>
        <w:ind w:firstLine="0" w:firstLineChars="0"/>
        <w:rPr>
          <w:rFonts w:hint="eastAsia"/>
        </w:rPr>
      </w:pPr>
    </w:p>
    <w:p>
      <w:pPr>
        <w:pStyle w:val="78"/>
        <w:spacing w:before="156" w:after="156"/>
        <w:rPr>
          <w:kern w:val="2"/>
          <w:szCs w:val="21"/>
        </w:rPr>
      </w:pPr>
      <w:r>
        <w:rPr>
          <w:rFonts w:hint="eastAsia"/>
        </w:rPr>
        <w:t>杀菌剂</w:t>
      </w:r>
    </w:p>
    <w:p>
      <w:pPr>
        <w:pStyle w:val="56"/>
        <w:ind w:firstLine="420"/>
        <w:rPr>
          <w:kern w:val="2"/>
          <w:szCs w:val="21"/>
        </w:rPr>
      </w:pPr>
      <w:r>
        <w:rPr>
          <w:rFonts w:hint="eastAsia"/>
        </w:rPr>
        <w:t>杀菌剂及使用准则表A</w:t>
      </w:r>
      <w:r>
        <w:t>.2</w:t>
      </w:r>
      <w:r>
        <w:rPr>
          <w:rFonts w:hint="eastAsia"/>
        </w:rPr>
        <w:t>。</w:t>
      </w:r>
    </w:p>
    <w:p>
      <w:pPr>
        <w:pStyle w:val="77"/>
        <w:spacing w:before="156" w:after="156"/>
      </w:pPr>
      <w:r>
        <w:rPr>
          <w:rFonts w:hint="eastAsia"/>
        </w:rPr>
        <w:t>杀菌剂及使用准则</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3124"/>
        <w:gridCol w:w="3125"/>
        <w:gridCol w:w="312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3124" w:type="dxa"/>
            <w:tcBorders>
              <w:top w:val="single" w:color="auto" w:sz="8" w:space="0"/>
              <w:bottom w:val="single" w:color="auto" w:sz="8" w:space="0"/>
            </w:tcBorders>
            <w:shd w:val="clear" w:color="auto" w:fill="auto"/>
          </w:tcPr>
          <w:p>
            <w:pPr>
              <w:pStyle w:val="178"/>
              <w:rPr>
                <w:sz w:val="18"/>
                <w:szCs w:val="18"/>
              </w:rPr>
            </w:pPr>
            <w:r>
              <w:rPr>
                <w:rFonts w:hint="eastAsia" w:hAnsi="宋体"/>
                <w:sz w:val="18"/>
                <w:szCs w:val="18"/>
              </w:rPr>
              <w:t>农药名称</w:t>
            </w:r>
          </w:p>
        </w:tc>
        <w:tc>
          <w:tcPr>
            <w:tcW w:w="3125" w:type="dxa"/>
            <w:tcBorders>
              <w:top w:val="single" w:color="auto" w:sz="8" w:space="0"/>
              <w:bottom w:val="single" w:color="auto" w:sz="8" w:space="0"/>
            </w:tcBorders>
            <w:shd w:val="clear" w:color="auto" w:fill="auto"/>
          </w:tcPr>
          <w:p>
            <w:pPr>
              <w:pStyle w:val="178"/>
              <w:rPr>
                <w:sz w:val="18"/>
                <w:szCs w:val="18"/>
              </w:rPr>
            </w:pPr>
            <w:r>
              <w:rPr>
                <w:rFonts w:hint="eastAsia" w:hAnsi="宋体"/>
                <w:sz w:val="18"/>
                <w:szCs w:val="18"/>
              </w:rPr>
              <w:t>每年最多使用次数</w:t>
            </w:r>
          </w:p>
        </w:tc>
        <w:tc>
          <w:tcPr>
            <w:tcW w:w="3125" w:type="dxa"/>
            <w:tcBorders>
              <w:top w:val="single" w:color="auto" w:sz="8" w:space="0"/>
              <w:bottom w:val="single" w:color="auto" w:sz="8" w:space="0"/>
            </w:tcBorders>
            <w:shd w:val="clear" w:color="auto" w:fill="auto"/>
          </w:tcPr>
          <w:p>
            <w:pPr>
              <w:pStyle w:val="178"/>
              <w:rPr>
                <w:sz w:val="18"/>
                <w:szCs w:val="18"/>
              </w:rPr>
            </w:pPr>
            <w:r>
              <w:rPr>
                <w:rFonts w:hint="eastAsia" w:hAnsi="宋体"/>
                <w:sz w:val="18"/>
                <w:szCs w:val="18"/>
              </w:rPr>
              <w:t>安全间隔期</w:t>
            </w:r>
            <w:r>
              <w:rPr>
                <w:rFonts w:hAnsi="宋体"/>
                <w:sz w:val="18"/>
                <w:szCs w:val="18"/>
              </w:rPr>
              <w:t>/d</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4" w:type="dxa"/>
            <w:tcBorders>
              <w:top w:val="single" w:color="auto" w:sz="8" w:space="0"/>
            </w:tcBorders>
            <w:shd w:val="clear" w:color="auto" w:fill="auto"/>
          </w:tcPr>
          <w:p>
            <w:pPr>
              <w:pStyle w:val="178"/>
              <w:rPr>
                <w:sz w:val="18"/>
                <w:szCs w:val="18"/>
              </w:rPr>
            </w:pPr>
            <w:r>
              <w:rPr>
                <w:rFonts w:hint="eastAsia" w:hAnsi="宋体"/>
                <w:sz w:val="18"/>
                <w:szCs w:val="18"/>
              </w:rPr>
              <w:t>戊唑醇</w:t>
            </w:r>
          </w:p>
        </w:tc>
        <w:tc>
          <w:tcPr>
            <w:tcW w:w="3125" w:type="dxa"/>
            <w:tcBorders>
              <w:top w:val="single" w:color="auto" w:sz="8" w:space="0"/>
            </w:tcBorders>
            <w:shd w:val="clear" w:color="auto" w:fill="auto"/>
          </w:tcPr>
          <w:p>
            <w:pPr>
              <w:pStyle w:val="178"/>
              <w:rPr>
                <w:sz w:val="18"/>
                <w:szCs w:val="18"/>
              </w:rPr>
            </w:pPr>
            <w:r>
              <w:rPr>
                <w:rFonts w:hAnsi="宋体"/>
                <w:sz w:val="18"/>
                <w:szCs w:val="18"/>
              </w:rPr>
              <w:t>3</w:t>
            </w:r>
          </w:p>
        </w:tc>
        <w:tc>
          <w:tcPr>
            <w:tcW w:w="3125" w:type="dxa"/>
            <w:tcBorders>
              <w:top w:val="single" w:color="auto" w:sz="8" w:space="0"/>
            </w:tcBorders>
            <w:shd w:val="clear" w:color="auto" w:fill="auto"/>
          </w:tcPr>
          <w:p>
            <w:pPr>
              <w:pStyle w:val="178"/>
              <w:rPr>
                <w:sz w:val="18"/>
                <w:szCs w:val="18"/>
              </w:rPr>
            </w:pPr>
            <w:r>
              <w:rPr>
                <w:rFonts w:hint="eastAsia" w:hAnsi="宋体"/>
                <w:sz w:val="18"/>
                <w:szCs w:val="18"/>
              </w:rPr>
              <w:t>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4" w:type="dxa"/>
            <w:shd w:val="clear" w:color="auto" w:fill="auto"/>
          </w:tcPr>
          <w:p>
            <w:pPr>
              <w:pStyle w:val="178"/>
              <w:rPr>
                <w:sz w:val="18"/>
                <w:szCs w:val="18"/>
              </w:rPr>
            </w:pPr>
            <w:r>
              <w:rPr>
                <w:rFonts w:hint="eastAsia" w:hAnsi="宋体"/>
                <w:sz w:val="18"/>
                <w:szCs w:val="18"/>
              </w:rPr>
              <w:t>波尔多液</w:t>
            </w:r>
          </w:p>
        </w:tc>
        <w:tc>
          <w:tcPr>
            <w:tcW w:w="3125" w:type="dxa"/>
            <w:shd w:val="clear" w:color="auto" w:fill="auto"/>
          </w:tcPr>
          <w:p>
            <w:pPr>
              <w:pStyle w:val="178"/>
              <w:rPr>
                <w:sz w:val="18"/>
                <w:szCs w:val="18"/>
              </w:rPr>
            </w:pPr>
            <w:r>
              <w:rPr>
                <w:rFonts w:hint="eastAsia" w:hAnsi="宋体"/>
                <w:sz w:val="18"/>
                <w:szCs w:val="18"/>
              </w:rPr>
              <w:t>4</w:t>
            </w:r>
          </w:p>
        </w:tc>
        <w:tc>
          <w:tcPr>
            <w:tcW w:w="3125" w:type="dxa"/>
            <w:shd w:val="clear" w:color="auto" w:fill="auto"/>
          </w:tcPr>
          <w:p>
            <w:pPr>
              <w:pStyle w:val="178"/>
              <w:rPr>
                <w:sz w:val="18"/>
                <w:szCs w:val="18"/>
              </w:rPr>
            </w:pPr>
            <w:r>
              <w:rPr>
                <w:rFonts w:hint="eastAsia" w:hAnsi="宋体"/>
                <w:sz w:val="18"/>
                <w:szCs w:val="18"/>
              </w:rPr>
              <w:t>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3124" w:type="dxa"/>
            <w:shd w:val="clear" w:color="auto" w:fill="auto"/>
          </w:tcPr>
          <w:p>
            <w:pPr>
              <w:pStyle w:val="178"/>
              <w:rPr>
                <w:sz w:val="18"/>
                <w:szCs w:val="18"/>
              </w:rPr>
            </w:pPr>
            <w:r>
              <w:rPr>
                <w:rFonts w:hint="eastAsia" w:hAnsi="宋体"/>
                <w:sz w:val="18"/>
                <w:szCs w:val="18"/>
              </w:rPr>
              <w:t>苯醚甲环唑</w:t>
            </w:r>
          </w:p>
        </w:tc>
        <w:tc>
          <w:tcPr>
            <w:tcW w:w="3125" w:type="dxa"/>
            <w:shd w:val="clear" w:color="auto" w:fill="auto"/>
          </w:tcPr>
          <w:p>
            <w:pPr>
              <w:pStyle w:val="178"/>
              <w:rPr>
                <w:sz w:val="18"/>
                <w:szCs w:val="18"/>
              </w:rPr>
            </w:pPr>
            <w:r>
              <w:rPr>
                <w:rFonts w:hAnsi="宋体"/>
                <w:sz w:val="18"/>
                <w:szCs w:val="18"/>
              </w:rPr>
              <w:t>3</w:t>
            </w:r>
          </w:p>
        </w:tc>
        <w:tc>
          <w:tcPr>
            <w:tcW w:w="3125" w:type="dxa"/>
            <w:shd w:val="clear" w:color="auto" w:fill="auto"/>
          </w:tcPr>
          <w:p>
            <w:pPr>
              <w:pStyle w:val="178"/>
              <w:rPr>
                <w:sz w:val="18"/>
                <w:szCs w:val="18"/>
              </w:rPr>
            </w:pPr>
            <w:r>
              <w:rPr>
                <w:rFonts w:hAnsi="宋体"/>
                <w:sz w:val="18"/>
                <w:szCs w:val="18"/>
              </w:rPr>
              <w:t>14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4" w:type="dxa"/>
            <w:shd w:val="clear" w:color="auto" w:fill="auto"/>
          </w:tcPr>
          <w:p>
            <w:pPr>
              <w:pStyle w:val="178"/>
              <w:rPr>
                <w:sz w:val="18"/>
                <w:szCs w:val="18"/>
              </w:rPr>
            </w:pPr>
            <w:r>
              <w:rPr>
                <w:rFonts w:hint="eastAsia" w:hAnsi="宋体"/>
                <w:sz w:val="18"/>
                <w:szCs w:val="18"/>
              </w:rPr>
              <w:t>氯硅唑</w:t>
            </w:r>
          </w:p>
        </w:tc>
        <w:tc>
          <w:tcPr>
            <w:tcW w:w="3125" w:type="dxa"/>
            <w:shd w:val="clear" w:color="auto" w:fill="auto"/>
          </w:tcPr>
          <w:p>
            <w:pPr>
              <w:pStyle w:val="178"/>
              <w:rPr>
                <w:sz w:val="18"/>
                <w:szCs w:val="18"/>
              </w:rPr>
            </w:pPr>
            <w:r>
              <w:rPr>
                <w:rFonts w:hAnsi="宋体"/>
                <w:sz w:val="18"/>
                <w:szCs w:val="18"/>
              </w:rPr>
              <w:t>2</w:t>
            </w:r>
          </w:p>
        </w:tc>
        <w:tc>
          <w:tcPr>
            <w:tcW w:w="3125" w:type="dxa"/>
            <w:shd w:val="clear" w:color="auto" w:fill="auto"/>
          </w:tcPr>
          <w:p>
            <w:pPr>
              <w:pStyle w:val="178"/>
              <w:rPr>
                <w:sz w:val="18"/>
                <w:szCs w:val="18"/>
              </w:rPr>
            </w:pPr>
            <w:r>
              <w:rPr>
                <w:rFonts w:hAnsi="宋体"/>
                <w:sz w:val="18"/>
                <w:szCs w:val="18"/>
              </w:rPr>
              <w:t>21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4" w:type="dxa"/>
            <w:shd w:val="clear" w:color="auto" w:fill="auto"/>
          </w:tcPr>
          <w:p>
            <w:pPr>
              <w:pStyle w:val="178"/>
              <w:rPr>
                <w:sz w:val="18"/>
                <w:szCs w:val="18"/>
              </w:rPr>
            </w:pPr>
            <w:r>
              <w:rPr>
                <w:rFonts w:hint="eastAsia" w:hAnsi="宋体"/>
                <w:sz w:val="18"/>
                <w:szCs w:val="18"/>
              </w:rPr>
              <w:t>多菌灵</w:t>
            </w:r>
          </w:p>
        </w:tc>
        <w:tc>
          <w:tcPr>
            <w:tcW w:w="3125" w:type="dxa"/>
            <w:shd w:val="clear" w:color="auto" w:fill="auto"/>
          </w:tcPr>
          <w:p>
            <w:pPr>
              <w:pStyle w:val="178"/>
              <w:rPr>
                <w:sz w:val="18"/>
                <w:szCs w:val="18"/>
              </w:rPr>
            </w:pPr>
            <w:r>
              <w:rPr>
                <w:rFonts w:hint="eastAsia" w:hAnsi="宋体"/>
                <w:sz w:val="18"/>
                <w:szCs w:val="18"/>
              </w:rPr>
              <w:t>3</w:t>
            </w:r>
          </w:p>
        </w:tc>
        <w:tc>
          <w:tcPr>
            <w:tcW w:w="3125" w:type="dxa"/>
            <w:shd w:val="clear" w:color="auto" w:fill="auto"/>
          </w:tcPr>
          <w:p>
            <w:pPr>
              <w:pStyle w:val="178"/>
              <w:rPr>
                <w:sz w:val="18"/>
                <w:szCs w:val="18"/>
              </w:rPr>
            </w:pPr>
            <w:r>
              <w:rPr>
                <w:rFonts w:hint="eastAsia" w:hAnsi="宋体"/>
                <w:sz w:val="18"/>
                <w:szCs w:val="18"/>
              </w:rPr>
              <w:t>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4" w:type="dxa"/>
            <w:shd w:val="clear" w:color="auto" w:fill="auto"/>
          </w:tcPr>
          <w:p>
            <w:pPr>
              <w:pStyle w:val="178"/>
              <w:rPr>
                <w:sz w:val="18"/>
                <w:szCs w:val="18"/>
              </w:rPr>
            </w:pPr>
            <w:r>
              <w:rPr>
                <w:rFonts w:hint="eastAsia" w:hAnsi="宋体"/>
                <w:sz w:val="18"/>
                <w:szCs w:val="18"/>
              </w:rPr>
              <w:t>甲基托布津</w:t>
            </w:r>
          </w:p>
        </w:tc>
        <w:tc>
          <w:tcPr>
            <w:tcW w:w="3125" w:type="dxa"/>
            <w:shd w:val="clear" w:color="auto" w:fill="auto"/>
          </w:tcPr>
          <w:p>
            <w:pPr>
              <w:pStyle w:val="178"/>
              <w:rPr>
                <w:sz w:val="18"/>
                <w:szCs w:val="18"/>
              </w:rPr>
            </w:pPr>
            <w:r>
              <w:rPr>
                <w:rFonts w:hint="eastAsia" w:hAnsi="宋体"/>
                <w:sz w:val="18"/>
                <w:szCs w:val="18"/>
              </w:rPr>
              <w:t>3</w:t>
            </w:r>
          </w:p>
        </w:tc>
        <w:tc>
          <w:tcPr>
            <w:tcW w:w="3125" w:type="dxa"/>
            <w:shd w:val="clear" w:color="auto" w:fill="auto"/>
          </w:tcPr>
          <w:p>
            <w:pPr>
              <w:pStyle w:val="178"/>
              <w:rPr>
                <w:sz w:val="18"/>
                <w:szCs w:val="18"/>
              </w:rPr>
            </w:pPr>
            <w:r>
              <w:rPr>
                <w:rFonts w:hint="eastAsia" w:hAnsi="宋体"/>
                <w:sz w:val="18"/>
                <w:szCs w:val="18"/>
              </w:rPr>
              <w:t>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3124" w:type="dxa"/>
            <w:shd w:val="clear" w:color="auto" w:fill="auto"/>
          </w:tcPr>
          <w:p>
            <w:pPr>
              <w:pStyle w:val="178"/>
              <w:rPr>
                <w:rFonts w:hint="eastAsia" w:hAnsi="宋体"/>
                <w:sz w:val="18"/>
                <w:szCs w:val="18"/>
              </w:rPr>
            </w:pPr>
            <w:r>
              <w:rPr>
                <w:rFonts w:hint="eastAsia" w:hAnsi="宋体"/>
                <w:sz w:val="18"/>
                <w:szCs w:val="18"/>
              </w:rPr>
              <w:t>过氧乙酸</w:t>
            </w:r>
          </w:p>
        </w:tc>
        <w:tc>
          <w:tcPr>
            <w:tcW w:w="3125" w:type="dxa"/>
            <w:shd w:val="clear" w:color="auto" w:fill="auto"/>
          </w:tcPr>
          <w:p>
            <w:pPr>
              <w:pStyle w:val="178"/>
              <w:rPr>
                <w:rFonts w:hint="eastAsia" w:hAnsi="宋体"/>
                <w:sz w:val="18"/>
                <w:szCs w:val="18"/>
              </w:rPr>
            </w:pPr>
            <w:r>
              <w:rPr>
                <w:rFonts w:hint="eastAsia" w:hAnsi="宋体"/>
                <w:sz w:val="18"/>
                <w:szCs w:val="18"/>
              </w:rPr>
              <w:t>3</w:t>
            </w:r>
          </w:p>
        </w:tc>
        <w:tc>
          <w:tcPr>
            <w:tcW w:w="3125" w:type="dxa"/>
            <w:shd w:val="clear" w:color="auto" w:fill="auto"/>
          </w:tcPr>
          <w:p>
            <w:pPr>
              <w:pStyle w:val="178"/>
              <w:rPr>
                <w:rFonts w:hint="eastAsia" w:hAnsi="宋体"/>
                <w:sz w:val="18"/>
                <w:szCs w:val="18"/>
              </w:rPr>
            </w:pPr>
            <w:r>
              <w:rPr>
                <w:rFonts w:hint="eastAsia" w:hAnsi="宋体"/>
                <w:sz w:val="18"/>
                <w:szCs w:val="18"/>
              </w:rPr>
              <w:t>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4" w:type="dxa"/>
            <w:shd w:val="clear" w:color="auto" w:fill="auto"/>
          </w:tcPr>
          <w:p>
            <w:pPr>
              <w:pStyle w:val="178"/>
              <w:rPr>
                <w:rFonts w:hint="eastAsia" w:hAnsi="宋体"/>
                <w:sz w:val="18"/>
                <w:szCs w:val="18"/>
              </w:rPr>
            </w:pPr>
            <w:r>
              <w:rPr>
                <w:rFonts w:hint="eastAsia" w:hAnsi="宋体"/>
                <w:sz w:val="18"/>
                <w:szCs w:val="18"/>
              </w:rPr>
              <w:t>丙环唑</w:t>
            </w:r>
          </w:p>
        </w:tc>
        <w:tc>
          <w:tcPr>
            <w:tcW w:w="3125" w:type="dxa"/>
            <w:shd w:val="clear" w:color="auto" w:fill="auto"/>
          </w:tcPr>
          <w:p>
            <w:pPr>
              <w:pStyle w:val="178"/>
              <w:rPr>
                <w:rFonts w:hint="eastAsia" w:hAnsi="宋体"/>
                <w:sz w:val="18"/>
                <w:szCs w:val="18"/>
              </w:rPr>
            </w:pPr>
            <w:r>
              <w:rPr>
                <w:rFonts w:hAnsi="宋体"/>
                <w:sz w:val="18"/>
                <w:szCs w:val="18"/>
              </w:rPr>
              <w:t>3</w:t>
            </w:r>
          </w:p>
        </w:tc>
        <w:tc>
          <w:tcPr>
            <w:tcW w:w="3125" w:type="dxa"/>
            <w:shd w:val="clear" w:color="auto" w:fill="auto"/>
          </w:tcPr>
          <w:p>
            <w:pPr>
              <w:pStyle w:val="178"/>
              <w:rPr>
                <w:rFonts w:hint="eastAsia" w:hAnsi="宋体"/>
                <w:sz w:val="18"/>
                <w:szCs w:val="18"/>
              </w:rPr>
            </w:pPr>
            <w:r>
              <w:rPr>
                <w:rFonts w:hint="eastAsia" w:hAnsi="宋体"/>
                <w:sz w:val="18"/>
                <w:szCs w:val="18"/>
              </w:rPr>
              <w:t>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4" w:type="dxa"/>
            <w:shd w:val="clear" w:color="auto" w:fill="auto"/>
          </w:tcPr>
          <w:p>
            <w:pPr>
              <w:pStyle w:val="178"/>
              <w:rPr>
                <w:rFonts w:hint="eastAsia" w:hAnsi="宋体"/>
                <w:sz w:val="18"/>
                <w:szCs w:val="18"/>
              </w:rPr>
            </w:pPr>
            <w:r>
              <w:rPr>
                <w:rFonts w:hint="eastAsia" w:hAnsi="宋体"/>
                <w:sz w:val="18"/>
                <w:szCs w:val="18"/>
              </w:rPr>
              <w:t>吡唑醚菌酯</w:t>
            </w:r>
          </w:p>
        </w:tc>
        <w:tc>
          <w:tcPr>
            <w:tcW w:w="3125" w:type="dxa"/>
            <w:shd w:val="clear" w:color="auto" w:fill="auto"/>
          </w:tcPr>
          <w:p>
            <w:pPr>
              <w:pStyle w:val="178"/>
              <w:rPr>
                <w:rFonts w:hint="eastAsia" w:hAnsi="宋体"/>
                <w:sz w:val="18"/>
                <w:szCs w:val="18"/>
              </w:rPr>
            </w:pPr>
            <w:r>
              <w:rPr>
                <w:rFonts w:hAnsi="宋体"/>
                <w:sz w:val="18"/>
                <w:szCs w:val="18"/>
              </w:rPr>
              <w:t>3</w:t>
            </w:r>
          </w:p>
        </w:tc>
        <w:tc>
          <w:tcPr>
            <w:tcW w:w="3125" w:type="dxa"/>
            <w:shd w:val="clear" w:color="auto" w:fill="auto"/>
          </w:tcPr>
          <w:p>
            <w:pPr>
              <w:pStyle w:val="178"/>
              <w:rPr>
                <w:rFonts w:hint="eastAsia" w:hAnsi="宋体"/>
                <w:sz w:val="18"/>
                <w:szCs w:val="18"/>
              </w:rPr>
            </w:pPr>
            <w:r>
              <w:rPr>
                <w:rFonts w:hAnsi="宋体"/>
                <w:sz w:val="18"/>
                <w:szCs w:val="18"/>
              </w:rPr>
              <w:t>1</w:t>
            </w:r>
            <w:r>
              <w:rPr>
                <w:rFonts w:hint="eastAsia" w:hAnsi="宋体"/>
                <w:sz w:val="18"/>
                <w:szCs w:val="18"/>
              </w:rPr>
              <w: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4" w:type="dxa"/>
            <w:shd w:val="clear" w:color="auto" w:fill="auto"/>
          </w:tcPr>
          <w:p>
            <w:pPr>
              <w:pStyle w:val="178"/>
              <w:rPr>
                <w:rFonts w:hint="eastAsia" w:hAnsi="宋体"/>
                <w:sz w:val="18"/>
                <w:szCs w:val="18"/>
              </w:rPr>
            </w:pPr>
            <w:r>
              <w:rPr>
                <w:rFonts w:hint="eastAsia" w:hAnsi="宋体"/>
                <w:sz w:val="18"/>
                <w:szCs w:val="18"/>
              </w:rPr>
              <w:t>代森锰锌</w:t>
            </w:r>
          </w:p>
        </w:tc>
        <w:tc>
          <w:tcPr>
            <w:tcW w:w="3125" w:type="dxa"/>
            <w:shd w:val="clear" w:color="auto" w:fill="auto"/>
          </w:tcPr>
          <w:p>
            <w:pPr>
              <w:pStyle w:val="178"/>
              <w:rPr>
                <w:rFonts w:hint="eastAsia" w:hAnsi="宋体"/>
                <w:sz w:val="18"/>
                <w:szCs w:val="18"/>
              </w:rPr>
            </w:pPr>
            <w:r>
              <w:rPr>
                <w:rFonts w:hint="eastAsia" w:hAnsi="宋体"/>
                <w:sz w:val="18"/>
                <w:szCs w:val="18"/>
              </w:rPr>
              <w:t>3</w:t>
            </w:r>
          </w:p>
        </w:tc>
        <w:tc>
          <w:tcPr>
            <w:tcW w:w="3125" w:type="dxa"/>
            <w:shd w:val="clear" w:color="auto" w:fill="auto"/>
          </w:tcPr>
          <w:p>
            <w:pPr>
              <w:pStyle w:val="178"/>
              <w:rPr>
                <w:rFonts w:hint="eastAsia" w:hAnsi="宋体"/>
                <w:sz w:val="18"/>
                <w:szCs w:val="18"/>
              </w:rPr>
            </w:pPr>
            <w:r>
              <w:rPr>
                <w:rFonts w:hint="eastAsia" w:hAnsi="宋体"/>
                <w:sz w:val="18"/>
                <w:szCs w:val="18"/>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9374" w:type="dxa"/>
            <w:gridSpan w:val="3"/>
            <w:shd w:val="clear" w:color="auto" w:fill="auto"/>
          </w:tcPr>
          <w:p>
            <w:pPr>
              <w:spacing w:line="360" w:lineRule="auto"/>
              <w:jc w:val="left"/>
              <w:rPr>
                <w:rFonts w:hint="eastAsia"/>
                <w:sz w:val="18"/>
                <w:szCs w:val="18"/>
              </w:rPr>
            </w:pPr>
            <w:r>
              <w:rPr>
                <w:rFonts w:hint="eastAsia" w:ascii="宋体" w:hAnsi="宋体"/>
                <w:sz w:val="18"/>
                <w:szCs w:val="18"/>
              </w:rPr>
              <w:t>注：所有农药的施用方法及使用浓度均按国家规定执行。</w:t>
            </w:r>
          </w:p>
        </w:tc>
      </w:tr>
    </w:tbl>
    <w:p>
      <w:pPr>
        <w:pStyle w:val="56"/>
        <w:spacing w:before="156" w:beforeLines="50" w:after="156" w:afterLines="50"/>
        <w:ind w:firstLine="0" w:firstLineChars="0"/>
        <w:jc w:val="center"/>
        <w:sectPr>
          <w:pgSz w:w="11906" w:h="16838"/>
          <w:pgMar w:top="1928" w:right="1134" w:bottom="1134" w:left="1134" w:header="1418" w:footer="1134" w:gutter="284"/>
          <w:cols w:space="425" w:num="1"/>
          <w:formProt w:val="0"/>
          <w:docGrid w:type="lines" w:linePitch="312" w:charSpace="0"/>
        </w:sectPr>
      </w:pPr>
    </w:p>
    <w:p>
      <w:pPr>
        <w:pStyle w:val="198"/>
        <w:rPr>
          <w:vanish w:val="0"/>
        </w:rPr>
      </w:pPr>
    </w:p>
    <w:p>
      <w:pPr>
        <w:pStyle w:val="199"/>
        <w:rPr>
          <w:vanish w:val="0"/>
        </w:rPr>
      </w:pPr>
    </w:p>
    <w:p>
      <w:pPr>
        <w:pStyle w:val="76"/>
        <w:spacing w:after="156"/>
        <w:rPr>
          <w:rFonts w:hint="eastAsia"/>
        </w:rPr>
      </w:pPr>
      <w:r>
        <w:br w:type="textWrapping"/>
      </w:r>
      <w:r>
        <w:rPr>
          <w:rFonts w:hint="eastAsia"/>
        </w:rPr>
        <w:t>（资料性）</w:t>
      </w:r>
      <w:r>
        <w:br w:type="textWrapping"/>
      </w:r>
      <w:r>
        <w:rPr>
          <w:rFonts w:hint="eastAsia"/>
        </w:rPr>
        <w:t>病虫害防治规程</w:t>
      </w:r>
    </w:p>
    <w:p>
      <w:pPr>
        <w:pStyle w:val="56"/>
        <w:ind w:firstLine="420"/>
        <w:rPr>
          <w:kern w:val="2"/>
          <w:szCs w:val="21"/>
        </w:rPr>
      </w:pPr>
      <w:r>
        <w:rPr>
          <w:rFonts w:hint="eastAsia"/>
        </w:rPr>
        <w:t>病虫害防治规程见表B</w:t>
      </w:r>
      <w:r>
        <w:t>.1</w:t>
      </w:r>
      <w:r>
        <w:rPr>
          <w:rFonts w:hint="eastAsia"/>
        </w:rPr>
        <w:t>。</w:t>
      </w:r>
    </w:p>
    <w:p>
      <w:pPr>
        <w:pStyle w:val="77"/>
        <w:spacing w:before="156" w:after="156"/>
      </w:pPr>
      <w:r>
        <w:rPr>
          <w:rFonts w:hint="eastAsia"/>
        </w:rPr>
        <w:t>病虫害防治规程</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711"/>
        <w:gridCol w:w="1843"/>
        <w:gridCol w:w="582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1711" w:type="dxa"/>
            <w:tcBorders>
              <w:top w:val="single" w:color="auto" w:sz="8" w:space="0"/>
              <w:bottom w:val="single" w:color="auto" w:sz="8" w:space="0"/>
            </w:tcBorders>
            <w:shd w:val="clear" w:color="auto" w:fill="auto"/>
          </w:tcPr>
          <w:p>
            <w:pPr>
              <w:pStyle w:val="178"/>
              <w:rPr>
                <w:rFonts w:hint="eastAsia" w:ascii="宋体" w:hAnsi="宋体" w:eastAsia="宋体" w:cs="宋体"/>
                <w:sz w:val="18"/>
                <w:szCs w:val="18"/>
              </w:rPr>
            </w:pPr>
            <w:r>
              <w:rPr>
                <w:rFonts w:hint="eastAsia" w:ascii="宋体" w:hAnsi="宋体" w:eastAsia="宋体" w:cs="宋体"/>
                <w:sz w:val="18"/>
                <w:szCs w:val="18"/>
              </w:rPr>
              <w:t>物候期</w:t>
            </w:r>
          </w:p>
        </w:tc>
        <w:tc>
          <w:tcPr>
            <w:tcW w:w="1843" w:type="dxa"/>
            <w:tcBorders>
              <w:top w:val="single" w:color="auto" w:sz="8" w:space="0"/>
              <w:bottom w:val="single" w:color="auto" w:sz="8" w:space="0"/>
            </w:tcBorders>
            <w:shd w:val="clear" w:color="auto" w:fill="auto"/>
          </w:tcPr>
          <w:p>
            <w:pPr>
              <w:pStyle w:val="178"/>
              <w:rPr>
                <w:rFonts w:hint="eastAsia" w:ascii="宋体" w:hAnsi="宋体" w:eastAsia="宋体" w:cs="宋体"/>
                <w:sz w:val="18"/>
                <w:szCs w:val="18"/>
              </w:rPr>
            </w:pPr>
            <w:r>
              <w:rPr>
                <w:rFonts w:hint="eastAsia" w:ascii="宋体" w:hAnsi="宋体" w:eastAsia="宋体" w:cs="宋体"/>
                <w:sz w:val="18"/>
                <w:szCs w:val="18"/>
              </w:rPr>
              <w:t>防治对象</w:t>
            </w:r>
          </w:p>
        </w:tc>
        <w:tc>
          <w:tcPr>
            <w:tcW w:w="5820" w:type="dxa"/>
            <w:tcBorders>
              <w:top w:val="single" w:color="auto" w:sz="8" w:space="0"/>
              <w:bottom w:val="single" w:color="auto" w:sz="8" w:space="0"/>
            </w:tcBorders>
            <w:shd w:val="clear" w:color="auto" w:fill="auto"/>
          </w:tcPr>
          <w:p>
            <w:pPr>
              <w:pStyle w:val="178"/>
              <w:rPr>
                <w:rFonts w:hint="eastAsia" w:ascii="宋体" w:hAnsi="宋体" w:eastAsia="宋体" w:cs="宋体"/>
                <w:sz w:val="18"/>
                <w:szCs w:val="18"/>
              </w:rPr>
            </w:pPr>
            <w:r>
              <w:rPr>
                <w:rFonts w:hint="eastAsia" w:ascii="宋体" w:hAnsi="宋体" w:eastAsia="宋体" w:cs="宋体"/>
                <w:sz w:val="18"/>
                <w:szCs w:val="18"/>
              </w:rPr>
              <w:t>防治措施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711" w:type="dxa"/>
            <w:tcBorders>
              <w:top w:val="single" w:color="auto" w:sz="8" w:space="0"/>
            </w:tcBorders>
            <w:shd w:val="clear" w:color="auto" w:fill="auto"/>
            <w:vAlign w:val="center"/>
          </w:tcPr>
          <w:p>
            <w:pPr>
              <w:pStyle w:val="178"/>
              <w:jc w:val="both"/>
              <w:rPr>
                <w:rFonts w:hint="eastAsia" w:ascii="宋体" w:hAnsi="宋体" w:eastAsia="宋体" w:cs="宋体"/>
                <w:sz w:val="18"/>
                <w:szCs w:val="18"/>
              </w:rPr>
            </w:pPr>
            <w:r>
              <w:rPr>
                <w:rFonts w:hint="eastAsia" w:ascii="宋体" w:hAnsi="宋体" w:eastAsia="宋体" w:cs="宋体"/>
                <w:sz w:val="18"/>
                <w:szCs w:val="18"/>
              </w:rPr>
              <w:t>落叶至萌芽前</w:t>
            </w:r>
          </w:p>
        </w:tc>
        <w:tc>
          <w:tcPr>
            <w:tcW w:w="1843" w:type="dxa"/>
            <w:tcBorders>
              <w:top w:val="single" w:color="auto" w:sz="8" w:space="0"/>
            </w:tcBorders>
            <w:shd w:val="clear" w:color="auto" w:fill="auto"/>
            <w:vAlign w:val="center"/>
          </w:tcPr>
          <w:p>
            <w:pPr>
              <w:pStyle w:val="178"/>
              <w:jc w:val="both"/>
              <w:rPr>
                <w:rFonts w:hint="eastAsia" w:ascii="宋体" w:hAnsi="宋体" w:eastAsia="宋体" w:cs="宋体"/>
                <w:sz w:val="18"/>
                <w:szCs w:val="18"/>
              </w:rPr>
            </w:pPr>
            <w:r>
              <w:rPr>
                <w:rFonts w:hint="eastAsia" w:ascii="宋体" w:hAnsi="宋体" w:eastAsia="宋体" w:cs="宋体"/>
                <w:sz w:val="18"/>
                <w:szCs w:val="18"/>
              </w:rPr>
              <w:t>腐烂病、干腐病、枝干轮纹病和叶螨。</w:t>
            </w:r>
          </w:p>
        </w:tc>
        <w:tc>
          <w:tcPr>
            <w:tcW w:w="5820" w:type="dxa"/>
            <w:tcBorders>
              <w:top w:val="single" w:color="auto" w:sz="8" w:space="0"/>
            </w:tcBorders>
            <w:shd w:val="clear" w:color="auto" w:fill="auto"/>
          </w:tcPr>
          <w:p>
            <w:pPr>
              <w:pStyle w:val="178"/>
              <w:jc w:val="both"/>
              <w:rPr>
                <w:rFonts w:hint="eastAsia" w:ascii="宋体" w:hAnsi="宋体" w:eastAsia="宋体" w:cs="宋体"/>
                <w:sz w:val="18"/>
                <w:szCs w:val="18"/>
              </w:rPr>
            </w:pPr>
            <w:r>
              <w:rPr>
                <w:rFonts w:hint="eastAsia" w:ascii="宋体" w:hAnsi="宋体" w:eastAsia="宋体" w:cs="宋体"/>
                <w:sz w:val="18"/>
                <w:szCs w:val="18"/>
              </w:rPr>
              <w:t>清除枯枝落叶。结合冬剪病虫梢、病僵果，翻树盘及刮除老粗翘皮、病瘤、病斑等，集中深埋或烧毁。树体喷布一次3 °Bé～5 °Bé石硫合剂或过氧乙酸。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711" w:type="dxa"/>
            <w:shd w:val="clear" w:color="auto" w:fill="auto"/>
            <w:vAlign w:val="center"/>
          </w:tcPr>
          <w:p>
            <w:pPr>
              <w:pStyle w:val="178"/>
              <w:jc w:val="both"/>
              <w:rPr>
                <w:rFonts w:hint="eastAsia" w:ascii="宋体" w:hAnsi="宋体" w:eastAsia="宋体" w:cs="宋体"/>
                <w:sz w:val="18"/>
                <w:szCs w:val="18"/>
              </w:rPr>
            </w:pPr>
            <w:r>
              <w:rPr>
                <w:rFonts w:hint="eastAsia" w:ascii="宋体" w:hAnsi="宋体" w:eastAsia="宋体" w:cs="宋体"/>
                <w:sz w:val="18"/>
                <w:szCs w:val="18"/>
              </w:rPr>
              <w:t>萌芽至开花前</w:t>
            </w:r>
          </w:p>
        </w:tc>
        <w:tc>
          <w:tcPr>
            <w:tcW w:w="1843" w:type="dxa"/>
            <w:shd w:val="clear" w:color="auto" w:fill="auto"/>
            <w:vAlign w:val="center"/>
          </w:tcPr>
          <w:p>
            <w:pPr>
              <w:pStyle w:val="178"/>
              <w:jc w:val="both"/>
              <w:rPr>
                <w:rFonts w:hint="eastAsia" w:ascii="宋体" w:hAnsi="宋体" w:eastAsia="宋体" w:cs="宋体"/>
                <w:sz w:val="18"/>
                <w:szCs w:val="18"/>
              </w:rPr>
            </w:pPr>
            <w:r>
              <w:rPr>
                <w:rFonts w:hint="eastAsia" w:ascii="宋体" w:hAnsi="宋体" w:eastAsia="宋体" w:cs="宋体"/>
                <w:sz w:val="18"/>
                <w:szCs w:val="18"/>
              </w:rPr>
              <w:t>黑星病、腐烂病、枝干轮纹病、黑斑病、梨木虱、叶螨和蚜虫类。</w:t>
            </w:r>
          </w:p>
        </w:tc>
        <w:tc>
          <w:tcPr>
            <w:tcW w:w="5820" w:type="dxa"/>
            <w:shd w:val="clear" w:color="auto" w:fill="auto"/>
          </w:tcPr>
          <w:p>
            <w:pPr>
              <w:pStyle w:val="178"/>
              <w:jc w:val="both"/>
              <w:rPr>
                <w:rFonts w:hint="eastAsia" w:ascii="宋体" w:hAnsi="宋体" w:eastAsia="宋体" w:cs="宋体"/>
                <w:sz w:val="18"/>
                <w:szCs w:val="18"/>
              </w:rPr>
            </w:pPr>
            <w:r>
              <w:rPr>
                <w:rFonts w:hint="eastAsia" w:ascii="宋体" w:hAnsi="宋体" w:eastAsia="宋体" w:cs="宋体"/>
                <w:sz w:val="18"/>
                <w:szCs w:val="18"/>
              </w:rPr>
              <w:t>刮除病斑和病瘤。 喷布氟硅唑或甲基托布津，混加吡虫啉或螺虫乙酯。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1711" w:type="dxa"/>
            <w:shd w:val="clear" w:color="auto" w:fill="auto"/>
            <w:vAlign w:val="center"/>
          </w:tcPr>
          <w:p>
            <w:pPr>
              <w:pStyle w:val="178"/>
              <w:jc w:val="both"/>
              <w:rPr>
                <w:rFonts w:hint="eastAsia" w:ascii="宋体" w:hAnsi="宋体" w:eastAsia="宋体" w:cs="宋体"/>
                <w:sz w:val="18"/>
                <w:szCs w:val="18"/>
              </w:rPr>
            </w:pPr>
            <w:r>
              <w:rPr>
                <w:rFonts w:hint="eastAsia" w:ascii="宋体" w:hAnsi="宋体" w:eastAsia="宋体" w:cs="宋体"/>
                <w:sz w:val="18"/>
                <w:szCs w:val="18"/>
              </w:rPr>
              <w:t>落花后至幼果套袋前</w:t>
            </w:r>
          </w:p>
        </w:tc>
        <w:tc>
          <w:tcPr>
            <w:tcW w:w="1843" w:type="dxa"/>
            <w:shd w:val="clear" w:color="auto" w:fill="auto"/>
            <w:vAlign w:val="center"/>
          </w:tcPr>
          <w:p>
            <w:pPr>
              <w:pStyle w:val="178"/>
              <w:jc w:val="both"/>
              <w:rPr>
                <w:rFonts w:hint="eastAsia" w:ascii="宋体" w:hAnsi="宋体" w:eastAsia="宋体" w:cs="宋体"/>
                <w:sz w:val="18"/>
                <w:szCs w:val="18"/>
              </w:rPr>
            </w:pPr>
            <w:r>
              <w:rPr>
                <w:rFonts w:hint="eastAsia" w:ascii="宋体" w:hAnsi="宋体" w:eastAsia="宋体" w:cs="宋体"/>
                <w:sz w:val="18"/>
                <w:szCs w:val="18"/>
              </w:rPr>
              <w:t>黑星病、果实轮纹病、锈病、黑斑病、梨木虱、叶螨和蚜虫类。</w:t>
            </w:r>
          </w:p>
        </w:tc>
        <w:tc>
          <w:tcPr>
            <w:tcW w:w="5820" w:type="dxa"/>
            <w:shd w:val="clear" w:color="auto" w:fill="auto"/>
          </w:tcPr>
          <w:p>
            <w:pPr>
              <w:pStyle w:val="178"/>
              <w:jc w:val="both"/>
              <w:rPr>
                <w:rFonts w:hint="eastAsia" w:ascii="宋体" w:hAnsi="宋体" w:eastAsia="宋体" w:cs="宋体"/>
                <w:sz w:val="18"/>
                <w:szCs w:val="18"/>
              </w:rPr>
            </w:pPr>
            <w:r>
              <w:rPr>
                <w:rFonts w:hint="eastAsia" w:ascii="宋体" w:hAnsi="宋体" w:eastAsia="宋体" w:cs="宋体"/>
                <w:sz w:val="18"/>
                <w:szCs w:val="18"/>
              </w:rPr>
              <w:t>喷施戊唑醇，或苯醚甲环唑、或吡唑醚菌酯，或氟硅唑，或代森锰锌，防治锈病、黑星病和果实轮纹病。梨木虱第一代若虫发生期，尚未分泌粘液前，喷施甲维盐、吡虫啉或甲氰菊酯，混加多菌灵防治梨黑斑病。蚜虫和叶螨的防治可喷施吡虫啉或四螨嗪。</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711" w:type="dxa"/>
            <w:shd w:val="clear" w:color="auto" w:fill="auto"/>
            <w:vAlign w:val="center"/>
          </w:tcPr>
          <w:p>
            <w:pPr>
              <w:pStyle w:val="178"/>
              <w:jc w:val="both"/>
              <w:rPr>
                <w:rFonts w:hint="eastAsia" w:ascii="宋体" w:hAnsi="宋体" w:eastAsia="宋体" w:cs="宋体"/>
                <w:sz w:val="18"/>
                <w:szCs w:val="18"/>
              </w:rPr>
            </w:pPr>
            <w:r>
              <w:rPr>
                <w:rFonts w:hint="eastAsia" w:ascii="宋体" w:hAnsi="宋体" w:eastAsia="宋体" w:cs="宋体"/>
                <w:sz w:val="18"/>
                <w:szCs w:val="18"/>
              </w:rPr>
              <w:t>果实膨大期</w:t>
            </w:r>
          </w:p>
        </w:tc>
        <w:tc>
          <w:tcPr>
            <w:tcW w:w="1843" w:type="dxa"/>
            <w:shd w:val="clear" w:color="auto" w:fill="auto"/>
            <w:vAlign w:val="center"/>
          </w:tcPr>
          <w:p>
            <w:pPr>
              <w:pStyle w:val="178"/>
              <w:jc w:val="both"/>
              <w:rPr>
                <w:rFonts w:hint="eastAsia" w:ascii="宋体" w:hAnsi="宋体" w:eastAsia="宋体" w:cs="宋体"/>
                <w:sz w:val="18"/>
                <w:szCs w:val="18"/>
              </w:rPr>
            </w:pPr>
            <w:r>
              <w:rPr>
                <w:rFonts w:hint="eastAsia" w:ascii="宋体" w:hAnsi="宋体" w:eastAsia="宋体" w:cs="宋体"/>
                <w:sz w:val="18"/>
                <w:szCs w:val="18"/>
              </w:rPr>
              <w:t>黑星病、轮纹病、黑斑病、梨木虱和食心虫。</w:t>
            </w:r>
          </w:p>
        </w:tc>
        <w:tc>
          <w:tcPr>
            <w:tcW w:w="5820" w:type="dxa"/>
            <w:shd w:val="clear" w:color="auto" w:fill="auto"/>
          </w:tcPr>
          <w:p>
            <w:pPr>
              <w:pStyle w:val="178"/>
              <w:jc w:val="both"/>
              <w:rPr>
                <w:rFonts w:hint="eastAsia" w:ascii="宋体" w:hAnsi="宋体" w:eastAsia="宋体" w:cs="宋体"/>
                <w:sz w:val="18"/>
                <w:szCs w:val="18"/>
              </w:rPr>
            </w:pPr>
            <w:r>
              <w:rPr>
                <w:rFonts w:hint="eastAsia" w:ascii="宋体" w:hAnsi="宋体" w:eastAsia="宋体" w:cs="宋体"/>
                <w:sz w:val="18"/>
                <w:szCs w:val="18"/>
              </w:rPr>
              <w:t>防治黑星病和轮纹病使用的药剂同。混合使用拟除虫菊酯类农药和有机磷农药防治食心虫和梨木虱。 进入雨季，交替使用倍量式波尔多液（1：2：200）或内吸性杀菌剂如苯醚甲环唑、甲基托布津、多菌灵、丙环唑等，防治果实和叶片病害，15 天左右喷一次。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711" w:type="dxa"/>
            <w:shd w:val="clear" w:color="auto" w:fill="auto"/>
            <w:vAlign w:val="center"/>
          </w:tcPr>
          <w:p>
            <w:pPr>
              <w:pStyle w:val="178"/>
              <w:jc w:val="both"/>
              <w:rPr>
                <w:rFonts w:hint="eastAsia" w:ascii="宋体" w:hAnsi="宋体" w:eastAsia="宋体" w:cs="宋体"/>
                <w:sz w:val="18"/>
                <w:szCs w:val="18"/>
              </w:rPr>
            </w:pPr>
            <w:r>
              <w:rPr>
                <w:rFonts w:hint="eastAsia" w:ascii="宋体" w:hAnsi="宋体" w:eastAsia="宋体" w:cs="宋体"/>
                <w:sz w:val="18"/>
                <w:szCs w:val="18"/>
              </w:rPr>
              <w:t>果实采收前后</w:t>
            </w:r>
          </w:p>
        </w:tc>
        <w:tc>
          <w:tcPr>
            <w:tcW w:w="1843" w:type="dxa"/>
            <w:shd w:val="clear" w:color="auto" w:fill="auto"/>
            <w:vAlign w:val="center"/>
          </w:tcPr>
          <w:p>
            <w:pPr>
              <w:pStyle w:val="178"/>
              <w:jc w:val="both"/>
              <w:rPr>
                <w:rFonts w:hint="eastAsia" w:ascii="宋体" w:hAnsi="宋体" w:eastAsia="宋体" w:cs="宋体"/>
                <w:sz w:val="18"/>
                <w:szCs w:val="18"/>
              </w:rPr>
            </w:pPr>
            <w:r>
              <w:rPr>
                <w:rFonts w:hint="eastAsia" w:ascii="宋体" w:hAnsi="宋体" w:eastAsia="宋体" w:cs="宋体"/>
                <w:sz w:val="18"/>
                <w:szCs w:val="18"/>
              </w:rPr>
              <w:t>轮纹病、炭疽病、黑星病和食心虫。</w:t>
            </w:r>
          </w:p>
        </w:tc>
        <w:tc>
          <w:tcPr>
            <w:tcW w:w="5820" w:type="dxa"/>
            <w:shd w:val="clear" w:color="auto" w:fill="auto"/>
          </w:tcPr>
          <w:p>
            <w:pPr>
              <w:pStyle w:val="178"/>
              <w:jc w:val="both"/>
              <w:rPr>
                <w:rFonts w:hint="eastAsia" w:ascii="宋体" w:hAnsi="宋体" w:eastAsia="宋体" w:cs="宋体"/>
                <w:sz w:val="18"/>
                <w:szCs w:val="18"/>
              </w:rPr>
            </w:pPr>
            <w:r>
              <w:rPr>
                <w:rFonts w:hint="eastAsia" w:ascii="宋体" w:hAnsi="宋体" w:eastAsia="宋体" w:cs="宋体"/>
                <w:sz w:val="18"/>
                <w:szCs w:val="18"/>
              </w:rPr>
              <w:t>喷施氟硅唑或多菌灵，混加拟虫菊类农药。 采收前20 天喷布一次代森锰锌，家苦参碱防治果实病虫害。 落叶后，清扫落叶、病虫果，集中烧毁或深埋。</w:t>
            </w:r>
          </w:p>
        </w:tc>
      </w:tr>
      <w:bookmarkEnd w:id="44"/>
    </w:tbl>
    <w:p>
      <w:pPr>
        <w:pStyle w:val="56"/>
        <w:spacing w:before="156" w:beforeLines="50" w:after="156" w:afterLines="50"/>
        <w:ind w:firstLine="0" w:firstLineChars="0"/>
        <w:jc w:val="center"/>
        <w:rPr>
          <w:rFonts w:hint="eastAsia"/>
        </w:rPr>
      </w:pPr>
      <w:bookmarkStart w:id="45" w:name="BookMark8"/>
      <w:r>
        <w:rPr>
          <w:rFonts w:hint="eastAsia"/>
        </w:rPr>
        <w:drawing>
          <wp:inline distT="0" distB="0" distL="0" distR="0">
            <wp:extent cx="1485900" cy="317500"/>
            <wp:effectExtent l="0" t="0" r="0" b="6350"/>
            <wp:docPr id="629836553" name="图片 2"/>
            <wp:cNvGraphicFramePr/>
            <a:graphic xmlns:a="http://schemas.openxmlformats.org/drawingml/2006/main">
              <a:graphicData uri="http://schemas.openxmlformats.org/drawingml/2006/picture">
                <pic:pic xmlns:pic="http://schemas.openxmlformats.org/drawingml/2006/picture">
                  <pic:nvPicPr>
                    <pic:cNvPr id="629836553" name="图片 2"/>
                    <pic:cNvPicPr/>
                  </pic:nvPicPr>
                  <pic:blipFill>
                    <a:blip r:embed="rId17">
                      <a:extLst>
                        <a:ext uri="{28A0092B-C50C-407E-A947-70E740481C1C}">
                          <a14:useLocalDpi xmlns:a14="http://schemas.microsoft.com/office/drawing/2010/main" val="false"/>
                        </a:ext>
                      </a:extLst>
                    </a:blip>
                    <a:stretch>
                      <a:fillRect/>
                    </a:stretch>
                  </pic:blipFill>
                  <pic:spPr>
                    <a:xfrm>
                      <a:off x="0" y="0"/>
                      <a:ext cx="1485900" cy="317500"/>
                    </a:xfrm>
                    <a:prstGeom prst="rect">
                      <a:avLst/>
                    </a:prstGeom>
                  </pic:spPr>
                </pic:pic>
              </a:graphicData>
            </a:graphic>
          </wp:inline>
        </w:drawing>
      </w:r>
      <w:bookmarkEnd w:id="45"/>
    </w:p>
    <w:sectPr>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Light">
    <w:altName w:val="汉仪中宋简"/>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DejaVu Math TeX Gyre">
    <w:panose1 w:val="02000503000000000000"/>
    <w:charset w:val="00"/>
    <w:family w:val="auto"/>
    <w:pitch w:val="default"/>
    <w:sig w:usb0="A10000EF" w:usb1="4201F9EE" w:usb2="02000000" w:usb3="00000000" w:csb0="60000193" w:csb1="0DD4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13/T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13/T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attachedTemplate r:id="rId1"/>
  <w:documentProtection w:edit="forms" w:enforcement="1" w:cryptProviderType="rsaAES" w:cryptAlgorithmClass="hash" w:cryptAlgorithmType="typeAny" w:cryptAlgorithmSid="14" w:cryptSpinCount="100000" w:hash="GJygvwKTJPm+aAHTi5fVjibIjuOzlmFv12GRQfEvVADEMoN/JMBr1cJrW4a7wcFYfZG4qwGwFx2XZYmCG0ivcg==" w:salt="O3E/O+ipfxXAtHQDqwrJug=="/>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0ODU1ZTJkYTI0ZDYzYzE1NWQ2OTkwZGVlNGZlZWYifQ=="/>
  </w:docVars>
  <w:rsids>
    <w:rsidRoot w:val="001828F0"/>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0CB7"/>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1C8F"/>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28F0"/>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5DFB"/>
    <w:rsid w:val="003B60BF"/>
    <w:rsid w:val="003B6BE3"/>
    <w:rsid w:val="003C010C"/>
    <w:rsid w:val="003C0A6C"/>
    <w:rsid w:val="003C14F8"/>
    <w:rsid w:val="003C1F02"/>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37958"/>
    <w:rsid w:val="0044083F"/>
    <w:rsid w:val="00441AE7"/>
    <w:rsid w:val="00445574"/>
    <w:rsid w:val="004467FB"/>
    <w:rsid w:val="0045210A"/>
    <w:rsid w:val="00452779"/>
    <w:rsid w:val="00452D6B"/>
    <w:rsid w:val="00454484"/>
    <w:rsid w:val="0045517B"/>
    <w:rsid w:val="00463B77"/>
    <w:rsid w:val="00463C7B"/>
    <w:rsid w:val="004644A6"/>
    <w:rsid w:val="004659BD"/>
    <w:rsid w:val="00470775"/>
    <w:rsid w:val="004746B1"/>
    <w:rsid w:val="0047583F"/>
    <w:rsid w:val="00475DE8"/>
    <w:rsid w:val="00481C44"/>
    <w:rsid w:val="00484936"/>
    <w:rsid w:val="00484C7C"/>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1C6D"/>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5ACC"/>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265D"/>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1CD4"/>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364A"/>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594D"/>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3F26"/>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D1B"/>
    <w:rsid w:val="00CA2F84"/>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5DAE"/>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0B01"/>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159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2689"/>
    <w:rsid w:val="00FF36F3"/>
    <w:rsid w:val="00FF3E7D"/>
    <w:rsid w:val="00FF5B99"/>
    <w:rsid w:val="00FF730C"/>
    <w:rsid w:val="00FF73F4"/>
    <w:rsid w:val="00FF7CE4"/>
    <w:rsid w:val="00FF7E39"/>
    <w:rsid w:val="1F4A1216"/>
    <w:rsid w:val="51955979"/>
    <w:rsid w:val="F9D75E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字符"/>
    <w:link w:val="2"/>
    <w:qFormat/>
    <w:uiPriority w:val="0"/>
    <w:rPr>
      <w:b/>
      <w:bCs/>
      <w:kern w:val="44"/>
      <w:sz w:val="44"/>
      <w:szCs w:val="44"/>
    </w:rPr>
  </w:style>
  <w:style w:type="character" w:customStyle="1" w:styleId="35">
    <w:name w:val="标题 2 字符"/>
    <w:link w:val="3"/>
    <w:qFormat/>
    <w:uiPriority w:val="0"/>
    <w:rPr>
      <w:rFonts w:ascii="Arial" w:hAnsi="Arial" w:eastAsia="黑体"/>
      <w:b/>
      <w:bCs/>
      <w:kern w:val="2"/>
      <w:sz w:val="32"/>
      <w:szCs w:val="32"/>
    </w:rPr>
  </w:style>
  <w:style w:type="character" w:customStyle="1" w:styleId="36">
    <w:name w:val="标题 3 字符"/>
    <w:link w:val="4"/>
    <w:qFormat/>
    <w:uiPriority w:val="0"/>
    <w:rPr>
      <w:b/>
      <w:bCs/>
      <w:kern w:val="2"/>
      <w:sz w:val="32"/>
      <w:szCs w:val="32"/>
    </w:rPr>
  </w:style>
  <w:style w:type="character" w:customStyle="1" w:styleId="37">
    <w:name w:val="标题 4 字符"/>
    <w:link w:val="5"/>
    <w:qFormat/>
    <w:uiPriority w:val="0"/>
    <w:rPr>
      <w:rFonts w:ascii="Arial" w:hAnsi="Arial" w:eastAsia="黑体"/>
      <w:b/>
      <w:bCs/>
      <w:kern w:val="2"/>
      <w:sz w:val="28"/>
      <w:szCs w:val="28"/>
    </w:rPr>
  </w:style>
  <w:style w:type="character" w:customStyle="1" w:styleId="38">
    <w:name w:val="标题 5 字符"/>
    <w:link w:val="6"/>
    <w:qFormat/>
    <w:uiPriority w:val="0"/>
    <w:rPr>
      <w:b/>
      <w:bCs/>
      <w:kern w:val="2"/>
      <w:sz w:val="28"/>
      <w:szCs w:val="28"/>
    </w:rPr>
  </w:style>
  <w:style w:type="character" w:customStyle="1" w:styleId="39">
    <w:name w:val="标题 6 字符"/>
    <w:link w:val="7"/>
    <w:qFormat/>
    <w:uiPriority w:val="0"/>
    <w:rPr>
      <w:rFonts w:ascii="Arial" w:hAnsi="Arial" w:eastAsia="黑体"/>
      <w:b/>
      <w:bCs/>
      <w:kern w:val="2"/>
      <w:sz w:val="24"/>
      <w:szCs w:val="24"/>
    </w:rPr>
  </w:style>
  <w:style w:type="character" w:customStyle="1" w:styleId="40">
    <w:name w:val="标题 7 字符"/>
    <w:link w:val="8"/>
    <w:qFormat/>
    <w:uiPriority w:val="0"/>
    <w:rPr>
      <w:b/>
      <w:bCs/>
      <w:kern w:val="2"/>
      <w:sz w:val="24"/>
      <w:szCs w:val="24"/>
    </w:rPr>
  </w:style>
  <w:style w:type="character" w:customStyle="1" w:styleId="41">
    <w:name w:val="标题 8 字符"/>
    <w:link w:val="9"/>
    <w:qFormat/>
    <w:uiPriority w:val="0"/>
    <w:rPr>
      <w:rFonts w:ascii="Arial" w:hAnsi="Arial" w:eastAsia="黑体"/>
      <w:kern w:val="2"/>
      <w:sz w:val="24"/>
      <w:szCs w:val="24"/>
    </w:rPr>
  </w:style>
  <w:style w:type="character" w:customStyle="1" w:styleId="42">
    <w:name w:val="标题 9 字符"/>
    <w:link w:val="10"/>
    <w:qFormat/>
    <w:uiPriority w:val="0"/>
    <w:rPr>
      <w:rFonts w:ascii="Arial" w:hAnsi="Arial" w:eastAsia="黑体"/>
      <w:kern w:val="2"/>
      <w:sz w:val="21"/>
      <w:szCs w:val="21"/>
    </w:rPr>
  </w:style>
  <w:style w:type="character" w:customStyle="1" w:styleId="43">
    <w:name w:val="页眉 字符"/>
    <w:link w:val="18"/>
    <w:qFormat/>
    <w:uiPriority w:val="99"/>
    <w:rPr>
      <w:kern w:val="2"/>
      <w:sz w:val="18"/>
      <w:szCs w:val="18"/>
    </w:rPr>
  </w:style>
  <w:style w:type="character" w:customStyle="1" w:styleId="44">
    <w:name w:val="页脚 字符"/>
    <w:link w:val="17"/>
    <w:qFormat/>
    <w:uiPriority w:val="99"/>
    <w:rPr>
      <w:rFonts w:ascii="宋体"/>
      <w:kern w:val="2"/>
      <w:sz w:val="18"/>
      <w:szCs w:val="18"/>
    </w:rPr>
  </w:style>
  <w:style w:type="character" w:customStyle="1" w:styleId="45">
    <w:name w:val="批注框文本 字符"/>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qFormat/>
    <w:uiPriority w:val="29"/>
    <w:rPr>
      <w:i/>
      <w:iCs/>
      <w:color w:val="000000"/>
      <w:kern w:val="2"/>
      <w:sz w:val="21"/>
      <w:szCs w:val="21"/>
    </w:rPr>
  </w:style>
  <w:style w:type="character" w:customStyle="1" w:styleId="48">
    <w:name w:val="标题 字符"/>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Subtle Reference"/>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framePr/>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vAnchor="page" w:hAnchor="page" w:x="1419" w:y="14097"/>
    </w:pPr>
  </w:style>
  <w:style w:type="paragraph" w:customStyle="1" w:styleId="194">
    <w:name w:val="其他实施日期"/>
    <w:basedOn w:val="154"/>
    <w:qFormat/>
    <w:uiPriority w:val="0"/>
    <w:pPr>
      <w:framePr w:w="3997" w:h="471" w:hRule="exact" w:vSpace="181"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glossaryDocument" Target="glossary/document.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2.jpeg"/><Relationship Id="rId16" Type="http://schemas.openxmlformats.org/officeDocument/2006/relationships/image" Target="media/image1.jpeg"/><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os/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CDFBEEDC2AAF4C1A8D46D0647C14957F"/>
        <w:style w:val=""/>
        <w:category>
          <w:name w:val="常规"/>
          <w:gallery w:val="placeholder"/>
        </w:category>
        <w:types>
          <w:type w:val="bbPlcHdr"/>
        </w:types>
        <w:behaviors>
          <w:behavior w:val="content"/>
        </w:behaviors>
        <w:description w:val=""/>
        <w:guid w:val="{D46CDBCF-BB7F-4F80-A09B-11473730AC78}"/>
      </w:docPartPr>
      <w:docPartBody>
        <w:p>
          <w:pPr>
            <w:pStyle w:val="5"/>
          </w:pPr>
          <w:r>
            <w:rPr>
              <w:rStyle w:val="4"/>
              <w:rFonts w:hint="eastAsia"/>
            </w:rPr>
            <w:t>单击或点击此处输入文字。</w:t>
          </w:r>
        </w:p>
      </w:docPartBody>
    </w:docPart>
    <w:docPart>
      <w:docPartPr>
        <w:name w:val="C40B8EDFCE8E418DAED64C95340C00C4"/>
        <w:style w:val=""/>
        <w:category>
          <w:name w:val="常规"/>
          <w:gallery w:val="placeholder"/>
        </w:category>
        <w:types>
          <w:type w:val="bbPlcHdr"/>
        </w:types>
        <w:behaviors>
          <w:behavior w:val="content"/>
        </w:behaviors>
        <w:description w:val=""/>
        <w:guid w:val="{0EB5F776-F086-4D2F-9C03-C7E648142B30}"/>
      </w:docPartPr>
      <w:docPartBody>
        <w:p>
          <w:pPr>
            <w:pStyle w:val="6"/>
          </w:pPr>
          <w:r>
            <w:rPr>
              <w:rStyle w:val="4"/>
              <w:rFonts w:hint="eastAsia"/>
            </w:rPr>
            <w:t>选择一项。</w:t>
          </w:r>
        </w:p>
      </w:docPartBody>
    </w:docPart>
    <w:docPart>
      <w:docPartPr>
        <w:name w:val="7EC5DF40FEDB49E495FBDCAC7A27DABA"/>
        <w:style w:val=""/>
        <w:category>
          <w:name w:val="常规"/>
          <w:gallery w:val="placeholder"/>
        </w:category>
        <w:types>
          <w:type w:val="bbPlcHdr"/>
        </w:types>
        <w:behaviors>
          <w:behavior w:val="content"/>
        </w:behaviors>
        <w:description w:val=""/>
        <w:guid w:val="{9B9902E3-8DC7-4A55-B97C-845832CB28F5}"/>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仿宋_GB2312"/>
    <w:panose1 w:val="00000000000000000000"/>
    <w:charset w:val="86"/>
    <w:family w:val="auto"/>
    <w:pitch w:val="default"/>
    <w:sig w:usb0="00000000" w:usb1="00000000" w:usb2="00000000" w:usb3="00000000" w:csb0="00000000" w:csb1="00000000"/>
  </w:font>
  <w:font w:name="等线">
    <w:altName w:val="仿宋_GB2312"/>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true"/>
  <w:bordersDoNotSurroundFooter w:val="true"/>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043C"/>
    <w:rsid w:val="0012043C"/>
    <w:rsid w:val="00525E3B"/>
    <w:rsid w:val="009821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CDFBEEDC2AAF4C1A8D46D0647C14957F"/>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C40B8EDFCE8E418DAED64C95340C00C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7EC5DF40FEDB49E495FBDCAC7A27DABA"/>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12</Pages>
  <Words>6428</Words>
  <Characters>7015</Characters>
  <Lines>55</Lines>
  <Paragraphs>15</Paragraphs>
  <TotalTime>28</TotalTime>
  <ScaleCrop>false</ScaleCrop>
  <LinksUpToDate>false</LinksUpToDate>
  <CharactersWithSpaces>7156</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2023-11-06T10:55:00Z</dcterms:created>
  <dc:creator>Administrator</dc:creator>
  <dc:description>&lt;config cover="true" show_menu="true" version="1.0.0" doctype="SDKXY"&gt;_x000d_
&lt;/config&gt;</dc:description>
  <cp:lastModifiedBy>uos</cp:lastModifiedBy>
  <cp:lastPrinted>2020-08-30T18:00:00Z</cp:lastPrinted>
  <dcterms:modified xsi:type="dcterms:W3CDTF">2024-04-22T13:56:30Z</dcterms:modified>
  <dc:title>地方标准</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2052-11.8.2.10229</vt:lpwstr>
  </property>
  <property fmtid="{D5CDD505-2E9C-101B-9397-08002B2CF9AE}" pid="15" name="ICV">
    <vt:lpwstr>A4D22F9A9BE0428DAA4EF0C952C32BF8_12</vt:lpwstr>
  </property>
</Properties>
</file>