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rPr>
          <w:shd w:val="clear" w:color="auto" w:fill="auto"/>
        </w:rPr>
      </w:pPr>
      <w:r>
        <w:rPr>
          <w:rFonts w:ascii="Times New Roman"/>
          <w:shd w:val="clear" w:color="auto" w:fill="auto"/>
        </w:rPr>
        <w:t>ICS</w:t>
      </w:r>
      <w:r>
        <w:rPr>
          <w:rFonts w:hint="eastAsia" w:ascii="Times New Roman"/>
          <w:shd w:val="clear" w:color="auto" w:fill="auto"/>
          <w:lang w:val="en-US" w:eastAsia="zh-CN"/>
        </w:rPr>
        <w:t xml:space="preserve"> 01.140.30</w:t>
      </w:r>
    </w:p>
    <w:p>
      <w:pPr>
        <w:pStyle w:val="5"/>
        <w:rPr>
          <w:rFonts w:hint="eastAsia" w:ascii="黑体" w:hAnsi="黑体" w:eastAsia="黑体" w:cs="黑体"/>
          <w:shd w:val="clear" w:color="auto" w:fill="auto"/>
        </w:rPr>
      </w:pPr>
      <w:r>
        <w:rPr>
          <w:rFonts w:hint="eastAsia" w:ascii="黑体" w:hAnsi="黑体" w:eastAsia="黑体" w:cs="黑体"/>
          <w:shd w:val="clear" w:color="auto" w:fill="auto"/>
          <w:lang w:val="en-US" w:eastAsia="zh-CN"/>
        </w:rPr>
        <w:t>F</w:t>
      </w:r>
      <w:r>
        <w:rPr>
          <w:rFonts w:hint="eastAsia" w:ascii="黑体" w:hAnsi="黑体" w:eastAsia="黑体" w:cs="黑体"/>
          <w:shd w:val="clear" w:color="auto" w:fill="auto"/>
        </w:rPr>
        <w:t>01</w:t>
      </w:r>
    </w:p>
    <w:tbl>
      <w:tblPr>
        <w:tblStyle w:val="3"/>
        <w:tblW w:w="985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54" w:type="dxa"/>
            <w:tcBorders>
              <w:top w:val="nil"/>
              <w:left w:val="nil"/>
              <w:bottom w:val="nil"/>
              <w:right w:val="nil"/>
            </w:tcBorders>
          </w:tcPr>
          <w:p>
            <w:pPr>
              <w:pStyle w:val="5"/>
              <w:rPr>
                <w:shd w:val="clear" w:color="auto" w:fill="auto"/>
              </w:rPr>
            </w:pPr>
            <w:r>
              <w:rPr>
                <w:shd w:val="clear" w:color="auto" w:fill="auto"/>
              </w:rPr>
              <mc:AlternateContent>
                <mc:Choice Requires="wps">
                  <w:drawing>
                    <wp:anchor distT="0" distB="0" distL="114300" distR="114300" simplePos="0" relativeHeight="251664384" behindDoc="1" locked="0" layoutInCell="1" allowOverlap="1">
                      <wp:simplePos x="0" y="0"/>
                      <wp:positionH relativeFrom="column">
                        <wp:posOffset>-66675</wp:posOffset>
                      </wp:positionH>
                      <wp:positionV relativeFrom="paragraph">
                        <wp:posOffset>0</wp:posOffset>
                      </wp:positionV>
                      <wp:extent cx="866775" cy="198120"/>
                      <wp:effectExtent l="0" t="0" r="9525" b="11430"/>
                      <wp:wrapNone/>
                      <wp:docPr id="1" name="矩形 1"/>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w="9525">
                                <a:noFill/>
                              </a:ln>
                            </wps:spPr>
                            <wps:txbx>
                              <w:txbxContent>
                                <w:p/>
                              </w:txbxContent>
                            </wps:txbx>
                            <wps:bodyPr upright="1"/>
                          </wps:wsp>
                        </a:graphicData>
                      </a:graphic>
                    </wp:anchor>
                  </w:drawing>
                </mc:Choice>
                <mc:Fallback>
                  <w:pict>
                    <v:rect id="_x0000_s1026" o:spid="_x0000_s1026" o:spt="1" style="position:absolute;left:0pt;margin-left:-5.25pt;margin-top:0pt;height:15.6pt;width:68.25pt;z-index:-251652096;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qa9UI6MBAAAkAwAADgAAAGRycy9lMm9Eb2MueG1srVJLbtsw&#10;EN0XyB0I7mNZBuw4guUsGribog2Q9gA0RUoE+MMMY8mnKdBdD9HjFL1Gh7TrNOmuqBbUDPn4Zt4b&#10;bu4mZ9lBAZrgW17P5pwpL0NnfN/yz59212vOMAnfCRu8avlRIb/bXr3ZjLFRizAE2ylgROKxGWPL&#10;h5RiU1UoB+UEzkJUng51ACcSpdBXHYiR2J2tFvP5qhoDdBGCVIi0e3865NvCr7WS6aPWqBKzLafe&#10;UlmhrPu8VtuNaHoQcTDy3Ib4hy6cMJ6KXqjuRRLsCcxfVM5ICBh0msngqqC1kapoIDX1/JWax0FE&#10;VbSQORgvNuH/o5UfDg/ATEez48wLRyP6+eXbj+9fWZ29GSM2BHmMD3DOkMIsdNLg8p8ksKn4ebz4&#10;qabEJG2uV6ubmyVnko7q23W9KH5Xz5cjYHqngmM5aDnQuIqL4vAeExUk6G9IroXBmm5nrC0J9Pu3&#10;FthB0Gh35csd05UXMOvZ2PLb5WJZmH3I90846wmeFZ405ShN++ksdB+6I1nzFMH0AzVX/ChwGkWp&#10;c342edZ/5oX0+XFvf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DIri/s1QAAAAcBAAAPAAAAAAAA&#10;AAEAIAAAACIAAABkcnMvZG93bnJldi54bWxQSwECFAAUAAAACACHTuJAqa9UI6MBAAAkAwAADgAA&#10;AAAAAAABACAAAAAkAQAAZHJzL2Uyb0RvYy54bWxQSwUGAAAAAAYABgBZAQAAOQUAAAAA&#10;">
                      <v:fill on="t" focussize="0,0"/>
                      <v:stroke on="f"/>
                      <v:imagedata o:title=""/>
                      <o:lock v:ext="edit" aspectratio="f"/>
                      <v:textbox>
                        <w:txbxContent>
                          <w:p/>
                        </w:txbxContent>
                      </v:textbox>
                    </v:rect>
                  </w:pict>
                </mc:Fallback>
              </mc:AlternateContent>
            </w:r>
          </w:p>
        </w:tc>
      </w:tr>
    </w:tbl>
    <w:p>
      <w:pPr>
        <w:pStyle w:val="6"/>
        <w:rPr>
          <w:shd w:val="clear" w:color="auto" w:fill="auto"/>
        </w:rPr>
      </w:pPr>
      <w:r>
        <w:rPr>
          <w:shd w:val="clear" w:color="auto" w:fill="auto"/>
        </w:rPr>
        <w:t>DB</w:t>
      </w:r>
      <w:bookmarkStart w:id="0" w:name="c3"/>
      <w:r>
        <w:rPr>
          <w:rFonts w:hint="eastAsia"/>
          <w:shd w:val="clear" w:color="auto" w:fill="auto"/>
          <w:lang w:val="en-US" w:eastAsia="zh-CN"/>
        </w:rPr>
        <w:t>13</w:t>
      </w:r>
      <w:bookmarkEnd w:id="0"/>
    </w:p>
    <w:p>
      <w:pPr>
        <w:pStyle w:val="8"/>
        <w:rPr>
          <w:shd w:val="clear" w:color="auto" w:fill="auto"/>
        </w:rPr>
      </w:pPr>
      <w:r>
        <w:rPr>
          <w:rFonts w:hint="eastAsia"/>
          <w:shd w:val="clear" w:color="auto" w:fill="auto"/>
          <w:lang w:eastAsia="zh-CN"/>
        </w:rPr>
        <w:t>河北省</w:t>
      </w:r>
      <w:r>
        <w:rPr>
          <w:rFonts w:hint="eastAsia"/>
          <w:shd w:val="clear" w:color="auto" w:fill="auto"/>
        </w:rPr>
        <w:t>地方标准</w:t>
      </w:r>
    </w:p>
    <w:p>
      <w:pPr>
        <w:pStyle w:val="9"/>
        <w:rPr>
          <w:shd w:val="clear" w:color="auto" w:fill="auto"/>
        </w:rPr>
      </w:pPr>
      <w:r>
        <w:rPr>
          <w:rFonts w:ascii="Times New Roman"/>
          <w:shd w:val="clear" w:color="auto" w:fill="auto"/>
        </w:rPr>
        <w:t>DB</w:t>
      </w:r>
      <w:r>
        <w:rPr>
          <w:rFonts w:hint="eastAsia"/>
          <w:shd w:val="clear" w:color="auto" w:fill="auto"/>
        </w:rPr>
        <w:t>13</w:t>
      </w:r>
      <w:r>
        <w:rPr>
          <w:shd w:val="clear" w:color="auto" w:fill="auto"/>
        </w:rPr>
        <w:t>/</w:t>
      </w:r>
      <w:r>
        <w:rPr>
          <w:rFonts w:hint="eastAsia"/>
          <w:shd w:val="clear" w:color="auto" w:fill="auto"/>
          <w:lang w:val="en-US" w:eastAsia="zh-CN"/>
        </w:rPr>
        <w:t>T 2135</w:t>
      </w:r>
      <w:r>
        <w:rPr>
          <w:shd w:val="clear" w:color="auto" w:fill="auto"/>
        </w:rPr>
        <w:t>—</w:t>
      </w:r>
      <w:r>
        <w:rPr>
          <w:rFonts w:hint="eastAsia"/>
          <w:shd w:val="clear" w:color="auto" w:fill="auto"/>
          <w:lang w:val="en-US" w:eastAsia="zh-CN"/>
        </w:rPr>
        <w:t>20</w:t>
      </w:r>
      <w:r>
        <w:rPr>
          <w:rFonts w:hint="eastAsia" w:ascii="黑体"/>
          <w:shd w:val="clear" w:color="FFFFFF" w:fill="D9D9D9"/>
        </w:rPr>
        <w:t>XX</w:t>
      </w:r>
    </w:p>
    <w:tbl>
      <w:tblPr>
        <w:tblStyle w:val="3"/>
        <w:tblW w:w="93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356" w:type="dxa"/>
            <w:tcBorders>
              <w:top w:val="nil"/>
              <w:left w:val="nil"/>
              <w:bottom w:val="nil"/>
              <w:right w:val="nil"/>
            </w:tcBorders>
          </w:tcPr>
          <w:p>
            <w:pPr>
              <w:pStyle w:val="10"/>
              <w:wordWrap w:val="0"/>
              <w:rPr>
                <w:rFonts w:hint="eastAsia" w:eastAsia="宋体"/>
                <w:shd w:val="clear" w:color="auto" w:fill="auto"/>
                <w:lang w:eastAsia="zh-CN"/>
              </w:rPr>
            </w:pPr>
            <w:r>
              <w:rPr>
                <w:rFonts w:hint="eastAsia" w:ascii="黑体" w:hAnsi="黑体" w:eastAsia="黑体" w:cs="黑体"/>
                <w:shd w:val="clear" w:color="auto" w:fill="auto"/>
                <w:lang w:eastAsia="zh-CN"/>
              </w:rPr>
              <w:t>代替</w:t>
            </w:r>
            <w:r>
              <w:rPr>
                <w:rFonts w:hint="eastAsia" w:ascii="黑体" w:hAnsi="黑体" w:eastAsia="黑体" w:cs="黑体"/>
                <w:shd w:val="clear" w:color="auto" w:fill="auto"/>
                <w:lang w:val="en-US" w:eastAsia="zh-CN"/>
              </w:rPr>
              <w:t xml:space="preserve"> DB13/T 2135-2019</w:t>
            </w:r>
          </w:p>
        </w:tc>
      </w:tr>
    </w:tbl>
    <w:p>
      <w:pPr>
        <w:pStyle w:val="9"/>
        <w:rPr>
          <w:shd w:val="clear" w:color="auto" w:fill="auto"/>
        </w:rPr>
      </w:pPr>
    </w:p>
    <w:p>
      <w:pPr>
        <w:pStyle w:val="9"/>
        <w:rPr>
          <w:shd w:val="clear" w:color="auto" w:fill="auto"/>
        </w:rPr>
      </w:pPr>
    </w:p>
    <w:p>
      <w:pPr>
        <w:pStyle w:val="11"/>
        <w:rPr>
          <w:shd w:val="clear" w:color="FFFFFF" w:fill="D9D9D9"/>
        </w:rPr>
      </w:pPr>
      <w:bookmarkStart w:id="1" w:name="StdName"/>
      <w:r>
        <w:rPr>
          <w:rFonts w:hint="eastAsia"/>
          <w:shd w:val="clear" w:color="auto" w:fill="auto"/>
          <w:lang w:eastAsia="zh-CN"/>
        </w:rPr>
        <w:t>水泥单位产品能源消耗限额</w:t>
      </w:r>
      <w:bookmarkEnd w:id="1"/>
    </w:p>
    <w:p>
      <w:pPr>
        <w:pStyle w:val="11"/>
        <w:rPr>
          <w:shd w:val="clear" w:color="auto" w:fill="auto"/>
        </w:rPr>
      </w:pPr>
      <w:r>
        <w:rPr>
          <w:shd w:val="clear" w:color="auto" w:fill="auto"/>
        </w:rPr>
        <w:t>引导性指标</w:t>
      </w:r>
    </w:p>
    <w:tbl>
      <w:tblPr>
        <w:tblStyle w:val="3"/>
        <w:tblW w:w="98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55" w:type="dxa"/>
            <w:tcBorders>
              <w:top w:val="nil"/>
              <w:left w:val="nil"/>
              <w:bottom w:val="nil"/>
              <w:right w:val="nil"/>
            </w:tcBorders>
          </w:tcPr>
          <w:p>
            <w:pPr>
              <w:pStyle w:val="13"/>
              <w:rPr>
                <w:shd w:val="clear" w:color="FFFFFF" w:fill="D9D9D9"/>
              </w:rPr>
            </w:pPr>
            <w:r>
              <w:rPr>
                <w:shd w:val="clear" w:color="auto" w:fill="auto"/>
              </w:rPr>
              <mc:AlternateContent>
                <mc:Choice Requires="wps">
                  <w:drawing>
                    <wp:anchor distT="0" distB="0" distL="114300" distR="114300" simplePos="0" relativeHeight="251663360" behindDoc="1" locked="1" layoutInCell="1" allowOverlap="1">
                      <wp:simplePos x="0" y="0"/>
                      <wp:positionH relativeFrom="column">
                        <wp:posOffset>2200910</wp:posOffset>
                      </wp:positionH>
                      <wp:positionV relativeFrom="paragraph">
                        <wp:posOffset>4281805</wp:posOffset>
                      </wp:positionV>
                      <wp:extent cx="1905000" cy="254000"/>
                      <wp:effectExtent l="0" t="0" r="0" b="12700"/>
                      <wp:wrapNone/>
                      <wp:docPr id="3" name="矩形 3"/>
                      <wp:cNvGraphicFramePr/>
                      <a:graphic xmlns:a="http://schemas.openxmlformats.org/drawingml/2006/main">
                        <a:graphicData uri="http://schemas.microsoft.com/office/word/2010/wordprocessingShape">
                          <wps:wsp>
                            <wps:cNvSpPr/>
                            <wps:spPr>
                              <a:xfrm>
                                <a:off x="0" y="0"/>
                                <a:ext cx="1905000" cy="254000"/>
                              </a:xfrm>
                              <a:prstGeom prst="rect">
                                <a:avLst/>
                              </a:prstGeom>
                              <a:solidFill>
                                <a:srgbClr val="FFFFFF"/>
                              </a:solidFill>
                              <a:ln w="9525">
                                <a:noFill/>
                              </a:ln>
                            </wps:spPr>
                            <wps:txbx>
                              <w:txbxContent>
                                <w:p/>
                              </w:txbxContent>
                            </wps:txbx>
                            <wps:bodyPr upright="1"/>
                          </wps:wsp>
                        </a:graphicData>
                      </a:graphic>
                    </wp:anchor>
                  </w:drawing>
                </mc:Choice>
                <mc:Fallback>
                  <w:pict>
                    <v:rect id="_x0000_s1026" o:spid="_x0000_s1026" o:spt="1" style="position:absolute;left:0pt;margin-left:173.3pt;margin-top:337.15pt;height:20pt;width:150pt;z-index:-251653120;mso-width-relative:page;mso-height-relative:page;" fillcolor="#FFFFFF" filled="t" stroked="f" coordsize="21600,21600" o:gfxdata="UEsDBAoAAAAAAIdO4kAAAAAAAAAAAAAAAAAEAAAAZHJzL1BLAwQUAAAACACHTuJA39f34NcAAAAL&#10;AQAADwAAAGRycy9kb3ducmV2LnhtbE2PwU7DMAyG70i8Q2QkbiwpHRmUujsg7QQc2JC4ek3WVjRO&#10;adKtvD2Byzj696ffn8v17HpxtGPoPCNkCwXCcu1Nxw3C+25zcw8iRGJDvWeL8G0DrKvLi5IK40/8&#10;Zo/b2IhUwqEghDbGoZAy1K11FBZ+sJx2Bz86imkcG2lGOqVy18tbpbR01HG60NJgn1pbf24nh0B6&#10;ab5eD/nL7nnS9NDManP3oRCvrzL1CCLaOZ5h+NVP6lAlp72f2ATRI+RLrROKoFfLHEQi9F+yR1hl&#10;KZFVKf//UP0AUEsDBBQAAAAIAIdO4kDcxKVxoAEAACUDAAAOAAAAZHJzL2Uyb0RvYy54bWytUs1u&#10;EzEQviPxDpbvZDdpg+gqmx6o0guCSqUP4HjtXUv+04yb3TwNEjcegsdBvAZjZ5sWuCF8GM94xp/n&#10;+8ab68lZdlCAJviWLxc1Z8rL0Bnft/zh8+7NO84wCd8JG7xq+VEhv96+frUZY6NWYQi2U8AIxGMz&#10;xpYPKcWmqlAOyglchKg8JXUAJxKF0FcdiJHQna1Wdf22GgN0EYJUiHR6c0rybcHXWsn0SWtUidmW&#10;U2+pWCh2n2213YimBxEHI+c2xD904YTx9OgZ6kYkwR7B/AXljISAQaeFDK4KWhupCgdis6z/YHM/&#10;iKgKFxIH41km/H+w8uPhDpjpWn7BmReORvTzy7cf37+yi6zNGLGhkvt4B3OE5GaikwaXd6LApqLn&#10;8aynmhKTdLi8qtd1TbJLyq3Wl9knmOr5dgRMtyo4lp2WA82ryCgOHzCdSp9K8mMYrOl2xtoSQL9/&#10;b4EdBM12V9aM/luZ9Wxs+dV6tS7IPuT7J2jrqZlM8UQqe2naTzPTfeiOpM1jBNMP1NyyoOcimkVh&#10;Mf+bPOyXcQF9/t3bX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N/X9+DXAAAACwEAAA8AAAAAAAAA&#10;AQAgAAAAIgAAAGRycy9kb3ducmV2LnhtbFBLAQIUABQAAAAIAIdO4kDcxKVxoAEAACUDAAAOAAAA&#10;AAAAAAEAIAAAACYBAABkcnMvZTJvRG9jLnhtbFBLBQYAAAAABgAGAFkBAAA4BQAAAAA=&#10;">
                      <v:fill on="t" focussize="0,0"/>
                      <v:stroke on="f"/>
                      <v:imagedata o:title=""/>
                      <o:lock v:ext="edit" aspectratio="f"/>
                      <v:textbox>
                        <w:txbxContent>
                          <w:p/>
                        </w:txbxContent>
                      </v:textbox>
                      <w10:anchorlock/>
                    </v:rect>
                  </w:pict>
                </mc:Fallback>
              </mc:AlternateContent>
            </w:r>
            <w:r>
              <w:rPr>
                <w:rFonts w:hint="eastAsia"/>
                <w:shd w:val="clear" w:color="auto" w:fill="auto"/>
              </w:rPr>
              <w:t>（征求意见稿）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55" w:type="dxa"/>
            <w:tcBorders>
              <w:top w:val="nil"/>
              <w:left w:val="nil"/>
              <w:bottom w:val="nil"/>
              <w:right w:val="nil"/>
            </w:tcBorders>
          </w:tcPr>
          <w:p>
            <w:pPr>
              <w:pStyle w:val="15"/>
              <w:rPr>
                <w:shd w:val="clear" w:color="FFFFFF" w:fill="D9D9D9"/>
              </w:rPr>
            </w:pPr>
          </w:p>
        </w:tc>
      </w:tr>
    </w:tbl>
    <w:p>
      <w:pPr>
        <w:pStyle w:val="16"/>
        <w:framePr w:hAnchor="page" w:x="1771" w:y="14037"/>
        <w:rPr>
          <w:shd w:val="clear" w:color="FFFFFF" w:fill="D9D9D9"/>
        </w:rPr>
      </w:pPr>
      <w:r>
        <w:rPr>
          <w:rFonts w:hint="eastAsia" w:ascii="黑体"/>
          <w:shd w:val="clear" w:color="auto" w:fill="auto"/>
        </w:rPr>
        <w:t>XXXX</w:t>
      </w:r>
      <w:r>
        <w:rPr>
          <w:rFonts w:ascii="黑体"/>
          <w:shd w:val="clear" w:color="auto" w:fill="auto"/>
        </w:rPr>
        <w:t>-</w:t>
      </w:r>
      <w:r>
        <w:rPr>
          <w:rFonts w:hint="eastAsia"/>
          <w:shd w:val="clear" w:color="auto" w:fill="auto"/>
        </w:rPr>
        <w:t>X</w:t>
      </w:r>
      <w:r>
        <w:rPr>
          <w:rFonts w:hint="eastAsia" w:ascii="黑体"/>
          <w:shd w:val="clear" w:color="auto" w:fill="auto"/>
        </w:rPr>
        <w:t>X</w:t>
      </w:r>
      <w:r>
        <w:rPr>
          <w:rFonts w:ascii="黑体"/>
          <w:shd w:val="clear" w:color="auto" w:fill="auto"/>
        </w:rPr>
        <w:t>-</w:t>
      </w:r>
      <w:r>
        <w:rPr>
          <w:rFonts w:hint="eastAsia"/>
          <w:shd w:val="clear" w:color="auto" w:fill="auto"/>
        </w:rPr>
        <w:t>X</w:t>
      </w:r>
      <w:r>
        <w:rPr>
          <w:rFonts w:hint="eastAsia" w:ascii="黑体"/>
          <w:shd w:val="clear" w:color="auto" w:fill="auto"/>
        </w:rPr>
        <w:t>X</w:t>
      </w:r>
      <w:r>
        <w:rPr>
          <w:rFonts w:hint="eastAsia"/>
          <w:shd w:val="clear" w:color="auto" w:fill="auto"/>
        </w:rPr>
        <w:t>发布</w:t>
      </w:r>
      <w:r>
        <w:rPr>
          <w:shd w:val="clear" w:color="FFFFFF" w:fill="D9D9D9"/>
        </w:rPr>
        <mc:AlternateContent>
          <mc:Choice Requires="wps">
            <w:drawing>
              <wp:anchor distT="0" distB="0" distL="114300" distR="114300" simplePos="0" relativeHeight="251665408" behindDoc="0" locked="1" layoutInCell="1" allowOverlap="1">
                <wp:simplePos x="0" y="0"/>
                <wp:positionH relativeFrom="column">
                  <wp:posOffset>-635</wp:posOffset>
                </wp:positionH>
                <wp:positionV relativeFrom="page">
                  <wp:posOffset>9251950</wp:posOffset>
                </wp:positionV>
                <wp:extent cx="612013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05pt;margin-top:728.5pt;height:0pt;width:481.9pt;mso-position-vertical-relative:page;z-index:251665408;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IiPmvbZAQAAlgMAAA4AAABkcnMvZTJvRG9jLnhtbK1TS44T&#10;MRDdI3EHy3vSSdCMoJXOLCYMGwSRgANU/Om25J9cnnRyCS6AxA5WLNlzG4ZjUHYyGWbYIEQvqsuu&#10;8qt6z+XFxc5ZtlUJTfAdn02mnCkvgjS+7/j7d1dPnnGGGbwEG7zq+F4hv1g+frQYY6vmYQhWqsQI&#10;xGM7xo4POce2aVAMygFOQlSegjokB5mWqW9kgpHQnW3m0+l5M4YkYwpCIdLu6hDky4qvtRL5jdao&#10;MrMdp95ytanaTbHNcgFtnyAORhzbgH/owoHxVPQEtYIM7DqZP6CcESlg0HkigmuC1kaoyoHYzKYP&#10;2LwdIKrKhcTBeJIJ/x+seL1dJ2Zkx+eceXB0RTcfv/348Pnn909kb75+YfMi0hixpdxLv07HFcZ1&#10;Kox3OrnyJy5sV4Xdn4RVu8wEbZ7PiN1T0l/cxpq7gzFhfqmCY8XpuDW+cIYWtq8wUzFKvU0p29az&#10;sePPz+ZnBAc0MtpCJtdFIoG+r2cxWCOvjLXlBKZ+c2kT20IZgvoVSoR7L60UWQEOh7waOozHoEC+&#10;8JLlfSR5PM0xLy04JTmzisa+eAQIbQZj/yaTSltPHRRVDzoWbxPkni7jOibTD6TErHZZInT5td/j&#10;oJbp+n1dke6e0/IX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JYdrPNYAAAALAQAADwAAAAAAAAAB&#10;ACAAAAAiAAAAZHJzL2Rvd25yZXYueG1sUEsBAhQAFAAAAAgAh07iQIiPmvbZAQAAlgMAAA4AAAAA&#10;AAAAAQAgAAAAJQEAAGRycy9lMm9Eb2MueG1sUEsFBgAAAAAGAAYAWQEAAHAFAAAAAA==&#10;">
                <v:fill on="f" focussize="0,0"/>
                <v:stroke color="#000000" joinstyle="round"/>
                <v:imagedata o:title=""/>
                <o:lock v:ext="edit" aspectratio="f"/>
                <w10:anchorlock/>
              </v:line>
            </w:pict>
          </mc:Fallback>
        </mc:AlternateContent>
      </w:r>
    </w:p>
    <w:p>
      <w:pPr>
        <w:pStyle w:val="18"/>
        <w:framePr w:hAnchor="page" w:x="7365" w:y="14007"/>
        <w:rPr>
          <w:shd w:val="clear" w:color="FFFFFF" w:fill="D9D9D9"/>
        </w:rPr>
      </w:pPr>
      <w:r>
        <w:rPr>
          <w:rFonts w:hint="eastAsia" w:ascii="黑体"/>
          <w:shd w:val="clear" w:color="auto" w:fill="auto"/>
        </w:rPr>
        <w:t>XXXX</w:t>
      </w:r>
      <w:r>
        <w:rPr>
          <w:rFonts w:ascii="黑体"/>
          <w:shd w:val="clear" w:color="auto" w:fill="auto"/>
        </w:rPr>
        <w:t>-</w:t>
      </w:r>
      <w:r>
        <w:rPr>
          <w:rFonts w:hint="eastAsia" w:ascii="黑体"/>
          <w:shd w:val="clear" w:color="auto" w:fill="auto"/>
        </w:rPr>
        <w:t>XX</w:t>
      </w:r>
      <w:r>
        <w:rPr>
          <w:rFonts w:ascii="黑体"/>
          <w:shd w:val="clear" w:color="auto" w:fill="auto"/>
        </w:rPr>
        <w:t>-</w:t>
      </w:r>
      <w:r>
        <w:rPr>
          <w:rFonts w:hint="eastAsia" w:ascii="黑体"/>
          <w:shd w:val="clear" w:color="auto" w:fill="auto"/>
        </w:rPr>
        <w:t>XX</w:t>
      </w:r>
      <w:r>
        <w:rPr>
          <w:rFonts w:hint="eastAsia"/>
          <w:shd w:val="clear" w:color="auto" w:fill="auto"/>
        </w:rPr>
        <w:t>实施</w:t>
      </w:r>
    </w:p>
    <w:p>
      <w:pPr>
        <w:pStyle w:val="20"/>
        <w:rPr>
          <w:shd w:val="clear" w:color="auto" w:fill="auto"/>
        </w:rPr>
      </w:pPr>
      <w:bookmarkStart w:id="2" w:name="fm"/>
      <w:r>
        <w:rPr>
          <w:w w:val="100"/>
          <w:shd w:val="clear" w:color="auto" w:fill="auto"/>
        </w:rPr>
        <mc:AlternateContent>
          <mc:Choice Requires="wps">
            <w:drawing>
              <wp:anchor distT="0" distB="0" distL="114300" distR="114300" simplePos="0" relativeHeight="251662336" behindDoc="1" locked="0" layoutInCell="1" allowOverlap="1">
                <wp:simplePos x="0" y="0"/>
                <wp:positionH relativeFrom="column">
                  <wp:posOffset>1810385</wp:posOffset>
                </wp:positionH>
                <wp:positionV relativeFrom="paragraph">
                  <wp:posOffset>-3942715</wp:posOffset>
                </wp:positionV>
                <wp:extent cx="1270000" cy="304800"/>
                <wp:effectExtent l="0" t="0" r="6350" b="0"/>
                <wp:wrapNone/>
                <wp:docPr id="6" name="矩形 6"/>
                <wp:cNvGraphicFramePr/>
                <a:graphic xmlns:a="http://schemas.openxmlformats.org/drawingml/2006/main">
                  <a:graphicData uri="http://schemas.microsoft.com/office/word/2010/wordprocessingShape">
                    <wps:wsp>
                      <wps:cNvSpPr/>
                      <wps:spPr>
                        <a:xfrm>
                          <a:off x="0" y="0"/>
                          <a:ext cx="1270000" cy="304800"/>
                        </a:xfrm>
                        <a:prstGeom prst="rect">
                          <a:avLst/>
                        </a:prstGeom>
                        <a:solidFill>
                          <a:srgbClr val="FFFFFF"/>
                        </a:solidFill>
                        <a:ln w="9525">
                          <a:noFill/>
                        </a:ln>
                      </wps:spPr>
                      <wps:txbx>
                        <w:txbxContent>
                          <w:p/>
                        </w:txbxContent>
                      </wps:txbx>
                      <wps:bodyPr upright="1"/>
                    </wps:wsp>
                  </a:graphicData>
                </a:graphic>
              </wp:anchor>
            </w:drawing>
          </mc:Choice>
          <mc:Fallback>
            <w:pict>
              <v:rect id="_x0000_s1026" o:spid="_x0000_s1026" o:spt="1" style="position:absolute;left:0pt;margin-left:142.55pt;margin-top:-310.45pt;height:24pt;width:100pt;z-index:-251654144;mso-width-relative:page;mso-height-relative:page;" fillcolor="#FFFFFF" filled="t" stroked="f" coordsize="21600,21600" o:gfxdata="UEsDBAoAAAAAAIdO4kAAAAAAAAAAAAAAAAAEAAAAZHJzL1BLAwQUAAAACACHTuJA+bXu1tkAAAAN&#10;AQAADwAAAGRycy9kb3ducmV2LnhtbE2PwU7DMAyG70i8Q2QkblvSspW1NN0BaSfgwIbE1WuytqJx&#10;SpNu5e0xXODo359+fy63s+vF2Y6h86QhWSoQlmpvOmo0vB12iw2IEJEM9p6shi8bYFtdX5VYGH+h&#10;V3vex0ZwCYUCNbQxDoWUoW6tw7D0gyXenfzoMPI4NtKMeOFy18tUqUw67IgvtDjYx9bWH/vJacBs&#10;ZT5fTnfPh6cpw7yZ1W79rrS+vUnUA4ho5/gHw48+q0PFTkc/kQmi15Bu1gmjGhZZqnIQjKx+oyNH&#10;6/s0B1mV8v8X1TdQSwMEFAAAAAgAh07iQH8U9MahAQAAJQMAAA4AAABkcnMvZTJvRG9jLnhtbK1S&#10;zW4TMRC+I/UdLN/JbkIbyiqbHlqFC4JKhQdwvPauJdtjjd3s5mmQuPEQPA7iNRg7S8rPDdWH8Yxn&#10;/Hm+b7y5mZxlB4XRgG/5clFzpryEzvi+5Z8+7l5ecxaT8J2w4FXLjyrym+3Fi80YGrWCAWynkBGI&#10;j80YWj6kFJqqinJQTsQFBOUpqQGdSBRiX3UoRkJ3tlrV9boaAbuAIFWMdHp3SvJtwddayfRB66gS&#10;sy2n3lKxWOw+22q7EU2PIgxGzm2I/+jCCePp0TPUnUiCPaL5B8oZiRBBp4UEV4HWRqrCgdgs67/Y&#10;PAwiqMKFxInhLFN8Plj5/nCPzHQtX3PmhaMR/fj89fu3L2ydtRlDbKjkIdzjHEVyM9FJo8s7UWBT&#10;0fN41lNNiUk6XK5e17Q4k5R7VV9ek08w1dPtgDG9VeBYdlqONK8iozi8i+lU+qskPxbBmm5nrC0B&#10;9vtbi+wgaLa7smb0P8qsZ2PL31ytrgqyh3z/BG09NZMpnkhlL037aWa6h+5I2jwGNP1AzS0Lei6i&#10;WRQW87/Jw/49LqBPv3v7E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Pm17tbZAAAADQEAAA8AAAAA&#10;AAAAAQAgAAAAIgAAAGRycy9kb3ducmV2LnhtbFBLAQIUABQAAAAIAIdO4kB/FPTGoQEAACUDAAAO&#10;AAAAAAAAAAEAIAAAACgBAABkcnMvZTJvRG9jLnhtbFBLBQYAAAAABgAGAFkBAAA7BQAAAAA=&#10;">
                <v:fill on="t" focussize="0,0"/>
                <v:stroke on="f"/>
                <v:imagedata o:title=""/>
                <o:lock v:ext="edit" aspectratio="f"/>
                <v:textbox>
                  <w:txbxContent>
                    <w:p/>
                  </w:txbxContent>
                </v:textbox>
              </v:rect>
            </w:pict>
          </mc:Fallback>
        </mc:AlternateContent>
      </w:r>
      <w:r>
        <w:rPr>
          <w:w w:val="100"/>
          <w:shd w:val="clear" w:color="auto" w:fill="auto"/>
        </w:rPr>
        <mc:AlternateContent>
          <mc:Choice Requires="wps">
            <w:drawing>
              <wp:anchor distT="0" distB="0" distL="114300" distR="114300" simplePos="0" relativeHeight="251661312" behindDoc="1" locked="0" layoutInCell="1" allowOverlap="1">
                <wp:simplePos x="0" y="0"/>
                <wp:positionH relativeFrom="column">
                  <wp:posOffset>4413885</wp:posOffset>
                </wp:positionH>
                <wp:positionV relativeFrom="paragraph">
                  <wp:posOffset>-7435215</wp:posOffset>
                </wp:positionV>
                <wp:extent cx="1143000" cy="228600"/>
                <wp:effectExtent l="0" t="0" r="0" b="0"/>
                <wp:wrapNone/>
                <wp:docPr id="5" name="矩形 5"/>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w="9525">
                          <a:noFill/>
                        </a:ln>
                      </wps:spPr>
                      <wps:txbx>
                        <w:txbxContent>
                          <w:p/>
                        </w:txbxContent>
                      </wps:txbx>
                      <wps:bodyPr upright="1"/>
                    </wps:wsp>
                  </a:graphicData>
                </a:graphic>
              </wp:anchor>
            </w:drawing>
          </mc:Choice>
          <mc:Fallback>
            <w:pict>
              <v:rect id="_x0000_s1026" o:spid="_x0000_s1026" o:spt="1" style="position:absolute;left:0pt;margin-left:347.55pt;margin-top:-585.45pt;height:18pt;width:90pt;z-index:-251655168;mso-width-relative:page;mso-height-relative:page;" fillcolor="#FFFFFF" filled="t" stroked="f" coordsize="21600,21600" o:gfxdata="UEsDBAoAAAAAAIdO4kAAAAAAAAAAAAAAAAAEAAAAZHJzL1BLAwQUAAAACACHTuJA38mKEdoAAAAP&#10;AQAADwAAAGRycy9kb3ducmV2LnhtbE2PwU7DMAyG70i8Q2QkbltStnVraboD0k7AgQ2Jq9d4bUXj&#10;lCbdytuTcYGjf3/6/bnYTrYTZxp861hDMlcgiCtnWq41vB92sw0IH5ANdo5Jwzd52Ja3NwXmxl34&#10;jc77UItYwj5HDU0IfS6lrxqy6OeuJ467kxsshjgOtTQDXmK57eSDUqm02HK80GBPTw1Vn/vRasB0&#10;ab5eT4uXw/OYYlZParf6UFrf3yXqEUSgKfzBcNWP6lBGp6Mb2XjRaUizVRJRDbMkWasMRGQ262t2&#10;/M0WywxkWcj/f5Q/UEsDBBQAAAAIAIdO4kCIzViFoQEAACUDAAAOAAAAZHJzL2Uyb0RvYy54bWyt&#10;UktOHDEQ3UfiDpb3TH/CIGhND4ugYRMRJMIBPG6725J/KpvpntNEYpdDcBzENSh7miGfXRQvylWu&#10;8nO9V15dTUaTnYCgnG1ptSgpEZa7Ttm+pQ/fN6cXlITIbMe0s6KlexHo1frk02r0jajd4HQngCCI&#10;Dc3oWzrE6JuiCHwQhoWF88JiUjowLGIIfdEBGxHd6KIuy/NidNB5cFyEgKfXhyRdZ3wpBY/fpAwi&#10;Et1S7C1mC9luky3WK9b0wPyg+NwG+4cuDFMWHz1CXbPIyCOov6CM4uCCk3HBnSmclIqLzAHZVOUf&#10;bO4H5kXmguIEf5Qp/D9Yfru7A6K6li4psczgiF5//Hx5fiLLpM3oQ4Ml9/4O5iigm4hOEkzakQKZ&#10;sp77o55iioTjYVWdfS5LlJ1jrq4vztFHmOLjtocQb4QzJDktBZxXlpHtvoZ4KH0vSY8Fp1W3UVrn&#10;APrtFw1kx3C2m7xm9N/KtCVjSy+X9TIjW5fuH6C1xWYSxQOp5MVpO81Mt67bozaPHlQ/YHNVRk9F&#10;OIvMYv43adi/xhn043ev3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fyYoR2gAAAA8BAAAPAAAA&#10;AAAAAAEAIAAAACIAAABkcnMvZG93bnJldi54bWxQSwECFAAUAAAACACHTuJAiM1YhaEBAAAlAwAA&#10;DgAAAAAAAAABACAAAAApAQAAZHJzL2Uyb0RvYy54bWxQSwUGAAAAAAYABgBZAQAAPAUAAAAA&#10;">
                <v:fill on="t" focussize="0,0"/>
                <v:stroke on="f"/>
                <v:imagedata o:title=""/>
                <o:lock v:ext="edit" aspectratio="f"/>
                <v:textbox>
                  <w:txbxContent>
                    <w:p/>
                  </w:txbxContent>
                </v:textbox>
              </v:rect>
            </w:pict>
          </mc:Fallback>
        </mc:AlternateContent>
      </w:r>
      <w:r>
        <w:rPr>
          <w:w w:val="100"/>
          <w:shd w:val="clear" w:color="auto" w:fill="auto"/>
        </w:rPr>
        <mc:AlternateContent>
          <mc:Choice Requires="wps">
            <w:drawing>
              <wp:anchor distT="0" distB="0" distL="114300" distR="114300" simplePos="0" relativeHeight="251666432" behindDoc="0" locked="0" layoutInCell="1" allowOverlap="1">
                <wp:simplePos x="0" y="0"/>
                <wp:positionH relativeFrom="column">
                  <wp:posOffset>-464820</wp:posOffset>
                </wp:positionH>
                <wp:positionV relativeFrom="paragraph">
                  <wp:posOffset>-7021195</wp:posOffset>
                </wp:positionV>
                <wp:extent cx="612013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6.6pt;margin-top:-552.85pt;height:0pt;width:481.9pt;z-index:251666432;mso-width-relative:page;mso-height-relative:page;" filled="f" stroked="t" coordsize="21600,21600" o:gfxdata="UEsDBAoAAAAAAIdO4kAAAAAAAAAAAAAAAAAEAAAAZHJzL1BLAwQUAAAACACHTuJAOyWRoNgAAAAP&#10;AQAADwAAAGRycy9kb3ducmV2LnhtbE2PPU/DMBCGdyT+g3VILFVrJxVtCXE6ANlYKCDWa3IkEfE5&#10;jd0P+PUcS2G7j0fvPZevT65XBxpD59lCMjOgiCtfd9xYeH0ppytQISLX2HsmC18UYF1cXuSY1f7I&#10;z3TYxEZJCIcMLbQxDpnWoWrJYZj5gVh2H350GKUdG12PeJRw1+vUmIV22LFcaHGg+5aqz83eWQjl&#10;G+3K70k1Me/zxlO6e3h6RGuvrxJzByrSKf7B8Ksv6lCI09bvuQ6qtzBdzlNBpUgSc7MEJczq1ixA&#10;bc8zXeT6/x/FD1BLAwQUAAAACACHTuJAr/OyQtkBAACWAwAADgAAAGRycy9lMm9Eb2MueG1srVNL&#10;jhMxEN0jcQfLe9JJmBlBK51ZTBg2CCIBB6j4023JP7k86eQSXACJHaxYsuc2DMeg7GQyfDYI0Yvq&#10;sqv8qt5zeXG5c5ZtVUITfMdnkylnyosgje87/vbN9aMnnGEGL8EGrzq+V8gvlw8fLMbYqnkYgpUq&#10;MQLx2I6x40POsW0aFINygJMQlaegDslBpmXqG5lgJHRnm/l0etGMIcmYglCItLs6BPmy4mutRH6l&#10;NarMbMept1xtqnZTbLNcQNsniIMRxzbgH7pwYDwVPUGtIAO7SeYPKGdEChh0nojgmqC1EapyIDaz&#10;6W9sXg8QVeVC4mA8yYT/D1a83K4TM7LjZ5x5cHRFt++/fHv38fvXD2RvP39iZ0WkMWJLuVd+nY4r&#10;jOtUGO90cuVPXNiuCrs/Cat2mQnavJgRu8ekv7iLNfcHY8L8XAXHitNxa3zhDC1sX2CmYpR6l1K2&#10;rWdjx5+ez88JDmhktIVMrotEAn1fz2KwRl4ba8sJTP3myia2hTIE9SuUCPeXtFJkBTgc8mroMB6D&#10;AvnMS5b3keTxNMe8tOCU5MwqGvviESC0GYz9m0wqbT11UFQ96Fi8TZB7uoybmEw/kBKz2mWJ0OXX&#10;fo+DWqbr53VFun9Oy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7JZGg2AAAAA8BAAAPAAAAAAAA&#10;AAEAIAAAACIAAABkcnMvZG93bnJldi54bWxQSwECFAAUAAAACACHTuJAr/OyQtkBAACWAwAADgAA&#10;AAAAAAABACAAAAAnAQAAZHJzL2Uyb0RvYy54bWxQSwUGAAAAAAYABgBZAQAAcgUAAAAA&#10;">
                <v:fill on="f" focussize="0,0"/>
                <v:stroke color="#000000" joinstyle="round"/>
                <v:imagedata o:title=""/>
                <o:lock v:ext="edit" aspectratio="f"/>
              </v:line>
            </w:pict>
          </mc:Fallback>
        </mc:AlternateContent>
      </w:r>
      <w:bookmarkEnd w:id="2"/>
      <w:r>
        <w:rPr>
          <w:rFonts w:hint="eastAsia"/>
          <w:shd w:val="clear" w:color="auto" w:fill="auto"/>
        </w:rPr>
        <w:t>河北省市场监督管理局</w:t>
      </w:r>
      <w:r>
        <w:rPr>
          <w:shd w:val="clear" w:color="auto" w:fill="auto"/>
        </w:rPr>
        <w:t>   </w:t>
      </w:r>
      <w:r>
        <w:rPr>
          <w:rStyle w:val="23"/>
          <w:rFonts w:hint="eastAsia"/>
          <w:shd w:val="clear" w:color="auto" w:fill="auto"/>
        </w:rPr>
        <w:t>发布</w:t>
      </w:r>
    </w:p>
    <w:p>
      <w:pPr>
        <w:pStyle w:val="22"/>
        <w:sectPr>
          <w:pgSz w:w="11906" w:h="16838"/>
          <w:pgMar w:top="567" w:right="850" w:bottom="1134" w:left="1418" w:header="0" w:footer="0" w:gutter="0"/>
          <w:pgNumType w:start="1"/>
          <w:cols w:space="720" w:num="1"/>
          <w:docGrid w:type="lines" w:linePitch="312" w:charSpace="0"/>
        </w:sectPr>
      </w:pPr>
    </w:p>
    <w:p>
      <w:pPr>
        <w:pStyle w:val="24"/>
      </w:pPr>
      <w:r>
        <w:rPr>
          <w:rFonts w:hint="eastAsia" w:ascii="黑体" w:hAnsi="黑体" w:eastAsia="黑体" w:cs="黑体"/>
        </w:rPr>
        <w:t>前</w:t>
      </w:r>
      <w:bookmarkStart w:id="3" w:name="BKQY"/>
      <w:r>
        <w:rPr>
          <w:rFonts w:hint="eastAsia" w:ascii="黑体" w:hAnsi="黑体" w:eastAsia="黑体" w:cs="黑体"/>
        </w:rPr>
        <w:t>  言</w:t>
      </w:r>
      <w:bookmarkEnd w:id="3"/>
    </w:p>
    <w:p>
      <w:pPr>
        <w:pStyle w:val="22"/>
        <w:rPr>
          <w:rFonts w:hint="eastAsia" w:asciiTheme="minorEastAsia" w:hAnsiTheme="minorEastAsia" w:eastAsiaTheme="minorEastAsia" w:cstheme="minorEastAsia"/>
        </w:rPr>
      </w:pPr>
      <w:r>
        <w:rPr>
          <w:rFonts w:hint="eastAsia" w:asciiTheme="minorEastAsia" w:hAnsiTheme="minorEastAsia" w:eastAsiaTheme="minorEastAsia" w:cstheme="minorEastAsia"/>
        </w:rPr>
        <w:t>本</w:t>
      </w:r>
      <w:r>
        <w:rPr>
          <w:rFonts w:hint="eastAsia" w:asciiTheme="minorEastAsia" w:hAnsiTheme="minorEastAsia" w:eastAsiaTheme="minorEastAsia" w:cstheme="minorEastAsia"/>
          <w:lang w:val="en-US" w:eastAsia="zh-CN"/>
        </w:rPr>
        <w:t>文件</w:t>
      </w:r>
      <w:r>
        <w:rPr>
          <w:rFonts w:hint="eastAsia" w:asciiTheme="minorEastAsia" w:hAnsiTheme="minorEastAsia" w:eastAsiaTheme="minorEastAsia" w:cstheme="minorEastAsia"/>
        </w:rPr>
        <w:t>按照GB/T 1.1—2020《标准化工作导则 第1部分：标准化文件的结构和起草规则 》的规定起草。</w:t>
      </w:r>
    </w:p>
    <w:p>
      <w:pPr>
        <w:pStyle w:val="22"/>
        <w:rPr>
          <w:rFonts w:hint="eastAsia" w:asciiTheme="minorEastAsia" w:hAnsiTheme="minorEastAsia" w:eastAsiaTheme="minorEastAsia" w:cstheme="minorEastAsia"/>
        </w:rPr>
      </w:pPr>
      <w:r>
        <w:rPr>
          <w:rFonts w:hint="eastAsia" w:asciiTheme="minorEastAsia" w:hAnsiTheme="minorEastAsia" w:eastAsiaTheme="minorEastAsia" w:cstheme="minorEastAsia"/>
        </w:rPr>
        <w:t>本</w:t>
      </w:r>
      <w:r>
        <w:rPr>
          <w:rFonts w:hint="eastAsia" w:asciiTheme="minorEastAsia" w:hAnsiTheme="minorEastAsia" w:eastAsiaTheme="minorEastAsia" w:cstheme="minorEastAsia"/>
          <w:lang w:val="en-US" w:eastAsia="zh-CN"/>
        </w:rPr>
        <w:t>文件</w:t>
      </w:r>
      <w:r>
        <w:rPr>
          <w:rFonts w:hint="eastAsia" w:asciiTheme="minorEastAsia" w:hAnsiTheme="minorEastAsia" w:eastAsiaTheme="minorEastAsia" w:cstheme="minorEastAsia"/>
        </w:rPr>
        <w:t>代替DB</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13/T</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2135-201</w:t>
      </w:r>
      <w:r>
        <w:rPr>
          <w:rFonts w:hint="eastAsia" w:asciiTheme="minorEastAsia" w:hAnsiTheme="minorEastAsia" w:eastAsiaTheme="minorEastAsia" w:cstheme="minorEastAsia"/>
          <w:lang w:val="en-US" w:eastAsia="zh-CN"/>
        </w:rPr>
        <w:t>9</w:t>
      </w:r>
      <w:r>
        <w:rPr>
          <w:rFonts w:hint="eastAsia" w:asciiTheme="minorEastAsia" w:hAnsiTheme="minorEastAsia" w:eastAsiaTheme="minorEastAsia" w:cstheme="minorEastAsia"/>
        </w:rPr>
        <w:t>《水泥单位产品能源消耗限额》</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zh-CN"/>
        </w:rPr>
        <w:t>与DB</w:t>
      </w:r>
      <w:r>
        <w:rPr>
          <w:rFonts w:hint="eastAsia" w:asciiTheme="minorEastAsia" w:hAnsiTheme="minorEastAsia" w:eastAsiaTheme="minorEastAsia" w:cstheme="minorEastAsia"/>
        </w:rPr>
        <w:t>13/T</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2135-201</w:t>
      </w:r>
      <w:r>
        <w:rPr>
          <w:rFonts w:hint="eastAsia" w:asciiTheme="minorEastAsia" w:hAnsiTheme="minorEastAsia" w:eastAsiaTheme="minorEastAsia" w:cstheme="minorEastAsia"/>
          <w:lang w:val="en-US" w:eastAsia="zh-CN"/>
        </w:rPr>
        <w:t>9相比，除编辑性改动外，主要技术变化如下：</w:t>
      </w:r>
    </w:p>
    <w:p>
      <w:pPr>
        <w:pStyle w:val="22"/>
        <w:numPr>
          <w:ilvl w:val="0"/>
          <w:numId w:val="1"/>
        </w:numP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更改了能源消耗相关指标的术语和定义(见 3.1</w:t>
      </w:r>
      <w:r>
        <w:rPr>
          <w:rFonts w:hint="eastAsia" w:hAnsi="宋体" w:cs="宋体"/>
          <w:color w:val="auto"/>
          <w:lang w:eastAsia="zh-CN"/>
        </w:rPr>
        <w:t>～</w:t>
      </w:r>
      <w:r>
        <w:rPr>
          <w:rFonts w:hint="eastAsia" w:asciiTheme="minorEastAsia" w:hAnsiTheme="minorEastAsia" w:eastAsiaTheme="minorEastAsia" w:cstheme="minorEastAsia"/>
          <w:color w:val="auto"/>
        </w:rPr>
        <w:t>3.5,201</w:t>
      </w:r>
      <w:r>
        <w:rPr>
          <w:rFonts w:hint="eastAsia" w:asciiTheme="minorEastAsia" w:hAnsiTheme="minorEastAsia" w:eastAsiaTheme="minorEastAsia" w:cstheme="minorEastAsia"/>
          <w:color w:val="auto"/>
          <w:lang w:val="en-US" w:eastAsia="zh-CN"/>
        </w:rPr>
        <w:t>9</w:t>
      </w:r>
      <w:r>
        <w:rPr>
          <w:rFonts w:hint="eastAsia" w:asciiTheme="minorEastAsia" w:hAnsiTheme="minorEastAsia" w:eastAsiaTheme="minorEastAsia" w:cstheme="minorEastAsia"/>
          <w:color w:val="auto"/>
        </w:rPr>
        <w:t xml:space="preserve"> 年版的 3.1</w:t>
      </w:r>
      <w:r>
        <w:rPr>
          <w:rFonts w:hint="eastAsia" w:hAnsi="宋体" w:cs="宋体"/>
          <w:color w:val="auto"/>
          <w:lang w:eastAsia="zh-CN"/>
        </w:rPr>
        <w:t>～</w:t>
      </w:r>
      <w:r>
        <w:rPr>
          <w:rFonts w:hint="eastAsia" w:asciiTheme="minorEastAsia" w:hAnsiTheme="minorEastAsia" w:eastAsiaTheme="minorEastAsia" w:cstheme="minorEastAsia"/>
          <w:color w:val="auto"/>
        </w:rPr>
        <w:t>3.</w:t>
      </w:r>
      <w:r>
        <w:rPr>
          <w:rFonts w:hint="eastAsia" w:asciiTheme="minorEastAsia" w:hAnsiTheme="minorEastAsia" w:eastAsiaTheme="minorEastAsia" w:cstheme="minorEastAsia"/>
          <w:color w:val="auto"/>
          <w:lang w:val="en-US" w:eastAsia="zh-CN"/>
        </w:rPr>
        <w:t>10</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lang w:eastAsia="zh-CN"/>
        </w:rPr>
        <w:t>；</w:t>
      </w:r>
    </w:p>
    <w:p>
      <w:pPr>
        <w:pStyle w:val="22"/>
        <w:numPr>
          <w:ilvl w:val="0"/>
          <w:numId w:val="1"/>
        </w:numP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lang w:val="en-US" w:eastAsia="zh-CN"/>
        </w:rPr>
        <w:t>增加</w:t>
      </w:r>
      <w:r>
        <w:rPr>
          <w:rFonts w:hint="eastAsia" w:asciiTheme="minorEastAsia" w:hAnsiTheme="minorEastAsia" w:eastAsiaTheme="minorEastAsia" w:cstheme="minorEastAsia"/>
          <w:color w:val="auto"/>
        </w:rPr>
        <w:t>了能耗限额等级(见第 4 章)</w:t>
      </w:r>
      <w:r>
        <w:rPr>
          <w:rFonts w:hint="eastAsia" w:asciiTheme="minorEastAsia" w:hAnsiTheme="minorEastAsia" w:eastAsiaTheme="minorEastAsia" w:cstheme="minorEastAsia"/>
          <w:color w:val="auto"/>
          <w:lang w:eastAsia="zh-CN"/>
        </w:rPr>
        <w:t>；</w:t>
      </w:r>
    </w:p>
    <w:p>
      <w:pPr>
        <w:pStyle w:val="22"/>
        <w:numPr>
          <w:ilvl w:val="0"/>
          <w:numId w:val="1"/>
        </w:numP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删除了能耗先进值(见 201</w:t>
      </w:r>
      <w:r>
        <w:rPr>
          <w:rFonts w:hint="eastAsia" w:asciiTheme="minorEastAsia" w:hAnsiTheme="minorEastAsia" w:eastAsiaTheme="minorEastAsia" w:cstheme="minorEastAsia"/>
          <w:color w:val="auto"/>
          <w:lang w:val="en-US" w:eastAsia="zh-CN"/>
        </w:rPr>
        <w:t>9</w:t>
      </w:r>
      <w:r>
        <w:rPr>
          <w:rFonts w:hint="eastAsia" w:asciiTheme="minorEastAsia" w:hAnsiTheme="minorEastAsia" w:eastAsiaTheme="minorEastAsia" w:cstheme="minorEastAsia"/>
          <w:color w:val="auto"/>
        </w:rPr>
        <w:t xml:space="preserve"> 年版的 4.3)</w:t>
      </w:r>
      <w:r>
        <w:rPr>
          <w:rFonts w:hint="eastAsia" w:asciiTheme="minorEastAsia" w:hAnsiTheme="minorEastAsia" w:eastAsiaTheme="minorEastAsia" w:cstheme="minorEastAsia"/>
          <w:color w:val="auto"/>
          <w:lang w:eastAsia="zh-CN"/>
        </w:rPr>
        <w:t>；</w:t>
      </w:r>
    </w:p>
    <w:p>
      <w:pPr>
        <w:pStyle w:val="22"/>
        <w:numPr>
          <w:ilvl w:val="0"/>
          <w:numId w:val="1"/>
        </w:numPr>
        <w:ind w:left="630" w:leftChars="200" w:hanging="210" w:hangingChars="100"/>
        <w:rPr>
          <w:rFonts w:hint="default" w:asciiTheme="minorEastAsia" w:hAnsiTheme="minorEastAsia" w:eastAsiaTheme="minorEastAsia" w:cstheme="minorEastAsia"/>
          <w:color w:val="auto"/>
        </w:rPr>
      </w:pPr>
      <w:r>
        <w:rPr>
          <w:rFonts w:hint="default" w:asciiTheme="minorEastAsia" w:hAnsiTheme="minorEastAsia" w:eastAsiaTheme="minorEastAsia" w:cstheme="minorEastAsia"/>
          <w:color w:val="auto"/>
        </w:rPr>
        <w:t>将附录</w:t>
      </w:r>
      <w:r>
        <w:rPr>
          <w:rFonts w:hint="default" w:asciiTheme="minorEastAsia" w:hAnsiTheme="minorEastAsia" w:eastAsiaTheme="minorEastAsia" w:cstheme="minorEastAsia"/>
          <w:color w:val="auto"/>
          <w:lang w:val="en-US" w:eastAsia="zh-CN"/>
        </w:rPr>
        <w:t>A</w:t>
      </w:r>
      <w:r>
        <w:rPr>
          <w:rFonts w:hint="default" w:asciiTheme="minorEastAsia" w:hAnsiTheme="minorEastAsia" w:eastAsiaTheme="minorEastAsia" w:cstheme="minorEastAsia"/>
          <w:color w:val="auto"/>
        </w:rPr>
        <w:t>中水泥企业分步能耗限额中的水泥制备工段电耗限额列入正文,删除了附录</w:t>
      </w:r>
      <w:r>
        <w:rPr>
          <w:rFonts w:hint="default" w:asciiTheme="minorEastAsia" w:hAnsiTheme="minorEastAsia" w:eastAsiaTheme="minorEastAsia" w:cstheme="minorEastAsia"/>
          <w:color w:val="auto"/>
          <w:lang w:val="en-US" w:eastAsia="zh-CN"/>
        </w:rPr>
        <w:t>A</w:t>
      </w:r>
      <w:r>
        <w:rPr>
          <w:rFonts w:hint="default" w:asciiTheme="minorEastAsia" w:hAnsiTheme="minorEastAsia" w:eastAsiaTheme="minorEastAsia" w:cstheme="minorEastAsia"/>
          <w:color w:val="auto"/>
        </w:rPr>
        <w:t>(见</w:t>
      </w:r>
      <w:r>
        <w:rPr>
          <w:rFonts w:hint="default" w:asciiTheme="minorEastAsia" w:hAnsiTheme="minorEastAsia" w:eastAsiaTheme="minorEastAsia" w:cstheme="minorEastAsia"/>
          <w:color w:val="auto"/>
          <w:lang w:val="en-US" w:eastAsia="zh-CN"/>
        </w:rPr>
        <w:t xml:space="preserve">  </w:t>
      </w:r>
    </w:p>
    <w:p>
      <w:pPr>
        <w:pStyle w:val="22"/>
        <w:numPr>
          <w:ilvl w:val="0"/>
          <w:numId w:val="0"/>
        </w:numPr>
        <w:ind w:left="0" w:leftChars="0" w:firstLine="840" w:firstLineChars="400"/>
        <w:rPr>
          <w:rFonts w:hint="eastAsia" w:asciiTheme="minorEastAsia" w:hAnsiTheme="minorEastAsia" w:eastAsiaTheme="minorEastAsia" w:cstheme="minorEastAsia"/>
          <w:color w:val="auto"/>
          <w:lang w:eastAsia="zh-CN"/>
        </w:rPr>
      </w:pPr>
      <w:r>
        <w:rPr>
          <w:rFonts w:hint="default" w:asciiTheme="minorEastAsia" w:hAnsiTheme="minorEastAsia" w:eastAsiaTheme="minorEastAsia" w:cstheme="minorEastAsia"/>
          <w:color w:val="auto"/>
        </w:rPr>
        <w:t>4.3,201</w:t>
      </w:r>
      <w:r>
        <w:rPr>
          <w:rFonts w:hint="default" w:asciiTheme="minorEastAsia" w:hAnsiTheme="minorEastAsia" w:eastAsiaTheme="minorEastAsia" w:cstheme="minorEastAsia"/>
          <w:color w:val="auto"/>
          <w:lang w:val="en-US" w:eastAsia="zh-CN"/>
        </w:rPr>
        <w:t>9</w:t>
      </w:r>
      <w:r>
        <w:rPr>
          <w:rFonts w:hint="default" w:asciiTheme="minorEastAsia" w:hAnsiTheme="minorEastAsia" w:eastAsiaTheme="minorEastAsia" w:cstheme="minorEastAsia"/>
          <w:color w:val="auto"/>
        </w:rPr>
        <w:t>年版的附录</w:t>
      </w:r>
      <w:r>
        <w:rPr>
          <w:rFonts w:hint="default" w:asciiTheme="minorEastAsia" w:hAnsiTheme="minorEastAsia" w:eastAsiaTheme="minorEastAsia" w:cstheme="minorEastAsia"/>
          <w:color w:val="auto"/>
          <w:lang w:val="en-US" w:eastAsia="zh-CN"/>
        </w:rPr>
        <w:t>A</w:t>
      </w:r>
      <w:r>
        <w:rPr>
          <w:rFonts w:hint="default" w:asciiTheme="minorEastAsia" w:hAnsiTheme="minorEastAsia" w:eastAsiaTheme="minorEastAsia" w:cstheme="minorEastAsia"/>
          <w:color w:val="auto"/>
        </w:rPr>
        <w:t>)</w:t>
      </w:r>
      <w:r>
        <w:rPr>
          <w:rFonts w:hint="eastAsia" w:asciiTheme="minorEastAsia" w:hAnsiTheme="minorEastAsia" w:eastAsiaTheme="minorEastAsia" w:cstheme="minorEastAsia"/>
          <w:color w:val="auto"/>
          <w:lang w:eastAsia="zh-CN"/>
        </w:rPr>
        <w:t>；</w:t>
      </w:r>
    </w:p>
    <w:p>
      <w:pPr>
        <w:pStyle w:val="22"/>
        <w:numPr>
          <w:ilvl w:val="0"/>
          <w:numId w:val="1"/>
        </w:numPr>
        <w:ind w:left="630" w:leftChars="200" w:hanging="210" w:hangingChars="100"/>
        <w:rPr>
          <w:rFonts w:hint="default" w:asciiTheme="minorEastAsia" w:hAnsiTheme="minorEastAsia" w:eastAsiaTheme="minorEastAsia" w:cstheme="minorEastAsia"/>
          <w:color w:val="auto"/>
        </w:rPr>
      </w:pPr>
      <w:r>
        <w:rPr>
          <w:rFonts w:hint="default" w:asciiTheme="minorEastAsia" w:hAnsiTheme="minorEastAsia" w:eastAsiaTheme="minorEastAsia" w:cstheme="minorEastAsia"/>
          <w:color w:val="auto"/>
        </w:rPr>
        <w:t>更改了单位产品能耗限额指标计算的影响因素修正系数(见5.3,201</w:t>
      </w:r>
      <w:r>
        <w:rPr>
          <w:rFonts w:hint="default" w:asciiTheme="minorEastAsia" w:hAnsiTheme="minorEastAsia" w:eastAsiaTheme="minorEastAsia" w:cstheme="minorEastAsia"/>
          <w:color w:val="auto"/>
          <w:lang w:val="en-US" w:eastAsia="zh-CN"/>
        </w:rPr>
        <w:t>9</w:t>
      </w:r>
      <w:r>
        <w:rPr>
          <w:rFonts w:hint="default" w:asciiTheme="minorEastAsia" w:hAnsiTheme="minorEastAsia" w:eastAsiaTheme="minorEastAsia" w:cstheme="minorEastAsia"/>
          <w:color w:val="auto"/>
        </w:rPr>
        <w:t>年版的5.3.1.</w:t>
      </w:r>
      <w:r>
        <w:rPr>
          <w:rFonts w:hint="default" w:asciiTheme="minorEastAsia" w:hAnsiTheme="minorEastAsia" w:eastAsiaTheme="minorEastAsia" w:cstheme="minorEastAsia"/>
          <w:color w:val="auto"/>
          <w:lang w:val="en-US" w:eastAsia="zh-CN"/>
        </w:rPr>
        <w:t>4、</w:t>
      </w:r>
      <w:r>
        <w:rPr>
          <w:rFonts w:hint="default" w:asciiTheme="minorEastAsia" w:hAnsiTheme="minorEastAsia" w:eastAsiaTheme="minorEastAsia" w:cstheme="minorEastAsia"/>
          <w:color w:val="auto"/>
        </w:rPr>
        <w:t>5.3.1.5</w:t>
      </w:r>
    </w:p>
    <w:p>
      <w:pPr>
        <w:pStyle w:val="22"/>
        <w:numPr>
          <w:ilvl w:val="-1"/>
          <w:numId w:val="0"/>
        </w:numPr>
        <w:ind w:left="0" w:leftChars="0" w:firstLine="840" w:firstLineChars="400"/>
        <w:rPr>
          <w:rFonts w:hint="default" w:asciiTheme="minorEastAsia" w:hAnsiTheme="minorEastAsia" w:eastAsiaTheme="minorEastAsia" w:cstheme="minorEastAsia"/>
          <w:color w:val="auto"/>
        </w:rPr>
      </w:pPr>
      <w:r>
        <w:rPr>
          <w:rFonts w:hint="default" w:asciiTheme="minorEastAsia" w:hAnsiTheme="minorEastAsia" w:eastAsiaTheme="minorEastAsia" w:cstheme="minorEastAsia"/>
          <w:color w:val="auto"/>
        </w:rPr>
        <w:t>和 5.3.4.2)</w:t>
      </w:r>
      <w:r>
        <w:rPr>
          <w:rFonts w:hint="default" w:asciiTheme="minorEastAsia" w:hAnsiTheme="minorEastAsia" w:eastAsiaTheme="minorEastAsia" w:cstheme="minorEastAsia"/>
          <w:color w:val="auto"/>
          <w:lang w:eastAsia="zh-CN"/>
        </w:rPr>
        <w:t>；</w:t>
      </w:r>
    </w:p>
    <w:p>
      <w:pPr>
        <w:pStyle w:val="22"/>
        <w:numPr>
          <w:ilvl w:val="0"/>
          <w:numId w:val="1"/>
        </w:numPr>
        <w:ind w:left="630" w:leftChars="200" w:hanging="210" w:hangingChars="100"/>
        <w:rPr>
          <w:rFonts w:hint="default" w:asciiTheme="minorEastAsia" w:hAnsiTheme="minorEastAsia" w:eastAsiaTheme="minorEastAsia" w:cstheme="minorEastAsia"/>
          <w:color w:val="auto"/>
        </w:rPr>
      </w:pPr>
      <w:r>
        <w:rPr>
          <w:rFonts w:hint="default" w:asciiTheme="minorEastAsia" w:hAnsiTheme="minorEastAsia" w:eastAsiaTheme="minorEastAsia" w:cstheme="minorEastAsia"/>
          <w:color w:val="auto"/>
        </w:rPr>
        <w:t>更改了能耗指标限额值计算公式(见 6.2,201</w:t>
      </w:r>
      <w:r>
        <w:rPr>
          <w:rFonts w:hint="default" w:asciiTheme="minorEastAsia" w:hAnsiTheme="minorEastAsia" w:eastAsiaTheme="minorEastAsia" w:cstheme="minorEastAsia"/>
          <w:color w:val="auto"/>
          <w:lang w:val="en-US" w:eastAsia="zh-CN"/>
        </w:rPr>
        <w:t>9</w:t>
      </w:r>
      <w:r>
        <w:rPr>
          <w:rFonts w:hint="default" w:asciiTheme="minorEastAsia" w:hAnsiTheme="minorEastAsia" w:eastAsiaTheme="minorEastAsia" w:cstheme="minorEastAsia"/>
          <w:color w:val="auto"/>
        </w:rPr>
        <w:t>年版的 5.3)</w:t>
      </w:r>
      <w:r>
        <w:rPr>
          <w:rFonts w:hint="default" w:asciiTheme="minorEastAsia" w:hAnsiTheme="minorEastAsia" w:eastAsiaTheme="minorEastAsia" w:cstheme="minorEastAsia"/>
          <w:color w:val="auto"/>
          <w:lang w:eastAsia="zh-CN"/>
        </w:rPr>
        <w:t>；</w:t>
      </w:r>
      <w:r>
        <w:rPr>
          <w:rFonts w:hint="default" w:asciiTheme="minorEastAsia" w:hAnsiTheme="minorEastAsia" w:eastAsiaTheme="minorEastAsia" w:cstheme="minorEastAsia"/>
          <w:color w:val="auto"/>
        </w:rPr>
        <w:t>删除了节能管理与措施(见 201</w:t>
      </w:r>
      <w:r>
        <w:rPr>
          <w:rFonts w:hint="eastAsia" w:asciiTheme="minorEastAsia" w:hAnsiTheme="minorEastAsia" w:eastAsiaTheme="minorEastAsia" w:cstheme="minorEastAsia"/>
          <w:color w:val="auto"/>
          <w:lang w:eastAsia="zh-CN"/>
        </w:rPr>
        <w:t>9</w:t>
      </w:r>
      <w:r>
        <w:rPr>
          <w:rFonts w:hint="default" w:asciiTheme="minorEastAsia" w:hAnsiTheme="minorEastAsia" w:eastAsiaTheme="minorEastAsia" w:cstheme="minorEastAsia"/>
          <w:color w:val="auto"/>
        </w:rPr>
        <w:t xml:space="preserve"> </w:t>
      </w:r>
      <w:r>
        <w:rPr>
          <w:rFonts w:hint="eastAsia" w:asciiTheme="minorEastAsia" w:hAnsiTheme="minorEastAsia" w:eastAsiaTheme="minorEastAsia" w:cstheme="minorEastAsia"/>
          <w:color w:val="auto"/>
          <w:lang w:val="en-US" w:eastAsia="zh-CN"/>
        </w:rPr>
        <w:t xml:space="preserve">   </w:t>
      </w:r>
    </w:p>
    <w:p>
      <w:pPr>
        <w:pStyle w:val="22"/>
        <w:numPr>
          <w:ilvl w:val="-1"/>
          <w:numId w:val="0"/>
        </w:numPr>
        <w:ind w:left="0" w:leftChars="0" w:firstLine="840" w:firstLineChars="400"/>
        <w:rPr>
          <w:rFonts w:hint="default" w:asciiTheme="minorEastAsia" w:hAnsiTheme="minorEastAsia" w:eastAsiaTheme="minorEastAsia" w:cstheme="minorEastAsia"/>
          <w:color w:val="auto"/>
          <w:lang w:eastAsia="zh-CN"/>
        </w:rPr>
      </w:pPr>
      <w:r>
        <w:rPr>
          <w:rFonts w:hint="default" w:asciiTheme="minorEastAsia" w:hAnsiTheme="minorEastAsia" w:eastAsiaTheme="minorEastAsia" w:cstheme="minorEastAsia"/>
          <w:color w:val="auto"/>
        </w:rPr>
        <w:t>年版的第6章)</w:t>
      </w:r>
      <w:r>
        <w:rPr>
          <w:rFonts w:hint="default" w:asciiTheme="minorEastAsia" w:hAnsiTheme="minorEastAsia" w:eastAsiaTheme="minorEastAsia" w:cstheme="minorEastAsia"/>
          <w:color w:val="auto"/>
          <w:lang w:eastAsia="zh-CN"/>
        </w:rPr>
        <w:t>；</w:t>
      </w:r>
    </w:p>
    <w:p>
      <w:pPr>
        <w:pStyle w:val="22"/>
        <w:numPr>
          <w:ilvl w:val="-1"/>
          <w:numId w:val="0"/>
        </w:numPr>
        <w:ind w:left="0" w:leftChars="0" w:firstLine="420" w:firstLineChars="200"/>
        <w:rPr>
          <w:rFonts w:hint="default" w:asciiTheme="minorEastAsia" w:hAnsiTheme="minorEastAsia" w:eastAsiaTheme="minorEastAsia" w:cstheme="minorEastAsia"/>
          <w:color w:val="auto"/>
        </w:rPr>
      </w:pPr>
      <w:r>
        <w:rPr>
          <w:rFonts w:hint="eastAsia" w:asciiTheme="minorEastAsia" w:hAnsiTheme="minorEastAsia" w:eastAsiaTheme="minorEastAsia" w:cstheme="minorEastAsia"/>
          <w:color w:val="auto"/>
          <w:lang w:val="en-US" w:eastAsia="zh-CN"/>
        </w:rPr>
        <w:t>请注意本文件的某些内容可能涉及专利。本文件的发布机构不承担识别专利的责任。</w:t>
      </w:r>
    </w:p>
    <w:p>
      <w:pPr>
        <w:pStyle w:val="22"/>
        <w:rPr>
          <w:rFonts w:hint="eastAsia" w:asciiTheme="minorEastAsia" w:hAnsiTheme="minorEastAsia" w:eastAsiaTheme="minorEastAsia" w:cstheme="minorEastAsia"/>
        </w:rPr>
      </w:pPr>
      <w:r>
        <w:rPr>
          <w:rFonts w:hint="eastAsia" w:asciiTheme="minorEastAsia" w:hAnsiTheme="minorEastAsia" w:eastAsiaTheme="minorEastAsia" w:cstheme="minorEastAsia"/>
        </w:rPr>
        <w:t>本</w:t>
      </w:r>
      <w:r>
        <w:rPr>
          <w:rFonts w:hint="eastAsia" w:asciiTheme="minorEastAsia" w:hAnsiTheme="minorEastAsia" w:eastAsiaTheme="minorEastAsia" w:cstheme="minorEastAsia"/>
          <w:lang w:val="en-US" w:eastAsia="zh-CN"/>
        </w:rPr>
        <w:t>文件</w:t>
      </w:r>
      <w:r>
        <w:rPr>
          <w:rFonts w:hint="eastAsia" w:asciiTheme="minorEastAsia" w:hAnsiTheme="minorEastAsia" w:eastAsiaTheme="minorEastAsia" w:cstheme="minorEastAsia"/>
        </w:rPr>
        <w:t>由河北省发展和改革委员会提出</w:t>
      </w:r>
      <w:r>
        <w:rPr>
          <w:rFonts w:hint="eastAsia" w:asciiTheme="minorEastAsia" w:hAnsiTheme="minorEastAsia" w:eastAsiaTheme="minorEastAsia" w:cstheme="minorEastAsia"/>
          <w:lang w:val="en-US" w:eastAsia="zh-CN"/>
        </w:rPr>
        <w:t>并归口</w:t>
      </w:r>
      <w:r>
        <w:rPr>
          <w:rFonts w:hint="eastAsia" w:asciiTheme="minorEastAsia" w:hAnsiTheme="minorEastAsia" w:eastAsiaTheme="minorEastAsia" w:cstheme="minorEastAsia"/>
        </w:rPr>
        <w:t>。</w:t>
      </w:r>
    </w:p>
    <w:p>
      <w:pPr>
        <w:pStyle w:val="22"/>
        <w:rPr>
          <w:rFonts w:hint="eastAsia" w:asciiTheme="minorEastAsia" w:hAnsiTheme="minorEastAsia" w:eastAsiaTheme="minorEastAsia" w:cstheme="minorEastAsia"/>
        </w:rPr>
      </w:pPr>
      <w:r>
        <w:rPr>
          <w:rFonts w:hint="eastAsia" w:asciiTheme="minorEastAsia" w:hAnsiTheme="minorEastAsia" w:eastAsiaTheme="minorEastAsia" w:cstheme="minorEastAsia"/>
        </w:rPr>
        <w:t>本</w:t>
      </w:r>
      <w:r>
        <w:rPr>
          <w:rFonts w:hint="eastAsia" w:asciiTheme="minorEastAsia" w:hAnsiTheme="minorEastAsia" w:eastAsiaTheme="minorEastAsia" w:cstheme="minorEastAsia"/>
          <w:lang w:val="en-US" w:eastAsia="zh-CN"/>
        </w:rPr>
        <w:t>文件</w:t>
      </w:r>
      <w:r>
        <w:rPr>
          <w:rFonts w:hint="eastAsia" w:asciiTheme="minorEastAsia" w:hAnsiTheme="minorEastAsia" w:eastAsiaTheme="minorEastAsia" w:cstheme="minorEastAsia"/>
        </w:rPr>
        <w:t>起草单位：</w:t>
      </w:r>
      <w:r>
        <w:rPr>
          <w:rFonts w:hint="eastAsia" w:ascii="宋体" w:hAnsi="宋体" w:eastAsia="宋体" w:cs="宋体"/>
          <w:color w:val="000000" w:themeColor="text1"/>
          <w:sz w:val="21"/>
          <w:szCs w:val="21"/>
          <w:lang w:eastAsia="zh-CN"/>
          <w14:textFill>
            <w14:solidFill>
              <w14:schemeClr w14:val="tx1"/>
            </w14:solidFill>
          </w14:textFill>
        </w:rPr>
        <w:t>石家庄市</w:t>
      </w:r>
      <w:r>
        <w:rPr>
          <w:rFonts w:hint="eastAsia" w:hAnsi="宋体" w:cs="宋体"/>
          <w:color w:val="000000" w:themeColor="text1"/>
          <w:sz w:val="21"/>
          <w:szCs w:val="21"/>
          <w:lang w:eastAsia="zh-CN"/>
          <w14:textFill>
            <w14:solidFill>
              <w14:schemeClr w14:val="tx1"/>
            </w14:solidFill>
          </w14:textFill>
        </w:rPr>
        <w:t>绿色发展服务</w:t>
      </w:r>
      <w:r>
        <w:rPr>
          <w:rFonts w:hint="eastAsia" w:ascii="宋体" w:hAnsi="宋体" w:eastAsia="宋体" w:cs="宋体"/>
          <w:color w:val="000000" w:themeColor="text1"/>
          <w:sz w:val="21"/>
          <w:szCs w:val="21"/>
          <w:lang w:eastAsia="zh-CN"/>
          <w14:textFill>
            <w14:solidFill>
              <w14:schemeClr w14:val="tx1"/>
            </w14:solidFill>
          </w14:textFill>
        </w:rPr>
        <w:t>中心、</w:t>
      </w:r>
      <w:r>
        <w:rPr>
          <w:rFonts w:hint="eastAsia" w:ascii="宋体" w:hAnsi="宋体" w:eastAsia="宋体" w:cs="宋体"/>
          <w:color w:val="000000" w:themeColor="text1"/>
          <w:sz w:val="21"/>
          <w:szCs w:val="21"/>
          <w:lang w:val="en-US" w:eastAsia="zh-CN"/>
          <w14:textFill>
            <w14:solidFill>
              <w14:schemeClr w14:val="tx1"/>
            </w14:solidFill>
          </w14:textFill>
        </w:rPr>
        <w:t>河北省节能与清洁生产协会、</w:t>
      </w:r>
      <w:r>
        <w:rPr>
          <w:rFonts w:hint="eastAsia" w:ascii="宋体" w:hAnsi="宋体" w:eastAsia="宋体" w:cs="宋体"/>
          <w:color w:val="000000" w:themeColor="text1"/>
          <w:sz w:val="21"/>
          <w:szCs w:val="21"/>
          <w:lang w:eastAsia="zh-CN"/>
          <w14:textFill>
            <w14:solidFill>
              <w14:schemeClr w14:val="tx1"/>
            </w14:solidFill>
          </w14:textFill>
        </w:rPr>
        <w:t>河北省绿色发展服务中心。</w:t>
      </w:r>
    </w:p>
    <w:p>
      <w:pPr>
        <w:ind w:left="76" w:leftChars="36"/>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本</w:t>
      </w:r>
      <w:r>
        <w:rPr>
          <w:rFonts w:hint="eastAsia" w:asciiTheme="minorEastAsia" w:hAnsiTheme="minorEastAsia" w:eastAsiaTheme="minorEastAsia" w:cstheme="minorEastAsia"/>
          <w:lang w:val="en-US" w:eastAsia="zh-CN"/>
        </w:rPr>
        <w:t>文件</w:t>
      </w:r>
      <w:r>
        <w:rPr>
          <w:rFonts w:hint="eastAsia" w:asciiTheme="minorEastAsia" w:hAnsiTheme="minorEastAsia" w:eastAsiaTheme="minorEastAsia" w:cstheme="minorEastAsia"/>
        </w:rPr>
        <w:t>主要起草人：</w:t>
      </w:r>
      <w:r>
        <w:rPr>
          <w:rFonts w:hint="eastAsia" w:asciiTheme="minorEastAsia" w:hAnsiTheme="minorEastAsia" w:eastAsiaTheme="minorEastAsia" w:cstheme="minorEastAsia"/>
          <w:lang w:eastAsia="zh-CN"/>
        </w:rPr>
        <w:t>赵辉、陈文、刘志伟、史建春、赵晓彬、</w:t>
      </w:r>
      <w:r>
        <w:rPr>
          <w:rFonts w:hint="eastAsia" w:asciiTheme="minorEastAsia" w:hAnsiTheme="minorEastAsia" w:eastAsiaTheme="minorEastAsia" w:cstheme="minorEastAsia"/>
          <w:lang w:val="en-US" w:eastAsia="zh-CN"/>
        </w:rPr>
        <w:t>任计良、吕阳。</w:t>
      </w:r>
      <w:bookmarkStart w:id="4" w:name="_GoBack"/>
      <w:bookmarkEnd w:id="4"/>
    </w:p>
    <w:p>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本</w:t>
      </w:r>
      <w:r>
        <w:rPr>
          <w:rFonts w:hint="eastAsia" w:asciiTheme="minorEastAsia" w:hAnsiTheme="minorEastAsia" w:eastAsiaTheme="minorEastAsia" w:cstheme="minorEastAsia"/>
          <w:lang w:val="en-US" w:eastAsia="zh-CN"/>
        </w:rPr>
        <w:t>文件及其</w:t>
      </w:r>
      <w:r>
        <w:rPr>
          <w:rFonts w:hint="eastAsia" w:asciiTheme="minorEastAsia" w:hAnsiTheme="minorEastAsia" w:eastAsiaTheme="minorEastAsia" w:cstheme="minorEastAsia"/>
        </w:rPr>
        <w:t>所代替</w:t>
      </w:r>
      <w:r>
        <w:rPr>
          <w:rFonts w:hint="eastAsia" w:asciiTheme="minorEastAsia" w:hAnsiTheme="minorEastAsia" w:eastAsiaTheme="minorEastAsia" w:cstheme="minorEastAsia"/>
          <w:lang w:val="en-US" w:eastAsia="zh-CN"/>
        </w:rPr>
        <w:t>文件</w:t>
      </w:r>
      <w:r>
        <w:rPr>
          <w:rFonts w:hint="eastAsia" w:asciiTheme="minorEastAsia" w:hAnsiTheme="minorEastAsia" w:eastAsiaTheme="minorEastAsia" w:cstheme="minorEastAsia"/>
        </w:rPr>
        <w:t>的历次版本发布情况为:</w:t>
      </w:r>
    </w:p>
    <w:p>
      <w:pPr>
        <w:ind w:firstLine="420" w:firstLineChars="200"/>
        <w:rPr>
          <w:rFonts w:hint="eastAsia" w:asciiTheme="minorEastAsia" w:hAnsiTheme="minorEastAsia" w:eastAsiaTheme="minorEastAsia" w:cstheme="minorEastAsia"/>
        </w:rPr>
      </w:pPr>
      <w:r>
        <w:rPr>
          <w:rFonts w:hint="eastAsia" w:ascii="宋体" w:cs="Times New Roman"/>
          <w:lang w:eastAsia="zh-CN"/>
        </w:rPr>
        <w:t>——</w:t>
      </w:r>
      <w:r>
        <w:rPr>
          <w:rFonts w:hint="eastAsia" w:ascii="宋体" w:cs="Times New Roman"/>
          <w:lang w:val="en-US" w:eastAsia="zh-CN"/>
        </w:rPr>
        <w:t xml:space="preserve"> </w:t>
      </w:r>
      <w:r>
        <w:rPr>
          <w:rFonts w:hint="eastAsia" w:asciiTheme="minorEastAsia" w:hAnsiTheme="minorEastAsia" w:eastAsiaTheme="minorEastAsia" w:cstheme="minorEastAsia"/>
        </w:rPr>
        <w:t>DB13/1451-2011</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DB13/T2135-2014</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DB13/T2135-201</w:t>
      </w:r>
      <w:r>
        <w:rPr>
          <w:rFonts w:hint="eastAsia" w:asciiTheme="minorEastAsia" w:hAnsiTheme="minorEastAsia" w:eastAsiaTheme="minorEastAsia" w:cstheme="minorEastAsia"/>
          <w:lang w:val="en-US" w:eastAsia="zh-CN"/>
        </w:rPr>
        <w:t>9</w:t>
      </w:r>
      <w:r>
        <w:rPr>
          <w:rFonts w:hint="eastAsia" w:asciiTheme="minorEastAsia" w:hAnsiTheme="minorEastAsia" w:eastAsiaTheme="minorEastAsia" w:cstheme="minorEastAsia"/>
        </w:rPr>
        <w:t>。</w:t>
      </w:r>
    </w:p>
    <w:p>
      <w:pPr>
        <w:ind w:firstLine="420" w:firstLineChars="200"/>
        <w:rPr>
          <w:rFonts w:hint="eastAsia" w:asciiTheme="minorEastAsia" w:hAnsiTheme="minorEastAsia" w:eastAsiaTheme="minorEastAsia" w:cstheme="minorEastAsia"/>
        </w:rPr>
        <w:sectPr>
          <w:headerReference r:id="rId3" w:type="default"/>
          <w:footerReference r:id="rId4" w:type="default"/>
          <w:pgSz w:w="11906" w:h="16838"/>
          <w:pgMar w:top="1417" w:right="1134" w:bottom="1134" w:left="1418" w:header="1418" w:footer="1134" w:gutter="0"/>
          <w:pgNumType w:fmt="upperRoman" w:start="1"/>
          <w:cols w:space="0" w:num="1"/>
          <w:formProt w:val="0"/>
          <w:rtlGutter w:val="0"/>
          <w:docGrid w:type="lines" w:linePitch="312" w:charSpace="0"/>
        </w:sectPr>
      </w:pPr>
    </w:p>
    <w:p>
      <w:pPr>
        <w:jc w:val="center"/>
        <w:rPr>
          <w:rFonts w:hint="eastAsia" w:ascii="宋体" w:hAnsi="宋体"/>
          <w:b/>
          <w:bCs/>
          <w:sz w:val="28"/>
          <w:szCs w:val="28"/>
        </w:rPr>
      </w:pPr>
    </w:p>
    <w:p>
      <w:pPr>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水泥单位产品能源消耗限额引导性指标</w:t>
      </w:r>
    </w:p>
    <w:p>
      <w:pPr>
        <w:jc w:val="center"/>
        <w:rPr>
          <w:rFonts w:hint="eastAsia" w:asciiTheme="minorEastAsia" w:hAnsiTheme="minorEastAsia" w:eastAsiaTheme="minorEastAsia" w:cstheme="minorEastAsia"/>
          <w:b/>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sz w:val="21"/>
          <w:szCs w:val="21"/>
        </w:rPr>
      </w:pPr>
      <w:r>
        <w:rPr>
          <w:rFonts w:hint="eastAsia" w:ascii="黑体" w:hAnsi="黑体" w:eastAsia="黑体" w:cs="黑体"/>
          <w:b w:val="0"/>
          <w:bCs w:val="0"/>
          <w:sz w:val="21"/>
          <w:szCs w:val="21"/>
          <w:lang w:val="en-US" w:eastAsia="zh-CN"/>
        </w:rPr>
        <w:t xml:space="preserve">1   </w:t>
      </w:r>
      <w:r>
        <w:rPr>
          <w:rFonts w:hint="eastAsia" w:ascii="黑体" w:hAnsi="黑体" w:eastAsia="黑体" w:cs="黑体"/>
          <w:b w:val="0"/>
          <w:bCs w:val="0"/>
          <w:sz w:val="21"/>
          <w:szCs w:val="21"/>
        </w:rPr>
        <w:t>范围</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宋体" w:hAnsi="宋体"/>
          <w:b w:val="0"/>
          <w:bCs w:val="0"/>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宋体" w:hAnsi="宋体"/>
          <w:b w:val="0"/>
          <w:bCs w:val="0"/>
          <w:sz w:val="21"/>
          <w:szCs w:val="21"/>
        </w:rPr>
      </w:pPr>
      <w:r>
        <w:rPr>
          <w:rFonts w:hint="eastAsia" w:ascii="宋体" w:hAnsi="宋体"/>
          <w:b w:val="0"/>
          <w:bCs w:val="0"/>
          <w:sz w:val="21"/>
          <w:szCs w:val="21"/>
        </w:rPr>
        <w:t>本文件规定了水泥单位产品能源消耗(以下简称能耗)的限额等级、技术要求、统计范围与计算方法。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宋体" w:hAnsi="宋体"/>
          <w:b w:val="0"/>
          <w:bCs w:val="0"/>
          <w:sz w:val="21"/>
          <w:szCs w:val="21"/>
        </w:rPr>
      </w:pPr>
      <w:r>
        <w:rPr>
          <w:rFonts w:hint="eastAsia" w:ascii="宋体" w:hAnsi="宋体"/>
          <w:b w:val="0"/>
          <w:bCs w:val="0"/>
          <w:sz w:val="21"/>
          <w:szCs w:val="21"/>
        </w:rPr>
        <w:t>本文件适用于通用硅酸盐水泥生产企业用能单位能耗的计算、考核,以及对新建、改建和扩建项目的能耗控制。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宋体" w:hAnsi="宋体"/>
          <w:b w:val="0"/>
          <w:bCs w:val="0"/>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黑体" w:hAnsi="黑体" w:eastAsia="黑体" w:cs="黑体"/>
          <w:b w:val="0"/>
          <w:bCs w:val="0"/>
          <w:sz w:val="21"/>
          <w:szCs w:val="21"/>
        </w:rPr>
      </w:pPr>
      <w:r>
        <w:rPr>
          <w:rFonts w:hint="eastAsia" w:ascii="黑体" w:hAnsi="黑体" w:eastAsia="黑体" w:cs="黑体"/>
          <w:b w:val="0"/>
          <w:bCs w:val="0"/>
          <w:sz w:val="21"/>
          <w:szCs w:val="21"/>
          <w:lang w:val="en-US" w:eastAsia="zh-CN"/>
        </w:rPr>
        <w:t xml:space="preserve">2   </w:t>
      </w:r>
      <w:r>
        <w:rPr>
          <w:rFonts w:hint="eastAsia" w:ascii="黑体" w:hAnsi="黑体" w:eastAsia="黑体" w:cs="黑体"/>
          <w:b w:val="0"/>
          <w:bCs w:val="0"/>
          <w:sz w:val="21"/>
          <w:szCs w:val="21"/>
        </w:rPr>
        <w:t>规范性引用文件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宋体" w:hAnsi="宋体"/>
          <w:b/>
          <w:bCs/>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eastAsia="zh-CN"/>
        </w:rPr>
      </w:pPr>
      <w:r>
        <w:rPr>
          <w:rFonts w:hint="eastAsia" w:asciiTheme="minorEastAsia" w:hAnsiTheme="minorEastAsia" w:eastAsiaTheme="minorEastAsia" w:cstheme="minorEastAsia"/>
          <w:b w:val="0"/>
          <w:bCs w:val="0"/>
          <w:sz w:val="21"/>
          <w:szCs w:val="21"/>
        </w:rPr>
        <w:t>下列文件中的内容通过文中的规范性引用而构成本文件必不可少的条款。其中,注日期的引用文件,仅该日期对应的版本适用于本文件</w:t>
      </w:r>
      <w:r>
        <w:rPr>
          <w:rFonts w:hint="eastAsia" w:asciiTheme="minorEastAsia" w:hAnsiTheme="minorEastAsia" w:eastAsiaTheme="minorEastAsia" w:cstheme="minorEastAsia"/>
          <w:b w:val="0"/>
          <w:bCs w:val="0"/>
          <w:sz w:val="21"/>
          <w:szCs w:val="21"/>
          <w:lang w:eastAsia="zh-CN"/>
        </w:rPr>
        <w:t>；</w:t>
      </w:r>
      <w:r>
        <w:rPr>
          <w:rFonts w:hint="eastAsia" w:asciiTheme="minorEastAsia" w:hAnsiTheme="minorEastAsia" w:eastAsiaTheme="minorEastAsia" w:cstheme="minorEastAsia"/>
          <w:b w:val="0"/>
          <w:bCs w:val="0"/>
          <w:sz w:val="21"/>
          <w:szCs w:val="21"/>
        </w:rPr>
        <w:t>不注日期的引用文件,其最新版本(包括所有的修改单)适用于本文件。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GB</w:t>
      </w: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sz w:val="21"/>
          <w:szCs w:val="21"/>
        </w:rPr>
        <w:t>175</w:t>
      </w: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sz w:val="21"/>
          <w:szCs w:val="21"/>
        </w:rPr>
        <w:t>通用硅酸盐水泥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GB/T</w:t>
      </w: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sz w:val="21"/>
          <w:szCs w:val="21"/>
        </w:rPr>
        <w:t>213</w:t>
      </w: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sz w:val="21"/>
          <w:szCs w:val="21"/>
        </w:rPr>
        <w:t>煤的发热量测定方法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GB/T</w:t>
      </w: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sz w:val="21"/>
          <w:szCs w:val="21"/>
        </w:rPr>
        <w:t>2</w:t>
      </w:r>
      <w:r>
        <w:rPr>
          <w:rFonts w:hint="eastAsia" w:asciiTheme="minorEastAsia" w:hAnsiTheme="minorEastAsia" w:eastAsiaTheme="minorEastAsia" w:cstheme="minorEastAsia"/>
          <w:b w:val="0"/>
          <w:bCs w:val="0"/>
          <w:sz w:val="21"/>
          <w:szCs w:val="21"/>
          <w:lang w:val="en-US" w:eastAsia="zh-CN"/>
        </w:rPr>
        <w:t xml:space="preserve">84 </w:t>
      </w:r>
      <w:r>
        <w:rPr>
          <w:rFonts w:hint="eastAsia" w:asciiTheme="minorEastAsia" w:hAnsiTheme="minorEastAsia" w:eastAsiaTheme="minorEastAsia" w:cstheme="minorEastAsia"/>
          <w:b w:val="0"/>
          <w:bCs w:val="0"/>
          <w:sz w:val="21"/>
          <w:szCs w:val="21"/>
        </w:rPr>
        <w:t>石油产品热值测定法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GB/T</w:t>
      </w: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sz w:val="21"/>
          <w:szCs w:val="21"/>
        </w:rPr>
        <w:t>2589</w:t>
      </w: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sz w:val="21"/>
          <w:szCs w:val="21"/>
        </w:rPr>
        <w:t>综合能耗计算通则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GB/T</w:t>
      </w: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sz w:val="21"/>
          <w:szCs w:val="21"/>
        </w:rPr>
        <w:t>12723</w:t>
      </w: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sz w:val="21"/>
          <w:szCs w:val="21"/>
        </w:rPr>
        <w:t>单位产品能源消耗限额编制通则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 xml:space="preserve">GB </w:t>
      </w:r>
      <w:r>
        <w:rPr>
          <w:rFonts w:hint="eastAsia" w:asciiTheme="minorEastAsia" w:hAnsiTheme="minorEastAsia" w:eastAsiaTheme="minorEastAsia" w:cstheme="minorEastAsia"/>
          <w:b w:val="0"/>
          <w:bCs w:val="0"/>
          <w:sz w:val="21"/>
          <w:szCs w:val="21"/>
          <w:lang w:val="en-US" w:eastAsia="zh-CN"/>
        </w:rPr>
        <w:t xml:space="preserve">16780 </w:t>
      </w:r>
      <w:r>
        <w:rPr>
          <w:rFonts w:hint="eastAsia" w:asciiTheme="minorEastAsia" w:hAnsiTheme="minorEastAsia" w:eastAsiaTheme="minorEastAsia" w:cstheme="minorEastAsia"/>
          <w:szCs w:val="21"/>
        </w:rPr>
        <w:t>水泥单位产品能源消耗限额</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GB</w:t>
      </w: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sz w:val="21"/>
          <w:szCs w:val="21"/>
        </w:rPr>
        <w:t>17167</w:t>
      </w: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sz w:val="21"/>
          <w:szCs w:val="21"/>
        </w:rPr>
        <w:t>用能单位能源计量器具配备和管理通则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GB/T</w:t>
      </w: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sz w:val="21"/>
          <w:szCs w:val="21"/>
        </w:rPr>
        <w:t>21372</w:t>
      </w: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sz w:val="21"/>
          <w:szCs w:val="21"/>
        </w:rPr>
        <w:t>硅酸盐水泥熟料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GB/T</w:t>
      </w: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sz w:val="21"/>
          <w:szCs w:val="21"/>
        </w:rPr>
        <w:t>27977</w:t>
      </w: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sz w:val="21"/>
          <w:szCs w:val="21"/>
        </w:rPr>
        <w:t>水泥生产电能能效测试及计算方法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GB/T</w:t>
      </w: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sz w:val="21"/>
          <w:szCs w:val="21"/>
        </w:rPr>
        <w:t>30727</w:t>
      </w: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sz w:val="21"/>
          <w:szCs w:val="21"/>
        </w:rPr>
        <w:t>固体生物质燃料发热量测定方法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GB/T</w:t>
      </w: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sz w:val="21"/>
          <w:szCs w:val="21"/>
        </w:rPr>
        <w:t>33652</w:t>
      </w: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sz w:val="21"/>
          <w:szCs w:val="21"/>
        </w:rPr>
        <w:t>水泥制造能耗测试技术规程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GB/T 35461</w:t>
      </w: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sz w:val="21"/>
          <w:szCs w:val="21"/>
        </w:rPr>
        <w:t>水泥生产企业能源计量器具配备和管理要求</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default" w:asciiTheme="minorEastAsia" w:hAnsiTheme="minorEastAsia" w:eastAsiaTheme="minorEastAsia" w:cstheme="minorEastAsia"/>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黑体" w:hAnsi="黑体" w:eastAsia="黑体" w:cs="黑体"/>
          <w:b w:val="0"/>
          <w:bCs w:val="0"/>
          <w:sz w:val="21"/>
          <w:szCs w:val="21"/>
        </w:rPr>
      </w:pPr>
      <w:r>
        <w:rPr>
          <w:rFonts w:hint="eastAsia" w:ascii="黑体" w:hAnsi="黑体" w:eastAsia="黑体" w:cs="黑体"/>
          <w:b w:val="0"/>
          <w:bCs w:val="0"/>
          <w:sz w:val="21"/>
          <w:szCs w:val="21"/>
          <w:lang w:val="en-US" w:eastAsia="zh-CN"/>
        </w:rPr>
        <w:t xml:space="preserve">3   </w:t>
      </w:r>
      <w:r>
        <w:rPr>
          <w:rFonts w:hint="eastAsia" w:ascii="黑体" w:hAnsi="黑体" w:eastAsia="黑体" w:cs="黑体"/>
          <w:b w:val="0"/>
          <w:bCs w:val="0"/>
          <w:sz w:val="21"/>
          <w:szCs w:val="21"/>
        </w:rPr>
        <w:t>术语和定义</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Theme="minorEastAsia" w:hAnsiTheme="minorEastAsia" w:eastAsiaTheme="minorEastAsia" w:cstheme="minorEastAsia"/>
          <w:b/>
          <w:bCs/>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GB 175</w:t>
      </w:r>
      <w:r>
        <w:rPr>
          <w:rFonts w:hint="eastAsia" w:asciiTheme="minorEastAsia" w:hAnsiTheme="minorEastAsia" w:eastAsiaTheme="minorEastAsia" w:cstheme="minorEastAsia"/>
          <w:b w:val="0"/>
          <w:bCs w:val="0"/>
          <w:sz w:val="21"/>
          <w:szCs w:val="21"/>
          <w:lang w:eastAsia="zh-CN"/>
        </w:rPr>
        <w:t>、</w:t>
      </w:r>
      <w:r>
        <w:rPr>
          <w:rFonts w:hint="eastAsia" w:asciiTheme="minorEastAsia" w:hAnsiTheme="minorEastAsia" w:eastAsiaTheme="minorEastAsia" w:cstheme="minorEastAsia"/>
          <w:b w:val="0"/>
          <w:bCs w:val="0"/>
          <w:sz w:val="21"/>
          <w:szCs w:val="21"/>
        </w:rPr>
        <w:t>GB/T 2589</w:t>
      </w:r>
      <w:r>
        <w:rPr>
          <w:rFonts w:hint="eastAsia" w:asciiTheme="minorEastAsia" w:hAnsiTheme="minorEastAsia" w:eastAsiaTheme="minorEastAsia" w:cstheme="minorEastAsia"/>
          <w:b w:val="0"/>
          <w:bCs w:val="0"/>
          <w:sz w:val="21"/>
          <w:szCs w:val="21"/>
          <w:lang w:eastAsia="zh-CN"/>
        </w:rPr>
        <w:t>、</w:t>
      </w:r>
      <w:r>
        <w:rPr>
          <w:rFonts w:hint="eastAsia" w:asciiTheme="minorEastAsia" w:hAnsiTheme="minorEastAsia" w:eastAsiaTheme="minorEastAsia" w:cstheme="minorEastAsia"/>
          <w:b w:val="0"/>
          <w:bCs w:val="0"/>
          <w:sz w:val="21"/>
          <w:szCs w:val="21"/>
        </w:rPr>
        <w:t>GB/T 12723</w:t>
      </w:r>
      <w:r>
        <w:rPr>
          <w:rFonts w:hint="eastAsia" w:asciiTheme="minorEastAsia" w:hAnsiTheme="minorEastAsia" w:eastAsiaTheme="minorEastAsia" w:cstheme="minorEastAsia"/>
          <w:b w:val="0"/>
          <w:bCs w:val="0"/>
          <w:sz w:val="21"/>
          <w:szCs w:val="21"/>
          <w:lang w:eastAsia="zh-CN"/>
        </w:rPr>
        <w:t>、</w:t>
      </w:r>
      <w:r>
        <w:rPr>
          <w:rFonts w:hint="eastAsia" w:asciiTheme="minorEastAsia" w:hAnsiTheme="minorEastAsia" w:eastAsiaTheme="minorEastAsia" w:cstheme="minorEastAsia"/>
          <w:b w:val="0"/>
          <w:bCs w:val="0"/>
          <w:sz w:val="21"/>
          <w:szCs w:val="21"/>
        </w:rPr>
        <w:t xml:space="preserve">GB </w:t>
      </w:r>
      <w:r>
        <w:rPr>
          <w:rFonts w:hint="eastAsia" w:asciiTheme="minorEastAsia" w:hAnsiTheme="minorEastAsia" w:eastAsiaTheme="minorEastAsia" w:cstheme="minorEastAsia"/>
          <w:b w:val="0"/>
          <w:bCs w:val="0"/>
          <w:sz w:val="21"/>
          <w:szCs w:val="21"/>
          <w:lang w:val="en-US" w:eastAsia="zh-CN"/>
        </w:rPr>
        <w:t>16780、</w:t>
      </w:r>
      <w:r>
        <w:rPr>
          <w:rFonts w:hint="eastAsia" w:asciiTheme="minorEastAsia" w:hAnsiTheme="minorEastAsia" w:eastAsiaTheme="minorEastAsia" w:cstheme="minorEastAsia"/>
          <w:b w:val="0"/>
          <w:bCs w:val="0"/>
          <w:sz w:val="21"/>
          <w:szCs w:val="21"/>
        </w:rPr>
        <w:t>GB/T 21372 界定的以及下列术语和定义适用于本文件。</w:t>
      </w:r>
    </w:p>
    <w:p>
      <w:pPr>
        <w:pStyle w:val="25"/>
        <w:keepNext w:val="0"/>
        <w:keepLines w:val="0"/>
        <w:pageBreakBefore w:val="0"/>
        <w:widowControl w:val="0"/>
        <w:kinsoku/>
        <w:wordWrap/>
        <w:overflowPunct/>
        <w:topLinePunct w:val="0"/>
        <w:autoSpaceDE/>
        <w:autoSpaceDN/>
        <w:bidi w:val="0"/>
        <w:adjustRightInd/>
        <w:snapToGrid/>
        <w:spacing w:line="240" w:lineRule="auto"/>
        <w:ind w:left="0" w:right="0" w:rightChars="0"/>
        <w:jc w:val="left"/>
        <w:textAlignment w:val="auto"/>
        <w:outlineLvl w:val="9"/>
        <w:rPr>
          <w:rFonts w:hint="default" w:ascii="黑体" w:hAnsi="黑体" w:eastAsia="黑体" w:cs="黑体"/>
          <w:b w:val="0"/>
          <w:bCs w:val="0"/>
          <w:kern w:val="2"/>
          <w:sz w:val="21"/>
          <w:szCs w:val="21"/>
          <w:lang w:val="en-US" w:eastAsia="zh-CN"/>
        </w:rPr>
      </w:pPr>
      <w:r>
        <w:rPr>
          <w:rFonts w:hint="default" w:ascii="黑体" w:hAnsi="黑体" w:eastAsia="黑体" w:cs="黑体"/>
          <w:b w:val="0"/>
          <w:bCs w:val="0"/>
          <w:kern w:val="2"/>
          <w:sz w:val="21"/>
          <w:szCs w:val="21"/>
          <w:lang w:val="en-US" w:eastAsia="zh-CN"/>
        </w:rPr>
        <w:t>3.1</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黑体" w:hAnsi="黑体" w:eastAsia="黑体" w:cs="黑体"/>
          <w:b w:val="0"/>
          <w:bCs w:val="0"/>
          <w:sz w:val="21"/>
          <w:szCs w:val="21"/>
        </w:rPr>
      </w:pPr>
      <w:r>
        <w:rPr>
          <w:rFonts w:hint="eastAsia" w:ascii="黑体" w:hAnsi="黑体" w:eastAsia="黑体" w:cs="黑体"/>
          <w:b w:val="0"/>
          <w:bCs w:val="0"/>
          <w:sz w:val="21"/>
          <w:szCs w:val="21"/>
        </w:rPr>
        <w:t>熟料单位产品综合能耗</w:t>
      </w:r>
      <w:r>
        <w:rPr>
          <w:rFonts w:hint="eastAsia" w:ascii="黑体" w:hAnsi="黑体" w:eastAsia="黑体" w:cs="黑体"/>
          <w:b w:val="0"/>
          <w:bCs w:val="0"/>
          <w:sz w:val="21"/>
          <w:szCs w:val="21"/>
          <w:lang w:val="en-US" w:eastAsia="zh-CN"/>
        </w:rPr>
        <w:t xml:space="preserve"> </w:t>
      </w:r>
      <w:r>
        <w:rPr>
          <w:rFonts w:hint="eastAsia" w:ascii="黑体" w:hAnsi="黑体" w:eastAsia="黑体" w:cs="黑体"/>
          <w:b w:val="0"/>
          <w:bCs w:val="0"/>
          <w:sz w:val="21"/>
          <w:szCs w:val="21"/>
        </w:rPr>
        <w:t>energy consumption per unit product of clinker</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eastAsia="zh-CN"/>
        </w:rPr>
      </w:pPr>
      <w:r>
        <w:rPr>
          <w:rFonts w:hint="eastAsia" w:asciiTheme="minorEastAsia" w:hAnsiTheme="minorEastAsia" w:eastAsiaTheme="minorEastAsia" w:cstheme="minorEastAsia"/>
          <w:b w:val="0"/>
          <w:bCs w:val="0"/>
          <w:sz w:val="21"/>
          <w:szCs w:val="21"/>
        </w:rPr>
        <w:t>在统计报告期内,用能单位生产水泥熟料消耗的各种能源,折算成 1 t 水泥熟料消耗的能源量</w:t>
      </w:r>
      <w:r>
        <w:rPr>
          <w:rFonts w:hint="eastAsia" w:asciiTheme="minorEastAsia" w:hAnsiTheme="minorEastAsia" w:eastAsiaTheme="minorEastAsia" w:cstheme="minorEastAsia"/>
          <w:b w:val="0"/>
          <w:bCs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[来源：</w:t>
      </w:r>
      <w:r>
        <w:rPr>
          <w:rFonts w:hint="eastAsia" w:asciiTheme="minorEastAsia" w:hAnsiTheme="minorEastAsia" w:eastAsiaTheme="minorEastAsia" w:cstheme="minorEastAsia"/>
          <w:b w:val="0"/>
          <w:bCs w:val="0"/>
          <w:sz w:val="21"/>
          <w:szCs w:val="21"/>
        </w:rPr>
        <w:t xml:space="preserve">GB </w:t>
      </w:r>
      <w:r>
        <w:rPr>
          <w:rFonts w:hint="eastAsia" w:asciiTheme="minorEastAsia" w:hAnsiTheme="minorEastAsia" w:eastAsiaTheme="minorEastAsia" w:cstheme="minorEastAsia"/>
          <w:b w:val="0"/>
          <w:bCs w:val="0"/>
          <w:sz w:val="21"/>
          <w:szCs w:val="21"/>
          <w:lang w:val="en-US" w:eastAsia="zh-CN"/>
        </w:rPr>
        <w:t>16780-2021]</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default" w:asciiTheme="minorEastAsia" w:hAnsiTheme="minorEastAsia" w:eastAsiaTheme="minorEastAsia" w:cstheme="minorEastAsia"/>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sz w:val="21"/>
          <w:szCs w:val="21"/>
        </w:rPr>
      </w:pPr>
      <w:r>
        <w:rPr>
          <w:rFonts w:hint="eastAsia" w:ascii="黑体" w:hAnsi="黑体" w:eastAsia="黑体" w:cs="黑体"/>
          <w:b w:val="0"/>
          <w:bCs w:val="0"/>
          <w:sz w:val="21"/>
          <w:szCs w:val="21"/>
        </w:rPr>
        <w:t>3.2</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黑体" w:hAnsi="黑体" w:eastAsia="黑体" w:cs="黑体"/>
          <w:b w:val="0"/>
          <w:bCs w:val="0"/>
          <w:sz w:val="21"/>
          <w:szCs w:val="21"/>
        </w:rPr>
      </w:pPr>
      <w:r>
        <w:rPr>
          <w:rFonts w:hint="eastAsia" w:ascii="黑体" w:hAnsi="黑体" w:eastAsia="黑体" w:cs="黑体"/>
          <w:b w:val="0"/>
          <w:bCs w:val="0"/>
          <w:sz w:val="21"/>
          <w:szCs w:val="21"/>
        </w:rPr>
        <w:t>水泥单位产品综合能耗energy consumption per unit product of cement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eastAsia="zh-CN"/>
        </w:rPr>
      </w:pPr>
      <w:r>
        <w:rPr>
          <w:rFonts w:hint="eastAsia" w:asciiTheme="minorEastAsia" w:hAnsiTheme="minorEastAsia" w:eastAsiaTheme="minorEastAsia" w:cstheme="minorEastAsia"/>
          <w:b w:val="0"/>
          <w:bCs w:val="0"/>
          <w:sz w:val="21"/>
          <w:szCs w:val="21"/>
        </w:rPr>
        <w:t>在统计报告期内,用能单位生产水泥消耗的各种能源,折算成 1t水泥消耗的能源量</w:t>
      </w:r>
      <w:r>
        <w:rPr>
          <w:rFonts w:hint="eastAsia" w:asciiTheme="minorEastAsia" w:hAnsiTheme="minorEastAsia" w:eastAsiaTheme="minorEastAsia" w:cstheme="minorEastAsia"/>
          <w:b w:val="0"/>
          <w:bCs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[来源：</w:t>
      </w:r>
      <w:r>
        <w:rPr>
          <w:rFonts w:hint="eastAsia" w:asciiTheme="minorEastAsia" w:hAnsiTheme="minorEastAsia" w:eastAsiaTheme="minorEastAsia" w:cstheme="minorEastAsia"/>
          <w:b w:val="0"/>
          <w:bCs w:val="0"/>
          <w:sz w:val="21"/>
          <w:szCs w:val="21"/>
        </w:rPr>
        <w:t xml:space="preserve">GB </w:t>
      </w:r>
      <w:r>
        <w:rPr>
          <w:rFonts w:hint="eastAsia" w:asciiTheme="minorEastAsia" w:hAnsiTheme="minorEastAsia" w:eastAsiaTheme="minorEastAsia" w:cstheme="minorEastAsia"/>
          <w:b w:val="0"/>
          <w:bCs w:val="0"/>
          <w:sz w:val="21"/>
          <w:szCs w:val="21"/>
          <w:lang w:val="en-US" w:eastAsia="zh-CN"/>
        </w:rPr>
        <w:t>16780-2021]</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left"/>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3.3</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left"/>
        <w:textAlignment w:val="auto"/>
        <w:outlineLvl w:val="9"/>
        <w:rPr>
          <w:rFonts w:hint="eastAsia" w:ascii="黑体" w:hAnsi="黑体" w:eastAsia="黑体" w:cs="黑体"/>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黑体" w:hAnsi="黑体" w:eastAsia="黑体" w:cs="黑体"/>
          <w:b w:val="0"/>
          <w:bCs w:val="0"/>
          <w:sz w:val="21"/>
          <w:szCs w:val="21"/>
        </w:rPr>
      </w:pPr>
      <w:r>
        <w:rPr>
          <w:rFonts w:hint="eastAsia" w:ascii="黑体" w:hAnsi="黑体" w:eastAsia="黑体" w:cs="黑体"/>
          <w:b w:val="0"/>
          <w:bCs w:val="0"/>
          <w:sz w:val="21"/>
          <w:szCs w:val="21"/>
        </w:rPr>
        <w:t>熟料单位产品综合煤耗 fuel consumption per unit product of clinker</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在统计报告期内,用能单位生产水泥熟料消耗的煤、柴油等燃料量,折算成 1t水泥熟料消耗的标</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准煤量。</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[来源：</w:t>
      </w:r>
      <w:r>
        <w:rPr>
          <w:rFonts w:hint="eastAsia" w:asciiTheme="minorEastAsia" w:hAnsiTheme="minorEastAsia" w:eastAsiaTheme="minorEastAsia" w:cstheme="minorEastAsia"/>
          <w:b w:val="0"/>
          <w:bCs w:val="0"/>
          <w:sz w:val="21"/>
          <w:szCs w:val="21"/>
        </w:rPr>
        <w:t xml:space="preserve">GB </w:t>
      </w:r>
      <w:r>
        <w:rPr>
          <w:rFonts w:hint="eastAsia" w:asciiTheme="minorEastAsia" w:hAnsiTheme="minorEastAsia" w:eastAsiaTheme="minorEastAsia" w:cstheme="minorEastAsia"/>
          <w:b w:val="0"/>
          <w:bCs w:val="0"/>
          <w:sz w:val="21"/>
          <w:szCs w:val="21"/>
          <w:lang w:val="en-US" w:eastAsia="zh-CN"/>
        </w:rPr>
        <w:t>16780-2021]</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rPr>
      </w:pPr>
    </w:p>
    <w:p>
      <w:pPr>
        <w:pStyle w:val="25"/>
        <w:keepNext w:val="0"/>
        <w:keepLines w:val="0"/>
        <w:pageBreakBefore w:val="0"/>
        <w:widowControl w:val="0"/>
        <w:kinsoku/>
        <w:wordWrap/>
        <w:overflowPunct/>
        <w:topLinePunct w:val="0"/>
        <w:autoSpaceDE/>
        <w:autoSpaceDN/>
        <w:bidi w:val="0"/>
        <w:adjustRightInd/>
        <w:snapToGrid/>
        <w:spacing w:line="240" w:lineRule="auto"/>
        <w:ind w:left="0" w:right="0" w:rightChars="0"/>
        <w:jc w:val="left"/>
        <w:textAlignment w:val="auto"/>
        <w:outlineLvl w:val="9"/>
        <w:rPr>
          <w:rFonts w:hint="default" w:ascii="黑体" w:hAnsi="黑体" w:eastAsia="黑体" w:cs="黑体"/>
          <w:b w:val="0"/>
          <w:bCs w:val="0"/>
          <w:kern w:val="2"/>
          <w:sz w:val="21"/>
          <w:szCs w:val="21"/>
        </w:rPr>
      </w:pPr>
      <w:r>
        <w:rPr>
          <w:rFonts w:hint="default" w:ascii="黑体" w:hAnsi="黑体" w:eastAsia="黑体" w:cs="黑体"/>
          <w:b w:val="0"/>
          <w:bCs w:val="0"/>
          <w:kern w:val="2"/>
          <w:sz w:val="21"/>
          <w:szCs w:val="21"/>
        </w:rPr>
        <w:t>3.4</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default" w:ascii="黑体" w:hAnsi="Times New Roman" w:eastAsia="黑体" w:cs="Times New Roman"/>
          <w:b w:val="0"/>
          <w:bCs w:val="0"/>
          <w:sz w:val="21"/>
          <w:szCs w:val="21"/>
        </w:rPr>
      </w:pPr>
      <w:r>
        <w:rPr>
          <w:rFonts w:hint="default" w:ascii="黑体" w:hAnsi="Times New Roman" w:eastAsia="黑体" w:cs="Times New Roman"/>
          <w:b w:val="0"/>
          <w:bCs w:val="0"/>
          <w:sz w:val="21"/>
          <w:szCs w:val="21"/>
        </w:rPr>
        <w:t>熟料单位产品综合电耗 electricity consumption per unit product of clinker</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eastAsia="zh-CN"/>
        </w:rPr>
      </w:pPr>
      <w:r>
        <w:rPr>
          <w:rFonts w:hint="eastAsia" w:asciiTheme="minorEastAsia" w:hAnsiTheme="minorEastAsia" w:eastAsiaTheme="minorEastAsia" w:cstheme="minorEastAsia"/>
          <w:b w:val="0"/>
          <w:bCs w:val="0"/>
          <w:sz w:val="21"/>
          <w:szCs w:val="21"/>
        </w:rPr>
        <w:t>在统计报告期内,用能单位生产水泥熟料消耗的电能,折算成 1t水泥熟料消耗的电能</w:t>
      </w:r>
      <w:r>
        <w:rPr>
          <w:rFonts w:hint="eastAsia" w:asciiTheme="minorEastAsia" w:hAnsiTheme="minorEastAsia" w:eastAsiaTheme="minorEastAsia" w:cstheme="minorEastAsia"/>
          <w:b w:val="0"/>
          <w:bCs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[来源：</w:t>
      </w:r>
      <w:r>
        <w:rPr>
          <w:rFonts w:hint="eastAsia" w:asciiTheme="minorEastAsia" w:hAnsiTheme="minorEastAsia" w:eastAsiaTheme="minorEastAsia" w:cstheme="minorEastAsia"/>
          <w:b w:val="0"/>
          <w:bCs w:val="0"/>
          <w:sz w:val="21"/>
          <w:szCs w:val="21"/>
        </w:rPr>
        <w:t xml:space="preserve">GB </w:t>
      </w:r>
      <w:r>
        <w:rPr>
          <w:rFonts w:hint="eastAsia" w:asciiTheme="minorEastAsia" w:hAnsiTheme="minorEastAsia" w:eastAsiaTheme="minorEastAsia" w:cstheme="minorEastAsia"/>
          <w:b w:val="0"/>
          <w:bCs w:val="0"/>
          <w:sz w:val="21"/>
          <w:szCs w:val="21"/>
          <w:lang w:val="en-US" w:eastAsia="zh-CN"/>
        </w:rPr>
        <w:t>16780-2021]</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eastAsia="zh-CN"/>
        </w:rPr>
      </w:pPr>
    </w:p>
    <w:p>
      <w:pPr>
        <w:pStyle w:val="25"/>
        <w:keepNext w:val="0"/>
        <w:keepLines w:val="0"/>
        <w:pageBreakBefore w:val="0"/>
        <w:widowControl w:val="0"/>
        <w:kinsoku/>
        <w:wordWrap/>
        <w:overflowPunct/>
        <w:topLinePunct w:val="0"/>
        <w:autoSpaceDE/>
        <w:autoSpaceDN/>
        <w:bidi w:val="0"/>
        <w:adjustRightInd/>
        <w:snapToGrid/>
        <w:spacing w:line="240" w:lineRule="auto"/>
        <w:ind w:left="0" w:right="0" w:rightChars="0"/>
        <w:jc w:val="left"/>
        <w:textAlignment w:val="auto"/>
        <w:outlineLvl w:val="9"/>
        <w:rPr>
          <w:rFonts w:hint="default" w:ascii="黑体" w:hAnsi="黑体" w:eastAsia="黑体" w:cs="黑体"/>
          <w:b w:val="0"/>
          <w:bCs w:val="0"/>
          <w:kern w:val="2"/>
          <w:sz w:val="21"/>
          <w:szCs w:val="21"/>
        </w:rPr>
      </w:pPr>
      <w:r>
        <w:rPr>
          <w:rFonts w:hint="default" w:ascii="黑体" w:hAnsi="黑体" w:eastAsia="黑体" w:cs="黑体"/>
          <w:b w:val="0"/>
          <w:bCs w:val="0"/>
          <w:kern w:val="2"/>
          <w:sz w:val="21"/>
          <w:szCs w:val="21"/>
        </w:rPr>
        <w:t>3</w:t>
      </w:r>
      <w:r>
        <w:rPr>
          <w:rFonts w:hint="default" w:ascii="黑体" w:hAnsi="黑体" w:eastAsia="黑体" w:cs="黑体"/>
          <w:b w:val="0"/>
          <w:bCs w:val="0"/>
          <w:kern w:val="2"/>
          <w:sz w:val="21"/>
          <w:szCs w:val="21"/>
          <w:lang w:val="en-US" w:eastAsia="zh-CN"/>
        </w:rPr>
        <w:t>.</w:t>
      </w:r>
      <w:r>
        <w:rPr>
          <w:rFonts w:hint="default" w:ascii="黑体" w:hAnsi="黑体" w:eastAsia="黑体" w:cs="黑体"/>
          <w:b w:val="0"/>
          <w:bCs w:val="0"/>
          <w:kern w:val="2"/>
          <w:sz w:val="21"/>
          <w:szCs w:val="21"/>
        </w:rPr>
        <w:t>5</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default" w:ascii="黑体" w:hAnsi="Times New Roman" w:eastAsia="黑体" w:cs="Times New Roman"/>
          <w:b w:val="0"/>
          <w:bCs w:val="0"/>
          <w:sz w:val="21"/>
          <w:szCs w:val="21"/>
        </w:rPr>
      </w:pPr>
      <w:r>
        <w:rPr>
          <w:rFonts w:hint="default" w:ascii="黑体" w:hAnsi="Times New Roman" w:eastAsia="黑体" w:cs="Times New Roman"/>
          <w:b w:val="0"/>
          <w:bCs w:val="0"/>
          <w:sz w:val="21"/>
          <w:szCs w:val="21"/>
        </w:rPr>
        <w:t>水泥单位产品综合电耗 electricity consumption per unit product of cement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eastAsia="zh-CN"/>
        </w:rPr>
      </w:pPr>
      <w:r>
        <w:rPr>
          <w:rFonts w:hint="eastAsia" w:asciiTheme="minorEastAsia" w:hAnsiTheme="minorEastAsia" w:eastAsiaTheme="minorEastAsia" w:cstheme="minorEastAsia"/>
          <w:b w:val="0"/>
          <w:bCs w:val="0"/>
          <w:sz w:val="21"/>
          <w:szCs w:val="21"/>
        </w:rPr>
        <w:t>在统计报告期内,用能单位生产水泥消耗的电能,折算成 1t 水泥消耗的电能</w:t>
      </w:r>
      <w:r>
        <w:rPr>
          <w:rFonts w:hint="eastAsia" w:asciiTheme="minorEastAsia" w:hAnsiTheme="minorEastAsia" w:eastAsiaTheme="minorEastAsia" w:cstheme="minorEastAsia"/>
          <w:b w:val="0"/>
          <w:bCs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[来源：</w:t>
      </w:r>
      <w:r>
        <w:rPr>
          <w:rFonts w:hint="eastAsia" w:asciiTheme="minorEastAsia" w:hAnsiTheme="minorEastAsia" w:eastAsiaTheme="minorEastAsia" w:cstheme="minorEastAsia"/>
          <w:b w:val="0"/>
          <w:bCs w:val="0"/>
          <w:sz w:val="21"/>
          <w:szCs w:val="21"/>
        </w:rPr>
        <w:t xml:space="preserve">GB </w:t>
      </w:r>
      <w:r>
        <w:rPr>
          <w:rFonts w:hint="eastAsia" w:asciiTheme="minorEastAsia" w:hAnsiTheme="minorEastAsia" w:eastAsiaTheme="minorEastAsia" w:cstheme="minorEastAsia"/>
          <w:b w:val="0"/>
          <w:bCs w:val="0"/>
          <w:sz w:val="21"/>
          <w:szCs w:val="21"/>
          <w:lang w:val="en-US" w:eastAsia="zh-CN"/>
        </w:rPr>
        <w:t>16780-2021]</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eastAsia="zh-CN"/>
        </w:rPr>
      </w:pP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3.6</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420" w:firstLineChars="200"/>
        <w:jc w:val="left"/>
        <w:textAlignment w:val="auto"/>
        <w:outlineLvl w:val="9"/>
        <w:rPr>
          <w:rFonts w:hint="default" w:ascii="黑体" w:hAnsi="Times New Roman" w:eastAsia="黑体" w:cs="Times New Roman"/>
          <w:b w:val="0"/>
          <w:bCs w:val="0"/>
          <w:sz w:val="21"/>
          <w:szCs w:val="21"/>
          <w:vertAlign w:val="baseline"/>
          <w:lang w:val="en-US" w:eastAsia="zh-CN"/>
        </w:rPr>
      </w:pPr>
      <w:r>
        <w:rPr>
          <w:rFonts w:hint="default" w:ascii="黑体" w:hAnsi="Times New Roman" w:eastAsia="黑体" w:cs="Times New Roman"/>
          <w:b w:val="0"/>
          <w:bCs w:val="0"/>
          <w:sz w:val="21"/>
          <w:szCs w:val="21"/>
          <w:vertAlign w:val="baseline"/>
          <w:lang w:val="en-US" w:eastAsia="zh-CN"/>
        </w:rPr>
        <w:t>水泥制备工段电耗</w:t>
      </w:r>
      <w:r>
        <w:rPr>
          <w:rFonts w:hint="eastAsia" w:ascii="黑体" w:eastAsia="黑体" w:cs="Times New Roman"/>
          <w:b w:val="0"/>
          <w:bCs w:val="0"/>
          <w:sz w:val="21"/>
          <w:szCs w:val="21"/>
          <w:vertAlign w:val="baseline"/>
          <w:lang w:val="en-US" w:eastAsia="zh-CN"/>
        </w:rPr>
        <w:t xml:space="preserve"> </w:t>
      </w:r>
      <w:r>
        <w:rPr>
          <w:rFonts w:hint="default" w:ascii="黑体" w:hAnsi="Times New Roman" w:eastAsia="黑体" w:cs="Times New Roman"/>
          <w:b w:val="0"/>
          <w:bCs w:val="0"/>
          <w:sz w:val="21"/>
          <w:szCs w:val="21"/>
        </w:rPr>
        <w:t>electricity consumption</w:t>
      </w:r>
      <w:r>
        <w:rPr>
          <w:rFonts w:hint="eastAsia" w:ascii="黑体" w:eastAsia="黑体" w:cs="Times New Roman"/>
          <w:b w:val="0"/>
          <w:bCs w:val="0"/>
          <w:sz w:val="21"/>
          <w:szCs w:val="21"/>
          <w:lang w:val="en-US" w:eastAsia="zh-CN"/>
        </w:rPr>
        <w:t xml:space="preserve"> </w:t>
      </w:r>
      <w:r>
        <w:rPr>
          <w:rFonts w:hint="default" w:ascii="黑体" w:hAnsi="Times New Roman" w:eastAsia="黑体" w:cs="Times New Roman"/>
          <w:b w:val="0"/>
          <w:bCs w:val="0"/>
          <w:sz w:val="21"/>
          <w:szCs w:val="21"/>
        </w:rPr>
        <w:t>of cement</w:t>
      </w:r>
      <w:r>
        <w:rPr>
          <w:rFonts w:ascii="黑体" w:hAnsi="Times New Roman" w:eastAsia="黑体" w:cs="Times New Roman"/>
          <w:i w:val="0"/>
          <w:caps w:val="0"/>
          <w:color w:val="auto"/>
          <w:spacing w:val="0"/>
          <w:sz w:val="21"/>
          <w:szCs w:val="21"/>
          <w:shd w:val="clear" w:fill="auto"/>
        </w:rPr>
        <w:t xml:space="preserve"> preparation section</w:t>
      </w:r>
    </w:p>
    <w:p>
      <w:pPr>
        <w:keepNext w:val="0"/>
        <w:keepLines w:val="0"/>
        <w:pageBreakBefore w:val="0"/>
        <w:widowControl w:val="0"/>
        <w:kinsoku/>
        <w:wordWrap/>
        <w:overflowPunct/>
        <w:topLinePunct w:val="0"/>
        <w:autoSpaceDE/>
        <w:autoSpaceDN/>
        <w:bidi w:val="0"/>
        <w:adjustRightInd/>
        <w:snapToGrid/>
        <w:spacing w:beforeLines="0" w:afterLines="0" w:line="240" w:lineRule="auto"/>
        <w:ind w:right="0" w:rightChars="0" w:firstLine="420" w:firstLineChars="200"/>
        <w:jc w:val="left"/>
        <w:textAlignment w:val="auto"/>
        <w:outlineLvl w:val="9"/>
        <w:rPr>
          <w:rFonts w:hint="eastAsia" w:ascii="黑体" w:hAnsi="黑体" w:eastAsia="黑体" w:cs="黑体"/>
          <w:b w:val="0"/>
          <w:bCs w:val="0"/>
          <w:sz w:val="21"/>
          <w:szCs w:val="24"/>
          <w:lang w:val="en-US" w:eastAsia="zh-CN"/>
        </w:rPr>
      </w:pPr>
      <w:r>
        <w:rPr>
          <w:rFonts w:hint="eastAsia" w:asciiTheme="minorEastAsia" w:hAnsiTheme="minorEastAsia" w:eastAsiaTheme="minorEastAsia" w:cstheme="minorEastAsia"/>
          <w:b w:val="0"/>
          <w:bCs w:val="0"/>
          <w:sz w:val="21"/>
          <w:szCs w:val="21"/>
        </w:rPr>
        <w:t>在统计报告期内,用能单位</w:t>
      </w:r>
      <w:r>
        <w:rPr>
          <w:rFonts w:hint="eastAsia" w:asciiTheme="minorEastAsia" w:hAnsiTheme="minorEastAsia" w:eastAsiaTheme="minorEastAsia" w:cstheme="minorEastAsia"/>
          <w:b w:val="0"/>
          <w:bCs w:val="0"/>
          <w:sz w:val="21"/>
          <w:szCs w:val="21"/>
          <w:lang w:val="en-US" w:eastAsia="zh-CN"/>
        </w:rPr>
        <w:t>从水泥调配库底到成品入水泥储存库</w:t>
      </w:r>
      <w:r>
        <w:rPr>
          <w:rFonts w:hint="eastAsia" w:asciiTheme="minorEastAsia" w:hAnsiTheme="minorEastAsia" w:eastAsiaTheme="minorEastAsia" w:cstheme="minorEastAsia"/>
          <w:b w:val="0"/>
          <w:bCs w:val="0"/>
          <w:sz w:val="21"/>
          <w:szCs w:val="21"/>
        </w:rPr>
        <w:t>消耗的电能,折算成 1t 水泥消耗的电能</w:t>
      </w:r>
      <w:r>
        <w:rPr>
          <w:rFonts w:hint="eastAsia" w:asciiTheme="minorEastAsia" w:hAnsiTheme="minorEastAsia" w:eastAsiaTheme="minorEastAsia" w:cstheme="minorEastAsia"/>
          <w:b w:val="0"/>
          <w:bCs w:val="0"/>
          <w:sz w:val="21"/>
          <w:szCs w:val="21"/>
          <w:lang w:eastAsia="zh-CN"/>
        </w:rPr>
        <w:t>。</w:t>
      </w:r>
    </w:p>
    <w:p>
      <w:pPr>
        <w:keepNext w:val="0"/>
        <w:keepLines w:val="0"/>
        <w:pageBreakBefore w:val="0"/>
        <w:widowControl/>
        <w:kinsoku/>
        <w:wordWrap/>
        <w:overflowPunct/>
        <w:topLinePunct w:val="0"/>
        <w:autoSpaceDE/>
        <w:autoSpaceDN/>
        <w:bidi w:val="0"/>
        <w:adjustRightInd/>
        <w:snapToGrid/>
        <w:spacing w:before="313" w:beforeLines="100" w:after="313" w:afterLines="100" w:line="240" w:lineRule="auto"/>
        <w:ind w:right="0" w:rightChars="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黑体" w:hAnsi="黑体" w:eastAsia="黑体" w:cs="黑体"/>
          <w:b w:val="0"/>
          <w:bCs w:val="0"/>
          <w:sz w:val="21"/>
          <w:szCs w:val="24"/>
          <w:lang w:val="en-US" w:eastAsia="zh-CN"/>
        </w:rPr>
        <w:t>4  能耗限额等级</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黑体" w:hAnsi="黑体" w:eastAsia="黑体" w:cs="黑体"/>
          <w:b w:val="0"/>
          <w:bCs w:val="0"/>
          <w:sz w:val="21"/>
          <w:szCs w:val="21"/>
          <w:lang w:val="en-US" w:eastAsia="zh-CN"/>
        </w:rPr>
        <w:t xml:space="preserve">4.1  </w:t>
      </w:r>
      <w:r>
        <w:rPr>
          <w:rFonts w:hint="eastAsia" w:asciiTheme="minorEastAsia" w:hAnsiTheme="minorEastAsia" w:eastAsiaTheme="minorEastAsia" w:cstheme="minorEastAsia"/>
          <w:b w:val="0"/>
          <w:bCs w:val="0"/>
          <w:sz w:val="21"/>
          <w:szCs w:val="21"/>
          <w:lang w:val="en-US" w:eastAsia="zh-CN"/>
        </w:rPr>
        <w:t>水泥单位产品综合能耗限额等级见表 1,其中1级能耗最低。</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表1  水泥单位产品综合能耗限额等级</w:t>
      </w:r>
    </w:p>
    <w:tbl>
      <w:tblPr>
        <w:tblStyle w:val="4"/>
        <w:tblpPr w:leftFromText="180" w:rightFromText="180" w:vertAnchor="text" w:horzAnchor="page" w:tblpX="1415" w:tblpY="150"/>
        <w:tblOverlap w:val="never"/>
        <w:tblW w:w="89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5"/>
        <w:gridCol w:w="1474"/>
        <w:gridCol w:w="1474"/>
        <w:gridCol w:w="1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4535"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指标名称</w:t>
            </w:r>
          </w:p>
        </w:tc>
        <w:tc>
          <w:tcPr>
            <w:tcW w:w="4422"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能耗限额等级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453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1级</w:t>
            </w: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2级</w:t>
            </w: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453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水泥单位产品综合能耗/(kgce/t)</w:t>
            </w: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≤80</w:t>
            </w: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≤87</w:t>
            </w: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≤92</w:t>
            </w:r>
          </w:p>
        </w:tc>
      </w:tr>
    </w:tbl>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bCs/>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eastAsiaTheme="minorEastAsia" w:cstheme="minorEastAsia"/>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黑体" w:hAnsi="黑体" w:eastAsia="黑体" w:cs="黑体"/>
          <w:b w:val="0"/>
          <w:bCs w:val="0"/>
          <w:sz w:val="21"/>
          <w:szCs w:val="21"/>
          <w:lang w:val="en-US" w:eastAsia="zh-CN"/>
        </w:rPr>
        <w:t xml:space="preserve">4.2  </w:t>
      </w:r>
      <w:r>
        <w:rPr>
          <w:rFonts w:hint="eastAsia" w:asciiTheme="minorEastAsia" w:hAnsiTheme="minorEastAsia" w:eastAsiaTheme="minorEastAsia" w:cstheme="minorEastAsia"/>
          <w:b w:val="0"/>
          <w:bCs w:val="0"/>
          <w:sz w:val="21"/>
          <w:szCs w:val="21"/>
          <w:lang w:val="en-US" w:eastAsia="zh-CN"/>
        </w:rPr>
        <w:t>熟料单位产品综合能耗、综合电耗和综合煤耗限额等级见表 2,其中 1级能耗最低。</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eastAsiaTheme="minorEastAsia" w:cstheme="minorEastAsia"/>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bCs/>
          <w:sz w:val="21"/>
          <w:szCs w:val="21"/>
          <w:lang w:val="en-US" w:eastAsia="zh-CN"/>
        </w:rPr>
        <w:t>表</w:t>
      </w:r>
      <w:r>
        <w:rPr>
          <w:rFonts w:hint="eastAsia" w:ascii="黑体" w:hAnsi="黑体" w:eastAsia="黑体" w:cs="黑体"/>
          <w:b w:val="0"/>
          <w:bCs w:val="0"/>
          <w:sz w:val="21"/>
          <w:szCs w:val="21"/>
          <w:lang w:val="en-US" w:eastAsia="zh-CN"/>
        </w:rPr>
        <w:t xml:space="preserve"> 2  熟料单位产品综合能耗、综合电耗与综合煤耗限额等级</w:t>
      </w:r>
    </w:p>
    <w:tbl>
      <w:tblPr>
        <w:tblStyle w:val="4"/>
        <w:tblW w:w="89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5"/>
        <w:gridCol w:w="1474"/>
        <w:gridCol w:w="1474"/>
        <w:gridCol w:w="1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4535"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指标名称</w:t>
            </w:r>
          </w:p>
        </w:tc>
        <w:tc>
          <w:tcPr>
            <w:tcW w:w="4422"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能耗限额等级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453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1级</w:t>
            </w: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2级</w:t>
            </w: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4535" w:type="dxa"/>
            <w:vAlign w:val="top"/>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熟料单位产品综合能耗 /(kgce/t)</w:t>
            </w:r>
          </w:p>
        </w:tc>
        <w:tc>
          <w:tcPr>
            <w:tcW w:w="1474" w:type="dxa"/>
            <w:vAlign w:val="top"/>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≤100</w:t>
            </w:r>
          </w:p>
        </w:tc>
        <w:tc>
          <w:tcPr>
            <w:tcW w:w="1474" w:type="dxa"/>
            <w:vAlign w:val="top"/>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≤107</w:t>
            </w:r>
          </w:p>
        </w:tc>
        <w:tc>
          <w:tcPr>
            <w:tcW w:w="1474" w:type="dxa"/>
            <w:vAlign w:val="top"/>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4535" w:type="dxa"/>
            <w:vAlign w:val="top"/>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熟料单位产品综合电耗 /(kW·h/t)</w:t>
            </w:r>
          </w:p>
        </w:tc>
        <w:tc>
          <w:tcPr>
            <w:tcW w:w="1474" w:type="dxa"/>
            <w:vAlign w:val="top"/>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≤48</w:t>
            </w:r>
          </w:p>
        </w:tc>
        <w:tc>
          <w:tcPr>
            <w:tcW w:w="1474" w:type="dxa"/>
            <w:vAlign w:val="top"/>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≤57</w:t>
            </w:r>
          </w:p>
        </w:tc>
        <w:tc>
          <w:tcPr>
            <w:tcW w:w="1474" w:type="dxa"/>
            <w:vAlign w:val="top"/>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4535" w:type="dxa"/>
            <w:vAlign w:val="top"/>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熟料单位产品综合煤耗 /(kgce/t)</w:t>
            </w:r>
          </w:p>
        </w:tc>
        <w:tc>
          <w:tcPr>
            <w:tcW w:w="1474" w:type="dxa"/>
            <w:vAlign w:val="top"/>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≤94</w:t>
            </w:r>
          </w:p>
        </w:tc>
        <w:tc>
          <w:tcPr>
            <w:tcW w:w="1474" w:type="dxa"/>
            <w:vAlign w:val="top"/>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≤100</w:t>
            </w:r>
          </w:p>
        </w:tc>
        <w:tc>
          <w:tcPr>
            <w:tcW w:w="1474" w:type="dxa"/>
            <w:vAlign w:val="top"/>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≤103</w:t>
            </w:r>
          </w:p>
        </w:tc>
      </w:tr>
    </w:tbl>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黑体" w:hAnsi="黑体" w:eastAsia="黑体" w:cs="黑体"/>
          <w:b w:val="0"/>
          <w:bCs w:val="0"/>
          <w:sz w:val="21"/>
          <w:szCs w:val="21"/>
          <w:lang w:val="en-US" w:eastAsia="zh-CN"/>
        </w:rPr>
        <w:t xml:space="preserve">4.3 </w:t>
      </w:r>
      <w:r>
        <w:rPr>
          <w:rFonts w:hint="eastAsia" w:asciiTheme="minorEastAsia" w:hAnsiTheme="minorEastAsia" w:eastAsiaTheme="minorEastAsia" w:cstheme="minorEastAsia"/>
          <w:b w:val="0"/>
          <w:bCs w:val="0"/>
          <w:sz w:val="21"/>
          <w:szCs w:val="21"/>
          <w:lang w:val="en-US" w:eastAsia="zh-CN"/>
        </w:rPr>
        <w:t>水泥制备工段电耗限额等级见表 3,其中 1级能耗最低。</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黑体" w:hAnsi="黑体" w:eastAsia="黑体" w:cs="黑体"/>
          <w:b w:val="0"/>
          <w:bCs w:val="0"/>
          <w:sz w:val="24"/>
          <w:szCs w:val="24"/>
          <w:lang w:val="en-US" w:eastAsia="zh-CN"/>
        </w:rPr>
      </w:pPr>
      <w:r>
        <w:rPr>
          <w:rFonts w:hint="eastAsia" w:ascii="黑体" w:hAnsi="黑体" w:eastAsia="黑体" w:cs="黑体"/>
          <w:b w:val="0"/>
          <w:bCs w:val="0"/>
          <w:sz w:val="21"/>
          <w:szCs w:val="21"/>
          <w:lang w:val="en-US" w:eastAsia="zh-CN"/>
        </w:rPr>
        <w:t>表 3  水泥制备工段电耗限额等级</w:t>
      </w:r>
    </w:p>
    <w:tbl>
      <w:tblPr>
        <w:tblStyle w:val="4"/>
        <w:tblW w:w="89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5"/>
        <w:gridCol w:w="1474"/>
        <w:gridCol w:w="1474"/>
        <w:gridCol w:w="1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4535"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指标名称</w:t>
            </w:r>
          </w:p>
        </w:tc>
        <w:tc>
          <w:tcPr>
            <w:tcW w:w="4422"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能耗限额等级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453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1级</w:t>
            </w: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2级</w:t>
            </w:r>
          </w:p>
        </w:tc>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4535" w:type="dxa"/>
            <w:vAlign w:val="top"/>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水泥制备工段电耗/(kW·h/t)</w:t>
            </w:r>
          </w:p>
        </w:tc>
        <w:tc>
          <w:tcPr>
            <w:tcW w:w="1474" w:type="dxa"/>
            <w:vAlign w:val="top"/>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≤26</w:t>
            </w:r>
          </w:p>
        </w:tc>
        <w:tc>
          <w:tcPr>
            <w:tcW w:w="1474" w:type="dxa"/>
            <w:vAlign w:val="top"/>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≤29</w:t>
            </w:r>
          </w:p>
        </w:tc>
        <w:tc>
          <w:tcPr>
            <w:tcW w:w="1474" w:type="dxa"/>
            <w:vAlign w:val="top"/>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18"/>
                <w:szCs w:val="18"/>
                <w:vertAlign w:val="baseline"/>
                <w:lang w:val="en-US" w:eastAsia="zh-CN"/>
              </w:rPr>
            </w:pPr>
            <w:r>
              <w:rPr>
                <w:rFonts w:hint="eastAsia" w:asciiTheme="minorEastAsia" w:hAnsiTheme="minorEastAsia" w:eastAsiaTheme="minorEastAsia" w:cstheme="minorEastAsia"/>
                <w:b w:val="0"/>
                <w:bCs w:val="0"/>
                <w:sz w:val="18"/>
                <w:szCs w:val="18"/>
                <w:vertAlign w:val="baseline"/>
                <w:lang w:val="en-US" w:eastAsia="zh-CN"/>
              </w:rPr>
              <w:t>≤33</w:t>
            </w:r>
          </w:p>
        </w:tc>
      </w:tr>
    </w:tbl>
    <w:p>
      <w:pPr>
        <w:keepNext w:val="0"/>
        <w:keepLines w:val="0"/>
        <w:pageBreakBefore w:val="0"/>
        <w:widowControl/>
        <w:kinsoku/>
        <w:wordWrap/>
        <w:overflowPunct/>
        <w:topLinePunct w:val="0"/>
        <w:autoSpaceDE/>
        <w:autoSpaceDN/>
        <w:bidi w:val="0"/>
        <w:adjustRightInd/>
        <w:snapToGrid/>
        <w:spacing w:before="313" w:beforeLines="100" w:after="313" w:afterLines="100" w:line="240" w:lineRule="auto"/>
        <w:ind w:right="0" w:rightChars="0"/>
        <w:jc w:val="left"/>
        <w:textAlignment w:val="auto"/>
        <w:outlineLvl w:val="9"/>
        <w:rPr>
          <w:rFonts w:hint="eastAsia" w:asciiTheme="minorEastAsia" w:hAnsiTheme="minorEastAsia" w:eastAsiaTheme="minorEastAsia" w:cstheme="minorEastAsia"/>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黑体" w:hAnsi="黑体" w:eastAsia="黑体" w:cs="黑体"/>
          <w:b w:val="0"/>
          <w:bCs w:val="0"/>
          <w:sz w:val="21"/>
          <w:szCs w:val="21"/>
          <w:lang w:val="en-US" w:eastAsia="zh-CN"/>
        </w:rPr>
        <w:t xml:space="preserve">5.1  </w:t>
      </w:r>
      <w:r>
        <w:rPr>
          <w:rFonts w:hint="eastAsia" w:asciiTheme="minorEastAsia" w:hAnsiTheme="minorEastAsia" w:eastAsiaTheme="minorEastAsia" w:cstheme="minorEastAsia"/>
          <w:b w:val="0"/>
          <w:bCs w:val="0"/>
          <w:sz w:val="21"/>
          <w:szCs w:val="21"/>
          <w:lang w:val="en-US" w:eastAsia="zh-CN"/>
        </w:rPr>
        <w:t>生产水泥和水泥熟料产品的现有企业,其单位产品能耗应满足表 1～表 3 中3 级要求；外购熟料生产水泥的现有粉磨站企业,其水泥制备工段电耗应满足表 3 中3 级要求。</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黑体" w:hAnsi="黑体" w:eastAsia="黑体" w:cs="黑体"/>
          <w:b w:val="0"/>
          <w:bCs w:val="0"/>
          <w:sz w:val="21"/>
          <w:szCs w:val="21"/>
          <w:lang w:val="en-US" w:eastAsia="zh-CN"/>
        </w:rPr>
        <w:t xml:space="preserve">5.2 </w:t>
      </w:r>
      <w:r>
        <w:rPr>
          <w:rFonts w:hint="eastAsia" w:asciiTheme="minorEastAsia" w:hAnsiTheme="minorEastAsia" w:eastAsiaTheme="minorEastAsia" w:cstheme="minorEastAsia"/>
          <w:b w:val="0"/>
          <w:bCs w:val="0"/>
          <w:sz w:val="21"/>
          <w:szCs w:val="21"/>
          <w:lang w:val="en-US" w:eastAsia="zh-CN"/>
        </w:rPr>
        <w:t xml:space="preserve"> 生产水泥和水泥熟料产品的新建、改建和扩建企业,其单位产品能耗应满足表 1~表 3中2 级要求:外购熟料生产水泥的新建、改建和扩建粉磨站企业,其水泥制备工段电耗应满足表 3中2级要求。</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黑体" w:hAnsi="黑体" w:eastAsia="黑体" w:cs="黑体"/>
          <w:b w:val="0"/>
          <w:bCs w:val="0"/>
          <w:sz w:val="21"/>
          <w:szCs w:val="21"/>
          <w:lang w:val="en-US" w:eastAsia="zh-CN"/>
        </w:rPr>
        <w:t xml:space="preserve">5.3  </w:t>
      </w:r>
      <w:r>
        <w:rPr>
          <w:rFonts w:hint="eastAsia" w:asciiTheme="minorEastAsia" w:hAnsiTheme="minorEastAsia" w:eastAsiaTheme="minorEastAsia" w:cstheme="minorEastAsia"/>
          <w:b w:val="0"/>
          <w:bCs w:val="0"/>
          <w:sz w:val="21"/>
          <w:szCs w:val="21"/>
          <w:lang w:val="en-US" w:eastAsia="zh-CN"/>
        </w:rPr>
        <w:t>当生产水泥和水泥熟料产品的现有企业厂区位置海拔高度大于 1500 m 时，水泥单位产品综合能</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耗、熟料单位产品综合能耗、综合煤耗与综合电耗的 3 级指标应为表 1表 2中3 级指标值与海拔修正系数的乘积。海拔修正系数按式(1)计算:</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position w:val="-30"/>
          <w:sz w:val="21"/>
          <w:szCs w:val="21"/>
          <w:lang w:val="en-US" w:eastAsia="zh-CN"/>
        </w:rPr>
        <w:object>
          <v:shape id="_x0000_i1025" o:spt="75" type="#_x0000_t75" style="height:34pt;width:111pt;" o:ole="t" filled="f" o:preferrelative="t" stroked="f" coordsize="21600,21600">
            <v:path/>
            <v:fill on="f" focussize="0,0"/>
            <v:stroke on="f"/>
            <v:imagedata r:id="rId10" o:title=""/>
            <o:lock v:ext="edit" aspectratio="t"/>
            <w10:wrap type="none"/>
            <w10:anchorlock/>
          </v:shape>
          <o:OLEObject Type="Embed" ProgID="Equation.KSEE3" ShapeID="_x0000_i1025" DrawAspect="Content" ObjectID="_1468075725" r:id="rId9">
            <o:LockedField>false</o:LockedField>
          </o:OLEObject>
        </w:object>
      </w:r>
      <w:r>
        <w:rPr>
          <w:rFonts w:hint="eastAsia" w:asciiTheme="minorEastAsia" w:hAnsiTheme="minorEastAsia" w:eastAsiaTheme="minorEastAsia" w:cstheme="minorEastAsia"/>
          <w:b w:val="0"/>
          <w:bCs w:val="0"/>
          <w:sz w:val="21"/>
          <w:szCs w:val="21"/>
          <w:lang w:val="en-US" w:eastAsia="zh-CN"/>
        </w:rPr>
        <w:t xml:space="preserve">             ……………………（1）</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式中：</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K    ----海拔修正系数；</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1.179----回归修正系数；</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0.211----回归修正系数；</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P</w:t>
      </w:r>
      <w:r>
        <w:rPr>
          <w:rFonts w:hint="eastAsia" w:asciiTheme="minorEastAsia" w:hAnsiTheme="minorEastAsia" w:eastAsiaTheme="minorEastAsia" w:cstheme="minorEastAsia"/>
          <w:b w:val="0"/>
          <w:bCs w:val="0"/>
          <w:sz w:val="21"/>
          <w:szCs w:val="21"/>
          <w:vertAlign w:val="subscript"/>
          <w:lang w:val="en-US" w:eastAsia="zh-CN"/>
        </w:rPr>
        <w:t>0</w:t>
      </w:r>
      <w:r>
        <w:rPr>
          <w:rFonts w:hint="eastAsia" w:asciiTheme="minorEastAsia" w:hAnsiTheme="minorEastAsia" w:eastAsiaTheme="minorEastAsia" w:cstheme="minorEastAsia"/>
          <w:b w:val="0"/>
          <w:bCs w:val="0"/>
          <w:sz w:val="21"/>
          <w:szCs w:val="21"/>
          <w:lang w:val="en-US" w:eastAsia="zh-CN"/>
        </w:rPr>
        <w:t xml:space="preserve">   ----海平面环境大气压,取值为 101 325,单位为帕(Pa)；</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P</w:t>
      </w:r>
      <w:r>
        <w:rPr>
          <w:rFonts w:hint="eastAsia" w:asciiTheme="minorEastAsia" w:hAnsiTheme="minorEastAsia" w:eastAsiaTheme="minorEastAsia" w:cstheme="minorEastAsia"/>
          <w:b w:val="0"/>
          <w:bCs w:val="0"/>
          <w:sz w:val="21"/>
          <w:szCs w:val="21"/>
          <w:vertAlign w:val="subscript"/>
          <w:lang w:val="en-US" w:eastAsia="zh-CN"/>
        </w:rPr>
        <w:t>H</w:t>
      </w:r>
      <w:r>
        <w:rPr>
          <w:rFonts w:hint="eastAsia" w:asciiTheme="minorEastAsia" w:hAnsiTheme="minorEastAsia" w:eastAsiaTheme="minorEastAsia" w:cstheme="minorEastAsia"/>
          <w:b w:val="0"/>
          <w:bCs w:val="0"/>
          <w:sz w:val="21"/>
          <w:szCs w:val="21"/>
          <w:lang w:val="en-US" w:eastAsia="zh-CN"/>
        </w:rPr>
        <w:t xml:space="preserve">   ----水泥窑所处环境大气压,单位为帕(Pa)。</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黑体" w:hAnsi="黑体" w:eastAsia="黑体" w:cs="黑体"/>
          <w:b w:val="0"/>
          <w:bCs w:val="0"/>
          <w:sz w:val="21"/>
          <w:szCs w:val="21"/>
          <w:lang w:val="en-US" w:eastAsia="zh-CN"/>
        </w:rPr>
        <w:t>5.4</w:t>
      </w:r>
      <w:r>
        <w:rPr>
          <w:rFonts w:hint="eastAsia" w:asciiTheme="minorEastAsia" w:hAnsiTheme="minorEastAsia" w:eastAsiaTheme="minorEastAsia" w:cstheme="minorEastAsia"/>
          <w:b w:val="0"/>
          <w:bCs w:val="0"/>
          <w:sz w:val="21"/>
          <w:szCs w:val="21"/>
          <w:lang w:val="en-US" w:eastAsia="zh-CN"/>
        </w:rPr>
        <w:t xml:space="preserve">  当水泥产品中熟料比例超过或低于 75%,每增减 1%,水泥单位产品综合能耗的1级、2 级和3级限额值应相应增减 1.10 kgce/t,1.15 kgce/t 和 1.20 kgce/t。</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黑体" w:hAnsi="黑体" w:eastAsia="黑体" w:cs="黑体"/>
          <w:b w:val="0"/>
          <w:bCs w:val="0"/>
          <w:sz w:val="21"/>
          <w:szCs w:val="21"/>
          <w:lang w:val="en-US" w:eastAsia="zh-CN"/>
        </w:rPr>
        <w:t xml:space="preserve">5.5  </w:t>
      </w:r>
      <w:r>
        <w:rPr>
          <w:rFonts w:hint="eastAsia" w:asciiTheme="minorEastAsia" w:hAnsiTheme="minorEastAsia" w:eastAsiaTheme="minorEastAsia" w:cstheme="minorEastAsia"/>
          <w:b w:val="0"/>
          <w:bCs w:val="0"/>
          <w:sz w:val="21"/>
          <w:szCs w:val="21"/>
          <w:lang w:val="en-US" w:eastAsia="zh-CN"/>
        </w:rPr>
        <w:t>当企业采用协同处置或替代燃料时,其单位产品综合能耗、综合煤耗与综合电耗各等级限额值计算应扣除协同处置消耗的能源量和替代燃料量。</w:t>
      </w:r>
    </w:p>
    <w:p>
      <w:pPr>
        <w:keepNext w:val="0"/>
        <w:keepLines w:val="0"/>
        <w:pageBreakBefore w:val="0"/>
        <w:widowControl/>
        <w:kinsoku/>
        <w:wordWrap/>
        <w:overflowPunct/>
        <w:topLinePunct w:val="0"/>
        <w:autoSpaceDE/>
        <w:autoSpaceDN/>
        <w:bidi w:val="0"/>
        <w:adjustRightInd/>
        <w:snapToGrid/>
        <w:spacing w:before="313" w:beforeLines="100" w:after="313" w:afterLines="100" w:line="240" w:lineRule="auto"/>
        <w:ind w:right="0" w:rightChars="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黑体" w:hAnsi="黑体" w:eastAsia="黑体" w:cs="黑体"/>
          <w:b w:val="0"/>
          <w:bCs w:val="0"/>
          <w:sz w:val="21"/>
          <w:szCs w:val="24"/>
          <w:lang w:val="en-US" w:eastAsia="zh-CN"/>
        </w:rPr>
        <w:t>6   统计范围</w:t>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right="0" w:rightChars="0"/>
        <w:jc w:val="left"/>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6.1 熟料单位产品综合能耗</w:t>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right="0" w:rightChars="0" w:firstLine="420" w:firstLineChars="200"/>
        <w:jc w:val="left"/>
        <w:textAlignment w:val="auto"/>
        <w:outlineLvl w:val="9"/>
        <w:rPr>
          <w:rFonts w:hint="eastAsia" w:ascii="黑体" w:hAnsi="黑体" w:eastAsia="黑体" w:cs="黑体"/>
          <w:b w:val="0"/>
          <w:bCs w:val="0"/>
          <w:sz w:val="21"/>
          <w:szCs w:val="24"/>
          <w:lang w:val="en-US" w:eastAsia="zh-CN"/>
        </w:rPr>
      </w:pPr>
      <w:r>
        <w:rPr>
          <w:rFonts w:hint="eastAsia" w:asciiTheme="minorEastAsia" w:hAnsiTheme="minorEastAsia" w:eastAsiaTheme="minorEastAsia" w:cstheme="minorEastAsia"/>
          <w:b w:val="0"/>
          <w:bCs w:val="0"/>
          <w:sz w:val="21"/>
          <w:szCs w:val="21"/>
          <w:lang w:val="en-US" w:eastAsia="zh-CN"/>
        </w:rPr>
        <w:t>水泥熟料产品生产企业用能管理范围内,从原燃料进入生产厂区到水泥熟料产出的主要生产过程和辅助生产过程消耗的各种能源,不包括用于基建、技改等项目建设期消耗的能源。如果采用协同处置或替代燃料,应单独统计其消耗的能源量和替代燃料量。烧成系统废气用于余热电站发电时，应统计余热电站发电量及余热电站自用电量。固体燃料发热量应按照 GB/T 213 和 GB/T 30727 的要求测定，液体燃料发热量应按照 GB/T 384 的要求测定。电能消耗量的统计应符合 GB/T 27977 的要求。</w:t>
      </w:r>
    </w:p>
    <w:p>
      <w:pPr>
        <w:keepNext w:val="0"/>
        <w:keepLines w:val="0"/>
        <w:pageBreakBefore w:val="0"/>
        <w:widowControl w:val="0"/>
        <w:numPr>
          <w:ilvl w:val="-1"/>
          <w:numId w:val="0"/>
        </w:numPr>
        <w:kinsoku/>
        <w:wordWrap/>
        <w:overflowPunct/>
        <w:topLinePunct w:val="0"/>
        <w:autoSpaceDE/>
        <w:autoSpaceDN/>
        <w:bidi w:val="0"/>
        <w:adjustRightInd/>
        <w:snapToGrid/>
        <w:spacing w:before="157" w:beforeLines="50" w:after="157" w:afterLines="50" w:line="240" w:lineRule="auto"/>
        <w:ind w:right="0" w:rightChars="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黑体" w:hAnsi="黑体" w:eastAsia="黑体" w:cs="黑体"/>
          <w:b w:val="0"/>
          <w:bCs w:val="0"/>
          <w:sz w:val="21"/>
          <w:szCs w:val="24"/>
          <w:lang w:val="en-US" w:eastAsia="zh-CN"/>
        </w:rPr>
        <w:t>6.2 水泥单位产品综合能耗</w:t>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水泥产品生产企业用能管理范围内,从原燃料进入生产厂区到水泥产品出厂的主要生产过程和辅助生产过程消耗的各种能源,不包括用于基建、技改等项目建设期消耗的能源。如果采用协同处置或替代燃料，应单独统计其消耗的能源量和替代燃料量。烧成系统废气用于余热电站发电时,应统计余热电站发电量及余热电站自用电量。固体燃料发热量应按照 GB/T 213 和GB/T 30727 的要求测定，液体燃料发热量应按照 GB/T 384 的要求测定。电能消耗量的统计应符合 GB/T 27977 的要求。</w:t>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right="0" w:rightChars="0"/>
        <w:jc w:val="left"/>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6.3 水泥制备工段电能消耗</w:t>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水泥产品生产企业用能管理范围内,从水泥熟料、石膏及混合材调配库底到水泥成品入水泥储存库等符合 GB/T 33652 的要求的水泥制备工段统计范围内消耗的电量。电能消耗量的统计应符合GB/T 27977的要求。</w:t>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right="0" w:rightChars="0"/>
        <w:jc w:val="left"/>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6.4能源消耗统计计量器具要求</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水泥产品生产企业应按照 GB 17167 和 GB/T 35461 的要求配备能源计量器具。</w:t>
      </w:r>
    </w:p>
    <w:p>
      <w:pPr>
        <w:keepNext w:val="0"/>
        <w:keepLines w:val="0"/>
        <w:pageBreakBefore w:val="0"/>
        <w:widowControl/>
        <w:kinsoku/>
        <w:wordWrap/>
        <w:overflowPunct/>
        <w:topLinePunct w:val="0"/>
        <w:autoSpaceDE/>
        <w:autoSpaceDN/>
        <w:bidi w:val="0"/>
        <w:adjustRightInd/>
        <w:snapToGrid/>
        <w:spacing w:before="313" w:beforeLines="100" w:after="313" w:afterLines="100" w:line="240" w:lineRule="auto"/>
        <w:ind w:right="0" w:rightChars="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黑体" w:hAnsi="黑体" w:eastAsia="黑体" w:cs="黑体"/>
          <w:b w:val="0"/>
          <w:bCs w:val="0"/>
          <w:sz w:val="21"/>
          <w:szCs w:val="24"/>
          <w:lang w:val="en-US" w:eastAsia="zh-CN"/>
        </w:rPr>
        <w:t>7 计算方法</w:t>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right="0" w:rightChars="0"/>
        <w:jc w:val="left"/>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7.1  熟料单位产品综合煤耗</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熟料单位产品综合煤耗按式(2)计算：</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position w:val="-30"/>
          <w:sz w:val="21"/>
          <w:szCs w:val="21"/>
          <w:lang w:val="en-US" w:eastAsia="zh-CN"/>
        </w:rPr>
        <w:object>
          <v:shape id="_x0000_i1026" o:spt="75" type="#_x0000_t75" style="height:51pt;width:118pt;" o:ole="t" filled="f" o:preferrelative="t" stroked="f" coordsize="21600,21600">
            <v:path/>
            <v:fill on="f" focussize="0,0"/>
            <v:stroke on="f"/>
            <v:imagedata r:id="rId12" o:title=""/>
            <o:lock v:ext="edit" aspectratio="t"/>
            <w10:wrap type="none"/>
            <w10:anchorlock/>
          </v:shape>
          <o:OLEObject Type="Embed" ProgID="Equation.KSEE3" ShapeID="_x0000_i1026" DrawAspect="Content" ObjectID="_1468075726" r:id="rId11">
            <o:LockedField>false</o:LockedField>
          </o:OLEObject>
        </w:object>
      </w:r>
      <w:r>
        <w:rPr>
          <w:rFonts w:hint="eastAsia" w:asciiTheme="minorEastAsia" w:hAnsiTheme="minorEastAsia" w:eastAsiaTheme="minorEastAsia" w:cstheme="minorEastAsia"/>
          <w:b w:val="0"/>
          <w:bCs w:val="0"/>
          <w:sz w:val="21"/>
          <w:szCs w:val="21"/>
          <w:lang w:val="en-US" w:eastAsia="zh-CN"/>
        </w:rPr>
        <w:t xml:space="preserve">           ……………………（2）</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式中：</w:t>
      </w:r>
    </w:p>
    <w:p>
      <w:pPr>
        <w:keepNext w:val="0"/>
        <w:keepLines w:val="0"/>
        <w:pageBreakBefore w:val="0"/>
        <w:widowControl w:val="0"/>
        <w:tabs>
          <w:tab w:val="left" w:pos="630"/>
        </w:tabs>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e</w:t>
      </w:r>
      <w:r>
        <w:rPr>
          <w:rFonts w:hint="eastAsia" w:asciiTheme="minorEastAsia" w:hAnsiTheme="minorEastAsia" w:eastAsiaTheme="minorEastAsia" w:cstheme="minorEastAsia"/>
          <w:b w:val="0"/>
          <w:bCs w:val="0"/>
          <w:sz w:val="21"/>
          <w:szCs w:val="21"/>
          <w:vertAlign w:val="subscript"/>
          <w:lang w:val="en-US" w:eastAsia="zh-CN"/>
        </w:rPr>
        <w:t>sh</w:t>
      </w:r>
      <w:r>
        <w:rPr>
          <w:rFonts w:hint="eastAsia" w:asciiTheme="minorEastAsia" w:hAnsiTheme="minorEastAsia" w:eastAsiaTheme="minorEastAsia" w:cstheme="minorEastAsia"/>
          <w:b w:val="0"/>
          <w:bCs w:val="0"/>
          <w:sz w:val="21"/>
          <w:szCs w:val="21"/>
          <w:lang w:val="en-US" w:eastAsia="zh-CN"/>
        </w:rPr>
        <w:t xml:space="preserve">    ----熟料单位产品综合煤耗，单位为千克标准煤每吨(kgce/t)；</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n     ----消耗的能源品种数；</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m</w:t>
      </w:r>
      <w:r>
        <w:rPr>
          <w:rFonts w:hint="eastAsia" w:asciiTheme="minorEastAsia" w:hAnsiTheme="minorEastAsia" w:eastAsiaTheme="minorEastAsia" w:cstheme="minorEastAsia"/>
          <w:b w:val="0"/>
          <w:bCs w:val="0"/>
          <w:sz w:val="21"/>
          <w:szCs w:val="21"/>
          <w:vertAlign w:val="subscript"/>
          <w:lang w:val="en-US" w:eastAsia="zh-CN"/>
        </w:rPr>
        <w:t>i</w:t>
      </w:r>
      <w:r>
        <w:rPr>
          <w:rFonts w:hint="eastAsia" w:asciiTheme="minorEastAsia" w:hAnsiTheme="minorEastAsia" w:eastAsiaTheme="minorEastAsia" w:cstheme="minorEastAsia"/>
          <w:b w:val="0"/>
          <w:bCs w:val="0"/>
          <w:sz w:val="21"/>
          <w:szCs w:val="21"/>
          <w:lang w:val="en-US" w:eastAsia="zh-CN"/>
        </w:rPr>
        <w:t xml:space="preserve">    ----熟料产品综合能耗统计范围内的第i种燃料的消耗总量,单位为千克(kg)；</w:t>
      </w:r>
    </w:p>
    <w:p>
      <w:pPr>
        <w:keepNext w:val="0"/>
        <w:keepLines w:val="0"/>
        <w:pageBreakBefore w:val="0"/>
        <w:widowControl w:val="0"/>
        <w:kinsoku/>
        <w:wordWrap/>
        <w:overflowPunct/>
        <w:topLinePunct w:val="0"/>
        <w:autoSpaceDE/>
        <w:autoSpaceDN/>
        <w:bidi w:val="0"/>
        <w:adjustRightInd/>
        <w:snapToGrid/>
        <w:spacing w:line="240" w:lineRule="auto"/>
        <w:ind w:left="1260" w:leftChars="200" w:right="0" w:rightChars="0" w:hanging="840" w:hangingChars="4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Q</w:t>
      </w:r>
      <w:r>
        <w:rPr>
          <w:rFonts w:hint="eastAsia" w:asciiTheme="minorEastAsia" w:hAnsiTheme="minorEastAsia" w:eastAsiaTheme="minorEastAsia" w:cstheme="minorEastAsia"/>
          <w:b w:val="0"/>
          <w:bCs w:val="0"/>
          <w:sz w:val="21"/>
          <w:szCs w:val="21"/>
          <w:vertAlign w:val="subscript"/>
          <w:lang w:val="en-US" w:eastAsia="zh-CN"/>
        </w:rPr>
        <w:t>idw</w:t>
      </w:r>
      <w:r>
        <w:rPr>
          <w:rFonts w:hint="eastAsia" w:asciiTheme="minorEastAsia" w:hAnsiTheme="minorEastAsia" w:eastAsiaTheme="minorEastAsia" w:cstheme="minorEastAsia"/>
          <w:b w:val="0"/>
          <w:bCs w:val="0"/>
          <w:sz w:val="21"/>
          <w:szCs w:val="21"/>
          <w:lang w:val="en-US" w:eastAsia="zh-CN"/>
        </w:rPr>
        <w:t xml:space="preserve">   ----孰料产品综合能耗统计范围内的第 i种燃料的加权平均低位发热量,单位为千焦每千克(kJ/kg)；</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Q</w:t>
      </w:r>
      <w:r>
        <w:rPr>
          <w:rFonts w:hint="eastAsia" w:asciiTheme="minorEastAsia" w:hAnsiTheme="minorEastAsia" w:eastAsiaTheme="minorEastAsia" w:cstheme="minorEastAsia"/>
          <w:b w:val="0"/>
          <w:bCs w:val="0"/>
          <w:sz w:val="21"/>
          <w:szCs w:val="21"/>
          <w:vertAlign w:val="subscript"/>
          <w:lang w:val="en-US" w:eastAsia="zh-CN"/>
        </w:rPr>
        <w:t>BM</w:t>
      </w:r>
      <w:r>
        <w:rPr>
          <w:rFonts w:hint="eastAsia" w:asciiTheme="minorEastAsia" w:hAnsiTheme="minorEastAsia" w:eastAsiaTheme="minorEastAsia" w:cstheme="minorEastAsia"/>
          <w:b w:val="0"/>
          <w:bCs w:val="0"/>
          <w:sz w:val="21"/>
          <w:szCs w:val="21"/>
          <w:lang w:val="en-US" w:eastAsia="zh-CN"/>
        </w:rPr>
        <w:t xml:space="preserve">   ----每千克标准煤发热量,见 GB/T 2589,单位为千焦每千克标准煤(kJ/kgce)；</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P</w:t>
      </w:r>
      <w:r>
        <w:rPr>
          <w:rFonts w:hint="eastAsia" w:asciiTheme="minorEastAsia" w:hAnsiTheme="minorEastAsia" w:eastAsiaTheme="minorEastAsia" w:cstheme="minorEastAsia"/>
          <w:b w:val="0"/>
          <w:bCs w:val="0"/>
          <w:sz w:val="21"/>
          <w:szCs w:val="21"/>
          <w:vertAlign w:val="subscript"/>
          <w:lang w:val="en-US" w:eastAsia="zh-CN"/>
        </w:rPr>
        <w:t>sh</w:t>
      </w:r>
      <w:r>
        <w:rPr>
          <w:rFonts w:hint="eastAsia" w:asciiTheme="minorEastAsia" w:hAnsiTheme="minorEastAsia" w:eastAsiaTheme="minorEastAsia" w:cstheme="minorEastAsia"/>
          <w:b w:val="0"/>
          <w:bCs w:val="0"/>
          <w:sz w:val="21"/>
          <w:szCs w:val="21"/>
          <w:lang w:val="en-US" w:eastAsia="zh-CN"/>
        </w:rPr>
        <w:t xml:space="preserve">   ----统计报告期内符合 GB/T 21372 的要求的水泥熟料总产量,单位为吨(t)；</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E</w:t>
      </w:r>
      <w:r>
        <w:rPr>
          <w:rFonts w:hint="eastAsia" w:asciiTheme="minorEastAsia" w:hAnsiTheme="minorEastAsia" w:eastAsiaTheme="minorEastAsia" w:cstheme="minorEastAsia"/>
          <w:b w:val="0"/>
          <w:bCs w:val="0"/>
          <w:sz w:val="21"/>
          <w:szCs w:val="21"/>
          <w:vertAlign w:val="subscript"/>
          <w:lang w:val="en-US" w:eastAsia="zh-CN"/>
        </w:rPr>
        <w:t>he</w:t>
      </w:r>
      <w:r>
        <w:rPr>
          <w:rFonts w:hint="eastAsia" w:asciiTheme="minorEastAsia" w:hAnsiTheme="minorEastAsia" w:eastAsiaTheme="minorEastAsia" w:cstheme="minorEastAsia"/>
          <w:b w:val="0"/>
          <w:bCs w:val="0"/>
          <w:sz w:val="21"/>
          <w:szCs w:val="21"/>
          <w:lang w:val="en-US" w:eastAsia="zh-CN"/>
        </w:rPr>
        <w:t xml:space="preserve">   ----统计报告期内单位熟料余热发电折算的标准煤量,单位为千克标准煤每吨(kgce/t),按式</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1260" w:firstLineChars="6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 xml:space="preserve"> （3）计算:</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position w:val="-30"/>
          <w:sz w:val="21"/>
          <w:szCs w:val="21"/>
          <w:lang w:val="en-US" w:eastAsia="zh-CN"/>
        </w:rPr>
        <w:object>
          <v:shape id="_x0000_i1027" o:spt="75" type="#_x0000_t75" style="height:34pt;width:123pt;" o:ole="t" filled="f" o:preferrelative="t" stroked="f" coordsize="21600,21600">
            <v:path/>
            <v:fill on="f" focussize="0,0"/>
            <v:stroke on="f"/>
            <v:imagedata r:id="rId14" o:title=""/>
            <o:lock v:ext="edit" aspectratio="t"/>
            <w10:wrap type="none"/>
            <w10:anchorlock/>
          </v:shape>
          <o:OLEObject Type="Embed" ProgID="Equation.KSEE3" ShapeID="_x0000_i1027" DrawAspect="Content" ObjectID="_1468075727" r:id="rId13">
            <o:LockedField>false</o:LockedField>
          </o:OLEObject>
        </w:object>
      </w:r>
      <w:r>
        <w:rPr>
          <w:rFonts w:hint="eastAsia" w:asciiTheme="minorEastAsia" w:hAnsiTheme="minorEastAsia" w:eastAsiaTheme="minorEastAsia" w:cstheme="minorEastAsia"/>
          <w:b w:val="0"/>
          <w:bCs w:val="0"/>
          <w:sz w:val="21"/>
          <w:szCs w:val="21"/>
          <w:lang w:val="en-US" w:eastAsia="zh-CN"/>
        </w:rPr>
        <w:t xml:space="preserve">           ……………………（3）</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式中:</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0.122 9 ----每千瓦时电力折合的标准煤量,单位为千克标准煤每千瓦时[kgce/(kw·h)]；</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W</w:t>
      </w:r>
      <w:r>
        <w:rPr>
          <w:rFonts w:hint="eastAsia" w:asciiTheme="minorEastAsia" w:hAnsiTheme="minorEastAsia" w:eastAsiaTheme="minorEastAsia" w:cstheme="minorEastAsia"/>
          <w:b w:val="0"/>
          <w:bCs w:val="0"/>
          <w:sz w:val="21"/>
          <w:szCs w:val="21"/>
          <w:vertAlign w:val="subscript"/>
          <w:lang w:val="en-US" w:eastAsia="zh-CN"/>
        </w:rPr>
        <w:t xml:space="preserve">he            </w:t>
      </w:r>
      <w:r>
        <w:rPr>
          <w:rFonts w:hint="eastAsia" w:asciiTheme="minorEastAsia" w:hAnsiTheme="minorEastAsia" w:eastAsiaTheme="minorEastAsia" w:cstheme="minorEastAsia"/>
          <w:b w:val="0"/>
          <w:bCs w:val="0"/>
          <w:sz w:val="21"/>
          <w:szCs w:val="21"/>
          <w:lang w:val="en-US" w:eastAsia="zh-CN"/>
        </w:rPr>
        <w:t>----统计报告期内余热电站总发电量,单位为千瓦时(kW·h)；</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W</w:t>
      </w:r>
      <w:r>
        <w:rPr>
          <w:rFonts w:hint="eastAsia" w:asciiTheme="minorEastAsia" w:hAnsiTheme="minorEastAsia" w:eastAsiaTheme="minorEastAsia" w:cstheme="minorEastAsia"/>
          <w:b w:val="0"/>
          <w:bCs w:val="0"/>
          <w:sz w:val="21"/>
          <w:szCs w:val="21"/>
          <w:vertAlign w:val="subscript"/>
          <w:lang w:val="en-US" w:eastAsia="zh-CN"/>
        </w:rPr>
        <w:t xml:space="preserve">o             </w:t>
      </w:r>
      <w:r>
        <w:rPr>
          <w:rFonts w:hint="eastAsia" w:asciiTheme="minorEastAsia" w:hAnsiTheme="minorEastAsia" w:eastAsiaTheme="minorEastAsia" w:cstheme="minorEastAsia"/>
          <w:b w:val="0"/>
          <w:bCs w:val="0"/>
          <w:sz w:val="21"/>
          <w:szCs w:val="21"/>
          <w:lang w:val="en-US" w:eastAsia="zh-CN"/>
        </w:rPr>
        <w:t>----统计报告期内余热电站自用电量,单位为千瓦时(kW·h)。</w:t>
      </w:r>
    </w:p>
    <w:p>
      <w:pPr>
        <w:keepNext w:val="0"/>
        <w:keepLines w:val="0"/>
        <w:pageBreakBefore w:val="0"/>
        <w:widowControl/>
        <w:numPr>
          <w:ilvl w:val="-1"/>
          <w:numId w:val="0"/>
        </w:numPr>
        <w:kinsoku/>
        <w:wordWrap/>
        <w:overflowPunct/>
        <w:topLinePunct w:val="0"/>
        <w:autoSpaceDE/>
        <w:autoSpaceDN/>
        <w:bidi w:val="0"/>
        <w:adjustRightInd/>
        <w:snapToGrid/>
        <w:spacing w:before="313" w:beforeLines="100" w:after="313" w:afterLines="100" w:line="240" w:lineRule="auto"/>
        <w:ind w:right="0" w:rightChars="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黑体" w:hAnsi="黑体" w:eastAsia="黑体" w:cs="黑体"/>
          <w:b w:val="0"/>
          <w:bCs w:val="0"/>
          <w:sz w:val="21"/>
          <w:szCs w:val="24"/>
          <w:lang w:val="en-US" w:eastAsia="zh-CN"/>
        </w:rPr>
        <w:t>7.2  熟料单位产品综合电耗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熟料单位产品综合电耗按式(4)计算:</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position w:val="-30"/>
          <w:sz w:val="21"/>
          <w:szCs w:val="21"/>
          <w:lang w:val="en-US" w:eastAsia="zh-CN"/>
        </w:rPr>
        <w:object>
          <v:shape id="_x0000_i1028" o:spt="75" type="#_x0000_t75" style="height:34pt;width:52pt;" o:ole="t" filled="f" o:preferrelative="t" stroked="f" coordsize="21600,21600">
            <v:path/>
            <v:fill on="f" focussize="0,0"/>
            <v:stroke on="f"/>
            <v:imagedata r:id="rId16" o:title=""/>
            <o:lock v:ext="edit" aspectratio="t"/>
            <w10:wrap type="none"/>
            <w10:anchorlock/>
          </v:shape>
          <o:OLEObject Type="Embed" ProgID="Equation.KSEE3" ShapeID="_x0000_i1028" DrawAspect="Content" ObjectID="_1468075728" r:id="rId15">
            <o:LockedField>false</o:LockedField>
          </o:OLEObject>
        </w:object>
      </w:r>
      <w:r>
        <w:rPr>
          <w:rFonts w:hint="eastAsia" w:asciiTheme="minorEastAsia" w:hAnsiTheme="minorEastAsia" w:eastAsiaTheme="minorEastAsia" w:cstheme="minorEastAsia"/>
          <w:b w:val="0"/>
          <w:bCs w:val="0"/>
          <w:sz w:val="21"/>
          <w:szCs w:val="21"/>
          <w:lang w:val="en-US" w:eastAsia="zh-CN"/>
        </w:rPr>
        <w:t xml:space="preserve">                 ……………………（4）</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式中:</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W</w:t>
      </w:r>
      <w:r>
        <w:rPr>
          <w:rFonts w:hint="eastAsia" w:asciiTheme="minorEastAsia" w:hAnsiTheme="minorEastAsia" w:eastAsiaTheme="minorEastAsia" w:cstheme="minorEastAsia"/>
          <w:b w:val="0"/>
          <w:bCs w:val="0"/>
          <w:sz w:val="21"/>
          <w:szCs w:val="21"/>
          <w:vertAlign w:val="subscript"/>
          <w:lang w:val="en-US" w:eastAsia="zh-CN"/>
        </w:rPr>
        <w:t xml:space="preserve">sh           </w:t>
      </w:r>
      <w:r>
        <w:rPr>
          <w:rFonts w:hint="eastAsia" w:asciiTheme="minorEastAsia" w:hAnsiTheme="minorEastAsia" w:eastAsiaTheme="minorEastAsia" w:cstheme="minorEastAsia"/>
          <w:b w:val="0"/>
          <w:bCs w:val="0"/>
          <w:sz w:val="21"/>
          <w:szCs w:val="21"/>
          <w:lang w:val="en-US" w:eastAsia="zh-CN"/>
        </w:rPr>
        <w:t>----熟料单位产品综合电耗,单位为千瓦时每吨(kW·h/t)；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w</w:t>
      </w:r>
      <w:r>
        <w:rPr>
          <w:rFonts w:hint="eastAsia" w:asciiTheme="minorEastAsia" w:hAnsiTheme="minorEastAsia" w:eastAsiaTheme="minorEastAsia" w:cstheme="minorEastAsia"/>
          <w:b w:val="0"/>
          <w:bCs w:val="0"/>
          <w:sz w:val="21"/>
          <w:szCs w:val="21"/>
          <w:vertAlign w:val="subscript"/>
          <w:lang w:val="en-US" w:eastAsia="zh-CN"/>
        </w:rPr>
        <w:t xml:space="preserve">sh           </w:t>
      </w:r>
      <w:r>
        <w:rPr>
          <w:rFonts w:hint="eastAsia" w:asciiTheme="minorEastAsia" w:hAnsiTheme="minorEastAsia" w:eastAsiaTheme="minorEastAsia" w:cstheme="minorEastAsia"/>
          <w:b w:val="0"/>
          <w:bCs w:val="0"/>
          <w:sz w:val="21"/>
          <w:szCs w:val="21"/>
          <w:lang w:val="en-US" w:eastAsia="zh-CN"/>
        </w:rPr>
        <w:t>----熟料产品综合电耗统计范围内的电能消耗总量,单位为千瓦时(kW·h)。</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黑体" w:hAnsi="黑体" w:eastAsia="黑体" w:cs="黑体"/>
          <w:b w:val="0"/>
          <w:bCs w:val="0"/>
          <w:sz w:val="21"/>
          <w:szCs w:val="24"/>
          <w:lang w:val="en-US" w:eastAsia="zh-CN"/>
        </w:rPr>
        <w:t>7.3  熟料单位产品综合能耗</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熟料单位产品综合能耗按式(5)计算:</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position w:val="-12"/>
          <w:sz w:val="21"/>
          <w:szCs w:val="21"/>
          <w:lang w:val="en-US" w:eastAsia="zh-CN"/>
        </w:rPr>
        <w:object>
          <v:shape id="_x0000_i1029" o:spt="75" type="#_x0000_t75" style="height:18pt;width:114.95pt;" o:ole="t" filled="f" o:preferrelative="t" stroked="f" coordsize="21600,21600">
            <v:path/>
            <v:fill on="f" focussize="0,0"/>
            <v:stroke on="f"/>
            <v:imagedata r:id="rId18" o:title=""/>
            <o:lock v:ext="edit" aspectratio="t"/>
            <w10:wrap type="none"/>
            <w10:anchorlock/>
          </v:shape>
          <o:OLEObject Type="Embed" ProgID="Equation.KSEE3" ShapeID="_x0000_i1029" DrawAspect="Content" ObjectID="_1468075729" r:id="rId17">
            <o:LockedField>false</o:LockedField>
          </o:OLEObject>
        </w:object>
      </w:r>
      <w:r>
        <w:rPr>
          <w:rFonts w:hint="eastAsia" w:asciiTheme="minorEastAsia" w:hAnsiTheme="minorEastAsia" w:eastAsiaTheme="minorEastAsia" w:cstheme="minorEastAsia"/>
          <w:b w:val="0"/>
          <w:bCs w:val="0"/>
          <w:sz w:val="21"/>
          <w:szCs w:val="21"/>
          <w:lang w:val="en-US" w:eastAsia="zh-CN"/>
        </w:rPr>
        <w:t xml:space="preserve">           ……………………（5）</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式中：</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E</w:t>
      </w:r>
      <w:r>
        <w:rPr>
          <w:rFonts w:hint="eastAsia" w:asciiTheme="minorEastAsia" w:hAnsiTheme="minorEastAsia" w:eastAsiaTheme="minorEastAsia" w:cstheme="minorEastAsia"/>
          <w:b w:val="0"/>
          <w:bCs w:val="0"/>
          <w:sz w:val="21"/>
          <w:szCs w:val="21"/>
          <w:vertAlign w:val="subscript"/>
          <w:lang w:val="en-US" w:eastAsia="zh-CN"/>
        </w:rPr>
        <w:t xml:space="preserve">sh         </w:t>
      </w:r>
      <w:r>
        <w:rPr>
          <w:rFonts w:hint="eastAsia" w:asciiTheme="minorEastAsia" w:hAnsiTheme="minorEastAsia" w:eastAsiaTheme="minorEastAsia" w:cstheme="minorEastAsia"/>
          <w:b w:val="0"/>
          <w:bCs w:val="0"/>
          <w:sz w:val="21"/>
          <w:szCs w:val="21"/>
          <w:lang w:val="en-US" w:eastAsia="zh-CN"/>
        </w:rPr>
        <w:t>----熟料单位产品综合能耗,单位为千克标准煤每吨(kgce/t)。</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7.4  水泥单位产品综合电耗</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水泥单位产品综合电耗按式(6)计算:</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position w:val="-30"/>
          <w:sz w:val="21"/>
          <w:szCs w:val="21"/>
          <w:lang w:val="en-US" w:eastAsia="zh-CN"/>
        </w:rPr>
        <w:object>
          <v:shape id="_x0000_i1030" o:spt="75" type="#_x0000_t75" style="height:34pt;width:44pt;" o:ole="t" filled="f" o:preferrelative="t" stroked="f" coordsize="21600,21600">
            <v:path/>
            <v:fill on="f" focussize="0,0"/>
            <v:stroke on="f"/>
            <v:imagedata r:id="rId20" o:title=""/>
            <o:lock v:ext="edit" aspectratio="t"/>
            <w10:wrap type="none"/>
            <w10:anchorlock/>
          </v:shape>
          <o:OLEObject Type="Embed" ProgID="Equation.KSEE3" ShapeID="_x0000_i1030" DrawAspect="Content" ObjectID="_1468075730" r:id="rId19">
            <o:LockedField>false</o:LockedField>
          </o:OLEObject>
        </w:object>
      </w:r>
      <w:r>
        <w:rPr>
          <w:rFonts w:hint="eastAsia" w:asciiTheme="minorEastAsia" w:hAnsiTheme="minorEastAsia" w:eastAsiaTheme="minorEastAsia" w:cstheme="minorEastAsia"/>
          <w:b w:val="0"/>
          <w:bCs w:val="0"/>
          <w:sz w:val="21"/>
          <w:szCs w:val="21"/>
          <w:lang w:val="en-US" w:eastAsia="zh-CN"/>
        </w:rPr>
        <w:t xml:space="preserve">                  ……………………（6）</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式中:</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W</w:t>
      </w:r>
      <w:r>
        <w:rPr>
          <w:rFonts w:hint="eastAsia" w:asciiTheme="minorEastAsia" w:hAnsiTheme="minorEastAsia" w:eastAsiaTheme="minorEastAsia" w:cstheme="minorEastAsia"/>
          <w:b w:val="0"/>
          <w:bCs w:val="0"/>
          <w:sz w:val="21"/>
          <w:szCs w:val="21"/>
          <w:vertAlign w:val="subscript"/>
          <w:lang w:val="en-US" w:eastAsia="zh-CN"/>
        </w:rPr>
        <w:t xml:space="preserve">s        </w:t>
      </w:r>
      <w:r>
        <w:rPr>
          <w:rFonts w:hint="eastAsia" w:asciiTheme="minorEastAsia" w:hAnsiTheme="minorEastAsia" w:eastAsiaTheme="minorEastAsia" w:cstheme="minorEastAsia"/>
          <w:b w:val="0"/>
          <w:bCs w:val="0"/>
          <w:sz w:val="21"/>
          <w:szCs w:val="21"/>
          <w:lang w:val="en-US" w:eastAsia="zh-CN"/>
        </w:rPr>
        <w:t>----水泥单位产品综合电耗,单位为千瓦时每吨(kW·h/t)；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P</w:t>
      </w:r>
      <w:r>
        <w:rPr>
          <w:rFonts w:hint="eastAsia" w:asciiTheme="minorEastAsia" w:hAnsiTheme="minorEastAsia" w:eastAsiaTheme="minorEastAsia" w:cstheme="minorEastAsia"/>
          <w:b w:val="0"/>
          <w:bCs w:val="0"/>
          <w:sz w:val="21"/>
          <w:szCs w:val="21"/>
          <w:vertAlign w:val="subscript"/>
          <w:lang w:val="en-US" w:eastAsia="zh-CN"/>
        </w:rPr>
        <w:t xml:space="preserve">s        </w:t>
      </w:r>
      <w:r>
        <w:rPr>
          <w:rFonts w:hint="eastAsia" w:asciiTheme="minorEastAsia" w:hAnsiTheme="minorEastAsia" w:eastAsiaTheme="minorEastAsia" w:cstheme="minorEastAsia"/>
          <w:b w:val="0"/>
          <w:bCs w:val="0"/>
          <w:sz w:val="21"/>
          <w:szCs w:val="21"/>
          <w:lang w:val="en-US" w:eastAsia="zh-CN"/>
        </w:rPr>
        <w:t>----统计报告期内符合 GB 175 的要求的水泥产品总产量,单位为吨(t)；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both"/>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w</w:t>
      </w:r>
      <w:r>
        <w:rPr>
          <w:rFonts w:hint="eastAsia" w:asciiTheme="minorEastAsia" w:hAnsiTheme="minorEastAsia" w:eastAsiaTheme="minorEastAsia" w:cstheme="minorEastAsia"/>
          <w:b w:val="0"/>
          <w:bCs w:val="0"/>
          <w:sz w:val="21"/>
          <w:szCs w:val="21"/>
          <w:vertAlign w:val="subscript"/>
          <w:lang w:val="en-US" w:eastAsia="zh-CN"/>
        </w:rPr>
        <w:t xml:space="preserve">s        </w:t>
      </w:r>
      <w:r>
        <w:rPr>
          <w:rFonts w:hint="eastAsia" w:asciiTheme="minorEastAsia" w:hAnsiTheme="minorEastAsia" w:eastAsiaTheme="minorEastAsia" w:cstheme="minorEastAsia"/>
          <w:b w:val="0"/>
          <w:bCs w:val="0"/>
          <w:sz w:val="21"/>
          <w:szCs w:val="21"/>
          <w:lang w:val="en-US" w:eastAsia="zh-CN"/>
        </w:rPr>
        <w:t>----水泥产品综合电耗统计范围内的电能消耗总量,单位为千瓦时(kW·h),按式(7)计算：</w:t>
      </w:r>
    </w:p>
    <w:p>
      <w:pPr>
        <w:keepNext w:val="0"/>
        <w:keepLines w:val="0"/>
        <w:pageBreakBefore w:val="0"/>
        <w:widowControl w:val="0"/>
        <w:kinsoku/>
        <w:wordWrap/>
        <w:overflowPunct/>
        <w:topLinePunct w:val="0"/>
        <w:autoSpaceDE/>
        <w:autoSpaceDN/>
        <w:bidi w:val="0"/>
        <w:adjustRightInd/>
        <w:snapToGrid/>
        <w:spacing w:line="240" w:lineRule="auto"/>
        <w:ind w:right="0" w:rightChars="0"/>
        <w:jc w:val="righ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position w:val="-14"/>
          <w:sz w:val="21"/>
          <w:szCs w:val="21"/>
          <w:lang w:val="en-US" w:eastAsia="zh-CN"/>
        </w:rPr>
        <w:object>
          <v:shape id="_x0000_i1031" o:spt="75" type="#_x0000_t75" style="height:19pt;width:179pt;" o:ole="t" filled="f" o:preferrelative="t" stroked="f" coordsize="21600,21600">
            <v:path/>
            <v:fill on="f" focussize="0,0"/>
            <v:stroke on="f"/>
            <v:imagedata r:id="rId22" o:title=""/>
            <o:lock v:ext="edit" aspectratio="t"/>
            <w10:wrap type="none"/>
            <w10:anchorlock/>
          </v:shape>
          <o:OLEObject Type="Embed" ProgID="Equation.KSEE3" ShapeID="_x0000_i1031" DrawAspect="Content" ObjectID="_1468075731" r:id="rId21">
            <o:LockedField>false</o:LockedField>
          </o:OLEObject>
        </w:object>
      </w:r>
      <w:r>
        <w:rPr>
          <w:rFonts w:hint="eastAsia" w:asciiTheme="minorEastAsia" w:hAnsiTheme="minorEastAsia" w:eastAsiaTheme="minorEastAsia" w:cstheme="minorEastAsia"/>
          <w:b w:val="0"/>
          <w:bCs w:val="0"/>
          <w:position w:val="-30"/>
          <w:sz w:val="21"/>
          <w:szCs w:val="21"/>
          <w:lang w:val="en-US" w:eastAsia="zh-CN"/>
        </w:rPr>
        <w:t xml:space="preserve"> </w:t>
      </w:r>
      <w:r>
        <w:rPr>
          <w:rFonts w:hint="eastAsia" w:asciiTheme="minorEastAsia" w:hAnsiTheme="minorEastAsia" w:eastAsiaTheme="minorEastAsia" w:cstheme="minorEastAsia"/>
          <w:b w:val="0"/>
          <w:bCs w:val="0"/>
          <w:sz w:val="21"/>
          <w:szCs w:val="21"/>
          <w:lang w:val="en-US" w:eastAsia="zh-CN"/>
        </w:rPr>
        <w:t xml:space="preserve">        ……………………（7）</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式中:</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w</w:t>
      </w:r>
      <w:r>
        <w:rPr>
          <w:rFonts w:hint="eastAsia" w:asciiTheme="minorEastAsia" w:hAnsiTheme="minorEastAsia" w:eastAsiaTheme="minorEastAsia" w:cstheme="minorEastAsia"/>
          <w:b w:val="0"/>
          <w:bCs w:val="0"/>
          <w:sz w:val="21"/>
          <w:szCs w:val="21"/>
          <w:vertAlign w:val="subscript"/>
          <w:lang w:val="en-US" w:eastAsia="zh-CN"/>
        </w:rPr>
        <w:t xml:space="preserve">fm       </w:t>
      </w:r>
      <w:r>
        <w:rPr>
          <w:rFonts w:hint="eastAsia" w:asciiTheme="minorEastAsia" w:hAnsiTheme="minorEastAsia" w:eastAsiaTheme="minorEastAsia" w:cstheme="minorEastAsia"/>
          <w:b w:val="0"/>
          <w:bCs w:val="0"/>
          <w:sz w:val="21"/>
          <w:szCs w:val="21"/>
          <w:lang w:val="en-US" w:eastAsia="zh-CN"/>
        </w:rPr>
        <w:t>----统计报告期内水泥粉磨及包装过程耗电量,单位为千瓦时(kW·h)；</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P</w:t>
      </w:r>
      <w:r>
        <w:rPr>
          <w:rFonts w:hint="eastAsia" w:asciiTheme="minorEastAsia" w:hAnsiTheme="minorEastAsia" w:eastAsiaTheme="minorEastAsia" w:cstheme="minorEastAsia"/>
          <w:b w:val="0"/>
          <w:bCs w:val="0"/>
          <w:sz w:val="21"/>
          <w:szCs w:val="21"/>
          <w:vertAlign w:val="subscript"/>
          <w:lang w:val="en-US" w:eastAsia="zh-CN"/>
        </w:rPr>
        <w:t xml:space="preserve">shx      </w:t>
      </w:r>
      <w:r>
        <w:rPr>
          <w:rFonts w:hint="eastAsia" w:asciiTheme="minorEastAsia" w:hAnsiTheme="minorEastAsia" w:eastAsiaTheme="minorEastAsia" w:cstheme="minorEastAsia"/>
          <w:b w:val="0"/>
          <w:bCs w:val="0"/>
          <w:sz w:val="21"/>
          <w:szCs w:val="21"/>
          <w:lang w:val="en-US" w:eastAsia="zh-CN"/>
        </w:rPr>
        <w:t>----统计报告期内企业生产水泥用熟料消耗量,单位为吨(t)；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w</w:t>
      </w:r>
      <w:r>
        <w:rPr>
          <w:rFonts w:hint="eastAsia" w:asciiTheme="minorEastAsia" w:hAnsiTheme="minorEastAsia" w:eastAsiaTheme="minorEastAsia" w:cstheme="minorEastAsia"/>
          <w:b w:val="0"/>
          <w:bCs w:val="0"/>
          <w:sz w:val="21"/>
          <w:szCs w:val="21"/>
          <w:vertAlign w:val="subscript"/>
          <w:lang w:val="en-US" w:eastAsia="zh-CN"/>
        </w:rPr>
        <w:t xml:space="preserve">m        </w:t>
      </w:r>
      <w:r>
        <w:rPr>
          <w:rFonts w:hint="eastAsia" w:asciiTheme="minorEastAsia" w:hAnsiTheme="minorEastAsia" w:eastAsiaTheme="minorEastAsia" w:cstheme="minorEastAsia"/>
          <w:b w:val="0"/>
          <w:bCs w:val="0"/>
          <w:sz w:val="21"/>
          <w:szCs w:val="21"/>
          <w:lang w:val="en-US" w:eastAsia="zh-CN"/>
        </w:rPr>
        <w:t>----统计报告期内混合材预处理消耗的电能,单位为千瓦时(kW·h)；</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w</w:t>
      </w:r>
      <w:r>
        <w:rPr>
          <w:rFonts w:hint="eastAsia" w:asciiTheme="minorEastAsia" w:hAnsiTheme="minorEastAsia" w:eastAsiaTheme="minorEastAsia" w:cstheme="minorEastAsia"/>
          <w:b w:val="0"/>
          <w:bCs w:val="0"/>
          <w:sz w:val="21"/>
          <w:szCs w:val="21"/>
          <w:vertAlign w:val="subscript"/>
          <w:lang w:val="en-US" w:eastAsia="zh-CN"/>
        </w:rPr>
        <w:t xml:space="preserve">g        </w:t>
      </w:r>
      <w:r>
        <w:rPr>
          <w:rFonts w:hint="eastAsia" w:asciiTheme="minorEastAsia" w:hAnsiTheme="minorEastAsia" w:eastAsiaTheme="minorEastAsia" w:cstheme="minorEastAsia"/>
          <w:b w:val="0"/>
          <w:bCs w:val="0"/>
          <w:sz w:val="21"/>
          <w:szCs w:val="21"/>
          <w:lang w:val="en-US" w:eastAsia="zh-CN"/>
        </w:rPr>
        <w:t>----统计报告期内石膏预处理耗电量,单位为千瓦时(kW·h)；</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w</w:t>
      </w:r>
      <w:r>
        <w:rPr>
          <w:rFonts w:hint="eastAsia" w:asciiTheme="minorEastAsia" w:hAnsiTheme="minorEastAsia" w:eastAsiaTheme="minorEastAsia" w:cstheme="minorEastAsia"/>
          <w:b w:val="0"/>
          <w:bCs w:val="0"/>
          <w:sz w:val="21"/>
          <w:szCs w:val="21"/>
          <w:vertAlign w:val="subscript"/>
          <w:lang w:val="en-US" w:eastAsia="zh-CN"/>
        </w:rPr>
        <w:t xml:space="preserve">fz       </w:t>
      </w:r>
      <w:r>
        <w:rPr>
          <w:rFonts w:hint="eastAsia" w:asciiTheme="minorEastAsia" w:hAnsiTheme="minorEastAsia" w:eastAsiaTheme="minorEastAsia" w:cstheme="minorEastAsia"/>
          <w:b w:val="0"/>
          <w:bCs w:val="0"/>
          <w:sz w:val="21"/>
          <w:szCs w:val="21"/>
          <w:lang w:val="en-US" w:eastAsia="zh-CN"/>
        </w:rPr>
        <w:t>----统计报告期内应分摊的辅助生产用电量,单位为千瓦时(kW·h)。</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当企业全部采用外购熟料生产水泥时，式(7)中 W</w:t>
      </w:r>
      <w:r>
        <w:rPr>
          <w:rFonts w:hint="eastAsia" w:asciiTheme="minorEastAsia" w:hAnsiTheme="minorEastAsia" w:eastAsiaTheme="minorEastAsia" w:cstheme="minorEastAsia"/>
          <w:b w:val="0"/>
          <w:bCs w:val="0"/>
          <w:sz w:val="21"/>
          <w:szCs w:val="21"/>
          <w:vertAlign w:val="subscript"/>
          <w:lang w:val="en-US" w:eastAsia="zh-CN"/>
        </w:rPr>
        <w:t>sh</w:t>
      </w:r>
      <w:r>
        <w:rPr>
          <w:rFonts w:hint="eastAsia" w:asciiTheme="minorEastAsia" w:hAnsiTheme="minorEastAsia" w:eastAsiaTheme="minorEastAsia" w:cstheme="minorEastAsia"/>
          <w:b w:val="0"/>
          <w:bCs w:val="0"/>
          <w:sz w:val="21"/>
          <w:szCs w:val="21"/>
          <w:lang w:val="en-US" w:eastAsia="zh-CN"/>
        </w:rPr>
        <w:t>按零计算；当企业外购部分熟料生产水泥时，式(7)中 W</w:t>
      </w:r>
      <w:r>
        <w:rPr>
          <w:rFonts w:hint="eastAsia" w:asciiTheme="minorEastAsia" w:hAnsiTheme="minorEastAsia" w:eastAsiaTheme="minorEastAsia" w:cstheme="minorEastAsia"/>
          <w:b w:val="0"/>
          <w:bCs w:val="0"/>
          <w:sz w:val="21"/>
          <w:szCs w:val="21"/>
          <w:vertAlign w:val="subscript"/>
          <w:lang w:val="en-US" w:eastAsia="zh-CN"/>
        </w:rPr>
        <w:t>sh</w:t>
      </w:r>
      <w:r>
        <w:rPr>
          <w:rFonts w:hint="eastAsia" w:asciiTheme="minorEastAsia" w:hAnsiTheme="minorEastAsia" w:eastAsiaTheme="minorEastAsia" w:cstheme="minorEastAsia"/>
          <w:b w:val="0"/>
          <w:bCs w:val="0"/>
          <w:sz w:val="21"/>
          <w:szCs w:val="21"/>
          <w:lang w:val="en-US" w:eastAsia="zh-CN"/>
        </w:rPr>
        <w:t>应采用本企业熟料单位产品综合电耗数据。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黑体" w:hAnsi="黑体" w:eastAsia="黑体" w:cs="黑体"/>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7.5水泥单位产品综合能耗</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水泥单位产品综合能耗按式(8)计算:</w:t>
      </w:r>
    </w:p>
    <w:p>
      <w:pPr>
        <w:keepNext w:val="0"/>
        <w:keepLines w:val="0"/>
        <w:pageBreakBefore w:val="0"/>
        <w:widowControl w:val="0"/>
        <w:kinsoku/>
        <w:wordWrap/>
        <w:overflowPunct/>
        <w:topLinePunct w:val="0"/>
        <w:autoSpaceDE/>
        <w:autoSpaceDN/>
        <w:bidi w:val="0"/>
        <w:adjustRightInd/>
        <w:snapToGrid/>
        <w:spacing w:line="240" w:lineRule="auto"/>
        <w:ind w:right="0" w:rightChars="0"/>
        <w:jc w:val="righ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position w:val="-30"/>
          <w:sz w:val="21"/>
          <w:szCs w:val="21"/>
          <w:lang w:val="en-US" w:eastAsia="zh-CN"/>
        </w:rPr>
        <w:object>
          <v:shape id="_x0000_i1032" o:spt="75" type="#_x0000_t75" style="height:34pt;width:146pt;" o:ole="t" filled="f" o:preferrelative="t" stroked="f" coordsize="21600,21600">
            <v:path/>
            <v:fill on="f" focussize="0,0"/>
            <v:stroke on="f"/>
            <v:imagedata r:id="rId24" o:title=""/>
            <o:lock v:ext="edit" aspectratio="t"/>
            <w10:wrap type="none"/>
            <w10:anchorlock/>
          </v:shape>
          <o:OLEObject Type="Embed" ProgID="Equation.KSEE3" ShapeID="_x0000_i1032" DrawAspect="Content" ObjectID="_1468075732" r:id="rId23">
            <o:LockedField>false</o:LockedField>
          </o:OLEObject>
        </w:object>
      </w:r>
      <w:r>
        <w:rPr>
          <w:rFonts w:hint="eastAsia" w:asciiTheme="minorEastAsia" w:hAnsiTheme="minorEastAsia" w:eastAsiaTheme="minorEastAsia" w:cstheme="minorEastAsia"/>
          <w:b w:val="0"/>
          <w:bCs w:val="0"/>
          <w:position w:val="-30"/>
          <w:sz w:val="21"/>
          <w:szCs w:val="21"/>
          <w:lang w:val="en-US" w:eastAsia="zh-CN"/>
        </w:rPr>
        <w:t xml:space="preserve"> </w:t>
      </w:r>
      <w:r>
        <w:rPr>
          <w:rFonts w:hint="eastAsia" w:asciiTheme="minorEastAsia" w:hAnsiTheme="minorEastAsia" w:eastAsiaTheme="minorEastAsia" w:cstheme="minorEastAsia"/>
          <w:b w:val="0"/>
          <w:bCs w:val="0"/>
          <w:sz w:val="21"/>
          <w:szCs w:val="21"/>
          <w:lang w:val="en-US" w:eastAsia="zh-CN"/>
        </w:rPr>
        <w:t xml:space="preserve">           ……………………（8）</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式中:</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E</w:t>
      </w:r>
      <w:r>
        <w:rPr>
          <w:rFonts w:hint="eastAsia" w:asciiTheme="minorEastAsia" w:hAnsiTheme="minorEastAsia" w:eastAsiaTheme="minorEastAsia" w:cstheme="minorEastAsia"/>
          <w:b w:val="0"/>
          <w:bCs w:val="0"/>
          <w:sz w:val="21"/>
          <w:szCs w:val="21"/>
          <w:vertAlign w:val="subscript"/>
          <w:lang w:val="en-US" w:eastAsia="zh-CN"/>
        </w:rPr>
        <w:t xml:space="preserve">s     </w:t>
      </w:r>
      <w:r>
        <w:rPr>
          <w:rFonts w:hint="eastAsia" w:asciiTheme="minorEastAsia" w:hAnsiTheme="minorEastAsia" w:eastAsiaTheme="minorEastAsia" w:cstheme="minorEastAsia"/>
          <w:b w:val="0"/>
          <w:bCs w:val="0"/>
          <w:sz w:val="21"/>
          <w:szCs w:val="21"/>
          <w:lang w:val="en-US" w:eastAsia="zh-CN"/>
        </w:rPr>
        <w:t>----水泥单位产品综合能耗,单位为千克标煤每吨(kgce/t)；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g</w:t>
      </w:r>
      <w:r>
        <w:rPr>
          <w:rFonts w:hint="eastAsia" w:asciiTheme="minorEastAsia" w:hAnsiTheme="minorEastAsia" w:eastAsiaTheme="minorEastAsia" w:cstheme="minorEastAsia"/>
          <w:b w:val="0"/>
          <w:bCs w:val="0"/>
          <w:sz w:val="21"/>
          <w:szCs w:val="21"/>
          <w:vertAlign w:val="subscript"/>
          <w:lang w:val="en-US" w:eastAsia="zh-CN"/>
        </w:rPr>
        <w:t xml:space="preserve">      </w:t>
      </w:r>
      <w:r>
        <w:rPr>
          <w:rFonts w:hint="eastAsia" w:asciiTheme="minorEastAsia" w:hAnsiTheme="minorEastAsia" w:eastAsiaTheme="minorEastAsia" w:cstheme="minorEastAsia"/>
          <w:b w:val="0"/>
          <w:bCs w:val="0"/>
          <w:sz w:val="21"/>
          <w:szCs w:val="21"/>
          <w:lang w:val="en-US" w:eastAsia="zh-CN"/>
        </w:rPr>
        <w:t>----统计期内水泥企业水泥中熟料平均配比，%；</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e</w:t>
      </w:r>
      <w:r>
        <w:rPr>
          <w:rFonts w:hint="eastAsia" w:asciiTheme="minorEastAsia" w:hAnsiTheme="minorEastAsia" w:eastAsiaTheme="minorEastAsia" w:cstheme="minorEastAsia"/>
          <w:b w:val="0"/>
          <w:bCs w:val="0"/>
          <w:sz w:val="21"/>
          <w:szCs w:val="21"/>
          <w:vertAlign w:val="subscript"/>
          <w:lang w:val="en-US" w:eastAsia="zh-CN"/>
        </w:rPr>
        <w:t xml:space="preserve">h     </w:t>
      </w:r>
      <w:r>
        <w:rPr>
          <w:rFonts w:hint="eastAsia" w:asciiTheme="minorEastAsia" w:hAnsiTheme="minorEastAsia" w:eastAsiaTheme="minorEastAsia" w:cstheme="minorEastAsia"/>
          <w:b w:val="0"/>
          <w:bCs w:val="0"/>
          <w:sz w:val="21"/>
          <w:szCs w:val="21"/>
          <w:lang w:val="en-US" w:eastAsia="zh-CN"/>
        </w:rPr>
        <w:t>----统计报告期内水泥制备系统(包括水泥混合材烘干)所消耗燃料折算标准煤的量,单位为千</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1260" w:firstLineChars="6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克标准煤(kgce)。</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当企业全部采用外购熟料生产水泥(水泥粉磨站),式(8)中 e</w:t>
      </w:r>
      <w:r>
        <w:rPr>
          <w:rFonts w:hint="eastAsia" w:asciiTheme="minorEastAsia" w:hAnsiTheme="minorEastAsia" w:eastAsiaTheme="minorEastAsia" w:cstheme="minorEastAsia"/>
          <w:b w:val="0"/>
          <w:bCs w:val="0"/>
          <w:sz w:val="21"/>
          <w:szCs w:val="21"/>
          <w:vertAlign w:val="subscript"/>
          <w:lang w:val="en-US" w:eastAsia="zh-CN"/>
        </w:rPr>
        <w:t>sh</w:t>
      </w:r>
      <w:r>
        <w:rPr>
          <w:rFonts w:hint="eastAsia" w:asciiTheme="minorEastAsia" w:hAnsiTheme="minorEastAsia" w:eastAsiaTheme="minorEastAsia" w:cstheme="minorEastAsia"/>
          <w:b w:val="0"/>
          <w:bCs w:val="0"/>
          <w:sz w:val="21"/>
          <w:szCs w:val="21"/>
          <w:lang w:val="en-US" w:eastAsia="zh-CN"/>
        </w:rPr>
        <w:t xml:space="preserve"> 按零计算；当企业外购部分熟料生产水泥时,式(8)中 e</w:t>
      </w:r>
      <w:r>
        <w:rPr>
          <w:rFonts w:hint="eastAsia" w:asciiTheme="minorEastAsia" w:hAnsiTheme="minorEastAsia" w:eastAsiaTheme="minorEastAsia" w:cstheme="minorEastAsia"/>
          <w:b w:val="0"/>
          <w:bCs w:val="0"/>
          <w:sz w:val="21"/>
          <w:szCs w:val="21"/>
          <w:vertAlign w:val="subscript"/>
          <w:lang w:val="en-US" w:eastAsia="zh-CN"/>
        </w:rPr>
        <w:t>sh</w:t>
      </w:r>
      <w:r>
        <w:rPr>
          <w:rFonts w:hint="eastAsia" w:asciiTheme="minorEastAsia" w:hAnsiTheme="minorEastAsia" w:eastAsiaTheme="minorEastAsia" w:cstheme="minorEastAsia"/>
          <w:b w:val="0"/>
          <w:bCs w:val="0"/>
          <w:sz w:val="21"/>
          <w:szCs w:val="21"/>
          <w:lang w:val="en-US" w:eastAsia="zh-CN"/>
        </w:rPr>
        <w:t>应采用本企业熟料单位产品综合煤耗数据。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黑体" w:hAnsi="黑体" w:eastAsia="黑体" w:cs="黑体"/>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7.6水泥制备工段电耗</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水泥制备工段电耗按式(9)计算:</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position w:val="-30"/>
          <w:sz w:val="21"/>
          <w:szCs w:val="21"/>
          <w:lang w:val="en-US" w:eastAsia="zh-CN"/>
        </w:rPr>
        <w:object>
          <v:shape id="_x0000_i1033" o:spt="75" type="#_x0000_t75" style="height:36pt;width:52pt;" o:ole="t" filled="f" o:preferrelative="t" stroked="f" coordsize="21600,21600">
            <v:path/>
            <v:fill on="f" focussize="0,0"/>
            <v:stroke on="f"/>
            <v:imagedata r:id="rId26" o:title=""/>
            <o:lock v:ext="edit" aspectratio="t"/>
            <w10:wrap type="none"/>
            <w10:anchorlock/>
          </v:shape>
          <o:OLEObject Type="Embed" ProgID="Equation.KSEE3" ShapeID="_x0000_i1033" DrawAspect="Content" ObjectID="_1468075733" r:id="rId25">
            <o:LockedField>false</o:LockedField>
          </o:OLEObject>
        </w:object>
      </w:r>
      <w:r>
        <w:rPr>
          <w:rFonts w:hint="eastAsia" w:asciiTheme="minorEastAsia" w:hAnsiTheme="minorEastAsia" w:eastAsiaTheme="minorEastAsia" w:cstheme="minorEastAsia"/>
          <w:b w:val="0"/>
          <w:bCs w:val="0"/>
          <w:sz w:val="21"/>
          <w:szCs w:val="21"/>
          <w:lang w:val="en-US" w:eastAsia="zh-CN"/>
        </w:rPr>
        <w:t xml:space="preserve">                  ……………………（9）</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式中：</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W</w:t>
      </w:r>
      <w:r>
        <w:rPr>
          <w:rFonts w:hint="eastAsia" w:asciiTheme="minorEastAsia" w:hAnsiTheme="minorEastAsia" w:eastAsiaTheme="minorEastAsia" w:cstheme="minorEastAsia"/>
          <w:b w:val="0"/>
          <w:bCs w:val="0"/>
          <w:sz w:val="21"/>
          <w:szCs w:val="21"/>
          <w:vertAlign w:val="subscript"/>
          <w:lang w:val="en-US" w:eastAsia="zh-CN"/>
        </w:rPr>
        <w:t xml:space="preserve">sg    </w:t>
      </w:r>
      <w:r>
        <w:rPr>
          <w:rFonts w:hint="eastAsia" w:asciiTheme="minorEastAsia" w:hAnsiTheme="minorEastAsia" w:eastAsiaTheme="minorEastAsia" w:cstheme="minorEastAsia"/>
          <w:b w:val="0"/>
          <w:bCs w:val="0"/>
          <w:sz w:val="21"/>
          <w:szCs w:val="21"/>
          <w:lang w:val="en-US" w:eastAsia="zh-CN"/>
        </w:rPr>
        <w:t>----水泥制备工段电耗,单位为千瓦时每吨(kW·h/t)；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w</w:t>
      </w:r>
      <w:r>
        <w:rPr>
          <w:rFonts w:hint="eastAsia" w:asciiTheme="minorEastAsia" w:hAnsiTheme="minorEastAsia" w:eastAsiaTheme="minorEastAsia" w:cstheme="minorEastAsia"/>
          <w:b w:val="0"/>
          <w:bCs w:val="0"/>
          <w:sz w:val="21"/>
          <w:szCs w:val="21"/>
          <w:vertAlign w:val="subscript"/>
          <w:lang w:val="en-US" w:eastAsia="zh-CN"/>
        </w:rPr>
        <w:t xml:space="preserve">sg    </w:t>
      </w:r>
      <w:r>
        <w:rPr>
          <w:rFonts w:hint="eastAsia" w:asciiTheme="minorEastAsia" w:hAnsiTheme="minorEastAsia" w:eastAsiaTheme="minorEastAsia" w:cstheme="minorEastAsia"/>
          <w:b w:val="0"/>
          <w:bCs w:val="0"/>
          <w:sz w:val="21"/>
          <w:szCs w:val="21"/>
          <w:lang w:val="en-US" w:eastAsia="zh-CN"/>
        </w:rPr>
        <w:t>----水泥制备工段电耗统计范围内的电能消耗总量,单位为千瓦时(kW·h)。</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7.7 多条生产线企业的产品能耗计算</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企业用能单位有多条产品生产线时，应按生产线分别计算能耗,共用系统部分的能耗应按产品产量比例分摊。</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left"/>
        <w:textAlignment w:val="auto"/>
        <w:outlineLvl w:val="9"/>
        <w:rPr>
          <w:rFonts w:hint="eastAsia" w:asciiTheme="minorEastAsia" w:hAnsiTheme="minorEastAsia" w:eastAsiaTheme="minorEastAsia" w:cstheme="minorEastAsia"/>
          <w:b w:val="0"/>
          <w:bCs w:val="0"/>
          <w:sz w:val="21"/>
          <w:szCs w:val="21"/>
          <w:lang w:val="en-US" w:eastAsia="zh-CN"/>
        </w:rPr>
      </w:pPr>
      <w:r>
        <w:rPr>
          <w:sz w:val="21"/>
        </w:rPr>
        <mc:AlternateContent>
          <mc:Choice Requires="wps">
            <w:drawing>
              <wp:anchor distT="0" distB="0" distL="114300" distR="114300" simplePos="0" relativeHeight="251667456" behindDoc="0" locked="0" layoutInCell="1" allowOverlap="1">
                <wp:simplePos x="0" y="0"/>
                <wp:positionH relativeFrom="column">
                  <wp:posOffset>2167890</wp:posOffset>
                </wp:positionH>
                <wp:positionV relativeFrom="paragraph">
                  <wp:posOffset>81915</wp:posOffset>
                </wp:positionV>
                <wp:extent cx="1410970" cy="9525"/>
                <wp:effectExtent l="0" t="0" r="0" b="0"/>
                <wp:wrapNone/>
                <wp:docPr id="7" name="直接连接符 7"/>
                <wp:cNvGraphicFramePr/>
                <a:graphic xmlns:a="http://schemas.openxmlformats.org/drawingml/2006/main">
                  <a:graphicData uri="http://schemas.microsoft.com/office/word/2010/wordprocessingShape">
                    <wps:wsp>
                      <wps:cNvCnPr/>
                      <wps:spPr>
                        <a:xfrm flipV="1">
                          <a:off x="0" y="0"/>
                          <a:ext cx="1410970" cy="9525"/>
                        </a:xfrm>
                        <a:prstGeom prst="line">
                          <a:avLst/>
                        </a:prstGeom>
                        <a:ln w="317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70.7pt;margin-top:6.45pt;height:0.75pt;width:111.1pt;z-index:251667456;mso-width-relative:page;mso-height-relative:page;" filled="f" stroked="t" coordsize="21600,21600" o:gfxdata="UEsDBAoAAAAAAIdO4kAAAAAAAAAAAAAAAAAEAAAAZHJzL1BLAwQUAAAACACHTuJAxwpd3tUAAAAJ&#10;AQAADwAAAGRycy9kb3ducmV2LnhtbE2Py07EMAxF90j8Q2QkdkzSp6A0ncUgVqwYkIZlpjFNNY1T&#10;NZnX32NWsLTv0fVxu774SZxwiWMgDdlKgUDqgx1p0PD58frwCCImQ9ZMgVDDFSOsu9ub1jQ2nOkd&#10;T9s0CC6h2BgNLqW5kTL2Dr2JqzAjcfYdFm8Sj8sg7WLOXO4nmStVS29G4gvOzLhx2B+2R6/hpb9W&#10;1ddcDIXKNjvn1S5/O5DW93eZegaR8JL+YPjVZ3Xo2GkfjmSjmDQUZVYyykH+BIKBqi5qEHtelCXI&#10;rpX/P+h+AFBLAwQUAAAACACHTuJAQDS0JuQBAACjAwAADgAAAGRycy9lMm9Eb2MueG1srVNLjhMx&#10;EN0jcQfLe9LdgRCmlc4sJgwbBJH47Cv+dFvyT7YnnVyCCyCxgxVL9tyG4RiU3SH8NgjRi5Lten5d&#10;71V5dXkwmuxFiMrZjjazmhJhmePK9h199fL63iNKYgLLQTsrOnoUkV6u795Zjb4Vczc4zUUgSGJj&#10;O/qODin5tqoiG4SBOHNeWExKFwwk3Ia+4gFGZDe6mtf1w2p0gfvgmIgRTzdTkq4Lv5SCpedSRpGI&#10;7ijWlkoMJe5yrNYraPsAflDsVAb8QxUGlMWfnqk2kIDcBPUHlVEsuOhkmjFnKielYqJoQDVN/Zua&#10;FwN4UbSgOdGfbYr/j5Y9228DUbyjS0osGGzR7dtPX968//r5Hcbbjx/IMps0+tgi9spuw2kX/TZk&#10;xQcZDJFa+dfY/+IBqiKHYvHxbLE4JMLwsHnQ1BdL7ATD3MVivsjk1cSS2XyI6YlwhuRFR7Wy2QBo&#10;Yf80pgn6HZKPtSVjR+83ywUyAs6P1JBwaTwqirYvd6PTil8rrfONGPrdlQ5kD3kiyncq4RdY/skG&#10;4jDhSirDoB0E8MeWk3T06JXFoaa5BCM4JVrgG8irgkyg9N8gUb22aEK2eDI1r3aOH7EzNz6ofkAn&#10;mlJlzuAkFMtOU5tH7ed9Yfrxttbf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McKXd7VAAAACQEA&#10;AA8AAAAAAAAAAQAgAAAAIgAAAGRycy9kb3ducmV2LnhtbFBLAQIUABQAAAAIAIdO4kBANLQm5AEA&#10;AKMDAAAOAAAAAAAAAAEAIAAAACQBAABkcnMvZTJvRG9jLnhtbFBLBQYAAAAABgAGAFkBAAB6BQAA&#10;AAA=&#10;">
                <v:fill on="f" focussize="0,0"/>
                <v:stroke weight="0.25pt" color="#000000" joinstyle="round"/>
                <v:imagedata o:title=""/>
                <o:lock v:ext="edit" aspectratio="f"/>
              </v:line>
            </w:pict>
          </mc:Fallback>
        </mc:AlternateContent>
      </w:r>
    </w:p>
    <w:p/>
    <w:sectPr>
      <w:headerReference r:id="rId5" w:type="default"/>
      <w:footerReference r:id="rId6" w:type="default"/>
      <w:footerReference r:id="rId7" w:type="even"/>
      <w:pgSz w:w="11906" w:h="16838"/>
      <w:pgMar w:top="1417" w:right="1134" w:bottom="1134" w:left="1418" w:header="1418" w:footer="1134" w:gutter="0"/>
      <w:pgNumType w:start="1"/>
      <w:cols w:space="0" w:num="1"/>
      <w:formProt w:val="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weui">
    <w:altName w:val="Segoe Print"/>
    <w:panose1 w:val="00000000000000000000"/>
    <w:charset w:val="00"/>
    <w:family w:val="auto"/>
    <w:pitch w:val="default"/>
    <w:sig w:usb0="00000000" w:usb1="00000000" w:usb2="00000000" w:usb3="00000000" w:csb0="00000000" w:csb1="00000000"/>
  </w:font>
  <w:font w:name="WeChatNumber-151125">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PMingLiU">
    <w:panose1 w:val="02020500000000000000"/>
    <w:charset w:val="88"/>
    <w:family w:val="roman"/>
    <w:pitch w:val="default"/>
    <w:sig w:usb0="A00002FF" w:usb1="28CFFCFA" w:usb2="00000016" w:usb3="00000000" w:csb0="00100001" w:csb1="00000000"/>
  </w:font>
  <w:font w:name="Arial Unicode MS">
    <w:altName w:val="宋体"/>
    <w:panose1 w:val="020B0604020202020204"/>
    <w:charset w:val="86"/>
    <w:family w:val="swiss"/>
    <w:pitch w:val="default"/>
    <w:sig w:usb0="00000000" w:usb1="00000000" w:usb2="0000003F" w:usb3="00000000" w:csb0="603F01FF" w:csb1="FFFF0000"/>
  </w:font>
  <w:font w:name="微软雅黑">
    <w:panose1 w:val="020B0503020204020204"/>
    <w:charset w:val="86"/>
    <w:family w:val="auto"/>
    <w:pitch w:val="default"/>
    <w:sig w:usb0="80000287" w:usb1="280F3C52" w:usb2="00000016" w:usb3="00000000" w:csb0="0004001F" w:csb1="00000000"/>
  </w:font>
  <w:font w:name="PMingLiU-ExtB">
    <w:panose1 w:val="02020500000000000000"/>
    <w:charset w:val="88"/>
    <w:family w:val="auto"/>
    <w:pitch w:val="default"/>
    <w:sig w:usb0="8000002F" w:usb1="02000008" w:usb2="00000000" w:usb3="00000000" w:csb0="00100001" w:csb1="00000000"/>
  </w:font>
  <w:font w:name="Arial">
    <w:panose1 w:val="020B0604020202020204"/>
    <w:charset w:val="00"/>
    <w:family w:val="auto"/>
    <w:pitch w:val="default"/>
    <w:sig w:usb0="E0002AFF" w:usb1="C0007843" w:usb2="00000009" w:usb3="00000000" w:csb0="400001FF" w:csb1="FFFF0000"/>
  </w:font>
  <w:font w:name="MS Mincho">
    <w:panose1 w:val="02020609040205080304"/>
    <w:charset w:val="80"/>
    <w:family w:val="modern"/>
    <w:pitch w:val="default"/>
    <w:sig w:usb0="E00002FF" w:usb1="6AC7FDFB" w:usb2="00000012" w:usb3="00000000" w:csb0="4002009F" w:csb1="DFD70000"/>
  </w:font>
  <w:font w:name="GulimChe">
    <w:panose1 w:val="020B0609000101010101"/>
    <w:charset w:val="81"/>
    <w:family w:val="modern"/>
    <w:pitch w:val="default"/>
    <w:sig w:usb0="B00002AF" w:usb1="69D77CFB" w:usb2="00000030" w:usb3="00000000" w:csb0="4008009F" w:csb1="DFD70000"/>
  </w:font>
  <w:font w:name="新宋体">
    <w:panose1 w:val="02010609030101010101"/>
    <w:charset w:val="86"/>
    <w:family w:val="auto"/>
    <w:pitch w:val="default"/>
    <w:sig w:usb0="00000003" w:usb1="288F0000" w:usb2="00000006" w:usb3="00000000" w:csb0="00040001" w:csb1="00000000"/>
  </w:font>
  <w:font w:name="方正粗黑宋简体">
    <w:panose1 w:val="02000000000000000000"/>
    <w:charset w:val="86"/>
    <w:family w:val="auto"/>
    <w:pitch w:val="default"/>
    <w:sig w:usb0="A00002BF" w:usb1="184F6CFA" w:usb2="00000012" w:usb3="00000000" w:csb0="00040001" w:csb1="00000000"/>
  </w:font>
  <w:font w:name="Batang">
    <w:panose1 w:val="0203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Dotum">
    <w:panose1 w:val="020B0600000101010101"/>
    <w:charset w:val="81"/>
    <w:family w:val="auto"/>
    <w:pitch w:val="default"/>
    <w:sig w:usb0="B00002AF" w:usb1="69D77CFB" w:usb2="00000030" w:usb3="00000000" w:csb0="4008009F" w:csb1="DFD70000"/>
  </w:font>
  <w:font w:name="DotumChe">
    <w:panose1 w:val="020B0609000101010101"/>
    <w:charset w:val="81"/>
    <w:family w:val="auto"/>
    <w:pitch w:val="default"/>
    <w:sig w:usb0="B00002AF" w:usb1="69D77CFB" w:usb2="00000030" w:usb3="00000000" w:csb0="4008009F" w:csb1="DFD70000"/>
  </w:font>
  <w:font w:name="Gulim">
    <w:panose1 w:val="020B0600000101010101"/>
    <w:charset w:val="81"/>
    <w:family w:val="auto"/>
    <w:pitch w:val="default"/>
    <w:sig w:usb0="B00002AF" w:usb1="69D77CFB" w:usb2="00000030" w:usb3="00000000" w:csb0="4008009F" w:csb1="DFD70000"/>
  </w:font>
  <w:font w:name="Gungsuh">
    <w:panose1 w:val="02030600000101010101"/>
    <w:charset w:val="81"/>
    <w:family w:val="auto"/>
    <w:pitch w:val="default"/>
    <w:sig w:usb0="B00002AF" w:usb1="69D77CFB" w:usb2="00000030" w:usb3="00000000" w:csb0="4008009F" w:csb1="DFD70000"/>
  </w:font>
  <w:font w:name="GungsuhChe">
    <w:panose1 w:val="02030609000101010101"/>
    <w:charset w:val="81"/>
    <w:family w:val="auto"/>
    <w:pitch w:val="default"/>
    <w:sig w:usb0="B00002AF" w:usb1="69D77CFB" w:usb2="00000030" w:usb3="00000000" w:csb0="4008009F" w:csb1="DFD70000"/>
  </w:font>
  <w:font w:name="Malgun Gothic">
    <w:panose1 w:val="020B0503020000020004"/>
    <w:charset w:val="81"/>
    <w:family w:val="auto"/>
    <w:pitch w:val="default"/>
    <w:sig w:usb0="900002AF" w:usb1="01D77CFB" w:usb2="00000012" w:usb3="00000000" w:csb0="00080001" w:csb1="00000000"/>
  </w:font>
  <w:font w:name="Meiryo">
    <w:panose1 w:val="020B0604030504040204"/>
    <w:charset w:val="80"/>
    <w:family w:val="auto"/>
    <w:pitch w:val="default"/>
    <w:sig w:usb0="E10102FF" w:usb1="EAC7FFFF" w:usb2="00010012" w:usb3="00000000" w:csb0="6002009F" w:csb1="DFD70000"/>
  </w:font>
  <w:font w:name="Meiryo UI">
    <w:panose1 w:val="020B0604030504040204"/>
    <w:charset w:val="80"/>
    <w:family w:val="auto"/>
    <w:pitch w:val="default"/>
    <w:sig w:usb0="E10102FF" w:usb1="EAC7FFFF" w:usb2="00010012" w:usb3="00000000" w:csb0="6002009F" w:csb1="DFD70000"/>
  </w:font>
  <w:font w:name="Utsaah">
    <w:panose1 w:val="020B0604020202020204"/>
    <w:charset w:val="00"/>
    <w:family w:val="auto"/>
    <w:pitch w:val="default"/>
    <w:sig w:usb0="00008003" w:usb1="00000000" w:usb2="00000000" w:usb3="00000000" w:csb0="00000001" w:csb1="00000000"/>
  </w:font>
  <w:font w:name="Tunga">
    <w:panose1 w:val="020B0502040204020203"/>
    <w:charset w:val="00"/>
    <w:family w:val="auto"/>
    <w:pitch w:val="default"/>
    <w:sig w:usb0="00400003" w:usb1="00000000" w:usb2="00000000" w:usb3="00000000" w:csb0="00000001" w:csb1="00000000"/>
  </w:font>
  <w:font w:name="Trebuchet MS">
    <w:panose1 w:val="020B0603020202020204"/>
    <w:charset w:val="00"/>
    <w:family w:val="auto"/>
    <w:pitch w:val="default"/>
    <w:sig w:usb0="00000287" w:usb1="00000000" w:usb2="00000000" w:usb3="00000000" w:csb0="2000009F" w:csb1="00000000"/>
  </w:font>
  <w:font w:name="Traditional Arabic">
    <w:panose1 w:val="02020603050405020304"/>
    <w:charset w:val="00"/>
    <w:family w:val="auto"/>
    <w:pitch w:val="default"/>
    <w:sig w:usb0="00006003" w:usb1="80000000" w:usb2="00000008" w:usb3="00000000" w:csb0="00000041" w:csb1="20080000"/>
  </w:font>
  <w:font w:name="方正小标宋_GBK">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方正姚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w:fldChar w:fldCharType="begin"/>
    </w:r>
    <w:r>
      <w:instrText xml:space="preserve"> PAGE  \* MERGEFORMAT </w:instrText>
    </w:r>
    <w:r>
      <w:fldChar w:fldCharType="separate"/>
    </w:r>
    <w:r>
      <w:t>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ge">
                <wp:posOffset>9785985</wp:posOffset>
              </wp:positionV>
              <wp:extent cx="39370" cy="762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39370" cy="76200"/>
                      </a:xfrm>
                      <a:prstGeom prst="rect">
                        <a:avLst/>
                      </a:prstGeom>
                      <a:noFill/>
                      <a:ln w="9525">
                        <a:noFill/>
                      </a:ln>
                      <a:effectLst/>
                    </wps:spPr>
                    <wps:txbx>
                      <w:txbxContent>
                        <w:p>
                          <w:pPr>
                            <w:pStyle w:val="28"/>
                            <w:jc w:val="left"/>
                            <w:rPr>
                              <w:sz w:val="19"/>
                              <w:szCs w:val="19"/>
                            </w:rPr>
                          </w:pPr>
                          <w:r>
                            <w:fldChar w:fldCharType="begin"/>
                          </w:r>
                          <w:r>
                            <w:instrText xml:space="preserve"> PAGE \* MERGEFORMAT </w:instrText>
                          </w:r>
                          <w:r>
                            <w:fldChar w:fldCharType="separate"/>
                          </w:r>
                          <w:r>
                            <w:rPr>
                              <w:rFonts w:eastAsia="Times New Roman"/>
                              <w:color w:val="000000"/>
                              <w:sz w:val="19"/>
                              <w:szCs w:val="19"/>
                              <w:lang w:val="zh-TW" w:eastAsia="zh-TW" w:bidi="zh-TW"/>
                            </w:rPr>
                            <w:t>2</w:t>
                          </w:r>
                          <w:r>
                            <w:rPr>
                              <w:rFonts w:eastAsia="Times New Roman"/>
                              <w:color w:val="000000"/>
                              <w:sz w:val="19"/>
                              <w:szCs w:val="19"/>
                              <w:lang w:val="zh-TW" w:eastAsia="zh-TW" w:bidi="zh-TW"/>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770.55pt;height:6pt;width:3.1pt;mso-position-horizontal:right;mso-position-horizontal-relative:margin;mso-position-vertical-relative:page;mso-wrap-style:none;z-index:251660288;mso-width-relative:page;mso-height-relative:page;" filled="f" stroked="f" coordsize="21600,21600" o:gfxdata="UEsDBAoAAAAAAIdO4kAAAAAAAAAAAAAAAAAEAAAAZHJzL1BLAwQUAAAACACHTuJAXeJzCtQAAAAI&#10;AQAADwAAAGRycy9kb3ducmV2LnhtbE2PwU7DMBBE70j8g7WVuFHHhZYqxOmhEhduFITEzY23cVR7&#10;HcVumvw92xMcd2Y0+6baTcGLEYfURdKglgUIpCbajloNX59vj1sQKRuyxkdCDTMm2NX3d5UpbbzS&#10;B46H3AouoVQaDS7nvpQyNQ6DScvYI7F3ikMwmc+hlXYwVy4PXq6KYiOD6Yg/ONPj3mFzPlyChpfp&#10;O2KfcI8/p7EZXDdv/fus9cNCFa8gMk75Lww3fEaHmpmO8UI2Ca+Bh2RW189KgWB/swJxvAnrJwWy&#10;ruT/AfUvUEsDBBQAAAAIAIdO4kD+O0M5uQEAAFQDAAAOAAAAZHJzL2Uyb0RvYy54bWytU8Fu2zAM&#10;vQ/YPwi6L05TNF2NOMWGosOAYiuQ7gMUWYoFSKIgqrHzA90f7LTL7v2ufEcpxUmH7TbsQlPk0xMf&#10;SS+uB2fZVkU04Bt+NplypryE1vhNw7893L57zxkm4VthwauG7xTy6+XbN4s+1GoGHdhWRUYkHus+&#10;NLxLKdRVhbJTTuAEgvKU1BCdSHSMm6qNoid2Z6vZdDqveohtiCAVIkVvDkm+LPxaK5m+ao0qMdtw&#10;qi0VG4tdZ1stF6LeRBE6I8cyxD9U4YTx9OiJ6kYkwR6j+YvKGRkBQaeJBFeB1kaqooHUnE3/ULPq&#10;RFBFCzUHw6lN+P9o5ZftfWSmpdnNOfPC0Yz2P77vfz7vfz0xilGD+oA14VaBkGn4CAOBj3GkYNY9&#10;6OjylxQxylOrd6f2qiExScHzq/NLSkjKXM5peJmjer0aIqZPChzLTsMjza60VGzvMB2gR0h+ycOt&#10;sbbMz3rWN/zqYnZRLpwyRG59xqqyCSNNlnMoO3tpWA+jxjW0O5LY0zY03NO6cmY/e2p2XpyjE4/O&#10;enQyP4YPj4nqKWVm1gMVycsHGl0ROq5Z3o3fzwX1+jMsX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d4nMK1AAAAAgBAAAPAAAAAAAAAAEAIAAAACIAAABkcnMvZG93bnJldi54bWxQSwECFAAUAAAA&#10;CACHTuJA/jtDObkBAABUAwAADgAAAAAAAAABACAAAAAjAQAAZHJzL2Uyb0RvYy54bWxQSwUGAAAA&#10;AAYABgBZAQAATgUAAAAA&#10;">
              <v:fill on="f" focussize="0,0"/>
              <v:stroke on="f"/>
              <v:imagedata o:title=""/>
              <o:lock v:ext="edit" aspectratio="f"/>
              <v:textbox inset="0mm,0mm,0mm,0mm" style="mso-fit-shape-to-text:t;">
                <w:txbxContent>
                  <w:p>
                    <w:pPr>
                      <w:pStyle w:val="28"/>
                      <w:jc w:val="left"/>
                      <w:rPr>
                        <w:sz w:val="19"/>
                        <w:szCs w:val="19"/>
                      </w:rPr>
                    </w:pPr>
                    <w:r>
                      <w:fldChar w:fldCharType="begin"/>
                    </w:r>
                    <w:r>
                      <w:instrText xml:space="preserve"> PAGE \* MERGEFORMAT </w:instrText>
                    </w:r>
                    <w:r>
                      <w:fldChar w:fldCharType="separate"/>
                    </w:r>
                    <w:r>
                      <w:rPr>
                        <w:rFonts w:eastAsia="Times New Roman"/>
                        <w:color w:val="000000"/>
                        <w:sz w:val="19"/>
                        <w:szCs w:val="19"/>
                        <w:lang w:val="zh-TW" w:eastAsia="zh-TW" w:bidi="zh-TW"/>
                      </w:rPr>
                      <w:t>2</w:t>
                    </w:r>
                    <w:r>
                      <w:rPr>
                        <w:rFonts w:eastAsia="Times New Roman"/>
                        <w:color w:val="000000"/>
                        <w:sz w:val="19"/>
                        <w:szCs w:val="19"/>
                        <w:lang w:val="zh-TW" w:eastAsia="zh-TW" w:bidi="zh-TW"/>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ge">
                <wp:posOffset>9795510</wp:posOffset>
              </wp:positionV>
              <wp:extent cx="45720" cy="762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45720" cy="76200"/>
                      </a:xfrm>
                      <a:prstGeom prst="rect">
                        <a:avLst/>
                      </a:prstGeom>
                      <a:noFill/>
                      <a:ln w="9525">
                        <a:noFill/>
                      </a:ln>
                      <a:effectLst/>
                    </wps:spPr>
                    <wps:txbx>
                      <w:txbxContent>
                        <w:p>
                          <w:pPr>
                            <w:pStyle w:val="28"/>
                            <w:jc w:val="left"/>
                            <w:rPr>
                              <w:sz w:val="19"/>
                              <w:szCs w:val="19"/>
                            </w:rPr>
                          </w:pPr>
                          <w:r>
                            <w:fldChar w:fldCharType="begin"/>
                          </w:r>
                          <w:r>
                            <w:instrText xml:space="preserve"> PAGE \* MERGEFORMAT </w:instrText>
                          </w:r>
                          <w:r>
                            <w:fldChar w:fldCharType="separate"/>
                          </w:r>
                          <w:r>
                            <w:rPr>
                              <w:rFonts w:eastAsia="Times New Roman"/>
                              <w:color w:val="000000"/>
                              <w:sz w:val="19"/>
                              <w:szCs w:val="19"/>
                              <w:lang w:val="zh-TW" w:eastAsia="zh-TW" w:bidi="zh-TW"/>
                            </w:rPr>
                            <w:t>#</w:t>
                          </w:r>
                          <w:r>
                            <w:rPr>
                              <w:rFonts w:eastAsia="Times New Roman"/>
                              <w:color w:val="000000"/>
                              <w:sz w:val="19"/>
                              <w:szCs w:val="19"/>
                              <w:lang w:val="zh-TW" w:eastAsia="zh-TW" w:bidi="zh-TW"/>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771.3pt;height:6pt;width:3.6pt;mso-position-horizontal:right;mso-position-horizontal-relative:margin;mso-position-vertical-relative:page;mso-wrap-style:none;z-index:251661312;mso-width-relative:page;mso-height-relative:page;" filled="f" stroked="f" coordsize="21600,21600" o:gfxdata="UEsDBAoAAAAAAIdO4kAAAAAAAAAAAAAAAAAEAAAAZHJzL1BLAwQUAAAACACHTuJAhDC4m9QAAAAI&#10;AQAADwAAAGRycy9kb3ducmV2LnhtbE2PwW7CMBBE75X4B2uReisOEQSUxuGA1EtvpVUlbiZe4qjx&#10;OrJNSP6+y6k97sxo9k11mFwvRgyx86RgvcpAIDXedNQq+Pp8e9mDiEmT0b0nVDBjhEO9eKp0afyd&#10;PnA8pVZwCcVSK7ApDaWUsbHodFz5AYm9qw9OJz5DK03Qdy53vcyzrJBOd8QfrB7waLH5Od2cgt30&#10;7XGIeMTzdWyC7eZ9/z4r9bxcZ68gEk7pLwwPfEaHmpku/kYmil4BD0msbjd5AYL9XQ7i8hC2mwJk&#10;Xcn/A+pfUEsDBBQAAAAIAIdO4kCbICH5uAEAAFQDAAAOAAAAZHJzL2Uyb0RvYy54bWytU8Fu2zAM&#10;vQ/YPwi6L06Dpt2MOMWKosOAYSuQ7QMUWYoFSKIgqrHzA9sf7LTL7v2ufMcoxUmL9lbsQlPk0xMf&#10;SS+uBmfZVkU04Bt+NplypryE1vhNw398v333njNMwrfCglcN3ynkV8u3bxZ9qNUMOrCtioxIPNZ9&#10;aHiXUqirCmWnnMAJBOUpqSE6kegYN1UbRU/szlaz6fSi6iG2IYJUiBS9OST5svBrrWT6pjWqxGzD&#10;qbZUbCx2nW21XIh6E0XojBzLEK+owgnj6dET1Y1Igt1H84LKGRkBQaeJBFeB1kaqooHUnE2fqVl1&#10;IqiihZqD4dQm/H+08uv2LjLT0uxoUl44mtH+96/9n4f935+MYtSgPmBNuFUgZBquYSDwMY4UzLoH&#10;HV3+kiJGeWr17tReNSQmKXg+v5xRQlLm8oKGlzmqx6shYvqkwLHsNDzS7EpLxfYLpgP0CMkvebg1&#10;1pb5Wc/6hn+Yz+blwilD5NZnrCqbMNJkOYeys5eG9TBqXEO7I4k9bUPDPa0rZ/azp2bnxTk68eis&#10;RyfzY/h4n6ieUmZmPVCRvHyg0RWh45rl3Xh6LqjHn2H5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IQwuJvUAAAACAEAAA8AAAAAAAAAAQAgAAAAIgAAAGRycy9kb3ducmV2LnhtbFBLAQIUABQAAAAI&#10;AIdO4kCbICH5uAEAAFQDAAAOAAAAAAAAAAEAIAAAACMBAABkcnMvZTJvRG9jLnhtbFBLBQYAAAAA&#10;BgAGAFkBAABNBQAAAAA=&#10;">
              <v:fill on="f" focussize="0,0"/>
              <v:stroke on="f"/>
              <v:imagedata o:title=""/>
              <o:lock v:ext="edit" aspectratio="f"/>
              <v:textbox inset="0mm,0mm,0mm,0mm" style="mso-fit-shape-to-text:t;">
                <w:txbxContent>
                  <w:p>
                    <w:pPr>
                      <w:pStyle w:val="28"/>
                      <w:jc w:val="left"/>
                      <w:rPr>
                        <w:sz w:val="19"/>
                        <w:szCs w:val="19"/>
                      </w:rPr>
                    </w:pPr>
                    <w:r>
                      <w:fldChar w:fldCharType="begin"/>
                    </w:r>
                    <w:r>
                      <w:instrText xml:space="preserve"> PAGE \* MERGEFORMAT </w:instrText>
                    </w:r>
                    <w:r>
                      <w:fldChar w:fldCharType="separate"/>
                    </w:r>
                    <w:r>
                      <w:rPr>
                        <w:rFonts w:eastAsia="Times New Roman"/>
                        <w:color w:val="000000"/>
                        <w:sz w:val="19"/>
                        <w:szCs w:val="19"/>
                        <w:lang w:val="zh-TW" w:eastAsia="zh-TW" w:bidi="zh-TW"/>
                      </w:rPr>
                      <w:t>#</w:t>
                    </w:r>
                    <w:r>
                      <w:rPr>
                        <w:rFonts w:eastAsia="Times New Roman"/>
                        <w:color w:val="000000"/>
                        <w:sz w:val="19"/>
                        <w:szCs w:val="19"/>
                        <w:lang w:val="zh-TW" w:eastAsia="zh-TW" w:bidi="zh-TW"/>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w:rPr>
        <w:rFonts w:ascii="Times New Roman"/>
      </w:rPr>
      <w:t>DB</w:t>
    </w:r>
    <w:r>
      <w:rPr>
        <w:rFonts w:hint="eastAsia"/>
      </w:rPr>
      <w:t>13</w:t>
    </w:r>
    <w:r>
      <w:t xml:space="preserve">/ </w:t>
    </w:r>
    <w:r>
      <w:rPr>
        <w:rFonts w:hint="eastAsia"/>
      </w:rPr>
      <w:t>XXXX</w:t>
    </w:r>
    <w:r>
      <w:t>—</w:t>
    </w:r>
    <w:r>
      <w:rPr>
        <w:rFonts w:hint="eastAsia"/>
      </w:rPr>
      <w:t>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114300" distR="114300" simplePos="0" relativeHeight="251659264" behindDoc="1" locked="0" layoutInCell="1" allowOverlap="1">
              <wp:simplePos x="0" y="0"/>
              <wp:positionH relativeFrom="page">
                <wp:posOffset>5759450</wp:posOffset>
              </wp:positionH>
              <wp:positionV relativeFrom="page">
                <wp:posOffset>821690</wp:posOffset>
              </wp:positionV>
              <wp:extent cx="981710" cy="9779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981710" cy="97790"/>
                      </a:xfrm>
                      <a:prstGeom prst="rect">
                        <a:avLst/>
                      </a:prstGeom>
                      <a:noFill/>
                      <a:ln w="9525">
                        <a:noFill/>
                      </a:ln>
                      <a:effectLst/>
                    </wps:spPr>
                    <wps:txbx>
                      <w:txbxContent>
                        <w:p>
                          <w:pPr>
                            <w:pStyle w:val="28"/>
                            <w:jc w:val="left"/>
                          </w:pPr>
                          <w:r>
                            <w:t>DB</w:t>
                          </w:r>
                          <w:r>
                            <w:rPr>
                              <w:rFonts w:hint="eastAsia"/>
                            </w:rPr>
                            <w:t>13</w:t>
                          </w:r>
                          <w:r>
                            <w:t>/</w:t>
                          </w:r>
                          <w:r>
                            <w:rPr>
                              <w:rFonts w:hint="eastAsia"/>
                              <w:lang w:val="en-US" w:eastAsia="zh-CN"/>
                            </w:rPr>
                            <w:t>T</w:t>
                          </w:r>
                          <w:r>
                            <w:t xml:space="preserve"> </w:t>
                          </w:r>
                          <w:r>
                            <w:rPr>
                              <w:rFonts w:hint="eastAsia"/>
                              <w:lang w:val="en-US" w:eastAsia="zh-CN"/>
                            </w:rPr>
                            <w:t>2135</w:t>
                          </w:r>
                          <w:r>
                            <w:t>—</w:t>
                          </w:r>
                          <w:r>
                            <w:rPr>
                              <w:rFonts w:hint="eastAsia"/>
                              <w:lang w:val="en-US" w:eastAsia="zh-CN"/>
                            </w:rPr>
                            <w:t>20</w:t>
                          </w:r>
                          <w:r>
                            <w:rPr>
                              <w:rFonts w:hint="eastAsia"/>
                            </w:rPr>
                            <w:t>XX</w:t>
                          </w:r>
                        </w:p>
                      </w:txbxContent>
                    </wps:txbx>
                    <wps:bodyPr wrap="none" lIns="0" tIns="0" rIns="0" bIns="0">
                      <a:spAutoFit/>
                    </wps:bodyPr>
                  </wps:wsp>
                </a:graphicData>
              </a:graphic>
            </wp:anchor>
          </w:drawing>
        </mc:Choice>
        <mc:Fallback>
          <w:pict>
            <v:shape id="_x0000_s1026" o:spid="_x0000_s1026" o:spt="202" type="#_x0000_t202" style="position:absolute;left:0pt;margin-left:453.5pt;margin-top:64.7pt;height:7.7pt;width:77.3pt;mso-position-horizontal-relative:page;mso-position-vertical-relative:page;mso-wrap-style:none;z-index:-251657216;mso-width-relative:page;mso-height-relative:page;" filled="f" stroked="f" coordsize="21600,21600" o:gfxdata="UEsDBAoAAAAAAIdO4kAAAAAAAAAAAAAAAAAEAAAAZHJzL1BLAwQUAAAACACHTuJAM6OttdgAAAAM&#10;AQAADwAAAGRycy9kb3ducmV2LnhtbE2PwWrDMBBE74X8g9hAb43kYBzHtZxDoJfempZCboq1sUwt&#10;yUiKY/99N6f2tsMMs2/qw2wHNmGIvXcSso0Ahq71unedhK/Pt5cSWEzKaTV4hxIWjHBoVk+1qrS/&#10;uw+cTqljVOJipSSYlMaK89gatCpu/IiOvKsPViWSoeM6qDuV24FvhSi4Vb2jD0aNeDTY/pxuVsJu&#10;/vY4Rjzi+Tq1wfRLObwvUj6vM/EKLOGc/sLwwCd0aIjp4m9ORzZI2IsdbUlkbPc5sEdCFFkB7EJX&#10;npfAm5r/H9H8AlBLAwQUAAAACACHTuJAdYXYtLkBAABVAwAADgAAAGRycy9lMm9Eb2MueG1srVNL&#10;jhMxEN0jcQfLe9JJpEwmrXRGMxrNCAkB0sABHLedtuSfbE+6cwG4ASs27DlXzsGz08kg2CE2Trmq&#10;/Pq9V5X1zWA02YsQlbMNnU2mlAjLXavsrqGfPz28uaYkJmZbpp0VDT2ISG82r1+te1+LueucbkUg&#10;ALGx7n1Du5R8XVWRd8KwOHFeWBSlC4YlXMOuagPrgW50NZ9Or6rehdYHx0WMyN6finRT8KUUPH2Q&#10;MopEdEPBLZUzlHObz2qzZvUuMN8pPtJg/8DCMGXx0QvUPUuMPAf1F5RRPLjoZJpwZyonpeKiaICa&#10;2fQPNU8d86JogTnRX2yK/w+Wv99/DES1mN2CEssMZnT89vX4/efxxxeCHAzqfazR9+TRmYY7N6D5&#10;nI9IZt2DDCb/QhFBHVYfLvaKIRGO5Op6tpyhwlFaLZer4n718taHmB6FMyQHDQ0YXvGU7d/FBB5o&#10;PbfkT1n3oLQuA9SW9MBczBflwaWCF9rmXlFWYYTJek68c5SG7TCK3Lr2AI091qGhFvtKiX5r4Xbe&#10;nHMQzsF2DDJ+9LfPCXwKzYx6ggLnfMHsCvtxz/Jy/H4vXS//hs0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M6OttdgAAAAMAQAADwAAAAAAAAABACAAAAAiAAAAZHJzL2Rvd25yZXYueG1sUEsBAhQA&#10;FAAAAAgAh07iQHWF2LS5AQAAVQMAAA4AAAAAAAAAAQAgAAAAJwEAAGRycy9lMm9Eb2MueG1sUEsF&#10;BgAAAAAGAAYAWQEAAFIFAAAAAA==&#10;">
              <v:fill on="f" focussize="0,0"/>
              <v:stroke on="f"/>
              <v:imagedata o:title=""/>
              <o:lock v:ext="edit" aspectratio="f"/>
              <v:textbox inset="0mm,0mm,0mm,0mm" style="mso-fit-shape-to-text:t;">
                <w:txbxContent>
                  <w:p>
                    <w:pPr>
                      <w:pStyle w:val="28"/>
                      <w:jc w:val="left"/>
                    </w:pPr>
                    <w:r>
                      <w:t>DB</w:t>
                    </w:r>
                    <w:r>
                      <w:rPr>
                        <w:rFonts w:hint="eastAsia"/>
                      </w:rPr>
                      <w:t>13</w:t>
                    </w:r>
                    <w:r>
                      <w:t>/</w:t>
                    </w:r>
                    <w:r>
                      <w:rPr>
                        <w:rFonts w:hint="eastAsia"/>
                        <w:lang w:val="en-US" w:eastAsia="zh-CN"/>
                      </w:rPr>
                      <w:t>T</w:t>
                    </w:r>
                    <w:r>
                      <w:t xml:space="preserve"> </w:t>
                    </w:r>
                    <w:r>
                      <w:rPr>
                        <w:rFonts w:hint="eastAsia"/>
                        <w:lang w:val="en-US" w:eastAsia="zh-CN"/>
                      </w:rPr>
                      <w:t>2135</w:t>
                    </w:r>
                    <w:r>
                      <w:t>—</w:t>
                    </w:r>
                    <w:r>
                      <w:rPr>
                        <w:rFonts w:hint="eastAsia"/>
                        <w:lang w:val="en-US" w:eastAsia="zh-CN"/>
                      </w:rPr>
                      <w:t>20</w:t>
                    </w:r>
                    <w:r>
                      <w:rPr>
                        <w:rFonts w:hint="eastAsia"/>
                      </w:rPr>
                      <w:t>XX</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F527AE"/>
    <w:multiLevelType w:val="singleLevel"/>
    <w:tmpl w:val="69F527AE"/>
    <w:lvl w:ilvl="0" w:tentative="0">
      <w:start w:val="1"/>
      <w:numFmt w:val="lowerLetter"/>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58080B"/>
    <w:rsid w:val="64630D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 w:type="table" w:styleId="4">
    <w:name w:val="Table Grid"/>
    <w:basedOn w:val="3"/>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paragraph" w:customStyle="1" w:styleId="5">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6">
    <w:name w:val="其他标准标志"/>
    <w:basedOn w:val="7"/>
    <w:qFormat/>
    <w:uiPriority w:val="0"/>
    <w:pPr>
      <w:framePr w:w="6101" w:vAnchor="page" w:hAnchor="page" w:x="4673" w:y="942"/>
    </w:pPr>
    <w:rPr>
      <w:w w:val="130"/>
    </w:rPr>
  </w:style>
  <w:style w:type="paragraph" w:customStyle="1" w:styleId="7">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8">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9">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10">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11">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szCs w:val="22"/>
      <w:lang w:val="en-US" w:eastAsia="zh-CN" w:bidi="ar-SA"/>
    </w:rPr>
  </w:style>
  <w:style w:type="paragraph" w:customStyle="1" w:styleId="12">
    <w:name w:val="封面标准英文名称"/>
    <w:basedOn w:val="11"/>
    <w:qFormat/>
    <w:uiPriority w:val="0"/>
    <w:pPr>
      <w:spacing w:before="370" w:line="400" w:lineRule="exact"/>
    </w:pPr>
    <w:rPr>
      <w:rFonts w:ascii="Times New Roman"/>
      <w:sz w:val="28"/>
      <w:szCs w:val="28"/>
    </w:rPr>
  </w:style>
  <w:style w:type="paragraph" w:customStyle="1" w:styleId="13">
    <w:name w:val="封面标准文稿类别"/>
    <w:basedOn w:val="14"/>
    <w:qFormat/>
    <w:uiPriority w:val="0"/>
    <w:pPr>
      <w:spacing w:after="160" w:line="240" w:lineRule="auto"/>
    </w:pPr>
    <w:rPr>
      <w:sz w:val="24"/>
    </w:rPr>
  </w:style>
  <w:style w:type="paragraph" w:customStyle="1" w:styleId="14">
    <w:name w:val="封面一致性程度标识"/>
    <w:basedOn w:val="12"/>
    <w:qFormat/>
    <w:uiPriority w:val="0"/>
    <w:pPr>
      <w:spacing w:before="440"/>
    </w:pPr>
    <w:rPr>
      <w:rFonts w:ascii="宋体" w:eastAsia="宋体"/>
    </w:rPr>
  </w:style>
  <w:style w:type="paragraph" w:customStyle="1" w:styleId="15">
    <w:name w:val="封面标准文稿编辑信息"/>
    <w:basedOn w:val="13"/>
    <w:qFormat/>
    <w:uiPriority w:val="0"/>
    <w:pPr>
      <w:spacing w:before="180" w:line="180" w:lineRule="exact"/>
    </w:pPr>
    <w:rPr>
      <w:sz w:val="21"/>
    </w:rPr>
  </w:style>
  <w:style w:type="paragraph" w:customStyle="1" w:styleId="16">
    <w:name w:val="其他发布日期"/>
    <w:basedOn w:val="17"/>
    <w:qFormat/>
    <w:uiPriority w:val="0"/>
    <w:pPr>
      <w:framePr w:vAnchor="page" w:hAnchor="text" w:x="1419"/>
    </w:pPr>
  </w:style>
  <w:style w:type="paragraph" w:customStyle="1" w:styleId="17">
    <w:name w:val="发布日期"/>
    <w:qFormat/>
    <w:uiPriority w:val="0"/>
    <w:pPr>
      <w:framePr w:w="3997" w:h="471" w:hRule="exact" w:vSpace="181" w:wrap="around" w:vAnchor="margin" w:hAnchor="page" w:x="7089" w:y="14097" w:anchorLock="1"/>
    </w:pPr>
    <w:rPr>
      <w:rFonts w:ascii="Times New Roman" w:hAnsi="Times New Roman" w:eastAsia="黑体" w:cs="Times New Roman"/>
      <w:sz w:val="28"/>
      <w:szCs w:val="22"/>
      <w:lang w:val="en-US" w:eastAsia="zh-CN" w:bidi="ar-SA"/>
    </w:rPr>
  </w:style>
  <w:style w:type="paragraph" w:customStyle="1" w:styleId="18">
    <w:name w:val="其他实施日期"/>
    <w:basedOn w:val="19"/>
    <w:qFormat/>
    <w:uiPriority w:val="0"/>
  </w:style>
  <w:style w:type="paragraph" w:customStyle="1" w:styleId="19">
    <w:name w:val="实施日期"/>
    <w:basedOn w:val="17"/>
    <w:qFormat/>
    <w:uiPriority w:val="0"/>
    <w:pPr>
      <w:framePr w:vAnchor="page" w:hAnchor="text"/>
      <w:jc w:val="right"/>
    </w:pPr>
  </w:style>
  <w:style w:type="paragraph" w:customStyle="1" w:styleId="20">
    <w:name w:val="其他发布部门"/>
    <w:basedOn w:val="21"/>
    <w:qFormat/>
    <w:uiPriority w:val="0"/>
    <w:pPr>
      <w:framePr w:y="15310"/>
      <w:spacing w:line="0" w:lineRule="atLeast"/>
    </w:pPr>
    <w:rPr>
      <w:rFonts w:ascii="黑体" w:eastAsia="黑体"/>
      <w:b w:val="0"/>
    </w:rPr>
  </w:style>
  <w:style w:type="paragraph" w:customStyle="1" w:styleId="21">
    <w:name w:val="发布部门"/>
    <w:next w:val="22"/>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szCs w:val="22"/>
      <w:lang w:val="en-US" w:eastAsia="zh-CN" w:bidi="ar-SA"/>
    </w:rPr>
  </w:style>
  <w:style w:type="paragraph" w:customStyle="1" w:styleId="22">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szCs w:val="22"/>
      <w:lang w:val="en-US" w:eastAsia="zh-CN" w:bidi="ar-SA"/>
    </w:rPr>
  </w:style>
  <w:style w:type="character" w:customStyle="1" w:styleId="23">
    <w:name w:val="发布"/>
    <w:qFormat/>
    <w:uiPriority w:val="0"/>
    <w:rPr>
      <w:rFonts w:ascii="黑体" w:eastAsia="黑体"/>
      <w:spacing w:val="85"/>
      <w:w w:val="100"/>
      <w:position w:val="3"/>
      <w:sz w:val="28"/>
      <w:szCs w:val="28"/>
    </w:rPr>
  </w:style>
  <w:style w:type="paragraph" w:customStyle="1" w:styleId="24">
    <w:name w:val="前言、引言标题"/>
    <w:next w:val="22"/>
    <w:qFormat/>
    <w:uiPriority w:val="0"/>
    <w:pPr>
      <w:keepNext/>
      <w:pageBreakBefore/>
      <w:shd w:val="clear" w:color="FFFFFF" w:fill="FFFFFF"/>
      <w:spacing w:before="640" w:after="560"/>
      <w:jc w:val="center"/>
      <w:outlineLvl w:val="0"/>
    </w:pPr>
    <w:rPr>
      <w:rFonts w:ascii="黑体" w:hAnsi="Times New Roman" w:eastAsia="黑体" w:cs="Times New Roman"/>
      <w:sz w:val="32"/>
      <w:szCs w:val="22"/>
      <w:lang w:val="en-US" w:eastAsia="zh-CN" w:bidi="ar-SA"/>
    </w:rPr>
  </w:style>
  <w:style w:type="paragraph" w:customStyle="1" w:styleId="25">
    <w:name w:val="一级条标题"/>
    <w:next w:val="22"/>
    <w:qFormat/>
    <w:uiPriority w:val="0"/>
    <w:pPr>
      <w:spacing w:beforeLines="50" w:afterLines="50"/>
      <w:ind w:left="525"/>
      <w:outlineLvl w:val="2"/>
    </w:pPr>
    <w:rPr>
      <w:rFonts w:ascii="黑体" w:hAnsi="Times New Roman" w:eastAsia="黑体" w:cs="Times New Roman"/>
      <w:sz w:val="21"/>
      <w:szCs w:val="21"/>
      <w:lang w:val="en-US" w:eastAsia="zh-CN" w:bidi="ar-SA"/>
    </w:rPr>
  </w:style>
  <w:style w:type="paragraph" w:customStyle="1" w:styleId="26">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27">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28">
    <w:name w:val="Header or footer|2"/>
    <w:basedOn w:val="1"/>
    <w:qFormat/>
    <w:uiPriority w:val="0"/>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9.wmf"/><Relationship Id="rId25" Type="http://schemas.openxmlformats.org/officeDocument/2006/relationships/oleObject" Target="embeddings/oleObject9.bin"/><Relationship Id="rId24" Type="http://schemas.openxmlformats.org/officeDocument/2006/relationships/image" Target="media/image8.wmf"/><Relationship Id="rId23" Type="http://schemas.openxmlformats.org/officeDocument/2006/relationships/oleObject" Target="embeddings/oleObject8.bin"/><Relationship Id="rId22" Type="http://schemas.openxmlformats.org/officeDocument/2006/relationships/image" Target="media/image7.wmf"/><Relationship Id="rId21" Type="http://schemas.openxmlformats.org/officeDocument/2006/relationships/oleObject" Target="embeddings/oleObject7.bin"/><Relationship Id="rId20" Type="http://schemas.openxmlformats.org/officeDocument/2006/relationships/image" Target="media/image6.wmf"/><Relationship Id="rId2" Type="http://schemas.openxmlformats.org/officeDocument/2006/relationships/settings" Target="settings.xml"/><Relationship Id="rId19" Type="http://schemas.openxmlformats.org/officeDocument/2006/relationships/oleObject" Target="embeddings/oleObject6.bin"/><Relationship Id="rId18" Type="http://schemas.openxmlformats.org/officeDocument/2006/relationships/image" Target="media/image5.wmf"/><Relationship Id="rId17" Type="http://schemas.openxmlformats.org/officeDocument/2006/relationships/oleObject" Target="embeddings/oleObject5.bin"/><Relationship Id="rId16" Type="http://schemas.openxmlformats.org/officeDocument/2006/relationships/image" Target="media/image4.wmf"/><Relationship Id="rId15" Type="http://schemas.openxmlformats.org/officeDocument/2006/relationships/oleObject" Target="embeddings/oleObject4.bin"/><Relationship Id="rId14" Type="http://schemas.openxmlformats.org/officeDocument/2006/relationships/image" Target="media/image3.wmf"/><Relationship Id="rId13" Type="http://schemas.openxmlformats.org/officeDocument/2006/relationships/oleObject" Target="embeddings/oleObject3.bin"/><Relationship Id="rId12" Type="http://schemas.openxmlformats.org/officeDocument/2006/relationships/image" Target="media/image2.wmf"/><Relationship Id="rId11" Type="http://schemas.openxmlformats.org/officeDocument/2006/relationships/oleObject" Target="embeddings/oleObject2.bin"/><Relationship Id="rId10" Type="http://schemas.openxmlformats.org/officeDocument/2006/relationships/image" Target="media/image1.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Office_10.8.0.6108_F1E327BC-269C-435d-A152-05C5408002CA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dc:creator>
  <cp:lastModifiedBy>ZH</cp:lastModifiedBy>
  <dcterms:modified xsi:type="dcterms:W3CDTF">2024-04-09T05:35:04Z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2052-10.8.0.6108</vt:lpwstr>
  </property>
</Properties>
</file>