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8"/>
        <w:framePr w:x="7365" w:y="14007"/>
        <w:rPr>
          <w:rStyle w:val="41"/>
          <w:rFonts w:hint="eastAsia"/>
          <w:shd w:val="clear" w:color="FFFFFF" w:fill="D9D9D9"/>
        </w:rPr>
      </w:pPr>
      <w:r>
        <w:rPr>
          <w:shd w:val="clear" w:color="FFFFFF" w:fill="D9D9D9"/>
        </w:rPr>
        <w:pict>
          <v:line id="_x0000_s1034" o:spid="_x0000_s1034" o:spt="20" style="position:absolute;left:0pt;margin-left:-0.05pt;margin-top:728.5pt;height:0pt;width:481.9pt;mso-position-vertical-relative:page;z-index:251664384;mso-width-relative:page;mso-height-relative:page;" coordsize="21600,21600">
            <v:path arrowok="t"/>
            <v:fill focussize="0,0"/>
            <v:stroke/>
            <v:imagedata o:title=""/>
            <o:lock v:ext="edit"/>
            <w10:anchorlock/>
          </v:line>
        </w:pict>
      </w:r>
      <w:bookmarkStart w:id="0" w:name="fm"/>
      <w:r>
        <w:rPr>
          <w:w w:val="100"/>
          <w:shd w:val="clear" w:color="FFFFFF" w:fill="D9D9D9"/>
        </w:rPr>
        <w:pict>
          <v:rect id="LB" o:spid="_x0000_s1037" o:spt="1" style="position:absolute;left:0pt;margin-left:142.55pt;margin-top:-310.45pt;height:24pt;width:100pt;z-index:-251655168;mso-width-relative:page;mso-height-relative:page;" stroked="f" coordsize="21600,21600">
            <v:path/>
            <v:fill focussize="0,0"/>
            <v:stroke on="f"/>
            <v:imagedata o:title=""/>
            <o:lock v:ext="edit"/>
            <v:textbox>
              <w:txbxContent>
                <w:p/>
              </w:txbxContent>
            </v:textbox>
          </v:rect>
        </w:pict>
      </w:r>
      <w:r>
        <w:rPr>
          <w:w w:val="100"/>
          <w:shd w:val="clear" w:color="FFFFFF" w:fill="D9D9D9"/>
        </w:rPr>
        <w:pict>
          <v:rect id="DT" o:spid="_x0000_s1036" o:spt="1" style="position:absolute;left:0pt;margin-left:347.55pt;margin-top:-585.45pt;height:18pt;width:90pt;z-index:-251656192;mso-width-relative:page;mso-height-relative:page;" stroked="f" coordsize="21600,21600">
            <v:path/>
            <v:fill focussize="0,0"/>
            <v:stroke on="f"/>
            <v:imagedata o:title=""/>
            <o:lock v:ext="edit"/>
            <v:textbox>
              <w:txbxContent>
                <w:p/>
              </w:txbxContent>
            </v:textbox>
          </v:rect>
        </w:pict>
      </w:r>
      <w:r>
        <w:rPr>
          <w:w w:val="100"/>
          <w:shd w:val="clear" w:color="FFFFFF" w:fill="D9D9D9"/>
        </w:rPr>
        <w:pict>
          <v:line id="_x0000_s1035" o:spid="_x0000_s1035" o:spt="20" style="position:absolute;left:0pt;margin-left:-36.6pt;margin-top:-552.85pt;height:0pt;width:481.9pt;z-index:251665408;mso-width-relative:page;mso-height-relative:page;" coordsize="21600,21600">
            <v:path arrowok="t"/>
            <v:fill focussize="0,0"/>
            <v:stroke/>
            <v:imagedata o:title=""/>
            <o:lock v:ext="edit"/>
          </v:line>
        </w:pict>
      </w:r>
      <w:bookmarkEnd w:id="0"/>
    </w:p>
    <w:p>
      <w:pPr>
        <w:pStyle w:val="73"/>
        <w:rPr>
          <w:shd w:val="clear" w:color="auto" w:fill="auto"/>
        </w:rPr>
      </w:pPr>
      <w:r>
        <w:rPr>
          <w:rFonts w:ascii="Times New Roman"/>
          <w:shd w:val="clear" w:color="auto" w:fill="auto"/>
        </w:rPr>
        <w:t>ICS</w:t>
      </w:r>
      <w:r>
        <w:rPr>
          <w:rFonts w:hint="eastAsia" w:ascii="Times New Roman"/>
          <w:shd w:val="clear" w:color="auto" w:fill="auto"/>
          <w:lang w:val="en-US" w:eastAsia="zh-CN"/>
        </w:rPr>
        <w:t xml:space="preserve"> 01.140.30</w:t>
      </w:r>
    </w:p>
    <w:p>
      <w:pPr>
        <w:pStyle w:val="73"/>
        <w:rPr>
          <w:rFonts w:hint="eastAsia" w:ascii="黑体" w:hAnsi="黑体" w:eastAsia="黑体" w:cs="黑体"/>
          <w:shd w:val="clear" w:color="auto" w:fill="auto"/>
        </w:rPr>
      </w:pPr>
      <w:r>
        <w:rPr>
          <w:rFonts w:hint="eastAsia" w:ascii="黑体" w:hAnsi="黑体" w:eastAsia="黑体" w:cs="黑体"/>
          <w:shd w:val="clear" w:color="auto" w:fill="auto"/>
          <w:lang w:val="en-US" w:eastAsia="zh-CN"/>
        </w:rPr>
        <w:t>F</w:t>
      </w:r>
      <w:r>
        <w:rPr>
          <w:rFonts w:hint="eastAsia" w:ascii="黑体" w:hAnsi="黑体" w:eastAsia="黑体" w:cs="黑体"/>
          <w:shd w:val="clear" w:color="auto" w:fill="auto"/>
        </w:rPr>
        <w:t>01</w:t>
      </w:r>
    </w:p>
    <w:tbl>
      <w:tblPr>
        <w:tblStyle w:val="36"/>
        <w:tblW w:w="985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54" w:type="dxa"/>
            <w:tcBorders>
              <w:top w:val="nil"/>
              <w:left w:val="nil"/>
              <w:bottom w:val="nil"/>
              <w:right w:val="nil"/>
            </w:tcBorders>
          </w:tcPr>
          <w:p>
            <w:pPr>
              <w:pStyle w:val="73"/>
              <w:rPr>
                <w:shd w:val="clear" w:color="auto" w:fill="auto"/>
              </w:rPr>
            </w:pPr>
            <w:r>
              <w:rPr>
                <w:shd w:val="clear" w:color="auto" w:fill="auto"/>
              </w:rPr>
              <w:pict>
                <v:rect id="BAH" o:spid="_x0000_s1046" o:spt="1" style="position:absolute;left:0pt;margin-left:-5.25pt;margin-top:0pt;height:15.6pt;width:68.25pt;z-index:-251644928;mso-width-relative:page;mso-height-relative:page;" stroked="f" coordsize="21600,21600">
                  <v:path/>
                  <v:fill focussize="0,0"/>
                  <v:stroke on="f"/>
                  <v:imagedata o:title=""/>
                  <o:lock v:ext="edit"/>
                  <v:textbox>
                    <w:txbxContent>
                      <w:p/>
                    </w:txbxContent>
                  </v:textbox>
                </v:rect>
              </w:pict>
            </w:r>
          </w:p>
        </w:tc>
      </w:tr>
    </w:tbl>
    <w:p>
      <w:pPr>
        <w:pStyle w:val="106"/>
        <w:rPr>
          <w:shd w:val="clear" w:color="auto" w:fill="auto"/>
        </w:rPr>
      </w:pPr>
      <w:r>
        <w:rPr>
          <w:shd w:val="clear" w:color="auto" w:fill="auto"/>
        </w:rPr>
        <w:t>DB</w:t>
      </w:r>
      <w:r>
        <w:rPr>
          <w:rFonts w:hint="eastAsia"/>
          <w:shd w:val="clear" w:color="auto" w:fill="auto"/>
          <w:lang w:val="en-US" w:eastAsia="zh-CN"/>
        </w:rPr>
        <w:t>13</w:t>
      </w:r>
    </w:p>
    <w:p>
      <w:pPr>
        <w:pStyle w:val="118"/>
        <w:rPr>
          <w:shd w:val="clear" w:color="auto" w:fill="auto"/>
        </w:rPr>
      </w:pPr>
      <w:r>
        <w:rPr>
          <w:rFonts w:hint="eastAsia"/>
          <w:shd w:val="clear" w:color="auto" w:fill="auto"/>
          <w:lang w:eastAsia="zh-CN"/>
        </w:rPr>
        <w:t>河北省</w:t>
      </w:r>
      <w:r>
        <w:rPr>
          <w:rFonts w:hint="eastAsia"/>
          <w:shd w:val="clear" w:color="auto" w:fill="auto"/>
        </w:rPr>
        <w:t>地方标准</w:t>
      </w:r>
    </w:p>
    <w:p>
      <w:pPr>
        <w:pStyle w:val="91"/>
        <w:rPr>
          <w:shd w:val="clear" w:color="auto" w:fill="auto"/>
        </w:rPr>
      </w:pPr>
      <w:r>
        <w:rPr>
          <w:rFonts w:ascii="Times New Roman"/>
          <w:shd w:val="clear" w:color="auto" w:fill="auto"/>
        </w:rPr>
        <w:t>DB</w:t>
      </w:r>
      <w:r>
        <w:rPr>
          <w:rFonts w:hint="eastAsia"/>
          <w:shd w:val="clear" w:color="auto" w:fill="auto"/>
        </w:rPr>
        <w:t>13</w:t>
      </w:r>
      <w:r>
        <w:rPr>
          <w:shd w:val="clear" w:color="auto" w:fill="auto"/>
        </w:rPr>
        <w:t>/</w:t>
      </w:r>
      <w:r>
        <w:rPr>
          <w:rFonts w:hint="eastAsia"/>
          <w:shd w:val="clear" w:color="auto" w:fill="auto"/>
          <w:lang w:val="en-US" w:eastAsia="zh-CN"/>
        </w:rPr>
        <w:t xml:space="preserve">T </w:t>
      </w:r>
      <w:r>
        <w:rPr>
          <w:rFonts w:hint="eastAsia" w:ascii="黑体"/>
          <w:shd w:val="clear" w:color="auto" w:fill="auto"/>
        </w:rPr>
        <w:t>XXXX</w:t>
      </w:r>
      <w:r>
        <w:rPr>
          <w:shd w:val="clear" w:color="auto" w:fill="auto"/>
        </w:rPr>
        <w:t>—</w:t>
      </w:r>
      <w:r>
        <w:rPr>
          <w:rFonts w:hint="eastAsia"/>
          <w:shd w:val="clear" w:color="auto" w:fill="auto"/>
          <w:lang w:val="en-US" w:eastAsia="zh-CN"/>
        </w:rPr>
        <w:t>202</w:t>
      </w:r>
      <w:r>
        <w:rPr>
          <w:rFonts w:hint="eastAsia" w:ascii="黑体"/>
          <w:shd w:val="clear" w:color="auto" w:fill="auto"/>
        </w:rPr>
        <w:t>X</w:t>
      </w:r>
    </w:p>
    <w:tbl>
      <w:tblPr>
        <w:tblStyle w:val="36"/>
        <w:tblW w:w="935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356" w:type="dxa"/>
            <w:tcBorders>
              <w:top w:val="nil"/>
              <w:left w:val="nil"/>
              <w:bottom w:val="nil"/>
              <w:right w:val="nil"/>
            </w:tcBorders>
          </w:tcPr>
          <w:p>
            <w:pPr>
              <w:pStyle w:val="104"/>
              <w:wordWrap w:val="0"/>
              <w:rPr>
                <w:rFonts w:hint="eastAsia" w:eastAsia="宋体"/>
                <w:shd w:val="clear" w:color="auto" w:fill="auto"/>
                <w:lang w:eastAsia="zh-CN"/>
              </w:rPr>
            </w:pPr>
            <w:r>
              <w:rPr>
                <w:rFonts w:hint="eastAsia" w:ascii="黑体" w:hAnsi="黑体" w:eastAsia="黑体" w:cs="黑体"/>
                <w:shd w:val="clear" w:color="auto" w:fill="auto"/>
                <w:lang w:eastAsia="zh-CN"/>
              </w:rPr>
              <w:t>代替</w:t>
            </w:r>
            <w:r>
              <w:rPr>
                <w:rFonts w:hint="eastAsia" w:ascii="黑体" w:hAnsi="黑体" w:eastAsia="黑体" w:cs="黑体"/>
                <w:shd w:val="clear" w:color="auto" w:fill="auto"/>
                <w:lang w:val="en-US" w:eastAsia="zh-CN"/>
              </w:rPr>
              <w:t xml:space="preserve"> DB13/T2132-2014</w:t>
            </w:r>
          </w:p>
        </w:tc>
      </w:tr>
    </w:tbl>
    <w:p>
      <w:pPr>
        <w:pStyle w:val="91"/>
        <w:rPr>
          <w:shd w:val="clear" w:color="auto" w:fill="auto"/>
        </w:rPr>
      </w:pPr>
    </w:p>
    <w:p>
      <w:pPr>
        <w:pStyle w:val="91"/>
        <w:rPr>
          <w:shd w:val="clear" w:color="auto" w:fill="auto"/>
        </w:rPr>
      </w:pPr>
    </w:p>
    <w:p>
      <w:pPr>
        <w:pStyle w:val="48"/>
        <w:rPr>
          <w:rFonts w:hint="eastAsia"/>
          <w:shd w:val="clear" w:color="auto" w:fill="auto"/>
          <w:lang w:eastAsia="zh-CN"/>
        </w:rPr>
      </w:pPr>
      <w:r>
        <w:rPr>
          <w:rFonts w:hint="eastAsia"/>
          <w:shd w:val="clear" w:color="auto" w:fill="auto"/>
          <w:lang w:eastAsia="zh-CN"/>
        </w:rPr>
        <w:t>平板玻璃单位产品能源消耗限额</w:t>
      </w:r>
    </w:p>
    <w:p>
      <w:pPr>
        <w:pStyle w:val="48"/>
        <w:rPr>
          <w:shd w:val="clear" w:color="auto" w:fill="auto"/>
        </w:rPr>
      </w:pPr>
      <w:r>
        <w:rPr>
          <w:shd w:val="clear" w:color="auto" w:fill="auto"/>
        </w:rPr>
        <w:t>引导性指标</w:t>
      </w:r>
    </w:p>
    <w:tbl>
      <w:tblPr>
        <w:tblStyle w:val="36"/>
        <w:tblW w:w="985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55" w:type="dxa"/>
            <w:tcBorders>
              <w:top w:val="nil"/>
              <w:left w:val="nil"/>
              <w:bottom w:val="nil"/>
              <w:right w:val="nil"/>
            </w:tcBorders>
          </w:tcPr>
          <w:p>
            <w:pPr>
              <w:pStyle w:val="45"/>
              <w:rPr>
                <w:shd w:val="clear" w:color="FFFFFF" w:fill="D9D9D9"/>
              </w:rPr>
            </w:pPr>
            <w:r>
              <w:rPr>
                <w:shd w:val="clear" w:color="auto" w:fill="auto"/>
              </w:rPr>
              <w:pict>
                <v:rect id="RQ" o:spid="_x0000_s1047" o:spt="1" style="position:absolute;left:0pt;margin-left:173.3pt;margin-top:337.15pt;height:20pt;width:150pt;z-index:-251645952;mso-width-relative:page;mso-height-relative:page;" stroked="f" coordsize="21600,21600">
                  <v:path/>
                  <v:fill focussize="0,0"/>
                  <v:stroke on="f"/>
                  <v:imagedata o:title=""/>
                  <o:lock v:ext="edit"/>
                  <v:textbox>
                    <w:txbxContent>
                      <w:p/>
                    </w:txbxContent>
                  </v:textbox>
                  <w10:anchorlock/>
                </v:rect>
              </w:pict>
            </w:r>
            <w:r>
              <w:rPr>
                <w:rFonts w:hint="eastAsia"/>
                <w:shd w:val="clear" w:color="auto" w:fill="auto"/>
              </w:rPr>
              <w:t>（征求意见稿）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55" w:type="dxa"/>
            <w:tcBorders>
              <w:top w:val="nil"/>
              <w:left w:val="nil"/>
              <w:bottom w:val="nil"/>
              <w:right w:val="nil"/>
            </w:tcBorders>
          </w:tcPr>
          <w:p>
            <w:pPr>
              <w:pStyle w:val="44"/>
              <w:rPr>
                <w:shd w:val="clear" w:color="FFFFFF" w:fill="D9D9D9"/>
              </w:rPr>
            </w:pPr>
          </w:p>
        </w:tc>
      </w:tr>
    </w:tbl>
    <w:p>
      <w:pPr>
        <w:pStyle w:val="59"/>
        <w:framePr w:hAnchor="page" w:x="1771" w:y="14037"/>
        <w:rPr>
          <w:shd w:val="clear" w:color="FFFFFF" w:fill="D9D9D9"/>
        </w:rPr>
      </w:pPr>
      <w:r>
        <w:rPr>
          <w:rFonts w:hint="eastAsia" w:ascii="黑体"/>
          <w:shd w:val="clear" w:color="auto" w:fill="auto"/>
        </w:rPr>
        <w:t>XXXX</w:t>
      </w:r>
      <w:r>
        <w:rPr>
          <w:rFonts w:ascii="黑体"/>
          <w:shd w:val="clear" w:color="auto" w:fill="auto"/>
        </w:rPr>
        <w:t>-</w:t>
      </w:r>
      <w:r>
        <w:rPr>
          <w:rFonts w:hint="eastAsia"/>
          <w:shd w:val="clear" w:color="auto" w:fill="auto"/>
        </w:rPr>
        <w:t>X</w:t>
      </w:r>
      <w:r>
        <w:rPr>
          <w:rFonts w:hint="eastAsia" w:ascii="黑体"/>
          <w:shd w:val="clear" w:color="auto" w:fill="auto"/>
        </w:rPr>
        <w:t>X</w:t>
      </w:r>
      <w:r>
        <w:rPr>
          <w:rFonts w:ascii="黑体"/>
          <w:shd w:val="clear" w:color="auto" w:fill="auto"/>
        </w:rPr>
        <w:t>-</w:t>
      </w:r>
      <w:r>
        <w:rPr>
          <w:rFonts w:hint="eastAsia"/>
          <w:shd w:val="clear" w:color="auto" w:fill="auto"/>
        </w:rPr>
        <w:t>X</w:t>
      </w:r>
      <w:r>
        <w:rPr>
          <w:rFonts w:hint="eastAsia" w:ascii="黑体"/>
          <w:shd w:val="clear" w:color="auto" w:fill="auto"/>
        </w:rPr>
        <w:t>X</w:t>
      </w:r>
      <w:r>
        <w:rPr>
          <w:rFonts w:hint="eastAsia"/>
          <w:shd w:val="clear" w:color="auto" w:fill="auto"/>
        </w:rPr>
        <w:t>发布</w:t>
      </w:r>
      <w:r>
        <w:rPr>
          <w:shd w:val="clear" w:color="FFFFFF" w:fill="D9D9D9"/>
        </w:rPr>
        <w:pict>
          <v:line id="_x0000_s1048" o:spid="_x0000_s1048" o:spt="20" style="position:absolute;left:0pt;margin-left:-0.05pt;margin-top:728.5pt;height:0pt;width:481.9pt;mso-position-vertical-relative:page;z-index:251672576;mso-width-relative:page;mso-height-relative:page;" coordsize="21600,21600">
            <v:path arrowok="t"/>
            <v:fill focussize="0,0"/>
            <v:stroke/>
            <v:imagedata o:title=""/>
            <o:lock v:ext="edit"/>
            <w10:anchorlock/>
          </v:line>
        </w:pict>
      </w:r>
    </w:p>
    <w:p>
      <w:pPr>
        <w:pStyle w:val="124"/>
        <w:framePr w:hAnchor="page" w:x="7365" w:y="14007"/>
        <w:rPr>
          <w:shd w:val="clear" w:color="FFFFFF" w:fill="D9D9D9"/>
        </w:rPr>
      </w:pPr>
      <w:r>
        <w:rPr>
          <w:rFonts w:hint="eastAsia" w:ascii="黑体"/>
          <w:shd w:val="clear" w:color="auto" w:fill="auto"/>
        </w:rPr>
        <w:t>XXXX</w:t>
      </w:r>
      <w:r>
        <w:rPr>
          <w:rFonts w:ascii="黑体"/>
          <w:shd w:val="clear" w:color="auto" w:fill="auto"/>
        </w:rPr>
        <w:t>-</w:t>
      </w:r>
      <w:r>
        <w:rPr>
          <w:rFonts w:hint="eastAsia" w:ascii="黑体"/>
          <w:shd w:val="clear" w:color="auto" w:fill="auto"/>
        </w:rPr>
        <w:t>XX</w:t>
      </w:r>
      <w:r>
        <w:rPr>
          <w:rFonts w:ascii="黑体"/>
          <w:shd w:val="clear" w:color="auto" w:fill="auto"/>
        </w:rPr>
        <w:t>-</w:t>
      </w:r>
      <w:r>
        <w:rPr>
          <w:rFonts w:hint="eastAsia" w:ascii="黑体"/>
          <w:shd w:val="clear" w:color="auto" w:fill="auto"/>
        </w:rPr>
        <w:t>XX</w:t>
      </w:r>
      <w:r>
        <w:rPr>
          <w:rFonts w:hint="eastAsia"/>
          <w:shd w:val="clear" w:color="auto" w:fill="auto"/>
        </w:rPr>
        <w:t>实施</w:t>
      </w:r>
    </w:p>
    <w:p>
      <w:pPr>
        <w:pStyle w:val="129"/>
        <w:rPr>
          <w:shd w:val="clear" w:color="auto" w:fill="auto"/>
        </w:rPr>
      </w:pPr>
      <w:r>
        <w:rPr>
          <w:w w:val="100"/>
          <w:shd w:val="clear" w:color="auto" w:fill="auto"/>
        </w:rPr>
        <w:pict>
          <v:rect id="_x0000_s1049" o:spid="_x0000_s1049" o:spt="1" style="position:absolute;left:0pt;margin-left:142.55pt;margin-top:-310.45pt;height:24pt;width:100pt;z-index:-251646976;mso-width-relative:page;mso-height-relative:page;" stroked="f" coordsize="21600,21600">
            <v:path/>
            <v:fill focussize="0,0"/>
            <v:stroke on="f"/>
            <v:imagedata o:title=""/>
            <o:lock v:ext="edit"/>
            <v:textbox>
              <w:txbxContent>
                <w:p/>
              </w:txbxContent>
            </v:textbox>
          </v:rect>
        </w:pict>
      </w:r>
      <w:r>
        <w:rPr>
          <w:w w:val="100"/>
          <w:shd w:val="clear" w:color="auto" w:fill="auto"/>
        </w:rPr>
        <w:pict>
          <v:rect id="_x0000_s1050" o:spid="_x0000_s1050" o:spt="1" style="position:absolute;left:0pt;margin-left:347.55pt;margin-top:-585.45pt;height:18pt;width:90pt;z-index:-251648000;mso-width-relative:page;mso-height-relative:page;" stroked="f" coordsize="21600,21600">
            <v:path/>
            <v:fill focussize="0,0"/>
            <v:stroke on="f"/>
            <v:imagedata o:title=""/>
            <o:lock v:ext="edit"/>
            <v:textbox>
              <w:txbxContent>
                <w:p/>
              </w:txbxContent>
            </v:textbox>
          </v:rect>
        </w:pict>
      </w:r>
      <w:r>
        <w:rPr>
          <w:w w:val="100"/>
          <w:shd w:val="clear" w:color="auto" w:fill="auto"/>
        </w:rPr>
        <w:pict>
          <v:line id="_x0000_s1051" o:spid="_x0000_s1051" o:spt="20" style="position:absolute;left:0pt;margin-left:-36.6pt;margin-top:-552.85pt;height:0pt;width:481.9pt;z-index:251673600;mso-width-relative:page;mso-height-relative:page;" coordsize="21600,21600">
            <v:path arrowok="t"/>
            <v:fill focussize="0,0"/>
            <v:stroke/>
            <v:imagedata o:title=""/>
            <o:lock v:ext="edit"/>
          </v:line>
        </w:pict>
      </w:r>
      <w:r>
        <w:rPr>
          <w:rFonts w:hint="eastAsia"/>
          <w:shd w:val="clear" w:color="auto" w:fill="auto"/>
        </w:rPr>
        <w:t>河北省市场监督管理局</w:t>
      </w:r>
      <w:r>
        <w:rPr>
          <w:shd w:val="clear" w:color="auto" w:fill="auto"/>
        </w:rPr>
        <w:t>   </w:t>
      </w:r>
      <w:r>
        <w:rPr>
          <w:rStyle w:val="41"/>
          <w:rFonts w:hint="eastAsia"/>
          <w:shd w:val="clear" w:color="auto" w:fill="auto"/>
        </w:rPr>
        <w:t>发布</w:t>
      </w:r>
    </w:p>
    <w:p>
      <w:pPr>
        <w:pStyle w:val="119"/>
      </w:pPr>
      <w:r>
        <w:rPr>
          <w:rFonts w:hint="eastAsia" w:ascii="黑体" w:hAnsi="黑体" w:eastAsia="黑体" w:cs="黑体"/>
        </w:rPr>
        <w:t>前</w:t>
      </w:r>
      <w:bookmarkStart w:id="1" w:name="BKQY"/>
      <w:r>
        <w:rPr>
          <w:rFonts w:hint="eastAsia" w:ascii="黑体" w:hAnsi="黑体" w:eastAsia="黑体" w:cs="黑体"/>
        </w:rPr>
        <w:t>  言</w:t>
      </w:r>
      <w:bookmarkEnd w:id="1"/>
    </w:p>
    <w:p>
      <w:pPr>
        <w:pStyle w:val="22"/>
        <w:rPr>
          <w:rFonts w:hint="eastAsia" w:ascii="宋体" w:hAnsi="宋体" w:eastAsia="宋体" w:cs="宋体"/>
          <w:color w:val="000000" w:themeColor="text1"/>
          <w:sz w:val="21"/>
          <w:szCs w:val="21"/>
        </w:rPr>
      </w:pPr>
      <w:r>
        <w:rPr>
          <w:rFonts w:hint="eastAsia" w:ascii="宋体" w:hAnsi="宋体" w:eastAsia="宋体" w:cs="宋体"/>
          <w:color w:val="000000" w:themeColor="text1"/>
          <w:sz w:val="21"/>
          <w:szCs w:val="21"/>
        </w:rPr>
        <w:t>本标准按照GB/T 1.1—2020《标准化工作导则 第1部分：标准化文件的结构和起草规则 》的规定起草。</w:t>
      </w:r>
    </w:p>
    <w:p>
      <w:pPr>
        <w:pStyle w:val="22"/>
        <w:rPr>
          <w:rFonts w:hint="eastAsia" w:ascii="宋体" w:hAnsi="宋体" w:eastAsia="宋体" w:cs="宋体"/>
          <w:color w:val="000000" w:themeColor="text1"/>
          <w:sz w:val="21"/>
          <w:szCs w:val="21"/>
        </w:rPr>
      </w:pPr>
      <w:r>
        <w:rPr>
          <w:rFonts w:hint="eastAsia" w:ascii="宋体" w:hAnsi="宋体" w:eastAsia="宋体" w:cs="宋体"/>
          <w:color w:val="000000" w:themeColor="text1"/>
          <w:sz w:val="21"/>
          <w:szCs w:val="21"/>
        </w:rPr>
        <w:t>本标准代替DB13/T</w:t>
      </w:r>
      <w:r>
        <w:rPr>
          <w:rFonts w:hint="eastAsia" w:ascii="宋体" w:hAnsi="宋体" w:eastAsia="宋体" w:cs="宋体"/>
          <w:color w:val="000000" w:themeColor="text1"/>
          <w:sz w:val="21"/>
          <w:szCs w:val="21"/>
          <w:lang w:val="en-US" w:eastAsia="zh-CN"/>
        </w:rPr>
        <w:t xml:space="preserve"> 2132</w:t>
      </w:r>
      <w:r>
        <w:rPr>
          <w:rFonts w:hint="eastAsia" w:ascii="宋体" w:hAnsi="宋体" w:eastAsia="宋体" w:cs="宋体"/>
          <w:color w:val="000000" w:themeColor="text1"/>
          <w:sz w:val="21"/>
          <w:szCs w:val="21"/>
        </w:rPr>
        <w:t>-201</w:t>
      </w:r>
      <w:r>
        <w:rPr>
          <w:rFonts w:hint="eastAsia" w:ascii="宋体" w:hAnsi="宋体" w:eastAsia="宋体" w:cs="宋体"/>
          <w:color w:val="000000" w:themeColor="text1"/>
          <w:sz w:val="21"/>
          <w:szCs w:val="21"/>
          <w:lang w:val="en-US" w:eastAsia="zh-CN"/>
        </w:rPr>
        <w:t>4</w:t>
      </w:r>
      <w:r>
        <w:rPr>
          <w:rFonts w:hint="eastAsia" w:ascii="宋体" w:hAnsi="宋体" w:eastAsia="宋体" w:cs="宋体"/>
          <w:color w:val="000000" w:themeColor="text1"/>
          <w:sz w:val="21"/>
          <w:szCs w:val="21"/>
        </w:rPr>
        <w:t>河北省《</w:t>
      </w:r>
      <w:r>
        <w:rPr>
          <w:rFonts w:hint="eastAsia" w:ascii="宋体" w:hAnsi="宋体" w:eastAsia="宋体" w:cs="宋体"/>
          <w:color w:val="000000" w:themeColor="text1"/>
          <w:sz w:val="21"/>
          <w:szCs w:val="21"/>
          <w:lang w:eastAsia="zh-CN"/>
        </w:rPr>
        <w:t>平板玻璃单位产品能源消耗限额</w:t>
      </w:r>
      <w:r>
        <w:rPr>
          <w:rFonts w:hint="eastAsia" w:ascii="宋体" w:hAnsi="宋体" w:eastAsia="宋体" w:cs="宋体"/>
          <w:color w:val="000000" w:themeColor="text1"/>
          <w:sz w:val="21"/>
          <w:szCs w:val="21"/>
        </w:rPr>
        <w:t>》。</w:t>
      </w:r>
    </w:p>
    <w:p>
      <w:pPr>
        <w:pStyle w:val="22"/>
        <w:rPr>
          <w:rFonts w:hint="eastAsia" w:ascii="宋体" w:hAnsi="宋体" w:eastAsia="宋体" w:cs="宋体"/>
          <w:color w:val="000000" w:themeColor="text1"/>
          <w:sz w:val="21"/>
          <w:szCs w:val="21"/>
        </w:rPr>
      </w:pPr>
      <w:r>
        <w:rPr>
          <w:rFonts w:hint="eastAsia" w:ascii="宋体" w:hAnsi="宋体" w:eastAsia="宋体" w:cs="宋体"/>
          <w:color w:val="000000" w:themeColor="text1"/>
          <w:sz w:val="21"/>
          <w:szCs w:val="21"/>
        </w:rPr>
        <w:t>本标准与DB13/T</w:t>
      </w:r>
      <w:r>
        <w:rPr>
          <w:rFonts w:hint="eastAsia" w:ascii="宋体" w:hAnsi="宋体" w:eastAsia="宋体" w:cs="宋体"/>
          <w:color w:val="000000" w:themeColor="text1"/>
          <w:sz w:val="21"/>
          <w:szCs w:val="21"/>
          <w:lang w:val="en-US" w:eastAsia="zh-CN"/>
        </w:rPr>
        <w:t xml:space="preserve"> 2132</w:t>
      </w:r>
      <w:r>
        <w:rPr>
          <w:rFonts w:hint="eastAsia" w:ascii="宋体" w:hAnsi="宋体" w:eastAsia="宋体" w:cs="宋体"/>
          <w:color w:val="000000" w:themeColor="text1"/>
          <w:sz w:val="21"/>
          <w:szCs w:val="21"/>
        </w:rPr>
        <w:t>-201</w:t>
      </w:r>
      <w:r>
        <w:rPr>
          <w:rFonts w:hint="eastAsia" w:ascii="宋体" w:hAnsi="宋体" w:eastAsia="宋体" w:cs="宋体"/>
          <w:color w:val="000000" w:themeColor="text1"/>
          <w:sz w:val="21"/>
          <w:szCs w:val="21"/>
          <w:lang w:val="en-US" w:eastAsia="zh-CN"/>
        </w:rPr>
        <w:t>4</w:t>
      </w:r>
      <w:r>
        <w:rPr>
          <w:rFonts w:hint="eastAsia" w:ascii="宋体" w:hAnsi="宋体" w:eastAsia="宋体" w:cs="宋体"/>
          <w:color w:val="000000" w:themeColor="text1"/>
          <w:sz w:val="21"/>
          <w:szCs w:val="21"/>
        </w:rPr>
        <w:t>相比，主要变化如下:</w:t>
      </w:r>
    </w:p>
    <w:p>
      <w:pPr>
        <w:ind w:firstLine="420" w:firstLineChars="200"/>
        <w:rPr>
          <w:rFonts w:hint="eastAsia" w:ascii="宋体" w:hAnsi="宋体" w:eastAsia="宋体" w:cs="宋体"/>
          <w:color w:val="000000" w:themeColor="text1"/>
          <w:sz w:val="21"/>
          <w:szCs w:val="21"/>
          <w:lang w:eastAsia="zh-CN"/>
        </w:rPr>
      </w:pPr>
      <w:r>
        <w:rPr>
          <w:rFonts w:hint="eastAsia" w:ascii="宋体" w:hAnsi="宋体" w:eastAsia="宋体" w:cs="宋体"/>
          <w:color w:val="000000" w:themeColor="text1"/>
          <w:sz w:val="21"/>
          <w:szCs w:val="21"/>
        </w:rPr>
        <w:t>－补充了能耗限额等级(见 4.1)</w:t>
      </w:r>
      <w:r>
        <w:rPr>
          <w:rFonts w:hint="eastAsia" w:ascii="宋体" w:hAnsi="宋体" w:eastAsia="宋体" w:cs="宋体"/>
          <w:color w:val="000000" w:themeColor="text1"/>
          <w:sz w:val="21"/>
          <w:szCs w:val="21"/>
          <w:lang w:eastAsia="zh-CN"/>
        </w:rPr>
        <w:t>；</w:t>
      </w:r>
    </w:p>
    <w:p>
      <w:pPr>
        <w:ind w:firstLine="420" w:firstLineChars="200"/>
        <w:rPr>
          <w:rFonts w:hint="eastAsia" w:ascii="宋体" w:hAnsi="宋体" w:eastAsia="宋体" w:cs="宋体"/>
          <w:color w:val="000000" w:themeColor="text1"/>
          <w:sz w:val="21"/>
          <w:szCs w:val="21"/>
          <w:lang w:eastAsia="zh-CN"/>
        </w:rPr>
      </w:pPr>
      <w:r>
        <w:rPr>
          <w:rFonts w:hint="eastAsia" w:ascii="宋体" w:hAnsi="宋体" w:eastAsia="宋体" w:cs="宋体"/>
          <w:color w:val="000000" w:themeColor="text1"/>
          <w:sz w:val="21"/>
          <w:szCs w:val="21"/>
        </w:rPr>
        <w:t>－</w:t>
      </w:r>
      <w:r>
        <w:rPr>
          <w:rFonts w:hint="eastAsia" w:ascii="宋体" w:hAnsi="宋体" w:eastAsia="宋体" w:cs="宋体"/>
          <w:color w:val="000000" w:themeColor="text1"/>
          <w:sz w:val="21"/>
          <w:szCs w:val="21"/>
          <w:lang w:eastAsia="zh-CN"/>
        </w:rPr>
        <w:t>删除了平板玻璃单位熔窑热耗指标</w:t>
      </w:r>
    </w:p>
    <w:p>
      <w:pPr>
        <w:ind w:firstLine="420" w:firstLineChars="200"/>
        <w:rPr>
          <w:rFonts w:hint="eastAsia" w:ascii="宋体" w:hAnsi="宋体" w:eastAsia="宋体" w:cs="宋体"/>
          <w:color w:val="000000" w:themeColor="text1"/>
          <w:sz w:val="21"/>
          <w:szCs w:val="21"/>
          <w:lang w:eastAsia="zh-CN"/>
        </w:rPr>
      </w:pPr>
      <w:r>
        <w:rPr>
          <w:rFonts w:hint="eastAsia" w:ascii="宋体" w:hAnsi="宋体" w:eastAsia="宋体" w:cs="宋体"/>
          <w:color w:val="000000" w:themeColor="text1"/>
          <w:sz w:val="21"/>
          <w:szCs w:val="21"/>
        </w:rPr>
        <w:t>－</w:t>
      </w:r>
      <w:r>
        <w:rPr>
          <w:rFonts w:hint="eastAsia" w:ascii="宋体" w:hAnsi="宋体" w:eastAsia="宋体" w:cs="宋体"/>
          <w:color w:val="000000" w:themeColor="text1"/>
          <w:sz w:val="21"/>
          <w:szCs w:val="21"/>
          <w:lang w:eastAsia="zh-CN"/>
        </w:rPr>
        <w:t>提高了平板玻璃单位产品综合能耗准入值</w:t>
      </w:r>
    </w:p>
    <w:p>
      <w:pPr>
        <w:ind w:firstLine="420" w:firstLineChars="200"/>
        <w:rPr>
          <w:rFonts w:hint="eastAsia" w:ascii="宋体" w:hAnsi="宋体" w:eastAsia="宋体" w:cs="宋体"/>
          <w:color w:val="000000" w:themeColor="text1"/>
          <w:sz w:val="21"/>
          <w:szCs w:val="21"/>
          <w:lang w:eastAsia="zh-CN"/>
        </w:rPr>
      </w:pPr>
      <w:r>
        <w:rPr>
          <w:rFonts w:hint="eastAsia" w:ascii="宋体" w:hAnsi="宋体" w:eastAsia="宋体" w:cs="宋体"/>
          <w:color w:val="000000" w:themeColor="text1"/>
          <w:sz w:val="21"/>
          <w:szCs w:val="21"/>
        </w:rPr>
        <w:t>－</w:t>
      </w:r>
      <w:r>
        <w:rPr>
          <w:rFonts w:hint="eastAsia" w:ascii="宋体" w:hAnsi="宋体" w:eastAsia="宋体" w:cs="宋体"/>
          <w:color w:val="000000" w:themeColor="text1"/>
          <w:sz w:val="21"/>
          <w:szCs w:val="21"/>
          <w:lang w:eastAsia="zh-CN"/>
        </w:rPr>
        <w:t>删除了平板玻璃单位产品能耗限额先进值</w:t>
      </w:r>
    </w:p>
    <w:p>
      <w:pPr>
        <w:ind w:firstLine="420" w:firstLineChars="200"/>
        <w:rPr>
          <w:rFonts w:hint="eastAsia" w:ascii="宋体" w:hAnsi="宋体" w:eastAsia="宋体" w:cs="宋体"/>
          <w:color w:val="000000" w:themeColor="text1"/>
          <w:sz w:val="21"/>
          <w:szCs w:val="21"/>
          <w:lang w:eastAsia="zh-CN"/>
        </w:rPr>
      </w:pPr>
      <w:r>
        <w:rPr>
          <w:rFonts w:hint="eastAsia" w:ascii="宋体" w:hAnsi="宋体" w:eastAsia="宋体" w:cs="宋体"/>
          <w:color w:val="000000" w:themeColor="text1"/>
          <w:sz w:val="21"/>
          <w:szCs w:val="21"/>
        </w:rPr>
        <w:t>－</w:t>
      </w:r>
      <w:r>
        <w:rPr>
          <w:rFonts w:hint="eastAsia" w:ascii="宋体" w:hAnsi="宋体" w:eastAsia="宋体" w:cs="宋体"/>
          <w:color w:val="000000" w:themeColor="text1"/>
          <w:sz w:val="21"/>
          <w:szCs w:val="21"/>
          <w:lang w:eastAsia="zh-CN"/>
        </w:rPr>
        <w:t>删除了节能管理与措施</w:t>
      </w:r>
    </w:p>
    <w:p>
      <w:pPr>
        <w:ind w:firstLine="420" w:firstLineChars="200"/>
        <w:rPr>
          <w:rFonts w:hint="eastAsia" w:ascii="宋体" w:hAnsi="宋体" w:eastAsia="宋体" w:cs="宋体"/>
          <w:color w:val="000000" w:themeColor="text1"/>
          <w:sz w:val="21"/>
          <w:szCs w:val="21"/>
        </w:rPr>
      </w:pPr>
      <w:r>
        <w:rPr>
          <w:rFonts w:hint="eastAsia" w:ascii="宋体" w:hAnsi="宋体" w:eastAsia="宋体" w:cs="宋体"/>
          <w:color w:val="000000" w:themeColor="text1"/>
          <w:sz w:val="21"/>
          <w:szCs w:val="21"/>
        </w:rPr>
        <w:t>－</w:t>
      </w:r>
      <w:r>
        <w:rPr>
          <w:rFonts w:hint="eastAsia" w:ascii="宋体" w:hAnsi="宋体" w:eastAsia="宋体" w:cs="宋体"/>
          <w:color w:val="000000" w:themeColor="text1"/>
          <w:sz w:val="21"/>
          <w:szCs w:val="21"/>
          <w:lang w:eastAsia="zh-CN"/>
        </w:rPr>
        <w:t>调整了燃料效应系数</w:t>
      </w:r>
    </w:p>
    <w:p>
      <w:pPr>
        <w:pStyle w:val="22"/>
        <w:rPr>
          <w:rFonts w:hint="eastAsia" w:ascii="宋体" w:hAnsi="宋体" w:eastAsia="宋体" w:cs="宋体"/>
          <w:color w:val="000000" w:themeColor="text1"/>
          <w:sz w:val="21"/>
          <w:szCs w:val="21"/>
        </w:rPr>
      </w:pPr>
      <w:r>
        <w:rPr>
          <w:rFonts w:hint="eastAsia" w:ascii="宋体" w:hAnsi="宋体" w:eastAsia="宋体" w:cs="宋体"/>
          <w:color w:val="000000" w:themeColor="text1"/>
          <w:sz w:val="21"/>
          <w:szCs w:val="21"/>
        </w:rPr>
        <w:t>本标准由河北省发展和改革委员会提出</w:t>
      </w:r>
      <w:r>
        <w:rPr>
          <w:rFonts w:hint="eastAsia" w:ascii="宋体" w:hAnsi="宋体" w:eastAsia="宋体" w:cs="宋体"/>
          <w:color w:val="000000" w:themeColor="text1"/>
          <w:sz w:val="21"/>
          <w:szCs w:val="21"/>
          <w:lang w:eastAsia="zh-CN"/>
        </w:rPr>
        <w:t>并归口</w:t>
      </w:r>
      <w:r>
        <w:rPr>
          <w:rFonts w:hint="eastAsia" w:ascii="宋体" w:hAnsi="宋体" w:eastAsia="宋体" w:cs="宋体"/>
          <w:color w:val="000000" w:themeColor="text1"/>
          <w:sz w:val="21"/>
          <w:szCs w:val="21"/>
        </w:rPr>
        <w:t>。</w:t>
      </w:r>
    </w:p>
    <w:p>
      <w:pPr>
        <w:pStyle w:val="22"/>
        <w:rPr>
          <w:rFonts w:hint="eastAsia" w:ascii="宋体" w:hAnsi="宋体" w:eastAsia="宋体" w:cs="宋体"/>
          <w:color w:val="000000" w:themeColor="text1"/>
          <w:sz w:val="21"/>
          <w:szCs w:val="21"/>
        </w:rPr>
      </w:pPr>
      <w:r>
        <w:rPr>
          <w:rFonts w:hint="eastAsia" w:ascii="宋体" w:hAnsi="宋体" w:eastAsia="宋体" w:cs="宋体"/>
          <w:color w:val="000000" w:themeColor="text1"/>
          <w:sz w:val="21"/>
          <w:szCs w:val="21"/>
        </w:rPr>
        <w:t>本标准起草单位：</w:t>
      </w:r>
      <w:r>
        <w:rPr>
          <w:rFonts w:hint="eastAsia" w:ascii="宋体" w:hAnsi="宋体" w:eastAsia="宋体" w:cs="宋体"/>
          <w:color w:val="000000" w:themeColor="text1"/>
          <w:sz w:val="21"/>
          <w:szCs w:val="21"/>
          <w:lang w:eastAsia="zh-CN"/>
        </w:rPr>
        <w:t>石家庄市</w:t>
      </w:r>
      <w:r>
        <w:rPr>
          <w:rFonts w:hint="eastAsia" w:hAnsi="宋体" w:cs="宋体"/>
          <w:color w:val="000000" w:themeColor="text1"/>
          <w:sz w:val="21"/>
          <w:szCs w:val="21"/>
          <w:lang w:eastAsia="zh-CN"/>
        </w:rPr>
        <w:t>绿色发展服务</w:t>
      </w:r>
      <w:r>
        <w:rPr>
          <w:rFonts w:hint="eastAsia" w:ascii="宋体" w:hAnsi="宋体" w:eastAsia="宋体" w:cs="宋体"/>
          <w:color w:val="000000" w:themeColor="text1"/>
          <w:sz w:val="21"/>
          <w:szCs w:val="21"/>
          <w:lang w:eastAsia="zh-CN"/>
        </w:rPr>
        <w:t>中心、</w:t>
      </w:r>
      <w:r>
        <w:rPr>
          <w:rFonts w:hint="eastAsia" w:ascii="宋体" w:hAnsi="宋体" w:eastAsia="宋体" w:cs="宋体"/>
          <w:color w:val="000000" w:themeColor="text1"/>
          <w:sz w:val="21"/>
          <w:szCs w:val="21"/>
          <w:lang w:val="en-US" w:eastAsia="zh-CN"/>
        </w:rPr>
        <w:t>河北省节能与清洁生产协会、</w:t>
      </w:r>
      <w:r>
        <w:rPr>
          <w:rFonts w:hint="eastAsia" w:ascii="宋体" w:hAnsi="宋体" w:eastAsia="宋体" w:cs="宋体"/>
          <w:color w:val="000000" w:themeColor="text1"/>
          <w:sz w:val="21"/>
          <w:szCs w:val="21"/>
          <w:lang w:eastAsia="zh-CN"/>
        </w:rPr>
        <w:t>河北省绿色发展服务中心。</w:t>
      </w:r>
    </w:p>
    <w:p>
      <w:pPr>
        <w:ind w:left="76" w:leftChars="36"/>
        <w:rPr>
          <w:rFonts w:hint="eastAsia" w:ascii="宋体" w:hAnsi="宋体" w:eastAsia="宋体" w:cs="宋体"/>
          <w:color w:val="000000" w:themeColor="text1"/>
          <w:sz w:val="21"/>
          <w:szCs w:val="21"/>
        </w:rPr>
      </w:pPr>
      <w:r>
        <w:rPr>
          <w:rFonts w:hint="eastAsia" w:ascii="宋体" w:hAnsi="宋体" w:eastAsia="宋体" w:cs="宋体"/>
          <w:color w:val="000000" w:themeColor="text1"/>
          <w:sz w:val="21"/>
          <w:szCs w:val="21"/>
        </w:rPr>
        <w:t xml:space="preserve">  </w:t>
      </w:r>
      <w:r>
        <w:rPr>
          <w:rFonts w:hint="eastAsia" w:ascii="宋体" w:hAnsi="宋体" w:eastAsia="宋体" w:cs="宋体"/>
          <w:color w:val="000000" w:themeColor="text1"/>
          <w:sz w:val="21"/>
          <w:szCs w:val="21"/>
          <w:lang w:val="en-US" w:eastAsia="zh-CN"/>
        </w:rPr>
        <w:t xml:space="preserve"> </w:t>
      </w:r>
      <w:r>
        <w:rPr>
          <w:rFonts w:hint="eastAsia" w:ascii="宋体" w:hAnsi="宋体" w:eastAsia="宋体" w:cs="宋体"/>
          <w:color w:val="000000" w:themeColor="text1"/>
          <w:sz w:val="21"/>
          <w:szCs w:val="21"/>
        </w:rPr>
        <w:t>本标准主要起草人：</w:t>
      </w:r>
      <w:r>
        <w:rPr>
          <w:rFonts w:hint="eastAsia" w:asciiTheme="minorEastAsia" w:hAnsiTheme="minorEastAsia" w:eastAsiaTheme="minorEastAsia" w:cstheme="minorEastAsia"/>
          <w:lang w:eastAsia="zh-CN"/>
        </w:rPr>
        <w:t>赵辉、刘志伟、陈文、史建春、赵晓彬、</w:t>
      </w:r>
      <w:r>
        <w:rPr>
          <w:rFonts w:hint="eastAsia" w:asciiTheme="minorEastAsia" w:hAnsiTheme="minorEastAsia" w:eastAsiaTheme="minorEastAsia" w:cstheme="minorEastAsia"/>
          <w:lang w:val="en-US" w:eastAsia="zh-CN"/>
        </w:rPr>
        <w:t>任计良、吕阳。</w:t>
      </w:r>
      <w:bookmarkStart w:id="2" w:name="_GoBack"/>
      <w:bookmarkEnd w:id="2"/>
    </w:p>
    <w:p>
      <w:pPr>
        <w:ind w:firstLine="420" w:firstLineChars="200"/>
        <w:rPr>
          <w:rFonts w:hint="eastAsia" w:ascii="宋体" w:hAnsi="宋体" w:eastAsia="宋体" w:cs="宋体"/>
          <w:color w:val="000000" w:themeColor="text1"/>
          <w:sz w:val="21"/>
          <w:szCs w:val="21"/>
        </w:rPr>
      </w:pPr>
      <w:r>
        <w:rPr>
          <w:rFonts w:hint="eastAsia" w:ascii="宋体" w:hAnsi="宋体" w:eastAsia="宋体" w:cs="宋体"/>
          <w:color w:val="000000" w:themeColor="text1"/>
          <w:sz w:val="21"/>
          <w:szCs w:val="21"/>
        </w:rPr>
        <w:t>本标准所代替标准的历次版本发布情况为:</w:t>
      </w:r>
    </w:p>
    <w:p>
      <w:pPr>
        <w:ind w:firstLine="420" w:firstLineChars="200"/>
        <w:rPr>
          <w:rFonts w:hint="eastAsia" w:ascii="宋体" w:hAnsi="宋体" w:eastAsia="宋体" w:cs="宋体"/>
          <w:color w:val="000000" w:themeColor="text1"/>
          <w:sz w:val="21"/>
          <w:szCs w:val="21"/>
        </w:rPr>
      </w:pPr>
      <w:r>
        <w:rPr>
          <w:rFonts w:hint="eastAsia" w:ascii="宋体" w:hAnsi="宋体" w:eastAsia="宋体" w:cs="宋体"/>
          <w:color w:val="000000" w:themeColor="text1"/>
          <w:sz w:val="21"/>
          <w:szCs w:val="21"/>
        </w:rPr>
        <w:t>－DB13/T213</w:t>
      </w:r>
      <w:r>
        <w:rPr>
          <w:rFonts w:hint="eastAsia" w:ascii="宋体" w:hAnsi="宋体" w:eastAsia="宋体" w:cs="宋体"/>
          <w:color w:val="000000" w:themeColor="text1"/>
          <w:sz w:val="21"/>
          <w:szCs w:val="21"/>
          <w:lang w:val="en-US" w:eastAsia="zh-CN"/>
        </w:rPr>
        <w:t>2</w:t>
      </w:r>
      <w:r>
        <w:rPr>
          <w:rFonts w:hint="eastAsia" w:ascii="宋体" w:hAnsi="宋体" w:eastAsia="宋体" w:cs="宋体"/>
          <w:color w:val="000000" w:themeColor="text1"/>
          <w:sz w:val="21"/>
          <w:szCs w:val="21"/>
        </w:rPr>
        <w:t>-2014。</w:t>
      </w:r>
    </w:p>
    <w:p>
      <w:pPr>
        <w:ind w:firstLine="420" w:firstLineChars="200"/>
        <w:rPr>
          <w:rFonts w:hint="eastAsia" w:ascii="宋体" w:hAnsi="宋体" w:eastAsia="宋体" w:cs="宋体"/>
          <w:color w:val="000000" w:themeColor="text1"/>
          <w:sz w:val="21"/>
          <w:szCs w:val="21"/>
        </w:rPr>
        <w:sectPr>
          <w:headerReference r:id="rId3" w:type="default"/>
          <w:footerReference r:id="rId4" w:type="default"/>
          <w:pgSz w:w="11906" w:h="16838"/>
          <w:pgMar w:top="1417" w:right="1134" w:bottom="1134" w:left="1418" w:header="1418" w:footer="1134" w:gutter="0"/>
          <w:pgNumType w:fmt="upperRoman" w:start="1"/>
          <w:cols w:space="0" w:num="1"/>
          <w:formProt w:val="0"/>
          <w:rtlGutter w:val="0"/>
          <w:docGrid w:type="lines" w:linePitch="312" w:charSpace="0"/>
        </w:sectPr>
      </w:pPr>
    </w:p>
    <w:p>
      <w:pPr>
        <w:jc w:val="center"/>
        <w:rPr>
          <w:rFonts w:hint="eastAsia" w:ascii="宋体" w:hAnsi="宋体"/>
          <w:b/>
          <w:bCs/>
          <w:sz w:val="28"/>
          <w:szCs w:val="28"/>
        </w:rPr>
      </w:pPr>
    </w:p>
    <w:p>
      <w:pPr>
        <w:jc w:val="center"/>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平板玻璃</w:t>
      </w:r>
      <w:r>
        <w:rPr>
          <w:rFonts w:hint="eastAsia" w:ascii="黑体" w:hAnsi="黑体" w:eastAsia="黑体" w:cs="黑体"/>
          <w:b w:val="0"/>
          <w:bCs w:val="0"/>
          <w:sz w:val="32"/>
          <w:szCs w:val="32"/>
        </w:rPr>
        <w:t>单位产品能源消耗限额引导性指标</w:t>
      </w:r>
    </w:p>
    <w:p>
      <w:pPr>
        <w:jc w:val="center"/>
        <w:rPr>
          <w:rFonts w:hint="eastAsia" w:ascii="宋体" w:hAnsi="宋体"/>
          <w:b/>
          <w:bCs/>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黑体" w:hAnsi="黑体" w:eastAsia="黑体" w:cs="黑体"/>
          <w:b w:val="0"/>
          <w:bCs w:val="0"/>
          <w:sz w:val="21"/>
          <w:szCs w:val="21"/>
        </w:rPr>
      </w:pPr>
      <w:r>
        <w:rPr>
          <w:rFonts w:hint="eastAsia" w:ascii="黑体" w:hAnsi="黑体" w:eastAsia="黑体" w:cs="黑体"/>
          <w:b w:val="0"/>
          <w:bCs w:val="0"/>
          <w:sz w:val="21"/>
          <w:szCs w:val="21"/>
          <w:lang w:val="en-US" w:eastAsia="zh-CN"/>
        </w:rPr>
        <w:t xml:space="preserve">1   </w:t>
      </w:r>
      <w:r>
        <w:rPr>
          <w:rFonts w:hint="eastAsia" w:ascii="黑体" w:hAnsi="黑体" w:eastAsia="黑体" w:cs="黑体"/>
          <w:b w:val="0"/>
          <w:bCs w:val="0"/>
          <w:sz w:val="21"/>
          <w:szCs w:val="21"/>
        </w:rPr>
        <w:t>范围</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宋体" w:hAnsi="宋体"/>
          <w:b w:val="0"/>
          <w:bCs w:val="0"/>
          <w:sz w:val="21"/>
          <w:szCs w:val="21"/>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宋体" w:hAnsi="宋体"/>
          <w:b w:val="0"/>
          <w:bCs w:val="0"/>
          <w:color w:val="000000" w:themeColor="text1"/>
          <w:sz w:val="21"/>
          <w:szCs w:val="21"/>
          <w:lang w:val="en-US" w:eastAsia="zh-CN"/>
        </w:rPr>
      </w:pPr>
      <w:r>
        <w:rPr>
          <w:rFonts w:hint="eastAsia" w:ascii="宋体" w:hAnsi="宋体"/>
          <w:b w:val="0"/>
          <w:bCs w:val="0"/>
          <w:color w:val="000000" w:themeColor="text1"/>
          <w:sz w:val="21"/>
          <w:szCs w:val="21"/>
        </w:rPr>
        <w:t>本文件规定了</w:t>
      </w:r>
      <w:r>
        <w:rPr>
          <w:rFonts w:hint="eastAsia" w:ascii="宋体" w:hAnsi="宋体"/>
          <w:b w:val="0"/>
          <w:bCs w:val="0"/>
          <w:color w:val="000000" w:themeColor="text1"/>
          <w:sz w:val="21"/>
          <w:szCs w:val="21"/>
          <w:lang w:eastAsia="zh-CN"/>
        </w:rPr>
        <w:t>平板玻璃</w:t>
      </w:r>
      <w:r>
        <w:rPr>
          <w:rFonts w:hint="eastAsia" w:ascii="宋体" w:hAnsi="宋体"/>
          <w:b w:val="0"/>
          <w:bCs w:val="0"/>
          <w:color w:val="000000" w:themeColor="text1"/>
          <w:sz w:val="21"/>
          <w:szCs w:val="21"/>
        </w:rPr>
        <w:t>单位产品能源消耗(以下简称</w:t>
      </w:r>
      <w:r>
        <w:rPr>
          <w:rFonts w:hint="eastAsia" w:ascii="宋体" w:hAnsi="宋体"/>
          <w:b w:val="0"/>
          <w:bCs w:val="0"/>
          <w:color w:val="000000" w:themeColor="text1"/>
          <w:sz w:val="21"/>
          <w:szCs w:val="21"/>
          <w:lang w:eastAsia="zh-CN"/>
        </w:rPr>
        <w:t>“</w:t>
      </w:r>
      <w:r>
        <w:rPr>
          <w:rFonts w:hint="eastAsia" w:ascii="宋体" w:hAnsi="宋体"/>
          <w:b w:val="0"/>
          <w:bCs w:val="0"/>
          <w:color w:val="000000" w:themeColor="text1"/>
          <w:sz w:val="21"/>
          <w:szCs w:val="21"/>
        </w:rPr>
        <w:t>能耗</w:t>
      </w:r>
      <w:r>
        <w:rPr>
          <w:rFonts w:hint="eastAsia" w:ascii="宋体" w:hAnsi="宋体"/>
          <w:b w:val="0"/>
          <w:bCs w:val="0"/>
          <w:color w:val="000000" w:themeColor="text1"/>
          <w:sz w:val="21"/>
          <w:szCs w:val="21"/>
          <w:lang w:eastAsia="zh-CN"/>
        </w:rPr>
        <w:t>”</w:t>
      </w:r>
      <w:r>
        <w:rPr>
          <w:rFonts w:hint="eastAsia" w:ascii="宋体" w:hAnsi="宋体"/>
          <w:b w:val="0"/>
          <w:bCs w:val="0"/>
          <w:color w:val="000000" w:themeColor="text1"/>
          <w:sz w:val="21"/>
          <w:szCs w:val="21"/>
        </w:rPr>
        <w:t>)限额</w:t>
      </w:r>
      <w:r>
        <w:rPr>
          <w:rFonts w:hint="eastAsia" w:ascii="宋体" w:hAnsi="宋体"/>
          <w:b w:val="0"/>
          <w:bCs w:val="0"/>
          <w:color w:val="000000" w:themeColor="text1"/>
          <w:sz w:val="21"/>
          <w:szCs w:val="21"/>
          <w:lang w:eastAsia="zh-CN"/>
        </w:rPr>
        <w:t>引导性指标的</w:t>
      </w:r>
      <w:r>
        <w:rPr>
          <w:rFonts w:hint="eastAsia" w:ascii="宋体" w:hAnsi="宋体"/>
          <w:b w:val="0"/>
          <w:bCs w:val="0"/>
          <w:color w:val="000000" w:themeColor="text1"/>
          <w:sz w:val="21"/>
          <w:szCs w:val="21"/>
          <w:lang w:val="en-US" w:eastAsia="zh-CN"/>
        </w:rPr>
        <w:t>术语和定义、能耗限额等级、技术要求、能耗修正系数、统计范围和计算方法。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宋体" w:hAnsi="宋体"/>
          <w:b w:val="0"/>
          <w:bCs w:val="0"/>
          <w:color w:val="000000" w:themeColor="text1"/>
          <w:sz w:val="21"/>
          <w:szCs w:val="21"/>
          <w:highlight w:val="none"/>
          <w:lang w:eastAsia="zh-CN"/>
        </w:rPr>
      </w:pPr>
      <w:r>
        <w:rPr>
          <w:rFonts w:hint="eastAsia" w:ascii="宋体" w:hAnsi="宋体"/>
          <w:b w:val="0"/>
          <w:bCs w:val="0"/>
          <w:color w:val="000000" w:themeColor="text1"/>
          <w:sz w:val="21"/>
          <w:szCs w:val="21"/>
          <w:lang w:eastAsia="zh-CN"/>
        </w:rPr>
        <w:t>本文件适用于</w:t>
      </w:r>
      <w:r>
        <w:rPr>
          <w:rFonts w:hint="eastAsia" w:ascii="宋体" w:hAnsi="宋体"/>
          <w:b w:val="0"/>
          <w:bCs w:val="0"/>
          <w:color w:val="000000" w:themeColor="text1"/>
          <w:sz w:val="21"/>
          <w:szCs w:val="21"/>
          <w:lang w:val="en-US" w:eastAsia="zh-CN"/>
        </w:rPr>
        <w:t>以浮法工艺生产透明及本体着色的钠钙硅</w:t>
      </w:r>
      <w:r>
        <w:rPr>
          <w:rFonts w:hint="eastAsia" w:ascii="宋体" w:hAnsi="宋体"/>
          <w:b w:val="0"/>
          <w:bCs w:val="0"/>
          <w:color w:val="000000" w:themeColor="text1"/>
          <w:sz w:val="21"/>
          <w:szCs w:val="21"/>
          <w:lang w:eastAsia="zh-CN"/>
        </w:rPr>
        <w:t>平板玻璃</w:t>
      </w:r>
      <w:r>
        <w:rPr>
          <w:rFonts w:hint="eastAsia" w:ascii="宋体" w:hAnsi="宋体"/>
          <w:b w:val="0"/>
          <w:bCs w:val="0"/>
          <w:color w:val="000000" w:themeColor="text1"/>
          <w:sz w:val="21"/>
          <w:szCs w:val="21"/>
          <w:lang w:val="en-US" w:eastAsia="zh-CN"/>
        </w:rPr>
        <w:t>产品的</w:t>
      </w:r>
      <w:r>
        <w:rPr>
          <w:rFonts w:hint="eastAsia" w:ascii="宋体" w:hAnsi="宋体"/>
          <w:b w:val="0"/>
          <w:bCs w:val="0"/>
          <w:color w:val="000000" w:themeColor="text1"/>
          <w:sz w:val="21"/>
          <w:szCs w:val="21"/>
          <w:lang w:eastAsia="zh-CN"/>
        </w:rPr>
        <w:t>生产企业能耗计算、考核，</w:t>
      </w:r>
      <w:r>
        <w:rPr>
          <w:rFonts w:hint="eastAsia" w:ascii="宋体" w:hAnsi="宋体"/>
          <w:b w:val="0"/>
          <w:bCs w:val="0"/>
          <w:color w:val="000000" w:themeColor="text1"/>
          <w:sz w:val="21"/>
          <w:szCs w:val="21"/>
          <w:highlight w:val="none"/>
          <w:lang w:eastAsia="zh-CN"/>
        </w:rPr>
        <w:t>新建和改扩建企业的能耗控制</w:t>
      </w:r>
      <w:r>
        <w:rPr>
          <w:rFonts w:hint="eastAsia" w:ascii="宋体" w:hAnsi="宋体"/>
          <w:b w:val="0"/>
          <w:bCs w:val="0"/>
          <w:color w:val="000000" w:themeColor="text1"/>
          <w:sz w:val="21"/>
          <w:szCs w:val="21"/>
          <w:highlight w:val="none"/>
          <w:lang w:val="en-US" w:eastAsia="zh-CN"/>
        </w:rPr>
        <w:t>参照执行</w:t>
      </w:r>
      <w:r>
        <w:rPr>
          <w:rFonts w:hint="eastAsia" w:ascii="宋体" w:hAnsi="宋体"/>
          <w:b w:val="0"/>
          <w:bCs w:val="0"/>
          <w:color w:val="000000" w:themeColor="text1"/>
          <w:sz w:val="21"/>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宋体" w:hAnsi="宋体"/>
          <w:b w:val="0"/>
          <w:bCs w:val="0"/>
          <w:sz w:val="21"/>
          <w:szCs w:val="21"/>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黑体" w:hAnsi="黑体" w:eastAsia="黑体" w:cs="黑体"/>
          <w:b w:val="0"/>
          <w:bCs w:val="0"/>
          <w:sz w:val="21"/>
          <w:szCs w:val="21"/>
        </w:rPr>
      </w:pPr>
      <w:r>
        <w:rPr>
          <w:rFonts w:hint="eastAsia" w:ascii="黑体" w:hAnsi="黑体" w:eastAsia="黑体" w:cs="黑体"/>
          <w:b w:val="0"/>
          <w:bCs w:val="0"/>
          <w:sz w:val="21"/>
          <w:szCs w:val="21"/>
          <w:lang w:val="en-US" w:eastAsia="zh-CN"/>
        </w:rPr>
        <w:t xml:space="preserve">2   </w:t>
      </w:r>
      <w:r>
        <w:rPr>
          <w:rFonts w:hint="eastAsia" w:ascii="黑体" w:hAnsi="黑体" w:eastAsia="黑体" w:cs="黑体"/>
          <w:b w:val="0"/>
          <w:bCs w:val="0"/>
          <w:sz w:val="21"/>
          <w:szCs w:val="21"/>
        </w:rPr>
        <w:t>规范性引用文件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宋体" w:hAnsi="宋体"/>
          <w:b/>
          <w:bCs/>
          <w:sz w:val="21"/>
          <w:szCs w:val="21"/>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rPr>
        <w:t>下列文件中的内容通过文中的规范性引用而构成本文件必不可少的条款。其中,注日期的引用文件,仅该日期对应的版本适用于本文件</w:t>
      </w:r>
      <w:r>
        <w:rPr>
          <w:rFonts w:hint="eastAsia" w:asciiTheme="minorEastAsia" w:hAnsiTheme="minorEastAsia" w:eastAsiaTheme="minorEastAsia" w:cstheme="minorEastAsia"/>
          <w:b w:val="0"/>
          <w:bCs w:val="0"/>
          <w:sz w:val="21"/>
          <w:szCs w:val="21"/>
          <w:lang w:eastAsia="zh-CN"/>
        </w:rPr>
        <w:t>；</w:t>
      </w:r>
      <w:r>
        <w:rPr>
          <w:rFonts w:hint="eastAsia" w:asciiTheme="minorEastAsia" w:hAnsiTheme="minorEastAsia" w:eastAsiaTheme="minorEastAsia" w:cstheme="minorEastAsia"/>
          <w:b w:val="0"/>
          <w:bCs w:val="0"/>
          <w:sz w:val="21"/>
          <w:szCs w:val="21"/>
        </w:rPr>
        <w:t>不注日期的引用文件,其最新版本(包括所有的修改单)适用于本文件。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GB/T2589 综合能耗计算通则</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GB 11614 平板玻璃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lang w:val="en-US" w:eastAsia="zh-CN"/>
        </w:rPr>
        <w:t>GB 21340—2019 玻璃和铸石单位产品能源消耗限额</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sz w:val="21"/>
          <w:szCs w:val="21"/>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黑体" w:hAnsi="黑体" w:eastAsia="黑体" w:cs="黑体"/>
          <w:b w:val="0"/>
          <w:bCs w:val="0"/>
          <w:color w:val="000000" w:themeColor="text1"/>
          <w:sz w:val="21"/>
          <w:szCs w:val="21"/>
        </w:rPr>
      </w:pPr>
      <w:r>
        <w:rPr>
          <w:rFonts w:hint="eastAsia" w:ascii="黑体" w:hAnsi="黑体" w:eastAsia="黑体" w:cs="黑体"/>
          <w:b w:val="0"/>
          <w:bCs w:val="0"/>
          <w:color w:val="000000" w:themeColor="text1"/>
          <w:sz w:val="21"/>
          <w:szCs w:val="21"/>
          <w:lang w:val="en-US" w:eastAsia="zh-CN"/>
        </w:rPr>
        <w:t xml:space="preserve">3   </w:t>
      </w:r>
      <w:r>
        <w:rPr>
          <w:rFonts w:hint="eastAsia" w:ascii="黑体" w:hAnsi="黑体" w:eastAsia="黑体" w:cs="黑体"/>
          <w:b w:val="0"/>
          <w:bCs w:val="0"/>
          <w:color w:val="000000" w:themeColor="text1"/>
          <w:sz w:val="21"/>
          <w:szCs w:val="21"/>
        </w:rPr>
        <w:t>术语和定义</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黑体" w:hAnsi="黑体" w:eastAsia="黑体" w:cs="黑体"/>
          <w:b w:val="0"/>
          <w:bCs w:val="0"/>
          <w:color w:val="000000" w:themeColor="text1"/>
          <w:sz w:val="21"/>
          <w:szCs w:val="21"/>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color w:val="000000" w:themeColor="text1"/>
          <w:sz w:val="21"/>
          <w:szCs w:val="21"/>
        </w:rPr>
      </w:pPr>
      <w:r>
        <w:rPr>
          <w:rFonts w:hint="eastAsia" w:asciiTheme="minorEastAsia" w:hAnsiTheme="minorEastAsia" w:eastAsiaTheme="minorEastAsia" w:cstheme="minorEastAsia"/>
          <w:b w:val="0"/>
          <w:bCs w:val="0"/>
          <w:color w:val="000000" w:themeColor="text1"/>
          <w:sz w:val="21"/>
          <w:szCs w:val="21"/>
        </w:rPr>
        <w:t>GB/T 12723界定的以及下列术语和定义适用于本文件。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color w:val="000000" w:themeColor="text1"/>
          <w:sz w:val="21"/>
          <w:szCs w:val="21"/>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黑体" w:hAnsi="黑体" w:eastAsia="黑体" w:cs="黑体"/>
          <w:b w:val="0"/>
          <w:bCs w:val="0"/>
          <w:color w:val="000000" w:themeColor="text1"/>
          <w:sz w:val="21"/>
          <w:szCs w:val="21"/>
          <w:lang w:val="en-US" w:eastAsia="zh-CN"/>
        </w:rPr>
      </w:pPr>
      <w:r>
        <w:rPr>
          <w:rFonts w:hint="eastAsia" w:ascii="黑体" w:hAnsi="黑体" w:eastAsia="黑体" w:cs="黑体"/>
          <w:b w:val="0"/>
          <w:bCs w:val="0"/>
          <w:color w:val="000000" w:themeColor="text1"/>
          <w:sz w:val="21"/>
          <w:szCs w:val="21"/>
          <w:lang w:val="en-US" w:eastAsia="zh-CN"/>
        </w:rPr>
        <w:t xml:space="preserve">3.1 </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r>
        <w:rPr>
          <w:rFonts w:hint="eastAsia" w:ascii="黑体" w:hAnsi="黑体" w:eastAsia="黑体" w:cs="黑体"/>
          <w:b w:val="0"/>
          <w:bCs w:val="0"/>
          <w:color w:val="000000" w:themeColor="text1"/>
          <w:sz w:val="21"/>
          <w:szCs w:val="21"/>
        </w:rPr>
        <w:t>平板玻璃产品综合能耗</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color w:val="000000" w:themeColor="text1"/>
          <w:sz w:val="21"/>
          <w:szCs w:val="21"/>
        </w:rPr>
      </w:pPr>
      <w:r>
        <w:rPr>
          <w:rFonts w:hint="eastAsia" w:asciiTheme="minorEastAsia" w:hAnsiTheme="minorEastAsia" w:eastAsiaTheme="minorEastAsia" w:cstheme="minorEastAsia"/>
          <w:b w:val="0"/>
          <w:bCs w:val="0"/>
          <w:color w:val="000000" w:themeColor="text1"/>
          <w:sz w:val="21"/>
          <w:szCs w:val="21"/>
        </w:rPr>
        <w:t>在统计期内用于平板玻璃生产所消耗的各种能源，按照规定的计算方法和单位分别折算后的总和。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r>
        <w:rPr>
          <w:rFonts w:hint="eastAsia" w:ascii="仿宋" w:hAnsi="仿宋" w:eastAsia="仿宋" w:cs="仿宋"/>
          <w:b w:val="0"/>
          <w:bCs w:val="0"/>
          <w:color w:val="000000" w:themeColor="text1"/>
          <w:sz w:val="21"/>
          <w:szCs w:val="21"/>
          <w:lang w:val="en-US" w:eastAsia="zh-CN"/>
        </w:rPr>
        <w:t>[来源:</w:t>
      </w:r>
      <w:r>
        <w:rPr>
          <w:rFonts w:hint="eastAsia" w:asciiTheme="minorEastAsia" w:hAnsiTheme="minorEastAsia" w:eastAsiaTheme="minorEastAsia" w:cstheme="minorEastAsia"/>
          <w:b w:val="0"/>
          <w:bCs w:val="0"/>
          <w:sz w:val="21"/>
          <w:szCs w:val="21"/>
          <w:lang w:val="en-US" w:eastAsia="zh-CN"/>
        </w:rPr>
        <w:t>DB 13/T 2132—2014,3.1</w:t>
      </w:r>
      <w:r>
        <w:rPr>
          <w:rFonts w:hint="eastAsia" w:ascii="仿宋" w:hAnsi="仿宋" w:eastAsia="仿宋" w:cs="仿宋"/>
          <w:b w:val="0"/>
          <w:bCs w:val="0"/>
          <w:color w:val="000000" w:themeColor="text1"/>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color w:val="000000" w:themeColor="text1"/>
          <w:sz w:val="21"/>
          <w:szCs w:val="21"/>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color w:val="000000" w:themeColor="text1"/>
          <w:sz w:val="21"/>
          <w:szCs w:val="21"/>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黑体" w:hAnsi="黑体" w:eastAsia="黑体" w:cs="黑体"/>
          <w:b w:val="0"/>
          <w:bCs w:val="0"/>
          <w:color w:val="000000" w:themeColor="text1"/>
          <w:sz w:val="21"/>
          <w:szCs w:val="21"/>
          <w:lang w:val="en-US" w:eastAsia="zh-CN"/>
        </w:rPr>
      </w:pPr>
      <w:r>
        <w:rPr>
          <w:rFonts w:hint="eastAsia" w:ascii="黑体" w:hAnsi="黑体" w:eastAsia="黑体" w:cs="黑体"/>
          <w:b w:val="0"/>
          <w:bCs w:val="0"/>
          <w:color w:val="000000" w:themeColor="text1"/>
          <w:sz w:val="21"/>
          <w:szCs w:val="21"/>
        </w:rPr>
        <w:t>3.2</w:t>
      </w:r>
      <w:r>
        <w:rPr>
          <w:rFonts w:hint="eastAsia" w:ascii="黑体" w:hAnsi="黑体" w:eastAsia="黑体" w:cs="黑体"/>
          <w:b w:val="0"/>
          <w:bCs w:val="0"/>
          <w:color w:val="000000" w:themeColor="text1"/>
          <w:sz w:val="21"/>
          <w:szCs w:val="21"/>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bCs/>
          <w:color w:val="000000" w:themeColor="text1"/>
          <w:sz w:val="21"/>
          <w:szCs w:val="21"/>
        </w:rPr>
      </w:pPr>
      <w:r>
        <w:rPr>
          <w:rFonts w:hint="eastAsia" w:ascii="黑体" w:hAnsi="黑体" w:eastAsia="黑体" w:cs="黑体"/>
          <w:b w:val="0"/>
          <w:bCs w:val="0"/>
          <w:color w:val="000000" w:themeColor="text1"/>
          <w:sz w:val="21"/>
          <w:szCs w:val="21"/>
        </w:rPr>
        <w:t>平板玻璃单位产品</w:t>
      </w:r>
      <w:r>
        <w:rPr>
          <w:rFonts w:hint="eastAsia" w:ascii="黑体" w:hAnsi="黑体" w:eastAsia="黑体" w:cs="黑体"/>
          <w:b w:val="0"/>
          <w:bCs w:val="0"/>
          <w:color w:val="000000" w:themeColor="text1"/>
          <w:sz w:val="21"/>
          <w:szCs w:val="21"/>
          <w:lang w:eastAsia="zh-CN"/>
        </w:rPr>
        <w:t>综合</w:t>
      </w:r>
      <w:r>
        <w:rPr>
          <w:rFonts w:hint="eastAsia" w:ascii="黑体" w:hAnsi="黑体" w:eastAsia="黑体" w:cs="黑体"/>
          <w:b w:val="0"/>
          <w:bCs w:val="0"/>
          <w:color w:val="000000" w:themeColor="text1"/>
          <w:sz w:val="21"/>
          <w:szCs w:val="21"/>
        </w:rPr>
        <w:t>能耗</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color w:val="000000" w:themeColor="text1"/>
          <w:sz w:val="21"/>
          <w:szCs w:val="21"/>
        </w:rPr>
      </w:pPr>
      <w:r>
        <w:rPr>
          <w:rFonts w:hint="eastAsia" w:asciiTheme="minorEastAsia" w:hAnsiTheme="minorEastAsia" w:eastAsiaTheme="minorEastAsia" w:cstheme="minorEastAsia"/>
          <w:b w:val="0"/>
          <w:bCs w:val="0"/>
          <w:color w:val="000000" w:themeColor="text1"/>
          <w:sz w:val="21"/>
          <w:szCs w:val="21"/>
        </w:rPr>
        <w:t>在统计期内生产每重量箱合格平板玻璃所消耗的各种能源,按照规定的计算方法和单位分别折算</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color w:val="000000" w:themeColor="text1"/>
          <w:sz w:val="21"/>
          <w:szCs w:val="21"/>
        </w:rPr>
      </w:pPr>
      <w:r>
        <w:rPr>
          <w:rFonts w:hint="eastAsia" w:asciiTheme="minorEastAsia" w:hAnsiTheme="minorEastAsia" w:eastAsiaTheme="minorEastAsia" w:cstheme="minorEastAsia"/>
          <w:b w:val="0"/>
          <w:bCs w:val="0"/>
          <w:color w:val="000000" w:themeColor="text1"/>
          <w:sz w:val="21"/>
          <w:szCs w:val="21"/>
        </w:rPr>
        <w:t>后的总和。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left"/>
        <w:textAlignment w:val="auto"/>
        <w:outlineLvl w:val="9"/>
        <w:rPr>
          <w:rFonts w:hint="eastAsia" w:asciiTheme="minorEastAsia" w:hAnsiTheme="minorEastAsia" w:eastAsiaTheme="minorEastAsia" w:cstheme="minorEastAsia"/>
          <w:b w:val="0"/>
          <w:bCs w:val="0"/>
          <w:color w:val="000000" w:themeColor="text1"/>
          <w:sz w:val="21"/>
          <w:szCs w:val="21"/>
          <w:lang w:eastAsia="zh-CN"/>
        </w:rPr>
      </w:pPr>
      <w:r>
        <w:rPr>
          <w:rFonts w:hint="eastAsia" w:ascii="仿宋" w:hAnsi="仿宋" w:eastAsia="仿宋" w:cs="仿宋"/>
          <w:b w:val="0"/>
          <w:bCs w:val="0"/>
          <w:color w:val="000000" w:themeColor="text1"/>
          <w:sz w:val="21"/>
          <w:szCs w:val="21"/>
          <w:lang w:val="en-US" w:eastAsia="zh-CN"/>
        </w:rPr>
        <w:t>[来源:</w:t>
      </w:r>
      <w:r>
        <w:rPr>
          <w:rFonts w:hint="eastAsia" w:asciiTheme="minorEastAsia" w:hAnsiTheme="minorEastAsia" w:eastAsiaTheme="minorEastAsia" w:cstheme="minorEastAsia"/>
          <w:b w:val="0"/>
          <w:bCs w:val="0"/>
          <w:sz w:val="21"/>
          <w:szCs w:val="21"/>
          <w:lang w:val="en-US" w:eastAsia="zh-CN"/>
        </w:rPr>
        <w:t>GB 21340—2019,3.1</w:t>
      </w:r>
      <w:r>
        <w:rPr>
          <w:rFonts w:hint="eastAsia" w:ascii="仿宋" w:hAnsi="仿宋" w:eastAsia="仿宋" w:cs="仿宋"/>
          <w:b w:val="0"/>
          <w:bCs w:val="0"/>
          <w:color w:val="000000" w:themeColor="text1"/>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黑体" w:hAnsi="黑体" w:eastAsia="黑体" w:cs="黑体"/>
          <w:b w:val="0"/>
          <w:bCs w:val="0"/>
          <w:color w:val="000000" w:themeColor="text1"/>
          <w:sz w:val="21"/>
          <w:szCs w:val="21"/>
          <w:lang w:val="en-US" w:eastAsia="zh-CN"/>
        </w:rPr>
      </w:pPr>
      <w:r>
        <w:rPr>
          <w:rFonts w:hint="eastAsia" w:ascii="黑体" w:hAnsi="黑体" w:eastAsia="黑体" w:cs="黑体"/>
          <w:b w:val="0"/>
          <w:bCs w:val="0"/>
          <w:color w:val="000000" w:themeColor="text1"/>
          <w:sz w:val="21"/>
          <w:szCs w:val="21"/>
          <w:lang w:val="en-US" w:eastAsia="zh-CN"/>
        </w:rPr>
        <w:t>4   技术要求</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bCs/>
          <w:color w:val="000000" w:themeColor="text1"/>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r>
        <w:rPr>
          <w:rFonts w:hint="eastAsia" w:asciiTheme="minorEastAsia" w:hAnsiTheme="minorEastAsia" w:eastAsiaTheme="minorEastAsia" w:cstheme="minorEastAsia"/>
          <w:b w:val="0"/>
          <w:bCs w:val="0"/>
          <w:color w:val="000000" w:themeColor="text1"/>
          <w:sz w:val="21"/>
          <w:szCs w:val="21"/>
          <w:lang w:val="en-US" w:eastAsia="zh-CN"/>
        </w:rPr>
        <w:t>4.1  平板玻璃单位产品能耗限额等级见表 1,其限定值应不大于表中对应的数值，其中1 级能耗最低。</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黑体" w:hAnsi="黑体" w:eastAsia="黑体" w:cs="黑体"/>
          <w:b w:val="0"/>
          <w:bCs w:val="0"/>
          <w:color w:val="000000" w:themeColor="text1"/>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黑体" w:hAnsi="黑体" w:eastAsia="黑体" w:cs="黑体"/>
          <w:b w:val="0"/>
          <w:bCs w:val="0"/>
          <w:color w:val="000000" w:themeColor="text1"/>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黑体" w:hAnsi="黑体" w:eastAsia="黑体" w:cs="黑体"/>
          <w:b w:val="0"/>
          <w:bCs w:val="0"/>
          <w:color w:val="000000" w:themeColor="text1"/>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黑体" w:hAnsi="黑体" w:eastAsia="黑体" w:cs="黑体"/>
          <w:b w:val="0"/>
          <w:bCs w:val="0"/>
          <w:color w:val="000000" w:themeColor="text1"/>
          <w:sz w:val="21"/>
          <w:szCs w:val="21"/>
          <w:lang w:val="en-US" w:eastAsia="zh-CN"/>
        </w:rPr>
      </w:pPr>
      <w:r>
        <w:rPr>
          <w:rFonts w:hint="eastAsia" w:ascii="黑体" w:hAnsi="黑体" w:eastAsia="黑体" w:cs="黑体"/>
          <w:b w:val="0"/>
          <w:bCs w:val="0"/>
          <w:color w:val="000000" w:themeColor="text1"/>
          <w:sz w:val="21"/>
          <w:szCs w:val="21"/>
          <w:lang w:val="en-US" w:eastAsia="zh-CN"/>
        </w:rPr>
        <w:t>表 1 平板玻璃单位产品能耗限额等级</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bCs/>
          <w:color w:val="000000" w:themeColor="text1"/>
          <w:sz w:val="21"/>
          <w:szCs w:val="21"/>
          <w:lang w:val="en-US" w:eastAsia="zh-CN"/>
        </w:rPr>
      </w:pPr>
    </w:p>
    <w:tbl>
      <w:tblPr>
        <w:tblStyle w:val="37"/>
        <w:tblW w:w="957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90"/>
        <w:gridCol w:w="3190"/>
        <w:gridCol w:w="3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319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color w:val="000000" w:themeColor="text1"/>
                <w:sz w:val="18"/>
                <w:szCs w:val="18"/>
                <w:vertAlign w:val="baseline"/>
                <w:lang w:val="en-US" w:eastAsia="zh-CN"/>
              </w:rPr>
            </w:pPr>
            <w:r>
              <w:rPr>
                <w:rFonts w:hint="eastAsia" w:asciiTheme="minorEastAsia" w:hAnsiTheme="minorEastAsia" w:eastAsiaTheme="minorEastAsia" w:cstheme="minorEastAsia"/>
                <w:b w:val="0"/>
                <w:bCs w:val="0"/>
                <w:color w:val="000000" w:themeColor="text1"/>
                <w:sz w:val="18"/>
                <w:szCs w:val="18"/>
                <w:vertAlign w:val="baseline"/>
                <w:lang w:val="en-US" w:eastAsia="zh-CN"/>
              </w:rPr>
              <w:t>能耗限额等级</w:t>
            </w:r>
          </w:p>
        </w:tc>
        <w:tc>
          <w:tcPr>
            <w:tcW w:w="3190"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color w:val="000000" w:themeColor="text1"/>
                <w:sz w:val="18"/>
                <w:szCs w:val="18"/>
                <w:vertAlign w:val="baseline"/>
                <w:lang w:val="en-US" w:eastAsia="zh-CN"/>
              </w:rPr>
            </w:pPr>
            <w:r>
              <w:rPr>
                <w:rFonts w:hint="eastAsia" w:asciiTheme="minorEastAsia" w:hAnsiTheme="minorEastAsia" w:eastAsiaTheme="minorEastAsia" w:cstheme="minorEastAsia"/>
                <w:b w:val="0"/>
                <w:bCs w:val="0"/>
                <w:color w:val="000000" w:themeColor="text1"/>
                <w:sz w:val="18"/>
                <w:szCs w:val="18"/>
                <w:vertAlign w:val="baseline"/>
                <w:lang w:val="en-US" w:eastAsia="zh-CN"/>
              </w:rPr>
              <w:t>生产线设计生产能力</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color w:val="000000" w:themeColor="text1"/>
                <w:sz w:val="18"/>
                <w:szCs w:val="18"/>
                <w:vertAlign w:val="baseline"/>
                <w:lang w:val="en-US" w:eastAsia="zh-CN"/>
              </w:rPr>
            </w:pPr>
            <w:r>
              <w:rPr>
                <w:rFonts w:hint="eastAsia" w:asciiTheme="minorEastAsia" w:hAnsiTheme="minorEastAsia" w:eastAsiaTheme="minorEastAsia" w:cstheme="minorEastAsia"/>
                <w:b w:val="0"/>
                <w:bCs w:val="0"/>
                <w:color w:val="000000" w:themeColor="text1"/>
                <w:sz w:val="18"/>
                <w:szCs w:val="18"/>
                <w:vertAlign w:val="baseline"/>
                <w:lang w:val="en-US" w:eastAsia="zh-CN"/>
              </w:rPr>
              <w:t>t/d</w:t>
            </w:r>
          </w:p>
        </w:tc>
        <w:tc>
          <w:tcPr>
            <w:tcW w:w="3190"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color w:val="000000" w:themeColor="text1"/>
                <w:sz w:val="18"/>
                <w:szCs w:val="18"/>
                <w:vertAlign w:val="baseline"/>
                <w:lang w:val="en-US" w:eastAsia="zh-CN"/>
              </w:rPr>
            </w:pPr>
            <w:r>
              <w:rPr>
                <w:rFonts w:hint="eastAsia" w:asciiTheme="minorEastAsia" w:hAnsiTheme="minorEastAsia" w:eastAsiaTheme="minorEastAsia" w:cstheme="minorEastAsia"/>
                <w:b w:val="0"/>
                <w:bCs w:val="0"/>
                <w:color w:val="000000" w:themeColor="text1"/>
                <w:sz w:val="18"/>
                <w:szCs w:val="18"/>
                <w:vertAlign w:val="baseline"/>
                <w:lang w:val="en-US" w:eastAsia="zh-CN"/>
              </w:rPr>
              <w:t>单位产品能耗限定值</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color w:val="000000" w:themeColor="text1"/>
                <w:sz w:val="18"/>
                <w:szCs w:val="18"/>
                <w:vertAlign w:val="baseline"/>
                <w:lang w:val="en-US" w:eastAsia="zh-CN"/>
              </w:rPr>
            </w:pPr>
            <w:r>
              <w:rPr>
                <w:rFonts w:hint="eastAsia" w:asciiTheme="minorEastAsia" w:hAnsiTheme="minorEastAsia" w:eastAsiaTheme="minorEastAsia" w:cstheme="minorEastAsia"/>
                <w:b w:val="0"/>
                <w:bCs w:val="0"/>
                <w:color w:val="000000" w:themeColor="text1"/>
                <w:sz w:val="18"/>
                <w:szCs w:val="18"/>
                <w:vertAlign w:val="baseline"/>
                <w:lang w:val="en-US" w:eastAsia="zh-CN"/>
              </w:rPr>
              <w:t>kgce/重量箱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319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color w:val="000000" w:themeColor="text1"/>
                <w:sz w:val="18"/>
                <w:szCs w:val="18"/>
                <w:vertAlign w:val="baseline"/>
                <w:lang w:val="en-US" w:eastAsia="zh-CN"/>
              </w:rPr>
            </w:pPr>
            <w:r>
              <w:rPr>
                <w:rFonts w:hint="eastAsia" w:asciiTheme="minorEastAsia" w:hAnsiTheme="minorEastAsia" w:eastAsiaTheme="minorEastAsia" w:cstheme="minorEastAsia"/>
                <w:b w:val="0"/>
                <w:bCs w:val="0"/>
                <w:color w:val="000000" w:themeColor="text1"/>
                <w:sz w:val="18"/>
                <w:szCs w:val="18"/>
                <w:vertAlign w:val="baseline"/>
                <w:lang w:val="en-US" w:eastAsia="zh-CN"/>
              </w:rPr>
              <w:t>1</w:t>
            </w:r>
          </w:p>
        </w:tc>
        <w:tc>
          <w:tcPr>
            <w:tcW w:w="3190"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color w:val="000000" w:themeColor="text1"/>
                <w:sz w:val="18"/>
                <w:szCs w:val="18"/>
                <w:vertAlign w:val="baseline"/>
                <w:lang w:val="en-US" w:eastAsia="zh-CN"/>
              </w:rPr>
            </w:pPr>
            <w:r>
              <w:rPr>
                <w:rFonts w:hint="eastAsia" w:ascii="宋体" w:hAnsi="宋体" w:eastAsia="宋体" w:cs="宋体"/>
                <w:b w:val="0"/>
                <w:bCs w:val="0"/>
                <w:color w:val="000000" w:themeColor="text1"/>
                <w:sz w:val="18"/>
                <w:szCs w:val="18"/>
                <w:vertAlign w:val="baseline"/>
                <w:lang w:val="en-US" w:eastAsia="zh-CN"/>
              </w:rPr>
              <w:t>≥</w:t>
            </w:r>
            <w:r>
              <w:rPr>
                <w:rFonts w:hint="eastAsia" w:asciiTheme="minorEastAsia" w:hAnsiTheme="minorEastAsia" w:eastAsiaTheme="minorEastAsia" w:cstheme="minorEastAsia"/>
                <w:b w:val="0"/>
                <w:bCs w:val="0"/>
                <w:color w:val="000000" w:themeColor="text1"/>
                <w:sz w:val="18"/>
                <w:szCs w:val="18"/>
                <w:vertAlign w:val="baseline"/>
                <w:lang w:val="en-US" w:eastAsia="zh-CN"/>
              </w:rPr>
              <w:t>500</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color w:val="000000" w:themeColor="text1"/>
                <w:sz w:val="18"/>
                <w:szCs w:val="18"/>
                <w:vertAlign w:val="baseline"/>
                <w:lang w:val="en-US" w:eastAsia="zh-CN"/>
              </w:rPr>
            </w:pPr>
            <w:r>
              <w:rPr>
                <w:rFonts w:hint="eastAsia" w:asciiTheme="minorEastAsia" w:hAnsiTheme="minorEastAsia" w:eastAsiaTheme="minorEastAsia" w:cstheme="minorEastAsia"/>
                <w:b w:val="0"/>
                <w:bCs w:val="0"/>
                <w:color w:val="000000" w:themeColor="text1"/>
                <w:sz w:val="18"/>
                <w:szCs w:val="18"/>
                <w:vertAlign w:val="baseline"/>
                <w:lang w:val="en-US" w:eastAsia="zh-CN"/>
              </w:rPr>
              <w:t>≤800</w:t>
            </w:r>
          </w:p>
        </w:tc>
        <w:tc>
          <w:tcPr>
            <w:tcW w:w="319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val="0"/>
                <w:bCs w:val="0"/>
                <w:color w:val="000000" w:themeColor="text1"/>
                <w:sz w:val="18"/>
                <w:szCs w:val="18"/>
                <w:vertAlign w:val="baseline"/>
                <w:lang w:val="en-US" w:eastAsia="zh-CN"/>
              </w:rPr>
            </w:pPr>
            <w:r>
              <w:rPr>
                <w:rFonts w:hint="eastAsia" w:ascii="宋体" w:hAnsi="宋体" w:eastAsia="宋体" w:cs="宋体"/>
                <w:b w:val="0"/>
                <w:bCs w:val="0"/>
                <w:color w:val="FF0000"/>
                <w:sz w:val="18"/>
                <w:szCs w:val="18"/>
                <w:vertAlign w:val="baseline"/>
                <w:lang w:val="en-US" w:eastAsia="zh-CN"/>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319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p>
        </w:tc>
        <w:tc>
          <w:tcPr>
            <w:tcW w:w="3190"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r>
              <w:rPr>
                <w:rFonts w:hint="eastAsia" w:ascii="宋体" w:hAnsi="宋体" w:eastAsia="宋体" w:cs="宋体"/>
                <w:b w:val="0"/>
                <w:bCs w:val="0"/>
                <w:color w:val="000000" w:themeColor="text1"/>
                <w:sz w:val="18"/>
                <w:szCs w:val="18"/>
                <w:vertAlign w:val="baseline"/>
                <w:lang w:val="en-US" w:eastAsia="zh-CN"/>
              </w:rPr>
              <w:t>&gt;800</w:t>
            </w:r>
          </w:p>
        </w:tc>
        <w:tc>
          <w:tcPr>
            <w:tcW w:w="3190"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r>
              <w:rPr>
                <w:rFonts w:hint="eastAsia" w:ascii="宋体" w:hAnsi="宋体" w:eastAsia="宋体" w:cs="宋体"/>
                <w:b w:val="0"/>
                <w:bCs w:val="0"/>
                <w:color w:val="FF0000"/>
                <w:sz w:val="18"/>
                <w:szCs w:val="18"/>
                <w:vertAlign w:val="baseline"/>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319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r>
              <w:rPr>
                <w:rFonts w:hint="eastAsia" w:ascii="宋体" w:hAnsi="宋体" w:eastAsia="宋体" w:cs="宋体"/>
                <w:b w:val="0"/>
                <w:bCs w:val="0"/>
                <w:color w:val="000000" w:themeColor="text1"/>
                <w:sz w:val="18"/>
                <w:szCs w:val="18"/>
                <w:vertAlign w:val="baseline"/>
                <w:lang w:val="en-US" w:eastAsia="zh-CN"/>
              </w:rPr>
              <w:t>2</w:t>
            </w:r>
          </w:p>
        </w:tc>
        <w:tc>
          <w:tcPr>
            <w:tcW w:w="3190"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r>
              <w:rPr>
                <w:rFonts w:hint="eastAsia" w:ascii="宋体" w:hAnsi="宋体" w:eastAsia="宋体" w:cs="宋体"/>
                <w:b w:val="0"/>
                <w:bCs w:val="0"/>
                <w:color w:val="000000" w:themeColor="text1"/>
                <w:sz w:val="18"/>
                <w:szCs w:val="18"/>
                <w:vertAlign w:val="baseline"/>
                <w:lang w:val="en-US" w:eastAsia="zh-CN"/>
              </w:rPr>
              <w:t>≥500</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r>
              <w:rPr>
                <w:rFonts w:hint="eastAsia" w:ascii="宋体" w:hAnsi="宋体" w:eastAsia="宋体" w:cs="宋体"/>
                <w:b w:val="0"/>
                <w:bCs w:val="0"/>
                <w:color w:val="000000" w:themeColor="text1"/>
                <w:sz w:val="18"/>
                <w:szCs w:val="18"/>
                <w:vertAlign w:val="baseline"/>
                <w:lang w:val="en-US" w:eastAsia="zh-CN"/>
              </w:rPr>
              <w:t>≤800</w:t>
            </w:r>
          </w:p>
        </w:tc>
        <w:tc>
          <w:tcPr>
            <w:tcW w:w="319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r>
              <w:rPr>
                <w:rFonts w:hint="eastAsia" w:ascii="宋体" w:hAnsi="宋体" w:eastAsia="宋体" w:cs="宋体"/>
                <w:b w:val="0"/>
                <w:bCs w:val="0"/>
                <w:color w:val="FF0000"/>
                <w:sz w:val="18"/>
                <w:szCs w:val="18"/>
                <w:vertAlign w:val="baseline"/>
                <w:lang w:val="en-US" w:eastAsia="zh-CN"/>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319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p>
        </w:tc>
        <w:tc>
          <w:tcPr>
            <w:tcW w:w="3190"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r>
              <w:rPr>
                <w:rFonts w:hint="eastAsia" w:ascii="宋体" w:hAnsi="宋体" w:eastAsia="宋体" w:cs="宋体"/>
                <w:b w:val="0"/>
                <w:bCs w:val="0"/>
                <w:color w:val="000000" w:themeColor="text1"/>
                <w:sz w:val="18"/>
                <w:szCs w:val="18"/>
                <w:vertAlign w:val="baseline"/>
                <w:lang w:val="en-US" w:eastAsia="zh-CN"/>
              </w:rPr>
              <w:t>&gt;800</w:t>
            </w:r>
          </w:p>
        </w:tc>
        <w:tc>
          <w:tcPr>
            <w:tcW w:w="3190"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r>
              <w:rPr>
                <w:rFonts w:hint="eastAsia" w:ascii="宋体" w:hAnsi="宋体" w:eastAsia="宋体" w:cs="宋体"/>
                <w:b w:val="0"/>
                <w:bCs w:val="0"/>
                <w:color w:val="FF0000"/>
                <w:sz w:val="18"/>
                <w:szCs w:val="18"/>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319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r>
              <w:rPr>
                <w:rFonts w:hint="eastAsia" w:ascii="宋体" w:hAnsi="宋体" w:eastAsia="宋体" w:cs="宋体"/>
                <w:b w:val="0"/>
                <w:bCs w:val="0"/>
                <w:color w:val="000000" w:themeColor="text1"/>
                <w:sz w:val="18"/>
                <w:szCs w:val="18"/>
                <w:vertAlign w:val="baseline"/>
                <w:lang w:val="en-US" w:eastAsia="zh-CN"/>
              </w:rPr>
              <w:t>3</w:t>
            </w:r>
          </w:p>
        </w:tc>
        <w:tc>
          <w:tcPr>
            <w:tcW w:w="3190"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r>
              <w:rPr>
                <w:rFonts w:hint="eastAsia" w:ascii="宋体" w:hAnsi="宋体" w:eastAsia="宋体" w:cs="宋体"/>
                <w:b w:val="0"/>
                <w:bCs w:val="0"/>
                <w:color w:val="000000" w:themeColor="text1"/>
                <w:sz w:val="18"/>
                <w:szCs w:val="18"/>
                <w:vertAlign w:val="baseline"/>
                <w:lang w:val="en-US" w:eastAsia="zh-CN"/>
              </w:rPr>
              <w:t>≤500</w:t>
            </w:r>
          </w:p>
        </w:tc>
        <w:tc>
          <w:tcPr>
            <w:tcW w:w="3190"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r>
              <w:rPr>
                <w:rFonts w:hint="eastAsia" w:ascii="宋体" w:hAnsi="宋体" w:eastAsia="宋体" w:cs="宋体"/>
                <w:b w:val="0"/>
                <w:bCs w:val="0"/>
                <w:color w:val="FF0000"/>
                <w:sz w:val="18"/>
                <w:szCs w:val="18"/>
                <w:vertAlign w:val="baseline"/>
                <w:lang w:val="en-US" w:eastAsia="zh-CN"/>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190" w:type="dxa"/>
            <w:vMerge w:val="continue"/>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p>
        </w:tc>
        <w:tc>
          <w:tcPr>
            <w:tcW w:w="3190"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r>
              <w:rPr>
                <w:rFonts w:hint="eastAsia" w:ascii="宋体" w:hAnsi="宋体" w:eastAsia="宋体" w:cs="宋体"/>
                <w:b w:val="0"/>
                <w:bCs w:val="0"/>
                <w:color w:val="000000" w:themeColor="text1"/>
                <w:sz w:val="18"/>
                <w:szCs w:val="18"/>
                <w:vertAlign w:val="baseline"/>
                <w:lang w:val="en-US" w:eastAsia="zh-CN"/>
              </w:rPr>
              <w:t>&gt;500</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r>
              <w:rPr>
                <w:rFonts w:hint="eastAsia" w:ascii="宋体" w:hAnsi="宋体" w:eastAsia="宋体" w:cs="宋体"/>
                <w:b w:val="0"/>
                <w:bCs w:val="0"/>
                <w:color w:val="000000" w:themeColor="text1"/>
                <w:sz w:val="18"/>
                <w:szCs w:val="18"/>
                <w:vertAlign w:val="baseline"/>
                <w:lang w:val="en-US" w:eastAsia="zh-CN"/>
              </w:rPr>
              <w:t>≤800</w:t>
            </w:r>
          </w:p>
        </w:tc>
        <w:tc>
          <w:tcPr>
            <w:tcW w:w="319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r>
              <w:rPr>
                <w:rFonts w:hint="eastAsia" w:ascii="宋体" w:hAnsi="宋体" w:eastAsia="宋体" w:cs="宋体"/>
                <w:b w:val="0"/>
                <w:bCs w:val="0"/>
                <w:color w:val="FF0000"/>
                <w:sz w:val="18"/>
                <w:szCs w:val="18"/>
                <w:vertAlign w:val="baseline"/>
                <w:lang w:val="en-US" w:eastAsia="zh-CN"/>
              </w:rPr>
              <w:t>≤12.5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190" w:type="dxa"/>
            <w:vMerge w:val="continue"/>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p>
        </w:tc>
        <w:tc>
          <w:tcPr>
            <w:tcW w:w="3190"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r>
              <w:rPr>
                <w:rFonts w:hint="eastAsia" w:ascii="宋体" w:hAnsi="宋体" w:eastAsia="宋体" w:cs="宋体"/>
                <w:b w:val="0"/>
                <w:bCs w:val="0"/>
                <w:color w:val="000000" w:themeColor="text1"/>
                <w:sz w:val="18"/>
                <w:szCs w:val="18"/>
                <w:vertAlign w:val="baseline"/>
                <w:lang w:val="en-US" w:eastAsia="zh-CN"/>
              </w:rPr>
              <w:t>&gt;800</w:t>
            </w:r>
          </w:p>
        </w:tc>
        <w:tc>
          <w:tcPr>
            <w:tcW w:w="3190"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r>
              <w:rPr>
                <w:rFonts w:hint="eastAsia" w:ascii="宋体" w:hAnsi="宋体" w:eastAsia="宋体" w:cs="宋体"/>
                <w:b w:val="0"/>
                <w:bCs w:val="0"/>
                <w:color w:val="FF0000"/>
                <w:sz w:val="18"/>
                <w:szCs w:val="18"/>
                <w:vertAlign w:val="baseline"/>
                <w:lang w:val="en-US" w:eastAsia="zh-CN"/>
              </w:rPr>
              <w:t>≤11.7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70" w:type="dxa"/>
            <w:gridSpan w:val="3"/>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r>
              <w:rPr>
                <w:rFonts w:hint="eastAsia" w:ascii="宋体" w:hAnsi="宋体" w:eastAsia="宋体" w:cs="宋体"/>
                <w:b w:val="0"/>
                <w:bCs w:val="0"/>
                <w:color w:val="000000" w:themeColor="text1"/>
                <w:sz w:val="18"/>
                <w:szCs w:val="18"/>
                <w:vertAlign w:val="baseline"/>
                <w:lang w:val="en-US" w:eastAsia="zh-CN"/>
              </w:rPr>
              <w:t>注:表中 500 t/d,800 t/d 指熔窑设计日熔化玻璃液量(不包括全氧燃烧的玻璃熔窑)。</w:t>
            </w:r>
          </w:p>
        </w:tc>
      </w:tr>
    </w:tbl>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黑体" w:hAnsi="黑体" w:eastAsia="黑体" w:cs="黑体"/>
          <w:b w:val="0"/>
          <w:bCs w:val="0"/>
          <w:color w:val="000000" w:themeColor="text1"/>
          <w:sz w:val="21"/>
          <w:szCs w:val="21"/>
          <w:lang w:val="en-US" w:eastAsia="zh-CN"/>
        </w:rPr>
      </w:pPr>
      <w:r>
        <w:rPr>
          <w:rFonts w:hint="eastAsia" w:ascii="黑体" w:hAnsi="黑体" w:eastAsia="黑体" w:cs="黑体"/>
          <w:b w:val="0"/>
          <w:bCs w:val="0"/>
          <w:color w:val="000000" w:themeColor="text1"/>
          <w:sz w:val="21"/>
          <w:szCs w:val="21"/>
          <w:lang w:val="en-US" w:eastAsia="zh-CN"/>
        </w:rPr>
        <w:t>4.2.1 平板玻璃单位产品能耗限定值</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bCs/>
          <w:color w:val="000000" w:themeColor="text1"/>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r>
        <w:rPr>
          <w:rFonts w:hint="eastAsia" w:asciiTheme="minorEastAsia" w:hAnsiTheme="minorEastAsia" w:eastAsiaTheme="minorEastAsia" w:cstheme="minorEastAsia"/>
          <w:b/>
          <w:bCs/>
          <w:color w:val="000000" w:themeColor="text1"/>
          <w:sz w:val="21"/>
          <w:szCs w:val="21"/>
          <w:lang w:val="en-US" w:eastAsia="zh-CN"/>
        </w:rPr>
        <w:t xml:space="preserve">     </w:t>
      </w:r>
      <w:r>
        <w:rPr>
          <w:rFonts w:hint="eastAsia" w:asciiTheme="minorEastAsia" w:hAnsiTheme="minorEastAsia" w:eastAsiaTheme="minorEastAsia" w:cstheme="minorEastAsia"/>
          <w:b w:val="0"/>
          <w:bCs w:val="0"/>
          <w:color w:val="000000" w:themeColor="text1"/>
          <w:sz w:val="21"/>
          <w:szCs w:val="21"/>
          <w:lang w:val="en-US" w:eastAsia="zh-CN"/>
        </w:rPr>
        <w:t>现有平板玻璃生产企业的平板玻璃单位产品能耗限定值应不大于表 1中能耗限额等级的 3 级。</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黑体" w:hAnsi="黑体" w:eastAsia="黑体" w:cs="黑体"/>
          <w:b w:val="0"/>
          <w:bCs w:val="0"/>
          <w:color w:val="000000" w:themeColor="text1"/>
          <w:sz w:val="21"/>
          <w:szCs w:val="21"/>
          <w:lang w:val="en-US" w:eastAsia="zh-CN"/>
        </w:rPr>
      </w:pPr>
      <w:r>
        <w:rPr>
          <w:rFonts w:hint="eastAsia" w:ascii="黑体" w:hAnsi="黑体" w:eastAsia="黑体" w:cs="黑体"/>
          <w:b w:val="0"/>
          <w:bCs w:val="0"/>
          <w:color w:val="000000" w:themeColor="text1"/>
          <w:sz w:val="21"/>
          <w:szCs w:val="21"/>
          <w:lang w:val="en-US" w:eastAsia="zh-CN"/>
        </w:rPr>
        <w:t>4.2.2 平板玻璃单位产品能耗准入值</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bCs/>
          <w:color w:val="000000" w:themeColor="text1"/>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r>
        <w:rPr>
          <w:rFonts w:hint="eastAsia" w:asciiTheme="minorEastAsia" w:hAnsiTheme="minorEastAsia" w:eastAsiaTheme="minorEastAsia" w:cstheme="minorEastAsia"/>
          <w:b w:val="0"/>
          <w:bCs w:val="0"/>
          <w:color w:val="000000" w:themeColor="text1"/>
          <w:sz w:val="21"/>
          <w:szCs w:val="21"/>
          <w:lang w:val="en-US" w:eastAsia="zh-CN"/>
        </w:rPr>
        <w:t>新建或改扩建平板玻璃生产企业的平板玻璃单位产品能耗限定值应不大于表1中能耗限额等级的2级。</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黑体" w:hAnsi="黑体" w:eastAsia="黑体" w:cs="黑体"/>
          <w:b w:val="0"/>
          <w:bCs w:val="0"/>
          <w:color w:val="000000" w:themeColor="text1"/>
          <w:sz w:val="21"/>
          <w:szCs w:val="21"/>
          <w:lang w:val="en-US" w:eastAsia="zh-CN"/>
        </w:rPr>
      </w:pPr>
      <w:r>
        <w:rPr>
          <w:rFonts w:hint="eastAsia" w:ascii="黑体" w:hAnsi="黑体" w:eastAsia="黑体" w:cs="黑体"/>
          <w:b w:val="0"/>
          <w:bCs w:val="0"/>
          <w:color w:val="000000" w:themeColor="text1"/>
          <w:sz w:val="21"/>
          <w:szCs w:val="21"/>
          <w:lang w:val="en-US" w:eastAsia="zh-CN"/>
        </w:rPr>
        <w:t>5  统计范围和计算方法</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黑体" w:hAnsi="黑体" w:eastAsia="黑体" w:cs="黑体"/>
          <w:b w:val="0"/>
          <w:bCs w:val="0"/>
          <w:color w:val="000000" w:themeColor="text1"/>
          <w:sz w:val="21"/>
          <w:szCs w:val="21"/>
          <w:lang w:val="en-US" w:eastAsia="zh-CN"/>
        </w:rPr>
      </w:pPr>
      <w:r>
        <w:rPr>
          <w:rFonts w:hint="eastAsia" w:ascii="黑体" w:hAnsi="黑体" w:eastAsia="黑体" w:cs="黑体"/>
          <w:b w:val="0"/>
          <w:bCs w:val="0"/>
          <w:color w:val="000000" w:themeColor="text1"/>
          <w:sz w:val="21"/>
          <w:szCs w:val="21"/>
          <w:lang w:val="en-US" w:eastAsia="zh-CN"/>
        </w:rPr>
        <w:t>5.1  统计范围</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黑体" w:hAnsi="黑体" w:eastAsia="黑体" w:cs="黑体"/>
          <w:b w:val="0"/>
          <w:bCs w:val="0"/>
          <w:color w:val="000000" w:themeColor="text1"/>
          <w:sz w:val="21"/>
          <w:szCs w:val="21"/>
          <w:lang w:val="en-US" w:eastAsia="zh-CN"/>
        </w:rPr>
      </w:pPr>
      <w:r>
        <w:rPr>
          <w:rFonts w:hint="eastAsia" w:ascii="黑体" w:hAnsi="黑体" w:eastAsia="黑体" w:cs="黑体"/>
          <w:b w:val="0"/>
          <w:bCs w:val="0"/>
          <w:color w:val="000000" w:themeColor="text1"/>
          <w:sz w:val="21"/>
          <w:szCs w:val="21"/>
          <w:lang w:val="en-US" w:eastAsia="zh-CN"/>
        </w:rPr>
        <w:t>5.1.1 综合能耗的统计范围</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bCs/>
          <w:color w:val="000000" w:themeColor="text1"/>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r>
        <w:rPr>
          <w:rFonts w:hint="eastAsia" w:asciiTheme="minorEastAsia" w:hAnsiTheme="minorEastAsia" w:eastAsiaTheme="minorEastAsia" w:cstheme="minorEastAsia"/>
          <w:b w:val="0"/>
          <w:bCs w:val="0"/>
          <w:color w:val="000000" w:themeColor="text1"/>
          <w:sz w:val="21"/>
          <w:szCs w:val="21"/>
          <w:lang w:val="en-US" w:eastAsia="zh-CN"/>
        </w:rPr>
        <w:t>综合能耗包括:动力、氮氢站、原料、熔化、成型、退火、切裁和成品包装等生产工序所消耗的能以及为生产服务的厂内运输工具、机修、照明等辅助生产所消耗的能源。</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r>
        <w:rPr>
          <w:rFonts w:hint="eastAsia" w:asciiTheme="minorEastAsia" w:hAnsiTheme="minorEastAsia" w:eastAsiaTheme="minorEastAsia" w:cstheme="minorEastAsia"/>
          <w:b w:val="0"/>
          <w:bCs w:val="0"/>
          <w:color w:val="000000" w:themeColor="text1"/>
          <w:sz w:val="21"/>
          <w:szCs w:val="21"/>
          <w:lang w:val="en-US" w:eastAsia="zh-CN"/>
        </w:rPr>
        <w:t>不包括冷修(放水至出玻璃期间)、采暖、食堂、宿舍、燃料保管、运输损失、基建等消耗的能源，以及生产界区内回收利用和输出的能源量。</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黑体" w:hAnsi="黑体" w:eastAsia="黑体" w:cs="黑体"/>
          <w:b w:val="0"/>
          <w:bCs w:val="0"/>
          <w:color w:val="000000" w:themeColor="text1"/>
          <w:sz w:val="21"/>
          <w:szCs w:val="21"/>
          <w:lang w:val="en-US" w:eastAsia="zh-CN"/>
        </w:rPr>
      </w:pPr>
      <w:r>
        <w:rPr>
          <w:rFonts w:hint="eastAsia" w:ascii="黑体" w:hAnsi="黑体" w:eastAsia="黑体" w:cs="黑体"/>
          <w:b w:val="0"/>
          <w:bCs w:val="0"/>
          <w:color w:val="000000" w:themeColor="text1"/>
          <w:sz w:val="21"/>
          <w:szCs w:val="21"/>
          <w:lang w:val="en-US" w:eastAsia="zh-CN"/>
        </w:rPr>
        <w:t>5.1.2平板玻璃产量</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r>
        <w:rPr>
          <w:rFonts w:hint="eastAsia" w:asciiTheme="minorEastAsia" w:hAnsiTheme="minorEastAsia" w:eastAsiaTheme="minorEastAsia" w:cstheme="minorEastAsia"/>
          <w:b w:val="0"/>
          <w:bCs w:val="0"/>
          <w:color w:val="000000" w:themeColor="text1"/>
          <w:sz w:val="21"/>
          <w:szCs w:val="21"/>
          <w:lang w:val="en-US" w:eastAsia="zh-CN"/>
        </w:rPr>
        <w:t>统计期内企业按GB 11614的要求生产的合格产品的总产量(单位为重量箱)。</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黑体" w:hAnsi="黑体" w:eastAsia="黑体" w:cs="黑体"/>
          <w:b w:val="0"/>
          <w:bCs w:val="0"/>
          <w:color w:val="000000" w:themeColor="text1"/>
          <w:sz w:val="21"/>
          <w:szCs w:val="21"/>
          <w:lang w:val="en-US" w:eastAsia="zh-CN"/>
        </w:rPr>
      </w:pPr>
      <w:r>
        <w:rPr>
          <w:rFonts w:hint="eastAsia" w:ascii="黑体" w:hAnsi="黑体" w:eastAsia="黑体" w:cs="黑体"/>
          <w:b w:val="0"/>
          <w:bCs w:val="0"/>
          <w:color w:val="000000" w:themeColor="text1"/>
          <w:sz w:val="21"/>
          <w:szCs w:val="21"/>
          <w:lang w:val="en-US" w:eastAsia="zh-CN"/>
        </w:rPr>
        <w:t>5.1.3企业有多座平板玻璃熔窑时单位产品综合能耗的统计和计算</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r>
        <w:rPr>
          <w:rFonts w:hint="eastAsia" w:asciiTheme="minorEastAsia" w:hAnsiTheme="minorEastAsia" w:eastAsiaTheme="minorEastAsia" w:cstheme="minorEastAsia"/>
          <w:b w:val="0"/>
          <w:bCs w:val="0"/>
          <w:color w:val="000000" w:themeColor="text1"/>
          <w:sz w:val="21"/>
          <w:szCs w:val="21"/>
          <w:lang w:val="en-US" w:eastAsia="zh-CN"/>
        </w:rPr>
        <w:t>企业有多座平板玻璃熔窑时，应分别计量核算每座平板玻璃窑单位综合能耗，对公用部分的能耗按产量比例分摊。</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黑体" w:hAnsi="黑体" w:eastAsia="黑体" w:cs="黑体"/>
          <w:b w:val="0"/>
          <w:bCs w:val="0"/>
          <w:color w:val="000000" w:themeColor="text1"/>
          <w:sz w:val="21"/>
          <w:szCs w:val="21"/>
          <w:lang w:val="en-US" w:eastAsia="zh-CN"/>
        </w:rPr>
      </w:pPr>
      <w:r>
        <w:rPr>
          <w:rFonts w:hint="eastAsia" w:ascii="黑体" w:hAnsi="黑体" w:eastAsia="黑体" w:cs="黑体"/>
          <w:b w:val="0"/>
          <w:bCs w:val="0"/>
          <w:color w:val="000000" w:themeColor="text1"/>
          <w:sz w:val="21"/>
          <w:szCs w:val="21"/>
          <w:lang w:val="en-US" w:eastAsia="zh-CN"/>
        </w:rPr>
        <w:t>5.1.4企业生产多种产品时能耗的统计和计算</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r>
        <w:rPr>
          <w:rFonts w:hint="eastAsia" w:asciiTheme="minorEastAsia" w:hAnsiTheme="minorEastAsia" w:eastAsiaTheme="minorEastAsia" w:cstheme="minorEastAsia"/>
          <w:b w:val="0"/>
          <w:bCs w:val="0"/>
          <w:color w:val="000000" w:themeColor="text1"/>
          <w:sz w:val="21"/>
          <w:szCs w:val="21"/>
          <w:lang w:val="en-US" w:eastAsia="zh-CN"/>
        </w:rPr>
        <w:t>企业除平板玻璃外还生产其他产品时，各种能源应分开计量，对确属无法分开计量的公用能耗，如厂区照明或各类综合库房等按产品产值比例分摊。</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黑体" w:hAnsi="黑体" w:eastAsia="黑体" w:cs="黑体"/>
          <w:b w:val="0"/>
          <w:bCs w:val="0"/>
          <w:color w:val="000000" w:themeColor="text1"/>
          <w:sz w:val="21"/>
          <w:szCs w:val="21"/>
          <w:lang w:val="en-US" w:eastAsia="zh-CN"/>
        </w:rPr>
      </w:pPr>
      <w:r>
        <w:rPr>
          <w:rFonts w:hint="eastAsia" w:ascii="黑体" w:hAnsi="黑体" w:eastAsia="黑体" w:cs="黑体"/>
          <w:b w:val="0"/>
          <w:bCs w:val="0"/>
          <w:color w:val="000000" w:themeColor="text1"/>
          <w:sz w:val="21"/>
          <w:szCs w:val="21"/>
          <w:lang w:val="en-US" w:eastAsia="zh-CN"/>
        </w:rPr>
        <w:t>5.2 计算方法</w:t>
      </w: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黑体" w:hAnsi="黑体" w:eastAsia="黑体" w:cs="黑体"/>
          <w:b w:val="0"/>
          <w:bCs w:val="0"/>
          <w:color w:val="000000" w:themeColor="text1"/>
          <w:sz w:val="21"/>
          <w:szCs w:val="21"/>
          <w:lang w:val="en-US" w:eastAsia="zh-CN"/>
        </w:rPr>
      </w:pPr>
      <w:r>
        <w:rPr>
          <w:rFonts w:hint="eastAsia" w:ascii="黑体" w:hAnsi="黑体" w:eastAsia="黑体" w:cs="黑体"/>
          <w:b w:val="0"/>
          <w:bCs w:val="0"/>
          <w:color w:val="000000" w:themeColor="text1"/>
          <w:sz w:val="21"/>
          <w:szCs w:val="21"/>
          <w:lang w:val="en-US" w:eastAsia="zh-CN"/>
        </w:rPr>
        <w:t>5.2.1 产品综合能耗的计算</w:t>
      </w: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jc w:val="both"/>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r>
        <w:rPr>
          <w:rFonts w:hint="eastAsia" w:asciiTheme="minorEastAsia" w:hAnsiTheme="minorEastAsia" w:eastAsiaTheme="minorEastAsia" w:cstheme="minorEastAsia"/>
          <w:b w:val="0"/>
          <w:bCs w:val="0"/>
          <w:color w:val="000000" w:themeColor="text1"/>
          <w:sz w:val="21"/>
          <w:szCs w:val="21"/>
          <w:lang w:val="en-US" w:eastAsia="zh-CN"/>
        </w:rPr>
        <w:t>应符合GB/T 2589的规定。</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黑体" w:hAnsi="黑体" w:eastAsia="黑体" w:cs="黑体"/>
          <w:b w:val="0"/>
          <w:bCs w:val="0"/>
          <w:color w:val="000000" w:themeColor="text1"/>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黑体" w:hAnsi="黑体" w:eastAsia="黑体" w:cs="黑体"/>
          <w:b w:val="0"/>
          <w:bCs w:val="0"/>
          <w:color w:val="000000" w:themeColor="text1"/>
          <w:sz w:val="21"/>
          <w:szCs w:val="21"/>
          <w:lang w:val="en-US" w:eastAsia="zh-CN"/>
        </w:rPr>
      </w:pPr>
      <w:r>
        <w:rPr>
          <w:rFonts w:hint="eastAsia" w:ascii="黑体" w:hAnsi="黑体" w:eastAsia="黑体" w:cs="黑体"/>
          <w:b w:val="0"/>
          <w:bCs w:val="0"/>
          <w:color w:val="000000" w:themeColor="text1"/>
          <w:sz w:val="21"/>
          <w:szCs w:val="21"/>
          <w:lang w:val="en-US" w:eastAsia="zh-CN"/>
        </w:rPr>
        <w:t>5.2.2 能源折标准煤系数及燃料热值选取</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both"/>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both"/>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r>
        <w:rPr>
          <w:rFonts w:hint="eastAsia" w:asciiTheme="minorEastAsia" w:hAnsiTheme="minorEastAsia" w:eastAsiaTheme="minorEastAsia" w:cstheme="minorEastAsia"/>
          <w:b w:val="0"/>
          <w:bCs w:val="0"/>
          <w:color w:val="000000" w:themeColor="text1"/>
          <w:sz w:val="21"/>
          <w:szCs w:val="21"/>
          <w:lang w:val="en-US" w:eastAsia="zh-CN"/>
        </w:rPr>
        <w:t>各种能源按折标准煤系数折算成标准煤。燃料的热值应取统计期内的实测加权平均值或根据燃料分析加权平均值进行计算。</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both"/>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黑体" w:hAnsi="黑体" w:eastAsia="黑体" w:cs="黑体"/>
          <w:b w:val="0"/>
          <w:bCs w:val="0"/>
          <w:color w:val="000000" w:themeColor="text1"/>
          <w:sz w:val="21"/>
          <w:szCs w:val="21"/>
          <w:lang w:val="en-US" w:eastAsia="zh-CN"/>
        </w:rPr>
      </w:pPr>
      <w:r>
        <w:rPr>
          <w:rFonts w:hint="eastAsia" w:ascii="黑体" w:hAnsi="黑体" w:eastAsia="黑体" w:cs="黑体"/>
          <w:b w:val="0"/>
          <w:bCs w:val="0"/>
          <w:color w:val="000000" w:themeColor="text1"/>
          <w:sz w:val="21"/>
          <w:szCs w:val="21"/>
          <w:lang w:val="en-US" w:eastAsia="zh-CN"/>
        </w:rPr>
        <w:t>5.2.3 窑龄系数</w:t>
      </w: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Theme="minorEastAsia" w:hAnsiTheme="minorEastAsia" w:eastAsiaTheme="minorEastAsia" w:cstheme="minorEastAsia"/>
          <w:b/>
          <w:bCs/>
          <w:color w:val="000000" w:themeColor="text1"/>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both"/>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r>
        <w:rPr>
          <w:rFonts w:hint="eastAsia" w:asciiTheme="minorEastAsia" w:hAnsiTheme="minorEastAsia" w:eastAsiaTheme="minorEastAsia" w:cstheme="minorEastAsia"/>
          <w:b w:val="0"/>
          <w:bCs w:val="0"/>
          <w:color w:val="000000" w:themeColor="text1"/>
          <w:sz w:val="21"/>
          <w:szCs w:val="21"/>
          <w:lang w:val="en-US" w:eastAsia="zh-CN"/>
        </w:rPr>
        <w:t>对应玻璃熔窑不同作业期的能耗修正系数见表2。</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both"/>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center"/>
        <w:textAlignment w:val="auto"/>
        <w:outlineLvl w:val="9"/>
        <w:rPr>
          <w:rFonts w:hint="eastAsia" w:ascii="黑体" w:hAnsi="黑体" w:eastAsia="黑体" w:cs="黑体"/>
          <w:b w:val="0"/>
          <w:bCs w:val="0"/>
          <w:color w:val="000000" w:themeColor="text1"/>
          <w:sz w:val="21"/>
          <w:szCs w:val="21"/>
          <w:lang w:val="en-US" w:eastAsia="zh-CN"/>
        </w:rPr>
      </w:pPr>
      <w:r>
        <w:rPr>
          <w:rFonts w:hint="eastAsia" w:ascii="黑体" w:hAnsi="黑体" w:eastAsia="黑体" w:cs="黑体"/>
          <w:b w:val="0"/>
          <w:bCs w:val="0"/>
          <w:color w:val="000000" w:themeColor="text1"/>
          <w:sz w:val="21"/>
          <w:szCs w:val="21"/>
          <w:lang w:val="en-US" w:eastAsia="zh-CN"/>
        </w:rPr>
        <w:t>表2  窑龄系数</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center"/>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p>
    <w:tbl>
      <w:tblPr>
        <w:tblStyle w:val="37"/>
        <w:tblW w:w="95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85"/>
        <w:gridCol w:w="4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5"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r>
              <w:rPr>
                <w:rFonts w:hint="eastAsia" w:ascii="宋体" w:hAnsi="宋体" w:eastAsia="宋体" w:cs="宋体"/>
                <w:b w:val="0"/>
                <w:bCs w:val="0"/>
                <w:color w:val="000000" w:themeColor="text1"/>
                <w:sz w:val="18"/>
                <w:szCs w:val="18"/>
                <w:vertAlign w:val="baseline"/>
                <w:lang w:val="en-US" w:eastAsia="zh-CN"/>
              </w:rPr>
              <w:t>窑期划分/年</w:t>
            </w:r>
          </w:p>
        </w:tc>
        <w:tc>
          <w:tcPr>
            <w:tcW w:w="4785"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r>
              <w:rPr>
                <w:rFonts w:hint="eastAsia" w:ascii="宋体" w:hAnsi="宋体" w:eastAsia="宋体" w:cs="宋体"/>
                <w:b w:val="0"/>
                <w:bCs w:val="0"/>
                <w:color w:val="000000" w:themeColor="text1"/>
                <w:sz w:val="18"/>
                <w:szCs w:val="18"/>
                <w:vertAlign w:val="baseline"/>
                <w:lang w:val="en-US" w:eastAsia="zh-CN"/>
              </w:rPr>
              <w:t>窑龄系数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5"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r>
              <w:rPr>
                <w:rFonts w:hint="eastAsia" w:ascii="宋体" w:hAnsi="宋体" w:eastAsia="宋体" w:cs="宋体"/>
                <w:b w:val="0"/>
                <w:bCs w:val="0"/>
                <w:color w:val="000000" w:themeColor="text1"/>
                <w:sz w:val="18"/>
                <w:szCs w:val="18"/>
                <w:vertAlign w:val="baseline"/>
                <w:lang w:val="en-US" w:eastAsia="zh-CN"/>
              </w:rPr>
              <w:t>设计窑龄的前1/3</w:t>
            </w:r>
          </w:p>
        </w:tc>
        <w:tc>
          <w:tcPr>
            <w:tcW w:w="4785"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r>
              <w:rPr>
                <w:rFonts w:hint="eastAsia" w:ascii="宋体" w:hAnsi="宋体" w:eastAsia="宋体" w:cs="宋体"/>
                <w:b w:val="0"/>
                <w:bCs w:val="0"/>
                <w:color w:val="000000" w:themeColor="text1"/>
                <w:sz w:val="18"/>
                <w:szCs w:val="18"/>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5"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r>
              <w:rPr>
                <w:rFonts w:hint="eastAsia" w:ascii="宋体" w:hAnsi="宋体" w:eastAsia="宋体" w:cs="宋体"/>
                <w:b w:val="0"/>
                <w:bCs w:val="0"/>
                <w:color w:val="000000" w:themeColor="text1"/>
                <w:sz w:val="18"/>
                <w:szCs w:val="18"/>
                <w:vertAlign w:val="baseline"/>
                <w:lang w:val="en-US" w:eastAsia="zh-CN"/>
              </w:rPr>
              <w:t>设计窑龄的1/3后~2/3前</w:t>
            </w:r>
          </w:p>
        </w:tc>
        <w:tc>
          <w:tcPr>
            <w:tcW w:w="4785"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r>
              <w:rPr>
                <w:rFonts w:hint="eastAsia" w:ascii="宋体" w:hAnsi="宋体" w:eastAsia="宋体" w:cs="宋体"/>
                <w:b w:val="0"/>
                <w:bCs w:val="0"/>
                <w:color w:val="000000" w:themeColor="text1"/>
                <w:sz w:val="18"/>
                <w:szCs w:val="18"/>
                <w:vertAlign w:val="baseline"/>
                <w:lang w:val="en-US" w:eastAsia="zh-CN"/>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5"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r>
              <w:rPr>
                <w:rFonts w:hint="eastAsia" w:ascii="宋体" w:hAnsi="宋体" w:eastAsia="宋体" w:cs="宋体"/>
                <w:b w:val="0"/>
                <w:bCs w:val="0"/>
                <w:color w:val="000000" w:themeColor="text1"/>
                <w:sz w:val="18"/>
                <w:szCs w:val="18"/>
                <w:vertAlign w:val="baseline"/>
                <w:lang w:val="en-US" w:eastAsia="zh-CN"/>
              </w:rPr>
              <w:t>设计窑龄的2/3以后</w:t>
            </w:r>
          </w:p>
        </w:tc>
        <w:tc>
          <w:tcPr>
            <w:tcW w:w="4785"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r>
              <w:rPr>
                <w:rFonts w:hint="eastAsia" w:ascii="宋体" w:hAnsi="宋体" w:eastAsia="宋体" w:cs="宋体"/>
                <w:b w:val="0"/>
                <w:bCs w:val="0"/>
                <w:color w:val="000000" w:themeColor="text1"/>
                <w:sz w:val="18"/>
                <w:szCs w:val="18"/>
                <w:vertAlign w:val="baseline"/>
                <w:lang w:val="en-US" w:eastAsia="zh-CN"/>
              </w:rPr>
              <w:t>1.12</w:t>
            </w:r>
          </w:p>
        </w:tc>
      </w:tr>
    </w:tbl>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黑体" w:hAnsi="黑体" w:eastAsia="黑体" w:cs="黑体"/>
          <w:b w:val="0"/>
          <w:bCs w:val="0"/>
          <w:color w:val="000000" w:themeColor="text1"/>
          <w:sz w:val="21"/>
          <w:szCs w:val="21"/>
          <w:lang w:val="en-US" w:eastAsia="zh-CN"/>
        </w:rPr>
      </w:pPr>
      <w:r>
        <w:rPr>
          <w:rFonts w:hint="eastAsia" w:ascii="黑体" w:hAnsi="黑体" w:eastAsia="黑体" w:cs="黑体"/>
          <w:b w:val="0"/>
          <w:bCs w:val="0"/>
          <w:color w:val="000000" w:themeColor="text1"/>
          <w:sz w:val="21"/>
          <w:szCs w:val="21"/>
          <w:lang w:val="en-US" w:eastAsia="zh-CN"/>
        </w:rPr>
        <w:t>5.2.4 燃料等效应系数</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both"/>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both"/>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r>
        <w:rPr>
          <w:rFonts w:hint="eastAsia" w:asciiTheme="minorEastAsia" w:hAnsiTheme="minorEastAsia" w:eastAsiaTheme="minorEastAsia" w:cstheme="minorEastAsia"/>
          <w:b w:val="0"/>
          <w:bCs w:val="0"/>
          <w:color w:val="000000" w:themeColor="text1"/>
          <w:sz w:val="21"/>
          <w:szCs w:val="21"/>
          <w:lang w:val="en-US" w:eastAsia="zh-CN"/>
        </w:rPr>
        <w:t>反映燃料的热能利用效率，以燃料油为基准的燃料等效应系数见表3。</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center"/>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center"/>
        <w:textAlignment w:val="auto"/>
        <w:outlineLvl w:val="9"/>
        <w:rPr>
          <w:rFonts w:hint="eastAsia" w:ascii="黑体" w:hAnsi="黑体" w:eastAsia="黑体" w:cs="黑体"/>
          <w:b w:val="0"/>
          <w:bCs w:val="0"/>
          <w:color w:val="000000" w:themeColor="text1"/>
          <w:sz w:val="21"/>
          <w:szCs w:val="21"/>
          <w:lang w:val="en-US" w:eastAsia="zh-CN"/>
        </w:rPr>
      </w:pPr>
      <w:r>
        <w:rPr>
          <w:rFonts w:hint="eastAsia" w:ascii="黑体" w:hAnsi="黑体" w:eastAsia="黑体" w:cs="黑体"/>
          <w:b w:val="0"/>
          <w:bCs w:val="0"/>
          <w:color w:val="000000" w:themeColor="text1"/>
          <w:sz w:val="21"/>
          <w:szCs w:val="21"/>
          <w:lang w:val="en-US" w:eastAsia="zh-CN"/>
        </w:rPr>
        <w:t>表3  燃料等效应系数</w:t>
      </w: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p>
    <w:tbl>
      <w:tblPr>
        <w:tblStyle w:val="37"/>
        <w:tblW w:w="95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85"/>
        <w:gridCol w:w="4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5"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r>
              <w:rPr>
                <w:rFonts w:hint="eastAsia" w:ascii="宋体" w:hAnsi="宋体" w:eastAsia="宋体" w:cs="宋体"/>
                <w:b w:val="0"/>
                <w:bCs w:val="0"/>
                <w:color w:val="000000" w:themeColor="text1"/>
                <w:sz w:val="18"/>
                <w:szCs w:val="18"/>
                <w:vertAlign w:val="baseline"/>
                <w:lang w:val="en-US" w:eastAsia="zh-CN"/>
              </w:rPr>
              <w:t>燃料</w:t>
            </w:r>
          </w:p>
        </w:tc>
        <w:tc>
          <w:tcPr>
            <w:tcW w:w="4785" w:type="dxa"/>
          </w:tcPr>
          <w:p>
            <w:pPr>
              <w:keepNext w:val="0"/>
              <w:keepLines w:val="0"/>
              <w:pageBreakBefore w:val="0"/>
              <w:widowControl w:val="0"/>
              <w:kinsoku/>
              <w:wordWrap/>
              <w:overflowPunct/>
              <w:topLinePunct w:val="0"/>
              <w:autoSpaceDE/>
              <w:autoSpaceDN/>
              <w:bidi w:val="0"/>
              <w:adjustRightInd/>
              <w:snapToGrid/>
              <w:spacing w:line="240" w:lineRule="auto"/>
              <w:ind w:right="0" w:rightChars="0" w:firstLine="360" w:firstLineChars="20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r>
              <w:rPr>
                <w:rFonts w:hint="eastAsia" w:ascii="宋体" w:hAnsi="宋体" w:eastAsia="宋体" w:cs="宋体"/>
                <w:b w:val="0"/>
                <w:bCs w:val="0"/>
                <w:color w:val="000000" w:themeColor="text1"/>
                <w:sz w:val="18"/>
                <w:szCs w:val="18"/>
                <w:lang w:val="en-US" w:eastAsia="zh-CN"/>
              </w:rPr>
              <w:t>等效应系数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5"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r>
              <w:rPr>
                <w:rFonts w:hint="eastAsia" w:ascii="宋体" w:hAnsi="宋体" w:eastAsia="宋体" w:cs="宋体"/>
                <w:b w:val="0"/>
                <w:bCs w:val="0"/>
                <w:color w:val="000000" w:themeColor="text1"/>
                <w:sz w:val="18"/>
                <w:szCs w:val="18"/>
                <w:vertAlign w:val="baseline"/>
                <w:lang w:val="en-US" w:eastAsia="zh-CN"/>
              </w:rPr>
              <w:t>燃料油</w:t>
            </w:r>
          </w:p>
        </w:tc>
        <w:tc>
          <w:tcPr>
            <w:tcW w:w="4785"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r>
              <w:rPr>
                <w:rFonts w:hint="eastAsia" w:ascii="宋体" w:hAnsi="宋体" w:eastAsia="宋体" w:cs="宋体"/>
                <w:b w:val="0"/>
                <w:bCs w:val="0"/>
                <w:color w:val="000000" w:themeColor="text1"/>
                <w:sz w:val="18"/>
                <w:szCs w:val="18"/>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5"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r>
              <w:rPr>
                <w:rFonts w:hint="eastAsia" w:ascii="宋体" w:hAnsi="宋体" w:eastAsia="宋体" w:cs="宋体"/>
                <w:b w:val="0"/>
                <w:bCs w:val="0"/>
                <w:color w:val="000000" w:themeColor="text1"/>
                <w:sz w:val="18"/>
                <w:szCs w:val="18"/>
                <w:vertAlign w:val="baseline"/>
                <w:lang w:val="en-US" w:eastAsia="zh-CN"/>
              </w:rPr>
              <w:t>天然气</w:t>
            </w:r>
          </w:p>
        </w:tc>
        <w:tc>
          <w:tcPr>
            <w:tcW w:w="4785"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r>
              <w:rPr>
                <w:rFonts w:hint="eastAsia" w:ascii="宋体" w:hAnsi="宋体" w:eastAsia="宋体" w:cs="宋体"/>
                <w:b w:val="0"/>
                <w:bCs w:val="0"/>
                <w:color w:val="000000" w:themeColor="text1"/>
                <w:sz w:val="18"/>
                <w:szCs w:val="18"/>
                <w:vertAlign w:val="baseline"/>
                <w:lang w:val="en-US" w:eastAsia="zh-CN"/>
              </w:rPr>
              <w:t>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5"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r>
              <w:rPr>
                <w:rFonts w:hint="eastAsia" w:ascii="宋体" w:hAnsi="宋体" w:eastAsia="宋体" w:cs="宋体"/>
                <w:b w:val="0"/>
                <w:bCs w:val="0"/>
                <w:color w:val="000000" w:themeColor="text1"/>
                <w:sz w:val="18"/>
                <w:szCs w:val="18"/>
                <w:vertAlign w:val="baseline"/>
                <w:lang w:val="en-US" w:eastAsia="zh-CN"/>
              </w:rPr>
              <w:t>焦炉煤气</w:t>
            </w:r>
          </w:p>
        </w:tc>
        <w:tc>
          <w:tcPr>
            <w:tcW w:w="4785"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r>
              <w:rPr>
                <w:rFonts w:hint="eastAsia" w:ascii="宋体" w:hAnsi="宋体" w:eastAsia="宋体" w:cs="宋体"/>
                <w:b w:val="0"/>
                <w:bCs w:val="0"/>
                <w:color w:val="000000" w:themeColor="text1"/>
                <w:sz w:val="18"/>
                <w:szCs w:val="18"/>
                <w:vertAlign w:val="baseline"/>
                <w:lang w:val="en-US" w:eastAsia="zh-CN"/>
              </w:rPr>
              <w:t>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5"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r>
              <w:rPr>
                <w:rFonts w:hint="eastAsia" w:ascii="宋体" w:hAnsi="宋体" w:eastAsia="宋体" w:cs="宋体"/>
                <w:b w:val="0"/>
                <w:bCs w:val="0"/>
                <w:color w:val="000000" w:themeColor="text1"/>
                <w:sz w:val="18"/>
                <w:szCs w:val="18"/>
                <w:vertAlign w:val="baseline"/>
                <w:lang w:val="en-US" w:eastAsia="zh-CN"/>
              </w:rPr>
              <w:t>发生炉煤气（热）</w:t>
            </w:r>
          </w:p>
        </w:tc>
        <w:tc>
          <w:tcPr>
            <w:tcW w:w="4785"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r>
              <w:rPr>
                <w:rFonts w:hint="eastAsia" w:ascii="宋体" w:hAnsi="宋体" w:eastAsia="宋体" w:cs="宋体"/>
                <w:b w:val="0"/>
                <w:bCs w:val="0"/>
                <w:color w:val="000000" w:themeColor="text1"/>
                <w:sz w:val="18"/>
                <w:szCs w:val="18"/>
                <w:vertAlign w:val="baseline"/>
                <w:lang w:val="en-US" w:eastAsia="zh-CN"/>
              </w:rPr>
              <w:t>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5"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r>
              <w:rPr>
                <w:rFonts w:hint="eastAsia" w:ascii="宋体" w:hAnsi="宋体" w:eastAsia="宋体" w:cs="宋体"/>
                <w:b w:val="0"/>
                <w:bCs w:val="0"/>
                <w:color w:val="000000" w:themeColor="text1"/>
                <w:sz w:val="18"/>
                <w:szCs w:val="18"/>
                <w:vertAlign w:val="baseline"/>
                <w:lang w:val="en-US" w:eastAsia="zh-CN"/>
              </w:rPr>
              <w:t>石油焦</w:t>
            </w:r>
          </w:p>
        </w:tc>
        <w:tc>
          <w:tcPr>
            <w:tcW w:w="4785"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宋体" w:hAnsi="宋体" w:eastAsia="宋体" w:cs="宋体"/>
                <w:b w:val="0"/>
                <w:bCs w:val="0"/>
                <w:color w:val="000000" w:themeColor="text1"/>
                <w:sz w:val="18"/>
                <w:szCs w:val="18"/>
                <w:vertAlign w:val="baseline"/>
                <w:lang w:val="en-US" w:eastAsia="zh-CN"/>
              </w:rPr>
            </w:pPr>
            <w:r>
              <w:rPr>
                <w:rFonts w:hint="eastAsia" w:ascii="宋体" w:hAnsi="宋体" w:eastAsia="宋体" w:cs="宋体"/>
                <w:b w:val="0"/>
                <w:bCs w:val="0"/>
                <w:color w:val="000000" w:themeColor="text1"/>
                <w:sz w:val="18"/>
                <w:szCs w:val="18"/>
                <w:vertAlign w:val="baseline"/>
                <w:lang w:val="en-US" w:eastAsia="zh-CN"/>
              </w:rPr>
              <w:t>1.00</w:t>
            </w:r>
          </w:p>
        </w:tc>
      </w:tr>
    </w:tbl>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center"/>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黑体" w:hAnsi="黑体" w:eastAsia="黑体" w:cs="黑体"/>
          <w:b w:val="0"/>
          <w:bCs w:val="0"/>
          <w:color w:val="000000" w:themeColor="text1"/>
          <w:sz w:val="21"/>
          <w:szCs w:val="21"/>
          <w:lang w:val="en-US" w:eastAsia="zh-CN"/>
        </w:rPr>
      </w:pPr>
      <w:r>
        <w:rPr>
          <w:rFonts w:hint="eastAsia" w:ascii="黑体" w:hAnsi="黑体" w:eastAsia="黑体" w:cs="黑体"/>
          <w:b w:val="0"/>
          <w:bCs w:val="0"/>
          <w:color w:val="000000" w:themeColor="text1"/>
          <w:sz w:val="21"/>
          <w:szCs w:val="21"/>
          <w:lang w:val="en-US" w:eastAsia="zh-CN"/>
        </w:rPr>
        <w:t>5.2.5 平板玻璃综合能耗计算公式</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bCs/>
          <w:color w:val="000000" w:themeColor="text1"/>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r>
        <w:rPr>
          <w:rFonts w:hint="eastAsia" w:asciiTheme="minorEastAsia" w:hAnsiTheme="minorEastAsia" w:eastAsiaTheme="minorEastAsia" w:cstheme="minorEastAsia"/>
          <w:b w:val="0"/>
          <w:bCs w:val="0"/>
          <w:color w:val="000000" w:themeColor="text1"/>
          <w:sz w:val="21"/>
          <w:szCs w:val="21"/>
          <w:lang w:val="en-US" w:eastAsia="zh-CN"/>
        </w:rPr>
        <w:t>平板玻璃综合能耗应按式(1)计算:</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3570" w:firstLineChars="170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r>
        <w:rPr>
          <w:color w:val="000000" w:themeColor="text1"/>
        </w:rPr>
        <w:drawing>
          <wp:inline distT="0" distB="0" distL="114300" distR="114300">
            <wp:extent cx="733425" cy="228600"/>
            <wp:effectExtent l="0" t="0" r="9525" b="0"/>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9"/>
                    <a:stretch>
                      <a:fillRect/>
                    </a:stretch>
                  </pic:blipFill>
                  <pic:spPr>
                    <a:xfrm>
                      <a:off x="0" y="0"/>
                      <a:ext cx="733425" cy="228600"/>
                    </a:xfrm>
                    <a:prstGeom prst="rect">
                      <a:avLst/>
                    </a:prstGeom>
                    <a:noFill/>
                    <a:ln w="9525">
                      <a:noFill/>
                    </a:ln>
                  </pic:spPr>
                </pic:pic>
              </a:graphicData>
            </a:graphic>
          </wp:inline>
        </w:drawing>
      </w:r>
      <w:r>
        <w:rPr>
          <w:rFonts w:hint="eastAsia" w:asciiTheme="minorEastAsia" w:hAnsiTheme="minorEastAsia" w:eastAsiaTheme="minorEastAsia" w:cstheme="minorEastAsia"/>
          <w:b w:val="0"/>
          <w:bCs w:val="0"/>
          <w:color w:val="000000" w:themeColor="text1"/>
          <w:sz w:val="21"/>
          <w:szCs w:val="21"/>
          <w:lang w:val="en-US" w:eastAsia="zh-CN"/>
        </w:rPr>
        <w:t xml:space="preserve"> .................. ... ... ... .... .. (1)</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r>
        <w:rPr>
          <w:rFonts w:hint="eastAsia" w:asciiTheme="minorEastAsia" w:hAnsiTheme="minorEastAsia" w:eastAsiaTheme="minorEastAsia" w:cstheme="minorEastAsia"/>
          <w:b w:val="0"/>
          <w:bCs w:val="0"/>
          <w:color w:val="000000" w:themeColor="text1"/>
          <w:sz w:val="21"/>
          <w:szCs w:val="21"/>
          <w:lang w:val="en-US" w:eastAsia="zh-CN"/>
        </w:rPr>
        <w:t xml:space="preserve">    式中：</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r>
        <w:rPr>
          <w:rFonts w:hint="eastAsia" w:asciiTheme="minorEastAsia" w:hAnsiTheme="minorEastAsia" w:eastAsiaTheme="minorEastAsia" w:cstheme="minorEastAsia"/>
          <w:b w:val="0"/>
          <w:bCs w:val="0"/>
          <w:color w:val="000000" w:themeColor="text1"/>
          <w:sz w:val="21"/>
          <w:szCs w:val="21"/>
          <w:lang w:val="en-US" w:eastAsia="zh-CN"/>
        </w:rPr>
        <w:t xml:space="preserve">    </w:t>
      </w:r>
      <w:r>
        <w:rPr>
          <w:color w:val="000000" w:themeColor="text1"/>
        </w:rPr>
        <w:drawing>
          <wp:inline distT="0" distB="0" distL="114300" distR="114300">
            <wp:extent cx="180975" cy="228600"/>
            <wp:effectExtent l="0" t="0" r="9525" b="0"/>
            <wp:docPr id="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pic:cNvPicPr>
                      <a:picLocks noChangeAspect="1"/>
                    </pic:cNvPicPr>
                  </pic:nvPicPr>
                  <pic:blipFill>
                    <a:blip r:embed="rId10"/>
                    <a:stretch>
                      <a:fillRect/>
                    </a:stretch>
                  </pic:blipFill>
                  <pic:spPr>
                    <a:xfrm>
                      <a:off x="0" y="0"/>
                      <a:ext cx="180975" cy="228600"/>
                    </a:xfrm>
                    <a:prstGeom prst="rect">
                      <a:avLst/>
                    </a:prstGeom>
                    <a:noFill/>
                    <a:ln w="9525">
                      <a:noFill/>
                    </a:ln>
                  </pic:spPr>
                </pic:pic>
              </a:graphicData>
            </a:graphic>
          </wp:inline>
        </w:drawing>
      </w:r>
      <w:r>
        <w:rPr>
          <w:rFonts w:hint="eastAsia" w:asciiTheme="minorEastAsia" w:hAnsiTheme="minorEastAsia" w:eastAsiaTheme="minorEastAsia" w:cstheme="minorEastAsia"/>
          <w:b w:val="0"/>
          <w:bCs w:val="0"/>
          <w:color w:val="000000" w:themeColor="text1"/>
          <w:sz w:val="18"/>
          <w:szCs w:val="18"/>
          <w:lang w:val="en-US" w:eastAsia="zh-CN"/>
        </w:rPr>
        <w:t>---</w:t>
      </w:r>
      <w:r>
        <w:rPr>
          <w:rFonts w:hint="eastAsia" w:asciiTheme="minorEastAsia" w:hAnsiTheme="minorEastAsia" w:eastAsiaTheme="minorEastAsia" w:cstheme="minorEastAsia"/>
          <w:b w:val="0"/>
          <w:bCs w:val="0"/>
          <w:color w:val="000000" w:themeColor="text1"/>
          <w:sz w:val="21"/>
          <w:szCs w:val="21"/>
          <w:lang w:val="en-US" w:eastAsia="zh-CN"/>
        </w:rPr>
        <w:t>平板玻璃综合能耗，即统计期内用于平板玻璃生产所消耗的各种能源折算为标准煤，单位为吨（t）；</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r>
        <w:rPr>
          <w:rFonts w:hint="eastAsia" w:asciiTheme="minorEastAsia" w:hAnsiTheme="minorEastAsia" w:eastAsiaTheme="minorEastAsia" w:cstheme="minorEastAsia"/>
          <w:b w:val="0"/>
          <w:bCs w:val="0"/>
          <w:color w:val="000000" w:themeColor="text1"/>
          <w:sz w:val="18"/>
          <w:szCs w:val="18"/>
          <w:lang w:val="en-US" w:eastAsia="zh-CN"/>
        </w:rPr>
        <w:t xml:space="preserve">    </w:t>
      </w:r>
      <w:r>
        <w:rPr>
          <w:color w:val="000000" w:themeColor="text1"/>
        </w:rPr>
        <w:drawing>
          <wp:inline distT="0" distB="0" distL="114300" distR="114300">
            <wp:extent cx="142875" cy="228600"/>
            <wp:effectExtent l="0" t="0" r="9525" b="0"/>
            <wp:docPr id="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pic:cNvPicPr>
                      <a:picLocks noChangeAspect="1"/>
                    </pic:cNvPicPr>
                  </pic:nvPicPr>
                  <pic:blipFill>
                    <a:blip r:embed="rId11"/>
                    <a:stretch>
                      <a:fillRect/>
                    </a:stretch>
                  </pic:blipFill>
                  <pic:spPr>
                    <a:xfrm>
                      <a:off x="0" y="0"/>
                      <a:ext cx="142875" cy="228600"/>
                    </a:xfrm>
                    <a:prstGeom prst="rect">
                      <a:avLst/>
                    </a:prstGeom>
                    <a:noFill/>
                    <a:ln w="9525">
                      <a:noFill/>
                    </a:ln>
                  </pic:spPr>
                </pic:pic>
              </a:graphicData>
            </a:graphic>
          </wp:inline>
        </w:drawing>
      </w:r>
      <w:r>
        <w:rPr>
          <w:rFonts w:hint="eastAsia" w:asciiTheme="minorEastAsia" w:hAnsiTheme="minorEastAsia" w:eastAsiaTheme="minorEastAsia" w:cstheme="minorEastAsia"/>
          <w:b w:val="0"/>
          <w:bCs w:val="0"/>
          <w:color w:val="000000" w:themeColor="text1"/>
          <w:sz w:val="15"/>
          <w:szCs w:val="15"/>
          <w:lang w:val="en-US" w:eastAsia="zh-CN"/>
        </w:rPr>
        <w:t>--</w:t>
      </w:r>
      <w:r>
        <w:rPr>
          <w:rFonts w:hint="eastAsia" w:asciiTheme="minorEastAsia" w:hAnsiTheme="minorEastAsia" w:eastAsiaTheme="minorEastAsia" w:cstheme="minorEastAsia"/>
          <w:b w:val="0"/>
          <w:bCs w:val="0"/>
          <w:color w:val="000000" w:themeColor="text1"/>
          <w:sz w:val="21"/>
          <w:szCs w:val="21"/>
          <w:lang w:val="en-US" w:eastAsia="zh-CN"/>
        </w:rPr>
        <w:t>-主燃料消耗，即统计期内用于平板玻璃生产时熔窑所消耗的各种燃料量折算为标准煤，单位为吨（t）；</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r>
        <w:rPr>
          <w:rFonts w:hint="eastAsia" w:asciiTheme="minorEastAsia" w:hAnsiTheme="minorEastAsia" w:eastAsiaTheme="minorEastAsia" w:cstheme="minorEastAsia"/>
          <w:b w:val="0"/>
          <w:bCs w:val="0"/>
          <w:color w:val="000000" w:themeColor="text1"/>
          <w:sz w:val="18"/>
          <w:szCs w:val="18"/>
          <w:lang w:val="en-US" w:eastAsia="zh-CN"/>
        </w:rPr>
        <w:t xml:space="preserve">    </w:t>
      </w:r>
      <w:r>
        <w:rPr>
          <w:color w:val="000000" w:themeColor="text1"/>
        </w:rPr>
        <w:drawing>
          <wp:inline distT="0" distB="0" distL="114300" distR="114300">
            <wp:extent cx="161925" cy="228600"/>
            <wp:effectExtent l="0" t="0" r="9525" b="0"/>
            <wp:docPr id="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pic:cNvPicPr>
                      <a:picLocks noChangeAspect="1"/>
                    </pic:cNvPicPr>
                  </pic:nvPicPr>
                  <pic:blipFill>
                    <a:blip r:embed="rId12"/>
                    <a:stretch>
                      <a:fillRect/>
                    </a:stretch>
                  </pic:blipFill>
                  <pic:spPr>
                    <a:xfrm>
                      <a:off x="0" y="0"/>
                      <a:ext cx="161925" cy="228600"/>
                    </a:xfrm>
                    <a:prstGeom prst="rect">
                      <a:avLst/>
                    </a:prstGeom>
                    <a:noFill/>
                    <a:ln w="9525">
                      <a:noFill/>
                    </a:ln>
                  </pic:spPr>
                </pic:pic>
              </a:graphicData>
            </a:graphic>
          </wp:inline>
        </w:drawing>
      </w:r>
      <w:r>
        <w:rPr>
          <w:rFonts w:hint="eastAsia" w:asciiTheme="minorEastAsia" w:hAnsiTheme="minorEastAsia" w:eastAsiaTheme="minorEastAsia" w:cstheme="minorEastAsia"/>
          <w:b w:val="0"/>
          <w:bCs w:val="0"/>
          <w:color w:val="000000" w:themeColor="text1"/>
          <w:sz w:val="15"/>
          <w:szCs w:val="15"/>
          <w:lang w:val="en-US" w:eastAsia="zh-CN"/>
        </w:rPr>
        <w:t>---</w:t>
      </w:r>
      <w:r>
        <w:rPr>
          <w:rFonts w:hint="eastAsia" w:asciiTheme="minorEastAsia" w:hAnsiTheme="minorEastAsia" w:eastAsiaTheme="minorEastAsia" w:cstheme="minorEastAsia"/>
          <w:b w:val="0"/>
          <w:bCs w:val="0"/>
          <w:color w:val="000000" w:themeColor="text1"/>
          <w:sz w:val="21"/>
          <w:szCs w:val="21"/>
          <w:lang w:val="en-US" w:eastAsia="zh-CN"/>
        </w:rPr>
        <w:t xml:space="preserve"> 其他能源消耗，即统计期内用于平板玻璃生产所消耗的电力、辅助生产和厂内运输所耗燃料或电力折算为标准煤，单位为吨(t)。</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黑体" w:hAnsi="黑体" w:eastAsia="黑体" w:cs="黑体"/>
          <w:b w:val="0"/>
          <w:bCs w:val="0"/>
          <w:color w:val="000000" w:themeColor="text1"/>
          <w:sz w:val="21"/>
          <w:szCs w:val="21"/>
          <w:lang w:val="en-US" w:eastAsia="zh-CN"/>
        </w:rPr>
      </w:pPr>
      <w:r>
        <w:rPr>
          <w:rFonts w:hint="eastAsia" w:ascii="黑体" w:hAnsi="黑体" w:eastAsia="黑体" w:cs="黑体"/>
          <w:b w:val="0"/>
          <w:bCs w:val="0"/>
          <w:color w:val="000000" w:themeColor="text1"/>
          <w:sz w:val="21"/>
          <w:szCs w:val="21"/>
          <w:lang w:val="en-US" w:eastAsia="zh-CN"/>
        </w:rPr>
        <w:t>5.2.6 平板玻璃单位产品综合能耗计算公式</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30" w:firstLineChars="30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r>
        <w:rPr>
          <w:rFonts w:hint="eastAsia" w:asciiTheme="minorEastAsia" w:hAnsiTheme="minorEastAsia" w:eastAsiaTheme="minorEastAsia" w:cstheme="minorEastAsia"/>
          <w:b w:val="0"/>
          <w:bCs w:val="0"/>
          <w:color w:val="000000" w:themeColor="text1"/>
          <w:sz w:val="21"/>
          <w:szCs w:val="21"/>
          <w:lang w:val="en-US" w:eastAsia="zh-CN"/>
        </w:rPr>
        <w:t>平板玻璃单位产品综合能耗应按式(2)计算：</w:t>
      </w:r>
    </w:p>
    <w:p>
      <w:pPr>
        <w:keepNext w:val="0"/>
        <w:keepLines w:val="0"/>
        <w:pageBreakBefore w:val="0"/>
        <w:widowControl w:val="0"/>
        <w:tabs>
          <w:tab w:val="left" w:pos="3881"/>
          <w:tab w:val="center" w:pos="5261"/>
        </w:tabs>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r>
        <w:rPr>
          <w:rFonts w:hint="eastAsia" w:asciiTheme="minorEastAsia" w:hAnsiTheme="minorEastAsia" w:eastAsiaTheme="minorEastAsia" w:cstheme="minorEastAsia"/>
          <w:b w:val="0"/>
          <w:bCs w:val="0"/>
          <w:color w:val="000000" w:themeColor="text1"/>
          <w:sz w:val="21"/>
          <w:szCs w:val="21"/>
          <w:lang w:val="en-US" w:eastAsia="zh-CN"/>
        </w:rPr>
        <w:tab/>
      </w:r>
      <w:r>
        <w:rPr>
          <w:rFonts w:hint="eastAsia" w:asciiTheme="minorEastAsia" w:hAnsiTheme="minorEastAsia" w:eastAsiaTheme="minorEastAsia" w:cstheme="minorEastAsia"/>
          <w:b w:val="0"/>
          <w:bCs w:val="0"/>
          <w:color w:val="000000" w:themeColor="text1"/>
          <w:position w:val="-30"/>
          <w:sz w:val="21"/>
          <w:szCs w:val="21"/>
          <w:lang w:val="en-US" w:eastAsia="zh-CN"/>
        </w:rPr>
        <w:object>
          <v:shape id="_x0000_i1025" o:spt="75" type="#_x0000_t75" style="height:54pt;width:121.95pt;" o:ole="t" filled="f" o:preferrelative="t" stroked="f" coordsize="21600,21600">
            <v:path/>
            <v:fill on="f" focussize="0,0"/>
            <v:stroke on="f"/>
            <v:imagedata r:id="rId14" o:title=""/>
            <o:lock v:ext="edit" aspectratio="t"/>
            <w10:wrap type="none"/>
            <w10:anchorlock/>
          </v:shape>
          <o:OLEObject Type="Embed" ProgID="Equation.KSEE3" ShapeID="_x0000_i1025" DrawAspect="Content" ObjectID="_1468075725" r:id="rId13">
            <o:LockedField>false</o:LockedField>
          </o:OLEObject>
        </w:object>
      </w:r>
      <w:r>
        <w:rPr>
          <w:rFonts w:hint="eastAsia" w:asciiTheme="minorEastAsia" w:hAnsiTheme="minorEastAsia" w:eastAsiaTheme="minorEastAsia" w:cstheme="minorEastAsia"/>
          <w:b w:val="0"/>
          <w:bCs w:val="0"/>
          <w:color w:val="000000" w:themeColor="text1"/>
          <w:sz w:val="21"/>
          <w:szCs w:val="21"/>
          <w:lang w:val="en-US" w:eastAsia="zh-CN"/>
        </w:rPr>
        <w:t xml:space="preserve">........................ （2） </w:t>
      </w:r>
    </w:p>
    <w:p>
      <w:pPr>
        <w:keepNext w:val="0"/>
        <w:keepLines w:val="0"/>
        <w:pageBreakBefore w:val="0"/>
        <w:widowControl w:val="0"/>
        <w:tabs>
          <w:tab w:val="left" w:pos="3881"/>
          <w:tab w:val="center" w:pos="5261"/>
        </w:tabs>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r>
        <w:rPr>
          <w:rFonts w:hint="eastAsia" w:asciiTheme="minorEastAsia" w:hAnsiTheme="minorEastAsia" w:eastAsiaTheme="minorEastAsia" w:cstheme="minorEastAsia"/>
          <w:b w:val="0"/>
          <w:bCs w:val="0"/>
          <w:color w:val="000000" w:themeColor="text1"/>
          <w:sz w:val="21"/>
          <w:szCs w:val="21"/>
          <w:lang w:val="en-US" w:eastAsia="zh-CN"/>
        </w:rPr>
        <w:t>式中：</w:t>
      </w:r>
    </w:p>
    <w:p>
      <w:pPr>
        <w:keepNext w:val="0"/>
        <w:keepLines w:val="0"/>
        <w:pageBreakBefore w:val="0"/>
        <w:widowControl w:val="0"/>
        <w:tabs>
          <w:tab w:val="left" w:pos="3881"/>
          <w:tab w:val="center" w:pos="5261"/>
        </w:tabs>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r>
        <w:drawing>
          <wp:inline distT="0" distB="0" distL="114300" distR="114300">
            <wp:extent cx="142875" cy="228600"/>
            <wp:effectExtent l="0" t="0" r="9525" b="0"/>
            <wp:docPr id="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pic:cNvPicPr>
                      <a:picLocks noChangeAspect="1"/>
                    </pic:cNvPicPr>
                  </pic:nvPicPr>
                  <pic:blipFill>
                    <a:blip r:embed="rId15"/>
                    <a:stretch>
                      <a:fillRect/>
                    </a:stretch>
                  </pic:blipFill>
                  <pic:spPr>
                    <a:xfrm>
                      <a:off x="0" y="0"/>
                      <a:ext cx="142875" cy="228600"/>
                    </a:xfrm>
                    <a:prstGeom prst="rect">
                      <a:avLst/>
                    </a:prstGeom>
                    <a:noFill/>
                    <a:ln w="9525">
                      <a:noFill/>
                    </a:ln>
                  </pic:spPr>
                </pic:pic>
              </a:graphicData>
            </a:graphic>
          </wp:inline>
        </w:drawing>
      </w:r>
      <w:r>
        <w:rPr>
          <w:rFonts w:hint="eastAsia" w:asciiTheme="minorEastAsia" w:hAnsiTheme="minorEastAsia" w:eastAsiaTheme="minorEastAsia" w:cstheme="minorEastAsia"/>
          <w:b w:val="0"/>
          <w:bCs w:val="0"/>
          <w:color w:val="000000" w:themeColor="text1"/>
          <w:sz w:val="21"/>
          <w:szCs w:val="21"/>
          <w:lang w:val="en-US" w:eastAsia="zh-CN"/>
        </w:rPr>
        <w:t>一一平板玻璃单位产品综合能耗，单位为千克标准煤每重量箱(kgce/重量箱)；</w:t>
      </w:r>
    </w:p>
    <w:p>
      <w:pPr>
        <w:keepNext w:val="0"/>
        <w:keepLines w:val="0"/>
        <w:pageBreakBefore w:val="0"/>
        <w:widowControl w:val="0"/>
        <w:tabs>
          <w:tab w:val="left" w:pos="3881"/>
          <w:tab w:val="center" w:pos="5261"/>
        </w:tabs>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r>
        <w:drawing>
          <wp:inline distT="0" distB="0" distL="114300" distR="114300">
            <wp:extent cx="161925" cy="228600"/>
            <wp:effectExtent l="0" t="0" r="8255" b="0"/>
            <wp:docPr id="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8"/>
                    <pic:cNvPicPr>
                      <a:picLocks noChangeAspect="1"/>
                    </pic:cNvPicPr>
                  </pic:nvPicPr>
                  <pic:blipFill>
                    <a:blip r:embed="rId16"/>
                    <a:stretch>
                      <a:fillRect/>
                    </a:stretch>
                  </pic:blipFill>
                  <pic:spPr>
                    <a:xfrm>
                      <a:off x="0" y="0"/>
                      <a:ext cx="161925" cy="228600"/>
                    </a:xfrm>
                    <a:prstGeom prst="rect">
                      <a:avLst/>
                    </a:prstGeom>
                    <a:noFill/>
                    <a:ln w="9525">
                      <a:noFill/>
                    </a:ln>
                  </pic:spPr>
                </pic:pic>
              </a:graphicData>
            </a:graphic>
          </wp:inline>
        </w:drawing>
      </w:r>
      <w:r>
        <w:rPr>
          <w:rFonts w:hint="eastAsia" w:asciiTheme="minorEastAsia" w:hAnsiTheme="minorEastAsia" w:eastAsiaTheme="minorEastAsia" w:cstheme="minorEastAsia"/>
          <w:b w:val="0"/>
          <w:bCs w:val="0"/>
          <w:color w:val="000000" w:themeColor="text1"/>
          <w:sz w:val="21"/>
          <w:szCs w:val="21"/>
          <w:lang w:val="en-US" w:eastAsia="zh-CN"/>
        </w:rPr>
        <w:t>一一统计期内平板玻璃合格产品总产量，单位为重量箱；</w:t>
      </w:r>
    </w:p>
    <w:p>
      <w:pPr>
        <w:keepNext w:val="0"/>
        <w:keepLines w:val="0"/>
        <w:pageBreakBefore w:val="0"/>
        <w:widowControl w:val="0"/>
        <w:tabs>
          <w:tab w:val="left" w:pos="3881"/>
          <w:tab w:val="center" w:pos="5261"/>
        </w:tabs>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r>
        <w:drawing>
          <wp:inline distT="0" distB="0" distL="114300" distR="114300">
            <wp:extent cx="133350" cy="209550"/>
            <wp:effectExtent l="0" t="0" r="0" b="0"/>
            <wp:docPr id="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9"/>
                    <pic:cNvPicPr>
                      <a:picLocks noChangeAspect="1"/>
                    </pic:cNvPicPr>
                  </pic:nvPicPr>
                  <pic:blipFill>
                    <a:blip r:embed="rId17"/>
                    <a:stretch>
                      <a:fillRect/>
                    </a:stretch>
                  </pic:blipFill>
                  <pic:spPr>
                    <a:xfrm>
                      <a:off x="0" y="0"/>
                      <a:ext cx="133350" cy="209550"/>
                    </a:xfrm>
                    <a:prstGeom prst="rect">
                      <a:avLst/>
                    </a:prstGeom>
                    <a:noFill/>
                    <a:ln w="9525">
                      <a:noFill/>
                    </a:ln>
                  </pic:spPr>
                </pic:pic>
              </a:graphicData>
            </a:graphic>
          </wp:inline>
        </w:drawing>
      </w:r>
      <w:r>
        <w:rPr>
          <w:rFonts w:hint="eastAsia" w:asciiTheme="minorEastAsia" w:hAnsiTheme="minorEastAsia" w:eastAsiaTheme="minorEastAsia" w:cstheme="minorEastAsia"/>
          <w:b w:val="0"/>
          <w:bCs w:val="0"/>
          <w:color w:val="000000" w:themeColor="text1"/>
          <w:sz w:val="21"/>
          <w:szCs w:val="21"/>
          <w:lang w:val="en-US" w:eastAsia="zh-CN"/>
        </w:rPr>
        <w:t>一一窑龄系数，见表2；</w:t>
      </w:r>
    </w:p>
    <w:p>
      <w:pPr>
        <w:keepNext w:val="0"/>
        <w:keepLines w:val="0"/>
        <w:pageBreakBefore w:val="0"/>
        <w:widowControl w:val="0"/>
        <w:tabs>
          <w:tab w:val="left" w:pos="3881"/>
          <w:tab w:val="center" w:pos="5261"/>
        </w:tabs>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r>
        <w:drawing>
          <wp:inline distT="0" distB="0" distL="114300" distR="114300">
            <wp:extent cx="161925" cy="209550"/>
            <wp:effectExtent l="0" t="0" r="9525" b="0"/>
            <wp:docPr id="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
                    <pic:cNvPicPr>
                      <a:picLocks noChangeAspect="1"/>
                    </pic:cNvPicPr>
                  </pic:nvPicPr>
                  <pic:blipFill>
                    <a:blip r:embed="rId18"/>
                    <a:stretch>
                      <a:fillRect/>
                    </a:stretch>
                  </pic:blipFill>
                  <pic:spPr>
                    <a:xfrm>
                      <a:off x="0" y="0"/>
                      <a:ext cx="161925" cy="209550"/>
                    </a:xfrm>
                    <a:prstGeom prst="rect">
                      <a:avLst/>
                    </a:prstGeom>
                    <a:noFill/>
                    <a:ln w="9525">
                      <a:noFill/>
                    </a:ln>
                  </pic:spPr>
                </pic:pic>
              </a:graphicData>
            </a:graphic>
          </wp:inline>
        </w:drawing>
      </w:r>
      <w:r>
        <w:rPr>
          <w:rFonts w:hint="eastAsia" w:asciiTheme="minorEastAsia" w:hAnsiTheme="minorEastAsia" w:eastAsiaTheme="minorEastAsia" w:cstheme="minorEastAsia"/>
          <w:b w:val="0"/>
          <w:bCs w:val="0"/>
          <w:color w:val="000000" w:themeColor="text1"/>
          <w:sz w:val="21"/>
          <w:szCs w:val="21"/>
          <w:lang w:val="en-US" w:eastAsia="zh-CN"/>
        </w:rPr>
        <w:t>一一燃料等效应系数，见表3。</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黑体" w:hAnsi="黑体" w:eastAsia="黑体" w:cs="黑体"/>
          <w:b w:val="0"/>
          <w:bCs w:val="0"/>
          <w:color w:val="000000" w:themeColor="text1"/>
          <w:sz w:val="21"/>
          <w:szCs w:val="21"/>
          <w:lang w:val="en-US" w:eastAsia="zh-CN"/>
        </w:rPr>
      </w:pPr>
      <w:r>
        <w:rPr>
          <w:rFonts w:hint="eastAsia" w:ascii="黑体" w:hAnsi="黑体" w:eastAsia="黑体" w:cs="黑体"/>
          <w:b w:val="0"/>
          <w:bCs w:val="0"/>
          <w:color w:val="000000" w:themeColor="text1"/>
          <w:sz w:val="21"/>
          <w:szCs w:val="21"/>
          <w:lang w:val="en-US" w:eastAsia="zh-CN"/>
        </w:rPr>
        <w:t>5.2.7 单位产品综合能耗计算位数的选取</w:t>
      </w:r>
    </w:p>
    <w:p>
      <w:pPr>
        <w:keepNext w:val="0"/>
        <w:keepLines w:val="0"/>
        <w:pageBreakBefore w:val="0"/>
        <w:widowControl w:val="0"/>
        <w:tabs>
          <w:tab w:val="left" w:pos="3881"/>
          <w:tab w:val="center" w:pos="5261"/>
        </w:tabs>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b/>
          <w:bCs/>
          <w:color w:val="000000" w:themeColor="text1"/>
          <w:sz w:val="21"/>
          <w:szCs w:val="21"/>
          <w:lang w:val="en-US" w:eastAsia="zh-CN"/>
        </w:rPr>
      </w:pPr>
    </w:p>
    <w:p>
      <w:pPr>
        <w:keepNext w:val="0"/>
        <w:keepLines w:val="0"/>
        <w:pageBreakBefore w:val="0"/>
        <w:widowControl w:val="0"/>
        <w:tabs>
          <w:tab w:val="left" w:pos="3881"/>
          <w:tab w:val="center" w:pos="5261"/>
        </w:tabs>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r>
        <w:rPr>
          <w:rFonts w:hint="eastAsia" w:asciiTheme="minorEastAsia" w:hAnsiTheme="minorEastAsia" w:eastAsiaTheme="minorEastAsia" w:cstheme="minorEastAsia"/>
          <w:b w:val="0"/>
          <w:bCs w:val="0"/>
          <w:color w:val="000000" w:themeColor="text1"/>
          <w:sz w:val="21"/>
          <w:szCs w:val="21"/>
          <w:lang w:val="en-US" w:eastAsia="zh-CN"/>
        </w:rPr>
        <w:t>折算成标准煤，单位为千克标准煤每重量箱(kgce/重量箱)，取小数点后一位。</w:t>
      </w:r>
    </w:p>
    <w:p>
      <w:pPr>
        <w:keepNext w:val="0"/>
        <w:keepLines w:val="0"/>
        <w:pageBreakBefore w:val="0"/>
        <w:widowControl w:val="0"/>
        <w:tabs>
          <w:tab w:val="left" w:pos="3881"/>
          <w:tab w:val="center" w:pos="5261"/>
        </w:tabs>
        <w:kinsoku/>
        <w:wordWrap/>
        <w:overflowPunct/>
        <w:topLinePunct w:val="0"/>
        <w:autoSpaceDE/>
        <w:autoSpaceDN/>
        <w:bidi w:val="0"/>
        <w:adjustRightInd/>
        <w:snapToGrid/>
        <w:spacing w:line="240" w:lineRule="auto"/>
        <w:ind w:right="0" w:rightChars="0" w:firstLine="420" w:firstLineChars="200"/>
        <w:jc w:val="left"/>
        <w:textAlignment w:val="auto"/>
        <w:outlineLvl w:val="9"/>
        <w:rPr>
          <w:rFonts w:hint="eastAsia" w:asciiTheme="minorEastAsia" w:hAnsiTheme="minorEastAsia" w:eastAsiaTheme="minorEastAsia" w:cstheme="minorEastAsia"/>
          <w:b w:val="0"/>
          <w:bCs w:val="0"/>
          <w:color w:val="000000" w:themeColor="text1"/>
          <w:sz w:val="21"/>
          <w:szCs w:val="21"/>
          <w:lang w:val="en-US" w:eastAsia="zh-CN"/>
        </w:rPr>
      </w:pPr>
    </w:p>
    <w:sectPr>
      <w:headerReference r:id="rId5" w:type="default"/>
      <w:footerReference r:id="rId6" w:type="default"/>
      <w:footerReference r:id="rId7" w:type="even"/>
      <w:pgSz w:w="11906" w:h="16838"/>
      <w:pgMar w:top="1417" w:right="1134" w:bottom="1134" w:left="1418" w:header="1418" w:footer="1134" w:gutter="0"/>
      <w:pgNumType w:start="1"/>
      <w:cols w:space="0" w:num="1"/>
      <w:formProt w:val="0"/>
      <w:rtlGutter w:val="0"/>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weui">
    <w:altName w:val="Segoe Print"/>
    <w:panose1 w:val="00000000000000000000"/>
    <w:charset w:val="00"/>
    <w:family w:val="auto"/>
    <w:pitch w:val="default"/>
    <w:sig w:usb0="00000000" w:usb1="00000000" w:usb2="00000000" w:usb3="00000000" w:csb0="00000000" w:csb1="00000000"/>
  </w:font>
  <w:font w:name="WeChatNumber-151125">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PMingLiU">
    <w:panose1 w:val="02020500000000000000"/>
    <w:charset w:val="88"/>
    <w:family w:val="roman"/>
    <w:pitch w:val="default"/>
    <w:sig w:usb0="A00002FF" w:usb1="28CFFCFA" w:usb2="00000016" w:usb3="00000000" w:csb0="00100001" w:csb1="00000000"/>
  </w:font>
  <w:font w:name="Arial Unicode MS">
    <w:altName w:val="宋体"/>
    <w:panose1 w:val="020B0604020202020204"/>
    <w:charset w:val="86"/>
    <w:family w:val="swiss"/>
    <w:pitch w:val="default"/>
    <w:sig w:usb0="00000000" w:usb1="00000000" w:usb2="0000003F" w:usb3="00000000" w:csb0="003F01FF" w:csb1="00000000"/>
  </w:font>
  <w:font w:name="MS Mincho">
    <w:panose1 w:val="02020609040205080304"/>
    <w:charset w:val="80"/>
    <w:family w:val="modern"/>
    <w:pitch w:val="default"/>
    <w:sig w:usb0="E00002FF" w:usb1="6AC7FDFB" w:usb2="00000012" w:usb3="00000000" w:csb0="4002009F" w:csb1="DFD70000"/>
  </w:font>
  <w:font w:name="GulimChe">
    <w:panose1 w:val="020B0609000101010101"/>
    <w:charset w:val="81"/>
    <w:family w:val="modern"/>
    <w:pitch w:val="default"/>
    <w:sig w:usb0="B00002AF" w:usb1="69D77CFB" w:usb2="00000030" w:usb3="00000000" w:csb0="4008009F" w:csb1="DFD7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 w:name="方正粗黑宋简体">
    <w:panose1 w:val="02000000000000000000"/>
    <w:charset w:val="86"/>
    <w:family w:val="auto"/>
    <w:pitch w:val="default"/>
    <w:sig w:usb0="A00002BF" w:usb1="184F6CFA" w:usb2="00000012" w:usb3="00000000" w:csb0="00040001" w:csb1="00000000"/>
  </w:font>
  <w:font w:name="Batang">
    <w:panose1 w:val="02030600000101010101"/>
    <w:charset w:val="81"/>
    <w:family w:val="auto"/>
    <w:pitch w:val="default"/>
    <w:sig w:usb0="B00002AF" w:usb1="69D77CFB" w:usb2="00000030" w:usb3="00000000" w:csb0="4008009F" w:csb1="DFD70000"/>
  </w:font>
  <w:font w:name="BatangChe">
    <w:panose1 w:val="02030609000101010101"/>
    <w:charset w:val="81"/>
    <w:family w:val="auto"/>
    <w:pitch w:val="default"/>
    <w:sig w:usb0="B00002AF" w:usb1="69D77CFB" w:usb2="00000030" w:usb3="00000000" w:csb0="4008009F" w:csb1="DFD70000"/>
  </w:font>
  <w:font w:name="DFKai-SB">
    <w:panose1 w:val="03000509000000000000"/>
    <w:charset w:val="88"/>
    <w:family w:val="auto"/>
    <w:pitch w:val="default"/>
    <w:sig w:usb0="00000003" w:usb1="082E0000" w:usb2="00000016" w:usb3="00000000" w:csb0="00100001" w:csb1="00000000"/>
  </w:font>
  <w:font w:name="Dotum">
    <w:panose1 w:val="020B0600000101010101"/>
    <w:charset w:val="81"/>
    <w:family w:val="auto"/>
    <w:pitch w:val="default"/>
    <w:sig w:usb0="B00002AF" w:usb1="69D77CFB" w:usb2="00000030" w:usb3="00000000" w:csb0="4008009F" w:csb1="DFD70000"/>
  </w:font>
  <w:font w:name="DotumChe">
    <w:panose1 w:val="020B0609000101010101"/>
    <w:charset w:val="81"/>
    <w:family w:val="auto"/>
    <w:pitch w:val="default"/>
    <w:sig w:usb0="B00002AF" w:usb1="69D77CFB" w:usb2="00000030" w:usb3="00000000" w:csb0="4008009F" w:csb1="DFD70000"/>
  </w:font>
  <w:font w:name="Gulim">
    <w:panose1 w:val="020B0600000101010101"/>
    <w:charset w:val="81"/>
    <w:family w:val="auto"/>
    <w:pitch w:val="default"/>
    <w:sig w:usb0="B00002AF" w:usb1="69D77CFB" w:usb2="00000030" w:usb3="00000000" w:csb0="4008009F" w:csb1="DFD70000"/>
  </w:font>
  <w:font w:name="Gungsuh">
    <w:panose1 w:val="02030600000101010101"/>
    <w:charset w:val="81"/>
    <w:family w:val="auto"/>
    <w:pitch w:val="default"/>
    <w:sig w:usb0="B00002AF" w:usb1="69D77CFB" w:usb2="00000030" w:usb3="00000000" w:csb0="4008009F" w:csb1="DFD70000"/>
  </w:font>
  <w:font w:name="GungsuhChe">
    <w:panose1 w:val="02030609000101010101"/>
    <w:charset w:val="81"/>
    <w:family w:val="auto"/>
    <w:pitch w:val="default"/>
    <w:sig w:usb0="B00002AF" w:usb1="69D77CFB" w:usb2="00000030" w:usb3="00000000" w:csb0="4008009F" w:csb1="DFD70000"/>
  </w:font>
  <w:font w:name="Malgun Gothic">
    <w:panose1 w:val="020B0503020000020004"/>
    <w:charset w:val="81"/>
    <w:family w:val="auto"/>
    <w:pitch w:val="default"/>
    <w:sig w:usb0="900002AF" w:usb1="01D77CFB" w:usb2="00000012" w:usb3="00000000" w:csb0="00080001" w:csb1="00000000"/>
  </w:font>
  <w:font w:name="Meiryo">
    <w:panose1 w:val="020B0604030504040204"/>
    <w:charset w:val="80"/>
    <w:family w:val="auto"/>
    <w:pitch w:val="default"/>
    <w:sig w:usb0="E10102FF" w:usb1="EAC7FFFF" w:usb2="00010012" w:usb3="00000000" w:csb0="6002009F" w:csb1="DFD70000"/>
  </w:font>
  <w:font w:name="Meiryo UI">
    <w:panose1 w:val="020B0604030504040204"/>
    <w:charset w:val="80"/>
    <w:family w:val="auto"/>
    <w:pitch w:val="default"/>
    <w:sig w:usb0="E10102FF" w:usb1="EAC7FFFF" w:usb2="00010012" w:usb3="00000000" w:csb0="6002009F" w:csb1="DFD70000"/>
  </w:font>
  <w:font w:name="Utsaah">
    <w:panose1 w:val="020B0604020202020204"/>
    <w:charset w:val="00"/>
    <w:family w:val="auto"/>
    <w:pitch w:val="default"/>
    <w:sig w:usb0="00008003" w:usb1="00000000" w:usb2="00000000" w:usb3="00000000" w:csb0="00000001" w:csb1="00000000"/>
  </w:font>
  <w:font w:name="Tunga">
    <w:panose1 w:val="020B0502040204020203"/>
    <w:charset w:val="00"/>
    <w:family w:val="auto"/>
    <w:pitch w:val="default"/>
    <w:sig w:usb0="00400003" w:usb1="00000000" w:usb2="00000000" w:usb3="00000000" w:csb0="00000001" w:csb1="00000000"/>
  </w:font>
  <w:font w:name="Trebuchet MS">
    <w:panose1 w:val="020B0603020202020204"/>
    <w:charset w:val="00"/>
    <w:family w:val="auto"/>
    <w:pitch w:val="default"/>
    <w:sig w:usb0="00000287" w:usb1="00000000" w:usb2="00000000" w:usb3="00000000" w:csb0="2000009F" w:csb1="00000000"/>
  </w:font>
  <w:font w:name="Traditional Arabic">
    <w:panose1 w:val="02020603050405020304"/>
    <w:charset w:val="00"/>
    <w:family w:val="auto"/>
    <w:pitch w:val="default"/>
    <w:sig w:usb0="00006003" w:usb1="80000000" w:usb2="00000008" w:usb3="00000000" w:csb0="00000041" w:csb1="20080000"/>
  </w:font>
  <w:font w:name="Arial">
    <w:panose1 w:val="020B0604020202020204"/>
    <w:charset w:val="00"/>
    <w:family w:val="auto"/>
    <w:pitch w:val="default"/>
    <w:sig w:usb0="E0002AFF" w:usb1="C0007843" w:usb2="00000009" w:usb3="00000000" w:csb0="400001FF" w:csb1="FFFF0000"/>
  </w:font>
  <w:font w:name="方正小标宋_GBK">
    <w:altName w:val="微软雅黑"/>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 w:name="方正姚体">
    <w:altName w:val="宋体"/>
    <w:panose1 w:val="02010601030101010101"/>
    <w:charset w:val="86"/>
    <w:family w:val="auto"/>
    <w:pitch w:val="default"/>
    <w:sig w:usb0="00000000" w:usb1="00000000" w:usb2="00000010" w:usb3="00000000" w:csb0="00040000"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0"/>
    </w:pPr>
    <w:r>
      <w:fldChar w:fldCharType="begin"/>
    </w:r>
    <w:r>
      <w:instrText xml:space="preserve"> PAGE  \* MERGEFORMAT </w:instrText>
    </w:r>
    <w:r>
      <w:fldChar w:fldCharType="separate"/>
    </w:r>
    <w:r>
      <w:t>I</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w:pict>
        <v:shape id="_x0000_s2053" o:spid="_x0000_s2053" o:spt="202" type="#_x0000_t202" style="position:absolute;left:0pt;margin-top:770.55pt;height:6pt;width:3.1pt;mso-position-horizontal:right;mso-position-horizontal-relative:margin;mso-position-vertical-relative:page;mso-wrap-style:none;z-index:251659264;mso-width-relative:page;mso-height-relative:page;" filled="f" stroked="f" coordsize="21600,21600" o:gfxdata="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XeJzCtQAAAAIAQAA&#10;DwAAAAAAAAABACAAAAAiAAAAZHJzL2Rvd25yZXYueG1sUEsBAhQAFAAAAAgAh07iQDH/f1mrAQAA&#10;bwMAAA4AAAAAAAAAAQAgAAAAIwEAAGRycy9lMm9Eb2MueG1sUEsFBgAAAAAGAAYAWQEAAEAFAAAA&#10;AA==&#10;">
          <v:path/>
          <v:fill on="f" focussize="0,0"/>
          <v:stroke on="f" joinstyle="miter"/>
          <v:imagedata o:title=""/>
          <o:lock v:ext="edit"/>
          <v:textbox inset="0mm,0mm,0mm,0mm" style="mso-fit-shape-to-text:t;">
            <w:txbxContent>
              <w:p>
                <w:pPr>
                  <w:pStyle w:val="180"/>
                  <w:jc w:val="left"/>
                  <w:rPr>
                    <w:sz w:val="19"/>
                    <w:szCs w:val="19"/>
                  </w:rPr>
                </w:pPr>
                <w:r>
                  <w:fldChar w:fldCharType="begin"/>
                </w:r>
                <w:r>
                  <w:instrText xml:space="preserve"> PAGE \* MERGEFORMAT </w:instrText>
                </w:r>
                <w:r>
                  <w:fldChar w:fldCharType="separate"/>
                </w:r>
                <w:r>
                  <w:rPr>
                    <w:rFonts w:eastAsia="Times New Roman"/>
                    <w:color w:val="000000"/>
                    <w:sz w:val="19"/>
                    <w:szCs w:val="19"/>
                    <w:lang w:val="zh-TW" w:eastAsia="zh-TW" w:bidi="zh-TW"/>
                  </w:rPr>
                  <w:t>2</w:t>
                </w:r>
                <w:r>
                  <w:rPr>
                    <w:rFonts w:eastAsia="Times New Roman"/>
                    <w:color w:val="000000"/>
                    <w:sz w:val="19"/>
                    <w:szCs w:val="19"/>
                    <w:lang w:val="zh-TW" w:eastAsia="zh-TW" w:bidi="zh-TW"/>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w:pict>
        <v:shape id="_x0000_s2054" o:spid="_x0000_s2054" o:spt="202" type="#_x0000_t202" style="position:absolute;left:0pt;margin-top:771.3pt;height:6pt;width:3.6pt;mso-position-horizontal:right;mso-position-horizontal-relative:margin;mso-position-vertical-relative:page;mso-wrap-style:none;z-index:251660288;mso-width-relative:page;mso-height-relative:page;" filled="f" stroked="f" coordsize="21600,21600" o:gfxdata="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hDC4m9QAAAAIAQAA&#10;DwAAAAAAAAABACAAAAAiAAAAZHJzL2Rvd25yZXYueG1sUEsBAhQAFAAAAAgAh07iQKdUl5CrAQAA&#10;bwMAAA4AAAAAAAAAAQAgAAAAIwEAAGRycy9lMm9Eb2MueG1sUEsFBgAAAAAGAAYAWQEAAEAFAAAA&#10;AA==&#10;">
          <v:path/>
          <v:fill on="f" focussize="0,0"/>
          <v:stroke on="f" joinstyle="miter"/>
          <v:imagedata o:title=""/>
          <o:lock v:ext="edit"/>
          <v:textbox inset="0mm,0mm,0mm,0mm" style="mso-fit-shape-to-text:t;">
            <w:txbxContent>
              <w:p>
                <w:pPr>
                  <w:pStyle w:val="180"/>
                  <w:jc w:val="left"/>
                  <w:rPr>
                    <w:sz w:val="19"/>
                    <w:szCs w:val="19"/>
                  </w:rPr>
                </w:pPr>
                <w:r>
                  <w:fldChar w:fldCharType="begin"/>
                </w:r>
                <w:r>
                  <w:instrText xml:space="preserve"> PAGE \* MERGEFORMAT </w:instrText>
                </w:r>
                <w:r>
                  <w:fldChar w:fldCharType="separate"/>
                </w:r>
                <w:r>
                  <w:rPr>
                    <w:rFonts w:eastAsia="Times New Roman"/>
                    <w:color w:val="000000"/>
                    <w:sz w:val="19"/>
                    <w:szCs w:val="19"/>
                    <w:lang w:val="zh-TW" w:eastAsia="zh-TW" w:bidi="zh-TW"/>
                  </w:rPr>
                  <w:t>#</w:t>
                </w:r>
                <w:r>
                  <w:rPr>
                    <w:rFonts w:eastAsia="Times New Roman"/>
                    <w:color w:val="000000"/>
                    <w:sz w:val="19"/>
                    <w:szCs w:val="19"/>
                    <w:lang w:val="zh-TW" w:eastAsia="zh-TW" w:bidi="zh-TW"/>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1"/>
    </w:pPr>
    <w:r>
      <w:rPr>
        <w:rFonts w:ascii="Times New Roman"/>
      </w:rPr>
      <w:t>DB</w:t>
    </w:r>
    <w:r>
      <w:rPr>
        <w:rFonts w:hint="eastAsia"/>
      </w:rPr>
      <w:t>13</w:t>
    </w:r>
    <w:r>
      <w:t xml:space="preserve">/ </w:t>
    </w:r>
    <w:r>
      <w:rPr>
        <w:rFonts w:hint="eastAsia"/>
      </w:rPr>
      <w:t>XXXX</w:t>
    </w:r>
    <w:r>
      <w:t>—</w:t>
    </w:r>
    <w:r>
      <w:rPr>
        <w:rFonts w:hint="eastAsia"/>
      </w:rPr>
      <w:t>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w:pict>
        <v:shape id="Shape 15" o:spid="_x0000_s2049" o:spt="202" type="#_x0000_t202" style="position:absolute;left:0pt;margin-left:453.5pt;margin-top:64.7pt;height:7.7pt;width:77.3pt;mso-position-horizontal-relative:page;mso-position-vertical-relative:page;mso-wrap-style:none;z-index:-251661312;mso-width-relative:page;mso-height-relative:page;" filled="f" stroked="f" coordsize="21600,21600" o:gfxdata="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M6OttdgA&#10;AAAMAQAADwAAAAAAAAABACAAAAAiAAAAZHJzL2Rvd25yZXYueG1sUEsBAhQAFAAAAAgAh07iQIGS&#10;dFitAQAAcAMAAA4AAAAAAAAAAQAgAAAAJwEAAGRycy9lMm9Eb2MueG1sUEsFBgAAAAAGAAYAWQEA&#10;AEYFAAAAAA==&#10;">
          <v:path/>
          <v:fill on="f" focussize="0,0"/>
          <v:stroke on="f" joinstyle="miter"/>
          <v:imagedata o:title=""/>
          <o:lock v:ext="edit"/>
          <v:textbox inset="0mm,0mm,0mm,0mm" style="mso-fit-shape-to-text:t;">
            <w:txbxContent>
              <w:p>
                <w:pPr>
                  <w:pStyle w:val="180"/>
                  <w:jc w:val="left"/>
                </w:pPr>
              </w:p>
            </w:txbxContent>
          </v:textbox>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35925"/>
    <w:rsid w:val="00000244"/>
    <w:rsid w:val="0000185F"/>
    <w:rsid w:val="0000586F"/>
    <w:rsid w:val="00013D86"/>
    <w:rsid w:val="00013E02"/>
    <w:rsid w:val="0002143C"/>
    <w:rsid w:val="00021AE8"/>
    <w:rsid w:val="0002314A"/>
    <w:rsid w:val="00025A65"/>
    <w:rsid w:val="00026C31"/>
    <w:rsid w:val="00027280"/>
    <w:rsid w:val="00030C0D"/>
    <w:rsid w:val="000320A7"/>
    <w:rsid w:val="00035925"/>
    <w:rsid w:val="00037762"/>
    <w:rsid w:val="00040FE6"/>
    <w:rsid w:val="00043624"/>
    <w:rsid w:val="0004781F"/>
    <w:rsid w:val="00050FA8"/>
    <w:rsid w:val="00056E10"/>
    <w:rsid w:val="00062EFA"/>
    <w:rsid w:val="00067CDF"/>
    <w:rsid w:val="00074FBE"/>
    <w:rsid w:val="000813FF"/>
    <w:rsid w:val="00083A09"/>
    <w:rsid w:val="0009005E"/>
    <w:rsid w:val="00092857"/>
    <w:rsid w:val="00095EF3"/>
    <w:rsid w:val="000A1B56"/>
    <w:rsid w:val="000A20A9"/>
    <w:rsid w:val="000A48B1"/>
    <w:rsid w:val="000B0BEF"/>
    <w:rsid w:val="000B15DE"/>
    <w:rsid w:val="000B3143"/>
    <w:rsid w:val="000B68A4"/>
    <w:rsid w:val="000B7456"/>
    <w:rsid w:val="000C2F9F"/>
    <w:rsid w:val="000C571C"/>
    <w:rsid w:val="000C6B05"/>
    <w:rsid w:val="000C6DD6"/>
    <w:rsid w:val="000C73D4"/>
    <w:rsid w:val="000D3D4C"/>
    <w:rsid w:val="000D4F51"/>
    <w:rsid w:val="000D718B"/>
    <w:rsid w:val="000D7DBE"/>
    <w:rsid w:val="000E0C46"/>
    <w:rsid w:val="000E4087"/>
    <w:rsid w:val="000F030C"/>
    <w:rsid w:val="000F129C"/>
    <w:rsid w:val="001017D4"/>
    <w:rsid w:val="001056DE"/>
    <w:rsid w:val="00110FD4"/>
    <w:rsid w:val="00111270"/>
    <w:rsid w:val="00112294"/>
    <w:rsid w:val="001124C0"/>
    <w:rsid w:val="00116097"/>
    <w:rsid w:val="0012355C"/>
    <w:rsid w:val="001312B8"/>
    <w:rsid w:val="0013175F"/>
    <w:rsid w:val="00132E4B"/>
    <w:rsid w:val="001512B4"/>
    <w:rsid w:val="001620A5"/>
    <w:rsid w:val="00164E53"/>
    <w:rsid w:val="0016699D"/>
    <w:rsid w:val="00175159"/>
    <w:rsid w:val="00176208"/>
    <w:rsid w:val="0018099E"/>
    <w:rsid w:val="0018211B"/>
    <w:rsid w:val="001840D3"/>
    <w:rsid w:val="00184A06"/>
    <w:rsid w:val="00185B6C"/>
    <w:rsid w:val="001900F8"/>
    <w:rsid w:val="00191258"/>
    <w:rsid w:val="00191F02"/>
    <w:rsid w:val="00192680"/>
    <w:rsid w:val="00193037"/>
    <w:rsid w:val="00193A2C"/>
    <w:rsid w:val="001A288E"/>
    <w:rsid w:val="001A3780"/>
    <w:rsid w:val="001A5211"/>
    <w:rsid w:val="001A564C"/>
    <w:rsid w:val="001B0E2B"/>
    <w:rsid w:val="001B41EF"/>
    <w:rsid w:val="001B6DC2"/>
    <w:rsid w:val="001C149C"/>
    <w:rsid w:val="001C21AC"/>
    <w:rsid w:val="001C47BA"/>
    <w:rsid w:val="001C59EA"/>
    <w:rsid w:val="001D26B3"/>
    <w:rsid w:val="001D406C"/>
    <w:rsid w:val="001D41EE"/>
    <w:rsid w:val="001D72F7"/>
    <w:rsid w:val="001E0380"/>
    <w:rsid w:val="001E13B1"/>
    <w:rsid w:val="001E1541"/>
    <w:rsid w:val="001E4B85"/>
    <w:rsid w:val="001F3A19"/>
    <w:rsid w:val="001F4227"/>
    <w:rsid w:val="001F4B1B"/>
    <w:rsid w:val="00200689"/>
    <w:rsid w:val="00201B17"/>
    <w:rsid w:val="002239D5"/>
    <w:rsid w:val="00234467"/>
    <w:rsid w:val="00235CE3"/>
    <w:rsid w:val="0023768C"/>
    <w:rsid w:val="00237D8D"/>
    <w:rsid w:val="002414C6"/>
    <w:rsid w:val="00241DA2"/>
    <w:rsid w:val="00245A5F"/>
    <w:rsid w:val="00247FEE"/>
    <w:rsid w:val="00250E7D"/>
    <w:rsid w:val="002510AF"/>
    <w:rsid w:val="002565D5"/>
    <w:rsid w:val="002622C0"/>
    <w:rsid w:val="00267227"/>
    <w:rsid w:val="00272EE4"/>
    <w:rsid w:val="00275B60"/>
    <w:rsid w:val="002778AE"/>
    <w:rsid w:val="00282168"/>
    <w:rsid w:val="0028269A"/>
    <w:rsid w:val="00283590"/>
    <w:rsid w:val="00286973"/>
    <w:rsid w:val="00287DFB"/>
    <w:rsid w:val="00294E70"/>
    <w:rsid w:val="002A1924"/>
    <w:rsid w:val="002A7420"/>
    <w:rsid w:val="002B0F12"/>
    <w:rsid w:val="002B1308"/>
    <w:rsid w:val="002B4554"/>
    <w:rsid w:val="002B58F0"/>
    <w:rsid w:val="002C32C5"/>
    <w:rsid w:val="002C72D8"/>
    <w:rsid w:val="002D11FA"/>
    <w:rsid w:val="002E0DDF"/>
    <w:rsid w:val="002E2906"/>
    <w:rsid w:val="002E5635"/>
    <w:rsid w:val="002E64C3"/>
    <w:rsid w:val="002E6A2C"/>
    <w:rsid w:val="002F1D8C"/>
    <w:rsid w:val="002F21DA"/>
    <w:rsid w:val="00301F39"/>
    <w:rsid w:val="003033E2"/>
    <w:rsid w:val="00305FA8"/>
    <w:rsid w:val="00322CAC"/>
    <w:rsid w:val="00322F36"/>
    <w:rsid w:val="00323742"/>
    <w:rsid w:val="00325926"/>
    <w:rsid w:val="00327A8A"/>
    <w:rsid w:val="00327AF8"/>
    <w:rsid w:val="0033236F"/>
    <w:rsid w:val="00336610"/>
    <w:rsid w:val="00342E89"/>
    <w:rsid w:val="00343F73"/>
    <w:rsid w:val="00345060"/>
    <w:rsid w:val="0034599F"/>
    <w:rsid w:val="0035323B"/>
    <w:rsid w:val="0035601D"/>
    <w:rsid w:val="003606B7"/>
    <w:rsid w:val="003609D2"/>
    <w:rsid w:val="00363F22"/>
    <w:rsid w:val="00366EDC"/>
    <w:rsid w:val="00375564"/>
    <w:rsid w:val="00383191"/>
    <w:rsid w:val="00386DED"/>
    <w:rsid w:val="003871A7"/>
    <w:rsid w:val="003912E7"/>
    <w:rsid w:val="00391715"/>
    <w:rsid w:val="00392B83"/>
    <w:rsid w:val="00393947"/>
    <w:rsid w:val="00396FEA"/>
    <w:rsid w:val="003A0B56"/>
    <w:rsid w:val="003A2275"/>
    <w:rsid w:val="003A5B72"/>
    <w:rsid w:val="003A6A4F"/>
    <w:rsid w:val="003A7088"/>
    <w:rsid w:val="003B00DF"/>
    <w:rsid w:val="003B1275"/>
    <w:rsid w:val="003B1778"/>
    <w:rsid w:val="003B190A"/>
    <w:rsid w:val="003B2D32"/>
    <w:rsid w:val="003B5ACB"/>
    <w:rsid w:val="003C11CB"/>
    <w:rsid w:val="003C56E5"/>
    <w:rsid w:val="003C75F3"/>
    <w:rsid w:val="003C78A3"/>
    <w:rsid w:val="003D2E73"/>
    <w:rsid w:val="003E1867"/>
    <w:rsid w:val="003E386B"/>
    <w:rsid w:val="003E5729"/>
    <w:rsid w:val="003F4EE0"/>
    <w:rsid w:val="00401BEF"/>
    <w:rsid w:val="00402153"/>
    <w:rsid w:val="00402FC1"/>
    <w:rsid w:val="004143AE"/>
    <w:rsid w:val="004149B3"/>
    <w:rsid w:val="00420D24"/>
    <w:rsid w:val="00420E14"/>
    <w:rsid w:val="00421E7D"/>
    <w:rsid w:val="00425082"/>
    <w:rsid w:val="00426009"/>
    <w:rsid w:val="004274ED"/>
    <w:rsid w:val="00430F8B"/>
    <w:rsid w:val="00431DEB"/>
    <w:rsid w:val="00435C3F"/>
    <w:rsid w:val="00436147"/>
    <w:rsid w:val="00446578"/>
    <w:rsid w:val="00446B29"/>
    <w:rsid w:val="00446FAC"/>
    <w:rsid w:val="0044776A"/>
    <w:rsid w:val="00453F9A"/>
    <w:rsid w:val="00456E02"/>
    <w:rsid w:val="00471E91"/>
    <w:rsid w:val="00474675"/>
    <w:rsid w:val="0047470C"/>
    <w:rsid w:val="0047492E"/>
    <w:rsid w:val="004770F8"/>
    <w:rsid w:val="00483737"/>
    <w:rsid w:val="00486C0C"/>
    <w:rsid w:val="004A0A02"/>
    <w:rsid w:val="004A35F9"/>
    <w:rsid w:val="004B0E41"/>
    <w:rsid w:val="004B24C1"/>
    <w:rsid w:val="004B75F4"/>
    <w:rsid w:val="004C292F"/>
    <w:rsid w:val="004D0B71"/>
    <w:rsid w:val="004D1EB3"/>
    <w:rsid w:val="004D25FE"/>
    <w:rsid w:val="004D3C1D"/>
    <w:rsid w:val="004E193B"/>
    <w:rsid w:val="004F1294"/>
    <w:rsid w:val="00501328"/>
    <w:rsid w:val="00510280"/>
    <w:rsid w:val="00513D73"/>
    <w:rsid w:val="00513E27"/>
    <w:rsid w:val="00514A43"/>
    <w:rsid w:val="00516B35"/>
    <w:rsid w:val="00516DF9"/>
    <w:rsid w:val="005174E5"/>
    <w:rsid w:val="00522393"/>
    <w:rsid w:val="00522620"/>
    <w:rsid w:val="00525656"/>
    <w:rsid w:val="005258F3"/>
    <w:rsid w:val="00534C02"/>
    <w:rsid w:val="0054264B"/>
    <w:rsid w:val="00543786"/>
    <w:rsid w:val="0054745D"/>
    <w:rsid w:val="005500FE"/>
    <w:rsid w:val="00551B88"/>
    <w:rsid w:val="00552642"/>
    <w:rsid w:val="005533D7"/>
    <w:rsid w:val="0055435C"/>
    <w:rsid w:val="00557B4D"/>
    <w:rsid w:val="00561C16"/>
    <w:rsid w:val="00565127"/>
    <w:rsid w:val="00565F34"/>
    <w:rsid w:val="005703DE"/>
    <w:rsid w:val="005717E6"/>
    <w:rsid w:val="00574A5C"/>
    <w:rsid w:val="005829A5"/>
    <w:rsid w:val="0058464E"/>
    <w:rsid w:val="00585B79"/>
    <w:rsid w:val="00591C11"/>
    <w:rsid w:val="00596207"/>
    <w:rsid w:val="005A01CB"/>
    <w:rsid w:val="005A3DF2"/>
    <w:rsid w:val="005A58FF"/>
    <w:rsid w:val="005A5EAF"/>
    <w:rsid w:val="005A64C0"/>
    <w:rsid w:val="005B3C11"/>
    <w:rsid w:val="005C0C23"/>
    <w:rsid w:val="005C1C28"/>
    <w:rsid w:val="005C6DB5"/>
    <w:rsid w:val="005D2A7C"/>
    <w:rsid w:val="005E19E7"/>
    <w:rsid w:val="005E4863"/>
    <w:rsid w:val="005E4B8E"/>
    <w:rsid w:val="005E5A6E"/>
    <w:rsid w:val="005F30B9"/>
    <w:rsid w:val="005F340A"/>
    <w:rsid w:val="005F5FE3"/>
    <w:rsid w:val="00605021"/>
    <w:rsid w:val="00607C16"/>
    <w:rsid w:val="0061716C"/>
    <w:rsid w:val="006243A1"/>
    <w:rsid w:val="00630752"/>
    <w:rsid w:val="00632E56"/>
    <w:rsid w:val="00635CBA"/>
    <w:rsid w:val="00641DA7"/>
    <w:rsid w:val="006428F7"/>
    <w:rsid w:val="0064338B"/>
    <w:rsid w:val="00646542"/>
    <w:rsid w:val="00647610"/>
    <w:rsid w:val="00647B7C"/>
    <w:rsid w:val="006504F4"/>
    <w:rsid w:val="006531BD"/>
    <w:rsid w:val="006537CB"/>
    <w:rsid w:val="00654BC9"/>
    <w:rsid w:val="006552FD"/>
    <w:rsid w:val="006556F5"/>
    <w:rsid w:val="00661135"/>
    <w:rsid w:val="006630EE"/>
    <w:rsid w:val="00663AF3"/>
    <w:rsid w:val="00666B6C"/>
    <w:rsid w:val="00680E5A"/>
    <w:rsid w:val="00682682"/>
    <w:rsid w:val="00682702"/>
    <w:rsid w:val="00682EF7"/>
    <w:rsid w:val="00692368"/>
    <w:rsid w:val="0069304A"/>
    <w:rsid w:val="006A2EBC"/>
    <w:rsid w:val="006A44C8"/>
    <w:rsid w:val="006A5EA0"/>
    <w:rsid w:val="006A783B"/>
    <w:rsid w:val="006A7B33"/>
    <w:rsid w:val="006B2E0E"/>
    <w:rsid w:val="006B3CC5"/>
    <w:rsid w:val="006B4E13"/>
    <w:rsid w:val="006B75DD"/>
    <w:rsid w:val="006C1E40"/>
    <w:rsid w:val="006C2717"/>
    <w:rsid w:val="006C55A5"/>
    <w:rsid w:val="006C67E0"/>
    <w:rsid w:val="006C7ABA"/>
    <w:rsid w:val="006D0D60"/>
    <w:rsid w:val="006D1122"/>
    <w:rsid w:val="006D154E"/>
    <w:rsid w:val="006D3C00"/>
    <w:rsid w:val="006E3675"/>
    <w:rsid w:val="006E4A7F"/>
    <w:rsid w:val="006E55E5"/>
    <w:rsid w:val="006E6218"/>
    <w:rsid w:val="006F08E5"/>
    <w:rsid w:val="006F2B57"/>
    <w:rsid w:val="00704DF6"/>
    <w:rsid w:val="0070651C"/>
    <w:rsid w:val="007125F5"/>
    <w:rsid w:val="007132A3"/>
    <w:rsid w:val="00716421"/>
    <w:rsid w:val="00724EFB"/>
    <w:rsid w:val="00727813"/>
    <w:rsid w:val="007330F5"/>
    <w:rsid w:val="00737E42"/>
    <w:rsid w:val="00740793"/>
    <w:rsid w:val="007419C3"/>
    <w:rsid w:val="007467A7"/>
    <w:rsid w:val="007469DD"/>
    <w:rsid w:val="0074741B"/>
    <w:rsid w:val="0074759E"/>
    <w:rsid w:val="007478EA"/>
    <w:rsid w:val="00753888"/>
    <w:rsid w:val="0075415C"/>
    <w:rsid w:val="00756D73"/>
    <w:rsid w:val="00763502"/>
    <w:rsid w:val="007647A1"/>
    <w:rsid w:val="00766E2D"/>
    <w:rsid w:val="00773EEF"/>
    <w:rsid w:val="00780C5B"/>
    <w:rsid w:val="0078143C"/>
    <w:rsid w:val="007913AB"/>
    <w:rsid w:val="007914F7"/>
    <w:rsid w:val="00797CC4"/>
    <w:rsid w:val="007A0BD4"/>
    <w:rsid w:val="007A0C20"/>
    <w:rsid w:val="007A1F84"/>
    <w:rsid w:val="007A3C09"/>
    <w:rsid w:val="007A4985"/>
    <w:rsid w:val="007A60C0"/>
    <w:rsid w:val="007B1625"/>
    <w:rsid w:val="007B17F1"/>
    <w:rsid w:val="007B706E"/>
    <w:rsid w:val="007B71EB"/>
    <w:rsid w:val="007C1FD1"/>
    <w:rsid w:val="007C6205"/>
    <w:rsid w:val="007C686A"/>
    <w:rsid w:val="007C728E"/>
    <w:rsid w:val="007D2C53"/>
    <w:rsid w:val="007D3D60"/>
    <w:rsid w:val="007D43F6"/>
    <w:rsid w:val="007D6B41"/>
    <w:rsid w:val="007E1980"/>
    <w:rsid w:val="007E2109"/>
    <w:rsid w:val="007E2EF7"/>
    <w:rsid w:val="007E4B76"/>
    <w:rsid w:val="007E5EA8"/>
    <w:rsid w:val="007E61E5"/>
    <w:rsid w:val="007F0CF1"/>
    <w:rsid w:val="007F12A5"/>
    <w:rsid w:val="007F4CF1"/>
    <w:rsid w:val="007F758D"/>
    <w:rsid w:val="007F7D52"/>
    <w:rsid w:val="00801225"/>
    <w:rsid w:val="00801E59"/>
    <w:rsid w:val="008040F6"/>
    <w:rsid w:val="0080654C"/>
    <w:rsid w:val="008071C6"/>
    <w:rsid w:val="00807F63"/>
    <w:rsid w:val="00810CD6"/>
    <w:rsid w:val="00817A00"/>
    <w:rsid w:val="00825242"/>
    <w:rsid w:val="00833CE1"/>
    <w:rsid w:val="00835DB3"/>
    <w:rsid w:val="0083617B"/>
    <w:rsid w:val="00836C75"/>
    <w:rsid w:val="008371BD"/>
    <w:rsid w:val="00841974"/>
    <w:rsid w:val="008464AF"/>
    <w:rsid w:val="008504A8"/>
    <w:rsid w:val="0085282E"/>
    <w:rsid w:val="0087198C"/>
    <w:rsid w:val="00872C1F"/>
    <w:rsid w:val="0087319E"/>
    <w:rsid w:val="00873B42"/>
    <w:rsid w:val="00884502"/>
    <w:rsid w:val="008856D8"/>
    <w:rsid w:val="0088620D"/>
    <w:rsid w:val="00890F31"/>
    <w:rsid w:val="00892E82"/>
    <w:rsid w:val="008961FA"/>
    <w:rsid w:val="008B1129"/>
    <w:rsid w:val="008C1B58"/>
    <w:rsid w:val="008C3471"/>
    <w:rsid w:val="008C39AE"/>
    <w:rsid w:val="008C58CE"/>
    <w:rsid w:val="008C590D"/>
    <w:rsid w:val="008D2E24"/>
    <w:rsid w:val="008D4633"/>
    <w:rsid w:val="008D54FE"/>
    <w:rsid w:val="008D6105"/>
    <w:rsid w:val="008E031B"/>
    <w:rsid w:val="008E11D8"/>
    <w:rsid w:val="008E7029"/>
    <w:rsid w:val="008E7EF6"/>
    <w:rsid w:val="008F0A89"/>
    <w:rsid w:val="008F1F98"/>
    <w:rsid w:val="008F5424"/>
    <w:rsid w:val="008F6758"/>
    <w:rsid w:val="008F7B6A"/>
    <w:rsid w:val="009002A3"/>
    <w:rsid w:val="009040DD"/>
    <w:rsid w:val="00905B47"/>
    <w:rsid w:val="0091331C"/>
    <w:rsid w:val="00924ABF"/>
    <w:rsid w:val="00924B82"/>
    <w:rsid w:val="009279DE"/>
    <w:rsid w:val="00930116"/>
    <w:rsid w:val="00934240"/>
    <w:rsid w:val="0094212C"/>
    <w:rsid w:val="00954689"/>
    <w:rsid w:val="009562F6"/>
    <w:rsid w:val="009565B2"/>
    <w:rsid w:val="009617C9"/>
    <w:rsid w:val="00961C93"/>
    <w:rsid w:val="00965324"/>
    <w:rsid w:val="009659F8"/>
    <w:rsid w:val="00965BE0"/>
    <w:rsid w:val="0097091E"/>
    <w:rsid w:val="009719A2"/>
    <w:rsid w:val="00972463"/>
    <w:rsid w:val="009760D3"/>
    <w:rsid w:val="00977132"/>
    <w:rsid w:val="00981A4B"/>
    <w:rsid w:val="00982501"/>
    <w:rsid w:val="009874A3"/>
    <w:rsid w:val="009877D3"/>
    <w:rsid w:val="00994E8F"/>
    <w:rsid w:val="009951DC"/>
    <w:rsid w:val="009959BB"/>
    <w:rsid w:val="00997158"/>
    <w:rsid w:val="009A3A7C"/>
    <w:rsid w:val="009B07BB"/>
    <w:rsid w:val="009B1CDA"/>
    <w:rsid w:val="009B2ADB"/>
    <w:rsid w:val="009B603A"/>
    <w:rsid w:val="009C1928"/>
    <w:rsid w:val="009C2D0E"/>
    <w:rsid w:val="009C3DAC"/>
    <w:rsid w:val="009C42E0"/>
    <w:rsid w:val="009D1EBE"/>
    <w:rsid w:val="009D49B0"/>
    <w:rsid w:val="009D5362"/>
    <w:rsid w:val="009D77A3"/>
    <w:rsid w:val="009E1415"/>
    <w:rsid w:val="009E4356"/>
    <w:rsid w:val="009E6116"/>
    <w:rsid w:val="009F014D"/>
    <w:rsid w:val="009F2E64"/>
    <w:rsid w:val="00A014C1"/>
    <w:rsid w:val="00A0219B"/>
    <w:rsid w:val="00A02E43"/>
    <w:rsid w:val="00A065F9"/>
    <w:rsid w:val="00A07F34"/>
    <w:rsid w:val="00A10D01"/>
    <w:rsid w:val="00A17C85"/>
    <w:rsid w:val="00A22154"/>
    <w:rsid w:val="00A25C38"/>
    <w:rsid w:val="00A35583"/>
    <w:rsid w:val="00A36BBE"/>
    <w:rsid w:val="00A41EEE"/>
    <w:rsid w:val="00A4307A"/>
    <w:rsid w:val="00A47EBB"/>
    <w:rsid w:val="00A51CDD"/>
    <w:rsid w:val="00A56D9E"/>
    <w:rsid w:val="00A57825"/>
    <w:rsid w:val="00A60115"/>
    <w:rsid w:val="00A65253"/>
    <w:rsid w:val="00A66CDA"/>
    <w:rsid w:val="00A6730D"/>
    <w:rsid w:val="00A678C1"/>
    <w:rsid w:val="00A71625"/>
    <w:rsid w:val="00A71B9B"/>
    <w:rsid w:val="00A751C7"/>
    <w:rsid w:val="00A7553A"/>
    <w:rsid w:val="00A75E8A"/>
    <w:rsid w:val="00A76352"/>
    <w:rsid w:val="00A835B6"/>
    <w:rsid w:val="00A83D58"/>
    <w:rsid w:val="00A87844"/>
    <w:rsid w:val="00A93DBA"/>
    <w:rsid w:val="00A97E8A"/>
    <w:rsid w:val="00AA038C"/>
    <w:rsid w:val="00AA0B04"/>
    <w:rsid w:val="00AA4870"/>
    <w:rsid w:val="00AA7A09"/>
    <w:rsid w:val="00AB3B50"/>
    <w:rsid w:val="00AC021C"/>
    <w:rsid w:val="00AC05B1"/>
    <w:rsid w:val="00AC2E4C"/>
    <w:rsid w:val="00AC5170"/>
    <w:rsid w:val="00AD356C"/>
    <w:rsid w:val="00AD76E4"/>
    <w:rsid w:val="00AE1FD2"/>
    <w:rsid w:val="00AE2914"/>
    <w:rsid w:val="00AE32F1"/>
    <w:rsid w:val="00AE6D15"/>
    <w:rsid w:val="00B04182"/>
    <w:rsid w:val="00B044F5"/>
    <w:rsid w:val="00B07AE3"/>
    <w:rsid w:val="00B11430"/>
    <w:rsid w:val="00B12AA3"/>
    <w:rsid w:val="00B14C57"/>
    <w:rsid w:val="00B21259"/>
    <w:rsid w:val="00B23755"/>
    <w:rsid w:val="00B23EAE"/>
    <w:rsid w:val="00B333C1"/>
    <w:rsid w:val="00B353EB"/>
    <w:rsid w:val="00B35B2D"/>
    <w:rsid w:val="00B439C4"/>
    <w:rsid w:val="00B4535E"/>
    <w:rsid w:val="00B46923"/>
    <w:rsid w:val="00B50B3F"/>
    <w:rsid w:val="00B5228F"/>
    <w:rsid w:val="00B52A8C"/>
    <w:rsid w:val="00B568D6"/>
    <w:rsid w:val="00B636A8"/>
    <w:rsid w:val="00B665C6"/>
    <w:rsid w:val="00B670BE"/>
    <w:rsid w:val="00B77C44"/>
    <w:rsid w:val="00B805AF"/>
    <w:rsid w:val="00B820BE"/>
    <w:rsid w:val="00B84104"/>
    <w:rsid w:val="00B8550D"/>
    <w:rsid w:val="00B869EC"/>
    <w:rsid w:val="00B91F8E"/>
    <w:rsid w:val="00B920E7"/>
    <w:rsid w:val="00B9397A"/>
    <w:rsid w:val="00B9633D"/>
    <w:rsid w:val="00BA2EBE"/>
    <w:rsid w:val="00BA4A3C"/>
    <w:rsid w:val="00BB0F28"/>
    <w:rsid w:val="00BB458A"/>
    <w:rsid w:val="00BC3947"/>
    <w:rsid w:val="00BC4EEB"/>
    <w:rsid w:val="00BC6596"/>
    <w:rsid w:val="00BD00D3"/>
    <w:rsid w:val="00BD1659"/>
    <w:rsid w:val="00BD1FAF"/>
    <w:rsid w:val="00BD2354"/>
    <w:rsid w:val="00BD3AA9"/>
    <w:rsid w:val="00BD4A18"/>
    <w:rsid w:val="00BD6DB2"/>
    <w:rsid w:val="00BE11CF"/>
    <w:rsid w:val="00BE21AB"/>
    <w:rsid w:val="00BE231C"/>
    <w:rsid w:val="00BE26C4"/>
    <w:rsid w:val="00BE55CB"/>
    <w:rsid w:val="00BF4003"/>
    <w:rsid w:val="00BF617A"/>
    <w:rsid w:val="00BF6623"/>
    <w:rsid w:val="00C0379D"/>
    <w:rsid w:val="00C03931"/>
    <w:rsid w:val="00C05FE3"/>
    <w:rsid w:val="00C144CE"/>
    <w:rsid w:val="00C158A7"/>
    <w:rsid w:val="00C15C4B"/>
    <w:rsid w:val="00C2136D"/>
    <w:rsid w:val="00C214EE"/>
    <w:rsid w:val="00C2314B"/>
    <w:rsid w:val="00C24971"/>
    <w:rsid w:val="00C26BE5"/>
    <w:rsid w:val="00C26E4D"/>
    <w:rsid w:val="00C27909"/>
    <w:rsid w:val="00C27B03"/>
    <w:rsid w:val="00C30058"/>
    <w:rsid w:val="00C314E1"/>
    <w:rsid w:val="00C316E7"/>
    <w:rsid w:val="00C34397"/>
    <w:rsid w:val="00C4095D"/>
    <w:rsid w:val="00C40A9B"/>
    <w:rsid w:val="00C43762"/>
    <w:rsid w:val="00C444CA"/>
    <w:rsid w:val="00C447EE"/>
    <w:rsid w:val="00C478DD"/>
    <w:rsid w:val="00C47F5F"/>
    <w:rsid w:val="00C601D2"/>
    <w:rsid w:val="00C65BCC"/>
    <w:rsid w:val="00C662B0"/>
    <w:rsid w:val="00C66970"/>
    <w:rsid w:val="00C74773"/>
    <w:rsid w:val="00C75F3D"/>
    <w:rsid w:val="00C8691C"/>
    <w:rsid w:val="00C93E7A"/>
    <w:rsid w:val="00C96E89"/>
    <w:rsid w:val="00CA168A"/>
    <w:rsid w:val="00CA17B2"/>
    <w:rsid w:val="00CA357E"/>
    <w:rsid w:val="00CA44F9"/>
    <w:rsid w:val="00CA4A69"/>
    <w:rsid w:val="00CA5961"/>
    <w:rsid w:val="00CB3C8C"/>
    <w:rsid w:val="00CB7172"/>
    <w:rsid w:val="00CC0C9B"/>
    <w:rsid w:val="00CC3E0C"/>
    <w:rsid w:val="00CC58D3"/>
    <w:rsid w:val="00CC6129"/>
    <w:rsid w:val="00CC784D"/>
    <w:rsid w:val="00CD035B"/>
    <w:rsid w:val="00CE0812"/>
    <w:rsid w:val="00CF1811"/>
    <w:rsid w:val="00CF6975"/>
    <w:rsid w:val="00D002ED"/>
    <w:rsid w:val="00D0258F"/>
    <w:rsid w:val="00D0337B"/>
    <w:rsid w:val="00D04DF7"/>
    <w:rsid w:val="00D0667D"/>
    <w:rsid w:val="00D06BE1"/>
    <w:rsid w:val="00D079B2"/>
    <w:rsid w:val="00D11322"/>
    <w:rsid w:val="00D114E9"/>
    <w:rsid w:val="00D24EF1"/>
    <w:rsid w:val="00D27523"/>
    <w:rsid w:val="00D37FAE"/>
    <w:rsid w:val="00D429C6"/>
    <w:rsid w:val="00D4355F"/>
    <w:rsid w:val="00D43C1F"/>
    <w:rsid w:val="00D44A8A"/>
    <w:rsid w:val="00D47748"/>
    <w:rsid w:val="00D51C63"/>
    <w:rsid w:val="00D54CC3"/>
    <w:rsid w:val="00D6041A"/>
    <w:rsid w:val="00D633EB"/>
    <w:rsid w:val="00D74FA0"/>
    <w:rsid w:val="00D779E3"/>
    <w:rsid w:val="00D808C2"/>
    <w:rsid w:val="00D82FF5"/>
    <w:rsid w:val="00D82FF7"/>
    <w:rsid w:val="00D847FE"/>
    <w:rsid w:val="00D91BC6"/>
    <w:rsid w:val="00D964EA"/>
    <w:rsid w:val="00D966D0"/>
    <w:rsid w:val="00DA0C59"/>
    <w:rsid w:val="00DA2E90"/>
    <w:rsid w:val="00DA3991"/>
    <w:rsid w:val="00DB53CE"/>
    <w:rsid w:val="00DB6EA4"/>
    <w:rsid w:val="00DB7E6C"/>
    <w:rsid w:val="00DC0CB3"/>
    <w:rsid w:val="00DD1752"/>
    <w:rsid w:val="00DD2896"/>
    <w:rsid w:val="00DD5A29"/>
    <w:rsid w:val="00DD5D9D"/>
    <w:rsid w:val="00DE1BD7"/>
    <w:rsid w:val="00DE35CB"/>
    <w:rsid w:val="00DF21E9"/>
    <w:rsid w:val="00DF3622"/>
    <w:rsid w:val="00DF4B57"/>
    <w:rsid w:val="00E00F14"/>
    <w:rsid w:val="00E03452"/>
    <w:rsid w:val="00E06386"/>
    <w:rsid w:val="00E069B7"/>
    <w:rsid w:val="00E06C99"/>
    <w:rsid w:val="00E110DB"/>
    <w:rsid w:val="00E23243"/>
    <w:rsid w:val="00E24EB4"/>
    <w:rsid w:val="00E320ED"/>
    <w:rsid w:val="00E33AFB"/>
    <w:rsid w:val="00E34218"/>
    <w:rsid w:val="00E378BA"/>
    <w:rsid w:val="00E42B5C"/>
    <w:rsid w:val="00E449BD"/>
    <w:rsid w:val="00E46282"/>
    <w:rsid w:val="00E51BFA"/>
    <w:rsid w:val="00E5216E"/>
    <w:rsid w:val="00E55562"/>
    <w:rsid w:val="00E56989"/>
    <w:rsid w:val="00E82344"/>
    <w:rsid w:val="00E84C82"/>
    <w:rsid w:val="00E84D64"/>
    <w:rsid w:val="00E87408"/>
    <w:rsid w:val="00E914C4"/>
    <w:rsid w:val="00E92F43"/>
    <w:rsid w:val="00E934F5"/>
    <w:rsid w:val="00E95B75"/>
    <w:rsid w:val="00E96961"/>
    <w:rsid w:val="00EA72EC"/>
    <w:rsid w:val="00EB0681"/>
    <w:rsid w:val="00EB11CB"/>
    <w:rsid w:val="00EB275A"/>
    <w:rsid w:val="00EB5778"/>
    <w:rsid w:val="00EB786A"/>
    <w:rsid w:val="00EC1578"/>
    <w:rsid w:val="00EC1C72"/>
    <w:rsid w:val="00EC3CC9"/>
    <w:rsid w:val="00EC45A8"/>
    <w:rsid w:val="00EC680A"/>
    <w:rsid w:val="00EC6B07"/>
    <w:rsid w:val="00ED6427"/>
    <w:rsid w:val="00EE28BF"/>
    <w:rsid w:val="00EE2BED"/>
    <w:rsid w:val="00EE374B"/>
    <w:rsid w:val="00EF0382"/>
    <w:rsid w:val="00EF3100"/>
    <w:rsid w:val="00EF4233"/>
    <w:rsid w:val="00EF7841"/>
    <w:rsid w:val="00EF7B8D"/>
    <w:rsid w:val="00F11BB5"/>
    <w:rsid w:val="00F1417B"/>
    <w:rsid w:val="00F16000"/>
    <w:rsid w:val="00F262CD"/>
    <w:rsid w:val="00F32DF0"/>
    <w:rsid w:val="00F331C4"/>
    <w:rsid w:val="00F34B99"/>
    <w:rsid w:val="00F36D92"/>
    <w:rsid w:val="00F37305"/>
    <w:rsid w:val="00F3785C"/>
    <w:rsid w:val="00F407CE"/>
    <w:rsid w:val="00F40D39"/>
    <w:rsid w:val="00F45AD6"/>
    <w:rsid w:val="00F52DAB"/>
    <w:rsid w:val="00F53B68"/>
    <w:rsid w:val="00F543F0"/>
    <w:rsid w:val="00F57D1D"/>
    <w:rsid w:val="00F6315E"/>
    <w:rsid w:val="00F6450A"/>
    <w:rsid w:val="00F70313"/>
    <w:rsid w:val="00F81D29"/>
    <w:rsid w:val="00F81E74"/>
    <w:rsid w:val="00F91C4D"/>
    <w:rsid w:val="00F92FD9"/>
    <w:rsid w:val="00FA1BC2"/>
    <w:rsid w:val="00FA6684"/>
    <w:rsid w:val="00FA731E"/>
    <w:rsid w:val="00FA7A79"/>
    <w:rsid w:val="00FB2B38"/>
    <w:rsid w:val="00FB45A4"/>
    <w:rsid w:val="00FB68C4"/>
    <w:rsid w:val="00FC4AD5"/>
    <w:rsid w:val="00FC6358"/>
    <w:rsid w:val="00FC73E7"/>
    <w:rsid w:val="00FD320D"/>
    <w:rsid w:val="00FE23DE"/>
    <w:rsid w:val="00FE6B1F"/>
    <w:rsid w:val="00FF7400"/>
    <w:rsid w:val="0116312F"/>
    <w:rsid w:val="01847D8C"/>
    <w:rsid w:val="01B45D49"/>
    <w:rsid w:val="01D31020"/>
    <w:rsid w:val="01EE7C08"/>
    <w:rsid w:val="020D1F8F"/>
    <w:rsid w:val="022A6766"/>
    <w:rsid w:val="02495DE8"/>
    <w:rsid w:val="024E260C"/>
    <w:rsid w:val="025008C3"/>
    <w:rsid w:val="02571C51"/>
    <w:rsid w:val="02856F1D"/>
    <w:rsid w:val="029702A0"/>
    <w:rsid w:val="02A3400B"/>
    <w:rsid w:val="02C848FD"/>
    <w:rsid w:val="02D46FA4"/>
    <w:rsid w:val="03006316"/>
    <w:rsid w:val="03342C29"/>
    <w:rsid w:val="033A0C2B"/>
    <w:rsid w:val="035B3AD1"/>
    <w:rsid w:val="038D4285"/>
    <w:rsid w:val="03AE3AF3"/>
    <w:rsid w:val="03B739DD"/>
    <w:rsid w:val="03EB657D"/>
    <w:rsid w:val="03EE2141"/>
    <w:rsid w:val="04057445"/>
    <w:rsid w:val="040E3F71"/>
    <w:rsid w:val="04897EF4"/>
    <w:rsid w:val="04E0301E"/>
    <w:rsid w:val="04E65000"/>
    <w:rsid w:val="04EA1A75"/>
    <w:rsid w:val="053A146E"/>
    <w:rsid w:val="05404C1F"/>
    <w:rsid w:val="054F792E"/>
    <w:rsid w:val="05B13E09"/>
    <w:rsid w:val="05CE5DDA"/>
    <w:rsid w:val="05F70038"/>
    <w:rsid w:val="061003CD"/>
    <w:rsid w:val="06131703"/>
    <w:rsid w:val="064B4334"/>
    <w:rsid w:val="064C314F"/>
    <w:rsid w:val="067B3E1E"/>
    <w:rsid w:val="0682363B"/>
    <w:rsid w:val="06AB60C8"/>
    <w:rsid w:val="06E7572A"/>
    <w:rsid w:val="074309F6"/>
    <w:rsid w:val="075C054E"/>
    <w:rsid w:val="080D2814"/>
    <w:rsid w:val="084D0823"/>
    <w:rsid w:val="087025F0"/>
    <w:rsid w:val="08A76D63"/>
    <w:rsid w:val="08C26242"/>
    <w:rsid w:val="08EF7504"/>
    <w:rsid w:val="09267D92"/>
    <w:rsid w:val="0968691E"/>
    <w:rsid w:val="098F28BE"/>
    <w:rsid w:val="0A287AD4"/>
    <w:rsid w:val="0A740EC6"/>
    <w:rsid w:val="0AB50C5B"/>
    <w:rsid w:val="0AC43BFC"/>
    <w:rsid w:val="0B1F5220"/>
    <w:rsid w:val="0B261DEB"/>
    <w:rsid w:val="0B644D61"/>
    <w:rsid w:val="0B865473"/>
    <w:rsid w:val="0B8E150E"/>
    <w:rsid w:val="0B93025A"/>
    <w:rsid w:val="0BAB4440"/>
    <w:rsid w:val="0BEA58E4"/>
    <w:rsid w:val="0C195980"/>
    <w:rsid w:val="0C4D7E40"/>
    <w:rsid w:val="0C604A93"/>
    <w:rsid w:val="0C947C7F"/>
    <w:rsid w:val="0CBB102F"/>
    <w:rsid w:val="0CC270EF"/>
    <w:rsid w:val="0D002EE5"/>
    <w:rsid w:val="0D38267F"/>
    <w:rsid w:val="0D5A41A8"/>
    <w:rsid w:val="0D755303"/>
    <w:rsid w:val="0D95650D"/>
    <w:rsid w:val="0DC44F60"/>
    <w:rsid w:val="0DD025D1"/>
    <w:rsid w:val="0E0407B3"/>
    <w:rsid w:val="0E686648"/>
    <w:rsid w:val="0E9B43B1"/>
    <w:rsid w:val="0EBC61A8"/>
    <w:rsid w:val="0ED816C1"/>
    <w:rsid w:val="0EDC7B53"/>
    <w:rsid w:val="0F3B03B4"/>
    <w:rsid w:val="0F4C5F6E"/>
    <w:rsid w:val="0F5C08A7"/>
    <w:rsid w:val="0F8331E3"/>
    <w:rsid w:val="0F902A8D"/>
    <w:rsid w:val="0FB64F1D"/>
    <w:rsid w:val="10293C45"/>
    <w:rsid w:val="108005C5"/>
    <w:rsid w:val="10BC7123"/>
    <w:rsid w:val="10CF32FA"/>
    <w:rsid w:val="111056B2"/>
    <w:rsid w:val="11147B26"/>
    <w:rsid w:val="12255847"/>
    <w:rsid w:val="1226265A"/>
    <w:rsid w:val="12630C91"/>
    <w:rsid w:val="126D2E86"/>
    <w:rsid w:val="12C544E8"/>
    <w:rsid w:val="12F85F81"/>
    <w:rsid w:val="136960CC"/>
    <w:rsid w:val="13A22600"/>
    <w:rsid w:val="13E02EA6"/>
    <w:rsid w:val="13E470BD"/>
    <w:rsid w:val="13EE1CEA"/>
    <w:rsid w:val="1432448F"/>
    <w:rsid w:val="14611950"/>
    <w:rsid w:val="14636234"/>
    <w:rsid w:val="146B0872"/>
    <w:rsid w:val="14B922F8"/>
    <w:rsid w:val="14DE7E87"/>
    <w:rsid w:val="14E34F0B"/>
    <w:rsid w:val="14ED4CDE"/>
    <w:rsid w:val="14F57881"/>
    <w:rsid w:val="15020412"/>
    <w:rsid w:val="153523E4"/>
    <w:rsid w:val="154A3C61"/>
    <w:rsid w:val="156C3839"/>
    <w:rsid w:val="157D50D3"/>
    <w:rsid w:val="157F41DA"/>
    <w:rsid w:val="15C556F9"/>
    <w:rsid w:val="16797F90"/>
    <w:rsid w:val="169A7F07"/>
    <w:rsid w:val="16AF39B2"/>
    <w:rsid w:val="16E66CA8"/>
    <w:rsid w:val="17615CD6"/>
    <w:rsid w:val="178E7A6B"/>
    <w:rsid w:val="17FF44C5"/>
    <w:rsid w:val="180943D0"/>
    <w:rsid w:val="187B6250"/>
    <w:rsid w:val="188D63B7"/>
    <w:rsid w:val="18A1732B"/>
    <w:rsid w:val="18D771F0"/>
    <w:rsid w:val="194303E2"/>
    <w:rsid w:val="19467ED2"/>
    <w:rsid w:val="195C611D"/>
    <w:rsid w:val="19636FDE"/>
    <w:rsid w:val="198D5C0C"/>
    <w:rsid w:val="19AA1497"/>
    <w:rsid w:val="1A62512A"/>
    <w:rsid w:val="1A8F01DF"/>
    <w:rsid w:val="1A92749A"/>
    <w:rsid w:val="1AA501B6"/>
    <w:rsid w:val="1AD63952"/>
    <w:rsid w:val="1AF44089"/>
    <w:rsid w:val="1B19798E"/>
    <w:rsid w:val="1B1B405C"/>
    <w:rsid w:val="1B7D4AEC"/>
    <w:rsid w:val="1B9662C9"/>
    <w:rsid w:val="1B9C64CF"/>
    <w:rsid w:val="1BBF1038"/>
    <w:rsid w:val="1BEB1466"/>
    <w:rsid w:val="1BEF65FF"/>
    <w:rsid w:val="1C205CA5"/>
    <w:rsid w:val="1C261C46"/>
    <w:rsid w:val="1C370283"/>
    <w:rsid w:val="1C4B7798"/>
    <w:rsid w:val="1C66475C"/>
    <w:rsid w:val="1C931D72"/>
    <w:rsid w:val="1CA46F09"/>
    <w:rsid w:val="1CD04682"/>
    <w:rsid w:val="1CF15B26"/>
    <w:rsid w:val="1D0600A4"/>
    <w:rsid w:val="1D3249F5"/>
    <w:rsid w:val="1D537B4A"/>
    <w:rsid w:val="1D5C5F16"/>
    <w:rsid w:val="1D5F55EA"/>
    <w:rsid w:val="1D601F15"/>
    <w:rsid w:val="1D994A74"/>
    <w:rsid w:val="1E126130"/>
    <w:rsid w:val="1E5A0EEC"/>
    <w:rsid w:val="1E5F4C78"/>
    <w:rsid w:val="1EEB04DE"/>
    <w:rsid w:val="1F0675F1"/>
    <w:rsid w:val="1F4101E8"/>
    <w:rsid w:val="1F4A292C"/>
    <w:rsid w:val="1F9736ED"/>
    <w:rsid w:val="1FAB483B"/>
    <w:rsid w:val="1FDC333E"/>
    <w:rsid w:val="20290DDF"/>
    <w:rsid w:val="203504EF"/>
    <w:rsid w:val="20517A3B"/>
    <w:rsid w:val="20654B11"/>
    <w:rsid w:val="207812B9"/>
    <w:rsid w:val="207C2D09"/>
    <w:rsid w:val="20B00A53"/>
    <w:rsid w:val="21026DD4"/>
    <w:rsid w:val="212A3873"/>
    <w:rsid w:val="21355782"/>
    <w:rsid w:val="21366A7E"/>
    <w:rsid w:val="213E1843"/>
    <w:rsid w:val="21CD73E2"/>
    <w:rsid w:val="21FF3314"/>
    <w:rsid w:val="227B36FF"/>
    <w:rsid w:val="22AA54ED"/>
    <w:rsid w:val="22D93EA4"/>
    <w:rsid w:val="22FF7A6F"/>
    <w:rsid w:val="23024E6A"/>
    <w:rsid w:val="23152EBB"/>
    <w:rsid w:val="231F39BD"/>
    <w:rsid w:val="23675615"/>
    <w:rsid w:val="23D7396C"/>
    <w:rsid w:val="23EE2FFA"/>
    <w:rsid w:val="242A0B1C"/>
    <w:rsid w:val="245014EE"/>
    <w:rsid w:val="24853FA4"/>
    <w:rsid w:val="2499581B"/>
    <w:rsid w:val="24BB5C18"/>
    <w:rsid w:val="24F8187E"/>
    <w:rsid w:val="253F4FD8"/>
    <w:rsid w:val="254B0F69"/>
    <w:rsid w:val="25D52D09"/>
    <w:rsid w:val="262A72BD"/>
    <w:rsid w:val="264B4D7A"/>
    <w:rsid w:val="269E134D"/>
    <w:rsid w:val="26DB171B"/>
    <w:rsid w:val="26E825C8"/>
    <w:rsid w:val="27207FB4"/>
    <w:rsid w:val="27351CB2"/>
    <w:rsid w:val="276C10EC"/>
    <w:rsid w:val="27890774"/>
    <w:rsid w:val="27A24E6D"/>
    <w:rsid w:val="27AB3D22"/>
    <w:rsid w:val="27DD5EA5"/>
    <w:rsid w:val="27FE3FB7"/>
    <w:rsid w:val="280577DA"/>
    <w:rsid w:val="28247630"/>
    <w:rsid w:val="28341F69"/>
    <w:rsid w:val="284E3E01"/>
    <w:rsid w:val="2858106A"/>
    <w:rsid w:val="288E28B9"/>
    <w:rsid w:val="289A5B01"/>
    <w:rsid w:val="289E25D4"/>
    <w:rsid w:val="28C826B1"/>
    <w:rsid w:val="28CC04A2"/>
    <w:rsid w:val="299B6018"/>
    <w:rsid w:val="29C37707"/>
    <w:rsid w:val="2A235D5A"/>
    <w:rsid w:val="2A276249"/>
    <w:rsid w:val="2A2C7BF8"/>
    <w:rsid w:val="2A5A40E3"/>
    <w:rsid w:val="2A941149"/>
    <w:rsid w:val="2B0D4CF3"/>
    <w:rsid w:val="2B0F4F54"/>
    <w:rsid w:val="2B2C7FA6"/>
    <w:rsid w:val="2B2E33DC"/>
    <w:rsid w:val="2B4D6E9E"/>
    <w:rsid w:val="2B9D67B5"/>
    <w:rsid w:val="2BAF36A5"/>
    <w:rsid w:val="2BB313F7"/>
    <w:rsid w:val="2BCA465C"/>
    <w:rsid w:val="2BD1012C"/>
    <w:rsid w:val="2C542815"/>
    <w:rsid w:val="2CB371D5"/>
    <w:rsid w:val="2CB43DC1"/>
    <w:rsid w:val="2CDE06F5"/>
    <w:rsid w:val="2CE4504B"/>
    <w:rsid w:val="2CE657FC"/>
    <w:rsid w:val="2D7D6554"/>
    <w:rsid w:val="2D9A1387"/>
    <w:rsid w:val="2DBD47AF"/>
    <w:rsid w:val="2DFF05B5"/>
    <w:rsid w:val="2E331677"/>
    <w:rsid w:val="2E444896"/>
    <w:rsid w:val="2EA5518D"/>
    <w:rsid w:val="2EE73567"/>
    <w:rsid w:val="2F4D2B7D"/>
    <w:rsid w:val="2F61560E"/>
    <w:rsid w:val="2F6619BB"/>
    <w:rsid w:val="2F946F10"/>
    <w:rsid w:val="2FB4250F"/>
    <w:rsid w:val="2FB5713A"/>
    <w:rsid w:val="300627FA"/>
    <w:rsid w:val="303D5733"/>
    <w:rsid w:val="307F063C"/>
    <w:rsid w:val="30CD4977"/>
    <w:rsid w:val="30F12348"/>
    <w:rsid w:val="31032ACA"/>
    <w:rsid w:val="31144F1E"/>
    <w:rsid w:val="31737D56"/>
    <w:rsid w:val="31B46CE6"/>
    <w:rsid w:val="31E7694A"/>
    <w:rsid w:val="320D758B"/>
    <w:rsid w:val="321A7961"/>
    <w:rsid w:val="32806B35"/>
    <w:rsid w:val="33435CD4"/>
    <w:rsid w:val="334B552F"/>
    <w:rsid w:val="338547DD"/>
    <w:rsid w:val="33AB32FB"/>
    <w:rsid w:val="33EE132A"/>
    <w:rsid w:val="344E4C5D"/>
    <w:rsid w:val="344F7C94"/>
    <w:rsid w:val="345559CF"/>
    <w:rsid w:val="348576A9"/>
    <w:rsid w:val="351849C1"/>
    <w:rsid w:val="356412B0"/>
    <w:rsid w:val="363E7055"/>
    <w:rsid w:val="367813E7"/>
    <w:rsid w:val="372E0629"/>
    <w:rsid w:val="37412A15"/>
    <w:rsid w:val="37962E67"/>
    <w:rsid w:val="37996F5E"/>
    <w:rsid w:val="37AB4A2D"/>
    <w:rsid w:val="37B07132"/>
    <w:rsid w:val="37E62B54"/>
    <w:rsid w:val="37F812F6"/>
    <w:rsid w:val="37FD7BE5"/>
    <w:rsid w:val="382E6903"/>
    <w:rsid w:val="385F4B46"/>
    <w:rsid w:val="386137CA"/>
    <w:rsid w:val="38762387"/>
    <w:rsid w:val="38797524"/>
    <w:rsid w:val="38860F0C"/>
    <w:rsid w:val="38A247BC"/>
    <w:rsid w:val="38D330D8"/>
    <w:rsid w:val="38ED15F2"/>
    <w:rsid w:val="38F559D1"/>
    <w:rsid w:val="392720F5"/>
    <w:rsid w:val="393B0C7E"/>
    <w:rsid w:val="393D0473"/>
    <w:rsid w:val="396718E6"/>
    <w:rsid w:val="39AC03CF"/>
    <w:rsid w:val="39BF365D"/>
    <w:rsid w:val="3A5913BB"/>
    <w:rsid w:val="3AA33298"/>
    <w:rsid w:val="3AF83CD7"/>
    <w:rsid w:val="3B0A0A57"/>
    <w:rsid w:val="3B13104E"/>
    <w:rsid w:val="3B6E744F"/>
    <w:rsid w:val="3B742225"/>
    <w:rsid w:val="3BA17144"/>
    <w:rsid w:val="3BB23479"/>
    <w:rsid w:val="3BE50241"/>
    <w:rsid w:val="3C12216A"/>
    <w:rsid w:val="3C340332"/>
    <w:rsid w:val="3CDE5D63"/>
    <w:rsid w:val="3CE939E5"/>
    <w:rsid w:val="3CF63839"/>
    <w:rsid w:val="3D025F59"/>
    <w:rsid w:val="3D053A7C"/>
    <w:rsid w:val="3D155D37"/>
    <w:rsid w:val="3D160B60"/>
    <w:rsid w:val="3D1E4B3E"/>
    <w:rsid w:val="3D232155"/>
    <w:rsid w:val="3D6F45FA"/>
    <w:rsid w:val="3D7636E1"/>
    <w:rsid w:val="3D871DBE"/>
    <w:rsid w:val="3D9A48CD"/>
    <w:rsid w:val="3D9E268C"/>
    <w:rsid w:val="3DA6257A"/>
    <w:rsid w:val="3DEB2C72"/>
    <w:rsid w:val="3E012496"/>
    <w:rsid w:val="3E3C5AEC"/>
    <w:rsid w:val="3ED100BA"/>
    <w:rsid w:val="3EE67E2F"/>
    <w:rsid w:val="3F6251B6"/>
    <w:rsid w:val="3F807738"/>
    <w:rsid w:val="3F9919A7"/>
    <w:rsid w:val="3FA27361"/>
    <w:rsid w:val="3FA93C5B"/>
    <w:rsid w:val="3FC45529"/>
    <w:rsid w:val="3FCC6AD3"/>
    <w:rsid w:val="3FD87226"/>
    <w:rsid w:val="404C551E"/>
    <w:rsid w:val="40520AE1"/>
    <w:rsid w:val="409B7CF6"/>
    <w:rsid w:val="40B530C4"/>
    <w:rsid w:val="40D3585F"/>
    <w:rsid w:val="40DB5E27"/>
    <w:rsid w:val="415C6E14"/>
    <w:rsid w:val="418903BD"/>
    <w:rsid w:val="419876F3"/>
    <w:rsid w:val="41AA74CF"/>
    <w:rsid w:val="41DC2C91"/>
    <w:rsid w:val="42126FCF"/>
    <w:rsid w:val="42154762"/>
    <w:rsid w:val="42220C2D"/>
    <w:rsid w:val="42374F88"/>
    <w:rsid w:val="42767FB0"/>
    <w:rsid w:val="427F7EB7"/>
    <w:rsid w:val="429C5F86"/>
    <w:rsid w:val="42BC5B3B"/>
    <w:rsid w:val="42C45840"/>
    <w:rsid w:val="431629DA"/>
    <w:rsid w:val="432D5D17"/>
    <w:rsid w:val="435D397B"/>
    <w:rsid w:val="4374370A"/>
    <w:rsid w:val="437E00E5"/>
    <w:rsid w:val="43980E93"/>
    <w:rsid w:val="440B4438"/>
    <w:rsid w:val="444E530A"/>
    <w:rsid w:val="4468493A"/>
    <w:rsid w:val="44DC4298"/>
    <w:rsid w:val="44F763A1"/>
    <w:rsid w:val="450D6B09"/>
    <w:rsid w:val="45317C55"/>
    <w:rsid w:val="45691C9E"/>
    <w:rsid w:val="45A96652"/>
    <w:rsid w:val="45B147A1"/>
    <w:rsid w:val="45C30031"/>
    <w:rsid w:val="45CD2F7C"/>
    <w:rsid w:val="4620789F"/>
    <w:rsid w:val="46251909"/>
    <w:rsid w:val="46566AF0"/>
    <w:rsid w:val="46703147"/>
    <w:rsid w:val="46DA7D28"/>
    <w:rsid w:val="474E4C75"/>
    <w:rsid w:val="475166A7"/>
    <w:rsid w:val="476D0AD1"/>
    <w:rsid w:val="478C7274"/>
    <w:rsid w:val="47BD4D26"/>
    <w:rsid w:val="47C36A0E"/>
    <w:rsid w:val="47E726FC"/>
    <w:rsid w:val="483D10CA"/>
    <w:rsid w:val="487B0626"/>
    <w:rsid w:val="489A776F"/>
    <w:rsid w:val="489C48A3"/>
    <w:rsid w:val="48F809F4"/>
    <w:rsid w:val="49082E3B"/>
    <w:rsid w:val="4916491B"/>
    <w:rsid w:val="494A13E7"/>
    <w:rsid w:val="494D228E"/>
    <w:rsid w:val="49595313"/>
    <w:rsid w:val="49595797"/>
    <w:rsid w:val="496D4B43"/>
    <w:rsid w:val="49755B2C"/>
    <w:rsid w:val="49793897"/>
    <w:rsid w:val="49884C6E"/>
    <w:rsid w:val="49C12AD9"/>
    <w:rsid w:val="49EA7668"/>
    <w:rsid w:val="4A2D016F"/>
    <w:rsid w:val="4A4A6F73"/>
    <w:rsid w:val="4AA5064D"/>
    <w:rsid w:val="4AB3790F"/>
    <w:rsid w:val="4ACE1165"/>
    <w:rsid w:val="4AE83426"/>
    <w:rsid w:val="4B016EA5"/>
    <w:rsid w:val="4B3D3F3A"/>
    <w:rsid w:val="4B572665"/>
    <w:rsid w:val="4BA045F3"/>
    <w:rsid w:val="4BC746C2"/>
    <w:rsid w:val="4BE3142D"/>
    <w:rsid w:val="4C1E5EE5"/>
    <w:rsid w:val="4C3103EA"/>
    <w:rsid w:val="4C371778"/>
    <w:rsid w:val="4C602A7D"/>
    <w:rsid w:val="4C6A44D6"/>
    <w:rsid w:val="4C7942ED"/>
    <w:rsid w:val="4C830944"/>
    <w:rsid w:val="4C9B4300"/>
    <w:rsid w:val="4CB91C04"/>
    <w:rsid w:val="4CFC7E5E"/>
    <w:rsid w:val="4D44414D"/>
    <w:rsid w:val="4DFA2A5E"/>
    <w:rsid w:val="4E184311"/>
    <w:rsid w:val="4E6C7C7D"/>
    <w:rsid w:val="4E791299"/>
    <w:rsid w:val="4EA2737D"/>
    <w:rsid w:val="4EE334F2"/>
    <w:rsid w:val="4F027B37"/>
    <w:rsid w:val="4F245FE4"/>
    <w:rsid w:val="4F6466DA"/>
    <w:rsid w:val="4F681B17"/>
    <w:rsid w:val="4F6F0ED0"/>
    <w:rsid w:val="4FCE48F7"/>
    <w:rsid w:val="508B6DB9"/>
    <w:rsid w:val="50AA1394"/>
    <w:rsid w:val="50F25C6E"/>
    <w:rsid w:val="50FA0093"/>
    <w:rsid w:val="510009CC"/>
    <w:rsid w:val="511E4C85"/>
    <w:rsid w:val="514C255B"/>
    <w:rsid w:val="519F5DF6"/>
    <w:rsid w:val="51B06A29"/>
    <w:rsid w:val="520565F8"/>
    <w:rsid w:val="52096A39"/>
    <w:rsid w:val="52374280"/>
    <w:rsid w:val="52405B22"/>
    <w:rsid w:val="528A0854"/>
    <w:rsid w:val="529F3005"/>
    <w:rsid w:val="53140717"/>
    <w:rsid w:val="53285D72"/>
    <w:rsid w:val="533D36E6"/>
    <w:rsid w:val="534D7C10"/>
    <w:rsid w:val="53862D55"/>
    <w:rsid w:val="53C255E7"/>
    <w:rsid w:val="53C35362"/>
    <w:rsid w:val="54201E67"/>
    <w:rsid w:val="54643C15"/>
    <w:rsid w:val="549221DE"/>
    <w:rsid w:val="54CC4E7B"/>
    <w:rsid w:val="54E6391F"/>
    <w:rsid w:val="54E63D3C"/>
    <w:rsid w:val="54E8417D"/>
    <w:rsid w:val="55740DA0"/>
    <w:rsid w:val="55B55BE8"/>
    <w:rsid w:val="55E93AE3"/>
    <w:rsid w:val="561548D9"/>
    <w:rsid w:val="56411B0C"/>
    <w:rsid w:val="56416E40"/>
    <w:rsid w:val="564C0CA8"/>
    <w:rsid w:val="567D5F9A"/>
    <w:rsid w:val="568B23FA"/>
    <w:rsid w:val="569240D8"/>
    <w:rsid w:val="56A46DF5"/>
    <w:rsid w:val="56D14B28"/>
    <w:rsid w:val="56E43654"/>
    <w:rsid w:val="56FE35BF"/>
    <w:rsid w:val="570B4739"/>
    <w:rsid w:val="57405985"/>
    <w:rsid w:val="57651E07"/>
    <w:rsid w:val="57BF2474"/>
    <w:rsid w:val="57CC7219"/>
    <w:rsid w:val="583D4800"/>
    <w:rsid w:val="585C0CEE"/>
    <w:rsid w:val="589E6E07"/>
    <w:rsid w:val="58A30887"/>
    <w:rsid w:val="58B33661"/>
    <w:rsid w:val="58CA7F6E"/>
    <w:rsid w:val="58DF12DA"/>
    <w:rsid w:val="590B5B1F"/>
    <w:rsid w:val="593A75E0"/>
    <w:rsid w:val="595576F0"/>
    <w:rsid w:val="59575208"/>
    <w:rsid w:val="598F4F35"/>
    <w:rsid w:val="599C3A91"/>
    <w:rsid w:val="59A815C0"/>
    <w:rsid w:val="59B81D73"/>
    <w:rsid w:val="5A0309DE"/>
    <w:rsid w:val="5A0C0610"/>
    <w:rsid w:val="5A517EA9"/>
    <w:rsid w:val="5A83718F"/>
    <w:rsid w:val="5AA94801"/>
    <w:rsid w:val="5ABA7B57"/>
    <w:rsid w:val="5AE303CB"/>
    <w:rsid w:val="5AE3288F"/>
    <w:rsid w:val="5B2B4F27"/>
    <w:rsid w:val="5B332B0D"/>
    <w:rsid w:val="5B395C8A"/>
    <w:rsid w:val="5B773940"/>
    <w:rsid w:val="5BD81854"/>
    <w:rsid w:val="5BE50755"/>
    <w:rsid w:val="5C0C54DB"/>
    <w:rsid w:val="5C1D3FE3"/>
    <w:rsid w:val="5C451348"/>
    <w:rsid w:val="5C467839"/>
    <w:rsid w:val="5C5F4236"/>
    <w:rsid w:val="5C81664A"/>
    <w:rsid w:val="5C8D6878"/>
    <w:rsid w:val="5CC2508E"/>
    <w:rsid w:val="5D0508C8"/>
    <w:rsid w:val="5D192F00"/>
    <w:rsid w:val="5DA26E07"/>
    <w:rsid w:val="5E622685"/>
    <w:rsid w:val="5EAC56AE"/>
    <w:rsid w:val="5F0A444E"/>
    <w:rsid w:val="5F166FCB"/>
    <w:rsid w:val="5F431A96"/>
    <w:rsid w:val="5F85487D"/>
    <w:rsid w:val="5FC06ABC"/>
    <w:rsid w:val="5FD74791"/>
    <w:rsid w:val="60117CFD"/>
    <w:rsid w:val="603040BD"/>
    <w:rsid w:val="60457FBF"/>
    <w:rsid w:val="604D08CA"/>
    <w:rsid w:val="604D7B84"/>
    <w:rsid w:val="60786190"/>
    <w:rsid w:val="608C1C3B"/>
    <w:rsid w:val="60DD3740"/>
    <w:rsid w:val="60E6782E"/>
    <w:rsid w:val="61294455"/>
    <w:rsid w:val="61497B2C"/>
    <w:rsid w:val="6151253D"/>
    <w:rsid w:val="6153766A"/>
    <w:rsid w:val="61797300"/>
    <w:rsid w:val="619E1C26"/>
    <w:rsid w:val="61E33ADD"/>
    <w:rsid w:val="61EC675E"/>
    <w:rsid w:val="626D2794"/>
    <w:rsid w:val="628259F1"/>
    <w:rsid w:val="62C83766"/>
    <w:rsid w:val="62FF63A9"/>
    <w:rsid w:val="630006BE"/>
    <w:rsid w:val="634D5C56"/>
    <w:rsid w:val="63597537"/>
    <w:rsid w:val="63AA406E"/>
    <w:rsid w:val="63AC1C7A"/>
    <w:rsid w:val="63BC2837"/>
    <w:rsid w:val="63FD6F8C"/>
    <w:rsid w:val="646F571E"/>
    <w:rsid w:val="64CF20F6"/>
    <w:rsid w:val="65175EFC"/>
    <w:rsid w:val="65206DF6"/>
    <w:rsid w:val="656522D5"/>
    <w:rsid w:val="657A02B4"/>
    <w:rsid w:val="657D5FF6"/>
    <w:rsid w:val="6595793C"/>
    <w:rsid w:val="659F5F6D"/>
    <w:rsid w:val="65AA7E60"/>
    <w:rsid w:val="65CB0B10"/>
    <w:rsid w:val="6603474E"/>
    <w:rsid w:val="66037AC7"/>
    <w:rsid w:val="66264372"/>
    <w:rsid w:val="6635242D"/>
    <w:rsid w:val="66357AE3"/>
    <w:rsid w:val="665106A0"/>
    <w:rsid w:val="66521231"/>
    <w:rsid w:val="667B5214"/>
    <w:rsid w:val="66826A71"/>
    <w:rsid w:val="6759214B"/>
    <w:rsid w:val="675C73C5"/>
    <w:rsid w:val="67737A61"/>
    <w:rsid w:val="67A9526E"/>
    <w:rsid w:val="67C8409B"/>
    <w:rsid w:val="68190258"/>
    <w:rsid w:val="686A010E"/>
    <w:rsid w:val="687731D1"/>
    <w:rsid w:val="689E060A"/>
    <w:rsid w:val="68A715F1"/>
    <w:rsid w:val="68B06BC6"/>
    <w:rsid w:val="692304D5"/>
    <w:rsid w:val="692A6000"/>
    <w:rsid w:val="693248D6"/>
    <w:rsid w:val="693370F8"/>
    <w:rsid w:val="69587488"/>
    <w:rsid w:val="69A70DBC"/>
    <w:rsid w:val="69E90CA3"/>
    <w:rsid w:val="69FB573C"/>
    <w:rsid w:val="6A2F5E48"/>
    <w:rsid w:val="6A5C267E"/>
    <w:rsid w:val="6AC94C21"/>
    <w:rsid w:val="6B096AA2"/>
    <w:rsid w:val="6B121F6A"/>
    <w:rsid w:val="6B2202D1"/>
    <w:rsid w:val="6B446445"/>
    <w:rsid w:val="6B480E55"/>
    <w:rsid w:val="6B8601BA"/>
    <w:rsid w:val="6BE526AE"/>
    <w:rsid w:val="6BF15048"/>
    <w:rsid w:val="6BF95CAB"/>
    <w:rsid w:val="6C081722"/>
    <w:rsid w:val="6C196F59"/>
    <w:rsid w:val="6C761A49"/>
    <w:rsid w:val="6C8B5DA9"/>
    <w:rsid w:val="6C9D2D4A"/>
    <w:rsid w:val="6CA20503"/>
    <w:rsid w:val="6CCB3AEB"/>
    <w:rsid w:val="6CD01102"/>
    <w:rsid w:val="6CE43BB3"/>
    <w:rsid w:val="6D210049"/>
    <w:rsid w:val="6D437B25"/>
    <w:rsid w:val="6D527D69"/>
    <w:rsid w:val="6D5C2995"/>
    <w:rsid w:val="6D602485"/>
    <w:rsid w:val="6D950939"/>
    <w:rsid w:val="6DA034EC"/>
    <w:rsid w:val="6E0D6B37"/>
    <w:rsid w:val="6EB54485"/>
    <w:rsid w:val="6ED25EF7"/>
    <w:rsid w:val="6F343BCA"/>
    <w:rsid w:val="6F5778B8"/>
    <w:rsid w:val="6FF60E7F"/>
    <w:rsid w:val="70037CE8"/>
    <w:rsid w:val="702B53BA"/>
    <w:rsid w:val="709418BD"/>
    <w:rsid w:val="70950698"/>
    <w:rsid w:val="709F2A90"/>
    <w:rsid w:val="70D63006"/>
    <w:rsid w:val="713C6D66"/>
    <w:rsid w:val="718A4343"/>
    <w:rsid w:val="71F633B8"/>
    <w:rsid w:val="725974A3"/>
    <w:rsid w:val="726447C6"/>
    <w:rsid w:val="72AA64D9"/>
    <w:rsid w:val="72C33BC0"/>
    <w:rsid w:val="73010267"/>
    <w:rsid w:val="731A5C46"/>
    <w:rsid w:val="73404DF1"/>
    <w:rsid w:val="73593BFF"/>
    <w:rsid w:val="7379604F"/>
    <w:rsid w:val="738733C0"/>
    <w:rsid w:val="73EF7B07"/>
    <w:rsid w:val="74297F97"/>
    <w:rsid w:val="74604B19"/>
    <w:rsid w:val="749B0247"/>
    <w:rsid w:val="74C25F05"/>
    <w:rsid w:val="74E02792"/>
    <w:rsid w:val="75147150"/>
    <w:rsid w:val="752822E8"/>
    <w:rsid w:val="752A684C"/>
    <w:rsid w:val="753F4385"/>
    <w:rsid w:val="756D64FB"/>
    <w:rsid w:val="7585494C"/>
    <w:rsid w:val="75AD3658"/>
    <w:rsid w:val="75E54602"/>
    <w:rsid w:val="75FA541B"/>
    <w:rsid w:val="76062754"/>
    <w:rsid w:val="760F5628"/>
    <w:rsid w:val="76122B9A"/>
    <w:rsid w:val="7625426C"/>
    <w:rsid w:val="767A1D17"/>
    <w:rsid w:val="76803278"/>
    <w:rsid w:val="76BC200C"/>
    <w:rsid w:val="76BE7972"/>
    <w:rsid w:val="770E3973"/>
    <w:rsid w:val="775766A7"/>
    <w:rsid w:val="776052C3"/>
    <w:rsid w:val="7762651A"/>
    <w:rsid w:val="77784870"/>
    <w:rsid w:val="777F7E6E"/>
    <w:rsid w:val="77E07716"/>
    <w:rsid w:val="781825C4"/>
    <w:rsid w:val="78B73C42"/>
    <w:rsid w:val="79092C1D"/>
    <w:rsid w:val="790E548B"/>
    <w:rsid w:val="79DA5D1A"/>
    <w:rsid w:val="7A301431"/>
    <w:rsid w:val="7A545120"/>
    <w:rsid w:val="7A65732D"/>
    <w:rsid w:val="7B4275F9"/>
    <w:rsid w:val="7BCC1E00"/>
    <w:rsid w:val="7BDA148B"/>
    <w:rsid w:val="7C591E8A"/>
    <w:rsid w:val="7C836CEE"/>
    <w:rsid w:val="7C8D4919"/>
    <w:rsid w:val="7CA26617"/>
    <w:rsid w:val="7CA659DB"/>
    <w:rsid w:val="7CB407F5"/>
    <w:rsid w:val="7CE704CD"/>
    <w:rsid w:val="7CFB0E2F"/>
    <w:rsid w:val="7D1E7CC2"/>
    <w:rsid w:val="7D692C90"/>
    <w:rsid w:val="7D9A5540"/>
    <w:rsid w:val="7DB3215D"/>
    <w:rsid w:val="7E0F278D"/>
    <w:rsid w:val="7E7F6D27"/>
    <w:rsid w:val="7E8F4979"/>
    <w:rsid w:val="7F26751B"/>
    <w:rsid w:val="7F370815"/>
    <w:rsid w:val="7F58712B"/>
    <w:rsid w:val="7F876326"/>
    <w:rsid w:val="7F9A1827"/>
    <w:rsid w:val="7FFF44A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name="endnote reference"/>
    <w:lsdException w:qFormat="1" w:unhideWhenUsed="0" w:uiPriority="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0">
    <w:name w:val="Default Paragraph Font"/>
    <w:unhideWhenUsed/>
    <w:qFormat/>
    <w:uiPriority w:val="1"/>
  </w:style>
  <w:style w:type="table" w:default="1" w:styleId="36">
    <w:name w:val="Normal Table"/>
    <w:unhideWhenUsed/>
    <w:qFormat/>
    <w:uiPriority w:val="99"/>
    <w:tblPr>
      <w:tblLayout w:type="fixed"/>
      <w:tblCellMar>
        <w:top w:w="0" w:type="dxa"/>
        <w:left w:w="108" w:type="dxa"/>
        <w:bottom w:w="0" w:type="dxa"/>
        <w:right w:w="108" w:type="dxa"/>
      </w:tblCellMar>
    </w:tblPr>
  </w:style>
  <w:style w:type="paragraph" w:styleId="2">
    <w:name w:val="toc 7"/>
    <w:basedOn w:val="1"/>
    <w:next w:val="1"/>
    <w:semiHidden/>
    <w:qFormat/>
    <w:uiPriority w:val="0"/>
    <w:pPr>
      <w:tabs>
        <w:tab w:val="right" w:leader="dot" w:pos="9241"/>
      </w:tabs>
      <w:ind w:firstLine="505" w:firstLineChars="500"/>
      <w:jc w:val="left"/>
    </w:pPr>
    <w:rPr>
      <w:rFonts w:ascii="宋体"/>
      <w:szCs w:val="21"/>
    </w:rPr>
  </w:style>
  <w:style w:type="paragraph" w:styleId="3">
    <w:name w:val="index 8"/>
    <w:basedOn w:val="1"/>
    <w:next w:val="1"/>
    <w:qFormat/>
    <w:uiPriority w:val="0"/>
    <w:pPr>
      <w:ind w:left="1680" w:hanging="210"/>
      <w:jc w:val="left"/>
    </w:pPr>
    <w:rPr>
      <w:rFonts w:ascii="Calibri" w:hAnsi="Calibri"/>
      <w:sz w:val="20"/>
      <w:szCs w:val="20"/>
    </w:rPr>
  </w:style>
  <w:style w:type="paragraph" w:styleId="4">
    <w:name w:val="caption"/>
    <w:basedOn w:val="1"/>
    <w:next w:val="1"/>
    <w:qFormat/>
    <w:uiPriority w:val="0"/>
    <w:pPr>
      <w:spacing w:before="152" w:after="160"/>
    </w:pPr>
    <w:rPr>
      <w:rFonts w:ascii="Arial" w:hAnsi="Arial" w:eastAsia="黑体" w:cs="Arial"/>
      <w:sz w:val="20"/>
      <w:szCs w:val="20"/>
    </w:rPr>
  </w:style>
  <w:style w:type="paragraph" w:styleId="5">
    <w:name w:val="index 5"/>
    <w:basedOn w:val="1"/>
    <w:next w:val="1"/>
    <w:qFormat/>
    <w:uiPriority w:val="0"/>
    <w:pPr>
      <w:ind w:left="1050" w:hanging="210"/>
      <w:jc w:val="left"/>
    </w:pPr>
    <w:rPr>
      <w:rFonts w:ascii="Calibri" w:hAnsi="Calibri"/>
      <w:sz w:val="20"/>
      <w:szCs w:val="20"/>
    </w:rPr>
  </w:style>
  <w:style w:type="paragraph" w:styleId="6">
    <w:name w:val="Document Map"/>
    <w:basedOn w:val="1"/>
    <w:semiHidden/>
    <w:qFormat/>
    <w:uiPriority w:val="0"/>
    <w:pPr>
      <w:shd w:val="clear" w:color="auto" w:fill="000080"/>
    </w:pPr>
  </w:style>
  <w:style w:type="paragraph" w:styleId="7">
    <w:name w:val="index 6"/>
    <w:basedOn w:val="1"/>
    <w:next w:val="1"/>
    <w:qFormat/>
    <w:uiPriority w:val="0"/>
    <w:pPr>
      <w:ind w:left="1260" w:hanging="210"/>
      <w:jc w:val="left"/>
    </w:pPr>
    <w:rPr>
      <w:rFonts w:ascii="Calibri" w:hAnsi="Calibri"/>
      <w:sz w:val="20"/>
      <w:szCs w:val="20"/>
    </w:rPr>
  </w:style>
  <w:style w:type="paragraph" w:styleId="8">
    <w:name w:val="index 4"/>
    <w:basedOn w:val="1"/>
    <w:next w:val="1"/>
    <w:qFormat/>
    <w:uiPriority w:val="0"/>
    <w:pPr>
      <w:ind w:left="840" w:hanging="210"/>
      <w:jc w:val="left"/>
    </w:pPr>
    <w:rPr>
      <w:rFonts w:ascii="Calibri" w:hAnsi="Calibri"/>
      <w:sz w:val="20"/>
      <w:szCs w:val="20"/>
    </w:rPr>
  </w:style>
  <w:style w:type="paragraph" w:styleId="9">
    <w:name w:val="toc 5"/>
    <w:basedOn w:val="1"/>
    <w:next w:val="1"/>
    <w:semiHidden/>
    <w:qFormat/>
    <w:uiPriority w:val="0"/>
    <w:pPr>
      <w:tabs>
        <w:tab w:val="right" w:leader="dot" w:pos="9241"/>
      </w:tabs>
      <w:ind w:firstLine="300" w:firstLineChars="300"/>
      <w:jc w:val="left"/>
    </w:pPr>
    <w:rPr>
      <w:rFonts w:ascii="宋体"/>
      <w:szCs w:val="21"/>
    </w:rPr>
  </w:style>
  <w:style w:type="paragraph" w:styleId="10">
    <w:name w:val="toc 3"/>
    <w:basedOn w:val="1"/>
    <w:next w:val="1"/>
    <w:semiHidden/>
    <w:qFormat/>
    <w:uiPriority w:val="0"/>
    <w:pPr>
      <w:tabs>
        <w:tab w:val="right" w:leader="dot" w:pos="9241"/>
      </w:tabs>
      <w:ind w:firstLine="102" w:firstLineChars="100"/>
      <w:jc w:val="left"/>
    </w:pPr>
    <w:rPr>
      <w:rFonts w:ascii="宋体"/>
      <w:szCs w:val="21"/>
    </w:rPr>
  </w:style>
  <w:style w:type="paragraph" w:styleId="11">
    <w:name w:val="Plain Text"/>
    <w:basedOn w:val="1"/>
    <w:qFormat/>
    <w:uiPriority w:val="0"/>
    <w:rPr>
      <w:rFonts w:ascii="宋体" w:hAnsi="Courier New" w:cs="Courier New"/>
      <w:szCs w:val="21"/>
    </w:rPr>
  </w:style>
  <w:style w:type="paragraph" w:styleId="12">
    <w:name w:val="toc 8"/>
    <w:basedOn w:val="1"/>
    <w:next w:val="1"/>
    <w:semiHidden/>
    <w:qFormat/>
    <w:uiPriority w:val="0"/>
    <w:pPr>
      <w:tabs>
        <w:tab w:val="right" w:leader="dot" w:pos="9241"/>
      </w:tabs>
      <w:ind w:firstLine="607" w:firstLineChars="600"/>
      <w:jc w:val="left"/>
    </w:pPr>
    <w:rPr>
      <w:rFonts w:ascii="宋体"/>
      <w:szCs w:val="21"/>
    </w:rPr>
  </w:style>
  <w:style w:type="paragraph" w:styleId="13">
    <w:name w:val="index 3"/>
    <w:basedOn w:val="1"/>
    <w:next w:val="1"/>
    <w:qFormat/>
    <w:uiPriority w:val="0"/>
    <w:pPr>
      <w:ind w:left="630" w:hanging="210"/>
      <w:jc w:val="left"/>
    </w:pPr>
    <w:rPr>
      <w:rFonts w:ascii="Calibri" w:hAnsi="Calibri"/>
      <w:sz w:val="20"/>
      <w:szCs w:val="20"/>
    </w:rPr>
  </w:style>
  <w:style w:type="paragraph" w:styleId="14">
    <w:name w:val="endnote text"/>
    <w:basedOn w:val="1"/>
    <w:semiHidden/>
    <w:qFormat/>
    <w:uiPriority w:val="0"/>
    <w:pPr>
      <w:snapToGrid w:val="0"/>
      <w:jc w:val="left"/>
    </w:pPr>
  </w:style>
  <w:style w:type="paragraph" w:styleId="15">
    <w:name w:val="Balloon Text"/>
    <w:basedOn w:val="1"/>
    <w:semiHidden/>
    <w:qFormat/>
    <w:uiPriority w:val="0"/>
    <w:rPr>
      <w:sz w:val="18"/>
      <w:szCs w:val="18"/>
    </w:rPr>
  </w:style>
  <w:style w:type="paragraph" w:styleId="16">
    <w:name w:val="footer"/>
    <w:basedOn w:val="1"/>
    <w:qFormat/>
    <w:uiPriority w:val="0"/>
    <w:pPr>
      <w:snapToGrid w:val="0"/>
      <w:ind w:right="210" w:rightChars="100"/>
      <w:jc w:val="right"/>
    </w:pPr>
    <w:rPr>
      <w:sz w:val="18"/>
      <w:szCs w:val="18"/>
    </w:rPr>
  </w:style>
  <w:style w:type="paragraph" w:styleId="17">
    <w:name w:val="header"/>
    <w:basedOn w:val="1"/>
    <w:qFormat/>
    <w:uiPriority w:val="0"/>
    <w:pPr>
      <w:snapToGrid w:val="0"/>
      <w:jc w:val="left"/>
    </w:pPr>
    <w:rPr>
      <w:sz w:val="18"/>
      <w:szCs w:val="18"/>
    </w:rPr>
  </w:style>
  <w:style w:type="paragraph" w:styleId="18">
    <w:name w:val="toc 1"/>
    <w:basedOn w:val="1"/>
    <w:next w:val="1"/>
    <w:semiHidden/>
    <w:qFormat/>
    <w:uiPriority w:val="0"/>
    <w:pPr>
      <w:tabs>
        <w:tab w:val="right" w:leader="dot" w:pos="9241"/>
      </w:tabs>
      <w:spacing w:beforeLines="25" w:afterLines="25"/>
      <w:jc w:val="left"/>
    </w:pPr>
    <w:rPr>
      <w:rFonts w:ascii="宋体"/>
      <w:szCs w:val="21"/>
    </w:rPr>
  </w:style>
  <w:style w:type="paragraph" w:styleId="19">
    <w:name w:val="toc 4"/>
    <w:basedOn w:val="1"/>
    <w:next w:val="1"/>
    <w:semiHidden/>
    <w:qFormat/>
    <w:uiPriority w:val="0"/>
    <w:pPr>
      <w:tabs>
        <w:tab w:val="right" w:leader="dot" w:pos="9241"/>
      </w:tabs>
      <w:ind w:firstLine="198" w:firstLineChars="200"/>
      <w:jc w:val="left"/>
    </w:pPr>
    <w:rPr>
      <w:rFonts w:ascii="宋体"/>
      <w:szCs w:val="21"/>
    </w:rPr>
  </w:style>
  <w:style w:type="paragraph" w:styleId="20">
    <w:name w:val="index heading"/>
    <w:basedOn w:val="1"/>
    <w:next w:val="21"/>
    <w:qFormat/>
    <w:uiPriority w:val="0"/>
    <w:pPr>
      <w:spacing w:before="120" w:after="120"/>
      <w:jc w:val="center"/>
    </w:pPr>
    <w:rPr>
      <w:rFonts w:ascii="Calibri" w:hAnsi="Calibri"/>
      <w:b/>
      <w:bCs/>
      <w:iCs/>
      <w:szCs w:val="20"/>
    </w:rPr>
  </w:style>
  <w:style w:type="paragraph" w:styleId="21">
    <w:name w:val="index 1"/>
    <w:basedOn w:val="1"/>
    <w:next w:val="22"/>
    <w:qFormat/>
    <w:uiPriority w:val="0"/>
    <w:pPr>
      <w:tabs>
        <w:tab w:val="right" w:leader="dot" w:pos="9299"/>
      </w:tabs>
      <w:jc w:val="left"/>
    </w:pPr>
    <w:rPr>
      <w:rFonts w:ascii="宋体"/>
      <w:szCs w:val="21"/>
    </w:rPr>
  </w:style>
  <w:style w:type="paragraph" w:customStyle="1" w:styleId="22">
    <w:name w:val="段"/>
    <w:link w:val="39"/>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3">
    <w:name w:val="footnote text"/>
    <w:basedOn w:val="1"/>
    <w:qFormat/>
    <w:uiPriority w:val="0"/>
    <w:pPr>
      <w:tabs>
        <w:tab w:val="left" w:pos="0"/>
      </w:tabs>
      <w:snapToGrid w:val="0"/>
      <w:ind w:left="720" w:hanging="357"/>
      <w:jc w:val="left"/>
    </w:pPr>
    <w:rPr>
      <w:rFonts w:ascii="宋体"/>
      <w:sz w:val="18"/>
      <w:szCs w:val="18"/>
    </w:rPr>
  </w:style>
  <w:style w:type="paragraph" w:styleId="24">
    <w:name w:val="toc 6"/>
    <w:basedOn w:val="1"/>
    <w:next w:val="1"/>
    <w:semiHidden/>
    <w:qFormat/>
    <w:uiPriority w:val="0"/>
    <w:pPr>
      <w:tabs>
        <w:tab w:val="right" w:leader="dot" w:pos="9241"/>
      </w:tabs>
      <w:ind w:firstLine="403" w:firstLineChars="400"/>
      <w:jc w:val="left"/>
    </w:pPr>
    <w:rPr>
      <w:rFonts w:ascii="宋体"/>
      <w:szCs w:val="21"/>
    </w:rPr>
  </w:style>
  <w:style w:type="paragraph" w:styleId="25">
    <w:name w:val="index 7"/>
    <w:basedOn w:val="1"/>
    <w:next w:val="1"/>
    <w:qFormat/>
    <w:uiPriority w:val="0"/>
    <w:pPr>
      <w:ind w:left="1470" w:hanging="210"/>
      <w:jc w:val="left"/>
    </w:pPr>
    <w:rPr>
      <w:rFonts w:ascii="Calibri" w:hAnsi="Calibri"/>
      <w:sz w:val="20"/>
      <w:szCs w:val="20"/>
    </w:rPr>
  </w:style>
  <w:style w:type="paragraph" w:styleId="26">
    <w:name w:val="index 9"/>
    <w:basedOn w:val="1"/>
    <w:next w:val="1"/>
    <w:qFormat/>
    <w:uiPriority w:val="0"/>
    <w:pPr>
      <w:ind w:left="1890" w:hanging="210"/>
      <w:jc w:val="left"/>
    </w:pPr>
    <w:rPr>
      <w:rFonts w:ascii="Calibri" w:hAnsi="Calibri"/>
      <w:sz w:val="20"/>
      <w:szCs w:val="20"/>
    </w:rPr>
  </w:style>
  <w:style w:type="paragraph" w:styleId="27">
    <w:name w:val="toc 2"/>
    <w:basedOn w:val="1"/>
    <w:next w:val="1"/>
    <w:semiHidden/>
    <w:qFormat/>
    <w:uiPriority w:val="0"/>
    <w:pPr>
      <w:tabs>
        <w:tab w:val="right" w:leader="dot" w:pos="9241"/>
      </w:tabs>
    </w:pPr>
    <w:rPr>
      <w:rFonts w:ascii="宋体"/>
      <w:szCs w:val="21"/>
    </w:rPr>
  </w:style>
  <w:style w:type="paragraph" w:styleId="28">
    <w:name w:val="toc 9"/>
    <w:basedOn w:val="1"/>
    <w:next w:val="1"/>
    <w:semiHidden/>
    <w:qFormat/>
    <w:uiPriority w:val="0"/>
    <w:pPr>
      <w:ind w:left="1470"/>
      <w:jc w:val="left"/>
    </w:pPr>
    <w:rPr>
      <w:sz w:val="20"/>
      <w:szCs w:val="20"/>
    </w:rPr>
  </w:style>
  <w:style w:type="paragraph" w:styleId="29">
    <w:name w:val="index 2"/>
    <w:basedOn w:val="1"/>
    <w:next w:val="1"/>
    <w:qFormat/>
    <w:uiPriority w:val="0"/>
    <w:pPr>
      <w:ind w:left="420" w:hanging="210"/>
      <w:jc w:val="left"/>
    </w:pPr>
    <w:rPr>
      <w:rFonts w:ascii="Calibri" w:hAnsi="Calibri"/>
      <w:sz w:val="20"/>
      <w:szCs w:val="20"/>
    </w:rPr>
  </w:style>
  <w:style w:type="character" w:styleId="31">
    <w:name w:val="endnote reference"/>
    <w:semiHidden/>
    <w:qFormat/>
    <w:uiPriority w:val="0"/>
    <w:rPr>
      <w:vertAlign w:val="superscript"/>
    </w:rPr>
  </w:style>
  <w:style w:type="character" w:styleId="32">
    <w:name w:val="page number"/>
    <w:qFormat/>
    <w:uiPriority w:val="0"/>
    <w:rPr>
      <w:rFonts w:ascii="Times New Roman" w:hAnsi="Times New Roman" w:eastAsia="宋体"/>
      <w:sz w:val="18"/>
    </w:rPr>
  </w:style>
  <w:style w:type="character" w:styleId="33">
    <w:name w:val="FollowedHyperlink"/>
    <w:qFormat/>
    <w:uiPriority w:val="0"/>
    <w:rPr>
      <w:color w:val="800080"/>
      <w:u w:val="single"/>
    </w:rPr>
  </w:style>
  <w:style w:type="character" w:styleId="34">
    <w:name w:val="Hyperlink"/>
    <w:qFormat/>
    <w:uiPriority w:val="0"/>
    <w:rPr>
      <w:color w:val="0000FF"/>
      <w:spacing w:val="0"/>
      <w:w w:val="100"/>
      <w:szCs w:val="21"/>
      <w:u w:val="single"/>
      <w:lang w:val="en-US" w:eastAsia="zh-CN"/>
    </w:rPr>
  </w:style>
  <w:style w:type="character" w:styleId="35">
    <w:name w:val="footnote reference"/>
    <w:semiHidden/>
    <w:qFormat/>
    <w:uiPriority w:val="0"/>
    <w:rPr>
      <w:vertAlign w:val="superscript"/>
    </w:rPr>
  </w:style>
  <w:style w:type="table" w:styleId="37">
    <w:name w:val="Table Grid"/>
    <w:basedOn w:val="36"/>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customStyle="1" w:styleId="38">
    <w:name w:val="附录公式 Char"/>
    <w:basedOn w:val="39"/>
    <w:link w:val="40"/>
    <w:qFormat/>
    <w:uiPriority w:val="0"/>
  </w:style>
  <w:style w:type="character" w:customStyle="1" w:styleId="39">
    <w:name w:val="段 Char"/>
    <w:link w:val="22"/>
    <w:qFormat/>
    <w:uiPriority w:val="0"/>
    <w:rPr>
      <w:rFonts w:ascii="宋体"/>
      <w:sz w:val="21"/>
      <w:lang w:val="en-US" w:eastAsia="zh-CN" w:bidi="ar-SA"/>
    </w:rPr>
  </w:style>
  <w:style w:type="paragraph" w:customStyle="1" w:styleId="40">
    <w:name w:val="附录公式"/>
    <w:basedOn w:val="22"/>
    <w:next w:val="22"/>
    <w:link w:val="38"/>
    <w:qFormat/>
    <w:uiPriority w:val="0"/>
  </w:style>
  <w:style w:type="character" w:customStyle="1" w:styleId="41">
    <w:name w:val="发布"/>
    <w:qFormat/>
    <w:uiPriority w:val="0"/>
    <w:rPr>
      <w:rFonts w:ascii="黑体" w:eastAsia="黑体"/>
      <w:spacing w:val="85"/>
      <w:w w:val="100"/>
      <w:position w:val="3"/>
      <w:sz w:val="28"/>
      <w:szCs w:val="28"/>
    </w:rPr>
  </w:style>
  <w:style w:type="character" w:customStyle="1" w:styleId="42">
    <w:name w:val="首示例 Char"/>
    <w:link w:val="43"/>
    <w:qFormat/>
    <w:uiPriority w:val="0"/>
    <w:rPr>
      <w:rFonts w:ascii="宋体" w:hAnsi="宋体"/>
      <w:kern w:val="2"/>
      <w:sz w:val="18"/>
      <w:szCs w:val="18"/>
    </w:rPr>
  </w:style>
  <w:style w:type="paragraph" w:customStyle="1" w:styleId="43">
    <w:name w:val="首示例"/>
    <w:next w:val="22"/>
    <w:link w:val="42"/>
    <w:qFormat/>
    <w:uiPriority w:val="0"/>
    <w:pPr>
      <w:tabs>
        <w:tab w:val="left" w:pos="360"/>
      </w:tabs>
    </w:pPr>
    <w:rPr>
      <w:rFonts w:ascii="宋体" w:hAnsi="宋体" w:eastAsia="宋体" w:cs="Times New Roman"/>
      <w:kern w:val="2"/>
      <w:sz w:val="18"/>
      <w:szCs w:val="18"/>
      <w:lang w:val="en-US" w:eastAsia="zh-CN" w:bidi="ar-SA"/>
    </w:rPr>
  </w:style>
  <w:style w:type="paragraph" w:customStyle="1" w:styleId="44">
    <w:name w:val="封面标准文稿编辑信息"/>
    <w:basedOn w:val="45"/>
    <w:qFormat/>
    <w:uiPriority w:val="0"/>
    <w:pPr>
      <w:spacing w:before="180" w:line="180" w:lineRule="exact"/>
    </w:pPr>
    <w:rPr>
      <w:sz w:val="21"/>
    </w:rPr>
  </w:style>
  <w:style w:type="paragraph" w:customStyle="1" w:styleId="45">
    <w:name w:val="封面标准文稿类别"/>
    <w:basedOn w:val="46"/>
    <w:qFormat/>
    <w:uiPriority w:val="0"/>
    <w:pPr>
      <w:spacing w:after="160" w:line="240" w:lineRule="auto"/>
    </w:pPr>
    <w:rPr>
      <w:sz w:val="24"/>
    </w:rPr>
  </w:style>
  <w:style w:type="paragraph" w:customStyle="1" w:styleId="46">
    <w:name w:val="封面一致性程度标识"/>
    <w:basedOn w:val="47"/>
    <w:qFormat/>
    <w:uiPriority w:val="0"/>
    <w:pPr>
      <w:spacing w:before="440"/>
    </w:pPr>
    <w:rPr>
      <w:rFonts w:ascii="宋体" w:eastAsia="宋体"/>
    </w:rPr>
  </w:style>
  <w:style w:type="paragraph" w:customStyle="1" w:styleId="47">
    <w:name w:val="封面标准英文名称"/>
    <w:basedOn w:val="48"/>
    <w:qFormat/>
    <w:uiPriority w:val="0"/>
    <w:pPr>
      <w:spacing w:before="370" w:line="400" w:lineRule="exact"/>
    </w:pPr>
    <w:rPr>
      <w:rFonts w:ascii="Times New Roman"/>
      <w:sz w:val="28"/>
      <w:szCs w:val="28"/>
    </w:rPr>
  </w:style>
  <w:style w:type="paragraph" w:customStyle="1" w:styleId="48">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49">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50">
    <w:name w:val="实施日期"/>
    <w:basedOn w:val="51"/>
    <w:qFormat/>
    <w:uiPriority w:val="0"/>
    <w:pPr>
      <w:framePr w:vAnchor="page" w:hAnchor="text"/>
      <w:jc w:val="right"/>
    </w:pPr>
  </w:style>
  <w:style w:type="paragraph" w:customStyle="1" w:styleId="51">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52">
    <w:name w:val="三级无"/>
    <w:basedOn w:val="53"/>
    <w:qFormat/>
    <w:uiPriority w:val="0"/>
    <w:pPr>
      <w:spacing w:beforeLines="0" w:afterLines="0"/>
      <w:ind w:left="710"/>
    </w:pPr>
    <w:rPr>
      <w:rFonts w:ascii="宋体" w:eastAsia="宋体"/>
    </w:rPr>
  </w:style>
  <w:style w:type="paragraph" w:customStyle="1" w:styleId="53">
    <w:name w:val="三级条标题"/>
    <w:basedOn w:val="54"/>
    <w:next w:val="22"/>
    <w:qFormat/>
    <w:uiPriority w:val="0"/>
    <w:pPr>
      <w:outlineLvl w:val="4"/>
    </w:pPr>
  </w:style>
  <w:style w:type="paragraph" w:customStyle="1" w:styleId="54">
    <w:name w:val="二级条标题"/>
    <w:basedOn w:val="55"/>
    <w:next w:val="22"/>
    <w:qFormat/>
    <w:uiPriority w:val="0"/>
    <w:pPr>
      <w:spacing w:before="50" w:after="50"/>
      <w:ind w:left="0"/>
      <w:outlineLvl w:val="3"/>
    </w:pPr>
  </w:style>
  <w:style w:type="paragraph" w:customStyle="1" w:styleId="55">
    <w:name w:val="一级条标题"/>
    <w:next w:val="22"/>
    <w:qFormat/>
    <w:uiPriority w:val="0"/>
    <w:pPr>
      <w:spacing w:beforeLines="50" w:afterLines="50"/>
      <w:ind w:left="525"/>
      <w:outlineLvl w:val="2"/>
    </w:pPr>
    <w:rPr>
      <w:rFonts w:ascii="黑体" w:hAnsi="Times New Roman" w:eastAsia="黑体" w:cs="Times New Roman"/>
      <w:sz w:val="21"/>
      <w:szCs w:val="21"/>
      <w:lang w:val="en-US" w:eastAsia="zh-CN" w:bidi="ar-SA"/>
    </w:rPr>
  </w:style>
  <w:style w:type="paragraph" w:customStyle="1" w:styleId="56">
    <w:name w:val="Char Char Char Char Char Char Char Char Char"/>
    <w:basedOn w:val="1"/>
    <w:qFormat/>
    <w:uiPriority w:val="0"/>
    <w:pPr>
      <w:widowControl/>
      <w:spacing w:after="160" w:line="240" w:lineRule="exact"/>
      <w:ind w:firstLine="200" w:firstLineChars="200"/>
      <w:jc w:val="left"/>
    </w:pPr>
    <w:rPr>
      <w:rFonts w:ascii="Verdana" w:hAnsi="Verdana" w:eastAsia="仿宋_GB2312"/>
      <w:kern w:val="0"/>
      <w:sz w:val="24"/>
      <w:szCs w:val="20"/>
      <w:lang w:eastAsia="en-US"/>
    </w:rPr>
  </w:style>
  <w:style w:type="paragraph" w:customStyle="1" w:styleId="57">
    <w:name w:val="目次、标准名称标题"/>
    <w:basedOn w:val="1"/>
    <w:next w:val="22"/>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58">
    <w:name w:val="列项——（一级）"/>
    <w:qFormat/>
    <w:uiPriority w:val="0"/>
    <w:pPr>
      <w:widowControl w:val="0"/>
      <w:ind w:left="833" w:hanging="408"/>
      <w:jc w:val="both"/>
    </w:pPr>
    <w:rPr>
      <w:rFonts w:ascii="宋体" w:hAnsi="Times New Roman" w:eastAsia="宋体" w:cs="Times New Roman"/>
      <w:sz w:val="21"/>
      <w:lang w:val="en-US" w:eastAsia="zh-CN" w:bidi="ar-SA"/>
    </w:rPr>
  </w:style>
  <w:style w:type="paragraph" w:customStyle="1" w:styleId="59">
    <w:name w:val="其他发布日期"/>
    <w:basedOn w:val="51"/>
    <w:qFormat/>
    <w:uiPriority w:val="0"/>
    <w:pPr>
      <w:framePr w:vAnchor="page" w:hAnchor="text" w:x="1419"/>
    </w:pPr>
  </w:style>
  <w:style w:type="paragraph" w:customStyle="1" w:styleId="60">
    <w:name w:val="注×："/>
    <w:qFormat/>
    <w:uiPriority w:val="0"/>
    <w:pPr>
      <w:widowControl w:val="0"/>
      <w:autoSpaceDE w:val="0"/>
      <w:autoSpaceDN w:val="0"/>
      <w:ind w:left="658" w:hanging="448"/>
      <w:jc w:val="both"/>
    </w:pPr>
    <w:rPr>
      <w:rFonts w:ascii="宋体" w:hAnsi="Times New Roman" w:eastAsia="宋体" w:cs="Times New Roman"/>
      <w:sz w:val="18"/>
      <w:szCs w:val="18"/>
      <w:lang w:val="en-US" w:eastAsia="zh-CN" w:bidi="ar-SA"/>
    </w:rPr>
  </w:style>
  <w:style w:type="paragraph" w:customStyle="1" w:styleId="61">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62">
    <w:name w:val="附录二级无"/>
    <w:basedOn w:val="63"/>
    <w:qFormat/>
    <w:uiPriority w:val="0"/>
    <w:pPr>
      <w:tabs>
        <w:tab w:val="left" w:pos="360"/>
      </w:tabs>
      <w:spacing w:beforeLines="0" w:afterLines="0"/>
    </w:pPr>
    <w:rPr>
      <w:rFonts w:ascii="宋体" w:eastAsia="宋体"/>
      <w:szCs w:val="21"/>
    </w:rPr>
  </w:style>
  <w:style w:type="paragraph" w:customStyle="1" w:styleId="63">
    <w:name w:val="附录二级条标题"/>
    <w:basedOn w:val="1"/>
    <w:next w:val="22"/>
    <w:qFormat/>
    <w:uiPriority w:val="0"/>
    <w:pPr>
      <w:widowControl/>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64">
    <w:name w:val="正文公式编号制表符"/>
    <w:basedOn w:val="22"/>
    <w:next w:val="22"/>
    <w:qFormat/>
    <w:uiPriority w:val="0"/>
    <w:pPr>
      <w:ind w:firstLine="0" w:firstLineChars="0"/>
    </w:pPr>
  </w:style>
  <w:style w:type="paragraph" w:customStyle="1" w:styleId="65">
    <w:name w:val="正文表标题"/>
    <w:next w:val="22"/>
    <w:qFormat/>
    <w:uiPriority w:val="0"/>
    <w:p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66">
    <w:name w:val="二级无"/>
    <w:basedOn w:val="54"/>
    <w:qFormat/>
    <w:uiPriority w:val="0"/>
    <w:pPr>
      <w:spacing w:beforeLines="0" w:afterLines="0"/>
    </w:pPr>
    <w:rPr>
      <w:rFonts w:ascii="宋体" w:eastAsia="宋体"/>
    </w:rPr>
  </w:style>
  <w:style w:type="paragraph" w:customStyle="1" w:styleId="67">
    <w:name w:val="章标题"/>
    <w:next w:val="22"/>
    <w:qFormat/>
    <w:uiPriority w:val="0"/>
    <w:pPr>
      <w:spacing w:beforeLines="100" w:afterLines="100"/>
      <w:jc w:val="both"/>
      <w:outlineLvl w:val="1"/>
    </w:pPr>
    <w:rPr>
      <w:rFonts w:ascii="黑体" w:hAnsi="Times New Roman" w:eastAsia="黑体" w:cs="Times New Roman"/>
      <w:sz w:val="21"/>
      <w:lang w:val="en-US" w:eastAsia="zh-CN" w:bidi="ar-SA"/>
    </w:rPr>
  </w:style>
  <w:style w:type="paragraph" w:customStyle="1" w:styleId="68">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69">
    <w:name w:val="附录三级条标题"/>
    <w:basedOn w:val="63"/>
    <w:next w:val="22"/>
    <w:qFormat/>
    <w:uiPriority w:val="0"/>
    <w:pPr>
      <w:outlineLvl w:val="4"/>
    </w:pPr>
  </w:style>
  <w:style w:type="paragraph" w:customStyle="1" w:styleId="70">
    <w:name w:val="列项●（二级）"/>
    <w:qFormat/>
    <w:uiPriority w:val="0"/>
    <w:pPr>
      <w:tabs>
        <w:tab w:val="left" w:pos="760"/>
        <w:tab w:val="left" w:pos="840"/>
      </w:tabs>
      <w:ind w:left="1264" w:hanging="413"/>
      <w:jc w:val="both"/>
    </w:pPr>
    <w:rPr>
      <w:rFonts w:ascii="宋体" w:hAnsi="Times New Roman" w:eastAsia="宋体" w:cs="Times New Roman"/>
      <w:sz w:val="21"/>
      <w:lang w:val="en-US" w:eastAsia="zh-CN" w:bidi="ar-SA"/>
    </w:rPr>
  </w:style>
  <w:style w:type="paragraph" w:customStyle="1" w:styleId="71">
    <w:name w:val="附录表标题"/>
    <w:basedOn w:val="1"/>
    <w:next w:val="22"/>
    <w:qFormat/>
    <w:uiPriority w:val="0"/>
    <w:pPr>
      <w:tabs>
        <w:tab w:val="left" w:pos="180"/>
      </w:tabs>
      <w:spacing w:beforeLines="50" w:afterLines="50"/>
      <w:jc w:val="center"/>
    </w:pPr>
    <w:rPr>
      <w:rFonts w:ascii="黑体" w:eastAsia="黑体"/>
      <w:szCs w:val="21"/>
    </w:rPr>
  </w:style>
  <w:style w:type="paragraph" w:customStyle="1" w:styleId="72">
    <w:name w:val="参考文献"/>
    <w:basedOn w:val="1"/>
    <w:next w:val="22"/>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73">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74">
    <w:name w:val="参考文献、索引标题"/>
    <w:basedOn w:val="1"/>
    <w:next w:val="22"/>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75">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76">
    <w:name w:val="附录五级条标题"/>
    <w:basedOn w:val="77"/>
    <w:next w:val="22"/>
    <w:qFormat/>
    <w:uiPriority w:val="0"/>
    <w:pPr>
      <w:tabs>
        <w:tab w:val="left" w:pos="360"/>
      </w:tabs>
      <w:outlineLvl w:val="6"/>
    </w:pPr>
  </w:style>
  <w:style w:type="paragraph" w:customStyle="1" w:styleId="77">
    <w:name w:val="附录四级条标题"/>
    <w:basedOn w:val="69"/>
    <w:next w:val="22"/>
    <w:qFormat/>
    <w:uiPriority w:val="0"/>
    <w:pPr>
      <w:outlineLvl w:val="5"/>
    </w:pPr>
  </w:style>
  <w:style w:type="paragraph" w:customStyle="1" w:styleId="78">
    <w:name w:val="注×：（正文）"/>
    <w:qFormat/>
    <w:uiPriority w:val="0"/>
    <w:pPr>
      <w:ind w:left="811" w:hanging="448"/>
      <w:jc w:val="both"/>
    </w:pPr>
    <w:rPr>
      <w:rFonts w:ascii="宋体" w:hAnsi="Times New Roman" w:eastAsia="宋体" w:cs="Times New Roman"/>
      <w:sz w:val="18"/>
      <w:szCs w:val="18"/>
      <w:lang w:val="en-US" w:eastAsia="zh-CN" w:bidi="ar-SA"/>
    </w:rPr>
  </w:style>
  <w:style w:type="paragraph" w:customStyle="1" w:styleId="79">
    <w:name w:val="附录标识"/>
    <w:basedOn w:val="1"/>
    <w:next w:val="22"/>
    <w:qFormat/>
    <w:uiPriority w:val="0"/>
    <w:pPr>
      <w:keepNext/>
      <w:widowControl/>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80">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81">
    <w:name w:val="注："/>
    <w:next w:val="22"/>
    <w:qFormat/>
    <w:uiPriority w:val="0"/>
    <w:pPr>
      <w:widowControl w:val="0"/>
      <w:autoSpaceDE w:val="0"/>
      <w:autoSpaceDN w:val="0"/>
      <w:ind w:left="726" w:hanging="363"/>
      <w:jc w:val="both"/>
    </w:pPr>
    <w:rPr>
      <w:rFonts w:ascii="宋体" w:hAnsi="Times New Roman" w:eastAsia="宋体" w:cs="Times New Roman"/>
      <w:sz w:val="18"/>
      <w:szCs w:val="18"/>
      <w:lang w:val="en-US" w:eastAsia="zh-CN" w:bidi="ar-SA"/>
    </w:rPr>
  </w:style>
  <w:style w:type="paragraph" w:customStyle="1" w:styleId="82">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83">
    <w:name w:val="数字编号列项（二级）"/>
    <w:qFormat/>
    <w:uiPriority w:val="0"/>
    <w:pPr>
      <w:tabs>
        <w:tab w:val="left" w:pos="1260"/>
      </w:tabs>
      <w:ind w:left="1259" w:hanging="419"/>
      <w:jc w:val="both"/>
    </w:pPr>
    <w:rPr>
      <w:rFonts w:ascii="宋体" w:hAnsi="Times New Roman" w:eastAsia="宋体" w:cs="Times New Roman"/>
      <w:sz w:val="21"/>
      <w:lang w:val="en-US" w:eastAsia="zh-CN" w:bidi="ar-SA"/>
    </w:rPr>
  </w:style>
  <w:style w:type="paragraph" w:customStyle="1" w:styleId="84">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85">
    <w:name w:val="附录五级无"/>
    <w:basedOn w:val="76"/>
    <w:qFormat/>
    <w:uiPriority w:val="0"/>
    <w:pPr>
      <w:tabs>
        <w:tab w:val="clear" w:pos="360"/>
      </w:tabs>
      <w:spacing w:beforeLines="0" w:afterLines="0"/>
    </w:pPr>
    <w:rPr>
      <w:rFonts w:ascii="宋体" w:eastAsia="宋体"/>
      <w:szCs w:val="21"/>
    </w:rPr>
  </w:style>
  <w:style w:type="paragraph" w:customStyle="1" w:styleId="86">
    <w:name w:val="注：（正文）"/>
    <w:basedOn w:val="81"/>
    <w:next w:val="22"/>
    <w:qFormat/>
    <w:uiPriority w:val="0"/>
  </w:style>
  <w:style w:type="paragraph" w:customStyle="1" w:styleId="87">
    <w:name w:val="发布部门"/>
    <w:next w:val="22"/>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88">
    <w:name w:val="正文图标题"/>
    <w:next w:val="22"/>
    <w:qFormat/>
    <w:uiPriority w:val="0"/>
    <w:p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89">
    <w:name w:val="编号列项（三级）"/>
    <w:qFormat/>
    <w:uiPriority w:val="0"/>
    <w:pPr>
      <w:tabs>
        <w:tab w:val="left" w:pos="0"/>
      </w:tabs>
      <w:ind w:left="1679" w:hanging="420"/>
    </w:pPr>
    <w:rPr>
      <w:rFonts w:ascii="宋体" w:hAnsi="Times New Roman" w:eastAsia="宋体" w:cs="Times New Roman"/>
      <w:sz w:val="21"/>
      <w:lang w:val="en-US" w:eastAsia="zh-CN" w:bidi="ar-SA"/>
    </w:rPr>
  </w:style>
  <w:style w:type="paragraph" w:customStyle="1" w:styleId="90">
    <w:name w:val="示例"/>
    <w:next w:val="68"/>
    <w:qFormat/>
    <w:uiPriority w:val="0"/>
    <w:pPr>
      <w:widowControl w:val="0"/>
      <w:ind w:firstLine="363"/>
      <w:jc w:val="both"/>
    </w:pPr>
    <w:rPr>
      <w:rFonts w:ascii="宋体" w:hAnsi="Times New Roman" w:eastAsia="宋体" w:cs="Times New Roman"/>
      <w:sz w:val="18"/>
      <w:szCs w:val="18"/>
      <w:lang w:val="en-US" w:eastAsia="zh-CN" w:bidi="ar-SA"/>
    </w:rPr>
  </w:style>
  <w:style w:type="paragraph" w:customStyle="1" w:styleId="91">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92">
    <w:name w:val="示例×："/>
    <w:basedOn w:val="67"/>
    <w:qFormat/>
    <w:uiPriority w:val="0"/>
    <w:pPr>
      <w:spacing w:beforeLines="0" w:afterLines="0"/>
      <w:ind w:firstLine="363"/>
      <w:outlineLvl w:val="9"/>
    </w:pPr>
    <w:rPr>
      <w:rFonts w:ascii="宋体" w:eastAsia="宋体"/>
      <w:sz w:val="18"/>
      <w:szCs w:val="18"/>
    </w:rPr>
  </w:style>
  <w:style w:type="paragraph" w:customStyle="1" w:styleId="93">
    <w:name w:val="五级无"/>
    <w:basedOn w:val="94"/>
    <w:qFormat/>
    <w:uiPriority w:val="0"/>
    <w:pPr>
      <w:spacing w:beforeLines="0" w:afterLines="0"/>
    </w:pPr>
    <w:rPr>
      <w:rFonts w:ascii="宋体" w:eastAsia="宋体"/>
    </w:rPr>
  </w:style>
  <w:style w:type="paragraph" w:customStyle="1" w:styleId="94">
    <w:name w:val="五级条标题"/>
    <w:basedOn w:val="95"/>
    <w:next w:val="22"/>
    <w:qFormat/>
    <w:uiPriority w:val="0"/>
    <w:pPr>
      <w:outlineLvl w:val="6"/>
    </w:pPr>
  </w:style>
  <w:style w:type="paragraph" w:customStyle="1" w:styleId="95">
    <w:name w:val="四级条标题"/>
    <w:basedOn w:val="53"/>
    <w:next w:val="22"/>
    <w:qFormat/>
    <w:uiPriority w:val="0"/>
    <w:pPr>
      <w:outlineLvl w:val="5"/>
    </w:pPr>
  </w:style>
  <w:style w:type="paragraph" w:customStyle="1" w:styleId="96">
    <w:name w:val="标准书眉一"/>
    <w:qFormat/>
    <w:uiPriority w:val="0"/>
    <w:pPr>
      <w:jc w:val="both"/>
    </w:pPr>
    <w:rPr>
      <w:rFonts w:ascii="Times New Roman" w:hAnsi="Times New Roman" w:eastAsia="宋体" w:cs="Times New Roman"/>
      <w:lang w:val="en-US" w:eastAsia="zh-CN" w:bidi="ar-SA"/>
    </w:rPr>
  </w:style>
  <w:style w:type="paragraph" w:customStyle="1" w:styleId="97">
    <w:name w:val="附录表标号"/>
    <w:basedOn w:val="1"/>
    <w:next w:val="22"/>
    <w:qFormat/>
    <w:uiPriority w:val="0"/>
    <w:pPr>
      <w:spacing w:line="14" w:lineRule="exact"/>
      <w:ind w:left="811" w:hanging="448"/>
      <w:jc w:val="center"/>
      <w:outlineLvl w:val="0"/>
    </w:pPr>
    <w:rPr>
      <w:color w:val="FFFFFF"/>
    </w:rPr>
  </w:style>
  <w:style w:type="paragraph" w:customStyle="1" w:styleId="98">
    <w:name w:val="附录数字编号列项（二级）"/>
    <w:qFormat/>
    <w:uiPriority w:val="0"/>
    <w:pPr>
      <w:tabs>
        <w:tab w:val="left" w:pos="840"/>
      </w:tabs>
      <w:ind w:left="839" w:hanging="419"/>
    </w:pPr>
    <w:rPr>
      <w:rFonts w:ascii="宋体" w:hAnsi="Times New Roman" w:eastAsia="宋体" w:cs="Times New Roman"/>
      <w:sz w:val="21"/>
      <w:lang w:val="en-US" w:eastAsia="zh-CN" w:bidi="ar-SA"/>
    </w:rPr>
  </w:style>
  <w:style w:type="paragraph" w:customStyle="1" w:styleId="99">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100">
    <w:name w:val="标准书眉_偶数页"/>
    <w:basedOn w:val="101"/>
    <w:next w:val="1"/>
    <w:qFormat/>
    <w:uiPriority w:val="0"/>
    <w:pPr>
      <w:tabs>
        <w:tab w:val="center" w:pos="4154"/>
        <w:tab w:val="right" w:pos="8306"/>
      </w:tabs>
      <w:jc w:val="left"/>
    </w:pPr>
  </w:style>
  <w:style w:type="paragraph" w:customStyle="1" w:styleId="101">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102">
    <w:name w:val="字母编号列项（一级）"/>
    <w:qFormat/>
    <w:uiPriority w:val="0"/>
    <w:pPr>
      <w:tabs>
        <w:tab w:val="left" w:pos="840"/>
      </w:tabs>
      <w:ind w:left="839" w:hanging="419"/>
      <w:jc w:val="both"/>
    </w:pPr>
    <w:rPr>
      <w:rFonts w:ascii="宋体" w:hAnsi="Times New Roman" w:eastAsia="宋体" w:cs="Times New Roman"/>
      <w:sz w:val="21"/>
      <w:lang w:val="en-US" w:eastAsia="zh-CN" w:bidi="ar-SA"/>
    </w:rPr>
  </w:style>
  <w:style w:type="paragraph" w:customStyle="1" w:styleId="103">
    <w:name w:val="一级无"/>
    <w:basedOn w:val="55"/>
    <w:qFormat/>
    <w:uiPriority w:val="0"/>
    <w:pPr>
      <w:spacing w:beforeLines="0" w:afterLines="0"/>
    </w:pPr>
    <w:rPr>
      <w:rFonts w:ascii="宋体" w:eastAsia="宋体"/>
    </w:rPr>
  </w:style>
  <w:style w:type="paragraph" w:customStyle="1" w:styleId="104">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105">
    <w:name w:val="列项◆（三级）"/>
    <w:basedOn w:val="1"/>
    <w:qFormat/>
    <w:uiPriority w:val="0"/>
    <w:pPr>
      <w:tabs>
        <w:tab w:val="left" w:pos="1678"/>
      </w:tabs>
      <w:ind w:left="1678" w:hanging="414"/>
    </w:pPr>
    <w:rPr>
      <w:rFonts w:ascii="宋体"/>
      <w:szCs w:val="21"/>
    </w:rPr>
  </w:style>
  <w:style w:type="paragraph" w:customStyle="1" w:styleId="106">
    <w:name w:val="其他标准标志"/>
    <w:basedOn w:val="61"/>
    <w:qFormat/>
    <w:uiPriority w:val="0"/>
    <w:pPr>
      <w:framePr w:w="6101" w:vAnchor="page" w:hAnchor="page" w:x="4673" w:y="942"/>
    </w:pPr>
    <w:rPr>
      <w:w w:val="130"/>
    </w:rPr>
  </w:style>
  <w:style w:type="paragraph" w:customStyle="1" w:styleId="107">
    <w:name w:val="条文脚注"/>
    <w:basedOn w:val="23"/>
    <w:qFormat/>
    <w:uiPriority w:val="0"/>
    <w:pPr>
      <w:ind w:left="0" w:firstLine="0"/>
      <w:jc w:val="both"/>
    </w:pPr>
  </w:style>
  <w:style w:type="paragraph" w:customStyle="1" w:styleId="108">
    <w:name w:val="附录公式编号制表符"/>
    <w:basedOn w:val="1"/>
    <w:next w:val="22"/>
    <w:qFormat/>
    <w:uiPriority w:val="0"/>
    <w:pPr>
      <w:widowControl/>
      <w:tabs>
        <w:tab w:val="center" w:pos="4201"/>
        <w:tab w:val="right" w:leader="dot" w:pos="9298"/>
      </w:tabs>
      <w:autoSpaceDE w:val="0"/>
      <w:autoSpaceDN w:val="0"/>
    </w:pPr>
    <w:rPr>
      <w:rFonts w:ascii="宋体"/>
      <w:kern w:val="0"/>
      <w:szCs w:val="20"/>
    </w:rPr>
  </w:style>
  <w:style w:type="paragraph" w:customStyle="1" w:styleId="109">
    <w:name w:val="附录标题"/>
    <w:basedOn w:val="22"/>
    <w:next w:val="22"/>
    <w:qFormat/>
    <w:uiPriority w:val="0"/>
    <w:pPr>
      <w:ind w:firstLine="0" w:firstLineChars="0"/>
      <w:jc w:val="center"/>
    </w:pPr>
    <w:rPr>
      <w:rFonts w:ascii="黑体" w:eastAsia="黑体"/>
    </w:rPr>
  </w:style>
  <w:style w:type="paragraph" w:customStyle="1" w:styleId="110">
    <w:name w:val="附录一级条标题"/>
    <w:basedOn w:val="111"/>
    <w:next w:val="22"/>
    <w:qFormat/>
    <w:uiPriority w:val="0"/>
    <w:pPr>
      <w:tabs>
        <w:tab w:val="left" w:pos="360"/>
      </w:tabs>
      <w:autoSpaceDN w:val="0"/>
      <w:spacing w:beforeLines="50" w:afterLines="50"/>
      <w:outlineLvl w:val="2"/>
    </w:pPr>
  </w:style>
  <w:style w:type="paragraph" w:customStyle="1" w:styleId="111">
    <w:name w:val="附录章标题"/>
    <w:next w:val="22"/>
    <w:qFormat/>
    <w:uiPriority w:val="0"/>
    <w:p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12">
    <w:name w:val="封面标准文稿类别2"/>
    <w:basedOn w:val="45"/>
    <w:qFormat/>
    <w:uiPriority w:val="0"/>
    <w:pPr>
      <w:framePr w:y="4469"/>
    </w:pPr>
  </w:style>
  <w:style w:type="paragraph" w:customStyle="1" w:styleId="113">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14">
    <w:name w:val="附录图标题"/>
    <w:basedOn w:val="1"/>
    <w:next w:val="22"/>
    <w:qFormat/>
    <w:uiPriority w:val="0"/>
    <w:pPr>
      <w:tabs>
        <w:tab w:val="left" w:pos="363"/>
      </w:tabs>
      <w:spacing w:beforeLines="50" w:afterLines="50"/>
      <w:jc w:val="center"/>
    </w:pPr>
    <w:rPr>
      <w:rFonts w:ascii="黑体" w:eastAsia="黑体"/>
      <w:szCs w:val="21"/>
    </w:rPr>
  </w:style>
  <w:style w:type="paragraph" w:customStyle="1" w:styleId="115">
    <w:name w:val="附录三级无"/>
    <w:basedOn w:val="69"/>
    <w:qFormat/>
    <w:uiPriority w:val="0"/>
    <w:pPr>
      <w:tabs>
        <w:tab w:val="clear" w:pos="360"/>
      </w:tabs>
      <w:spacing w:beforeLines="0" w:afterLines="0"/>
    </w:pPr>
    <w:rPr>
      <w:rFonts w:ascii="宋体" w:eastAsia="宋体"/>
      <w:szCs w:val="21"/>
    </w:rPr>
  </w:style>
  <w:style w:type="paragraph" w:customStyle="1" w:styleId="116">
    <w:name w:val="封面正文"/>
    <w:qFormat/>
    <w:uiPriority w:val="0"/>
    <w:pPr>
      <w:jc w:val="both"/>
    </w:pPr>
    <w:rPr>
      <w:rFonts w:ascii="Times New Roman" w:hAnsi="Times New Roman" w:eastAsia="宋体" w:cs="Times New Roman"/>
      <w:lang w:val="en-US" w:eastAsia="zh-CN" w:bidi="ar-SA"/>
    </w:rPr>
  </w:style>
  <w:style w:type="paragraph" w:customStyle="1" w:styleId="117">
    <w:name w:val="图表脚注说明"/>
    <w:basedOn w:val="1"/>
    <w:qFormat/>
    <w:uiPriority w:val="0"/>
    <w:pPr>
      <w:ind w:left="544" w:hanging="181"/>
    </w:pPr>
    <w:rPr>
      <w:rFonts w:ascii="宋体"/>
      <w:sz w:val="18"/>
      <w:szCs w:val="18"/>
    </w:rPr>
  </w:style>
  <w:style w:type="paragraph" w:customStyle="1" w:styleId="118">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19">
    <w:name w:val="前言、引言标题"/>
    <w:next w:val="22"/>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20">
    <w:name w:val="图的脚注"/>
    <w:next w:val="22"/>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21">
    <w:name w:val="封面标准名称2"/>
    <w:basedOn w:val="48"/>
    <w:qFormat/>
    <w:uiPriority w:val="0"/>
    <w:pPr>
      <w:framePr w:y="4469"/>
      <w:spacing w:beforeLines="630"/>
    </w:pPr>
  </w:style>
  <w:style w:type="paragraph" w:customStyle="1" w:styleId="122">
    <w:name w:val="封面一致性程度标识2"/>
    <w:basedOn w:val="46"/>
    <w:qFormat/>
    <w:uiPriority w:val="0"/>
    <w:pPr>
      <w:framePr w:y="4469"/>
    </w:pPr>
  </w:style>
  <w:style w:type="paragraph" w:customStyle="1" w:styleId="123">
    <w:name w:val="示例后文字"/>
    <w:basedOn w:val="22"/>
    <w:next w:val="22"/>
    <w:qFormat/>
    <w:uiPriority w:val="0"/>
    <w:pPr>
      <w:ind w:firstLine="360"/>
    </w:pPr>
    <w:rPr>
      <w:sz w:val="18"/>
    </w:rPr>
  </w:style>
  <w:style w:type="paragraph" w:customStyle="1" w:styleId="124">
    <w:name w:val="其他实施日期"/>
    <w:basedOn w:val="50"/>
    <w:qFormat/>
    <w:uiPriority w:val="0"/>
  </w:style>
  <w:style w:type="paragraph" w:customStyle="1" w:styleId="125">
    <w:name w:val="附录字母编号列项（一级）"/>
    <w:qFormat/>
    <w:uiPriority w:val="0"/>
    <w:pPr>
      <w:tabs>
        <w:tab w:val="left" w:pos="839"/>
      </w:tabs>
      <w:ind w:left="839" w:hanging="419"/>
    </w:pPr>
    <w:rPr>
      <w:rFonts w:ascii="宋体" w:hAnsi="Times New Roman" w:eastAsia="宋体" w:cs="Times New Roman"/>
      <w:sz w:val="21"/>
      <w:lang w:val="en-US" w:eastAsia="zh-CN" w:bidi="ar-SA"/>
    </w:rPr>
  </w:style>
  <w:style w:type="paragraph" w:customStyle="1" w:styleId="126">
    <w:name w:val="附录图标号"/>
    <w:basedOn w:val="1"/>
    <w:qFormat/>
    <w:uiPriority w:val="0"/>
    <w:pPr>
      <w:keepNext/>
      <w:pageBreakBefore/>
      <w:widowControl/>
      <w:spacing w:line="14" w:lineRule="exact"/>
      <w:ind w:firstLine="363"/>
      <w:jc w:val="center"/>
      <w:outlineLvl w:val="0"/>
    </w:pPr>
    <w:rPr>
      <w:color w:val="FFFFFF"/>
    </w:rPr>
  </w:style>
  <w:style w:type="paragraph" w:customStyle="1" w:styleId="127">
    <w:name w:val="附录四级无"/>
    <w:basedOn w:val="77"/>
    <w:qFormat/>
    <w:uiPriority w:val="0"/>
    <w:pPr>
      <w:tabs>
        <w:tab w:val="clear" w:pos="360"/>
      </w:tabs>
      <w:spacing w:beforeLines="0" w:afterLines="0"/>
    </w:pPr>
    <w:rPr>
      <w:rFonts w:ascii="宋体" w:eastAsia="宋体"/>
      <w:szCs w:val="21"/>
    </w:rPr>
  </w:style>
  <w:style w:type="paragraph" w:customStyle="1" w:styleId="128">
    <w:name w:val="四级无"/>
    <w:basedOn w:val="95"/>
    <w:qFormat/>
    <w:uiPriority w:val="0"/>
    <w:pPr>
      <w:spacing w:beforeLines="0" w:afterLines="0"/>
    </w:pPr>
    <w:rPr>
      <w:rFonts w:ascii="宋体" w:eastAsia="宋体"/>
    </w:rPr>
  </w:style>
  <w:style w:type="paragraph" w:customStyle="1" w:styleId="129">
    <w:name w:val="其他发布部门"/>
    <w:basedOn w:val="87"/>
    <w:qFormat/>
    <w:uiPriority w:val="0"/>
    <w:pPr>
      <w:framePr w:y="15310"/>
      <w:spacing w:line="0" w:lineRule="atLeast"/>
    </w:pPr>
    <w:rPr>
      <w:rFonts w:ascii="黑体" w:eastAsia="黑体"/>
      <w:b w:val="0"/>
    </w:rPr>
  </w:style>
  <w:style w:type="paragraph" w:customStyle="1" w:styleId="130">
    <w:name w:val="图标脚注说明"/>
    <w:basedOn w:val="22"/>
    <w:qFormat/>
    <w:uiPriority w:val="0"/>
    <w:pPr>
      <w:ind w:left="840" w:hanging="420" w:firstLineChars="0"/>
    </w:pPr>
    <w:rPr>
      <w:sz w:val="18"/>
      <w:szCs w:val="18"/>
    </w:rPr>
  </w:style>
  <w:style w:type="paragraph" w:customStyle="1" w:styleId="131">
    <w:name w:val="附录一级无"/>
    <w:basedOn w:val="110"/>
    <w:qFormat/>
    <w:uiPriority w:val="0"/>
    <w:pPr>
      <w:tabs>
        <w:tab w:val="clear" w:pos="360"/>
      </w:tabs>
      <w:spacing w:beforeLines="0" w:afterLines="0"/>
    </w:pPr>
    <w:rPr>
      <w:rFonts w:ascii="宋体" w:eastAsia="宋体"/>
      <w:szCs w:val="21"/>
    </w:rPr>
  </w:style>
  <w:style w:type="paragraph" w:customStyle="1" w:styleId="132">
    <w:name w:val="封面标准英文名称2"/>
    <w:basedOn w:val="47"/>
    <w:qFormat/>
    <w:uiPriority w:val="0"/>
    <w:pPr>
      <w:framePr w:y="4469"/>
    </w:pPr>
  </w:style>
  <w:style w:type="paragraph" w:customStyle="1" w:styleId="133">
    <w:name w:val="终结线"/>
    <w:basedOn w:val="1"/>
    <w:qFormat/>
    <w:uiPriority w:val="0"/>
    <w:pPr>
      <w:framePr w:hSpace="181" w:vSpace="181" w:wrap="around" w:vAnchor="text" w:hAnchor="margin" w:xAlign="center" w:y="285"/>
    </w:pPr>
  </w:style>
  <w:style w:type="paragraph" w:customStyle="1" w:styleId="134">
    <w:name w:val="封面标准文稿编辑信息2"/>
    <w:basedOn w:val="44"/>
    <w:qFormat/>
    <w:uiPriority w:val="0"/>
    <w:pPr>
      <w:framePr w:y="4469"/>
    </w:pPr>
  </w:style>
  <w:style w:type="character" w:customStyle="1" w:styleId="135">
    <w:name w:val="MSG_EN_FONT_STYLE_NAME_TEMPLATE_ROLE_NUMBER MSG_EN_FONT_STYLE_NAME_BY_ROLE_TEXT 3_"/>
    <w:basedOn w:val="30"/>
    <w:link w:val="136"/>
    <w:qFormat/>
    <w:uiPriority w:val="0"/>
    <w:rPr>
      <w:rFonts w:ascii="PMingLiU" w:hAnsi="PMingLiU" w:eastAsia="PMingLiU" w:cs="PMingLiU"/>
      <w:spacing w:val="30"/>
      <w:sz w:val="19"/>
      <w:szCs w:val="19"/>
      <w:shd w:val="clear" w:color="auto" w:fill="FFFFFF"/>
    </w:rPr>
  </w:style>
  <w:style w:type="paragraph" w:customStyle="1" w:styleId="136">
    <w:name w:val="MSG_EN_FONT_STYLE_NAME_TEMPLATE_ROLE_NUMBER MSG_EN_FONT_STYLE_NAME_BY_ROLE_TEXT 3"/>
    <w:basedOn w:val="1"/>
    <w:link w:val="135"/>
    <w:qFormat/>
    <w:uiPriority w:val="0"/>
    <w:pPr>
      <w:shd w:val="clear" w:color="auto" w:fill="FFFFFF"/>
      <w:spacing w:after="320" w:line="222" w:lineRule="exact"/>
    </w:pPr>
    <w:rPr>
      <w:rFonts w:ascii="PMingLiU" w:hAnsi="PMingLiU" w:eastAsia="PMingLiU" w:cs="PMingLiU"/>
      <w:spacing w:val="30"/>
      <w:kern w:val="0"/>
      <w:sz w:val="19"/>
      <w:szCs w:val="19"/>
    </w:rPr>
  </w:style>
  <w:style w:type="character" w:customStyle="1" w:styleId="137">
    <w:name w:val="MSG_EN_FONT_STYLE_NAME_TEMPLATE_ROLE_NUMBER MSG_EN_FONT_STYLE_NAME_BY_ROLE_TEXT 3 + MSG_EN_FONT_STYLE_MODIFER_SPACING 2"/>
    <w:basedOn w:val="135"/>
    <w:qFormat/>
    <w:uiPriority w:val="0"/>
    <w:rPr>
      <w:color w:val="000000"/>
      <w:spacing w:val="50"/>
      <w:w w:val="100"/>
      <w:position w:val="0"/>
      <w:lang w:val="zh-CN" w:eastAsia="zh-CN" w:bidi="zh-CN"/>
    </w:rPr>
  </w:style>
  <w:style w:type="character" w:customStyle="1" w:styleId="138">
    <w:name w:val="MSG_EN_FONT_STYLE_NAME_TEMPLATE_ROLE_NUMBER MSG_EN_FONT_STYLE_NAME_BY_ROLE_TEXT 2_"/>
    <w:basedOn w:val="30"/>
    <w:link w:val="139"/>
    <w:qFormat/>
    <w:uiPriority w:val="0"/>
    <w:rPr>
      <w:rFonts w:ascii="PMingLiU" w:hAnsi="PMingLiU" w:eastAsia="PMingLiU" w:cs="PMingLiU"/>
      <w:shd w:val="clear" w:color="auto" w:fill="FFFFFF"/>
    </w:rPr>
  </w:style>
  <w:style w:type="paragraph" w:customStyle="1" w:styleId="139">
    <w:name w:val="MSG_EN_FONT_STYLE_NAME_TEMPLATE_ROLE_NUMBER MSG_EN_FONT_STYLE_NAME_BY_ROLE_TEXT 2"/>
    <w:basedOn w:val="1"/>
    <w:link w:val="138"/>
    <w:qFormat/>
    <w:uiPriority w:val="0"/>
    <w:pPr>
      <w:shd w:val="clear" w:color="auto" w:fill="FFFFFF"/>
      <w:spacing w:line="314" w:lineRule="exact"/>
      <w:ind w:hanging="720"/>
      <w:jc w:val="left"/>
    </w:pPr>
    <w:rPr>
      <w:rFonts w:ascii="PMingLiU" w:hAnsi="PMingLiU" w:eastAsia="PMingLiU" w:cs="PMingLiU"/>
      <w:kern w:val="0"/>
      <w:sz w:val="20"/>
      <w:szCs w:val="20"/>
    </w:rPr>
  </w:style>
  <w:style w:type="character" w:customStyle="1" w:styleId="140">
    <w:name w:val="MSG_EN_FONT_STYLE_NAME_TEMPLATE_ROLE_NUMBER MSG_EN_FONT_STYLE_NAME_BY_ROLE_TEXT 2 + MSG_EN_FONT_STYLE_MODIFER_NAME Times New Roman"/>
    <w:basedOn w:val="138"/>
    <w:qFormat/>
    <w:uiPriority w:val="0"/>
    <w:rPr>
      <w:rFonts w:ascii="Times New Roman" w:hAnsi="Times New Roman" w:eastAsia="Times New Roman" w:cs="Times New Roman"/>
      <w:color w:val="000000"/>
      <w:spacing w:val="0"/>
      <w:w w:val="100"/>
      <w:position w:val="0"/>
      <w:sz w:val="21"/>
      <w:szCs w:val="21"/>
      <w:lang w:val="en-US" w:eastAsia="en-US" w:bidi="en-US"/>
    </w:rPr>
  </w:style>
  <w:style w:type="character" w:customStyle="1" w:styleId="141">
    <w:name w:val="MSG_EN_FONT_STYLE_NAME_TEMPLATE_ROLE_LEVEL MSG_EN_FONT_STYLE_NAME_BY_ROLE_HEADING 5_"/>
    <w:basedOn w:val="30"/>
    <w:link w:val="142"/>
    <w:qFormat/>
    <w:uiPriority w:val="0"/>
    <w:rPr>
      <w:rFonts w:ascii="PMingLiU" w:hAnsi="PMingLiU" w:eastAsia="PMingLiU" w:cs="PMingLiU"/>
      <w:spacing w:val="30"/>
      <w:sz w:val="28"/>
      <w:szCs w:val="28"/>
      <w:shd w:val="clear" w:color="auto" w:fill="FFFFFF"/>
    </w:rPr>
  </w:style>
  <w:style w:type="paragraph" w:customStyle="1" w:styleId="142">
    <w:name w:val="MSG_EN_FONT_STYLE_NAME_TEMPLATE_ROLE_LEVEL MSG_EN_FONT_STYLE_NAME_BY_ROLE_HEADING 5"/>
    <w:basedOn w:val="1"/>
    <w:link w:val="141"/>
    <w:qFormat/>
    <w:uiPriority w:val="0"/>
    <w:pPr>
      <w:shd w:val="clear" w:color="auto" w:fill="FFFFFF"/>
      <w:spacing w:after="640" w:line="280" w:lineRule="exact"/>
      <w:jc w:val="center"/>
      <w:outlineLvl w:val="4"/>
    </w:pPr>
    <w:rPr>
      <w:rFonts w:ascii="PMingLiU" w:hAnsi="PMingLiU" w:eastAsia="PMingLiU" w:cs="PMingLiU"/>
      <w:spacing w:val="30"/>
      <w:kern w:val="0"/>
      <w:sz w:val="28"/>
      <w:szCs w:val="28"/>
    </w:rPr>
  </w:style>
  <w:style w:type="character" w:customStyle="1" w:styleId="143">
    <w:name w:val="MSG_EN_FONT_STYLE_NAME_TEMPLATE_ROLE_NUMBER MSG_EN_FONT_STYLE_NAME_BY_ROLE_TEXT 2 + MSG_EN_FONT_STYLE_MODIFER_SPACING 1"/>
    <w:basedOn w:val="138"/>
    <w:qFormat/>
    <w:uiPriority w:val="0"/>
    <w:rPr>
      <w:color w:val="000000"/>
      <w:spacing w:val="30"/>
      <w:w w:val="100"/>
      <w:position w:val="0"/>
      <w:lang w:val="zh-CN" w:eastAsia="zh-CN" w:bidi="zh-CN"/>
    </w:rPr>
  </w:style>
  <w:style w:type="character" w:customStyle="1" w:styleId="144">
    <w:name w:val="MSG_EN_FONT_STYLE_NAME_TEMPLATE_ROLE_NUMBER MSG_EN_FONT_STYLE_NAME_BY_ROLE_TEXT 8_"/>
    <w:basedOn w:val="30"/>
    <w:link w:val="145"/>
    <w:qFormat/>
    <w:uiPriority w:val="0"/>
    <w:rPr>
      <w:b/>
      <w:bCs/>
      <w:shd w:val="clear" w:color="auto" w:fill="FFFFFF"/>
      <w:lang w:eastAsia="en-US" w:bidi="en-US"/>
    </w:rPr>
  </w:style>
  <w:style w:type="paragraph" w:customStyle="1" w:styleId="145">
    <w:name w:val="MSG_EN_FONT_STYLE_NAME_TEMPLATE_ROLE_NUMBER MSG_EN_FONT_STYLE_NAME_BY_ROLE_TEXT 8"/>
    <w:basedOn w:val="1"/>
    <w:link w:val="144"/>
    <w:qFormat/>
    <w:uiPriority w:val="0"/>
    <w:pPr>
      <w:shd w:val="clear" w:color="auto" w:fill="FFFFFF"/>
      <w:spacing w:before="100" w:after="100" w:line="222" w:lineRule="exact"/>
      <w:ind w:firstLine="460"/>
      <w:jc w:val="left"/>
    </w:pPr>
    <w:rPr>
      <w:b/>
      <w:bCs/>
      <w:kern w:val="0"/>
      <w:sz w:val="20"/>
      <w:szCs w:val="20"/>
      <w:lang w:eastAsia="en-US" w:bidi="en-US"/>
    </w:rPr>
  </w:style>
  <w:style w:type="character" w:customStyle="1" w:styleId="146">
    <w:name w:val="MSG_EN_FONT_STYLE_NAME_TEMPLATE_ROLE_NUMBER MSG_EN_FONT_STYLE_NAME_BY_ROLE_TEXT 8 + MSG_EN_FONT_STYLE_MODIFER_NAME PMingLiU"/>
    <w:basedOn w:val="144"/>
    <w:qFormat/>
    <w:uiPriority w:val="0"/>
    <w:rPr>
      <w:rFonts w:ascii="PMingLiU" w:hAnsi="PMingLiU" w:eastAsia="PMingLiU" w:cs="PMingLiU"/>
      <w:color w:val="000000"/>
      <w:spacing w:val="30"/>
      <w:w w:val="100"/>
      <w:position w:val="0"/>
      <w:sz w:val="19"/>
      <w:szCs w:val="19"/>
      <w:lang w:val="zh-CN" w:eastAsia="zh-CN" w:bidi="zh-CN"/>
    </w:rPr>
  </w:style>
  <w:style w:type="character" w:customStyle="1" w:styleId="147">
    <w:name w:val="MSG_EN_FONT_STYLE_NAME_TEMPLATE_ROLE MSG_EN_FONT_STYLE_NAME_BY_ROLE_TABLE_CAPTION_"/>
    <w:basedOn w:val="30"/>
    <w:link w:val="148"/>
    <w:qFormat/>
    <w:uiPriority w:val="0"/>
    <w:rPr>
      <w:rFonts w:ascii="PMingLiU" w:hAnsi="PMingLiU" w:eastAsia="PMingLiU" w:cs="PMingLiU"/>
      <w:spacing w:val="30"/>
      <w:sz w:val="19"/>
      <w:szCs w:val="19"/>
      <w:shd w:val="clear" w:color="auto" w:fill="FFFFFF"/>
    </w:rPr>
  </w:style>
  <w:style w:type="paragraph" w:customStyle="1" w:styleId="148">
    <w:name w:val="MSG_EN_FONT_STYLE_NAME_TEMPLATE_ROLE MSG_EN_FONT_STYLE_NAME_BY_ROLE_TABLE_CAPTION"/>
    <w:basedOn w:val="1"/>
    <w:link w:val="147"/>
    <w:qFormat/>
    <w:uiPriority w:val="0"/>
    <w:pPr>
      <w:shd w:val="clear" w:color="auto" w:fill="FFFFFF"/>
      <w:spacing w:line="190" w:lineRule="exact"/>
      <w:jc w:val="left"/>
    </w:pPr>
    <w:rPr>
      <w:rFonts w:ascii="PMingLiU" w:hAnsi="PMingLiU" w:eastAsia="PMingLiU" w:cs="PMingLiU"/>
      <w:spacing w:val="30"/>
      <w:kern w:val="0"/>
      <w:sz w:val="19"/>
      <w:szCs w:val="19"/>
    </w:rPr>
  </w:style>
  <w:style w:type="character" w:customStyle="1" w:styleId="149">
    <w:name w:val="MSG_EN_FONT_STYLE_NAME_TEMPLATE_ROLE_NUMBER MSG_EN_FONT_STYLE_NAME_BY_ROLE_TEXT 2 + MSG_EN_FONT_STYLE_MODIFER_SIZE 8"/>
    <w:basedOn w:val="138"/>
    <w:qFormat/>
    <w:uiPriority w:val="0"/>
    <w:rPr>
      <w:color w:val="000000"/>
      <w:spacing w:val="10"/>
      <w:w w:val="100"/>
      <w:position w:val="0"/>
      <w:sz w:val="16"/>
      <w:szCs w:val="16"/>
      <w:u w:val="none"/>
      <w:lang w:val="zh-CN" w:eastAsia="zh-CN" w:bidi="zh-CN"/>
    </w:rPr>
  </w:style>
  <w:style w:type="character" w:customStyle="1" w:styleId="150">
    <w:name w:val="MSG_EN_FONT_STYLE_NAME_TEMPLATE_ROLE_LEVEL MSG_EN_FONT_STYLE_NAME_BY_ROLE_HEADING 8_"/>
    <w:basedOn w:val="30"/>
    <w:link w:val="151"/>
    <w:qFormat/>
    <w:uiPriority w:val="0"/>
    <w:rPr>
      <w:rFonts w:ascii="PMingLiU" w:hAnsi="PMingLiU" w:eastAsia="PMingLiU" w:cs="PMingLiU"/>
      <w:spacing w:val="30"/>
      <w:sz w:val="19"/>
      <w:szCs w:val="19"/>
      <w:shd w:val="clear" w:color="auto" w:fill="FFFFFF"/>
    </w:rPr>
  </w:style>
  <w:style w:type="paragraph" w:customStyle="1" w:styleId="151">
    <w:name w:val="MSG_EN_FONT_STYLE_NAME_TEMPLATE_ROLE_LEVEL MSG_EN_FONT_STYLE_NAME_BY_ROLE_HEADING 8"/>
    <w:basedOn w:val="1"/>
    <w:link w:val="150"/>
    <w:qFormat/>
    <w:uiPriority w:val="0"/>
    <w:pPr>
      <w:shd w:val="clear" w:color="auto" w:fill="FFFFFF"/>
      <w:spacing w:before="440" w:line="475" w:lineRule="exact"/>
      <w:jc w:val="left"/>
      <w:outlineLvl w:val="7"/>
    </w:pPr>
    <w:rPr>
      <w:rFonts w:ascii="PMingLiU" w:hAnsi="PMingLiU" w:eastAsia="PMingLiU" w:cs="PMingLiU"/>
      <w:spacing w:val="30"/>
      <w:kern w:val="0"/>
      <w:sz w:val="19"/>
      <w:szCs w:val="19"/>
    </w:rPr>
  </w:style>
  <w:style w:type="character" w:customStyle="1" w:styleId="152">
    <w:name w:val="MSG_EN_FONT_STYLE_NAME_TEMPLATE_ROLE_LEVEL MSG_EN_FONT_STYLE_NAME_BY_ROLE_HEADING 8 + MSG_EN_FONT_STYLE_MODIFER_SPACING 2"/>
    <w:basedOn w:val="150"/>
    <w:qFormat/>
    <w:uiPriority w:val="0"/>
    <w:rPr>
      <w:color w:val="000000"/>
      <w:spacing w:val="50"/>
      <w:w w:val="100"/>
      <w:position w:val="0"/>
      <w:lang w:val="zh-CN" w:eastAsia="zh-CN" w:bidi="zh-CN"/>
    </w:rPr>
  </w:style>
  <w:style w:type="character" w:customStyle="1" w:styleId="153">
    <w:name w:val="MSG_EN_FONT_STYLE_NAME_TEMPLATE_ROLE_NUMBER MSG_EN_FONT_STYLE_NAME_BY_ROLE_TEXT 9_"/>
    <w:basedOn w:val="30"/>
    <w:link w:val="154"/>
    <w:qFormat/>
    <w:uiPriority w:val="0"/>
    <w:rPr>
      <w:i/>
      <w:iCs/>
      <w:spacing w:val="20"/>
      <w:sz w:val="19"/>
      <w:szCs w:val="19"/>
      <w:shd w:val="clear" w:color="auto" w:fill="FFFFFF"/>
      <w:lang w:eastAsia="en-US" w:bidi="en-US"/>
    </w:rPr>
  </w:style>
  <w:style w:type="paragraph" w:customStyle="1" w:styleId="154">
    <w:name w:val="MSG_EN_FONT_STYLE_NAME_TEMPLATE_ROLE_NUMBER MSG_EN_FONT_STYLE_NAME_BY_ROLE_TEXT 9"/>
    <w:basedOn w:val="1"/>
    <w:link w:val="153"/>
    <w:qFormat/>
    <w:uiPriority w:val="0"/>
    <w:pPr>
      <w:shd w:val="clear" w:color="auto" w:fill="FFFFFF"/>
      <w:spacing w:after="140" w:line="232" w:lineRule="exact"/>
    </w:pPr>
    <w:rPr>
      <w:i/>
      <w:iCs/>
      <w:spacing w:val="20"/>
      <w:kern w:val="0"/>
      <w:sz w:val="19"/>
      <w:szCs w:val="19"/>
      <w:lang w:eastAsia="en-US" w:bidi="en-US"/>
    </w:rPr>
  </w:style>
  <w:style w:type="character" w:customStyle="1" w:styleId="155">
    <w:name w:val="MSG_EN_FONT_STYLE_NAME_TEMPLATE_ROLE_NUMBER MSG_EN_FONT_STYLE_NAME_BY_ROLE_TEXT 2 + MSG_EN_FONT_STYLE_MODIFER_SIZE 8.5"/>
    <w:basedOn w:val="138"/>
    <w:qFormat/>
    <w:uiPriority w:val="0"/>
    <w:rPr>
      <w:color w:val="000000"/>
      <w:spacing w:val="0"/>
      <w:w w:val="100"/>
      <w:position w:val="0"/>
      <w:sz w:val="17"/>
      <w:szCs w:val="17"/>
      <w:u w:val="none"/>
      <w:lang w:val="en-US" w:eastAsia="en-US" w:bidi="en-US"/>
    </w:rPr>
  </w:style>
  <w:style w:type="character" w:customStyle="1" w:styleId="156">
    <w:name w:val="MSG_EN_FONT_STYLE_NAME_TEMPLATE_ROLE_NUMBER MSG_EN_FONT_STYLE_NAME_BY_ROLE_TEXT 10_"/>
    <w:basedOn w:val="30"/>
    <w:link w:val="157"/>
    <w:qFormat/>
    <w:uiPriority w:val="0"/>
    <w:rPr>
      <w:sz w:val="19"/>
      <w:szCs w:val="19"/>
      <w:shd w:val="clear" w:color="auto" w:fill="FFFFFF"/>
      <w:lang w:eastAsia="en-US" w:bidi="en-US"/>
    </w:rPr>
  </w:style>
  <w:style w:type="paragraph" w:customStyle="1" w:styleId="157">
    <w:name w:val="MSG_EN_FONT_STYLE_NAME_TEMPLATE_ROLE_NUMBER MSG_EN_FONT_STYLE_NAME_BY_ROLE_TEXT 10"/>
    <w:basedOn w:val="1"/>
    <w:link w:val="156"/>
    <w:qFormat/>
    <w:uiPriority w:val="0"/>
    <w:pPr>
      <w:shd w:val="clear" w:color="auto" w:fill="FFFFFF"/>
      <w:spacing w:after="700" w:line="210" w:lineRule="exact"/>
    </w:pPr>
    <w:rPr>
      <w:kern w:val="0"/>
      <w:sz w:val="19"/>
      <w:szCs w:val="19"/>
      <w:lang w:eastAsia="en-US" w:bidi="en-US"/>
    </w:rPr>
  </w:style>
  <w:style w:type="character" w:customStyle="1" w:styleId="158">
    <w:name w:val="MSG_EN_FONT_STYLE_NAME_TEMPLATE_ROLE_NUMBER MSG_EN_FONT_STYLE_NAME_BY_ROLE_TEXT 10 + MSG_EN_FONT_STYLE_MODIFER_NAME PMingLiU"/>
    <w:basedOn w:val="156"/>
    <w:qFormat/>
    <w:uiPriority w:val="0"/>
    <w:rPr>
      <w:rFonts w:ascii="PMingLiU" w:hAnsi="PMingLiU" w:eastAsia="PMingLiU" w:cs="PMingLiU"/>
      <w:color w:val="000000"/>
      <w:spacing w:val="0"/>
      <w:w w:val="100"/>
      <w:position w:val="0"/>
      <w:sz w:val="8"/>
      <w:szCs w:val="8"/>
      <w:lang w:val="zh-CN" w:eastAsia="zh-CN" w:bidi="zh-CN"/>
    </w:rPr>
  </w:style>
  <w:style w:type="character" w:customStyle="1" w:styleId="159">
    <w:name w:val="MSG_EN_FONT_STYLE_NAME_TEMPLATE_ROLE_NUMBER MSG_EN_FONT_STYLE_NAME_BY_ROLE_TEXT 11_"/>
    <w:basedOn w:val="30"/>
    <w:link w:val="160"/>
    <w:qFormat/>
    <w:uiPriority w:val="0"/>
    <w:rPr>
      <w:b/>
      <w:bCs/>
      <w:i/>
      <w:iCs/>
      <w:spacing w:val="20"/>
      <w:sz w:val="10"/>
      <w:szCs w:val="10"/>
      <w:shd w:val="clear" w:color="auto" w:fill="FFFFFF"/>
      <w:lang w:eastAsia="en-US" w:bidi="en-US"/>
    </w:rPr>
  </w:style>
  <w:style w:type="paragraph" w:customStyle="1" w:styleId="160">
    <w:name w:val="MSG_EN_FONT_STYLE_NAME_TEMPLATE_ROLE_NUMBER MSG_EN_FONT_STYLE_NAME_BY_ROLE_TEXT 11"/>
    <w:basedOn w:val="1"/>
    <w:link w:val="159"/>
    <w:qFormat/>
    <w:uiPriority w:val="0"/>
    <w:pPr>
      <w:shd w:val="clear" w:color="auto" w:fill="FFFFFF"/>
      <w:spacing w:before="120" w:after="120" w:line="222" w:lineRule="exact"/>
    </w:pPr>
    <w:rPr>
      <w:b/>
      <w:bCs/>
      <w:i/>
      <w:iCs/>
      <w:spacing w:val="20"/>
      <w:kern w:val="0"/>
      <w:sz w:val="10"/>
      <w:szCs w:val="10"/>
      <w:lang w:eastAsia="en-US" w:bidi="en-US"/>
    </w:rPr>
  </w:style>
  <w:style w:type="character" w:customStyle="1" w:styleId="161">
    <w:name w:val="MSG_EN_FONT_STYLE_NAME_TEMPLATE_ROLE MSG_EN_FONT_STYLE_NAME_BY_ROLE_TABLE_CAPTION + MSG_EN_FONT_STYLE_MODIFER_SPACING 2"/>
    <w:basedOn w:val="147"/>
    <w:qFormat/>
    <w:uiPriority w:val="0"/>
    <w:rPr>
      <w:color w:val="000000"/>
      <w:spacing w:val="50"/>
      <w:w w:val="100"/>
      <w:position w:val="0"/>
      <w:u w:val="none"/>
      <w:lang w:val="zh-CN" w:eastAsia="zh-CN" w:bidi="zh-CN"/>
    </w:rPr>
  </w:style>
  <w:style w:type="character" w:customStyle="1" w:styleId="162">
    <w:name w:val="MSG_EN_FONT_STYLE_NAME_TEMPLATE_ROLE_NUMBER MSG_EN_FONT_STYLE_NAME_BY_ROLE_TEXT 2 + MSG_EN_FONT_STYLE_MODIFER_NAME Arial Unicode MS"/>
    <w:basedOn w:val="138"/>
    <w:qFormat/>
    <w:uiPriority w:val="0"/>
    <w:rPr>
      <w:rFonts w:ascii="Arial Unicode MS" w:hAnsi="Arial Unicode MS" w:eastAsia="Arial Unicode MS" w:cs="Arial Unicode MS"/>
      <w:i/>
      <w:iCs/>
      <w:color w:val="000000"/>
      <w:spacing w:val="0"/>
      <w:w w:val="100"/>
      <w:position w:val="0"/>
      <w:sz w:val="18"/>
      <w:szCs w:val="18"/>
      <w:u w:val="none"/>
      <w:lang w:val="en-US" w:eastAsia="en-US" w:bidi="en-US"/>
    </w:rPr>
  </w:style>
  <w:style w:type="character" w:customStyle="1" w:styleId="163">
    <w:name w:val="MSG_EN_FONT_STYLE_NAME_TEMPLATE_ROLE_NUMBER MSG_EN_FONT_STYLE_NAME_BY_ROLE_TEXT 12_"/>
    <w:basedOn w:val="30"/>
    <w:link w:val="164"/>
    <w:qFormat/>
    <w:uiPriority w:val="0"/>
    <w:rPr>
      <w:b/>
      <w:bCs/>
      <w:sz w:val="12"/>
      <w:szCs w:val="12"/>
      <w:shd w:val="clear" w:color="auto" w:fill="FFFFFF"/>
      <w:lang w:eastAsia="en-US" w:bidi="en-US"/>
    </w:rPr>
  </w:style>
  <w:style w:type="paragraph" w:customStyle="1" w:styleId="164">
    <w:name w:val="MSG_EN_FONT_STYLE_NAME_TEMPLATE_ROLE_NUMBER MSG_EN_FONT_STYLE_NAME_BY_ROLE_TEXT 12"/>
    <w:basedOn w:val="1"/>
    <w:link w:val="163"/>
    <w:qFormat/>
    <w:uiPriority w:val="0"/>
    <w:pPr>
      <w:shd w:val="clear" w:color="auto" w:fill="FFFFFF"/>
      <w:spacing w:after="160" w:line="132" w:lineRule="exact"/>
      <w:jc w:val="left"/>
    </w:pPr>
    <w:rPr>
      <w:b/>
      <w:bCs/>
      <w:kern w:val="0"/>
      <w:sz w:val="12"/>
      <w:szCs w:val="12"/>
      <w:lang w:eastAsia="en-US" w:bidi="en-US"/>
    </w:rPr>
  </w:style>
  <w:style w:type="character" w:customStyle="1" w:styleId="165">
    <w:name w:val="MSG_EN_FONT_STYLE_NAME_TEMPLATE_ROLE_NUMBER MSG_EN_FONT_STYLE_NAME_BY_ROLE_TEXT 2 + MSG_EN_FONT_STYLE_MODIFER_SPACING 0"/>
    <w:basedOn w:val="138"/>
    <w:qFormat/>
    <w:uiPriority w:val="0"/>
    <w:rPr>
      <w:color w:val="000000"/>
      <w:spacing w:val="10"/>
      <w:w w:val="100"/>
      <w:position w:val="0"/>
      <w:sz w:val="20"/>
      <w:szCs w:val="20"/>
      <w:u w:val="none"/>
      <w:lang w:val="zh-CN" w:eastAsia="zh-CN" w:bidi="zh-CN"/>
    </w:rPr>
  </w:style>
  <w:style w:type="character" w:customStyle="1" w:styleId="166">
    <w:name w:val="MSG_EN_FONT_STYLE_NAME_TEMPLATE_ROLE_NUMBER MSG_EN_FONT_STYLE_NAME_BY_ROLE_TEXT 3 + MSG_EN_FONT_STYLE_MODIFER_SPACING 3"/>
    <w:basedOn w:val="135"/>
    <w:qFormat/>
    <w:uiPriority w:val="0"/>
    <w:rPr>
      <w:color w:val="000000"/>
      <w:spacing w:val="70"/>
      <w:w w:val="100"/>
      <w:position w:val="0"/>
      <w:u w:val="none"/>
      <w:lang w:val="zh-CN" w:eastAsia="zh-CN" w:bidi="zh-CN"/>
    </w:rPr>
  </w:style>
  <w:style w:type="character" w:customStyle="1" w:styleId="167">
    <w:name w:val="MSG_EN_FONT_STYLE_NAME_TEMPLATE_ROLE_NUMBER MSG_EN_FONT_STYLE_NAME_BY_ROLE_TEXT 3 Exact"/>
    <w:basedOn w:val="30"/>
    <w:qFormat/>
    <w:uiPriority w:val="0"/>
    <w:rPr>
      <w:rFonts w:ascii="PMingLiU" w:hAnsi="PMingLiU" w:eastAsia="PMingLiU" w:cs="PMingLiU"/>
      <w:spacing w:val="30"/>
      <w:sz w:val="19"/>
      <w:szCs w:val="19"/>
      <w:u w:val="none"/>
    </w:rPr>
  </w:style>
  <w:style w:type="character" w:customStyle="1" w:styleId="168">
    <w:name w:val="MSG_EN_FONT_STYLE_NAME_TEMPLATE_ROLE_LEVEL MSG_EN_FONT_STYLE_NAME_BY_ROLE_HEADING 6 Exact"/>
    <w:basedOn w:val="30"/>
    <w:link w:val="169"/>
    <w:qFormat/>
    <w:uiPriority w:val="0"/>
    <w:rPr>
      <w:rFonts w:ascii="PMingLiU" w:hAnsi="PMingLiU" w:eastAsia="PMingLiU" w:cs="PMingLiU"/>
      <w:sz w:val="26"/>
      <w:szCs w:val="26"/>
      <w:shd w:val="clear" w:color="auto" w:fill="FFFFFF"/>
      <w:lang w:eastAsia="en-US" w:bidi="en-US"/>
    </w:rPr>
  </w:style>
  <w:style w:type="paragraph" w:customStyle="1" w:styleId="169">
    <w:name w:val="MSG_EN_FONT_STYLE_NAME_TEMPLATE_ROLE_LEVEL MSG_EN_FONT_STYLE_NAME_BY_ROLE_HEADING 6"/>
    <w:basedOn w:val="1"/>
    <w:link w:val="168"/>
    <w:qFormat/>
    <w:uiPriority w:val="0"/>
    <w:pPr>
      <w:shd w:val="clear" w:color="auto" w:fill="FFFFFF"/>
      <w:spacing w:line="260" w:lineRule="exact"/>
      <w:jc w:val="left"/>
      <w:outlineLvl w:val="5"/>
    </w:pPr>
    <w:rPr>
      <w:rFonts w:ascii="PMingLiU" w:hAnsi="PMingLiU" w:eastAsia="PMingLiU" w:cs="PMingLiU"/>
      <w:kern w:val="0"/>
      <w:sz w:val="26"/>
      <w:szCs w:val="26"/>
      <w:lang w:eastAsia="en-US" w:bidi="en-US"/>
    </w:rPr>
  </w:style>
  <w:style w:type="character" w:customStyle="1" w:styleId="170">
    <w:name w:val="MSG_EN_FONT_STYLE_NAME_TEMPLATE_ROLE_LEVEL MSG_EN_FONT_STYLE_NAME_BY_ROLE_HEADING 6 + MSG_EN_FONT_STYLE_MODIFER_SIZE 7 Exact"/>
    <w:basedOn w:val="168"/>
    <w:qFormat/>
    <w:uiPriority w:val="0"/>
    <w:rPr>
      <w:color w:val="000000"/>
      <w:spacing w:val="0"/>
      <w:w w:val="100"/>
      <w:position w:val="0"/>
      <w:sz w:val="14"/>
      <w:szCs w:val="14"/>
    </w:rPr>
  </w:style>
  <w:style w:type="character" w:customStyle="1" w:styleId="171">
    <w:name w:val="MSG_EN_FONT_STYLE_NAME_TEMPLATE_ROLE_LEVEL MSG_EN_FONT_STYLE_NAME_BY_ROLE_HEADING 8 + MSG_EN_FONT_STYLE_MODIFER_SPACING 3"/>
    <w:basedOn w:val="150"/>
    <w:qFormat/>
    <w:uiPriority w:val="0"/>
    <w:rPr>
      <w:color w:val="000000"/>
      <w:spacing w:val="70"/>
      <w:w w:val="100"/>
      <w:position w:val="0"/>
      <w:u w:val="none"/>
      <w:lang w:val="zh-CN" w:eastAsia="zh-CN" w:bidi="zh-CN"/>
    </w:rPr>
  </w:style>
  <w:style w:type="character" w:customStyle="1" w:styleId="172">
    <w:name w:val="MSG_EN_FONT_STYLE_NAME_TEMPLATE_ROLE_NUMBER MSG_EN_FONT_STYLE_NAME_BY_ROLE_TEXT 2 + MSG_EN_FONT_STYLE_MODIFER_SIZE 7.5"/>
    <w:basedOn w:val="138"/>
    <w:qFormat/>
    <w:uiPriority w:val="0"/>
    <w:rPr>
      <w:color w:val="000000"/>
      <w:spacing w:val="0"/>
      <w:w w:val="100"/>
      <w:position w:val="0"/>
      <w:sz w:val="15"/>
      <w:szCs w:val="15"/>
      <w:u w:val="none"/>
      <w:lang w:val="zh-CN" w:eastAsia="zh-CN" w:bidi="zh-CN"/>
    </w:rPr>
  </w:style>
  <w:style w:type="character" w:customStyle="1" w:styleId="173">
    <w:name w:val="Placeholder Text"/>
    <w:basedOn w:val="30"/>
    <w:semiHidden/>
    <w:qFormat/>
    <w:uiPriority w:val="99"/>
    <w:rPr>
      <w:color w:val="808080"/>
    </w:rPr>
  </w:style>
  <w:style w:type="paragraph" w:customStyle="1" w:styleId="174">
    <w:name w:val="List Paragraph"/>
    <w:basedOn w:val="1"/>
    <w:unhideWhenUsed/>
    <w:qFormat/>
    <w:uiPriority w:val="99"/>
    <w:pPr>
      <w:ind w:firstLine="420" w:firstLineChars="200"/>
    </w:pPr>
  </w:style>
  <w:style w:type="character" w:customStyle="1" w:styleId="175">
    <w:name w:val="font51"/>
    <w:basedOn w:val="30"/>
    <w:qFormat/>
    <w:uiPriority w:val="0"/>
    <w:rPr>
      <w:rFonts w:hint="eastAsia" w:ascii="黑体" w:eastAsia="黑体" w:cs="黑体"/>
      <w:color w:val="000000"/>
      <w:sz w:val="18"/>
      <w:szCs w:val="18"/>
      <w:u w:val="none"/>
    </w:rPr>
  </w:style>
  <w:style w:type="paragraph" w:customStyle="1" w:styleId="176">
    <w:name w:val="Heading #3|1"/>
    <w:basedOn w:val="1"/>
    <w:qFormat/>
    <w:uiPriority w:val="0"/>
    <w:pPr>
      <w:spacing w:after="660"/>
      <w:jc w:val="center"/>
      <w:outlineLvl w:val="2"/>
    </w:pPr>
    <w:rPr>
      <w:rFonts w:ascii="宋体" w:hAnsi="宋体" w:cs="宋体"/>
      <w:sz w:val="26"/>
      <w:szCs w:val="26"/>
      <w:lang w:val="zh-TW" w:eastAsia="zh-TW" w:bidi="zh-TW"/>
    </w:rPr>
  </w:style>
  <w:style w:type="paragraph" w:customStyle="1" w:styleId="177">
    <w:name w:val="Body text|1"/>
    <w:basedOn w:val="1"/>
    <w:qFormat/>
    <w:uiPriority w:val="0"/>
    <w:pPr>
      <w:spacing w:after="60"/>
    </w:pPr>
    <w:rPr>
      <w:rFonts w:ascii="宋体" w:hAnsi="宋体" w:cs="宋体"/>
      <w:sz w:val="20"/>
      <w:szCs w:val="20"/>
      <w:lang w:val="zh-TW" w:eastAsia="zh-TW" w:bidi="zh-TW"/>
    </w:rPr>
  </w:style>
  <w:style w:type="paragraph" w:customStyle="1" w:styleId="178">
    <w:name w:val="Body text|2"/>
    <w:basedOn w:val="1"/>
    <w:qFormat/>
    <w:uiPriority w:val="0"/>
    <w:pPr>
      <w:spacing w:after="1300"/>
    </w:pPr>
    <w:rPr>
      <w:sz w:val="20"/>
      <w:szCs w:val="20"/>
    </w:rPr>
  </w:style>
  <w:style w:type="paragraph" w:customStyle="1" w:styleId="179">
    <w:name w:val="Other|1"/>
    <w:basedOn w:val="1"/>
    <w:qFormat/>
    <w:uiPriority w:val="0"/>
    <w:pPr>
      <w:spacing w:after="60"/>
    </w:pPr>
    <w:rPr>
      <w:rFonts w:ascii="宋体" w:hAnsi="宋体" w:cs="宋体"/>
      <w:sz w:val="20"/>
      <w:szCs w:val="20"/>
    </w:rPr>
  </w:style>
  <w:style w:type="paragraph" w:customStyle="1" w:styleId="180">
    <w:name w:val="Header or footer|2"/>
    <w:basedOn w:val="1"/>
    <w:qFormat/>
    <w:uiPriority w:val="0"/>
    <w:rPr>
      <w:sz w:val="20"/>
      <w:szCs w:val="20"/>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image" Target="media/image1.wmf"/><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fontTable" Target="fontTable.xml"/><Relationship Id="rId21" Type="http://schemas.microsoft.com/office/2006/relationships/keyMapCustomizations" Target="customizations.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9.wmf"/><Relationship Id="rId17" Type="http://schemas.openxmlformats.org/officeDocument/2006/relationships/image" Target="media/image8.wmf"/><Relationship Id="rId16" Type="http://schemas.openxmlformats.org/officeDocument/2006/relationships/image" Target="media/image7.wmf"/><Relationship Id="rId15" Type="http://schemas.openxmlformats.org/officeDocument/2006/relationships/image" Target="media/image6.wmf"/><Relationship Id="rId14" Type="http://schemas.openxmlformats.org/officeDocument/2006/relationships/image" Target="media/image5.wmf"/><Relationship Id="rId13" Type="http://schemas.openxmlformats.org/officeDocument/2006/relationships/oleObject" Target="embeddings/oleObject1.bin"/><Relationship Id="rId12" Type="http://schemas.openxmlformats.org/officeDocument/2006/relationships/image" Target="media/image4.wmf"/><Relationship Id="rId11" Type="http://schemas.openxmlformats.org/officeDocument/2006/relationships/image" Target="media/image3.wmf"/><Relationship Id="rId10" Type="http://schemas.openxmlformats.org/officeDocument/2006/relationships/image" Target="media/image2.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Info spid="_x0000_s2053"/>
    <customShpInfo spid="_x0000_s2054"/>
    <customShpInfo spid="_x0000_s1034"/>
    <customShpInfo spid="_x0000_s1037"/>
    <customShpInfo spid="_x0000_s1036"/>
    <customShpInfo spid="_x0000_s1035"/>
    <customShpInfo spid="_x0000_s1046"/>
    <customShpInfo spid="_x0000_s1047"/>
    <customShpInfo spid="_x0000_s1048"/>
    <customShpInfo spid="_x0000_s1049"/>
    <customShpInfo spid="_x0000_s1050"/>
    <customShpInfo spid="_x0000_s105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889F76A-1107-4024-93AD-D78375251452}">
  <ds:schemaRefs/>
</ds:datastoreItem>
</file>

<file path=docProps/app.xml><?xml version="1.0" encoding="utf-8"?>
<Properties xmlns="http://schemas.openxmlformats.org/officeDocument/2006/extended-properties" xmlns:vt="http://schemas.openxmlformats.org/officeDocument/2006/docPropsVTypes">
  <Template>Normal</Template>
  <Company>zle</Company>
  <Pages>6</Pages>
  <Words>313</Words>
  <Characters>1790</Characters>
  <Lines>14</Lines>
  <Paragraphs>4</Paragraphs>
  <ScaleCrop>false</ScaleCrop>
  <LinksUpToDate>false</LinksUpToDate>
  <CharactersWithSpaces>2099</CharactersWithSpaces>
  <Application>WPS Office_10.8.0.6108_F1E327BC-269C-435d-A152-05C5408002CA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2020-08-21T08:28:00Z</dcterms:created>
  <dc:creator>CNIS</dc:creator>
  <cp:lastModifiedBy>ZH</cp:lastModifiedBy>
  <cp:lastPrinted>2020-09-20T12:23:00Z</cp:lastPrinted>
  <dcterms:modified xsi:type="dcterms:W3CDTF">2024-04-09T05:35:08Z</dcterms:modified>
  <dc:title>标准名称</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2052-10.8.0.6108</vt:lpwstr>
  </property>
  <property fmtid="{D5CDD505-2E9C-101B-9397-08002B2CF9AE}" pid="3" name="ICV">
    <vt:lpwstr>8B046FBE1BE242D69C48959B274334CE</vt:lpwstr>
  </property>
</Properties>
</file>