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cs="黑体"/>
          <w:sz w:val="44"/>
          <w:szCs w:val="44"/>
          <w:lang w:val="en-US" w:eastAsia="zh-CN"/>
        </w:rPr>
      </w:pPr>
      <w:r>
        <w:rPr>
          <w:rFonts w:hint="eastAsia" w:ascii="黑体" w:hAnsi="黑体" w:eastAsia="黑体" w:cs="黑体"/>
          <w:sz w:val="28"/>
          <w:szCs w:val="28"/>
          <w:lang w:val="en-US" w:eastAsia="zh-CN"/>
        </w:rPr>
        <w:t xml:space="preserve">                                     </w:t>
      </w:r>
      <w:r>
        <w:rPr>
          <w:rFonts w:hint="eastAsia" w:ascii="黑体" w:hAnsi="黑体" w:eastAsia="黑体" w:cs="黑体"/>
          <w:sz w:val="52"/>
          <w:szCs w:val="52"/>
          <w:lang w:val="en-US" w:eastAsia="zh-CN"/>
        </w:rPr>
        <w:t xml:space="preserve">     DB13/T</w:t>
      </w:r>
    </w:p>
    <w:p>
      <w:pPr>
        <w:ind w:firstLine="1080" w:firstLineChars="300"/>
        <w:rPr>
          <w:rFonts w:hint="default" w:ascii="黑体" w:hAnsi="黑体" w:eastAsia="黑体" w:cs="黑体"/>
          <w:sz w:val="36"/>
          <w:szCs w:val="36"/>
          <w:lang w:val="en-US" w:eastAsia="zh-CN"/>
        </w:rPr>
      </w:pPr>
      <w:r>
        <w:rPr>
          <w:rFonts w:hint="eastAsia" w:ascii="黑体" w:hAnsi="黑体" w:eastAsia="黑体" w:cs="黑体"/>
          <w:sz w:val="36"/>
          <w:szCs w:val="36"/>
          <w:lang w:val="en-US" w:eastAsia="zh-CN"/>
        </w:rPr>
        <w:t>河   北   省   地   方   标   准</w:t>
      </w:r>
    </w:p>
    <w:p>
      <w:pPr>
        <w:pBdr>
          <w:bottom w:val="single" w:color="auto" w:sz="4" w:space="0"/>
        </w:pBdr>
        <w:ind w:firstLine="360" w:firstLineChars="100"/>
        <w:rPr>
          <w:rFonts w:hint="default" w:ascii="黑体" w:hAnsi="黑体" w:eastAsia="黑体"/>
          <w:sz w:val="36"/>
          <w:szCs w:val="36"/>
          <w:lang w:val="en-US" w:eastAsia="zh-CN"/>
        </w:rPr>
      </w:pPr>
      <w:r>
        <w:rPr>
          <w:rFonts w:hint="eastAsia" w:ascii="黑体" w:hAnsi="黑体" w:eastAsia="黑体" w:cs="黑体"/>
          <w:sz w:val="36"/>
          <w:szCs w:val="36"/>
          <w:lang w:val="en-US" w:eastAsia="zh-CN"/>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28"/>
          <w:szCs w:val="28"/>
          <w:lang w:val="en-US" w:eastAsia="zh-CN"/>
        </w:rPr>
        <w:t xml:space="preserve">    DB13/T-2023</w:t>
      </w:r>
    </w:p>
    <w:p>
      <w:pPr>
        <w:ind w:firstLine="360" w:firstLineChars="100"/>
        <w:rPr>
          <w:rFonts w:hint="eastAsia" w:ascii="黑体" w:hAnsi="黑体" w:eastAsia="黑体"/>
          <w:sz w:val="36"/>
          <w:szCs w:val="36"/>
          <w:lang w:val="en-US" w:eastAsia="zh-CN"/>
        </w:rPr>
      </w:pPr>
    </w:p>
    <w:p>
      <w:pPr>
        <w:ind w:firstLine="360" w:firstLineChars="100"/>
        <w:rPr>
          <w:rFonts w:hint="eastAsia" w:ascii="黑体" w:hAnsi="黑体" w:eastAsia="黑体"/>
          <w:sz w:val="36"/>
          <w:szCs w:val="36"/>
          <w:lang w:val="en-US" w:eastAsia="zh-CN"/>
        </w:rPr>
      </w:pPr>
    </w:p>
    <w:p>
      <w:pPr>
        <w:ind w:firstLine="360" w:firstLineChars="100"/>
        <w:rPr>
          <w:rFonts w:hint="eastAsia" w:ascii="黑体" w:hAnsi="黑体" w:eastAsia="黑体"/>
          <w:sz w:val="36"/>
          <w:szCs w:val="36"/>
          <w:lang w:val="en-US" w:eastAsia="zh-CN"/>
        </w:rPr>
      </w:pPr>
    </w:p>
    <w:p>
      <w:pPr>
        <w:ind w:firstLine="360" w:firstLineChars="100"/>
        <w:rPr>
          <w:rFonts w:hint="eastAsia" w:ascii="黑体" w:hAnsi="黑体" w:eastAsia="黑体"/>
          <w:sz w:val="36"/>
          <w:szCs w:val="36"/>
          <w:lang w:val="en-US" w:eastAsia="zh-CN"/>
        </w:rPr>
      </w:pPr>
    </w:p>
    <w:p>
      <w:pPr>
        <w:ind w:firstLine="360" w:firstLineChars="100"/>
        <w:rPr>
          <w:rFonts w:hint="eastAsia" w:ascii="黑体" w:hAnsi="黑体" w:eastAsia="黑体"/>
          <w:sz w:val="36"/>
          <w:szCs w:val="36"/>
          <w:lang w:val="en-US" w:eastAsia="zh-CN"/>
        </w:rPr>
      </w:pPr>
    </w:p>
    <w:p>
      <w:pPr>
        <w:ind w:firstLine="360" w:firstLineChars="100"/>
        <w:rPr>
          <w:rFonts w:hint="eastAsia" w:ascii="黑体" w:hAnsi="黑体" w:eastAsia="黑体"/>
          <w:sz w:val="36"/>
          <w:szCs w:val="36"/>
          <w:lang w:val="en-US" w:eastAsia="zh-CN"/>
        </w:rPr>
      </w:pPr>
    </w:p>
    <w:p>
      <w:pPr>
        <w:ind w:firstLine="440" w:firstLineChars="100"/>
        <w:rPr>
          <w:rFonts w:hint="default" w:ascii="黑体" w:hAnsi="黑体" w:eastAsia="黑体"/>
          <w:sz w:val="44"/>
          <w:szCs w:val="44"/>
          <w:lang w:val="en-US" w:eastAsia="zh-CN"/>
        </w:rPr>
      </w:pPr>
      <w:r>
        <w:rPr>
          <w:rFonts w:hint="eastAsia" w:ascii="黑体" w:hAnsi="黑体" w:eastAsia="黑体"/>
          <w:sz w:val="44"/>
          <w:szCs w:val="44"/>
          <w:lang w:val="en-US" w:eastAsia="zh-CN"/>
        </w:rPr>
        <w:t>农用地无机盐污染</w:t>
      </w:r>
      <w:r>
        <w:rPr>
          <w:rFonts w:hint="eastAsia" w:ascii="黑体" w:hAnsi="黑体" w:eastAsia="黑体"/>
          <w:sz w:val="44"/>
          <w:szCs w:val="44"/>
          <w:u w:val="none"/>
          <w:lang w:val="en-US" w:eastAsia="zh-CN"/>
        </w:rPr>
        <w:t>减量</w:t>
      </w:r>
      <w:r>
        <w:rPr>
          <w:rFonts w:hint="eastAsia" w:ascii="黑体" w:hAnsi="黑体" w:eastAsia="黑体"/>
          <w:sz w:val="44"/>
          <w:szCs w:val="44"/>
          <w:lang w:val="en-US" w:eastAsia="zh-CN"/>
        </w:rPr>
        <w:t>防控和修复技术规程</w:t>
      </w:r>
    </w:p>
    <w:p>
      <w:pPr>
        <w:rPr>
          <w:rFonts w:hint="default" w:ascii="黑体" w:hAnsi="黑体" w:eastAsia="黑体" w:cs="黑体"/>
          <w:sz w:val="32"/>
          <w:szCs w:val="32"/>
          <w:lang w:val="en-US" w:eastAsia="zh-CN"/>
        </w:rPr>
      </w:pPr>
    </w:p>
    <w:p>
      <w:pPr>
        <w:rPr>
          <w:rFonts w:hint="default" w:ascii="黑体" w:hAnsi="黑体" w:eastAsia="黑体" w:cs="黑体"/>
          <w:sz w:val="32"/>
          <w:szCs w:val="32"/>
          <w:lang w:val="en-US" w:eastAsia="zh-CN"/>
        </w:rPr>
      </w:pPr>
    </w:p>
    <w:p>
      <w:pPr>
        <w:rPr>
          <w:rFonts w:hint="default" w:ascii="黑体" w:hAnsi="黑体" w:eastAsia="黑体" w:cs="黑体"/>
          <w:sz w:val="32"/>
          <w:szCs w:val="32"/>
          <w:lang w:val="en-US" w:eastAsia="zh-CN"/>
        </w:rPr>
      </w:pPr>
    </w:p>
    <w:p>
      <w:pPr>
        <w:rPr>
          <w:rFonts w:hint="default" w:ascii="黑体" w:hAnsi="黑体" w:eastAsia="黑体" w:cs="黑体"/>
          <w:sz w:val="32"/>
          <w:szCs w:val="32"/>
          <w:lang w:val="en-US" w:eastAsia="zh-CN"/>
        </w:rPr>
      </w:pPr>
    </w:p>
    <w:p>
      <w:pPr>
        <w:rPr>
          <w:rFonts w:hint="default" w:ascii="黑体" w:hAnsi="黑体" w:eastAsia="黑体" w:cs="黑体"/>
          <w:sz w:val="32"/>
          <w:szCs w:val="32"/>
          <w:lang w:val="en-US" w:eastAsia="zh-CN"/>
        </w:rPr>
      </w:pPr>
    </w:p>
    <w:p>
      <w:pPr>
        <w:rPr>
          <w:rFonts w:hint="default" w:ascii="黑体" w:hAnsi="黑体" w:eastAsia="黑体" w:cs="黑体"/>
          <w:sz w:val="32"/>
          <w:szCs w:val="32"/>
          <w:lang w:val="en-US" w:eastAsia="zh-CN"/>
        </w:rPr>
      </w:pPr>
    </w:p>
    <w:p>
      <w:pPr>
        <w:rPr>
          <w:rFonts w:hint="default" w:ascii="黑体" w:hAnsi="黑体" w:eastAsia="黑体" w:cs="黑体"/>
          <w:sz w:val="32"/>
          <w:szCs w:val="32"/>
          <w:lang w:val="en-US" w:eastAsia="zh-CN"/>
        </w:rPr>
      </w:pPr>
    </w:p>
    <w:p>
      <w:pPr>
        <w:pBdr>
          <w:bottom w:val="single" w:color="auto" w:sz="4" w:space="0"/>
        </w:pBd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2023-发布                          2023-实施</w:t>
      </w: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河 北 省 市 场 监 督 管 理 局 发 布</w:t>
      </w: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tabs>
          <w:tab w:val="left" w:pos="3505"/>
        </w:tabs>
        <w:rPr>
          <w:rFonts w:hint="eastAsia" w:ascii="黑体" w:hAnsi="黑体" w:eastAsia="黑体"/>
          <w:sz w:val="28"/>
          <w:szCs w:val="28"/>
          <w:lang w:val="en-US" w:eastAsia="zh-CN"/>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val="en-US" w:eastAsia="zh-CN"/>
        </w:rPr>
        <w:tab/>
      </w:r>
    </w:p>
    <w:p>
      <w:pPr>
        <w:ind w:firstLine="840" w:firstLineChars="300"/>
        <w:rPr>
          <w:rFonts w:hint="default" w:ascii="黑体" w:hAnsi="黑体" w:eastAsia="黑体"/>
          <w:sz w:val="28"/>
          <w:szCs w:val="28"/>
          <w:lang w:val="en-US" w:eastAsia="zh-CN"/>
        </w:rPr>
      </w:pPr>
      <w:r>
        <w:rPr>
          <w:rFonts w:hint="eastAsia" w:ascii="黑体" w:hAnsi="黑体" w:eastAsia="黑体"/>
          <w:sz w:val="28"/>
          <w:szCs w:val="28"/>
          <w:lang w:val="en-US" w:eastAsia="zh-CN"/>
        </w:rPr>
        <w:t>农用地土壤无机盐污染减量防控和修复技术规程</w:t>
      </w:r>
    </w:p>
    <w:p>
      <w:pPr>
        <w:numPr>
          <w:ilvl w:val="0"/>
          <w:numId w:val="1"/>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范围：</w:t>
      </w:r>
    </w:p>
    <w:p>
      <w:pPr>
        <w:numPr>
          <w:ilvl w:val="0"/>
          <w:numId w:val="0"/>
        </w:numPr>
        <w:ind w:leftChars="0"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本标准根据试验数据给出了土壤有毒有害无机盐的减量和防控方法，以及相关处理技术参数。</w:t>
      </w:r>
    </w:p>
    <w:p>
      <w:pPr>
        <w:numPr>
          <w:ilvl w:val="0"/>
          <w:numId w:val="1"/>
        </w:numPr>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规范性引用文件：</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下列文件对于本标准的应用是必不可少的。凡是标注日期的引用文件，仅注日期的版本适用于本文件。凡是不标注日期的引用文件，其最新版本（包括所有的修改单）适用于本文件。</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GB15618 土壤环境质量 农用地土壤污染风险管控标准（试行）</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NY/T3499 受污染耕地治理与修复导则  </w:t>
      </w:r>
    </w:p>
    <w:p>
      <w:pPr>
        <w:numPr>
          <w:ilvl w:val="0"/>
          <w:numId w:val="0"/>
        </w:numPr>
        <w:ind w:leftChars="0"/>
        <w:rPr>
          <w:rFonts w:hint="eastAsia" w:ascii="宋体" w:hAnsi="宋体" w:eastAsia="宋体" w:cs="宋体"/>
          <w:sz w:val="28"/>
          <w:szCs w:val="28"/>
          <w:u w:val="single"/>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u w:val="single"/>
          <w:lang w:val="en-US" w:eastAsia="zh-CN"/>
        </w:rPr>
        <w:t xml:space="preserve"> NY/T3343 耕地污染治理效果评价准则</w:t>
      </w:r>
    </w:p>
    <w:p>
      <w:pPr>
        <w:numPr>
          <w:ilvl w:val="0"/>
          <w:numId w:val="0"/>
        </w:numPr>
        <w:ind w:leftChars="0"/>
        <w:rPr>
          <w:rFonts w:hint="eastAsia" w:ascii="宋体" w:hAnsi="宋体" w:eastAsia="宋体" w:cs="宋体"/>
          <w:color w:val="0000FF"/>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NY/T395 农用地土壤环境质量监测技术规范</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DB13/T2206-2020 农用地土壤重金属污染修复技术规程</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GB5084-2005 农田灌溉水质标准</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GB38400肥料中有毒有害物质限量要求</w:t>
      </w:r>
    </w:p>
    <w:p>
      <w:pPr>
        <w:numPr>
          <w:ilvl w:val="0"/>
          <w:numId w:val="0"/>
        </w:numPr>
        <w:tabs>
          <w:tab w:val="left" w:pos="4746"/>
        </w:tabs>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QB/HBRN02-2022有机水溶肥料</w:t>
      </w:r>
      <w:r>
        <w:rPr>
          <w:rFonts w:hint="eastAsia" w:ascii="宋体" w:hAnsi="宋体" w:eastAsia="宋体" w:cs="宋体"/>
          <w:sz w:val="28"/>
          <w:szCs w:val="28"/>
          <w:lang w:val="en-US" w:eastAsia="zh-CN"/>
        </w:rPr>
        <w:tab/>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NY/T1972肥料中钠、硒、硅含量的测定</w:t>
      </w:r>
    </w:p>
    <w:p>
      <w:pPr>
        <w:numPr>
          <w:ilvl w:val="0"/>
          <w:numId w:val="0"/>
        </w:numPr>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NY/T1117肥料钙、镁、硫、氯含量的测定</w:t>
      </w:r>
    </w:p>
    <w:p>
      <w:pPr>
        <w:keepNext w:val="0"/>
        <w:keepLines w:val="0"/>
        <w:widowControl/>
        <w:suppressLineNumbers w:val="0"/>
        <w:ind w:firstLine="560" w:firstLineChars="20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HJ 803-2016土壤和沉积物12种金属元素的测定 王水提取-电感耦合等离子体质谱法</w:t>
      </w:r>
    </w:p>
    <w:p>
      <w:pPr>
        <w:keepNext w:val="0"/>
        <w:keepLines w:val="0"/>
        <w:widowControl/>
        <w:suppressLineNumbers w:val="0"/>
        <w:ind w:firstLine="560" w:firstLineChars="200"/>
        <w:jc w:val="left"/>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NY/T1121.10土壤检测第10部分：土壤总汞的测定</w:t>
      </w:r>
    </w:p>
    <w:p>
      <w:pPr>
        <w:keepNext w:val="0"/>
        <w:keepLines w:val="0"/>
        <w:widowControl/>
        <w:suppressLineNumbers w:val="0"/>
        <w:ind w:firstLine="560" w:firstLineChars="200"/>
        <w:jc w:val="left"/>
        <w:rPr>
          <w:rFonts w:hint="eastAsia" w:ascii="宋体" w:hAnsi="宋体" w:eastAsia="宋体" w:cs="宋体"/>
          <w:sz w:val="28"/>
          <w:szCs w:val="28"/>
          <w:lang w:val="en-US" w:eastAsia="zh-CN"/>
        </w:rPr>
      </w:pPr>
      <w:r>
        <w:rPr>
          <w:rFonts w:hint="eastAsia" w:ascii="宋体" w:hAnsi="宋体" w:eastAsia="宋体" w:cs="宋体"/>
          <w:color w:val="000000"/>
          <w:kern w:val="0"/>
          <w:sz w:val="28"/>
          <w:szCs w:val="28"/>
          <w:lang w:val="en-US" w:eastAsia="zh-CN" w:bidi="ar"/>
        </w:rPr>
        <w:t>HJ 491-2019 土壤和沉积物铜、锌、铅、镍、铬的测定火焰原子吸收分光光度法</w:t>
      </w:r>
    </w:p>
    <w:p>
      <w:pPr>
        <w:numPr>
          <w:ilvl w:val="0"/>
          <w:numId w:val="0"/>
        </w:num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NY/T525有机肥料</w:t>
      </w:r>
    </w:p>
    <w:p>
      <w:pPr>
        <w:numPr>
          <w:ilvl w:val="0"/>
          <w:numId w:val="0"/>
        </w:num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NY/T884生物有机肥料</w:t>
      </w:r>
    </w:p>
    <w:p>
      <w:pPr>
        <w:numPr>
          <w:ilvl w:val="0"/>
          <w:numId w:val="1"/>
        </w:numPr>
        <w:ind w:left="0" w:leftChars="0" w:firstLine="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术语和定义</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无机盐：无机化合物中的盐类。在农业用途，由于某些</w:t>
      </w:r>
      <w:r>
        <w:rPr>
          <w:rFonts w:hint="eastAsia" w:ascii="宋体" w:hAnsi="宋体" w:eastAsia="宋体" w:cs="宋体"/>
          <w:sz w:val="28"/>
          <w:szCs w:val="28"/>
          <w:u w:val="none"/>
          <w:lang w:val="en-US" w:eastAsia="zh-CN"/>
        </w:rPr>
        <w:t>无机盐过量会造成对农作物和食品安全的危害</w:t>
      </w:r>
      <w:r>
        <w:rPr>
          <w:rFonts w:hint="eastAsia" w:ascii="宋体" w:hAnsi="宋体" w:eastAsia="宋体" w:cs="宋体"/>
          <w:sz w:val="28"/>
          <w:szCs w:val="28"/>
          <w:lang w:val="en-US" w:eastAsia="zh-CN"/>
        </w:rPr>
        <w:t>，所以重点监控钠离子、氯离子、汞、铬、铅、砷、镉及其化合物。</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螯合剂：是指对无机盐具有螯合、络合作用的物质，具体是指EDTA（乙二胺四乙酸二钠）等。</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追施：在一年生农作物定植后或多年生农作物发芽后，采取喷灌、冲施、滴灌、叶面喷施、灌根、沟施、穴施等方式。</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活化：是指一种物质由化合态分解转化成两种以上的离子态的物质的过程。</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钝化：是指两种以上的物质由离子态化合转化成一种化合态物质的过程。</w:t>
      </w:r>
    </w:p>
    <w:p>
      <w:pPr>
        <w:numPr>
          <w:ilvl w:val="0"/>
          <w:numId w:val="1"/>
        </w:numPr>
        <w:ind w:left="0" w:leftChars="0" w:firstLine="0" w:firstLineChars="0"/>
        <w:rPr>
          <w:rFonts w:hint="eastAsia" w:asciiTheme="minorEastAsia" w:hAnsiTheme="minorEastAsia" w:eastAsiaTheme="minorEastAsia" w:cstheme="minorEastAsia"/>
          <w:b/>
          <w:bCs/>
          <w:sz w:val="28"/>
          <w:szCs w:val="28"/>
          <w:u w:val="single"/>
          <w:lang w:val="en-US" w:eastAsia="zh-CN"/>
        </w:rPr>
      </w:pPr>
      <w:r>
        <w:rPr>
          <w:rFonts w:hint="eastAsia" w:asciiTheme="minorEastAsia" w:hAnsiTheme="minorEastAsia" w:cstheme="minorEastAsia"/>
          <w:b/>
          <w:bCs/>
          <w:sz w:val="28"/>
          <w:szCs w:val="28"/>
          <w:u w:val="none"/>
          <w:lang w:val="en-US" w:eastAsia="zh-CN"/>
        </w:rPr>
        <w:t>土壤无机盐污染减量和防控技术</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4.1确定有毒有害无机盐处理目标：</w:t>
      </w:r>
    </w:p>
    <w:p>
      <w:pPr>
        <w:numPr>
          <w:ilvl w:val="0"/>
          <w:numId w:val="0"/>
        </w:numPr>
        <w:ind w:leftChars="0"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 GB15618 土壤环境质量 农用地土壤污染风险管控标准“农用地土壤风险管制值”确定包括镉、汞、砷、铅、铬为本标准处理项目；</w:t>
      </w:r>
    </w:p>
    <w:p>
      <w:pPr>
        <w:numPr>
          <w:ilvl w:val="0"/>
          <w:numId w:val="0"/>
        </w:numPr>
        <w:ind w:leftChars="0"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根据造成土壤危害的常见无机盐成分确定要处理的其它无机盐钠离子和氯离子；</w:t>
      </w:r>
    </w:p>
    <w:p>
      <w:pPr>
        <w:numPr>
          <w:ilvl w:val="0"/>
          <w:numId w:val="0"/>
        </w:numPr>
        <w:ind w:leftChars="0"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根据要处理的目标无机盐理化性质和在土壤的活动规律，确定具体的技术方案。</w:t>
      </w:r>
    </w:p>
    <w:p>
      <w:pPr>
        <w:numPr>
          <w:ilvl w:val="0"/>
          <w:numId w:val="0"/>
        </w:numPr>
        <w:ind w:leftChars="0"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4.1土壤无机盐活化</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default" w:ascii="Times New Roman" w:hAnsi="Times New Roman" w:eastAsia="新宋体" w:cs="Times New Roman"/>
          <w:color w:val="auto"/>
          <w:sz w:val="28"/>
          <w:szCs w:val="28"/>
          <w:lang w:val="en-US" w:eastAsia="zh-CN"/>
        </w:rPr>
        <w:t>先将螯合剂按照每亩5~</w:t>
      </w:r>
      <w:r>
        <w:rPr>
          <w:rFonts w:hint="eastAsia" w:ascii="Times New Roman" w:hAnsi="Times New Roman" w:eastAsia="新宋体" w:cs="Times New Roman"/>
          <w:color w:val="auto"/>
          <w:sz w:val="28"/>
          <w:szCs w:val="28"/>
          <w:lang w:val="en-US" w:eastAsia="zh-CN"/>
        </w:rPr>
        <w:t>10</w:t>
      </w:r>
      <w:r>
        <w:rPr>
          <w:rFonts w:hint="default" w:ascii="Times New Roman" w:hAnsi="Times New Roman" w:eastAsia="新宋体" w:cs="Times New Roman"/>
          <w:color w:val="auto"/>
          <w:sz w:val="28"/>
          <w:szCs w:val="28"/>
          <w:lang w:val="en-US" w:eastAsia="zh-CN"/>
        </w:rPr>
        <w:t>0克的用量，</w:t>
      </w:r>
      <w:r>
        <w:rPr>
          <w:rFonts w:hint="eastAsia" w:ascii="Times New Roman" w:hAnsi="Times New Roman" w:eastAsia="新宋体" w:cs="Times New Roman"/>
          <w:color w:val="auto"/>
          <w:sz w:val="28"/>
          <w:szCs w:val="28"/>
          <w:lang w:val="en-US" w:eastAsia="zh-CN"/>
        </w:rPr>
        <w:t>均匀的</w:t>
      </w:r>
      <w:r>
        <w:rPr>
          <w:rFonts w:hint="default" w:ascii="Times New Roman" w:hAnsi="Times New Roman" w:eastAsia="新宋体" w:cs="Times New Roman"/>
          <w:color w:val="auto"/>
          <w:sz w:val="28"/>
          <w:szCs w:val="28"/>
          <w:lang w:val="en-US" w:eastAsia="zh-CN"/>
        </w:rPr>
        <w:t>溶于</w:t>
      </w:r>
      <w:r>
        <w:rPr>
          <w:rFonts w:hint="eastAsia" w:ascii="Times New Roman" w:hAnsi="Times New Roman" w:eastAsia="新宋体" w:cs="Times New Roman"/>
          <w:color w:val="auto"/>
          <w:sz w:val="28"/>
          <w:szCs w:val="28"/>
          <w:lang w:val="en-US" w:eastAsia="zh-CN"/>
        </w:rPr>
        <w:t>足量的</w:t>
      </w:r>
      <w:r>
        <w:rPr>
          <w:rFonts w:hint="default" w:ascii="Times New Roman" w:hAnsi="Times New Roman" w:eastAsia="新宋体" w:cs="Times New Roman"/>
          <w:color w:val="auto"/>
          <w:sz w:val="28"/>
          <w:szCs w:val="28"/>
          <w:lang w:val="en-US" w:eastAsia="zh-CN"/>
        </w:rPr>
        <w:t>水中浇灌土壤，并使</w:t>
      </w:r>
      <w:r>
        <w:rPr>
          <w:rFonts w:hint="eastAsia" w:ascii="Times New Roman" w:hAnsi="Times New Roman" w:eastAsia="新宋体" w:cs="Times New Roman"/>
          <w:color w:val="auto"/>
          <w:sz w:val="28"/>
          <w:szCs w:val="28"/>
          <w:lang w:val="en-US" w:eastAsia="zh-CN"/>
        </w:rPr>
        <w:t>的处理</w:t>
      </w:r>
      <w:r>
        <w:rPr>
          <w:rFonts w:hint="default" w:ascii="Times New Roman" w:hAnsi="Times New Roman" w:eastAsia="新宋体" w:cs="Times New Roman"/>
          <w:color w:val="auto"/>
          <w:sz w:val="28"/>
          <w:szCs w:val="28"/>
          <w:lang w:val="en-US" w:eastAsia="zh-CN"/>
        </w:rPr>
        <w:t>土壤</w:t>
      </w:r>
      <w:r>
        <w:rPr>
          <w:rFonts w:hint="eastAsia" w:ascii="Times New Roman" w:hAnsi="Times New Roman" w:eastAsia="新宋体" w:cs="Times New Roman"/>
          <w:color w:val="auto"/>
          <w:sz w:val="28"/>
          <w:szCs w:val="28"/>
          <w:lang w:val="en-US" w:eastAsia="zh-CN"/>
        </w:rPr>
        <w:t>耕作层的</w:t>
      </w:r>
      <w:r>
        <w:rPr>
          <w:rFonts w:hint="default" w:ascii="Times New Roman" w:hAnsi="Times New Roman" w:eastAsia="新宋体" w:cs="Times New Roman"/>
          <w:color w:val="auto"/>
          <w:sz w:val="28"/>
          <w:szCs w:val="28"/>
          <w:lang w:val="en-US" w:eastAsia="zh-CN"/>
        </w:rPr>
        <w:t>水分达到</w:t>
      </w:r>
      <w:r>
        <w:rPr>
          <w:rFonts w:hint="eastAsia" w:ascii="Times New Roman" w:hAnsi="Times New Roman" w:eastAsia="新宋体" w:cs="Times New Roman"/>
          <w:color w:val="auto"/>
          <w:sz w:val="28"/>
          <w:szCs w:val="28"/>
          <w:lang w:val="en-US" w:eastAsia="zh-CN"/>
        </w:rPr>
        <w:t>40%-70%。</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4.2土壤无机盐富集并分离</w:t>
      </w:r>
    </w:p>
    <w:p>
      <w:pPr>
        <w:numPr>
          <w:ilvl w:val="0"/>
          <w:numId w:val="0"/>
        </w:num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晴天通风晾晒连续7天以上，</w:t>
      </w:r>
      <w:r>
        <w:rPr>
          <w:rFonts w:hint="default" w:ascii="Times New Roman" w:hAnsi="Times New Roman" w:eastAsia="新宋体" w:cs="Times New Roman"/>
          <w:color w:val="auto"/>
          <w:sz w:val="28"/>
          <w:szCs w:val="28"/>
          <w:lang w:val="en-US" w:eastAsia="zh-CN"/>
        </w:rPr>
        <w:t>不浇水</w:t>
      </w:r>
      <w:r>
        <w:rPr>
          <w:rFonts w:hint="eastAsia" w:ascii="Times New Roman" w:hAnsi="Times New Roman" w:eastAsia="新宋体" w:cs="Times New Roman"/>
          <w:color w:val="auto"/>
          <w:sz w:val="28"/>
          <w:szCs w:val="28"/>
          <w:lang w:val="en-US" w:eastAsia="zh-CN"/>
        </w:rPr>
        <w:t>，当并</w:t>
      </w:r>
      <w:r>
        <w:rPr>
          <w:rFonts w:hint="eastAsia" w:ascii="宋体" w:hAnsi="宋体" w:eastAsia="宋体" w:cs="宋体"/>
          <w:sz w:val="28"/>
          <w:szCs w:val="28"/>
          <w:lang w:val="en-US" w:eastAsia="zh-CN"/>
        </w:rPr>
        <w:t>看到土壤表面有白色或其它颜色结晶体出现时（无机盐较低的土壤无结晶体析出）。将土壤表层的土壤与土壤清扫分离后集中放置，并做好防止扩散措施。</w:t>
      </w:r>
    </w:p>
    <w:p>
      <w:pPr>
        <w:numPr>
          <w:ilvl w:val="0"/>
          <w:numId w:val="0"/>
        </w:num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根据当地气候条件和种植规律可以多次重复采取以上办法达到更好的效果。</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被富集并分离无机盐处理后的土壤，开始定植农作物。</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已经定植农作物或者多年生农作物，在农作物0.1-1米附近距离处设置高垄，利用高垅的富集作用将无机盐集中分离。</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4.3土壤无机盐钝化</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为了防止土壤中无机盐在活化状态下会被植物吸收，需要进一步将无机盐采取与活化相反的方法，即“钝化”。具体方法是向土壤施入具有“钝化”性能的有机肥料，使土壤无机盐降低活性。</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可以采用发酵腐熟的有机肥料按照每亩500千克以上的用量均匀施入土壤，或者将有机水溶肥料2千克（干重）以上溶于水追施入土壤。</w:t>
      </w:r>
    </w:p>
    <w:p>
      <w:pPr>
        <w:numPr>
          <w:ilvl w:val="0"/>
          <w:numId w:val="0"/>
        </w:numPr>
        <w:ind w:leftChars="0"/>
        <w:rPr>
          <w:rFonts w:hint="default" w:ascii="宋体" w:hAnsi="宋体" w:eastAsia="宋体" w:cs="宋体"/>
          <w:sz w:val="28"/>
          <w:szCs w:val="28"/>
          <w:u w:val="none"/>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none"/>
          <w:lang w:val="en-US" w:eastAsia="zh-CN"/>
        </w:rPr>
        <w:t>4.4根据对所种植的农产品检测重金属残留和对所处理的土壤无机盐污染</w:t>
      </w:r>
      <w:bookmarkStart w:id="0" w:name="_GoBack"/>
      <w:bookmarkEnd w:id="0"/>
      <w:r>
        <w:rPr>
          <w:rFonts w:hint="eastAsia" w:ascii="宋体" w:hAnsi="宋体" w:eastAsia="宋体" w:cs="宋体"/>
          <w:sz w:val="28"/>
          <w:szCs w:val="28"/>
          <w:u w:val="none"/>
          <w:lang w:val="en-US" w:eastAsia="zh-CN"/>
        </w:rPr>
        <w:t>的检测结果，结合实施过程的实际情况，评价处理效果，调整方案。</w:t>
      </w:r>
    </w:p>
    <w:p>
      <w:pPr>
        <w:numPr>
          <w:ilvl w:val="0"/>
          <w:numId w:val="1"/>
        </w:numPr>
        <w:ind w:left="0" w:leftChars="0" w:firstLine="0" w:firstLineChars="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土壤有毒有害无机盐减量和防控技术要求</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5.1治理原则，依据NY/T3499 《受污染耕地治理与修复导则》第四条； </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5.2土壤污染筛查和分类，依据GB15618《土壤环境质量 农用地土壤污染风险管控标准》；</w:t>
      </w:r>
    </w:p>
    <w:p>
      <w:pPr>
        <w:numPr>
          <w:ilvl w:val="0"/>
          <w:numId w:val="0"/>
        </w:numPr>
        <w:ind w:leftChars="0"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5.3农用地的定义和范围依据DB13/T2206-2020《农用地土壤重金属污染修复技术规程》；</w:t>
      </w:r>
    </w:p>
    <w:p>
      <w:pPr>
        <w:numPr>
          <w:ilvl w:val="0"/>
          <w:numId w:val="0"/>
        </w:numPr>
        <w:ind w:leftChars="0"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5.4用于农用地土壤灌溉用水水质应符合GB5084-2005  《农田灌溉水质标准》，以减缓土壤无机盐升高；</w:t>
      </w:r>
    </w:p>
    <w:p>
      <w:pPr>
        <w:numPr>
          <w:ilvl w:val="0"/>
          <w:numId w:val="0"/>
        </w:numPr>
        <w:ind w:leftChars="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5.5农用地土壤采样的“采样原则”、“样品数量”和“采样深度”依据</w:t>
      </w:r>
      <w:r>
        <w:rPr>
          <w:rFonts w:hint="eastAsia" w:ascii="宋体" w:hAnsi="宋体" w:eastAsia="宋体" w:cs="宋体"/>
          <w:color w:val="000000" w:themeColor="text1"/>
          <w:sz w:val="28"/>
          <w:szCs w:val="28"/>
          <w:lang w:val="en-US" w:eastAsia="zh-CN"/>
          <w14:textFill>
            <w14:solidFill>
              <w14:schemeClr w14:val="tx1"/>
            </w14:solidFill>
          </w14:textFill>
        </w:rPr>
        <w:t>NY/T395 农用地土壤环境质量监测技术规范</w:t>
      </w:r>
      <w:r>
        <w:rPr>
          <w:rFonts w:hint="eastAsia" w:ascii="宋体" w:hAnsi="宋体" w:eastAsia="宋体" w:cs="宋体"/>
          <w:color w:val="000000" w:themeColor="text1"/>
          <w:sz w:val="28"/>
          <w:szCs w:val="28"/>
          <w:u w:val="none"/>
          <w:lang w:val="en-US" w:eastAsia="zh-CN"/>
          <w14:textFill>
            <w14:solidFill>
              <w14:schemeClr w14:val="tx1"/>
            </w14:solidFill>
          </w14:textFill>
        </w:rPr>
        <w:t>；</w:t>
      </w:r>
    </w:p>
    <w:p>
      <w:pPr>
        <w:numPr>
          <w:ilvl w:val="0"/>
          <w:numId w:val="0"/>
        </w:numPr>
        <w:ind w:left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5.6农用地土壤钠离子按照NY/T1972肥料中钠含量的测定；</w:t>
      </w:r>
    </w:p>
    <w:p>
      <w:pPr>
        <w:numPr>
          <w:ilvl w:val="0"/>
          <w:numId w:val="0"/>
        </w:numPr>
        <w:ind w:leftChars="0"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5.7农用地土壤氯离子按照NY/T1117肥料氯含量的测定；</w:t>
      </w:r>
    </w:p>
    <w:p>
      <w:pPr>
        <w:numPr>
          <w:ilvl w:val="0"/>
          <w:numId w:val="0"/>
        </w:numPr>
        <w:ind w:leftChars="0" w:firstLine="280" w:firstLineChars="100"/>
        <w:rPr>
          <w:rFonts w:hint="eastAsia" w:ascii="宋体" w:hAnsi="宋体" w:eastAsia="宋体" w:cs="宋体"/>
          <w:color w:val="000000"/>
          <w:kern w:val="0"/>
          <w:sz w:val="28"/>
          <w:szCs w:val="28"/>
          <w:lang w:val="en-US" w:eastAsia="zh-CN" w:bidi="ar"/>
        </w:rPr>
      </w:pPr>
      <w:r>
        <w:rPr>
          <w:rFonts w:hint="eastAsia" w:ascii="宋体" w:hAnsi="宋体" w:eastAsia="宋体" w:cs="宋体"/>
          <w:sz w:val="28"/>
          <w:szCs w:val="28"/>
          <w:lang w:val="en-US" w:eastAsia="zh-CN"/>
        </w:rPr>
        <w:t>5.8土壤汞的检测依据</w:t>
      </w:r>
      <w:r>
        <w:rPr>
          <w:rFonts w:hint="eastAsia" w:ascii="宋体" w:hAnsi="宋体" w:eastAsia="宋体" w:cs="宋体"/>
          <w:color w:val="000000"/>
          <w:kern w:val="0"/>
          <w:sz w:val="28"/>
          <w:szCs w:val="28"/>
          <w:lang w:val="en-US" w:eastAsia="zh-CN" w:bidi="ar"/>
        </w:rPr>
        <w:t>NY/T1121.10土壤检测第10部分：土壤总汞的测定；</w:t>
      </w:r>
    </w:p>
    <w:p>
      <w:pPr>
        <w:numPr>
          <w:ilvl w:val="0"/>
          <w:numId w:val="0"/>
        </w:numPr>
        <w:ind w:leftChars="0" w:firstLine="280" w:firstLineChars="100"/>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5.9土壤镉、铅、砷和铬检测依据HJ 803-2016土壤和沉积物12种金属元素的测定 王水提取-电感耦合等离子体质谱法；</w:t>
      </w:r>
    </w:p>
    <w:p>
      <w:pPr>
        <w:numPr>
          <w:ilvl w:val="0"/>
          <w:numId w:val="0"/>
        </w:numPr>
        <w:ind w:leftChars="0" w:firstLine="280" w:firstLineChars="100"/>
        <w:rPr>
          <w:rFonts w:hint="default"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5.10土壤铜检测依据HJ 491-2019 土壤和沉积物铜、锌、铅、镍、铬的测定火焰原子吸收分光光度法；</w:t>
      </w:r>
    </w:p>
    <w:p>
      <w:pPr>
        <w:numPr>
          <w:ilvl w:val="0"/>
          <w:numId w:val="0"/>
        </w:numPr>
        <w:ind w:leftChars="0" w:firstLine="280" w:firstLineChars="1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5.11被分离后的表层土壤，含有较高的有毒有害无机盐，需运走离开农用土壤，集中隔离处理。不可以回填和扩散，防止造成二次污染。</w:t>
      </w:r>
    </w:p>
    <w:p>
      <w:pPr>
        <w:numPr>
          <w:ilvl w:val="0"/>
          <w:numId w:val="0"/>
        </w:numPr>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5.12有机肥料和有机水溶肥料应符合以下要求：</w:t>
      </w:r>
    </w:p>
    <w:p>
      <w:pPr>
        <w:numPr>
          <w:ilvl w:val="0"/>
          <w:numId w:val="0"/>
        </w:numPr>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5.12.1所用有机肥料和有机水溶肥料应当对土壤和农作物没有其它毒害作用，不可以采用激素类成分。</w:t>
      </w:r>
    </w:p>
    <w:p>
      <w:pPr>
        <w:numPr>
          <w:ilvl w:val="0"/>
          <w:numId w:val="0"/>
        </w:numPr>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5.12.2所用有机肥料和有机水溶肥料应当充分发酵腐熟，碳氮比25-35：1。</w:t>
      </w:r>
    </w:p>
    <w:p>
      <w:pPr>
        <w:numPr>
          <w:ilvl w:val="0"/>
          <w:numId w:val="0"/>
        </w:numPr>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5.12.3所用有机肥料应符合NY/T525、NY/T884标准或有机水溶肥料QB/HBRN02-2022标准。</w:t>
      </w:r>
    </w:p>
    <w:p>
      <w:pPr>
        <w:numPr>
          <w:ilvl w:val="0"/>
          <w:numId w:val="0"/>
        </w:numPr>
        <w:ind w:firstLine="280" w:firstLineChars="100"/>
        <w:rPr>
          <w:rFonts w:hint="eastAsia" w:ascii="宋体" w:hAnsi="宋体"/>
          <w:sz w:val="28"/>
          <w:szCs w:val="28"/>
          <w:lang w:val="en-US" w:eastAsia="zh-CN"/>
        </w:rPr>
      </w:pPr>
      <w:r>
        <w:rPr>
          <w:rFonts w:hint="eastAsia" w:ascii="宋体" w:hAnsi="宋体"/>
          <w:sz w:val="28"/>
          <w:szCs w:val="28"/>
          <w:lang w:val="en-US" w:eastAsia="zh-CN"/>
        </w:rPr>
        <w:t>5.12.4不得施用含有稀土元素、铊元素的肥料。</w:t>
      </w:r>
    </w:p>
    <w:p>
      <w:pPr>
        <w:numPr>
          <w:ilvl w:val="0"/>
          <w:numId w:val="0"/>
        </w:numPr>
        <w:ind w:firstLine="280" w:firstLineChars="100"/>
        <w:rPr>
          <w:rFonts w:hint="eastAsia" w:ascii="宋体" w:hAnsi="宋体"/>
          <w:sz w:val="28"/>
          <w:szCs w:val="28"/>
          <w:lang w:val="en-US" w:eastAsia="zh-CN"/>
        </w:rPr>
      </w:pPr>
      <w:r>
        <w:rPr>
          <w:rFonts w:hint="eastAsia" w:ascii="宋体" w:hAnsi="宋体"/>
          <w:sz w:val="28"/>
          <w:szCs w:val="28"/>
          <w:lang w:val="en-US" w:eastAsia="zh-CN"/>
        </w:rPr>
        <w:t>5.12.5不得施用成分不明确、含有安全隐患成分的肥料。</w:t>
      </w:r>
    </w:p>
    <w:p>
      <w:pPr>
        <w:numPr>
          <w:ilvl w:val="0"/>
          <w:numId w:val="0"/>
        </w:numPr>
        <w:ind w:firstLine="280" w:firstLineChars="100"/>
        <w:rPr>
          <w:rFonts w:hint="eastAsia" w:ascii="宋体" w:hAnsi="宋体"/>
          <w:sz w:val="28"/>
          <w:szCs w:val="28"/>
          <w:lang w:val="en-US" w:eastAsia="zh-CN"/>
        </w:rPr>
      </w:pPr>
      <w:r>
        <w:rPr>
          <w:rFonts w:hint="eastAsia" w:ascii="宋体" w:hAnsi="宋体"/>
          <w:sz w:val="28"/>
          <w:szCs w:val="28"/>
          <w:lang w:val="en-US" w:eastAsia="zh-CN"/>
        </w:rPr>
        <w:t>5.12.6不得施用生活垃圾、污泥、未经腐熟的粪便、未经灭菌处理的养殖废水和含有有害物质（如毒气、放射物质、病源微生物、重金属）的工业废物。</w:t>
      </w:r>
    </w:p>
    <w:p>
      <w:pPr>
        <w:numPr>
          <w:ilvl w:val="0"/>
          <w:numId w:val="0"/>
        </w:numPr>
        <w:ind w:firstLine="280" w:firstLineChars="100"/>
        <w:rPr>
          <w:rFonts w:hint="eastAsia" w:ascii="宋体" w:hAnsi="宋体"/>
          <w:sz w:val="28"/>
          <w:szCs w:val="28"/>
          <w:lang w:val="en-US" w:eastAsia="zh-CN"/>
        </w:rPr>
      </w:pPr>
      <w:r>
        <w:rPr>
          <w:rFonts w:hint="eastAsia" w:ascii="宋体" w:hAnsi="宋体"/>
          <w:sz w:val="28"/>
          <w:szCs w:val="28"/>
          <w:lang w:val="en-US" w:eastAsia="zh-CN"/>
        </w:rPr>
        <w:t>5.12.7不得施用含有除草剂中间体原料的肥料。</w:t>
      </w:r>
    </w:p>
    <w:p>
      <w:pPr>
        <w:numPr>
          <w:ilvl w:val="0"/>
          <w:numId w:val="0"/>
        </w:numPr>
        <w:ind w:firstLine="280" w:firstLineChars="100"/>
        <w:rPr>
          <w:rFonts w:hint="default" w:ascii="宋体" w:hAnsi="宋体"/>
          <w:sz w:val="28"/>
          <w:szCs w:val="28"/>
          <w:lang w:val="en-US" w:eastAsia="zh-CN"/>
        </w:rPr>
      </w:pPr>
      <w:r>
        <w:rPr>
          <w:rFonts w:hint="eastAsia" w:ascii="宋体" w:hAnsi="宋体"/>
          <w:sz w:val="28"/>
          <w:szCs w:val="28"/>
          <w:lang w:val="en-US" w:eastAsia="zh-CN"/>
        </w:rPr>
        <w:t>5.12.8肥料中有毒有害物质依据GB38400标准。</w:t>
      </w:r>
    </w:p>
    <w:p>
      <w:pPr>
        <w:numPr>
          <w:ilvl w:val="0"/>
          <w:numId w:val="0"/>
        </w:numPr>
        <w:ind w:firstLine="280" w:firstLineChars="100"/>
        <w:rPr>
          <w:rFonts w:hint="default" w:ascii="宋体" w:hAnsi="宋体"/>
          <w:sz w:val="28"/>
          <w:szCs w:val="28"/>
          <w:lang w:val="en-US" w:eastAsia="zh-CN"/>
        </w:rPr>
      </w:pPr>
      <w:r>
        <w:rPr>
          <w:rFonts w:hint="eastAsia" w:ascii="宋体" w:hAnsi="宋体"/>
          <w:sz w:val="28"/>
          <w:szCs w:val="28"/>
          <w:lang w:val="en-US" w:eastAsia="zh-CN"/>
        </w:rPr>
        <w:t>5.13减量和防控的目标，依据NY/T3499</w:t>
      </w:r>
      <w:r>
        <w:rPr>
          <w:rFonts w:hint="eastAsia" w:ascii="宋体" w:hAnsi="宋体" w:eastAsia="宋体" w:cs="宋体"/>
          <w:sz w:val="28"/>
          <w:szCs w:val="28"/>
          <w:lang w:val="en-US" w:eastAsia="zh-CN"/>
        </w:rPr>
        <w:t>《受污染耕地治理与修复导则》第五条。</w:t>
      </w:r>
    </w:p>
    <w:p>
      <w:pPr>
        <w:numPr>
          <w:ilvl w:val="0"/>
          <w:numId w:val="0"/>
        </w:numPr>
        <w:ind w:firstLine="280" w:firstLineChars="100"/>
        <w:rPr>
          <w:rFonts w:hint="default" w:ascii="宋体" w:hAnsi="宋体" w:eastAsia="宋体" w:cs="宋体"/>
          <w:sz w:val="28"/>
          <w:szCs w:val="28"/>
          <w:lang w:val="en-US" w:eastAsia="zh-CN"/>
        </w:rPr>
      </w:pPr>
    </w:p>
    <w:p>
      <w:pPr>
        <w:rPr>
          <w:rFonts w:hint="default" w:ascii="宋体" w:hAnsi="宋体" w:eastAsia="宋体" w:cs="宋体"/>
          <w:sz w:val="28"/>
          <w:szCs w:val="28"/>
          <w:lang w:val="en-US" w:eastAsia="zh-CN"/>
        </w:rPr>
      </w:pPr>
    </w:p>
    <w:p>
      <w:pPr>
        <w:rPr>
          <w:rFonts w:hint="eastAsia" w:ascii="黑体" w:hAnsi="黑体" w:eastAsia="黑体" w:cs="黑体"/>
          <w:sz w:val="28"/>
          <w:szCs w:val="28"/>
          <w:lang w:val="en-US" w:eastAsia="zh-CN"/>
        </w:rPr>
      </w:pPr>
      <w:r>
        <w:rPr>
          <w:rFonts w:hint="eastAsia" w:ascii="宋体" w:hAnsi="宋体" w:eastAsia="宋体" w:cs="宋体"/>
          <w:sz w:val="28"/>
          <w:szCs w:val="28"/>
          <w:lang w:val="en-US" w:eastAsia="zh-CN"/>
        </w:rPr>
        <w:t xml:space="preserve">                    </w:t>
      </w:r>
    </w:p>
    <w:p>
      <w:pPr>
        <w:rPr>
          <w:rFonts w:hint="eastAsia" w:ascii="新宋体" w:hAnsi="新宋体" w:eastAsia="新宋体" w:cs="新宋体"/>
          <w:sz w:val="28"/>
          <w:szCs w:val="28"/>
          <w:lang w:val="en-US" w:eastAsia="zh-CN"/>
        </w:rPr>
      </w:pPr>
      <w:r>
        <w:rPr>
          <w:rFonts w:hint="eastAsia" w:ascii="黑体" w:hAnsi="黑体" w:eastAsia="黑体" w:cs="黑体"/>
          <w:sz w:val="28"/>
          <w:szCs w:val="28"/>
          <w:lang w:val="en-US" w:eastAsia="zh-CN"/>
        </w:rPr>
        <w:t xml:space="preserve">  </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eastAsiaTheme="minorEastAsia"/>
        <w:sz w:val="44"/>
        <w:szCs w:val="44"/>
        <w:lang w:val="en-US" w:eastAsia="zh-CN"/>
      </w:rPr>
    </w:pPr>
    <w:r>
      <w:rPr>
        <w:rFonts w:hint="eastAsia"/>
        <w:sz w:val="44"/>
        <w:szCs w:val="44"/>
        <w:lang w:val="en-US" w:eastAsia="zh-CN"/>
      </w:rPr>
      <w:t>DB/13-2023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1F8563"/>
    <w:multiLevelType w:val="singleLevel"/>
    <w:tmpl w:val="421F856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hZjhjN2ZmZWRlNzRkMmRiMjdmYWM4OGIxNGQ3YWMifQ=="/>
  </w:docVars>
  <w:rsids>
    <w:rsidRoot w:val="4DAC596B"/>
    <w:rsid w:val="014D041A"/>
    <w:rsid w:val="01D2776D"/>
    <w:rsid w:val="06425CA4"/>
    <w:rsid w:val="0B875032"/>
    <w:rsid w:val="0CC01BE5"/>
    <w:rsid w:val="0E133374"/>
    <w:rsid w:val="110E4FA2"/>
    <w:rsid w:val="21CB1D7A"/>
    <w:rsid w:val="238C6E29"/>
    <w:rsid w:val="24BC31F9"/>
    <w:rsid w:val="2A405DCF"/>
    <w:rsid w:val="2CA3365D"/>
    <w:rsid w:val="31A141DC"/>
    <w:rsid w:val="362173AA"/>
    <w:rsid w:val="38A2018C"/>
    <w:rsid w:val="3AB46F3A"/>
    <w:rsid w:val="3BF453A4"/>
    <w:rsid w:val="41575008"/>
    <w:rsid w:val="450605AC"/>
    <w:rsid w:val="456B4C48"/>
    <w:rsid w:val="45AA6A2F"/>
    <w:rsid w:val="4DAC596B"/>
    <w:rsid w:val="4E895C68"/>
    <w:rsid w:val="4FAA47B0"/>
    <w:rsid w:val="50B56FF7"/>
    <w:rsid w:val="50DC4807"/>
    <w:rsid w:val="524974DD"/>
    <w:rsid w:val="53696393"/>
    <w:rsid w:val="53CB1A49"/>
    <w:rsid w:val="573A0FC5"/>
    <w:rsid w:val="5A6B32D6"/>
    <w:rsid w:val="637F5A87"/>
    <w:rsid w:val="6AA836AE"/>
    <w:rsid w:val="73D570B0"/>
    <w:rsid w:val="76A24317"/>
    <w:rsid w:val="78D853A9"/>
    <w:rsid w:val="7D1A0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1534</Words>
  <Characters>1779</Characters>
  <Lines>0</Lines>
  <Paragraphs>0</Paragraphs>
  <TotalTime>79</TotalTime>
  <ScaleCrop>false</ScaleCrop>
  <LinksUpToDate>false</LinksUpToDate>
  <CharactersWithSpaces>1999</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2021-03-17T02:14:00Z</dcterms:created>
  <dc:creator>Administrator</dc:creator>
  <cp:lastModifiedBy>润浓科技-郭</cp:lastModifiedBy>
  <dcterms:modified xsi:type="dcterms:W3CDTF">2023-12-20T04:00:05Z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AD9FFECFE2784849BAFFF82904940633</vt:lpwstr>
  </property>
</Properties>
</file>