
<file path=[Content_Types].xml><?xml version="1.0" encoding="utf-8"?>
<Types xmlns="http://schemas.openxmlformats.org/package/2006/content-types">
  <Default Extension="xml" ContentType="application/xml"/>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70"/>
        <w:rPr>
          <w:rFonts w:ascii="Times New Roman"/>
        </w:rPr>
      </w:pPr>
      <w:bookmarkStart w:id="0" w:name="fm"/>
      <w:bookmarkStart w:id="1" w:name="_Toc303258385"/>
      <w:bookmarkStart w:id="2" w:name="_Toc304453502"/>
      <w:bookmarkStart w:id="3" w:name="_Toc298141822"/>
      <w:bookmarkStart w:id="4" w:name="_Toc298141802"/>
      <w:bookmarkStart w:id="5" w:name="_Toc298133767"/>
      <w:bookmarkStart w:id="6" w:name="_Toc298143811"/>
      <w:bookmarkStart w:id="7" w:name="_Toc298143743"/>
      <w:r>
        <w:rPr>
          <w:rFonts w:ascii="Times New Roman"/>
        </w:rPr>
        <w:t>ICS</w:t>
      </w:r>
      <w:r>
        <w:rPr>
          <w:rFonts w:ascii="Times New Roman" w:eastAsia="MS Mincho"/>
        </w:rPr>
        <w:t> </w:t>
      </w:r>
      <w:r>
        <w:rPr>
          <w:rFonts w:ascii="Times New Roman"/>
        </w:rPr>
        <w:t>03.220.20</w:t>
      </w:r>
    </w:p>
    <w:p>
      <w:pPr>
        <w:pStyle w:val="170"/>
        <w:rPr>
          <w:rFonts w:ascii="Times New Roman"/>
        </w:rPr>
      </w:pPr>
      <w:r>
        <w:rPr>
          <w:rFonts w:ascii="Times New Roman"/>
        </w:rPr>
        <w:t>R 04</w:t>
      </w:r>
    </w:p>
    <w:tbl>
      <w:tblPr>
        <w:tblStyle w:val="52"/>
        <w:tblW w:w="0" w:type="auto"/>
        <w:tblInd w:w="0" w:type="dxa"/>
        <w:tblLayout w:type="autofit"/>
        <w:tblCellMar>
          <w:top w:w="0" w:type="dxa"/>
          <w:left w:w="108" w:type="dxa"/>
          <w:bottom w:w="0" w:type="dxa"/>
          <w:right w:w="108" w:type="dxa"/>
        </w:tblCellMar>
      </w:tblPr>
      <w:tblGrid>
        <w:gridCol w:w="9853"/>
      </w:tblGrid>
      <w:tr>
        <w:tblPrEx>
          <w:tblCellMar>
            <w:top w:w="0" w:type="dxa"/>
            <w:left w:w="108" w:type="dxa"/>
            <w:bottom w:w="0" w:type="dxa"/>
            <w:right w:w="108" w:type="dxa"/>
          </w:tblCellMar>
        </w:tblPrEx>
        <w:tc>
          <w:tcPr>
            <w:tcW w:w="9854" w:type="dxa"/>
            <w:tcBorders>
              <w:top w:val="nil"/>
              <w:left w:val="nil"/>
              <w:bottom w:val="nil"/>
              <w:right w:val="nil"/>
            </w:tcBorders>
          </w:tcPr>
          <w:p>
            <w:pPr>
              <w:pStyle w:val="170"/>
              <w:ind w:left="1470" w:hanging="210"/>
              <w:rPr>
                <w:rFonts w:ascii="Times New Roman"/>
                <w:kern w:val="2"/>
              </w:rPr>
            </w:pPr>
            <w:r>
              <w:rPr>
                <w:rFonts w:ascii="Times New Roman"/>
                <w:kern w:val="2"/>
              </w:rPr>
              <mc:AlternateContent>
                <mc:Choice Requires="wps">
                  <w:drawing>
                    <wp:anchor distT="0" distB="0" distL="114300" distR="114300" simplePos="0" relativeHeight="251663360" behindDoc="1" locked="0" layoutInCell="1" allowOverlap="1">
                      <wp:simplePos x="0" y="0"/>
                      <wp:positionH relativeFrom="column">
                        <wp:posOffset>-66675</wp:posOffset>
                      </wp:positionH>
                      <wp:positionV relativeFrom="paragraph">
                        <wp:posOffset>0</wp:posOffset>
                      </wp:positionV>
                      <wp:extent cx="866775" cy="198120"/>
                      <wp:effectExtent l="0" t="3810" r="4445" b="0"/>
                      <wp:wrapNone/>
                      <wp:docPr id="14" name="BAH"/>
                      <wp:cNvGraphicFramePr/>
                      <a:graphic xmlns:a="http://schemas.openxmlformats.org/drawingml/2006/main">
                        <a:graphicData uri="http://schemas.microsoft.com/office/word/2010/wordprocessingShape">
                          <wps:wsp>
                            <wps:cNvSpPr>
                              <a:spLocks noChangeArrowheads="true"/>
                            </wps:cNvSpPr>
                            <wps:spPr bwMode="auto">
                              <a:xfrm>
                                <a:off x="0" y="0"/>
                                <a:ext cx="866775" cy="198120"/>
                              </a:xfrm>
                              <a:prstGeom prst="rect">
                                <a:avLst/>
                              </a:prstGeom>
                              <a:solidFill>
                                <a:srgbClr val="FFFFFF"/>
                              </a:solidFill>
                              <a:ln>
                                <a:noFill/>
                              </a:ln>
                            </wps:spPr>
                            <wps:bodyPr rot="0" vert="horz" wrap="square" lIns="91440" tIns="45720" rIns="91440" bIns="45720" anchor="t" anchorCtr="false" upright="true">
                              <a:noAutofit/>
                            </wps:bodyPr>
                          </wps:wsp>
                        </a:graphicData>
                      </a:graphic>
                    </wp:anchor>
                  </w:drawing>
                </mc:Choice>
                <mc:Fallback>
                  <w:pict>
                    <v:rect id="BAH" o:spid="_x0000_s1026" o:spt="1" style="position:absolute;left:0pt;margin-left:-5.25pt;margin-top:0pt;height:15.6pt;width:68.25pt;z-index:-251653120;mso-width-relative:page;mso-height-relative:page;" fillcolor="#FFFFFF" filled="t" stroked="f" coordsize="21600,21600" o:gfxdata="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FgAAAGRycy9QSwECFAAUAAAACACHTuJAyK4v7NUAAAAHAQAADwAAAAAAAAABACAAAAA4&#10;AAAAZHJzL2Rvd25yZXYueG1sUEsBAhQAFAAAAAgAh07iQIdPLeT3AQAA3QMAAA4AAAAAAAAAAQAg&#10;AAAAOgEAAGRycy9lMm9Eb2MueG1sUEsFBgAAAAAGAAYAWQEAAKMFAAAAAA==&#10;">
                      <v:fill on="t" focussize="0,0"/>
                      <v:stroke on="f"/>
                      <v:imagedata o:title=""/>
                      <o:lock v:ext="edit" aspectratio="f"/>
                    </v:rect>
                  </w:pict>
                </mc:Fallback>
              </mc:AlternateContent>
            </w:r>
          </w:p>
        </w:tc>
      </w:tr>
    </w:tbl>
    <w:p>
      <w:pPr>
        <w:pStyle w:val="178"/>
      </w:pPr>
      <w:r>
        <w:t>DB13</w:t>
      </w:r>
    </w:p>
    <w:p>
      <w:pPr>
        <w:pStyle w:val="172"/>
        <w:rPr>
          <w:rFonts w:ascii="Times New Roman" w:hAnsi="Times New Roman"/>
        </w:rPr>
      </w:pPr>
      <w:bookmarkStart w:id="8" w:name="c4"/>
      <w:r>
        <w:rPr>
          <w:rFonts w:ascii="Times New Roman" w:hAnsi="Times New Roman"/>
        </w:rPr>
        <w:t>河北省</w:t>
      </w:r>
      <w:bookmarkEnd w:id="8"/>
      <w:r>
        <w:rPr>
          <w:rFonts w:ascii="Times New Roman" w:hAnsi="Times New Roman"/>
        </w:rPr>
        <w:t>地方标准</w:t>
      </w:r>
    </w:p>
    <w:p>
      <w:pPr>
        <w:pStyle w:val="159"/>
        <w:wordWrap w:val="0"/>
        <w:rPr>
          <w:rFonts w:ascii="Times New Roman"/>
        </w:rPr>
      </w:pPr>
      <w:r>
        <w:rPr>
          <w:rFonts w:ascii="Times New Roman"/>
        </w:rPr>
        <w:t>DB13/T  xxxx — 2023</w:t>
      </w:r>
    </w:p>
    <w:tbl>
      <w:tblPr>
        <w:tblStyle w:val="52"/>
        <w:tblW w:w="0" w:type="auto"/>
        <w:tblInd w:w="0" w:type="dxa"/>
        <w:tblLayout w:type="autofit"/>
        <w:tblCellMar>
          <w:top w:w="0" w:type="dxa"/>
          <w:left w:w="108" w:type="dxa"/>
          <w:bottom w:w="0" w:type="dxa"/>
          <w:right w:w="108" w:type="dxa"/>
        </w:tblCellMar>
      </w:tblPr>
      <w:tblGrid>
        <w:gridCol w:w="9356"/>
      </w:tblGrid>
      <w:tr>
        <w:tblPrEx>
          <w:tblCellMar>
            <w:top w:w="0" w:type="dxa"/>
            <w:left w:w="108" w:type="dxa"/>
            <w:bottom w:w="0" w:type="dxa"/>
            <w:right w:w="108" w:type="dxa"/>
          </w:tblCellMar>
        </w:tblPrEx>
        <w:tc>
          <w:tcPr>
            <w:tcW w:w="9356" w:type="dxa"/>
            <w:tcBorders>
              <w:top w:val="nil"/>
              <w:left w:val="nil"/>
              <w:bottom w:val="nil"/>
              <w:right w:val="nil"/>
            </w:tcBorders>
          </w:tcPr>
          <w:p>
            <w:pPr>
              <w:pStyle w:val="135"/>
              <w:widowControl w:val="0"/>
              <w:ind w:left="1470" w:hanging="210"/>
              <w:rPr>
                <w:rFonts w:ascii="Times New Roman"/>
                <w:kern w:val="2"/>
              </w:rPr>
            </w:pPr>
            <w:r>
              <w:rPr>
                <w:rFonts w:ascii="Times New Roman"/>
              </w:rPr>
              <mc:AlternateContent>
                <mc:Choice Requires="wps">
                  <w:drawing>
                    <wp:anchor distT="0" distB="0" distL="114300" distR="114300" simplePos="0" relativeHeight="251664384" behindDoc="0" locked="0" layoutInCell="1" allowOverlap="1">
                      <wp:simplePos x="0" y="0"/>
                      <wp:positionH relativeFrom="column">
                        <wp:posOffset>68580</wp:posOffset>
                      </wp:positionH>
                      <wp:positionV relativeFrom="paragraph">
                        <wp:posOffset>86995</wp:posOffset>
                      </wp:positionV>
                      <wp:extent cx="6120130" cy="0"/>
                      <wp:effectExtent l="6985" t="8255" r="6985" b="10795"/>
                      <wp:wrapNone/>
                      <wp:docPr id="12" name="直线 32"/>
                      <wp:cNvGraphicFramePr/>
                      <a:graphic xmlns:a="http://schemas.openxmlformats.org/drawingml/2006/main">
                        <a:graphicData uri="http://schemas.microsoft.com/office/word/2010/wordprocessingShape">
                          <wps:wsp>
                            <wps:cNvCnPr>
                              <a:cxnSpLocks noChangeShapeType="true"/>
                            </wps:cNvCnPr>
                            <wps:spPr bwMode="auto">
                              <a:xfrm>
                                <a:off x="0" y="0"/>
                                <a:ext cx="6120130" cy="0"/>
                              </a:xfrm>
                              <a:prstGeom prst="line">
                                <a:avLst/>
                              </a:prstGeom>
                              <a:noFill/>
                              <a:ln w="9525">
                                <a:solidFill>
                                  <a:srgbClr val="000000"/>
                                </a:solidFill>
                                <a:round/>
                              </a:ln>
                            </wps:spPr>
                            <wps:bodyPr/>
                          </wps:wsp>
                        </a:graphicData>
                      </a:graphic>
                    </wp:anchor>
                  </w:drawing>
                </mc:Choice>
                <mc:Fallback>
                  <w:pict>
                    <v:line id="直线 32" o:spid="_x0000_s1026" o:spt="20" style="position:absolute;left:0pt;margin-left:5.4pt;margin-top:6.85pt;height:0pt;width:481.9pt;z-index:251664384;mso-width-relative:page;mso-height-relative:page;" filled="f" stroked="t" coordsize="21600,21600" o:gfxdata="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FgAAAGRycy9QSwECFAAUAAAACACHTuJA7WZpBNUAAAAIAQAADwAAAAAAAAABACAAAAA4&#10;AAAAZHJzL2Rvd25yZXYueG1sUEsBAhQAFAAAAAgAh07iQBbCJfm+AQAAWAMAAA4AAAAAAAAAAQAg&#10;AAAAOgEAAGRycy9lMm9Eb2MueG1sUEsFBgAAAAAGAAYAWQEAAGoFAAAAAA==&#10;">
                      <v:fill on="f" focussize="0,0"/>
                      <v:stroke color="#000000" joinstyle="round"/>
                      <v:imagedata o:title=""/>
                      <o:lock v:ext="edit" aspectratio="f"/>
                    </v:line>
                  </w:pict>
                </mc:Fallback>
              </mc:AlternateContent>
            </w:r>
          </w:p>
        </w:tc>
      </w:tr>
      <w:tr>
        <w:tblPrEx>
          <w:tblCellMar>
            <w:top w:w="0" w:type="dxa"/>
            <w:left w:w="108" w:type="dxa"/>
            <w:bottom w:w="0" w:type="dxa"/>
            <w:right w:w="108" w:type="dxa"/>
          </w:tblCellMar>
        </w:tblPrEx>
        <w:tc>
          <w:tcPr>
            <w:tcW w:w="9356" w:type="dxa"/>
            <w:tcBorders>
              <w:top w:val="nil"/>
              <w:left w:val="nil"/>
              <w:bottom w:val="nil"/>
              <w:right w:val="nil"/>
            </w:tcBorders>
          </w:tcPr>
          <w:p>
            <w:pPr>
              <w:pStyle w:val="135"/>
              <w:widowControl w:val="0"/>
              <w:ind w:left="1470" w:hanging="210"/>
              <w:rPr>
                <w:rFonts w:ascii="Times New Roman"/>
              </w:rPr>
            </w:pPr>
          </w:p>
        </w:tc>
      </w:tr>
    </w:tbl>
    <w:p>
      <w:pPr>
        <w:pStyle w:val="159"/>
        <w:rPr>
          <w:rFonts w:ascii="Times New Roman"/>
        </w:rPr>
      </w:pPr>
    </w:p>
    <w:p>
      <w:pPr>
        <w:framePr w:w="9639" w:h="6917" w:hRule="exact" w:wrap="around" w:vAnchor="page" w:hAnchor="page" w:x="1177" w:y="5062" w:anchorLock="1"/>
        <w:autoSpaceDE w:val="0"/>
        <w:autoSpaceDN w:val="0"/>
        <w:adjustRightInd w:val="0"/>
        <w:jc w:val="center"/>
        <w:rPr>
          <w:rFonts w:eastAsia="黑体"/>
          <w:kern w:val="0"/>
          <w:sz w:val="52"/>
          <w:szCs w:val="52"/>
        </w:rPr>
      </w:pPr>
    </w:p>
    <w:p>
      <w:pPr>
        <w:framePr w:w="9639" w:h="6917" w:hRule="exact" w:wrap="around" w:vAnchor="page" w:hAnchor="page" w:x="1177" w:y="5062" w:anchorLock="1"/>
        <w:autoSpaceDE w:val="0"/>
        <w:autoSpaceDN w:val="0"/>
        <w:adjustRightInd w:val="0"/>
        <w:jc w:val="center"/>
        <w:rPr>
          <w:rFonts w:eastAsia="黑体"/>
          <w:kern w:val="0"/>
          <w:sz w:val="52"/>
          <w:szCs w:val="52"/>
        </w:rPr>
      </w:pPr>
    </w:p>
    <w:p>
      <w:pPr>
        <w:framePr w:w="9639" w:h="6917" w:hRule="exact" w:wrap="around" w:vAnchor="page" w:hAnchor="page" w:x="1177" w:y="5062" w:anchorLock="1"/>
        <w:jc w:val="center"/>
        <w:rPr>
          <w:rFonts w:eastAsia="黑体"/>
          <w:kern w:val="0"/>
          <w:sz w:val="44"/>
          <w:szCs w:val="52"/>
        </w:rPr>
      </w:pPr>
      <w:bookmarkStart w:id="9" w:name="_Hlk84595274"/>
      <w:bookmarkStart w:id="10" w:name="YZBS"/>
      <w:r>
        <w:rPr>
          <w:rFonts w:eastAsia="黑体"/>
          <w:kern w:val="0"/>
          <w:sz w:val="44"/>
          <w:szCs w:val="52"/>
        </w:rPr>
        <w:t>公路路基压实质量快速检测方法 土体刚度仪法</w:t>
      </w:r>
    </w:p>
    <w:bookmarkEnd w:id="9"/>
    <w:p>
      <w:pPr>
        <w:framePr w:w="9639" w:h="6917" w:hRule="exact" w:wrap="around" w:vAnchor="page" w:hAnchor="page" w:x="1177" w:y="5062" w:anchorLock="1"/>
        <w:spacing w:line="560" w:lineRule="exact"/>
        <w:jc w:val="center"/>
        <w:rPr>
          <w:rFonts w:ascii="宋体" w:hAnsi="宋体" w:cs="宋体"/>
          <w:kern w:val="0"/>
          <w:sz w:val="32"/>
          <w:szCs w:val="32"/>
        </w:rPr>
      </w:pPr>
      <w:r>
        <w:rPr>
          <w:rFonts w:hint="eastAsia" w:ascii="宋体" w:hAnsi="宋体" w:cs="宋体"/>
          <w:kern w:val="0"/>
          <w:sz w:val="32"/>
          <w:szCs w:val="32"/>
        </w:rPr>
        <w:t>（网上征求意见稿）</w:t>
      </w:r>
    </w:p>
    <w:p>
      <w:pPr>
        <w:framePr w:w="9639" w:h="6917" w:hRule="exact" w:wrap="around" w:vAnchor="page" w:hAnchor="page" w:x="1177" w:y="5062" w:anchorLock="1"/>
        <w:spacing w:line="560" w:lineRule="exact"/>
        <w:jc w:val="center"/>
        <w:rPr>
          <w:rFonts w:eastAsia="黑体"/>
          <w:kern w:val="0"/>
          <w:sz w:val="28"/>
          <w:szCs w:val="28"/>
        </w:rPr>
      </w:pPr>
    </w:p>
    <w:p>
      <w:pPr>
        <w:framePr w:w="9639" w:h="6917" w:hRule="exact" w:wrap="around" w:vAnchor="page" w:hAnchor="page" w:x="1177" w:y="5062" w:anchorLock="1"/>
        <w:spacing w:line="560" w:lineRule="exact"/>
        <w:jc w:val="center"/>
        <w:rPr>
          <w:rFonts w:eastAsia="黑体"/>
          <w:kern w:val="0"/>
          <w:sz w:val="28"/>
          <w:szCs w:val="28"/>
        </w:rPr>
      </w:pPr>
    </w:p>
    <w:p>
      <w:pPr>
        <w:framePr w:w="9639" w:h="6917" w:hRule="exact" w:wrap="around" w:vAnchor="page" w:hAnchor="page" w:x="1177" w:y="5062" w:anchorLock="1"/>
        <w:spacing w:line="560" w:lineRule="exact"/>
        <w:jc w:val="center"/>
        <w:rPr>
          <w:rFonts w:eastAsia="黑体"/>
          <w:kern w:val="0"/>
          <w:sz w:val="28"/>
          <w:szCs w:val="28"/>
        </w:rPr>
      </w:pPr>
    </w:p>
    <w:p>
      <w:pPr>
        <w:pStyle w:val="163"/>
        <w:framePr w:w="9639" w:h="6917" w:hRule="exact" w:wrap="around" w:vAnchor="page" w:hAnchor="page" w:x="1177" w:y="5062" w:anchorLock="1"/>
        <w:ind w:right="560" w:firstLine="700" w:firstLineChars="250"/>
        <w:jc w:val="both"/>
      </w:pPr>
      <w:r>
        <w:t xml:space="preserve">                        </w:t>
      </w:r>
    </w:p>
    <w:p>
      <w:pPr>
        <w:framePr w:w="9639" w:h="6917" w:hRule="exact" w:wrap="around" w:vAnchor="page" w:hAnchor="page" w:x="1177" w:y="5062" w:anchorLock="1"/>
        <w:spacing w:line="560" w:lineRule="exact"/>
        <w:jc w:val="center"/>
        <w:rPr>
          <w:rStyle w:val="100"/>
          <w:rFonts w:ascii="Times New Roman"/>
        </w:rPr>
      </w:pPr>
    </w:p>
    <w:p>
      <w:pPr>
        <w:pStyle w:val="163"/>
        <w:framePr w:w="9639" w:h="6917" w:hRule="exact" w:wrap="around" w:vAnchor="page" w:hAnchor="page" w:x="1177" w:y="5062" w:anchorLock="1"/>
        <w:ind w:right="560"/>
        <w:jc w:val="both"/>
      </w:pPr>
    </w:p>
    <w:p>
      <w:pPr>
        <w:pStyle w:val="163"/>
        <w:framePr w:w="9639" w:h="6917" w:hRule="exact" w:wrap="around" w:vAnchor="page" w:hAnchor="page" w:x="1177" w:y="5062" w:anchorLock="1"/>
        <w:ind w:right="560"/>
        <w:jc w:val="both"/>
      </w:pPr>
    </w:p>
    <w:p>
      <w:pPr>
        <w:pStyle w:val="163"/>
        <w:framePr w:w="9639" w:h="6917" w:hRule="exact" w:wrap="around" w:vAnchor="page" w:hAnchor="page" w:x="1177" w:y="5062" w:anchorLock="1"/>
        <w:ind w:right="560"/>
        <w:jc w:val="both"/>
      </w:pPr>
    </w:p>
    <w:p>
      <w:pPr>
        <w:framePr w:w="9639" w:h="6917" w:hRule="exact" w:wrap="around" w:vAnchor="page" w:hAnchor="page" w:x="1177" w:y="5062" w:anchorLock="1"/>
        <w:spacing w:line="560" w:lineRule="exact"/>
        <w:jc w:val="center"/>
        <w:rPr>
          <w:rFonts w:eastAsia="黑体"/>
          <w:kern w:val="0"/>
          <w:sz w:val="28"/>
          <w:szCs w:val="28"/>
        </w:rPr>
      </w:pPr>
    </w:p>
    <w:p>
      <w:pPr>
        <w:framePr w:w="9639" w:h="6917" w:hRule="exact" w:wrap="around" w:vAnchor="page" w:hAnchor="page" w:x="1177" w:y="5062" w:anchorLock="1"/>
        <w:spacing w:line="560" w:lineRule="exact"/>
        <w:jc w:val="center"/>
        <w:rPr>
          <w:rFonts w:eastAsia="黑体"/>
          <w:kern w:val="0"/>
          <w:sz w:val="28"/>
          <w:szCs w:val="28"/>
        </w:rPr>
      </w:pPr>
    </w:p>
    <w:p>
      <w:pPr>
        <w:framePr w:w="9639" w:h="6917" w:hRule="exact" w:wrap="around" w:vAnchor="page" w:hAnchor="page" w:x="1177" w:y="5062" w:anchorLock="1"/>
        <w:spacing w:line="560" w:lineRule="exact"/>
        <w:jc w:val="center"/>
        <w:rPr>
          <w:rFonts w:eastAsia="黑体"/>
          <w:kern w:val="0"/>
          <w:sz w:val="28"/>
          <w:szCs w:val="28"/>
        </w:rPr>
      </w:pPr>
    </w:p>
    <w:bookmarkEnd w:id="10"/>
    <w:p>
      <w:pPr>
        <w:pStyle w:val="143"/>
        <w:jc w:val="center"/>
        <w:rPr>
          <w:sz w:val="44"/>
        </w:rPr>
      </w:pPr>
      <w:r>
        <mc:AlternateContent>
          <mc:Choice Requires="wps">
            <w:drawing>
              <wp:anchor distT="0" distB="0" distL="114300" distR="114300" simplePos="0" relativeHeight="251665408" behindDoc="0" locked="1" layoutInCell="1" allowOverlap="1">
                <wp:simplePos x="0" y="0"/>
                <wp:positionH relativeFrom="column">
                  <wp:posOffset>333375</wp:posOffset>
                </wp:positionH>
                <wp:positionV relativeFrom="page">
                  <wp:posOffset>9176385</wp:posOffset>
                </wp:positionV>
                <wp:extent cx="5867400" cy="0"/>
                <wp:effectExtent l="5080" t="13335" r="13970" b="5715"/>
                <wp:wrapNone/>
                <wp:docPr id="11" name="直线 36"/>
                <wp:cNvGraphicFramePr/>
                <a:graphic xmlns:a="http://schemas.openxmlformats.org/drawingml/2006/main">
                  <a:graphicData uri="http://schemas.microsoft.com/office/word/2010/wordprocessingShape">
                    <wps:wsp>
                      <wps:cNvCnPr>
                        <a:cxnSpLocks noChangeShapeType="true"/>
                      </wps:cNvCnPr>
                      <wps:spPr bwMode="auto">
                        <a:xfrm>
                          <a:off x="0" y="0"/>
                          <a:ext cx="5867400" cy="0"/>
                        </a:xfrm>
                        <a:prstGeom prst="line">
                          <a:avLst/>
                        </a:prstGeom>
                        <a:noFill/>
                        <a:ln w="9525">
                          <a:solidFill>
                            <a:srgbClr val="000000"/>
                          </a:solidFill>
                          <a:round/>
                        </a:ln>
                      </wps:spPr>
                      <wps:bodyPr/>
                    </wps:wsp>
                  </a:graphicData>
                </a:graphic>
              </wp:anchor>
            </w:drawing>
          </mc:Choice>
          <mc:Fallback>
            <w:pict>
              <v:line id="直线 36" o:spid="_x0000_s1026" o:spt="20" style="position:absolute;left:0pt;margin-left:26.25pt;margin-top:722.55pt;height:0pt;width:462pt;mso-position-vertical-relative:page;z-index:251665408;mso-width-relative:page;mso-height-relative:page;" filled="f" stroked="t" coordsize="21600,21600" o:gfxdata="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FgAAAGRycy9QSwECFAAUAAAACACHTuJAhHwEFNYAAAAMAQAADwAAAAAAAAABACAA&#10;AAA4AAAAZHJzL2Rvd25yZXYueG1sUEsBAhQAFAAAAAgAh07iQFEEjf/AAQAAWAMAAA4AAAAAAAAA&#10;AQAgAAAAOwEAAGRycy9lMm9Eb2MueG1sUEsFBgAAAAAGAAYAWQEAAG0FAAAAAA==&#10;">
                <v:fill on="f" focussize="0,0"/>
                <v:stroke color="#000000" joinstyle="round"/>
                <v:imagedata o:title=""/>
                <o:lock v:ext="edit" aspectratio="f"/>
                <w10:anchorlock/>
              </v:line>
            </w:pict>
          </mc:Fallback>
        </mc:AlternateContent>
      </w:r>
      <w:r>
        <mc:AlternateContent>
          <mc:Choice Requires="wps">
            <w:drawing>
              <wp:anchor distT="0" distB="0" distL="114300" distR="114300" simplePos="0" relativeHeight="251662336" behindDoc="1" locked="0" layoutInCell="1" allowOverlap="1">
                <wp:simplePos x="0" y="0"/>
                <wp:positionH relativeFrom="column">
                  <wp:posOffset>1810385</wp:posOffset>
                </wp:positionH>
                <wp:positionV relativeFrom="paragraph">
                  <wp:posOffset>-3942715</wp:posOffset>
                </wp:positionV>
                <wp:extent cx="1270000" cy="304800"/>
                <wp:effectExtent l="0" t="635" r="635" b="0"/>
                <wp:wrapNone/>
                <wp:docPr id="10" name="LB"/>
                <wp:cNvGraphicFramePr/>
                <a:graphic xmlns:a="http://schemas.openxmlformats.org/drawingml/2006/main">
                  <a:graphicData uri="http://schemas.microsoft.com/office/word/2010/wordprocessingShape">
                    <wps:wsp>
                      <wps:cNvSpPr>
                        <a:spLocks noChangeArrowheads="true"/>
                      </wps:cNvSpPr>
                      <wps:spPr bwMode="auto">
                        <a:xfrm>
                          <a:off x="0" y="0"/>
                          <a:ext cx="1270000" cy="304800"/>
                        </a:xfrm>
                        <a:prstGeom prst="rect">
                          <a:avLst/>
                        </a:prstGeom>
                        <a:solidFill>
                          <a:srgbClr val="FFFFFF"/>
                        </a:solidFill>
                        <a:ln>
                          <a:noFill/>
                        </a:ln>
                      </wps:spPr>
                      <wps:bodyPr rot="0" vert="horz" wrap="square" lIns="91440" tIns="45720" rIns="91440" bIns="45720" anchor="t" anchorCtr="false" upright="true">
                        <a:noAutofit/>
                      </wps:bodyPr>
                    </wps:wsp>
                  </a:graphicData>
                </a:graphic>
              </wp:anchor>
            </w:drawing>
          </mc:Choice>
          <mc:Fallback>
            <w:pict>
              <v:rect id="LB" o:spid="_x0000_s1026" o:spt="1" style="position:absolute;left:0pt;margin-left:142.55pt;margin-top:-310.45pt;height:24pt;width:100pt;z-index:-251654144;mso-width-relative:page;mso-height-relative:page;" fillcolor="#FFFFFF" filled="t" stroked="f" coordsize="21600,21600" o:gfxdata="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WAAAAZHJzL1BLAQIUABQAAAAIAIdO4kD5te7W2QAAAA0BAAAPAAAAAAAAAAEAIAAAADgA&#10;AABkcnMvZG93bnJldi54bWxQSwECFAAUAAAACACHTuJAzUXkv/IBAADdAwAADgAAAAAAAAABACAA&#10;AAA+AQAAZHJzL2Uyb0RvYy54bWxQSwUGAAAAAAYABgBZAQAAogUAAAAA&#10;">
                <v:fill on="t" focussize="0,0"/>
                <v:stroke on="f"/>
                <v:imagedata o:title=""/>
                <o:lock v:ext="edit" aspectratio="f"/>
              </v:rect>
            </w:pict>
          </mc:Fallback>
        </mc:AlternateContent>
      </w:r>
      <w:r>
        <mc:AlternateContent>
          <mc:Choice Requires="wps">
            <w:drawing>
              <wp:anchor distT="0" distB="0" distL="114300" distR="114300" simplePos="0" relativeHeight="251661312" behindDoc="1" locked="0" layoutInCell="1" allowOverlap="1">
                <wp:simplePos x="0" y="0"/>
                <wp:positionH relativeFrom="column">
                  <wp:posOffset>4413885</wp:posOffset>
                </wp:positionH>
                <wp:positionV relativeFrom="paragraph">
                  <wp:posOffset>-7435215</wp:posOffset>
                </wp:positionV>
                <wp:extent cx="1143000" cy="228600"/>
                <wp:effectExtent l="0" t="3810" r="635" b="0"/>
                <wp:wrapNone/>
                <wp:docPr id="9" name="DT"/>
                <wp:cNvGraphicFramePr/>
                <a:graphic xmlns:a="http://schemas.openxmlformats.org/drawingml/2006/main">
                  <a:graphicData uri="http://schemas.microsoft.com/office/word/2010/wordprocessingShape">
                    <wps:wsp>
                      <wps:cNvSpPr>
                        <a:spLocks noChangeArrowheads="true"/>
                      </wps:cNvSpPr>
                      <wps:spPr bwMode="auto">
                        <a:xfrm>
                          <a:off x="0" y="0"/>
                          <a:ext cx="1143000" cy="228600"/>
                        </a:xfrm>
                        <a:prstGeom prst="rect">
                          <a:avLst/>
                        </a:prstGeom>
                        <a:solidFill>
                          <a:srgbClr val="FFFFFF"/>
                        </a:solidFill>
                        <a:ln>
                          <a:noFill/>
                        </a:ln>
                      </wps:spPr>
                      <wps:bodyPr rot="0" vert="horz" wrap="square" lIns="91440" tIns="45720" rIns="91440" bIns="45720" anchor="t" anchorCtr="false" upright="true">
                        <a:noAutofit/>
                      </wps:bodyPr>
                    </wps:wsp>
                  </a:graphicData>
                </a:graphic>
              </wp:anchor>
            </w:drawing>
          </mc:Choice>
          <mc:Fallback>
            <w:pict>
              <v:rect id="DT" o:spid="_x0000_s1026" o:spt="1" style="position:absolute;left:0pt;margin-left:347.55pt;margin-top:-585.45pt;height:18pt;width:90pt;z-index:-251655168;mso-width-relative:page;mso-height-relative:page;" fillcolor="#FFFFFF" filled="t" stroked="f" coordsize="21600,21600" o:gfxdata="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WAAAAZHJzL1BLAQIUABQAAAAIAIdO4kDfyYoR2gAAAA8BAAAPAAAAAAAAAAEAIAAA&#10;ADgAAABkcnMvZG93bnJldi54bWxQSwECFAAUAAAACACHTuJAu+Y3xvQBAADcAwAADgAAAAAAAAAB&#10;ACAAAAA/AQAAZHJzL2Uyb0RvYy54bWxQSwUGAAAAAAYABgBZAQAApQUAAAAA&#10;">
                <v:fill on="t" focussize="0,0"/>
                <v:stroke on="f"/>
                <v:imagedata o:title=""/>
                <o:lock v:ext="edit" aspectratio="f"/>
              </v:rect>
            </w:pict>
          </mc:Fallback>
        </mc:AlternateContent>
      </w:r>
      <w:r>
        <w:t xml:space="preserve"> </w:t>
      </w:r>
    </w:p>
    <w:p>
      <w:pPr>
        <w:pStyle w:val="143"/>
        <w:jc w:val="center"/>
        <w:rPr>
          <w:sz w:val="44"/>
        </w:rPr>
      </w:pPr>
    </w:p>
    <w:p>
      <w:pPr>
        <w:pStyle w:val="143"/>
        <w:jc w:val="center"/>
        <w:rPr>
          <w:sz w:val="44"/>
        </w:rPr>
      </w:pPr>
      <w:r>
        <mc:AlternateContent>
          <mc:Choice Requires="wps">
            <w:drawing>
              <wp:anchor distT="0" distB="0" distL="114300" distR="114300" simplePos="0" relativeHeight="251660288" behindDoc="1" locked="0" layoutInCell="1" allowOverlap="1">
                <wp:simplePos x="0" y="0"/>
                <wp:positionH relativeFrom="column">
                  <wp:posOffset>1810385</wp:posOffset>
                </wp:positionH>
                <wp:positionV relativeFrom="paragraph">
                  <wp:posOffset>-3942715</wp:posOffset>
                </wp:positionV>
                <wp:extent cx="1270000" cy="304800"/>
                <wp:effectExtent l="0" t="2540" r="635" b="0"/>
                <wp:wrapNone/>
                <wp:docPr id="8" name="LB"/>
                <wp:cNvGraphicFramePr/>
                <a:graphic xmlns:a="http://schemas.openxmlformats.org/drawingml/2006/main">
                  <a:graphicData uri="http://schemas.microsoft.com/office/word/2010/wordprocessingShape">
                    <wps:wsp>
                      <wps:cNvSpPr>
                        <a:spLocks noChangeArrowheads="true"/>
                      </wps:cNvSpPr>
                      <wps:spPr bwMode="auto">
                        <a:xfrm>
                          <a:off x="0" y="0"/>
                          <a:ext cx="1270000" cy="304800"/>
                        </a:xfrm>
                        <a:prstGeom prst="rect">
                          <a:avLst/>
                        </a:prstGeom>
                        <a:solidFill>
                          <a:srgbClr val="FFFFFF"/>
                        </a:solidFill>
                        <a:ln>
                          <a:noFill/>
                        </a:ln>
                      </wps:spPr>
                      <wps:bodyPr rot="0" vert="horz" wrap="square" lIns="91440" tIns="45720" rIns="91440" bIns="45720" anchor="t" anchorCtr="false" upright="true">
                        <a:noAutofit/>
                      </wps:bodyPr>
                    </wps:wsp>
                  </a:graphicData>
                </a:graphic>
              </wp:anchor>
            </w:drawing>
          </mc:Choice>
          <mc:Fallback>
            <w:pict>
              <v:rect id="LB" o:spid="_x0000_s1026" o:spt="1" style="position:absolute;left:0pt;margin-left:142.55pt;margin-top:-310.45pt;height:24pt;width:100pt;z-index:-251656192;mso-width-relative:page;mso-height-relative:page;" fillcolor="#FFFFFF" filled="t" stroked="f" coordsize="21600,21600" o:gfxdata="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WAAAAZHJzL1BLAQIUABQAAAAIAIdO4kD5te7W2QAAAA0BAAAPAAAAAAAAAAEAIAAAADgA&#10;AABkcnMvZG93bnJldi54bWxQSwECFAAUAAAACACHTuJAWILHs/IBAADcAwAADgAAAAAAAAABACAA&#10;AAA+AQAAZHJzL2Uyb0RvYy54bWxQSwUGAAAAAAYABgBZAQAAogUAAAAA&#10;">
                <v:fill on="t" focussize="0,0"/>
                <v:stroke on="f"/>
                <v:imagedata o:title=""/>
                <o:lock v:ext="edit" aspectratio="f"/>
              </v:rect>
            </w:pict>
          </mc:Fallback>
        </mc:AlternateContent>
      </w:r>
      <w:r>
        <mc:AlternateContent>
          <mc:Choice Requires="wps">
            <w:drawing>
              <wp:anchor distT="0" distB="0" distL="114300" distR="114300" simplePos="0" relativeHeight="251659264" behindDoc="1" locked="0" layoutInCell="1" allowOverlap="1">
                <wp:simplePos x="0" y="0"/>
                <wp:positionH relativeFrom="column">
                  <wp:posOffset>4413885</wp:posOffset>
                </wp:positionH>
                <wp:positionV relativeFrom="paragraph">
                  <wp:posOffset>-7435215</wp:posOffset>
                </wp:positionV>
                <wp:extent cx="1143000" cy="228600"/>
                <wp:effectExtent l="0" t="0" r="635" b="3810"/>
                <wp:wrapNone/>
                <wp:docPr id="7" name="DT"/>
                <wp:cNvGraphicFramePr/>
                <a:graphic xmlns:a="http://schemas.openxmlformats.org/drawingml/2006/main">
                  <a:graphicData uri="http://schemas.microsoft.com/office/word/2010/wordprocessingShape">
                    <wps:wsp>
                      <wps:cNvSpPr>
                        <a:spLocks noChangeArrowheads="true"/>
                      </wps:cNvSpPr>
                      <wps:spPr bwMode="auto">
                        <a:xfrm>
                          <a:off x="0" y="0"/>
                          <a:ext cx="1143000" cy="228600"/>
                        </a:xfrm>
                        <a:prstGeom prst="rect">
                          <a:avLst/>
                        </a:prstGeom>
                        <a:solidFill>
                          <a:srgbClr val="FFFFFF"/>
                        </a:solidFill>
                        <a:ln>
                          <a:noFill/>
                        </a:ln>
                      </wps:spPr>
                      <wps:bodyPr rot="0" vert="horz" wrap="square" lIns="91440" tIns="45720" rIns="91440" bIns="45720" anchor="t" anchorCtr="false" upright="true">
                        <a:noAutofit/>
                      </wps:bodyPr>
                    </wps:wsp>
                  </a:graphicData>
                </a:graphic>
              </wp:anchor>
            </w:drawing>
          </mc:Choice>
          <mc:Fallback>
            <w:pict>
              <v:rect id="DT" o:spid="_x0000_s1026" o:spt="1" style="position:absolute;left:0pt;margin-left:347.55pt;margin-top:-585.45pt;height:18pt;width:90pt;z-index:-251657216;mso-width-relative:page;mso-height-relative:page;" fillcolor="#FFFFFF" filled="t" stroked="f" coordsize="21600,21600" o:gfxdata="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WAAAAZHJzL1BLAQIUABQAAAAIAIdO4kDfyYoR2gAAAA8BAAAPAAAAAAAAAAEAIAAA&#10;ADgAAABkcnMvZG93bnJldi54bWxQSwECFAAUAAAACACHTuJArQvoz/QBAADcAwAADgAAAAAAAAAB&#10;ACAAAAA/AQAAZHJzL2Uyb0RvYy54bWxQSwUGAAAAAAYABgBZAQAApQUAAAAA&#10;">
                <v:fill on="t" focussize="0,0"/>
                <v:stroke on="f"/>
                <v:imagedata o:title=""/>
                <o:lock v:ext="edit" aspectratio="f"/>
              </v:rect>
            </w:pict>
          </mc:Fallback>
        </mc:AlternateContent>
      </w:r>
      <w:bookmarkEnd w:id="0"/>
    </w:p>
    <w:p>
      <w:pPr>
        <w:tabs>
          <w:tab w:val="left" w:pos="480"/>
        </w:tabs>
        <w:ind w:firstLine="700" w:firstLineChars="250"/>
        <w:jc w:val="left"/>
        <w:rPr>
          <w:sz w:val="28"/>
          <w:szCs w:val="28"/>
        </w:rPr>
      </w:pPr>
      <w:r>
        <w:rPr>
          <w:sz w:val="28"/>
          <w:szCs w:val="28"/>
        </w:rPr>
        <w:t xml:space="preserve">2023 -xx- xx发布   </w:t>
      </w:r>
      <w:r>
        <w:t xml:space="preserve">                                   </w:t>
      </w:r>
      <w:r>
        <w:rPr>
          <w:sz w:val="28"/>
          <w:szCs w:val="28"/>
        </w:rPr>
        <w:t>2023 -xx -xx实施</w:t>
      </w:r>
    </w:p>
    <w:p>
      <w:pPr>
        <w:pStyle w:val="129"/>
        <w:rPr>
          <w:rFonts w:ascii="Times New Roman"/>
        </w:rPr>
      </w:pPr>
      <w:r>
        <w:rPr>
          <w:sz w:val="36"/>
        </w:rPr>
        <w:t>河北省市场监督管理局</w:t>
      </w:r>
      <w:r>
        <w:rPr>
          <w:rFonts w:ascii="Times New Roman"/>
        </w:rPr>
        <w:t xml:space="preserve"> </w:t>
      </w:r>
      <w:r>
        <w:rPr>
          <w:rStyle w:val="100"/>
          <w:rFonts w:ascii="Times New Roman"/>
        </w:rPr>
        <w:t xml:space="preserve"> </w:t>
      </w:r>
      <w:r>
        <w:rPr>
          <w:rStyle w:val="100"/>
          <w:spacing w:val="22"/>
          <w:szCs w:val="20"/>
        </w:rPr>
        <w:t>发布</w:t>
      </w:r>
    </w:p>
    <w:p>
      <w:pPr>
        <w:tabs>
          <w:tab w:val="left" w:pos="480"/>
        </w:tabs>
        <w:ind w:firstLine="1100" w:firstLineChars="250"/>
        <w:jc w:val="left"/>
        <w:rPr>
          <w:sz w:val="44"/>
        </w:rPr>
        <w:sectPr>
          <w:footerReference r:id="rId5" w:type="first"/>
          <w:headerReference r:id="rId3" w:type="even"/>
          <w:footerReference r:id="rId4" w:type="even"/>
          <w:pgSz w:w="11906" w:h="16838"/>
          <w:pgMar w:top="567" w:right="851" w:bottom="1134" w:left="1418" w:header="0" w:footer="0" w:gutter="0"/>
          <w:pgNumType w:start="1"/>
          <w:cols w:space="720" w:num="1"/>
          <w:docGrid w:type="lines" w:linePitch="312" w:charSpace="0"/>
        </w:sectPr>
      </w:pPr>
      <w:r>
        <w:rPr>
          <w:sz w:val="44"/>
        </w:rPr>
        <mc:AlternateContent>
          <mc:Choice Requires="wps">
            <w:drawing>
              <wp:anchor distT="0" distB="0" distL="114300" distR="114300" simplePos="0" relativeHeight="251666432" behindDoc="0" locked="1" layoutInCell="1" allowOverlap="1">
                <wp:simplePos x="0" y="0"/>
                <wp:positionH relativeFrom="column">
                  <wp:posOffset>-133350</wp:posOffset>
                </wp:positionH>
                <wp:positionV relativeFrom="page">
                  <wp:posOffset>2539365</wp:posOffset>
                </wp:positionV>
                <wp:extent cx="6267450" cy="0"/>
                <wp:effectExtent l="5080" t="5715" r="13970" b="13335"/>
                <wp:wrapNone/>
                <wp:docPr id="6" name="直线 37"/>
                <wp:cNvGraphicFramePr/>
                <a:graphic xmlns:a="http://schemas.openxmlformats.org/drawingml/2006/main">
                  <a:graphicData uri="http://schemas.microsoft.com/office/word/2010/wordprocessingShape">
                    <wps:wsp>
                      <wps:cNvCnPr>
                        <a:cxnSpLocks noChangeShapeType="true"/>
                      </wps:cNvCnPr>
                      <wps:spPr bwMode="auto">
                        <a:xfrm>
                          <a:off x="0" y="0"/>
                          <a:ext cx="6267450" cy="0"/>
                        </a:xfrm>
                        <a:prstGeom prst="line">
                          <a:avLst/>
                        </a:prstGeom>
                        <a:noFill/>
                        <a:ln w="9525">
                          <a:solidFill>
                            <a:srgbClr val="000000"/>
                          </a:solidFill>
                          <a:round/>
                        </a:ln>
                      </wps:spPr>
                      <wps:bodyPr/>
                    </wps:wsp>
                  </a:graphicData>
                </a:graphic>
              </wp:anchor>
            </w:drawing>
          </mc:Choice>
          <mc:Fallback>
            <w:pict>
              <v:line id="直线 37" o:spid="_x0000_s1026" o:spt="20" style="position:absolute;left:0pt;margin-left:-10.5pt;margin-top:199.95pt;height:0pt;width:493.5pt;mso-position-vertical-relative:page;z-index:251666432;mso-width-relative:page;mso-height-relative:page;" filled="f" stroked="t" coordsize="21600,21600" o:gfxdata="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WAAAAZHJzL1BLAQIUABQAAAAIAIdO4kDp/m1o1wAAAAsBAAAPAAAAAAAAAAEAIAAA&#10;ADgAAABkcnMvZG93bnJldi54bWxQSwECFAAUAAAACACHTuJAYxmbyb4BAABXAwAADgAAAAAAAAAB&#10;ACAAAAA8AQAAZHJzL2Uyb0RvYy54bWxQSwUGAAAAAAYABgBZAQAAbAUAAAAA&#10;">
                <v:fill on="f" focussize="0,0"/>
                <v:stroke color="#000000" joinstyle="round"/>
                <v:imagedata o:title=""/>
                <o:lock v:ext="edit" aspectratio="f"/>
                <w10:anchorlock/>
              </v:line>
            </w:pict>
          </mc:Fallback>
        </mc:AlternateContent>
      </w:r>
    </w:p>
    <w:bookmarkEnd w:id="1"/>
    <w:bookmarkEnd w:id="2"/>
    <w:p>
      <w:pPr>
        <w:pStyle w:val="141"/>
        <w:rPr>
          <w:rFonts w:ascii="Times New Roman"/>
        </w:rPr>
      </w:pPr>
      <w:bookmarkStart w:id="11" w:name="_Toc118036690"/>
      <w:bookmarkStart w:id="12" w:name="_Toc126162165"/>
      <w:bookmarkStart w:id="13" w:name="_Toc90981517"/>
      <w:bookmarkStart w:id="14" w:name="_Toc90973057"/>
      <w:bookmarkStart w:id="15" w:name="_Toc88657309"/>
      <w:bookmarkStart w:id="16" w:name="_Toc84786049"/>
      <w:r>
        <w:rPr>
          <w:rFonts w:ascii="Times New Roman"/>
        </w:rPr>
        <w:t>前</w:t>
      </w:r>
      <w:bookmarkStart w:id="17" w:name="BKQY"/>
      <w:r>
        <w:rPr>
          <w:rFonts w:ascii="Times New Roman"/>
        </w:rPr>
        <w:t xml:space="preserve">  言</w:t>
      </w:r>
      <w:bookmarkEnd w:id="3"/>
      <w:bookmarkEnd w:id="4"/>
      <w:bookmarkEnd w:id="5"/>
      <w:bookmarkEnd w:id="6"/>
      <w:bookmarkEnd w:id="7"/>
      <w:bookmarkEnd w:id="11"/>
      <w:bookmarkEnd w:id="12"/>
      <w:bookmarkEnd w:id="13"/>
      <w:bookmarkEnd w:id="14"/>
      <w:bookmarkEnd w:id="15"/>
      <w:bookmarkEnd w:id="16"/>
      <w:bookmarkEnd w:id="17"/>
    </w:p>
    <w:p>
      <w:pPr>
        <w:pStyle w:val="37"/>
        <w:spacing w:line="360" w:lineRule="auto"/>
        <w:ind w:firstLine="480"/>
        <w:rPr>
          <w:rFonts w:ascii="Times New Roman"/>
          <w:color w:val="000000"/>
          <w:sz w:val="24"/>
          <w:szCs w:val="24"/>
        </w:rPr>
      </w:pPr>
      <w:r>
        <w:rPr>
          <w:rFonts w:ascii="Times New Roman"/>
          <w:color w:val="000000"/>
          <w:sz w:val="24"/>
          <w:szCs w:val="24"/>
        </w:rPr>
        <w:t>本文件按照GB/T 1.1-2020《标准化工作导则 第1部分： 标准化文件的结构和起草规则》的规定起草。</w:t>
      </w:r>
    </w:p>
    <w:p>
      <w:pPr>
        <w:pStyle w:val="37"/>
        <w:spacing w:line="360" w:lineRule="auto"/>
        <w:ind w:firstLine="480"/>
        <w:rPr>
          <w:rFonts w:ascii="Times New Roman"/>
          <w:color w:val="000000"/>
          <w:sz w:val="24"/>
          <w:szCs w:val="24"/>
        </w:rPr>
      </w:pPr>
      <w:r>
        <w:rPr>
          <w:rFonts w:hint="eastAsia" w:ascii="Times New Roman"/>
          <w:color w:val="000000"/>
          <w:sz w:val="24"/>
          <w:szCs w:val="24"/>
        </w:rPr>
        <w:t>请注意本文件的某些内容可能涉及专利。本文件的发布机构不承担识别专利的责任。</w:t>
      </w:r>
    </w:p>
    <w:p>
      <w:pPr>
        <w:pStyle w:val="37"/>
        <w:spacing w:line="360" w:lineRule="auto"/>
        <w:ind w:firstLine="480"/>
        <w:rPr>
          <w:rFonts w:ascii="Times New Roman"/>
          <w:color w:val="000000"/>
          <w:sz w:val="24"/>
          <w:szCs w:val="24"/>
        </w:rPr>
      </w:pPr>
      <w:r>
        <w:rPr>
          <w:rFonts w:ascii="Times New Roman"/>
          <w:color w:val="000000"/>
          <w:sz w:val="24"/>
          <w:szCs w:val="24"/>
        </w:rPr>
        <w:t>本文件由河北省交通运输厅提出</w:t>
      </w:r>
      <w:r>
        <w:rPr>
          <w:rFonts w:hint="eastAsia" w:ascii="Times New Roman"/>
          <w:color w:val="000000"/>
          <w:sz w:val="24"/>
          <w:szCs w:val="24"/>
        </w:rPr>
        <w:t>并归口</w:t>
      </w:r>
      <w:r>
        <w:rPr>
          <w:rFonts w:ascii="Times New Roman"/>
          <w:color w:val="000000"/>
          <w:sz w:val="24"/>
          <w:szCs w:val="24"/>
        </w:rPr>
        <w:t>。</w:t>
      </w:r>
    </w:p>
    <w:p>
      <w:pPr>
        <w:pStyle w:val="37"/>
        <w:spacing w:line="360" w:lineRule="auto"/>
        <w:ind w:firstLine="480"/>
        <w:rPr>
          <w:rFonts w:ascii="Times New Roman"/>
          <w:color w:val="000000"/>
          <w:sz w:val="24"/>
          <w:szCs w:val="24"/>
        </w:rPr>
      </w:pPr>
      <w:r>
        <w:rPr>
          <w:rFonts w:ascii="Times New Roman"/>
          <w:color w:val="000000"/>
          <w:sz w:val="24"/>
          <w:szCs w:val="24"/>
        </w:rPr>
        <w:t>本文件起草单位：</w:t>
      </w:r>
      <w:r>
        <w:rPr>
          <w:rFonts w:hint="eastAsia" w:ascii="Times New Roman"/>
          <w:color w:val="000000"/>
          <w:sz w:val="24"/>
          <w:szCs w:val="24"/>
        </w:rPr>
        <w:t xml:space="preserve">石家庄铁道大学、河北省高速公路京雄管理中心、中交建冀交高速公路投资发展有限公司 </w:t>
      </w:r>
    </w:p>
    <w:p>
      <w:pPr>
        <w:pStyle w:val="37"/>
        <w:spacing w:line="360" w:lineRule="auto"/>
        <w:ind w:firstLine="480"/>
        <w:rPr>
          <w:rFonts w:ascii="Times New Roman"/>
          <w:color w:val="000000"/>
          <w:sz w:val="24"/>
          <w:szCs w:val="24"/>
        </w:rPr>
      </w:pPr>
      <w:r>
        <w:rPr>
          <w:rFonts w:ascii="Times New Roman"/>
          <w:color w:val="000000"/>
          <w:sz w:val="24"/>
          <w:szCs w:val="24"/>
        </w:rPr>
        <w:t xml:space="preserve">本文件主要起草人： </w:t>
      </w:r>
    </w:p>
    <w:p>
      <w:pPr>
        <w:pStyle w:val="37"/>
        <w:spacing w:line="360" w:lineRule="auto"/>
        <w:ind w:firstLine="480"/>
        <w:rPr>
          <w:rFonts w:ascii="Times New Roman"/>
          <w:color w:val="000000"/>
          <w:sz w:val="24"/>
          <w:szCs w:val="24"/>
        </w:rPr>
      </w:pPr>
    </w:p>
    <w:p>
      <w:pPr>
        <w:pStyle w:val="37"/>
        <w:spacing w:line="360" w:lineRule="auto"/>
        <w:ind w:firstLine="480"/>
        <w:rPr>
          <w:rFonts w:ascii="Times New Roman"/>
          <w:color w:val="000000"/>
          <w:sz w:val="24"/>
          <w:szCs w:val="24"/>
        </w:rPr>
      </w:pPr>
    </w:p>
    <w:p>
      <w:pPr>
        <w:pStyle w:val="37"/>
        <w:spacing w:line="360" w:lineRule="auto"/>
        <w:ind w:firstLine="480"/>
        <w:rPr>
          <w:rFonts w:ascii="Times New Roman"/>
          <w:color w:val="000000"/>
          <w:sz w:val="24"/>
          <w:szCs w:val="24"/>
        </w:rPr>
      </w:pPr>
    </w:p>
    <w:p>
      <w:pPr>
        <w:pStyle w:val="37"/>
        <w:spacing w:line="360" w:lineRule="auto"/>
        <w:ind w:firstLine="480"/>
        <w:rPr>
          <w:rFonts w:ascii="Times New Roman"/>
          <w:color w:val="000000"/>
          <w:sz w:val="24"/>
          <w:szCs w:val="24"/>
        </w:rPr>
      </w:pPr>
    </w:p>
    <w:p>
      <w:pPr>
        <w:spacing w:line="700" w:lineRule="exact"/>
        <w:jc w:val="center"/>
        <w:rPr>
          <w:rFonts w:eastAsia="黑体"/>
          <w:kern w:val="0"/>
          <w:sz w:val="32"/>
          <w:szCs w:val="32"/>
        </w:rPr>
      </w:pPr>
      <w:bookmarkStart w:id="18" w:name="_Toc298141803"/>
      <w:bookmarkStart w:id="19" w:name="_Toc298143812"/>
      <w:bookmarkStart w:id="20" w:name="_Toc298143744"/>
      <w:bookmarkStart w:id="21" w:name="_Toc298141823"/>
      <w:bookmarkStart w:id="22" w:name="_Toc298133768"/>
      <w:r>
        <w:rPr>
          <w:rFonts w:eastAsia="黑体"/>
          <w:kern w:val="0"/>
          <w:sz w:val="32"/>
          <w:szCs w:val="32"/>
        </w:rPr>
        <w:br w:type="page"/>
      </w:r>
    </w:p>
    <w:p>
      <w:pPr>
        <w:rPr>
          <w:rFonts w:eastAsia="黑体"/>
          <w:sz w:val="32"/>
          <w:szCs w:val="32"/>
        </w:rPr>
        <w:sectPr>
          <w:headerReference r:id="rId6" w:type="default"/>
          <w:footerReference r:id="rId7" w:type="default"/>
          <w:pgSz w:w="11907" w:h="16840"/>
          <w:pgMar w:top="1418" w:right="1134" w:bottom="1134" w:left="1418" w:header="1418" w:footer="1134" w:gutter="0"/>
          <w:pgNumType w:start="1"/>
          <w:cols w:space="720" w:num="1"/>
          <w:formProt w:val="0"/>
          <w:titlePg/>
          <w:docGrid w:linePitch="312" w:charSpace="0"/>
        </w:sectPr>
      </w:pPr>
    </w:p>
    <w:p>
      <w:pPr>
        <w:spacing w:line="700" w:lineRule="exact"/>
        <w:jc w:val="center"/>
        <w:rPr>
          <w:rFonts w:eastAsia="黑体"/>
          <w:kern w:val="0"/>
          <w:sz w:val="32"/>
          <w:szCs w:val="32"/>
        </w:rPr>
      </w:pPr>
      <w:r>
        <w:rPr>
          <w:rFonts w:hint="eastAsia" w:eastAsia="黑体"/>
          <w:kern w:val="0"/>
          <w:sz w:val="32"/>
          <w:szCs w:val="32"/>
        </w:rPr>
        <w:t>公路路基压实质量快速检测方法 土体刚度仪法</w:t>
      </w:r>
    </w:p>
    <w:p>
      <w:pPr>
        <w:pStyle w:val="37"/>
        <w:tabs>
          <w:tab w:val="clear" w:pos="4201"/>
          <w:tab w:val="clear" w:pos="9298"/>
        </w:tabs>
        <w:spacing w:before="240" w:beforeLines="100" w:after="240" w:afterLines="100"/>
        <w:ind w:firstLine="0" w:firstLineChars="0"/>
        <w:outlineLvl w:val="0"/>
        <w:rPr>
          <w:rFonts w:ascii="黑体" w:hAnsi="黑体" w:eastAsia="黑体" w:cs="黑体"/>
          <w:color w:val="000000"/>
          <w:szCs w:val="21"/>
        </w:rPr>
      </w:pPr>
      <w:bookmarkStart w:id="23" w:name="_Toc90973058"/>
      <w:bookmarkStart w:id="24" w:name="_Toc126162167"/>
      <w:bookmarkStart w:id="25" w:name="_Toc90981518"/>
      <w:r>
        <w:rPr>
          <w:rFonts w:ascii="黑体" w:hAnsi="黑体" w:eastAsia="黑体" w:cs="黑体"/>
          <w:color w:val="000000"/>
          <w:szCs w:val="21"/>
        </w:rPr>
        <w:t>1  范围</w:t>
      </w:r>
      <w:bookmarkEnd w:id="18"/>
      <w:bookmarkEnd w:id="19"/>
      <w:bookmarkEnd w:id="20"/>
      <w:bookmarkEnd w:id="21"/>
      <w:bookmarkEnd w:id="22"/>
      <w:bookmarkEnd w:id="23"/>
      <w:bookmarkEnd w:id="24"/>
      <w:bookmarkEnd w:id="25"/>
    </w:p>
    <w:p>
      <w:pPr>
        <w:ind w:firstLine="420"/>
        <w:rPr>
          <w:szCs w:val="21"/>
        </w:rPr>
      </w:pPr>
      <w:r>
        <w:rPr>
          <w:szCs w:val="21"/>
        </w:rPr>
        <w:t>本文件规定了公路路基压实质量快速检测方法 土体刚度仪法的</w:t>
      </w:r>
      <w:r>
        <w:rPr>
          <w:rFonts w:hint="eastAsia"/>
          <w:szCs w:val="21"/>
        </w:rPr>
        <w:t>基本</w:t>
      </w:r>
      <w:r>
        <w:rPr>
          <w:szCs w:val="21"/>
        </w:rPr>
        <w:t>规定、</w:t>
      </w:r>
      <w:r>
        <w:rPr>
          <w:rFonts w:hint="eastAsia"/>
          <w:szCs w:val="21"/>
        </w:rPr>
        <w:t>仪器</w:t>
      </w:r>
      <w:r>
        <w:rPr>
          <w:szCs w:val="21"/>
        </w:rPr>
        <w:t>设备</w:t>
      </w:r>
      <w:r>
        <w:rPr>
          <w:rFonts w:hint="eastAsia"/>
          <w:szCs w:val="21"/>
        </w:rPr>
        <w:t>、</w:t>
      </w:r>
      <w:r>
        <w:rPr>
          <w:szCs w:val="21"/>
        </w:rPr>
        <w:t>现场检测、</w:t>
      </w:r>
      <w:r>
        <w:rPr>
          <w:rFonts w:hint="eastAsia"/>
          <w:szCs w:val="21"/>
        </w:rPr>
        <w:t>压实均匀性评价、压实质量评价和</w:t>
      </w:r>
      <w:r>
        <w:rPr>
          <w:szCs w:val="21"/>
        </w:rPr>
        <w:t>报告。</w:t>
      </w:r>
    </w:p>
    <w:p>
      <w:pPr>
        <w:pStyle w:val="37"/>
        <w:rPr>
          <w:rFonts w:ascii="Times New Roman"/>
        </w:rPr>
      </w:pPr>
      <w:r>
        <w:rPr>
          <w:rFonts w:ascii="Times New Roman"/>
        </w:rPr>
        <w:t>本文件适用于各等级公路</w:t>
      </w:r>
      <w:r>
        <w:rPr>
          <w:rFonts w:hint="eastAsia" w:ascii="Times New Roman"/>
        </w:rPr>
        <w:t>细粒土</w:t>
      </w:r>
      <w:r>
        <w:rPr>
          <w:rFonts w:ascii="Times New Roman"/>
        </w:rPr>
        <w:t>路基压实质量快速检测及均匀性评价。</w:t>
      </w:r>
    </w:p>
    <w:p>
      <w:pPr>
        <w:pStyle w:val="37"/>
        <w:tabs>
          <w:tab w:val="clear" w:pos="4201"/>
          <w:tab w:val="clear" w:pos="9298"/>
        </w:tabs>
        <w:spacing w:before="240" w:beforeLines="100" w:after="240" w:afterLines="100"/>
        <w:ind w:firstLine="0" w:firstLineChars="0"/>
        <w:outlineLvl w:val="0"/>
        <w:rPr>
          <w:rFonts w:ascii="黑体" w:hAnsi="黑体" w:eastAsia="黑体" w:cs="黑体"/>
          <w:color w:val="000000"/>
          <w:szCs w:val="21"/>
        </w:rPr>
      </w:pPr>
      <w:bookmarkStart w:id="26" w:name="_Toc126162168"/>
      <w:r>
        <w:rPr>
          <w:rFonts w:ascii="黑体" w:hAnsi="黑体" w:eastAsia="黑体" w:cs="黑体"/>
          <w:color w:val="000000"/>
          <w:szCs w:val="21"/>
        </w:rPr>
        <w:t>2  规范性引用文件</w:t>
      </w:r>
      <w:bookmarkEnd w:id="26"/>
    </w:p>
    <w:p>
      <w:pPr>
        <w:ind w:firstLine="420"/>
        <w:rPr>
          <w:szCs w:val="21"/>
        </w:rPr>
      </w:pPr>
      <w:r>
        <w:rPr>
          <w:rFonts w:hint="eastAsia"/>
          <w:szCs w:val="21"/>
        </w:rPr>
        <w:t>下列文件中的内容通过文中的规范性引用而构成本文件必不可少的条款。其中，注日期的引用文件，仅该日期对应的版本适用于本文件；不注日期的引用文件，其最新版本（包括所有的修改单）适用于本文件。</w:t>
      </w:r>
    </w:p>
    <w:p>
      <w:pPr>
        <w:ind w:firstLine="420"/>
        <w:rPr>
          <w:color w:val="000000"/>
          <w:szCs w:val="21"/>
        </w:rPr>
      </w:pPr>
      <w:r>
        <w:rPr>
          <w:rFonts w:hint="eastAsia"/>
          <w:color w:val="000000"/>
          <w:szCs w:val="21"/>
        </w:rPr>
        <w:t>JTG E60 公路路基路面现场测试规程</w:t>
      </w:r>
    </w:p>
    <w:p>
      <w:pPr>
        <w:ind w:firstLine="420"/>
        <w:rPr>
          <w:color w:val="000000"/>
          <w:szCs w:val="21"/>
        </w:rPr>
      </w:pPr>
      <w:r>
        <w:rPr>
          <w:rFonts w:hint="eastAsia"/>
          <w:color w:val="000000"/>
          <w:szCs w:val="21"/>
        </w:rPr>
        <w:t>JTG F10 公路路基施工技术规范</w:t>
      </w:r>
    </w:p>
    <w:p>
      <w:pPr>
        <w:ind w:firstLine="420"/>
        <w:rPr>
          <w:color w:val="000000"/>
          <w:szCs w:val="21"/>
        </w:rPr>
      </w:pPr>
      <w:r>
        <w:rPr>
          <w:rFonts w:hint="eastAsia"/>
          <w:color w:val="000000"/>
          <w:szCs w:val="21"/>
        </w:rPr>
        <w:t>JTG F80/1 公路工程质量检验评定标准 第一册 土建工程</w:t>
      </w:r>
    </w:p>
    <w:p>
      <w:pPr>
        <w:pStyle w:val="37"/>
        <w:tabs>
          <w:tab w:val="clear" w:pos="4201"/>
          <w:tab w:val="clear" w:pos="9298"/>
        </w:tabs>
        <w:spacing w:before="240" w:beforeLines="100" w:after="240" w:afterLines="100"/>
        <w:ind w:firstLine="0" w:firstLineChars="0"/>
        <w:outlineLvl w:val="0"/>
        <w:rPr>
          <w:rFonts w:ascii="黑体" w:hAnsi="黑体" w:eastAsia="黑体" w:cs="黑体"/>
          <w:color w:val="000000"/>
          <w:szCs w:val="21"/>
        </w:rPr>
      </w:pPr>
      <w:bookmarkStart w:id="27" w:name="_Toc298133770"/>
      <w:bookmarkEnd w:id="27"/>
      <w:bookmarkStart w:id="28" w:name="_Toc90973060"/>
      <w:bookmarkStart w:id="29" w:name="_Toc90981520"/>
      <w:bookmarkStart w:id="30" w:name="_Toc126162169"/>
      <w:bookmarkStart w:id="31" w:name="_Toc298143814"/>
      <w:bookmarkStart w:id="32" w:name="_Toc298143746"/>
      <w:r>
        <w:rPr>
          <w:rFonts w:ascii="黑体" w:hAnsi="黑体" w:eastAsia="黑体" w:cs="黑体"/>
          <w:color w:val="000000"/>
          <w:szCs w:val="21"/>
        </w:rPr>
        <w:t>3  术语和定义</w:t>
      </w:r>
      <w:bookmarkEnd w:id="28"/>
      <w:bookmarkEnd w:id="29"/>
      <w:bookmarkEnd w:id="30"/>
      <w:bookmarkEnd w:id="31"/>
      <w:bookmarkEnd w:id="32"/>
      <w:r>
        <w:rPr>
          <w:rFonts w:ascii="黑体" w:hAnsi="黑体" w:eastAsia="黑体" w:cs="黑体"/>
          <w:color w:val="000000"/>
          <w:szCs w:val="21"/>
        </w:rPr>
        <w:t xml:space="preserve"> </w:t>
      </w:r>
    </w:p>
    <w:p>
      <w:pPr>
        <w:spacing w:line="360" w:lineRule="auto"/>
        <w:ind w:firstLine="420" w:firstLineChars="200"/>
        <w:rPr>
          <w:szCs w:val="21"/>
        </w:rPr>
      </w:pPr>
      <w:bookmarkStart w:id="33" w:name="_Toc88470337"/>
      <w:bookmarkStart w:id="34" w:name="_Toc88657313"/>
      <w:r>
        <w:rPr>
          <w:szCs w:val="21"/>
        </w:rPr>
        <w:t>下列术语和定义适用于本文件。</w:t>
      </w:r>
    </w:p>
    <w:p>
      <w:pPr>
        <w:widowControl/>
        <w:spacing w:before="120" w:beforeLines="50" w:after="120" w:afterLines="50"/>
        <w:rPr>
          <w:rFonts w:ascii="黑体" w:hAnsi="黑体" w:eastAsia="黑体"/>
          <w:szCs w:val="21"/>
        </w:rPr>
      </w:pPr>
      <w:r>
        <w:rPr>
          <w:rFonts w:ascii="黑体" w:hAnsi="黑体" w:eastAsia="黑体"/>
          <w:szCs w:val="21"/>
        </w:rPr>
        <w:t>3.1</w:t>
      </w:r>
    </w:p>
    <w:p>
      <w:pPr>
        <w:pStyle w:val="37"/>
        <w:rPr>
          <w:rFonts w:ascii="Times New Roman" w:eastAsia="黑体"/>
        </w:rPr>
      </w:pPr>
      <w:r>
        <w:rPr>
          <w:rFonts w:ascii="Times New Roman" w:eastAsia="黑体"/>
        </w:rPr>
        <w:t>压实状态 compaction state</w:t>
      </w:r>
    </w:p>
    <w:p>
      <w:pPr>
        <w:pStyle w:val="37"/>
        <w:rPr>
          <w:rFonts w:ascii="Times New Roman"/>
        </w:rPr>
      </w:pPr>
      <w:r>
        <w:rPr>
          <w:rFonts w:ascii="Times New Roman"/>
        </w:rPr>
        <w:t>路基填筑</w:t>
      </w:r>
      <w:r>
        <w:rPr>
          <w:rFonts w:hint="eastAsia" w:ascii="Times New Roman"/>
        </w:rPr>
        <w:t>压实施工</w:t>
      </w:r>
      <w:r>
        <w:rPr>
          <w:rFonts w:ascii="Times New Roman"/>
        </w:rPr>
        <w:t>过程中，路基呈现</w:t>
      </w:r>
      <w:r>
        <w:rPr>
          <w:rFonts w:hint="eastAsia" w:ascii="Times New Roman"/>
        </w:rPr>
        <w:t>出</w:t>
      </w:r>
      <w:r>
        <w:rPr>
          <w:rFonts w:ascii="Times New Roman"/>
        </w:rPr>
        <w:t>的物理力学性状。</w:t>
      </w:r>
    </w:p>
    <w:p>
      <w:pPr>
        <w:widowControl/>
        <w:spacing w:before="120" w:beforeLines="50" w:after="120" w:afterLines="50"/>
        <w:rPr>
          <w:rFonts w:ascii="黑体" w:hAnsi="黑体" w:eastAsia="黑体"/>
          <w:szCs w:val="21"/>
        </w:rPr>
      </w:pPr>
      <w:r>
        <w:rPr>
          <w:rFonts w:ascii="黑体" w:hAnsi="黑体" w:eastAsia="黑体"/>
          <w:szCs w:val="21"/>
        </w:rPr>
        <w:t>3.2</w:t>
      </w:r>
    </w:p>
    <w:p>
      <w:pPr>
        <w:pStyle w:val="37"/>
        <w:rPr>
          <w:rFonts w:ascii="Times New Roman" w:eastAsia="黑体"/>
        </w:rPr>
      </w:pPr>
      <w:r>
        <w:rPr>
          <w:rFonts w:ascii="Times New Roman" w:eastAsia="黑体"/>
        </w:rPr>
        <w:t>压实质量 compaction quality</w:t>
      </w:r>
    </w:p>
    <w:p>
      <w:pPr>
        <w:pStyle w:val="37"/>
        <w:rPr>
          <w:rFonts w:ascii="Times New Roman"/>
        </w:rPr>
      </w:pPr>
      <w:r>
        <w:rPr>
          <w:rFonts w:ascii="Times New Roman"/>
        </w:rPr>
        <w:t>路基填筑</w:t>
      </w:r>
      <w:r>
        <w:rPr>
          <w:rFonts w:hint="eastAsia" w:ascii="Times New Roman"/>
        </w:rPr>
        <w:t>压实施工</w:t>
      </w:r>
      <w:r>
        <w:rPr>
          <w:rFonts w:ascii="Times New Roman"/>
        </w:rPr>
        <w:t>过程中，表征路基</w:t>
      </w:r>
      <w:r>
        <w:rPr>
          <w:rFonts w:hint="eastAsia" w:ascii="Times New Roman"/>
        </w:rPr>
        <w:t>压实状态</w:t>
      </w:r>
      <w:r>
        <w:rPr>
          <w:rFonts w:ascii="Times New Roman"/>
        </w:rPr>
        <w:t>达到规定指标的程度。</w:t>
      </w:r>
    </w:p>
    <w:p>
      <w:pPr>
        <w:widowControl/>
        <w:spacing w:before="120" w:beforeLines="50" w:after="120" w:afterLines="50"/>
        <w:rPr>
          <w:rFonts w:ascii="黑体" w:hAnsi="黑体" w:eastAsia="黑体"/>
          <w:szCs w:val="21"/>
        </w:rPr>
      </w:pPr>
      <w:r>
        <w:rPr>
          <w:rFonts w:ascii="黑体" w:hAnsi="黑体" w:eastAsia="黑体"/>
          <w:szCs w:val="21"/>
        </w:rPr>
        <w:t>3.3</w:t>
      </w:r>
    </w:p>
    <w:p>
      <w:pPr>
        <w:pStyle w:val="37"/>
        <w:rPr>
          <w:rFonts w:ascii="Times New Roman" w:eastAsia="黑体"/>
        </w:rPr>
      </w:pPr>
      <w:r>
        <w:rPr>
          <w:rFonts w:ascii="Times New Roman" w:eastAsia="黑体"/>
        </w:rPr>
        <w:t>刚度 stiffness</w:t>
      </w:r>
    </w:p>
    <w:p>
      <w:pPr>
        <w:pStyle w:val="37"/>
        <w:rPr>
          <w:rFonts w:ascii="Times New Roman"/>
        </w:rPr>
      </w:pPr>
      <w:r>
        <w:rPr>
          <w:rFonts w:hint="eastAsia" w:ascii="Times New Roman"/>
        </w:rPr>
        <w:t>表征</w:t>
      </w:r>
      <w:r>
        <w:rPr>
          <w:rFonts w:ascii="Times New Roman"/>
        </w:rPr>
        <w:t>材料或结构</w:t>
      </w:r>
      <w:r>
        <w:rPr>
          <w:rFonts w:hint="eastAsia" w:ascii="Times New Roman"/>
        </w:rPr>
        <w:t>在外力作用下</w:t>
      </w:r>
      <w:r>
        <w:rPr>
          <w:rFonts w:ascii="Times New Roman"/>
        </w:rPr>
        <w:t>抵抗弹性变形的能力，</w:t>
      </w:r>
      <w:r>
        <w:rPr>
          <w:rFonts w:hint="eastAsia" w:ascii="Times New Roman"/>
        </w:rPr>
        <w:t>其大小为</w:t>
      </w:r>
      <w:r>
        <w:rPr>
          <w:rFonts w:ascii="Times New Roman"/>
        </w:rPr>
        <w:t>外力及其引起的竖向变形的比值。</w:t>
      </w:r>
    </w:p>
    <w:p>
      <w:pPr>
        <w:widowControl/>
        <w:spacing w:before="120" w:beforeLines="50" w:after="120" w:afterLines="50"/>
        <w:rPr>
          <w:rFonts w:ascii="黑体" w:hAnsi="黑体" w:eastAsia="黑体"/>
          <w:szCs w:val="21"/>
        </w:rPr>
      </w:pPr>
      <w:r>
        <w:rPr>
          <w:rFonts w:ascii="黑体" w:hAnsi="黑体" w:eastAsia="黑体"/>
          <w:szCs w:val="21"/>
        </w:rPr>
        <w:t>3.4</w:t>
      </w:r>
    </w:p>
    <w:p>
      <w:pPr>
        <w:pStyle w:val="37"/>
        <w:rPr>
          <w:rFonts w:ascii="Times New Roman" w:eastAsia="黑体"/>
        </w:rPr>
      </w:pPr>
      <w:r>
        <w:rPr>
          <w:rFonts w:ascii="Times New Roman" w:eastAsia="黑体"/>
        </w:rPr>
        <w:t>杨氏模量 Young's modulus</w:t>
      </w:r>
    </w:p>
    <w:p>
      <w:pPr>
        <w:pStyle w:val="37"/>
        <w:rPr>
          <w:rFonts w:ascii="Times New Roman"/>
        </w:rPr>
      </w:pPr>
      <w:r>
        <w:rPr>
          <w:rFonts w:hint="eastAsia" w:ascii="Times New Roman"/>
        </w:rPr>
        <w:t>表征</w:t>
      </w:r>
      <w:r>
        <w:rPr>
          <w:rFonts w:ascii="Times New Roman"/>
        </w:rPr>
        <w:t>材料在弹性变形范围内抵抗</w:t>
      </w:r>
      <w:r>
        <w:fldChar w:fldCharType="begin"/>
      </w:r>
      <w:r>
        <w:instrText xml:space="preserve"> HYPERLINK "https://baike.baidu.com/item/%E5%BD%A2%E5%8F%98/718421?fromModule=lemma_inlink" \t "https://baike.baidu.com/item/%E6%9D%A8%E6%B0%8F%E6%A8%A1%E9%87%8F/_blank" </w:instrText>
      </w:r>
      <w:r>
        <w:fldChar w:fldCharType="separate"/>
      </w:r>
      <w:r>
        <w:rPr>
          <w:rFonts w:ascii="Times New Roman"/>
        </w:rPr>
        <w:t>形变</w:t>
      </w:r>
      <w:r>
        <w:rPr>
          <w:rFonts w:ascii="Times New Roman"/>
        </w:rPr>
        <w:fldChar w:fldCharType="end"/>
      </w:r>
      <w:r>
        <w:rPr>
          <w:rFonts w:ascii="Times New Roman"/>
        </w:rPr>
        <w:t>能力的物理量，</w:t>
      </w:r>
      <w:r>
        <w:rPr>
          <w:rFonts w:hint="eastAsia" w:ascii="Times New Roman"/>
        </w:rPr>
        <w:t>即在材料的弹性限度内应力与应变的比值</w:t>
      </w:r>
      <w:r>
        <w:rPr>
          <w:rFonts w:ascii="Times New Roman"/>
        </w:rPr>
        <w:t>。</w:t>
      </w:r>
    </w:p>
    <w:p>
      <w:pPr>
        <w:widowControl/>
        <w:spacing w:before="120" w:beforeLines="50" w:after="120" w:afterLines="50"/>
        <w:rPr>
          <w:rFonts w:ascii="黑体" w:hAnsi="黑体" w:eastAsia="黑体"/>
          <w:szCs w:val="21"/>
        </w:rPr>
      </w:pPr>
      <w:r>
        <w:rPr>
          <w:rFonts w:ascii="黑体" w:hAnsi="黑体" w:eastAsia="黑体"/>
          <w:szCs w:val="21"/>
        </w:rPr>
        <w:t>3.5</w:t>
      </w:r>
    </w:p>
    <w:p>
      <w:pPr>
        <w:pStyle w:val="37"/>
        <w:rPr>
          <w:rFonts w:ascii="Times New Roman" w:eastAsia="黑体"/>
        </w:rPr>
      </w:pPr>
      <w:r>
        <w:rPr>
          <w:rFonts w:hint="eastAsia" w:ascii="Times New Roman" w:eastAsia="黑体"/>
        </w:rPr>
        <w:t xml:space="preserve">土体刚度仪 </w:t>
      </w:r>
      <w:r>
        <w:rPr>
          <w:rFonts w:ascii="Times New Roman" w:eastAsia="黑体"/>
        </w:rPr>
        <w:t xml:space="preserve">soil stiffness gauge </w:t>
      </w:r>
    </w:p>
    <w:p>
      <w:pPr>
        <w:pStyle w:val="37"/>
        <w:rPr>
          <w:rFonts w:ascii="Times New Roman"/>
        </w:rPr>
      </w:pPr>
      <w:r>
        <w:rPr>
          <w:rFonts w:hint="eastAsia" w:ascii="Times New Roman"/>
        </w:rPr>
        <w:t>一种快速原位测量压实路基刚度的便携式仪器，。</w:t>
      </w:r>
    </w:p>
    <w:p>
      <w:pPr>
        <w:pStyle w:val="37"/>
        <w:ind w:firstLine="360"/>
        <w:rPr>
          <w:sz w:val="18"/>
          <w:szCs w:val="18"/>
        </w:rPr>
      </w:pPr>
      <w:r>
        <w:rPr>
          <w:rFonts w:hint="eastAsia" w:ascii="Times New Roman"/>
          <w:sz w:val="18"/>
          <w:szCs w:val="18"/>
        </w:rPr>
        <w:t>注：通过仪器自身对压实路基表面施加一定数量的低频激振力后，</w:t>
      </w:r>
      <w:r>
        <w:rPr>
          <w:rFonts w:hint="eastAsia"/>
          <w:sz w:val="18"/>
          <w:szCs w:val="18"/>
        </w:rPr>
        <w:t>路基表面产生竖向微小位移，即可求得表征路基压实质量的刚度，</w:t>
      </w:r>
      <w:r>
        <w:rPr>
          <w:rFonts w:hint="eastAsia" w:ascii="Times New Roman"/>
          <w:sz w:val="18"/>
          <w:szCs w:val="18"/>
        </w:rPr>
        <w:t>单点检测时间不超过</w:t>
      </w:r>
      <w:r>
        <w:rPr>
          <w:rFonts w:ascii="Times New Roman"/>
          <w:sz w:val="18"/>
          <w:szCs w:val="18"/>
        </w:rPr>
        <w:t>100s</w:t>
      </w:r>
      <w:r>
        <w:rPr>
          <w:rFonts w:hint="eastAsia"/>
          <w:sz w:val="18"/>
          <w:szCs w:val="18"/>
        </w:rPr>
        <w:t>。</w:t>
      </w:r>
    </w:p>
    <w:p>
      <w:pPr>
        <w:widowControl/>
        <w:spacing w:before="120" w:beforeLines="50" w:after="120" w:afterLines="50"/>
        <w:rPr>
          <w:rFonts w:ascii="黑体" w:hAnsi="黑体" w:eastAsia="黑体"/>
          <w:szCs w:val="21"/>
        </w:rPr>
      </w:pPr>
      <w:r>
        <w:rPr>
          <w:rFonts w:ascii="黑体" w:hAnsi="黑体" w:eastAsia="黑体"/>
          <w:szCs w:val="21"/>
        </w:rPr>
        <w:t>3.6</w:t>
      </w:r>
    </w:p>
    <w:p>
      <w:pPr>
        <w:pStyle w:val="37"/>
        <w:rPr>
          <w:rFonts w:ascii="Times New Roman" w:eastAsia="黑体"/>
        </w:rPr>
      </w:pPr>
      <w:r>
        <w:rPr>
          <w:rFonts w:ascii="Times New Roman" w:eastAsia="黑体"/>
        </w:rPr>
        <w:t>压实均匀性 compaction uniformity</w:t>
      </w:r>
    </w:p>
    <w:p>
      <w:pPr>
        <w:pStyle w:val="37"/>
        <w:rPr>
          <w:rFonts w:ascii="Times New Roman"/>
        </w:rPr>
      </w:pPr>
      <w:r>
        <w:rPr>
          <w:rFonts w:ascii="Times New Roman"/>
        </w:rPr>
        <w:t>路基</w:t>
      </w:r>
      <w:r>
        <w:rPr>
          <w:rFonts w:hint="eastAsia" w:ascii="Times New Roman"/>
        </w:rPr>
        <w:t>碾压</w:t>
      </w:r>
      <w:r>
        <w:rPr>
          <w:rFonts w:ascii="Times New Roman"/>
        </w:rPr>
        <w:t>过程中各</w:t>
      </w:r>
      <w:r>
        <w:rPr>
          <w:rFonts w:hint="eastAsia" w:ascii="Times New Roman"/>
        </w:rPr>
        <w:t>部位</w:t>
      </w:r>
      <w:r>
        <w:rPr>
          <w:rFonts w:ascii="Times New Roman"/>
        </w:rPr>
        <w:t>压实状态的分布</w:t>
      </w:r>
      <w:r>
        <w:rPr>
          <w:rFonts w:hint="eastAsia" w:ascii="Times New Roman"/>
        </w:rPr>
        <w:t>特征</w:t>
      </w:r>
      <w:r>
        <w:rPr>
          <w:rFonts w:ascii="Times New Roman"/>
        </w:rPr>
        <w:t>。</w:t>
      </w:r>
    </w:p>
    <w:p>
      <w:pPr>
        <w:widowControl/>
        <w:spacing w:before="120" w:beforeLines="50" w:after="120" w:afterLines="50"/>
        <w:rPr>
          <w:rFonts w:ascii="黑体" w:hAnsi="黑体" w:eastAsia="黑体"/>
          <w:szCs w:val="21"/>
        </w:rPr>
      </w:pPr>
      <w:r>
        <w:rPr>
          <w:rFonts w:ascii="黑体" w:hAnsi="黑体" w:eastAsia="黑体"/>
          <w:szCs w:val="21"/>
        </w:rPr>
        <w:t>3.7</w:t>
      </w:r>
    </w:p>
    <w:p>
      <w:pPr>
        <w:widowControl/>
        <w:ind w:firstLine="420" w:firstLineChars="200"/>
        <w:jc w:val="left"/>
        <w:rPr>
          <w:rFonts w:ascii="宋体" w:hAnsi="宋体" w:cs="宋体"/>
          <w:kern w:val="0"/>
          <w:sz w:val="24"/>
        </w:rPr>
      </w:pPr>
      <w:r>
        <w:rPr>
          <w:rFonts w:hint="eastAsia" w:ascii="黑体" w:hAnsi="黑体" w:eastAsia="黑体" w:cs="宋体"/>
          <w:color w:val="000000"/>
          <w:kern w:val="0"/>
          <w:szCs w:val="21"/>
        </w:rPr>
        <w:t>相关性检验</w:t>
      </w:r>
      <w:r>
        <w:rPr>
          <w:rFonts w:hint="eastAsia" w:eastAsia="黑体"/>
          <w:kern w:val="0"/>
          <w:szCs w:val="20"/>
        </w:rPr>
        <w:t xml:space="preserve"> correlation verification </w:t>
      </w:r>
    </w:p>
    <w:p>
      <w:pPr>
        <w:widowControl/>
        <w:ind w:firstLine="420" w:firstLineChars="200"/>
        <w:jc w:val="left"/>
      </w:pPr>
      <w:r>
        <w:rPr>
          <w:rFonts w:hint="eastAsia" w:ascii="宋体" w:hAnsi="宋体" w:cs="宋体"/>
          <w:color w:val="000000"/>
          <w:kern w:val="0"/>
          <w:szCs w:val="21"/>
        </w:rPr>
        <w:t>采用对比试验方式建立路基刚度与压实度检测指</w:t>
      </w:r>
      <w:r>
        <w:rPr>
          <w:rFonts w:hint="eastAsia" w:hAnsi="宋体" w:cs="宋体"/>
          <w:color w:val="000000"/>
          <w:szCs w:val="21"/>
        </w:rPr>
        <w:t>标之间相关关系的过程。</w:t>
      </w:r>
    </w:p>
    <w:bookmarkEnd w:id="33"/>
    <w:bookmarkEnd w:id="34"/>
    <w:p>
      <w:pPr>
        <w:pStyle w:val="37"/>
        <w:tabs>
          <w:tab w:val="clear" w:pos="4201"/>
          <w:tab w:val="clear" w:pos="9298"/>
        </w:tabs>
        <w:spacing w:before="240" w:beforeLines="100" w:after="240" w:afterLines="100"/>
        <w:ind w:firstLine="0" w:firstLineChars="0"/>
        <w:outlineLvl w:val="0"/>
        <w:rPr>
          <w:rFonts w:ascii="黑体" w:hAnsi="黑体" w:eastAsia="黑体" w:cs="黑体"/>
          <w:color w:val="000000"/>
          <w:szCs w:val="21"/>
        </w:rPr>
      </w:pPr>
      <w:bookmarkStart w:id="35" w:name="_Toc126162170"/>
      <w:bookmarkStart w:id="36" w:name="_Toc90981521"/>
      <w:r>
        <w:rPr>
          <w:rFonts w:ascii="黑体" w:hAnsi="黑体" w:eastAsia="黑体" w:cs="黑体"/>
          <w:color w:val="000000"/>
          <w:szCs w:val="21"/>
        </w:rPr>
        <w:t xml:space="preserve">4  </w:t>
      </w:r>
      <w:r>
        <w:rPr>
          <w:rFonts w:hint="eastAsia" w:ascii="黑体" w:hAnsi="黑体" w:eastAsia="黑体" w:cs="黑体"/>
          <w:color w:val="000000"/>
          <w:szCs w:val="21"/>
        </w:rPr>
        <w:t>基本</w:t>
      </w:r>
      <w:r>
        <w:rPr>
          <w:rFonts w:ascii="黑体" w:hAnsi="黑体" w:eastAsia="黑体" w:cs="黑体"/>
          <w:color w:val="000000"/>
          <w:szCs w:val="21"/>
        </w:rPr>
        <w:t>规定</w:t>
      </w:r>
      <w:bookmarkEnd w:id="35"/>
      <w:bookmarkEnd w:id="36"/>
    </w:p>
    <w:p>
      <w:pPr>
        <w:widowControl/>
        <w:rPr>
          <w:rFonts w:ascii="黑体" w:hAnsi="黑体" w:eastAsia="黑体"/>
          <w:szCs w:val="21"/>
        </w:rPr>
      </w:pPr>
      <w:bookmarkStart w:id="37" w:name="_Toc345078290"/>
      <w:bookmarkEnd w:id="37"/>
      <w:bookmarkStart w:id="38" w:name="_Toc304453510"/>
      <w:bookmarkEnd w:id="38"/>
      <w:bookmarkStart w:id="39" w:name="_Toc303258392"/>
      <w:bookmarkEnd w:id="39"/>
      <w:bookmarkStart w:id="40" w:name="_Toc303258391"/>
      <w:bookmarkEnd w:id="40"/>
      <w:bookmarkStart w:id="41" w:name="_Toc303258393"/>
      <w:bookmarkEnd w:id="41"/>
      <w:bookmarkStart w:id="42" w:name="_Toc303258394"/>
      <w:bookmarkEnd w:id="42"/>
      <w:bookmarkStart w:id="43" w:name="_Toc303258395"/>
      <w:bookmarkEnd w:id="43"/>
      <w:bookmarkStart w:id="44" w:name="_Toc90973062"/>
      <w:bookmarkStart w:id="45" w:name="_Toc90981522"/>
      <w:r>
        <w:rPr>
          <w:rFonts w:ascii="黑体" w:hAnsi="黑体" w:eastAsia="黑体"/>
          <w:szCs w:val="21"/>
        </w:rPr>
        <w:t xml:space="preserve">4.1 </w:t>
      </w:r>
      <w:r>
        <w:rPr>
          <w:rFonts w:ascii="宋体" w:hAnsi="宋体"/>
          <w:szCs w:val="21"/>
        </w:rPr>
        <w:t>路基施工前应结合填料类型选择代表性路段试验段施工，进行土体刚度与</w:t>
      </w:r>
      <w:r>
        <w:rPr>
          <w:rFonts w:hint="eastAsia" w:ascii="宋体" w:hAnsi="宋体"/>
          <w:szCs w:val="21"/>
        </w:rPr>
        <w:t>压实度</w:t>
      </w:r>
      <w:r>
        <w:rPr>
          <w:rFonts w:ascii="宋体" w:hAnsi="宋体"/>
          <w:szCs w:val="21"/>
        </w:rPr>
        <w:t>相关性</w:t>
      </w:r>
      <w:r>
        <w:rPr>
          <w:rFonts w:hint="eastAsia" w:ascii="宋体" w:hAnsi="宋体"/>
          <w:szCs w:val="21"/>
        </w:rPr>
        <w:t>检验</w:t>
      </w:r>
      <w:r>
        <w:rPr>
          <w:rFonts w:ascii="宋体" w:hAnsi="宋体"/>
          <w:szCs w:val="21"/>
        </w:rPr>
        <w:t>，</w:t>
      </w:r>
      <w:r>
        <w:rPr>
          <w:rFonts w:hint="eastAsia"/>
          <w:color w:val="000000"/>
          <w:szCs w:val="21"/>
        </w:rPr>
        <w:t>确定</w:t>
      </w:r>
      <w:r>
        <w:rPr>
          <w:rFonts w:hint="eastAsia"/>
        </w:rPr>
        <w:t>土体</w:t>
      </w:r>
      <w:r>
        <w:t>刚度仪</w:t>
      </w:r>
      <w:r>
        <w:rPr>
          <w:rFonts w:hint="eastAsia"/>
          <w:color w:val="000000"/>
          <w:szCs w:val="21"/>
        </w:rPr>
        <w:t>的适用性及</w:t>
      </w:r>
      <w:r>
        <w:rPr>
          <w:rFonts w:hint="eastAsia" w:ascii="宋体" w:hAnsi="宋体"/>
          <w:szCs w:val="21"/>
        </w:rPr>
        <w:t>不同层位路基</w:t>
      </w:r>
      <w:r>
        <w:rPr>
          <w:rFonts w:ascii="宋体" w:hAnsi="宋体"/>
          <w:szCs w:val="21"/>
        </w:rPr>
        <w:t>刚度规定值。</w:t>
      </w:r>
    </w:p>
    <w:p>
      <w:pPr>
        <w:widowControl/>
        <w:rPr>
          <w:rFonts w:eastAsia="黑体"/>
          <w:szCs w:val="21"/>
        </w:rPr>
      </w:pPr>
      <w:r>
        <w:rPr>
          <w:rFonts w:ascii="黑体" w:hAnsi="黑体" w:eastAsia="黑体"/>
          <w:szCs w:val="21"/>
        </w:rPr>
        <w:t xml:space="preserve">4.2 </w:t>
      </w:r>
      <w:r>
        <w:rPr>
          <w:rFonts w:ascii="宋体" w:hAnsi="宋体"/>
          <w:szCs w:val="21"/>
        </w:rPr>
        <w:t>路基</w:t>
      </w:r>
      <w:r>
        <w:rPr>
          <w:rFonts w:hint="eastAsia" w:ascii="宋体" w:hAnsi="宋体"/>
          <w:szCs w:val="21"/>
        </w:rPr>
        <w:t>分层</w:t>
      </w:r>
      <w:r>
        <w:rPr>
          <w:rFonts w:ascii="宋体" w:hAnsi="宋体"/>
          <w:szCs w:val="21"/>
        </w:rPr>
        <w:t>填筑</w:t>
      </w:r>
      <w:r>
        <w:rPr>
          <w:rFonts w:hint="eastAsia" w:ascii="宋体" w:hAnsi="宋体"/>
          <w:szCs w:val="21"/>
        </w:rPr>
        <w:t>压实</w:t>
      </w:r>
      <w:r>
        <w:rPr>
          <w:rFonts w:ascii="宋体" w:hAnsi="宋体"/>
          <w:szCs w:val="21"/>
        </w:rPr>
        <w:t>施工</w:t>
      </w:r>
      <w:r>
        <w:rPr>
          <w:rFonts w:hint="eastAsia" w:ascii="宋体" w:hAnsi="宋体"/>
          <w:szCs w:val="21"/>
        </w:rPr>
        <w:t>应</w:t>
      </w:r>
      <w:r>
        <w:rPr>
          <w:rFonts w:ascii="宋体" w:hAnsi="宋体"/>
          <w:szCs w:val="21"/>
        </w:rPr>
        <w:t>按</w:t>
      </w:r>
      <w:r>
        <w:rPr>
          <w:szCs w:val="21"/>
        </w:rPr>
        <w:t>JTG F10、JTG F80/1的规定执行，路基填筑压实</w:t>
      </w:r>
      <w:r>
        <w:rPr>
          <w:rFonts w:hint="eastAsia"/>
          <w:szCs w:val="21"/>
        </w:rPr>
        <w:t>度</w:t>
      </w:r>
      <w:r>
        <w:rPr>
          <w:szCs w:val="21"/>
        </w:rPr>
        <w:t>应按JTG E60的规定执行。</w:t>
      </w:r>
    </w:p>
    <w:p>
      <w:pPr>
        <w:widowControl/>
        <w:rPr>
          <w:rFonts w:ascii="黑体" w:hAnsi="黑体" w:eastAsia="黑体"/>
          <w:szCs w:val="21"/>
        </w:rPr>
      </w:pPr>
      <w:r>
        <w:rPr>
          <w:rFonts w:eastAsia="黑体"/>
          <w:szCs w:val="21"/>
        </w:rPr>
        <w:t xml:space="preserve">4.3 </w:t>
      </w:r>
      <w:r>
        <w:rPr>
          <w:szCs w:val="21"/>
        </w:rPr>
        <w:t>当路基填料类型发生变化时，应重新进行相关性检</w:t>
      </w:r>
      <w:r>
        <w:rPr>
          <w:rFonts w:hint="eastAsia" w:ascii="宋体" w:hAnsi="宋体"/>
          <w:szCs w:val="21"/>
        </w:rPr>
        <w:t>验</w:t>
      </w:r>
      <w:r>
        <w:rPr>
          <w:rFonts w:ascii="宋体" w:hAnsi="宋体"/>
          <w:szCs w:val="21"/>
        </w:rPr>
        <w:t>，调整土体刚度规定值。</w:t>
      </w:r>
    </w:p>
    <w:bookmarkEnd w:id="44"/>
    <w:bookmarkEnd w:id="45"/>
    <w:p>
      <w:pPr>
        <w:pStyle w:val="37"/>
        <w:tabs>
          <w:tab w:val="clear" w:pos="4201"/>
          <w:tab w:val="clear" w:pos="9298"/>
        </w:tabs>
        <w:spacing w:before="240" w:beforeLines="100" w:after="240" w:afterLines="100"/>
        <w:ind w:firstLine="0" w:firstLineChars="0"/>
        <w:outlineLvl w:val="0"/>
        <w:rPr>
          <w:rFonts w:ascii="黑体" w:hAnsi="黑体" w:eastAsia="黑体" w:cs="黑体"/>
          <w:color w:val="000000"/>
          <w:szCs w:val="21"/>
        </w:rPr>
      </w:pPr>
      <w:bookmarkStart w:id="46" w:name="_Toc126162171"/>
      <w:r>
        <w:rPr>
          <w:rFonts w:ascii="黑体" w:hAnsi="黑体" w:eastAsia="黑体" w:cs="黑体"/>
          <w:color w:val="000000"/>
          <w:szCs w:val="21"/>
        </w:rPr>
        <w:t xml:space="preserve">5  </w:t>
      </w:r>
      <w:r>
        <w:rPr>
          <w:rFonts w:hint="eastAsia" w:ascii="黑体" w:hAnsi="黑体" w:eastAsia="黑体" w:cs="黑体"/>
          <w:color w:val="000000"/>
          <w:szCs w:val="21"/>
        </w:rPr>
        <w:t>仪器设备</w:t>
      </w:r>
      <w:bookmarkEnd w:id="46"/>
    </w:p>
    <w:p>
      <w:pPr>
        <w:pStyle w:val="38"/>
        <w:adjustRightInd w:val="0"/>
        <w:snapToGrid w:val="0"/>
        <w:spacing w:before="120" w:beforeLines="50" w:after="120" w:afterLines="50" w:line="240" w:lineRule="auto"/>
        <w:jc w:val="left"/>
        <w:rPr>
          <w:rFonts w:ascii="黑体" w:hAnsi="黑体" w:eastAsia="黑体"/>
          <w:b w:val="0"/>
          <w:bCs w:val="0"/>
          <w:kern w:val="2"/>
          <w:sz w:val="21"/>
          <w:szCs w:val="21"/>
        </w:rPr>
      </w:pPr>
      <w:bookmarkStart w:id="47" w:name="_Toc126162172"/>
      <w:bookmarkStart w:id="48" w:name="_Toc90981530"/>
      <w:bookmarkStart w:id="49" w:name="_Toc90973070"/>
      <w:r>
        <w:rPr>
          <w:rFonts w:ascii="黑体" w:hAnsi="黑体" w:eastAsia="黑体"/>
          <w:b w:val="0"/>
          <w:bCs w:val="0"/>
          <w:kern w:val="2"/>
          <w:sz w:val="21"/>
          <w:szCs w:val="21"/>
        </w:rPr>
        <w:t xml:space="preserve">5.1 </w:t>
      </w:r>
      <w:r>
        <w:rPr>
          <w:rFonts w:hint="eastAsia" w:ascii="黑体" w:hAnsi="黑体" w:eastAsia="黑体"/>
          <w:b w:val="0"/>
          <w:bCs w:val="0"/>
          <w:kern w:val="2"/>
          <w:sz w:val="21"/>
          <w:szCs w:val="21"/>
        </w:rPr>
        <w:t>仪器组成</w:t>
      </w:r>
      <w:bookmarkEnd w:id="47"/>
    </w:p>
    <w:p>
      <w:pPr>
        <w:pStyle w:val="37"/>
        <w:rPr>
          <w:rFonts w:ascii="Times New Roman"/>
        </w:rPr>
      </w:pPr>
      <w:r>
        <w:rPr>
          <w:rFonts w:hint="eastAsia" w:ascii="Times New Roman"/>
        </w:rPr>
        <w:t>土体</w:t>
      </w:r>
      <w:r>
        <w:rPr>
          <w:rFonts w:ascii="Times New Roman"/>
        </w:rPr>
        <w:t>刚度仪由</w:t>
      </w:r>
      <w:r>
        <w:rPr>
          <w:rFonts w:hint="eastAsia" w:ascii="Times New Roman"/>
        </w:rPr>
        <w:t>刚性外壳、</w:t>
      </w:r>
      <w:r>
        <w:rPr>
          <w:rFonts w:ascii="Times New Roman"/>
        </w:rPr>
        <w:t>刚性环</w:t>
      </w:r>
      <w:r>
        <w:rPr>
          <w:rFonts w:hint="eastAsia" w:ascii="Times New Roman"/>
        </w:rPr>
        <w:t>圈底座</w:t>
      </w:r>
      <w:r>
        <w:rPr>
          <w:rFonts w:ascii="Times New Roman"/>
        </w:rPr>
        <w:t>、</w:t>
      </w:r>
      <w:r>
        <w:rPr>
          <w:rFonts w:hint="eastAsia" w:ascii="Times New Roman"/>
        </w:rPr>
        <w:t>隔振架、电源（电池）、</w:t>
      </w:r>
      <w:r>
        <w:rPr>
          <w:rFonts w:ascii="Times New Roman"/>
        </w:rPr>
        <w:t>加载系统、数据采集</w:t>
      </w:r>
      <w:r>
        <w:rPr>
          <w:rFonts w:hint="eastAsia" w:ascii="Times New Roman"/>
        </w:rPr>
        <w:t>与处理</w:t>
      </w:r>
      <w:r>
        <w:rPr>
          <w:rFonts w:ascii="Times New Roman"/>
        </w:rPr>
        <w:t>系统</w:t>
      </w:r>
      <w:r>
        <w:rPr>
          <w:rFonts w:hint="eastAsia" w:ascii="Times New Roman"/>
        </w:rPr>
        <w:t>和控制与显示</w:t>
      </w:r>
      <w:r>
        <w:rPr>
          <w:rFonts w:ascii="Times New Roman"/>
        </w:rPr>
        <w:t>系统</w:t>
      </w:r>
      <w:r>
        <w:rPr>
          <w:rFonts w:hint="eastAsia" w:ascii="Times New Roman"/>
        </w:rPr>
        <w:t>等部分</w:t>
      </w:r>
      <w:r>
        <w:rPr>
          <w:rFonts w:ascii="Times New Roman"/>
        </w:rPr>
        <w:t>组成，如图1所示。</w:t>
      </w:r>
    </w:p>
    <w:p>
      <w:pPr>
        <w:pStyle w:val="37"/>
        <w:ind w:firstLine="0" w:firstLineChars="0"/>
        <w:jc w:val="center"/>
        <w:rPr>
          <w:rFonts w:ascii="Times New Roman"/>
        </w:rPr>
      </w:pPr>
      <w:r>
        <w:drawing>
          <wp:inline distT="0" distB="0" distL="0" distR="0">
            <wp:extent cx="2768600" cy="2552065"/>
            <wp:effectExtent l="0" t="0" r="0" b="635"/>
            <wp:docPr id="1"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true"/>
                    </pic:cNvPicPr>
                  </pic:nvPicPr>
                  <pic:blipFill>
                    <a:blip r:embed="rId11"/>
                    <a:stretch>
                      <a:fillRect/>
                    </a:stretch>
                  </pic:blipFill>
                  <pic:spPr>
                    <a:xfrm>
                      <a:off x="0" y="0"/>
                      <a:ext cx="2810494" cy="2590882"/>
                    </a:xfrm>
                    <a:prstGeom prst="rect">
                      <a:avLst/>
                    </a:prstGeom>
                  </pic:spPr>
                </pic:pic>
              </a:graphicData>
            </a:graphic>
          </wp:inline>
        </w:drawing>
      </w:r>
    </w:p>
    <w:p>
      <w:pPr>
        <w:spacing w:before="120" w:beforeLines="50" w:after="120" w:afterLines="50"/>
        <w:jc w:val="center"/>
        <w:rPr>
          <w:rFonts w:ascii="黑体" w:hAnsi="黑体" w:eastAsia="黑体"/>
          <w:sz w:val="18"/>
          <w:szCs w:val="18"/>
        </w:rPr>
      </w:pPr>
      <w:r>
        <w:rPr>
          <w:rFonts w:ascii="黑体" w:hAnsi="黑体" w:eastAsia="黑体"/>
          <w:sz w:val="18"/>
          <w:szCs w:val="18"/>
        </w:rPr>
        <w:t>图1  刚度仪系统组成示意图</w:t>
      </w:r>
    </w:p>
    <w:p>
      <w:pPr>
        <w:pStyle w:val="37"/>
        <w:ind w:firstLine="0" w:firstLineChars="0"/>
        <w:jc w:val="center"/>
        <w:rPr>
          <w:rFonts w:ascii="Times New Roman"/>
          <w:sz w:val="18"/>
          <w:szCs w:val="18"/>
        </w:rPr>
      </w:pPr>
      <w:r>
        <w:rPr>
          <w:rFonts w:hint="eastAsia" w:ascii="Times New Roman"/>
          <w:sz w:val="18"/>
          <w:szCs w:val="18"/>
        </w:rPr>
        <w:t>①</w:t>
      </w:r>
      <w:r>
        <w:rPr>
          <w:rFonts w:ascii="Times New Roman"/>
          <w:sz w:val="18"/>
          <w:szCs w:val="18"/>
        </w:rPr>
        <w:t>刚性环</w:t>
      </w:r>
      <w:r>
        <w:rPr>
          <w:rFonts w:hint="eastAsia" w:ascii="Times New Roman"/>
          <w:sz w:val="18"/>
          <w:szCs w:val="18"/>
        </w:rPr>
        <w:t>圈底座；②隔振架；③电源（电池）；④</w:t>
      </w:r>
      <w:r>
        <w:rPr>
          <w:rFonts w:ascii="Times New Roman"/>
          <w:sz w:val="18"/>
          <w:szCs w:val="18"/>
        </w:rPr>
        <w:t>加载系统</w:t>
      </w:r>
      <w:r>
        <w:rPr>
          <w:rFonts w:hint="eastAsia" w:ascii="Times New Roman"/>
          <w:sz w:val="18"/>
          <w:szCs w:val="18"/>
        </w:rPr>
        <w:t>；⑤圆形钢桶；⑥柔性加载板；⑦机电振动器；⑧底部速度传感器；⑨顶部速度传感器；⑩刚性外壳；</w:t>
      </w:r>
      <w:r>
        <w:rPr>
          <w:rFonts w:ascii="Cambria Math" w:hAnsi="Cambria Math" w:cs="Cambria Math"/>
          <w:sz w:val="18"/>
          <w:szCs w:val="18"/>
        </w:rPr>
        <w:t>⑪</w:t>
      </w:r>
      <w:r>
        <w:rPr>
          <w:rFonts w:hint="eastAsia" w:ascii="Times New Roman"/>
          <w:sz w:val="18"/>
          <w:szCs w:val="18"/>
        </w:rPr>
        <w:t>数据采集与处理系统；</w:t>
      </w:r>
      <w:r>
        <w:rPr>
          <w:rFonts w:ascii="Cambria Math" w:hAnsi="Cambria Math" w:cs="Cambria Math"/>
          <w:sz w:val="18"/>
          <w:szCs w:val="18"/>
        </w:rPr>
        <w:t>⑫</w:t>
      </w:r>
      <w:r>
        <w:rPr>
          <w:rFonts w:hint="eastAsia" w:ascii="Times New Roman"/>
          <w:sz w:val="18"/>
          <w:szCs w:val="18"/>
        </w:rPr>
        <w:t>控制与显示系统</w:t>
      </w:r>
    </w:p>
    <w:p>
      <w:pPr>
        <w:pStyle w:val="38"/>
        <w:adjustRightInd w:val="0"/>
        <w:snapToGrid w:val="0"/>
        <w:spacing w:before="120" w:beforeLines="50" w:after="120" w:afterLines="50" w:line="240" w:lineRule="auto"/>
        <w:jc w:val="left"/>
        <w:rPr>
          <w:rFonts w:ascii="黑体" w:hAnsi="黑体" w:eastAsia="黑体"/>
          <w:b w:val="0"/>
          <w:bCs w:val="0"/>
          <w:kern w:val="2"/>
          <w:sz w:val="21"/>
          <w:szCs w:val="21"/>
        </w:rPr>
      </w:pPr>
      <w:bookmarkStart w:id="50" w:name="_Toc126162173"/>
      <w:r>
        <w:rPr>
          <w:rFonts w:ascii="黑体" w:hAnsi="黑体" w:eastAsia="黑体"/>
          <w:b w:val="0"/>
          <w:bCs w:val="0"/>
          <w:kern w:val="2"/>
          <w:sz w:val="21"/>
          <w:szCs w:val="21"/>
        </w:rPr>
        <w:t xml:space="preserve">5.2 </w:t>
      </w:r>
      <w:r>
        <w:rPr>
          <w:rFonts w:hint="eastAsia" w:ascii="黑体" w:hAnsi="黑体" w:eastAsia="黑体"/>
          <w:b w:val="0"/>
          <w:bCs w:val="0"/>
          <w:kern w:val="2"/>
          <w:sz w:val="21"/>
          <w:szCs w:val="21"/>
        </w:rPr>
        <w:t>仪器参数</w:t>
      </w:r>
      <w:bookmarkEnd w:id="50"/>
    </w:p>
    <w:p>
      <w:pPr>
        <w:pStyle w:val="37"/>
        <w:tabs>
          <w:tab w:val="right" w:pos="9355"/>
          <w:tab w:val="clear" w:pos="9298"/>
        </w:tabs>
        <w:spacing w:line="360" w:lineRule="auto"/>
        <w:rPr>
          <w:rFonts w:ascii="Times New Roman"/>
        </w:rPr>
      </w:pPr>
      <w:r>
        <w:rPr>
          <w:rFonts w:ascii="Times New Roman"/>
        </w:rPr>
        <w:t>土体刚度仪技术参数</w:t>
      </w:r>
      <w:r>
        <w:rPr>
          <w:rFonts w:hint="eastAsia" w:ascii="Times New Roman"/>
        </w:rPr>
        <w:t>，</w:t>
      </w:r>
      <w:r>
        <w:rPr>
          <w:szCs w:val="21"/>
        </w:rPr>
        <w:t>如表1所示。</w:t>
      </w:r>
    </w:p>
    <w:p>
      <w:pPr>
        <w:jc w:val="center"/>
        <w:rPr>
          <w:rFonts w:eastAsia="黑体"/>
          <w:sz w:val="18"/>
          <w:szCs w:val="18"/>
        </w:rPr>
      </w:pPr>
      <w:r>
        <w:rPr>
          <w:rFonts w:eastAsia="黑体"/>
          <w:sz w:val="18"/>
          <w:szCs w:val="18"/>
        </w:rPr>
        <w:t>表1  土体刚度仪技术参数</w:t>
      </w:r>
    </w:p>
    <w:tbl>
      <w:tblPr>
        <w:tblStyle w:val="52"/>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3681"/>
        <w:gridCol w:w="461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681" w:type="dxa"/>
            <w:shd w:val="clear" w:color="auto" w:fill="auto"/>
            <w:vAlign w:val="center"/>
          </w:tcPr>
          <w:p>
            <w:pPr>
              <w:jc w:val="center"/>
              <w:rPr>
                <w:sz w:val="18"/>
                <w:szCs w:val="18"/>
              </w:rPr>
            </w:pPr>
            <w:r>
              <w:rPr>
                <w:rFonts w:hint="eastAsia"/>
                <w:sz w:val="18"/>
                <w:szCs w:val="18"/>
              </w:rPr>
              <w:t>项目</w:t>
            </w:r>
          </w:p>
        </w:tc>
        <w:tc>
          <w:tcPr>
            <w:tcW w:w="4615" w:type="dxa"/>
            <w:shd w:val="clear" w:color="auto" w:fill="auto"/>
            <w:vAlign w:val="center"/>
          </w:tcPr>
          <w:p>
            <w:pPr>
              <w:jc w:val="center"/>
              <w:rPr>
                <w:sz w:val="18"/>
                <w:szCs w:val="18"/>
              </w:rPr>
            </w:pPr>
            <w:r>
              <w:rPr>
                <w:rFonts w:hint="eastAsia"/>
                <w:sz w:val="18"/>
                <w:szCs w:val="18"/>
              </w:rPr>
              <w:t>参数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681" w:type="dxa"/>
            <w:shd w:val="clear" w:color="auto" w:fill="auto"/>
            <w:vAlign w:val="center"/>
          </w:tcPr>
          <w:p>
            <w:pPr>
              <w:jc w:val="center"/>
              <w:rPr>
                <w:sz w:val="18"/>
                <w:szCs w:val="18"/>
              </w:rPr>
            </w:pPr>
            <w:r>
              <w:rPr>
                <w:sz w:val="18"/>
                <w:szCs w:val="18"/>
              </w:rPr>
              <w:t>外壳</w:t>
            </w:r>
            <w:r>
              <w:rPr>
                <w:rFonts w:hint="eastAsia"/>
                <w:sz w:val="18"/>
                <w:szCs w:val="18"/>
              </w:rPr>
              <w:t>直径×高度（m</w:t>
            </w:r>
            <w:r>
              <w:rPr>
                <w:sz w:val="18"/>
                <w:szCs w:val="18"/>
              </w:rPr>
              <w:t>m</w:t>
            </w:r>
            <w:r>
              <w:rPr>
                <w:rFonts w:hint="eastAsia"/>
                <w:sz w:val="18"/>
                <w:szCs w:val="18"/>
              </w:rPr>
              <w:t>）</w:t>
            </w:r>
          </w:p>
        </w:tc>
        <w:tc>
          <w:tcPr>
            <w:tcW w:w="4615" w:type="dxa"/>
            <w:shd w:val="clear" w:color="auto" w:fill="auto"/>
            <w:vAlign w:val="center"/>
          </w:tcPr>
          <w:p>
            <w:pPr>
              <w:jc w:val="center"/>
              <w:rPr>
                <w:sz w:val="18"/>
                <w:szCs w:val="18"/>
              </w:rPr>
            </w:pPr>
            <w:r>
              <w:rPr>
                <w:sz w:val="18"/>
                <w:szCs w:val="18"/>
              </w:rPr>
              <w:t>280</w:t>
            </w:r>
            <w:r>
              <w:rPr>
                <w:rFonts w:hint="eastAsia"/>
                <w:sz w:val="18"/>
                <w:szCs w:val="18"/>
              </w:rPr>
              <w:t>×</w:t>
            </w:r>
            <w:r>
              <w:rPr>
                <w:sz w:val="18"/>
                <w:szCs w:val="18"/>
              </w:rPr>
              <w:t>255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681" w:type="dxa"/>
            <w:shd w:val="clear" w:color="auto" w:fill="auto"/>
            <w:vAlign w:val="center"/>
          </w:tcPr>
          <w:p>
            <w:pPr>
              <w:jc w:val="center"/>
              <w:rPr>
                <w:sz w:val="18"/>
                <w:szCs w:val="18"/>
              </w:rPr>
            </w:pPr>
            <w:r>
              <w:rPr>
                <w:sz w:val="18"/>
                <w:szCs w:val="18"/>
              </w:rPr>
              <w:t>底座</w:t>
            </w:r>
            <w:r>
              <w:rPr>
                <w:rFonts w:hint="eastAsia"/>
                <w:sz w:val="18"/>
                <w:szCs w:val="18"/>
              </w:rPr>
              <w:t>外径，内径（m</w:t>
            </w:r>
            <w:r>
              <w:rPr>
                <w:sz w:val="18"/>
                <w:szCs w:val="18"/>
              </w:rPr>
              <w:t>m</w:t>
            </w:r>
            <w:r>
              <w:rPr>
                <w:rFonts w:hint="eastAsia"/>
                <w:sz w:val="18"/>
                <w:szCs w:val="18"/>
              </w:rPr>
              <w:t>）</w:t>
            </w:r>
          </w:p>
        </w:tc>
        <w:tc>
          <w:tcPr>
            <w:tcW w:w="4615" w:type="dxa"/>
            <w:shd w:val="clear" w:color="auto" w:fill="auto"/>
            <w:vAlign w:val="center"/>
          </w:tcPr>
          <w:p>
            <w:pPr>
              <w:jc w:val="center"/>
              <w:rPr>
                <w:sz w:val="18"/>
                <w:szCs w:val="18"/>
              </w:rPr>
            </w:pPr>
            <w:r>
              <w:rPr>
                <w:sz w:val="18"/>
                <w:szCs w:val="18"/>
              </w:rPr>
              <w:t>114</w:t>
            </w:r>
            <w:r>
              <w:rPr>
                <w:rFonts w:hint="eastAsia"/>
                <w:sz w:val="18"/>
                <w:szCs w:val="18"/>
              </w:rPr>
              <w:t>，</w:t>
            </w:r>
            <w:r>
              <w:rPr>
                <w:sz w:val="18"/>
                <w:szCs w:val="18"/>
              </w:rPr>
              <w:t>89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3681" w:type="dxa"/>
            <w:shd w:val="clear" w:color="auto" w:fill="auto"/>
            <w:vAlign w:val="center"/>
          </w:tcPr>
          <w:p>
            <w:pPr>
              <w:jc w:val="center"/>
              <w:rPr>
                <w:sz w:val="18"/>
                <w:szCs w:val="18"/>
              </w:rPr>
            </w:pPr>
            <w:r>
              <w:rPr>
                <w:rFonts w:hint="eastAsia"/>
                <w:sz w:val="18"/>
                <w:szCs w:val="18"/>
              </w:rPr>
              <w:t>质量（kg）</w:t>
            </w:r>
          </w:p>
        </w:tc>
        <w:tc>
          <w:tcPr>
            <w:tcW w:w="4615" w:type="dxa"/>
            <w:shd w:val="clear" w:color="auto" w:fill="auto"/>
            <w:vAlign w:val="center"/>
          </w:tcPr>
          <w:p>
            <w:pPr>
              <w:jc w:val="center"/>
              <w:rPr>
                <w:sz w:val="18"/>
                <w:szCs w:val="18"/>
              </w:rPr>
            </w:pPr>
            <w:r>
              <w:rPr>
                <w:sz w:val="18"/>
                <w:szCs w:val="18"/>
              </w:rPr>
              <w:t>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681" w:type="dxa"/>
            <w:shd w:val="clear" w:color="auto" w:fill="auto"/>
            <w:vAlign w:val="center"/>
          </w:tcPr>
          <w:p>
            <w:pPr>
              <w:jc w:val="center"/>
              <w:rPr>
                <w:sz w:val="18"/>
                <w:szCs w:val="18"/>
              </w:rPr>
            </w:pPr>
            <w:r>
              <w:rPr>
                <w:sz w:val="18"/>
                <w:szCs w:val="18"/>
              </w:rPr>
              <w:t>垂直</w:t>
            </w:r>
            <w:r>
              <w:rPr>
                <w:rFonts w:hint="eastAsia"/>
                <w:sz w:val="18"/>
                <w:szCs w:val="18"/>
              </w:rPr>
              <w:t>度偏差（°）</w:t>
            </w:r>
          </w:p>
        </w:tc>
        <w:tc>
          <w:tcPr>
            <w:tcW w:w="4615" w:type="dxa"/>
            <w:shd w:val="clear" w:color="auto" w:fill="auto"/>
            <w:vAlign w:val="center"/>
          </w:tcPr>
          <w:p>
            <w:pPr>
              <w:jc w:val="center"/>
              <w:rPr>
                <w:sz w:val="18"/>
                <w:szCs w:val="18"/>
              </w:rPr>
            </w:pPr>
            <w:r>
              <w:rPr>
                <w:sz w:val="18"/>
                <w:szCs w:val="18"/>
              </w:rPr>
              <w:t>±5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681" w:type="dxa"/>
            <w:shd w:val="clear" w:color="auto" w:fill="auto"/>
            <w:vAlign w:val="center"/>
          </w:tcPr>
          <w:p>
            <w:pPr>
              <w:jc w:val="center"/>
              <w:rPr>
                <w:sz w:val="18"/>
                <w:szCs w:val="18"/>
              </w:rPr>
            </w:pPr>
            <w:r>
              <w:rPr>
                <w:rFonts w:hint="eastAsia"/>
                <w:sz w:val="18"/>
                <w:szCs w:val="18"/>
              </w:rPr>
              <w:t>自带</w:t>
            </w:r>
            <w:r>
              <w:rPr>
                <w:sz w:val="18"/>
                <w:szCs w:val="18"/>
              </w:rPr>
              <w:t>电源</w:t>
            </w:r>
            <w:r>
              <w:rPr>
                <w:rFonts w:hint="eastAsia"/>
                <w:sz w:val="18"/>
                <w:szCs w:val="18"/>
              </w:rPr>
              <w:t>（</w:t>
            </w:r>
            <w:r>
              <w:rPr>
                <w:sz w:val="18"/>
                <w:szCs w:val="18"/>
              </w:rPr>
              <w:t>V</w:t>
            </w:r>
            <w:r>
              <w:rPr>
                <w:rFonts w:hint="eastAsia"/>
                <w:sz w:val="18"/>
                <w:szCs w:val="18"/>
              </w:rPr>
              <w:t>）</w:t>
            </w:r>
          </w:p>
        </w:tc>
        <w:tc>
          <w:tcPr>
            <w:tcW w:w="4615" w:type="dxa"/>
            <w:shd w:val="clear" w:color="auto" w:fill="auto"/>
            <w:vAlign w:val="center"/>
          </w:tcPr>
          <w:p>
            <w:pPr>
              <w:jc w:val="center"/>
              <w:rPr>
                <w:sz w:val="18"/>
                <w:szCs w:val="18"/>
              </w:rPr>
            </w:pPr>
            <w:r>
              <w:rPr>
                <w:rFonts w:hint="eastAsia"/>
                <w:sz w:val="18"/>
                <w:szCs w:val="18"/>
              </w:rPr>
              <w:t>9（</w:t>
            </w:r>
            <w:r>
              <w:rPr>
                <w:sz w:val="18"/>
                <w:szCs w:val="18"/>
              </w:rPr>
              <w:t>六节1号电池</w:t>
            </w:r>
            <w:r>
              <w:rPr>
                <w:rFonts w:hint="eastAsia"/>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681" w:type="dxa"/>
            <w:shd w:val="clear" w:color="auto" w:fill="auto"/>
            <w:vAlign w:val="center"/>
          </w:tcPr>
          <w:p>
            <w:pPr>
              <w:jc w:val="center"/>
              <w:rPr>
                <w:sz w:val="18"/>
                <w:szCs w:val="18"/>
              </w:rPr>
            </w:pPr>
            <w:r>
              <w:rPr>
                <w:sz w:val="18"/>
                <w:szCs w:val="18"/>
              </w:rPr>
              <w:t>振动频率</w:t>
            </w:r>
            <w:r>
              <w:rPr>
                <w:rFonts w:hint="eastAsia"/>
                <w:sz w:val="18"/>
                <w:szCs w:val="18"/>
              </w:rPr>
              <w:t>（</w:t>
            </w:r>
            <w:r>
              <w:rPr>
                <w:sz w:val="18"/>
                <w:szCs w:val="18"/>
              </w:rPr>
              <w:t>Hz</w:t>
            </w:r>
            <w:r>
              <w:rPr>
                <w:rFonts w:hint="eastAsia"/>
                <w:sz w:val="18"/>
                <w:szCs w:val="18"/>
              </w:rPr>
              <w:t>）</w:t>
            </w:r>
          </w:p>
        </w:tc>
        <w:tc>
          <w:tcPr>
            <w:tcW w:w="4615" w:type="dxa"/>
            <w:shd w:val="clear" w:color="auto" w:fill="auto"/>
            <w:vAlign w:val="center"/>
          </w:tcPr>
          <w:p>
            <w:pPr>
              <w:jc w:val="center"/>
              <w:rPr>
                <w:sz w:val="18"/>
                <w:szCs w:val="18"/>
              </w:rPr>
            </w:pPr>
            <w:r>
              <w:rPr>
                <w:sz w:val="18"/>
                <w:szCs w:val="18"/>
              </w:rPr>
              <w:t>100</w:t>
            </w:r>
            <w:r>
              <w:rPr>
                <w:rFonts w:hint="eastAsia"/>
                <w:sz w:val="18"/>
                <w:szCs w:val="18"/>
              </w:rPr>
              <w:t>～</w:t>
            </w:r>
            <w:r>
              <w:rPr>
                <w:sz w:val="18"/>
                <w:szCs w:val="18"/>
              </w:rPr>
              <w:t>196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3681" w:type="dxa"/>
            <w:shd w:val="clear" w:color="auto" w:fill="auto"/>
            <w:vAlign w:val="center"/>
          </w:tcPr>
          <w:p>
            <w:pPr>
              <w:jc w:val="center"/>
              <w:rPr>
                <w:sz w:val="18"/>
                <w:szCs w:val="18"/>
              </w:rPr>
            </w:pPr>
            <w:r>
              <w:rPr>
                <w:rFonts w:hint="eastAsia"/>
                <w:sz w:val="18"/>
                <w:szCs w:val="18"/>
              </w:rPr>
              <w:t>检测</w:t>
            </w:r>
            <w:r>
              <w:rPr>
                <w:sz w:val="18"/>
                <w:szCs w:val="18"/>
              </w:rPr>
              <w:t>环境温度</w:t>
            </w:r>
            <w:r>
              <w:rPr>
                <w:rFonts w:hint="eastAsia"/>
                <w:sz w:val="18"/>
                <w:szCs w:val="18"/>
              </w:rPr>
              <w:t>（</w:t>
            </w:r>
            <w:r>
              <w:rPr>
                <w:sz w:val="18"/>
                <w:szCs w:val="18"/>
              </w:rPr>
              <w:t>℃</w:t>
            </w:r>
            <w:r>
              <w:rPr>
                <w:rFonts w:hint="eastAsia"/>
                <w:sz w:val="18"/>
                <w:szCs w:val="18"/>
              </w:rPr>
              <w:t>）</w:t>
            </w:r>
          </w:p>
        </w:tc>
        <w:tc>
          <w:tcPr>
            <w:tcW w:w="4615" w:type="dxa"/>
            <w:shd w:val="clear" w:color="auto" w:fill="auto"/>
            <w:vAlign w:val="center"/>
          </w:tcPr>
          <w:p>
            <w:pPr>
              <w:jc w:val="center"/>
              <w:rPr>
                <w:sz w:val="18"/>
                <w:szCs w:val="18"/>
              </w:rPr>
            </w:pPr>
            <w:r>
              <w:rPr>
                <w:sz w:val="18"/>
                <w:szCs w:val="18"/>
              </w:rPr>
              <w:t>0</w:t>
            </w:r>
            <w:r>
              <w:rPr>
                <w:rFonts w:hint="eastAsia"/>
                <w:sz w:val="18"/>
                <w:szCs w:val="18"/>
              </w:rPr>
              <w:t>～</w:t>
            </w:r>
            <w:r>
              <w:rPr>
                <w:sz w:val="18"/>
                <w:szCs w:val="18"/>
              </w:rPr>
              <w:t>38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681" w:type="dxa"/>
            <w:shd w:val="clear" w:color="auto" w:fill="auto"/>
            <w:vAlign w:val="center"/>
          </w:tcPr>
          <w:p>
            <w:pPr>
              <w:jc w:val="center"/>
              <w:rPr>
                <w:sz w:val="18"/>
                <w:szCs w:val="18"/>
              </w:rPr>
            </w:pPr>
            <w:r>
              <w:rPr>
                <w:sz w:val="18"/>
                <w:szCs w:val="18"/>
              </w:rPr>
              <w:t>刚度测量范围</w:t>
            </w:r>
            <w:r>
              <w:rPr>
                <w:rFonts w:hint="eastAsia"/>
                <w:sz w:val="18"/>
                <w:szCs w:val="18"/>
              </w:rPr>
              <w:t>（</w:t>
            </w:r>
            <w:r>
              <w:rPr>
                <w:sz w:val="18"/>
                <w:szCs w:val="18"/>
              </w:rPr>
              <w:t>MN/m</w:t>
            </w:r>
            <w:r>
              <w:rPr>
                <w:rFonts w:hint="eastAsia"/>
                <w:sz w:val="18"/>
                <w:szCs w:val="18"/>
              </w:rPr>
              <w:t>）</w:t>
            </w:r>
          </w:p>
        </w:tc>
        <w:tc>
          <w:tcPr>
            <w:tcW w:w="4615" w:type="dxa"/>
            <w:shd w:val="clear" w:color="auto" w:fill="auto"/>
            <w:vAlign w:val="center"/>
          </w:tcPr>
          <w:p>
            <w:pPr>
              <w:jc w:val="center"/>
              <w:rPr>
                <w:sz w:val="18"/>
                <w:szCs w:val="18"/>
              </w:rPr>
            </w:pPr>
            <w:r>
              <w:rPr>
                <w:sz w:val="18"/>
                <w:szCs w:val="18"/>
              </w:rPr>
              <w:t>3</w:t>
            </w:r>
            <w:r>
              <w:rPr>
                <w:rFonts w:hint="eastAsia"/>
                <w:sz w:val="18"/>
                <w:szCs w:val="18"/>
              </w:rPr>
              <w:t>～</w:t>
            </w:r>
            <w:r>
              <w:rPr>
                <w:sz w:val="18"/>
                <w:szCs w:val="18"/>
              </w:rPr>
              <w:t>70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681" w:type="dxa"/>
            <w:shd w:val="clear" w:color="auto" w:fill="auto"/>
            <w:vAlign w:val="center"/>
          </w:tcPr>
          <w:p>
            <w:pPr>
              <w:jc w:val="center"/>
              <w:rPr>
                <w:sz w:val="18"/>
                <w:szCs w:val="18"/>
              </w:rPr>
            </w:pPr>
            <w:r>
              <w:rPr>
                <w:sz w:val="18"/>
                <w:szCs w:val="18"/>
              </w:rPr>
              <w:t>杨氏模量测量范围</w:t>
            </w:r>
            <w:r>
              <w:rPr>
                <w:rFonts w:hint="eastAsia"/>
                <w:sz w:val="18"/>
                <w:szCs w:val="18"/>
              </w:rPr>
              <w:t>（</w:t>
            </w:r>
            <w:r>
              <w:rPr>
                <w:sz w:val="18"/>
                <w:szCs w:val="18"/>
              </w:rPr>
              <w:t>MPa</w:t>
            </w:r>
            <w:r>
              <w:rPr>
                <w:rFonts w:hint="eastAsia"/>
                <w:sz w:val="18"/>
                <w:szCs w:val="18"/>
              </w:rPr>
              <w:t>）</w:t>
            </w:r>
          </w:p>
        </w:tc>
        <w:tc>
          <w:tcPr>
            <w:tcW w:w="4615" w:type="dxa"/>
            <w:shd w:val="clear" w:color="auto" w:fill="auto"/>
            <w:vAlign w:val="center"/>
          </w:tcPr>
          <w:p>
            <w:pPr>
              <w:jc w:val="center"/>
              <w:rPr>
                <w:sz w:val="18"/>
                <w:szCs w:val="18"/>
              </w:rPr>
            </w:pPr>
            <w:r>
              <w:rPr>
                <w:sz w:val="18"/>
                <w:szCs w:val="18"/>
              </w:rPr>
              <w:t>26.2</w:t>
            </w:r>
            <w:r>
              <w:rPr>
                <w:rFonts w:hint="eastAsia"/>
                <w:sz w:val="18"/>
                <w:szCs w:val="18"/>
              </w:rPr>
              <w:t>～</w:t>
            </w:r>
            <w:r>
              <w:rPr>
                <w:sz w:val="18"/>
                <w:szCs w:val="18"/>
              </w:rPr>
              <w:t>610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681" w:type="dxa"/>
            <w:shd w:val="clear" w:color="auto" w:fill="auto"/>
            <w:vAlign w:val="center"/>
          </w:tcPr>
          <w:p>
            <w:pPr>
              <w:jc w:val="center"/>
              <w:rPr>
                <w:sz w:val="18"/>
                <w:szCs w:val="18"/>
              </w:rPr>
            </w:pPr>
            <w:r>
              <w:rPr>
                <w:rFonts w:hint="eastAsia"/>
                <w:sz w:val="18"/>
                <w:szCs w:val="18"/>
              </w:rPr>
              <w:t>检测</w:t>
            </w:r>
            <w:r>
              <w:rPr>
                <w:sz w:val="18"/>
                <w:szCs w:val="18"/>
              </w:rPr>
              <w:t>深度</w:t>
            </w:r>
            <w:r>
              <w:rPr>
                <w:rFonts w:hint="eastAsia"/>
                <w:sz w:val="18"/>
                <w:szCs w:val="18"/>
              </w:rPr>
              <w:t>（</w:t>
            </w:r>
            <w:r>
              <w:rPr>
                <w:sz w:val="18"/>
                <w:szCs w:val="18"/>
              </w:rPr>
              <w:t>mm</w:t>
            </w:r>
            <w:r>
              <w:rPr>
                <w:rFonts w:hint="eastAsia"/>
                <w:sz w:val="18"/>
                <w:szCs w:val="18"/>
              </w:rPr>
              <w:t>）</w:t>
            </w:r>
          </w:p>
        </w:tc>
        <w:tc>
          <w:tcPr>
            <w:tcW w:w="4615" w:type="dxa"/>
            <w:shd w:val="clear" w:color="auto" w:fill="auto"/>
            <w:vAlign w:val="center"/>
          </w:tcPr>
          <w:p>
            <w:pPr>
              <w:jc w:val="center"/>
              <w:rPr>
                <w:sz w:val="18"/>
                <w:szCs w:val="18"/>
              </w:rPr>
            </w:pPr>
            <w:r>
              <w:rPr>
                <w:sz w:val="18"/>
                <w:szCs w:val="18"/>
              </w:rPr>
              <w:t>220</w:t>
            </w:r>
            <w:r>
              <w:rPr>
                <w:rFonts w:hint="eastAsia"/>
                <w:sz w:val="18"/>
                <w:szCs w:val="18"/>
              </w:rPr>
              <w:t>～</w:t>
            </w:r>
            <w:r>
              <w:rPr>
                <w:sz w:val="18"/>
                <w:szCs w:val="18"/>
              </w:rPr>
              <w:t>310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3681" w:type="dxa"/>
            <w:shd w:val="clear" w:color="auto" w:fill="auto"/>
            <w:vAlign w:val="center"/>
          </w:tcPr>
          <w:p>
            <w:pPr>
              <w:jc w:val="center"/>
              <w:rPr>
                <w:sz w:val="18"/>
                <w:szCs w:val="18"/>
              </w:rPr>
            </w:pPr>
            <w:r>
              <w:rPr>
                <w:rFonts w:hint="eastAsia"/>
                <w:sz w:val="18"/>
                <w:szCs w:val="18"/>
              </w:rPr>
              <w:t>检测</w:t>
            </w:r>
            <w:r>
              <w:rPr>
                <w:sz w:val="18"/>
                <w:szCs w:val="18"/>
              </w:rPr>
              <w:t>精度</w:t>
            </w:r>
            <w:r>
              <w:rPr>
                <w:rFonts w:hint="eastAsia"/>
                <w:sz w:val="18"/>
                <w:szCs w:val="18"/>
              </w:rPr>
              <w:t>（</w:t>
            </w:r>
            <w:r>
              <w:rPr>
                <w:sz w:val="18"/>
                <w:szCs w:val="18"/>
              </w:rPr>
              <w:t>%</w:t>
            </w:r>
            <w:r>
              <w:rPr>
                <w:rFonts w:hint="eastAsia"/>
                <w:sz w:val="18"/>
                <w:szCs w:val="18"/>
              </w:rPr>
              <w:t>）</w:t>
            </w:r>
          </w:p>
        </w:tc>
        <w:tc>
          <w:tcPr>
            <w:tcW w:w="4615" w:type="dxa"/>
            <w:shd w:val="clear" w:color="auto" w:fill="auto"/>
            <w:vAlign w:val="center"/>
          </w:tcPr>
          <w:p>
            <w:pPr>
              <w:jc w:val="center"/>
              <w:rPr>
                <w:sz w:val="18"/>
                <w:szCs w:val="18"/>
              </w:rPr>
            </w:pPr>
            <w:r>
              <w:rPr>
                <w:sz w:val="18"/>
                <w:szCs w:val="18"/>
              </w:rPr>
              <w:t>＜10</w:t>
            </w:r>
          </w:p>
        </w:tc>
      </w:tr>
    </w:tbl>
    <w:p>
      <w:pPr>
        <w:pStyle w:val="38"/>
        <w:adjustRightInd w:val="0"/>
        <w:snapToGrid w:val="0"/>
        <w:spacing w:before="120" w:beforeLines="50" w:after="120" w:afterLines="50" w:line="240" w:lineRule="auto"/>
        <w:jc w:val="left"/>
        <w:rPr>
          <w:rFonts w:ascii="黑体" w:hAnsi="黑体" w:eastAsia="黑体"/>
          <w:b w:val="0"/>
          <w:bCs w:val="0"/>
          <w:kern w:val="2"/>
          <w:sz w:val="21"/>
          <w:szCs w:val="21"/>
        </w:rPr>
      </w:pPr>
      <w:bookmarkStart w:id="51" w:name="_Toc126162174"/>
      <w:r>
        <w:rPr>
          <w:rFonts w:ascii="黑体" w:hAnsi="黑体" w:eastAsia="黑体"/>
          <w:b w:val="0"/>
          <w:bCs w:val="0"/>
          <w:kern w:val="2"/>
          <w:sz w:val="21"/>
          <w:szCs w:val="21"/>
        </w:rPr>
        <w:t xml:space="preserve">5.3 </w:t>
      </w:r>
      <w:r>
        <w:rPr>
          <w:rFonts w:hint="eastAsia" w:ascii="黑体" w:hAnsi="黑体" w:eastAsia="黑体"/>
          <w:b w:val="0"/>
          <w:bCs w:val="0"/>
          <w:kern w:val="2"/>
          <w:sz w:val="21"/>
          <w:szCs w:val="21"/>
        </w:rPr>
        <w:t>仪器</w:t>
      </w:r>
      <w:r>
        <w:rPr>
          <w:rFonts w:ascii="黑体" w:hAnsi="黑体" w:eastAsia="黑体"/>
          <w:b w:val="0"/>
          <w:bCs w:val="0"/>
          <w:kern w:val="2"/>
          <w:sz w:val="21"/>
          <w:szCs w:val="21"/>
        </w:rPr>
        <w:t>原理</w:t>
      </w:r>
      <w:bookmarkEnd w:id="51"/>
    </w:p>
    <w:p>
      <w:pPr>
        <w:pStyle w:val="37"/>
        <w:rPr>
          <w:rFonts w:ascii="Times New Roman"/>
        </w:rPr>
      </w:pPr>
      <w:r>
        <w:rPr>
          <w:rFonts w:ascii="Times New Roman"/>
        </w:rPr>
        <w:t>在路基压实面上施加一定数量</w:t>
      </w:r>
      <w:r>
        <w:rPr>
          <w:rFonts w:hint="eastAsia" w:ascii="Times New Roman"/>
        </w:rPr>
        <w:t>、</w:t>
      </w:r>
      <w:r>
        <w:rPr>
          <w:rFonts w:ascii="Times New Roman"/>
        </w:rPr>
        <w:t>特定频率</w:t>
      </w:r>
      <w:r>
        <w:rPr>
          <w:rFonts w:hint="eastAsia" w:ascii="Times New Roman"/>
        </w:rPr>
        <w:t>的</w:t>
      </w:r>
      <w:r>
        <w:rPr>
          <w:rFonts w:ascii="Times New Roman"/>
        </w:rPr>
        <w:t>振动力</w:t>
      </w:r>
      <m:oMath>
        <m:r>
          <m:rPr/>
          <w:rPr>
            <w:rFonts w:ascii="Cambria Math" w:hAnsi="Cambria Math"/>
          </w:rPr>
          <m:t>p</m:t>
        </m:r>
      </m:oMath>
      <w:r>
        <w:rPr>
          <w:rFonts w:hint="eastAsia" w:ascii="Times New Roman"/>
        </w:rPr>
        <w:t>，仪器自动</w:t>
      </w:r>
      <w:r>
        <w:rPr>
          <w:rFonts w:ascii="Times New Roman"/>
        </w:rPr>
        <w:t>测量</w:t>
      </w:r>
      <w:r>
        <w:rPr>
          <w:rFonts w:hint="eastAsia" w:ascii="Times New Roman"/>
        </w:rPr>
        <w:t>振动力</w:t>
      </w:r>
      <w:r>
        <w:rPr>
          <w:rFonts w:ascii="Times New Roman"/>
        </w:rPr>
        <w:t>引起</w:t>
      </w:r>
      <w:r>
        <w:rPr>
          <w:rFonts w:hint="eastAsia" w:ascii="Times New Roman"/>
        </w:rPr>
        <w:t>路基压实面竖向变形量</w:t>
      </w:r>
      <m:oMath>
        <m:r>
          <m:rPr/>
          <w:rPr>
            <w:rFonts w:ascii="Cambria Math" w:hAnsi="Cambria Math"/>
          </w:rPr>
          <m:t>δ</m:t>
        </m:r>
      </m:oMath>
      <w:r>
        <w:rPr>
          <w:rFonts w:hint="eastAsia" w:ascii="Times New Roman"/>
        </w:rPr>
        <w:t>。</w:t>
      </w:r>
      <w:r>
        <w:rPr>
          <w:rFonts w:ascii="Times New Roman"/>
        </w:rPr>
        <w:t>振动力</w:t>
      </w:r>
      <m:oMath>
        <m:r>
          <m:rPr/>
          <w:rPr>
            <w:rFonts w:ascii="Cambria Math" w:hAnsi="Cambria Math"/>
          </w:rPr>
          <m:t>p</m:t>
        </m:r>
      </m:oMath>
      <w:r>
        <w:rPr>
          <w:rFonts w:hint="eastAsia" w:ascii="Times New Roman"/>
        </w:rPr>
        <w:t>与变形量</w:t>
      </w:r>
      <m:oMath>
        <m:r>
          <m:rPr/>
          <w:rPr>
            <w:rFonts w:ascii="Cambria Math" w:hAnsi="Cambria Math"/>
          </w:rPr>
          <m:t>δ</m:t>
        </m:r>
      </m:oMath>
      <w:r>
        <w:rPr>
          <w:rFonts w:hint="eastAsia" w:ascii="Times New Roman"/>
        </w:rPr>
        <w:t>的比值即为压实</w:t>
      </w:r>
      <w:r>
        <w:rPr>
          <w:rFonts w:ascii="Times New Roman"/>
        </w:rPr>
        <w:t>路基</w:t>
      </w:r>
      <w:r>
        <w:rPr>
          <w:rFonts w:hint="eastAsia" w:ascii="Times New Roman"/>
        </w:rPr>
        <w:t>的</w:t>
      </w:r>
      <w:r>
        <w:rPr>
          <w:rFonts w:ascii="Times New Roman"/>
        </w:rPr>
        <w:t>刚度</w:t>
      </w:r>
      <m:oMath>
        <m:sSub>
          <m:sSubPr>
            <m:ctrlPr>
              <w:rPr>
                <w:rFonts w:ascii="Cambria Math" w:hAnsi="Cambria Math"/>
                <w:i/>
              </w:rPr>
            </m:ctrlPr>
          </m:sSubPr>
          <m:e>
            <m:r>
              <m:rPr/>
              <w:rPr>
                <w:rFonts w:ascii="Cambria Math"/>
              </w:rPr>
              <m:t>K</m:t>
            </m:r>
            <m:ctrlPr>
              <w:rPr>
                <w:rFonts w:ascii="Cambria Math" w:hAnsi="Cambria Math"/>
                <w:i/>
              </w:rPr>
            </m:ctrlPr>
          </m:e>
          <m:sub>
            <m:r>
              <m:rPr>
                <m:sty m:val="p"/>
              </m:rPr>
              <w:rPr>
                <w:rFonts w:ascii="Cambria Math"/>
              </w:rPr>
              <m:t>gr</m:t>
            </m:r>
            <m:ctrlPr>
              <w:rPr>
                <w:rFonts w:ascii="Cambria Math" w:hAnsi="Cambria Math"/>
                <w:i/>
              </w:rPr>
            </m:ctrlPr>
          </m:sub>
        </m:sSub>
      </m:oMath>
      <w:r>
        <w:rPr>
          <w:rFonts w:ascii="Times New Roman"/>
        </w:rPr>
        <w:t>，</w:t>
      </w:r>
      <w:r>
        <w:rPr>
          <w:rFonts w:hint="eastAsia" w:ascii="Times New Roman"/>
        </w:rPr>
        <w:t>若已知路基</w:t>
      </w:r>
      <w:r>
        <w:rPr>
          <w:rFonts w:ascii="Times New Roman"/>
        </w:rPr>
        <w:t>填料的泊松比</w:t>
      </w:r>
      <m:oMath>
        <m:r>
          <m:rPr/>
          <w:rPr>
            <w:rFonts w:hint="eastAsia" w:ascii="Cambria Math" w:hAnsi="Cambria Math"/>
          </w:rPr>
          <m:t>v</m:t>
        </m:r>
      </m:oMath>
      <w:r>
        <w:rPr>
          <w:rFonts w:ascii="Times New Roman"/>
        </w:rPr>
        <w:t>，可计算压实路基的杨氏模量</w:t>
      </w:r>
      <m:oMath>
        <m:r>
          <m:rPr/>
          <w:rPr>
            <w:rFonts w:ascii="Cambria Math" w:hAnsi="Cambria Math"/>
          </w:rPr>
          <m:t>E</m:t>
        </m:r>
      </m:oMath>
      <w:r>
        <w:rPr>
          <w:rFonts w:ascii="Times New Roman"/>
        </w:rPr>
        <w:t>。</w:t>
      </w:r>
    </w:p>
    <w:p>
      <w:pPr>
        <w:pStyle w:val="37"/>
        <w:spacing w:line="360" w:lineRule="auto"/>
        <w:rPr>
          <w:rFonts w:ascii="Times New Roman"/>
        </w:rPr>
      </w:pPr>
      <w:r>
        <w:rPr>
          <w:rFonts w:ascii="Times New Roman"/>
        </w:rPr>
        <w:t>路基刚度</w:t>
      </w:r>
      <w:r>
        <w:rPr>
          <w:rFonts w:ascii="Times New Roman"/>
          <w:i/>
        </w:rPr>
        <w:t>K</w:t>
      </w:r>
      <w:r>
        <w:rPr>
          <w:rFonts w:ascii="Times New Roman"/>
          <w:vertAlign w:val="subscript"/>
        </w:rPr>
        <w:t>gr</w:t>
      </w:r>
      <w:r>
        <w:rPr>
          <w:rFonts w:ascii="Times New Roman"/>
        </w:rPr>
        <w:t>可按式(1)进行计算：</w:t>
      </w:r>
    </w:p>
    <w:p>
      <w:pPr>
        <w:pStyle w:val="214"/>
        <w:spacing w:before="120" w:beforeLines="50" w:after="120" w:afterLines="50" w:line="360" w:lineRule="auto"/>
        <w:ind w:firstLine="1049"/>
        <w:jc w:val="right"/>
        <w:rPr>
          <w:rFonts w:ascii="Times New Roman" w:hAnsi="Times New Roman"/>
          <w:sz w:val="21"/>
        </w:rPr>
      </w:pPr>
      <m:oMath>
        <m:sSub>
          <m:sSubPr>
            <m:ctrlPr>
              <w:rPr>
                <w:rFonts w:ascii="Cambria Math" w:hAnsi="Times New Roman"/>
                <w:i/>
                <w:sz w:val="21"/>
              </w:rPr>
            </m:ctrlPr>
          </m:sSubPr>
          <m:e>
            <m:r>
              <m:rPr/>
              <w:rPr>
                <w:rFonts w:ascii="Cambria Math" w:hAnsi="Times New Roman"/>
                <w:sz w:val="21"/>
              </w:rPr>
              <m:t>K</m:t>
            </m:r>
            <m:ctrlPr>
              <w:rPr>
                <w:rFonts w:ascii="Cambria Math" w:hAnsi="Times New Roman"/>
                <w:i/>
                <w:sz w:val="21"/>
              </w:rPr>
            </m:ctrlPr>
          </m:e>
          <m:sub>
            <m:r>
              <m:rPr>
                <m:sty m:val="p"/>
              </m:rPr>
              <w:rPr>
                <w:rFonts w:ascii="Cambria Math" w:hAnsi="Times New Roman"/>
                <w:sz w:val="21"/>
              </w:rPr>
              <m:t>gr</m:t>
            </m:r>
            <m:ctrlPr>
              <w:rPr>
                <w:rFonts w:ascii="Cambria Math" w:hAnsi="Times New Roman"/>
                <w:i/>
                <w:sz w:val="21"/>
              </w:rPr>
            </m:ctrlPr>
          </m:sub>
        </m:sSub>
        <m:r>
          <m:rPr/>
          <w:rPr>
            <w:rFonts w:ascii="Cambria Math" w:hAnsi="Times New Roman"/>
            <w:sz w:val="21"/>
          </w:rPr>
          <m:t>=</m:t>
        </m:r>
        <m:f>
          <m:fPr>
            <m:ctrlPr>
              <w:rPr>
                <w:rFonts w:ascii="Cambria Math" w:hAnsi="Times New Roman"/>
                <w:i/>
                <w:sz w:val="21"/>
              </w:rPr>
            </m:ctrlPr>
          </m:fPr>
          <m:num>
            <m:r>
              <m:rPr/>
              <w:rPr>
                <w:rFonts w:ascii="Cambria Math" w:hAnsi="Times New Roman"/>
                <w:sz w:val="21"/>
              </w:rPr>
              <m:t>p</m:t>
            </m:r>
            <m:ctrlPr>
              <w:rPr>
                <w:rFonts w:ascii="Cambria Math" w:hAnsi="Times New Roman"/>
                <w:i/>
                <w:sz w:val="21"/>
              </w:rPr>
            </m:ctrlPr>
          </m:num>
          <m:den>
            <m:r>
              <m:rPr/>
              <w:rPr>
                <w:rFonts w:ascii="Cambria Math" w:hAnsi="Times New Roman"/>
                <w:sz w:val="21"/>
              </w:rPr>
              <m:t>δ</m:t>
            </m:r>
            <m:ctrlPr>
              <w:rPr>
                <w:rFonts w:ascii="Cambria Math" w:hAnsi="Times New Roman"/>
                <w:i/>
                <w:sz w:val="21"/>
              </w:rPr>
            </m:ctrlPr>
          </m:den>
        </m:f>
      </m:oMath>
      <w:r>
        <w:rPr>
          <w:rFonts w:ascii="Times New Roman" w:hAnsi="Times New Roman"/>
          <w:sz w:val="21"/>
        </w:rPr>
        <w:t xml:space="preserve">      </w:t>
      </w:r>
      <w:r>
        <w:rPr>
          <w:rFonts w:hint="eastAsia" w:ascii="Times New Roman" w:hAnsi="Times New Roman"/>
          <w:sz w:val="21"/>
        </w:rPr>
        <w:t>…………………………………………</w:t>
      </w:r>
      <w:r>
        <w:rPr>
          <w:rFonts w:ascii="Times New Roman" w:hAnsi="Times New Roman"/>
          <w:sz w:val="21"/>
        </w:rPr>
        <w:t xml:space="preserve"> (1)</w:t>
      </w:r>
    </w:p>
    <w:p>
      <w:pPr>
        <w:pStyle w:val="37"/>
        <w:rPr>
          <w:rFonts w:ascii="Times New Roman"/>
        </w:rPr>
      </w:pPr>
      <w:r>
        <w:rPr>
          <w:rFonts w:ascii="Times New Roman"/>
        </w:rPr>
        <w:t>式中：</w:t>
      </w:r>
    </w:p>
    <w:p>
      <w:pPr>
        <w:pStyle w:val="37"/>
        <w:rPr>
          <w:rFonts w:ascii="Times New Roman"/>
          <w:iCs/>
        </w:rPr>
      </w:pPr>
      <m:oMath>
        <m:r>
          <m:rPr/>
          <w:rPr>
            <w:rFonts w:ascii="Cambria Math"/>
          </w:rPr>
          <m:t>p</m:t>
        </m:r>
      </m:oMath>
      <w:r>
        <w:rPr>
          <w:rFonts w:ascii="Times New Roman"/>
          <w:iCs/>
        </w:rPr>
        <w:t>——施加在路基面的力，N；</w:t>
      </w:r>
    </w:p>
    <w:p>
      <w:pPr>
        <w:pStyle w:val="37"/>
        <w:rPr>
          <w:rFonts w:ascii="Times New Roman"/>
          <w:iCs/>
        </w:rPr>
      </w:pPr>
      <w:r>
        <w:rPr>
          <w:rFonts w:ascii="Times New Roman"/>
          <w:i/>
          <w:iCs/>
        </w:rPr>
        <w:t>δ</w:t>
      </w:r>
      <w:r>
        <w:rPr>
          <w:rFonts w:ascii="Times New Roman"/>
          <w:iCs/>
        </w:rPr>
        <w:t>——路基面的变形量，</w:t>
      </w:r>
      <w:r>
        <w:rPr>
          <w:rFonts w:hint="eastAsia" w:ascii="Times New Roman"/>
          <w:iCs/>
        </w:rPr>
        <w:t>mm</w:t>
      </w:r>
      <w:r>
        <w:rPr>
          <w:rFonts w:ascii="Times New Roman"/>
          <w:iCs/>
        </w:rPr>
        <w:t>；</w:t>
      </w:r>
    </w:p>
    <w:p>
      <w:pPr>
        <w:ind w:firstLine="420" w:firstLineChars="200"/>
      </w:pPr>
      <w:r>
        <w:t>杨氏模量</w:t>
      </w:r>
      <m:oMath>
        <m:r>
          <m:rPr/>
          <w:rPr>
            <w:rFonts w:ascii="Cambria Math" w:hAnsi="Cambria Math"/>
          </w:rPr>
          <m:t>E</m:t>
        </m:r>
      </m:oMath>
      <w:r>
        <w:t>可按式(2)进行计算：</w:t>
      </w:r>
    </w:p>
    <w:p>
      <w:pPr>
        <w:pStyle w:val="214"/>
        <w:spacing w:before="120" w:beforeLines="50" w:after="120" w:afterLines="50" w:line="240" w:lineRule="auto"/>
        <w:ind w:firstLine="1049"/>
        <w:jc w:val="right"/>
        <w:rPr>
          <w:rFonts w:ascii="Times New Roman" w:hAnsi="Times New Roman"/>
          <w:sz w:val="21"/>
        </w:rPr>
      </w:pPr>
      <m:oMath>
        <m:r>
          <m:rPr/>
          <w:rPr>
            <w:rFonts w:hint="eastAsia" w:ascii="Cambria Math" w:hAnsi="Times New Roman"/>
            <w:sz w:val="22"/>
            <w:szCs w:val="24"/>
          </w:rPr>
          <m:t>E=</m:t>
        </m:r>
        <m:sSub>
          <m:sSubPr>
            <m:ctrlPr>
              <w:rPr>
                <w:rFonts w:ascii="Cambria Math" w:hAnsi="Times New Roman"/>
                <w:i/>
                <w:sz w:val="22"/>
                <w:szCs w:val="24"/>
              </w:rPr>
            </m:ctrlPr>
          </m:sSubPr>
          <m:e>
            <m:r>
              <m:rPr/>
              <w:rPr>
                <w:rFonts w:ascii="Cambria Math" w:hAnsi="Times New Roman"/>
                <w:sz w:val="22"/>
                <w:szCs w:val="24"/>
              </w:rPr>
              <m:t>K</m:t>
            </m:r>
            <m:ctrlPr>
              <w:rPr>
                <w:rFonts w:ascii="Cambria Math" w:hAnsi="Times New Roman"/>
                <w:i/>
                <w:sz w:val="22"/>
                <w:szCs w:val="24"/>
              </w:rPr>
            </m:ctrlPr>
          </m:e>
          <m:sub>
            <m:r>
              <m:rPr>
                <m:sty m:val="p"/>
              </m:rPr>
              <w:rPr>
                <w:rFonts w:ascii="Cambria Math" w:hAnsi="Times New Roman"/>
                <w:sz w:val="22"/>
                <w:szCs w:val="24"/>
              </w:rPr>
              <m:t>gr</m:t>
            </m:r>
            <m:ctrlPr>
              <w:rPr>
                <w:rFonts w:ascii="Cambria Math" w:hAnsi="Times New Roman"/>
                <w:i/>
                <w:sz w:val="22"/>
                <w:szCs w:val="24"/>
              </w:rPr>
            </m:ctrlPr>
          </m:sub>
        </m:sSub>
        <m:f>
          <m:fPr>
            <m:ctrlPr>
              <w:rPr>
                <w:rFonts w:ascii="Cambria Math" w:hAnsi="Times New Roman"/>
                <w:i/>
                <w:sz w:val="22"/>
                <w:szCs w:val="24"/>
              </w:rPr>
            </m:ctrlPr>
          </m:fPr>
          <m:num>
            <m:r>
              <m:rPr/>
              <w:rPr>
                <w:rFonts w:ascii="Cambria Math" w:hAnsi="Times New Roman"/>
                <w:sz w:val="22"/>
                <w:szCs w:val="24"/>
              </w:rPr>
              <m:t>1−</m:t>
            </m:r>
            <m:sSup>
              <m:sSupPr>
                <m:ctrlPr>
                  <w:rPr>
                    <w:rFonts w:ascii="Cambria Math" w:hAnsi="Times New Roman"/>
                    <w:i/>
                    <w:sz w:val="22"/>
                    <w:szCs w:val="24"/>
                  </w:rPr>
                </m:ctrlPr>
              </m:sSupPr>
              <m:e>
                <m:r>
                  <m:rPr/>
                  <w:rPr>
                    <w:rFonts w:ascii="Cambria Math" w:hAnsi="Times New Roman"/>
                    <w:sz w:val="22"/>
                    <w:szCs w:val="24"/>
                  </w:rPr>
                  <m:t>ν</m:t>
                </m:r>
                <m:ctrlPr>
                  <w:rPr>
                    <w:rFonts w:ascii="Cambria Math" w:hAnsi="Times New Roman"/>
                    <w:i/>
                    <w:sz w:val="22"/>
                    <w:szCs w:val="24"/>
                  </w:rPr>
                </m:ctrlPr>
              </m:e>
              <m:sup>
                <m:r>
                  <m:rPr/>
                  <w:rPr>
                    <w:rFonts w:ascii="Cambria Math" w:hAnsi="Times New Roman"/>
                    <w:sz w:val="22"/>
                    <w:szCs w:val="24"/>
                  </w:rPr>
                  <m:t>2</m:t>
                </m:r>
                <m:ctrlPr>
                  <w:rPr>
                    <w:rFonts w:ascii="Cambria Math" w:hAnsi="Times New Roman"/>
                    <w:i/>
                    <w:sz w:val="22"/>
                    <w:szCs w:val="24"/>
                  </w:rPr>
                </m:ctrlPr>
              </m:sup>
            </m:sSup>
            <m:ctrlPr>
              <w:rPr>
                <w:rFonts w:ascii="Cambria Math" w:hAnsi="Times New Roman"/>
                <w:i/>
                <w:sz w:val="22"/>
                <w:szCs w:val="24"/>
              </w:rPr>
            </m:ctrlPr>
          </m:num>
          <m:den>
            <m:r>
              <m:rPr>
                <m:sty m:val="p"/>
              </m:rPr>
              <w:rPr>
                <w:rFonts w:ascii="Cambria Math" w:hAnsi="Times New Roman"/>
                <w:sz w:val="22"/>
                <w:szCs w:val="24"/>
              </w:rPr>
              <m:t>1.77</m:t>
            </m:r>
            <m:r>
              <m:rPr/>
              <w:rPr>
                <w:rFonts w:hint="eastAsia" w:ascii="Cambria Math" w:hAnsi="Times New Roman"/>
                <w:sz w:val="22"/>
                <w:szCs w:val="24"/>
              </w:rPr>
              <m:t>R</m:t>
            </m:r>
            <m:ctrlPr>
              <w:rPr>
                <w:rFonts w:ascii="Cambria Math" w:hAnsi="Times New Roman"/>
                <w:i/>
                <w:sz w:val="22"/>
                <w:szCs w:val="24"/>
              </w:rPr>
            </m:ctrlPr>
          </m:den>
        </m:f>
      </m:oMath>
      <w:r>
        <w:rPr>
          <w:rFonts w:ascii="Times New Roman" w:hAnsi="Times New Roman"/>
          <w:sz w:val="21"/>
        </w:rPr>
        <w:t xml:space="preserve">      </w:t>
      </w:r>
      <w:r>
        <w:rPr>
          <w:rFonts w:hint="eastAsia" w:ascii="Times New Roman" w:hAnsi="Times New Roman"/>
          <w:sz w:val="21"/>
        </w:rPr>
        <w:t>……………………………………</w:t>
      </w:r>
      <w:r>
        <w:rPr>
          <w:rFonts w:ascii="Times New Roman" w:hAnsi="Times New Roman"/>
          <w:sz w:val="21"/>
        </w:rPr>
        <w:t xml:space="preserve"> (2)</w:t>
      </w:r>
    </w:p>
    <w:p>
      <w:pPr>
        <w:pStyle w:val="37"/>
        <w:ind w:firstLine="0" w:firstLineChars="0"/>
        <w:rPr>
          <w:rFonts w:ascii="Times New Roman"/>
        </w:rPr>
      </w:pPr>
      <w:r>
        <w:rPr>
          <w:rFonts w:ascii="Times New Roman"/>
        </w:rPr>
        <w:t>式中：</w:t>
      </w:r>
    </w:p>
    <w:p>
      <w:pPr>
        <w:pStyle w:val="37"/>
        <w:rPr>
          <w:rFonts w:ascii="Times New Roman"/>
        </w:rPr>
      </w:pPr>
      <w:r>
        <w:rPr>
          <w:rFonts w:ascii="Times New Roman"/>
          <w:i/>
          <w:iCs/>
        </w:rPr>
        <w:t>R</w:t>
      </w:r>
      <w:r>
        <w:rPr>
          <w:rFonts w:ascii="Times New Roman"/>
        </w:rPr>
        <w:t>——刚度仪底座圆环的外半径，m；</w:t>
      </w:r>
    </w:p>
    <w:p>
      <w:pPr>
        <w:pStyle w:val="37"/>
        <w:rPr>
          <w:rFonts w:ascii="Times New Roman"/>
        </w:rPr>
      </w:pPr>
      <m:oMath>
        <m:r>
          <m:rPr/>
          <w:rPr>
            <w:rFonts w:ascii="Cambria Math" w:hAnsi="Cambria Math"/>
          </w:rPr>
          <m:t>ν</m:t>
        </m:r>
      </m:oMath>
      <w:r>
        <w:rPr>
          <w:rFonts w:ascii="Times New Roman"/>
        </w:rPr>
        <w:t>——压实路基的泊松比；</w:t>
      </w:r>
    </w:p>
    <w:p>
      <w:pPr>
        <w:pStyle w:val="37"/>
        <w:tabs>
          <w:tab w:val="clear" w:pos="4201"/>
          <w:tab w:val="clear" w:pos="9298"/>
        </w:tabs>
        <w:spacing w:before="240" w:beforeLines="100" w:after="240" w:afterLines="100"/>
        <w:ind w:firstLine="0" w:firstLineChars="0"/>
        <w:outlineLvl w:val="0"/>
        <w:rPr>
          <w:rFonts w:ascii="黑体" w:hAnsi="黑体" w:eastAsia="黑体" w:cs="黑体"/>
          <w:color w:val="000000"/>
          <w:szCs w:val="21"/>
        </w:rPr>
      </w:pPr>
      <w:bookmarkStart w:id="52" w:name="_Toc126162175"/>
      <w:r>
        <w:rPr>
          <w:rFonts w:ascii="黑体" w:hAnsi="黑体" w:eastAsia="黑体" w:cs="黑体"/>
          <w:color w:val="000000"/>
          <w:szCs w:val="21"/>
        </w:rPr>
        <w:t>6  现场检测</w:t>
      </w:r>
      <w:bookmarkEnd w:id="52"/>
    </w:p>
    <w:p>
      <w:pPr>
        <w:pStyle w:val="38"/>
        <w:adjustRightInd w:val="0"/>
        <w:snapToGrid w:val="0"/>
        <w:spacing w:before="120" w:beforeLines="50" w:after="120" w:afterLines="50" w:line="240" w:lineRule="auto"/>
        <w:jc w:val="left"/>
        <w:rPr>
          <w:rFonts w:ascii="黑体" w:hAnsi="黑体" w:eastAsia="黑体"/>
          <w:b w:val="0"/>
          <w:bCs w:val="0"/>
          <w:kern w:val="2"/>
          <w:sz w:val="21"/>
          <w:szCs w:val="21"/>
        </w:rPr>
      </w:pPr>
      <w:bookmarkStart w:id="53" w:name="_Toc126162176"/>
      <w:r>
        <w:rPr>
          <w:rFonts w:ascii="黑体" w:hAnsi="黑体" w:eastAsia="黑体"/>
          <w:b w:val="0"/>
          <w:bCs w:val="0"/>
          <w:kern w:val="2"/>
          <w:sz w:val="21"/>
          <w:szCs w:val="21"/>
        </w:rPr>
        <w:t>6.1 一般规定</w:t>
      </w:r>
      <w:bookmarkEnd w:id="53"/>
    </w:p>
    <w:p>
      <w:pPr>
        <w:rPr>
          <w:color w:val="000000"/>
          <w:szCs w:val="21"/>
        </w:rPr>
      </w:pPr>
      <w:r>
        <w:rPr>
          <w:rFonts w:eastAsia="黑体"/>
        </w:rPr>
        <w:t xml:space="preserve">6.1.1 </w:t>
      </w:r>
      <w:r>
        <w:t>土体刚度仪</w:t>
      </w:r>
      <w:r>
        <w:rPr>
          <w:rFonts w:hint="eastAsia"/>
          <w:color w:val="000000"/>
          <w:szCs w:val="21"/>
        </w:rPr>
        <w:t>在使用前应进行仪器标定并定期校准。</w:t>
      </w:r>
    </w:p>
    <w:p>
      <w:r>
        <w:rPr>
          <w:rFonts w:eastAsia="黑体"/>
        </w:rPr>
        <w:t xml:space="preserve">6.1.2 </w:t>
      </w:r>
      <w:r>
        <w:rPr>
          <w:rFonts w:hint="eastAsia"/>
        </w:rPr>
        <w:t>检测</w:t>
      </w:r>
      <w:r>
        <w:t>场地及环境条件应符合下列规定：</w:t>
      </w:r>
    </w:p>
    <w:p>
      <w:pPr>
        <w:ind w:firstLine="480"/>
      </w:pPr>
      <w:r>
        <w:t xml:space="preserve">a) </w:t>
      </w:r>
      <w:r>
        <w:rPr>
          <w:rFonts w:hint="eastAsia"/>
        </w:rPr>
        <w:t>测试面</w:t>
      </w:r>
      <w:r>
        <w:t>应平整、无坑洞及松散填料，表面宜呈板结状态。</w:t>
      </w:r>
    </w:p>
    <w:p>
      <w:pPr>
        <w:ind w:firstLine="480"/>
      </w:pPr>
      <w:r>
        <w:rPr>
          <w:rFonts w:hint="eastAsia"/>
        </w:rPr>
        <w:t>b</w:t>
      </w:r>
      <w:r>
        <w:t xml:space="preserve">) </w:t>
      </w:r>
      <w:r>
        <w:rPr>
          <w:rFonts w:hint="eastAsia"/>
        </w:rPr>
        <w:t>测试面宜水平，其倾斜度不应大于5°。</w:t>
      </w:r>
    </w:p>
    <w:p>
      <w:pPr>
        <w:ind w:firstLine="480"/>
      </w:pPr>
      <w:r>
        <w:t xml:space="preserve">c) </w:t>
      </w:r>
      <w:r>
        <w:rPr>
          <w:rFonts w:hint="eastAsia"/>
        </w:rPr>
        <w:t>检测时</w:t>
      </w:r>
      <w:r>
        <w:t>应远离</w:t>
      </w:r>
      <w:r>
        <w:rPr>
          <w:rFonts w:hint="eastAsia"/>
        </w:rPr>
        <w:t>震源</w:t>
      </w:r>
      <w:r>
        <w:t>。</w:t>
      </w:r>
    </w:p>
    <w:p>
      <w:r>
        <w:rPr>
          <w:rFonts w:eastAsia="黑体"/>
        </w:rPr>
        <w:t xml:space="preserve">6.1.3 </w:t>
      </w:r>
      <w:r>
        <w:rPr>
          <w:rFonts w:hint="eastAsia"/>
        </w:rPr>
        <w:t>采用</w:t>
      </w:r>
      <w:r>
        <w:t>土体刚度仪检测路基压实质量时，应收集下列资料：</w:t>
      </w:r>
    </w:p>
    <w:p>
      <w:pPr>
        <w:ind w:firstLine="480"/>
      </w:pPr>
      <w:r>
        <w:t>a) 工程名称、施工单位、检测里程桩号、检测部位、填筑压实层</w:t>
      </w:r>
      <w:r>
        <w:rPr>
          <w:rFonts w:hint="eastAsia"/>
        </w:rPr>
        <w:t>位</w:t>
      </w:r>
      <w:r>
        <w:t>；</w:t>
      </w:r>
    </w:p>
    <w:p>
      <w:pPr>
        <w:ind w:firstLine="480"/>
      </w:pPr>
      <w:r>
        <w:t>b) 路基填料类型、最大干密度、最佳含水率、松铺厚度</w:t>
      </w:r>
      <w:r>
        <w:rPr>
          <w:rFonts w:hint="eastAsia"/>
        </w:rPr>
        <w:t>、</w:t>
      </w:r>
      <w:r>
        <w:t>压实厚度、压实方式</w:t>
      </w:r>
      <w:r>
        <w:rPr>
          <w:rFonts w:hint="eastAsia"/>
        </w:rPr>
        <w:t>等</w:t>
      </w:r>
      <w:r>
        <w:t>；</w:t>
      </w:r>
    </w:p>
    <w:p>
      <w:pPr>
        <w:pStyle w:val="38"/>
        <w:adjustRightInd w:val="0"/>
        <w:snapToGrid w:val="0"/>
        <w:spacing w:before="120" w:beforeLines="50" w:after="120" w:afterLines="50" w:line="240" w:lineRule="auto"/>
        <w:jc w:val="left"/>
        <w:rPr>
          <w:rFonts w:ascii="黑体" w:hAnsi="黑体" w:eastAsia="黑体"/>
          <w:b w:val="0"/>
          <w:bCs w:val="0"/>
          <w:kern w:val="2"/>
          <w:sz w:val="21"/>
          <w:szCs w:val="21"/>
        </w:rPr>
      </w:pPr>
      <w:bookmarkStart w:id="54" w:name="_Toc126162177"/>
      <w:r>
        <w:rPr>
          <w:rFonts w:ascii="黑体" w:hAnsi="黑体" w:eastAsia="黑体"/>
          <w:b w:val="0"/>
          <w:bCs w:val="0"/>
          <w:kern w:val="2"/>
          <w:sz w:val="21"/>
          <w:szCs w:val="21"/>
        </w:rPr>
        <w:t>6.2 测试步骤</w:t>
      </w:r>
      <w:bookmarkEnd w:id="54"/>
    </w:p>
    <w:p>
      <w:pPr>
        <w:ind w:firstLine="420" w:firstLineChars="200"/>
      </w:pPr>
      <w:r>
        <w:rPr>
          <w:rFonts w:hint="eastAsia"/>
        </w:rPr>
        <w:t>采用</w:t>
      </w:r>
      <w:r>
        <w:t>土体刚度仪</w:t>
      </w:r>
      <w:r>
        <w:rPr>
          <w:rFonts w:hint="eastAsia"/>
        </w:rPr>
        <w:t>进行</w:t>
      </w:r>
      <w:r>
        <w:t>公路路基压实质量检测</w:t>
      </w:r>
      <w:r>
        <w:rPr>
          <w:rFonts w:hint="eastAsia"/>
        </w:rPr>
        <w:t>时，应符合下列规定：</w:t>
      </w:r>
    </w:p>
    <w:p>
      <w:pPr>
        <w:ind w:firstLine="480"/>
      </w:pPr>
      <w:r>
        <w:t>a) 在开始检测之前需检查土体刚度仪的状况是否良好，设备的底座是否干净，橡胶密封是否完好</w:t>
      </w:r>
      <w:r>
        <w:rPr>
          <w:rFonts w:hint="eastAsia"/>
        </w:rPr>
        <w:t>；</w:t>
      </w:r>
    </w:p>
    <w:p>
      <w:pPr>
        <w:ind w:firstLine="480"/>
      </w:pPr>
      <w:r>
        <w:t>b) 测试面</w:t>
      </w:r>
      <w:r>
        <w:rPr>
          <w:rFonts w:hint="eastAsia"/>
        </w:rPr>
        <w:t>应平整</w:t>
      </w:r>
      <w:r>
        <w:t>，</w:t>
      </w:r>
      <w:r>
        <w:rPr>
          <w:rFonts w:hint="eastAsia"/>
        </w:rPr>
        <w:t>用毛刷扫去松土。测试面宜做成水平，其倾斜度不大于5º，必要时可用少量干</w:t>
      </w:r>
    </w:p>
    <w:p>
      <w:pPr>
        <w:ind w:firstLine="735" w:firstLineChars="350"/>
      </w:pPr>
      <w:r>
        <w:rPr>
          <w:rFonts w:hint="eastAsia"/>
        </w:rPr>
        <w:t>燥中砂补平；</w:t>
      </w:r>
    </w:p>
    <w:p>
      <w:pPr>
        <w:ind w:firstLine="480"/>
      </w:pPr>
      <w:r>
        <w:t xml:space="preserve">c) </w:t>
      </w:r>
      <w:r>
        <w:rPr>
          <w:rFonts w:hint="eastAsia"/>
        </w:rPr>
        <w:t>将</w:t>
      </w:r>
      <w:r>
        <w:t>土体刚度仪</w:t>
      </w:r>
      <w:r>
        <w:rPr>
          <w:rFonts w:hint="eastAsia"/>
        </w:rPr>
        <w:t>放置在平整好的测试面上；</w:t>
      </w:r>
    </w:p>
    <w:p>
      <w:pPr>
        <w:ind w:firstLine="480"/>
      </w:pPr>
      <w:r>
        <w:t>d) 开机，等待设备自检，判断电力是否充足，确保系统正常运行；</w:t>
      </w:r>
    </w:p>
    <w:p>
      <w:pPr>
        <w:ind w:firstLine="480"/>
      </w:pPr>
      <w:r>
        <w:t>e) 按“MEASURE”按钮进行测试；</w:t>
      </w:r>
    </w:p>
    <w:p>
      <w:pPr>
        <w:ind w:firstLine="480"/>
      </w:pPr>
      <w:r>
        <w:t>f) 按“SAVE”按钮储存数据。</w:t>
      </w:r>
    </w:p>
    <w:p>
      <w:pPr>
        <w:pStyle w:val="38"/>
        <w:adjustRightInd w:val="0"/>
        <w:snapToGrid w:val="0"/>
        <w:spacing w:before="120" w:beforeLines="50" w:after="120" w:afterLines="50" w:line="240" w:lineRule="auto"/>
        <w:jc w:val="left"/>
        <w:rPr>
          <w:rFonts w:ascii="黑体" w:hAnsi="黑体" w:eastAsia="黑体"/>
          <w:b w:val="0"/>
          <w:bCs w:val="0"/>
          <w:kern w:val="2"/>
          <w:sz w:val="21"/>
          <w:szCs w:val="21"/>
        </w:rPr>
      </w:pPr>
      <w:bookmarkStart w:id="55" w:name="_Toc126162178"/>
      <w:r>
        <w:rPr>
          <w:rFonts w:ascii="黑体" w:hAnsi="黑体" w:eastAsia="黑体"/>
          <w:b w:val="0"/>
          <w:bCs w:val="0"/>
          <w:kern w:val="2"/>
          <w:sz w:val="21"/>
          <w:szCs w:val="21"/>
        </w:rPr>
        <w:t>6.3 检测流程</w:t>
      </w:r>
      <w:bookmarkEnd w:id="55"/>
      <w:r>
        <w:rPr>
          <w:rFonts w:ascii="黑体" w:hAnsi="黑体" w:eastAsia="黑体"/>
          <w:b w:val="0"/>
          <w:bCs w:val="0"/>
          <w:kern w:val="2"/>
          <w:sz w:val="21"/>
          <w:szCs w:val="21"/>
        </w:rPr>
        <w:t xml:space="preserve">  </w:t>
      </w:r>
    </w:p>
    <w:p>
      <w:pPr>
        <w:spacing w:line="360" w:lineRule="auto"/>
        <w:ind w:firstLine="420" w:firstLineChars="200"/>
      </w:pPr>
      <w:r>
        <w:rPr>
          <w:rFonts w:hint="eastAsia"/>
        </w:rPr>
        <w:t>采用</w:t>
      </w:r>
      <w:r>
        <w:t>土体刚度仪进行路基压实质量检测流程</w:t>
      </w:r>
      <w:r>
        <w:rPr>
          <w:rFonts w:hint="eastAsia"/>
        </w:rPr>
        <w:t>，如</w:t>
      </w:r>
      <w:r>
        <w:t>图2</w:t>
      </w:r>
      <w:r>
        <w:rPr>
          <w:rFonts w:hint="eastAsia"/>
        </w:rPr>
        <w:t>所示</w:t>
      </w:r>
      <w:r>
        <w:t>。</w:t>
      </w:r>
    </w:p>
    <w:p>
      <w:pPr>
        <w:jc w:val="center"/>
      </w:pPr>
      <w:r>
        <w:drawing>
          <wp:inline distT="0" distB="0" distL="0" distR="0">
            <wp:extent cx="3861435" cy="1179830"/>
            <wp:effectExtent l="0" t="0" r="5715" b="0"/>
            <wp:docPr id="44" name="图片 19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4" name="图片 194"/>
                    <pic:cNvPicPr>
                      <a:picLocks noChangeAspect="true" noChangeArrowheads="true"/>
                    </pic:cNvPicPr>
                  </pic:nvPicPr>
                  <pic:blipFill>
                    <a:blip r:embed="rId12" cstate="print">
                      <a:extLst>
                        <a:ext uri="{28A0092B-C50C-407E-A947-70E740481C1C}">
                          <a14:useLocalDpi xmlns:a14="http://schemas.microsoft.com/office/drawing/2010/main" val="false"/>
                        </a:ext>
                      </a:extLst>
                    </a:blip>
                    <a:srcRect t="12135"/>
                    <a:stretch>
                      <a:fillRect/>
                    </a:stretch>
                  </pic:blipFill>
                  <pic:spPr>
                    <a:xfrm>
                      <a:off x="0" y="0"/>
                      <a:ext cx="3905887" cy="1193922"/>
                    </a:xfrm>
                    <a:prstGeom prst="rect">
                      <a:avLst/>
                    </a:prstGeom>
                    <a:noFill/>
                    <a:ln>
                      <a:noFill/>
                    </a:ln>
                  </pic:spPr>
                </pic:pic>
              </a:graphicData>
            </a:graphic>
          </wp:inline>
        </w:drawing>
      </w:r>
    </w:p>
    <w:p>
      <w:pPr>
        <w:jc w:val="center"/>
        <w:rPr>
          <w:rFonts w:eastAsia="黑体"/>
          <w:sz w:val="18"/>
          <w:szCs w:val="18"/>
        </w:rPr>
      </w:pPr>
      <w:r>
        <w:rPr>
          <w:rFonts w:eastAsia="黑体"/>
          <w:sz w:val="18"/>
          <w:szCs w:val="18"/>
        </w:rPr>
        <w:t>图2  土体刚度仪检测流程图</w:t>
      </w:r>
    </w:p>
    <w:p>
      <w:pPr>
        <w:pStyle w:val="38"/>
        <w:adjustRightInd w:val="0"/>
        <w:snapToGrid w:val="0"/>
        <w:spacing w:before="120" w:beforeLines="50" w:after="120" w:afterLines="50" w:line="240" w:lineRule="auto"/>
        <w:jc w:val="left"/>
        <w:rPr>
          <w:rFonts w:ascii="黑体" w:hAnsi="黑体" w:eastAsia="黑体"/>
          <w:b w:val="0"/>
          <w:bCs w:val="0"/>
          <w:kern w:val="2"/>
          <w:sz w:val="21"/>
          <w:szCs w:val="21"/>
        </w:rPr>
      </w:pPr>
      <w:bookmarkStart w:id="56" w:name="_Toc126162179"/>
      <w:r>
        <w:rPr>
          <w:rFonts w:ascii="黑体" w:hAnsi="黑体" w:eastAsia="黑体"/>
          <w:b w:val="0"/>
          <w:bCs w:val="0"/>
          <w:kern w:val="2"/>
          <w:sz w:val="21"/>
          <w:szCs w:val="21"/>
        </w:rPr>
        <w:t>6.4 相关性</w:t>
      </w:r>
      <w:r>
        <w:rPr>
          <w:rFonts w:hint="eastAsia" w:ascii="黑体" w:hAnsi="黑体" w:eastAsia="黑体"/>
          <w:b w:val="0"/>
          <w:bCs w:val="0"/>
          <w:kern w:val="2"/>
          <w:sz w:val="21"/>
          <w:szCs w:val="21"/>
        </w:rPr>
        <w:t>检验</w:t>
      </w:r>
      <w:bookmarkEnd w:id="56"/>
    </w:p>
    <w:p>
      <w:pPr>
        <w:jc w:val="left"/>
      </w:pPr>
      <w:r>
        <w:rPr>
          <w:rFonts w:eastAsia="黑体"/>
        </w:rPr>
        <w:t xml:space="preserve">6.4.1 </w:t>
      </w:r>
      <w:r>
        <w:t>施工前应选择代表性试验路段</w:t>
      </w:r>
      <w:r>
        <w:rPr>
          <w:rFonts w:hint="eastAsia"/>
        </w:rPr>
        <w:t>进行</w:t>
      </w:r>
      <w:r>
        <w:t>路基</w:t>
      </w:r>
      <w:r>
        <w:rPr>
          <w:rFonts w:hint="eastAsia"/>
        </w:rPr>
        <w:t>刚度值和常规检测指标进行相关性检验，</w:t>
      </w:r>
      <w:r>
        <w:t>确定</w:t>
      </w:r>
      <w:r>
        <w:rPr>
          <w:rFonts w:hint="eastAsia"/>
        </w:rPr>
        <w:t>其</w:t>
      </w:r>
      <w:r>
        <w:t>相关系数和路基刚度规定值</w:t>
      </w:r>
      <w:r>
        <w:rPr>
          <w:rFonts w:hint="eastAsia"/>
        </w:rPr>
        <w:t>，</w:t>
      </w:r>
      <w:r>
        <w:rPr>
          <w:rFonts w:hint="eastAsia"/>
          <w:color w:val="000000"/>
          <w:szCs w:val="21"/>
        </w:rPr>
        <w:t>试验段长度不宜小于100m</w:t>
      </w:r>
      <w:r>
        <w:rPr>
          <w:rFonts w:hint="eastAsia"/>
        </w:rPr>
        <w:t>。</w:t>
      </w:r>
    </w:p>
    <w:p>
      <w:pPr>
        <w:jc w:val="left"/>
      </w:pPr>
      <w:r>
        <w:t>6.4.2 试验路段路基填料</w:t>
      </w:r>
      <w:r>
        <w:rPr>
          <w:rFonts w:hint="eastAsia"/>
        </w:rPr>
        <w:t>类型</w:t>
      </w:r>
      <w:r>
        <w:t>、含水率</w:t>
      </w:r>
      <w:r>
        <w:rPr>
          <w:rFonts w:hint="eastAsia"/>
        </w:rPr>
        <w:t>、</w:t>
      </w:r>
      <w:r>
        <w:t>填筑</w:t>
      </w:r>
      <w:r>
        <w:rPr>
          <w:rFonts w:hint="eastAsia"/>
        </w:rPr>
        <w:t>层</w:t>
      </w:r>
      <w:r>
        <w:t>厚度</w:t>
      </w:r>
      <w:r>
        <w:rPr>
          <w:rFonts w:hint="eastAsia"/>
        </w:rPr>
        <w:t>以及</w:t>
      </w:r>
      <w:r>
        <w:t>采用的压实设备和压实工艺等应与后续施工一致。</w:t>
      </w:r>
      <w:r>
        <w:rPr>
          <w:rFonts w:hint="eastAsia"/>
        </w:rPr>
        <w:t>当发生变化时，</w:t>
      </w:r>
      <w:r>
        <w:rPr>
          <w:rFonts w:hint="eastAsia"/>
          <w:color w:val="000000"/>
          <w:szCs w:val="21"/>
        </w:rPr>
        <w:t>应重新进行相关性</w:t>
      </w:r>
      <w:r>
        <w:rPr>
          <w:rFonts w:hint="eastAsia"/>
        </w:rPr>
        <w:t>检验</w:t>
      </w:r>
      <w:r>
        <w:rPr>
          <w:rFonts w:hint="eastAsia"/>
          <w:color w:val="000000"/>
          <w:szCs w:val="21"/>
        </w:rPr>
        <w:t>。</w:t>
      </w:r>
    </w:p>
    <w:p>
      <w:pPr>
        <w:jc w:val="left"/>
      </w:pPr>
      <w:r>
        <w:rPr>
          <w:rFonts w:eastAsia="黑体"/>
        </w:rPr>
        <w:t xml:space="preserve">6.4.3 </w:t>
      </w:r>
      <w:r>
        <w:rPr>
          <w:rFonts w:hint="eastAsia"/>
        </w:rPr>
        <w:t>当试验路段的压实路基常规检测指标满足</w:t>
      </w:r>
      <w:r>
        <w:rPr>
          <w:rFonts w:hint="eastAsia"/>
          <w:color w:val="000000"/>
          <w:szCs w:val="21"/>
        </w:rPr>
        <w:t>JTG F10的规定</w:t>
      </w:r>
      <w:r>
        <w:rPr>
          <w:rFonts w:hint="eastAsia"/>
        </w:rPr>
        <w:t>值后，再采用</w:t>
      </w:r>
      <w:r>
        <w:t>土体刚度仪进行</w:t>
      </w:r>
      <w:r>
        <w:rPr>
          <w:rFonts w:hint="eastAsia"/>
        </w:rPr>
        <w:t>路基</w:t>
      </w:r>
      <w:r>
        <w:t>刚度</w:t>
      </w:r>
      <w:r>
        <w:rPr>
          <w:rFonts w:hint="eastAsia"/>
        </w:rPr>
        <w:t>检测。</w:t>
      </w:r>
      <w:r>
        <w:t>土体刚度仪</w:t>
      </w:r>
      <w:r>
        <w:rPr>
          <w:rFonts w:hint="eastAsia"/>
        </w:rPr>
        <w:t>测点应在常规检测指标测点周围</w:t>
      </w:r>
      <w:r>
        <w:t>100 cm半径范围</w:t>
      </w:r>
      <w:r>
        <w:rPr>
          <w:rFonts w:hint="eastAsia"/>
        </w:rPr>
        <w:t>内布设，常规检测指标</w:t>
      </w:r>
      <w:r>
        <w:t>累计</w:t>
      </w:r>
      <w:r>
        <w:rPr>
          <w:rFonts w:hint="eastAsia"/>
        </w:rPr>
        <w:t>测点不应</w:t>
      </w:r>
      <w:r>
        <w:t>少于20</w:t>
      </w:r>
      <w:r>
        <w:rPr>
          <w:rFonts w:hint="eastAsia"/>
        </w:rPr>
        <w:t>个。</w:t>
      </w:r>
    </w:p>
    <w:p>
      <w:pPr>
        <w:jc w:val="left"/>
      </w:pPr>
      <w:r>
        <w:t xml:space="preserve">6.4.4 </w:t>
      </w:r>
      <w:r>
        <w:rPr>
          <w:rFonts w:hint="eastAsia"/>
          <w:lang w:eastAsia="zh"/>
        </w:rPr>
        <w:t>采</w:t>
      </w:r>
      <w:bookmarkStart w:id="63" w:name="_GoBack"/>
      <w:bookmarkEnd w:id="63"/>
      <w:r>
        <w:rPr>
          <w:rFonts w:hint="eastAsia"/>
        </w:rPr>
        <w:t>用最小二乘法对两组检测数据进行线性回归分析，</w:t>
      </w:r>
      <w:r>
        <w:t>建立</w:t>
      </w:r>
      <w:r>
        <w:rPr>
          <w:rFonts w:hint="eastAsia"/>
        </w:rPr>
        <w:t>路基</w:t>
      </w:r>
      <w:r>
        <w:t>刚度</w:t>
      </w:r>
      <w:r>
        <w:rPr>
          <w:rFonts w:hint="eastAsia"/>
        </w:rPr>
        <w:t>值</w:t>
      </w:r>
      <w:r>
        <w:t>与</w:t>
      </w:r>
      <w:r>
        <w:rPr>
          <w:rFonts w:hint="eastAsia"/>
        </w:rPr>
        <w:t>常规检测指标</w:t>
      </w:r>
      <w:r>
        <w:t>的相关关系</w:t>
      </w:r>
      <w:r>
        <w:rPr>
          <w:rFonts w:hint="eastAsia"/>
        </w:rPr>
        <w:t>。当</w:t>
      </w:r>
      <w:r>
        <w:t>相关系数</w:t>
      </w:r>
      <w:r>
        <w:rPr>
          <w:rFonts w:hint="eastAsia"/>
        </w:rPr>
        <w:t>大于</w:t>
      </w:r>
      <w:r>
        <w:t>0.8</w:t>
      </w:r>
      <w:r>
        <w:rPr>
          <w:rFonts w:hint="eastAsia"/>
        </w:rPr>
        <w:t>时，可</w:t>
      </w:r>
      <w:r>
        <w:t>得到</w:t>
      </w:r>
      <w:r>
        <w:rPr>
          <w:rFonts w:hint="eastAsia"/>
        </w:rPr>
        <w:t>相应</w:t>
      </w:r>
      <w:r>
        <w:t>压实</w:t>
      </w:r>
      <w:r>
        <w:rPr>
          <w:rFonts w:hint="eastAsia"/>
        </w:rPr>
        <w:t>路基层位的</w:t>
      </w:r>
      <w:r>
        <w:t>刚度规定值。</w:t>
      </w:r>
    </w:p>
    <w:p>
      <w:pPr>
        <w:jc w:val="left"/>
      </w:pPr>
      <w:r>
        <w:rPr>
          <w:rFonts w:hint="eastAsia"/>
        </w:rPr>
        <w:t>6</w:t>
      </w:r>
      <w:r>
        <w:t xml:space="preserve">.4.5 </w:t>
      </w:r>
      <w:r>
        <w:rPr>
          <w:rFonts w:hint="eastAsia"/>
        </w:rPr>
        <w:t>相关性检验完成后应及时编制相关检验报告，作为路基压实质量评定报告的组成部分，其内容和样式见附录</w:t>
      </w:r>
      <w:r>
        <w:t>A</w:t>
      </w:r>
      <w:r>
        <w:rPr>
          <w:rFonts w:hint="eastAsia"/>
        </w:rPr>
        <w:t>。</w:t>
      </w:r>
    </w:p>
    <w:p>
      <w:pPr>
        <w:pStyle w:val="38"/>
        <w:adjustRightInd w:val="0"/>
        <w:snapToGrid w:val="0"/>
        <w:spacing w:before="120" w:beforeLines="50" w:after="120" w:afterLines="50" w:line="240" w:lineRule="auto"/>
        <w:jc w:val="left"/>
        <w:rPr>
          <w:rFonts w:ascii="黑体" w:hAnsi="黑体" w:eastAsia="黑体"/>
          <w:b w:val="0"/>
          <w:bCs w:val="0"/>
          <w:kern w:val="2"/>
          <w:sz w:val="21"/>
          <w:szCs w:val="21"/>
        </w:rPr>
      </w:pPr>
      <w:bookmarkStart w:id="57" w:name="_Toc126162180"/>
      <w:r>
        <w:rPr>
          <w:rFonts w:ascii="黑体" w:hAnsi="黑体" w:eastAsia="黑体"/>
          <w:b w:val="0"/>
          <w:bCs w:val="0"/>
          <w:kern w:val="2"/>
          <w:sz w:val="21"/>
          <w:szCs w:val="21"/>
        </w:rPr>
        <w:t xml:space="preserve">6.5 </w:t>
      </w:r>
      <w:r>
        <w:rPr>
          <w:rFonts w:hint="eastAsia" w:ascii="黑体" w:hAnsi="黑体" w:eastAsia="黑体"/>
          <w:b w:val="0"/>
          <w:bCs w:val="0"/>
          <w:kern w:val="2"/>
          <w:sz w:val="21"/>
          <w:szCs w:val="21"/>
        </w:rPr>
        <w:t>检测</w:t>
      </w:r>
      <w:r>
        <w:rPr>
          <w:rFonts w:ascii="黑体" w:hAnsi="黑体" w:eastAsia="黑体"/>
          <w:b w:val="0"/>
          <w:bCs w:val="0"/>
          <w:kern w:val="2"/>
          <w:sz w:val="21"/>
          <w:szCs w:val="21"/>
        </w:rPr>
        <w:t>频率</w:t>
      </w:r>
      <w:bookmarkEnd w:id="57"/>
    </w:p>
    <w:p>
      <w:pPr>
        <w:ind w:firstLine="420" w:firstLineChars="200"/>
      </w:pPr>
      <w:r>
        <w:rPr>
          <w:rFonts w:hint="eastAsia"/>
        </w:rPr>
        <w:t>采</w:t>
      </w:r>
      <w:r>
        <w:t>用土体刚度仪检测路基压实质量的频率</w:t>
      </w:r>
      <w:r>
        <w:rPr>
          <w:rFonts w:hint="eastAsia"/>
        </w:rPr>
        <w:t>，如</w:t>
      </w:r>
      <w:r>
        <w:t>表2</w:t>
      </w:r>
      <w:r>
        <w:rPr>
          <w:rFonts w:hint="eastAsia"/>
        </w:rPr>
        <w:t>所示</w:t>
      </w:r>
      <w:r>
        <w:t>。</w:t>
      </w:r>
    </w:p>
    <w:p>
      <w:pPr>
        <w:spacing w:before="120" w:beforeLines="50"/>
        <w:jc w:val="center"/>
        <w:rPr>
          <w:rFonts w:eastAsia="黑体"/>
          <w:sz w:val="18"/>
          <w:szCs w:val="18"/>
        </w:rPr>
      </w:pPr>
      <w:r>
        <w:rPr>
          <w:rFonts w:eastAsia="黑体"/>
          <w:sz w:val="18"/>
          <w:szCs w:val="18"/>
        </w:rPr>
        <w:t>表2  路基压实质量检测频率</w:t>
      </w:r>
    </w:p>
    <w:tbl>
      <w:tblPr>
        <w:tblStyle w:val="52"/>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774"/>
        <w:gridCol w:w="679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449" w:type="pct"/>
            <w:shd w:val="clear" w:color="auto" w:fill="auto"/>
            <w:vAlign w:val="center"/>
          </w:tcPr>
          <w:p>
            <w:pPr>
              <w:jc w:val="center"/>
              <w:rPr>
                <w:sz w:val="18"/>
                <w:szCs w:val="18"/>
              </w:rPr>
            </w:pPr>
            <w:r>
              <w:rPr>
                <w:sz w:val="18"/>
                <w:szCs w:val="18"/>
              </w:rPr>
              <w:t>公路等级</w:t>
            </w:r>
          </w:p>
        </w:tc>
        <w:tc>
          <w:tcPr>
            <w:tcW w:w="3551" w:type="pct"/>
            <w:shd w:val="clear" w:color="auto" w:fill="auto"/>
            <w:vAlign w:val="center"/>
          </w:tcPr>
          <w:p>
            <w:pPr>
              <w:jc w:val="center"/>
              <w:rPr>
                <w:sz w:val="18"/>
                <w:szCs w:val="18"/>
              </w:rPr>
            </w:pPr>
            <w:r>
              <w:rPr>
                <w:sz w:val="18"/>
                <w:szCs w:val="18"/>
              </w:rPr>
              <w:t>检测频率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449" w:type="pct"/>
            <w:shd w:val="clear" w:color="auto" w:fill="auto"/>
            <w:vAlign w:val="center"/>
          </w:tcPr>
          <w:p>
            <w:pPr>
              <w:jc w:val="center"/>
              <w:rPr>
                <w:sz w:val="18"/>
                <w:szCs w:val="18"/>
              </w:rPr>
            </w:pPr>
            <w:r>
              <w:rPr>
                <w:sz w:val="18"/>
                <w:szCs w:val="18"/>
              </w:rPr>
              <w:t>高速、一级公路</w:t>
            </w:r>
          </w:p>
        </w:tc>
        <w:tc>
          <w:tcPr>
            <w:tcW w:w="3551" w:type="pct"/>
            <w:shd w:val="clear" w:color="auto" w:fill="auto"/>
            <w:vAlign w:val="center"/>
          </w:tcPr>
          <w:p>
            <w:pPr>
              <w:jc w:val="left"/>
              <w:rPr>
                <w:sz w:val="18"/>
                <w:szCs w:val="18"/>
              </w:rPr>
            </w:pPr>
            <w:r>
              <w:rPr>
                <w:rFonts w:hint="eastAsia"/>
                <w:sz w:val="18"/>
                <w:szCs w:val="18"/>
              </w:rPr>
              <w:t>路基横断面按设计车道数量均匀布设，纵断面</w:t>
            </w:r>
            <w:r>
              <w:rPr>
                <w:sz w:val="18"/>
                <w:szCs w:val="18"/>
              </w:rPr>
              <w:t>每100 m每压实层测10处</w:t>
            </w:r>
            <w:r>
              <w:rPr>
                <w:rFonts w:hint="eastAsia"/>
                <w:sz w:val="18"/>
                <w:szCs w:val="18"/>
              </w:rPr>
              <w:t>；</w:t>
            </w:r>
            <w:r>
              <w:rPr>
                <w:sz w:val="18"/>
                <w:szCs w:val="18"/>
              </w:rPr>
              <w:t>超过100 m，按10 m增加</w:t>
            </w:r>
            <w:r>
              <w:rPr>
                <w:rFonts w:hint="eastAsia"/>
                <w:sz w:val="18"/>
                <w:szCs w:val="18"/>
              </w:rPr>
              <w:t>1</w:t>
            </w:r>
            <w:r>
              <w:rPr>
                <w:sz w:val="18"/>
                <w:szCs w:val="18"/>
              </w:rPr>
              <w:t>处，不足10 m时，按</w:t>
            </w:r>
            <w:r>
              <w:rPr>
                <w:rFonts w:hint="eastAsia"/>
                <w:sz w:val="18"/>
                <w:szCs w:val="18"/>
              </w:rPr>
              <w:t>实际长度增加1</w:t>
            </w:r>
            <w:r>
              <w:rPr>
                <w:sz w:val="18"/>
                <w:szCs w:val="18"/>
              </w:rPr>
              <w:t>处</w:t>
            </w:r>
            <w:r>
              <w:rPr>
                <w:rFonts w:hint="eastAsia"/>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449" w:type="pct"/>
            <w:shd w:val="clear" w:color="auto" w:fill="auto"/>
            <w:vAlign w:val="center"/>
          </w:tcPr>
          <w:p>
            <w:pPr>
              <w:jc w:val="center"/>
              <w:rPr>
                <w:sz w:val="18"/>
                <w:szCs w:val="18"/>
              </w:rPr>
            </w:pPr>
            <w:r>
              <w:rPr>
                <w:sz w:val="18"/>
                <w:szCs w:val="18"/>
              </w:rPr>
              <w:t>二级</w:t>
            </w:r>
            <w:r>
              <w:rPr>
                <w:rFonts w:hint="eastAsia"/>
                <w:sz w:val="18"/>
                <w:szCs w:val="18"/>
              </w:rPr>
              <w:t>及以下</w:t>
            </w:r>
            <w:r>
              <w:rPr>
                <w:sz w:val="18"/>
                <w:szCs w:val="18"/>
              </w:rPr>
              <w:t>公路</w:t>
            </w:r>
          </w:p>
        </w:tc>
        <w:tc>
          <w:tcPr>
            <w:tcW w:w="3551" w:type="pct"/>
            <w:shd w:val="clear" w:color="auto" w:fill="auto"/>
            <w:vAlign w:val="center"/>
          </w:tcPr>
          <w:p>
            <w:pPr>
              <w:jc w:val="left"/>
              <w:rPr>
                <w:sz w:val="18"/>
                <w:szCs w:val="18"/>
              </w:rPr>
            </w:pPr>
            <w:r>
              <w:rPr>
                <w:rFonts w:hint="eastAsia"/>
                <w:sz w:val="18"/>
                <w:szCs w:val="18"/>
              </w:rPr>
              <w:t>路基横断面按设计车道数量均匀布设，纵断面</w:t>
            </w:r>
            <w:r>
              <w:rPr>
                <w:sz w:val="18"/>
                <w:szCs w:val="18"/>
              </w:rPr>
              <w:t>每100 m每压实层测8处</w:t>
            </w:r>
            <w:r>
              <w:rPr>
                <w:rFonts w:hint="eastAsia"/>
                <w:sz w:val="18"/>
                <w:szCs w:val="18"/>
              </w:rPr>
              <w:t>；</w:t>
            </w:r>
            <w:r>
              <w:rPr>
                <w:sz w:val="18"/>
                <w:szCs w:val="18"/>
              </w:rPr>
              <w:t>超过100 m，按10 m增加</w:t>
            </w:r>
            <w:r>
              <w:rPr>
                <w:rFonts w:hint="eastAsia"/>
                <w:sz w:val="18"/>
                <w:szCs w:val="18"/>
              </w:rPr>
              <w:t>1</w:t>
            </w:r>
            <w:r>
              <w:rPr>
                <w:sz w:val="18"/>
                <w:szCs w:val="18"/>
              </w:rPr>
              <w:t>处，不足10 m时，按</w:t>
            </w:r>
            <w:r>
              <w:rPr>
                <w:rFonts w:hint="eastAsia"/>
                <w:sz w:val="18"/>
                <w:szCs w:val="18"/>
              </w:rPr>
              <w:t>实际长度增加1</w:t>
            </w:r>
            <w:r>
              <w:rPr>
                <w:sz w:val="18"/>
                <w:szCs w:val="18"/>
              </w:rPr>
              <w:t>处</w:t>
            </w:r>
            <w:r>
              <w:rPr>
                <w:rFonts w:hint="eastAsia"/>
                <w:sz w:val="18"/>
                <w:szCs w:val="18"/>
              </w:rPr>
              <w:t>。</w:t>
            </w:r>
          </w:p>
        </w:tc>
      </w:tr>
    </w:tbl>
    <w:p>
      <w:pPr>
        <w:pStyle w:val="38"/>
        <w:adjustRightInd w:val="0"/>
        <w:snapToGrid w:val="0"/>
        <w:spacing w:before="120" w:beforeLines="50" w:after="120" w:afterLines="50" w:line="240" w:lineRule="auto"/>
        <w:jc w:val="left"/>
        <w:rPr>
          <w:rFonts w:ascii="黑体" w:hAnsi="黑体" w:eastAsia="黑体"/>
          <w:b w:val="0"/>
          <w:bCs w:val="0"/>
          <w:kern w:val="2"/>
          <w:sz w:val="21"/>
          <w:szCs w:val="21"/>
        </w:rPr>
      </w:pPr>
      <w:bookmarkStart w:id="58" w:name="_Toc126162181"/>
      <w:r>
        <w:rPr>
          <w:rFonts w:hint="eastAsia" w:ascii="黑体" w:hAnsi="黑体" w:eastAsia="黑体"/>
          <w:b w:val="0"/>
          <w:bCs w:val="0"/>
          <w:kern w:val="2"/>
          <w:sz w:val="21"/>
          <w:szCs w:val="21"/>
        </w:rPr>
        <w:t>6</w:t>
      </w:r>
      <w:r>
        <w:rPr>
          <w:rFonts w:ascii="黑体" w:hAnsi="黑体" w:eastAsia="黑体"/>
          <w:b w:val="0"/>
          <w:bCs w:val="0"/>
          <w:kern w:val="2"/>
          <w:sz w:val="21"/>
          <w:szCs w:val="21"/>
        </w:rPr>
        <w:t>.6 测点布置</w:t>
      </w:r>
      <w:bookmarkEnd w:id="58"/>
    </w:p>
    <w:p>
      <w:pPr>
        <w:ind w:firstLine="420" w:firstLineChars="200"/>
      </w:pPr>
      <w:r>
        <w:t>按照试验段确定的施工工艺完成每层路基</w:t>
      </w:r>
      <w:r>
        <w:rPr>
          <w:rFonts w:hint="eastAsia"/>
        </w:rPr>
        <w:t>碾压</w:t>
      </w:r>
      <w:r>
        <w:t>后，土体刚度仪</w:t>
      </w:r>
      <w:r>
        <w:rPr>
          <w:rFonts w:hint="eastAsia"/>
        </w:rPr>
        <w:t>测点应按照以下原则进行</w:t>
      </w:r>
      <w:r>
        <w:t>布置</w:t>
      </w:r>
      <w:r>
        <w:rPr>
          <w:rFonts w:hint="eastAsia"/>
        </w:rPr>
        <w:t>：</w:t>
      </w:r>
    </w:p>
    <w:p>
      <w:pPr>
        <w:ind w:firstLine="480"/>
      </w:pPr>
      <w:r>
        <w:t>a) 沿路基纵向</w:t>
      </w:r>
      <w:r>
        <w:rPr>
          <w:rFonts w:hint="eastAsia"/>
        </w:rPr>
        <w:t>等间距、横向“之”字形随机布置测点，如图2所示；</w:t>
      </w:r>
    </w:p>
    <w:p>
      <w:pPr>
        <w:ind w:firstLine="480"/>
      </w:pPr>
      <w:r>
        <w:t xml:space="preserve">b) </w:t>
      </w:r>
      <w:r>
        <w:rPr>
          <w:rFonts w:hint="eastAsia"/>
        </w:rPr>
        <w:t>距离</w:t>
      </w:r>
      <w:r>
        <w:t>路基</w:t>
      </w:r>
      <w:r>
        <w:rPr>
          <w:rFonts w:hint="eastAsia"/>
        </w:rPr>
        <w:t>边缘</w:t>
      </w:r>
      <w:r>
        <w:t>1.5m范围内不</w:t>
      </w:r>
      <w:r>
        <w:rPr>
          <w:rFonts w:hint="eastAsia"/>
        </w:rPr>
        <w:t>进行</w:t>
      </w:r>
      <w:r>
        <w:t>布点；</w:t>
      </w:r>
    </w:p>
    <w:p>
      <w:pPr>
        <w:ind w:firstLine="480"/>
      </w:pPr>
      <w:r>
        <w:rPr>
          <w:rFonts w:hint="eastAsia"/>
        </w:rPr>
        <w:t>c</w:t>
      </w:r>
      <w:r>
        <w:t xml:space="preserve">) </w:t>
      </w:r>
      <w:r>
        <w:rPr>
          <w:rFonts w:hint="eastAsia"/>
        </w:rPr>
        <w:t>测点</w:t>
      </w:r>
      <w:r>
        <w:t>表面</w:t>
      </w:r>
      <w:r>
        <w:rPr>
          <w:rFonts w:hint="eastAsia"/>
        </w:rPr>
        <w:t>附近应</w:t>
      </w:r>
      <w:r>
        <w:t>平整，</w:t>
      </w:r>
      <w:r>
        <w:rPr>
          <w:rFonts w:hint="eastAsia"/>
        </w:rPr>
        <w:t>填料应</w:t>
      </w:r>
      <w:r>
        <w:t>均匀。</w:t>
      </w:r>
    </w:p>
    <w:p>
      <w:pPr>
        <w:spacing w:line="360" w:lineRule="auto"/>
        <w:jc w:val="center"/>
      </w:pPr>
      <w:r>
        <w:drawing>
          <wp:inline distT="0" distB="0" distL="0" distR="0">
            <wp:extent cx="3106420" cy="1771015"/>
            <wp:effectExtent l="0" t="0" r="0" b="635"/>
            <wp:docPr id="20" name="图片 20"/>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true"/>
                    </pic:cNvPicPr>
                  </pic:nvPicPr>
                  <pic:blipFill>
                    <a:blip r:embed="rId13"/>
                    <a:stretch>
                      <a:fillRect/>
                    </a:stretch>
                  </pic:blipFill>
                  <pic:spPr>
                    <a:xfrm>
                      <a:off x="0" y="0"/>
                      <a:ext cx="3120439" cy="1779534"/>
                    </a:xfrm>
                    <a:prstGeom prst="rect">
                      <a:avLst/>
                    </a:prstGeom>
                  </pic:spPr>
                </pic:pic>
              </a:graphicData>
            </a:graphic>
          </wp:inline>
        </w:drawing>
      </w:r>
    </w:p>
    <w:p>
      <w:pPr>
        <w:spacing w:line="360" w:lineRule="auto"/>
        <w:jc w:val="center"/>
        <w:rPr>
          <w:rFonts w:ascii="黑体" w:hAnsi="黑体" w:eastAsia="黑体"/>
          <w:sz w:val="18"/>
          <w:szCs w:val="21"/>
        </w:rPr>
      </w:pPr>
      <w:r>
        <w:rPr>
          <w:rFonts w:hint="eastAsia" w:ascii="黑体" w:hAnsi="黑体" w:eastAsia="黑体"/>
          <w:sz w:val="18"/>
          <w:szCs w:val="21"/>
        </w:rPr>
        <w:t>图2</w:t>
      </w:r>
      <w:r>
        <w:rPr>
          <w:rFonts w:ascii="黑体" w:hAnsi="黑体" w:eastAsia="黑体"/>
          <w:sz w:val="18"/>
          <w:szCs w:val="21"/>
        </w:rPr>
        <w:t xml:space="preserve"> </w:t>
      </w:r>
      <w:r>
        <w:rPr>
          <w:rFonts w:hint="eastAsia" w:ascii="黑体" w:hAnsi="黑体" w:eastAsia="黑体"/>
          <w:sz w:val="18"/>
          <w:szCs w:val="21"/>
        </w:rPr>
        <w:t>测点布置图</w:t>
      </w:r>
    </w:p>
    <w:p>
      <w:pPr>
        <w:pStyle w:val="131"/>
        <w:numPr>
          <w:ilvl w:val="0"/>
          <w:numId w:val="0"/>
        </w:numPr>
        <w:spacing w:before="240" w:after="240"/>
        <w:outlineLvl w:val="0"/>
        <w:rPr>
          <w:rFonts w:ascii="Times New Roman"/>
        </w:rPr>
      </w:pPr>
      <w:bookmarkStart w:id="59" w:name="_Toc126162182"/>
      <w:r>
        <w:rPr>
          <w:rFonts w:ascii="Times New Roman"/>
        </w:rPr>
        <w:t xml:space="preserve">7  </w:t>
      </w:r>
      <w:r>
        <w:rPr>
          <w:rFonts w:hint="eastAsia" w:ascii="Times New Roman"/>
        </w:rPr>
        <w:t>压实度评价</w:t>
      </w:r>
    </w:p>
    <w:p>
      <w:pPr>
        <w:widowControl/>
        <w:jc w:val="left"/>
        <w:rPr>
          <w:rFonts w:ascii="宋体" w:hAnsi="宋体" w:cs="宋体"/>
          <w:color w:val="000000"/>
          <w:kern w:val="0"/>
          <w:szCs w:val="21"/>
        </w:rPr>
      </w:pPr>
      <w:r>
        <w:rPr>
          <w:rFonts w:ascii="黑体" w:hAnsi="黑体" w:eastAsia="黑体" w:cs="宋体"/>
          <w:color w:val="000000"/>
          <w:kern w:val="0"/>
          <w:szCs w:val="21"/>
        </w:rPr>
        <w:t>7</w:t>
      </w:r>
      <w:r>
        <w:rPr>
          <w:rFonts w:hint="eastAsia" w:ascii="黑体" w:hAnsi="黑体" w:eastAsia="黑体" w:cs="宋体"/>
          <w:color w:val="000000"/>
          <w:kern w:val="0"/>
          <w:szCs w:val="21"/>
        </w:rPr>
        <w:t xml:space="preserve">.1 </w:t>
      </w:r>
      <w:r>
        <w:rPr>
          <w:rFonts w:hint="eastAsia" w:ascii="宋体" w:hAnsi="宋体" w:cs="宋体"/>
          <w:color w:val="000000"/>
          <w:kern w:val="0"/>
          <w:szCs w:val="21"/>
        </w:rPr>
        <w:t>基于相关性检验所得到的</w:t>
      </w:r>
      <w:r>
        <w:t>压实</w:t>
      </w:r>
      <w:r>
        <w:rPr>
          <w:rFonts w:hint="eastAsia"/>
        </w:rPr>
        <w:t>路基层位的</w:t>
      </w:r>
      <w:r>
        <w:t>刚度规定值</w:t>
      </w:r>
      <w:r>
        <w:rPr>
          <w:rFonts w:hint="eastAsia"/>
        </w:rPr>
        <w:t>，同类填料的路基</w:t>
      </w:r>
      <w:r>
        <w:rPr>
          <w:rFonts w:ascii="宋体" w:hAnsi="宋体" w:cs="宋体"/>
          <w:color w:val="000000"/>
          <w:kern w:val="0"/>
          <w:szCs w:val="21"/>
        </w:rPr>
        <w:t>土体刚度仪</w:t>
      </w:r>
      <w:r>
        <w:rPr>
          <w:rFonts w:hint="eastAsia" w:ascii="宋体" w:hAnsi="宋体" w:cs="宋体"/>
          <w:color w:val="000000"/>
          <w:kern w:val="0"/>
          <w:szCs w:val="21"/>
        </w:rPr>
        <w:t>检测值不应低于</w:t>
      </w:r>
      <w:r>
        <w:t>刚度规定值</w:t>
      </w:r>
      <w:r>
        <w:rPr>
          <w:rFonts w:hint="eastAsia"/>
        </w:rPr>
        <w:t>的</w:t>
      </w:r>
      <w:r>
        <w:t>90%</w:t>
      </w:r>
      <w:r>
        <w:rPr>
          <w:rFonts w:hint="eastAsia"/>
        </w:rPr>
        <w:t>，即可认为该测点压实程度合格。</w:t>
      </w:r>
    </w:p>
    <w:p>
      <w:pPr>
        <w:widowControl/>
        <w:jc w:val="left"/>
        <w:rPr>
          <w:color w:val="000000"/>
          <w:kern w:val="0"/>
          <w:szCs w:val="21"/>
        </w:rPr>
      </w:pPr>
      <w:r>
        <w:rPr>
          <w:rFonts w:hint="eastAsia" w:ascii="黑体" w:hAnsi="黑体" w:eastAsia="黑体" w:cs="宋体"/>
          <w:color w:val="000000"/>
          <w:kern w:val="0"/>
          <w:szCs w:val="21"/>
        </w:rPr>
        <w:t>7</w:t>
      </w:r>
      <w:r>
        <w:rPr>
          <w:rFonts w:ascii="黑体" w:hAnsi="黑体" w:eastAsia="黑体" w:cs="宋体"/>
          <w:color w:val="000000"/>
          <w:kern w:val="0"/>
          <w:szCs w:val="21"/>
        </w:rPr>
        <w:t xml:space="preserve">.2 </w:t>
      </w:r>
      <w:r>
        <w:rPr>
          <w:color w:val="000000"/>
          <w:kern w:val="0"/>
          <w:szCs w:val="21"/>
        </w:rPr>
        <w:t>若某层路基压实面横、纵断面连续6个测点检测值均低于</w:t>
      </w:r>
      <w:r>
        <w:t>刚度规定值的90%，</w:t>
      </w:r>
      <w:r>
        <w:rPr>
          <w:rFonts w:hint="eastAsia"/>
        </w:rPr>
        <w:t>评定路段压实质量不合格，相应分项工程评为不合格。</w:t>
      </w:r>
    </w:p>
    <w:p>
      <w:pPr>
        <w:pStyle w:val="37"/>
        <w:ind w:firstLine="0" w:firstLineChars="0"/>
        <w:rPr>
          <w:rFonts w:hint="eastAsia"/>
        </w:rPr>
      </w:pPr>
    </w:p>
    <w:p>
      <w:pPr>
        <w:pStyle w:val="131"/>
        <w:numPr>
          <w:ilvl w:val="0"/>
          <w:numId w:val="0"/>
        </w:numPr>
        <w:spacing w:before="240" w:after="240"/>
        <w:outlineLvl w:val="0"/>
        <w:rPr>
          <w:rFonts w:ascii="Times New Roman"/>
        </w:rPr>
      </w:pPr>
      <w:r>
        <w:rPr>
          <w:rFonts w:ascii="Times New Roman"/>
        </w:rPr>
        <w:t xml:space="preserve">8  </w:t>
      </w:r>
      <w:r>
        <w:rPr>
          <w:rFonts w:hint="eastAsia" w:ascii="Times New Roman"/>
        </w:rPr>
        <w:t>压实均匀性评价</w:t>
      </w:r>
      <w:bookmarkEnd w:id="59"/>
    </w:p>
    <w:p>
      <w:pPr>
        <w:widowControl/>
        <w:jc w:val="left"/>
        <w:rPr>
          <w:rFonts w:ascii="宋体" w:hAnsi="宋体" w:cs="宋体"/>
          <w:color w:val="000000"/>
          <w:kern w:val="0"/>
          <w:szCs w:val="21"/>
        </w:rPr>
      </w:pPr>
      <w:r>
        <w:rPr>
          <w:rFonts w:ascii="黑体" w:hAnsi="黑体" w:eastAsia="黑体" w:cs="宋体"/>
          <w:color w:val="000000"/>
          <w:kern w:val="0"/>
          <w:szCs w:val="21"/>
        </w:rPr>
        <w:t>8</w:t>
      </w:r>
      <w:r>
        <w:rPr>
          <w:rFonts w:hint="eastAsia" w:ascii="黑体" w:hAnsi="黑体" w:eastAsia="黑体" w:cs="宋体"/>
          <w:color w:val="000000"/>
          <w:kern w:val="0"/>
          <w:szCs w:val="21"/>
        </w:rPr>
        <w:t xml:space="preserve">.1 </w:t>
      </w:r>
      <w:r>
        <w:rPr>
          <w:rFonts w:hint="eastAsia" w:ascii="宋体" w:hAnsi="宋体" w:cs="宋体"/>
          <w:color w:val="000000"/>
          <w:kern w:val="0"/>
          <w:szCs w:val="21"/>
        </w:rPr>
        <w:t>基于</w:t>
      </w:r>
      <w:r>
        <w:rPr>
          <w:rFonts w:ascii="宋体" w:hAnsi="宋体" w:cs="宋体"/>
          <w:color w:val="000000"/>
          <w:kern w:val="0"/>
          <w:szCs w:val="21"/>
        </w:rPr>
        <w:t>土体刚度仪</w:t>
      </w:r>
      <w:r>
        <w:rPr>
          <w:rFonts w:hint="eastAsia" w:ascii="宋体" w:hAnsi="宋体" w:cs="宋体"/>
          <w:color w:val="000000"/>
          <w:kern w:val="0"/>
          <w:szCs w:val="21"/>
        </w:rPr>
        <w:t>检测指标的路基压实均匀性判定可通过纵向测点路基刚度曲线的波动变化程度和检测数据的分布特征进行判定。</w:t>
      </w:r>
    </w:p>
    <w:p>
      <w:pPr>
        <w:widowControl/>
        <w:jc w:val="left"/>
      </w:pPr>
      <w:r>
        <w:rPr>
          <w:rFonts w:ascii="黑体" w:hAnsi="黑体" w:eastAsia="黑体" w:cs="宋体"/>
          <w:color w:val="000000"/>
          <w:kern w:val="0"/>
          <w:szCs w:val="21"/>
        </w:rPr>
        <w:t>8</w:t>
      </w:r>
      <w:r>
        <w:rPr>
          <w:rFonts w:hint="eastAsia" w:ascii="黑体" w:hAnsi="黑体" w:eastAsia="黑体" w:cs="宋体"/>
          <w:color w:val="000000"/>
          <w:kern w:val="0"/>
          <w:szCs w:val="21"/>
        </w:rPr>
        <w:t xml:space="preserve">.2 </w:t>
      </w:r>
      <w:r>
        <w:rPr>
          <w:rFonts w:hint="eastAsia" w:ascii="宋体" w:hAnsi="宋体" w:cs="宋体"/>
          <w:color w:val="000000"/>
          <w:kern w:val="0"/>
          <w:szCs w:val="21"/>
        </w:rPr>
        <w:t>基于</w:t>
      </w:r>
      <w:r>
        <w:rPr>
          <w:rFonts w:ascii="宋体" w:hAnsi="宋体" w:cs="宋体"/>
          <w:color w:val="000000"/>
          <w:kern w:val="0"/>
          <w:szCs w:val="21"/>
        </w:rPr>
        <w:t>土体刚度仪</w:t>
      </w:r>
      <w:r>
        <w:rPr>
          <w:rFonts w:hint="eastAsia" w:ascii="宋体" w:hAnsi="宋体" w:cs="宋体"/>
          <w:color w:val="000000"/>
          <w:kern w:val="0"/>
          <w:szCs w:val="21"/>
        </w:rPr>
        <w:t>检测指标的路基压实均匀性控制宜按每</w:t>
      </w:r>
      <w:r>
        <w:rPr>
          <w:color w:val="000000"/>
          <w:kern w:val="0"/>
          <w:szCs w:val="21"/>
        </w:rPr>
        <w:t>一测点的路基刚度</w:t>
      </w:r>
      <w:r>
        <w:rPr>
          <w:rFonts w:hint="eastAsia" w:ascii="宋体" w:hAnsi="宋体" w:cs="宋体"/>
          <w:color w:val="000000"/>
          <w:kern w:val="0"/>
          <w:szCs w:val="21"/>
        </w:rPr>
        <w:t>数据不小于其平均值的80%进行控制，如图</w:t>
      </w:r>
      <w:r>
        <w:rPr>
          <w:color w:val="000000"/>
          <w:kern w:val="0"/>
          <w:szCs w:val="21"/>
        </w:rPr>
        <w:t>3</w:t>
      </w:r>
      <w:r>
        <w:rPr>
          <w:rFonts w:hint="eastAsia" w:ascii="宋体" w:hAnsi="宋体" w:cs="宋体"/>
          <w:color w:val="000000"/>
          <w:szCs w:val="21"/>
        </w:rPr>
        <w:t>所示。</w:t>
      </w:r>
    </w:p>
    <w:p>
      <w:pPr>
        <w:widowControl/>
        <w:jc w:val="center"/>
        <w:rPr>
          <w:color w:val="000000"/>
          <w:kern w:val="0"/>
          <w:szCs w:val="21"/>
        </w:rPr>
      </w:pPr>
      <w:r>
        <w:rPr>
          <w:color w:val="000000"/>
          <w:kern w:val="0"/>
          <w:szCs w:val="21"/>
        </w:rPr>
        <w:drawing>
          <wp:inline distT="0" distB="0" distL="0" distR="0">
            <wp:extent cx="3647440" cy="1346835"/>
            <wp:effectExtent l="0" t="0" r="0" b="5715"/>
            <wp:docPr id="22" name="图片 2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true"/>
                    </pic:cNvPicPr>
                  </pic:nvPicPr>
                  <pic:blipFill>
                    <a:blip r:embed="rId14"/>
                    <a:stretch>
                      <a:fillRect/>
                    </a:stretch>
                  </pic:blipFill>
                  <pic:spPr>
                    <a:xfrm>
                      <a:off x="0" y="0"/>
                      <a:ext cx="3667136" cy="1354351"/>
                    </a:xfrm>
                    <a:prstGeom prst="rect">
                      <a:avLst/>
                    </a:prstGeom>
                  </pic:spPr>
                </pic:pic>
              </a:graphicData>
            </a:graphic>
          </wp:inline>
        </w:drawing>
      </w:r>
    </w:p>
    <w:p>
      <w:pPr>
        <w:jc w:val="center"/>
        <w:rPr>
          <w:rFonts w:ascii="黑体" w:hAnsi="黑体" w:eastAsia="黑体"/>
          <w:sz w:val="18"/>
          <w:szCs w:val="18"/>
        </w:rPr>
      </w:pPr>
      <w:r>
        <w:rPr>
          <w:rFonts w:hint="eastAsia" w:ascii="黑体" w:hAnsi="黑体" w:eastAsia="黑体"/>
          <w:sz w:val="18"/>
          <w:szCs w:val="18"/>
        </w:rPr>
        <w:t xml:space="preserve">图 </w:t>
      </w:r>
      <w:r>
        <w:rPr>
          <w:rFonts w:ascii="黑体" w:hAnsi="黑体" w:eastAsia="黑体"/>
          <w:sz w:val="18"/>
          <w:szCs w:val="18"/>
        </w:rPr>
        <w:t>3</w:t>
      </w:r>
      <w:r>
        <w:rPr>
          <w:rFonts w:hint="eastAsia" w:ascii="黑体" w:hAnsi="黑体" w:eastAsia="黑体"/>
          <w:sz w:val="18"/>
          <w:szCs w:val="18"/>
        </w:rPr>
        <w:t xml:space="preserve"> 压实均匀性检测判定示意图</w:t>
      </w:r>
    </w:p>
    <w:p>
      <w:pPr>
        <w:pStyle w:val="131"/>
        <w:numPr>
          <w:ilvl w:val="0"/>
          <w:numId w:val="0"/>
        </w:numPr>
        <w:spacing w:before="240" w:after="240"/>
        <w:outlineLvl w:val="0"/>
        <w:rPr>
          <w:rFonts w:hAnsi="宋体" w:cs="宋体"/>
          <w:color w:val="000000"/>
          <w:szCs w:val="21"/>
        </w:rPr>
      </w:pPr>
    </w:p>
    <w:p>
      <w:pPr>
        <w:pStyle w:val="131"/>
        <w:numPr>
          <w:ilvl w:val="0"/>
          <w:numId w:val="0"/>
        </w:numPr>
        <w:spacing w:before="240" w:after="240"/>
        <w:outlineLvl w:val="0"/>
        <w:rPr>
          <w:rFonts w:ascii="Times New Roman"/>
        </w:rPr>
      </w:pPr>
      <w:bookmarkStart w:id="60" w:name="_Toc126162184"/>
      <w:r>
        <w:rPr>
          <w:rFonts w:ascii="Times New Roman"/>
        </w:rPr>
        <w:t>9  压实质量报告</w:t>
      </w:r>
      <w:bookmarkEnd w:id="60"/>
    </w:p>
    <w:p>
      <w:pPr>
        <w:spacing w:line="360" w:lineRule="auto"/>
      </w:pPr>
      <w:r>
        <w:rPr>
          <w:rFonts w:eastAsia="黑体"/>
        </w:rPr>
        <w:t xml:space="preserve">9.1 </w:t>
      </w:r>
      <w:r>
        <w:t>公路路基压实质量检测报告中，应以检测记录表显示整个碾压区域的压实质量状况</w:t>
      </w:r>
      <w:r>
        <w:rPr>
          <w:rFonts w:hint="eastAsia"/>
        </w:rPr>
        <w:t>；</w:t>
      </w:r>
    </w:p>
    <w:p>
      <w:pPr>
        <w:spacing w:line="360" w:lineRule="auto"/>
      </w:pPr>
      <w:r>
        <w:rPr>
          <w:rFonts w:eastAsia="黑体"/>
        </w:rPr>
        <w:t xml:space="preserve">9.2 </w:t>
      </w:r>
      <w:r>
        <w:t>压实质量报告应全面提供压实质量信息，应包括土体刚度仪检测记录表，参见附录B，检测记录表中应包括</w:t>
      </w:r>
      <w:r>
        <w:rPr>
          <w:i/>
        </w:rPr>
        <w:t>K</w:t>
      </w:r>
      <w:r>
        <w:rPr>
          <w:vertAlign w:val="subscript"/>
        </w:rPr>
        <w:t>gr</w:t>
      </w:r>
      <w:r>
        <w:t>频率分布直方图。</w:t>
      </w:r>
    </w:p>
    <w:p>
      <w:pPr>
        <w:spacing w:line="360" w:lineRule="auto"/>
        <w:ind w:firstLine="420" w:firstLineChars="200"/>
      </w:pPr>
    </w:p>
    <w:p>
      <w:pPr>
        <w:widowControl/>
        <w:jc w:val="left"/>
      </w:pPr>
      <w:r>
        <w:br w:type="page"/>
      </w:r>
    </w:p>
    <w:p>
      <w:pPr>
        <w:jc w:val="center"/>
        <w:outlineLvl w:val="0"/>
        <w:rPr>
          <w:rFonts w:eastAsia="黑体"/>
          <w:sz w:val="28"/>
          <w:szCs w:val="28"/>
        </w:rPr>
      </w:pPr>
      <w:bookmarkStart w:id="61" w:name="_Toc126162185"/>
      <w:r>
        <w:rPr>
          <w:rFonts w:eastAsia="黑体"/>
          <w:sz w:val="28"/>
          <w:szCs w:val="28"/>
        </w:rPr>
        <w:t xml:space="preserve">附  </w:t>
      </w:r>
      <w:r>
        <w:rPr>
          <w:rFonts w:hint="eastAsia" w:eastAsia="黑体"/>
          <w:sz w:val="28"/>
          <w:szCs w:val="28"/>
        </w:rPr>
        <w:t>录</w:t>
      </w:r>
      <w:r>
        <w:rPr>
          <w:rFonts w:eastAsia="黑体"/>
          <w:sz w:val="28"/>
          <w:szCs w:val="28"/>
        </w:rPr>
        <w:t xml:space="preserve">  A</w:t>
      </w:r>
      <w:bookmarkEnd w:id="61"/>
    </w:p>
    <w:p>
      <w:pPr>
        <w:spacing w:line="360" w:lineRule="auto"/>
        <w:jc w:val="center"/>
        <w:rPr>
          <w:rFonts w:ascii="黑体" w:hAnsi="黑体" w:eastAsia="黑体"/>
        </w:rPr>
      </w:pPr>
      <w:r>
        <w:rPr>
          <w:rFonts w:ascii="黑体" w:hAnsi="黑体" w:eastAsia="黑体"/>
        </w:rPr>
        <w:t>（</w:t>
      </w:r>
      <w:r>
        <w:rPr>
          <w:rFonts w:hint="eastAsia" w:ascii="黑体" w:hAnsi="黑体" w:eastAsia="黑体"/>
        </w:rPr>
        <w:t>资料性</w:t>
      </w:r>
      <w:r>
        <w:rPr>
          <w:rFonts w:ascii="黑体" w:hAnsi="黑体" w:eastAsia="黑体"/>
        </w:rPr>
        <w:t>）</w:t>
      </w:r>
    </w:p>
    <w:p>
      <w:pPr>
        <w:spacing w:line="360" w:lineRule="auto"/>
        <w:jc w:val="center"/>
        <w:rPr>
          <w:rFonts w:eastAsia="黑体"/>
        </w:rPr>
      </w:pPr>
      <w:r>
        <w:rPr>
          <w:rFonts w:hint="eastAsia" w:eastAsia="黑体"/>
        </w:rPr>
        <w:t>路基刚度与常规检测指标间的相关性检验</w:t>
      </w:r>
      <w:r>
        <w:rPr>
          <w:rFonts w:eastAsia="黑体"/>
        </w:rPr>
        <w:t>试验</w:t>
      </w:r>
      <w:r>
        <w:rPr>
          <w:rFonts w:hint="eastAsia" w:eastAsia="黑体"/>
        </w:rPr>
        <w:t>报告</w:t>
      </w:r>
    </w:p>
    <w:tbl>
      <w:tblPr>
        <w:tblStyle w:val="5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4"/>
        <w:gridCol w:w="651"/>
        <w:gridCol w:w="842"/>
        <w:gridCol w:w="752"/>
        <w:gridCol w:w="873"/>
        <w:gridCol w:w="722"/>
        <w:gridCol w:w="1018"/>
        <w:gridCol w:w="186"/>
        <w:gridCol w:w="390"/>
        <w:gridCol w:w="507"/>
        <w:gridCol w:w="1087"/>
        <w:gridCol w:w="440"/>
        <w:gridCol w:w="11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1273" w:type="pct"/>
            <w:gridSpan w:val="3"/>
            <w:tcBorders>
              <w:top w:val="nil"/>
              <w:left w:val="nil"/>
              <w:bottom w:val="single" w:color="auto" w:sz="4" w:space="0"/>
              <w:right w:val="nil"/>
            </w:tcBorders>
            <w:vAlign w:val="center"/>
          </w:tcPr>
          <w:p>
            <w:pPr>
              <w:jc w:val="left"/>
              <w:rPr>
                <w:rFonts w:ascii="等线" w:hAnsi="等线" w:eastAsia="等线"/>
                <w:sz w:val="22"/>
                <w:szCs w:val="22"/>
              </w:rPr>
            </w:pPr>
            <w:r>
              <w:rPr>
                <w:rFonts w:hint="eastAsia" w:ascii="等线" w:hAnsi="等线" w:eastAsia="等线"/>
                <w:sz w:val="22"/>
                <w:szCs w:val="22"/>
              </w:rPr>
              <w:t>工程</w:t>
            </w:r>
            <w:r>
              <w:rPr>
                <w:rFonts w:ascii="等线" w:hAnsi="等线" w:eastAsia="等线"/>
                <w:sz w:val="22"/>
                <w:szCs w:val="22"/>
              </w:rPr>
              <w:t>名称：</w:t>
            </w:r>
          </w:p>
        </w:tc>
        <w:tc>
          <w:tcPr>
            <w:tcW w:w="1855" w:type="pct"/>
            <w:gridSpan w:val="5"/>
            <w:tcBorders>
              <w:top w:val="nil"/>
              <w:left w:val="nil"/>
              <w:bottom w:val="single" w:color="auto" w:sz="4" w:space="0"/>
              <w:right w:val="nil"/>
            </w:tcBorders>
            <w:vAlign w:val="center"/>
          </w:tcPr>
          <w:p>
            <w:pPr>
              <w:jc w:val="left"/>
              <w:rPr>
                <w:rFonts w:ascii="等线" w:hAnsi="等线" w:eastAsia="等线"/>
                <w:sz w:val="22"/>
                <w:szCs w:val="22"/>
              </w:rPr>
            </w:pPr>
          </w:p>
        </w:tc>
        <w:tc>
          <w:tcPr>
            <w:tcW w:w="1872" w:type="pct"/>
            <w:gridSpan w:val="5"/>
            <w:tcBorders>
              <w:top w:val="nil"/>
              <w:left w:val="nil"/>
              <w:bottom w:val="single" w:color="auto" w:sz="4" w:space="0"/>
              <w:right w:val="nil"/>
            </w:tcBorders>
            <w:vAlign w:val="center"/>
          </w:tcPr>
          <w:p>
            <w:pPr>
              <w:jc w:val="left"/>
              <w:rPr>
                <w:rFonts w:ascii="等线" w:hAnsi="等线" w:eastAsia="等线"/>
                <w:sz w:val="22"/>
                <w:szCs w:val="22"/>
              </w:rPr>
            </w:pPr>
            <w:r>
              <w:rPr>
                <w:rFonts w:hint="eastAsia" w:ascii="等线" w:hAnsi="等线" w:eastAsia="等线"/>
                <w:sz w:val="22"/>
                <w:szCs w:val="22"/>
              </w:rPr>
              <w:t>试验</w:t>
            </w:r>
            <w:r>
              <w:rPr>
                <w:rFonts w:ascii="等线" w:hAnsi="等线" w:eastAsia="等线"/>
                <w:sz w:val="22"/>
                <w:szCs w:val="22"/>
              </w:rPr>
              <w:t>编号</w:t>
            </w:r>
            <w:r>
              <w:rPr>
                <w:rFonts w:hint="eastAsia" w:ascii="等线" w:hAnsi="等线" w:eastAsia="等线"/>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73" w:type="pct"/>
            <w:gridSpan w:val="3"/>
            <w:vAlign w:val="center"/>
          </w:tcPr>
          <w:p>
            <w:pPr>
              <w:jc w:val="center"/>
              <w:rPr>
                <w:rFonts w:ascii="等线" w:hAnsi="等线" w:eastAsia="等线"/>
                <w:sz w:val="18"/>
                <w:szCs w:val="18"/>
              </w:rPr>
            </w:pPr>
            <w:r>
              <w:rPr>
                <w:rFonts w:ascii="等线" w:hAnsi="等线" w:eastAsia="等线"/>
                <w:sz w:val="18"/>
                <w:szCs w:val="18"/>
              </w:rPr>
              <w:t>试验段起止桩号</w:t>
            </w:r>
          </w:p>
        </w:tc>
        <w:tc>
          <w:tcPr>
            <w:tcW w:w="849" w:type="pct"/>
            <w:gridSpan w:val="2"/>
            <w:vAlign w:val="center"/>
          </w:tcPr>
          <w:p>
            <w:pPr>
              <w:jc w:val="center"/>
              <w:rPr>
                <w:rFonts w:ascii="等线" w:hAnsi="等线" w:eastAsia="等线"/>
                <w:sz w:val="18"/>
                <w:szCs w:val="18"/>
              </w:rPr>
            </w:pPr>
          </w:p>
        </w:tc>
        <w:tc>
          <w:tcPr>
            <w:tcW w:w="909" w:type="pct"/>
            <w:gridSpan w:val="2"/>
            <w:vAlign w:val="center"/>
          </w:tcPr>
          <w:p>
            <w:pPr>
              <w:jc w:val="center"/>
              <w:rPr>
                <w:rFonts w:ascii="等线" w:hAnsi="等线" w:eastAsia="等线"/>
                <w:sz w:val="18"/>
                <w:szCs w:val="18"/>
              </w:rPr>
            </w:pPr>
            <w:r>
              <w:rPr>
                <w:rFonts w:ascii="等线" w:hAnsi="等线" w:eastAsia="等线"/>
                <w:sz w:val="18"/>
                <w:szCs w:val="18"/>
              </w:rPr>
              <w:t>填筑层位</w:t>
            </w:r>
          </w:p>
        </w:tc>
        <w:tc>
          <w:tcPr>
            <w:tcW w:w="566" w:type="pct"/>
            <w:gridSpan w:val="3"/>
            <w:vAlign w:val="center"/>
          </w:tcPr>
          <w:p>
            <w:pPr>
              <w:jc w:val="center"/>
              <w:rPr>
                <w:rFonts w:ascii="等线" w:hAnsi="等线" w:eastAsia="等线"/>
                <w:sz w:val="18"/>
                <w:szCs w:val="18"/>
              </w:rPr>
            </w:pPr>
          </w:p>
        </w:tc>
        <w:tc>
          <w:tcPr>
            <w:tcW w:w="798" w:type="pct"/>
            <w:gridSpan w:val="2"/>
            <w:vAlign w:val="center"/>
          </w:tcPr>
          <w:p>
            <w:pPr>
              <w:jc w:val="center"/>
              <w:rPr>
                <w:rFonts w:ascii="等线" w:hAnsi="等线" w:eastAsia="等线"/>
                <w:sz w:val="18"/>
                <w:szCs w:val="18"/>
              </w:rPr>
            </w:pPr>
            <w:r>
              <w:rPr>
                <w:rFonts w:ascii="等线" w:hAnsi="等线" w:eastAsia="等线"/>
                <w:sz w:val="18"/>
                <w:szCs w:val="18"/>
              </w:rPr>
              <w:t>填层厚度</w:t>
            </w:r>
          </w:p>
        </w:tc>
        <w:tc>
          <w:tcPr>
            <w:tcW w:w="606" w:type="pct"/>
            <w:vAlign w:val="center"/>
          </w:tcPr>
          <w:p>
            <w:pPr>
              <w:jc w:val="center"/>
              <w:rPr>
                <w:rFonts w:ascii="等线" w:hAnsi="等线" w:eastAsia="等线"/>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73" w:type="pct"/>
            <w:gridSpan w:val="3"/>
            <w:vAlign w:val="center"/>
          </w:tcPr>
          <w:p>
            <w:pPr>
              <w:jc w:val="center"/>
              <w:rPr>
                <w:rFonts w:ascii="等线" w:hAnsi="等线" w:eastAsia="等线"/>
                <w:sz w:val="18"/>
                <w:szCs w:val="18"/>
              </w:rPr>
            </w:pPr>
            <w:r>
              <w:rPr>
                <w:rFonts w:ascii="等线" w:hAnsi="等线" w:eastAsia="等线"/>
                <w:sz w:val="18"/>
                <w:szCs w:val="18"/>
              </w:rPr>
              <w:t>填料类型</w:t>
            </w:r>
          </w:p>
        </w:tc>
        <w:tc>
          <w:tcPr>
            <w:tcW w:w="849" w:type="pct"/>
            <w:gridSpan w:val="2"/>
            <w:vAlign w:val="center"/>
          </w:tcPr>
          <w:p>
            <w:pPr>
              <w:jc w:val="center"/>
              <w:rPr>
                <w:rFonts w:ascii="等线" w:hAnsi="等线" w:eastAsia="等线"/>
                <w:sz w:val="18"/>
                <w:szCs w:val="18"/>
              </w:rPr>
            </w:pPr>
          </w:p>
        </w:tc>
        <w:tc>
          <w:tcPr>
            <w:tcW w:w="909" w:type="pct"/>
            <w:gridSpan w:val="2"/>
            <w:vAlign w:val="center"/>
          </w:tcPr>
          <w:p>
            <w:pPr>
              <w:jc w:val="center"/>
              <w:rPr>
                <w:rFonts w:ascii="等线" w:hAnsi="等线" w:eastAsia="等线"/>
                <w:sz w:val="18"/>
                <w:szCs w:val="18"/>
              </w:rPr>
            </w:pPr>
            <w:r>
              <w:rPr>
                <w:rFonts w:ascii="等线" w:hAnsi="等线" w:eastAsia="等线"/>
                <w:sz w:val="18"/>
                <w:szCs w:val="18"/>
              </w:rPr>
              <w:t>最大干密度</w:t>
            </w:r>
            <w:r>
              <w:rPr>
                <w:rFonts w:hint="eastAsia" w:ascii="等线" w:hAnsi="等线" w:eastAsia="等线"/>
                <w:sz w:val="18"/>
                <w:szCs w:val="18"/>
              </w:rPr>
              <w:t>g</w:t>
            </w:r>
            <w:r>
              <w:rPr>
                <w:rFonts w:ascii="等线" w:hAnsi="等线" w:eastAsia="等线"/>
                <w:sz w:val="18"/>
                <w:szCs w:val="18"/>
              </w:rPr>
              <w:t>/cm</w:t>
            </w:r>
            <w:r>
              <w:rPr>
                <w:rFonts w:ascii="等线" w:hAnsi="等线" w:eastAsia="等线"/>
                <w:sz w:val="18"/>
                <w:szCs w:val="18"/>
                <w:vertAlign w:val="superscript"/>
              </w:rPr>
              <w:t>3</w:t>
            </w:r>
          </w:p>
        </w:tc>
        <w:tc>
          <w:tcPr>
            <w:tcW w:w="566" w:type="pct"/>
            <w:gridSpan w:val="3"/>
            <w:vAlign w:val="center"/>
          </w:tcPr>
          <w:p>
            <w:pPr>
              <w:jc w:val="center"/>
              <w:rPr>
                <w:rFonts w:ascii="等线" w:hAnsi="等线" w:eastAsia="等线"/>
                <w:sz w:val="18"/>
                <w:szCs w:val="18"/>
              </w:rPr>
            </w:pPr>
          </w:p>
        </w:tc>
        <w:tc>
          <w:tcPr>
            <w:tcW w:w="798" w:type="pct"/>
            <w:gridSpan w:val="2"/>
            <w:vAlign w:val="center"/>
          </w:tcPr>
          <w:p>
            <w:pPr>
              <w:jc w:val="center"/>
              <w:rPr>
                <w:rFonts w:ascii="等线" w:hAnsi="等线" w:eastAsia="等线"/>
                <w:sz w:val="18"/>
                <w:szCs w:val="18"/>
              </w:rPr>
            </w:pPr>
            <w:r>
              <w:rPr>
                <w:rFonts w:ascii="等线" w:hAnsi="等线" w:eastAsia="等线"/>
                <w:sz w:val="18"/>
                <w:szCs w:val="18"/>
              </w:rPr>
              <w:t>最佳含水率</w:t>
            </w:r>
            <w:r>
              <w:rPr>
                <w:rFonts w:hint="eastAsia" w:ascii="等线" w:hAnsi="等线" w:eastAsia="等线"/>
                <w:sz w:val="18"/>
                <w:szCs w:val="18"/>
              </w:rPr>
              <w:t>/%</w:t>
            </w:r>
          </w:p>
        </w:tc>
        <w:tc>
          <w:tcPr>
            <w:tcW w:w="606" w:type="pct"/>
            <w:vAlign w:val="center"/>
          </w:tcPr>
          <w:p>
            <w:pPr>
              <w:jc w:val="center"/>
              <w:rPr>
                <w:rFonts w:ascii="等线" w:hAnsi="等线" w:eastAsia="等线"/>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73" w:type="pct"/>
            <w:gridSpan w:val="3"/>
            <w:vAlign w:val="center"/>
          </w:tcPr>
          <w:p>
            <w:pPr>
              <w:jc w:val="center"/>
              <w:rPr>
                <w:rFonts w:ascii="等线" w:hAnsi="等线" w:eastAsia="等线"/>
                <w:sz w:val="18"/>
                <w:szCs w:val="18"/>
              </w:rPr>
            </w:pPr>
            <w:r>
              <w:rPr>
                <w:rFonts w:ascii="等线" w:hAnsi="等线" w:eastAsia="等线"/>
                <w:sz w:val="18"/>
                <w:szCs w:val="18"/>
              </w:rPr>
              <w:t>常规检测指标名称及数值</w:t>
            </w:r>
          </w:p>
        </w:tc>
        <w:tc>
          <w:tcPr>
            <w:tcW w:w="3727" w:type="pct"/>
            <w:gridSpan w:val="10"/>
            <w:vAlign w:val="center"/>
          </w:tcPr>
          <w:p>
            <w:pPr>
              <w:jc w:val="center"/>
              <w:rPr>
                <w:rFonts w:ascii="等线" w:hAnsi="等线" w:eastAsia="等线"/>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33" w:type="pct"/>
            <w:gridSpan w:val="2"/>
            <w:vAlign w:val="center"/>
          </w:tcPr>
          <w:p>
            <w:pPr>
              <w:jc w:val="center"/>
              <w:rPr>
                <w:rFonts w:ascii="等线" w:hAnsi="等线" w:eastAsia="等线"/>
                <w:sz w:val="18"/>
                <w:szCs w:val="18"/>
              </w:rPr>
            </w:pPr>
            <w:r>
              <w:rPr>
                <w:rFonts w:ascii="等线" w:hAnsi="等线" w:eastAsia="等线"/>
                <w:sz w:val="18"/>
                <w:szCs w:val="18"/>
              </w:rPr>
              <w:t>编号</w:t>
            </w:r>
          </w:p>
        </w:tc>
        <w:tc>
          <w:tcPr>
            <w:tcW w:w="833" w:type="pct"/>
            <w:gridSpan w:val="2"/>
            <w:vAlign w:val="center"/>
          </w:tcPr>
          <w:p>
            <w:pPr>
              <w:jc w:val="center"/>
              <w:rPr>
                <w:rFonts w:ascii="等线" w:hAnsi="等线" w:eastAsia="等线"/>
                <w:sz w:val="18"/>
                <w:szCs w:val="18"/>
              </w:rPr>
            </w:pPr>
            <w:r>
              <w:rPr>
                <w:rFonts w:ascii="等线" w:hAnsi="等线" w:eastAsia="等线"/>
                <w:sz w:val="18"/>
                <w:szCs w:val="18"/>
              </w:rPr>
              <w:t>常规检测指标</w:t>
            </w:r>
            <w:r>
              <w:rPr>
                <w:rFonts w:ascii="等线" w:hAnsi="等线" w:eastAsia="等线"/>
                <w:i/>
                <w:iCs/>
                <w:sz w:val="18"/>
                <w:szCs w:val="18"/>
              </w:rPr>
              <w:t>x</w:t>
            </w:r>
          </w:p>
        </w:tc>
        <w:tc>
          <w:tcPr>
            <w:tcW w:w="833" w:type="pct"/>
            <w:gridSpan w:val="2"/>
            <w:vAlign w:val="center"/>
          </w:tcPr>
          <w:p>
            <w:pPr>
              <w:jc w:val="center"/>
              <w:rPr>
                <w:rFonts w:ascii="等线" w:hAnsi="等线" w:eastAsia="等线"/>
                <w:sz w:val="18"/>
                <w:szCs w:val="18"/>
              </w:rPr>
            </w:pPr>
            <w:r>
              <w:rPr>
                <w:rFonts w:ascii="等线" w:hAnsi="等线" w:eastAsia="等线"/>
                <w:sz w:val="18"/>
                <w:szCs w:val="18"/>
              </w:rPr>
              <w:t>刚度</w:t>
            </w:r>
            <w:r>
              <w:rPr>
                <w:rFonts w:ascii="等线" w:hAnsi="等线" w:eastAsia="等线"/>
                <w:i/>
                <w:sz w:val="18"/>
                <w:szCs w:val="18"/>
              </w:rPr>
              <w:t>K</w:t>
            </w:r>
            <w:r>
              <w:rPr>
                <w:rFonts w:ascii="等线" w:hAnsi="等线" w:eastAsia="等线"/>
                <w:sz w:val="18"/>
                <w:szCs w:val="18"/>
                <w:vertAlign w:val="subscript"/>
              </w:rPr>
              <w:t>gr</w:t>
            </w:r>
          </w:p>
        </w:tc>
        <w:tc>
          <w:tcPr>
            <w:tcW w:w="833" w:type="pct"/>
            <w:gridSpan w:val="3"/>
            <w:vAlign w:val="center"/>
          </w:tcPr>
          <w:p>
            <w:pPr>
              <w:jc w:val="center"/>
              <w:rPr>
                <w:rFonts w:ascii="等线" w:hAnsi="等线" w:eastAsia="等线"/>
                <w:sz w:val="18"/>
                <w:szCs w:val="18"/>
              </w:rPr>
            </w:pPr>
            <w:r>
              <w:rPr>
                <w:rFonts w:ascii="等线" w:hAnsi="等线" w:eastAsia="等线"/>
                <w:sz w:val="18"/>
                <w:szCs w:val="18"/>
              </w:rPr>
              <w:t>编号</w:t>
            </w:r>
          </w:p>
        </w:tc>
        <w:tc>
          <w:tcPr>
            <w:tcW w:w="833" w:type="pct"/>
            <w:gridSpan w:val="2"/>
            <w:vAlign w:val="center"/>
          </w:tcPr>
          <w:p>
            <w:pPr>
              <w:jc w:val="center"/>
              <w:rPr>
                <w:rFonts w:ascii="等线" w:hAnsi="等线" w:eastAsia="等线"/>
                <w:sz w:val="18"/>
                <w:szCs w:val="18"/>
              </w:rPr>
            </w:pPr>
            <w:r>
              <w:rPr>
                <w:rFonts w:ascii="等线" w:hAnsi="等线" w:eastAsia="等线"/>
                <w:sz w:val="18"/>
                <w:szCs w:val="18"/>
              </w:rPr>
              <w:t>常规检测指标</w:t>
            </w:r>
            <w:r>
              <w:rPr>
                <w:rFonts w:ascii="等线" w:hAnsi="等线" w:eastAsia="等线"/>
                <w:i/>
                <w:iCs/>
                <w:sz w:val="18"/>
                <w:szCs w:val="18"/>
              </w:rPr>
              <w:t>x</w:t>
            </w:r>
          </w:p>
        </w:tc>
        <w:tc>
          <w:tcPr>
            <w:tcW w:w="835" w:type="pct"/>
            <w:gridSpan w:val="2"/>
            <w:vAlign w:val="center"/>
          </w:tcPr>
          <w:p>
            <w:pPr>
              <w:jc w:val="center"/>
              <w:rPr>
                <w:rFonts w:ascii="等线" w:hAnsi="等线" w:eastAsia="等线"/>
                <w:sz w:val="18"/>
                <w:szCs w:val="18"/>
              </w:rPr>
            </w:pPr>
            <w:r>
              <w:rPr>
                <w:rFonts w:ascii="等线" w:hAnsi="等线" w:eastAsia="等线"/>
                <w:sz w:val="18"/>
                <w:szCs w:val="18"/>
              </w:rPr>
              <w:t>刚度</w:t>
            </w:r>
            <w:r>
              <w:rPr>
                <w:rFonts w:ascii="等线" w:hAnsi="等线" w:eastAsia="等线"/>
                <w:i/>
                <w:sz w:val="18"/>
                <w:szCs w:val="18"/>
              </w:rPr>
              <w:t>K</w:t>
            </w:r>
            <w:r>
              <w:rPr>
                <w:rFonts w:ascii="等线" w:hAnsi="等线" w:eastAsia="等线"/>
                <w:sz w:val="18"/>
                <w:szCs w:val="18"/>
                <w:vertAlign w:val="subscript"/>
              </w:rPr>
              <w:t>gr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33" w:type="pct"/>
            <w:gridSpan w:val="2"/>
            <w:vAlign w:val="center"/>
          </w:tcPr>
          <w:p>
            <w:pPr>
              <w:jc w:val="center"/>
              <w:rPr>
                <w:rFonts w:ascii="等线" w:hAnsi="等线" w:eastAsia="等线"/>
                <w:sz w:val="18"/>
                <w:szCs w:val="18"/>
              </w:rPr>
            </w:pPr>
            <w:r>
              <w:rPr>
                <w:rFonts w:ascii="等线" w:hAnsi="等线" w:eastAsia="等线"/>
                <w:sz w:val="18"/>
                <w:szCs w:val="18"/>
              </w:rPr>
              <w:t>1</w:t>
            </w:r>
          </w:p>
        </w:tc>
        <w:tc>
          <w:tcPr>
            <w:tcW w:w="833" w:type="pct"/>
            <w:gridSpan w:val="2"/>
            <w:vAlign w:val="center"/>
          </w:tcPr>
          <w:p>
            <w:pPr>
              <w:jc w:val="center"/>
              <w:rPr>
                <w:rFonts w:ascii="等线" w:hAnsi="等线" w:eastAsia="等线"/>
                <w:sz w:val="18"/>
                <w:szCs w:val="18"/>
              </w:rPr>
            </w:pPr>
          </w:p>
        </w:tc>
        <w:tc>
          <w:tcPr>
            <w:tcW w:w="833" w:type="pct"/>
            <w:gridSpan w:val="2"/>
            <w:vAlign w:val="center"/>
          </w:tcPr>
          <w:p>
            <w:pPr>
              <w:jc w:val="center"/>
              <w:rPr>
                <w:rFonts w:ascii="等线" w:hAnsi="等线" w:eastAsia="等线"/>
                <w:sz w:val="18"/>
                <w:szCs w:val="18"/>
              </w:rPr>
            </w:pPr>
          </w:p>
        </w:tc>
        <w:tc>
          <w:tcPr>
            <w:tcW w:w="833" w:type="pct"/>
            <w:gridSpan w:val="3"/>
            <w:vAlign w:val="center"/>
          </w:tcPr>
          <w:p>
            <w:pPr>
              <w:jc w:val="center"/>
              <w:rPr>
                <w:rFonts w:ascii="等线" w:hAnsi="等线" w:eastAsia="等线"/>
                <w:sz w:val="18"/>
                <w:szCs w:val="18"/>
              </w:rPr>
            </w:pPr>
            <w:r>
              <w:rPr>
                <w:rFonts w:ascii="等线" w:hAnsi="等线" w:eastAsia="等线"/>
                <w:sz w:val="18"/>
                <w:szCs w:val="18"/>
              </w:rPr>
              <w:t>9</w:t>
            </w:r>
          </w:p>
        </w:tc>
        <w:tc>
          <w:tcPr>
            <w:tcW w:w="833" w:type="pct"/>
            <w:gridSpan w:val="2"/>
            <w:vAlign w:val="center"/>
          </w:tcPr>
          <w:p>
            <w:pPr>
              <w:jc w:val="center"/>
              <w:rPr>
                <w:rFonts w:ascii="等线" w:hAnsi="等线" w:eastAsia="等线"/>
                <w:sz w:val="18"/>
                <w:szCs w:val="18"/>
              </w:rPr>
            </w:pPr>
          </w:p>
        </w:tc>
        <w:tc>
          <w:tcPr>
            <w:tcW w:w="835" w:type="pct"/>
            <w:gridSpan w:val="2"/>
            <w:vAlign w:val="center"/>
          </w:tcPr>
          <w:p>
            <w:pPr>
              <w:jc w:val="center"/>
              <w:rPr>
                <w:rFonts w:ascii="等线" w:hAnsi="等线" w:eastAsia="等线"/>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33" w:type="pct"/>
            <w:gridSpan w:val="2"/>
            <w:vAlign w:val="center"/>
          </w:tcPr>
          <w:p>
            <w:pPr>
              <w:jc w:val="center"/>
              <w:rPr>
                <w:rFonts w:ascii="等线" w:hAnsi="等线" w:eastAsia="等线"/>
                <w:sz w:val="18"/>
                <w:szCs w:val="18"/>
              </w:rPr>
            </w:pPr>
            <w:r>
              <w:rPr>
                <w:rFonts w:ascii="等线" w:hAnsi="等线" w:eastAsia="等线"/>
                <w:sz w:val="18"/>
                <w:szCs w:val="18"/>
              </w:rPr>
              <w:t>2</w:t>
            </w:r>
          </w:p>
        </w:tc>
        <w:tc>
          <w:tcPr>
            <w:tcW w:w="833" w:type="pct"/>
            <w:gridSpan w:val="2"/>
            <w:vAlign w:val="center"/>
          </w:tcPr>
          <w:p>
            <w:pPr>
              <w:jc w:val="center"/>
              <w:rPr>
                <w:rFonts w:ascii="等线" w:hAnsi="等线" w:eastAsia="等线"/>
                <w:sz w:val="18"/>
                <w:szCs w:val="18"/>
              </w:rPr>
            </w:pPr>
          </w:p>
        </w:tc>
        <w:tc>
          <w:tcPr>
            <w:tcW w:w="833" w:type="pct"/>
            <w:gridSpan w:val="2"/>
            <w:vAlign w:val="center"/>
          </w:tcPr>
          <w:p>
            <w:pPr>
              <w:jc w:val="center"/>
              <w:rPr>
                <w:rFonts w:ascii="等线" w:hAnsi="等线" w:eastAsia="等线"/>
                <w:sz w:val="18"/>
                <w:szCs w:val="18"/>
              </w:rPr>
            </w:pPr>
          </w:p>
        </w:tc>
        <w:tc>
          <w:tcPr>
            <w:tcW w:w="833" w:type="pct"/>
            <w:gridSpan w:val="3"/>
            <w:vAlign w:val="center"/>
          </w:tcPr>
          <w:p>
            <w:pPr>
              <w:jc w:val="center"/>
              <w:rPr>
                <w:rFonts w:ascii="等线" w:hAnsi="等线" w:eastAsia="等线"/>
                <w:sz w:val="18"/>
                <w:szCs w:val="18"/>
              </w:rPr>
            </w:pPr>
            <w:r>
              <w:rPr>
                <w:rFonts w:ascii="等线" w:hAnsi="等线" w:eastAsia="等线"/>
                <w:sz w:val="18"/>
                <w:szCs w:val="18"/>
              </w:rPr>
              <w:t>10</w:t>
            </w:r>
          </w:p>
        </w:tc>
        <w:tc>
          <w:tcPr>
            <w:tcW w:w="833" w:type="pct"/>
            <w:gridSpan w:val="2"/>
            <w:vAlign w:val="center"/>
          </w:tcPr>
          <w:p>
            <w:pPr>
              <w:jc w:val="center"/>
              <w:rPr>
                <w:rFonts w:ascii="等线" w:hAnsi="等线" w:eastAsia="等线"/>
                <w:sz w:val="18"/>
                <w:szCs w:val="18"/>
              </w:rPr>
            </w:pPr>
          </w:p>
        </w:tc>
        <w:tc>
          <w:tcPr>
            <w:tcW w:w="835" w:type="pct"/>
            <w:gridSpan w:val="2"/>
            <w:vAlign w:val="center"/>
          </w:tcPr>
          <w:p>
            <w:pPr>
              <w:jc w:val="center"/>
              <w:rPr>
                <w:rFonts w:ascii="等线" w:hAnsi="等线" w:eastAsia="等线"/>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33" w:type="pct"/>
            <w:gridSpan w:val="2"/>
            <w:vAlign w:val="center"/>
          </w:tcPr>
          <w:p>
            <w:pPr>
              <w:jc w:val="center"/>
              <w:rPr>
                <w:rFonts w:ascii="等线" w:hAnsi="等线" w:eastAsia="等线"/>
                <w:sz w:val="18"/>
                <w:szCs w:val="18"/>
              </w:rPr>
            </w:pPr>
            <w:r>
              <w:rPr>
                <w:rFonts w:ascii="等线" w:hAnsi="等线" w:eastAsia="等线"/>
                <w:sz w:val="18"/>
                <w:szCs w:val="18"/>
              </w:rPr>
              <w:t>3</w:t>
            </w:r>
          </w:p>
        </w:tc>
        <w:tc>
          <w:tcPr>
            <w:tcW w:w="833" w:type="pct"/>
            <w:gridSpan w:val="2"/>
            <w:vAlign w:val="center"/>
          </w:tcPr>
          <w:p>
            <w:pPr>
              <w:jc w:val="center"/>
              <w:rPr>
                <w:rFonts w:ascii="等线" w:hAnsi="等线" w:eastAsia="等线"/>
                <w:sz w:val="18"/>
                <w:szCs w:val="18"/>
              </w:rPr>
            </w:pPr>
          </w:p>
        </w:tc>
        <w:tc>
          <w:tcPr>
            <w:tcW w:w="833" w:type="pct"/>
            <w:gridSpan w:val="2"/>
            <w:vAlign w:val="center"/>
          </w:tcPr>
          <w:p>
            <w:pPr>
              <w:jc w:val="center"/>
              <w:rPr>
                <w:rFonts w:ascii="等线" w:hAnsi="等线" w:eastAsia="等线"/>
                <w:sz w:val="18"/>
                <w:szCs w:val="18"/>
              </w:rPr>
            </w:pPr>
          </w:p>
        </w:tc>
        <w:tc>
          <w:tcPr>
            <w:tcW w:w="833" w:type="pct"/>
            <w:gridSpan w:val="3"/>
            <w:vAlign w:val="center"/>
          </w:tcPr>
          <w:p>
            <w:pPr>
              <w:jc w:val="center"/>
              <w:rPr>
                <w:rFonts w:ascii="等线" w:hAnsi="等线" w:eastAsia="等线"/>
                <w:sz w:val="18"/>
                <w:szCs w:val="18"/>
              </w:rPr>
            </w:pPr>
            <w:r>
              <w:rPr>
                <w:rFonts w:ascii="等线" w:hAnsi="等线" w:eastAsia="等线"/>
                <w:sz w:val="18"/>
                <w:szCs w:val="18"/>
              </w:rPr>
              <w:t>11</w:t>
            </w:r>
          </w:p>
        </w:tc>
        <w:tc>
          <w:tcPr>
            <w:tcW w:w="833" w:type="pct"/>
            <w:gridSpan w:val="2"/>
            <w:vAlign w:val="center"/>
          </w:tcPr>
          <w:p>
            <w:pPr>
              <w:jc w:val="center"/>
              <w:rPr>
                <w:rFonts w:ascii="等线" w:hAnsi="等线" w:eastAsia="等线"/>
                <w:sz w:val="18"/>
                <w:szCs w:val="18"/>
              </w:rPr>
            </w:pPr>
          </w:p>
        </w:tc>
        <w:tc>
          <w:tcPr>
            <w:tcW w:w="835" w:type="pct"/>
            <w:gridSpan w:val="2"/>
            <w:vAlign w:val="center"/>
          </w:tcPr>
          <w:p>
            <w:pPr>
              <w:jc w:val="center"/>
              <w:rPr>
                <w:rFonts w:ascii="等线" w:hAnsi="等线" w:eastAsia="等线"/>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33" w:type="pct"/>
            <w:gridSpan w:val="2"/>
            <w:vAlign w:val="center"/>
          </w:tcPr>
          <w:p>
            <w:pPr>
              <w:jc w:val="center"/>
              <w:rPr>
                <w:rFonts w:ascii="等线" w:hAnsi="等线" w:eastAsia="等线"/>
                <w:sz w:val="18"/>
                <w:szCs w:val="18"/>
              </w:rPr>
            </w:pPr>
            <w:r>
              <w:rPr>
                <w:rFonts w:ascii="等线" w:hAnsi="等线" w:eastAsia="等线"/>
                <w:sz w:val="18"/>
                <w:szCs w:val="18"/>
              </w:rPr>
              <w:t>4</w:t>
            </w:r>
          </w:p>
        </w:tc>
        <w:tc>
          <w:tcPr>
            <w:tcW w:w="833" w:type="pct"/>
            <w:gridSpan w:val="2"/>
            <w:vAlign w:val="center"/>
          </w:tcPr>
          <w:p>
            <w:pPr>
              <w:jc w:val="center"/>
              <w:rPr>
                <w:rFonts w:ascii="等线" w:hAnsi="等线" w:eastAsia="等线"/>
                <w:sz w:val="18"/>
                <w:szCs w:val="18"/>
              </w:rPr>
            </w:pPr>
          </w:p>
        </w:tc>
        <w:tc>
          <w:tcPr>
            <w:tcW w:w="833" w:type="pct"/>
            <w:gridSpan w:val="2"/>
            <w:vAlign w:val="center"/>
          </w:tcPr>
          <w:p>
            <w:pPr>
              <w:jc w:val="center"/>
              <w:rPr>
                <w:rFonts w:ascii="等线" w:hAnsi="等线" w:eastAsia="等线"/>
                <w:sz w:val="18"/>
                <w:szCs w:val="18"/>
              </w:rPr>
            </w:pPr>
          </w:p>
        </w:tc>
        <w:tc>
          <w:tcPr>
            <w:tcW w:w="833" w:type="pct"/>
            <w:gridSpan w:val="3"/>
            <w:vAlign w:val="center"/>
          </w:tcPr>
          <w:p>
            <w:pPr>
              <w:jc w:val="center"/>
              <w:rPr>
                <w:rFonts w:ascii="等线" w:hAnsi="等线" w:eastAsia="等线"/>
                <w:sz w:val="18"/>
                <w:szCs w:val="18"/>
              </w:rPr>
            </w:pPr>
            <w:r>
              <w:rPr>
                <w:rFonts w:ascii="等线" w:hAnsi="等线" w:eastAsia="等线"/>
                <w:sz w:val="18"/>
                <w:szCs w:val="18"/>
              </w:rPr>
              <w:t>12</w:t>
            </w:r>
          </w:p>
        </w:tc>
        <w:tc>
          <w:tcPr>
            <w:tcW w:w="833" w:type="pct"/>
            <w:gridSpan w:val="2"/>
            <w:vAlign w:val="center"/>
          </w:tcPr>
          <w:p>
            <w:pPr>
              <w:jc w:val="center"/>
              <w:rPr>
                <w:rFonts w:ascii="等线" w:hAnsi="等线" w:eastAsia="等线"/>
                <w:sz w:val="18"/>
                <w:szCs w:val="18"/>
              </w:rPr>
            </w:pPr>
          </w:p>
        </w:tc>
        <w:tc>
          <w:tcPr>
            <w:tcW w:w="835" w:type="pct"/>
            <w:gridSpan w:val="2"/>
            <w:vAlign w:val="center"/>
          </w:tcPr>
          <w:p>
            <w:pPr>
              <w:jc w:val="center"/>
              <w:rPr>
                <w:rFonts w:ascii="等线" w:hAnsi="等线" w:eastAsia="等线"/>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33" w:type="pct"/>
            <w:gridSpan w:val="2"/>
            <w:vAlign w:val="center"/>
          </w:tcPr>
          <w:p>
            <w:pPr>
              <w:jc w:val="center"/>
              <w:rPr>
                <w:rFonts w:ascii="等线" w:hAnsi="等线" w:eastAsia="等线"/>
                <w:sz w:val="18"/>
                <w:szCs w:val="18"/>
              </w:rPr>
            </w:pPr>
            <w:r>
              <w:rPr>
                <w:rFonts w:ascii="等线" w:hAnsi="等线" w:eastAsia="等线"/>
                <w:sz w:val="18"/>
                <w:szCs w:val="18"/>
              </w:rPr>
              <w:t>5</w:t>
            </w:r>
          </w:p>
        </w:tc>
        <w:tc>
          <w:tcPr>
            <w:tcW w:w="833" w:type="pct"/>
            <w:gridSpan w:val="2"/>
            <w:vAlign w:val="center"/>
          </w:tcPr>
          <w:p>
            <w:pPr>
              <w:jc w:val="center"/>
              <w:rPr>
                <w:rFonts w:ascii="等线" w:hAnsi="等线" w:eastAsia="等线"/>
                <w:sz w:val="18"/>
                <w:szCs w:val="18"/>
              </w:rPr>
            </w:pPr>
          </w:p>
        </w:tc>
        <w:tc>
          <w:tcPr>
            <w:tcW w:w="833" w:type="pct"/>
            <w:gridSpan w:val="2"/>
            <w:vAlign w:val="center"/>
          </w:tcPr>
          <w:p>
            <w:pPr>
              <w:jc w:val="center"/>
              <w:rPr>
                <w:rFonts w:ascii="等线" w:hAnsi="等线" w:eastAsia="等线"/>
                <w:sz w:val="18"/>
                <w:szCs w:val="18"/>
              </w:rPr>
            </w:pPr>
          </w:p>
        </w:tc>
        <w:tc>
          <w:tcPr>
            <w:tcW w:w="833" w:type="pct"/>
            <w:gridSpan w:val="3"/>
            <w:vAlign w:val="center"/>
          </w:tcPr>
          <w:p>
            <w:pPr>
              <w:jc w:val="center"/>
              <w:rPr>
                <w:rFonts w:ascii="等线" w:hAnsi="等线" w:eastAsia="等线"/>
                <w:sz w:val="18"/>
                <w:szCs w:val="18"/>
              </w:rPr>
            </w:pPr>
            <w:r>
              <w:rPr>
                <w:rFonts w:ascii="等线" w:hAnsi="等线" w:eastAsia="等线"/>
                <w:sz w:val="18"/>
                <w:szCs w:val="18"/>
              </w:rPr>
              <w:t>13</w:t>
            </w:r>
          </w:p>
        </w:tc>
        <w:tc>
          <w:tcPr>
            <w:tcW w:w="833" w:type="pct"/>
            <w:gridSpan w:val="2"/>
            <w:vAlign w:val="center"/>
          </w:tcPr>
          <w:p>
            <w:pPr>
              <w:jc w:val="center"/>
              <w:rPr>
                <w:rFonts w:ascii="等线" w:hAnsi="等线" w:eastAsia="等线"/>
                <w:sz w:val="18"/>
                <w:szCs w:val="18"/>
              </w:rPr>
            </w:pPr>
          </w:p>
        </w:tc>
        <w:tc>
          <w:tcPr>
            <w:tcW w:w="835" w:type="pct"/>
            <w:gridSpan w:val="2"/>
            <w:vAlign w:val="center"/>
          </w:tcPr>
          <w:p>
            <w:pPr>
              <w:jc w:val="center"/>
              <w:rPr>
                <w:rFonts w:ascii="等线" w:hAnsi="等线" w:eastAsia="等线"/>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33" w:type="pct"/>
            <w:gridSpan w:val="2"/>
            <w:vAlign w:val="center"/>
          </w:tcPr>
          <w:p>
            <w:pPr>
              <w:jc w:val="center"/>
              <w:rPr>
                <w:rFonts w:ascii="等线" w:hAnsi="等线" w:eastAsia="等线"/>
                <w:sz w:val="18"/>
                <w:szCs w:val="18"/>
              </w:rPr>
            </w:pPr>
            <w:r>
              <w:rPr>
                <w:rFonts w:ascii="等线" w:hAnsi="等线" w:eastAsia="等线"/>
                <w:sz w:val="18"/>
                <w:szCs w:val="18"/>
              </w:rPr>
              <w:t>6</w:t>
            </w:r>
          </w:p>
        </w:tc>
        <w:tc>
          <w:tcPr>
            <w:tcW w:w="833" w:type="pct"/>
            <w:gridSpan w:val="2"/>
            <w:vAlign w:val="center"/>
          </w:tcPr>
          <w:p>
            <w:pPr>
              <w:jc w:val="center"/>
              <w:rPr>
                <w:rFonts w:ascii="等线" w:hAnsi="等线" w:eastAsia="等线"/>
                <w:sz w:val="18"/>
                <w:szCs w:val="18"/>
              </w:rPr>
            </w:pPr>
          </w:p>
        </w:tc>
        <w:tc>
          <w:tcPr>
            <w:tcW w:w="833" w:type="pct"/>
            <w:gridSpan w:val="2"/>
            <w:vAlign w:val="center"/>
          </w:tcPr>
          <w:p>
            <w:pPr>
              <w:jc w:val="center"/>
              <w:rPr>
                <w:rFonts w:ascii="等线" w:hAnsi="等线" w:eastAsia="等线"/>
                <w:sz w:val="18"/>
                <w:szCs w:val="18"/>
              </w:rPr>
            </w:pPr>
          </w:p>
        </w:tc>
        <w:tc>
          <w:tcPr>
            <w:tcW w:w="833" w:type="pct"/>
            <w:gridSpan w:val="3"/>
            <w:vAlign w:val="center"/>
          </w:tcPr>
          <w:p>
            <w:pPr>
              <w:jc w:val="center"/>
              <w:rPr>
                <w:rFonts w:ascii="等线" w:hAnsi="等线" w:eastAsia="等线"/>
                <w:sz w:val="18"/>
                <w:szCs w:val="18"/>
              </w:rPr>
            </w:pPr>
            <w:r>
              <w:rPr>
                <w:rFonts w:ascii="等线" w:hAnsi="等线" w:eastAsia="等线"/>
                <w:sz w:val="18"/>
                <w:szCs w:val="18"/>
              </w:rPr>
              <w:t>14</w:t>
            </w:r>
          </w:p>
        </w:tc>
        <w:tc>
          <w:tcPr>
            <w:tcW w:w="833" w:type="pct"/>
            <w:gridSpan w:val="2"/>
            <w:vAlign w:val="center"/>
          </w:tcPr>
          <w:p>
            <w:pPr>
              <w:jc w:val="center"/>
              <w:rPr>
                <w:rFonts w:ascii="等线" w:hAnsi="等线" w:eastAsia="等线"/>
                <w:sz w:val="18"/>
                <w:szCs w:val="18"/>
              </w:rPr>
            </w:pPr>
          </w:p>
        </w:tc>
        <w:tc>
          <w:tcPr>
            <w:tcW w:w="835" w:type="pct"/>
            <w:gridSpan w:val="2"/>
            <w:vAlign w:val="center"/>
          </w:tcPr>
          <w:p>
            <w:pPr>
              <w:jc w:val="center"/>
              <w:rPr>
                <w:rFonts w:ascii="等线" w:hAnsi="等线" w:eastAsia="等线"/>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33" w:type="pct"/>
            <w:gridSpan w:val="2"/>
            <w:vAlign w:val="center"/>
          </w:tcPr>
          <w:p>
            <w:pPr>
              <w:jc w:val="center"/>
              <w:rPr>
                <w:rFonts w:ascii="等线" w:hAnsi="等线" w:eastAsia="等线"/>
                <w:sz w:val="18"/>
                <w:szCs w:val="18"/>
              </w:rPr>
            </w:pPr>
            <w:r>
              <w:rPr>
                <w:rFonts w:ascii="等线" w:hAnsi="等线" w:eastAsia="等线"/>
                <w:sz w:val="18"/>
                <w:szCs w:val="18"/>
              </w:rPr>
              <w:t>7</w:t>
            </w:r>
          </w:p>
        </w:tc>
        <w:tc>
          <w:tcPr>
            <w:tcW w:w="833" w:type="pct"/>
            <w:gridSpan w:val="2"/>
            <w:vAlign w:val="center"/>
          </w:tcPr>
          <w:p>
            <w:pPr>
              <w:jc w:val="center"/>
              <w:rPr>
                <w:rFonts w:ascii="等线" w:hAnsi="等线" w:eastAsia="等线"/>
                <w:sz w:val="18"/>
                <w:szCs w:val="18"/>
              </w:rPr>
            </w:pPr>
          </w:p>
        </w:tc>
        <w:tc>
          <w:tcPr>
            <w:tcW w:w="833" w:type="pct"/>
            <w:gridSpan w:val="2"/>
            <w:vAlign w:val="center"/>
          </w:tcPr>
          <w:p>
            <w:pPr>
              <w:jc w:val="center"/>
              <w:rPr>
                <w:rFonts w:ascii="等线" w:hAnsi="等线" w:eastAsia="等线"/>
                <w:sz w:val="18"/>
                <w:szCs w:val="18"/>
              </w:rPr>
            </w:pPr>
          </w:p>
        </w:tc>
        <w:tc>
          <w:tcPr>
            <w:tcW w:w="833" w:type="pct"/>
            <w:gridSpan w:val="3"/>
            <w:vAlign w:val="center"/>
          </w:tcPr>
          <w:p>
            <w:pPr>
              <w:jc w:val="center"/>
              <w:rPr>
                <w:rFonts w:ascii="等线" w:hAnsi="等线" w:eastAsia="等线"/>
                <w:sz w:val="18"/>
                <w:szCs w:val="18"/>
              </w:rPr>
            </w:pPr>
            <w:r>
              <w:rPr>
                <w:rFonts w:ascii="等线" w:hAnsi="等线" w:eastAsia="等线"/>
                <w:sz w:val="18"/>
                <w:szCs w:val="18"/>
              </w:rPr>
              <w:t>15</w:t>
            </w:r>
          </w:p>
        </w:tc>
        <w:tc>
          <w:tcPr>
            <w:tcW w:w="833" w:type="pct"/>
            <w:gridSpan w:val="2"/>
            <w:vAlign w:val="center"/>
          </w:tcPr>
          <w:p>
            <w:pPr>
              <w:jc w:val="center"/>
              <w:rPr>
                <w:rFonts w:ascii="等线" w:hAnsi="等线" w:eastAsia="等线"/>
                <w:sz w:val="18"/>
                <w:szCs w:val="18"/>
              </w:rPr>
            </w:pPr>
          </w:p>
        </w:tc>
        <w:tc>
          <w:tcPr>
            <w:tcW w:w="835" w:type="pct"/>
            <w:gridSpan w:val="2"/>
            <w:vAlign w:val="center"/>
          </w:tcPr>
          <w:p>
            <w:pPr>
              <w:jc w:val="center"/>
              <w:rPr>
                <w:rFonts w:ascii="等线" w:hAnsi="等线" w:eastAsia="等线"/>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33" w:type="pct"/>
            <w:gridSpan w:val="2"/>
            <w:vAlign w:val="center"/>
          </w:tcPr>
          <w:p>
            <w:pPr>
              <w:jc w:val="center"/>
              <w:rPr>
                <w:rFonts w:ascii="等线" w:hAnsi="等线" w:eastAsia="等线"/>
                <w:sz w:val="18"/>
                <w:szCs w:val="18"/>
              </w:rPr>
            </w:pPr>
            <w:r>
              <w:rPr>
                <w:rFonts w:ascii="等线" w:hAnsi="等线" w:eastAsia="等线"/>
                <w:sz w:val="18"/>
                <w:szCs w:val="18"/>
              </w:rPr>
              <w:t>8</w:t>
            </w:r>
          </w:p>
        </w:tc>
        <w:tc>
          <w:tcPr>
            <w:tcW w:w="833" w:type="pct"/>
            <w:gridSpan w:val="2"/>
            <w:vAlign w:val="center"/>
          </w:tcPr>
          <w:p>
            <w:pPr>
              <w:jc w:val="center"/>
              <w:rPr>
                <w:rFonts w:ascii="等线" w:hAnsi="等线" w:eastAsia="等线"/>
                <w:sz w:val="18"/>
                <w:szCs w:val="18"/>
              </w:rPr>
            </w:pPr>
          </w:p>
        </w:tc>
        <w:tc>
          <w:tcPr>
            <w:tcW w:w="833" w:type="pct"/>
            <w:gridSpan w:val="2"/>
            <w:vAlign w:val="center"/>
          </w:tcPr>
          <w:p>
            <w:pPr>
              <w:jc w:val="center"/>
              <w:rPr>
                <w:rFonts w:ascii="等线" w:hAnsi="等线" w:eastAsia="等线"/>
                <w:sz w:val="18"/>
                <w:szCs w:val="18"/>
              </w:rPr>
            </w:pPr>
          </w:p>
        </w:tc>
        <w:tc>
          <w:tcPr>
            <w:tcW w:w="833" w:type="pct"/>
            <w:gridSpan w:val="3"/>
            <w:vAlign w:val="center"/>
          </w:tcPr>
          <w:p>
            <w:pPr>
              <w:jc w:val="center"/>
              <w:rPr>
                <w:rFonts w:ascii="等线" w:hAnsi="等线" w:eastAsia="等线"/>
                <w:sz w:val="18"/>
                <w:szCs w:val="18"/>
              </w:rPr>
            </w:pPr>
            <w:r>
              <w:rPr>
                <w:rFonts w:ascii="等线" w:hAnsi="等线" w:eastAsia="等线"/>
                <w:sz w:val="18"/>
                <w:szCs w:val="18"/>
              </w:rPr>
              <w:t>16</w:t>
            </w:r>
          </w:p>
        </w:tc>
        <w:tc>
          <w:tcPr>
            <w:tcW w:w="833" w:type="pct"/>
            <w:gridSpan w:val="2"/>
            <w:vAlign w:val="center"/>
          </w:tcPr>
          <w:p>
            <w:pPr>
              <w:jc w:val="center"/>
              <w:rPr>
                <w:rFonts w:ascii="等线" w:hAnsi="等线" w:eastAsia="等线"/>
                <w:sz w:val="18"/>
                <w:szCs w:val="18"/>
              </w:rPr>
            </w:pPr>
          </w:p>
        </w:tc>
        <w:tc>
          <w:tcPr>
            <w:tcW w:w="835" w:type="pct"/>
            <w:gridSpan w:val="2"/>
            <w:vAlign w:val="center"/>
          </w:tcPr>
          <w:p>
            <w:pPr>
              <w:jc w:val="center"/>
              <w:rPr>
                <w:rFonts w:ascii="等线" w:hAnsi="等线" w:eastAsia="等线"/>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5" w:hRule="atLeast"/>
        </w:trPr>
        <w:tc>
          <w:tcPr>
            <w:tcW w:w="493" w:type="pct"/>
            <w:vAlign w:val="center"/>
          </w:tcPr>
          <w:p>
            <w:pPr>
              <w:jc w:val="center"/>
              <w:rPr>
                <w:rFonts w:ascii="等线" w:hAnsi="等线" w:eastAsia="等线"/>
                <w:sz w:val="18"/>
                <w:szCs w:val="18"/>
              </w:rPr>
            </w:pPr>
            <w:r>
              <w:rPr>
                <w:rFonts w:ascii="等线" w:hAnsi="等线" w:eastAsia="等线"/>
                <w:sz w:val="18"/>
                <w:szCs w:val="18"/>
              </w:rPr>
              <w:t>线性回归曲线</w:t>
            </w:r>
          </w:p>
        </w:tc>
        <w:tc>
          <w:tcPr>
            <w:tcW w:w="4507" w:type="pct"/>
            <w:gridSpan w:val="12"/>
            <w:vAlign w:val="center"/>
          </w:tcPr>
          <w:p>
            <w:pPr>
              <w:jc w:val="center"/>
              <w:rPr>
                <w:rFonts w:ascii="等线" w:hAnsi="等线" w:eastAsia="等线"/>
                <w:sz w:val="18"/>
                <w:szCs w:val="18"/>
              </w:rPr>
            </w:pPr>
            <w:r>
              <w:rPr>
                <w:rFonts w:ascii="等线" w:hAnsi="等线" w:eastAsia="等线"/>
                <w:sz w:val="18"/>
                <w:szCs w:val="18"/>
              </w:rPr>
              <mc:AlternateContent>
                <mc:Choice Requires="wps">
                  <w:drawing>
                    <wp:anchor distT="0" distB="0" distL="114300" distR="114300" simplePos="0" relativeHeight="251670528" behindDoc="0" locked="0" layoutInCell="1" allowOverlap="1">
                      <wp:simplePos x="0" y="0"/>
                      <wp:positionH relativeFrom="column">
                        <wp:posOffset>1351915</wp:posOffset>
                      </wp:positionH>
                      <wp:positionV relativeFrom="paragraph">
                        <wp:posOffset>117475</wp:posOffset>
                      </wp:positionV>
                      <wp:extent cx="330200" cy="336550"/>
                      <wp:effectExtent l="0" t="0" r="0" b="6350"/>
                      <wp:wrapNone/>
                      <wp:docPr id="18" name="文本框 18"/>
                      <wp:cNvGraphicFramePr/>
                      <a:graphic xmlns:a="http://schemas.openxmlformats.org/drawingml/2006/main">
                        <a:graphicData uri="http://schemas.microsoft.com/office/word/2010/wordprocessingShape">
                          <wps:wsp>
                            <wps:cNvSpPr txBox="true"/>
                            <wps:spPr>
                              <a:xfrm>
                                <a:off x="0" y="0"/>
                                <a:ext cx="330200" cy="336550"/>
                              </a:xfrm>
                              <a:prstGeom prst="rect">
                                <a:avLst/>
                              </a:prstGeom>
                              <a:noFill/>
                              <a:ln w="6350">
                                <a:noFill/>
                              </a:ln>
                            </wps:spPr>
                            <wps:txbx>
                              <w:txbxContent>
                                <w:p>
                                  <w:pPr>
                                    <w:rPr>
                                      <w:i/>
                                      <w:iCs/>
                                      <w:sz w:val="18"/>
                                      <w:szCs w:val="18"/>
                                    </w:rPr>
                                  </w:pPr>
                                  <w:r>
                                    <w:rPr>
                                      <w:i/>
                                      <w:sz w:val="18"/>
                                      <w:szCs w:val="18"/>
                                    </w:rPr>
                                    <w:t>K</w:t>
                                  </w:r>
                                  <w:r>
                                    <w:rPr>
                                      <w:sz w:val="18"/>
                                      <w:szCs w:val="18"/>
                                      <w:vertAlign w:val="subscript"/>
                                    </w:rPr>
                                    <w:t>gr</w:t>
                                  </w:r>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106.45pt;margin-top:9.25pt;height:26.5pt;width:26pt;z-index:251670528;mso-width-relative:page;mso-height-relative:page;" filled="f" stroked="f" coordsize="21600,21600" o:gfxdata="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JWnbeTZAAAACQEAAA8AAAAAAAAAAQAgAAAAOAAAAGRycy9kb3du&#10;cmV2LnhtbFBLAQIUABQAAAAIAIdO4kDya0XKIQIAACsEAAAOAAAAAAAAAAEAIAAAAD4BAABkcnMv&#10;ZTJvRG9jLnhtbFBLBQYAAAAABgAGAFkBAADRBQAAAAA=&#10;">
                      <v:fill on="f" focussize="0,0"/>
                      <v:stroke on="f" weight="0.5pt"/>
                      <v:imagedata o:title=""/>
                      <o:lock v:ext="edit" aspectratio="f"/>
                      <v:textbox>
                        <w:txbxContent>
                          <w:p>
                            <w:pPr>
                              <w:rPr>
                                <w:i/>
                                <w:iCs/>
                                <w:sz w:val="18"/>
                                <w:szCs w:val="18"/>
                              </w:rPr>
                            </w:pPr>
                            <w:r>
                              <w:rPr>
                                <w:i/>
                                <w:sz w:val="18"/>
                                <w:szCs w:val="18"/>
                              </w:rPr>
                              <w:t>K</w:t>
                            </w:r>
                            <w:r>
                              <w:rPr>
                                <w:sz w:val="18"/>
                                <w:szCs w:val="18"/>
                                <w:vertAlign w:val="subscript"/>
                              </w:rPr>
                              <w:t>gr</w:t>
                            </w:r>
                          </w:p>
                        </w:txbxContent>
                      </v:textbox>
                    </v:shape>
                  </w:pict>
                </mc:Fallback>
              </mc:AlternateContent>
            </w:r>
            <w:r>
              <w:rPr>
                <w:rFonts w:ascii="等线" w:hAnsi="等线" w:eastAsia="等线"/>
                <w:sz w:val="18"/>
                <w:szCs w:val="18"/>
              </w:rPr>
              <mc:AlternateContent>
                <mc:Choice Requires="wps">
                  <w:drawing>
                    <wp:anchor distT="0" distB="0" distL="114300" distR="114300" simplePos="0" relativeHeight="251669504" behindDoc="0" locked="0" layoutInCell="1" allowOverlap="1">
                      <wp:simplePos x="0" y="0"/>
                      <wp:positionH relativeFrom="column">
                        <wp:posOffset>2639060</wp:posOffset>
                      </wp:positionH>
                      <wp:positionV relativeFrom="paragraph">
                        <wp:posOffset>1230630</wp:posOffset>
                      </wp:positionV>
                      <wp:extent cx="304800" cy="336550"/>
                      <wp:effectExtent l="0" t="0" r="0" b="6350"/>
                      <wp:wrapNone/>
                      <wp:docPr id="17" name="文本框 17"/>
                      <wp:cNvGraphicFramePr/>
                      <a:graphic xmlns:a="http://schemas.openxmlformats.org/drawingml/2006/main">
                        <a:graphicData uri="http://schemas.microsoft.com/office/word/2010/wordprocessingShape">
                          <wps:wsp>
                            <wps:cNvSpPr txBox="true"/>
                            <wps:spPr>
                              <a:xfrm>
                                <a:off x="0" y="0"/>
                                <a:ext cx="304800" cy="336550"/>
                              </a:xfrm>
                              <a:prstGeom prst="rect">
                                <a:avLst/>
                              </a:prstGeom>
                              <a:noFill/>
                              <a:ln w="6350">
                                <a:noFill/>
                              </a:ln>
                            </wps:spPr>
                            <wps:txbx>
                              <w:txbxContent>
                                <w:p>
                                  <w:pPr>
                                    <w:rPr>
                                      <w:i/>
                                      <w:iCs/>
                                      <w:sz w:val="18"/>
                                      <w:szCs w:val="18"/>
                                    </w:rPr>
                                  </w:pPr>
                                  <w:r>
                                    <w:rPr>
                                      <w:i/>
                                      <w:iCs/>
                                      <w:sz w:val="18"/>
                                      <w:szCs w:val="18"/>
                                    </w:rPr>
                                    <w:t>x</w:t>
                                  </w:r>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207.8pt;margin-top:96.9pt;height:26.5pt;width:24pt;z-index:251669504;mso-width-relative:page;mso-height-relative:page;" filled="f" stroked="f" coordsize="21600,21600" o:gfxdata="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&#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FgAAAGRycy9QSwECFAAUAAAACACHTuJAHfM2wtsAAAALAQAADwAAAAAAAAABACAAAAA4AAAAZHJz&#10;L2Rvd25yZXYueG1sUEsBAhQAFAAAAAgAh07iQJu3BdQkAgAAKwQAAA4AAAAAAAAAAQAgAAAAQAEA&#10;AGRycy9lMm9Eb2MueG1sUEsFBgAAAAAGAAYAWQEAANYFAAAAAA==&#10;">
                      <v:fill on="f" focussize="0,0"/>
                      <v:stroke on="f" weight="0.5pt"/>
                      <v:imagedata o:title=""/>
                      <o:lock v:ext="edit" aspectratio="f"/>
                      <v:textbox>
                        <w:txbxContent>
                          <w:p>
                            <w:pPr>
                              <w:rPr>
                                <w:i/>
                                <w:iCs/>
                                <w:sz w:val="18"/>
                                <w:szCs w:val="18"/>
                              </w:rPr>
                            </w:pPr>
                            <w:r>
                              <w:rPr>
                                <w:i/>
                                <w:iCs/>
                                <w:sz w:val="18"/>
                                <w:szCs w:val="18"/>
                              </w:rPr>
                              <w:t>x</w:t>
                            </w:r>
                          </w:p>
                        </w:txbxContent>
                      </v:textbox>
                    </v:shape>
                  </w:pict>
                </mc:Fallback>
              </mc:AlternateContent>
            </w:r>
            <w:r>
              <w:rPr>
                <w:rFonts w:ascii="等线" w:hAnsi="等线" w:eastAsia="等线"/>
                <w:sz w:val="18"/>
                <w:szCs w:val="18"/>
              </w:rPr>
              <mc:AlternateContent>
                <mc:Choice Requires="wps">
                  <w:drawing>
                    <wp:anchor distT="0" distB="0" distL="114300" distR="114300" simplePos="0" relativeHeight="251667456" behindDoc="0" locked="0" layoutInCell="1" allowOverlap="1">
                      <wp:simplePos x="0" y="0"/>
                      <wp:positionH relativeFrom="column">
                        <wp:posOffset>1650365</wp:posOffset>
                      </wp:positionH>
                      <wp:positionV relativeFrom="paragraph">
                        <wp:posOffset>1282700</wp:posOffset>
                      </wp:positionV>
                      <wp:extent cx="1344295" cy="0"/>
                      <wp:effectExtent l="0" t="76200" r="27305" b="95250"/>
                      <wp:wrapNone/>
                      <wp:docPr id="13" name="直接箭头连接符 13"/>
                      <wp:cNvGraphicFramePr/>
                      <a:graphic xmlns:a="http://schemas.openxmlformats.org/drawingml/2006/main">
                        <a:graphicData uri="http://schemas.microsoft.com/office/word/2010/wordprocessingShape">
                          <wps:wsp>
                            <wps:cNvCnPr/>
                            <wps:spPr>
                              <a:xfrm flipV="true">
                                <a:off x="0" y="0"/>
                                <a:ext cx="1344295" cy="0"/>
                              </a:xfrm>
                              <a:prstGeom prst="straightConnector1">
                                <a:avLst/>
                              </a:prstGeom>
                              <a:ln>
                                <a:tailEnd type="stealt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y;margin-left:129.95pt;margin-top:101pt;height:0pt;width:105.85pt;z-index:251667456;mso-width-relative:page;mso-height-relative:page;" filled="f" stroked="t" coordsize="21600,21600" o:gfxdata="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BYAAABkcnMvUEsBAhQAFAAAAAgAh07iQFESwgfWAAAACwEAAA8AAAAAAAAAAQAgAAAAOAAA&#10;AGRycy9kb3ducmV2LnhtbFBLAQIUABQAAAAIAIdO4kAvql5q9AEAAKEDAAAOAAAAAAAAAAEAIAAA&#10;ADsBAABkcnMvZTJvRG9jLnhtbFBLBQYAAAAABgAGAFkBAAChBQAAAAA=&#10;">
                      <v:fill on="f" focussize="0,0"/>
                      <v:stroke weight="0.5pt" color="#000000 [3200]" miterlimit="8" joinstyle="miter" endarrow="classic"/>
                      <v:imagedata o:title=""/>
                      <o:lock v:ext="edit" aspectratio="f"/>
                    </v:shape>
                  </w:pict>
                </mc:Fallback>
              </mc:AlternateContent>
            </w:r>
            <w:r>
              <w:rPr>
                <w:rFonts w:ascii="等线" w:hAnsi="等线" w:eastAsia="等线"/>
                <w:sz w:val="18"/>
                <w:szCs w:val="18"/>
              </w:rPr>
              <mc:AlternateContent>
                <mc:Choice Requires="wps">
                  <w:drawing>
                    <wp:anchor distT="0" distB="0" distL="114300" distR="114300" simplePos="0" relativeHeight="251668480" behindDoc="0" locked="0" layoutInCell="1" allowOverlap="1">
                      <wp:simplePos x="0" y="0"/>
                      <wp:positionH relativeFrom="column">
                        <wp:posOffset>1646555</wp:posOffset>
                      </wp:positionH>
                      <wp:positionV relativeFrom="paragraph">
                        <wp:posOffset>182880</wp:posOffset>
                      </wp:positionV>
                      <wp:extent cx="0" cy="1098550"/>
                      <wp:effectExtent l="76200" t="38100" r="57150" b="25400"/>
                      <wp:wrapNone/>
                      <wp:docPr id="16" name="直接箭头连接符 16"/>
                      <wp:cNvGraphicFramePr/>
                      <a:graphic xmlns:a="http://schemas.openxmlformats.org/drawingml/2006/main">
                        <a:graphicData uri="http://schemas.microsoft.com/office/word/2010/wordprocessingShape">
                          <wps:wsp>
                            <wps:cNvCnPr/>
                            <wps:spPr>
                              <a:xfrm flipV="true">
                                <a:off x="0" y="0"/>
                                <a:ext cx="0" cy="1098550"/>
                              </a:xfrm>
                              <a:prstGeom prst="straightConnector1">
                                <a:avLst/>
                              </a:prstGeom>
                              <a:ln>
                                <a:tailEnd type="stealt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y;margin-left:129.65pt;margin-top:14.4pt;height:86.5pt;width:0pt;z-index:251668480;mso-width-relative:page;mso-height-relative:page;" filled="f" stroked="t" coordsize="21600,21600" o:gfxdata="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0yjvU1QAAAAoBAAAPAAAAAAAAAAEAIAAAADgAAABk&#10;cnMvZG93bnJldi54bWxQSwECFAAUAAAACACHTuJAWnTET/MBAAChAwAADgAAAAAAAAABACAAAAA6&#10;AQAAZHJzL2Uyb0RvYy54bWxQSwUGAAAAAAYABgBZAQAAnwUAAAAA&#10;">
                      <v:fill on="f" focussize="0,0"/>
                      <v:stroke weight="0.5pt" color="#000000 [3200]" miterlimit="8" joinstyle="miter" endarrow="classic"/>
                      <v:imagedata o:title=""/>
                      <o:lock v:ext="edit" aspectratio="f"/>
                    </v:shape>
                  </w:pict>
                </mc:Fallback>
              </mc:AlternateConten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5000" w:type="pct"/>
            <w:gridSpan w:val="13"/>
            <w:vAlign w:val="center"/>
          </w:tcPr>
          <w:p>
            <w:pPr>
              <w:jc w:val="left"/>
              <w:rPr>
                <w:rFonts w:ascii="等线" w:hAnsi="等线" w:eastAsia="等线"/>
                <w:sz w:val="18"/>
                <w:szCs w:val="18"/>
              </w:rPr>
            </w:pPr>
            <w:r>
              <w:rPr>
                <w:rFonts w:ascii="等线" w:hAnsi="等线" w:eastAsia="等线"/>
                <w:sz w:val="18"/>
                <w:szCs w:val="18"/>
              </w:rPr>
              <w:t>回归方程：</w:t>
            </w:r>
            <w:r>
              <w:rPr>
                <w:rFonts w:ascii="等线" w:hAnsi="等线" w:eastAsia="等线"/>
                <w:i/>
                <w:sz w:val="18"/>
                <w:szCs w:val="18"/>
              </w:rPr>
              <w:t>K</w:t>
            </w:r>
            <w:r>
              <w:rPr>
                <w:rFonts w:ascii="等线" w:hAnsi="等线" w:eastAsia="等线"/>
                <w:sz w:val="18"/>
                <w:szCs w:val="18"/>
                <w:vertAlign w:val="subscript"/>
              </w:rPr>
              <w:t>gr</w:t>
            </w:r>
            <w:r>
              <w:rPr>
                <w:rFonts w:ascii="等线" w:hAnsi="等线" w:eastAsia="等线"/>
                <w:sz w:val="18"/>
                <w:szCs w:val="18"/>
              </w:rPr>
              <w:t>=</w:t>
            </w:r>
            <w:r>
              <w:rPr>
                <w:rFonts w:ascii="等线" w:hAnsi="等线" w:eastAsia="等线"/>
                <w:i/>
                <w:iCs/>
                <w:sz w:val="18"/>
                <w:szCs w:val="18"/>
              </w:rPr>
              <w:t>ax+b</w:t>
            </w:r>
            <w:r>
              <w:rPr>
                <w:rFonts w:ascii="等线" w:hAnsi="等线" w:eastAsia="等线"/>
                <w:sz w:val="18"/>
                <w:szCs w:val="18"/>
              </w:rPr>
              <w:t>=</w:t>
            </w:r>
            <w:r>
              <w:rPr>
                <w:rFonts w:ascii="等线" w:hAnsi="等线" w:eastAsia="等线"/>
                <w:sz w:val="18"/>
                <w:szCs w:val="18"/>
                <w:u w:val="single"/>
              </w:rPr>
              <w:t xml:space="preserve">                 </w:t>
            </w:r>
            <w:r>
              <w:rPr>
                <w:rFonts w:ascii="等线" w:hAnsi="等线" w:eastAsia="等线"/>
                <w:sz w:val="18"/>
                <w:szCs w:val="18"/>
              </w:rPr>
              <w:t xml:space="preserve">         相关系数</w:t>
            </w:r>
            <w:r>
              <w:rPr>
                <w:rFonts w:ascii="等线" w:hAnsi="等线" w:eastAsia="等线"/>
                <w:i/>
                <w:iCs/>
                <w:sz w:val="18"/>
                <w:szCs w:val="18"/>
              </w:rPr>
              <w:t>r</w:t>
            </w:r>
            <w:r>
              <w:rPr>
                <w:rFonts w:ascii="等线" w:hAnsi="等线" w:eastAsia="等线"/>
                <w:sz w:val="18"/>
                <w:szCs w:val="18"/>
              </w:rPr>
              <w:t>=</w:t>
            </w:r>
            <w:r>
              <w:rPr>
                <w:rFonts w:ascii="等线" w:hAnsi="等线" w:eastAsia="等线"/>
                <w:sz w:val="18"/>
                <w:szCs w:val="18"/>
                <w:u w:val="single"/>
              </w:rPr>
              <w:t xml:space="preserve">        </w:t>
            </w:r>
            <w:r>
              <w:rPr>
                <w:rFonts w:ascii="等线" w:hAnsi="等线" w:eastAsia="等线"/>
                <w:sz w:val="18"/>
                <w:szCs w:val="18"/>
              </w:rPr>
              <w:t>，测点数</w:t>
            </w:r>
            <w:r>
              <w:rPr>
                <w:rFonts w:ascii="等线" w:hAnsi="等线" w:eastAsia="等线"/>
                <w:i/>
                <w:iCs/>
                <w:sz w:val="18"/>
                <w:szCs w:val="18"/>
              </w:rPr>
              <w:t>n</w:t>
            </w:r>
            <w:r>
              <w:rPr>
                <w:rFonts w:ascii="等线" w:hAnsi="等线" w:eastAsia="等线"/>
                <w:sz w:val="18"/>
                <w:szCs w:val="18"/>
              </w:rPr>
              <w:t>=</w:t>
            </w:r>
            <w:r>
              <w:rPr>
                <w:rFonts w:ascii="等线" w:hAnsi="等线" w:eastAsia="等线"/>
                <w:sz w:val="18"/>
                <w:szCs w:val="18"/>
                <w:u w:val="single"/>
              </w:rPr>
              <w:t xml:space="preserve">        </w:t>
            </w:r>
            <w:r>
              <w:rPr>
                <w:rFonts w:ascii="等线" w:hAnsi="等线" w:eastAsia="等线"/>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5000" w:type="pct"/>
            <w:gridSpan w:val="13"/>
            <w:vAlign w:val="center"/>
          </w:tcPr>
          <w:p>
            <w:pPr>
              <w:jc w:val="left"/>
              <w:rPr>
                <w:rFonts w:ascii="等线" w:hAnsi="等线" w:eastAsia="等线"/>
                <w:sz w:val="18"/>
                <w:szCs w:val="18"/>
              </w:rPr>
            </w:pPr>
            <w:r>
              <w:rPr>
                <w:rFonts w:ascii="等线" w:hAnsi="等线" w:eastAsia="等线"/>
                <w:sz w:val="18"/>
                <w:szCs w:val="18"/>
              </w:rPr>
              <w:t>常规检测指标规定值[</w:t>
            </w:r>
            <w:r>
              <w:rPr>
                <w:rFonts w:ascii="等线" w:hAnsi="等线" w:eastAsia="等线"/>
                <w:i/>
                <w:iCs/>
                <w:sz w:val="18"/>
                <w:szCs w:val="18"/>
              </w:rPr>
              <w:t>x</w:t>
            </w:r>
            <w:r>
              <w:rPr>
                <w:rFonts w:ascii="等线" w:hAnsi="等线" w:eastAsia="等线"/>
                <w:sz w:val="18"/>
                <w:szCs w:val="18"/>
              </w:rPr>
              <w:t>]=</w:t>
            </w:r>
            <w:r>
              <w:rPr>
                <w:rFonts w:ascii="等线" w:hAnsi="等线" w:eastAsia="等线"/>
                <w:sz w:val="18"/>
                <w:szCs w:val="18"/>
                <w:u w:val="single"/>
              </w:rPr>
              <w:t xml:space="preserve">          </w:t>
            </w:r>
            <w:r>
              <w:rPr>
                <w:rFonts w:ascii="等线" w:hAnsi="等线" w:eastAsia="等线"/>
                <w:sz w:val="18"/>
                <w:szCs w:val="18"/>
              </w:rPr>
              <w:t>，对应的路基刚度[</w:t>
            </w:r>
            <w:r>
              <w:rPr>
                <w:rFonts w:ascii="等线" w:hAnsi="等线" w:eastAsia="等线"/>
                <w:i/>
                <w:sz w:val="18"/>
                <w:szCs w:val="18"/>
              </w:rPr>
              <w:t>K</w:t>
            </w:r>
            <w:r>
              <w:rPr>
                <w:rFonts w:ascii="等线" w:hAnsi="等线" w:eastAsia="等线"/>
                <w:sz w:val="18"/>
                <w:szCs w:val="18"/>
                <w:vertAlign w:val="subscript"/>
              </w:rPr>
              <w:t>gr</w:t>
            </w:r>
            <w:r>
              <w:rPr>
                <w:rFonts w:ascii="等线" w:hAnsi="等线" w:eastAsia="等线"/>
                <w:sz w:val="18"/>
                <w:szCs w:val="18"/>
              </w:rPr>
              <w:t>]=</w:t>
            </w:r>
            <w:r>
              <w:rPr>
                <w:rFonts w:ascii="等线" w:hAnsi="等线" w:eastAsia="等线"/>
                <w:sz w:val="18"/>
                <w:szCs w:val="18"/>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00" w:type="pct"/>
            <w:gridSpan w:val="13"/>
            <w:vAlign w:val="center"/>
          </w:tcPr>
          <w:p>
            <w:pPr>
              <w:jc w:val="left"/>
              <w:rPr>
                <w:rFonts w:ascii="等线" w:hAnsi="等线" w:eastAsia="等线"/>
                <w:sz w:val="18"/>
                <w:szCs w:val="18"/>
              </w:rPr>
            </w:pPr>
            <w:r>
              <w:rPr>
                <w:rFonts w:ascii="等线" w:hAnsi="等线" w:eastAsia="等线"/>
                <w:sz w:val="18"/>
                <w:szCs w:val="18"/>
              </w:rPr>
              <w:t xml:space="preserve">试验：                       复核：                       日期：         </w:t>
            </w:r>
          </w:p>
        </w:tc>
      </w:tr>
    </w:tbl>
    <w:p>
      <w:pPr>
        <w:widowControl/>
        <w:jc w:val="left"/>
        <w:rPr>
          <w:rFonts w:eastAsia="黑体"/>
        </w:rPr>
      </w:pPr>
      <w:r>
        <w:rPr>
          <w:rFonts w:eastAsia="黑体"/>
        </w:rPr>
        <w:br w:type="page"/>
      </w:r>
    </w:p>
    <w:p>
      <w:pPr>
        <w:jc w:val="center"/>
        <w:outlineLvl w:val="0"/>
        <w:rPr>
          <w:rFonts w:eastAsia="黑体"/>
          <w:sz w:val="28"/>
          <w:szCs w:val="28"/>
        </w:rPr>
      </w:pPr>
      <w:bookmarkStart w:id="62" w:name="_Toc126162186"/>
      <w:r>
        <w:rPr>
          <w:rFonts w:eastAsia="黑体"/>
          <w:sz w:val="28"/>
          <w:szCs w:val="28"/>
        </w:rPr>
        <w:t>附  录  B</w:t>
      </w:r>
      <w:bookmarkEnd w:id="62"/>
    </w:p>
    <w:p>
      <w:pPr>
        <w:spacing w:line="360" w:lineRule="auto"/>
        <w:jc w:val="center"/>
        <w:rPr>
          <w:rFonts w:ascii="黑体" w:hAnsi="黑体" w:eastAsia="黑体"/>
        </w:rPr>
      </w:pPr>
      <w:r>
        <w:rPr>
          <w:rFonts w:ascii="黑体" w:hAnsi="黑体" w:eastAsia="黑体"/>
        </w:rPr>
        <w:t>（资料性）</w:t>
      </w:r>
    </w:p>
    <w:p>
      <w:pPr>
        <w:spacing w:line="360" w:lineRule="auto"/>
        <w:jc w:val="center"/>
        <w:rPr>
          <w:rFonts w:ascii="黑体" w:hAnsi="黑体" w:eastAsia="黑体"/>
        </w:rPr>
      </w:pPr>
      <w:r>
        <w:rPr>
          <w:rFonts w:ascii="黑体" w:hAnsi="黑体" w:eastAsia="黑体"/>
        </w:rPr>
        <w:t>路基</w:t>
      </w:r>
      <w:r>
        <w:rPr>
          <w:rFonts w:hint="eastAsia" w:ascii="黑体" w:hAnsi="黑体" w:eastAsia="黑体"/>
        </w:rPr>
        <w:t>刚度</w:t>
      </w:r>
      <w:r>
        <w:rPr>
          <w:rFonts w:ascii="黑体" w:hAnsi="黑体" w:eastAsia="黑体"/>
          <w:i/>
        </w:rPr>
        <w:t>K</w:t>
      </w:r>
      <w:r>
        <w:rPr>
          <w:rFonts w:ascii="黑体" w:hAnsi="黑体" w:eastAsia="黑体"/>
          <w:vertAlign w:val="subscript"/>
        </w:rPr>
        <w:t>gr</w:t>
      </w:r>
      <w:r>
        <w:rPr>
          <w:rFonts w:ascii="黑体" w:hAnsi="黑体" w:eastAsia="黑体"/>
        </w:rPr>
        <w:t>压实质量检测记录表</w:t>
      </w:r>
    </w:p>
    <w:p>
      <w:pPr>
        <w:spacing w:line="360" w:lineRule="auto"/>
        <w:jc w:val="left"/>
        <w:rPr>
          <w:szCs w:val="21"/>
          <w:u w:val="single"/>
        </w:rPr>
      </w:pPr>
      <w:r>
        <w:rPr>
          <w:szCs w:val="21"/>
        </w:rPr>
        <w:t>工程名称</w:t>
      </w:r>
      <w:r>
        <w:rPr>
          <w:szCs w:val="21"/>
          <w:u w:val="single"/>
        </w:rPr>
        <w:t xml:space="preserve">                </w:t>
      </w:r>
      <w:r>
        <w:rPr>
          <w:szCs w:val="21"/>
        </w:rPr>
        <w:t xml:space="preserve">                                        检测编号</w:t>
      </w:r>
      <w:r>
        <w:rPr>
          <w:szCs w:val="21"/>
          <w:u w:val="single"/>
        </w:rPr>
        <w:t xml:space="preserve">               </w:t>
      </w:r>
      <w:r>
        <w:rPr>
          <w:szCs w:val="21"/>
        </w:rPr>
        <w:t xml:space="preserve">                                  </w:t>
      </w:r>
    </w:p>
    <w:tbl>
      <w:tblPr>
        <w:tblStyle w:val="52"/>
        <w:tblW w:w="503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3"/>
        <w:gridCol w:w="723"/>
        <w:gridCol w:w="480"/>
        <w:gridCol w:w="968"/>
        <w:gridCol w:w="1603"/>
        <w:gridCol w:w="1111"/>
        <w:gridCol w:w="633"/>
        <w:gridCol w:w="1449"/>
        <w:gridCol w:w="1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999" w:type="pct"/>
            <w:gridSpan w:val="3"/>
            <w:shd w:val="clear" w:color="auto" w:fill="auto"/>
            <w:vAlign w:val="center"/>
          </w:tcPr>
          <w:p>
            <w:pPr>
              <w:rPr>
                <w:szCs w:val="21"/>
              </w:rPr>
            </w:pPr>
            <w:r>
              <w:rPr>
                <w:szCs w:val="21"/>
              </w:rPr>
              <w:t>起止桩号</w:t>
            </w:r>
          </w:p>
        </w:tc>
        <w:tc>
          <w:tcPr>
            <w:tcW w:w="1333" w:type="pct"/>
            <w:gridSpan w:val="2"/>
            <w:shd w:val="clear" w:color="auto" w:fill="auto"/>
            <w:vAlign w:val="center"/>
          </w:tcPr>
          <w:p>
            <w:pPr>
              <w:rPr>
                <w:szCs w:val="21"/>
              </w:rPr>
            </w:pPr>
          </w:p>
        </w:tc>
        <w:tc>
          <w:tcPr>
            <w:tcW w:w="904" w:type="pct"/>
            <w:gridSpan w:val="2"/>
            <w:shd w:val="clear" w:color="auto" w:fill="auto"/>
            <w:vAlign w:val="center"/>
          </w:tcPr>
          <w:p>
            <w:pPr>
              <w:rPr>
                <w:szCs w:val="21"/>
              </w:rPr>
            </w:pPr>
            <w:r>
              <w:rPr>
                <w:szCs w:val="21"/>
              </w:rPr>
              <w:t>检测单位</w:t>
            </w:r>
          </w:p>
        </w:tc>
        <w:tc>
          <w:tcPr>
            <w:tcW w:w="1764" w:type="pct"/>
            <w:gridSpan w:val="2"/>
            <w:shd w:val="clear" w:color="auto" w:fill="auto"/>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999" w:type="pct"/>
            <w:gridSpan w:val="3"/>
            <w:shd w:val="clear" w:color="auto" w:fill="auto"/>
            <w:vAlign w:val="center"/>
          </w:tcPr>
          <w:p>
            <w:pPr>
              <w:rPr>
                <w:szCs w:val="21"/>
              </w:rPr>
            </w:pPr>
            <w:r>
              <w:rPr>
                <w:szCs w:val="21"/>
              </w:rPr>
              <w:t>填筑层位</w:t>
            </w:r>
          </w:p>
        </w:tc>
        <w:tc>
          <w:tcPr>
            <w:tcW w:w="1333" w:type="pct"/>
            <w:gridSpan w:val="2"/>
            <w:shd w:val="clear" w:color="auto" w:fill="auto"/>
            <w:vAlign w:val="center"/>
          </w:tcPr>
          <w:p>
            <w:pPr>
              <w:rPr>
                <w:szCs w:val="21"/>
              </w:rPr>
            </w:pPr>
          </w:p>
        </w:tc>
        <w:tc>
          <w:tcPr>
            <w:tcW w:w="904" w:type="pct"/>
            <w:gridSpan w:val="2"/>
            <w:shd w:val="clear" w:color="auto" w:fill="auto"/>
            <w:vAlign w:val="center"/>
          </w:tcPr>
          <w:p>
            <w:pPr>
              <w:rPr>
                <w:szCs w:val="21"/>
              </w:rPr>
            </w:pPr>
            <w:r>
              <w:rPr>
                <w:szCs w:val="21"/>
              </w:rPr>
              <w:t>填料类型</w:t>
            </w:r>
          </w:p>
        </w:tc>
        <w:tc>
          <w:tcPr>
            <w:tcW w:w="1764" w:type="pct"/>
            <w:gridSpan w:val="2"/>
            <w:shd w:val="clear" w:color="auto" w:fill="auto"/>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999" w:type="pct"/>
            <w:gridSpan w:val="3"/>
            <w:shd w:val="clear" w:color="auto" w:fill="auto"/>
            <w:vAlign w:val="center"/>
          </w:tcPr>
          <w:p>
            <w:pPr>
              <w:rPr>
                <w:szCs w:val="21"/>
              </w:rPr>
            </w:pPr>
            <w:r>
              <w:rPr>
                <w:szCs w:val="21"/>
              </w:rPr>
              <w:t>最大干密度g/cm</w:t>
            </w:r>
            <w:r>
              <w:rPr>
                <w:szCs w:val="21"/>
                <w:vertAlign w:val="superscript"/>
              </w:rPr>
              <w:t>3</w:t>
            </w:r>
          </w:p>
        </w:tc>
        <w:tc>
          <w:tcPr>
            <w:tcW w:w="1333" w:type="pct"/>
            <w:gridSpan w:val="2"/>
            <w:shd w:val="clear" w:color="auto" w:fill="auto"/>
            <w:vAlign w:val="center"/>
          </w:tcPr>
          <w:p>
            <w:pPr>
              <w:rPr>
                <w:szCs w:val="21"/>
              </w:rPr>
            </w:pPr>
          </w:p>
        </w:tc>
        <w:tc>
          <w:tcPr>
            <w:tcW w:w="904" w:type="pct"/>
            <w:gridSpan w:val="2"/>
            <w:shd w:val="clear" w:color="auto" w:fill="auto"/>
            <w:vAlign w:val="center"/>
          </w:tcPr>
          <w:p>
            <w:pPr>
              <w:rPr>
                <w:szCs w:val="21"/>
              </w:rPr>
            </w:pPr>
            <w:r>
              <w:rPr>
                <w:szCs w:val="21"/>
              </w:rPr>
              <w:t>最佳含水率/%</w:t>
            </w:r>
          </w:p>
        </w:tc>
        <w:tc>
          <w:tcPr>
            <w:tcW w:w="1764" w:type="pct"/>
            <w:gridSpan w:val="2"/>
            <w:shd w:val="clear" w:color="auto" w:fill="auto"/>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999" w:type="pct"/>
            <w:gridSpan w:val="3"/>
            <w:shd w:val="clear" w:color="auto" w:fill="auto"/>
            <w:vAlign w:val="center"/>
          </w:tcPr>
          <w:p>
            <w:pPr>
              <w:rPr>
                <w:szCs w:val="21"/>
              </w:rPr>
            </w:pPr>
            <w:r>
              <w:rPr>
                <w:szCs w:val="21"/>
              </w:rPr>
              <w:t>天气、温度（℃）</w:t>
            </w:r>
          </w:p>
        </w:tc>
        <w:tc>
          <w:tcPr>
            <w:tcW w:w="1333" w:type="pct"/>
            <w:gridSpan w:val="2"/>
            <w:shd w:val="clear" w:color="auto" w:fill="auto"/>
            <w:vAlign w:val="center"/>
          </w:tcPr>
          <w:p>
            <w:pPr>
              <w:rPr>
                <w:szCs w:val="21"/>
              </w:rPr>
            </w:pPr>
          </w:p>
        </w:tc>
        <w:tc>
          <w:tcPr>
            <w:tcW w:w="904" w:type="pct"/>
            <w:gridSpan w:val="2"/>
            <w:shd w:val="clear" w:color="auto" w:fill="auto"/>
            <w:vAlign w:val="center"/>
          </w:tcPr>
          <w:p>
            <w:pPr>
              <w:rPr>
                <w:szCs w:val="21"/>
              </w:rPr>
            </w:pPr>
            <w:r>
              <w:rPr>
                <w:szCs w:val="21"/>
              </w:rPr>
              <w:t>仪器型号</w:t>
            </w:r>
          </w:p>
        </w:tc>
        <w:tc>
          <w:tcPr>
            <w:tcW w:w="1764" w:type="pct"/>
            <w:gridSpan w:val="2"/>
            <w:shd w:val="clear" w:color="auto" w:fill="auto"/>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999" w:type="pct"/>
            <w:gridSpan w:val="3"/>
            <w:shd w:val="clear" w:color="auto" w:fill="auto"/>
            <w:vAlign w:val="center"/>
          </w:tcPr>
          <w:p>
            <w:pPr>
              <w:rPr>
                <w:szCs w:val="21"/>
              </w:rPr>
            </w:pPr>
            <w:r>
              <w:rPr>
                <w:szCs w:val="21"/>
              </w:rPr>
              <w:t>检测日期</w:t>
            </w:r>
          </w:p>
        </w:tc>
        <w:tc>
          <w:tcPr>
            <w:tcW w:w="4001" w:type="pct"/>
            <w:gridSpan w:val="6"/>
            <w:shd w:val="clear" w:color="auto" w:fill="auto"/>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375" w:type="pct"/>
            <w:shd w:val="clear" w:color="auto" w:fill="auto"/>
            <w:vAlign w:val="center"/>
          </w:tcPr>
          <w:p>
            <w:pPr>
              <w:jc w:val="center"/>
              <w:rPr>
                <w:szCs w:val="21"/>
              </w:rPr>
            </w:pPr>
            <w:r>
              <w:rPr>
                <w:szCs w:val="21"/>
              </w:rPr>
              <w:t>编号</w:t>
            </w:r>
          </w:p>
        </w:tc>
        <w:tc>
          <w:tcPr>
            <w:tcW w:w="1126" w:type="pct"/>
            <w:gridSpan w:val="3"/>
            <w:shd w:val="clear" w:color="auto" w:fill="auto"/>
            <w:vAlign w:val="center"/>
          </w:tcPr>
          <w:p>
            <w:pPr>
              <w:jc w:val="center"/>
              <w:rPr>
                <w:szCs w:val="21"/>
              </w:rPr>
            </w:pPr>
            <w:r>
              <w:rPr>
                <w:szCs w:val="21"/>
              </w:rPr>
              <w:t>位置</w:t>
            </w:r>
          </w:p>
        </w:tc>
        <w:tc>
          <w:tcPr>
            <w:tcW w:w="831" w:type="pct"/>
            <w:shd w:val="clear" w:color="auto" w:fill="auto"/>
            <w:vAlign w:val="center"/>
          </w:tcPr>
          <w:p>
            <w:pPr>
              <w:jc w:val="center"/>
              <w:rPr>
                <w:szCs w:val="21"/>
              </w:rPr>
            </w:pPr>
            <w:r>
              <w:rPr>
                <w:i/>
                <w:szCs w:val="21"/>
              </w:rPr>
              <w:t>K</w:t>
            </w:r>
            <w:r>
              <w:rPr>
                <w:szCs w:val="21"/>
                <w:vertAlign w:val="subscript"/>
              </w:rPr>
              <w:t>gr</w:t>
            </w:r>
            <w:r>
              <w:rPr>
                <w:szCs w:val="21"/>
              </w:rPr>
              <w:t>（MN/m）</w:t>
            </w:r>
          </w:p>
        </w:tc>
        <w:tc>
          <w:tcPr>
            <w:tcW w:w="576" w:type="pct"/>
            <w:shd w:val="clear" w:color="auto" w:fill="auto"/>
            <w:vAlign w:val="center"/>
          </w:tcPr>
          <w:p>
            <w:pPr>
              <w:jc w:val="center"/>
              <w:rPr>
                <w:szCs w:val="21"/>
              </w:rPr>
            </w:pPr>
            <w:r>
              <w:rPr>
                <w:szCs w:val="21"/>
              </w:rPr>
              <w:t>编号</w:t>
            </w:r>
          </w:p>
        </w:tc>
        <w:tc>
          <w:tcPr>
            <w:tcW w:w="1079" w:type="pct"/>
            <w:gridSpan w:val="2"/>
            <w:shd w:val="clear" w:color="auto" w:fill="auto"/>
            <w:vAlign w:val="center"/>
          </w:tcPr>
          <w:p>
            <w:pPr>
              <w:jc w:val="center"/>
              <w:rPr>
                <w:szCs w:val="21"/>
              </w:rPr>
            </w:pPr>
            <w:r>
              <w:rPr>
                <w:szCs w:val="21"/>
              </w:rPr>
              <w:t>位置</w:t>
            </w:r>
          </w:p>
        </w:tc>
        <w:tc>
          <w:tcPr>
            <w:tcW w:w="1013" w:type="pct"/>
            <w:shd w:val="clear" w:color="auto" w:fill="auto"/>
            <w:vAlign w:val="center"/>
          </w:tcPr>
          <w:p>
            <w:pPr>
              <w:jc w:val="center"/>
              <w:rPr>
                <w:szCs w:val="21"/>
              </w:rPr>
            </w:pPr>
            <w:r>
              <w:rPr>
                <w:i/>
                <w:szCs w:val="21"/>
              </w:rPr>
              <w:t>K</w:t>
            </w:r>
            <w:r>
              <w:rPr>
                <w:szCs w:val="21"/>
                <w:vertAlign w:val="subscript"/>
              </w:rPr>
              <w:t>gr</w:t>
            </w:r>
            <w:r>
              <w:rPr>
                <w:szCs w:val="21"/>
              </w:rPr>
              <w:t>（MN/m）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375" w:type="pct"/>
            <w:shd w:val="clear" w:color="auto" w:fill="auto"/>
            <w:vAlign w:val="center"/>
          </w:tcPr>
          <w:p>
            <w:pPr>
              <w:jc w:val="center"/>
              <w:rPr>
                <w:szCs w:val="21"/>
              </w:rPr>
            </w:pPr>
            <w:r>
              <w:rPr>
                <w:szCs w:val="21"/>
              </w:rPr>
              <w:t>1</w:t>
            </w:r>
          </w:p>
        </w:tc>
        <w:tc>
          <w:tcPr>
            <w:tcW w:w="1126" w:type="pct"/>
            <w:gridSpan w:val="3"/>
            <w:shd w:val="clear" w:color="auto" w:fill="auto"/>
            <w:vAlign w:val="center"/>
          </w:tcPr>
          <w:p>
            <w:pPr>
              <w:jc w:val="center"/>
              <w:rPr>
                <w:szCs w:val="21"/>
              </w:rPr>
            </w:pPr>
          </w:p>
        </w:tc>
        <w:tc>
          <w:tcPr>
            <w:tcW w:w="831" w:type="pct"/>
            <w:shd w:val="clear" w:color="auto" w:fill="auto"/>
            <w:vAlign w:val="center"/>
          </w:tcPr>
          <w:p>
            <w:pPr>
              <w:jc w:val="center"/>
              <w:rPr>
                <w:szCs w:val="21"/>
              </w:rPr>
            </w:pPr>
          </w:p>
        </w:tc>
        <w:tc>
          <w:tcPr>
            <w:tcW w:w="576" w:type="pct"/>
            <w:shd w:val="clear" w:color="auto" w:fill="auto"/>
            <w:vAlign w:val="center"/>
          </w:tcPr>
          <w:p>
            <w:pPr>
              <w:jc w:val="center"/>
              <w:rPr>
                <w:szCs w:val="21"/>
              </w:rPr>
            </w:pPr>
            <w:r>
              <w:rPr>
                <w:szCs w:val="21"/>
              </w:rPr>
              <w:t>9</w:t>
            </w:r>
          </w:p>
        </w:tc>
        <w:tc>
          <w:tcPr>
            <w:tcW w:w="1079" w:type="pct"/>
            <w:gridSpan w:val="2"/>
            <w:shd w:val="clear" w:color="auto" w:fill="auto"/>
            <w:vAlign w:val="center"/>
          </w:tcPr>
          <w:p>
            <w:pPr>
              <w:jc w:val="center"/>
              <w:rPr>
                <w:szCs w:val="21"/>
              </w:rPr>
            </w:pPr>
          </w:p>
        </w:tc>
        <w:tc>
          <w:tcPr>
            <w:tcW w:w="1013" w:type="pct"/>
            <w:shd w:val="clear" w:color="auto" w:fill="auto"/>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375" w:type="pct"/>
            <w:shd w:val="clear" w:color="auto" w:fill="auto"/>
            <w:vAlign w:val="center"/>
          </w:tcPr>
          <w:p>
            <w:pPr>
              <w:jc w:val="center"/>
              <w:rPr>
                <w:szCs w:val="21"/>
              </w:rPr>
            </w:pPr>
            <w:r>
              <w:rPr>
                <w:szCs w:val="21"/>
              </w:rPr>
              <w:t>2</w:t>
            </w:r>
          </w:p>
        </w:tc>
        <w:tc>
          <w:tcPr>
            <w:tcW w:w="1126" w:type="pct"/>
            <w:gridSpan w:val="3"/>
            <w:shd w:val="clear" w:color="auto" w:fill="auto"/>
            <w:vAlign w:val="center"/>
          </w:tcPr>
          <w:p>
            <w:pPr>
              <w:jc w:val="center"/>
              <w:rPr>
                <w:szCs w:val="21"/>
              </w:rPr>
            </w:pPr>
          </w:p>
        </w:tc>
        <w:tc>
          <w:tcPr>
            <w:tcW w:w="831" w:type="pct"/>
            <w:shd w:val="clear" w:color="auto" w:fill="auto"/>
            <w:vAlign w:val="center"/>
          </w:tcPr>
          <w:p>
            <w:pPr>
              <w:jc w:val="center"/>
              <w:rPr>
                <w:szCs w:val="21"/>
              </w:rPr>
            </w:pPr>
          </w:p>
        </w:tc>
        <w:tc>
          <w:tcPr>
            <w:tcW w:w="576" w:type="pct"/>
            <w:shd w:val="clear" w:color="auto" w:fill="auto"/>
            <w:vAlign w:val="center"/>
          </w:tcPr>
          <w:p>
            <w:pPr>
              <w:jc w:val="center"/>
              <w:rPr>
                <w:szCs w:val="21"/>
              </w:rPr>
            </w:pPr>
            <w:r>
              <w:rPr>
                <w:szCs w:val="21"/>
              </w:rPr>
              <w:t>10</w:t>
            </w:r>
          </w:p>
        </w:tc>
        <w:tc>
          <w:tcPr>
            <w:tcW w:w="1079" w:type="pct"/>
            <w:gridSpan w:val="2"/>
            <w:shd w:val="clear" w:color="auto" w:fill="auto"/>
            <w:vAlign w:val="center"/>
          </w:tcPr>
          <w:p>
            <w:pPr>
              <w:jc w:val="center"/>
              <w:rPr>
                <w:szCs w:val="21"/>
              </w:rPr>
            </w:pPr>
          </w:p>
        </w:tc>
        <w:tc>
          <w:tcPr>
            <w:tcW w:w="1013" w:type="pct"/>
            <w:shd w:val="clear" w:color="auto" w:fill="auto"/>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375" w:type="pct"/>
            <w:shd w:val="clear" w:color="auto" w:fill="auto"/>
            <w:vAlign w:val="center"/>
          </w:tcPr>
          <w:p>
            <w:pPr>
              <w:jc w:val="center"/>
              <w:rPr>
                <w:szCs w:val="21"/>
              </w:rPr>
            </w:pPr>
            <w:r>
              <w:rPr>
                <w:szCs w:val="21"/>
              </w:rPr>
              <w:t>3</w:t>
            </w:r>
          </w:p>
        </w:tc>
        <w:tc>
          <w:tcPr>
            <w:tcW w:w="1126" w:type="pct"/>
            <w:gridSpan w:val="3"/>
            <w:shd w:val="clear" w:color="auto" w:fill="auto"/>
            <w:vAlign w:val="center"/>
          </w:tcPr>
          <w:p>
            <w:pPr>
              <w:jc w:val="center"/>
              <w:rPr>
                <w:szCs w:val="21"/>
              </w:rPr>
            </w:pPr>
          </w:p>
        </w:tc>
        <w:tc>
          <w:tcPr>
            <w:tcW w:w="831" w:type="pct"/>
            <w:shd w:val="clear" w:color="auto" w:fill="auto"/>
            <w:vAlign w:val="center"/>
          </w:tcPr>
          <w:p>
            <w:pPr>
              <w:jc w:val="center"/>
              <w:rPr>
                <w:szCs w:val="21"/>
              </w:rPr>
            </w:pPr>
          </w:p>
        </w:tc>
        <w:tc>
          <w:tcPr>
            <w:tcW w:w="576" w:type="pct"/>
            <w:shd w:val="clear" w:color="auto" w:fill="auto"/>
            <w:vAlign w:val="center"/>
          </w:tcPr>
          <w:p>
            <w:pPr>
              <w:jc w:val="center"/>
              <w:rPr>
                <w:szCs w:val="21"/>
              </w:rPr>
            </w:pPr>
            <w:r>
              <w:rPr>
                <w:szCs w:val="21"/>
              </w:rPr>
              <w:t>11</w:t>
            </w:r>
          </w:p>
        </w:tc>
        <w:tc>
          <w:tcPr>
            <w:tcW w:w="1079" w:type="pct"/>
            <w:gridSpan w:val="2"/>
            <w:shd w:val="clear" w:color="auto" w:fill="auto"/>
            <w:vAlign w:val="center"/>
          </w:tcPr>
          <w:p>
            <w:pPr>
              <w:jc w:val="center"/>
              <w:rPr>
                <w:szCs w:val="21"/>
              </w:rPr>
            </w:pPr>
          </w:p>
        </w:tc>
        <w:tc>
          <w:tcPr>
            <w:tcW w:w="1013" w:type="pct"/>
            <w:shd w:val="clear" w:color="auto" w:fill="auto"/>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375" w:type="pct"/>
            <w:shd w:val="clear" w:color="auto" w:fill="auto"/>
            <w:vAlign w:val="center"/>
          </w:tcPr>
          <w:p>
            <w:pPr>
              <w:jc w:val="center"/>
              <w:rPr>
                <w:szCs w:val="21"/>
              </w:rPr>
            </w:pPr>
            <w:r>
              <w:rPr>
                <w:szCs w:val="21"/>
              </w:rPr>
              <w:t>4</w:t>
            </w:r>
          </w:p>
        </w:tc>
        <w:tc>
          <w:tcPr>
            <w:tcW w:w="1126" w:type="pct"/>
            <w:gridSpan w:val="3"/>
            <w:shd w:val="clear" w:color="auto" w:fill="auto"/>
            <w:vAlign w:val="center"/>
          </w:tcPr>
          <w:p>
            <w:pPr>
              <w:jc w:val="center"/>
              <w:rPr>
                <w:szCs w:val="21"/>
              </w:rPr>
            </w:pPr>
          </w:p>
        </w:tc>
        <w:tc>
          <w:tcPr>
            <w:tcW w:w="831" w:type="pct"/>
            <w:shd w:val="clear" w:color="auto" w:fill="auto"/>
            <w:vAlign w:val="center"/>
          </w:tcPr>
          <w:p>
            <w:pPr>
              <w:jc w:val="center"/>
              <w:rPr>
                <w:szCs w:val="21"/>
              </w:rPr>
            </w:pPr>
          </w:p>
        </w:tc>
        <w:tc>
          <w:tcPr>
            <w:tcW w:w="576" w:type="pct"/>
            <w:shd w:val="clear" w:color="auto" w:fill="auto"/>
            <w:vAlign w:val="center"/>
          </w:tcPr>
          <w:p>
            <w:pPr>
              <w:jc w:val="center"/>
              <w:rPr>
                <w:szCs w:val="21"/>
              </w:rPr>
            </w:pPr>
            <w:r>
              <w:rPr>
                <w:szCs w:val="21"/>
              </w:rPr>
              <w:t>12</w:t>
            </w:r>
          </w:p>
        </w:tc>
        <w:tc>
          <w:tcPr>
            <w:tcW w:w="1079" w:type="pct"/>
            <w:gridSpan w:val="2"/>
            <w:shd w:val="clear" w:color="auto" w:fill="auto"/>
            <w:vAlign w:val="center"/>
          </w:tcPr>
          <w:p>
            <w:pPr>
              <w:jc w:val="center"/>
              <w:rPr>
                <w:szCs w:val="21"/>
              </w:rPr>
            </w:pPr>
          </w:p>
        </w:tc>
        <w:tc>
          <w:tcPr>
            <w:tcW w:w="1013" w:type="pct"/>
            <w:shd w:val="clear" w:color="auto" w:fill="auto"/>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375" w:type="pct"/>
            <w:shd w:val="clear" w:color="auto" w:fill="auto"/>
            <w:vAlign w:val="center"/>
          </w:tcPr>
          <w:p>
            <w:pPr>
              <w:jc w:val="center"/>
              <w:rPr>
                <w:szCs w:val="21"/>
              </w:rPr>
            </w:pPr>
            <w:r>
              <w:rPr>
                <w:szCs w:val="21"/>
              </w:rPr>
              <w:t>5</w:t>
            </w:r>
          </w:p>
        </w:tc>
        <w:tc>
          <w:tcPr>
            <w:tcW w:w="1126" w:type="pct"/>
            <w:gridSpan w:val="3"/>
            <w:shd w:val="clear" w:color="auto" w:fill="auto"/>
            <w:vAlign w:val="center"/>
          </w:tcPr>
          <w:p>
            <w:pPr>
              <w:jc w:val="center"/>
              <w:rPr>
                <w:szCs w:val="21"/>
              </w:rPr>
            </w:pPr>
          </w:p>
        </w:tc>
        <w:tc>
          <w:tcPr>
            <w:tcW w:w="831" w:type="pct"/>
            <w:shd w:val="clear" w:color="auto" w:fill="auto"/>
            <w:vAlign w:val="center"/>
          </w:tcPr>
          <w:p>
            <w:pPr>
              <w:jc w:val="center"/>
              <w:rPr>
                <w:szCs w:val="21"/>
              </w:rPr>
            </w:pPr>
          </w:p>
        </w:tc>
        <w:tc>
          <w:tcPr>
            <w:tcW w:w="576" w:type="pct"/>
            <w:shd w:val="clear" w:color="auto" w:fill="auto"/>
            <w:vAlign w:val="center"/>
          </w:tcPr>
          <w:p>
            <w:pPr>
              <w:jc w:val="center"/>
              <w:rPr>
                <w:szCs w:val="21"/>
              </w:rPr>
            </w:pPr>
            <w:r>
              <w:rPr>
                <w:szCs w:val="21"/>
              </w:rPr>
              <w:t>13</w:t>
            </w:r>
          </w:p>
        </w:tc>
        <w:tc>
          <w:tcPr>
            <w:tcW w:w="1079" w:type="pct"/>
            <w:gridSpan w:val="2"/>
            <w:shd w:val="clear" w:color="auto" w:fill="auto"/>
            <w:vAlign w:val="center"/>
          </w:tcPr>
          <w:p>
            <w:pPr>
              <w:jc w:val="center"/>
              <w:rPr>
                <w:szCs w:val="21"/>
              </w:rPr>
            </w:pPr>
          </w:p>
        </w:tc>
        <w:tc>
          <w:tcPr>
            <w:tcW w:w="1013" w:type="pct"/>
            <w:shd w:val="clear" w:color="auto" w:fill="auto"/>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375" w:type="pct"/>
            <w:shd w:val="clear" w:color="auto" w:fill="auto"/>
            <w:vAlign w:val="center"/>
          </w:tcPr>
          <w:p>
            <w:pPr>
              <w:jc w:val="center"/>
              <w:rPr>
                <w:szCs w:val="21"/>
              </w:rPr>
            </w:pPr>
            <w:r>
              <w:rPr>
                <w:szCs w:val="21"/>
              </w:rPr>
              <w:t>6</w:t>
            </w:r>
          </w:p>
        </w:tc>
        <w:tc>
          <w:tcPr>
            <w:tcW w:w="1126" w:type="pct"/>
            <w:gridSpan w:val="3"/>
            <w:shd w:val="clear" w:color="auto" w:fill="auto"/>
            <w:vAlign w:val="center"/>
          </w:tcPr>
          <w:p>
            <w:pPr>
              <w:jc w:val="center"/>
              <w:rPr>
                <w:szCs w:val="21"/>
              </w:rPr>
            </w:pPr>
          </w:p>
        </w:tc>
        <w:tc>
          <w:tcPr>
            <w:tcW w:w="831" w:type="pct"/>
            <w:shd w:val="clear" w:color="auto" w:fill="auto"/>
            <w:vAlign w:val="center"/>
          </w:tcPr>
          <w:p>
            <w:pPr>
              <w:jc w:val="center"/>
              <w:rPr>
                <w:szCs w:val="21"/>
              </w:rPr>
            </w:pPr>
          </w:p>
        </w:tc>
        <w:tc>
          <w:tcPr>
            <w:tcW w:w="576" w:type="pct"/>
            <w:shd w:val="clear" w:color="auto" w:fill="auto"/>
            <w:vAlign w:val="center"/>
          </w:tcPr>
          <w:p>
            <w:pPr>
              <w:jc w:val="center"/>
              <w:rPr>
                <w:szCs w:val="21"/>
              </w:rPr>
            </w:pPr>
            <w:r>
              <w:rPr>
                <w:szCs w:val="21"/>
              </w:rPr>
              <w:t>14</w:t>
            </w:r>
          </w:p>
        </w:tc>
        <w:tc>
          <w:tcPr>
            <w:tcW w:w="1079" w:type="pct"/>
            <w:gridSpan w:val="2"/>
            <w:shd w:val="clear" w:color="auto" w:fill="auto"/>
            <w:vAlign w:val="center"/>
          </w:tcPr>
          <w:p>
            <w:pPr>
              <w:jc w:val="center"/>
              <w:rPr>
                <w:szCs w:val="21"/>
              </w:rPr>
            </w:pPr>
          </w:p>
        </w:tc>
        <w:tc>
          <w:tcPr>
            <w:tcW w:w="1013" w:type="pct"/>
            <w:shd w:val="clear" w:color="auto" w:fill="auto"/>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375" w:type="pct"/>
            <w:shd w:val="clear" w:color="auto" w:fill="auto"/>
            <w:vAlign w:val="center"/>
          </w:tcPr>
          <w:p>
            <w:pPr>
              <w:jc w:val="center"/>
              <w:rPr>
                <w:szCs w:val="21"/>
              </w:rPr>
            </w:pPr>
            <w:r>
              <w:rPr>
                <w:szCs w:val="21"/>
              </w:rPr>
              <w:t>7</w:t>
            </w:r>
          </w:p>
        </w:tc>
        <w:tc>
          <w:tcPr>
            <w:tcW w:w="1126" w:type="pct"/>
            <w:gridSpan w:val="3"/>
            <w:shd w:val="clear" w:color="auto" w:fill="auto"/>
            <w:vAlign w:val="center"/>
          </w:tcPr>
          <w:p>
            <w:pPr>
              <w:jc w:val="center"/>
              <w:rPr>
                <w:szCs w:val="21"/>
              </w:rPr>
            </w:pPr>
          </w:p>
        </w:tc>
        <w:tc>
          <w:tcPr>
            <w:tcW w:w="831" w:type="pct"/>
            <w:shd w:val="clear" w:color="auto" w:fill="auto"/>
            <w:vAlign w:val="center"/>
          </w:tcPr>
          <w:p>
            <w:pPr>
              <w:jc w:val="center"/>
              <w:rPr>
                <w:szCs w:val="21"/>
              </w:rPr>
            </w:pPr>
          </w:p>
        </w:tc>
        <w:tc>
          <w:tcPr>
            <w:tcW w:w="576" w:type="pct"/>
            <w:shd w:val="clear" w:color="auto" w:fill="auto"/>
            <w:vAlign w:val="center"/>
          </w:tcPr>
          <w:p>
            <w:pPr>
              <w:jc w:val="center"/>
              <w:rPr>
                <w:szCs w:val="21"/>
              </w:rPr>
            </w:pPr>
            <w:r>
              <w:rPr>
                <w:szCs w:val="21"/>
              </w:rPr>
              <w:t>15</w:t>
            </w:r>
          </w:p>
        </w:tc>
        <w:tc>
          <w:tcPr>
            <w:tcW w:w="1079" w:type="pct"/>
            <w:gridSpan w:val="2"/>
            <w:shd w:val="clear" w:color="auto" w:fill="auto"/>
            <w:vAlign w:val="center"/>
          </w:tcPr>
          <w:p>
            <w:pPr>
              <w:jc w:val="center"/>
              <w:rPr>
                <w:szCs w:val="21"/>
              </w:rPr>
            </w:pPr>
          </w:p>
        </w:tc>
        <w:tc>
          <w:tcPr>
            <w:tcW w:w="1013" w:type="pct"/>
            <w:shd w:val="clear" w:color="auto" w:fill="auto"/>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375" w:type="pct"/>
            <w:shd w:val="clear" w:color="auto" w:fill="auto"/>
            <w:vAlign w:val="center"/>
          </w:tcPr>
          <w:p>
            <w:pPr>
              <w:jc w:val="center"/>
              <w:rPr>
                <w:szCs w:val="21"/>
              </w:rPr>
            </w:pPr>
            <w:r>
              <w:rPr>
                <w:szCs w:val="21"/>
              </w:rPr>
              <w:t>8</w:t>
            </w:r>
          </w:p>
        </w:tc>
        <w:tc>
          <w:tcPr>
            <w:tcW w:w="1126" w:type="pct"/>
            <w:gridSpan w:val="3"/>
            <w:shd w:val="clear" w:color="auto" w:fill="auto"/>
            <w:vAlign w:val="center"/>
          </w:tcPr>
          <w:p>
            <w:pPr>
              <w:jc w:val="center"/>
              <w:rPr>
                <w:szCs w:val="21"/>
              </w:rPr>
            </w:pPr>
          </w:p>
        </w:tc>
        <w:tc>
          <w:tcPr>
            <w:tcW w:w="831" w:type="pct"/>
            <w:shd w:val="clear" w:color="auto" w:fill="auto"/>
            <w:vAlign w:val="center"/>
          </w:tcPr>
          <w:p>
            <w:pPr>
              <w:jc w:val="center"/>
              <w:rPr>
                <w:szCs w:val="21"/>
              </w:rPr>
            </w:pPr>
          </w:p>
        </w:tc>
        <w:tc>
          <w:tcPr>
            <w:tcW w:w="576" w:type="pct"/>
            <w:shd w:val="clear" w:color="auto" w:fill="auto"/>
            <w:vAlign w:val="center"/>
          </w:tcPr>
          <w:p>
            <w:pPr>
              <w:jc w:val="center"/>
              <w:rPr>
                <w:szCs w:val="21"/>
              </w:rPr>
            </w:pPr>
            <w:r>
              <w:rPr>
                <w:szCs w:val="21"/>
              </w:rPr>
              <w:t>16</w:t>
            </w:r>
          </w:p>
        </w:tc>
        <w:tc>
          <w:tcPr>
            <w:tcW w:w="1079" w:type="pct"/>
            <w:gridSpan w:val="2"/>
            <w:shd w:val="clear" w:color="auto" w:fill="auto"/>
            <w:vAlign w:val="center"/>
          </w:tcPr>
          <w:p>
            <w:pPr>
              <w:jc w:val="center"/>
              <w:rPr>
                <w:szCs w:val="21"/>
              </w:rPr>
            </w:pPr>
          </w:p>
        </w:tc>
        <w:tc>
          <w:tcPr>
            <w:tcW w:w="1013" w:type="pct"/>
            <w:shd w:val="clear" w:color="auto" w:fill="auto"/>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6" w:hRule="atLeast"/>
          <w:jc w:val="center"/>
        </w:trPr>
        <w:tc>
          <w:tcPr>
            <w:tcW w:w="5000" w:type="pct"/>
            <w:gridSpan w:val="9"/>
            <w:shd w:val="clear" w:color="auto" w:fill="auto"/>
            <w:vAlign w:val="center"/>
          </w:tcPr>
          <w:p>
            <w:pPr>
              <w:jc w:val="center"/>
              <w:rPr>
                <w:szCs w:val="21"/>
              </w:rPr>
            </w:pPr>
            <w:r>
              <mc:AlternateContent>
                <mc:Choice Requires="wps">
                  <w:drawing>
                    <wp:anchor distT="45720" distB="45720" distL="114300" distR="114300" simplePos="0" relativeHeight="251675648" behindDoc="0" locked="0" layoutInCell="1" allowOverlap="1">
                      <wp:simplePos x="0" y="0"/>
                      <wp:positionH relativeFrom="column">
                        <wp:posOffset>2075815</wp:posOffset>
                      </wp:positionH>
                      <wp:positionV relativeFrom="paragraph">
                        <wp:posOffset>1396365</wp:posOffset>
                      </wp:positionV>
                      <wp:extent cx="1507490" cy="328295"/>
                      <wp:effectExtent l="0" t="0" r="0" b="0"/>
                      <wp:wrapSquare wrapText="bothSides"/>
                      <wp:docPr id="23" name="文本框 23"/>
                      <wp:cNvGraphicFramePr/>
                      <a:graphic xmlns:a="http://schemas.openxmlformats.org/drawingml/2006/main">
                        <a:graphicData uri="http://schemas.microsoft.com/office/word/2010/wordprocessingShape">
                          <wps:wsp>
                            <wps:cNvSpPr txBox="true">
                              <a:spLocks noChangeArrowheads="true"/>
                            </wps:cNvSpPr>
                            <wps:spPr bwMode="auto">
                              <a:xfrm>
                                <a:off x="0" y="0"/>
                                <a:ext cx="1507490" cy="328295"/>
                              </a:xfrm>
                              <a:prstGeom prst="rect">
                                <a:avLst/>
                              </a:prstGeom>
                              <a:noFill/>
                              <a:ln w="9525">
                                <a:noFill/>
                                <a:miter lim="800000"/>
                              </a:ln>
                            </wps:spPr>
                            <wps:txbx>
                              <w:txbxContent>
                                <w:p>
                                  <w:pPr>
                                    <w:rPr>
                                      <w:szCs w:val="21"/>
                                    </w:rPr>
                                  </w:pPr>
                                  <w:r>
                                    <w:rPr>
                                      <w:i/>
                                      <w:szCs w:val="21"/>
                                    </w:rPr>
                                    <w:t>K</w:t>
                                  </w:r>
                                  <w:r>
                                    <w:rPr>
                                      <w:szCs w:val="21"/>
                                      <w:vertAlign w:val="subscript"/>
                                    </w:rPr>
                                    <w:t>gr</w:t>
                                  </w:r>
                                  <w:r>
                                    <w:rPr>
                                      <w:szCs w:val="21"/>
                                    </w:rPr>
                                    <w:t>频数分布直方图</w:t>
                                  </w:r>
                                </w:p>
                              </w:txbxContent>
                            </wps:txbx>
                            <wps:bodyPr rot="0" vert="horz" wrap="square" lIns="91440" tIns="45720" rIns="91440" bIns="45720" anchor="t" anchorCtr="false">
                              <a:noAutofit/>
                            </wps:bodyPr>
                          </wps:wsp>
                        </a:graphicData>
                      </a:graphic>
                    </wp:anchor>
                  </w:drawing>
                </mc:Choice>
                <mc:Fallback>
                  <w:pict>
                    <v:shape id="_x0000_s1026" o:spid="_x0000_s1026" o:spt="202" type="#_x0000_t202" style="position:absolute;left:0pt;margin-left:163.45pt;margin-top:109.95pt;height:25.85pt;width:118.7pt;mso-wrap-distance-bottom:3.6pt;mso-wrap-distance-left:9pt;mso-wrap-distance-right:9pt;mso-wrap-distance-top:3.6pt;z-index:251675648;mso-width-relative:page;mso-height-relative:page;" filled="f" stroked="f" coordsize="21600,21600" o:gfxdata="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BYAAABkcnMvUEsBAhQAFAAAAAgAh07i&#10;QIGLFWbYAAAACwEAAA8AAAAAAAAAAQAgAAAAOAAAAGRycy9kb3ducmV2LnhtbFBLAQIUABQAAAAI&#10;AIdO4kCgzUwAEAIAAOcDAAAOAAAAAAAAAAEAIAAAAD0BAABkcnMvZTJvRG9jLnhtbFBLBQYAAAAA&#10;BgAGAFkBAAC/BQAAAAA=&#10;">
                      <v:fill on="f" focussize="0,0"/>
                      <v:stroke on="f" miterlimit="8" joinstyle="miter"/>
                      <v:imagedata o:title=""/>
                      <o:lock v:ext="edit" aspectratio="f"/>
                      <v:textbox>
                        <w:txbxContent>
                          <w:p>
                            <w:pPr>
                              <w:rPr>
                                <w:szCs w:val="21"/>
                              </w:rPr>
                            </w:pPr>
                            <w:r>
                              <w:rPr>
                                <w:i/>
                                <w:szCs w:val="21"/>
                              </w:rPr>
                              <w:t>K</w:t>
                            </w:r>
                            <w:r>
                              <w:rPr>
                                <w:szCs w:val="21"/>
                                <w:vertAlign w:val="subscript"/>
                              </w:rPr>
                              <w:t>gr</w:t>
                            </w:r>
                            <w:r>
                              <w:rPr>
                                <w:szCs w:val="21"/>
                              </w:rPr>
                              <w:t>频数分布直方图</w:t>
                            </w:r>
                          </w:p>
                        </w:txbxContent>
                      </v:textbox>
                      <w10:wrap type="square"/>
                    </v:shape>
                  </w:pict>
                </mc:Fallback>
              </mc:AlternateContent>
            </w:r>
            <w:r>
              <mc:AlternateContent>
                <mc:Choice Requires="wps">
                  <w:drawing>
                    <wp:anchor distT="45720" distB="45720" distL="114300" distR="114300" simplePos="0" relativeHeight="251674624" behindDoc="0" locked="0" layoutInCell="1" allowOverlap="1">
                      <wp:simplePos x="0" y="0"/>
                      <wp:positionH relativeFrom="column">
                        <wp:posOffset>4285615</wp:posOffset>
                      </wp:positionH>
                      <wp:positionV relativeFrom="paragraph">
                        <wp:posOffset>1085215</wp:posOffset>
                      </wp:positionV>
                      <wp:extent cx="810895" cy="328295"/>
                      <wp:effectExtent l="0" t="0" r="0" b="0"/>
                      <wp:wrapSquare wrapText="bothSides"/>
                      <wp:docPr id="5" name="文本框 5"/>
                      <wp:cNvGraphicFramePr/>
                      <a:graphic xmlns:a="http://schemas.openxmlformats.org/drawingml/2006/main">
                        <a:graphicData uri="http://schemas.microsoft.com/office/word/2010/wordprocessingShape">
                          <wps:wsp>
                            <wps:cNvSpPr txBox="true">
                              <a:spLocks noChangeArrowheads="true"/>
                            </wps:cNvSpPr>
                            <wps:spPr bwMode="auto">
                              <a:xfrm>
                                <a:off x="0" y="0"/>
                                <a:ext cx="810895" cy="328295"/>
                              </a:xfrm>
                              <a:prstGeom prst="rect">
                                <a:avLst/>
                              </a:prstGeom>
                              <a:noFill/>
                              <a:ln w="9525">
                                <a:noFill/>
                                <a:miter lim="800000"/>
                              </a:ln>
                            </wps:spPr>
                            <wps:txbx>
                              <w:txbxContent>
                                <w:p>
                                  <w:pPr>
                                    <w:rPr>
                                      <w:szCs w:val="21"/>
                                    </w:rPr>
                                  </w:pPr>
                                  <w:r>
                                    <w:rPr>
                                      <w:rFonts w:hint="eastAsia"/>
                                      <w:szCs w:val="21"/>
                                    </w:rPr>
                                    <w:t>范围</w:t>
                                  </w:r>
                                </w:p>
                              </w:txbxContent>
                            </wps:txbx>
                            <wps:bodyPr rot="0" vert="horz" wrap="square" lIns="91440" tIns="45720" rIns="91440" bIns="45720" anchor="t" anchorCtr="false">
                              <a:noAutofit/>
                            </wps:bodyPr>
                          </wps:wsp>
                        </a:graphicData>
                      </a:graphic>
                    </wp:anchor>
                  </w:drawing>
                </mc:Choice>
                <mc:Fallback>
                  <w:pict>
                    <v:shape id="_x0000_s1026" o:spid="_x0000_s1026" o:spt="202" type="#_x0000_t202" style="position:absolute;left:0pt;margin-left:337.45pt;margin-top:85.45pt;height:25.85pt;width:63.85pt;mso-wrap-distance-bottom:3.6pt;mso-wrap-distance-left:9pt;mso-wrap-distance-right:9pt;mso-wrap-distance-top:3.6pt;z-index:251674624;mso-width-relative:page;mso-height-relative:page;" filled="f" stroked="f" coordsize="21600,21600" o:gfxdata="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BYAAABkcnMvUEsBAhQAFAAAAAgAh07iQAKHpLPX&#10;AAAACwEAAA8AAAAAAAAAAQAgAAAAOAAAAGRycy9kb3ducmV2LnhtbFBLAQIUABQAAAAIAIdO4kAm&#10;KtngCwIAAOQDAAAOAAAAAAAAAAEAIAAAADwBAABkcnMvZTJvRG9jLnhtbFBLBQYAAAAABgAGAFkB&#10;AAC5BQAAAAA=&#10;">
                      <v:fill on="f" focussize="0,0"/>
                      <v:stroke on="f" miterlimit="8" joinstyle="miter"/>
                      <v:imagedata o:title=""/>
                      <o:lock v:ext="edit" aspectratio="f"/>
                      <v:textbox>
                        <w:txbxContent>
                          <w:p>
                            <w:pPr>
                              <w:rPr>
                                <w:szCs w:val="21"/>
                              </w:rPr>
                            </w:pPr>
                            <w:r>
                              <w:rPr>
                                <w:rFonts w:hint="eastAsia"/>
                                <w:szCs w:val="21"/>
                              </w:rPr>
                              <w:t>范围</w:t>
                            </w:r>
                          </w:p>
                        </w:txbxContent>
                      </v:textbox>
                      <w10:wrap type="square"/>
                    </v:shape>
                  </w:pict>
                </mc:Fallback>
              </mc:AlternateContent>
            </w:r>
            <w:r>
              <mc:AlternateContent>
                <mc:Choice Requires="wps">
                  <w:drawing>
                    <wp:anchor distT="45720" distB="45720" distL="114300" distR="114300" simplePos="0" relativeHeight="251673600" behindDoc="0" locked="0" layoutInCell="1" allowOverlap="1">
                      <wp:simplePos x="0" y="0"/>
                      <wp:positionH relativeFrom="column">
                        <wp:posOffset>922655</wp:posOffset>
                      </wp:positionH>
                      <wp:positionV relativeFrom="paragraph">
                        <wp:posOffset>304800</wp:posOffset>
                      </wp:positionV>
                      <wp:extent cx="635635" cy="328295"/>
                      <wp:effectExtent l="0" t="0" r="0" b="0"/>
                      <wp:wrapSquare wrapText="bothSides"/>
                      <wp:docPr id="4" name="文本框 4"/>
                      <wp:cNvGraphicFramePr/>
                      <a:graphic xmlns:a="http://schemas.openxmlformats.org/drawingml/2006/main">
                        <a:graphicData uri="http://schemas.microsoft.com/office/word/2010/wordprocessingShape">
                          <wps:wsp>
                            <wps:cNvSpPr txBox="true">
                              <a:spLocks noChangeArrowheads="true"/>
                            </wps:cNvSpPr>
                            <wps:spPr bwMode="auto">
                              <a:xfrm>
                                <a:off x="0" y="0"/>
                                <a:ext cx="635635" cy="328295"/>
                              </a:xfrm>
                              <a:prstGeom prst="rect">
                                <a:avLst/>
                              </a:prstGeom>
                              <a:noFill/>
                              <a:ln w="9525">
                                <a:noFill/>
                                <a:miter lim="800000"/>
                              </a:ln>
                            </wps:spPr>
                            <wps:txbx>
                              <w:txbxContent>
                                <w:p>
                                  <w:pPr>
                                    <w:rPr>
                                      <w:szCs w:val="21"/>
                                    </w:rPr>
                                  </w:pPr>
                                  <w:r>
                                    <w:rPr>
                                      <w:rFonts w:hint="eastAsia"/>
                                    </w:rPr>
                                    <w:t>频数</w:t>
                                  </w:r>
                                </w:p>
                              </w:txbxContent>
                            </wps:txbx>
                            <wps:bodyPr rot="0" vert="horz" wrap="square" lIns="91440" tIns="45720" rIns="91440" bIns="45720" anchor="t" anchorCtr="false">
                              <a:noAutofit/>
                            </wps:bodyPr>
                          </wps:wsp>
                        </a:graphicData>
                      </a:graphic>
                    </wp:anchor>
                  </w:drawing>
                </mc:Choice>
                <mc:Fallback>
                  <w:pict>
                    <v:shape id="_x0000_s1026" o:spid="_x0000_s1026" o:spt="202" type="#_x0000_t202" style="position:absolute;left:0pt;margin-left:72.65pt;margin-top:24pt;height:25.85pt;width:50.05pt;mso-wrap-distance-bottom:3.6pt;mso-wrap-distance-left:9pt;mso-wrap-distance-right:9pt;mso-wrap-distance-top:3.6pt;z-index:251673600;mso-width-relative:page;mso-height-relative:page;" filled="f" stroked="f" coordsize="21600,21600" o:gfxdata="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WAAAAZHJzL1BLAQIUABQAAAAIAIdO4kCGTyQV&#10;1gAAAAkBAAAPAAAAAAAAAAEAIAAAADgAAABkcnMvZG93bnJldi54bWxQSwECFAAUAAAACACHTuJA&#10;OSfbWg0CAADkAwAADgAAAAAAAAABACAAAAA7AQAAZHJzL2Uyb0RvYy54bWxQSwUGAAAAAAYABgBZ&#10;AQAAugUAAAAA&#10;">
                      <v:fill on="f" focussize="0,0"/>
                      <v:stroke on="f" miterlimit="8" joinstyle="miter"/>
                      <v:imagedata o:title=""/>
                      <o:lock v:ext="edit" aspectratio="f"/>
                      <v:textbox>
                        <w:txbxContent>
                          <w:p>
                            <w:pPr>
                              <w:rPr>
                                <w:szCs w:val="21"/>
                              </w:rPr>
                            </w:pPr>
                            <w:r>
                              <w:rPr>
                                <w:rFonts w:hint="eastAsia"/>
                              </w:rPr>
                              <w:t>频数</w:t>
                            </w:r>
                          </w:p>
                        </w:txbxContent>
                      </v:textbox>
                      <w10:wrap type="square"/>
                    </v:shape>
                  </w:pict>
                </mc:Fallback>
              </mc:AlternateContent>
            </w:r>
            <w:r>
              <mc:AlternateContent>
                <mc:Choice Requires="wps">
                  <w:drawing>
                    <wp:anchor distT="0" distB="0" distL="113665" distR="113665" simplePos="0" relativeHeight="251672576" behindDoc="0" locked="0" layoutInCell="1" allowOverlap="1">
                      <wp:simplePos x="0" y="0"/>
                      <wp:positionH relativeFrom="column">
                        <wp:posOffset>1376680</wp:posOffset>
                      </wp:positionH>
                      <wp:positionV relativeFrom="paragraph">
                        <wp:posOffset>90170</wp:posOffset>
                      </wp:positionV>
                      <wp:extent cx="0" cy="1089025"/>
                      <wp:effectExtent l="76200" t="38100" r="38100" b="0"/>
                      <wp:wrapNone/>
                      <wp:docPr id="3" name="直接箭头连接符 3"/>
                      <wp:cNvGraphicFramePr/>
                      <a:graphic xmlns:a="http://schemas.openxmlformats.org/drawingml/2006/main">
                        <a:graphicData uri="http://schemas.microsoft.com/office/word/2010/wordprocessingShape">
                          <wps:wsp>
                            <wps:cNvCnPr/>
                            <wps:spPr>
                              <a:xfrm flipV="true">
                                <a:off x="0" y="0"/>
                                <a:ext cx="0" cy="1089025"/>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id="_x0000_s1026" o:spid="_x0000_s1026" o:spt="32" type="#_x0000_t32" style="position:absolute;left:0pt;flip:y;margin-left:108.4pt;margin-top:7.1pt;height:85.75pt;width:0pt;z-index:251672576;mso-width-relative:page;mso-height-relative:page;" filled="f" stroked="t" coordsize="21600,21600" o:gfxdata="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FgAAAGRycy9QSwECFAAUAAAACACHTuJAf7TSYdcAAAAKAQAA&#10;DwAAAAAAAAABACAAAAA4AAAAZHJzL2Rvd25yZXYueG1sUEsBAhQAFAAAAAgAh07iQGSbz3EEAgAA&#10;wgMAAA4AAAAAAAAAAQAgAAAAPAEAAGRycy9lMm9Eb2MueG1sUEsFBgAAAAAGAAYAWQEAALIFAAAA&#10;AA==&#10;">
                      <v:fill on="f" focussize="0,0"/>
                      <v:stroke weight="0.5pt" color="#000000" miterlimit="8" joinstyle="miter" endarrow="block"/>
                      <v:imagedata o:title=""/>
                      <o:lock v:ext="edit" aspectratio="f"/>
                    </v:shape>
                  </w:pict>
                </mc:Fallback>
              </mc:AlternateContent>
            </w:r>
            <w:r>
              <mc:AlternateContent>
                <mc:Choice Requires="wps">
                  <w:drawing>
                    <wp:anchor distT="0" distB="0" distL="114300" distR="114300" simplePos="0" relativeHeight="251671552" behindDoc="0" locked="0" layoutInCell="1" allowOverlap="1">
                      <wp:simplePos x="0" y="0"/>
                      <wp:positionH relativeFrom="column">
                        <wp:posOffset>1377315</wp:posOffset>
                      </wp:positionH>
                      <wp:positionV relativeFrom="paragraph">
                        <wp:posOffset>1179195</wp:posOffset>
                      </wp:positionV>
                      <wp:extent cx="2870200" cy="0"/>
                      <wp:effectExtent l="0" t="76200" r="6350" b="76200"/>
                      <wp:wrapNone/>
                      <wp:docPr id="2" name="直接箭头连接符 2"/>
                      <wp:cNvGraphicFramePr/>
                      <a:graphic xmlns:a="http://schemas.openxmlformats.org/drawingml/2006/main">
                        <a:graphicData uri="http://schemas.microsoft.com/office/word/2010/wordprocessingShape">
                          <wps:wsp>
                            <wps:cNvCnPr/>
                            <wps:spPr>
                              <a:xfrm>
                                <a:off x="0" y="0"/>
                                <a:ext cx="2870200"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id="_x0000_s1026" o:spid="_x0000_s1026" o:spt="32" type="#_x0000_t32" style="position:absolute;left:0pt;margin-left:108.45pt;margin-top:92.85pt;height:0pt;width:226pt;z-index:251671552;mso-width-relative:page;mso-height-relative:page;" filled="f" stroked="t" coordsize="21600,21600" o:gfxdata="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FgAAAGRycy9QSwECFAAUAAAACACHTuJAy3ACetYAAAALAQAADwAAAAAAAAABACAA&#10;AAA4AAAAZHJzL2Rvd25yZXYueG1sUEsBAhQAFAAAAAgAh07iQBimA+b5AQAAtQMAAA4AAAAAAAAA&#10;AQAgAAAAOwEAAGRycy9lMm9Eb2MueG1sUEsFBgAAAAAGAAYAWQEAAKYFAAAAAA==&#10;">
                      <v:fill on="f" focussize="0,0"/>
                      <v:stroke weight="0.5pt" color="#000000" miterlimit="8" joinstyle="miter" endarrow="block"/>
                      <v:imagedata o:title=""/>
                      <o:lock v:ext="edit" aspectratio="f"/>
                    </v:shape>
                  </w:pict>
                </mc:Fallback>
              </mc:AlternateConten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2332" w:type="pct"/>
            <w:gridSpan w:val="5"/>
            <w:shd w:val="clear" w:color="auto" w:fill="auto"/>
            <w:vAlign w:val="center"/>
          </w:tcPr>
          <w:p>
            <w:pPr>
              <w:jc w:val="left"/>
              <w:rPr>
                <w:szCs w:val="21"/>
              </w:rPr>
            </w:pPr>
            <w:r>
              <w:rPr>
                <w:szCs w:val="21"/>
              </w:rPr>
              <w:t xml:space="preserve">平均刚度  </w:t>
            </w:r>
            <w:r>
              <w:rPr>
                <w:i/>
                <w:szCs w:val="21"/>
              </w:rPr>
              <w:t>K</w:t>
            </w:r>
            <w:r>
              <w:rPr>
                <w:szCs w:val="21"/>
                <w:vertAlign w:val="subscript"/>
              </w:rPr>
              <w:t>gr</w:t>
            </w:r>
            <w:r>
              <w:rPr>
                <w:szCs w:val="21"/>
              </w:rPr>
              <w:t>=</w:t>
            </w:r>
          </w:p>
        </w:tc>
        <w:tc>
          <w:tcPr>
            <w:tcW w:w="2668" w:type="pct"/>
            <w:gridSpan w:val="4"/>
            <w:shd w:val="clear" w:color="auto" w:fill="auto"/>
            <w:vAlign w:val="center"/>
          </w:tcPr>
          <w:p>
            <w:pPr>
              <w:jc w:val="left"/>
              <w:rPr>
                <w:szCs w:val="21"/>
              </w:rPr>
            </w:pPr>
            <w:r>
              <w:rPr>
                <w:szCs w:val="21"/>
              </w:rPr>
              <w:t xml:space="preserve">标准差  </w:t>
            </w:r>
            <w:r>
              <w:rPr>
                <w:i/>
                <w:szCs w:val="21"/>
              </w:rPr>
              <w:t>S</w:t>
            </w:r>
            <w:r>
              <w:rPr>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750" w:type="pct"/>
            <w:gridSpan w:val="2"/>
            <w:shd w:val="clear" w:color="auto" w:fill="auto"/>
            <w:vAlign w:val="center"/>
          </w:tcPr>
          <w:p>
            <w:pPr>
              <w:jc w:val="center"/>
              <w:rPr>
                <w:szCs w:val="21"/>
              </w:rPr>
            </w:pPr>
            <w:r>
              <w:rPr>
                <w:rFonts w:hint="eastAsia"/>
                <w:szCs w:val="21"/>
              </w:rPr>
              <w:t>检测结论</w:t>
            </w:r>
          </w:p>
        </w:tc>
        <w:tc>
          <w:tcPr>
            <w:tcW w:w="4250" w:type="pct"/>
            <w:gridSpan w:val="7"/>
            <w:shd w:val="clear" w:color="auto" w:fill="auto"/>
            <w:vAlign w:val="center"/>
          </w:tcPr>
          <w:p>
            <w:pPr>
              <w:jc w:val="center"/>
              <w:rPr>
                <w:szCs w:val="21"/>
              </w:rPr>
            </w:pPr>
          </w:p>
        </w:tc>
      </w:tr>
    </w:tbl>
    <w:p>
      <w:pPr>
        <w:spacing w:before="240"/>
        <w:ind w:firstLine="480"/>
        <w:rPr>
          <w:rFonts w:ascii="黑体" w:hAnsi="黑体" w:eastAsia="黑体"/>
        </w:rPr>
      </w:pPr>
      <w:r>
        <w:rPr>
          <w:rFonts w:hint="eastAsia" w:ascii="黑体" w:hAnsi="黑体" w:eastAsia="黑体"/>
        </w:rPr>
        <w:t xml:space="preserve">检测： </w:t>
      </w:r>
      <w:r>
        <w:rPr>
          <w:rFonts w:ascii="黑体" w:hAnsi="黑体" w:eastAsia="黑体"/>
        </w:rPr>
        <w:t xml:space="preserve">                      </w:t>
      </w:r>
      <w:r>
        <w:rPr>
          <w:rFonts w:hint="eastAsia" w:ascii="黑体" w:hAnsi="黑体" w:eastAsia="黑体"/>
        </w:rPr>
        <w:t xml:space="preserve">审核： </w:t>
      </w:r>
      <w:r>
        <w:rPr>
          <w:rFonts w:ascii="黑体" w:hAnsi="黑体" w:eastAsia="黑体"/>
        </w:rPr>
        <w:t xml:space="preserve">                 </w:t>
      </w:r>
      <w:r>
        <w:rPr>
          <w:rFonts w:hint="eastAsia" w:ascii="黑体" w:hAnsi="黑体" w:eastAsia="黑体"/>
        </w:rPr>
        <w:t xml:space="preserve">日期： </w:t>
      </w:r>
      <w:r>
        <w:rPr>
          <w:rFonts w:ascii="黑体" w:hAnsi="黑体" w:eastAsia="黑体"/>
        </w:rPr>
        <w:t xml:space="preserve">   </w:t>
      </w:r>
      <w:r>
        <w:rPr>
          <w:rFonts w:hint="eastAsia" w:ascii="黑体" w:hAnsi="黑体" w:eastAsia="黑体"/>
        </w:rPr>
        <w:t xml:space="preserve">年 </w:t>
      </w:r>
      <w:r>
        <w:rPr>
          <w:rFonts w:ascii="黑体" w:hAnsi="黑体" w:eastAsia="黑体"/>
        </w:rPr>
        <w:t xml:space="preserve">  </w:t>
      </w:r>
      <w:r>
        <w:rPr>
          <w:rFonts w:hint="eastAsia" w:ascii="黑体" w:hAnsi="黑体" w:eastAsia="黑体"/>
        </w:rPr>
        <w:t xml:space="preserve">月 </w:t>
      </w:r>
      <w:r>
        <w:rPr>
          <w:rFonts w:ascii="黑体" w:hAnsi="黑体" w:eastAsia="黑体"/>
        </w:rPr>
        <w:t xml:space="preserve">  </w:t>
      </w:r>
      <w:r>
        <w:rPr>
          <w:rFonts w:hint="eastAsia" w:ascii="黑体" w:hAnsi="黑体" w:eastAsia="黑体"/>
        </w:rPr>
        <w:t>日</w:t>
      </w:r>
    </w:p>
    <w:p>
      <w:pPr>
        <w:jc w:val="center"/>
      </w:pPr>
    </w:p>
    <w:p>
      <w:pPr>
        <w:jc w:val="center"/>
      </w:pPr>
      <w:r>
        <mc:AlternateContent>
          <mc:Choice Requires="wps">
            <w:drawing>
              <wp:anchor distT="0" distB="0" distL="114300" distR="114300" simplePos="0" relativeHeight="251676672" behindDoc="0" locked="0" layoutInCell="1" allowOverlap="1">
                <wp:simplePos x="0" y="0"/>
                <wp:positionH relativeFrom="column">
                  <wp:posOffset>1480820</wp:posOffset>
                </wp:positionH>
                <wp:positionV relativeFrom="paragraph">
                  <wp:posOffset>165100</wp:posOffset>
                </wp:positionV>
                <wp:extent cx="2732405" cy="0"/>
                <wp:effectExtent l="0" t="0" r="0" b="0"/>
                <wp:wrapNone/>
                <wp:docPr id="24" name="直接连接符 24"/>
                <wp:cNvGraphicFramePr/>
                <a:graphic xmlns:a="http://schemas.openxmlformats.org/drawingml/2006/main">
                  <a:graphicData uri="http://schemas.microsoft.com/office/word/2010/wordprocessingShape">
                    <wps:wsp>
                      <wps:cNvCnPr/>
                      <wps:spPr>
                        <a:xfrm>
                          <a:off x="0" y="0"/>
                          <a:ext cx="2732567" cy="0"/>
                        </a:xfrm>
                        <a:prstGeom prst="line">
                          <a:avLst/>
                        </a:prstGeom>
                        <a:ln w="1905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16.6pt;margin-top:13pt;height:0pt;width:215.15pt;z-index:251676672;mso-width-relative:page;mso-height-relative:page;" filled="f" stroked="t" coordsize="21600,21600" o:gfxdata="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J1OQz2AAAAAkBAAAP&#10;AAAAAAAAAAEAIAAAADgAAABkcnMvZG93bnJldi54bWxQSwECFAAUAAAACACHTuJAnxnKyskBAABm&#10;AwAADgAAAAAAAAABACAAAAA9AQAAZHJzL2Uyb0RvYy54bWxQSwUGAAAAAAYABgBZAQAAeAUAAAAA&#10;">
                <v:fill on="f" focussize="0,0"/>
                <v:stroke weight="1.5pt" color="#000000 [3213]" miterlimit="8" joinstyle="miter"/>
                <v:imagedata o:title=""/>
                <o:lock v:ext="edit" aspectratio="f"/>
              </v:line>
            </w:pict>
          </mc:Fallback>
        </mc:AlternateContent>
      </w:r>
      <w:bookmarkEnd w:id="48"/>
      <w:bookmarkEnd w:id="49"/>
    </w:p>
    <w:sectPr>
      <w:footerReference r:id="rId8" w:type="default"/>
      <w:footerReference r:id="rId9" w:type="even"/>
      <w:pgSz w:w="11907" w:h="16840"/>
      <w:pgMar w:top="1418" w:right="1134" w:bottom="1134" w:left="1418" w:header="1418" w:footer="1134" w:gutter="0"/>
      <w:pgNumType w:start="1"/>
      <w:cols w:space="720" w:num="1"/>
      <w:formProt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Noto Sans Syriac Eastern"/>
    <w:panose1 w:val="02040503050406030204"/>
    <w:charset w:val="00"/>
    <w:family w:val="roman"/>
    <w:pitch w:val="default"/>
    <w:sig w:usb0="00000000" w:usb1="00000000" w:usb2="02000000" w:usb3="00000000" w:csb0="0000019F" w:csb1="00000000"/>
  </w:font>
  <w:font w:name="Arial">
    <w:altName w:val="Nimbus Roman No9 L"/>
    <w:panose1 w:val="020B0604020202020204"/>
    <w:charset w:val="00"/>
    <w:family w:val="swiss"/>
    <w:pitch w:val="default"/>
    <w:sig w:usb0="00000000" w:usb1="00000000" w:usb2="00000009" w:usb3="00000000" w:csb0="000001FF" w:csb1="00000000"/>
  </w:font>
  <w:font w:name="Courier New">
    <w:altName w:val="DejaVu Sans"/>
    <w:panose1 w:val="02070309020205020404"/>
    <w:charset w:val="00"/>
    <w:family w:val="modern"/>
    <w:pitch w:val="default"/>
    <w:sig w:usb0="00000000" w:usb1="00000000" w:usb2="00000009" w:usb3="00000000" w:csb0="000001FF" w:csb1="00000000"/>
  </w:font>
  <w:font w:name="等线">
    <w:altName w:val="汉仪中宋简"/>
    <w:panose1 w:val="02010600030101010101"/>
    <w:charset w:val="86"/>
    <w:family w:val="auto"/>
    <w:pitch w:val="default"/>
    <w:sig w:usb0="00000000" w:usb1="00000000" w:usb2="00000016" w:usb3="00000000" w:csb0="0004000F" w:csb1="00000000"/>
  </w:font>
  <w:font w:name="MS Mincho">
    <w:altName w:val="方正书宋_GBK"/>
    <w:panose1 w:val="02020609040205080304"/>
    <w:charset w:val="80"/>
    <w:family w:val="modern"/>
    <w:pitch w:val="default"/>
    <w:sig w:usb0="00000000" w:usb1="00000000" w:usb2="08000012" w:usb3="00000000" w:csb0="0002009F" w:csb1="00000000"/>
  </w:font>
  <w:font w:name="Cambria Math">
    <w:altName w:val="DejaVu Math TeX Gyre"/>
    <w:panose1 w:val="02040503050406030204"/>
    <w:charset w:val="00"/>
    <w:family w:val="roman"/>
    <w:pitch w:val="default"/>
    <w:sig w:usb0="00000000" w:usb1="00000000" w:usb2="02000000" w:usb3="00000000" w:csb0="0000019F"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Math TeX Gyre">
    <w:panose1 w:val="02000503000000000000"/>
    <w:charset w:val="00"/>
    <w:family w:val="auto"/>
    <w:pitch w:val="default"/>
    <w:sig w:usb0="A10000EF" w:usb1="4201F9EE" w:usb2="02000000" w:usb3="00000000" w:csb0="60000193" w:csb1="0DD40000"/>
  </w:font>
  <w:font w:name="Noto Sans CJK JP Bold">
    <w:panose1 w:val="020B0800000000000000"/>
    <w:charset w:val="86"/>
    <w:family w:val="auto"/>
    <w:pitch w:val="default"/>
    <w:sig w:usb0="30000003" w:usb1="2BDF3C10" w:usb2="00000016" w:usb3="00000000" w:csb0="602E0107" w:csb1="00000000"/>
  </w:font>
  <w:font w:name="方正宋体S-超大字符集">
    <w:panose1 w:val="02000000000000000000"/>
    <w:charset w:val="86"/>
    <w:family w:val="auto"/>
    <w:pitch w:val="default"/>
    <w:sig w:usb0="00000001" w:usb1="0800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 w:name="Noto Sans Syriac Eastern">
    <w:panose1 w:val="02040503050306020203"/>
    <w:charset w:val="86"/>
    <w:family w:val="auto"/>
    <w:pitch w:val="default"/>
    <w:sig w:usb0="00000000" w:usb1="00000000" w:usb2="00000080" w:usb3="00000000" w:csb0="203E0161" w:csb1="D7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ind w:right="-1" w:rightChars="0"/>
      <w:jc w:val="left"/>
      <w:rPr>
        <w:sz w:val="22"/>
        <w:szCs w:val="22"/>
      </w:rPr>
    </w:pPr>
    <w:r>
      <w:rPr>
        <w:sz w:val="22"/>
        <w:szCs w:val="22"/>
      </w:rPr>
      <w:fldChar w:fldCharType="begin"/>
    </w:r>
    <w:r>
      <w:rPr>
        <w:sz w:val="22"/>
        <w:szCs w:val="22"/>
      </w:rPr>
      <w:instrText xml:space="preserve">PAGE   \* MERGEFORMAT</w:instrText>
    </w:r>
    <w:r>
      <w:rPr>
        <w:sz w:val="22"/>
        <w:szCs w:val="22"/>
      </w:rPr>
      <w:fldChar w:fldCharType="separate"/>
    </w:r>
    <w:r>
      <w:rPr>
        <w:sz w:val="22"/>
        <w:szCs w:val="22"/>
        <w:lang w:val="zh-CN"/>
      </w:rPr>
      <w:t>2</w:t>
    </w:r>
    <w:r>
      <w:rPr>
        <w:sz w:val="22"/>
        <w:szCs w:val="22"/>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ind w:right="-1" w:rightChars="0"/>
      <w:rPr>
        <w:sz w:val="21"/>
        <w:szCs w:val="21"/>
      </w:rPr>
    </w:pPr>
    <w:r>
      <w:rPr>
        <w:sz w:val="21"/>
        <w:szCs w:val="21"/>
      </w:rPr>
      <w:fldChar w:fldCharType="begin"/>
    </w:r>
    <w:r>
      <w:rPr>
        <w:sz w:val="21"/>
        <w:szCs w:val="21"/>
      </w:rPr>
      <w:instrText xml:space="preserve">PAGE   \* MERGEFORMAT</w:instrText>
    </w:r>
    <w:r>
      <w:rPr>
        <w:sz w:val="21"/>
        <w:szCs w:val="21"/>
      </w:rPr>
      <w:fldChar w:fldCharType="separate"/>
    </w:r>
    <w:r>
      <w:rPr>
        <w:sz w:val="21"/>
        <w:szCs w:val="21"/>
        <w:lang w:val="zh-CN"/>
      </w:rPr>
      <w:t>1</w:t>
    </w:r>
    <w:r>
      <w:rPr>
        <w:sz w:val="21"/>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ind w:right="-1" w:rightChars="0"/>
      <w:rPr>
        <w:sz w:val="22"/>
        <w:szCs w:val="22"/>
      </w:rPr>
    </w:pPr>
    <w:r>
      <w:rPr>
        <w:sz w:val="22"/>
        <w:szCs w:val="22"/>
      </w:rPr>
      <w:fldChar w:fldCharType="begin"/>
    </w:r>
    <w:r>
      <w:rPr>
        <w:sz w:val="22"/>
        <w:szCs w:val="22"/>
      </w:rPr>
      <w:instrText xml:space="preserve">PAGE   \* MERGEFORMAT</w:instrText>
    </w:r>
    <w:r>
      <w:rPr>
        <w:sz w:val="22"/>
        <w:szCs w:val="22"/>
      </w:rPr>
      <w:fldChar w:fldCharType="separate"/>
    </w:r>
    <w:r>
      <w:rPr>
        <w:sz w:val="22"/>
        <w:szCs w:val="22"/>
        <w:lang w:val="zh-CN"/>
      </w:rPr>
      <w:t>5</w:t>
    </w:r>
    <w:r>
      <w:rPr>
        <w:sz w:val="22"/>
        <w:szCs w:val="22"/>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left"/>
      <w:rPr>
        <w:sz w:val="21"/>
        <w:szCs w:val="21"/>
      </w:rPr>
    </w:pPr>
    <w:r>
      <w:rPr>
        <w:sz w:val="21"/>
        <w:szCs w:val="21"/>
      </w:rPr>
      <w:fldChar w:fldCharType="begin"/>
    </w:r>
    <w:r>
      <w:rPr>
        <w:sz w:val="21"/>
        <w:szCs w:val="21"/>
      </w:rPr>
      <w:instrText xml:space="preserve">PAGE   \* MERGEFORMAT</w:instrText>
    </w:r>
    <w:r>
      <w:rPr>
        <w:sz w:val="21"/>
        <w:szCs w:val="21"/>
      </w:rPr>
      <w:fldChar w:fldCharType="separate"/>
    </w:r>
    <w:r>
      <w:rPr>
        <w:sz w:val="21"/>
        <w:szCs w:val="21"/>
        <w:lang w:val="zh-CN"/>
      </w:rPr>
      <w:t>4</w:t>
    </w:r>
    <w:r>
      <w:rPr>
        <w:sz w:val="21"/>
        <w:szCs w:val="21"/>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6"/>
    </w:pPr>
    <w:r>
      <w:t>DB13/T ××××—2023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6"/>
      <w:rPr>
        <w:rFonts w:ascii="Times New Roman"/>
      </w:rPr>
    </w:pPr>
    <w:r>
      <w:rPr>
        <w:rFonts w:ascii="Times New Roman"/>
      </w:rPr>
      <w:t>DB13/T ××××—2023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lowerLetter"/>
      <w:pStyle w:val="200"/>
      <w:lvlText w:val="%1)"/>
      <w:lvlJc w:val="left"/>
      <w:pPr>
        <w:tabs>
          <w:tab w:val="left" w:pos="839"/>
        </w:tabs>
        <w:ind w:left="839" w:hanging="419"/>
      </w:pPr>
      <w:rPr>
        <w:rFonts w:hint="eastAsia" w:ascii="宋体" w:hAnsi="宋体" w:eastAsia="宋体"/>
        <w:b w:val="0"/>
        <w:i w:val="0"/>
        <w:sz w:val="20"/>
        <w:szCs w:val="21"/>
      </w:rPr>
    </w:lvl>
    <w:lvl w:ilvl="1" w:tentative="0">
      <w:start w:val="1"/>
      <w:numFmt w:val="decimal"/>
      <w:pStyle w:val="145"/>
      <w:lvlText w:val="%2)"/>
      <w:lvlJc w:val="left"/>
      <w:pPr>
        <w:tabs>
          <w:tab w:val="left" w:pos="1259"/>
        </w:tabs>
        <w:ind w:left="1259" w:hanging="420"/>
      </w:pPr>
      <w:rPr>
        <w:rFonts w:hint="eastAsia" w:ascii="宋体" w:hAnsi="宋体" w:eastAsia="宋体" w:cs="Times New Roman"/>
        <w:b w:val="0"/>
        <w:bCs w:val="0"/>
        <w:i w:val="0"/>
        <w:iCs w:val="0"/>
        <w:caps w:val="0"/>
        <w:strike w:val="0"/>
        <w:dstrike w:val="0"/>
        <w:vanish w:val="0"/>
        <w:color w:val="000000"/>
        <w:spacing w:val="0"/>
        <w:kern w:val="0"/>
        <w:position w:val="0"/>
        <w:sz w:val="20"/>
        <w:szCs w:val="21"/>
        <w:u w:val="none"/>
        <w:vertAlign w:val="baseline"/>
        <w14:shadow w14:blurRad="0" w14:dist="0" w14:dir="0" w14:sx="0" w14:sy="0" w14:kx="0" w14:ky="0" w14:algn="none">
          <w14:srgbClr w14:val="000000"/>
        </w14:shadow>
      </w:rPr>
    </w:lvl>
    <w:lvl w:ilvl="2" w:tentative="0">
      <w:start w:val="1"/>
      <w:numFmt w:val="decimal"/>
      <w:pStyle w:val="112"/>
      <w:lvlText w:val="(%3)"/>
      <w:lvlJc w:val="left"/>
      <w:pPr>
        <w:tabs>
          <w:tab w:val="left" w:pos="0"/>
        </w:tabs>
        <w:ind w:left="1678" w:hanging="419"/>
      </w:pPr>
      <w:rPr>
        <w:rFonts w:hint="eastAsia" w:ascii="宋体" w:hAnsi="宋体" w:eastAsia="宋体"/>
        <w:b w:val="0"/>
        <w:i w:val="0"/>
        <w:sz w:val="20"/>
        <w:szCs w:val="21"/>
      </w:rPr>
    </w:lvl>
    <w:lvl w:ilvl="3" w:tentative="0">
      <w:start w:val="1"/>
      <w:numFmt w:val="decimal"/>
      <w:lvlText w:val="%4."/>
      <w:lvlJc w:val="left"/>
      <w:pPr>
        <w:tabs>
          <w:tab w:val="left" w:pos="2098"/>
        </w:tabs>
        <w:ind w:left="2098" w:hanging="420"/>
      </w:pPr>
      <w:rPr>
        <w:rFonts w:hint="eastAsia" w:ascii="黑体" w:hAnsi="Times New Roman" w:eastAsia="黑体"/>
        <w:b w:val="0"/>
        <w:i w:val="0"/>
        <w:sz w:val="21"/>
      </w:rPr>
    </w:lvl>
    <w:lvl w:ilvl="4" w:tentative="0">
      <w:start w:val="1"/>
      <w:numFmt w:val="lowerLetter"/>
      <w:lvlText w:val="%5)"/>
      <w:lvlJc w:val="left"/>
      <w:pPr>
        <w:tabs>
          <w:tab w:val="left" w:pos="2517"/>
        </w:tabs>
        <w:ind w:left="2517" w:hanging="419"/>
      </w:pPr>
      <w:rPr>
        <w:rFonts w:hint="eastAsia" w:ascii="黑体" w:hAnsi="Times New Roman" w:eastAsia="黑体"/>
        <w:b w:val="0"/>
        <w:i w:val="0"/>
        <w:sz w:val="21"/>
      </w:rPr>
    </w:lvl>
    <w:lvl w:ilvl="5" w:tentative="0">
      <w:start w:val="1"/>
      <w:numFmt w:val="lowerRoman"/>
      <w:lvlText w:val="%6."/>
      <w:lvlJc w:val="right"/>
      <w:pPr>
        <w:tabs>
          <w:tab w:val="left" w:pos="2942"/>
        </w:tabs>
        <w:ind w:left="2937" w:hanging="420"/>
      </w:pPr>
      <w:rPr>
        <w:rFonts w:hint="eastAsia" w:ascii="黑体" w:hAnsi="Times New Roman" w:eastAsia="黑体"/>
        <w:b w:val="0"/>
        <w:i w:val="0"/>
        <w:sz w:val="21"/>
      </w:rPr>
    </w:lvl>
    <w:lvl w:ilvl="6" w:tentative="0">
      <w:start w:val="1"/>
      <w:numFmt w:val="decimal"/>
      <w:lvlText w:val="%7."/>
      <w:lvlJc w:val="left"/>
      <w:pPr>
        <w:tabs>
          <w:tab w:val="left" w:pos="3362"/>
        </w:tabs>
        <w:ind w:left="3356" w:hanging="414"/>
      </w:pPr>
      <w:rPr>
        <w:rFonts w:hint="eastAsia" w:ascii="黑体" w:hAnsi="Times New Roman" w:eastAsia="黑体"/>
        <w:b w:val="0"/>
        <w:i w:val="0"/>
        <w:sz w:val="21"/>
      </w:rPr>
    </w:lvl>
    <w:lvl w:ilvl="7" w:tentative="0">
      <w:start w:val="1"/>
      <w:numFmt w:val="lowerLetter"/>
      <w:lvlText w:val="%8)"/>
      <w:lvlJc w:val="left"/>
      <w:pPr>
        <w:tabs>
          <w:tab w:val="left" w:pos="3781"/>
        </w:tabs>
        <w:ind w:left="3776" w:hanging="414"/>
      </w:pPr>
      <w:rPr>
        <w:rFonts w:hint="eastAsia"/>
      </w:rPr>
    </w:lvl>
    <w:lvl w:ilvl="8" w:tentative="0">
      <w:start w:val="1"/>
      <w:numFmt w:val="lowerRoman"/>
      <w:lvlText w:val="%9."/>
      <w:lvlJc w:val="right"/>
      <w:pPr>
        <w:tabs>
          <w:tab w:val="left" w:pos="4201"/>
        </w:tabs>
        <w:ind w:left="4201" w:hanging="420"/>
      </w:pPr>
      <w:rPr>
        <w:rFonts w:hint="eastAsia"/>
      </w:rPr>
    </w:lvl>
  </w:abstractNum>
  <w:abstractNum w:abstractNumId="1">
    <w:nsid w:val="00000002"/>
    <w:multiLevelType w:val="multilevel"/>
    <w:tmpl w:val="00000002"/>
    <w:lvl w:ilvl="0" w:tentative="0">
      <w:start w:val="1"/>
      <w:numFmt w:val="none"/>
      <w:pStyle w:val="125"/>
      <w:lvlText w:val="图"/>
      <w:lvlJc w:val="left"/>
      <w:pPr>
        <w:tabs>
          <w:tab w:val="left" w:pos="360"/>
        </w:tabs>
        <w:ind w:left="0" w:firstLine="0"/>
      </w:pPr>
      <w:rPr>
        <w:rFonts w:hint="eastAsia" w:ascii="黑体" w:eastAsia="黑体"/>
        <w:b w:val="0"/>
        <w:i w:val="0"/>
        <w:sz w:val="21"/>
      </w:rPr>
    </w:lvl>
    <w:lvl w:ilvl="1" w:tentative="0">
      <w:start w:val="1"/>
      <w:numFmt w:val="decimal"/>
      <w:lvlText w:val="%2"/>
      <w:lvlJc w:val="left"/>
      <w:pPr>
        <w:tabs>
          <w:tab w:val="left" w:pos="915"/>
        </w:tabs>
        <w:ind w:left="915" w:hanging="495"/>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00000003"/>
    <w:multiLevelType w:val="multilevel"/>
    <w:tmpl w:val="00000003"/>
    <w:lvl w:ilvl="0" w:tentative="0">
      <w:start w:val="1"/>
      <w:numFmt w:val="decimal"/>
      <w:pStyle w:val="130"/>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3">
    <w:nsid w:val="00000004"/>
    <w:multiLevelType w:val="multilevel"/>
    <w:tmpl w:val="00000004"/>
    <w:lvl w:ilvl="0" w:tentative="0">
      <w:start w:val="1"/>
      <w:numFmt w:val="decimal"/>
      <w:pStyle w:val="147"/>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4">
    <w:nsid w:val="00000005"/>
    <w:multiLevelType w:val="multilevel"/>
    <w:tmpl w:val="00000005"/>
    <w:lvl w:ilvl="0" w:tentative="0">
      <w:start w:val="1"/>
      <w:numFmt w:val="upperLetter"/>
      <w:pStyle w:val="173"/>
      <w:lvlText w:val="%1"/>
      <w:lvlJc w:val="left"/>
      <w:pPr>
        <w:tabs>
          <w:tab w:val="left" w:pos="0"/>
        </w:tabs>
        <w:ind w:left="0" w:hanging="425"/>
      </w:pPr>
      <w:rPr>
        <w:rFonts w:hint="eastAsia"/>
      </w:rPr>
    </w:lvl>
    <w:lvl w:ilvl="1" w:tentative="0">
      <w:start w:val="1"/>
      <w:numFmt w:val="decimal"/>
      <w:pStyle w:val="165"/>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5">
    <w:nsid w:val="00000006"/>
    <w:multiLevelType w:val="multilevel"/>
    <w:tmpl w:val="00000006"/>
    <w:lvl w:ilvl="0" w:tentative="0">
      <w:start w:val="1"/>
      <w:numFmt w:val="decimal"/>
      <w:pStyle w:val="137"/>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6">
    <w:nsid w:val="00000007"/>
    <w:multiLevelType w:val="multilevel"/>
    <w:tmpl w:val="00000007"/>
    <w:lvl w:ilvl="0" w:tentative="0">
      <w:start w:val="1"/>
      <w:numFmt w:val="upperLetter"/>
      <w:pStyle w:val="183"/>
      <w:suff w:val="nothing"/>
      <w:lvlText w:val="附　录　%1"/>
      <w:lvlJc w:val="left"/>
      <w:pPr>
        <w:ind w:left="4678" w:firstLine="0"/>
      </w:pPr>
      <w:rPr>
        <w:rFonts w:hint="eastAsia" w:ascii="黑体" w:hAnsi="Times New Roman" w:eastAsia="黑体"/>
        <w:b w:val="0"/>
        <w:i w:val="0"/>
        <w:color w:val="auto"/>
        <w:spacing w:val="0"/>
        <w:w w:val="100"/>
        <w:sz w:val="21"/>
        <w:lang w:val="en-US"/>
      </w:rPr>
    </w:lvl>
    <w:lvl w:ilvl="1" w:tentative="0">
      <w:start w:val="1"/>
      <w:numFmt w:val="decimal"/>
      <w:pStyle w:val="140"/>
      <w:suff w:val="nothing"/>
      <w:lvlText w:val="%1.%2　"/>
      <w:lvlJc w:val="left"/>
      <w:pPr>
        <w:ind w:left="5345" w:firstLine="0"/>
      </w:pPr>
      <w:rPr>
        <w:rFonts w:hint="eastAsia" w:ascii="黑体" w:hAnsi="Times New Roman" w:eastAsia="黑体"/>
        <w:b w:val="0"/>
        <w:i w:val="0"/>
        <w:snapToGrid/>
        <w:spacing w:val="0"/>
        <w:w w:val="100"/>
        <w:kern w:val="21"/>
        <w:sz w:val="21"/>
      </w:rPr>
    </w:lvl>
    <w:lvl w:ilvl="2" w:tentative="0">
      <w:start w:val="1"/>
      <w:numFmt w:val="decimal"/>
      <w:pStyle w:val="162"/>
      <w:suff w:val="nothing"/>
      <w:lvlText w:val="%1.%2.%3　"/>
      <w:lvlJc w:val="left"/>
      <w:pPr>
        <w:ind w:left="-467" w:firstLine="0"/>
      </w:pPr>
      <w:rPr>
        <w:rFonts w:hint="eastAsia" w:ascii="黑体" w:hAnsi="Times New Roman" w:eastAsia="黑体"/>
        <w:b w:val="0"/>
        <w:i w:val="0"/>
        <w:color w:val="auto"/>
        <w:sz w:val="21"/>
      </w:rPr>
    </w:lvl>
    <w:lvl w:ilvl="3" w:tentative="0">
      <w:start w:val="1"/>
      <w:numFmt w:val="decimal"/>
      <w:pStyle w:val="150"/>
      <w:suff w:val="nothing"/>
      <w:lvlText w:val="%1.%2.%3.%4　"/>
      <w:lvlJc w:val="left"/>
      <w:pPr>
        <w:ind w:left="-47" w:firstLine="0"/>
      </w:pPr>
      <w:rPr>
        <w:rFonts w:hint="eastAsia" w:ascii="黑体" w:hAnsi="Times New Roman" w:eastAsia="黑体"/>
        <w:b w:val="0"/>
        <w:i w:val="0"/>
        <w:sz w:val="21"/>
      </w:rPr>
    </w:lvl>
    <w:lvl w:ilvl="4" w:tentative="0">
      <w:start w:val="1"/>
      <w:numFmt w:val="decimal"/>
      <w:suff w:val="nothing"/>
      <w:lvlText w:val="%1.%2.%3.%4.%5　"/>
      <w:lvlJc w:val="left"/>
      <w:pPr>
        <w:ind w:left="-467" w:firstLine="0"/>
      </w:pPr>
      <w:rPr>
        <w:rFonts w:hint="eastAsia" w:ascii="黑体" w:hAnsi="Times New Roman" w:eastAsia="黑体"/>
        <w:b w:val="0"/>
        <w:i w:val="0"/>
        <w:sz w:val="21"/>
      </w:rPr>
    </w:lvl>
    <w:lvl w:ilvl="5" w:tentative="0">
      <w:start w:val="1"/>
      <w:numFmt w:val="decimal"/>
      <w:pStyle w:val="148"/>
      <w:suff w:val="nothing"/>
      <w:lvlText w:val="%1.%2.%3.%4.%5.%6　"/>
      <w:lvlJc w:val="left"/>
      <w:pPr>
        <w:ind w:left="-467" w:firstLine="0"/>
      </w:pPr>
      <w:rPr>
        <w:rFonts w:hint="eastAsia" w:ascii="黑体" w:hAnsi="Times New Roman" w:eastAsia="黑体"/>
        <w:b w:val="0"/>
        <w:i w:val="0"/>
        <w:sz w:val="21"/>
      </w:rPr>
    </w:lvl>
    <w:lvl w:ilvl="6" w:tentative="0">
      <w:start w:val="1"/>
      <w:numFmt w:val="decimal"/>
      <w:suff w:val="nothing"/>
      <w:lvlText w:val="%1.%2.%3.%4.%5.%6.%7　"/>
      <w:lvlJc w:val="left"/>
      <w:pPr>
        <w:ind w:left="-467" w:firstLine="0"/>
      </w:pPr>
      <w:rPr>
        <w:rFonts w:hint="eastAsia" w:ascii="黑体" w:hAnsi="Times New Roman" w:eastAsia="黑体"/>
        <w:b w:val="0"/>
        <w:i w:val="0"/>
        <w:sz w:val="21"/>
      </w:rPr>
    </w:lvl>
    <w:lvl w:ilvl="7" w:tentative="0">
      <w:start w:val="1"/>
      <w:numFmt w:val="decimal"/>
      <w:lvlText w:val="%1.%2.%3.%4.%5.%6.%7.%8"/>
      <w:lvlJc w:val="left"/>
      <w:pPr>
        <w:tabs>
          <w:tab w:val="left" w:pos="3927"/>
        </w:tabs>
        <w:ind w:left="3927" w:hanging="1418"/>
      </w:pPr>
      <w:rPr>
        <w:rFonts w:hint="eastAsia"/>
      </w:rPr>
    </w:lvl>
    <w:lvl w:ilvl="8" w:tentative="0">
      <w:start w:val="1"/>
      <w:numFmt w:val="decimal"/>
      <w:lvlText w:val="%1.%2.%3.%4.%5.%6.%7.%8.%9"/>
      <w:lvlJc w:val="left"/>
      <w:pPr>
        <w:tabs>
          <w:tab w:val="left" w:pos="4635"/>
        </w:tabs>
        <w:ind w:left="4635" w:hanging="1700"/>
      </w:pPr>
      <w:rPr>
        <w:rFonts w:hint="eastAsia"/>
      </w:rPr>
    </w:lvl>
  </w:abstractNum>
  <w:abstractNum w:abstractNumId="7">
    <w:nsid w:val="00000008"/>
    <w:multiLevelType w:val="multilevel"/>
    <w:tmpl w:val="00000008"/>
    <w:lvl w:ilvl="0" w:tentative="0">
      <w:start w:val="1"/>
      <w:numFmt w:val="lowerLetter"/>
      <w:pStyle w:val="193"/>
      <w:lvlText w:val="%1)"/>
      <w:lvlJc w:val="left"/>
      <w:pPr>
        <w:tabs>
          <w:tab w:val="left" w:pos="839"/>
        </w:tabs>
        <w:ind w:left="839" w:hanging="419"/>
      </w:pPr>
      <w:rPr>
        <w:rFonts w:hint="eastAsia" w:ascii="宋体" w:eastAsia="宋体"/>
        <w:b w:val="0"/>
        <w:i w:val="0"/>
        <w:sz w:val="21"/>
      </w:rPr>
    </w:lvl>
    <w:lvl w:ilvl="1" w:tentative="0">
      <w:start w:val="1"/>
      <w:numFmt w:val="decimal"/>
      <w:pStyle w:val="194"/>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8">
    <w:nsid w:val="00000014"/>
    <w:multiLevelType w:val="multilevel"/>
    <w:tmpl w:val="00000014"/>
    <w:lvl w:ilvl="0" w:tentative="0">
      <w:start w:val="1"/>
      <w:numFmt w:val="decimal"/>
      <w:pStyle w:val="106"/>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9">
    <w:nsid w:val="00000015"/>
    <w:multiLevelType w:val="multilevel"/>
    <w:tmpl w:val="00000015"/>
    <w:lvl w:ilvl="0" w:tentative="0">
      <w:start w:val="1"/>
      <w:numFmt w:val="none"/>
      <w:pStyle w:val="126"/>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10">
    <w:nsid w:val="00000016"/>
    <w:multiLevelType w:val="multilevel"/>
    <w:tmpl w:val="00000016"/>
    <w:lvl w:ilvl="0" w:tentative="0">
      <w:start w:val="1"/>
      <w:numFmt w:val="decimal"/>
      <w:pStyle w:val="144"/>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1">
    <w:nsid w:val="00000017"/>
    <w:multiLevelType w:val="multilevel"/>
    <w:tmpl w:val="00000017"/>
    <w:lvl w:ilvl="0" w:tentative="0">
      <w:start w:val="1"/>
      <w:numFmt w:val="lowerLetter"/>
      <w:pStyle w:val="201"/>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12">
    <w:nsid w:val="00000018"/>
    <w:multiLevelType w:val="multilevel"/>
    <w:tmpl w:val="00000018"/>
    <w:lvl w:ilvl="0" w:tentative="0">
      <w:start w:val="1"/>
      <w:numFmt w:val="decimal"/>
      <w:pStyle w:val="184"/>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13">
    <w:nsid w:val="00000019"/>
    <w:multiLevelType w:val="multilevel"/>
    <w:tmpl w:val="00000019"/>
    <w:lvl w:ilvl="0" w:tentative="0">
      <w:start w:val="1"/>
      <w:numFmt w:val="decimal"/>
      <w:pStyle w:val="131"/>
      <w:suff w:val="nothing"/>
      <w:lvlText w:val="%1　"/>
      <w:lvlJc w:val="left"/>
      <w:pPr>
        <w:ind w:left="709" w:firstLine="0"/>
      </w:pPr>
      <w:rPr>
        <w:rFonts w:hint="eastAsia" w:ascii="黑体" w:hAnsi="Times New Roman" w:eastAsia="黑体"/>
        <w:b w:val="0"/>
        <w:i w:val="0"/>
        <w:sz w:val="21"/>
        <w:szCs w:val="21"/>
      </w:rPr>
    </w:lvl>
    <w:lvl w:ilvl="1" w:tentative="0">
      <w:start w:val="1"/>
      <w:numFmt w:val="decimal"/>
      <w:pStyle w:val="115"/>
      <w:suff w:val="nothing"/>
      <w:lvlText w:val="%1.%2　"/>
      <w:lvlJc w:val="left"/>
      <w:pPr>
        <w:ind w:left="1843"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rPr>
    </w:lvl>
    <w:lvl w:ilvl="2" w:tentative="0">
      <w:start w:val="1"/>
      <w:numFmt w:val="decimal"/>
      <w:pStyle w:val="114"/>
      <w:suff w:val="nothing"/>
      <w:lvlText w:val="%1.%2.%3　"/>
      <w:lvlJc w:val="left"/>
      <w:pPr>
        <w:ind w:left="0" w:firstLine="0"/>
      </w:pPr>
      <w:rPr>
        <w:rFonts w:hint="eastAsia" w:ascii="黑体" w:hAnsi="Times New Roman" w:eastAsia="黑体"/>
        <w:b w:val="0"/>
        <w:i w:val="0"/>
        <w:color w:val="auto"/>
        <w:sz w:val="21"/>
      </w:rPr>
    </w:lvl>
    <w:lvl w:ilvl="3" w:tentative="0">
      <w:start w:val="1"/>
      <w:numFmt w:val="decimal"/>
      <w:pStyle w:val="113"/>
      <w:suff w:val="nothing"/>
      <w:lvlText w:val="%4）"/>
      <w:lvlJc w:val="left"/>
      <w:pPr>
        <w:ind w:left="0" w:firstLine="0"/>
      </w:pPr>
      <w:rPr>
        <w:rFonts w:ascii="Times New Roman" w:hAnsi="Times New Roman" w:eastAsia="Times New Roman" w:cs="Times New Roman"/>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pStyle w:val="160"/>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4">
    <w:nsid w:val="0000001A"/>
    <w:multiLevelType w:val="multilevel"/>
    <w:tmpl w:val="0000001A"/>
    <w:lvl w:ilvl="0" w:tentative="0">
      <w:start w:val="1"/>
      <w:numFmt w:val="upperLetter"/>
      <w:pStyle w:val="195"/>
      <w:suff w:val="space"/>
      <w:lvlText w:val="%1"/>
      <w:lvlJc w:val="left"/>
      <w:pPr>
        <w:ind w:left="623" w:hanging="425"/>
      </w:pPr>
      <w:rPr>
        <w:rFonts w:hint="eastAsia"/>
      </w:rPr>
    </w:lvl>
    <w:lvl w:ilvl="1" w:tentative="0">
      <w:start w:val="1"/>
      <w:numFmt w:val="decimal"/>
      <w:pStyle w:val="139"/>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15">
    <w:nsid w:val="0000001B"/>
    <w:multiLevelType w:val="multilevel"/>
    <w:tmpl w:val="0000001B"/>
    <w:lvl w:ilvl="0" w:tentative="0">
      <w:start w:val="1"/>
      <w:numFmt w:val="none"/>
      <w:pStyle w:val="120"/>
      <w:suff w:val="nothing"/>
      <w:lvlText w:val="%1——"/>
      <w:lvlJc w:val="left"/>
      <w:pPr>
        <w:ind w:left="833" w:hanging="408"/>
      </w:pPr>
      <w:rPr>
        <w:rFonts w:hint="eastAsia"/>
      </w:rPr>
    </w:lvl>
    <w:lvl w:ilvl="1" w:tentative="0">
      <w:start w:val="1"/>
      <w:numFmt w:val="bullet"/>
      <w:pStyle w:val="189"/>
      <w:lvlText w:val=""/>
      <w:lvlJc w:val="left"/>
      <w:pPr>
        <w:tabs>
          <w:tab w:val="left" w:pos="760"/>
        </w:tabs>
        <w:ind w:left="1264" w:hanging="413"/>
      </w:pPr>
      <w:rPr>
        <w:rFonts w:hint="default" w:ascii="Symbol" w:hAnsi="Symbol"/>
        <w:color w:val="auto"/>
      </w:rPr>
    </w:lvl>
    <w:lvl w:ilvl="2" w:tentative="0">
      <w:start w:val="1"/>
      <w:numFmt w:val="bullet"/>
      <w:pStyle w:val="168"/>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6">
    <w:nsid w:val="5F86727C"/>
    <w:multiLevelType w:val="multilevel"/>
    <w:tmpl w:val="5F86727C"/>
    <w:lvl w:ilvl="0" w:tentative="0">
      <w:start w:val="1"/>
      <w:numFmt w:val="decimal"/>
      <w:pStyle w:val="39"/>
      <w:lvlText w:val="%1)"/>
      <w:lvlJc w:val="left"/>
      <w:pPr>
        <w:tabs>
          <w:tab w:val="left" w:pos="-850"/>
        </w:tabs>
        <w:ind w:left="-130" w:hanging="357"/>
      </w:pPr>
      <w:rPr>
        <w:rFonts w:hint="eastAsia"/>
      </w:rPr>
    </w:lvl>
    <w:lvl w:ilvl="1" w:tentative="0">
      <w:start w:val="1"/>
      <w:numFmt w:val="lowerLetter"/>
      <w:lvlText w:val="%2)"/>
      <w:lvlJc w:val="left"/>
      <w:pPr>
        <w:tabs>
          <w:tab w:val="left" w:pos="-346"/>
        </w:tabs>
        <w:ind w:left="-306" w:hanging="544"/>
      </w:pPr>
      <w:rPr>
        <w:rFonts w:hint="eastAsia"/>
      </w:rPr>
    </w:lvl>
    <w:lvl w:ilvl="2" w:tentative="0">
      <w:start w:val="1"/>
      <w:numFmt w:val="lowerRoman"/>
      <w:lvlText w:val="%3."/>
      <w:lvlJc w:val="right"/>
      <w:pPr>
        <w:tabs>
          <w:tab w:val="left" w:pos="-318"/>
        </w:tabs>
        <w:ind w:left="-306" w:hanging="544"/>
      </w:pPr>
      <w:rPr>
        <w:rFonts w:hint="eastAsia"/>
      </w:rPr>
    </w:lvl>
    <w:lvl w:ilvl="3" w:tentative="0">
      <w:start w:val="1"/>
      <w:numFmt w:val="decimal"/>
      <w:lvlText w:val="%4."/>
      <w:lvlJc w:val="left"/>
      <w:pPr>
        <w:tabs>
          <w:tab w:val="left" w:pos="-290"/>
        </w:tabs>
        <w:ind w:left="-306" w:hanging="544"/>
      </w:pPr>
      <w:rPr>
        <w:rFonts w:hint="eastAsia"/>
      </w:rPr>
    </w:lvl>
    <w:lvl w:ilvl="4" w:tentative="0">
      <w:start w:val="1"/>
      <w:numFmt w:val="lowerLetter"/>
      <w:lvlText w:val="%5)"/>
      <w:lvlJc w:val="left"/>
      <w:pPr>
        <w:tabs>
          <w:tab w:val="left" w:pos="-262"/>
        </w:tabs>
        <w:ind w:left="-306" w:hanging="544"/>
      </w:pPr>
      <w:rPr>
        <w:rFonts w:hint="eastAsia"/>
      </w:rPr>
    </w:lvl>
    <w:lvl w:ilvl="5" w:tentative="0">
      <w:start w:val="1"/>
      <w:numFmt w:val="lowerRoman"/>
      <w:lvlText w:val="%6."/>
      <w:lvlJc w:val="right"/>
      <w:pPr>
        <w:tabs>
          <w:tab w:val="left" w:pos="-234"/>
        </w:tabs>
        <w:ind w:left="-306" w:hanging="544"/>
      </w:pPr>
      <w:rPr>
        <w:rFonts w:hint="eastAsia"/>
      </w:rPr>
    </w:lvl>
    <w:lvl w:ilvl="6" w:tentative="0">
      <w:start w:val="1"/>
      <w:numFmt w:val="decimal"/>
      <w:lvlText w:val="%7."/>
      <w:lvlJc w:val="left"/>
      <w:pPr>
        <w:tabs>
          <w:tab w:val="left" w:pos="-206"/>
        </w:tabs>
        <w:ind w:left="-306" w:hanging="544"/>
      </w:pPr>
      <w:rPr>
        <w:rFonts w:hint="eastAsia"/>
      </w:rPr>
    </w:lvl>
    <w:lvl w:ilvl="7" w:tentative="0">
      <w:start w:val="1"/>
      <w:numFmt w:val="lowerLetter"/>
      <w:lvlText w:val="%8)"/>
      <w:lvlJc w:val="left"/>
      <w:pPr>
        <w:tabs>
          <w:tab w:val="left" w:pos="-178"/>
        </w:tabs>
        <w:ind w:left="-306" w:hanging="544"/>
      </w:pPr>
      <w:rPr>
        <w:rFonts w:hint="eastAsia"/>
      </w:rPr>
    </w:lvl>
    <w:lvl w:ilvl="8" w:tentative="0">
      <w:start w:val="1"/>
      <w:numFmt w:val="lowerRoman"/>
      <w:lvlText w:val="%9."/>
      <w:lvlJc w:val="right"/>
      <w:pPr>
        <w:tabs>
          <w:tab w:val="left" w:pos="-150"/>
        </w:tabs>
        <w:ind w:left="-306" w:hanging="544"/>
      </w:pPr>
      <w:rPr>
        <w:rFonts w:hint="eastAsia"/>
      </w:rPr>
    </w:lvl>
  </w:abstractNum>
  <w:num w:numId="1">
    <w:abstractNumId w:val="16"/>
  </w:num>
  <w:num w:numId="2">
    <w:abstractNumId w:val="8"/>
  </w:num>
  <w:num w:numId="3">
    <w:abstractNumId w:val="0"/>
  </w:num>
  <w:num w:numId="4">
    <w:abstractNumId w:val="13"/>
  </w:num>
  <w:num w:numId="5">
    <w:abstractNumId w:val="15"/>
  </w:num>
  <w:num w:numId="6">
    <w:abstractNumId w:val="1"/>
  </w:num>
  <w:num w:numId="7">
    <w:abstractNumId w:val="9"/>
  </w:num>
  <w:num w:numId="8">
    <w:abstractNumId w:val="2"/>
  </w:num>
  <w:num w:numId="9">
    <w:abstractNumId w:val="5"/>
  </w:num>
  <w:num w:numId="10">
    <w:abstractNumId w:val="14"/>
  </w:num>
  <w:num w:numId="11">
    <w:abstractNumId w:val="6"/>
  </w:num>
  <w:num w:numId="12">
    <w:abstractNumId w:val="10"/>
  </w:num>
  <w:num w:numId="13">
    <w:abstractNumId w:val="3"/>
  </w:num>
  <w:num w:numId="14">
    <w:abstractNumId w:val="4"/>
  </w:num>
  <w:num w:numId="15">
    <w:abstractNumId w:val="12"/>
  </w:num>
  <w:num w:numId="16">
    <w:abstractNumId w:val="7"/>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evenAndOddHeaders w:val="true"/>
  <w:drawingGridHorizontalSpacing w:val="105"/>
  <w:drawingGridVerticalSpacing w:val="156"/>
  <w:displayHorizontalDrawingGridEvery w:val="2"/>
  <w:displayVerticalDrawingGridEvery w:val="2"/>
  <w:noPunctuationKerning w:val="true"/>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Q3NWU2YTU1NzkzMTQ3ZDI3ZDdhZjQyNDNiMmRiNTQifQ=="/>
  </w:docVars>
  <w:rsids>
    <w:rsidRoot w:val="00172A27"/>
    <w:rsid w:val="00000E4F"/>
    <w:rsid w:val="000030F7"/>
    <w:rsid w:val="0000472B"/>
    <w:rsid w:val="00004948"/>
    <w:rsid w:val="00005EA2"/>
    <w:rsid w:val="0001033B"/>
    <w:rsid w:val="00011FB7"/>
    <w:rsid w:val="00011FD9"/>
    <w:rsid w:val="00014817"/>
    <w:rsid w:val="00016B0F"/>
    <w:rsid w:val="00021912"/>
    <w:rsid w:val="0002567E"/>
    <w:rsid w:val="00027955"/>
    <w:rsid w:val="00030547"/>
    <w:rsid w:val="00030793"/>
    <w:rsid w:val="00032BA0"/>
    <w:rsid w:val="00037B74"/>
    <w:rsid w:val="00041B81"/>
    <w:rsid w:val="00043249"/>
    <w:rsid w:val="00043341"/>
    <w:rsid w:val="00043907"/>
    <w:rsid w:val="000440BC"/>
    <w:rsid w:val="00045B91"/>
    <w:rsid w:val="000518C4"/>
    <w:rsid w:val="0005395C"/>
    <w:rsid w:val="00053B3D"/>
    <w:rsid w:val="000557AC"/>
    <w:rsid w:val="00055A8F"/>
    <w:rsid w:val="00057B22"/>
    <w:rsid w:val="000605B5"/>
    <w:rsid w:val="000605BB"/>
    <w:rsid w:val="0006170C"/>
    <w:rsid w:val="000624D0"/>
    <w:rsid w:val="00063B45"/>
    <w:rsid w:val="00064D7E"/>
    <w:rsid w:val="00065ADB"/>
    <w:rsid w:val="00066247"/>
    <w:rsid w:val="00066984"/>
    <w:rsid w:val="00066C9E"/>
    <w:rsid w:val="00071688"/>
    <w:rsid w:val="00071C47"/>
    <w:rsid w:val="00072532"/>
    <w:rsid w:val="00074B83"/>
    <w:rsid w:val="000750D2"/>
    <w:rsid w:val="0007693B"/>
    <w:rsid w:val="00076A53"/>
    <w:rsid w:val="0008166A"/>
    <w:rsid w:val="00081D7F"/>
    <w:rsid w:val="000835B3"/>
    <w:rsid w:val="000852B4"/>
    <w:rsid w:val="00086369"/>
    <w:rsid w:val="00086E46"/>
    <w:rsid w:val="0009428D"/>
    <w:rsid w:val="00094905"/>
    <w:rsid w:val="000953A7"/>
    <w:rsid w:val="0009552E"/>
    <w:rsid w:val="000A2CE5"/>
    <w:rsid w:val="000A3827"/>
    <w:rsid w:val="000A3A99"/>
    <w:rsid w:val="000A45EF"/>
    <w:rsid w:val="000B2BC1"/>
    <w:rsid w:val="000B3D67"/>
    <w:rsid w:val="000B3EA5"/>
    <w:rsid w:val="000B4847"/>
    <w:rsid w:val="000B5090"/>
    <w:rsid w:val="000C1D56"/>
    <w:rsid w:val="000C26AC"/>
    <w:rsid w:val="000C683A"/>
    <w:rsid w:val="000C7824"/>
    <w:rsid w:val="000D0E55"/>
    <w:rsid w:val="000D10D2"/>
    <w:rsid w:val="000D12ED"/>
    <w:rsid w:val="000D422B"/>
    <w:rsid w:val="000D4420"/>
    <w:rsid w:val="000D4A3A"/>
    <w:rsid w:val="000D5EA3"/>
    <w:rsid w:val="000D6007"/>
    <w:rsid w:val="000D6BF5"/>
    <w:rsid w:val="000D74C9"/>
    <w:rsid w:val="000E0DCD"/>
    <w:rsid w:val="000E3778"/>
    <w:rsid w:val="000E3CFC"/>
    <w:rsid w:val="000E5070"/>
    <w:rsid w:val="000E5D3C"/>
    <w:rsid w:val="000E7B92"/>
    <w:rsid w:val="000F387F"/>
    <w:rsid w:val="000F3B42"/>
    <w:rsid w:val="000F45A9"/>
    <w:rsid w:val="000F48FC"/>
    <w:rsid w:val="000F55CD"/>
    <w:rsid w:val="00102565"/>
    <w:rsid w:val="0010663B"/>
    <w:rsid w:val="00114BCA"/>
    <w:rsid w:val="00114CA7"/>
    <w:rsid w:val="0011525C"/>
    <w:rsid w:val="00115F56"/>
    <w:rsid w:val="00117F8C"/>
    <w:rsid w:val="00124E87"/>
    <w:rsid w:val="00127031"/>
    <w:rsid w:val="00133309"/>
    <w:rsid w:val="0013363F"/>
    <w:rsid w:val="00134EA8"/>
    <w:rsid w:val="00135B05"/>
    <w:rsid w:val="0013686D"/>
    <w:rsid w:val="00136DA0"/>
    <w:rsid w:val="00140639"/>
    <w:rsid w:val="001409CD"/>
    <w:rsid w:val="00140ADF"/>
    <w:rsid w:val="00140D77"/>
    <w:rsid w:val="00143382"/>
    <w:rsid w:val="00143B16"/>
    <w:rsid w:val="00144AEA"/>
    <w:rsid w:val="0014667B"/>
    <w:rsid w:val="00146CC7"/>
    <w:rsid w:val="00146D4B"/>
    <w:rsid w:val="001514AC"/>
    <w:rsid w:val="001565B7"/>
    <w:rsid w:val="00156746"/>
    <w:rsid w:val="0015774D"/>
    <w:rsid w:val="00160EE5"/>
    <w:rsid w:val="00161946"/>
    <w:rsid w:val="001710E0"/>
    <w:rsid w:val="00171671"/>
    <w:rsid w:val="00172A27"/>
    <w:rsid w:val="00172B1F"/>
    <w:rsid w:val="00175904"/>
    <w:rsid w:val="00175F66"/>
    <w:rsid w:val="00176964"/>
    <w:rsid w:val="00181E6C"/>
    <w:rsid w:val="001825B9"/>
    <w:rsid w:val="00182740"/>
    <w:rsid w:val="00182D0E"/>
    <w:rsid w:val="00184E07"/>
    <w:rsid w:val="0018751A"/>
    <w:rsid w:val="0018759A"/>
    <w:rsid w:val="001879E1"/>
    <w:rsid w:val="00187DE4"/>
    <w:rsid w:val="00190804"/>
    <w:rsid w:val="00193F5A"/>
    <w:rsid w:val="00195184"/>
    <w:rsid w:val="00196F9D"/>
    <w:rsid w:val="00197D90"/>
    <w:rsid w:val="001A1036"/>
    <w:rsid w:val="001A1E75"/>
    <w:rsid w:val="001A3D18"/>
    <w:rsid w:val="001A43A7"/>
    <w:rsid w:val="001A5523"/>
    <w:rsid w:val="001B1718"/>
    <w:rsid w:val="001B1EF8"/>
    <w:rsid w:val="001B2559"/>
    <w:rsid w:val="001B7EE5"/>
    <w:rsid w:val="001C03AD"/>
    <w:rsid w:val="001C4D34"/>
    <w:rsid w:val="001C6D7F"/>
    <w:rsid w:val="001C77C0"/>
    <w:rsid w:val="001D05CF"/>
    <w:rsid w:val="001D2220"/>
    <w:rsid w:val="001D3729"/>
    <w:rsid w:val="001D5C74"/>
    <w:rsid w:val="001D730A"/>
    <w:rsid w:val="001E2098"/>
    <w:rsid w:val="001E27FE"/>
    <w:rsid w:val="001E2D87"/>
    <w:rsid w:val="001E3223"/>
    <w:rsid w:val="001E5912"/>
    <w:rsid w:val="001F218C"/>
    <w:rsid w:val="001F30BC"/>
    <w:rsid w:val="001F37E3"/>
    <w:rsid w:val="001F7CC4"/>
    <w:rsid w:val="00201612"/>
    <w:rsid w:val="0020205C"/>
    <w:rsid w:val="00206746"/>
    <w:rsid w:val="002111A8"/>
    <w:rsid w:val="00211420"/>
    <w:rsid w:val="0021575E"/>
    <w:rsid w:val="00216292"/>
    <w:rsid w:val="0021781E"/>
    <w:rsid w:val="00217C2A"/>
    <w:rsid w:val="0022096A"/>
    <w:rsid w:val="00221CB9"/>
    <w:rsid w:val="00222F8F"/>
    <w:rsid w:val="00223971"/>
    <w:rsid w:val="00227A56"/>
    <w:rsid w:val="0023305A"/>
    <w:rsid w:val="002350F5"/>
    <w:rsid w:val="002351B3"/>
    <w:rsid w:val="0023555A"/>
    <w:rsid w:val="0024112E"/>
    <w:rsid w:val="002435BB"/>
    <w:rsid w:val="00244480"/>
    <w:rsid w:val="0024473F"/>
    <w:rsid w:val="00245C74"/>
    <w:rsid w:val="002473E2"/>
    <w:rsid w:val="002537B7"/>
    <w:rsid w:val="002547B7"/>
    <w:rsid w:val="00255E97"/>
    <w:rsid w:val="00256836"/>
    <w:rsid w:val="002612A4"/>
    <w:rsid w:val="0026145B"/>
    <w:rsid w:val="0026255E"/>
    <w:rsid w:val="00262C34"/>
    <w:rsid w:val="00263C61"/>
    <w:rsid w:val="00264AB9"/>
    <w:rsid w:val="00266243"/>
    <w:rsid w:val="00266A15"/>
    <w:rsid w:val="00266EB6"/>
    <w:rsid w:val="00272370"/>
    <w:rsid w:val="00273BCF"/>
    <w:rsid w:val="00274029"/>
    <w:rsid w:val="00276E6B"/>
    <w:rsid w:val="002822E4"/>
    <w:rsid w:val="002823EC"/>
    <w:rsid w:val="0028350F"/>
    <w:rsid w:val="0028529C"/>
    <w:rsid w:val="002857D2"/>
    <w:rsid w:val="002871F3"/>
    <w:rsid w:val="00290A24"/>
    <w:rsid w:val="002913C7"/>
    <w:rsid w:val="002934CE"/>
    <w:rsid w:val="00293E80"/>
    <w:rsid w:val="00297CD5"/>
    <w:rsid w:val="00297F54"/>
    <w:rsid w:val="002A0FB0"/>
    <w:rsid w:val="002A30FC"/>
    <w:rsid w:val="002B0068"/>
    <w:rsid w:val="002B048F"/>
    <w:rsid w:val="002B4DE0"/>
    <w:rsid w:val="002B6F26"/>
    <w:rsid w:val="002B7C27"/>
    <w:rsid w:val="002C0C34"/>
    <w:rsid w:val="002C29A8"/>
    <w:rsid w:val="002C5E7A"/>
    <w:rsid w:val="002C6BA9"/>
    <w:rsid w:val="002D002E"/>
    <w:rsid w:val="002D0363"/>
    <w:rsid w:val="002D2CBD"/>
    <w:rsid w:val="002D3194"/>
    <w:rsid w:val="002D3526"/>
    <w:rsid w:val="002D46E8"/>
    <w:rsid w:val="002D4845"/>
    <w:rsid w:val="002D4871"/>
    <w:rsid w:val="002E0100"/>
    <w:rsid w:val="002E1B1B"/>
    <w:rsid w:val="002E4FA3"/>
    <w:rsid w:val="002E579E"/>
    <w:rsid w:val="002F08D3"/>
    <w:rsid w:val="002F1616"/>
    <w:rsid w:val="002F3405"/>
    <w:rsid w:val="002F6C85"/>
    <w:rsid w:val="002F746E"/>
    <w:rsid w:val="0030741A"/>
    <w:rsid w:val="00311184"/>
    <w:rsid w:val="00311735"/>
    <w:rsid w:val="00311E6A"/>
    <w:rsid w:val="003165B1"/>
    <w:rsid w:val="003169C4"/>
    <w:rsid w:val="0032085A"/>
    <w:rsid w:val="00321237"/>
    <w:rsid w:val="00322CE5"/>
    <w:rsid w:val="00323D06"/>
    <w:rsid w:val="003253CE"/>
    <w:rsid w:val="00325BCF"/>
    <w:rsid w:val="00325D57"/>
    <w:rsid w:val="003262AF"/>
    <w:rsid w:val="00327C63"/>
    <w:rsid w:val="003310DD"/>
    <w:rsid w:val="003335CE"/>
    <w:rsid w:val="00333CBF"/>
    <w:rsid w:val="00334E52"/>
    <w:rsid w:val="00335F54"/>
    <w:rsid w:val="00336BA6"/>
    <w:rsid w:val="00336CF1"/>
    <w:rsid w:val="00336E80"/>
    <w:rsid w:val="00337EE9"/>
    <w:rsid w:val="00341053"/>
    <w:rsid w:val="003424DE"/>
    <w:rsid w:val="003428DA"/>
    <w:rsid w:val="003440EB"/>
    <w:rsid w:val="00345229"/>
    <w:rsid w:val="00345AA4"/>
    <w:rsid w:val="0034682C"/>
    <w:rsid w:val="0035244B"/>
    <w:rsid w:val="00356833"/>
    <w:rsid w:val="0036187A"/>
    <w:rsid w:val="00361F45"/>
    <w:rsid w:val="00364B41"/>
    <w:rsid w:val="003671E0"/>
    <w:rsid w:val="00367AE3"/>
    <w:rsid w:val="00373EB0"/>
    <w:rsid w:val="00374D52"/>
    <w:rsid w:val="00375563"/>
    <w:rsid w:val="00377B31"/>
    <w:rsid w:val="00380BD1"/>
    <w:rsid w:val="003818C5"/>
    <w:rsid w:val="003822A9"/>
    <w:rsid w:val="00385B34"/>
    <w:rsid w:val="00386803"/>
    <w:rsid w:val="0039026C"/>
    <w:rsid w:val="003940B0"/>
    <w:rsid w:val="00394F55"/>
    <w:rsid w:val="00395A33"/>
    <w:rsid w:val="003A1219"/>
    <w:rsid w:val="003A16CB"/>
    <w:rsid w:val="003A214C"/>
    <w:rsid w:val="003A4E8F"/>
    <w:rsid w:val="003B01A5"/>
    <w:rsid w:val="003B266B"/>
    <w:rsid w:val="003B2795"/>
    <w:rsid w:val="003B564E"/>
    <w:rsid w:val="003B6CE4"/>
    <w:rsid w:val="003C17B5"/>
    <w:rsid w:val="003C1912"/>
    <w:rsid w:val="003C233B"/>
    <w:rsid w:val="003C591A"/>
    <w:rsid w:val="003C5F7C"/>
    <w:rsid w:val="003C6C02"/>
    <w:rsid w:val="003D03D1"/>
    <w:rsid w:val="003D0FBF"/>
    <w:rsid w:val="003D18BA"/>
    <w:rsid w:val="003D19C4"/>
    <w:rsid w:val="003D1BEE"/>
    <w:rsid w:val="003D231A"/>
    <w:rsid w:val="003D266D"/>
    <w:rsid w:val="003D2883"/>
    <w:rsid w:val="003D28A9"/>
    <w:rsid w:val="003D3062"/>
    <w:rsid w:val="003D3099"/>
    <w:rsid w:val="003D3F73"/>
    <w:rsid w:val="003D5C83"/>
    <w:rsid w:val="003D7EBB"/>
    <w:rsid w:val="003E2D84"/>
    <w:rsid w:val="003E36ED"/>
    <w:rsid w:val="003E6D8C"/>
    <w:rsid w:val="003E6F34"/>
    <w:rsid w:val="003E72B4"/>
    <w:rsid w:val="003F1F5C"/>
    <w:rsid w:val="003F22FB"/>
    <w:rsid w:val="003F2F69"/>
    <w:rsid w:val="003F3A08"/>
    <w:rsid w:val="003F7F15"/>
    <w:rsid w:val="004008A0"/>
    <w:rsid w:val="0040140F"/>
    <w:rsid w:val="0040213D"/>
    <w:rsid w:val="00403751"/>
    <w:rsid w:val="0040623D"/>
    <w:rsid w:val="004065A2"/>
    <w:rsid w:val="004106FC"/>
    <w:rsid w:val="00412E6E"/>
    <w:rsid w:val="00414177"/>
    <w:rsid w:val="00414BBC"/>
    <w:rsid w:val="00414D39"/>
    <w:rsid w:val="0041511E"/>
    <w:rsid w:val="00415623"/>
    <w:rsid w:val="00417C3E"/>
    <w:rsid w:val="004212B7"/>
    <w:rsid w:val="004234E8"/>
    <w:rsid w:val="00423D37"/>
    <w:rsid w:val="00426AA5"/>
    <w:rsid w:val="00426FF4"/>
    <w:rsid w:val="00430794"/>
    <w:rsid w:val="00431E5B"/>
    <w:rsid w:val="00432046"/>
    <w:rsid w:val="004327C4"/>
    <w:rsid w:val="0044004E"/>
    <w:rsid w:val="00441773"/>
    <w:rsid w:val="004434AD"/>
    <w:rsid w:val="004446AD"/>
    <w:rsid w:val="004477CD"/>
    <w:rsid w:val="00451A31"/>
    <w:rsid w:val="00451C69"/>
    <w:rsid w:val="004537C6"/>
    <w:rsid w:val="00453A1A"/>
    <w:rsid w:val="004541AD"/>
    <w:rsid w:val="00457213"/>
    <w:rsid w:val="00457BD3"/>
    <w:rsid w:val="00460481"/>
    <w:rsid w:val="00461157"/>
    <w:rsid w:val="00461173"/>
    <w:rsid w:val="00461DB4"/>
    <w:rsid w:val="0046287A"/>
    <w:rsid w:val="00462CF0"/>
    <w:rsid w:val="00464258"/>
    <w:rsid w:val="004650EC"/>
    <w:rsid w:val="00470B7E"/>
    <w:rsid w:val="004717F5"/>
    <w:rsid w:val="00471B3C"/>
    <w:rsid w:val="0047404E"/>
    <w:rsid w:val="00475CD2"/>
    <w:rsid w:val="004816B4"/>
    <w:rsid w:val="0048302C"/>
    <w:rsid w:val="00484681"/>
    <w:rsid w:val="00485350"/>
    <w:rsid w:val="00487A66"/>
    <w:rsid w:val="00487C9C"/>
    <w:rsid w:val="00493EC5"/>
    <w:rsid w:val="00494298"/>
    <w:rsid w:val="00495972"/>
    <w:rsid w:val="004A0F7B"/>
    <w:rsid w:val="004A37F4"/>
    <w:rsid w:val="004A48E3"/>
    <w:rsid w:val="004A58FA"/>
    <w:rsid w:val="004A736A"/>
    <w:rsid w:val="004B122C"/>
    <w:rsid w:val="004B1B41"/>
    <w:rsid w:val="004B3DE3"/>
    <w:rsid w:val="004B785E"/>
    <w:rsid w:val="004C0551"/>
    <w:rsid w:val="004C0850"/>
    <w:rsid w:val="004C27A2"/>
    <w:rsid w:val="004C3ADC"/>
    <w:rsid w:val="004C3D1B"/>
    <w:rsid w:val="004C437E"/>
    <w:rsid w:val="004C4EE4"/>
    <w:rsid w:val="004C61D3"/>
    <w:rsid w:val="004C7E39"/>
    <w:rsid w:val="004D0BB7"/>
    <w:rsid w:val="004D0F58"/>
    <w:rsid w:val="004D3B24"/>
    <w:rsid w:val="004D47D2"/>
    <w:rsid w:val="004D5889"/>
    <w:rsid w:val="004D6753"/>
    <w:rsid w:val="004D7409"/>
    <w:rsid w:val="004E082A"/>
    <w:rsid w:val="004E1932"/>
    <w:rsid w:val="004E2380"/>
    <w:rsid w:val="004E251F"/>
    <w:rsid w:val="004E4009"/>
    <w:rsid w:val="004E4AC3"/>
    <w:rsid w:val="004E68A1"/>
    <w:rsid w:val="004F0506"/>
    <w:rsid w:val="004F42AE"/>
    <w:rsid w:val="004F5D11"/>
    <w:rsid w:val="004F630A"/>
    <w:rsid w:val="004F7A72"/>
    <w:rsid w:val="00505D2C"/>
    <w:rsid w:val="0050738B"/>
    <w:rsid w:val="005075EB"/>
    <w:rsid w:val="005101DF"/>
    <w:rsid w:val="00510717"/>
    <w:rsid w:val="00513FDC"/>
    <w:rsid w:val="005165B5"/>
    <w:rsid w:val="0052357A"/>
    <w:rsid w:val="00524E08"/>
    <w:rsid w:val="00524F2A"/>
    <w:rsid w:val="00526AD1"/>
    <w:rsid w:val="00530B55"/>
    <w:rsid w:val="00530F7A"/>
    <w:rsid w:val="00532825"/>
    <w:rsid w:val="00533801"/>
    <w:rsid w:val="00536B81"/>
    <w:rsid w:val="00536FD6"/>
    <w:rsid w:val="0053713B"/>
    <w:rsid w:val="005403A8"/>
    <w:rsid w:val="00540723"/>
    <w:rsid w:val="00540B55"/>
    <w:rsid w:val="005422F6"/>
    <w:rsid w:val="005449B0"/>
    <w:rsid w:val="005450FF"/>
    <w:rsid w:val="005514C9"/>
    <w:rsid w:val="0055263A"/>
    <w:rsid w:val="0055290E"/>
    <w:rsid w:val="005532E7"/>
    <w:rsid w:val="00553824"/>
    <w:rsid w:val="00554056"/>
    <w:rsid w:val="00561F96"/>
    <w:rsid w:val="00565D35"/>
    <w:rsid w:val="005742B0"/>
    <w:rsid w:val="005752AB"/>
    <w:rsid w:val="0057750D"/>
    <w:rsid w:val="0058187E"/>
    <w:rsid w:val="00582A48"/>
    <w:rsid w:val="0058404F"/>
    <w:rsid w:val="00584949"/>
    <w:rsid w:val="00585CF3"/>
    <w:rsid w:val="00587079"/>
    <w:rsid w:val="005901D1"/>
    <w:rsid w:val="00593B32"/>
    <w:rsid w:val="00593D01"/>
    <w:rsid w:val="005965BB"/>
    <w:rsid w:val="005A1CD3"/>
    <w:rsid w:val="005A30C7"/>
    <w:rsid w:val="005A4533"/>
    <w:rsid w:val="005A4DAF"/>
    <w:rsid w:val="005A7543"/>
    <w:rsid w:val="005B01AD"/>
    <w:rsid w:val="005B0D42"/>
    <w:rsid w:val="005B1A36"/>
    <w:rsid w:val="005B4C27"/>
    <w:rsid w:val="005C2BC4"/>
    <w:rsid w:val="005C3873"/>
    <w:rsid w:val="005C3A80"/>
    <w:rsid w:val="005C42B9"/>
    <w:rsid w:val="005C4F37"/>
    <w:rsid w:val="005C7FED"/>
    <w:rsid w:val="005D086D"/>
    <w:rsid w:val="005D1EFC"/>
    <w:rsid w:val="005D4FF4"/>
    <w:rsid w:val="005D54CE"/>
    <w:rsid w:val="005D64FF"/>
    <w:rsid w:val="005D7046"/>
    <w:rsid w:val="005D7A72"/>
    <w:rsid w:val="005E0EE1"/>
    <w:rsid w:val="005E4F7B"/>
    <w:rsid w:val="005E5138"/>
    <w:rsid w:val="005E6A50"/>
    <w:rsid w:val="005E74B3"/>
    <w:rsid w:val="005F009B"/>
    <w:rsid w:val="005F0414"/>
    <w:rsid w:val="005F0C40"/>
    <w:rsid w:val="005F0DFF"/>
    <w:rsid w:val="005F183F"/>
    <w:rsid w:val="005F4C69"/>
    <w:rsid w:val="005F5E4D"/>
    <w:rsid w:val="005F7C44"/>
    <w:rsid w:val="006003E0"/>
    <w:rsid w:val="00602D75"/>
    <w:rsid w:val="006039C1"/>
    <w:rsid w:val="00605637"/>
    <w:rsid w:val="00606314"/>
    <w:rsid w:val="00607A96"/>
    <w:rsid w:val="00607EC0"/>
    <w:rsid w:val="00612838"/>
    <w:rsid w:val="006202DC"/>
    <w:rsid w:val="00620F61"/>
    <w:rsid w:val="0062438A"/>
    <w:rsid w:val="006255B8"/>
    <w:rsid w:val="006262B0"/>
    <w:rsid w:val="00634B5A"/>
    <w:rsid w:val="00634D27"/>
    <w:rsid w:val="00637BC1"/>
    <w:rsid w:val="006449EA"/>
    <w:rsid w:val="00645F84"/>
    <w:rsid w:val="006473E6"/>
    <w:rsid w:val="00647975"/>
    <w:rsid w:val="0065258D"/>
    <w:rsid w:val="006528F4"/>
    <w:rsid w:val="00655219"/>
    <w:rsid w:val="0065522C"/>
    <w:rsid w:val="00656934"/>
    <w:rsid w:val="00662AE2"/>
    <w:rsid w:val="00665A4B"/>
    <w:rsid w:val="00666562"/>
    <w:rsid w:val="00666A6D"/>
    <w:rsid w:val="0067126C"/>
    <w:rsid w:val="006724BE"/>
    <w:rsid w:val="00677EFE"/>
    <w:rsid w:val="00680341"/>
    <w:rsid w:val="00680EBE"/>
    <w:rsid w:val="006820CE"/>
    <w:rsid w:val="00684773"/>
    <w:rsid w:val="0068527C"/>
    <w:rsid w:val="00690CAA"/>
    <w:rsid w:val="00693A75"/>
    <w:rsid w:val="006A3179"/>
    <w:rsid w:val="006A6298"/>
    <w:rsid w:val="006A6CF1"/>
    <w:rsid w:val="006A700F"/>
    <w:rsid w:val="006A707E"/>
    <w:rsid w:val="006A74ED"/>
    <w:rsid w:val="006B1BC1"/>
    <w:rsid w:val="006B3274"/>
    <w:rsid w:val="006B683D"/>
    <w:rsid w:val="006B697A"/>
    <w:rsid w:val="006B6F94"/>
    <w:rsid w:val="006B7C93"/>
    <w:rsid w:val="006C3683"/>
    <w:rsid w:val="006C4DDC"/>
    <w:rsid w:val="006C692C"/>
    <w:rsid w:val="006D0473"/>
    <w:rsid w:val="006D152F"/>
    <w:rsid w:val="006D3BF3"/>
    <w:rsid w:val="006D408E"/>
    <w:rsid w:val="006D77EB"/>
    <w:rsid w:val="006E2657"/>
    <w:rsid w:val="006E2A1D"/>
    <w:rsid w:val="006E2FE8"/>
    <w:rsid w:val="006E68C2"/>
    <w:rsid w:val="006E6F54"/>
    <w:rsid w:val="006F0CE9"/>
    <w:rsid w:val="006F247A"/>
    <w:rsid w:val="006F39E5"/>
    <w:rsid w:val="006F3C96"/>
    <w:rsid w:val="007004BE"/>
    <w:rsid w:val="00701035"/>
    <w:rsid w:val="007011AB"/>
    <w:rsid w:val="007023ED"/>
    <w:rsid w:val="00704A0D"/>
    <w:rsid w:val="00706F50"/>
    <w:rsid w:val="0070777C"/>
    <w:rsid w:val="0071060A"/>
    <w:rsid w:val="007117F2"/>
    <w:rsid w:val="007176E4"/>
    <w:rsid w:val="00720257"/>
    <w:rsid w:val="007226EC"/>
    <w:rsid w:val="007245BA"/>
    <w:rsid w:val="00726447"/>
    <w:rsid w:val="00733440"/>
    <w:rsid w:val="007334F5"/>
    <w:rsid w:val="007361B2"/>
    <w:rsid w:val="00736534"/>
    <w:rsid w:val="00736C65"/>
    <w:rsid w:val="00737E6C"/>
    <w:rsid w:val="00742018"/>
    <w:rsid w:val="007430CE"/>
    <w:rsid w:val="00743B5B"/>
    <w:rsid w:val="00744576"/>
    <w:rsid w:val="00745028"/>
    <w:rsid w:val="0074556F"/>
    <w:rsid w:val="00750636"/>
    <w:rsid w:val="00752053"/>
    <w:rsid w:val="007525C9"/>
    <w:rsid w:val="00754B6F"/>
    <w:rsid w:val="0075627B"/>
    <w:rsid w:val="0075663D"/>
    <w:rsid w:val="0075703B"/>
    <w:rsid w:val="0075763C"/>
    <w:rsid w:val="00760B7B"/>
    <w:rsid w:val="00761A89"/>
    <w:rsid w:val="00761E74"/>
    <w:rsid w:val="00762387"/>
    <w:rsid w:val="00763890"/>
    <w:rsid w:val="00764CA0"/>
    <w:rsid w:val="00765E40"/>
    <w:rsid w:val="0077059A"/>
    <w:rsid w:val="00770830"/>
    <w:rsid w:val="00770D06"/>
    <w:rsid w:val="00772BC0"/>
    <w:rsid w:val="007742CC"/>
    <w:rsid w:val="007761CD"/>
    <w:rsid w:val="00777BED"/>
    <w:rsid w:val="00777FB6"/>
    <w:rsid w:val="007808D2"/>
    <w:rsid w:val="00782DED"/>
    <w:rsid w:val="00784385"/>
    <w:rsid w:val="00786E38"/>
    <w:rsid w:val="00792B43"/>
    <w:rsid w:val="007941E6"/>
    <w:rsid w:val="00794F94"/>
    <w:rsid w:val="007A17A2"/>
    <w:rsid w:val="007A2BE9"/>
    <w:rsid w:val="007A5222"/>
    <w:rsid w:val="007A5D3B"/>
    <w:rsid w:val="007A60B5"/>
    <w:rsid w:val="007A771C"/>
    <w:rsid w:val="007B0D76"/>
    <w:rsid w:val="007B2598"/>
    <w:rsid w:val="007B2AE4"/>
    <w:rsid w:val="007B3DF2"/>
    <w:rsid w:val="007B637D"/>
    <w:rsid w:val="007B7928"/>
    <w:rsid w:val="007C1183"/>
    <w:rsid w:val="007C2D9E"/>
    <w:rsid w:val="007C71E8"/>
    <w:rsid w:val="007C78D5"/>
    <w:rsid w:val="007C7A84"/>
    <w:rsid w:val="007D0117"/>
    <w:rsid w:val="007D198A"/>
    <w:rsid w:val="007D27B9"/>
    <w:rsid w:val="007D3C91"/>
    <w:rsid w:val="007D4C89"/>
    <w:rsid w:val="007D53E1"/>
    <w:rsid w:val="007D5F2A"/>
    <w:rsid w:val="007D6221"/>
    <w:rsid w:val="007D7862"/>
    <w:rsid w:val="007E0420"/>
    <w:rsid w:val="007E16E0"/>
    <w:rsid w:val="007E1F38"/>
    <w:rsid w:val="007E2587"/>
    <w:rsid w:val="007E2834"/>
    <w:rsid w:val="007E37D7"/>
    <w:rsid w:val="007E53B9"/>
    <w:rsid w:val="007E53C9"/>
    <w:rsid w:val="007F1D4A"/>
    <w:rsid w:val="007F244B"/>
    <w:rsid w:val="007F56C3"/>
    <w:rsid w:val="00800328"/>
    <w:rsid w:val="00801791"/>
    <w:rsid w:val="00801988"/>
    <w:rsid w:val="00803A87"/>
    <w:rsid w:val="008045D9"/>
    <w:rsid w:val="008052F1"/>
    <w:rsid w:val="008055CA"/>
    <w:rsid w:val="00807C89"/>
    <w:rsid w:val="00810E26"/>
    <w:rsid w:val="00811323"/>
    <w:rsid w:val="00816899"/>
    <w:rsid w:val="00816D9C"/>
    <w:rsid w:val="0081753C"/>
    <w:rsid w:val="008202CA"/>
    <w:rsid w:val="00821E96"/>
    <w:rsid w:val="008231D9"/>
    <w:rsid w:val="00825B4B"/>
    <w:rsid w:val="00826811"/>
    <w:rsid w:val="00831EB0"/>
    <w:rsid w:val="008326E2"/>
    <w:rsid w:val="008376FC"/>
    <w:rsid w:val="00837A09"/>
    <w:rsid w:val="00842F7B"/>
    <w:rsid w:val="00843607"/>
    <w:rsid w:val="0084563D"/>
    <w:rsid w:val="00845DCE"/>
    <w:rsid w:val="00847D3B"/>
    <w:rsid w:val="00860E05"/>
    <w:rsid w:val="00861AFD"/>
    <w:rsid w:val="008638C4"/>
    <w:rsid w:val="00863C6C"/>
    <w:rsid w:val="008671A1"/>
    <w:rsid w:val="0086777C"/>
    <w:rsid w:val="00870927"/>
    <w:rsid w:val="00870ABE"/>
    <w:rsid w:val="008726F3"/>
    <w:rsid w:val="0087725F"/>
    <w:rsid w:val="00877276"/>
    <w:rsid w:val="008773AC"/>
    <w:rsid w:val="008800C6"/>
    <w:rsid w:val="00883484"/>
    <w:rsid w:val="00886831"/>
    <w:rsid w:val="00886914"/>
    <w:rsid w:val="00887328"/>
    <w:rsid w:val="00887992"/>
    <w:rsid w:val="008902F0"/>
    <w:rsid w:val="008905D9"/>
    <w:rsid w:val="0089082E"/>
    <w:rsid w:val="0089610A"/>
    <w:rsid w:val="00896709"/>
    <w:rsid w:val="00896844"/>
    <w:rsid w:val="00897D7C"/>
    <w:rsid w:val="008A246F"/>
    <w:rsid w:val="008A3E23"/>
    <w:rsid w:val="008A507E"/>
    <w:rsid w:val="008B0BBE"/>
    <w:rsid w:val="008B148C"/>
    <w:rsid w:val="008B2589"/>
    <w:rsid w:val="008B3973"/>
    <w:rsid w:val="008B5EB7"/>
    <w:rsid w:val="008B7D1F"/>
    <w:rsid w:val="008B7D6A"/>
    <w:rsid w:val="008C0CC4"/>
    <w:rsid w:val="008C118E"/>
    <w:rsid w:val="008C1AD2"/>
    <w:rsid w:val="008C2077"/>
    <w:rsid w:val="008C53FB"/>
    <w:rsid w:val="008C5AC8"/>
    <w:rsid w:val="008C61EF"/>
    <w:rsid w:val="008C736D"/>
    <w:rsid w:val="008C7BFF"/>
    <w:rsid w:val="008D28D2"/>
    <w:rsid w:val="008D38B6"/>
    <w:rsid w:val="008D5FD6"/>
    <w:rsid w:val="008D7B02"/>
    <w:rsid w:val="008E0F14"/>
    <w:rsid w:val="008E25A5"/>
    <w:rsid w:val="008E5A0C"/>
    <w:rsid w:val="008E66C8"/>
    <w:rsid w:val="008E7C33"/>
    <w:rsid w:val="008F0A44"/>
    <w:rsid w:val="008F0AD1"/>
    <w:rsid w:val="008F1E07"/>
    <w:rsid w:val="008F67FC"/>
    <w:rsid w:val="00900C47"/>
    <w:rsid w:val="00906E06"/>
    <w:rsid w:val="009134A4"/>
    <w:rsid w:val="00915EA5"/>
    <w:rsid w:val="00915FC8"/>
    <w:rsid w:val="00917344"/>
    <w:rsid w:val="00920B9B"/>
    <w:rsid w:val="00921719"/>
    <w:rsid w:val="00923CA3"/>
    <w:rsid w:val="00927997"/>
    <w:rsid w:val="00927AC8"/>
    <w:rsid w:val="00927EE6"/>
    <w:rsid w:val="00930421"/>
    <w:rsid w:val="00930654"/>
    <w:rsid w:val="0093094D"/>
    <w:rsid w:val="009314E4"/>
    <w:rsid w:val="00933FA4"/>
    <w:rsid w:val="009342EE"/>
    <w:rsid w:val="0093438B"/>
    <w:rsid w:val="0093547D"/>
    <w:rsid w:val="0093548D"/>
    <w:rsid w:val="00937FAD"/>
    <w:rsid w:val="00941967"/>
    <w:rsid w:val="00943BF1"/>
    <w:rsid w:val="00944F55"/>
    <w:rsid w:val="00951215"/>
    <w:rsid w:val="0095140F"/>
    <w:rsid w:val="009527E6"/>
    <w:rsid w:val="00952C5C"/>
    <w:rsid w:val="009537C4"/>
    <w:rsid w:val="00954967"/>
    <w:rsid w:val="00955AEE"/>
    <w:rsid w:val="009562EE"/>
    <w:rsid w:val="00956A16"/>
    <w:rsid w:val="00957A5B"/>
    <w:rsid w:val="00960B67"/>
    <w:rsid w:val="009619D4"/>
    <w:rsid w:val="009635CF"/>
    <w:rsid w:val="00966047"/>
    <w:rsid w:val="00966E18"/>
    <w:rsid w:val="00971481"/>
    <w:rsid w:val="00971CDC"/>
    <w:rsid w:val="009725E8"/>
    <w:rsid w:val="0097295A"/>
    <w:rsid w:val="00973D37"/>
    <w:rsid w:val="00974F3F"/>
    <w:rsid w:val="00975674"/>
    <w:rsid w:val="009769C0"/>
    <w:rsid w:val="00976C0D"/>
    <w:rsid w:val="00976EF8"/>
    <w:rsid w:val="00976FE3"/>
    <w:rsid w:val="00980252"/>
    <w:rsid w:val="00984B6B"/>
    <w:rsid w:val="00984F5C"/>
    <w:rsid w:val="00984FB4"/>
    <w:rsid w:val="00985ED8"/>
    <w:rsid w:val="00986173"/>
    <w:rsid w:val="0098725F"/>
    <w:rsid w:val="009873FD"/>
    <w:rsid w:val="00992596"/>
    <w:rsid w:val="00993A21"/>
    <w:rsid w:val="00997AF8"/>
    <w:rsid w:val="009A3961"/>
    <w:rsid w:val="009A4608"/>
    <w:rsid w:val="009B1733"/>
    <w:rsid w:val="009B2076"/>
    <w:rsid w:val="009B2B1F"/>
    <w:rsid w:val="009B330A"/>
    <w:rsid w:val="009B4FFB"/>
    <w:rsid w:val="009B671A"/>
    <w:rsid w:val="009B72BB"/>
    <w:rsid w:val="009C1CE7"/>
    <w:rsid w:val="009C2A89"/>
    <w:rsid w:val="009C3428"/>
    <w:rsid w:val="009C5711"/>
    <w:rsid w:val="009C6799"/>
    <w:rsid w:val="009C6872"/>
    <w:rsid w:val="009D03E5"/>
    <w:rsid w:val="009D0DBB"/>
    <w:rsid w:val="009D21D2"/>
    <w:rsid w:val="009D55B1"/>
    <w:rsid w:val="009D5822"/>
    <w:rsid w:val="009E309B"/>
    <w:rsid w:val="009E3978"/>
    <w:rsid w:val="009E7B0E"/>
    <w:rsid w:val="009F2655"/>
    <w:rsid w:val="009F4605"/>
    <w:rsid w:val="009F4745"/>
    <w:rsid w:val="00A00C4F"/>
    <w:rsid w:val="00A04002"/>
    <w:rsid w:val="00A11815"/>
    <w:rsid w:val="00A11C57"/>
    <w:rsid w:val="00A143EA"/>
    <w:rsid w:val="00A15045"/>
    <w:rsid w:val="00A15FE9"/>
    <w:rsid w:val="00A22AAC"/>
    <w:rsid w:val="00A23D62"/>
    <w:rsid w:val="00A25C6F"/>
    <w:rsid w:val="00A262B1"/>
    <w:rsid w:val="00A26E63"/>
    <w:rsid w:val="00A26F1C"/>
    <w:rsid w:val="00A27F98"/>
    <w:rsid w:val="00A303CC"/>
    <w:rsid w:val="00A33A61"/>
    <w:rsid w:val="00A343E8"/>
    <w:rsid w:val="00A34452"/>
    <w:rsid w:val="00A352FB"/>
    <w:rsid w:val="00A35A3D"/>
    <w:rsid w:val="00A36B57"/>
    <w:rsid w:val="00A36E9B"/>
    <w:rsid w:val="00A374F6"/>
    <w:rsid w:val="00A37B02"/>
    <w:rsid w:val="00A40364"/>
    <w:rsid w:val="00A459EA"/>
    <w:rsid w:val="00A46292"/>
    <w:rsid w:val="00A51332"/>
    <w:rsid w:val="00A5301B"/>
    <w:rsid w:val="00A555AE"/>
    <w:rsid w:val="00A55933"/>
    <w:rsid w:val="00A55A26"/>
    <w:rsid w:val="00A56233"/>
    <w:rsid w:val="00A60889"/>
    <w:rsid w:val="00A6212C"/>
    <w:rsid w:val="00A6274B"/>
    <w:rsid w:val="00A64D94"/>
    <w:rsid w:val="00A673E0"/>
    <w:rsid w:val="00A674D9"/>
    <w:rsid w:val="00A67A3F"/>
    <w:rsid w:val="00A7018E"/>
    <w:rsid w:val="00A70EEE"/>
    <w:rsid w:val="00A7108E"/>
    <w:rsid w:val="00A71E3B"/>
    <w:rsid w:val="00A732FD"/>
    <w:rsid w:val="00A74376"/>
    <w:rsid w:val="00A745F8"/>
    <w:rsid w:val="00A76305"/>
    <w:rsid w:val="00A80CBC"/>
    <w:rsid w:val="00A818D4"/>
    <w:rsid w:val="00A8252E"/>
    <w:rsid w:val="00A82D70"/>
    <w:rsid w:val="00A910D5"/>
    <w:rsid w:val="00A91AD0"/>
    <w:rsid w:val="00A9367F"/>
    <w:rsid w:val="00A96EAB"/>
    <w:rsid w:val="00A9731A"/>
    <w:rsid w:val="00AA202E"/>
    <w:rsid w:val="00AA51E5"/>
    <w:rsid w:val="00AA5B69"/>
    <w:rsid w:val="00AB09FD"/>
    <w:rsid w:val="00AB4042"/>
    <w:rsid w:val="00AB621F"/>
    <w:rsid w:val="00AB7118"/>
    <w:rsid w:val="00AB77EE"/>
    <w:rsid w:val="00AC033F"/>
    <w:rsid w:val="00AC2407"/>
    <w:rsid w:val="00AC266D"/>
    <w:rsid w:val="00AC5893"/>
    <w:rsid w:val="00AC59B2"/>
    <w:rsid w:val="00AC7164"/>
    <w:rsid w:val="00AC71C4"/>
    <w:rsid w:val="00AC7C8E"/>
    <w:rsid w:val="00AD272C"/>
    <w:rsid w:val="00AD3E19"/>
    <w:rsid w:val="00AD4323"/>
    <w:rsid w:val="00AD6489"/>
    <w:rsid w:val="00AD6A69"/>
    <w:rsid w:val="00AE0695"/>
    <w:rsid w:val="00AE0972"/>
    <w:rsid w:val="00AE4F99"/>
    <w:rsid w:val="00AE534B"/>
    <w:rsid w:val="00AE6742"/>
    <w:rsid w:val="00AE67BF"/>
    <w:rsid w:val="00AE7255"/>
    <w:rsid w:val="00AF072B"/>
    <w:rsid w:val="00AF162A"/>
    <w:rsid w:val="00AF180F"/>
    <w:rsid w:val="00AF182E"/>
    <w:rsid w:val="00AF48B6"/>
    <w:rsid w:val="00AF742F"/>
    <w:rsid w:val="00B01E23"/>
    <w:rsid w:val="00B0588E"/>
    <w:rsid w:val="00B06711"/>
    <w:rsid w:val="00B07881"/>
    <w:rsid w:val="00B158E0"/>
    <w:rsid w:val="00B17503"/>
    <w:rsid w:val="00B21E83"/>
    <w:rsid w:val="00B2242E"/>
    <w:rsid w:val="00B23F29"/>
    <w:rsid w:val="00B26FCC"/>
    <w:rsid w:val="00B276C6"/>
    <w:rsid w:val="00B310F9"/>
    <w:rsid w:val="00B43304"/>
    <w:rsid w:val="00B45277"/>
    <w:rsid w:val="00B459F1"/>
    <w:rsid w:val="00B460DC"/>
    <w:rsid w:val="00B46F62"/>
    <w:rsid w:val="00B47F1A"/>
    <w:rsid w:val="00B50DF0"/>
    <w:rsid w:val="00B515F6"/>
    <w:rsid w:val="00B51E69"/>
    <w:rsid w:val="00B524BC"/>
    <w:rsid w:val="00B533AC"/>
    <w:rsid w:val="00B53845"/>
    <w:rsid w:val="00B55C00"/>
    <w:rsid w:val="00B5655C"/>
    <w:rsid w:val="00B6123A"/>
    <w:rsid w:val="00B62B33"/>
    <w:rsid w:val="00B64022"/>
    <w:rsid w:val="00B649A6"/>
    <w:rsid w:val="00B70FB2"/>
    <w:rsid w:val="00B74995"/>
    <w:rsid w:val="00B7522C"/>
    <w:rsid w:val="00B7721F"/>
    <w:rsid w:val="00B8052F"/>
    <w:rsid w:val="00B86EF2"/>
    <w:rsid w:val="00B87608"/>
    <w:rsid w:val="00B924B5"/>
    <w:rsid w:val="00B93F7C"/>
    <w:rsid w:val="00B952E8"/>
    <w:rsid w:val="00B970DB"/>
    <w:rsid w:val="00B97C66"/>
    <w:rsid w:val="00BA0664"/>
    <w:rsid w:val="00BA0C5C"/>
    <w:rsid w:val="00BA1927"/>
    <w:rsid w:val="00BA1EC9"/>
    <w:rsid w:val="00BA65B2"/>
    <w:rsid w:val="00BA67CC"/>
    <w:rsid w:val="00BA7066"/>
    <w:rsid w:val="00BB0075"/>
    <w:rsid w:val="00BB2CED"/>
    <w:rsid w:val="00BB2E8C"/>
    <w:rsid w:val="00BB3423"/>
    <w:rsid w:val="00BB3635"/>
    <w:rsid w:val="00BB3D08"/>
    <w:rsid w:val="00BB3EA3"/>
    <w:rsid w:val="00BB4D5A"/>
    <w:rsid w:val="00BB50F1"/>
    <w:rsid w:val="00BB7801"/>
    <w:rsid w:val="00BC0896"/>
    <w:rsid w:val="00BC1216"/>
    <w:rsid w:val="00BC34AF"/>
    <w:rsid w:val="00BC3C3E"/>
    <w:rsid w:val="00BC4D16"/>
    <w:rsid w:val="00BC7D9B"/>
    <w:rsid w:val="00BD18C5"/>
    <w:rsid w:val="00BD2CC7"/>
    <w:rsid w:val="00BD4A1A"/>
    <w:rsid w:val="00BD50CA"/>
    <w:rsid w:val="00BD592A"/>
    <w:rsid w:val="00BD6DCB"/>
    <w:rsid w:val="00BE2F32"/>
    <w:rsid w:val="00BE4AAD"/>
    <w:rsid w:val="00BE64E5"/>
    <w:rsid w:val="00BF06B1"/>
    <w:rsid w:val="00BF6112"/>
    <w:rsid w:val="00C0146E"/>
    <w:rsid w:val="00C02061"/>
    <w:rsid w:val="00C028E5"/>
    <w:rsid w:val="00C11B3E"/>
    <w:rsid w:val="00C13118"/>
    <w:rsid w:val="00C13FC5"/>
    <w:rsid w:val="00C15E7A"/>
    <w:rsid w:val="00C20608"/>
    <w:rsid w:val="00C2458D"/>
    <w:rsid w:val="00C32FD0"/>
    <w:rsid w:val="00C3590C"/>
    <w:rsid w:val="00C41165"/>
    <w:rsid w:val="00C42275"/>
    <w:rsid w:val="00C44793"/>
    <w:rsid w:val="00C50A9F"/>
    <w:rsid w:val="00C54118"/>
    <w:rsid w:val="00C567BB"/>
    <w:rsid w:val="00C576F8"/>
    <w:rsid w:val="00C601F4"/>
    <w:rsid w:val="00C6116C"/>
    <w:rsid w:val="00C614E0"/>
    <w:rsid w:val="00C626D4"/>
    <w:rsid w:val="00C62C1A"/>
    <w:rsid w:val="00C63DEE"/>
    <w:rsid w:val="00C6426E"/>
    <w:rsid w:val="00C643C7"/>
    <w:rsid w:val="00C654D0"/>
    <w:rsid w:val="00C66A20"/>
    <w:rsid w:val="00C66E4D"/>
    <w:rsid w:val="00C67AEC"/>
    <w:rsid w:val="00C73529"/>
    <w:rsid w:val="00C735FB"/>
    <w:rsid w:val="00C8105A"/>
    <w:rsid w:val="00C824B0"/>
    <w:rsid w:val="00C825DB"/>
    <w:rsid w:val="00C829FE"/>
    <w:rsid w:val="00C866B9"/>
    <w:rsid w:val="00C87E7C"/>
    <w:rsid w:val="00C90CB8"/>
    <w:rsid w:val="00C910CC"/>
    <w:rsid w:val="00C913B8"/>
    <w:rsid w:val="00C929C4"/>
    <w:rsid w:val="00C934DD"/>
    <w:rsid w:val="00C951BC"/>
    <w:rsid w:val="00CA06EA"/>
    <w:rsid w:val="00CA1DF0"/>
    <w:rsid w:val="00CA3951"/>
    <w:rsid w:val="00CA468C"/>
    <w:rsid w:val="00CB1063"/>
    <w:rsid w:val="00CB1E56"/>
    <w:rsid w:val="00CC50E4"/>
    <w:rsid w:val="00CC6CDD"/>
    <w:rsid w:val="00CD115E"/>
    <w:rsid w:val="00CD1CD2"/>
    <w:rsid w:val="00CD1CDB"/>
    <w:rsid w:val="00CD2542"/>
    <w:rsid w:val="00CD2CD7"/>
    <w:rsid w:val="00CD5B3A"/>
    <w:rsid w:val="00CD7A90"/>
    <w:rsid w:val="00CE2768"/>
    <w:rsid w:val="00CE4F49"/>
    <w:rsid w:val="00CE67EB"/>
    <w:rsid w:val="00CE787E"/>
    <w:rsid w:val="00CE7CD7"/>
    <w:rsid w:val="00CF242F"/>
    <w:rsid w:val="00CF4740"/>
    <w:rsid w:val="00CF5BBB"/>
    <w:rsid w:val="00D0028A"/>
    <w:rsid w:val="00D008A2"/>
    <w:rsid w:val="00D00EC1"/>
    <w:rsid w:val="00D06F0C"/>
    <w:rsid w:val="00D11805"/>
    <w:rsid w:val="00D12327"/>
    <w:rsid w:val="00D128D7"/>
    <w:rsid w:val="00D15C9B"/>
    <w:rsid w:val="00D20C2F"/>
    <w:rsid w:val="00D216CB"/>
    <w:rsid w:val="00D226A8"/>
    <w:rsid w:val="00D242F8"/>
    <w:rsid w:val="00D25810"/>
    <w:rsid w:val="00D260FC"/>
    <w:rsid w:val="00D26492"/>
    <w:rsid w:val="00D26E25"/>
    <w:rsid w:val="00D2791D"/>
    <w:rsid w:val="00D3128F"/>
    <w:rsid w:val="00D31625"/>
    <w:rsid w:val="00D31677"/>
    <w:rsid w:val="00D31A7F"/>
    <w:rsid w:val="00D330BC"/>
    <w:rsid w:val="00D36484"/>
    <w:rsid w:val="00D37668"/>
    <w:rsid w:val="00D40B43"/>
    <w:rsid w:val="00D416A3"/>
    <w:rsid w:val="00D42628"/>
    <w:rsid w:val="00D4279A"/>
    <w:rsid w:val="00D43160"/>
    <w:rsid w:val="00D433EC"/>
    <w:rsid w:val="00D4515D"/>
    <w:rsid w:val="00D47BA0"/>
    <w:rsid w:val="00D5036A"/>
    <w:rsid w:val="00D50EE7"/>
    <w:rsid w:val="00D615DC"/>
    <w:rsid w:val="00D62B3D"/>
    <w:rsid w:val="00D62D2D"/>
    <w:rsid w:val="00D62EF4"/>
    <w:rsid w:val="00D64501"/>
    <w:rsid w:val="00D65259"/>
    <w:rsid w:val="00D66844"/>
    <w:rsid w:val="00D72DC7"/>
    <w:rsid w:val="00D74A09"/>
    <w:rsid w:val="00D74A13"/>
    <w:rsid w:val="00D7557D"/>
    <w:rsid w:val="00D763B9"/>
    <w:rsid w:val="00D80D2F"/>
    <w:rsid w:val="00D830EB"/>
    <w:rsid w:val="00D8446E"/>
    <w:rsid w:val="00D87C56"/>
    <w:rsid w:val="00D91D77"/>
    <w:rsid w:val="00D937E7"/>
    <w:rsid w:val="00DA18E3"/>
    <w:rsid w:val="00DA1CE1"/>
    <w:rsid w:val="00DA21B6"/>
    <w:rsid w:val="00DA2FD2"/>
    <w:rsid w:val="00DA506A"/>
    <w:rsid w:val="00DA573E"/>
    <w:rsid w:val="00DA69CB"/>
    <w:rsid w:val="00DB0D92"/>
    <w:rsid w:val="00DB37C7"/>
    <w:rsid w:val="00DB4FB6"/>
    <w:rsid w:val="00DB5096"/>
    <w:rsid w:val="00DB5EE2"/>
    <w:rsid w:val="00DC2F29"/>
    <w:rsid w:val="00DC3696"/>
    <w:rsid w:val="00DC3A7F"/>
    <w:rsid w:val="00DC43BA"/>
    <w:rsid w:val="00DC7157"/>
    <w:rsid w:val="00DC7A8C"/>
    <w:rsid w:val="00DD1A20"/>
    <w:rsid w:val="00DD585A"/>
    <w:rsid w:val="00DD6694"/>
    <w:rsid w:val="00DD704F"/>
    <w:rsid w:val="00DE10B6"/>
    <w:rsid w:val="00DE269B"/>
    <w:rsid w:val="00DE276E"/>
    <w:rsid w:val="00DE343C"/>
    <w:rsid w:val="00DE364B"/>
    <w:rsid w:val="00DE3AC4"/>
    <w:rsid w:val="00DE53FD"/>
    <w:rsid w:val="00DE5EBA"/>
    <w:rsid w:val="00DE6162"/>
    <w:rsid w:val="00DE61CC"/>
    <w:rsid w:val="00DE7226"/>
    <w:rsid w:val="00DE7373"/>
    <w:rsid w:val="00DE7375"/>
    <w:rsid w:val="00DF0561"/>
    <w:rsid w:val="00DF0D0D"/>
    <w:rsid w:val="00DF1011"/>
    <w:rsid w:val="00DF12D2"/>
    <w:rsid w:val="00DF303A"/>
    <w:rsid w:val="00DF3337"/>
    <w:rsid w:val="00DF599B"/>
    <w:rsid w:val="00DF5C11"/>
    <w:rsid w:val="00DF633F"/>
    <w:rsid w:val="00DF6F1B"/>
    <w:rsid w:val="00DF7412"/>
    <w:rsid w:val="00E00BC1"/>
    <w:rsid w:val="00E01CB5"/>
    <w:rsid w:val="00E04A4A"/>
    <w:rsid w:val="00E04AE7"/>
    <w:rsid w:val="00E0525D"/>
    <w:rsid w:val="00E1047D"/>
    <w:rsid w:val="00E104C0"/>
    <w:rsid w:val="00E113A0"/>
    <w:rsid w:val="00E11D1B"/>
    <w:rsid w:val="00E11E06"/>
    <w:rsid w:val="00E14883"/>
    <w:rsid w:val="00E15572"/>
    <w:rsid w:val="00E16DEF"/>
    <w:rsid w:val="00E17CD5"/>
    <w:rsid w:val="00E17F05"/>
    <w:rsid w:val="00E21A2A"/>
    <w:rsid w:val="00E220F3"/>
    <w:rsid w:val="00E258B3"/>
    <w:rsid w:val="00E2605B"/>
    <w:rsid w:val="00E265CE"/>
    <w:rsid w:val="00E26D29"/>
    <w:rsid w:val="00E270B0"/>
    <w:rsid w:val="00E32207"/>
    <w:rsid w:val="00E33B06"/>
    <w:rsid w:val="00E40F22"/>
    <w:rsid w:val="00E410A4"/>
    <w:rsid w:val="00E42239"/>
    <w:rsid w:val="00E443C9"/>
    <w:rsid w:val="00E445FD"/>
    <w:rsid w:val="00E449F4"/>
    <w:rsid w:val="00E46AC6"/>
    <w:rsid w:val="00E51959"/>
    <w:rsid w:val="00E5296F"/>
    <w:rsid w:val="00E5433C"/>
    <w:rsid w:val="00E60DD4"/>
    <w:rsid w:val="00E62BCA"/>
    <w:rsid w:val="00E62DDB"/>
    <w:rsid w:val="00E63B6F"/>
    <w:rsid w:val="00E65C44"/>
    <w:rsid w:val="00E6623E"/>
    <w:rsid w:val="00E6687A"/>
    <w:rsid w:val="00E67C9F"/>
    <w:rsid w:val="00E67E09"/>
    <w:rsid w:val="00E71D93"/>
    <w:rsid w:val="00E73586"/>
    <w:rsid w:val="00E7475D"/>
    <w:rsid w:val="00E74AB3"/>
    <w:rsid w:val="00E75344"/>
    <w:rsid w:val="00E7619D"/>
    <w:rsid w:val="00E762E3"/>
    <w:rsid w:val="00E7702B"/>
    <w:rsid w:val="00E8078B"/>
    <w:rsid w:val="00E83AF9"/>
    <w:rsid w:val="00E84F9C"/>
    <w:rsid w:val="00E86668"/>
    <w:rsid w:val="00E87346"/>
    <w:rsid w:val="00E87A36"/>
    <w:rsid w:val="00E87DCC"/>
    <w:rsid w:val="00E910E3"/>
    <w:rsid w:val="00E91457"/>
    <w:rsid w:val="00E920D6"/>
    <w:rsid w:val="00E94011"/>
    <w:rsid w:val="00E9455C"/>
    <w:rsid w:val="00E9670B"/>
    <w:rsid w:val="00E9693F"/>
    <w:rsid w:val="00E97E3F"/>
    <w:rsid w:val="00EA2E64"/>
    <w:rsid w:val="00EA436F"/>
    <w:rsid w:val="00EA6303"/>
    <w:rsid w:val="00EA65D7"/>
    <w:rsid w:val="00EA6830"/>
    <w:rsid w:val="00EA71D9"/>
    <w:rsid w:val="00EB1C8B"/>
    <w:rsid w:val="00EB1E03"/>
    <w:rsid w:val="00EB44D6"/>
    <w:rsid w:val="00EB522C"/>
    <w:rsid w:val="00EB6188"/>
    <w:rsid w:val="00EB698C"/>
    <w:rsid w:val="00EB6AE1"/>
    <w:rsid w:val="00EC0A49"/>
    <w:rsid w:val="00EC0A82"/>
    <w:rsid w:val="00EC1229"/>
    <w:rsid w:val="00EC20F8"/>
    <w:rsid w:val="00EC4DB8"/>
    <w:rsid w:val="00EC62F7"/>
    <w:rsid w:val="00EC659E"/>
    <w:rsid w:val="00EC6958"/>
    <w:rsid w:val="00ED19D2"/>
    <w:rsid w:val="00ED2C4A"/>
    <w:rsid w:val="00ED308C"/>
    <w:rsid w:val="00ED39D7"/>
    <w:rsid w:val="00ED7537"/>
    <w:rsid w:val="00EE381E"/>
    <w:rsid w:val="00EE4590"/>
    <w:rsid w:val="00EE5F1D"/>
    <w:rsid w:val="00EE7159"/>
    <w:rsid w:val="00EE73D3"/>
    <w:rsid w:val="00EE7DEE"/>
    <w:rsid w:val="00EF10DE"/>
    <w:rsid w:val="00EF25B6"/>
    <w:rsid w:val="00EF4FC1"/>
    <w:rsid w:val="00EF6414"/>
    <w:rsid w:val="00F00057"/>
    <w:rsid w:val="00F0430C"/>
    <w:rsid w:val="00F04514"/>
    <w:rsid w:val="00F05B15"/>
    <w:rsid w:val="00F05BC6"/>
    <w:rsid w:val="00F05EEF"/>
    <w:rsid w:val="00F07E32"/>
    <w:rsid w:val="00F114E7"/>
    <w:rsid w:val="00F12186"/>
    <w:rsid w:val="00F12E1D"/>
    <w:rsid w:val="00F14702"/>
    <w:rsid w:val="00F150ED"/>
    <w:rsid w:val="00F17B9C"/>
    <w:rsid w:val="00F2143F"/>
    <w:rsid w:val="00F22E42"/>
    <w:rsid w:val="00F23489"/>
    <w:rsid w:val="00F24D8F"/>
    <w:rsid w:val="00F2651E"/>
    <w:rsid w:val="00F2703F"/>
    <w:rsid w:val="00F27277"/>
    <w:rsid w:val="00F3119C"/>
    <w:rsid w:val="00F313B1"/>
    <w:rsid w:val="00F31F31"/>
    <w:rsid w:val="00F33B64"/>
    <w:rsid w:val="00F41414"/>
    <w:rsid w:val="00F41EFD"/>
    <w:rsid w:val="00F41F1D"/>
    <w:rsid w:val="00F43959"/>
    <w:rsid w:val="00F4739A"/>
    <w:rsid w:val="00F474E7"/>
    <w:rsid w:val="00F51BEB"/>
    <w:rsid w:val="00F54FDB"/>
    <w:rsid w:val="00F55A49"/>
    <w:rsid w:val="00F56128"/>
    <w:rsid w:val="00F56DE7"/>
    <w:rsid w:val="00F5727E"/>
    <w:rsid w:val="00F57A68"/>
    <w:rsid w:val="00F60D94"/>
    <w:rsid w:val="00F61E82"/>
    <w:rsid w:val="00F6404F"/>
    <w:rsid w:val="00F64CA9"/>
    <w:rsid w:val="00F64DF4"/>
    <w:rsid w:val="00F71030"/>
    <w:rsid w:val="00F72EBE"/>
    <w:rsid w:val="00F7578D"/>
    <w:rsid w:val="00F767CF"/>
    <w:rsid w:val="00F77AD9"/>
    <w:rsid w:val="00F77F8E"/>
    <w:rsid w:val="00F824DB"/>
    <w:rsid w:val="00F835E4"/>
    <w:rsid w:val="00F841E7"/>
    <w:rsid w:val="00F858F1"/>
    <w:rsid w:val="00F913D2"/>
    <w:rsid w:val="00F926A9"/>
    <w:rsid w:val="00F92B65"/>
    <w:rsid w:val="00F94298"/>
    <w:rsid w:val="00F95D75"/>
    <w:rsid w:val="00F97AD3"/>
    <w:rsid w:val="00F97E26"/>
    <w:rsid w:val="00FA0965"/>
    <w:rsid w:val="00FA188C"/>
    <w:rsid w:val="00FA1C5F"/>
    <w:rsid w:val="00FA1EF3"/>
    <w:rsid w:val="00FA290A"/>
    <w:rsid w:val="00FA7E92"/>
    <w:rsid w:val="00FB0AC1"/>
    <w:rsid w:val="00FB12FC"/>
    <w:rsid w:val="00FB286A"/>
    <w:rsid w:val="00FB342F"/>
    <w:rsid w:val="00FB370E"/>
    <w:rsid w:val="00FB3E3C"/>
    <w:rsid w:val="00FB52BD"/>
    <w:rsid w:val="00FC05A6"/>
    <w:rsid w:val="00FC31C0"/>
    <w:rsid w:val="00FC49D0"/>
    <w:rsid w:val="00FD2B55"/>
    <w:rsid w:val="00FD38D9"/>
    <w:rsid w:val="00FD6CDD"/>
    <w:rsid w:val="00FD6FD6"/>
    <w:rsid w:val="00FE322A"/>
    <w:rsid w:val="00FE4CC1"/>
    <w:rsid w:val="00FE657A"/>
    <w:rsid w:val="00FE7F6E"/>
    <w:rsid w:val="00FF144B"/>
    <w:rsid w:val="00FF2085"/>
    <w:rsid w:val="00FF29A4"/>
    <w:rsid w:val="00FF4003"/>
    <w:rsid w:val="00FF663D"/>
    <w:rsid w:val="00FF6AC5"/>
    <w:rsid w:val="00FF77A6"/>
    <w:rsid w:val="00FF7B40"/>
    <w:rsid w:val="11DF0146"/>
    <w:rsid w:val="197C11AE"/>
    <w:rsid w:val="494136C2"/>
    <w:rsid w:val="5CFFAA6E"/>
    <w:rsid w:val="5FC3511E"/>
    <w:rsid w:val="5FFB7CD1"/>
    <w:rsid w:val="624216A1"/>
    <w:rsid w:val="6F171EBE"/>
    <w:rsid w:val="70E655FF"/>
    <w:rsid w:val="79291B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qFormat="1" w:unhideWhenUsed="0" w:uiPriority="0" w:semiHidden="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0" w:semiHidden="0" w:name="Table Grid"/>
    <w:lsdException w:uiPriority="0" w:name="Table Theme"/>
    <w:lsdException w:qFormat="1" w:uiPriority="99" w:semiHidden="0"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72"/>
    <w:qFormat/>
    <w:uiPriority w:val="0"/>
    <w:pPr>
      <w:keepNext/>
      <w:keepLines/>
      <w:spacing w:before="340" w:after="330" w:line="576" w:lineRule="auto"/>
      <w:outlineLvl w:val="0"/>
    </w:pPr>
    <w:rPr>
      <w:b/>
      <w:bCs/>
      <w:kern w:val="44"/>
      <w:sz w:val="44"/>
      <w:szCs w:val="44"/>
    </w:rPr>
  </w:style>
  <w:style w:type="paragraph" w:styleId="3">
    <w:name w:val="heading 2"/>
    <w:basedOn w:val="1"/>
    <w:next w:val="1"/>
    <w:link w:val="73"/>
    <w:qFormat/>
    <w:uiPriority w:val="0"/>
    <w:pPr>
      <w:keepNext/>
      <w:keepLines/>
      <w:spacing w:before="260" w:after="260" w:line="413" w:lineRule="auto"/>
      <w:outlineLvl w:val="1"/>
    </w:pPr>
    <w:rPr>
      <w:rFonts w:ascii="Cambria" w:hAnsi="Cambria"/>
      <w:b/>
      <w:bCs/>
      <w:sz w:val="32"/>
      <w:szCs w:val="32"/>
    </w:rPr>
  </w:style>
  <w:style w:type="paragraph" w:styleId="4">
    <w:name w:val="heading 3"/>
    <w:basedOn w:val="1"/>
    <w:next w:val="1"/>
    <w:link w:val="74"/>
    <w:qFormat/>
    <w:uiPriority w:val="0"/>
    <w:pPr>
      <w:keepNext/>
      <w:keepLines/>
      <w:spacing w:before="260" w:after="260" w:line="413" w:lineRule="auto"/>
      <w:outlineLvl w:val="2"/>
    </w:pPr>
    <w:rPr>
      <w:b/>
      <w:bCs/>
      <w:sz w:val="32"/>
      <w:szCs w:val="32"/>
    </w:rPr>
  </w:style>
  <w:style w:type="paragraph" w:styleId="5">
    <w:name w:val="heading 4"/>
    <w:basedOn w:val="1"/>
    <w:next w:val="1"/>
    <w:link w:val="75"/>
    <w:qFormat/>
    <w:uiPriority w:val="0"/>
    <w:pPr>
      <w:keepNext/>
      <w:keepLines/>
      <w:spacing w:before="280" w:after="290" w:line="372" w:lineRule="auto"/>
      <w:outlineLvl w:val="3"/>
    </w:pPr>
    <w:rPr>
      <w:rFonts w:ascii="Cambria" w:hAnsi="Cambria"/>
      <w:b/>
      <w:bCs/>
      <w:sz w:val="28"/>
      <w:szCs w:val="28"/>
    </w:rPr>
  </w:style>
  <w:style w:type="paragraph" w:styleId="6">
    <w:name w:val="heading 5"/>
    <w:basedOn w:val="1"/>
    <w:next w:val="1"/>
    <w:link w:val="76"/>
    <w:qFormat/>
    <w:uiPriority w:val="0"/>
    <w:pPr>
      <w:keepNext/>
      <w:keepLines/>
      <w:spacing w:before="280" w:after="290" w:line="372" w:lineRule="auto"/>
      <w:outlineLvl w:val="4"/>
    </w:pPr>
    <w:rPr>
      <w:b/>
      <w:bCs/>
      <w:sz w:val="28"/>
      <w:szCs w:val="28"/>
    </w:rPr>
  </w:style>
  <w:style w:type="paragraph" w:styleId="7">
    <w:name w:val="heading 6"/>
    <w:basedOn w:val="1"/>
    <w:next w:val="1"/>
    <w:link w:val="77"/>
    <w:qFormat/>
    <w:uiPriority w:val="0"/>
    <w:pPr>
      <w:keepNext/>
      <w:keepLines/>
      <w:spacing w:before="240" w:after="64" w:line="317" w:lineRule="auto"/>
      <w:outlineLvl w:val="5"/>
    </w:pPr>
    <w:rPr>
      <w:rFonts w:ascii="Cambria" w:hAnsi="Cambria"/>
      <w:b/>
      <w:bCs/>
      <w:sz w:val="24"/>
    </w:rPr>
  </w:style>
  <w:style w:type="paragraph" w:styleId="8">
    <w:name w:val="heading 7"/>
    <w:basedOn w:val="1"/>
    <w:next w:val="1"/>
    <w:link w:val="78"/>
    <w:qFormat/>
    <w:uiPriority w:val="0"/>
    <w:pPr>
      <w:keepNext/>
      <w:keepLines/>
      <w:spacing w:before="240" w:after="64" w:line="320" w:lineRule="auto"/>
      <w:outlineLvl w:val="6"/>
    </w:pPr>
    <w:rPr>
      <w:b/>
      <w:bCs/>
      <w:sz w:val="24"/>
    </w:rPr>
  </w:style>
  <w:style w:type="paragraph" w:styleId="9">
    <w:name w:val="heading 8"/>
    <w:basedOn w:val="1"/>
    <w:next w:val="1"/>
    <w:link w:val="79"/>
    <w:qFormat/>
    <w:uiPriority w:val="0"/>
    <w:pPr>
      <w:keepNext/>
      <w:keepLines/>
      <w:spacing w:before="240" w:after="64" w:line="320" w:lineRule="auto"/>
      <w:outlineLvl w:val="7"/>
    </w:pPr>
    <w:rPr>
      <w:rFonts w:ascii="Arial" w:hAnsi="Arial" w:eastAsia="黑体"/>
      <w:sz w:val="24"/>
    </w:rPr>
  </w:style>
  <w:style w:type="paragraph" w:styleId="10">
    <w:name w:val="heading 9"/>
    <w:basedOn w:val="1"/>
    <w:next w:val="1"/>
    <w:link w:val="80"/>
    <w:qFormat/>
    <w:uiPriority w:val="0"/>
    <w:pPr>
      <w:keepNext/>
      <w:keepLines/>
      <w:spacing w:before="240" w:after="64" w:line="320" w:lineRule="auto"/>
      <w:outlineLvl w:val="8"/>
    </w:pPr>
    <w:rPr>
      <w:rFonts w:ascii="Arial" w:hAnsi="Arial" w:eastAsia="黑体"/>
      <w:szCs w:val="21"/>
    </w:rPr>
  </w:style>
  <w:style w:type="character" w:default="1" w:styleId="55">
    <w:name w:val="Default Paragraph Font"/>
    <w:semiHidden/>
    <w:unhideWhenUsed/>
    <w:qFormat/>
    <w:uiPriority w:val="1"/>
  </w:style>
  <w:style w:type="table" w:default="1" w:styleId="52">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0"/>
    <w:pPr>
      <w:tabs>
        <w:tab w:val="right" w:leader="dot" w:pos="9241"/>
      </w:tabs>
      <w:ind w:firstLine="505" w:firstLineChars="500"/>
      <w:jc w:val="left"/>
    </w:pPr>
    <w:rPr>
      <w:rFonts w:ascii="宋体"/>
      <w:szCs w:val="21"/>
    </w:rPr>
  </w:style>
  <w:style w:type="paragraph" w:styleId="12">
    <w:name w:val="index 8"/>
    <w:basedOn w:val="1"/>
    <w:next w:val="1"/>
    <w:qFormat/>
    <w:uiPriority w:val="0"/>
    <w:pPr>
      <w:ind w:left="1680" w:hanging="210"/>
      <w:jc w:val="left"/>
    </w:pPr>
    <w:rPr>
      <w:rFonts w:ascii="Calibri" w:hAnsi="Calibri"/>
      <w:sz w:val="20"/>
      <w:szCs w:val="20"/>
    </w:rPr>
  </w:style>
  <w:style w:type="paragraph" w:styleId="13">
    <w:name w:val="caption"/>
    <w:basedOn w:val="1"/>
    <w:next w:val="1"/>
    <w:qFormat/>
    <w:uiPriority w:val="0"/>
    <w:pPr>
      <w:spacing w:before="152" w:after="160"/>
    </w:pPr>
    <w:rPr>
      <w:rFonts w:ascii="Arial" w:hAnsi="Arial" w:eastAsia="黑体" w:cs="Arial"/>
      <w:sz w:val="20"/>
      <w:szCs w:val="20"/>
    </w:rPr>
  </w:style>
  <w:style w:type="paragraph" w:styleId="14">
    <w:name w:val="index 5"/>
    <w:basedOn w:val="1"/>
    <w:next w:val="1"/>
    <w:qFormat/>
    <w:uiPriority w:val="0"/>
    <w:pPr>
      <w:ind w:left="1050" w:hanging="210"/>
      <w:jc w:val="left"/>
    </w:pPr>
    <w:rPr>
      <w:rFonts w:ascii="Calibri" w:hAnsi="Calibri"/>
      <w:sz w:val="20"/>
      <w:szCs w:val="20"/>
    </w:rPr>
  </w:style>
  <w:style w:type="paragraph" w:styleId="15">
    <w:name w:val="Document Map"/>
    <w:basedOn w:val="1"/>
    <w:link w:val="81"/>
    <w:qFormat/>
    <w:uiPriority w:val="0"/>
    <w:pPr>
      <w:shd w:val="clear" w:color="auto" w:fill="000080"/>
    </w:pPr>
  </w:style>
  <w:style w:type="paragraph" w:styleId="16">
    <w:name w:val="annotation text"/>
    <w:basedOn w:val="1"/>
    <w:link w:val="82"/>
    <w:qFormat/>
    <w:uiPriority w:val="99"/>
    <w:pPr>
      <w:jc w:val="left"/>
    </w:pPr>
  </w:style>
  <w:style w:type="paragraph" w:styleId="17">
    <w:name w:val="index 6"/>
    <w:basedOn w:val="1"/>
    <w:next w:val="1"/>
    <w:qFormat/>
    <w:uiPriority w:val="0"/>
    <w:pPr>
      <w:ind w:left="1260" w:hanging="210"/>
      <w:jc w:val="left"/>
    </w:pPr>
    <w:rPr>
      <w:rFonts w:ascii="Calibri" w:hAnsi="Calibri"/>
      <w:sz w:val="20"/>
      <w:szCs w:val="20"/>
    </w:rPr>
  </w:style>
  <w:style w:type="paragraph" w:styleId="18">
    <w:name w:val="Body Text 3"/>
    <w:basedOn w:val="1"/>
    <w:qFormat/>
    <w:uiPriority w:val="0"/>
    <w:pPr>
      <w:widowControl/>
      <w:jc w:val="center"/>
    </w:pPr>
    <w:rPr>
      <w:rFonts w:ascii="宋体" w:hAnsi="宋体"/>
      <w:color w:val="333333"/>
      <w:szCs w:val="28"/>
    </w:rPr>
  </w:style>
  <w:style w:type="paragraph" w:styleId="19">
    <w:name w:val="Body Text"/>
    <w:basedOn w:val="1"/>
    <w:link w:val="83"/>
    <w:qFormat/>
    <w:uiPriority w:val="0"/>
    <w:rPr>
      <w:sz w:val="24"/>
    </w:rPr>
  </w:style>
  <w:style w:type="paragraph" w:styleId="20">
    <w:name w:val="Body Text Indent"/>
    <w:basedOn w:val="1"/>
    <w:link w:val="84"/>
    <w:qFormat/>
    <w:uiPriority w:val="0"/>
    <w:pPr>
      <w:spacing w:line="360" w:lineRule="auto"/>
      <w:ind w:firstLine="480" w:firstLineChars="200"/>
    </w:pPr>
    <w:rPr>
      <w:rFonts w:ascii="宋体" w:hAnsi="宋体"/>
      <w:color w:val="000000"/>
      <w:sz w:val="24"/>
    </w:rPr>
  </w:style>
  <w:style w:type="paragraph" w:styleId="21">
    <w:name w:val="HTML Address"/>
    <w:basedOn w:val="1"/>
    <w:link w:val="85"/>
    <w:qFormat/>
    <w:uiPriority w:val="0"/>
    <w:rPr>
      <w:i/>
      <w:iCs/>
    </w:rPr>
  </w:style>
  <w:style w:type="paragraph" w:styleId="22">
    <w:name w:val="index 4"/>
    <w:basedOn w:val="1"/>
    <w:next w:val="1"/>
    <w:qFormat/>
    <w:uiPriority w:val="0"/>
    <w:pPr>
      <w:ind w:left="840" w:hanging="210"/>
      <w:jc w:val="left"/>
    </w:pPr>
    <w:rPr>
      <w:rFonts w:ascii="Calibri" w:hAnsi="Calibri"/>
      <w:sz w:val="20"/>
      <w:szCs w:val="20"/>
    </w:rPr>
  </w:style>
  <w:style w:type="paragraph" w:styleId="23">
    <w:name w:val="toc 5"/>
    <w:basedOn w:val="1"/>
    <w:next w:val="1"/>
    <w:qFormat/>
    <w:uiPriority w:val="0"/>
    <w:pPr>
      <w:tabs>
        <w:tab w:val="right" w:leader="dot" w:pos="9241"/>
      </w:tabs>
      <w:ind w:firstLine="300" w:firstLineChars="300"/>
      <w:jc w:val="left"/>
    </w:pPr>
    <w:rPr>
      <w:rFonts w:ascii="宋体"/>
      <w:szCs w:val="21"/>
    </w:rPr>
  </w:style>
  <w:style w:type="paragraph" w:styleId="24">
    <w:name w:val="toc 3"/>
    <w:basedOn w:val="1"/>
    <w:next w:val="1"/>
    <w:qFormat/>
    <w:uiPriority w:val="39"/>
    <w:pPr>
      <w:tabs>
        <w:tab w:val="right" w:leader="dot" w:pos="9241"/>
      </w:tabs>
      <w:ind w:firstLine="102" w:firstLineChars="100"/>
      <w:jc w:val="left"/>
    </w:pPr>
    <w:rPr>
      <w:rFonts w:ascii="宋体"/>
      <w:szCs w:val="21"/>
    </w:rPr>
  </w:style>
  <w:style w:type="paragraph" w:styleId="25">
    <w:name w:val="toc 8"/>
    <w:basedOn w:val="1"/>
    <w:next w:val="1"/>
    <w:qFormat/>
    <w:uiPriority w:val="0"/>
    <w:pPr>
      <w:tabs>
        <w:tab w:val="right" w:leader="dot" w:pos="9241"/>
      </w:tabs>
      <w:ind w:firstLine="607" w:firstLineChars="600"/>
      <w:jc w:val="left"/>
    </w:pPr>
    <w:rPr>
      <w:rFonts w:ascii="宋体"/>
      <w:szCs w:val="21"/>
    </w:rPr>
  </w:style>
  <w:style w:type="paragraph" w:styleId="26">
    <w:name w:val="index 3"/>
    <w:basedOn w:val="1"/>
    <w:next w:val="1"/>
    <w:qFormat/>
    <w:uiPriority w:val="0"/>
    <w:pPr>
      <w:ind w:left="630" w:hanging="210"/>
      <w:jc w:val="left"/>
    </w:pPr>
    <w:rPr>
      <w:rFonts w:ascii="Calibri" w:hAnsi="Calibri"/>
      <w:sz w:val="20"/>
      <w:szCs w:val="20"/>
    </w:rPr>
  </w:style>
  <w:style w:type="paragraph" w:styleId="27">
    <w:name w:val="Date"/>
    <w:basedOn w:val="1"/>
    <w:next w:val="1"/>
    <w:link w:val="212"/>
    <w:qFormat/>
    <w:uiPriority w:val="99"/>
    <w:pPr>
      <w:ind w:left="100" w:leftChars="2500"/>
    </w:pPr>
  </w:style>
  <w:style w:type="paragraph" w:styleId="28">
    <w:name w:val="Body Text Indent 2"/>
    <w:basedOn w:val="1"/>
    <w:qFormat/>
    <w:uiPriority w:val="0"/>
    <w:pPr>
      <w:spacing w:after="120" w:line="480" w:lineRule="auto"/>
      <w:ind w:left="420" w:leftChars="200"/>
    </w:pPr>
  </w:style>
  <w:style w:type="paragraph" w:styleId="29">
    <w:name w:val="endnote text"/>
    <w:basedOn w:val="1"/>
    <w:qFormat/>
    <w:uiPriority w:val="0"/>
    <w:pPr>
      <w:snapToGrid w:val="0"/>
      <w:jc w:val="left"/>
    </w:pPr>
  </w:style>
  <w:style w:type="paragraph" w:styleId="30">
    <w:name w:val="Balloon Text"/>
    <w:basedOn w:val="1"/>
    <w:link w:val="86"/>
    <w:qFormat/>
    <w:uiPriority w:val="99"/>
    <w:rPr>
      <w:sz w:val="18"/>
      <w:szCs w:val="18"/>
    </w:rPr>
  </w:style>
  <w:style w:type="paragraph" w:styleId="31">
    <w:name w:val="footer"/>
    <w:basedOn w:val="1"/>
    <w:link w:val="87"/>
    <w:qFormat/>
    <w:uiPriority w:val="99"/>
    <w:pPr>
      <w:snapToGrid w:val="0"/>
      <w:ind w:right="210" w:rightChars="100"/>
      <w:jc w:val="right"/>
    </w:pPr>
    <w:rPr>
      <w:sz w:val="18"/>
      <w:szCs w:val="18"/>
    </w:rPr>
  </w:style>
  <w:style w:type="paragraph" w:styleId="32">
    <w:name w:val="header"/>
    <w:basedOn w:val="1"/>
    <w:link w:val="88"/>
    <w:qFormat/>
    <w:uiPriority w:val="0"/>
    <w:pPr>
      <w:snapToGrid w:val="0"/>
      <w:jc w:val="left"/>
    </w:pPr>
    <w:rPr>
      <w:sz w:val="18"/>
      <w:szCs w:val="18"/>
    </w:rPr>
  </w:style>
  <w:style w:type="paragraph" w:styleId="33">
    <w:name w:val="toc 1"/>
    <w:basedOn w:val="1"/>
    <w:next w:val="1"/>
    <w:qFormat/>
    <w:uiPriority w:val="39"/>
    <w:pPr>
      <w:tabs>
        <w:tab w:val="right" w:leader="dot" w:pos="9241"/>
      </w:tabs>
      <w:spacing w:before="78" w:beforeLines="25" w:after="78" w:afterLines="25"/>
      <w:jc w:val="left"/>
    </w:pPr>
    <w:rPr>
      <w:rFonts w:ascii="宋体"/>
      <w:szCs w:val="21"/>
    </w:rPr>
  </w:style>
  <w:style w:type="paragraph" w:styleId="34">
    <w:name w:val="toc 4"/>
    <w:basedOn w:val="1"/>
    <w:next w:val="1"/>
    <w:qFormat/>
    <w:uiPriority w:val="0"/>
    <w:pPr>
      <w:tabs>
        <w:tab w:val="right" w:leader="dot" w:pos="9241"/>
      </w:tabs>
      <w:ind w:firstLine="198" w:firstLineChars="200"/>
      <w:jc w:val="left"/>
    </w:pPr>
    <w:rPr>
      <w:rFonts w:ascii="宋体"/>
      <w:szCs w:val="21"/>
    </w:rPr>
  </w:style>
  <w:style w:type="paragraph" w:styleId="35">
    <w:name w:val="index heading"/>
    <w:basedOn w:val="1"/>
    <w:next w:val="36"/>
    <w:qFormat/>
    <w:uiPriority w:val="0"/>
    <w:pPr>
      <w:spacing w:before="120" w:after="120"/>
      <w:jc w:val="center"/>
    </w:pPr>
    <w:rPr>
      <w:rFonts w:ascii="Calibri" w:hAnsi="Calibri"/>
      <w:b/>
      <w:bCs/>
      <w:iCs/>
      <w:szCs w:val="20"/>
    </w:rPr>
  </w:style>
  <w:style w:type="paragraph" w:styleId="36">
    <w:name w:val="index 1"/>
    <w:basedOn w:val="1"/>
    <w:next w:val="37"/>
    <w:qFormat/>
    <w:uiPriority w:val="0"/>
    <w:pPr>
      <w:tabs>
        <w:tab w:val="right" w:leader="dot" w:pos="9299"/>
      </w:tabs>
      <w:jc w:val="left"/>
    </w:pPr>
    <w:rPr>
      <w:rFonts w:ascii="宋体"/>
      <w:szCs w:val="21"/>
    </w:rPr>
  </w:style>
  <w:style w:type="paragraph" w:customStyle="1" w:styleId="37">
    <w:name w:val="段"/>
    <w:link w:val="89"/>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38">
    <w:name w:val="Subtitle"/>
    <w:basedOn w:val="1"/>
    <w:next w:val="1"/>
    <w:link w:val="90"/>
    <w:qFormat/>
    <w:uiPriority w:val="0"/>
    <w:pPr>
      <w:spacing w:before="240" w:after="60" w:line="312" w:lineRule="auto"/>
      <w:jc w:val="center"/>
      <w:outlineLvl w:val="1"/>
    </w:pPr>
    <w:rPr>
      <w:rFonts w:ascii="Cambria" w:hAnsi="Cambria"/>
      <w:b/>
      <w:bCs/>
      <w:kern w:val="28"/>
      <w:sz w:val="32"/>
      <w:szCs w:val="32"/>
    </w:rPr>
  </w:style>
  <w:style w:type="paragraph" w:styleId="39">
    <w:name w:val="footnote text"/>
    <w:basedOn w:val="1"/>
    <w:qFormat/>
    <w:uiPriority w:val="0"/>
    <w:pPr>
      <w:numPr>
        <w:ilvl w:val="0"/>
        <w:numId w:val="1"/>
      </w:numPr>
      <w:tabs>
        <w:tab w:val="left" w:pos="0"/>
      </w:tabs>
      <w:snapToGrid w:val="0"/>
      <w:jc w:val="left"/>
    </w:pPr>
    <w:rPr>
      <w:rFonts w:ascii="宋体"/>
      <w:sz w:val="18"/>
      <w:szCs w:val="18"/>
    </w:rPr>
  </w:style>
  <w:style w:type="paragraph" w:styleId="40">
    <w:name w:val="toc 6"/>
    <w:basedOn w:val="1"/>
    <w:next w:val="1"/>
    <w:qFormat/>
    <w:uiPriority w:val="0"/>
    <w:pPr>
      <w:tabs>
        <w:tab w:val="right" w:leader="dot" w:pos="9241"/>
      </w:tabs>
      <w:ind w:firstLine="403" w:firstLineChars="400"/>
      <w:jc w:val="left"/>
    </w:pPr>
    <w:rPr>
      <w:rFonts w:ascii="宋体"/>
      <w:szCs w:val="21"/>
    </w:rPr>
  </w:style>
  <w:style w:type="paragraph" w:styleId="41">
    <w:name w:val="Body Text Indent 3"/>
    <w:basedOn w:val="1"/>
    <w:qFormat/>
    <w:uiPriority w:val="0"/>
    <w:pPr>
      <w:spacing w:after="120"/>
      <w:ind w:left="420" w:leftChars="200"/>
    </w:pPr>
    <w:rPr>
      <w:sz w:val="16"/>
      <w:szCs w:val="16"/>
    </w:rPr>
  </w:style>
  <w:style w:type="paragraph" w:styleId="42">
    <w:name w:val="index 7"/>
    <w:basedOn w:val="1"/>
    <w:next w:val="1"/>
    <w:qFormat/>
    <w:uiPriority w:val="0"/>
    <w:pPr>
      <w:ind w:left="1470" w:hanging="210"/>
      <w:jc w:val="left"/>
    </w:pPr>
    <w:rPr>
      <w:rFonts w:ascii="Calibri" w:hAnsi="Calibri"/>
      <w:sz w:val="20"/>
      <w:szCs w:val="20"/>
    </w:rPr>
  </w:style>
  <w:style w:type="paragraph" w:styleId="43">
    <w:name w:val="index 9"/>
    <w:basedOn w:val="1"/>
    <w:next w:val="1"/>
    <w:qFormat/>
    <w:uiPriority w:val="0"/>
    <w:pPr>
      <w:ind w:left="1890" w:hanging="210"/>
      <w:jc w:val="left"/>
    </w:pPr>
    <w:rPr>
      <w:rFonts w:ascii="Calibri" w:hAnsi="Calibri"/>
      <w:sz w:val="20"/>
      <w:szCs w:val="20"/>
    </w:rPr>
  </w:style>
  <w:style w:type="paragraph" w:styleId="44">
    <w:name w:val="toc 2"/>
    <w:basedOn w:val="1"/>
    <w:next w:val="1"/>
    <w:qFormat/>
    <w:uiPriority w:val="39"/>
    <w:pPr>
      <w:tabs>
        <w:tab w:val="right" w:leader="dot" w:pos="9241"/>
      </w:tabs>
      <w:spacing w:before="78" w:beforeLines="25" w:after="78" w:afterLines="25"/>
    </w:pPr>
    <w:rPr>
      <w:rFonts w:ascii="宋体"/>
      <w:szCs w:val="21"/>
    </w:rPr>
  </w:style>
  <w:style w:type="paragraph" w:styleId="45">
    <w:name w:val="toc 9"/>
    <w:basedOn w:val="1"/>
    <w:next w:val="1"/>
    <w:qFormat/>
    <w:uiPriority w:val="0"/>
    <w:pPr>
      <w:ind w:left="1470"/>
      <w:jc w:val="left"/>
    </w:pPr>
    <w:rPr>
      <w:sz w:val="20"/>
      <w:szCs w:val="20"/>
    </w:rPr>
  </w:style>
  <w:style w:type="paragraph" w:styleId="46">
    <w:name w:val="Body Text 2"/>
    <w:basedOn w:val="1"/>
    <w:link w:val="91"/>
    <w:qFormat/>
    <w:uiPriority w:val="0"/>
    <w:rPr>
      <w:rFonts w:ascii="宋体"/>
      <w:color w:val="000000"/>
      <w:sz w:val="16"/>
      <w:szCs w:val="18"/>
      <w:shd w:val="clear" w:color="auto" w:fill="FFFFFF"/>
    </w:rPr>
  </w:style>
  <w:style w:type="paragraph" w:styleId="47">
    <w:name w:val="HTML Preformatted"/>
    <w:basedOn w:val="1"/>
    <w:link w:val="92"/>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styleId="48">
    <w:name w:val="Normal (Web)"/>
    <w:basedOn w:val="1"/>
    <w:qFormat/>
    <w:uiPriority w:val="0"/>
    <w:rPr>
      <w:sz w:val="24"/>
    </w:rPr>
  </w:style>
  <w:style w:type="paragraph" w:styleId="49">
    <w:name w:val="index 2"/>
    <w:basedOn w:val="1"/>
    <w:next w:val="1"/>
    <w:qFormat/>
    <w:uiPriority w:val="0"/>
    <w:pPr>
      <w:ind w:left="420" w:hanging="210"/>
      <w:jc w:val="left"/>
    </w:pPr>
    <w:rPr>
      <w:rFonts w:ascii="Calibri" w:hAnsi="Calibri"/>
      <w:sz w:val="20"/>
      <w:szCs w:val="20"/>
    </w:rPr>
  </w:style>
  <w:style w:type="paragraph" w:styleId="50">
    <w:name w:val="Title"/>
    <w:basedOn w:val="1"/>
    <w:next w:val="1"/>
    <w:link w:val="93"/>
    <w:qFormat/>
    <w:uiPriority w:val="0"/>
    <w:pPr>
      <w:spacing w:before="240" w:after="60"/>
      <w:jc w:val="center"/>
      <w:outlineLvl w:val="0"/>
    </w:pPr>
    <w:rPr>
      <w:rFonts w:ascii="Cambria" w:hAnsi="Cambria"/>
      <w:b/>
      <w:bCs/>
      <w:sz w:val="32"/>
      <w:szCs w:val="32"/>
    </w:rPr>
  </w:style>
  <w:style w:type="paragraph" w:styleId="51">
    <w:name w:val="annotation subject"/>
    <w:basedOn w:val="16"/>
    <w:next w:val="16"/>
    <w:link w:val="94"/>
    <w:qFormat/>
    <w:uiPriority w:val="99"/>
    <w:rPr>
      <w:b/>
      <w:bCs/>
    </w:rPr>
  </w:style>
  <w:style w:type="table" w:styleId="53">
    <w:name w:val="Table Grid"/>
    <w:basedOn w:val="52"/>
    <w:qFormat/>
    <w:uiPriority w:val="0"/>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54">
    <w:name w:val="Table Grid 5"/>
    <w:basedOn w:val="5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top w:val="nil"/>
          <w:left w:val="nil"/>
          <w:bottom w:val="single" w:color="000000" w:sz="12" w:space="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character" w:styleId="56">
    <w:name w:val="Strong"/>
    <w:qFormat/>
    <w:uiPriority w:val="0"/>
    <w:rPr>
      <w:b/>
      <w:bCs/>
    </w:rPr>
  </w:style>
  <w:style w:type="character" w:styleId="57">
    <w:name w:val="endnote reference"/>
    <w:qFormat/>
    <w:uiPriority w:val="0"/>
    <w:rPr>
      <w:vertAlign w:val="superscript"/>
    </w:rPr>
  </w:style>
  <w:style w:type="character" w:styleId="58">
    <w:name w:val="page number"/>
    <w:qFormat/>
    <w:uiPriority w:val="0"/>
    <w:rPr>
      <w:rFonts w:ascii="Times New Roman" w:hAnsi="Times New Roman" w:eastAsia="宋体"/>
      <w:sz w:val="18"/>
    </w:rPr>
  </w:style>
  <w:style w:type="character" w:styleId="59">
    <w:name w:val="FollowedHyperlink"/>
    <w:qFormat/>
    <w:uiPriority w:val="0"/>
    <w:rPr>
      <w:color w:val="800080"/>
      <w:u w:val="single"/>
    </w:rPr>
  </w:style>
  <w:style w:type="character" w:styleId="60">
    <w:name w:val="Emphasis"/>
    <w:qFormat/>
    <w:uiPriority w:val="0"/>
    <w:rPr>
      <w:i/>
      <w:iCs/>
    </w:rPr>
  </w:style>
  <w:style w:type="character" w:styleId="61">
    <w:name w:val="HTML Definition"/>
    <w:qFormat/>
    <w:uiPriority w:val="0"/>
    <w:rPr>
      <w:i/>
      <w:iCs/>
    </w:rPr>
  </w:style>
  <w:style w:type="character" w:styleId="62">
    <w:name w:val="HTML Typewriter"/>
    <w:qFormat/>
    <w:uiPriority w:val="0"/>
    <w:rPr>
      <w:rFonts w:ascii="Courier New" w:hAnsi="Courier New"/>
      <w:sz w:val="20"/>
      <w:szCs w:val="20"/>
    </w:rPr>
  </w:style>
  <w:style w:type="character" w:styleId="63">
    <w:name w:val="HTML Acronym"/>
    <w:qFormat/>
    <w:uiPriority w:val="0"/>
  </w:style>
  <w:style w:type="character" w:styleId="64">
    <w:name w:val="HTML Variable"/>
    <w:qFormat/>
    <w:uiPriority w:val="0"/>
    <w:rPr>
      <w:i/>
      <w:iCs/>
    </w:rPr>
  </w:style>
  <w:style w:type="character" w:styleId="65">
    <w:name w:val="Hyperlink"/>
    <w:qFormat/>
    <w:uiPriority w:val="99"/>
    <w:rPr>
      <w:color w:val="0000FF"/>
      <w:spacing w:val="0"/>
      <w:w w:val="100"/>
      <w:szCs w:val="21"/>
      <w:u w:val="single"/>
      <w:lang w:val="en-US" w:eastAsia="zh-CN"/>
    </w:rPr>
  </w:style>
  <w:style w:type="character" w:styleId="66">
    <w:name w:val="HTML Code"/>
    <w:qFormat/>
    <w:uiPriority w:val="0"/>
    <w:rPr>
      <w:rFonts w:ascii="Courier New" w:hAnsi="Courier New"/>
      <w:sz w:val="20"/>
      <w:szCs w:val="20"/>
    </w:rPr>
  </w:style>
  <w:style w:type="character" w:styleId="67">
    <w:name w:val="annotation reference"/>
    <w:qFormat/>
    <w:uiPriority w:val="99"/>
    <w:rPr>
      <w:sz w:val="21"/>
      <w:szCs w:val="21"/>
    </w:rPr>
  </w:style>
  <w:style w:type="character" w:styleId="68">
    <w:name w:val="HTML Cite"/>
    <w:qFormat/>
    <w:uiPriority w:val="0"/>
    <w:rPr>
      <w:i/>
      <w:iCs/>
    </w:rPr>
  </w:style>
  <w:style w:type="character" w:styleId="69">
    <w:name w:val="footnote reference"/>
    <w:qFormat/>
    <w:uiPriority w:val="0"/>
    <w:rPr>
      <w:vertAlign w:val="superscript"/>
    </w:rPr>
  </w:style>
  <w:style w:type="character" w:styleId="70">
    <w:name w:val="HTML Keyboard"/>
    <w:qFormat/>
    <w:uiPriority w:val="0"/>
    <w:rPr>
      <w:rFonts w:ascii="Courier New" w:hAnsi="Courier New"/>
      <w:sz w:val="20"/>
      <w:szCs w:val="20"/>
    </w:rPr>
  </w:style>
  <w:style w:type="character" w:styleId="71">
    <w:name w:val="HTML Sample"/>
    <w:qFormat/>
    <w:uiPriority w:val="0"/>
    <w:rPr>
      <w:rFonts w:ascii="Courier New" w:hAnsi="Courier New"/>
    </w:rPr>
  </w:style>
  <w:style w:type="character" w:customStyle="1" w:styleId="72">
    <w:name w:val="标题 1 字符"/>
    <w:link w:val="2"/>
    <w:qFormat/>
    <w:uiPriority w:val="0"/>
    <w:rPr>
      <w:rFonts w:eastAsia="宋体"/>
      <w:b/>
      <w:bCs/>
      <w:kern w:val="44"/>
      <w:sz w:val="44"/>
      <w:szCs w:val="44"/>
      <w:lang w:val="en-US" w:eastAsia="zh-CN" w:bidi="ar-SA"/>
    </w:rPr>
  </w:style>
  <w:style w:type="character" w:customStyle="1" w:styleId="73">
    <w:name w:val="标题 2 字符"/>
    <w:link w:val="3"/>
    <w:qFormat/>
    <w:uiPriority w:val="0"/>
    <w:rPr>
      <w:rFonts w:ascii="Cambria" w:hAnsi="Cambria" w:eastAsia="宋体"/>
      <w:b/>
      <w:bCs/>
      <w:kern w:val="2"/>
      <w:sz w:val="32"/>
      <w:szCs w:val="32"/>
      <w:lang w:val="en-US" w:eastAsia="zh-CN" w:bidi="ar-SA"/>
    </w:rPr>
  </w:style>
  <w:style w:type="character" w:customStyle="1" w:styleId="74">
    <w:name w:val="标题 3 字符"/>
    <w:link w:val="4"/>
    <w:qFormat/>
    <w:uiPriority w:val="0"/>
    <w:rPr>
      <w:rFonts w:eastAsia="宋体"/>
      <w:b/>
      <w:bCs/>
      <w:kern w:val="2"/>
      <w:sz w:val="32"/>
      <w:szCs w:val="32"/>
      <w:lang w:val="en-US" w:eastAsia="zh-CN" w:bidi="ar-SA"/>
    </w:rPr>
  </w:style>
  <w:style w:type="character" w:customStyle="1" w:styleId="75">
    <w:name w:val="标题 4 字符"/>
    <w:link w:val="5"/>
    <w:qFormat/>
    <w:uiPriority w:val="0"/>
    <w:rPr>
      <w:rFonts w:ascii="Cambria" w:hAnsi="Cambria" w:eastAsia="宋体"/>
      <w:b/>
      <w:bCs/>
      <w:kern w:val="2"/>
      <w:sz w:val="28"/>
      <w:szCs w:val="28"/>
      <w:lang w:val="en-US" w:eastAsia="zh-CN" w:bidi="ar-SA"/>
    </w:rPr>
  </w:style>
  <w:style w:type="character" w:customStyle="1" w:styleId="76">
    <w:name w:val="标题 5 字符"/>
    <w:link w:val="6"/>
    <w:qFormat/>
    <w:uiPriority w:val="0"/>
    <w:rPr>
      <w:rFonts w:eastAsia="宋体"/>
      <w:b/>
      <w:bCs/>
      <w:kern w:val="2"/>
      <w:sz w:val="28"/>
      <w:szCs w:val="28"/>
      <w:lang w:val="en-US" w:eastAsia="zh-CN" w:bidi="ar-SA"/>
    </w:rPr>
  </w:style>
  <w:style w:type="character" w:customStyle="1" w:styleId="77">
    <w:name w:val="标题 6 字符"/>
    <w:link w:val="7"/>
    <w:qFormat/>
    <w:uiPriority w:val="0"/>
    <w:rPr>
      <w:rFonts w:ascii="Cambria" w:hAnsi="Cambria" w:eastAsia="宋体"/>
      <w:b/>
      <w:bCs/>
      <w:kern w:val="2"/>
      <w:sz w:val="24"/>
      <w:szCs w:val="24"/>
      <w:lang w:val="en-US" w:eastAsia="zh-CN" w:bidi="ar-SA"/>
    </w:rPr>
  </w:style>
  <w:style w:type="character" w:customStyle="1" w:styleId="78">
    <w:name w:val="标题 7 字符"/>
    <w:link w:val="8"/>
    <w:qFormat/>
    <w:uiPriority w:val="0"/>
    <w:rPr>
      <w:b/>
      <w:bCs/>
      <w:kern w:val="2"/>
      <w:sz w:val="24"/>
      <w:szCs w:val="24"/>
    </w:rPr>
  </w:style>
  <w:style w:type="character" w:customStyle="1" w:styleId="79">
    <w:name w:val="标题 8 字符"/>
    <w:link w:val="9"/>
    <w:qFormat/>
    <w:uiPriority w:val="0"/>
    <w:rPr>
      <w:rFonts w:ascii="Arial" w:hAnsi="Arial" w:eastAsia="黑体"/>
      <w:kern w:val="2"/>
      <w:sz w:val="24"/>
      <w:szCs w:val="24"/>
    </w:rPr>
  </w:style>
  <w:style w:type="character" w:customStyle="1" w:styleId="80">
    <w:name w:val="标题 9 字符"/>
    <w:link w:val="10"/>
    <w:qFormat/>
    <w:uiPriority w:val="0"/>
    <w:rPr>
      <w:rFonts w:ascii="Arial" w:hAnsi="Arial" w:eastAsia="黑体"/>
      <w:kern w:val="2"/>
      <w:sz w:val="21"/>
      <w:szCs w:val="21"/>
    </w:rPr>
  </w:style>
  <w:style w:type="character" w:customStyle="1" w:styleId="81">
    <w:name w:val="文档结构图 字符"/>
    <w:link w:val="15"/>
    <w:qFormat/>
    <w:uiPriority w:val="0"/>
    <w:rPr>
      <w:rFonts w:eastAsia="宋体"/>
      <w:kern w:val="2"/>
      <w:sz w:val="21"/>
      <w:szCs w:val="24"/>
      <w:lang w:val="en-US" w:eastAsia="zh-CN" w:bidi="ar-SA"/>
    </w:rPr>
  </w:style>
  <w:style w:type="character" w:customStyle="1" w:styleId="82">
    <w:name w:val="批注文字 字符"/>
    <w:link w:val="16"/>
    <w:qFormat/>
    <w:uiPriority w:val="99"/>
    <w:rPr>
      <w:kern w:val="2"/>
      <w:sz w:val="21"/>
      <w:szCs w:val="24"/>
    </w:rPr>
  </w:style>
  <w:style w:type="character" w:customStyle="1" w:styleId="83">
    <w:name w:val="正文文本 字符"/>
    <w:link w:val="19"/>
    <w:qFormat/>
    <w:uiPriority w:val="0"/>
    <w:rPr>
      <w:kern w:val="2"/>
      <w:sz w:val="24"/>
      <w:szCs w:val="24"/>
    </w:rPr>
  </w:style>
  <w:style w:type="character" w:customStyle="1" w:styleId="84">
    <w:name w:val="正文文本缩进 字符"/>
    <w:link w:val="20"/>
    <w:qFormat/>
    <w:uiPriority w:val="0"/>
    <w:rPr>
      <w:rFonts w:ascii="宋体" w:hAnsi="宋体" w:eastAsia="宋体"/>
      <w:color w:val="000000"/>
      <w:kern w:val="2"/>
      <w:sz w:val="24"/>
      <w:szCs w:val="24"/>
      <w:lang w:val="en-US" w:eastAsia="zh-CN" w:bidi="ar-SA"/>
    </w:rPr>
  </w:style>
  <w:style w:type="character" w:customStyle="1" w:styleId="85">
    <w:name w:val="HTML 地址 字符"/>
    <w:link w:val="21"/>
    <w:qFormat/>
    <w:uiPriority w:val="0"/>
    <w:rPr>
      <w:i/>
      <w:iCs/>
      <w:kern w:val="2"/>
      <w:sz w:val="21"/>
      <w:szCs w:val="24"/>
    </w:rPr>
  </w:style>
  <w:style w:type="character" w:customStyle="1" w:styleId="86">
    <w:name w:val="批注框文本 字符"/>
    <w:link w:val="30"/>
    <w:qFormat/>
    <w:uiPriority w:val="99"/>
    <w:rPr>
      <w:rFonts w:eastAsia="宋体"/>
      <w:kern w:val="2"/>
      <w:sz w:val="18"/>
      <w:szCs w:val="18"/>
      <w:lang w:val="en-US" w:eastAsia="zh-CN" w:bidi="ar-SA"/>
    </w:rPr>
  </w:style>
  <w:style w:type="character" w:customStyle="1" w:styleId="87">
    <w:name w:val="页脚 字符"/>
    <w:link w:val="31"/>
    <w:qFormat/>
    <w:uiPriority w:val="99"/>
    <w:rPr>
      <w:rFonts w:eastAsia="宋体"/>
      <w:kern w:val="2"/>
      <w:sz w:val="18"/>
      <w:szCs w:val="18"/>
      <w:lang w:val="en-US" w:eastAsia="zh-CN" w:bidi="ar-SA"/>
    </w:rPr>
  </w:style>
  <w:style w:type="character" w:customStyle="1" w:styleId="88">
    <w:name w:val="页眉 字符"/>
    <w:link w:val="32"/>
    <w:qFormat/>
    <w:uiPriority w:val="0"/>
    <w:rPr>
      <w:rFonts w:eastAsia="宋体"/>
      <w:kern w:val="2"/>
      <w:sz w:val="18"/>
      <w:szCs w:val="18"/>
      <w:lang w:val="en-US" w:eastAsia="zh-CN" w:bidi="ar-SA"/>
    </w:rPr>
  </w:style>
  <w:style w:type="character" w:customStyle="1" w:styleId="89">
    <w:name w:val="段 Char"/>
    <w:link w:val="37"/>
    <w:qFormat/>
    <w:uiPriority w:val="0"/>
    <w:rPr>
      <w:rFonts w:ascii="宋体"/>
      <w:sz w:val="21"/>
      <w:lang w:val="en-US" w:eastAsia="zh-CN" w:bidi="ar-SA"/>
    </w:rPr>
  </w:style>
  <w:style w:type="character" w:customStyle="1" w:styleId="90">
    <w:name w:val="副标题 字符"/>
    <w:link w:val="38"/>
    <w:qFormat/>
    <w:uiPriority w:val="0"/>
    <w:rPr>
      <w:rFonts w:ascii="Cambria" w:hAnsi="Cambria" w:eastAsia="宋体"/>
      <w:b/>
      <w:bCs/>
      <w:kern w:val="28"/>
      <w:sz w:val="32"/>
      <w:szCs w:val="32"/>
      <w:lang w:val="en-US" w:eastAsia="zh-CN" w:bidi="ar-SA"/>
    </w:rPr>
  </w:style>
  <w:style w:type="character" w:customStyle="1" w:styleId="91">
    <w:name w:val="正文文本 2 字符"/>
    <w:link w:val="46"/>
    <w:qFormat/>
    <w:uiPriority w:val="0"/>
    <w:rPr>
      <w:rFonts w:ascii="宋体"/>
      <w:color w:val="000000"/>
      <w:kern w:val="2"/>
      <w:sz w:val="16"/>
      <w:szCs w:val="18"/>
    </w:rPr>
  </w:style>
  <w:style w:type="character" w:customStyle="1" w:styleId="92">
    <w:name w:val="HTML 预设格式 字符"/>
    <w:link w:val="47"/>
    <w:qFormat/>
    <w:uiPriority w:val="0"/>
    <w:rPr>
      <w:rFonts w:ascii="Courier New" w:hAnsi="Courier New" w:eastAsia="宋体" w:cs="Courier New"/>
      <w:kern w:val="2"/>
      <w:lang w:val="en-US" w:eastAsia="zh-CN" w:bidi="ar-SA"/>
    </w:rPr>
  </w:style>
  <w:style w:type="character" w:customStyle="1" w:styleId="93">
    <w:name w:val="标题 字符"/>
    <w:link w:val="50"/>
    <w:qFormat/>
    <w:uiPriority w:val="0"/>
    <w:rPr>
      <w:rFonts w:ascii="Cambria" w:hAnsi="Cambria" w:eastAsia="宋体"/>
      <w:b/>
      <w:bCs/>
      <w:kern w:val="2"/>
      <w:sz w:val="32"/>
      <w:szCs w:val="32"/>
      <w:lang w:val="en-US" w:eastAsia="zh-CN" w:bidi="ar-SA"/>
    </w:rPr>
  </w:style>
  <w:style w:type="character" w:customStyle="1" w:styleId="94">
    <w:name w:val="批注主题 字符"/>
    <w:link w:val="51"/>
    <w:qFormat/>
    <w:uiPriority w:val="99"/>
    <w:rPr>
      <w:b/>
      <w:bCs/>
      <w:kern w:val="2"/>
      <w:sz w:val="21"/>
      <w:szCs w:val="24"/>
    </w:rPr>
  </w:style>
  <w:style w:type="character" w:customStyle="1" w:styleId="95">
    <w:name w:val="无间隔 字符"/>
    <w:link w:val="96"/>
    <w:qFormat/>
    <w:uiPriority w:val="0"/>
    <w:rPr>
      <w:rFonts w:ascii="宋体" w:hAnsi="宋体"/>
      <w:sz w:val="21"/>
      <w:szCs w:val="22"/>
      <w:lang w:val="en-US" w:eastAsia="en-US" w:bidi="en-US"/>
    </w:rPr>
  </w:style>
  <w:style w:type="paragraph" w:styleId="96">
    <w:name w:val="No Spacing"/>
    <w:link w:val="95"/>
    <w:qFormat/>
    <w:uiPriority w:val="0"/>
    <w:rPr>
      <w:rFonts w:ascii="宋体" w:hAnsi="宋体" w:eastAsia="宋体" w:cs="Times New Roman"/>
      <w:sz w:val="21"/>
      <w:szCs w:val="22"/>
      <w:lang w:val="en-US" w:eastAsia="en-US" w:bidi="en-US"/>
    </w:rPr>
  </w:style>
  <w:style w:type="character" w:customStyle="1" w:styleId="97">
    <w:name w:val="Char Char2"/>
    <w:qFormat/>
    <w:uiPriority w:val="0"/>
    <w:rPr>
      <w:rFonts w:ascii="Cambria" w:hAnsi="Cambria" w:eastAsia="宋体"/>
      <w:b/>
      <w:bCs/>
      <w:kern w:val="2"/>
      <w:sz w:val="32"/>
      <w:szCs w:val="32"/>
      <w:lang w:val="en-US" w:eastAsia="zh-CN" w:bidi="ar-SA"/>
    </w:rPr>
  </w:style>
  <w:style w:type="character" w:customStyle="1" w:styleId="98">
    <w:name w:val="Char Char5"/>
    <w:qFormat/>
    <w:uiPriority w:val="0"/>
    <w:rPr>
      <w:rFonts w:ascii="宋体" w:hAnsi="宋体" w:eastAsia="宋体"/>
      <w:kern w:val="2"/>
      <w:sz w:val="18"/>
      <w:szCs w:val="18"/>
      <w:lang w:val="en-US" w:eastAsia="zh-CN" w:bidi="ar-SA"/>
    </w:rPr>
  </w:style>
  <w:style w:type="character" w:customStyle="1" w:styleId="99">
    <w:name w:val="Char Char8"/>
    <w:qFormat/>
    <w:uiPriority w:val="0"/>
    <w:rPr>
      <w:rFonts w:ascii="Cambria" w:hAnsi="Cambria" w:eastAsia="宋体" w:cs="宋体"/>
      <w:b/>
      <w:bCs/>
      <w:kern w:val="2"/>
      <w:sz w:val="24"/>
      <w:szCs w:val="24"/>
      <w:lang w:val="en-US" w:eastAsia="zh-CN" w:bidi="ar-SA"/>
    </w:rPr>
  </w:style>
  <w:style w:type="character" w:customStyle="1" w:styleId="100">
    <w:name w:val="发布"/>
    <w:qFormat/>
    <w:uiPriority w:val="0"/>
    <w:rPr>
      <w:rFonts w:ascii="黑体" w:eastAsia="黑体"/>
      <w:spacing w:val="85"/>
      <w:w w:val="100"/>
      <w:position w:val="3"/>
      <w:sz w:val="28"/>
      <w:szCs w:val="28"/>
    </w:rPr>
  </w:style>
  <w:style w:type="character" w:customStyle="1" w:styleId="101">
    <w:name w:val="Char Char11"/>
    <w:qFormat/>
    <w:uiPriority w:val="0"/>
    <w:rPr>
      <w:rFonts w:eastAsia="宋体"/>
      <w:b/>
      <w:bCs/>
      <w:kern w:val="2"/>
      <w:sz w:val="32"/>
      <w:szCs w:val="32"/>
      <w:lang w:val="en-US" w:eastAsia="zh-CN" w:bidi="ar-SA"/>
    </w:rPr>
  </w:style>
  <w:style w:type="character" w:customStyle="1" w:styleId="102">
    <w:name w:val="Char Char4"/>
    <w:qFormat/>
    <w:uiPriority w:val="0"/>
    <w:rPr>
      <w:rFonts w:ascii="宋体" w:hAnsi="宋体" w:eastAsia="宋体"/>
      <w:kern w:val="2"/>
      <w:sz w:val="18"/>
      <w:szCs w:val="18"/>
      <w:lang w:val="en-US" w:eastAsia="zh-CN" w:bidi="ar-SA"/>
    </w:rPr>
  </w:style>
  <w:style w:type="character" w:customStyle="1" w:styleId="103">
    <w:name w:val="Char Char10"/>
    <w:qFormat/>
    <w:uiPriority w:val="0"/>
    <w:rPr>
      <w:rFonts w:ascii="Cambria" w:hAnsi="Cambria" w:eastAsia="宋体" w:cs="宋体"/>
      <w:b/>
      <w:bCs/>
      <w:kern w:val="2"/>
      <w:sz w:val="28"/>
      <w:szCs w:val="28"/>
      <w:lang w:val="en-US" w:eastAsia="zh-CN" w:bidi="ar-SA"/>
    </w:rPr>
  </w:style>
  <w:style w:type="character" w:customStyle="1" w:styleId="104">
    <w:name w:val="Char Char7"/>
    <w:qFormat/>
    <w:uiPriority w:val="0"/>
    <w:rPr>
      <w:rFonts w:ascii="Cambria" w:hAnsi="Cambria" w:eastAsia="宋体"/>
      <w:b/>
      <w:bCs/>
      <w:kern w:val="28"/>
      <w:sz w:val="32"/>
      <w:szCs w:val="32"/>
      <w:lang w:val="en-US" w:eastAsia="zh-CN" w:bidi="ar-SA"/>
    </w:rPr>
  </w:style>
  <w:style w:type="character" w:customStyle="1" w:styleId="105">
    <w:name w:val="首示例 Char"/>
    <w:link w:val="106"/>
    <w:qFormat/>
    <w:uiPriority w:val="0"/>
    <w:rPr>
      <w:rFonts w:ascii="宋体" w:hAnsi="宋体"/>
      <w:kern w:val="2"/>
      <w:sz w:val="18"/>
      <w:szCs w:val="18"/>
    </w:rPr>
  </w:style>
  <w:style w:type="paragraph" w:customStyle="1" w:styleId="106">
    <w:name w:val="首示例"/>
    <w:next w:val="37"/>
    <w:link w:val="105"/>
    <w:qFormat/>
    <w:uiPriority w:val="0"/>
    <w:pPr>
      <w:numPr>
        <w:ilvl w:val="0"/>
        <w:numId w:val="2"/>
      </w:numPr>
      <w:tabs>
        <w:tab w:val="left" w:pos="360"/>
      </w:tabs>
      <w:ind w:firstLine="0"/>
    </w:pPr>
    <w:rPr>
      <w:rFonts w:ascii="宋体" w:hAnsi="宋体" w:eastAsia="宋体" w:cs="Times New Roman"/>
      <w:kern w:val="2"/>
      <w:sz w:val="18"/>
      <w:szCs w:val="18"/>
      <w:lang w:val="en-US" w:eastAsia="zh-CN" w:bidi="ar-SA"/>
    </w:rPr>
  </w:style>
  <w:style w:type="character" w:customStyle="1" w:styleId="107">
    <w:name w:val="Char Char13"/>
    <w:qFormat/>
    <w:uiPriority w:val="0"/>
    <w:rPr>
      <w:rFonts w:eastAsia="宋体"/>
      <w:b/>
      <w:bCs/>
      <w:kern w:val="44"/>
      <w:sz w:val="44"/>
      <w:szCs w:val="44"/>
      <w:lang w:val="en-US" w:eastAsia="zh-CN" w:bidi="ar-SA"/>
    </w:rPr>
  </w:style>
  <w:style w:type="character" w:customStyle="1" w:styleId="108">
    <w:name w:val="附录公式 Char"/>
    <w:link w:val="109"/>
    <w:qFormat/>
    <w:uiPriority w:val="0"/>
    <w:rPr>
      <w:lang w:val="en-US" w:eastAsia="zh-CN" w:bidi="ar-SA"/>
    </w:rPr>
  </w:style>
  <w:style w:type="paragraph" w:customStyle="1" w:styleId="109">
    <w:name w:val="附录公式"/>
    <w:basedOn w:val="37"/>
    <w:next w:val="37"/>
    <w:link w:val="108"/>
    <w:qFormat/>
    <w:uiPriority w:val="0"/>
  </w:style>
  <w:style w:type="character" w:customStyle="1" w:styleId="110">
    <w:name w:val="Char Char9"/>
    <w:qFormat/>
    <w:uiPriority w:val="0"/>
    <w:rPr>
      <w:rFonts w:eastAsia="宋体"/>
      <w:b/>
      <w:bCs/>
      <w:kern w:val="2"/>
      <w:sz w:val="28"/>
      <w:szCs w:val="28"/>
      <w:lang w:val="en-US" w:eastAsia="zh-CN" w:bidi="ar-SA"/>
    </w:rPr>
  </w:style>
  <w:style w:type="character" w:customStyle="1" w:styleId="111">
    <w:name w:val="Char Char12"/>
    <w:qFormat/>
    <w:uiPriority w:val="0"/>
    <w:rPr>
      <w:rFonts w:ascii="Cambria" w:hAnsi="Cambria" w:eastAsia="宋体" w:cs="宋体"/>
      <w:b/>
      <w:bCs/>
      <w:kern w:val="2"/>
      <w:sz w:val="32"/>
      <w:szCs w:val="32"/>
      <w:lang w:val="en-US" w:eastAsia="zh-CN" w:bidi="ar-SA"/>
    </w:rPr>
  </w:style>
  <w:style w:type="paragraph" w:customStyle="1" w:styleId="112">
    <w:name w:val="编号列项（三级）"/>
    <w:qFormat/>
    <w:uiPriority w:val="0"/>
    <w:pPr>
      <w:numPr>
        <w:ilvl w:val="2"/>
        <w:numId w:val="3"/>
      </w:numPr>
    </w:pPr>
    <w:rPr>
      <w:rFonts w:ascii="宋体" w:hAnsi="Times New Roman" w:eastAsia="宋体" w:cs="Times New Roman"/>
      <w:sz w:val="21"/>
      <w:lang w:val="en-US" w:eastAsia="zh-CN" w:bidi="ar-SA"/>
    </w:rPr>
  </w:style>
  <w:style w:type="paragraph" w:customStyle="1" w:styleId="113">
    <w:name w:val="三级条标题"/>
    <w:basedOn w:val="114"/>
    <w:next w:val="37"/>
    <w:qFormat/>
    <w:uiPriority w:val="0"/>
    <w:pPr>
      <w:numPr>
        <w:ilvl w:val="3"/>
      </w:numPr>
      <w:outlineLvl w:val="4"/>
    </w:pPr>
  </w:style>
  <w:style w:type="paragraph" w:customStyle="1" w:styleId="114">
    <w:name w:val="二级条标题"/>
    <w:basedOn w:val="115"/>
    <w:next w:val="37"/>
    <w:qFormat/>
    <w:uiPriority w:val="0"/>
    <w:pPr>
      <w:numPr>
        <w:ilvl w:val="2"/>
      </w:numPr>
      <w:spacing w:before="50" w:beforeLines="0" w:after="50" w:afterLines="0"/>
      <w:outlineLvl w:val="3"/>
    </w:pPr>
  </w:style>
  <w:style w:type="paragraph" w:customStyle="1" w:styleId="115">
    <w:name w:val="一级条标题"/>
    <w:next w:val="37"/>
    <w:qFormat/>
    <w:uiPriority w:val="0"/>
    <w:pPr>
      <w:numPr>
        <w:ilvl w:val="1"/>
        <w:numId w:val="4"/>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116">
    <w:name w:val="实施日期"/>
    <w:basedOn w:val="117"/>
    <w:qFormat/>
    <w:uiPriority w:val="0"/>
    <w:pPr>
      <w:jc w:val="right"/>
    </w:pPr>
  </w:style>
  <w:style w:type="paragraph" w:customStyle="1" w:styleId="117">
    <w:name w:val="发布日期"/>
    <w:qFormat/>
    <w:uiPriority w:val="0"/>
    <w:rPr>
      <w:rFonts w:ascii="Times New Roman" w:hAnsi="Times New Roman" w:eastAsia="黑体" w:cs="Times New Roman"/>
      <w:sz w:val="28"/>
      <w:lang w:val="en-US" w:eastAsia="zh-CN" w:bidi="ar-SA"/>
    </w:rPr>
  </w:style>
  <w:style w:type="paragraph" w:customStyle="1" w:styleId="118">
    <w:name w:val="注：（正文）"/>
    <w:basedOn w:val="119"/>
    <w:next w:val="37"/>
    <w:qFormat/>
    <w:uiPriority w:val="0"/>
  </w:style>
  <w:style w:type="paragraph" w:customStyle="1" w:styleId="119">
    <w:name w:val="注："/>
    <w:next w:val="37"/>
    <w:qFormat/>
    <w:uiPriority w:val="0"/>
    <w:pPr>
      <w:widowControl w:val="0"/>
      <w:autoSpaceDE w:val="0"/>
      <w:autoSpaceDN w:val="0"/>
      <w:ind w:left="726" w:hanging="363"/>
      <w:jc w:val="both"/>
    </w:pPr>
    <w:rPr>
      <w:rFonts w:ascii="宋体" w:hAnsi="Times New Roman" w:eastAsia="宋体" w:cs="Times New Roman"/>
      <w:sz w:val="18"/>
      <w:szCs w:val="18"/>
      <w:lang w:val="en-US" w:eastAsia="zh-CN" w:bidi="ar-SA"/>
    </w:rPr>
  </w:style>
  <w:style w:type="paragraph" w:customStyle="1" w:styleId="120">
    <w:name w:val="列项——（一级）"/>
    <w:qFormat/>
    <w:uiPriority w:val="0"/>
    <w:pPr>
      <w:widowControl w:val="0"/>
      <w:numPr>
        <w:ilvl w:val="0"/>
        <w:numId w:val="5"/>
      </w:numPr>
      <w:jc w:val="both"/>
    </w:pPr>
    <w:rPr>
      <w:rFonts w:ascii="宋体" w:hAnsi="Times New Roman" w:eastAsia="宋体" w:cs="Times New Roman"/>
      <w:sz w:val="21"/>
      <w:lang w:val="en-US" w:eastAsia="zh-CN" w:bidi="ar-SA"/>
    </w:rPr>
  </w:style>
  <w:style w:type="paragraph" w:customStyle="1" w:styleId="121">
    <w:name w:val="封面一致性程度标识"/>
    <w:basedOn w:val="122"/>
    <w:qFormat/>
    <w:uiPriority w:val="0"/>
    <w:pPr>
      <w:spacing w:before="440"/>
    </w:pPr>
    <w:rPr>
      <w:rFonts w:ascii="宋体" w:eastAsia="宋体"/>
    </w:rPr>
  </w:style>
  <w:style w:type="paragraph" w:customStyle="1" w:styleId="122">
    <w:name w:val="封面标准英文名称"/>
    <w:basedOn w:val="123"/>
    <w:qFormat/>
    <w:uiPriority w:val="0"/>
    <w:pPr>
      <w:spacing w:before="370" w:line="400" w:lineRule="exact"/>
    </w:pPr>
    <w:rPr>
      <w:rFonts w:ascii="Times New Roman"/>
      <w:sz w:val="28"/>
      <w:szCs w:val="28"/>
    </w:rPr>
  </w:style>
  <w:style w:type="paragraph" w:customStyle="1" w:styleId="123">
    <w:name w:val="封面标准名称"/>
    <w:qFormat/>
    <w:uiPriority w:val="0"/>
    <w:pPr>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4">
    <w:name w:val="列出段落1"/>
    <w:basedOn w:val="1"/>
    <w:qFormat/>
    <w:uiPriority w:val="0"/>
    <w:pPr>
      <w:ind w:firstLine="420" w:firstLineChars="200"/>
    </w:pPr>
  </w:style>
  <w:style w:type="paragraph" w:customStyle="1" w:styleId="125">
    <w:name w:val="006-表内文字"/>
    <w:basedOn w:val="1"/>
    <w:qFormat/>
    <w:uiPriority w:val="0"/>
    <w:pPr>
      <w:numPr>
        <w:ilvl w:val="0"/>
        <w:numId w:val="6"/>
      </w:numPr>
      <w:tabs>
        <w:tab w:val="clear" w:pos="360"/>
      </w:tabs>
      <w:spacing w:line="300" w:lineRule="exact"/>
      <w:jc w:val="center"/>
    </w:pPr>
    <w:rPr>
      <w:rFonts w:ascii="宋体"/>
      <w:szCs w:val="21"/>
    </w:rPr>
  </w:style>
  <w:style w:type="paragraph" w:customStyle="1" w:styleId="126">
    <w:name w:val="示例"/>
    <w:next w:val="127"/>
    <w:qFormat/>
    <w:uiPriority w:val="0"/>
    <w:pPr>
      <w:widowControl w:val="0"/>
      <w:numPr>
        <w:ilvl w:val="0"/>
        <w:numId w:val="7"/>
      </w:numPr>
      <w:jc w:val="both"/>
    </w:pPr>
    <w:rPr>
      <w:rFonts w:ascii="宋体" w:hAnsi="Times New Roman" w:eastAsia="宋体" w:cs="Times New Roman"/>
      <w:sz w:val="18"/>
      <w:szCs w:val="18"/>
      <w:lang w:val="en-US" w:eastAsia="zh-CN" w:bidi="ar-SA"/>
    </w:rPr>
  </w:style>
  <w:style w:type="paragraph" w:customStyle="1" w:styleId="127">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128">
    <w:name w:val="二级无"/>
    <w:basedOn w:val="114"/>
    <w:qFormat/>
    <w:uiPriority w:val="0"/>
    <w:pPr>
      <w:spacing w:before="0" w:after="0"/>
    </w:pPr>
    <w:rPr>
      <w:rFonts w:ascii="宋体" w:eastAsia="宋体"/>
    </w:rPr>
  </w:style>
  <w:style w:type="paragraph" w:customStyle="1" w:styleId="129">
    <w:name w:val="发布部门"/>
    <w:next w:val="37"/>
    <w:qFormat/>
    <w:uiPriority w:val="0"/>
    <w:pPr>
      <w:jc w:val="center"/>
    </w:pPr>
    <w:rPr>
      <w:rFonts w:ascii="宋体" w:hAnsi="Times New Roman" w:eastAsia="宋体" w:cs="Times New Roman"/>
      <w:b/>
      <w:spacing w:val="20"/>
      <w:w w:val="135"/>
      <w:sz w:val="28"/>
      <w:lang w:val="en-US" w:eastAsia="zh-CN" w:bidi="ar-SA"/>
    </w:rPr>
  </w:style>
  <w:style w:type="paragraph" w:customStyle="1" w:styleId="130">
    <w:name w:val="示例×："/>
    <w:basedOn w:val="131"/>
    <w:qFormat/>
    <w:uiPriority w:val="0"/>
    <w:pPr>
      <w:numPr>
        <w:ilvl w:val="0"/>
        <w:numId w:val="8"/>
      </w:numPr>
      <w:spacing w:before="0" w:beforeLines="0" w:after="0" w:afterLines="0"/>
      <w:outlineLvl w:val="9"/>
    </w:pPr>
    <w:rPr>
      <w:rFonts w:ascii="宋体" w:eastAsia="宋体"/>
      <w:sz w:val="18"/>
      <w:szCs w:val="18"/>
    </w:rPr>
  </w:style>
  <w:style w:type="paragraph" w:customStyle="1" w:styleId="131">
    <w:name w:val="章标题"/>
    <w:next w:val="37"/>
    <w:qFormat/>
    <w:uiPriority w:val="0"/>
    <w:pPr>
      <w:numPr>
        <w:ilvl w:val="0"/>
        <w:numId w:val="4"/>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132">
    <w:name w:val="四级无"/>
    <w:basedOn w:val="133"/>
    <w:qFormat/>
    <w:uiPriority w:val="0"/>
    <w:pPr>
      <w:spacing w:before="0" w:after="0"/>
    </w:pPr>
    <w:rPr>
      <w:rFonts w:ascii="宋体" w:eastAsia="宋体"/>
    </w:rPr>
  </w:style>
  <w:style w:type="paragraph" w:customStyle="1" w:styleId="133">
    <w:name w:val="四级条标题"/>
    <w:basedOn w:val="113"/>
    <w:next w:val="37"/>
    <w:qFormat/>
    <w:uiPriority w:val="0"/>
    <w:pPr>
      <w:numPr>
        <w:ilvl w:val="0"/>
        <w:numId w:val="0"/>
      </w:numPr>
      <w:outlineLvl w:val="5"/>
    </w:pPr>
  </w:style>
  <w:style w:type="paragraph" w:customStyle="1" w:styleId="134">
    <w:name w:val="其他发布部门"/>
    <w:basedOn w:val="129"/>
    <w:qFormat/>
    <w:uiPriority w:val="0"/>
    <w:pPr>
      <w:spacing w:line="0" w:lineRule="atLeast"/>
    </w:pPr>
    <w:rPr>
      <w:rFonts w:ascii="黑体" w:eastAsia="黑体"/>
      <w:b w:val="0"/>
    </w:rPr>
  </w:style>
  <w:style w:type="paragraph" w:customStyle="1" w:styleId="135">
    <w:name w:val="封面标准代替信息"/>
    <w:qFormat/>
    <w:uiPriority w:val="0"/>
    <w:pPr>
      <w:spacing w:before="57" w:line="280" w:lineRule="exact"/>
      <w:jc w:val="right"/>
    </w:pPr>
    <w:rPr>
      <w:rFonts w:ascii="宋体" w:hAnsi="Times New Roman" w:eastAsia="宋体" w:cs="Times New Roman"/>
      <w:sz w:val="21"/>
      <w:szCs w:val="21"/>
      <w:lang w:val="en-US" w:eastAsia="zh-CN" w:bidi="ar-SA"/>
    </w:rPr>
  </w:style>
  <w:style w:type="paragraph" w:customStyle="1" w:styleId="136">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137">
    <w:name w:val="正文表标题"/>
    <w:next w:val="37"/>
    <w:qFormat/>
    <w:uiPriority w:val="0"/>
    <w:pPr>
      <w:numPr>
        <w:ilvl w:val="0"/>
        <w:numId w:val="9"/>
      </w:numPr>
      <w:tabs>
        <w:tab w:val="left" w:pos="360"/>
      </w:tabs>
      <w:spacing w:before="156" w:beforeLines="50" w:after="156" w:afterLines="50"/>
      <w:jc w:val="center"/>
    </w:pPr>
    <w:rPr>
      <w:rFonts w:ascii="黑体" w:hAnsi="Times New Roman" w:eastAsia="黑体" w:cs="Times New Roman"/>
      <w:sz w:val="21"/>
      <w:lang w:val="en-US" w:eastAsia="zh-CN" w:bidi="ar-SA"/>
    </w:rPr>
  </w:style>
  <w:style w:type="paragraph" w:customStyle="1" w:styleId="138">
    <w:name w:val="封面标准英文名称2"/>
    <w:basedOn w:val="122"/>
    <w:qFormat/>
    <w:uiPriority w:val="0"/>
  </w:style>
  <w:style w:type="paragraph" w:customStyle="1" w:styleId="139">
    <w:name w:val="附录图标题"/>
    <w:basedOn w:val="1"/>
    <w:next w:val="37"/>
    <w:qFormat/>
    <w:uiPriority w:val="0"/>
    <w:pPr>
      <w:numPr>
        <w:ilvl w:val="1"/>
        <w:numId w:val="10"/>
      </w:numPr>
      <w:tabs>
        <w:tab w:val="left" w:pos="363"/>
      </w:tabs>
      <w:spacing w:before="156" w:beforeLines="50" w:after="156" w:afterLines="50"/>
      <w:ind w:left="0" w:firstLine="0"/>
      <w:jc w:val="center"/>
    </w:pPr>
    <w:rPr>
      <w:rFonts w:ascii="黑体" w:eastAsia="黑体"/>
      <w:szCs w:val="21"/>
    </w:rPr>
  </w:style>
  <w:style w:type="paragraph" w:customStyle="1" w:styleId="140">
    <w:name w:val="附录章标题"/>
    <w:next w:val="37"/>
    <w:qFormat/>
    <w:uiPriority w:val="0"/>
    <w:pPr>
      <w:numPr>
        <w:ilvl w:val="1"/>
        <w:numId w:val="11"/>
      </w:numPr>
      <w:wordWrap w:val="0"/>
      <w:overflowPunct w:val="0"/>
      <w:autoSpaceDE w:val="0"/>
      <w:spacing w:before="312" w:beforeLines="100" w:after="312"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141">
    <w:name w:val="前言、引言标题"/>
    <w:next w:val="37"/>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42">
    <w:name w:val="封面一致性程度标识2"/>
    <w:basedOn w:val="121"/>
    <w:qFormat/>
    <w:uiPriority w:val="0"/>
  </w:style>
  <w:style w:type="paragraph" w:customStyle="1" w:styleId="143">
    <w:name w:val="其他发布日期"/>
    <w:basedOn w:val="117"/>
    <w:qFormat/>
    <w:uiPriority w:val="0"/>
  </w:style>
  <w:style w:type="paragraph" w:customStyle="1" w:styleId="144">
    <w:name w:val="注×："/>
    <w:qFormat/>
    <w:uiPriority w:val="0"/>
    <w:pPr>
      <w:widowControl w:val="0"/>
      <w:numPr>
        <w:ilvl w:val="0"/>
        <w:numId w:val="12"/>
      </w:numPr>
      <w:autoSpaceDE w:val="0"/>
      <w:autoSpaceDN w:val="0"/>
      <w:jc w:val="both"/>
    </w:pPr>
    <w:rPr>
      <w:rFonts w:ascii="宋体" w:hAnsi="Times New Roman" w:eastAsia="宋体" w:cs="Times New Roman"/>
      <w:sz w:val="18"/>
      <w:szCs w:val="18"/>
      <w:lang w:val="en-US" w:eastAsia="zh-CN" w:bidi="ar-SA"/>
    </w:rPr>
  </w:style>
  <w:style w:type="paragraph" w:customStyle="1" w:styleId="145">
    <w:name w:val="数字编号列项（二级）"/>
    <w:qFormat/>
    <w:uiPriority w:val="0"/>
    <w:pPr>
      <w:numPr>
        <w:ilvl w:val="1"/>
        <w:numId w:val="3"/>
      </w:numPr>
      <w:jc w:val="both"/>
    </w:pPr>
    <w:rPr>
      <w:rFonts w:ascii="宋体" w:hAnsi="Times New Roman" w:eastAsia="宋体" w:cs="Times New Roman"/>
      <w:sz w:val="21"/>
      <w:lang w:val="en-US" w:eastAsia="zh-CN" w:bidi="ar-SA"/>
    </w:rPr>
  </w:style>
  <w:style w:type="paragraph" w:customStyle="1" w:styleId="146">
    <w:name w:val="封面正文"/>
    <w:qFormat/>
    <w:uiPriority w:val="0"/>
    <w:pPr>
      <w:jc w:val="both"/>
    </w:pPr>
    <w:rPr>
      <w:rFonts w:ascii="Times New Roman" w:hAnsi="Times New Roman" w:eastAsia="宋体" w:cs="Times New Roman"/>
      <w:lang w:val="en-US" w:eastAsia="zh-CN" w:bidi="ar-SA"/>
    </w:rPr>
  </w:style>
  <w:style w:type="paragraph" w:customStyle="1" w:styleId="147">
    <w:name w:val="正文图标题"/>
    <w:next w:val="37"/>
    <w:qFormat/>
    <w:uiPriority w:val="0"/>
    <w:pPr>
      <w:numPr>
        <w:ilvl w:val="0"/>
        <w:numId w:val="13"/>
      </w:numPr>
      <w:tabs>
        <w:tab w:val="left" w:pos="360"/>
      </w:tabs>
      <w:spacing w:before="156" w:beforeLines="50" w:after="156" w:afterLines="50"/>
      <w:jc w:val="center"/>
    </w:pPr>
    <w:rPr>
      <w:rFonts w:ascii="黑体" w:hAnsi="Times New Roman" w:eastAsia="黑体" w:cs="Times New Roman"/>
      <w:sz w:val="21"/>
      <w:lang w:val="en-US" w:eastAsia="zh-CN" w:bidi="ar-SA"/>
    </w:rPr>
  </w:style>
  <w:style w:type="paragraph" w:customStyle="1" w:styleId="148">
    <w:name w:val="附录四级条标题"/>
    <w:basedOn w:val="149"/>
    <w:next w:val="37"/>
    <w:qFormat/>
    <w:uiPriority w:val="0"/>
    <w:pPr>
      <w:numPr>
        <w:ilvl w:val="5"/>
        <w:numId w:val="11"/>
      </w:numPr>
      <w:tabs>
        <w:tab w:val="left" w:pos="360"/>
      </w:tabs>
      <w:outlineLvl w:val="5"/>
    </w:pPr>
  </w:style>
  <w:style w:type="paragraph" w:customStyle="1" w:styleId="149">
    <w:name w:val="附录三级条标题"/>
    <w:basedOn w:val="150"/>
    <w:next w:val="37"/>
    <w:qFormat/>
    <w:uiPriority w:val="0"/>
    <w:pPr>
      <w:numPr>
        <w:ilvl w:val="0"/>
        <w:numId w:val="0"/>
      </w:numPr>
      <w:tabs>
        <w:tab w:val="left" w:pos="360"/>
      </w:tabs>
      <w:outlineLvl w:val="4"/>
    </w:pPr>
  </w:style>
  <w:style w:type="paragraph" w:customStyle="1" w:styleId="150">
    <w:name w:val="附录二级条标题"/>
    <w:basedOn w:val="1"/>
    <w:next w:val="37"/>
    <w:qFormat/>
    <w:uiPriority w:val="0"/>
    <w:pPr>
      <w:widowControl/>
      <w:numPr>
        <w:ilvl w:val="3"/>
        <w:numId w:val="11"/>
      </w:numPr>
      <w:wordWrap w:val="0"/>
      <w:overflowPunct w:val="0"/>
      <w:autoSpaceDE w:val="0"/>
      <w:autoSpaceDN w:val="0"/>
      <w:spacing w:before="156" w:beforeLines="50" w:after="156" w:afterLines="50"/>
      <w:textAlignment w:val="baseline"/>
      <w:outlineLvl w:val="3"/>
    </w:pPr>
    <w:rPr>
      <w:rFonts w:ascii="黑体" w:eastAsia="黑体"/>
      <w:kern w:val="21"/>
      <w:szCs w:val="20"/>
    </w:rPr>
  </w:style>
  <w:style w:type="paragraph" w:customStyle="1" w:styleId="151">
    <w:name w:val="附录五级无"/>
    <w:basedOn w:val="152"/>
    <w:qFormat/>
    <w:uiPriority w:val="0"/>
    <w:pPr>
      <w:tabs>
        <w:tab w:val="left" w:pos="360"/>
      </w:tabs>
      <w:spacing w:before="0" w:beforeLines="0" w:after="0" w:afterLines="0"/>
    </w:pPr>
    <w:rPr>
      <w:rFonts w:ascii="宋体" w:eastAsia="宋体"/>
      <w:szCs w:val="21"/>
    </w:rPr>
  </w:style>
  <w:style w:type="paragraph" w:customStyle="1" w:styleId="152">
    <w:name w:val="附录五级条标题"/>
    <w:basedOn w:val="148"/>
    <w:next w:val="37"/>
    <w:qFormat/>
    <w:uiPriority w:val="0"/>
    <w:pPr>
      <w:numPr>
        <w:ilvl w:val="0"/>
        <w:numId w:val="0"/>
      </w:numPr>
      <w:outlineLvl w:val="6"/>
    </w:pPr>
  </w:style>
  <w:style w:type="paragraph" w:customStyle="1" w:styleId="153">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154">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55">
    <w:name w:val="参考文献、索引标题"/>
    <w:basedOn w:val="1"/>
    <w:next w:val="37"/>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156">
    <w:name w:val="封面标准文稿编辑信息"/>
    <w:basedOn w:val="157"/>
    <w:qFormat/>
    <w:uiPriority w:val="0"/>
    <w:pPr>
      <w:spacing w:before="180" w:line="180" w:lineRule="exact"/>
    </w:pPr>
    <w:rPr>
      <w:sz w:val="21"/>
    </w:rPr>
  </w:style>
  <w:style w:type="paragraph" w:customStyle="1" w:styleId="157">
    <w:name w:val="封面标准文稿类别"/>
    <w:basedOn w:val="121"/>
    <w:qFormat/>
    <w:uiPriority w:val="0"/>
    <w:pPr>
      <w:spacing w:after="160" w:line="240" w:lineRule="auto"/>
    </w:pPr>
    <w:rPr>
      <w:sz w:val="24"/>
    </w:rPr>
  </w:style>
  <w:style w:type="paragraph" w:customStyle="1" w:styleId="158">
    <w:name w:val="Char Char Char"/>
    <w:basedOn w:val="1"/>
    <w:qFormat/>
    <w:uiPriority w:val="0"/>
    <w:pPr>
      <w:spacing w:line="360" w:lineRule="auto"/>
      <w:ind w:firstLine="200" w:firstLineChars="200"/>
    </w:pPr>
  </w:style>
  <w:style w:type="paragraph" w:customStyle="1" w:styleId="159">
    <w:name w:val="封面标准号2"/>
    <w:qFormat/>
    <w:uiPriority w:val="0"/>
    <w:pPr>
      <w:spacing w:before="357" w:line="280" w:lineRule="exact"/>
      <w:jc w:val="right"/>
    </w:pPr>
    <w:rPr>
      <w:rFonts w:ascii="黑体" w:hAnsi="Times New Roman" w:eastAsia="黑体" w:cs="Times New Roman"/>
      <w:sz w:val="28"/>
      <w:szCs w:val="28"/>
      <w:lang w:val="en-US" w:eastAsia="zh-CN" w:bidi="ar-SA"/>
    </w:rPr>
  </w:style>
  <w:style w:type="paragraph" w:customStyle="1" w:styleId="160">
    <w:name w:val="五级条标题"/>
    <w:basedOn w:val="133"/>
    <w:next w:val="37"/>
    <w:qFormat/>
    <w:uiPriority w:val="0"/>
    <w:pPr>
      <w:numPr>
        <w:ilvl w:val="5"/>
        <w:numId w:val="4"/>
      </w:numPr>
      <w:outlineLvl w:val="6"/>
    </w:pPr>
  </w:style>
  <w:style w:type="paragraph" w:customStyle="1" w:styleId="161">
    <w:name w:val="封面标准文稿编辑信息2"/>
    <w:basedOn w:val="156"/>
    <w:qFormat/>
    <w:uiPriority w:val="0"/>
  </w:style>
  <w:style w:type="paragraph" w:customStyle="1" w:styleId="162">
    <w:name w:val="附录一级条标题"/>
    <w:basedOn w:val="140"/>
    <w:next w:val="37"/>
    <w:qFormat/>
    <w:uiPriority w:val="0"/>
    <w:pPr>
      <w:numPr>
        <w:ilvl w:val="2"/>
      </w:numPr>
      <w:tabs>
        <w:tab w:val="left" w:pos="360"/>
      </w:tabs>
      <w:autoSpaceDN w:val="0"/>
      <w:spacing w:before="156" w:beforeLines="50" w:after="156" w:afterLines="50"/>
      <w:outlineLvl w:val="2"/>
    </w:pPr>
  </w:style>
  <w:style w:type="paragraph" w:customStyle="1" w:styleId="163">
    <w:name w:val="其他实施日期"/>
    <w:basedOn w:val="116"/>
    <w:qFormat/>
    <w:uiPriority w:val="0"/>
  </w:style>
  <w:style w:type="paragraph" w:customStyle="1" w:styleId="164">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165">
    <w:name w:val="附录表标题"/>
    <w:basedOn w:val="1"/>
    <w:next w:val="37"/>
    <w:qFormat/>
    <w:uiPriority w:val="0"/>
    <w:pPr>
      <w:numPr>
        <w:ilvl w:val="1"/>
        <w:numId w:val="14"/>
      </w:numPr>
      <w:tabs>
        <w:tab w:val="left" w:pos="180"/>
      </w:tabs>
      <w:spacing w:before="156" w:beforeLines="50" w:after="156" w:afterLines="50"/>
      <w:ind w:left="0" w:firstLine="0"/>
      <w:jc w:val="center"/>
    </w:pPr>
    <w:rPr>
      <w:rFonts w:ascii="黑体" w:eastAsia="黑体"/>
      <w:szCs w:val="21"/>
    </w:rPr>
  </w:style>
  <w:style w:type="paragraph" w:customStyle="1" w:styleId="166">
    <w:name w:val="目次、标准名称标题"/>
    <w:basedOn w:val="1"/>
    <w:next w:val="37"/>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167">
    <w:name w:val="一级无"/>
    <w:basedOn w:val="115"/>
    <w:qFormat/>
    <w:uiPriority w:val="0"/>
    <w:pPr>
      <w:spacing w:before="0" w:beforeLines="0" w:after="0" w:afterLines="0"/>
    </w:pPr>
    <w:rPr>
      <w:rFonts w:ascii="宋体" w:eastAsia="宋体"/>
    </w:rPr>
  </w:style>
  <w:style w:type="paragraph" w:customStyle="1" w:styleId="168">
    <w:name w:val="列项◆（三级）"/>
    <w:basedOn w:val="1"/>
    <w:qFormat/>
    <w:uiPriority w:val="0"/>
    <w:pPr>
      <w:numPr>
        <w:ilvl w:val="2"/>
        <w:numId w:val="5"/>
      </w:numPr>
    </w:pPr>
    <w:rPr>
      <w:rFonts w:ascii="宋体"/>
      <w:szCs w:val="21"/>
    </w:rPr>
  </w:style>
  <w:style w:type="paragraph" w:customStyle="1" w:styleId="169">
    <w:name w:val="标准称谓"/>
    <w:next w:val="1"/>
    <w:qFormat/>
    <w:uiPriority w:val="0"/>
    <w:pPr>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170">
    <w:name w:val="文献分类号"/>
    <w:qFormat/>
    <w:uiPriority w:val="0"/>
    <w:pPr>
      <w:widowControl w:val="0"/>
      <w:textAlignment w:val="center"/>
    </w:pPr>
    <w:rPr>
      <w:rFonts w:ascii="黑体" w:hAnsi="Times New Roman" w:eastAsia="黑体" w:cs="Times New Roman"/>
      <w:sz w:val="21"/>
      <w:szCs w:val="21"/>
      <w:lang w:val="en-US" w:eastAsia="zh-CN" w:bidi="ar-SA"/>
    </w:rPr>
  </w:style>
  <w:style w:type="paragraph" w:customStyle="1" w:styleId="171">
    <w:name w:val="附录三级无"/>
    <w:basedOn w:val="149"/>
    <w:qFormat/>
    <w:uiPriority w:val="0"/>
    <w:pPr>
      <w:tabs>
        <w:tab w:val="clear" w:pos="360"/>
      </w:tabs>
      <w:spacing w:before="0" w:beforeLines="0" w:after="0" w:afterLines="0"/>
    </w:pPr>
    <w:rPr>
      <w:rFonts w:ascii="宋体" w:eastAsia="宋体"/>
      <w:szCs w:val="21"/>
    </w:rPr>
  </w:style>
  <w:style w:type="paragraph" w:customStyle="1" w:styleId="172">
    <w:name w:val="其他标准称谓"/>
    <w:next w:val="1"/>
    <w:qFormat/>
    <w:uiPriority w:val="0"/>
    <w:pPr>
      <w:spacing w:line="0" w:lineRule="atLeast"/>
      <w:jc w:val="distribute"/>
    </w:pPr>
    <w:rPr>
      <w:rFonts w:ascii="黑体" w:hAnsi="宋体" w:eastAsia="黑体" w:cs="Times New Roman"/>
      <w:spacing w:val="-40"/>
      <w:sz w:val="48"/>
      <w:szCs w:val="52"/>
      <w:lang w:val="en-US" w:eastAsia="zh-CN" w:bidi="ar-SA"/>
    </w:rPr>
  </w:style>
  <w:style w:type="paragraph" w:customStyle="1" w:styleId="173">
    <w:name w:val="附录表标号"/>
    <w:basedOn w:val="1"/>
    <w:next w:val="37"/>
    <w:qFormat/>
    <w:uiPriority w:val="0"/>
    <w:pPr>
      <w:numPr>
        <w:ilvl w:val="0"/>
        <w:numId w:val="14"/>
      </w:numPr>
      <w:tabs>
        <w:tab w:val="clear" w:pos="0"/>
      </w:tabs>
      <w:spacing w:line="14" w:lineRule="exact"/>
      <w:ind w:left="811" w:hanging="448"/>
      <w:jc w:val="center"/>
      <w:outlineLvl w:val="0"/>
    </w:pPr>
    <w:rPr>
      <w:color w:val="FFFFFF"/>
    </w:rPr>
  </w:style>
  <w:style w:type="paragraph" w:customStyle="1" w:styleId="174">
    <w:name w:val="封面标准名称2"/>
    <w:basedOn w:val="123"/>
    <w:qFormat/>
    <w:uiPriority w:val="0"/>
    <w:pPr>
      <w:spacing w:before="1965" w:beforeLines="630"/>
    </w:pPr>
  </w:style>
  <w:style w:type="paragraph" w:customStyle="1" w:styleId="175">
    <w:name w:val="LU-图示"/>
    <w:basedOn w:val="48"/>
    <w:qFormat/>
    <w:uiPriority w:val="0"/>
    <w:pPr>
      <w:widowControl/>
      <w:spacing w:before="120" w:after="120" w:line="180" w:lineRule="atLeast"/>
      <w:jc w:val="center"/>
    </w:pPr>
    <w:rPr>
      <w:rFonts w:ascii="宋体" w:hAnsi="宋体"/>
      <w:color w:val="000000"/>
      <w:kern w:val="0"/>
      <w:sz w:val="21"/>
    </w:rPr>
  </w:style>
  <w:style w:type="paragraph" w:customStyle="1" w:styleId="176">
    <w:name w:val="附录一级无"/>
    <w:basedOn w:val="162"/>
    <w:qFormat/>
    <w:uiPriority w:val="0"/>
    <w:pPr>
      <w:tabs>
        <w:tab w:val="clear" w:pos="360"/>
      </w:tabs>
      <w:spacing w:before="0" w:beforeLines="0" w:after="0" w:afterLines="0"/>
    </w:pPr>
    <w:rPr>
      <w:rFonts w:ascii="宋体" w:eastAsia="宋体"/>
      <w:szCs w:val="21"/>
    </w:rPr>
  </w:style>
  <w:style w:type="paragraph" w:customStyle="1" w:styleId="177">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78">
    <w:name w:val="其他标准标志"/>
    <w:basedOn w:val="179"/>
    <w:qFormat/>
    <w:uiPriority w:val="0"/>
    <w:rPr>
      <w:w w:val="130"/>
    </w:rPr>
  </w:style>
  <w:style w:type="paragraph" w:customStyle="1" w:styleId="179">
    <w:name w:val="标准标志"/>
    <w:next w:val="1"/>
    <w:qFormat/>
    <w:uiPriority w:val="0"/>
    <w:pPr>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180">
    <w:name w:val="附录二级无"/>
    <w:basedOn w:val="150"/>
    <w:qFormat/>
    <w:uiPriority w:val="0"/>
    <w:pPr>
      <w:spacing w:before="0" w:beforeLines="0" w:after="0" w:afterLines="0"/>
    </w:pPr>
    <w:rPr>
      <w:rFonts w:ascii="宋体" w:eastAsia="宋体"/>
      <w:szCs w:val="21"/>
    </w:rPr>
  </w:style>
  <w:style w:type="paragraph" w:customStyle="1" w:styleId="181">
    <w:name w:val="附录公式编号制表符"/>
    <w:basedOn w:val="1"/>
    <w:next w:val="37"/>
    <w:qFormat/>
    <w:uiPriority w:val="0"/>
    <w:pPr>
      <w:widowControl/>
      <w:tabs>
        <w:tab w:val="center" w:pos="4201"/>
        <w:tab w:val="right" w:leader="dot" w:pos="9298"/>
      </w:tabs>
      <w:autoSpaceDE w:val="0"/>
      <w:autoSpaceDN w:val="0"/>
    </w:pPr>
    <w:rPr>
      <w:rFonts w:ascii="宋体"/>
      <w:kern w:val="0"/>
      <w:szCs w:val="20"/>
    </w:rPr>
  </w:style>
  <w:style w:type="paragraph" w:customStyle="1" w:styleId="182">
    <w:name w:val="正文公式编号制表符"/>
    <w:basedOn w:val="37"/>
    <w:next w:val="37"/>
    <w:qFormat/>
    <w:uiPriority w:val="0"/>
    <w:pPr>
      <w:ind w:firstLine="0" w:firstLineChars="0"/>
    </w:pPr>
  </w:style>
  <w:style w:type="paragraph" w:customStyle="1" w:styleId="183">
    <w:name w:val="附录标识"/>
    <w:basedOn w:val="1"/>
    <w:next w:val="37"/>
    <w:qFormat/>
    <w:uiPriority w:val="0"/>
    <w:pPr>
      <w:keepNext/>
      <w:widowControl/>
      <w:numPr>
        <w:ilvl w:val="0"/>
        <w:numId w:val="11"/>
      </w:numPr>
      <w:shd w:val="clear" w:color="FFFFFF" w:fill="FFFFFF"/>
      <w:tabs>
        <w:tab w:val="left" w:pos="6405"/>
      </w:tabs>
      <w:spacing w:before="640" w:after="280"/>
      <w:jc w:val="center"/>
      <w:outlineLvl w:val="0"/>
    </w:pPr>
    <w:rPr>
      <w:rFonts w:ascii="黑体" w:eastAsia="黑体"/>
      <w:kern w:val="0"/>
      <w:szCs w:val="20"/>
    </w:rPr>
  </w:style>
  <w:style w:type="paragraph" w:customStyle="1" w:styleId="184">
    <w:name w:val="注×：（正文）"/>
    <w:qFormat/>
    <w:uiPriority w:val="0"/>
    <w:pPr>
      <w:numPr>
        <w:ilvl w:val="0"/>
        <w:numId w:val="15"/>
      </w:numPr>
      <w:jc w:val="both"/>
    </w:pPr>
    <w:rPr>
      <w:rFonts w:ascii="宋体" w:hAnsi="Times New Roman" w:eastAsia="宋体" w:cs="Times New Roman"/>
      <w:sz w:val="18"/>
      <w:szCs w:val="18"/>
      <w:lang w:val="en-US" w:eastAsia="zh-CN" w:bidi="ar-SA"/>
    </w:rPr>
  </w:style>
  <w:style w:type="paragraph" w:customStyle="1" w:styleId="185">
    <w:name w:val="三级无"/>
    <w:basedOn w:val="113"/>
    <w:qFormat/>
    <w:uiPriority w:val="0"/>
    <w:pPr>
      <w:spacing w:before="0" w:after="0"/>
    </w:pPr>
    <w:rPr>
      <w:rFonts w:ascii="宋体" w:eastAsia="宋体"/>
    </w:rPr>
  </w:style>
  <w:style w:type="paragraph" w:customStyle="1" w:styleId="186">
    <w:name w:val="标准书眉_偶数页"/>
    <w:basedOn w:val="136"/>
    <w:next w:val="1"/>
    <w:qFormat/>
    <w:uiPriority w:val="0"/>
    <w:pPr>
      <w:jc w:val="left"/>
    </w:pPr>
  </w:style>
  <w:style w:type="paragraph" w:customStyle="1" w:styleId="187">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88">
    <w:name w:val="TOC 标题1"/>
    <w:basedOn w:val="2"/>
    <w:next w:val="1"/>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189">
    <w:name w:val="列项●（二级）"/>
    <w:qFormat/>
    <w:uiPriority w:val="0"/>
    <w:pPr>
      <w:numPr>
        <w:ilvl w:val="1"/>
        <w:numId w:val="5"/>
      </w:numPr>
      <w:tabs>
        <w:tab w:val="left" w:pos="840"/>
        <w:tab w:val="clear" w:pos="760"/>
      </w:tabs>
      <w:jc w:val="both"/>
    </w:pPr>
    <w:rPr>
      <w:rFonts w:ascii="宋体" w:hAnsi="Times New Roman" w:eastAsia="宋体" w:cs="Times New Roman"/>
      <w:sz w:val="21"/>
      <w:lang w:val="en-US" w:eastAsia="zh-CN" w:bidi="ar-SA"/>
    </w:rPr>
  </w:style>
  <w:style w:type="paragraph" w:customStyle="1" w:styleId="190">
    <w:name w:val="标准书眉一"/>
    <w:qFormat/>
    <w:uiPriority w:val="0"/>
    <w:pPr>
      <w:jc w:val="both"/>
    </w:pPr>
    <w:rPr>
      <w:rFonts w:ascii="Times New Roman" w:hAnsi="Times New Roman" w:eastAsia="宋体" w:cs="Times New Roman"/>
      <w:lang w:val="en-US" w:eastAsia="zh-CN" w:bidi="ar-SA"/>
    </w:rPr>
  </w:style>
  <w:style w:type="paragraph" w:customStyle="1" w:styleId="191">
    <w:name w:val="封面标准文稿类别2"/>
    <w:basedOn w:val="157"/>
    <w:qFormat/>
    <w:uiPriority w:val="0"/>
  </w:style>
  <w:style w:type="paragraph" w:customStyle="1" w:styleId="192">
    <w:name w:val="参考文献"/>
    <w:basedOn w:val="1"/>
    <w:next w:val="37"/>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193">
    <w:name w:val="附录字母编号列项（一级）"/>
    <w:qFormat/>
    <w:uiPriority w:val="0"/>
    <w:pPr>
      <w:numPr>
        <w:ilvl w:val="0"/>
        <w:numId w:val="16"/>
      </w:numPr>
    </w:pPr>
    <w:rPr>
      <w:rFonts w:ascii="宋体" w:hAnsi="Times New Roman" w:eastAsia="宋体" w:cs="Times New Roman"/>
      <w:sz w:val="21"/>
      <w:lang w:val="en-US" w:eastAsia="zh-CN" w:bidi="ar-SA"/>
    </w:rPr>
  </w:style>
  <w:style w:type="paragraph" w:customStyle="1" w:styleId="194">
    <w:name w:val="附录数字编号列项（二级）"/>
    <w:qFormat/>
    <w:uiPriority w:val="0"/>
    <w:pPr>
      <w:numPr>
        <w:ilvl w:val="1"/>
        <w:numId w:val="16"/>
      </w:numPr>
    </w:pPr>
    <w:rPr>
      <w:rFonts w:ascii="宋体" w:hAnsi="Times New Roman" w:eastAsia="宋体" w:cs="Times New Roman"/>
      <w:sz w:val="21"/>
      <w:lang w:val="en-US" w:eastAsia="zh-CN" w:bidi="ar-SA"/>
    </w:rPr>
  </w:style>
  <w:style w:type="paragraph" w:customStyle="1" w:styleId="195">
    <w:name w:val="附录图标号"/>
    <w:basedOn w:val="1"/>
    <w:qFormat/>
    <w:uiPriority w:val="0"/>
    <w:pPr>
      <w:keepNext/>
      <w:pageBreakBefore/>
      <w:widowControl/>
      <w:numPr>
        <w:ilvl w:val="0"/>
        <w:numId w:val="10"/>
      </w:numPr>
      <w:spacing w:line="14" w:lineRule="exact"/>
      <w:ind w:left="0" w:firstLine="363"/>
      <w:jc w:val="center"/>
      <w:outlineLvl w:val="0"/>
    </w:pPr>
    <w:rPr>
      <w:color w:val="FFFFFF"/>
    </w:rPr>
  </w:style>
  <w:style w:type="paragraph" w:customStyle="1" w:styleId="196">
    <w:name w:val="附录标题"/>
    <w:basedOn w:val="37"/>
    <w:next w:val="37"/>
    <w:qFormat/>
    <w:uiPriority w:val="0"/>
    <w:pPr>
      <w:ind w:firstLine="0" w:firstLineChars="0"/>
      <w:jc w:val="center"/>
    </w:pPr>
    <w:rPr>
      <w:rFonts w:ascii="黑体" w:eastAsia="黑体"/>
    </w:rPr>
  </w:style>
  <w:style w:type="paragraph" w:customStyle="1" w:styleId="197">
    <w:name w:val="条文脚注"/>
    <w:basedOn w:val="39"/>
    <w:qFormat/>
    <w:uiPriority w:val="0"/>
    <w:pPr>
      <w:numPr>
        <w:numId w:val="0"/>
      </w:numPr>
      <w:jc w:val="both"/>
    </w:pPr>
  </w:style>
  <w:style w:type="paragraph" w:customStyle="1" w:styleId="198">
    <w:name w:val="附录四级无"/>
    <w:basedOn w:val="148"/>
    <w:qFormat/>
    <w:uiPriority w:val="0"/>
    <w:pPr>
      <w:tabs>
        <w:tab w:val="clear" w:pos="360"/>
      </w:tabs>
      <w:spacing w:before="0" w:beforeLines="0" w:after="0" w:afterLines="0"/>
    </w:pPr>
    <w:rPr>
      <w:rFonts w:ascii="宋体" w:eastAsia="宋体"/>
      <w:szCs w:val="21"/>
    </w:rPr>
  </w:style>
  <w:style w:type="paragraph" w:customStyle="1" w:styleId="199">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200">
    <w:name w:val="字母编号列项（一级）"/>
    <w:qFormat/>
    <w:uiPriority w:val="0"/>
    <w:pPr>
      <w:numPr>
        <w:ilvl w:val="0"/>
        <w:numId w:val="3"/>
      </w:numPr>
      <w:jc w:val="both"/>
    </w:pPr>
    <w:rPr>
      <w:rFonts w:ascii="宋体" w:hAnsi="Times New Roman" w:eastAsia="宋体" w:cs="Times New Roman"/>
      <w:sz w:val="21"/>
      <w:lang w:val="en-US" w:eastAsia="zh-CN" w:bidi="ar-SA"/>
    </w:rPr>
  </w:style>
  <w:style w:type="paragraph" w:customStyle="1" w:styleId="201">
    <w:name w:val="图表脚注说明"/>
    <w:basedOn w:val="1"/>
    <w:qFormat/>
    <w:uiPriority w:val="0"/>
    <w:pPr>
      <w:numPr>
        <w:ilvl w:val="0"/>
        <w:numId w:val="17"/>
      </w:numPr>
    </w:pPr>
    <w:rPr>
      <w:rFonts w:ascii="宋体"/>
      <w:sz w:val="18"/>
      <w:szCs w:val="18"/>
    </w:rPr>
  </w:style>
  <w:style w:type="paragraph" w:customStyle="1" w:styleId="202">
    <w:name w:val="示例后文字"/>
    <w:basedOn w:val="37"/>
    <w:next w:val="37"/>
    <w:qFormat/>
    <w:uiPriority w:val="0"/>
    <w:pPr>
      <w:ind w:firstLine="360"/>
    </w:pPr>
    <w:rPr>
      <w:sz w:val="18"/>
    </w:rPr>
  </w:style>
  <w:style w:type="paragraph" w:customStyle="1" w:styleId="203">
    <w:name w:val="五级无"/>
    <w:basedOn w:val="160"/>
    <w:qFormat/>
    <w:uiPriority w:val="0"/>
    <w:pPr>
      <w:spacing w:before="0" w:after="0"/>
    </w:pPr>
    <w:rPr>
      <w:rFonts w:ascii="宋体" w:eastAsia="宋体"/>
    </w:rPr>
  </w:style>
  <w:style w:type="paragraph" w:customStyle="1" w:styleId="204">
    <w:name w:val="图标脚注说明"/>
    <w:basedOn w:val="37"/>
    <w:qFormat/>
    <w:uiPriority w:val="0"/>
    <w:pPr>
      <w:ind w:left="840" w:hanging="420" w:firstLineChars="0"/>
    </w:pPr>
    <w:rPr>
      <w:sz w:val="18"/>
      <w:szCs w:val="18"/>
    </w:rPr>
  </w:style>
  <w:style w:type="paragraph" w:customStyle="1" w:styleId="205">
    <w:name w:val="终结线"/>
    <w:basedOn w:val="1"/>
    <w:qFormat/>
    <w:uiPriority w:val="0"/>
  </w:style>
  <w:style w:type="paragraph" w:customStyle="1" w:styleId="206">
    <w:name w:val="图的脚注"/>
    <w:next w:val="37"/>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character" w:customStyle="1" w:styleId="207">
    <w:name w:val="个人答复风格"/>
    <w:qFormat/>
    <w:uiPriority w:val="0"/>
    <w:rPr>
      <w:rFonts w:ascii="Arial" w:hAnsi="Arial" w:eastAsia="宋体" w:cs="Arial"/>
      <w:color w:val="auto"/>
      <w:sz w:val="20"/>
    </w:rPr>
  </w:style>
  <w:style w:type="character" w:customStyle="1" w:styleId="208">
    <w:name w:val="个人撰写风格"/>
    <w:qFormat/>
    <w:uiPriority w:val="0"/>
    <w:rPr>
      <w:rFonts w:ascii="Arial" w:hAnsi="Arial" w:eastAsia="宋体" w:cs="Arial"/>
      <w:color w:val="auto"/>
      <w:sz w:val="20"/>
    </w:rPr>
  </w:style>
  <w:style w:type="paragraph" w:customStyle="1" w:styleId="209">
    <w:name w:val="图表脚注"/>
    <w:next w:val="37"/>
    <w:qFormat/>
    <w:uiPriority w:val="0"/>
    <w:pPr>
      <w:ind w:left="300" w:leftChars="200" w:hanging="100" w:hangingChars="100"/>
      <w:jc w:val="both"/>
    </w:pPr>
    <w:rPr>
      <w:rFonts w:ascii="宋体" w:hAnsi="Times New Roman" w:eastAsia="宋体" w:cs="Times New Roman"/>
      <w:sz w:val="18"/>
      <w:lang w:val="en-US" w:eastAsia="zh-CN" w:bidi="ar-SA"/>
    </w:rPr>
  </w:style>
  <w:style w:type="paragraph" w:styleId="210">
    <w:name w:val="List Paragraph"/>
    <w:basedOn w:val="1"/>
    <w:qFormat/>
    <w:uiPriority w:val="34"/>
    <w:pPr>
      <w:ind w:firstLine="420" w:firstLineChars="200"/>
    </w:pPr>
  </w:style>
  <w:style w:type="paragraph" w:customStyle="1" w:styleId="211">
    <w:name w:val="修订1"/>
    <w:semiHidden/>
    <w:qFormat/>
    <w:uiPriority w:val="99"/>
    <w:rPr>
      <w:rFonts w:ascii="Times New Roman" w:hAnsi="Times New Roman" w:eastAsia="宋体" w:cs="Times New Roman"/>
      <w:kern w:val="2"/>
      <w:sz w:val="21"/>
      <w:szCs w:val="24"/>
      <w:lang w:val="en-US" w:eastAsia="zh-CN" w:bidi="ar-SA"/>
    </w:rPr>
  </w:style>
  <w:style w:type="character" w:customStyle="1" w:styleId="212">
    <w:name w:val="日期 字符"/>
    <w:link w:val="27"/>
    <w:qFormat/>
    <w:uiPriority w:val="99"/>
    <w:rPr>
      <w:kern w:val="2"/>
      <w:sz w:val="21"/>
      <w:szCs w:val="24"/>
    </w:rPr>
  </w:style>
  <w:style w:type="character" w:customStyle="1" w:styleId="213">
    <w:name w:val="MTEquationSection"/>
    <w:qFormat/>
    <w:uiPriority w:val="0"/>
    <w:rPr>
      <w:rFonts w:ascii="黑体" w:hAnsi="黑体" w:eastAsia="黑体"/>
      <w:vanish/>
      <w:color w:val="FF0000"/>
      <w:sz w:val="32"/>
      <w:szCs w:val="32"/>
    </w:rPr>
  </w:style>
  <w:style w:type="paragraph" w:customStyle="1" w:styleId="214">
    <w:name w:val="MTDisplayEquation"/>
    <w:basedOn w:val="1"/>
    <w:next w:val="1"/>
    <w:link w:val="215"/>
    <w:qFormat/>
    <w:uiPriority w:val="0"/>
    <w:pPr>
      <w:tabs>
        <w:tab w:val="center" w:pos="4160"/>
        <w:tab w:val="right" w:pos="8300"/>
      </w:tabs>
      <w:spacing w:line="400" w:lineRule="exact"/>
    </w:pPr>
    <w:rPr>
      <w:rFonts w:ascii="黑体" w:hAnsi="黑体" w:eastAsia="黑体"/>
      <w:sz w:val="24"/>
      <w:szCs w:val="22"/>
    </w:rPr>
  </w:style>
  <w:style w:type="character" w:customStyle="1" w:styleId="215">
    <w:name w:val="MTDisplayEquation 字符"/>
    <w:link w:val="214"/>
    <w:qFormat/>
    <w:uiPriority w:val="0"/>
    <w:rPr>
      <w:rFonts w:ascii="黑体" w:hAnsi="黑体" w:eastAsia="黑体"/>
      <w:kern w:val="2"/>
      <w:sz w:val="24"/>
      <w:szCs w:val="22"/>
    </w:rPr>
  </w:style>
  <w:style w:type="character" w:styleId="216">
    <w:name w:val="Placeholder Text"/>
    <w:basedOn w:val="55"/>
    <w:unhideWhenUsed/>
    <w:qFormat/>
    <w:uiPriority w:val="99"/>
    <w:rPr>
      <w:color w:val="808080"/>
    </w:rPr>
  </w:style>
  <w:style w:type="character" w:customStyle="1" w:styleId="217">
    <w:name w:val="Body text|1_"/>
    <w:basedOn w:val="55"/>
    <w:link w:val="218"/>
    <w:qFormat/>
    <w:uiPriority w:val="0"/>
    <w:rPr>
      <w:rFonts w:ascii="宋体" w:hAnsi="宋体" w:cs="宋体"/>
      <w:color w:val="000000"/>
      <w:sz w:val="24"/>
      <w:szCs w:val="24"/>
      <w:lang w:val="zh-TW" w:eastAsia="zh-TW" w:bidi="zh-TW"/>
    </w:rPr>
  </w:style>
  <w:style w:type="paragraph" w:customStyle="1" w:styleId="218">
    <w:name w:val="Body text|1"/>
    <w:basedOn w:val="1"/>
    <w:link w:val="217"/>
    <w:qFormat/>
    <w:uiPriority w:val="0"/>
    <w:pPr>
      <w:spacing w:line="377" w:lineRule="auto"/>
      <w:jc w:val="left"/>
    </w:pPr>
    <w:rPr>
      <w:rFonts w:ascii="宋体" w:hAnsi="宋体" w:cs="宋体"/>
      <w:color w:val="000000"/>
      <w:kern w:val="0"/>
      <w:sz w:val="24"/>
      <w:lang w:val="zh-TW" w:eastAsia="zh-TW" w:bidi="zh-TW"/>
    </w:rPr>
  </w:style>
  <w:style w:type="character" w:customStyle="1" w:styleId="219">
    <w:name w:val="Other|1_"/>
    <w:basedOn w:val="55"/>
    <w:link w:val="220"/>
    <w:qFormat/>
    <w:uiPriority w:val="0"/>
    <w:rPr>
      <w:rFonts w:ascii="宋体" w:hAnsi="宋体" w:cs="宋体"/>
      <w:color w:val="000000"/>
      <w:sz w:val="15"/>
      <w:szCs w:val="15"/>
      <w:lang w:eastAsia="en-US" w:bidi="en-US"/>
    </w:rPr>
  </w:style>
  <w:style w:type="paragraph" w:customStyle="1" w:styleId="220">
    <w:name w:val="Other|1"/>
    <w:basedOn w:val="1"/>
    <w:link w:val="219"/>
    <w:qFormat/>
    <w:uiPriority w:val="0"/>
    <w:pPr>
      <w:jc w:val="left"/>
    </w:pPr>
    <w:rPr>
      <w:rFonts w:ascii="宋体" w:hAnsi="宋体" w:cs="宋体"/>
      <w:color w:val="000000"/>
      <w:kern w:val="0"/>
      <w:sz w:val="15"/>
      <w:szCs w:val="15"/>
      <w:lang w:eastAsia="en-US" w:bidi="en-US"/>
    </w:rPr>
  </w:style>
  <w:style w:type="paragraph" w:customStyle="1" w:styleId="2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4.png"/><Relationship Id="rId13" Type="http://schemas.openxmlformats.org/officeDocument/2006/relationships/image" Target="media/image3.png"/><Relationship Id="rId12" Type="http://schemas.openxmlformats.org/officeDocument/2006/relationships/image" Target="media/image2.emf"/><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uos/C:\Users\lenovo\Desktop\&#21160;&#21018;&#24230;&#20202;\&#38754;&#25391;&#21160;&#25104;&#22411;&#35797;&#39564;&#27861;&#22522;&#23618;&#26045;&#24037;&#25216;&#26415;&#35268;&#33539;1111.doc"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面振动成型试验法基层施工技术规范1111</Template>
  <Pages>11</Pages>
  <Words>727</Words>
  <Characters>4149</Characters>
  <Lines>34</Lines>
  <Paragraphs>9</Paragraphs>
  <TotalTime>58</TotalTime>
  <ScaleCrop>false</ScaleCrop>
  <LinksUpToDate>false</LinksUpToDate>
  <CharactersWithSpaces>4867</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2023-06-17T11:53:00Z</dcterms:created>
  <dc:creator>Administrator</dc:creator>
  <cp:lastModifiedBy>uos</cp:lastModifiedBy>
  <cp:lastPrinted>2021-12-21T13:36:00Z</cp:lastPrinted>
  <dcterms:modified xsi:type="dcterms:W3CDTF">2023-11-27T16:34:12Z</dcterms:modified>
  <dc:title>标准名称</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CF0800D10951493BB3A9634734E867BE</vt:lpwstr>
  </property>
</Properties>
</file>