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5"/>
        <w:framePr/>
        <w:spacing w:line="440" w:lineRule="exact"/>
        <w:rPr>
          <w:rFonts w:hAnsi="黑体" w:cs="黑体"/>
        </w:rPr>
      </w:pPr>
      <w:r>
        <w:rPr>
          <w:rFonts w:hint="eastAsia" w:hAnsi="黑体" w:cs="黑体"/>
        </w:rPr>
        <w:t>ICS 03.080.01</w:t>
      </w:r>
    </w:p>
    <w:p>
      <w:pPr>
        <w:pStyle w:val="44"/>
      </w:pPr>
      <w:r>
        <w:rPr>
          <w:rFonts w:hint="eastAsia"/>
        </w:rPr>
        <w:t>A 12</w:t>
      </w:r>
    </w:p>
    <w:p>
      <w:pPr>
        <w:pStyle w:val="32"/>
        <w:framePr w:w="4233" w:vAnchor="page" w:hAnchor="page" w:x="6291" w:y="510"/>
      </w:pPr>
      <w:r>
        <w:rPr>
          <w:rFonts w:hint="eastAsia"/>
        </w:rPr>
        <w:t>DB13</w:t>
      </w:r>
    </w:p>
    <w:p>
      <w:pPr>
        <w:pStyle w:val="33"/>
        <w:framePr/>
        <w:spacing w:line="440" w:lineRule="exact"/>
        <w:rPr>
          <w:rFonts w:hAnsi="黑体" w:cs="黑体"/>
        </w:rPr>
      </w:pPr>
      <w:r>
        <w:rPr>
          <w:rFonts w:hint="eastAsia" w:hAnsi="黑体" w:cs="黑体"/>
        </w:rPr>
        <w:t>河北省地方标准</w:t>
      </w:r>
    </w:p>
    <w:p>
      <w:pPr>
        <w:pStyle w:val="41"/>
        <w:framePr/>
        <w:spacing w:line="440" w:lineRule="exact"/>
        <w:rPr>
          <w:rFonts w:hAnsi="黑体" w:cs="黑体"/>
        </w:rPr>
      </w:pPr>
      <w:r>
        <w:rPr>
          <w:rFonts w:hint="eastAsia" w:hAnsi="黑体" w:cs="黑体"/>
        </w:rPr>
        <w:t xml:space="preserve">DB 13/TXXXX--2022 </w:t>
      </w:r>
    </w:p>
    <w:tbl>
      <w:tblPr>
        <w:tblStyle w:val="12"/>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28"/>
              <w:framePr/>
              <w:spacing w:line="440" w:lineRule="exact"/>
              <w:rPr>
                <w:rFonts w:ascii="黑体" w:hAnsi="黑体" w:eastAsia="黑体" w:cs="黑体"/>
              </w:rPr>
            </w:pPr>
            <w:bookmarkStart w:id="0" w:name="DT"/>
            <w:r>
              <w:rPr>
                <w:rFonts w:hint="eastAsia" w:ascii="黑体" w:hAnsi="黑体" w:eastAsia="黑体" w:cs="黑体"/>
              </w:rP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1143000" cy="228600"/>
                      <wp:effectExtent l="0" t="0" r="2540" b="3810"/>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372.8pt;margin-top:2.7pt;height:18pt;width:90pt;z-index:-25165516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mDyy9YAAAAIAQAADwAAAAAAAAABACAAAAAiAAAAZHJzL2Rv&#10;d25yZXYueG1sUEsBAhQAFAAAAAgAh07iQDC7ZdgDAgAA4wMAAA4AAAAAAAAAAQAgAAAAJQEAAGRy&#10;cy9lMm9Eb2MueG1sUEsFBgAAAAAGAAYAWQEAAJoFAAAAAA==&#10;">
                      <v:fill on="t" focussize="0,0"/>
                      <v:stroke on="f"/>
                      <v:imagedata o:title=""/>
                      <o:lock v:ext="edit" aspectratio="f"/>
                      <v:textbox>
                        <w:txbxContent>
                          <w:p/>
                        </w:txbxContent>
                      </v:textbox>
                    </v:rect>
                  </w:pict>
                </mc:Fallback>
              </mc:AlternateContent>
            </w:r>
            <w:bookmarkEnd w:id="0"/>
          </w:p>
        </w:tc>
      </w:tr>
    </w:tbl>
    <w:p>
      <w:pPr>
        <w:pStyle w:val="41"/>
        <w:framePr/>
        <w:spacing w:line="440" w:lineRule="exact"/>
        <w:rPr>
          <w:rFonts w:hAnsi="黑体" w:cs="黑体"/>
        </w:rPr>
      </w:pPr>
    </w:p>
    <w:p>
      <w:pPr>
        <w:pStyle w:val="41"/>
        <w:framePr/>
        <w:spacing w:line="440" w:lineRule="exact"/>
        <w:rPr>
          <w:rFonts w:hAnsi="黑体" w:cs="黑体"/>
        </w:rPr>
      </w:pPr>
    </w:p>
    <w:p>
      <w:pPr>
        <w:pStyle w:val="31"/>
        <w:framePr w:x="1185" w:y="6065"/>
        <w:pBdr>
          <w:top w:val="none" w:sz="0" w:space="0"/>
          <w:left w:val="none" w:sz="0" w:space="0"/>
          <w:bottom w:val="none" w:sz="0" w:space="0"/>
          <w:right w:val="none" w:sz="0" w:space="0"/>
        </w:pBdr>
        <w:spacing w:after="156" w:afterLines="50" w:line="440" w:lineRule="exact"/>
        <w:rPr>
          <w:rFonts w:ascii="黑体" w:hAnsi="黑体" w:eastAsia="黑体" w:cs="黑体"/>
          <w:sz w:val="52"/>
          <w:szCs w:val="22"/>
        </w:rPr>
      </w:pPr>
      <w:r>
        <w:rPr>
          <w:rFonts w:hint="eastAsia" w:ascii="黑体" w:hAnsi="黑体" w:eastAsia="黑体" w:cs="黑体"/>
          <w:sz w:val="52"/>
          <w:szCs w:val="22"/>
        </w:rPr>
        <w:t xml:space="preserve"> </w:t>
      </w:r>
      <w:r>
        <w:rPr>
          <w:rFonts w:hint="eastAsia" w:ascii="黑体" w:hAnsi="黑体" w:eastAsia="黑体" w:cs="黑体"/>
          <w:sz w:val="52"/>
          <w:szCs w:val="22"/>
        </w:rPr>
        <w:t xml:space="preserve"> </w:t>
      </w:r>
      <w:r>
        <w:rPr>
          <w:rFonts w:hint="eastAsia" w:ascii="黑体" w:hAnsi="黑体" w:eastAsia="黑体" w:cs="黑体"/>
          <w:sz w:val="52"/>
          <w:szCs w:val="22"/>
          <w:lang w:val="en-US" w:eastAsia="zh-CN"/>
        </w:rPr>
        <w:t>行政规范性文件合法性审核规范</w:t>
      </w:r>
    </w:p>
    <w:p>
      <w:pPr>
        <w:pStyle w:val="31"/>
        <w:framePr w:x="1185" w:y="6065"/>
        <w:pBdr>
          <w:top w:val="none" w:sz="0" w:space="0"/>
          <w:left w:val="none" w:sz="0" w:space="0"/>
          <w:bottom w:val="none" w:sz="0" w:space="0"/>
          <w:right w:val="none" w:sz="0" w:space="0"/>
        </w:pBdr>
        <w:spacing w:after="156" w:afterLines="50" w:line="440" w:lineRule="exact"/>
        <w:rPr>
          <w:rFonts w:ascii="黑体" w:hAnsi="黑体" w:eastAsia="黑体" w:cs="黑体"/>
          <w:sz w:val="52"/>
          <w:szCs w:val="22"/>
        </w:rPr>
      </w:pPr>
      <w:r>
        <w:rPr>
          <w:rFonts w:hint="eastAsia" w:ascii="黑体" w:hAnsi="黑体" w:eastAsia="黑体" w:cs="黑体"/>
          <w:sz w:val="40"/>
          <w:szCs w:val="40"/>
        </w:rPr>
        <w:t>（网上征求意见</w:t>
      </w:r>
      <w:bookmarkStart w:id="2" w:name="_GoBack"/>
      <w:bookmarkEnd w:id="2"/>
      <w:r>
        <w:rPr>
          <w:rFonts w:hint="eastAsia" w:ascii="黑体" w:hAnsi="黑体" w:eastAsia="黑体" w:cs="黑体"/>
          <w:sz w:val="40"/>
          <w:szCs w:val="40"/>
        </w:rPr>
        <w:t>稿）</w:t>
      </w:r>
    </w:p>
    <w:p>
      <w:pPr>
        <w:pStyle w:val="31"/>
        <w:keepNext w:val="0"/>
        <w:keepLines w:val="0"/>
        <w:pageBreakBefore w:val="0"/>
        <w:framePr w:x="1185" w:y="6065"/>
        <w:pBdr>
          <w:top w:val="none" w:sz="0" w:space="0"/>
          <w:left w:val="none" w:sz="0" w:space="0"/>
          <w:bottom w:val="none" w:sz="0" w:space="0"/>
          <w:right w:val="none" w:sz="0" w:space="0"/>
        </w:pBdr>
        <w:shd w:val="clear"/>
        <w:bidi w:val="0"/>
        <w:spacing w:line="500" w:lineRule="exact"/>
        <w:textAlignment w:val="bottom"/>
        <w:rPr>
          <w:rFonts w:hint="eastAsia" w:eastAsia="黑体"/>
          <w:color w:val="auto"/>
          <w:szCs w:val="28"/>
          <w:lang w:val="en-US" w:eastAsia="zh-CN"/>
        </w:rPr>
      </w:pPr>
      <w:r>
        <w:rPr>
          <w:rFonts w:eastAsia="黑体"/>
          <w:b/>
          <w:bCs/>
          <w:color w:val="auto"/>
          <w:szCs w:val="28"/>
          <w:shd w:val="clear"/>
        </w:rPr>
        <w:fldChar w:fldCharType="begin">
          <w:ffData>
            <w:name w:val="ESTD_NAME"/>
            <w:enabled/>
            <w:calcOnExit w:val="0"/>
            <w:textInput>
              <w:default w:val="点击此处添加标准名称的英文译名"/>
            </w:textInput>
          </w:ffData>
        </w:fldChar>
      </w:r>
      <w:bookmarkStart w:id="1" w:name="ESTD_NAME"/>
      <w:r>
        <w:rPr>
          <w:rFonts w:eastAsia="黑体"/>
          <w:b/>
          <w:bCs/>
          <w:color w:val="auto"/>
          <w:szCs w:val="28"/>
          <w:shd w:val="clear"/>
        </w:rPr>
        <w:instrText xml:space="preserve"> FORMTEXT </w:instrText>
      </w:r>
      <w:r>
        <w:rPr>
          <w:rFonts w:eastAsia="黑体"/>
          <w:b/>
          <w:bCs/>
          <w:color w:val="auto"/>
          <w:szCs w:val="28"/>
          <w:shd w:val="clear"/>
        </w:rPr>
        <w:fldChar w:fldCharType="separate"/>
      </w:r>
      <w:r>
        <w:rPr>
          <w:rFonts w:eastAsia="黑体"/>
          <w:b/>
          <w:bCs/>
          <w:color w:val="auto"/>
          <w:szCs w:val="28"/>
          <w:shd w:val="clear"/>
        </w:rPr>
        <w:t>Specification for legality examination of administrative normative documen</w:t>
      </w:r>
      <w:r>
        <w:rPr>
          <w:rFonts w:eastAsia="黑体"/>
          <w:b/>
          <w:bCs/>
          <w:color w:val="auto"/>
          <w:szCs w:val="28"/>
          <w:shd w:val="clear"/>
        </w:rPr>
        <w:fldChar w:fldCharType="end"/>
      </w:r>
      <w:bookmarkEnd w:id="1"/>
      <w:r>
        <w:rPr>
          <w:rFonts w:hint="eastAsia" w:eastAsia="黑体"/>
          <w:b/>
          <w:bCs/>
          <w:color w:val="auto"/>
          <w:szCs w:val="28"/>
          <w:shd w:val="clear"/>
          <w:lang w:val="en-US" w:eastAsia="zh-CN"/>
        </w:rPr>
        <w:t>t</w:t>
      </w:r>
    </w:p>
    <w:p>
      <w:pPr>
        <w:pStyle w:val="30"/>
        <w:framePr w:x="1185" w:y="6065"/>
        <w:pBdr>
          <w:top w:val="none" w:sz="0" w:space="0"/>
          <w:left w:val="none" w:sz="0" w:space="0"/>
          <w:bottom w:val="none" w:sz="0" w:space="0"/>
          <w:right w:val="none" w:sz="0" w:space="0"/>
        </w:pBdr>
        <w:spacing w:line="440" w:lineRule="exact"/>
        <w:rPr>
          <w:rFonts w:ascii="微软雅黑" w:hAnsi="微软雅黑" w:eastAsia="微软雅黑" w:cs="微软雅黑"/>
          <w:shd w:val="clear" w:color="auto" w:fill="F5F5F5"/>
        </w:rPr>
      </w:pPr>
    </w:p>
    <w:p>
      <w:pPr>
        <w:pStyle w:val="43"/>
        <w:framePr w:hAnchor="page" w:x="1401" w:y="14067"/>
        <w:spacing w:line="440" w:lineRule="exact"/>
        <w:rPr>
          <w:rFonts w:ascii="黑体" w:hAnsi="黑体" w:cs="黑体"/>
        </w:rPr>
      </w:pPr>
      <w:r>
        <w:rPr>
          <w:rFonts w:hint="eastAsia" w:ascii="黑体" w:hAnsi="黑体" w:cs="黑体"/>
        </w:rPr>
        <mc:AlternateContent>
          <mc:Choice Requires="wps">
            <w:drawing>
              <wp:anchor distT="0" distB="0" distL="114300" distR="114300" simplePos="0" relativeHeight="251662336" behindDoc="0" locked="1" layoutInCell="1" allowOverlap="1">
                <wp:simplePos x="0" y="0"/>
                <wp:positionH relativeFrom="column">
                  <wp:posOffset>-635</wp:posOffset>
                </wp:positionH>
                <wp:positionV relativeFrom="page">
                  <wp:posOffset>9251950</wp:posOffset>
                </wp:positionV>
                <wp:extent cx="6120130" cy="0"/>
                <wp:effectExtent l="12065" t="19050" r="27305" b="19050"/>
                <wp:wrapNone/>
                <wp:docPr id="4" name="直线 4"/>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4" o:spid="_x0000_s1026" o:spt="20" style="position:absolute;left:0pt;margin-left:-0.05pt;margin-top:728.5pt;height:0pt;width:481.9pt;mso-position-vertical-relative:page;z-index:251662336;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JYdrPNYAAAALAQAADwAAAAAAAAABACAAAAAiAAAAZHJzL2Rvd25yZXYueG1sUEsBAhQA&#10;FAAAAAgAh07iQEdA7ZC7AQAAUwMAAA4AAAAAAAAAAQAgAAAAJQEAAGRycy9lMm9Eb2MueG1sUEsF&#10;BgAAAAAGAAYAWQEAAFIFAAAAAA==&#10;">
                <v:fill on="f" focussize="0,0"/>
                <v:stroke color="#000000" joinstyle="round"/>
                <v:imagedata o:title=""/>
                <o:lock v:ext="edit" aspectratio="f"/>
                <w10:anchorlock/>
              </v:line>
            </w:pict>
          </mc:Fallback>
        </mc:AlternateContent>
      </w:r>
      <w:r>
        <w:rPr>
          <w:rFonts w:ascii="黑体" w:hAnsi="黑体" w:cs="黑体"/>
        </w:rPr>
        <w:t>xxxxxx</w:t>
      </w:r>
      <w:r>
        <w:rPr>
          <w:rFonts w:hint="eastAsia" w:ascii="黑体" w:hAnsi="黑体" w:cs="黑体"/>
        </w:rPr>
        <w:t>发布</w:t>
      </w:r>
    </w:p>
    <w:p>
      <w:pPr>
        <w:pStyle w:val="34"/>
        <w:framePr w:vAnchor="page" w:hAnchor="page" w:x="2164" w:y="15169"/>
        <w:spacing w:line="440" w:lineRule="exact"/>
        <w:rPr>
          <w:rFonts w:hAnsi="黑体" w:cs="黑体"/>
        </w:rPr>
      </w:pPr>
      <w:r>
        <w:rPr>
          <w:rFonts w:hint="eastAsia" w:hAnsi="黑体" w:cs="黑体"/>
        </w:rPr>
        <w:t>河北省市场监督管理局   </w:t>
      </w:r>
      <w:r>
        <w:rPr>
          <w:rStyle w:val="26"/>
          <w:rFonts w:hint="eastAsia" w:hAnsi="黑体" w:cs="黑体"/>
        </w:rPr>
        <w:t>发布</w:t>
      </w:r>
    </w:p>
    <w:p>
      <w:pPr>
        <w:pStyle w:val="39"/>
        <w:spacing w:line="440" w:lineRule="exact"/>
        <w:jc w:val="left"/>
        <w:sectPr>
          <w:headerReference r:id="rId3" w:type="even"/>
          <w:footerReference r:id="rId4" w:type="even"/>
          <w:pgSz w:w="11906" w:h="16838"/>
          <w:pgMar w:top="567" w:right="1134" w:bottom="1134" w:left="1417" w:header="0" w:footer="0" w:gutter="0"/>
          <w:pgNumType w:fmt="upperRoman" w:start="1"/>
          <w:cols w:space="720" w:num="1"/>
          <w:docGrid w:type="lines" w:linePitch="312" w:charSpace="0"/>
        </w:sect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2339975</wp:posOffset>
                </wp:positionV>
                <wp:extent cx="6120130" cy="0"/>
                <wp:effectExtent l="12065" t="15875" r="27305" b="22225"/>
                <wp:wrapNone/>
                <wp:docPr id="3" name="直线 5"/>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直线 5" o:spid="_x0000_s1026" o:spt="20" style="position:absolute;left:0pt;margin-left:-0.05pt;margin-top:184.25pt;height:0pt;width:481.9pt;z-index:251663360;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kHiX9cAAAAJAQAADwAAAAAAAAABACAAAAAiAAAAZHJzL2Rvd25yZXYueG1sUEsBAhQA&#10;FAAAAAgAh07iQDBA3EW6AQAAUwMAAA4AAAAAAAAAAQAgAAAAJgEAAGRycy9lMm9Eb2MueG1sUEsF&#10;BgAAAAAGAAYAWQEAAFIFAAAAAA==&#10;">
                <v:fill on="f" focussize="0,0"/>
                <v:stroke color="#000000" joinstyle="round"/>
                <v:imagedata o:title=""/>
                <o:lock v:ext="edit" aspectratio="f"/>
              </v:line>
            </w:pict>
          </mc:Fallback>
        </mc:AlternateContent>
      </w:r>
    </w:p>
    <w:p>
      <w:pPr>
        <w:pStyle w:val="40"/>
        <w:bidi w:val="0"/>
        <w:rPr>
          <w:rFonts w:hint="eastAsia" w:eastAsia="黑体"/>
          <w:lang w:eastAsia="zh-CN"/>
        </w:rPr>
      </w:pPr>
      <w:r>
        <w:rPr>
          <w:rFonts w:hint="eastAsia"/>
          <w:lang w:eastAsia="zh-CN"/>
        </w:rPr>
        <w:t>目次</w:t>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"_Toc114434110" </w:instrText>
      </w:r>
      <w:r>
        <w:fldChar w:fldCharType="separate"/>
      </w:r>
      <w:r>
        <w:rPr>
          <w:rStyle w:val="17"/>
        </w:rPr>
        <w:t>前言</w:t>
      </w:r>
      <w:r>
        <w:tab/>
      </w:r>
      <w:r>
        <w:fldChar w:fldCharType="begin"/>
      </w:r>
      <w:r>
        <w:instrText xml:space="preserve"> PAGEREF _Toc114434110 \h </w:instrText>
      </w:r>
      <w:r>
        <w:fldChar w:fldCharType="separate"/>
      </w:r>
      <w:r>
        <w:fldChar w:fldCharType="end"/>
      </w:r>
      <w:r>
        <w:fldChar w:fldCharType="end"/>
      </w:r>
      <w:r>
        <w:rPr>
          <w:rFonts w:hint="eastAsia" w:ascii="宋体" w:hAnsi="宋体" w:eastAsia="宋体" w:cs="宋体"/>
        </w:rPr>
        <w:t>Ⅱ</w:t>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"_Toc114434111" </w:instrText>
      </w:r>
      <w:r>
        <w:fldChar w:fldCharType="separate"/>
      </w:r>
      <w:r>
        <w:rPr>
          <w:rStyle w:val="17"/>
        </w:rPr>
        <w:t>1  范围</w:t>
      </w:r>
      <w:r>
        <w:tab/>
      </w:r>
      <w:r>
        <w:rPr>
          <w:rFonts w:hint="eastAsia"/>
          <w:lang w:val="en-US" w:eastAsia="zh-CN"/>
        </w:rPr>
        <w:t>1</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"_Toc114434112" </w:instrText>
      </w:r>
      <w:r>
        <w:fldChar w:fldCharType="separate"/>
      </w:r>
      <w:r>
        <w:rPr>
          <w:rStyle w:val="17"/>
        </w:rPr>
        <w:t>2  规范性引用文件</w:t>
      </w:r>
      <w:r>
        <w:tab/>
      </w:r>
      <w:r>
        <w:rPr>
          <w:rFonts w:hint="eastAsia"/>
          <w:lang w:val="en-US" w:eastAsia="zh-CN"/>
        </w:rPr>
        <w:t>1</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"_Toc114434113" </w:instrText>
      </w:r>
      <w:r>
        <w:fldChar w:fldCharType="separate"/>
      </w:r>
      <w:r>
        <w:rPr>
          <w:rStyle w:val="17"/>
        </w:rPr>
        <w:t>3  术语和定义</w:t>
      </w:r>
      <w:r>
        <w:tab/>
      </w:r>
      <w:r>
        <w:rPr>
          <w:rFonts w:hint="eastAsia"/>
          <w:lang w:val="en-US" w:eastAsia="zh-CN"/>
        </w:rPr>
        <w:t>1</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"_Toc114434114" </w:instrText>
      </w:r>
      <w:r>
        <w:fldChar w:fldCharType="separate"/>
      </w:r>
      <w:r>
        <w:rPr>
          <w:rStyle w:val="17"/>
        </w:rPr>
        <w:t xml:space="preserve">4  </w:t>
      </w:r>
      <w:r>
        <w:rPr>
          <w:rStyle w:val="17"/>
          <w:rFonts w:hint="eastAsia"/>
          <w:lang w:eastAsia="zh-CN"/>
        </w:rPr>
        <w:t>基本</w:t>
      </w:r>
      <w:r>
        <w:rPr>
          <w:rStyle w:val="17"/>
        </w:rPr>
        <w:t>要求</w:t>
      </w:r>
      <w:r>
        <w:tab/>
      </w:r>
      <w:r>
        <w:rPr>
          <w:rFonts w:hint="eastAsia"/>
          <w:lang w:val="en-US" w:eastAsia="zh-CN"/>
        </w:rPr>
        <w:t>1</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"_Toc114434115" </w:instrText>
      </w:r>
      <w:r>
        <w:fldChar w:fldCharType="separate"/>
      </w:r>
      <w:r>
        <w:rPr>
          <w:rStyle w:val="17"/>
        </w:rPr>
        <w:t xml:space="preserve">5  </w:t>
      </w:r>
      <w:r>
        <w:rPr>
          <w:rStyle w:val="17"/>
          <w:rFonts w:hint="eastAsia"/>
          <w:lang w:eastAsia="zh-CN"/>
        </w:rPr>
        <w:t>审核范围</w:t>
      </w:r>
      <w:r>
        <w:tab/>
      </w:r>
      <w:r>
        <w:rPr>
          <w:rFonts w:hint="eastAsia"/>
          <w:lang w:val="en-US" w:eastAsia="zh-CN"/>
        </w:rPr>
        <w:t>2</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"_Toc114434116" </w:instrText>
      </w:r>
      <w:r>
        <w:fldChar w:fldCharType="separate"/>
      </w:r>
      <w:r>
        <w:rPr>
          <w:rStyle w:val="17"/>
        </w:rPr>
        <w:t>6  审核机构</w:t>
      </w:r>
      <w:r>
        <w:tab/>
      </w:r>
      <w:r>
        <w:rPr>
          <w:rFonts w:hint="eastAsia"/>
          <w:lang w:val="en-US" w:eastAsia="zh-CN"/>
        </w:rPr>
        <w:t>3</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"_Toc114434117" </w:instrText>
      </w:r>
      <w:r>
        <w:fldChar w:fldCharType="separate"/>
      </w:r>
      <w:r>
        <w:rPr>
          <w:rStyle w:val="17"/>
        </w:rPr>
        <w:t>7  审核</w:t>
      </w:r>
      <w:r>
        <w:rPr>
          <w:rStyle w:val="17"/>
          <w:rFonts w:hint="eastAsia"/>
          <w:lang w:eastAsia="zh-CN"/>
        </w:rPr>
        <w:t>程序</w:t>
      </w:r>
      <w:r>
        <w:tab/>
      </w:r>
      <w:r>
        <w:rPr>
          <w:rFonts w:hint="eastAsia"/>
          <w:lang w:val="en-US" w:eastAsia="zh-CN"/>
        </w:rPr>
        <w:t>4</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"_Toc114434119" </w:instrText>
      </w:r>
      <w:r>
        <w:fldChar w:fldCharType="separate"/>
      </w:r>
      <w:r>
        <w:rPr>
          <w:rFonts w:hint="eastAsia"/>
          <w:lang w:val="en-US" w:eastAsia="zh-CN"/>
        </w:rPr>
        <w:t>8</w:t>
      </w:r>
      <w:r>
        <w:rPr>
          <w:rStyle w:val="17"/>
        </w:rPr>
        <w:t xml:space="preserve">  审核内容</w:t>
      </w:r>
      <w:r>
        <w:tab/>
      </w:r>
      <w:r>
        <w:rPr>
          <w:rFonts w:hint="eastAsia"/>
          <w:lang w:val="en-US" w:eastAsia="zh-CN"/>
        </w:rPr>
        <w:t>5</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"_Toc114434122" </w:instrText>
      </w:r>
      <w:r>
        <w:fldChar w:fldCharType="separate"/>
      </w:r>
      <w:r>
        <w:rPr>
          <w:rFonts w:hint="eastAsia"/>
          <w:lang w:val="en-US" w:eastAsia="zh-CN"/>
        </w:rPr>
        <w:t>9</w:t>
      </w:r>
      <w:r>
        <w:rPr>
          <w:rStyle w:val="17"/>
        </w:rPr>
        <w:t xml:space="preserve">  审核意见</w:t>
      </w:r>
      <w:r>
        <w:tab/>
      </w:r>
      <w:r>
        <w:rPr>
          <w:rFonts w:hint="eastAsia"/>
          <w:lang w:val="en-US" w:eastAsia="zh-CN"/>
        </w:rPr>
        <w:t>8</w:t>
      </w:r>
      <w:r>
        <w:fldChar w:fldCharType="end"/>
      </w:r>
    </w:p>
    <w:p>
      <w:pPr>
        <w:pStyle w:val="10"/>
        <w:keepNext w:val="0"/>
        <w:keepLines w:val="0"/>
        <w:pageBreakBefore w:val="0"/>
        <w:tabs>
          <w:tab w:val="right" w:leader="dot" w:pos="9344"/>
        </w:tabs>
        <w:bidi w:val="0"/>
        <w:spacing w:line="500" w:lineRule="exact"/>
        <w:rPr>
          <w:rFonts w:asciiTheme="minorHAnsi" w:hAnsiTheme="minorHAnsi" w:eastAsiaTheme="minorEastAsia" w:cstheme="minorBidi"/>
          <w:szCs w:val="22"/>
        </w:rPr>
      </w:pPr>
      <w:r>
        <w:fldChar w:fldCharType="begin"/>
      </w:r>
      <w:r>
        <w:instrText xml:space="preserve"> HYPERLINK \l "_Toc114434125" </w:instrText>
      </w:r>
      <w:r>
        <w:fldChar w:fldCharType="separate"/>
      </w:r>
      <w:r>
        <w:rPr>
          <w:rStyle w:val="17"/>
        </w:rPr>
        <w:t>1</w:t>
      </w:r>
      <w:r>
        <w:rPr>
          <w:rStyle w:val="17"/>
          <w:rFonts w:hint="eastAsia"/>
          <w:lang w:val="en-US" w:eastAsia="zh-CN"/>
        </w:rPr>
        <w:t>0</w:t>
      </w:r>
      <w:r>
        <w:rPr>
          <w:rStyle w:val="17"/>
        </w:rPr>
        <w:t xml:space="preserve">  档案管理</w:t>
      </w:r>
      <w:r>
        <w:tab/>
      </w:r>
      <w:r>
        <w:rPr>
          <w:rFonts w:hint="eastAsia"/>
          <w:lang w:val="en-US" w:eastAsia="zh-CN"/>
        </w:rPr>
        <w:t>9</w:t>
      </w:r>
      <w:r>
        <w:fldChar w:fldCharType="end"/>
      </w:r>
    </w:p>
    <w:p>
      <w:pPr>
        <w:pStyle w:val="10"/>
        <w:keepNext w:val="0"/>
        <w:keepLines w:val="0"/>
        <w:pageBreakBefore w:val="0"/>
        <w:tabs>
          <w:tab w:val="right" w:leader="dot" w:pos="9344"/>
        </w:tabs>
        <w:bidi w:val="0"/>
        <w:spacing w:line="500" w:lineRule="exact"/>
        <w:rPr>
          <w:rFonts w:hint="default" w:eastAsia="宋体" w:asciiTheme="minorHAnsi" w:hAnsiTheme="minorHAnsi" w:cstheme="minorBidi"/>
          <w:szCs w:val="22"/>
          <w:lang w:val="en-US" w:eastAsia="zh-CN"/>
        </w:rPr>
      </w:pPr>
      <w:r>
        <w:fldChar w:fldCharType="begin"/>
      </w:r>
      <w:r>
        <w:instrText xml:space="preserve"> HYPERLINK \l "_Toc114434126" </w:instrText>
      </w:r>
      <w:r>
        <w:fldChar w:fldCharType="separate"/>
      </w:r>
      <w:r>
        <w:rPr>
          <w:rStyle w:val="17"/>
        </w:rPr>
        <w:t xml:space="preserve">附录（资料性）  </w:t>
      </w:r>
      <w:r>
        <w:rPr>
          <w:rStyle w:val="17"/>
          <w:rFonts w:hint="eastAsia"/>
          <w:lang w:eastAsia="zh-CN"/>
        </w:rPr>
        <w:t>行政规范性文件</w:t>
      </w:r>
      <w:r>
        <w:rPr>
          <w:rStyle w:val="17"/>
        </w:rPr>
        <w:t>合法性审核意见参考样式</w:t>
      </w:r>
      <w:r>
        <w:tab/>
      </w:r>
      <w:r>
        <w:fldChar w:fldCharType="end"/>
      </w:r>
      <w:r>
        <w:rPr>
          <w:rFonts w:hint="eastAsia"/>
          <w:lang w:val="en-US" w:eastAsia="zh-CN"/>
        </w:rPr>
        <w:t>10</w:t>
      </w:r>
    </w:p>
    <w:p>
      <w:pPr>
        <w:pStyle w:val="10"/>
        <w:keepNext w:val="0"/>
        <w:keepLines w:val="0"/>
        <w:pageBreakBefore w:val="0"/>
        <w:tabs>
          <w:tab w:val="right" w:leader="dot" w:pos="9344"/>
        </w:tabs>
        <w:bidi w:val="0"/>
        <w:spacing w:line="500" w:lineRule="exact"/>
        <w:rPr>
          <w:rFonts w:hint="eastAsia" w:eastAsia="宋体" w:asciiTheme="minorHAnsi" w:hAnsiTheme="minorHAnsi" w:cstheme="minorBidi"/>
          <w:szCs w:val="22"/>
          <w:lang w:val="en-US" w:eastAsia="zh-CN"/>
        </w:rPr>
      </w:pPr>
      <w:r>
        <w:fldChar w:fldCharType="begin"/>
      </w:r>
      <w:r>
        <w:instrText xml:space="preserve"> HYPERLINK \l "_Toc114434127" </w:instrText>
      </w:r>
      <w:r>
        <w:fldChar w:fldCharType="separate"/>
      </w:r>
      <w:r>
        <w:rPr>
          <w:rStyle w:val="17"/>
        </w:rPr>
        <w:t>参考文献</w:t>
      </w:r>
      <w:r>
        <w:tab/>
      </w:r>
      <w:r>
        <w:rPr>
          <w:rFonts w:hint="eastAsia"/>
          <w:lang w:val="en-US" w:eastAsia="zh-CN"/>
        </w:rPr>
        <w:t>1</w:t>
      </w:r>
      <w:r>
        <w:fldChar w:fldCharType="end"/>
      </w:r>
      <w:r>
        <w:rPr>
          <w:rFonts w:hint="eastAsia"/>
          <w:lang w:val="en-US" w:eastAsia="zh-CN"/>
        </w:rPr>
        <w:t>2</w:t>
      </w:r>
    </w:p>
    <w:p>
      <w:pPr>
        <w:pStyle w:val="21"/>
        <w:spacing w:line="440" w:lineRule="exact"/>
        <w:rPr>
          <w:rFonts w:hint="eastAsia" w:hAnsi="Cambria"/>
          <w:szCs w:val="22"/>
        </w:rPr>
      </w:pPr>
      <w:r>
        <w:fldChar w:fldCharType="end"/>
      </w: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rPr>
          <w:rFonts w:hint="eastAsia" w:hAnsi="Cambria"/>
          <w:szCs w:val="22"/>
        </w:rPr>
      </w:pPr>
    </w:p>
    <w:p>
      <w:pPr>
        <w:pStyle w:val="21"/>
        <w:spacing w:line="440" w:lineRule="exact"/>
        <w:jc w:val="center"/>
        <w:rPr>
          <w:rFonts w:hint="eastAsia" w:ascii="黑体" w:hAnsi="黑体" w:eastAsia="黑体" w:cs="黑体"/>
          <w:szCs w:val="22"/>
          <w:lang w:eastAsia="zh-CN"/>
        </w:rPr>
      </w:pPr>
      <w:r>
        <w:rPr>
          <w:rFonts w:hint="eastAsia" w:ascii="黑体" w:hAnsi="黑体" w:eastAsia="黑体" w:cs="黑体"/>
          <w:sz w:val="32"/>
          <w:szCs w:val="32"/>
          <w:lang w:eastAsia="zh-CN"/>
        </w:rPr>
        <w:t>前</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言</w:t>
      </w:r>
    </w:p>
    <w:p>
      <w:pPr>
        <w:pStyle w:val="21"/>
        <w:spacing w:line="440" w:lineRule="exact"/>
        <w:rPr>
          <w:rFonts w:hint="eastAsia" w:hAnsi="Cambria"/>
          <w:szCs w:val="22"/>
        </w:rPr>
      </w:pPr>
    </w:p>
    <w:p>
      <w:pPr>
        <w:pStyle w:val="21"/>
        <w:spacing w:line="440" w:lineRule="exact"/>
        <w:rPr>
          <w:rFonts w:hAnsi="Cambria"/>
          <w:szCs w:val="22"/>
        </w:rPr>
      </w:pPr>
      <w:r>
        <w:rPr>
          <w:rFonts w:hint="eastAsia" w:hAnsi="Cambria"/>
          <w:szCs w:val="22"/>
        </w:rPr>
        <w:t>本文件按照GB/T 1.1-2020《标准化工作导则 第1部分：标准化文件的结构和起草规则》的规定起草。</w:t>
      </w:r>
    </w:p>
    <w:p>
      <w:pPr>
        <w:pStyle w:val="49"/>
        <w:keepNext w:val="0"/>
        <w:keepLines w:val="0"/>
        <w:pageBreakBefore w:val="0"/>
        <w:kinsoku/>
        <w:wordWrap/>
        <w:overflowPunct/>
        <w:topLinePunct w:val="0"/>
        <w:bidi w:val="0"/>
        <w:adjustRightInd/>
        <w:snapToGrid/>
        <w:spacing w:line="500" w:lineRule="exact"/>
        <w:ind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本文件由</w:t>
      </w:r>
      <w:r>
        <w:rPr>
          <w:rFonts w:hint="eastAsia" w:asciiTheme="minorEastAsia" w:hAnsiTheme="minorEastAsia" w:eastAsiaTheme="minorEastAsia" w:cstheme="minorEastAsia"/>
          <w:sz w:val="21"/>
          <w:szCs w:val="21"/>
          <w:lang w:eastAsia="zh-CN"/>
        </w:rPr>
        <w:t>河北</w:t>
      </w:r>
      <w:r>
        <w:rPr>
          <w:rFonts w:hint="eastAsia" w:asciiTheme="minorEastAsia" w:hAnsiTheme="minorEastAsia" w:eastAsiaTheme="minorEastAsia" w:cstheme="minorEastAsia"/>
          <w:sz w:val="21"/>
          <w:szCs w:val="21"/>
        </w:rPr>
        <w:t>省司法厅提出并归口。</w:t>
      </w:r>
    </w:p>
    <w:p>
      <w:pPr>
        <w:pStyle w:val="49"/>
        <w:keepNext w:val="0"/>
        <w:keepLines w:val="0"/>
        <w:pageBreakBefore w:val="0"/>
        <w:kinsoku/>
        <w:wordWrap/>
        <w:overflowPunct/>
        <w:topLinePunct w:val="0"/>
        <w:bidi w:val="0"/>
        <w:adjustRightInd/>
        <w:snapToGrid/>
        <w:spacing w:line="500" w:lineRule="exact"/>
        <w:ind w:firstLine="42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本文件起草单位：</w:t>
      </w:r>
      <w:r>
        <w:rPr>
          <w:rFonts w:hint="eastAsia" w:asciiTheme="minorEastAsia" w:hAnsiTheme="minorEastAsia" w:eastAsiaTheme="minorEastAsia" w:cstheme="minorEastAsia"/>
          <w:sz w:val="21"/>
          <w:szCs w:val="21"/>
          <w:lang w:eastAsia="zh-CN"/>
        </w:rPr>
        <w:t>河北</w:t>
      </w:r>
      <w:r>
        <w:rPr>
          <w:rFonts w:hint="eastAsia" w:asciiTheme="minorEastAsia" w:hAnsiTheme="minorEastAsia" w:eastAsiaTheme="minorEastAsia" w:cstheme="minorEastAsia"/>
          <w:sz w:val="21"/>
          <w:szCs w:val="21"/>
        </w:rPr>
        <w:t>省司法厅、河北来仪（沧州）律师事务所。</w:t>
      </w:r>
    </w:p>
    <w:p>
      <w:pPr>
        <w:pStyle w:val="21"/>
        <w:spacing w:line="440" w:lineRule="exact"/>
        <w:ind w:firstLine="420" w:firstLineChars="200"/>
        <w:rPr>
          <w:rFonts w:hAnsi="Cambria"/>
          <w:szCs w:val="22"/>
        </w:rPr>
      </w:pPr>
      <w:r>
        <w:rPr>
          <w:rFonts w:hint="eastAsia" w:asciiTheme="minorEastAsia" w:hAnsiTheme="minorEastAsia" w:eastAsiaTheme="minorEastAsia" w:cstheme="minorEastAsia"/>
          <w:sz w:val="21"/>
          <w:szCs w:val="21"/>
        </w:rPr>
        <w:t>本文件主要起草人：</w:t>
      </w:r>
      <w:r>
        <w:rPr>
          <w:rFonts w:hint="eastAsia" w:asciiTheme="minorEastAsia" w:hAnsiTheme="minorEastAsia" w:eastAsiaTheme="minorEastAsia" w:cstheme="minorEastAsia"/>
          <w:sz w:val="21"/>
          <w:szCs w:val="21"/>
          <w:lang w:eastAsia="zh-CN"/>
        </w:rPr>
        <w:t>蒋力、何涛、徐彬、王杨、赵亮亮、康士永。</w:t>
      </w:r>
    </w:p>
    <w:p>
      <w:pPr>
        <w:pStyle w:val="40"/>
        <w:bidi w:val="0"/>
        <w:rPr>
          <w:rFonts w:hint="eastAsia"/>
          <w:lang w:eastAsia="zh-CN"/>
        </w:rPr>
        <w:sectPr>
          <w:headerReference r:id="rId5" w:type="default"/>
          <w:footerReference r:id="rId6" w:type="default"/>
          <w:pgSz w:w="11906" w:h="16838"/>
          <w:pgMar w:top="1440" w:right="1800" w:bottom="1440" w:left="1800" w:header="1418" w:footer="1134" w:gutter="0"/>
          <w:pgNumType w:fmt="upperRoman" w:start="1"/>
          <w:cols w:space="720" w:num="1"/>
          <w:docGrid w:type="lines" w:linePitch="312" w:charSpace="0"/>
        </w:sectPr>
      </w:pPr>
    </w:p>
    <w:p>
      <w:pPr>
        <w:pStyle w:val="40"/>
        <w:spacing w:line="440" w:lineRule="exact"/>
        <w:rPr>
          <w:rFonts w:hAnsi="黑体" w:cs="黑体"/>
        </w:rPr>
      </w:pPr>
      <w:r>
        <w:rPr>
          <w:rFonts w:hint="eastAsia" w:hAnsi="黑体" w:cs="黑体"/>
          <w:lang w:eastAsia="zh-CN"/>
        </w:rPr>
        <w:t>行政规范性文件合法性审核规范</w:t>
      </w:r>
    </w:p>
    <w:p>
      <w:pPr>
        <w:pStyle w:val="29"/>
        <w:numPr>
          <w:ilvl w:val="0"/>
          <w:numId w:val="0"/>
        </w:numPr>
        <w:spacing w:before="312" w:after="312" w:line="440" w:lineRule="exact"/>
      </w:pPr>
      <w:r>
        <w:rPr>
          <w:rFonts w:hint="eastAsia"/>
        </w:rPr>
        <w:t>1 范围</w:t>
      </w:r>
    </w:p>
    <w:p>
      <w:pPr>
        <w:pStyle w:val="29"/>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本文件规定了行政规范性文件合法性审核工作的总体要求、审核范围、审核机构、审核程序、审核内容、审核意见、档案管理等内容。</w:t>
      </w:r>
    </w:p>
    <w:p>
      <w:pPr>
        <w:pStyle w:val="29"/>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ascii="宋体" w:hAnsi="宋体" w:eastAsia="宋体" w:cs="宋体"/>
          <w:szCs w:val="21"/>
        </w:rPr>
      </w:pPr>
      <w:r>
        <w:rPr>
          <w:rFonts w:hint="eastAsia" w:ascii="宋体" w:hAnsi="宋体" w:eastAsia="宋体" w:cs="宋体"/>
          <w:szCs w:val="21"/>
        </w:rPr>
        <w:t>本文件适用于</w:t>
      </w:r>
      <w:r>
        <w:rPr>
          <w:rFonts w:hint="eastAsia" w:ascii="宋体" w:hAnsi="宋体" w:eastAsia="宋体" w:cs="宋体"/>
          <w:szCs w:val="21"/>
          <w:lang w:eastAsia="zh-CN"/>
        </w:rPr>
        <w:t>河北</w:t>
      </w:r>
      <w:r>
        <w:rPr>
          <w:rFonts w:hint="eastAsia" w:ascii="宋体" w:hAnsi="宋体" w:eastAsia="宋体" w:cs="宋体"/>
          <w:szCs w:val="21"/>
        </w:rPr>
        <w:t>省各级人民政府、县级以上人民政府部门、省以下实行垂直管理的部门、县级以上人民政府依法设立的派出机关、</w:t>
      </w:r>
      <w:r>
        <w:rPr>
          <w:rFonts w:hint="eastAsia" w:ascii="宋体" w:hAnsi="宋体" w:eastAsia="宋体" w:cs="宋体"/>
          <w:szCs w:val="21"/>
          <w:lang w:eastAsia="zh-CN"/>
        </w:rPr>
        <w:t>乡镇人民政府及</w:t>
      </w:r>
      <w:r>
        <w:rPr>
          <w:rFonts w:hint="eastAsia" w:ascii="宋体" w:hAnsi="宋体" w:eastAsia="宋体" w:cs="宋体"/>
          <w:szCs w:val="21"/>
        </w:rPr>
        <w:t>街道办事处</w:t>
      </w:r>
      <w:r>
        <w:rPr>
          <w:rFonts w:hint="eastAsia" w:ascii="宋体" w:hAnsi="宋体" w:eastAsia="宋体" w:cs="宋体"/>
          <w:szCs w:val="21"/>
          <w:lang w:eastAsia="zh-CN"/>
        </w:rPr>
        <w:t>、</w:t>
      </w:r>
      <w:r>
        <w:rPr>
          <w:rFonts w:hint="eastAsia" w:ascii="宋体" w:hAnsi="宋体" w:eastAsia="宋体" w:cs="宋体"/>
          <w:szCs w:val="21"/>
        </w:rPr>
        <w:t>县级以上人民政府依法赋予行政管理职能的事业单位或者法律、法规授权的具有管理公共事务职能的组织</w:t>
      </w:r>
      <w:r>
        <w:rPr>
          <w:rFonts w:hint="eastAsia" w:ascii="宋体" w:hAnsi="宋体" w:eastAsia="宋体" w:cs="宋体"/>
          <w:szCs w:val="21"/>
          <w:lang w:eastAsia="zh-CN"/>
        </w:rPr>
        <w:t>（</w:t>
      </w:r>
      <w:r>
        <w:rPr>
          <w:rFonts w:hint="eastAsia" w:ascii="宋体" w:hAnsi="宋体" w:eastAsia="宋体" w:cs="宋体"/>
          <w:szCs w:val="21"/>
        </w:rPr>
        <w:t>以下统称“制定机关”）行政规范性文件合法性审核工作。</w:t>
      </w:r>
    </w:p>
    <w:p>
      <w:pPr>
        <w:pStyle w:val="29"/>
        <w:numPr>
          <w:ilvl w:val="0"/>
          <w:numId w:val="0"/>
        </w:numPr>
        <w:spacing w:before="312" w:after="312" w:line="440" w:lineRule="exact"/>
        <w:rPr>
          <w:rFonts w:cs="黑体"/>
          <w:szCs w:val="21"/>
        </w:rPr>
      </w:pPr>
      <w:r>
        <w:rPr>
          <w:rFonts w:hint="eastAsia" w:cs="黑体"/>
          <w:szCs w:val="21"/>
        </w:rPr>
        <w:t xml:space="preserve">2 </w:t>
      </w:r>
      <w:r>
        <w:rPr>
          <w:rFonts w:cs="黑体"/>
          <w:szCs w:val="21"/>
        </w:rPr>
        <w:t>规范性引用文件</w:t>
      </w:r>
    </w:p>
    <w:p>
      <w:pPr>
        <w:spacing w:line="440" w:lineRule="exact"/>
        <w:ind w:firstLine="420"/>
        <w:rPr>
          <w:rFonts w:ascii="宋体" w:hAnsi="宋体" w:cs="Lantinghei TC Heavy"/>
          <w:kern w:val="0"/>
          <w:szCs w:val="21"/>
          <w:shd w:val="clear" w:color="auto" w:fill="FFFFFF"/>
        </w:rPr>
      </w:pPr>
      <w:r>
        <w:rPr>
          <w:rFonts w:hint="eastAsia" w:ascii="宋体" w:hAnsi="宋体" w:cs="宋体"/>
          <w:bCs/>
          <w:spacing w:val="-1"/>
          <w:kern w:val="0"/>
        </w:rPr>
        <w:t>本文件没有规范性引用文件。</w:t>
      </w:r>
    </w:p>
    <w:p>
      <w:pPr>
        <w:pStyle w:val="29"/>
        <w:numPr>
          <w:ilvl w:val="0"/>
          <w:numId w:val="0"/>
        </w:numPr>
        <w:spacing w:before="312" w:after="312" w:line="440" w:lineRule="exact"/>
        <w:rPr>
          <w:rFonts w:hint="eastAsia" w:cs="黑体"/>
          <w:szCs w:val="21"/>
        </w:rPr>
      </w:pPr>
      <w:r>
        <w:rPr>
          <w:rFonts w:hint="eastAsia" w:cs="黑体"/>
          <w:szCs w:val="21"/>
        </w:rPr>
        <w:t>3 术语和定义</w:t>
      </w:r>
    </w:p>
    <w:p>
      <w:pPr>
        <w:pStyle w:val="29"/>
        <w:numPr>
          <w:ilvl w:val="0"/>
          <w:numId w:val="0"/>
        </w:numPr>
        <w:spacing w:before="312" w:after="312" w:line="440" w:lineRule="exact"/>
        <w:ind w:firstLine="420" w:firstLineChars="200"/>
        <w:rPr>
          <w:rFonts w:ascii="宋体" w:hAnsi="宋体" w:eastAsia="宋体" w:cs="宋体"/>
        </w:rPr>
      </w:pPr>
      <w:r>
        <w:rPr>
          <w:rFonts w:hint="eastAsia" w:ascii="宋体" w:hAnsi="宋体" w:eastAsia="宋体" w:cs="宋体"/>
        </w:rPr>
        <w:t>下列术语和定义适用于本文件。</w:t>
      </w:r>
    </w:p>
    <w:p>
      <w:pPr>
        <w:spacing w:line="440" w:lineRule="exact"/>
        <w:rPr>
          <w:rFonts w:hint="default" w:ascii="Times New Roman" w:hAnsi="Times New Roman" w:eastAsia="黑体" w:cs="Times New Roman"/>
          <w:kern w:val="0"/>
          <w:szCs w:val="21"/>
        </w:rPr>
      </w:pPr>
      <w:r>
        <w:rPr>
          <w:rFonts w:hint="eastAsia" w:ascii="黑体" w:hAnsi="黑体" w:eastAsia="黑体" w:cs="黑体"/>
          <w:kern w:val="0"/>
          <w:szCs w:val="21"/>
        </w:rPr>
        <w:t>3.1</w:t>
      </w:r>
      <w:r>
        <w:rPr>
          <w:rFonts w:hint="eastAsia" w:ascii="黑体" w:hAnsi="黑体" w:eastAsia="黑体" w:cs="黑体"/>
          <w:kern w:val="0"/>
          <w:szCs w:val="21"/>
          <w:lang w:eastAsia="zh-CN"/>
        </w:rPr>
        <w:t>行政规范性文件</w:t>
      </w:r>
      <w:r>
        <w:rPr>
          <w:rFonts w:hint="eastAsia" w:ascii="黑体" w:hAnsi="黑体" w:eastAsia="黑体" w:cs="黑体"/>
          <w:kern w:val="0"/>
          <w:szCs w:val="21"/>
        </w:rPr>
        <w:t xml:space="preserve">    </w:t>
      </w:r>
      <w:r>
        <w:rPr>
          <w:rFonts w:hint="default" w:ascii="Times New Roman" w:hAnsi="Times New Roman" w:eastAsia="黑体" w:cs="Times New Roman"/>
          <w:kern w:val="0"/>
          <w:szCs w:val="21"/>
        </w:rPr>
        <w:t>administrative normative document</w:t>
      </w:r>
    </w:p>
    <w:p>
      <w:pPr>
        <w:pStyle w:val="24"/>
        <w:numPr>
          <w:ilvl w:val="0"/>
          <w:numId w:val="0"/>
        </w:numPr>
        <w:spacing w:before="0" w:beforeLines="0" w:after="0" w:afterLines="0" w:line="440" w:lineRule="exact"/>
        <w:ind w:firstLine="420" w:firstLineChars="200"/>
        <w:rPr>
          <w:rFonts w:hint="eastAsia" w:ascii="宋体" w:hAnsi="宋体" w:eastAsia="宋体" w:cs="宋体"/>
        </w:rPr>
      </w:pPr>
      <w:r>
        <w:rPr>
          <w:rFonts w:hint="eastAsia" w:ascii="宋体" w:hAnsi="宋体" w:eastAsia="宋体" w:cs="宋体"/>
        </w:rPr>
        <w:t>除地方政府规章外，由制定机关依照法定权限、程序制定并公开发布，涉及公民、法人</w:t>
      </w:r>
      <w:r>
        <w:rPr>
          <w:rFonts w:hint="eastAsia" w:ascii="宋体" w:hAnsi="宋体" w:eastAsia="宋体" w:cs="宋体"/>
          <w:lang w:eastAsia="zh-CN"/>
        </w:rPr>
        <w:t>或</w:t>
      </w:r>
      <w:r>
        <w:rPr>
          <w:rFonts w:hint="eastAsia" w:ascii="宋体" w:hAnsi="宋体" w:eastAsia="宋体" w:cs="宋体"/>
        </w:rPr>
        <w:t>其他组织权利义务，具有普遍约束力，在一定期限内反复适用的公文。</w:t>
      </w:r>
    </w:p>
    <w:p>
      <w:pPr>
        <w:pStyle w:val="29"/>
        <w:numPr>
          <w:ilvl w:val="0"/>
          <w:numId w:val="0"/>
        </w:numPr>
        <w:spacing w:before="312" w:after="312" w:line="360" w:lineRule="auto"/>
        <w:rPr>
          <w:rFonts w:hint="eastAsia"/>
        </w:rPr>
      </w:pPr>
      <w:r>
        <w:rPr>
          <w:rFonts w:hint="eastAsia"/>
        </w:rPr>
        <w:t>3.2 合法性审核</w:t>
      </w:r>
    </w:p>
    <w:p>
      <w:pPr>
        <w:pStyle w:val="21"/>
        <w:keepNext w:val="0"/>
        <w:keepLines w:val="0"/>
        <w:pageBreakBefore w:val="0"/>
        <w:widowControl/>
        <w:kinsoku/>
        <w:wordWrap/>
        <w:overflowPunct/>
        <w:topLinePunct w:val="0"/>
        <w:autoSpaceDE w:val="0"/>
        <w:autoSpaceDN w:val="0"/>
        <w:bidi w:val="0"/>
        <w:adjustRightInd/>
        <w:snapToGrid/>
        <w:spacing w:line="360" w:lineRule="auto"/>
        <w:textAlignment w:val="auto"/>
        <w:rPr>
          <w:rFonts w:hint="eastAsia"/>
        </w:rPr>
      </w:pPr>
      <w:r>
        <w:rPr>
          <w:rFonts w:hint="eastAsia"/>
        </w:rPr>
        <w:t>各级人民政府及其部门具体承担规范性文件合法性审核工作的部门或者机构（以下简称审核机构）对行政规范性文件的制定权限、程序、内容是否符合法律、法规、规章、国家政策规定进行审核。</w:t>
      </w:r>
    </w:p>
    <w:p>
      <w:pPr>
        <w:pStyle w:val="29"/>
        <w:numPr>
          <w:ilvl w:val="0"/>
          <w:numId w:val="0"/>
        </w:numPr>
        <w:spacing w:before="312" w:after="312" w:line="360" w:lineRule="auto"/>
      </w:pPr>
      <w:r>
        <w:rPr>
          <w:rFonts w:hint="eastAsia"/>
        </w:rPr>
        <w:t xml:space="preserve">4 </w:t>
      </w:r>
      <w:r>
        <w:rPr>
          <w:rFonts w:hint="eastAsia"/>
          <w:lang w:eastAsia="zh-CN"/>
        </w:rPr>
        <w:t>基本</w:t>
      </w:r>
      <w:r>
        <w:rPr>
          <w:rFonts w:hint="eastAsia"/>
        </w:rPr>
        <w:t>要求</w:t>
      </w:r>
    </w:p>
    <w:p>
      <w:pPr>
        <w:pStyle w:val="24"/>
        <w:numPr>
          <w:ilvl w:val="0"/>
          <w:numId w:val="0"/>
        </w:numPr>
        <w:spacing w:before="156" w:after="156" w:line="440" w:lineRule="exact"/>
        <w:rPr>
          <w:rFonts w:hint="eastAsia" w:ascii="宋体" w:hAnsi="宋体" w:eastAsia="宋体" w:cs="宋体"/>
          <w:sz w:val="21"/>
          <w:szCs w:val="21"/>
        </w:rPr>
      </w:pPr>
      <w:r>
        <w:rPr>
          <w:rFonts w:hint="eastAsia" w:ascii="宋体" w:hAnsi="宋体" w:eastAsia="宋体" w:cs="宋体"/>
          <w:sz w:val="21"/>
          <w:szCs w:val="21"/>
        </w:rPr>
        <w:t>4.1明确行政规范性文件合法性审核的范围、主体、程序</w:t>
      </w:r>
      <w:r>
        <w:rPr>
          <w:rFonts w:hint="eastAsia" w:ascii="宋体" w:hAnsi="宋体" w:eastAsia="宋体" w:cs="宋体"/>
          <w:sz w:val="21"/>
          <w:szCs w:val="21"/>
          <w:lang w:eastAsia="zh-CN"/>
        </w:rPr>
        <w:t>、职责</w:t>
      </w:r>
      <w:r>
        <w:rPr>
          <w:rFonts w:hint="eastAsia" w:ascii="宋体" w:hAnsi="宋体" w:eastAsia="宋体" w:cs="宋体"/>
          <w:sz w:val="21"/>
          <w:szCs w:val="21"/>
        </w:rPr>
        <w:t>和责任，建立健全程序完备、权责一致、相互衔接、运行高效的合法性审核机制。</w:t>
      </w:r>
    </w:p>
    <w:p>
      <w:pPr>
        <w:pStyle w:val="24"/>
        <w:numPr>
          <w:ilvl w:val="0"/>
          <w:numId w:val="0"/>
        </w:numPr>
        <w:spacing w:before="156" w:after="156" w:line="440" w:lineRule="exact"/>
        <w:rPr>
          <w:rFonts w:hint="eastAsia" w:ascii="宋体" w:hAnsi="宋体" w:eastAsia="宋体" w:cs="宋体"/>
          <w:sz w:val="21"/>
          <w:szCs w:val="21"/>
        </w:rPr>
      </w:pPr>
      <w:r>
        <w:rPr>
          <w:rFonts w:hint="eastAsia" w:ascii="宋体" w:hAnsi="宋体" w:eastAsia="宋体" w:cs="宋体"/>
          <w:sz w:val="21"/>
          <w:szCs w:val="21"/>
        </w:rPr>
        <w:t>4.2设立专门工作机构或明确相关机构负责合法性审核工作，配齐配强审</w:t>
      </w:r>
      <w:r>
        <w:rPr>
          <w:rFonts w:hint="eastAsia" w:ascii="宋体" w:hAnsi="宋体" w:eastAsia="宋体" w:cs="宋体"/>
          <w:sz w:val="21"/>
          <w:szCs w:val="21"/>
          <w:lang w:eastAsia="zh-CN"/>
        </w:rPr>
        <w:t>核</w:t>
      </w:r>
      <w:r>
        <w:rPr>
          <w:rFonts w:hint="eastAsia" w:ascii="宋体" w:hAnsi="宋体" w:eastAsia="宋体" w:cs="宋体"/>
          <w:sz w:val="21"/>
          <w:szCs w:val="21"/>
        </w:rPr>
        <w:t>工作力量，确保与审核工作任务相适应。</w:t>
      </w:r>
    </w:p>
    <w:p>
      <w:pPr>
        <w:pStyle w:val="24"/>
        <w:numPr>
          <w:ilvl w:val="0"/>
          <w:numId w:val="0"/>
        </w:numPr>
        <w:spacing w:before="156" w:after="156" w:line="440" w:lineRule="exact"/>
        <w:rPr>
          <w:rFonts w:hint="eastAsia" w:ascii="宋体" w:hAnsi="宋体" w:eastAsia="宋体" w:cs="宋体"/>
          <w:sz w:val="21"/>
          <w:szCs w:val="21"/>
        </w:rPr>
      </w:pPr>
      <w:r>
        <w:rPr>
          <w:rFonts w:hint="eastAsia" w:ascii="宋体" w:hAnsi="宋体" w:eastAsia="宋体" w:cs="宋体"/>
          <w:sz w:val="21"/>
          <w:szCs w:val="21"/>
        </w:rPr>
        <w:t>4.3坚持应审尽审，确保所有行政规范性文件均纳入合法性审核范围，实现审核全覆盖。行政规范性文件未经合法性审核或经合法性审核不合法的，不得提交集体审议。不得以征求意见、会签、参加审议等方式代替合法性审核。</w:t>
      </w:r>
    </w:p>
    <w:p>
      <w:pPr>
        <w:pStyle w:val="24"/>
        <w:numPr>
          <w:ilvl w:val="0"/>
          <w:numId w:val="0"/>
        </w:numPr>
        <w:spacing w:before="156" w:after="156" w:line="440" w:lineRule="exact"/>
        <w:rPr>
          <w:rFonts w:hint="eastAsia" w:ascii="宋体" w:hAnsi="宋体" w:eastAsia="宋体" w:cs="宋体"/>
          <w:sz w:val="21"/>
          <w:szCs w:val="21"/>
        </w:rPr>
      </w:pPr>
      <w:r>
        <w:rPr>
          <w:rFonts w:hint="eastAsia" w:ascii="宋体" w:hAnsi="宋体" w:eastAsia="宋体" w:cs="宋体"/>
          <w:sz w:val="21"/>
          <w:szCs w:val="21"/>
        </w:rPr>
        <w:t>4.4坚持认真负责、客观审慎的工作原则，严格审核要求，确保行政规范性文件合法、有效，同时关注文件内容的适当性问题。</w:t>
      </w:r>
    </w:p>
    <w:p>
      <w:pPr>
        <w:pStyle w:val="24"/>
        <w:numPr>
          <w:ilvl w:val="0"/>
          <w:numId w:val="0"/>
        </w:numPr>
        <w:spacing w:before="156" w:after="156" w:line="440" w:lineRule="exact"/>
        <w:rPr>
          <w:rFonts w:hint="eastAsia" w:ascii="宋体" w:hAnsi="宋体" w:eastAsia="宋体" w:cs="宋体"/>
          <w:sz w:val="21"/>
          <w:szCs w:val="21"/>
        </w:rPr>
      </w:pPr>
      <w:r>
        <w:rPr>
          <w:rFonts w:hint="eastAsia" w:ascii="宋体" w:hAnsi="宋体" w:eastAsia="宋体" w:cs="宋体"/>
          <w:sz w:val="21"/>
          <w:szCs w:val="21"/>
        </w:rPr>
        <w:t>4.5将行政规范性文件合法性审核机制建设纳入法治政府建设督察内容，将行政规范性文件合法性审核工作纳入法治政府建设考评指标体系。</w:t>
      </w:r>
    </w:p>
    <w:p>
      <w:pPr>
        <w:pStyle w:val="29"/>
        <w:numPr>
          <w:ilvl w:val="0"/>
          <w:numId w:val="0"/>
        </w:numPr>
        <w:spacing w:before="312" w:after="312" w:line="360" w:lineRule="auto"/>
        <w:rPr>
          <w:rFonts w:hint="eastAsia"/>
        </w:rPr>
      </w:pPr>
      <w:r>
        <w:rPr>
          <w:rFonts w:hint="eastAsia"/>
        </w:rPr>
        <w:t>5 审核范围</w:t>
      </w:r>
    </w:p>
    <w:p>
      <w:pPr>
        <w:pStyle w:val="29"/>
        <w:numPr>
          <w:ilvl w:val="0"/>
          <w:numId w:val="0"/>
        </w:numPr>
        <w:spacing w:before="312" w:after="312" w:line="360" w:lineRule="auto"/>
        <w:rPr>
          <w:rFonts w:hint="eastAsia" w:asciiTheme="minorEastAsia" w:hAnsiTheme="minorEastAsia" w:eastAsiaTheme="minorEastAsia" w:cstheme="minorEastAsia"/>
        </w:rPr>
      </w:pPr>
      <w:r>
        <w:rPr>
          <w:rFonts w:hint="eastAsia" w:ascii="黑体" w:hAnsi="黑体" w:eastAsia="黑体" w:cs="Times New Roman"/>
          <w:lang w:eastAsia="zh-CN"/>
        </w:rPr>
        <w:t>5.1 行政规范性文件认定的主要方法</w:t>
      </w:r>
    </w:p>
    <w:p>
      <w:pPr>
        <w:pStyle w:val="21"/>
        <w:spacing w:line="360" w:lineRule="auto"/>
        <w:ind w:firstLine="420" w:firstLineChars="200"/>
        <w:rPr>
          <w:rFonts w:hint="eastAsia" w:hAnsi="宋体" w:cs="宋体"/>
          <w:szCs w:val="21"/>
        </w:rPr>
      </w:pPr>
      <w:r>
        <w:rPr>
          <w:rFonts w:hint="eastAsia" w:hAnsi="宋体" w:cs="宋体"/>
          <w:szCs w:val="21"/>
        </w:rPr>
        <w:t>认定行政规范性文件主要取决于文件内容，即判断文件内容是否同时具备外部适用性、普遍适用性、反复适用性等特征。</w:t>
      </w:r>
    </w:p>
    <w:p>
      <w:pPr>
        <w:pStyle w:val="21"/>
        <w:spacing w:line="360" w:lineRule="auto"/>
        <w:ind w:firstLine="420" w:firstLineChars="200"/>
        <w:rPr>
          <w:rFonts w:hint="eastAsia" w:hAnsi="宋体" w:cs="宋体"/>
          <w:szCs w:val="21"/>
        </w:rPr>
      </w:pPr>
      <w:r>
        <w:rPr>
          <w:rFonts w:hint="eastAsia" w:hAnsi="宋体" w:cs="宋体"/>
          <w:szCs w:val="21"/>
        </w:rPr>
        <w:t>a</w:t>
      </w:r>
      <w:r>
        <w:rPr>
          <w:rFonts w:hint="eastAsia" w:hAnsi="宋体" w:cs="宋体"/>
          <w:szCs w:val="21"/>
          <w:lang w:eastAsia="zh-CN"/>
        </w:rPr>
        <w:t>）</w:t>
      </w:r>
      <w:r>
        <w:rPr>
          <w:rFonts w:hint="eastAsia" w:hAnsi="宋体" w:cs="宋体"/>
          <w:szCs w:val="21"/>
        </w:rPr>
        <w:t>外部适用性。行政规范性文件的内容为制定机关对外履行行政管理职责事项，涉及公民、法人或其他组织权利义务；</w:t>
      </w:r>
    </w:p>
    <w:p>
      <w:pPr>
        <w:pStyle w:val="21"/>
        <w:spacing w:line="360" w:lineRule="auto"/>
        <w:ind w:firstLine="420" w:firstLineChars="200"/>
        <w:rPr>
          <w:rFonts w:hint="eastAsia" w:hAnsi="宋体" w:cs="宋体"/>
          <w:szCs w:val="21"/>
        </w:rPr>
      </w:pPr>
      <w:r>
        <w:rPr>
          <w:rFonts w:hint="eastAsia" w:hAnsi="宋体" w:cs="宋体"/>
          <w:szCs w:val="21"/>
        </w:rPr>
        <w:t>b)普遍适用性。行政规范性文件的内容对符合适用条件的不特定的公民、法人或其他组织具有普遍约束力；</w:t>
      </w:r>
    </w:p>
    <w:p>
      <w:pPr>
        <w:pStyle w:val="21"/>
        <w:spacing w:line="360" w:lineRule="auto"/>
        <w:ind w:firstLine="420" w:firstLineChars="200"/>
        <w:rPr>
          <w:rFonts w:hint="eastAsia" w:hAnsi="宋体" w:cs="宋体"/>
          <w:szCs w:val="21"/>
        </w:rPr>
      </w:pPr>
      <w:r>
        <w:rPr>
          <w:rFonts w:hint="eastAsia" w:hAnsi="宋体" w:cs="宋体"/>
          <w:szCs w:val="21"/>
        </w:rPr>
        <w:t>c)反复适用性。行政规范性文件自实施之日起的一定时间段内,对同一类行政管理事项可以反复适用。</w:t>
      </w:r>
    </w:p>
    <w:p>
      <w:pPr>
        <w:pStyle w:val="21"/>
        <w:spacing w:line="360" w:lineRule="auto"/>
        <w:ind w:firstLine="0" w:firstLineChars="0"/>
        <w:rPr>
          <w:rFonts w:hint="eastAsia" w:hAnsi="宋体" w:cs="宋体"/>
          <w:szCs w:val="21"/>
        </w:rPr>
      </w:pPr>
      <w:r>
        <w:rPr>
          <w:rFonts w:hint="eastAsia" w:ascii="黑体" w:hAnsi="黑体" w:eastAsia="黑体" w:cs="Times New Roman"/>
          <w:kern w:val="2"/>
          <w:sz w:val="21"/>
          <w:szCs w:val="24"/>
          <w:lang w:val="en-US" w:eastAsia="zh-CN" w:bidi="ar-SA"/>
        </w:rPr>
        <w:t>5.2 行政规范性文件认定的辅助方法</w:t>
      </w:r>
    </w:p>
    <w:p>
      <w:pPr>
        <w:pStyle w:val="21"/>
        <w:spacing w:line="360" w:lineRule="auto"/>
        <w:ind w:firstLine="420" w:firstLineChars="200"/>
        <w:rPr>
          <w:rFonts w:hint="eastAsia" w:hAnsi="宋体" w:cs="宋体"/>
          <w:szCs w:val="21"/>
        </w:rPr>
      </w:pPr>
      <w:r>
        <w:rPr>
          <w:rFonts w:hint="eastAsia" w:hAnsi="宋体" w:cs="宋体"/>
          <w:szCs w:val="21"/>
        </w:rPr>
        <w:t>按照《党政机关公文处理工作条例》第八条规定的公文种类，其中决议、命令、公报、通报、报告、请示、议案、函、纪要等9类公文一般不能成为行政规范性文件。决定、公告、通告、意见、通知、批复等6类公文可以成为行政规范性文件，但本质上是否属于行政规范性文件，仍应按照文件内容来判断。</w:t>
      </w:r>
    </w:p>
    <w:p>
      <w:pPr>
        <w:pStyle w:val="21"/>
        <w:spacing w:line="360" w:lineRule="auto"/>
        <w:ind w:firstLine="0" w:firstLineChars="0"/>
        <w:rPr>
          <w:rFonts w:hint="eastAsia" w:hAnsi="宋体" w:cs="宋体"/>
          <w:szCs w:val="21"/>
        </w:rPr>
      </w:pPr>
      <w:r>
        <w:rPr>
          <w:rFonts w:hint="eastAsia" w:ascii="黑体" w:hAnsi="黑体" w:eastAsia="黑体" w:cs="黑体"/>
          <w:szCs w:val="21"/>
        </w:rPr>
        <w:t>5.3不属于行政规范性文件的列举</w:t>
      </w:r>
    </w:p>
    <w:p>
      <w:pPr>
        <w:pStyle w:val="21"/>
        <w:spacing w:line="360" w:lineRule="auto"/>
        <w:ind w:firstLine="420" w:firstLineChars="200"/>
        <w:rPr>
          <w:rFonts w:hint="eastAsia" w:hAnsi="宋体" w:cs="宋体"/>
          <w:szCs w:val="21"/>
        </w:rPr>
      </w:pPr>
      <w:r>
        <w:rPr>
          <w:rFonts w:hint="eastAsia" w:hAnsi="宋体" w:cs="宋体"/>
          <w:szCs w:val="21"/>
        </w:rPr>
        <w:t>以下文件不纳入合法性审核的范围，包括但不限于：</w:t>
      </w:r>
    </w:p>
    <w:p>
      <w:pPr>
        <w:pStyle w:val="21"/>
        <w:spacing w:line="360" w:lineRule="auto"/>
        <w:ind w:firstLine="420" w:firstLineChars="200"/>
        <w:rPr>
          <w:rFonts w:hint="eastAsia" w:hAnsi="宋体" w:cs="宋体"/>
          <w:szCs w:val="21"/>
        </w:rPr>
      </w:pPr>
      <w:r>
        <w:rPr>
          <w:rFonts w:hint="eastAsia" w:hAnsi="宋体" w:cs="宋体"/>
          <w:szCs w:val="21"/>
        </w:rPr>
        <w:t>a)仅含有专业技术指标类内容，不含有对外行政管理规范类内容的文件，比如行业技术标准、技术操作规程；</w:t>
      </w:r>
    </w:p>
    <w:p>
      <w:pPr>
        <w:pStyle w:val="21"/>
        <w:spacing w:line="360" w:lineRule="auto"/>
        <w:ind w:firstLine="420" w:firstLineChars="200"/>
        <w:rPr>
          <w:rFonts w:hint="eastAsia" w:hAnsi="宋体" w:cs="宋体"/>
          <w:szCs w:val="21"/>
        </w:rPr>
      </w:pPr>
      <w:r>
        <w:rPr>
          <w:rFonts w:hint="eastAsia" w:hAnsi="宋体" w:cs="宋体"/>
          <w:szCs w:val="21"/>
        </w:rPr>
        <w:t>b)下达预算、分配资金、批复项目事项，不含有对外行政管理规范类内容的文件；</w:t>
      </w:r>
    </w:p>
    <w:p>
      <w:pPr>
        <w:pStyle w:val="21"/>
        <w:spacing w:line="360" w:lineRule="auto"/>
        <w:ind w:firstLine="420" w:firstLineChars="200"/>
        <w:rPr>
          <w:rFonts w:hint="eastAsia" w:hAnsi="宋体" w:cs="宋体"/>
          <w:szCs w:val="21"/>
        </w:rPr>
      </w:pPr>
      <w:r>
        <w:rPr>
          <w:rFonts w:hint="eastAsia" w:hAnsi="宋体" w:cs="宋体"/>
          <w:szCs w:val="21"/>
        </w:rPr>
        <w:t>c)向上级机关报送的各类请示报告；</w:t>
      </w:r>
    </w:p>
    <w:p>
      <w:pPr>
        <w:pStyle w:val="21"/>
        <w:spacing w:line="360" w:lineRule="auto"/>
        <w:ind w:firstLine="420" w:firstLineChars="200"/>
        <w:rPr>
          <w:rFonts w:hint="eastAsia" w:hAnsi="宋体" w:cs="宋体"/>
          <w:szCs w:val="21"/>
        </w:rPr>
      </w:pPr>
      <w:r>
        <w:rPr>
          <w:rFonts w:hint="eastAsia" w:hAnsi="宋体" w:cs="宋体"/>
          <w:szCs w:val="21"/>
        </w:rPr>
        <w:t>d)向</w:t>
      </w:r>
      <w:r>
        <w:rPr>
          <w:rFonts w:hint="eastAsia" w:hAnsi="宋体" w:cs="宋体"/>
          <w:szCs w:val="21"/>
          <w:lang w:eastAsia="zh-CN"/>
        </w:rPr>
        <w:t>不</w:t>
      </w:r>
      <w:r>
        <w:rPr>
          <w:rFonts w:hint="eastAsia" w:hAnsi="宋体" w:cs="宋体"/>
          <w:szCs w:val="21"/>
        </w:rPr>
        <w:t>相隶属机关商洽工作、询问和答复问题的函件；</w:t>
      </w:r>
    </w:p>
    <w:p>
      <w:pPr>
        <w:pStyle w:val="21"/>
        <w:spacing w:line="360" w:lineRule="auto"/>
        <w:ind w:firstLine="420" w:firstLineChars="200"/>
        <w:rPr>
          <w:rFonts w:hint="eastAsia" w:hAnsi="宋体" w:cs="宋体"/>
          <w:szCs w:val="21"/>
        </w:rPr>
      </w:pPr>
      <w:r>
        <w:rPr>
          <w:rFonts w:hint="eastAsia" w:hAnsi="宋体" w:cs="宋体"/>
          <w:szCs w:val="21"/>
        </w:rPr>
        <w:t>e)有关工作开展情况及工作安排事项、工作要点、目标管理责任书、重点工作任务分解、考核结果、人事任免及表彰奖惩等行政机关内部管理事项；</w:t>
      </w:r>
    </w:p>
    <w:p>
      <w:pPr>
        <w:pStyle w:val="21"/>
        <w:spacing w:line="360" w:lineRule="auto"/>
        <w:ind w:firstLine="420" w:firstLineChars="200"/>
        <w:rPr>
          <w:rFonts w:hint="eastAsia" w:hAnsi="宋体" w:cs="宋体"/>
          <w:szCs w:val="21"/>
        </w:rPr>
      </w:pPr>
      <w:r>
        <w:rPr>
          <w:rFonts w:hint="eastAsia" w:hAnsi="宋体" w:cs="宋体"/>
          <w:szCs w:val="21"/>
        </w:rPr>
        <w:t>f)行政机关内部执行的管理规范、工作制度、机构编制、会议纪要、工作方案等；</w:t>
      </w:r>
    </w:p>
    <w:p>
      <w:pPr>
        <w:pStyle w:val="21"/>
        <w:spacing w:line="360" w:lineRule="auto"/>
        <w:ind w:firstLine="420" w:firstLineChars="200"/>
        <w:rPr>
          <w:rFonts w:hint="eastAsia" w:hAnsi="宋体" w:cs="宋体"/>
          <w:szCs w:val="21"/>
        </w:rPr>
      </w:pPr>
      <w:r>
        <w:rPr>
          <w:rFonts w:hint="eastAsia" w:hAnsi="宋体" w:cs="宋体"/>
          <w:szCs w:val="21"/>
        </w:rPr>
        <w:t>g)工作领导小组以及议事协调机构成立、撤销及人员调整事项。</w:t>
      </w:r>
    </w:p>
    <w:p>
      <w:pPr>
        <w:pStyle w:val="29"/>
        <w:numPr>
          <w:ilvl w:val="0"/>
          <w:numId w:val="0"/>
        </w:numPr>
        <w:spacing w:before="312" w:after="312" w:line="360" w:lineRule="auto"/>
      </w:pPr>
      <w:r>
        <w:rPr>
          <w:rFonts w:hint="eastAsia"/>
        </w:rPr>
        <w:t>6 审核机构</w:t>
      </w:r>
    </w:p>
    <w:p>
      <w:pPr>
        <w:pStyle w:val="6"/>
        <w:spacing w:line="360" w:lineRule="auto"/>
        <w:ind w:left="0" w:leftChars="0"/>
        <w:rPr>
          <w:rFonts w:ascii="黑体" w:hAnsi="黑体" w:eastAsia="黑体"/>
          <w:kern w:val="2"/>
          <w:sz w:val="21"/>
          <w:szCs w:val="24"/>
        </w:rPr>
      </w:pPr>
      <w:r>
        <w:rPr>
          <w:rFonts w:hint="eastAsia" w:ascii="黑体" w:hAnsi="黑体" w:eastAsia="黑体"/>
          <w:kern w:val="2"/>
          <w:sz w:val="21"/>
          <w:szCs w:val="24"/>
        </w:rPr>
        <w:t>6.1审核分级负责</w:t>
      </w:r>
    </w:p>
    <w:p>
      <w:pPr>
        <w:pStyle w:val="6"/>
        <w:spacing w:line="360" w:lineRule="auto"/>
        <w:ind w:left="0" w:leftChars="0" w:firstLine="420" w:firstLineChars="200"/>
        <w:rPr>
          <w:rFonts w:hint="eastAsia" w:ascii="宋体" w:hAnsi="宋体" w:cs="宋体"/>
          <w:kern w:val="2"/>
          <w:sz w:val="21"/>
          <w:szCs w:val="21"/>
        </w:rPr>
      </w:pPr>
      <w:r>
        <w:rPr>
          <w:rFonts w:hint="eastAsia" w:ascii="宋体" w:hAnsi="宋体" w:cs="宋体"/>
          <w:kern w:val="2"/>
          <w:sz w:val="21"/>
          <w:szCs w:val="21"/>
        </w:rPr>
        <w:t>行政规范性文件合法性审核实行分级负责制，各级人民政府及其部门要明确具体承担行政规范性文件合法性审核工作的部门或机构，包括以下情形：</w:t>
      </w:r>
    </w:p>
    <w:p>
      <w:pPr>
        <w:pStyle w:val="6"/>
        <w:spacing w:line="360" w:lineRule="auto"/>
        <w:ind w:left="0" w:leftChars="0" w:firstLine="420" w:firstLineChars="200"/>
        <w:rPr>
          <w:rFonts w:hint="eastAsia" w:ascii="宋体" w:hAnsi="宋体" w:cs="宋体"/>
          <w:kern w:val="2"/>
          <w:sz w:val="21"/>
          <w:szCs w:val="21"/>
        </w:rPr>
      </w:pPr>
      <w:r>
        <w:rPr>
          <w:rFonts w:hint="eastAsia" w:ascii="宋体" w:hAnsi="宋体" w:cs="宋体"/>
          <w:kern w:val="2"/>
          <w:sz w:val="21"/>
          <w:szCs w:val="21"/>
        </w:rPr>
        <w:t>a)以县级以上人民政府或其办公机构名义印发的行政规范性文件，或由县级以上人民政府部门起草、报请本级人民政府批准后以部门名义印发的行政规范性文件，应由起草部门审核机构进行审核，再由政府审核机构进行审核；</w:t>
      </w:r>
    </w:p>
    <w:p>
      <w:pPr>
        <w:pStyle w:val="6"/>
        <w:spacing w:line="360" w:lineRule="auto"/>
        <w:ind w:left="0" w:leftChars="0" w:firstLine="420" w:firstLineChars="200"/>
        <w:rPr>
          <w:rFonts w:hint="eastAsia" w:ascii="宋体" w:hAnsi="宋体" w:cs="宋体"/>
          <w:kern w:val="2"/>
          <w:sz w:val="21"/>
          <w:szCs w:val="21"/>
        </w:rPr>
      </w:pPr>
      <w:r>
        <w:rPr>
          <w:rFonts w:hint="eastAsia" w:ascii="宋体" w:hAnsi="宋体" w:cs="宋体"/>
          <w:kern w:val="2"/>
          <w:sz w:val="21"/>
          <w:szCs w:val="21"/>
        </w:rPr>
        <w:t>b</w:t>
      </w:r>
      <w:r>
        <w:rPr>
          <w:rFonts w:hint="eastAsia" w:ascii="宋体" w:hAnsi="宋体" w:cs="宋体"/>
          <w:kern w:val="2"/>
          <w:sz w:val="21"/>
          <w:szCs w:val="21"/>
          <w:lang w:eastAsia="zh-CN"/>
        </w:rPr>
        <w:t>）</w:t>
      </w:r>
      <w:r>
        <w:rPr>
          <w:rFonts w:hint="eastAsia" w:ascii="宋体" w:hAnsi="宋体" w:cs="宋体"/>
          <w:kern w:val="2"/>
          <w:sz w:val="21"/>
          <w:szCs w:val="21"/>
        </w:rPr>
        <w:t>县级以上人民政府部门自行制定的行政规范性文件，由本部门审核机构进行审核；</w:t>
      </w:r>
    </w:p>
    <w:p>
      <w:pPr>
        <w:pStyle w:val="6"/>
        <w:spacing w:line="360" w:lineRule="auto"/>
        <w:ind w:left="0" w:leftChars="0" w:firstLine="420" w:firstLineChars="200"/>
        <w:rPr>
          <w:rFonts w:hint="eastAsia" w:ascii="宋体" w:hAnsi="宋体" w:cs="宋体"/>
          <w:kern w:val="2"/>
          <w:sz w:val="21"/>
          <w:szCs w:val="21"/>
        </w:rPr>
      </w:pPr>
      <w:r>
        <w:rPr>
          <w:rFonts w:hint="eastAsia" w:ascii="宋体" w:hAnsi="宋体" w:cs="宋体"/>
          <w:kern w:val="2"/>
          <w:sz w:val="21"/>
          <w:szCs w:val="21"/>
        </w:rPr>
        <w:t>c</w:t>
      </w:r>
      <w:r>
        <w:rPr>
          <w:rFonts w:hint="eastAsia" w:ascii="宋体" w:hAnsi="宋体" w:cs="宋体"/>
          <w:kern w:val="2"/>
          <w:sz w:val="21"/>
          <w:szCs w:val="21"/>
          <w:lang w:eastAsia="zh-CN"/>
        </w:rPr>
        <w:t>）</w:t>
      </w:r>
      <w:r>
        <w:rPr>
          <w:rFonts w:hint="eastAsia" w:ascii="宋体" w:hAnsi="宋体" w:cs="宋体"/>
          <w:kern w:val="2"/>
          <w:sz w:val="21"/>
          <w:szCs w:val="21"/>
        </w:rPr>
        <w:t>乡</w:t>
      </w:r>
      <w:r>
        <w:rPr>
          <w:rFonts w:hint="eastAsia" w:ascii="宋体" w:hAnsi="宋体" w:cs="宋体"/>
          <w:kern w:val="2"/>
          <w:sz w:val="21"/>
          <w:szCs w:val="21"/>
          <w:lang w:eastAsia="zh-CN"/>
        </w:rPr>
        <w:t>、</w:t>
      </w:r>
      <w:r>
        <w:rPr>
          <w:rFonts w:hint="eastAsia" w:ascii="宋体" w:hAnsi="宋体" w:cs="宋体"/>
          <w:kern w:val="2"/>
          <w:sz w:val="21"/>
          <w:szCs w:val="21"/>
        </w:rPr>
        <w:t>镇人民政府和街道办事处制定的行政规范性文件，应明确专门审核机构或专门审核人员开展审核工作；暂不具备审核条件的，可由县（市、区）人民政府审核机构进行审核；</w:t>
      </w:r>
    </w:p>
    <w:p>
      <w:pPr>
        <w:pStyle w:val="6"/>
        <w:spacing w:line="360" w:lineRule="auto"/>
        <w:ind w:left="0" w:leftChars="0" w:firstLine="420" w:firstLineChars="200"/>
        <w:rPr>
          <w:rFonts w:hint="eastAsia" w:ascii="宋体" w:hAnsi="宋体" w:cs="宋体"/>
          <w:kern w:val="2"/>
          <w:sz w:val="21"/>
          <w:szCs w:val="21"/>
        </w:rPr>
      </w:pPr>
      <w:r>
        <w:rPr>
          <w:rFonts w:hint="eastAsia" w:ascii="宋体" w:hAnsi="宋体" w:cs="宋体"/>
          <w:kern w:val="2"/>
          <w:sz w:val="21"/>
          <w:szCs w:val="21"/>
        </w:rPr>
        <w:t>d</w:t>
      </w:r>
      <w:r>
        <w:rPr>
          <w:rFonts w:hint="eastAsia" w:ascii="宋体" w:hAnsi="宋体" w:cs="宋体"/>
          <w:kern w:val="2"/>
          <w:sz w:val="21"/>
          <w:szCs w:val="21"/>
          <w:lang w:eastAsia="zh-CN"/>
        </w:rPr>
        <w:t>）</w:t>
      </w:r>
      <w:r>
        <w:rPr>
          <w:rFonts w:hint="eastAsia" w:ascii="宋体" w:hAnsi="宋体" w:cs="宋体"/>
          <w:kern w:val="2"/>
          <w:sz w:val="21"/>
          <w:szCs w:val="21"/>
        </w:rPr>
        <w:t>多个部门联合制定的行政规范性文件，各部门审核机构对涉及本部门的规定分别进行审核，牵头部门同时做好各</w:t>
      </w:r>
      <w:r>
        <w:rPr>
          <w:rFonts w:hint="eastAsia" w:ascii="宋体" w:hAnsi="宋体" w:cs="宋体"/>
          <w:kern w:val="2"/>
          <w:sz w:val="21"/>
          <w:szCs w:val="21"/>
          <w:lang w:eastAsia="zh-CN"/>
        </w:rPr>
        <w:t>部</w:t>
      </w:r>
      <w:r>
        <w:rPr>
          <w:rFonts w:hint="eastAsia" w:ascii="宋体" w:hAnsi="宋体" w:cs="宋体"/>
          <w:kern w:val="2"/>
          <w:sz w:val="21"/>
          <w:szCs w:val="21"/>
        </w:rPr>
        <w:t>门审核意见的汇总收集工作。</w:t>
      </w:r>
    </w:p>
    <w:p>
      <w:pPr>
        <w:pStyle w:val="6"/>
        <w:spacing w:line="360" w:lineRule="auto"/>
        <w:ind w:left="0" w:leftChars="0"/>
        <w:rPr>
          <w:rFonts w:ascii="黑体" w:hAnsi="黑体" w:eastAsia="黑体"/>
          <w:kern w:val="2"/>
          <w:sz w:val="21"/>
          <w:szCs w:val="24"/>
        </w:rPr>
      </w:pPr>
      <w:r>
        <w:rPr>
          <w:rFonts w:hint="eastAsia" w:ascii="黑体" w:hAnsi="黑体" w:eastAsia="黑体"/>
          <w:kern w:val="2"/>
          <w:sz w:val="21"/>
          <w:szCs w:val="24"/>
        </w:rPr>
        <w:t>6.2审核协调机制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6.2.1 建立健全制定机关办公机构、起草部门以及其他相关单位配合审核机构做好行政规范性文件合法性审核工作的协调机制。</w:t>
      </w:r>
    </w:p>
    <w:p>
      <w:pPr>
        <w:pStyle w:val="6"/>
        <w:spacing w:line="360" w:lineRule="auto"/>
        <w:ind w:left="0" w:leftChars="0"/>
        <w:rPr>
          <w:b/>
          <w:strike/>
        </w:rPr>
      </w:pPr>
      <w:r>
        <w:rPr>
          <w:rFonts w:hint="eastAsia" w:asciiTheme="minorEastAsia" w:hAnsiTheme="minorEastAsia" w:eastAsiaTheme="minorEastAsia" w:cstheme="minorEastAsia"/>
          <w:color w:val="auto"/>
          <w:sz w:val="21"/>
          <w:szCs w:val="21"/>
          <w:u w:val="none"/>
        </w:rPr>
        <w:t>6.2.2涉及</w:t>
      </w:r>
      <w:r>
        <w:rPr>
          <w:rFonts w:hint="eastAsia" w:asciiTheme="minorEastAsia" w:hAnsiTheme="minorEastAsia" w:eastAsiaTheme="minorEastAsia" w:cstheme="minorEastAsia"/>
          <w:color w:val="auto"/>
          <w:sz w:val="21"/>
          <w:szCs w:val="21"/>
          <w:u w:val="none"/>
          <w:lang w:eastAsia="zh-CN"/>
        </w:rPr>
        <w:t>京津冀协同</w:t>
      </w:r>
      <w:r>
        <w:rPr>
          <w:rFonts w:hint="eastAsia" w:asciiTheme="minorEastAsia" w:hAnsiTheme="minorEastAsia" w:eastAsiaTheme="minorEastAsia" w:cstheme="minorEastAsia"/>
          <w:color w:val="auto"/>
          <w:sz w:val="21"/>
          <w:szCs w:val="21"/>
          <w:u w:val="none"/>
        </w:rPr>
        <w:t>发展等内容的行政规范性文件，起草部门应主动加强与</w:t>
      </w:r>
      <w:r>
        <w:rPr>
          <w:rFonts w:hint="eastAsia" w:asciiTheme="minorEastAsia" w:hAnsiTheme="minorEastAsia" w:eastAsiaTheme="minorEastAsia" w:cstheme="minorEastAsia"/>
          <w:color w:val="auto"/>
          <w:sz w:val="21"/>
          <w:szCs w:val="21"/>
          <w:u w:val="none"/>
          <w:lang w:eastAsia="zh-CN"/>
        </w:rPr>
        <w:t>京津</w:t>
      </w:r>
      <w:r>
        <w:rPr>
          <w:rFonts w:hint="eastAsia" w:asciiTheme="minorEastAsia" w:hAnsiTheme="minorEastAsia" w:eastAsiaTheme="minorEastAsia" w:cstheme="minorEastAsia"/>
          <w:color w:val="auto"/>
          <w:sz w:val="21"/>
          <w:szCs w:val="21"/>
          <w:u w:val="none"/>
        </w:rPr>
        <w:t>相关政府及其部门合法性审核机构沟通联络，探索建立协作审核机制，促进政策协同。</w:t>
      </w:r>
    </w:p>
    <w:p>
      <w:pPr>
        <w:pStyle w:val="24"/>
        <w:numPr>
          <w:ilvl w:val="0"/>
          <w:numId w:val="0"/>
        </w:numPr>
        <w:spacing w:before="156" w:after="156"/>
        <w:rPr>
          <w:rFonts w:ascii="Calibri" w:hAnsi="Calibri" w:eastAsia="宋体"/>
          <w:b/>
          <w:kern w:val="0"/>
          <w:sz w:val="20"/>
          <w:szCs w:val="20"/>
        </w:rPr>
      </w:pPr>
      <w:r>
        <w:rPr>
          <w:rFonts w:hint="eastAsia" w:ascii="黑体" w:hAnsi="黑体" w:eastAsia="黑体" w:cs="Times New Roman"/>
          <w:kern w:val="2"/>
          <w:sz w:val="21"/>
          <w:szCs w:val="24"/>
          <w:lang w:val="en-US" w:eastAsia="zh-CN" w:bidi="ar-SA"/>
        </w:rPr>
        <w:t>7 审核程序</w:t>
      </w:r>
    </w:p>
    <w:p>
      <w:pPr>
        <w:spacing w:line="360" w:lineRule="auto"/>
        <w:rPr>
          <w:rFonts w:hint="eastAsia" w:asciiTheme="minorEastAsia" w:hAnsiTheme="minorEastAsia" w:eastAsiaTheme="minorEastAsia" w:cstheme="minorEastAsia"/>
          <w:color w:val="auto"/>
          <w:sz w:val="21"/>
          <w:szCs w:val="21"/>
        </w:rPr>
      </w:pPr>
      <w:r>
        <w:rPr>
          <w:rFonts w:hint="eastAsia" w:ascii="黑体" w:hAnsi="黑体" w:eastAsia="黑体" w:cs="黑体"/>
          <w:b w:val="0"/>
          <w:bCs/>
          <w:kern w:val="0"/>
          <w:sz w:val="21"/>
          <w:szCs w:val="21"/>
          <w:lang w:val="en-US" w:eastAsia="zh-CN" w:bidi="ar-SA"/>
        </w:rPr>
        <w:t>7.1 收文登记</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审核机构收到送审件后，应逐件进行登记，履行收文分办程序。</w:t>
      </w:r>
    </w:p>
    <w:p>
      <w:pPr>
        <w:spacing w:line="360" w:lineRule="auto"/>
        <w:rPr>
          <w:rFonts w:hint="eastAsia" w:ascii="黑体" w:hAnsi="黑体" w:eastAsia="黑体" w:cs="黑体"/>
          <w:b w:val="0"/>
          <w:bCs/>
          <w:kern w:val="0"/>
          <w:sz w:val="21"/>
          <w:szCs w:val="21"/>
          <w:lang w:val="en-US" w:eastAsia="zh-CN" w:bidi="ar-SA"/>
        </w:rPr>
      </w:pPr>
      <w:r>
        <w:rPr>
          <w:rFonts w:hint="eastAsia" w:ascii="黑体" w:hAnsi="黑体" w:eastAsia="黑体" w:cs="黑体"/>
          <w:b w:val="0"/>
          <w:bCs/>
          <w:kern w:val="0"/>
          <w:sz w:val="21"/>
          <w:szCs w:val="21"/>
          <w:lang w:val="en-US" w:eastAsia="zh-CN" w:bidi="ar-SA"/>
        </w:rPr>
        <w:t>7.2核验材料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审核人员收到送审</w:t>
      </w:r>
      <w:r>
        <w:rPr>
          <w:rFonts w:hint="eastAsia" w:asciiTheme="minorEastAsia" w:hAnsiTheme="minorEastAsia" w:eastAsiaTheme="minorEastAsia" w:cstheme="minorEastAsia"/>
          <w:color w:val="auto"/>
          <w:sz w:val="21"/>
          <w:szCs w:val="21"/>
          <w:lang w:eastAsia="zh-CN"/>
        </w:rPr>
        <w:t>材料</w:t>
      </w:r>
      <w:r>
        <w:rPr>
          <w:rFonts w:hint="eastAsia" w:asciiTheme="minorEastAsia" w:hAnsiTheme="minorEastAsia" w:eastAsiaTheme="minorEastAsia" w:cstheme="minorEastAsia"/>
          <w:color w:val="auto"/>
          <w:sz w:val="21"/>
          <w:szCs w:val="21"/>
        </w:rPr>
        <w:t>后应及时核验送审件的完备性。</w:t>
      </w:r>
      <w:r>
        <w:rPr>
          <w:rFonts w:hint="eastAsia" w:asciiTheme="minorEastAsia" w:hAnsiTheme="minorEastAsia" w:eastAsiaTheme="minorEastAsia" w:cstheme="minorEastAsia"/>
          <w:strike w:val="0"/>
          <w:dstrike w:val="0"/>
          <w:color w:val="auto"/>
          <w:sz w:val="21"/>
          <w:szCs w:val="21"/>
          <w:lang w:eastAsia="zh-CN"/>
        </w:rPr>
        <w:t>认为不完备的</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应当在</w:t>
      </w:r>
      <w:r>
        <w:rPr>
          <w:rFonts w:hint="eastAsia" w:asciiTheme="minorEastAsia" w:hAnsiTheme="minorEastAsia" w:eastAsiaTheme="minorEastAsia" w:cstheme="minorEastAsia"/>
          <w:color w:val="auto"/>
          <w:sz w:val="21"/>
          <w:szCs w:val="21"/>
          <w:lang w:val="en-US" w:eastAsia="zh-CN"/>
        </w:rPr>
        <w:t>3日告知起草单位补充完善</w:t>
      </w:r>
      <w:r>
        <w:rPr>
          <w:rFonts w:hint="eastAsia" w:asciiTheme="minorEastAsia" w:hAnsiTheme="minorEastAsia" w:eastAsiaTheme="minorEastAsia" w:cstheme="minorEastAsia"/>
          <w:color w:val="auto"/>
          <w:sz w:val="21"/>
          <w:szCs w:val="21"/>
        </w:rPr>
        <w:t>。送审材料包括</w:t>
      </w:r>
      <w:r>
        <w:rPr>
          <w:rFonts w:hint="eastAsia" w:asciiTheme="minorEastAsia" w:hAnsiTheme="minorEastAsia" w:eastAsiaTheme="minorEastAsia" w:cstheme="minorEastAsia"/>
          <w:color w:val="auto"/>
          <w:sz w:val="21"/>
          <w:szCs w:val="21"/>
          <w:lang w:eastAsia="zh-CN"/>
        </w:rPr>
        <w:t>但不限于</w:t>
      </w:r>
      <w:r>
        <w:rPr>
          <w:rFonts w:hint="eastAsia" w:asciiTheme="minorEastAsia" w:hAnsiTheme="minorEastAsia" w:eastAsiaTheme="minorEastAsia" w:cstheme="minor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u w:val="single"/>
          <w:lang w:eastAsia="zh-CN"/>
        </w:rPr>
      </w:pPr>
      <w:r>
        <w:rPr>
          <w:rFonts w:hint="eastAsia" w:asciiTheme="minorEastAsia" w:hAnsiTheme="minorEastAsia" w:eastAsiaTheme="minorEastAsia" w:cstheme="minorEastAsia"/>
          <w:color w:val="auto"/>
          <w:sz w:val="21"/>
          <w:szCs w:val="21"/>
        </w:rPr>
        <w:t>a</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u w:val="none"/>
        </w:rPr>
        <w:t>制定机关负责人关于行政规范性文件送审稿的批示或送审函；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b</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文件送审稿及其说明。行政规范性文件的送审稿和起草说明。送审稿应当格式字体规范,起草说明应当包括制定文件的必要性和可行性、需要解决的主要问题、拟规定的主要制度和拟采取的主要措施、起草情况、公开征求意见的情况及意见采纳反馈情况等内容</w:t>
      </w:r>
      <w:r>
        <w:rPr>
          <w:rFonts w:hint="eastAsia" w:asciiTheme="minorEastAsia" w:hAnsiTheme="minorEastAsia" w:eastAsiaTheme="minorEastAsia" w:cstheme="minorEastAsia"/>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制定依据。包括制定行政规范性文件所依据的法律、法规、规章和上级行政规范性文件</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行政规范性文件条文依据对照表；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程序性材料。包括征求意见、公众参与、专家论证、风险评估、公平竞争审查</w:t>
      </w:r>
      <w:r>
        <w:rPr>
          <w:rFonts w:hint="eastAsia" w:asciiTheme="minorEastAsia" w:hAnsiTheme="minorEastAsia" w:eastAsiaTheme="minorEastAsia" w:cstheme="minorEastAsia"/>
          <w:color w:val="auto"/>
          <w:sz w:val="21"/>
          <w:szCs w:val="21"/>
          <w:lang w:eastAsia="zh-CN"/>
        </w:rPr>
        <w:t>，代政府起草或注明经政府同意的文件，起草部门还应当提供合法性审核初审意见等相关材料</w:t>
      </w:r>
      <w:r>
        <w:rPr>
          <w:rFonts w:hint="eastAsia" w:asciiTheme="minorEastAsia" w:hAnsiTheme="minorEastAsia" w:eastAsiaTheme="minorEastAsia" w:cstheme="minorEastAsia"/>
          <w:color w:val="auto"/>
          <w:sz w:val="21"/>
          <w:szCs w:val="21"/>
        </w:rPr>
        <w:t>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针对不同审核内容需要的其他材料等。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b w:val="0"/>
          <w:bCs/>
          <w:kern w:val="0"/>
          <w:sz w:val="21"/>
          <w:szCs w:val="21"/>
          <w:lang w:val="en-US" w:eastAsia="zh-CN" w:bidi="ar-SA"/>
        </w:rPr>
        <w:t>7.3依法审核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7.3.1审核人员应认真研读送审材料，从制定权限、程序、内容等方面开展合法性审核工作。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7.3.2根据实际需要，合法性审核可采取下列工作方式：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a)书面审核；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b)与起草部门或有关职能部门进行沟通；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c)组织法律顾问、公职律师、有关专家学者等进行论证；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d)组织有关单位集体会商或书面征求意见；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e)委托第三方辅助审核。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7</w:t>
      </w:r>
      <w:r>
        <w:rPr>
          <w:rFonts w:hint="eastAsia" w:ascii="黑体" w:hAnsi="黑体" w:eastAsia="黑体" w:cs="黑体"/>
          <w:color w:val="auto"/>
          <w:sz w:val="21"/>
          <w:szCs w:val="21"/>
          <w:lang w:eastAsia="zh-CN"/>
        </w:rPr>
        <w:t>.</w:t>
      </w:r>
      <w:r>
        <w:rPr>
          <w:rFonts w:hint="eastAsia" w:ascii="黑体" w:hAnsi="黑体" w:eastAsia="黑体" w:cs="黑体"/>
          <w:color w:val="auto"/>
          <w:sz w:val="21"/>
          <w:szCs w:val="21"/>
        </w:rPr>
        <w:t>4形成并反馈审核意见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7.4.1审核人员综合个人主审、专家协审等方面意见，全面梳理文件送审稿可能存在的</w:t>
      </w:r>
      <w:r>
        <w:rPr>
          <w:rFonts w:hint="eastAsia" w:asciiTheme="minorEastAsia" w:hAnsiTheme="minorEastAsia" w:eastAsiaTheme="minorEastAsia" w:cstheme="minorEastAsia"/>
          <w:color w:val="auto"/>
          <w:sz w:val="21"/>
          <w:szCs w:val="21"/>
          <w:lang w:eastAsia="zh-CN"/>
        </w:rPr>
        <w:t>法律风险</w:t>
      </w:r>
      <w:r>
        <w:rPr>
          <w:rFonts w:hint="eastAsia" w:asciiTheme="minorEastAsia" w:hAnsiTheme="minorEastAsia" w:eastAsiaTheme="minorEastAsia" w:cstheme="minorEastAsia"/>
          <w:color w:val="auto"/>
          <w:sz w:val="21"/>
          <w:szCs w:val="21"/>
        </w:rPr>
        <w:t>，审慎提出审核意见。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7.4.2审核意见按办文程序报批后，加盖公章、统一编号后反馈</w:t>
      </w:r>
      <w:r>
        <w:rPr>
          <w:rFonts w:hint="eastAsia" w:asciiTheme="minorEastAsia" w:hAnsiTheme="minorEastAsia" w:eastAsiaTheme="minorEastAsia" w:cstheme="minorEastAsia"/>
          <w:color w:val="auto"/>
          <w:sz w:val="21"/>
          <w:szCs w:val="21"/>
          <w:lang w:eastAsia="zh-CN"/>
        </w:rPr>
        <w:t>相关单位</w:t>
      </w:r>
      <w:r>
        <w:rPr>
          <w:rFonts w:hint="eastAsia" w:asciiTheme="minorEastAsia" w:hAnsiTheme="minorEastAsia" w:eastAsiaTheme="minorEastAsia" w:cstheme="minor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7.4.3行政规范性文件合法性审核时间一般不少于5个工作日，最长不超过15个工作日</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为了预防、应对和处置突发事件，或执行上级机关的紧急命令和决定需要立即制定实施行政规范性文件除外</w:t>
      </w:r>
      <w:r>
        <w:rPr>
          <w:rFonts w:hint="eastAsia" w:asciiTheme="minorEastAsia" w:hAnsiTheme="minorEastAsia" w:eastAsiaTheme="minorEastAsia" w:cstheme="minorEastAsia"/>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7.4.4送审材料不全的,审核机构应一次性告知制定机关,审核期限自送审材料补齐之日起算。</w:t>
      </w:r>
      <w:r>
        <w:rPr>
          <w:rFonts w:hint="eastAsia" w:asciiTheme="minorEastAsia" w:hAnsiTheme="minorEastAsia" w:eastAsiaTheme="minorEastAsia" w:cstheme="minorEastAsia"/>
          <w:color w:val="auto"/>
          <w:sz w:val="21"/>
          <w:szCs w:val="21"/>
        </w:rPr>
        <w:t>审核过程中的起草部门补充材料、征求意见、专家论证等时间不计算在内。</w:t>
      </w:r>
      <w:r>
        <w:rPr>
          <w:rFonts w:hint="eastAsia" w:asciiTheme="minorEastAsia" w:hAnsiTheme="minorEastAsia" w:eastAsiaTheme="minorEastAsia" w:cstheme="minorEastAsia"/>
          <w:color w:val="auto"/>
          <w:sz w:val="21"/>
          <w:szCs w:val="21"/>
          <w:lang w:val="en-US" w:eastAsia="zh-CN"/>
        </w:rPr>
        <w:t>制定机关根据审核机构的意见修改后再次提交合法性审核的,审核期限重新计算。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7</w:t>
      </w:r>
      <w:r>
        <w:rPr>
          <w:rFonts w:hint="eastAsia" w:ascii="黑体" w:hAnsi="黑体" w:eastAsia="黑体" w:cs="黑体"/>
          <w:color w:val="auto"/>
          <w:sz w:val="21"/>
          <w:szCs w:val="21"/>
          <w:lang w:eastAsia="zh-CN"/>
        </w:rPr>
        <w:t>.</w:t>
      </w:r>
      <w:r>
        <w:rPr>
          <w:rFonts w:hint="eastAsia" w:ascii="黑体" w:hAnsi="黑体" w:eastAsia="黑体" w:cs="黑体"/>
          <w:color w:val="auto"/>
          <w:sz w:val="21"/>
          <w:szCs w:val="21"/>
        </w:rPr>
        <w:t>5</w:t>
      </w:r>
      <w:r>
        <w:rPr>
          <w:rFonts w:hint="eastAsia" w:ascii="黑体" w:hAnsi="黑体" w:eastAsia="黑体" w:cs="黑体"/>
          <w:color w:val="auto"/>
          <w:sz w:val="21"/>
          <w:szCs w:val="21"/>
          <w:lang w:val="en-US" w:eastAsia="zh-CN"/>
        </w:rPr>
        <w:t xml:space="preserve"> </w:t>
      </w:r>
      <w:r>
        <w:rPr>
          <w:rFonts w:hint="eastAsia" w:ascii="黑体" w:hAnsi="黑体" w:eastAsia="黑体" w:cs="黑体"/>
          <w:color w:val="auto"/>
          <w:sz w:val="21"/>
          <w:szCs w:val="21"/>
        </w:rPr>
        <w:t>及时归档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7.5.1审核工作完成后，审核人员应在5个工作日内将审核资料整理齐全</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归档管理。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7.5.2行政规范性文件合法性审核7.1至7.5流程参见附录A。县级以上地方人民政府部门、</w:t>
      </w:r>
      <w:r>
        <w:rPr>
          <w:rFonts w:hint="eastAsia" w:asciiTheme="minorEastAsia" w:hAnsiTheme="minorEastAsia" w:eastAsiaTheme="minorEastAsia" w:cstheme="minorEastAsia"/>
          <w:color w:val="auto"/>
          <w:sz w:val="21"/>
          <w:szCs w:val="21"/>
          <w:lang w:eastAsia="zh-CN"/>
        </w:rPr>
        <w:t>乡（镇）</w:t>
      </w:r>
      <w:r>
        <w:rPr>
          <w:rFonts w:hint="eastAsia" w:asciiTheme="minorEastAsia" w:hAnsiTheme="minorEastAsia" w:eastAsiaTheme="minorEastAsia" w:cstheme="minorEastAsia"/>
          <w:color w:val="auto"/>
          <w:sz w:val="21"/>
          <w:szCs w:val="21"/>
        </w:rPr>
        <w:t>街道办事处及法律、法规授权的具有管理公共事务职能的组织合法性审核流程可根据工作实际予以调整。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8审核内容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8.1权限审核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8.1.1制定机关有权在法定权限范围内制定行政规范性文件。除法律、法规另有授权外，非常设机构（议事协调机构）及其办事机构、行政机关的内设机构、人民政府工作部门的派出机构无权制定行政规范性文件。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8.1.2依据法律法规规章、“三定</w:t>
      </w:r>
      <w:r>
        <w:rPr>
          <w:rFonts w:hint="eastAsia" w:asciiTheme="minorEastAsia" w:hAnsiTheme="minorEastAsia" w:eastAsiaTheme="minorEastAsia" w:cstheme="minorEastAsia"/>
          <w:color w:val="auto"/>
          <w:sz w:val="21"/>
          <w:szCs w:val="21"/>
          <w:lang w:eastAsia="zh-CN"/>
        </w:rPr>
        <w:t>方案</w:t>
      </w:r>
      <w:r>
        <w:rPr>
          <w:rFonts w:hint="eastAsia" w:asciiTheme="minorEastAsia" w:hAnsiTheme="minorEastAsia" w:eastAsiaTheme="minorEastAsia" w:cstheme="minorEastAsia"/>
          <w:color w:val="auto"/>
          <w:sz w:val="21"/>
          <w:szCs w:val="21"/>
        </w:rPr>
        <w:t>”规定等，对行政规范性文件内容是否符合制定机关法定职权进行审核。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8.2程序审核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8.2.1评估论证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制定机关或起草部门依法开展评估论证</w:t>
      </w:r>
      <w:r>
        <w:rPr>
          <w:rFonts w:hint="eastAsia" w:asciiTheme="minorEastAsia" w:hAnsiTheme="minorEastAsia" w:eastAsiaTheme="minorEastAsia" w:cstheme="minorEastAsia"/>
          <w:color w:val="auto"/>
          <w:sz w:val="21"/>
          <w:szCs w:val="21"/>
          <w:lang w:eastAsia="zh-CN"/>
        </w:rPr>
        <w:t>的形式</w:t>
      </w:r>
      <w:r>
        <w:rPr>
          <w:rFonts w:hint="eastAsia" w:asciiTheme="minorEastAsia" w:hAnsiTheme="minorEastAsia" w:eastAsiaTheme="minorEastAsia" w:cstheme="minorEastAsia"/>
          <w:color w:val="auto"/>
          <w:sz w:val="21"/>
          <w:szCs w:val="21"/>
        </w:rPr>
        <w:t>，包括但不限于：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a)是否对行政规范性文件起草的必要性、可行性、合理性进行</w:t>
      </w:r>
      <w:r>
        <w:rPr>
          <w:rFonts w:hint="eastAsia" w:asciiTheme="minorEastAsia" w:hAnsiTheme="minorEastAsia" w:eastAsiaTheme="minorEastAsia" w:cstheme="minorEastAsia"/>
          <w:color w:val="auto"/>
          <w:sz w:val="21"/>
          <w:szCs w:val="21"/>
          <w:lang w:eastAsia="zh-CN"/>
        </w:rPr>
        <w:t>全</w:t>
      </w:r>
      <w:r>
        <w:rPr>
          <w:rFonts w:hint="eastAsia" w:asciiTheme="minorEastAsia" w:hAnsiTheme="minorEastAsia" w:eastAsiaTheme="minorEastAsia" w:cstheme="minorEastAsia"/>
          <w:color w:val="auto"/>
          <w:sz w:val="21"/>
          <w:szCs w:val="21"/>
        </w:rPr>
        <w:t>面论证；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b)是否对需要解决的问题、拟设立的主要制度、主要措施及其预期效果和可能产生的影响进行评估；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c)对涉及重大公共利益或公众权益，可能引发社会稳定、公共安全风险的行政规范性文件，是否进行风险评估；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d)对专业性、技术性较强的行政规范性文件，是否组织相关领域专家进行论证。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8.2.2征求意见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8.2.2.1行政规范性文件内容涉及起草部门以外的国家机关权责事宜的，</w:t>
      </w:r>
      <w:r>
        <w:rPr>
          <w:rFonts w:hint="eastAsia" w:asciiTheme="minorEastAsia" w:hAnsiTheme="minorEastAsia" w:eastAsiaTheme="minorEastAsia" w:cstheme="minorEastAsia"/>
          <w:strike w:val="0"/>
          <w:dstrike w:val="0"/>
          <w:color w:val="auto"/>
          <w:sz w:val="21"/>
          <w:szCs w:val="21"/>
        </w:rPr>
        <w:t>是否</w:t>
      </w:r>
      <w:r>
        <w:rPr>
          <w:rFonts w:hint="eastAsia" w:asciiTheme="minorEastAsia" w:hAnsiTheme="minorEastAsia" w:eastAsiaTheme="minorEastAsia" w:cstheme="minorEastAsia"/>
          <w:color w:val="auto"/>
          <w:sz w:val="21"/>
          <w:szCs w:val="21"/>
        </w:rPr>
        <w:t>征求有关国家机关意见，包括但不限于：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a)涉及财政经费保障的，是否征求财政部门意见；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b)涉及行政事业性收费或价格管理事项的，是否征求财政、价格部门意见。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8.2.2.2行政规范性文件公开征求意见</w:t>
      </w:r>
      <w:r>
        <w:rPr>
          <w:rFonts w:hint="eastAsia" w:asciiTheme="minorEastAsia" w:hAnsiTheme="minorEastAsia" w:eastAsiaTheme="minorEastAsia" w:cstheme="minorEastAsia"/>
          <w:color w:val="auto"/>
          <w:sz w:val="21"/>
          <w:szCs w:val="21"/>
          <w:lang w:eastAsia="zh-CN"/>
        </w:rPr>
        <w:t>的形式</w:t>
      </w:r>
      <w:r>
        <w:rPr>
          <w:rFonts w:hint="eastAsia" w:asciiTheme="minorEastAsia" w:hAnsiTheme="minorEastAsia" w:eastAsiaTheme="minorEastAsia" w:cstheme="minorEastAsia"/>
          <w:color w:val="auto"/>
          <w:sz w:val="21"/>
          <w:szCs w:val="21"/>
        </w:rPr>
        <w:t>，包括但不限于：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a)涉及群众切身利益或对公民、法人和其他组织权利义务有重大影响的，是否向社会公开征求意见；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b)涉及特定群体利益的，是否与相关人民团体、社会组织以及群众代表进行沟通协商；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c)涉及市场主体生产经营活动的，是否充分听取有代表性的市场主体和行业协会商会的意见。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8.2.3起草部门内部合法性审核和集体讨论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部门起草，拟以政府或政府办公机构名义印发，或注明经政府同意，以部门名义印发的行政规范性文件，起草部门审核机构是否先行开展内部合法性审核，部门是否集体审议通过。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8.3内容审核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8.3.1是否存在违反行政许可法的事项，包括但不限于：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a)将禁止事项转变为行政许可；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b)规定继续实施或变相实施己取消的行政许可；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c)以审批、批准、登记、备案、年检、年报、监制、认定、认证等形式变相设立行政许可；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d)变更行政许可实施机关；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e)以增加前置许可或程序环节，变更行政许可期限等变更行政许可法定程序；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f)增设或缩减法定行政许可条件；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g)规定行政许可的撤销、撤回或注销情形；</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h)规定</w:t>
      </w:r>
      <w:r>
        <w:rPr>
          <w:rFonts w:hint="eastAsia" w:asciiTheme="minorEastAsia" w:hAnsiTheme="minorEastAsia" w:eastAsiaTheme="minorEastAsia" w:cstheme="minorEastAsia"/>
          <w:color w:val="auto"/>
          <w:sz w:val="21"/>
          <w:szCs w:val="21"/>
          <w:lang w:eastAsia="zh-CN"/>
        </w:rPr>
        <w:t>全部或部分</w:t>
      </w:r>
      <w:r>
        <w:rPr>
          <w:rFonts w:hint="eastAsia" w:asciiTheme="minorEastAsia" w:hAnsiTheme="minorEastAsia" w:eastAsiaTheme="minorEastAsia" w:cstheme="minorEastAsia"/>
          <w:color w:val="auto"/>
          <w:sz w:val="21"/>
          <w:szCs w:val="21"/>
        </w:rPr>
        <w:t>暂停实施或取消行政许可。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8.3.2是否存在违反行政处罚法的事项，包括但不限于：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a)增加或减少行政处罚种类；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b)变更行政处罚的实施机关；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c)变更法定行政处罚程序；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d)设立或取消行政处罚事项；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e)变更行政处罚适用条件和对象；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f)扩大或缩小行政处罚的范围、幅度；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g)改变行政处罚从重、加重或从轻、减轻、免除等规定；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h)援引的法律、法规、规章有关行政处罚的规定与行政处罚法相抵触，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8.3.3是否存在违反行政强制法的事项，包括但不限于：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a)设立行政强制措施、行政强制执行；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b)变更行政强制的实施机关；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c)变更行政强制种类、程序、适用条件；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d)扩大或缩小行政强制范围、幅度；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e)自行延长或缩短行政强制期限；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f)规定采取停水、停电、停热、停气等方式迫使行政相对人履行相关行政决定；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g)规定收取因查封、扣押发生的保管费用。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8.3.4是否存在违反行政事业性收费管理的事项，包括但不限于：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a)未经国务院和省政府及其价格、财政部门批准，自行设立行政事业性收费项目；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b)己明令取消的收费项目或停止执行的收费标准仍然收费；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c)调整收费主体、对象、标准、范围、期限等内容；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d)取消、停征、减征、免征或缓征行政事业性收费。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8.3.5是否存在不利于优化营商环境的情形，包括但不限于：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a)违法干预或影响市场主体正常生产经营活动；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b)违法设置市场准入和退出条件；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c)强制或变相强制市场主体加入或退出行业协会、商会等社会组织，强制或变相强制市场主体参加评比、达标、表彰、培训、考试等，或借前述活动向市场主体收费或变相收费；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d)涉企政策或行政协议给予市场主体的优惠政策突破法律、法</w:t>
      </w:r>
      <w:r>
        <w:rPr>
          <w:rFonts w:hint="eastAsia" w:asciiTheme="minorEastAsia" w:hAnsiTheme="minorEastAsia" w:eastAsiaTheme="minorEastAsia" w:cstheme="minorEastAsia"/>
          <w:color w:val="auto"/>
          <w:sz w:val="21"/>
          <w:szCs w:val="21"/>
          <w:lang w:eastAsia="zh-CN"/>
        </w:rPr>
        <w:t>规</w:t>
      </w:r>
      <w:r>
        <w:rPr>
          <w:rFonts w:hint="eastAsia" w:asciiTheme="minorEastAsia" w:hAnsiTheme="minorEastAsia" w:eastAsiaTheme="minorEastAsia" w:cstheme="minorEastAsia"/>
          <w:color w:val="auto"/>
          <w:sz w:val="21"/>
          <w:szCs w:val="21"/>
        </w:rPr>
        <w:t>、规章、国家政策的规定；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e)擅自增加或扩展严重失信主体名单设列领域范围，不按规定程序认定严重失信主体名单。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8.3.6是否存在没有法律、法规依据作出减损公民、法人和其他组织合法权益、增加其义务的其他情形，包括但不限于：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a)设立行政征收、征用事项；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b)增加禁止事项、变更禁止行为种类、缩减或变相缩减权利范围；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c)侵犯公民人身权、财产权、劳动权、休息权等合法权益；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d)超越职权规定应由市场调节、企业和社会自律、公民自我管理的事项；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e)将法律、法规的倡导性条款规定为义务性要求；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f)没有法律、法规依据设立证明事项，或规定要求出具循环证明、重复证明、无谓证明等内容。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8.3.7是否存在与上级决策部署、国家改革方向不一致的问题。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8.3.8是否存在没有法律、法规依据作出增加本机关行政权力事项或减少本机关法定职责的情形。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u w:val="none"/>
        </w:rPr>
        <w:t>8.3.9</w:t>
      </w:r>
      <w:r>
        <w:rPr>
          <w:rFonts w:hint="eastAsia" w:asciiTheme="minorEastAsia" w:hAnsiTheme="minorEastAsia" w:eastAsiaTheme="minorEastAsia" w:cstheme="minorEastAsia"/>
          <w:color w:val="auto"/>
          <w:sz w:val="21"/>
          <w:szCs w:val="21"/>
        </w:rPr>
        <w:t>制定市场准入和退出、产业发展、招商引资、招标投标、政府采购、经营行为规范、资质标准等涉及市场主体经济活动的行政规范性文件，是否进行公平竞争审查</w:t>
      </w:r>
      <w:r>
        <w:rPr>
          <w:rFonts w:hint="eastAsia" w:asciiTheme="minorEastAsia" w:hAnsiTheme="minorEastAsia" w:eastAsiaTheme="minorEastAsia" w:cstheme="minorEastAsia"/>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rPr>
        <w:t>8.3</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rPr>
        <w:t>10</w:t>
      </w:r>
      <w:r>
        <w:rPr>
          <w:rFonts w:hint="eastAsia" w:asciiTheme="minorEastAsia" w:hAnsiTheme="minorEastAsia" w:eastAsiaTheme="minorEastAsia" w:cstheme="minorEastAsia"/>
          <w:color w:val="auto"/>
          <w:sz w:val="21"/>
          <w:szCs w:val="21"/>
          <w:u w:val="none"/>
        </w:rPr>
        <w:t>涉及</w:t>
      </w:r>
      <w:r>
        <w:rPr>
          <w:rFonts w:hint="eastAsia" w:asciiTheme="minorEastAsia" w:hAnsiTheme="minorEastAsia" w:eastAsiaTheme="minorEastAsia" w:cstheme="minorEastAsia"/>
          <w:color w:val="auto"/>
          <w:sz w:val="21"/>
          <w:szCs w:val="21"/>
          <w:u w:val="none"/>
          <w:lang w:eastAsia="zh-CN"/>
        </w:rPr>
        <w:t>京津冀协同</w:t>
      </w:r>
      <w:r>
        <w:rPr>
          <w:rFonts w:hint="eastAsia" w:asciiTheme="minorEastAsia" w:hAnsiTheme="minorEastAsia" w:eastAsiaTheme="minorEastAsia" w:cstheme="minorEastAsia"/>
          <w:color w:val="auto"/>
          <w:sz w:val="21"/>
          <w:szCs w:val="21"/>
          <w:u w:val="none"/>
        </w:rPr>
        <w:t>发展的政策文件，是否符合政策互认、政策协同原则，是否符合产业链相互协同、深化“放管服”改革、消除行政壁垒等要求。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lang w:val="en-US" w:eastAsia="zh-CN"/>
        </w:rPr>
        <w:t>8.4</w:t>
      </w:r>
      <w:r>
        <w:rPr>
          <w:rFonts w:hint="eastAsia" w:ascii="黑体" w:hAnsi="黑体" w:eastAsia="黑体" w:cs="黑体"/>
          <w:color w:val="auto"/>
          <w:sz w:val="21"/>
          <w:szCs w:val="21"/>
        </w:rPr>
        <w:t>依法需要审核的其他内容。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9审核意见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9.1审核意见的种类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审核机构应根据不同情形提出审核意见：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a)文件送审稿制定程序、内容符合法律、法规、规章、国家政策规</w:t>
      </w:r>
      <w:r>
        <w:rPr>
          <w:rFonts w:hint="eastAsia" w:asciiTheme="minorEastAsia" w:hAnsiTheme="minorEastAsia" w:eastAsiaTheme="minorEastAsia" w:cstheme="minorEastAsia"/>
          <w:color w:val="auto"/>
          <w:sz w:val="21"/>
          <w:szCs w:val="21"/>
          <w:lang w:eastAsia="zh-CN"/>
        </w:rPr>
        <w:t>定</w:t>
      </w:r>
      <w:r>
        <w:rPr>
          <w:rFonts w:hint="eastAsia" w:asciiTheme="minorEastAsia" w:hAnsiTheme="minorEastAsia" w:eastAsiaTheme="minorEastAsia" w:cstheme="minorEastAsia"/>
          <w:color w:val="auto"/>
          <w:sz w:val="21"/>
          <w:szCs w:val="21"/>
        </w:rPr>
        <w:t>的，通过合法性审核；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b)文件送审稿不属于制定机关权限范围的，建议</w:t>
      </w:r>
      <w:r>
        <w:rPr>
          <w:rFonts w:hint="eastAsia" w:asciiTheme="minorEastAsia" w:hAnsiTheme="minorEastAsia" w:eastAsiaTheme="minorEastAsia" w:cstheme="minorEastAsia"/>
          <w:color w:val="auto"/>
          <w:sz w:val="21"/>
          <w:szCs w:val="21"/>
          <w:lang w:eastAsia="zh-CN"/>
        </w:rPr>
        <w:t>提交有权机关制定</w:t>
      </w:r>
      <w:r>
        <w:rPr>
          <w:rFonts w:hint="eastAsia" w:asciiTheme="minorEastAsia" w:hAnsiTheme="minorEastAsia" w:eastAsiaTheme="minorEastAsia" w:cstheme="minor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c)文件制定程序不符合法律、法规、规章规定的，建议履行完善相关程序；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d)文件送审稿相关内容，法律、法规、规章未作规定，但符合法律原则、国家政策或改革发展方向的探索性改革决策事项，明示法律风险；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e)文件送审稿内容不符合法律、法规、规章、国家政策的，提出不合法或应当予以修改的审核意见。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9.2审核意见的采纳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起草部门应根据合法性审核意见对行政规范性文件进行修改完善。特殊情况下，未完全采纳合法性审核意见的，</w:t>
      </w:r>
      <w:r>
        <w:rPr>
          <w:rFonts w:hint="eastAsia" w:asciiTheme="minorEastAsia" w:hAnsiTheme="minorEastAsia" w:eastAsiaTheme="minorEastAsia" w:cstheme="minorEastAsia"/>
          <w:color w:val="auto"/>
          <w:sz w:val="21"/>
          <w:szCs w:val="21"/>
          <w:lang w:eastAsia="zh-CN"/>
        </w:rPr>
        <w:t>起草部门</w:t>
      </w:r>
      <w:r>
        <w:rPr>
          <w:rFonts w:hint="eastAsia" w:asciiTheme="minorEastAsia" w:hAnsiTheme="minorEastAsia" w:eastAsiaTheme="minorEastAsia" w:cstheme="minorEastAsia"/>
          <w:color w:val="auto"/>
          <w:sz w:val="21"/>
          <w:szCs w:val="21"/>
        </w:rPr>
        <w:t>应在提请制定机关决定时作出说明。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rPr>
        <w:t>9.3审核意见文本格式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合法性审核意见从行政规范性文件制定主体、权限、程序、内容方面对行政规范性文件的合法性进行分析阐述，参考样式见附录B。</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黑体" w:hAnsi="黑体" w:eastAsia="黑体" w:cs="黑体"/>
          <w:color w:val="auto"/>
          <w:sz w:val="21"/>
          <w:szCs w:val="21"/>
          <w:lang w:val="en-US" w:eastAsia="zh-CN"/>
        </w:rPr>
        <w:t>10</w:t>
      </w:r>
      <w:r>
        <w:rPr>
          <w:rFonts w:hint="eastAsia" w:ascii="黑体" w:hAnsi="黑体" w:eastAsia="黑体" w:cs="黑体"/>
          <w:color w:val="auto"/>
          <w:sz w:val="21"/>
          <w:szCs w:val="21"/>
        </w:rPr>
        <w:t>档案管理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10.1</w:t>
      </w:r>
      <w:r>
        <w:rPr>
          <w:rFonts w:hint="eastAsia" w:asciiTheme="minorEastAsia" w:hAnsiTheme="minorEastAsia" w:eastAsiaTheme="minorEastAsia" w:cstheme="minorEastAsia"/>
          <w:color w:val="auto"/>
          <w:sz w:val="21"/>
          <w:szCs w:val="21"/>
          <w:lang w:eastAsia="zh-CN"/>
        </w:rPr>
        <w:t>按照</w:t>
      </w:r>
      <w:r>
        <w:rPr>
          <w:rFonts w:hint="eastAsia" w:asciiTheme="minorEastAsia" w:hAnsiTheme="minorEastAsia" w:eastAsiaTheme="minorEastAsia" w:cstheme="minorEastAsia"/>
          <w:color w:val="auto"/>
          <w:sz w:val="21"/>
          <w:szCs w:val="21"/>
        </w:rPr>
        <w:t>档案管理</w:t>
      </w:r>
      <w:r>
        <w:rPr>
          <w:rFonts w:hint="eastAsia" w:asciiTheme="minorEastAsia" w:hAnsiTheme="minorEastAsia" w:eastAsiaTheme="minorEastAsia" w:cstheme="minorEastAsia"/>
          <w:color w:val="auto"/>
          <w:sz w:val="21"/>
          <w:szCs w:val="21"/>
          <w:lang w:eastAsia="zh-CN"/>
        </w:rPr>
        <w:t>有关规定</w:t>
      </w:r>
      <w:r>
        <w:rPr>
          <w:rFonts w:hint="eastAsia" w:asciiTheme="minorEastAsia" w:hAnsiTheme="minorEastAsia" w:eastAsiaTheme="minorEastAsia" w:cstheme="minorEastAsia"/>
          <w:color w:val="auto"/>
          <w:sz w:val="21"/>
          <w:szCs w:val="21"/>
        </w:rPr>
        <w:t>，收集与整理</w:t>
      </w:r>
      <w:r>
        <w:rPr>
          <w:rFonts w:hint="eastAsia" w:asciiTheme="minorEastAsia" w:hAnsiTheme="minorEastAsia" w:eastAsiaTheme="minorEastAsia" w:cstheme="minorEastAsia"/>
          <w:color w:val="auto"/>
          <w:sz w:val="21"/>
          <w:szCs w:val="21"/>
          <w:lang w:eastAsia="zh-CN"/>
        </w:rPr>
        <w:t>合法性审核档案，</w:t>
      </w:r>
      <w:r>
        <w:rPr>
          <w:rFonts w:hint="eastAsia" w:asciiTheme="minorEastAsia" w:hAnsiTheme="minorEastAsia" w:eastAsiaTheme="minorEastAsia" w:cstheme="minorEastAsia"/>
          <w:strike w:val="0"/>
          <w:dstrike w:val="0"/>
          <w:color w:val="auto"/>
          <w:sz w:val="21"/>
          <w:szCs w:val="21"/>
          <w:lang w:eastAsia="zh-CN"/>
        </w:rPr>
        <w:t>及时</w:t>
      </w:r>
      <w:r>
        <w:rPr>
          <w:rFonts w:hint="eastAsia" w:asciiTheme="minorEastAsia" w:hAnsiTheme="minorEastAsia" w:eastAsiaTheme="minorEastAsia" w:cstheme="minorEastAsia"/>
          <w:color w:val="auto"/>
          <w:sz w:val="21"/>
          <w:szCs w:val="21"/>
          <w:lang w:eastAsia="zh-CN"/>
        </w:rPr>
        <w:t>移交档案管理部门保管与利用</w:t>
      </w:r>
      <w:r>
        <w:rPr>
          <w:rFonts w:hint="eastAsia" w:asciiTheme="minorEastAsia" w:hAnsiTheme="minorEastAsia" w:eastAsiaTheme="minorEastAsia" w:cstheme="minorEastAsia"/>
          <w:color w:val="auto"/>
          <w:sz w:val="21"/>
          <w:szCs w:val="21"/>
        </w:rPr>
        <w:t>，做到一事一档组卷完整。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10.2按照国家档案管理</w:t>
      </w:r>
      <w:r>
        <w:rPr>
          <w:rFonts w:hint="eastAsia" w:asciiTheme="minorEastAsia" w:hAnsiTheme="minorEastAsia" w:eastAsiaTheme="minorEastAsia" w:cstheme="minorEastAsia"/>
          <w:color w:val="auto"/>
          <w:sz w:val="21"/>
          <w:szCs w:val="21"/>
          <w:lang w:eastAsia="zh-CN"/>
        </w:rPr>
        <w:t>有关</w:t>
      </w:r>
      <w:r>
        <w:rPr>
          <w:rFonts w:hint="eastAsia" w:asciiTheme="minorEastAsia" w:hAnsiTheme="minorEastAsia" w:eastAsiaTheme="minorEastAsia" w:cstheme="minorEastAsia"/>
          <w:color w:val="auto"/>
          <w:sz w:val="21"/>
          <w:szCs w:val="21"/>
        </w:rPr>
        <w:t>规定，积极推进合法性审核档案信息化建设，</w:t>
      </w:r>
      <w:r>
        <w:rPr>
          <w:rFonts w:hint="eastAsia" w:asciiTheme="minorEastAsia" w:hAnsiTheme="minorEastAsia" w:eastAsiaTheme="minorEastAsia" w:cstheme="minorEastAsia"/>
          <w:color w:val="auto"/>
          <w:sz w:val="21"/>
          <w:szCs w:val="21"/>
          <w:lang w:eastAsia="zh-CN"/>
        </w:rPr>
        <w:t>逐步</w:t>
      </w:r>
      <w:r>
        <w:rPr>
          <w:rFonts w:hint="eastAsia" w:asciiTheme="minorEastAsia" w:hAnsiTheme="minorEastAsia" w:eastAsiaTheme="minorEastAsia" w:cstheme="minorEastAsia"/>
          <w:color w:val="auto"/>
          <w:sz w:val="21"/>
          <w:szCs w:val="21"/>
        </w:rPr>
        <w:t>实现合法性审核电子档案数据及时归档。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rPr>
      </w:pPr>
      <w:r>
        <w:rPr>
          <w:rFonts w:hint="eastAsia" w:asciiTheme="minorEastAsia" w:hAnsiTheme="minorEastAsia" w:eastAsiaTheme="minorEastAsia" w:cstheme="minorEastAsia"/>
          <w:color w:val="auto"/>
          <w:sz w:val="21"/>
          <w:szCs w:val="21"/>
        </w:rPr>
        <w:t>10.3严格遵守保密规定，按法律法规规定的期限和要求保存档案，涉密材料应按照所定密级严格管理。</w:t>
      </w:r>
    </w:p>
    <w:p>
      <w:pPr>
        <w:spacing w:line="360" w:lineRule="auto"/>
      </w:pPr>
    </w:p>
    <w:p>
      <w:pPr>
        <w:widowControl/>
        <w:jc w:val="left"/>
      </w:pPr>
      <w:r>
        <w:br w:type="page"/>
      </w:r>
    </w:p>
    <w:p>
      <w:pPr>
        <w:spacing w:before="156" w:beforeLines="50" w:after="156" w:afterLines="50"/>
        <w:jc w:val="center"/>
        <w:rPr>
          <w:rFonts w:ascii="黑体" w:hAnsi="黑体" w:eastAsia="黑体" w:cs="黑体"/>
          <w:szCs w:val="20"/>
        </w:rPr>
      </w:pPr>
      <w:r>
        <w:rPr>
          <w:rFonts w:hint="eastAsia" w:ascii="黑体" w:hAnsi="黑体" w:eastAsia="黑体" w:cs="黑体"/>
          <w:szCs w:val="20"/>
        </w:rPr>
        <w:t>附录</w:t>
      </w:r>
    </w:p>
    <w:p>
      <w:pPr>
        <w:spacing w:before="156" w:beforeLines="50" w:after="156" w:afterLines="50"/>
        <w:rPr>
          <w:rFonts w:hint="eastAsia" w:ascii="黑体" w:hAnsi="黑体" w:eastAsia="黑体" w:cs="黑体"/>
          <w:szCs w:val="20"/>
        </w:rPr>
      </w:pPr>
      <w:r>
        <w:rPr>
          <w:rFonts w:hint="eastAsia" w:ascii="黑体" w:hAnsi="黑体" w:eastAsia="黑体" w:cs="黑体"/>
          <w:szCs w:val="20"/>
        </w:rPr>
        <w:t xml:space="preserve">                   行政规范性文件合法性审核意见参考样式见示例。</w:t>
      </w:r>
    </w:p>
    <w:p>
      <w:pPr>
        <w:spacing w:before="156" w:beforeLines="50" w:after="156" w:afterLines="50"/>
        <w:rPr>
          <w:rFonts w:hint="eastAsia" w:asciiTheme="minorEastAsia" w:hAnsiTheme="minorEastAsia" w:eastAsiaTheme="minorEastAsia" w:cstheme="minorEastAsia"/>
          <w:sz w:val="21"/>
          <w:szCs w:val="21"/>
        </w:rPr>
      </w:pPr>
      <w:r>
        <w:rPr>
          <w:rFonts w:hint="eastAsia" w:ascii="黑体" w:hAnsi="黑体" w:eastAsia="黑体" w:cs="黑体"/>
          <w:szCs w:val="20"/>
        </w:rPr>
        <w:t>示例：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righ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XXXX司</w:t>
      </w:r>
      <w:r>
        <w:rPr>
          <w:rFonts w:hint="eastAsia" w:asciiTheme="minorEastAsia" w:hAnsiTheme="minorEastAsia" w:eastAsiaTheme="minorEastAsia" w:cstheme="minorEastAsia"/>
          <w:sz w:val="21"/>
          <w:szCs w:val="21"/>
          <w:lang w:eastAsia="zh-CN"/>
        </w:rPr>
        <w:t>法</w:t>
      </w:r>
      <w:r>
        <w:rPr>
          <w:rFonts w:hint="eastAsia" w:asciiTheme="minorEastAsia" w:hAnsiTheme="minorEastAsia" w:eastAsiaTheme="minorEastAsia" w:cstheme="minorEastAsia"/>
          <w:sz w:val="21"/>
          <w:szCs w:val="21"/>
        </w:rPr>
        <w:t>审〔20XX〕 XX号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XXXX司法厅／局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关于</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的合法性审核意见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省（市、县）政府办公厅（室）：</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20" w:firstLineChars="200"/>
        <w:textAlignment w:val="auto"/>
        <w:rPr>
          <w:rFonts w:hint="eastAsia" w:asciiTheme="minorEastAsia" w:hAnsiTheme="minorEastAsia" w:eastAsiaTheme="minorEastAsia" w:cstheme="minorEastAsia"/>
          <w:b w:val="0"/>
          <w:bCs w:val="0"/>
          <w:color w:val="auto"/>
          <w:kern w:val="2"/>
          <w:sz w:val="21"/>
          <w:szCs w:val="21"/>
          <w:lang w:val="en-US" w:eastAsia="zh-CN" w:bidi="ar-SA"/>
        </w:rPr>
      </w:pPr>
      <w:r>
        <w:rPr>
          <w:rFonts w:hint="eastAsia" w:asciiTheme="minorEastAsia" w:hAnsiTheme="minorEastAsia" w:eastAsiaTheme="minorEastAsia" w:cstheme="minorEastAsia"/>
          <w:b w:val="0"/>
          <w:bCs w:val="0"/>
          <w:kern w:val="0"/>
          <w:sz w:val="21"/>
          <w:szCs w:val="21"/>
          <w:lang w:val="en-US" w:eastAsia="zh-CN" w:bidi="ar-SA"/>
        </w:rPr>
        <w:t>月  日，</w:t>
      </w:r>
      <w:r>
        <w:rPr>
          <w:rFonts w:hint="eastAsia" w:asciiTheme="minorEastAsia" w:hAnsiTheme="minorEastAsia" w:eastAsiaTheme="minorEastAsia" w:cstheme="minorEastAsia"/>
          <w:sz w:val="21"/>
          <w:szCs w:val="21"/>
        </w:rPr>
        <w:t>省（市、县）政府办公厅（室）</w:t>
      </w:r>
      <w:r>
        <w:rPr>
          <w:rFonts w:hint="eastAsia" w:asciiTheme="minorEastAsia" w:hAnsiTheme="minorEastAsia" w:eastAsiaTheme="minorEastAsia" w:cstheme="minorEastAsia"/>
          <w:b w:val="0"/>
          <w:bCs w:val="0"/>
          <w:kern w:val="0"/>
          <w:sz w:val="21"/>
          <w:szCs w:val="21"/>
          <w:lang w:val="en-US" w:eastAsia="zh-CN" w:bidi="ar-SA"/>
        </w:rPr>
        <w:t>批转的</w:t>
      </w:r>
      <w:r>
        <w:rPr>
          <w:rFonts w:hint="eastAsia" w:asciiTheme="minorEastAsia" w:hAnsiTheme="minorEastAsia" w:eastAsiaTheme="minorEastAsia" w:cstheme="minorEastAsia"/>
          <w:sz w:val="21"/>
          <w:szCs w:val="21"/>
        </w:rPr>
        <w:t>XXXX</w:t>
      </w:r>
      <w:r>
        <w:rPr>
          <w:rFonts w:hint="eastAsia" w:asciiTheme="minorEastAsia" w:hAnsiTheme="minorEastAsia" w:eastAsiaTheme="minorEastAsia" w:cstheme="minorEastAsia"/>
          <w:b w:val="0"/>
          <w:bCs w:val="0"/>
          <w:kern w:val="0"/>
          <w:sz w:val="21"/>
          <w:szCs w:val="21"/>
          <w:lang w:val="en-US" w:eastAsia="zh-CN" w:bidi="ar-SA"/>
        </w:rPr>
        <w:t>（局、委、办）</w:t>
      </w:r>
      <w:r>
        <w:rPr>
          <w:rFonts w:hint="eastAsia" w:asciiTheme="minorEastAsia" w:hAnsiTheme="minorEastAsia" w:eastAsiaTheme="minorEastAsia" w:cstheme="minorEastAsia"/>
          <w:b w:val="0"/>
          <w:bCs w:val="0"/>
          <w:kern w:val="0"/>
          <w:sz w:val="21"/>
          <w:szCs w:val="21"/>
          <w:u w:val="single"/>
          <w:lang w:val="en-US" w:eastAsia="zh-CN" w:bidi="ar-SA"/>
        </w:rPr>
        <w:t xml:space="preserve">《       》 </w:t>
      </w:r>
      <w:r>
        <w:rPr>
          <w:rFonts w:hint="eastAsia" w:asciiTheme="minorEastAsia" w:hAnsiTheme="minorEastAsia" w:eastAsiaTheme="minorEastAsia" w:cstheme="minorEastAsia"/>
          <w:sz w:val="21"/>
          <w:szCs w:val="21"/>
        </w:rPr>
        <w:t>(XXXX〔20XX〕XX</w:t>
      </w:r>
      <w:r>
        <w:rPr>
          <w:rFonts w:hint="eastAsia" w:asciiTheme="minorEastAsia" w:hAnsiTheme="minorEastAsia" w:eastAsiaTheme="minorEastAsia" w:cstheme="minorEastAsia"/>
          <w:sz w:val="21"/>
          <w:szCs w:val="21"/>
          <w:lang w:eastAsia="zh-CN"/>
        </w:rPr>
        <w:t>号）收悉</w:t>
      </w:r>
      <w:r>
        <w:rPr>
          <w:rFonts w:hint="eastAsia" w:asciiTheme="minorEastAsia" w:hAnsiTheme="minorEastAsia" w:eastAsiaTheme="minorEastAsia" w:cstheme="minorEastAsia"/>
          <w:b w:val="0"/>
          <w:bCs w:val="0"/>
          <w:kern w:val="0"/>
          <w:sz w:val="21"/>
          <w:szCs w:val="21"/>
          <w:lang w:val="en-US" w:eastAsia="zh-CN" w:bidi="ar-SA"/>
        </w:rPr>
        <w:t>，</w:t>
      </w:r>
      <w:r>
        <w:rPr>
          <w:rFonts w:hint="eastAsia" w:asciiTheme="minorEastAsia" w:hAnsiTheme="minorEastAsia" w:eastAsiaTheme="minorEastAsia" w:cstheme="minorEastAsia"/>
          <w:b w:val="0"/>
          <w:bCs w:val="0"/>
          <w:color w:val="auto"/>
          <w:kern w:val="2"/>
          <w:sz w:val="21"/>
          <w:szCs w:val="21"/>
          <w:lang w:val="en-US" w:eastAsia="zh-CN" w:bidi="ar-SA"/>
        </w:rPr>
        <w:t>在相关依据材料齐全后，经合法性审核，提出审核意见如下：</w:t>
      </w:r>
    </w:p>
    <w:p>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一、审核的相关依据</w:t>
      </w:r>
    </w:p>
    <w:p>
      <w:pPr>
        <w:pStyle w:val="4"/>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val="0"/>
          <w:bCs w:val="0"/>
          <w:color w:val="auto"/>
          <w:kern w:val="2"/>
          <w:sz w:val="21"/>
          <w:szCs w:val="21"/>
          <w:lang w:val="en-US" w:eastAsia="zh-CN" w:bidi="ar-SA"/>
        </w:rPr>
      </w:pPr>
      <w:r>
        <w:rPr>
          <w:rFonts w:hint="eastAsia" w:asciiTheme="minorEastAsia" w:hAnsiTheme="minorEastAsia" w:eastAsiaTheme="minorEastAsia" w:cstheme="minorEastAsia"/>
          <w:b w:val="0"/>
          <w:bCs w:val="0"/>
          <w:color w:val="auto"/>
          <w:kern w:val="2"/>
          <w:sz w:val="21"/>
          <w:szCs w:val="21"/>
          <w:lang w:val="en-US" w:eastAsia="zh-CN" w:bidi="ar-SA"/>
        </w:rPr>
        <w:t>对</w:t>
      </w:r>
      <w:r>
        <w:rPr>
          <w:rFonts w:hint="eastAsia" w:asciiTheme="minorEastAsia" w:hAnsiTheme="minorEastAsia" w:eastAsiaTheme="minorEastAsia" w:cstheme="minorEastAsia"/>
          <w:b w:val="0"/>
          <w:bCs w:val="0"/>
          <w:color w:val="auto"/>
          <w:kern w:val="2"/>
          <w:sz w:val="21"/>
          <w:szCs w:val="21"/>
          <w:u w:val="single"/>
          <w:lang w:val="en-US" w:eastAsia="zh-CN" w:bidi="ar-SA"/>
        </w:rPr>
        <w:t>《        》</w:t>
      </w:r>
      <w:r>
        <w:rPr>
          <w:rFonts w:hint="eastAsia" w:asciiTheme="minorEastAsia" w:hAnsiTheme="minorEastAsia" w:eastAsiaTheme="minorEastAsia" w:cstheme="minorEastAsia"/>
          <w:b w:val="0"/>
          <w:bCs w:val="0"/>
          <w:color w:val="auto"/>
          <w:kern w:val="2"/>
          <w:sz w:val="21"/>
          <w:szCs w:val="21"/>
          <w:lang w:val="en-US" w:eastAsia="zh-CN" w:bidi="ar-SA"/>
        </w:rPr>
        <w:t>的审核，主要依据《</w:t>
      </w:r>
      <w:r>
        <w:rPr>
          <w:rFonts w:hint="eastAsia" w:asciiTheme="minorEastAsia" w:hAnsiTheme="minorEastAsia" w:eastAsiaTheme="minorEastAsia" w:cstheme="minorEastAsia"/>
          <w:b w:val="0"/>
          <w:bCs w:val="0"/>
          <w:color w:val="auto"/>
          <w:kern w:val="2"/>
          <w:sz w:val="21"/>
          <w:szCs w:val="21"/>
          <w:lang w:val="en-US" w:eastAsia="zh-CN" w:bidi="ar-SA"/>
        </w:rPr>
        <w:fldChar w:fldCharType="begin"/>
      </w:r>
      <w:r>
        <w:rPr>
          <w:rFonts w:hint="eastAsia" w:asciiTheme="minorEastAsia" w:hAnsiTheme="minorEastAsia" w:eastAsiaTheme="minorEastAsia" w:cstheme="minorEastAsia"/>
          <w:b w:val="0"/>
          <w:bCs w:val="0"/>
          <w:color w:val="auto"/>
          <w:kern w:val="2"/>
          <w:sz w:val="21"/>
          <w:szCs w:val="21"/>
          <w:lang w:val="en-US" w:eastAsia="zh-CN" w:bidi="ar-SA"/>
        </w:rPr>
        <w:instrText xml:space="preserve"> HYPERLINK "https://law.pkulaw.com/chinalaw/javascript:SLC(252605)" </w:instrText>
      </w:r>
      <w:r>
        <w:rPr>
          <w:rFonts w:hint="eastAsia" w:asciiTheme="minorEastAsia" w:hAnsiTheme="minorEastAsia" w:eastAsiaTheme="minorEastAsia" w:cstheme="minorEastAsia"/>
          <w:b w:val="0"/>
          <w:bCs w:val="0"/>
          <w:color w:val="auto"/>
          <w:kern w:val="2"/>
          <w:sz w:val="21"/>
          <w:szCs w:val="21"/>
          <w:lang w:val="en-US" w:eastAsia="zh-CN" w:bidi="ar-SA"/>
        </w:rPr>
        <w:fldChar w:fldCharType="separate"/>
      </w:r>
      <w:r>
        <w:rPr>
          <w:rFonts w:hint="eastAsia" w:asciiTheme="minorEastAsia" w:hAnsiTheme="minorEastAsia" w:eastAsiaTheme="minorEastAsia" w:cstheme="minorEastAsia"/>
          <w:b w:val="0"/>
          <w:bCs w:val="0"/>
          <w:color w:val="auto"/>
          <w:kern w:val="2"/>
          <w:sz w:val="21"/>
          <w:szCs w:val="21"/>
          <w:u w:val="single"/>
          <w:lang w:val="en-US" w:eastAsia="zh-CN" w:bidi="ar-SA"/>
        </w:rPr>
        <w:t xml:space="preserve">       </w:t>
      </w:r>
      <w:r>
        <w:rPr>
          <w:rFonts w:hint="eastAsia" w:asciiTheme="minorEastAsia" w:hAnsiTheme="minorEastAsia" w:eastAsiaTheme="minorEastAsia" w:cstheme="minorEastAsia"/>
          <w:b w:val="0"/>
          <w:bCs w:val="0"/>
          <w:color w:val="auto"/>
          <w:kern w:val="2"/>
          <w:sz w:val="21"/>
          <w:szCs w:val="21"/>
          <w:lang w:val="en-US" w:eastAsia="zh-CN" w:bidi="ar-SA"/>
        </w:rPr>
        <w:t>法</w:t>
      </w:r>
      <w:r>
        <w:rPr>
          <w:rFonts w:hint="eastAsia" w:asciiTheme="minorEastAsia" w:hAnsiTheme="minorEastAsia" w:eastAsiaTheme="minorEastAsia" w:cstheme="minorEastAsia"/>
          <w:b w:val="0"/>
          <w:bCs w:val="0"/>
          <w:color w:val="auto"/>
          <w:kern w:val="2"/>
          <w:sz w:val="21"/>
          <w:szCs w:val="21"/>
          <w:lang w:val="en-US" w:eastAsia="zh-CN" w:bidi="ar-SA"/>
        </w:rPr>
        <w:fldChar w:fldCharType="end"/>
      </w:r>
      <w:r>
        <w:rPr>
          <w:rFonts w:hint="eastAsia" w:asciiTheme="minorEastAsia" w:hAnsiTheme="minorEastAsia" w:eastAsiaTheme="minorEastAsia" w:cstheme="minorEastAsia"/>
          <w:b w:val="0"/>
          <w:bCs w:val="0"/>
          <w:color w:val="auto"/>
          <w:kern w:val="2"/>
          <w:sz w:val="21"/>
          <w:szCs w:val="21"/>
          <w:lang w:val="en-US" w:eastAsia="zh-CN" w:bidi="ar-SA"/>
        </w:rPr>
        <w:t>》《</w:t>
      </w:r>
      <w:r>
        <w:rPr>
          <w:rFonts w:hint="eastAsia" w:asciiTheme="minorEastAsia" w:hAnsiTheme="minorEastAsia" w:eastAsiaTheme="minorEastAsia" w:cstheme="minorEastAsia"/>
          <w:b w:val="0"/>
          <w:bCs w:val="0"/>
          <w:color w:val="auto"/>
          <w:kern w:val="2"/>
          <w:sz w:val="21"/>
          <w:szCs w:val="21"/>
          <w:u w:val="single"/>
          <w:lang w:val="en-US" w:eastAsia="zh-CN" w:bidi="ar-SA"/>
        </w:rPr>
        <w:t xml:space="preserve">       </w:t>
      </w:r>
      <w:r>
        <w:rPr>
          <w:rFonts w:hint="eastAsia" w:asciiTheme="minorEastAsia" w:hAnsiTheme="minorEastAsia" w:eastAsiaTheme="minorEastAsia" w:cstheme="minorEastAsia"/>
          <w:b w:val="0"/>
          <w:bCs w:val="0"/>
          <w:color w:val="auto"/>
          <w:kern w:val="2"/>
          <w:sz w:val="21"/>
          <w:szCs w:val="21"/>
          <w:lang w:val="en-US" w:eastAsia="zh-CN" w:bidi="ar-SA"/>
        </w:rPr>
        <w:t>法》《</w:t>
      </w:r>
      <w:r>
        <w:rPr>
          <w:rFonts w:hint="eastAsia" w:asciiTheme="minorEastAsia" w:hAnsiTheme="minorEastAsia" w:eastAsiaTheme="minorEastAsia" w:cstheme="minorEastAsia"/>
          <w:b w:val="0"/>
          <w:bCs w:val="0"/>
          <w:color w:val="auto"/>
          <w:kern w:val="2"/>
          <w:sz w:val="21"/>
          <w:szCs w:val="21"/>
          <w:u w:val="single"/>
          <w:lang w:val="en-US" w:eastAsia="zh-CN" w:bidi="ar-SA"/>
        </w:rPr>
        <w:t xml:space="preserve">         </w:t>
      </w:r>
      <w:r>
        <w:rPr>
          <w:rFonts w:hint="eastAsia" w:asciiTheme="minorEastAsia" w:hAnsiTheme="minorEastAsia" w:eastAsiaTheme="minorEastAsia" w:cstheme="minorEastAsia"/>
          <w:b w:val="0"/>
          <w:bCs w:val="0"/>
          <w:color w:val="auto"/>
          <w:kern w:val="2"/>
          <w:sz w:val="21"/>
          <w:szCs w:val="21"/>
          <w:lang w:val="en-US" w:eastAsia="zh-CN" w:bidi="ar-SA"/>
        </w:rPr>
        <w:t>条例》《</w:t>
      </w:r>
      <w:r>
        <w:rPr>
          <w:rFonts w:hint="eastAsia" w:asciiTheme="minorEastAsia" w:hAnsiTheme="minorEastAsia" w:eastAsiaTheme="minorEastAsia" w:cstheme="minorEastAsia"/>
          <w:b w:val="0"/>
          <w:bCs w:val="0"/>
          <w:color w:val="auto"/>
          <w:kern w:val="2"/>
          <w:sz w:val="21"/>
          <w:szCs w:val="21"/>
          <w:lang w:val="en-US" w:eastAsia="zh-CN" w:bidi="ar-SA"/>
        </w:rPr>
        <w:fldChar w:fldCharType="begin"/>
      </w:r>
      <w:r>
        <w:rPr>
          <w:rFonts w:hint="eastAsia" w:asciiTheme="minorEastAsia" w:hAnsiTheme="minorEastAsia" w:eastAsiaTheme="minorEastAsia" w:cstheme="minorEastAsia"/>
          <w:b w:val="0"/>
          <w:bCs w:val="0"/>
          <w:color w:val="auto"/>
          <w:kern w:val="2"/>
          <w:sz w:val="21"/>
          <w:szCs w:val="21"/>
          <w:lang w:val="en-US" w:eastAsia="zh-CN" w:bidi="ar-SA"/>
        </w:rPr>
        <w:instrText xml:space="preserve"> HYPERLINK "https://law.pkulaw.com/chinalaw/javascript:SLC(252605)" </w:instrText>
      </w:r>
      <w:r>
        <w:rPr>
          <w:rFonts w:hint="eastAsia" w:asciiTheme="minorEastAsia" w:hAnsiTheme="minorEastAsia" w:eastAsiaTheme="minorEastAsia" w:cstheme="minorEastAsia"/>
          <w:b w:val="0"/>
          <w:bCs w:val="0"/>
          <w:color w:val="auto"/>
          <w:kern w:val="2"/>
          <w:sz w:val="21"/>
          <w:szCs w:val="21"/>
          <w:lang w:val="en-US" w:eastAsia="zh-CN" w:bidi="ar-SA"/>
        </w:rPr>
        <w:fldChar w:fldCharType="separate"/>
      </w:r>
      <w:r>
        <w:rPr>
          <w:rFonts w:hint="eastAsia" w:asciiTheme="minorEastAsia" w:hAnsiTheme="minorEastAsia" w:eastAsiaTheme="minorEastAsia" w:cstheme="minorEastAsia"/>
          <w:b w:val="0"/>
          <w:bCs w:val="0"/>
          <w:color w:val="auto"/>
          <w:kern w:val="2"/>
          <w:sz w:val="21"/>
          <w:szCs w:val="21"/>
          <w:u w:val="single"/>
          <w:lang w:val="en-US" w:eastAsia="zh-CN" w:bidi="ar-SA"/>
        </w:rPr>
        <w:t xml:space="preserve">       办</w:t>
      </w:r>
      <w:r>
        <w:rPr>
          <w:rFonts w:hint="eastAsia" w:asciiTheme="minorEastAsia" w:hAnsiTheme="minorEastAsia" w:eastAsiaTheme="minorEastAsia" w:cstheme="minorEastAsia"/>
          <w:b w:val="0"/>
          <w:bCs w:val="0"/>
          <w:color w:val="auto"/>
          <w:kern w:val="2"/>
          <w:sz w:val="21"/>
          <w:szCs w:val="21"/>
          <w:lang w:val="en-US" w:eastAsia="zh-CN" w:bidi="ar-SA"/>
        </w:rPr>
        <w:t>法</w:t>
      </w:r>
      <w:r>
        <w:rPr>
          <w:rFonts w:hint="eastAsia" w:asciiTheme="minorEastAsia" w:hAnsiTheme="minorEastAsia" w:eastAsiaTheme="minorEastAsia" w:cstheme="minorEastAsia"/>
          <w:b w:val="0"/>
          <w:bCs w:val="0"/>
          <w:color w:val="auto"/>
          <w:kern w:val="2"/>
          <w:sz w:val="21"/>
          <w:szCs w:val="21"/>
          <w:lang w:val="en-US" w:eastAsia="zh-CN" w:bidi="ar-SA"/>
        </w:rPr>
        <w:fldChar w:fldCharType="end"/>
      </w:r>
      <w:r>
        <w:rPr>
          <w:rFonts w:hint="eastAsia" w:asciiTheme="minorEastAsia" w:hAnsiTheme="minorEastAsia" w:eastAsiaTheme="minorEastAsia" w:cstheme="minorEastAsia"/>
          <w:b w:val="0"/>
          <w:bCs w:val="0"/>
          <w:color w:val="auto"/>
          <w:kern w:val="2"/>
          <w:sz w:val="21"/>
          <w:szCs w:val="21"/>
          <w:lang w:val="en-US" w:eastAsia="zh-CN" w:bidi="ar-SA"/>
        </w:rPr>
        <w:t>》等法律法规、规章和政策文件规定。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二</w:t>
      </w:r>
      <w:r>
        <w:rPr>
          <w:rFonts w:hint="eastAsia" w:asciiTheme="minorEastAsia" w:hAnsiTheme="minorEastAsia" w:eastAsiaTheme="minorEastAsia" w:cstheme="minorEastAsia"/>
          <w:sz w:val="21"/>
          <w:szCs w:val="21"/>
        </w:rPr>
        <w:t>、文件制定主体、权限的审核意见（两种类型）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文件制定主体适格、权限合法。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文件制定主体不适格或超越法定权限的，建议不予制定。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三</w:t>
      </w:r>
      <w:r>
        <w:rPr>
          <w:rFonts w:hint="eastAsia" w:asciiTheme="minorEastAsia" w:hAnsiTheme="minorEastAsia" w:eastAsiaTheme="minorEastAsia" w:cstheme="minorEastAsia"/>
          <w:sz w:val="21"/>
          <w:szCs w:val="21"/>
        </w:rPr>
        <w:t>、文件起草程序的审核意见（三种类型）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该文件已经履行</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等程序，制定程序合法。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根据</w:t>
      </w:r>
      <w:r>
        <w:rPr>
          <w:rFonts w:hint="eastAsia" w:asciiTheme="minorEastAsia" w:hAnsiTheme="minorEastAsia" w:eastAsiaTheme="minorEastAsia" w:cstheme="minorEastAsia"/>
          <w:sz w:val="21"/>
          <w:szCs w:val="21"/>
          <w:u w:val="single"/>
          <w:lang w:eastAsia="zh-CN"/>
        </w:rPr>
        <w:t>《</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（法律、法规、规章、国家政策文件）</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（法律、法规、规章、国家政策文件具体内容）的规定，文件起草应履行</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程序，但送审材料未能体现，建议补充完</w:t>
      </w:r>
      <w:r>
        <w:rPr>
          <w:rFonts w:hint="eastAsia" w:asciiTheme="minorEastAsia" w:hAnsiTheme="minorEastAsia" w:eastAsiaTheme="minorEastAsia" w:cstheme="minorEastAsia"/>
          <w:sz w:val="21"/>
          <w:szCs w:val="21"/>
          <w:lang w:eastAsia="zh-CN"/>
        </w:rPr>
        <w:t>善</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程序。（应履行征求意见、合法性审核、专家论证、风险评估并备案等程序的，没有履行规定程序；涉及市场主体经济活动的，没有履行公平竞争审查程序等。）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已经完成规定的起草程序，但对相关意见未采纳且没有说明理由的，建议与意见提出</w:t>
      </w:r>
      <w:r>
        <w:rPr>
          <w:rFonts w:hint="eastAsia" w:asciiTheme="minorEastAsia" w:hAnsiTheme="minorEastAsia" w:eastAsiaTheme="minorEastAsia" w:cstheme="minorEastAsia"/>
          <w:sz w:val="21"/>
          <w:szCs w:val="21"/>
          <w:lang w:eastAsia="zh-CN"/>
        </w:rPr>
        <w:t>的</w:t>
      </w:r>
      <w:r>
        <w:rPr>
          <w:rFonts w:hint="eastAsia" w:asciiTheme="minorEastAsia" w:hAnsiTheme="minorEastAsia" w:eastAsiaTheme="minorEastAsia" w:cstheme="minorEastAsia"/>
          <w:sz w:val="21"/>
          <w:szCs w:val="21"/>
        </w:rPr>
        <w:t>主体沟通协商一致。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四</w:t>
      </w:r>
      <w:r>
        <w:rPr>
          <w:rFonts w:hint="eastAsia" w:asciiTheme="minorEastAsia" w:hAnsiTheme="minorEastAsia" w:eastAsiaTheme="minorEastAsia" w:cstheme="minorEastAsia"/>
          <w:sz w:val="21"/>
          <w:szCs w:val="21"/>
        </w:rPr>
        <w:t>、文件内容的审核意见（四种类型）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文件内容合法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u w:val="single"/>
        </w:rPr>
        <w:t>《</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主要内容符合（不违反）法律、法规、规章和上级政策文件规定；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文件内容部分违法或不当</w:t>
      </w:r>
      <w:r>
        <w:rPr>
          <w:rFonts w:hint="eastAsia" w:asciiTheme="minorEastAsia" w:hAnsiTheme="minorEastAsia" w:eastAsiaTheme="minorEastAsia" w:cstheme="minor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u w:val="single"/>
        </w:rPr>
        <w:t>《</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主要内容基本符合法律、法规、规章和上级政策文件规定，但存在以下具体问题：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(1)建议删除“……</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理由：……</w:t>
      </w:r>
      <w:r>
        <w:rPr>
          <w:rFonts w:hint="eastAsia" w:asciiTheme="minorEastAsia" w:hAnsiTheme="minorEastAsia" w:eastAsiaTheme="minorEastAsia" w:cstheme="minor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(2)建议将“……</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修改为“……</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理由：……</w:t>
      </w:r>
      <w:r>
        <w:rPr>
          <w:rFonts w:hint="eastAsia" w:asciiTheme="minorEastAsia" w:hAnsiTheme="minorEastAsia" w:eastAsiaTheme="minorEastAsia" w:cstheme="minor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文件内容违法或明显不当</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主要内容违法或拟定的主要制度措施不符合上级决策部署或国家改革方向，提出合法性审核不通过的意见，建议起草部门进行全面修改后再报制定机关审议或签发。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4．探索性改革决策事项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文件相关内容，法律、法规、规章未作规定，但符合法律原则、国家政策或改革发展方向的探索性改革决策事项，对相关</w:t>
      </w:r>
      <w:r>
        <w:rPr>
          <w:rFonts w:hint="eastAsia" w:asciiTheme="minorEastAsia" w:hAnsiTheme="minorEastAsia" w:eastAsiaTheme="minorEastAsia" w:cstheme="minorEastAsia"/>
          <w:sz w:val="21"/>
          <w:szCs w:val="21"/>
          <w:lang w:eastAsia="zh-CN"/>
        </w:rPr>
        <w:t>法律</w:t>
      </w:r>
      <w:r>
        <w:rPr>
          <w:rFonts w:hint="eastAsia" w:asciiTheme="minorEastAsia" w:hAnsiTheme="minorEastAsia" w:eastAsiaTheme="minorEastAsia" w:cstheme="minorEastAsia"/>
          <w:sz w:val="21"/>
          <w:szCs w:val="21"/>
        </w:rPr>
        <w:t>风险进行提示。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30" w:firstLineChars="2300"/>
        <w:textAlignment w:val="auto"/>
        <w:rPr>
          <w:rFonts w:hint="eastAsia" w:asciiTheme="minorEastAsia" w:hAnsiTheme="minorEastAsia" w:eastAsiaTheme="minorEastAsia" w:cstheme="minor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30" w:firstLineChars="23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XXX司法厅/局（印章）</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注：县级以上人民政府部门、</w:t>
      </w:r>
      <w:r>
        <w:rPr>
          <w:rFonts w:hint="eastAsia" w:asciiTheme="minorEastAsia" w:hAnsiTheme="minorEastAsia" w:eastAsiaTheme="minorEastAsia" w:cstheme="minorEastAsia"/>
          <w:sz w:val="21"/>
          <w:szCs w:val="21"/>
          <w:lang w:eastAsia="zh-CN"/>
        </w:rPr>
        <w:t>乡（镇）</w:t>
      </w:r>
      <w:r>
        <w:rPr>
          <w:rFonts w:hint="eastAsia" w:asciiTheme="minorEastAsia" w:hAnsiTheme="minorEastAsia" w:eastAsiaTheme="minorEastAsia" w:cstheme="minorEastAsia"/>
          <w:sz w:val="21"/>
          <w:szCs w:val="21"/>
        </w:rPr>
        <w:t>街道办事处及法律、法规授权的具有管理公共事务职能的组织</w:t>
      </w:r>
      <w:r>
        <w:rPr>
          <w:rFonts w:hint="eastAsia" w:asciiTheme="minorEastAsia" w:hAnsiTheme="minorEastAsia" w:eastAsiaTheme="minorEastAsia" w:cstheme="minorEastAsia"/>
          <w:sz w:val="21"/>
          <w:szCs w:val="21"/>
          <w:lang w:eastAsia="zh-CN"/>
        </w:rPr>
        <w:t>的</w:t>
      </w:r>
      <w:r>
        <w:rPr>
          <w:rFonts w:hint="eastAsia" w:asciiTheme="minorEastAsia" w:hAnsiTheme="minorEastAsia" w:eastAsiaTheme="minorEastAsia" w:cstheme="minorEastAsia"/>
          <w:sz w:val="21"/>
          <w:szCs w:val="21"/>
        </w:rPr>
        <w:t>合法性审核意见以此为参考，可适当简化</w:t>
      </w:r>
      <w:r>
        <w:rPr>
          <w:rFonts w:hint="eastAsia" w:asciiTheme="minorEastAsia" w:hAnsiTheme="minorEastAsia" w:eastAsiaTheme="minorEastAsia" w:cstheme="minor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1"/>
          <w:szCs w:val="21"/>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1"/>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sz w:val="21"/>
          <w:szCs w:val="21"/>
        </w:rPr>
      </w:pPr>
      <w:r>
        <w:rPr>
          <w:rFonts w:hint="eastAsia" w:ascii="黑体" w:hAnsi="黑体" w:eastAsia="黑体" w:cs="黑体"/>
          <w:sz w:val="21"/>
          <w:szCs w:val="21"/>
        </w:rPr>
        <w:t>参考文献</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[1]规章制定程序条例（中华人民共和国国务院令第322号）</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[2]法治政府建设实施纲要（2021－2025年）</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[3]党政机关公文处理工作条例</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中办发〔2012〕14号</w:t>
      </w:r>
      <w:r>
        <w:rPr>
          <w:rFonts w:hint="eastAsia" w:asciiTheme="minorEastAsia" w:hAnsiTheme="minorEastAsia" w:eastAsiaTheme="minorEastAsia" w:cstheme="minor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]国务院办公厅关于加强行政规范性文件制定和监督管理工作的通知(国办发〔2018〕37号）</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]国务院办公厅关于全面推行行政规范性文件合法性审核机制的指导意见(国办发〔2018〕115号）</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]国务院办公厅关于在制定行政法规规章行政规范性文件过程中充分听取企业和行业协会商会意见的通知(国办发〔2019〕9号）</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val="en-US" w:eastAsia="zh-CN"/>
        </w:rPr>
        <w:t>7</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河北</w:t>
      </w:r>
      <w:r>
        <w:rPr>
          <w:rFonts w:hint="eastAsia" w:asciiTheme="minorEastAsia" w:hAnsiTheme="minorEastAsia" w:eastAsiaTheme="minorEastAsia" w:cstheme="minorEastAsia"/>
          <w:color w:val="auto"/>
          <w:sz w:val="21"/>
          <w:szCs w:val="21"/>
        </w:rPr>
        <w:t>省规范性</w:t>
      </w:r>
      <w:r>
        <w:rPr>
          <w:rFonts w:hint="eastAsia" w:asciiTheme="minorEastAsia" w:hAnsiTheme="minorEastAsia" w:eastAsiaTheme="minorEastAsia" w:cstheme="minorEastAsia"/>
          <w:color w:val="auto"/>
          <w:sz w:val="21"/>
          <w:szCs w:val="21"/>
          <w:lang w:eastAsia="zh-CN"/>
        </w:rPr>
        <w:t>管理办法</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eastAsiaTheme="minorEastAsia" w:cstheme="minorEastAsia"/>
          <w:color w:val="auto"/>
          <w:sz w:val="21"/>
          <w:szCs w:val="21"/>
          <w:lang w:eastAsia="zh-CN"/>
        </w:rPr>
        <w:t>2016年</w:t>
      </w:r>
      <w:r>
        <w:rPr>
          <w:rFonts w:hint="eastAsia" w:asciiTheme="minorEastAsia" w:hAnsiTheme="minorEastAsia" w:eastAsiaTheme="minorEastAsia" w:cstheme="minorEastAsia"/>
          <w:color w:val="auto"/>
          <w:sz w:val="21"/>
          <w:szCs w:val="21"/>
          <w:lang w:val="en-US" w:eastAsia="zh-CN"/>
        </w:rPr>
        <w:t>12月6日河北省人民政府令〔2016〕第5号公布  根据2020年10月31日河北省人民政府令</w:t>
      </w:r>
      <w:r>
        <w:rPr>
          <w:rFonts w:hint="eastAsia" w:asciiTheme="minorEastAsia" w:hAnsiTheme="minorEastAsia" w:eastAsiaTheme="minorEastAsia" w:cstheme="minorEastAsia"/>
          <w:color w:val="auto"/>
          <w:sz w:val="21"/>
          <w:szCs w:val="21"/>
          <w:lang w:eastAsia="zh-CN"/>
        </w:rPr>
        <w:t>〔20</w:t>
      </w:r>
      <w:r>
        <w:rPr>
          <w:rFonts w:hint="eastAsia" w:asciiTheme="minorEastAsia" w:hAnsiTheme="minorEastAsia" w:eastAsiaTheme="minorEastAsia" w:cstheme="minorEastAsia"/>
          <w:color w:val="auto"/>
          <w:sz w:val="21"/>
          <w:szCs w:val="21"/>
          <w:lang w:val="en-US" w:eastAsia="zh-CN"/>
        </w:rPr>
        <w:t>20</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第2号修正）</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val="en-US" w:eastAsia="zh-CN"/>
        </w:rPr>
        <w:t>8</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河北省重大行政决策程序暂行办法（河北省人民政府令 2019 年第 12 号）</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9</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河北</w:t>
      </w:r>
      <w:r>
        <w:rPr>
          <w:rFonts w:hint="eastAsia" w:asciiTheme="minorEastAsia" w:hAnsiTheme="minorEastAsia" w:eastAsiaTheme="minorEastAsia" w:cstheme="minorEastAsia"/>
          <w:color w:val="auto"/>
          <w:sz w:val="21"/>
          <w:szCs w:val="21"/>
        </w:rPr>
        <w:t>省人民政府办公厅关于全面推行行政规范性文件合法性审核机制的实施意见(</w:t>
      </w:r>
      <w:r>
        <w:rPr>
          <w:rFonts w:hint="eastAsia" w:asciiTheme="minorEastAsia" w:hAnsiTheme="minorEastAsia" w:eastAsiaTheme="minorEastAsia" w:cstheme="minorEastAsia"/>
          <w:color w:val="auto"/>
          <w:sz w:val="21"/>
          <w:szCs w:val="21"/>
          <w:lang w:eastAsia="zh-CN"/>
        </w:rPr>
        <w:t>冀</w:t>
      </w:r>
      <w:r>
        <w:rPr>
          <w:rFonts w:hint="eastAsia" w:asciiTheme="minorEastAsia" w:hAnsiTheme="minorEastAsia" w:eastAsiaTheme="minorEastAsia" w:cstheme="minorEastAsia"/>
          <w:color w:val="auto"/>
          <w:sz w:val="21"/>
          <w:szCs w:val="21"/>
        </w:rPr>
        <w:t>政办</w:t>
      </w:r>
      <w:r>
        <w:rPr>
          <w:rFonts w:hint="eastAsia" w:asciiTheme="minorEastAsia" w:hAnsiTheme="minorEastAsia" w:eastAsiaTheme="minorEastAsia" w:cstheme="minorEastAsia"/>
          <w:color w:val="auto"/>
          <w:sz w:val="21"/>
          <w:szCs w:val="21"/>
          <w:lang w:eastAsia="zh-CN"/>
        </w:rPr>
        <w:t>字</w:t>
      </w:r>
      <w:r>
        <w:rPr>
          <w:rFonts w:hint="eastAsia" w:asciiTheme="minorEastAsia" w:hAnsiTheme="minorEastAsia" w:eastAsiaTheme="minorEastAsia" w:cstheme="minorEastAsia"/>
          <w:color w:val="auto"/>
          <w:sz w:val="21"/>
          <w:szCs w:val="21"/>
        </w:rPr>
        <w:t xml:space="preserve">(2019) </w:t>
      </w:r>
      <w:r>
        <w:rPr>
          <w:rFonts w:hint="eastAsia" w:asciiTheme="minorEastAsia" w:hAnsiTheme="minorEastAsia" w:eastAsiaTheme="minorEastAsia" w:cstheme="minorEastAsia"/>
          <w:color w:val="auto"/>
          <w:sz w:val="21"/>
          <w:szCs w:val="21"/>
          <w:lang w:val="en-US" w:eastAsia="zh-CN"/>
        </w:rPr>
        <w:t>10</w:t>
      </w:r>
      <w:r>
        <w:rPr>
          <w:rFonts w:hint="eastAsia" w:asciiTheme="minorEastAsia" w:hAnsiTheme="minorEastAsia" w:eastAsiaTheme="minorEastAsia" w:cstheme="minorEastAsia"/>
          <w:color w:val="auto"/>
          <w:sz w:val="21"/>
          <w:szCs w:val="21"/>
        </w:rPr>
        <w:t>号）</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val="en-US" w:eastAsia="zh-CN"/>
        </w:rPr>
        <w:t>10</w:t>
      </w:r>
      <w:r>
        <w:rPr>
          <w:rFonts w:hint="eastAsia" w:asciiTheme="minorEastAsia" w:hAnsiTheme="minorEastAsia" w:eastAsiaTheme="minorEastAsia" w:cstheme="minorEastAsia"/>
          <w:color w:val="auto"/>
          <w:sz w:val="21"/>
          <w:szCs w:val="21"/>
        </w:rPr>
        <w:t>]河北省行政规范性文件合法性审核工作规程</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冀依法行政办〔2020〕5号</w:t>
      </w:r>
      <w:r>
        <w:rPr>
          <w:rFonts w:hint="eastAsia" w:asciiTheme="minorEastAsia" w:hAnsiTheme="minorEastAsia" w:eastAsiaTheme="minorEastAsia" w:cstheme="minorEastAsia"/>
          <w:color w:val="auto"/>
          <w:sz w:val="21"/>
          <w:szCs w:val="21"/>
          <w:lang w:eastAsia="zh-CN"/>
        </w:rPr>
        <w:t>）</w:t>
      </w:r>
    </w:p>
    <w:p>
      <w:pPr>
        <w:spacing w:line="360" w:lineRule="auto"/>
        <w:rPr>
          <w:rFonts w:ascii="黑体" w:hAnsi="黑体" w:eastAsia="黑体" w:cs="黑体"/>
          <w:szCs w:val="20"/>
        </w:rPr>
      </w:pPr>
    </w:p>
    <w:sectPr>
      <w:footerReference r:id="rId7" w:type="default"/>
      <w:pgSz w:w="11906" w:h="16838"/>
      <w:pgMar w:top="1440" w:right="1800" w:bottom="1440" w:left="1800" w:header="1418" w:footer="1134"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黑体">
    <w:panose1 w:val="02010609060101010101"/>
    <w:charset w:val="50"/>
    <w:family w:val="auto"/>
    <w:pitch w:val="default"/>
    <w:sig w:usb0="800002BF" w:usb1="38CF7CFA" w:usb2="00000016" w:usb3="00000000" w:csb0="00040001" w:csb1="00000000"/>
  </w:font>
  <w:font w:name="Heiti SC Light">
    <w:altName w:val="HGYT2_CNKI"/>
    <w:panose1 w:val="02000000000000000000"/>
    <w:charset w:val="50"/>
    <w:family w:val="auto"/>
    <w:pitch w:val="default"/>
    <w:sig w:usb0="00000000" w:usb1="00000000" w:usb2="00000010" w:usb3="00000000" w:csb0="003E0000" w:csb1="00000000"/>
  </w:font>
  <w:font w:name="微软雅黑">
    <w:panose1 w:val="020B0503020204020204"/>
    <w:charset w:val="50"/>
    <w:family w:val="auto"/>
    <w:pitch w:val="default"/>
    <w:sig w:usb0="80000287" w:usb1="280F3C52" w:usb2="00000016" w:usb3="00000000" w:csb0="0004001F" w:csb1="00000000"/>
  </w:font>
  <w:font w:name="Lantinghei TC Heavy">
    <w:altName w:val="Mongolian Baiti"/>
    <w:panose1 w:val="03000509000000000000"/>
    <w:charset w:val="00"/>
    <w:family w:val="auto"/>
    <w:pitch w:val="default"/>
    <w:sig w:usb0="00000000" w:usb1="00000000" w:usb2="00000000" w:usb3="00000000" w:csb0="00100001" w:csb1="00000000"/>
  </w:font>
  <w:font w:name="HGYT2_CNKI">
    <w:panose1 w:val="02000500000000000000"/>
    <w:charset w:val="86"/>
    <w:family w:val="auto"/>
    <w:pitch w:val="default"/>
    <w:sig w:usb0="80000023" w:usb1="18010000" w:usb2="00000010" w:usb3="00000000" w:csb0="00040003" w:csb1="00000000"/>
  </w:font>
  <w:font w:name="方正仿宋_GBK">
    <w:altName w:val="微软雅黑"/>
    <w:panose1 w:val="03000509000000000000"/>
    <w:charset w:val="86"/>
    <w:family w:val="script"/>
    <w:pitch w:val="default"/>
    <w:sig w:usb0="00000000" w:usb1="00000000" w:usb2="00000000" w:usb3="00000000" w:csb0="00040000" w:csb1="00000000"/>
  </w:font>
  <w:font w:name="Mongolian Baiti">
    <w:panose1 w:val="03000500000000000000"/>
    <w:charset w:val="00"/>
    <w:family w:val="auto"/>
    <w:pitch w:val="default"/>
    <w:sig w:usb0="80000023" w:usb1="00000000" w:usb2="00020000" w:usb3="00000000" w:csb0="0000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44"/>
      <w:ind w:right="36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98120" cy="224155"/>
              <wp:effectExtent l="0" t="0" r="5080" b="4445"/>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98120" cy="224155"/>
                      </a:xfrm>
                      <a:prstGeom prst="rect">
                        <a:avLst/>
                      </a:prstGeom>
                      <a:noFill/>
                      <a:ln>
                        <a:noFill/>
                      </a:ln>
                    </wps:spPr>
                    <wps:txbx>
                      <w:txbxContent>
                        <w:p>
                          <w:pPr>
                            <w:pStyle w:val="44"/>
                          </w:pPr>
                          <w:r>
                            <w:fldChar w:fldCharType="begin"/>
                          </w:r>
                          <w:r>
                            <w:instrText xml:space="preserve"> PAGE  \* MERGEFORMAT </w:instrText>
                          </w:r>
                          <w:r>
                            <w:fldChar w:fldCharType="separate"/>
                          </w:r>
                          <w:r>
                            <w:t>3</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7.65pt;width:15.6pt;mso-position-horizontal:right;mso-position-horizontal-relative:margin;mso-wrap-style:none;z-index:251659264;mso-width-relative:page;mso-height-relative:page;" filled="f" stroked="f" coordsize="21600,21600" o:gfxdata="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eMcdt0QAA&#10;AAMBAAAPAAAAAAAAAAEAIAAAACIAAABkcnMvZG93bnJldi54bWxQSwECFAAUAAAACACHTuJAfvJx&#10;g+wBAAC0AwAADgAAAAAAAAABACAAAAAgAQAAZHJzL2Uyb0RvYy54bWxQSwUGAAAAAAYABgBZAQAA&#10;fgUAAAAA&#10;">
              <v:fill on="f" focussize="0,0"/>
              <v:stroke on="f"/>
              <v:imagedata o:title=""/>
              <o:lock v:ext="edit" aspectratio="f"/>
              <v:textbox inset="0mm,0mm,0mm,0mm" style="mso-fit-shape-to-text:t;">
                <w:txbxContent>
                  <w:p>
                    <w:pPr>
                      <w:pStyle w:val="4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ind w:right="360"/>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rPr>
                              <w:rStyle w:val="15"/>
                              <w:rFonts w:hint="eastAsia" w:asciiTheme="majorEastAsia" w:hAnsiTheme="majorEastAsia" w:eastAsiaTheme="majorEastAsia" w:cstheme="majorEastAsia"/>
                              <w:sz w:val="24"/>
                              <w:szCs w:val="24"/>
                            </w:rPr>
                          </w:pPr>
                          <w:r>
                            <w:rPr>
                              <w:rStyle w:val="15"/>
                              <w:rFonts w:hint="eastAsia" w:asciiTheme="majorEastAsia" w:hAnsiTheme="majorEastAsia" w:eastAsiaTheme="majorEastAsia" w:cstheme="majorEastAsia"/>
                              <w:sz w:val="24"/>
                              <w:szCs w:val="24"/>
                            </w:rPr>
                            <w:fldChar w:fldCharType="begin"/>
                          </w:r>
                          <w:r>
                            <w:rPr>
                              <w:rStyle w:val="15"/>
                              <w:rFonts w:hint="eastAsia" w:asciiTheme="majorEastAsia" w:hAnsiTheme="majorEastAsia" w:eastAsiaTheme="majorEastAsia" w:cstheme="majorEastAsia"/>
                              <w:sz w:val="24"/>
                              <w:szCs w:val="24"/>
                            </w:rPr>
                            <w:instrText xml:space="preserve">PAGE  </w:instrText>
                          </w:r>
                          <w:r>
                            <w:rPr>
                              <w:rStyle w:val="15"/>
                              <w:rFonts w:hint="eastAsia" w:asciiTheme="majorEastAsia" w:hAnsiTheme="majorEastAsia" w:eastAsiaTheme="majorEastAsia" w:cstheme="majorEastAsia"/>
                              <w:sz w:val="24"/>
                              <w:szCs w:val="24"/>
                            </w:rPr>
                            <w:fldChar w:fldCharType="separate"/>
                          </w:r>
                          <w:r>
                            <w:rPr>
                              <w:rStyle w:val="15"/>
                              <w:rFonts w:hint="eastAsia" w:asciiTheme="majorEastAsia" w:hAnsiTheme="majorEastAsia" w:eastAsiaTheme="majorEastAsia" w:cstheme="majorEastAsia"/>
                              <w:sz w:val="24"/>
                              <w:szCs w:val="24"/>
                            </w:rPr>
                            <w:t>8</w:t>
                          </w:r>
                          <w:r>
                            <w:rPr>
                              <w:rStyle w:val="15"/>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PW6G0PDAgAA1gUAAA4AAAAA&#10;AAAAAQAgAAAAHwEAAGRycy9lMm9Eb2MueG1sUEsFBgAAAAAGAAYAWQEAAFQGAAAAAA==&#10;">
              <v:fill on="f" focussize="0,0"/>
              <v:stroke on="f" weight="0.5pt"/>
              <v:imagedata o:title=""/>
              <o:lock v:ext="edit" aspectratio="f"/>
              <v:textbox inset="0mm,0mm,0mm,0mm" style="mso-fit-shape-to-text:t;">
                <w:txbxContent>
                  <w:p>
                    <w:pPr>
                      <w:pStyle w:val="8"/>
                      <w:rPr>
                        <w:rStyle w:val="15"/>
                        <w:rFonts w:hint="eastAsia" w:asciiTheme="majorEastAsia" w:hAnsiTheme="majorEastAsia" w:eastAsiaTheme="majorEastAsia" w:cstheme="majorEastAsia"/>
                        <w:sz w:val="24"/>
                        <w:szCs w:val="24"/>
                      </w:rPr>
                    </w:pPr>
                    <w:r>
                      <w:rPr>
                        <w:rStyle w:val="15"/>
                        <w:rFonts w:hint="eastAsia" w:asciiTheme="majorEastAsia" w:hAnsiTheme="majorEastAsia" w:eastAsiaTheme="majorEastAsia" w:cstheme="majorEastAsia"/>
                        <w:sz w:val="24"/>
                        <w:szCs w:val="24"/>
                      </w:rPr>
                      <w:fldChar w:fldCharType="begin"/>
                    </w:r>
                    <w:r>
                      <w:rPr>
                        <w:rStyle w:val="15"/>
                        <w:rFonts w:hint="eastAsia" w:asciiTheme="majorEastAsia" w:hAnsiTheme="majorEastAsia" w:eastAsiaTheme="majorEastAsia" w:cstheme="majorEastAsia"/>
                        <w:sz w:val="24"/>
                        <w:szCs w:val="24"/>
                      </w:rPr>
                      <w:instrText xml:space="preserve">PAGE  </w:instrText>
                    </w:r>
                    <w:r>
                      <w:rPr>
                        <w:rStyle w:val="15"/>
                        <w:rFonts w:hint="eastAsia" w:asciiTheme="majorEastAsia" w:hAnsiTheme="majorEastAsia" w:eastAsiaTheme="majorEastAsia" w:cstheme="majorEastAsia"/>
                        <w:sz w:val="24"/>
                        <w:szCs w:val="24"/>
                      </w:rPr>
                      <w:fldChar w:fldCharType="separate"/>
                    </w:r>
                    <w:r>
                      <w:rPr>
                        <w:rStyle w:val="15"/>
                        <w:rFonts w:hint="eastAsia" w:asciiTheme="majorEastAsia" w:hAnsiTheme="majorEastAsia" w:eastAsiaTheme="majorEastAsia" w:cstheme="majorEastAsia"/>
                        <w:sz w:val="24"/>
                        <w:szCs w:val="24"/>
                      </w:rPr>
                      <w:t>8</w:t>
                    </w:r>
                    <w:r>
                      <w:rPr>
                        <w:rStyle w:val="15"/>
                        <w:rFonts w:hint="eastAsia" w:asciiTheme="majorEastAsia" w:hAnsiTheme="majorEastAsia" w:eastAsiaTheme="majorEastAsia" w:cstheme="majorEastAsia"/>
                        <w:sz w:val="24"/>
                        <w:szCs w:val="24"/>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ind w:right="360"/>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5"/>
                              <w:rFonts w:hint="eastAsia" w:asciiTheme="majorEastAsia" w:hAnsiTheme="majorEastAsia" w:eastAsiaTheme="majorEastAsia" w:cstheme="majorEastAsia"/>
                              <w:sz w:val="24"/>
                              <w:szCs w:val="24"/>
                              <w:lang w:eastAsia="zh-CN"/>
                            </w:rPr>
                          </w:pPr>
                          <w:r>
                            <w:rPr>
                              <w:rStyle w:val="15"/>
                              <w:rFonts w:hint="eastAsia" w:asciiTheme="majorEastAsia" w:hAnsiTheme="majorEastAsia" w:eastAsiaTheme="majorEastAsia" w:cstheme="majorEastAsia"/>
                              <w:sz w:val="24"/>
                              <w:szCs w:val="24"/>
                              <w:lang w:eastAsia="zh-CN"/>
                            </w:rPr>
                            <w:t xml:space="preserve">— </w:t>
                          </w:r>
                          <w:r>
                            <w:rPr>
                              <w:rStyle w:val="15"/>
                              <w:rFonts w:hint="eastAsia" w:asciiTheme="majorEastAsia" w:hAnsiTheme="majorEastAsia" w:eastAsiaTheme="majorEastAsia" w:cstheme="majorEastAsia"/>
                              <w:sz w:val="24"/>
                              <w:szCs w:val="24"/>
                              <w:lang w:eastAsia="zh-CN"/>
                            </w:rPr>
                            <w:fldChar w:fldCharType="begin"/>
                          </w:r>
                          <w:r>
                            <w:rPr>
                              <w:rStyle w:val="15"/>
                              <w:rFonts w:hint="eastAsia" w:asciiTheme="majorEastAsia" w:hAnsiTheme="majorEastAsia" w:eastAsiaTheme="majorEastAsia" w:cstheme="majorEastAsia"/>
                              <w:sz w:val="24"/>
                              <w:szCs w:val="24"/>
                              <w:lang w:eastAsia="zh-CN"/>
                            </w:rPr>
                            <w:instrText xml:space="preserve"> PAGE  \* MERGEFORMAT </w:instrText>
                          </w:r>
                          <w:r>
                            <w:rPr>
                              <w:rStyle w:val="15"/>
                              <w:rFonts w:hint="eastAsia" w:asciiTheme="majorEastAsia" w:hAnsiTheme="majorEastAsia" w:eastAsiaTheme="majorEastAsia" w:cstheme="majorEastAsia"/>
                              <w:sz w:val="24"/>
                              <w:szCs w:val="24"/>
                              <w:lang w:eastAsia="zh-CN"/>
                            </w:rPr>
                            <w:fldChar w:fldCharType="separate"/>
                          </w:r>
                          <w:r>
                            <w:rPr>
                              <w:rStyle w:val="15"/>
                              <w:rFonts w:hint="eastAsia" w:asciiTheme="majorEastAsia" w:hAnsiTheme="majorEastAsia" w:eastAsiaTheme="majorEastAsia" w:cstheme="majorEastAsia"/>
                              <w:sz w:val="24"/>
                              <w:szCs w:val="24"/>
                              <w:lang w:eastAsia="zh-CN"/>
                            </w:rPr>
                            <w:t>I</w:t>
                          </w:r>
                          <w:r>
                            <w:rPr>
                              <w:rStyle w:val="15"/>
                              <w:rFonts w:hint="eastAsia" w:asciiTheme="majorEastAsia" w:hAnsiTheme="majorEastAsia" w:eastAsiaTheme="majorEastAsia" w:cstheme="majorEastAsia"/>
                              <w:sz w:val="24"/>
                              <w:szCs w:val="24"/>
                              <w:lang w:eastAsia="zh-CN"/>
                            </w:rPr>
                            <w:fldChar w:fldCharType="end"/>
                          </w:r>
                          <w:r>
                            <w:rPr>
                              <w:rStyle w:val="15"/>
                              <w:rFonts w:hint="eastAsia" w:asciiTheme="majorEastAsia" w:hAnsiTheme="majorEastAsia" w:eastAsiaTheme="majorEastAsia" w:cstheme="majorEastAsia"/>
                              <w:sz w:val="24"/>
                              <w:szCs w:val="24"/>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8"/>
                      <w:rPr>
                        <w:rStyle w:val="15"/>
                        <w:rFonts w:hint="eastAsia" w:asciiTheme="majorEastAsia" w:hAnsiTheme="majorEastAsia" w:eastAsiaTheme="majorEastAsia" w:cstheme="majorEastAsia"/>
                        <w:sz w:val="24"/>
                        <w:szCs w:val="24"/>
                        <w:lang w:eastAsia="zh-CN"/>
                      </w:rPr>
                    </w:pPr>
                    <w:r>
                      <w:rPr>
                        <w:rStyle w:val="15"/>
                        <w:rFonts w:hint="eastAsia" w:asciiTheme="majorEastAsia" w:hAnsiTheme="majorEastAsia" w:eastAsiaTheme="majorEastAsia" w:cstheme="majorEastAsia"/>
                        <w:sz w:val="24"/>
                        <w:szCs w:val="24"/>
                        <w:lang w:eastAsia="zh-CN"/>
                      </w:rPr>
                      <w:t xml:space="preserve">— </w:t>
                    </w:r>
                    <w:r>
                      <w:rPr>
                        <w:rStyle w:val="15"/>
                        <w:rFonts w:hint="eastAsia" w:asciiTheme="majorEastAsia" w:hAnsiTheme="majorEastAsia" w:eastAsiaTheme="majorEastAsia" w:cstheme="majorEastAsia"/>
                        <w:sz w:val="24"/>
                        <w:szCs w:val="24"/>
                        <w:lang w:eastAsia="zh-CN"/>
                      </w:rPr>
                      <w:fldChar w:fldCharType="begin"/>
                    </w:r>
                    <w:r>
                      <w:rPr>
                        <w:rStyle w:val="15"/>
                        <w:rFonts w:hint="eastAsia" w:asciiTheme="majorEastAsia" w:hAnsiTheme="majorEastAsia" w:eastAsiaTheme="majorEastAsia" w:cstheme="majorEastAsia"/>
                        <w:sz w:val="24"/>
                        <w:szCs w:val="24"/>
                        <w:lang w:eastAsia="zh-CN"/>
                      </w:rPr>
                      <w:instrText xml:space="preserve"> PAGE  \* MERGEFORMAT </w:instrText>
                    </w:r>
                    <w:r>
                      <w:rPr>
                        <w:rStyle w:val="15"/>
                        <w:rFonts w:hint="eastAsia" w:asciiTheme="majorEastAsia" w:hAnsiTheme="majorEastAsia" w:eastAsiaTheme="majorEastAsia" w:cstheme="majorEastAsia"/>
                        <w:sz w:val="24"/>
                        <w:szCs w:val="24"/>
                        <w:lang w:eastAsia="zh-CN"/>
                      </w:rPr>
                      <w:fldChar w:fldCharType="separate"/>
                    </w:r>
                    <w:r>
                      <w:rPr>
                        <w:rStyle w:val="15"/>
                        <w:rFonts w:hint="eastAsia" w:asciiTheme="majorEastAsia" w:hAnsiTheme="majorEastAsia" w:eastAsiaTheme="majorEastAsia" w:cstheme="majorEastAsia"/>
                        <w:sz w:val="24"/>
                        <w:szCs w:val="24"/>
                        <w:lang w:eastAsia="zh-CN"/>
                      </w:rPr>
                      <w:t>I</w:t>
                    </w:r>
                    <w:r>
                      <w:rPr>
                        <w:rStyle w:val="15"/>
                        <w:rFonts w:hint="eastAsia" w:asciiTheme="majorEastAsia" w:hAnsiTheme="majorEastAsia" w:eastAsiaTheme="majorEastAsia" w:cstheme="majorEastAsia"/>
                        <w:sz w:val="24"/>
                        <w:szCs w:val="24"/>
                        <w:lang w:eastAsia="zh-CN"/>
                      </w:rPr>
                      <w:fldChar w:fldCharType="end"/>
                    </w:r>
                    <w:r>
                      <w:rPr>
                        <w:rStyle w:val="15"/>
                        <w:rFonts w:hint="eastAsia" w:asciiTheme="majorEastAsia" w:hAnsiTheme="majorEastAsia" w:eastAsiaTheme="majorEastAsia" w:cstheme="majorEastAsia"/>
                        <w:sz w:val="24"/>
                        <w:szCs w:val="24"/>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hAnsi="黑体" w:cs="黑体"/>
      </w:rPr>
      <w:t>DB 13/TXXXX</w:t>
    </w:r>
    <w:r>
      <w:rPr>
        <w:rFonts w:hAnsi="黑体" w:cs="黑体"/>
      </w:rPr>
      <w:t>—</w:t>
    </w:r>
    <w:r>
      <w:rPr>
        <w:rFonts w:hint="eastAsia" w:hAnsi="黑体" w:cs="黑体"/>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Pr>
    <w:r>
      <w:t>DB13/</w:t>
    </w:r>
    <w:r>
      <w:rPr>
        <w:rFonts w:hint="eastAsia"/>
      </w:rPr>
      <w:t>T***</w:t>
    </w:r>
    <w:r>
      <w:t>—20</w:t>
    </w:r>
    <w:r>
      <w:rPr>
        <w:rFonts w:hint="eastAsia"/>
      </w:rPr>
      <w:t>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decimal"/>
      <w:pStyle w:val="29"/>
      <w:suff w:val="nothing"/>
      <w:lvlText w:val="%1　"/>
      <w:lvlJc w:val="left"/>
      <w:pPr>
        <w:ind w:left="1135" w:firstLine="0"/>
      </w:pPr>
      <w:rPr>
        <w:rFonts w:hint="eastAsia" w:ascii="黑体" w:hAnsi="Times New Roman" w:eastAsia="黑体"/>
        <w:b w:val="0"/>
        <w:i w:val="0"/>
        <w:sz w:val="21"/>
        <w:szCs w:val="21"/>
      </w:rPr>
    </w:lvl>
    <w:lvl w:ilvl="1" w:tentative="0">
      <w:start w:val="1"/>
      <w:numFmt w:val="decimal"/>
      <w:pStyle w:val="24"/>
      <w:suff w:val="nothing"/>
      <w:lvlText w:val="%1.%2　"/>
      <w:lvlJc w:val="left"/>
      <w:pPr>
        <w:ind w:left="142" w:firstLine="0"/>
      </w:pPr>
      <w:rPr>
        <w:rFonts w:hint="eastAsia" w:ascii="黑体" w:hAnsi="Times New Roman" w:eastAsia="黑体" w:cs="Times New Roman"/>
        <w:b w:val="0"/>
        <w:bCs w:val="0"/>
        <w:i w:val="0"/>
        <w:iCs w:val="0"/>
        <w:caps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23"/>
      <w:suff w:val="nothing"/>
      <w:lvlText w:val="%1.%2.%3　"/>
      <w:lvlJc w:val="left"/>
      <w:pPr>
        <w:ind w:left="851" w:firstLine="0"/>
      </w:pPr>
      <w:rPr>
        <w:rFonts w:hint="eastAsia" w:ascii="黑体" w:hAnsi="Times New Roman" w:eastAsia="黑体"/>
        <w:b w:val="0"/>
        <w:i w:val="0"/>
        <w:sz w:val="21"/>
      </w:rPr>
    </w:lvl>
    <w:lvl w:ilvl="3" w:tentative="0">
      <w:start w:val="1"/>
      <w:numFmt w:val="decimal"/>
      <w:pStyle w:val="22"/>
      <w:suff w:val="nothing"/>
      <w:lvlText w:val="%1.%2.%3.%4　"/>
      <w:lvlJc w:val="left"/>
      <w:pPr>
        <w:ind w:left="0" w:firstLine="0"/>
      </w:pPr>
      <w:rPr>
        <w:rFonts w:hint="eastAsia" w:ascii="黑体" w:hAnsi="Times New Roman" w:eastAsia="黑体"/>
        <w:b w:val="0"/>
        <w:i w:val="0"/>
        <w:sz w:val="21"/>
      </w:rPr>
    </w:lvl>
    <w:lvl w:ilvl="4" w:tentative="0">
      <w:start w:val="1"/>
      <w:numFmt w:val="decimal"/>
      <w:pStyle w:val="38"/>
      <w:suff w:val="nothing"/>
      <w:lvlText w:val="%1.%2.%3.%4.%5　"/>
      <w:lvlJc w:val="left"/>
      <w:pPr>
        <w:ind w:left="0" w:firstLine="0"/>
      </w:pPr>
      <w:rPr>
        <w:rFonts w:hint="eastAsia" w:ascii="黑体" w:hAnsi="Times New Roman" w:eastAsia="黑体"/>
        <w:b w:val="0"/>
        <w:i w:val="0"/>
        <w:sz w:val="21"/>
      </w:rPr>
    </w:lvl>
    <w:lvl w:ilvl="5" w:tentative="0">
      <w:start w:val="1"/>
      <w:numFmt w:val="decimal"/>
      <w:pStyle w:val="3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0000009"/>
    <w:multiLevelType w:val="multilevel"/>
    <w:tmpl w:val="00000009"/>
    <w:lvl w:ilvl="0" w:tentative="0">
      <w:start w:val="1"/>
      <w:numFmt w:val="decimal"/>
      <w:pStyle w:val="11"/>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jOTJkYjRhZjg5Nzk4MmNkZjBhOGIzMmMwYWJjOTUifQ=="/>
  </w:docVars>
  <w:rsids>
    <w:rsidRoot w:val="002E0F2D"/>
    <w:rsid w:val="00000454"/>
    <w:rsid w:val="00005185"/>
    <w:rsid w:val="00021815"/>
    <w:rsid w:val="00045170"/>
    <w:rsid w:val="00053EAE"/>
    <w:rsid w:val="0006095A"/>
    <w:rsid w:val="0007732B"/>
    <w:rsid w:val="000801EA"/>
    <w:rsid w:val="000B732B"/>
    <w:rsid w:val="000E457A"/>
    <w:rsid w:val="00103FC3"/>
    <w:rsid w:val="00115DE6"/>
    <w:rsid w:val="0012553D"/>
    <w:rsid w:val="00136DA5"/>
    <w:rsid w:val="00150BC6"/>
    <w:rsid w:val="00153529"/>
    <w:rsid w:val="00153F16"/>
    <w:rsid w:val="00154D80"/>
    <w:rsid w:val="001564D2"/>
    <w:rsid w:val="0017321C"/>
    <w:rsid w:val="00176BF2"/>
    <w:rsid w:val="001879D1"/>
    <w:rsid w:val="001C0E6E"/>
    <w:rsid w:val="001C1F79"/>
    <w:rsid w:val="001D3A8D"/>
    <w:rsid w:val="001D71C8"/>
    <w:rsid w:val="001E268A"/>
    <w:rsid w:val="0020047A"/>
    <w:rsid w:val="002105DD"/>
    <w:rsid w:val="0023760D"/>
    <w:rsid w:val="0026296D"/>
    <w:rsid w:val="00290DDA"/>
    <w:rsid w:val="002E0F2D"/>
    <w:rsid w:val="002E3AE9"/>
    <w:rsid w:val="002E439D"/>
    <w:rsid w:val="0030372B"/>
    <w:rsid w:val="00305155"/>
    <w:rsid w:val="0031606F"/>
    <w:rsid w:val="0034172B"/>
    <w:rsid w:val="003469AB"/>
    <w:rsid w:val="00363A58"/>
    <w:rsid w:val="00373C79"/>
    <w:rsid w:val="003829D8"/>
    <w:rsid w:val="003951A1"/>
    <w:rsid w:val="003D1E15"/>
    <w:rsid w:val="003F728A"/>
    <w:rsid w:val="0040686A"/>
    <w:rsid w:val="004307FA"/>
    <w:rsid w:val="00435010"/>
    <w:rsid w:val="0043572B"/>
    <w:rsid w:val="00435BFF"/>
    <w:rsid w:val="00461A9F"/>
    <w:rsid w:val="00481542"/>
    <w:rsid w:val="004B2135"/>
    <w:rsid w:val="004C7377"/>
    <w:rsid w:val="004E0980"/>
    <w:rsid w:val="004F6654"/>
    <w:rsid w:val="00500968"/>
    <w:rsid w:val="0050327A"/>
    <w:rsid w:val="005201B7"/>
    <w:rsid w:val="00534443"/>
    <w:rsid w:val="005472FA"/>
    <w:rsid w:val="00577D11"/>
    <w:rsid w:val="00591B68"/>
    <w:rsid w:val="005B086D"/>
    <w:rsid w:val="005E4381"/>
    <w:rsid w:val="006126FF"/>
    <w:rsid w:val="00622D28"/>
    <w:rsid w:val="00624BBB"/>
    <w:rsid w:val="00626194"/>
    <w:rsid w:val="00637F6A"/>
    <w:rsid w:val="006518FD"/>
    <w:rsid w:val="006529E5"/>
    <w:rsid w:val="00691D96"/>
    <w:rsid w:val="006B0A68"/>
    <w:rsid w:val="006D51A6"/>
    <w:rsid w:val="006F0581"/>
    <w:rsid w:val="006F24A5"/>
    <w:rsid w:val="00706C6A"/>
    <w:rsid w:val="007229EA"/>
    <w:rsid w:val="00727D21"/>
    <w:rsid w:val="007624D2"/>
    <w:rsid w:val="00763420"/>
    <w:rsid w:val="00765CD1"/>
    <w:rsid w:val="007710CC"/>
    <w:rsid w:val="00787C21"/>
    <w:rsid w:val="007A7303"/>
    <w:rsid w:val="007E5809"/>
    <w:rsid w:val="007F33EA"/>
    <w:rsid w:val="0080131D"/>
    <w:rsid w:val="008224AE"/>
    <w:rsid w:val="00823D88"/>
    <w:rsid w:val="008356AA"/>
    <w:rsid w:val="00846DE3"/>
    <w:rsid w:val="00874930"/>
    <w:rsid w:val="008859FD"/>
    <w:rsid w:val="00890297"/>
    <w:rsid w:val="0089528E"/>
    <w:rsid w:val="00895C98"/>
    <w:rsid w:val="008A2D8A"/>
    <w:rsid w:val="008E7CCE"/>
    <w:rsid w:val="008F5CE2"/>
    <w:rsid w:val="0090746B"/>
    <w:rsid w:val="009512F9"/>
    <w:rsid w:val="0096036C"/>
    <w:rsid w:val="0097002E"/>
    <w:rsid w:val="00973D2B"/>
    <w:rsid w:val="009A4A71"/>
    <w:rsid w:val="009C2C65"/>
    <w:rsid w:val="009D4C0A"/>
    <w:rsid w:val="009D5613"/>
    <w:rsid w:val="009D5FA4"/>
    <w:rsid w:val="009D7A51"/>
    <w:rsid w:val="009E0496"/>
    <w:rsid w:val="009E3011"/>
    <w:rsid w:val="009F2824"/>
    <w:rsid w:val="00A02E56"/>
    <w:rsid w:val="00A06AE8"/>
    <w:rsid w:val="00A07ACC"/>
    <w:rsid w:val="00A142EB"/>
    <w:rsid w:val="00A17ECF"/>
    <w:rsid w:val="00A37FE2"/>
    <w:rsid w:val="00A50747"/>
    <w:rsid w:val="00A51EDA"/>
    <w:rsid w:val="00A610DA"/>
    <w:rsid w:val="00A763AC"/>
    <w:rsid w:val="00A83597"/>
    <w:rsid w:val="00A841C9"/>
    <w:rsid w:val="00A90B57"/>
    <w:rsid w:val="00AB4501"/>
    <w:rsid w:val="00AC22BA"/>
    <w:rsid w:val="00AD2510"/>
    <w:rsid w:val="00AF1D96"/>
    <w:rsid w:val="00B26A32"/>
    <w:rsid w:val="00B436A3"/>
    <w:rsid w:val="00B45BE1"/>
    <w:rsid w:val="00B64AD3"/>
    <w:rsid w:val="00B7584D"/>
    <w:rsid w:val="00B925BA"/>
    <w:rsid w:val="00B976DA"/>
    <w:rsid w:val="00BC2015"/>
    <w:rsid w:val="00BC35AA"/>
    <w:rsid w:val="00BE4097"/>
    <w:rsid w:val="00BE776F"/>
    <w:rsid w:val="00BF7725"/>
    <w:rsid w:val="00C12EF1"/>
    <w:rsid w:val="00C238AB"/>
    <w:rsid w:val="00C3470D"/>
    <w:rsid w:val="00C40D5F"/>
    <w:rsid w:val="00C76AFE"/>
    <w:rsid w:val="00C97B14"/>
    <w:rsid w:val="00CA3B37"/>
    <w:rsid w:val="00CB4FCF"/>
    <w:rsid w:val="00CD6606"/>
    <w:rsid w:val="00CE18D2"/>
    <w:rsid w:val="00CF6430"/>
    <w:rsid w:val="00D01FE9"/>
    <w:rsid w:val="00D07F6E"/>
    <w:rsid w:val="00D129F4"/>
    <w:rsid w:val="00D21CF4"/>
    <w:rsid w:val="00D34028"/>
    <w:rsid w:val="00D35F69"/>
    <w:rsid w:val="00D605AB"/>
    <w:rsid w:val="00D722DE"/>
    <w:rsid w:val="00D812F2"/>
    <w:rsid w:val="00D87C08"/>
    <w:rsid w:val="00D97C8B"/>
    <w:rsid w:val="00DE497D"/>
    <w:rsid w:val="00DE5308"/>
    <w:rsid w:val="00DF3763"/>
    <w:rsid w:val="00DF7E19"/>
    <w:rsid w:val="00E47801"/>
    <w:rsid w:val="00E54EA6"/>
    <w:rsid w:val="00E77476"/>
    <w:rsid w:val="00E84516"/>
    <w:rsid w:val="00E91A9A"/>
    <w:rsid w:val="00E95DC5"/>
    <w:rsid w:val="00EB2993"/>
    <w:rsid w:val="00EC0C0A"/>
    <w:rsid w:val="00EE3F6A"/>
    <w:rsid w:val="00F005A4"/>
    <w:rsid w:val="00F0447B"/>
    <w:rsid w:val="00F101F5"/>
    <w:rsid w:val="00F11C61"/>
    <w:rsid w:val="00F139AE"/>
    <w:rsid w:val="00F13C35"/>
    <w:rsid w:val="00F239A2"/>
    <w:rsid w:val="00F4747D"/>
    <w:rsid w:val="00F62DD3"/>
    <w:rsid w:val="00F80FBB"/>
    <w:rsid w:val="00F9328E"/>
    <w:rsid w:val="00F96CF3"/>
    <w:rsid w:val="00F97DBE"/>
    <w:rsid w:val="00FB5671"/>
    <w:rsid w:val="00FC5CBC"/>
    <w:rsid w:val="00FE71EF"/>
    <w:rsid w:val="00FF7E2C"/>
    <w:rsid w:val="016E2862"/>
    <w:rsid w:val="08E478CA"/>
    <w:rsid w:val="0B442EEA"/>
    <w:rsid w:val="0EBE6BB4"/>
    <w:rsid w:val="0F810AB2"/>
    <w:rsid w:val="0FA91612"/>
    <w:rsid w:val="144B2C98"/>
    <w:rsid w:val="185736BF"/>
    <w:rsid w:val="19711722"/>
    <w:rsid w:val="1D694C91"/>
    <w:rsid w:val="1DEF0857"/>
    <w:rsid w:val="1E10329F"/>
    <w:rsid w:val="1ED11DB3"/>
    <w:rsid w:val="20CD4FA8"/>
    <w:rsid w:val="21DE7C94"/>
    <w:rsid w:val="32FB57BB"/>
    <w:rsid w:val="34000696"/>
    <w:rsid w:val="345237D8"/>
    <w:rsid w:val="3B950658"/>
    <w:rsid w:val="3D0A7630"/>
    <w:rsid w:val="3DE552EB"/>
    <w:rsid w:val="3F1E5571"/>
    <w:rsid w:val="40D41520"/>
    <w:rsid w:val="46E46083"/>
    <w:rsid w:val="4D1402DB"/>
    <w:rsid w:val="4EF86F9D"/>
    <w:rsid w:val="4F373981"/>
    <w:rsid w:val="4F495A4B"/>
    <w:rsid w:val="509750F6"/>
    <w:rsid w:val="567B1C1A"/>
    <w:rsid w:val="589B2863"/>
    <w:rsid w:val="5BEF797A"/>
    <w:rsid w:val="5E373936"/>
    <w:rsid w:val="5EA26F25"/>
    <w:rsid w:val="62975618"/>
    <w:rsid w:val="659B05EA"/>
    <w:rsid w:val="687F04C6"/>
    <w:rsid w:val="6CC64DD1"/>
    <w:rsid w:val="700156B6"/>
    <w:rsid w:val="70D90A72"/>
    <w:rsid w:val="79AD327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4">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2">
    <w:name w:val="Body Text Indent 2"/>
    <w:qFormat/>
    <w:uiPriority w:val="0"/>
    <w:pPr>
      <w:widowControl w:val="0"/>
      <w:spacing w:line="590" w:lineRule="exact"/>
      <w:ind w:firstLine="880" w:firstLineChars="200"/>
      <w:jc w:val="both"/>
    </w:pPr>
    <w:rPr>
      <w:rFonts w:ascii="Times New Roman" w:hAnsi="Times New Roman" w:eastAsia="方正仿宋_GBK" w:cs="Times New Roman"/>
      <w:kern w:val="2"/>
      <w:sz w:val="21"/>
      <w:szCs w:val="21"/>
      <w:lang w:val="en-US" w:eastAsia="zh-CN" w:bidi="ar-SA"/>
    </w:rPr>
  </w:style>
  <w:style w:type="paragraph" w:styleId="3">
    <w:name w:val="annotation text"/>
    <w:basedOn w:val="1"/>
    <w:semiHidden/>
    <w:unhideWhenUsed/>
    <w:uiPriority w:val="99"/>
    <w:pPr>
      <w:jc w:val="left"/>
    </w:pPr>
  </w:style>
  <w:style w:type="paragraph" w:styleId="4">
    <w:name w:val="Body Text"/>
    <w:basedOn w:val="1"/>
    <w:next w:val="5"/>
    <w:qFormat/>
    <w:uiPriority w:val="0"/>
    <w:pPr>
      <w:spacing w:after="120"/>
    </w:pPr>
  </w:style>
  <w:style w:type="paragraph" w:styleId="5">
    <w:name w:val="Body Text First Indent"/>
    <w:basedOn w:val="4"/>
    <w:qFormat/>
    <w:uiPriority w:val="0"/>
    <w:pPr>
      <w:ind w:firstLine="420" w:firstLineChars="100"/>
    </w:pPr>
  </w:style>
  <w:style w:type="paragraph" w:styleId="6">
    <w:name w:val="Date"/>
    <w:basedOn w:val="1"/>
    <w:next w:val="1"/>
    <w:link w:val="19"/>
    <w:qFormat/>
    <w:uiPriority w:val="0"/>
    <w:pPr>
      <w:ind w:left="100" w:leftChars="2500"/>
    </w:pPr>
    <w:rPr>
      <w:kern w:val="0"/>
      <w:sz w:val="20"/>
      <w:szCs w:val="20"/>
    </w:rPr>
  </w:style>
  <w:style w:type="paragraph" w:styleId="7">
    <w:name w:val="Balloon Text"/>
    <w:basedOn w:val="1"/>
    <w:link w:val="48"/>
    <w:semiHidden/>
    <w:unhideWhenUsed/>
    <w:uiPriority w:val="99"/>
    <w:rPr>
      <w:rFonts w:ascii="Heiti SC Light" w:eastAsia="Heiti SC Light"/>
      <w:sz w:val="18"/>
      <w:szCs w:val="18"/>
    </w:rPr>
  </w:style>
  <w:style w:type="paragraph" w:styleId="8">
    <w:name w:val="footer"/>
    <w:basedOn w:val="1"/>
    <w:link w:val="47"/>
    <w:unhideWhenUsed/>
    <w:qFormat/>
    <w:uiPriority w:val="99"/>
    <w:pPr>
      <w:tabs>
        <w:tab w:val="center" w:pos="4153"/>
        <w:tab w:val="right" w:pos="8306"/>
      </w:tabs>
      <w:snapToGrid w:val="0"/>
      <w:jc w:val="left"/>
    </w:pPr>
    <w:rPr>
      <w:sz w:val="18"/>
      <w:szCs w:val="18"/>
    </w:rPr>
  </w:style>
  <w:style w:type="paragraph" w:styleId="9">
    <w:name w:val="header"/>
    <w:basedOn w:val="1"/>
    <w:link w:val="20"/>
    <w:qFormat/>
    <w:uiPriority w:val="0"/>
    <w:pPr>
      <w:snapToGrid w:val="0"/>
      <w:jc w:val="left"/>
    </w:pPr>
    <w:rPr>
      <w:rFonts w:ascii="Times New Roman" w:hAnsi="Times New Roman"/>
      <w:sz w:val="18"/>
      <w:szCs w:val="18"/>
    </w:rPr>
  </w:style>
  <w:style w:type="paragraph" w:styleId="10">
    <w:name w:val="toc 1"/>
    <w:basedOn w:val="1"/>
    <w:next w:val="1"/>
    <w:unhideWhenUsed/>
    <w:qFormat/>
    <w:uiPriority w:val="39"/>
    <w:rPr>
      <w:rFonts w:ascii="宋体"/>
    </w:rPr>
  </w:style>
  <w:style w:type="paragraph" w:styleId="11">
    <w:name w:val="footnote text"/>
    <w:basedOn w:val="1"/>
    <w:link w:val="46"/>
    <w:qFormat/>
    <w:uiPriority w:val="0"/>
    <w:pPr>
      <w:numPr>
        <w:ilvl w:val="0"/>
        <w:numId w:val="1"/>
      </w:numPr>
      <w:snapToGrid w:val="0"/>
      <w:jc w:val="left"/>
    </w:pPr>
    <w:rPr>
      <w:rFonts w:ascii="宋体" w:hAnsi="Times New Roman"/>
      <w:sz w:val="18"/>
      <w:szCs w:val="18"/>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5">
    <w:name w:val="page number"/>
    <w:basedOn w:val="14"/>
    <w:semiHidden/>
    <w:unhideWhenUsed/>
    <w:qFormat/>
    <w:uiPriority w:val="99"/>
  </w:style>
  <w:style w:type="character" w:styleId="16">
    <w:name w:val="Emphasis"/>
    <w:basedOn w:val="14"/>
    <w:qFormat/>
    <w:uiPriority w:val="20"/>
    <w:rPr>
      <w:i/>
      <w:iCs/>
    </w:rPr>
  </w:style>
  <w:style w:type="character" w:styleId="17">
    <w:name w:val="Hyperlink"/>
    <w:qFormat/>
    <w:uiPriority w:val="99"/>
    <w:rPr>
      <w:rFonts w:ascii="宋体" w:hAnsi="Times New Roman" w:eastAsia="宋体"/>
      <w:color w:val="auto"/>
      <w:spacing w:val="0"/>
      <w:w w:val="100"/>
      <w:position w:val="0"/>
      <w:sz w:val="21"/>
      <w:u w:val="none"/>
      <w:vertAlign w:val="baseline"/>
    </w:rPr>
  </w:style>
  <w:style w:type="character" w:styleId="18">
    <w:name w:val="annotation reference"/>
    <w:basedOn w:val="14"/>
    <w:semiHidden/>
    <w:unhideWhenUsed/>
    <w:qFormat/>
    <w:uiPriority w:val="99"/>
    <w:rPr>
      <w:sz w:val="21"/>
      <w:szCs w:val="21"/>
    </w:rPr>
  </w:style>
  <w:style w:type="character" w:customStyle="1" w:styleId="19">
    <w:name w:val="日期字符"/>
    <w:basedOn w:val="14"/>
    <w:link w:val="6"/>
    <w:qFormat/>
    <w:uiPriority w:val="0"/>
    <w:rPr>
      <w:rFonts w:ascii="Calibri" w:hAnsi="Calibri" w:eastAsia="宋体" w:cs="Times New Roman"/>
      <w:kern w:val="0"/>
      <w:sz w:val="20"/>
      <w:szCs w:val="20"/>
    </w:rPr>
  </w:style>
  <w:style w:type="character" w:customStyle="1" w:styleId="20">
    <w:name w:val="页眉字符"/>
    <w:basedOn w:val="14"/>
    <w:link w:val="9"/>
    <w:uiPriority w:val="0"/>
    <w:rPr>
      <w:rFonts w:ascii="Times New Roman" w:hAnsi="Times New Roman" w:eastAsia="宋体" w:cs="Times New Roman"/>
      <w:sz w:val="18"/>
      <w:szCs w:val="18"/>
    </w:rPr>
  </w:style>
  <w:style w:type="paragraph" w:customStyle="1" w:styleId="21">
    <w:name w:val="段"/>
    <w:link w:val="25"/>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4"/>
      <w:lang w:val="en-US" w:eastAsia="zh-CN" w:bidi="ar-SA"/>
    </w:rPr>
  </w:style>
  <w:style w:type="paragraph" w:customStyle="1" w:styleId="22">
    <w:name w:val="三级条标题"/>
    <w:basedOn w:val="23"/>
    <w:next w:val="21"/>
    <w:qFormat/>
    <w:uiPriority w:val="0"/>
    <w:pPr>
      <w:numPr>
        <w:ilvl w:val="3"/>
      </w:numPr>
      <w:tabs>
        <w:tab w:val="left" w:pos="360"/>
      </w:tabs>
      <w:outlineLvl w:val="4"/>
    </w:pPr>
  </w:style>
  <w:style w:type="paragraph" w:customStyle="1" w:styleId="23">
    <w:name w:val="二级条标题"/>
    <w:basedOn w:val="24"/>
    <w:next w:val="21"/>
    <w:qFormat/>
    <w:uiPriority w:val="0"/>
    <w:pPr>
      <w:numPr>
        <w:ilvl w:val="2"/>
      </w:numPr>
      <w:tabs>
        <w:tab w:val="left" w:pos="360"/>
      </w:tabs>
      <w:spacing w:before="156" w:after="156"/>
      <w:outlineLvl w:val="3"/>
    </w:pPr>
    <w:rPr>
      <w:rFonts w:ascii="Times New Roman" w:hAnsi="Times New Roman" w:eastAsia="宋体"/>
      <w:sz w:val="20"/>
      <w:szCs w:val="20"/>
    </w:rPr>
  </w:style>
  <w:style w:type="paragraph" w:customStyle="1" w:styleId="24">
    <w:name w:val="一级条标题"/>
    <w:next w:val="21"/>
    <w:link w:val="27"/>
    <w:qFormat/>
    <w:uiPriority w:val="0"/>
    <w:pPr>
      <w:numPr>
        <w:ilvl w:val="1"/>
        <w:numId w:val="2"/>
      </w:numPr>
      <w:spacing w:before="50" w:beforeLines="50" w:after="50" w:afterLines="50"/>
      <w:outlineLvl w:val="2"/>
    </w:pPr>
    <w:rPr>
      <w:rFonts w:ascii="黑体" w:hAnsi="黑体" w:eastAsia="黑体" w:cs="Times New Roman"/>
      <w:kern w:val="2"/>
      <w:sz w:val="21"/>
      <w:szCs w:val="21"/>
      <w:lang w:val="en-US" w:eastAsia="zh-CN" w:bidi="ar-SA"/>
    </w:rPr>
  </w:style>
  <w:style w:type="character" w:customStyle="1" w:styleId="25">
    <w:name w:val="段 Char"/>
    <w:link w:val="21"/>
    <w:qFormat/>
    <w:uiPriority w:val="0"/>
    <w:rPr>
      <w:rFonts w:ascii="宋体" w:hAnsi="Calibri" w:eastAsia="宋体" w:cs="Times New Roman"/>
      <w:sz w:val="21"/>
    </w:rPr>
  </w:style>
  <w:style w:type="character" w:customStyle="1" w:styleId="26">
    <w:name w:val="发布"/>
    <w:qFormat/>
    <w:uiPriority w:val="0"/>
    <w:rPr>
      <w:rFonts w:ascii="黑体" w:hAnsi="Times New Roman" w:eastAsia="黑体" w:cs="Times New Roman"/>
      <w:spacing w:val="85"/>
      <w:w w:val="100"/>
      <w:position w:val="3"/>
      <w:sz w:val="28"/>
      <w:szCs w:val="28"/>
    </w:rPr>
  </w:style>
  <w:style w:type="character" w:customStyle="1" w:styleId="27">
    <w:name w:val="一级条标题 Char"/>
    <w:link w:val="24"/>
    <w:qFormat/>
    <w:uiPriority w:val="0"/>
    <w:rPr>
      <w:rFonts w:ascii="黑体" w:hAnsi="黑体" w:eastAsia="黑体" w:cs="Times New Roman"/>
      <w:kern w:val="2"/>
      <w:sz w:val="21"/>
      <w:szCs w:val="21"/>
    </w:rPr>
  </w:style>
  <w:style w:type="paragraph" w:customStyle="1" w:styleId="28">
    <w:name w:val="封面标准代替信息"/>
    <w:qFormat/>
    <w:uiPriority w:val="0"/>
    <w:pPr>
      <w:framePr w:w="9140" w:h="1242" w:hRule="exact" w:hSpace="284" w:wrap="around" w:vAnchor="page" w:hAnchor="page" w:x="1645" w:y="2910" w:anchorLock="1"/>
      <w:spacing w:before="57" w:line="280" w:lineRule="exact"/>
      <w:jc w:val="right"/>
    </w:pPr>
    <w:rPr>
      <w:rFonts w:ascii="宋体" w:hAnsi="Calibri" w:eastAsia="宋体" w:cs="Times New Roman"/>
      <w:kern w:val="2"/>
      <w:sz w:val="21"/>
      <w:szCs w:val="21"/>
      <w:lang w:val="en-US" w:eastAsia="zh-CN" w:bidi="ar-SA"/>
    </w:rPr>
  </w:style>
  <w:style w:type="paragraph" w:customStyle="1" w:styleId="29">
    <w:name w:val="章标题"/>
    <w:next w:val="21"/>
    <w:qFormat/>
    <w:uiPriority w:val="0"/>
    <w:pPr>
      <w:numPr>
        <w:ilvl w:val="0"/>
        <w:numId w:val="2"/>
      </w:numPr>
      <w:spacing w:before="100" w:beforeLines="100" w:after="100" w:afterLines="100"/>
      <w:jc w:val="both"/>
      <w:outlineLvl w:val="1"/>
    </w:pPr>
    <w:rPr>
      <w:rFonts w:ascii="黑体" w:hAnsi="黑体" w:eastAsia="黑体" w:cs="Times New Roman"/>
      <w:kern w:val="2"/>
      <w:sz w:val="21"/>
      <w:szCs w:val="24"/>
      <w:lang w:val="en-US" w:eastAsia="zh-CN" w:bidi="ar-SA"/>
    </w:rPr>
  </w:style>
  <w:style w:type="paragraph" w:customStyle="1" w:styleId="30">
    <w:name w:val="封面一致性程度标识"/>
    <w:basedOn w:val="31"/>
    <w:qFormat/>
    <w:uiPriority w:val="0"/>
    <w:pPr>
      <w:framePr/>
      <w:spacing w:before="440"/>
    </w:pPr>
    <w:rPr>
      <w:rFonts w:ascii="宋体"/>
    </w:rPr>
  </w:style>
  <w:style w:type="paragraph" w:customStyle="1" w:styleId="31">
    <w:name w:val="封面标准英文名称"/>
    <w:basedOn w:val="1"/>
    <w:qFormat/>
    <w:uiPriority w:val="0"/>
    <w:pPr>
      <w:framePr w:w="9639" w:h="6917" w:hRule="exact" w:wrap="around" w:vAnchor="page" w:hAnchor="page" w:xAlign="center" w:y="6408" w:anchorLock="1"/>
      <w:spacing w:before="370" w:line="400" w:lineRule="exact"/>
      <w:jc w:val="center"/>
      <w:textAlignment w:val="center"/>
    </w:pPr>
    <w:rPr>
      <w:rFonts w:ascii="Times New Roman" w:hAnsi="Times New Roman"/>
      <w:sz w:val="28"/>
      <w:szCs w:val="28"/>
    </w:rPr>
  </w:style>
  <w:style w:type="paragraph" w:customStyle="1" w:styleId="3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Calibri" w:hAnsi="Calibri" w:eastAsia="宋体" w:cs="Times New Roman"/>
      <w:b/>
      <w:w w:val="170"/>
      <w:kern w:val="2"/>
      <w:sz w:val="96"/>
      <w:szCs w:val="96"/>
      <w:lang w:val="en-US" w:eastAsia="zh-CN" w:bidi="ar-SA"/>
    </w:rPr>
  </w:style>
  <w:style w:type="paragraph" w:customStyle="1" w:styleId="3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kern w:val="2"/>
      <w:sz w:val="48"/>
      <w:szCs w:val="52"/>
      <w:lang w:val="en-US" w:eastAsia="zh-CN" w:bidi="ar-SA"/>
    </w:rPr>
  </w:style>
  <w:style w:type="paragraph" w:customStyle="1" w:styleId="34">
    <w:name w:val="其他发布部门"/>
    <w:basedOn w:val="1"/>
    <w:qFormat/>
    <w:uiPriority w:val="0"/>
    <w:pPr>
      <w:framePr w:w="7938" w:h="1134" w:hRule="exact" w:hSpace="125" w:vSpace="181" w:wrap="around" w:vAnchor="margin" w:hAnchor="text" w:x="2150" w:y="15310" w:anchorLock="1"/>
      <w:widowControl/>
      <w:spacing w:line="0" w:lineRule="atLeast"/>
      <w:jc w:val="center"/>
    </w:pPr>
    <w:rPr>
      <w:rFonts w:ascii="黑体" w:hAnsi="Times New Roman" w:eastAsia="黑体"/>
      <w:spacing w:val="20"/>
      <w:w w:val="135"/>
      <w:sz w:val="28"/>
    </w:rPr>
  </w:style>
  <w:style w:type="paragraph" w:customStyle="1" w:styleId="35">
    <w:name w:val="文献分类号"/>
    <w:qFormat/>
    <w:uiPriority w:val="0"/>
    <w:pPr>
      <w:framePr w:hSpace="180" w:vSpace="180" w:wrap="around" w:vAnchor="margin" w:hAnchor="margin" w:y="1" w:anchorLock="1"/>
      <w:widowControl w:val="0"/>
      <w:textAlignment w:val="center"/>
    </w:pPr>
    <w:rPr>
      <w:rFonts w:ascii="黑体" w:hAnsi="Calibri" w:eastAsia="黑体" w:cs="Times New Roman"/>
      <w:kern w:val="2"/>
      <w:sz w:val="21"/>
      <w:szCs w:val="21"/>
      <w:lang w:val="en-US" w:eastAsia="zh-CN" w:bidi="ar-SA"/>
    </w:rPr>
  </w:style>
  <w:style w:type="paragraph" w:customStyle="1" w:styleId="36">
    <w:name w:val="前言、引言标题"/>
    <w:next w:val="21"/>
    <w:qFormat/>
    <w:uiPriority w:val="0"/>
    <w:pPr>
      <w:keepNext/>
      <w:pageBreakBefore/>
      <w:shd w:val="clear" w:color="FFFFFF" w:fill="FFFFFF"/>
      <w:spacing w:before="640" w:after="560"/>
      <w:jc w:val="center"/>
      <w:outlineLvl w:val="0"/>
    </w:pPr>
    <w:rPr>
      <w:rFonts w:ascii="黑体" w:hAnsi="Calibri" w:eastAsia="黑体" w:cs="Times New Roman"/>
      <w:kern w:val="2"/>
      <w:sz w:val="32"/>
      <w:szCs w:val="24"/>
      <w:lang w:val="en-US" w:eastAsia="zh-CN" w:bidi="ar-SA"/>
    </w:rPr>
  </w:style>
  <w:style w:type="paragraph" w:customStyle="1" w:styleId="37">
    <w:name w:val="五级条标题"/>
    <w:basedOn w:val="38"/>
    <w:next w:val="21"/>
    <w:qFormat/>
    <w:uiPriority w:val="0"/>
    <w:pPr>
      <w:numPr>
        <w:ilvl w:val="5"/>
      </w:numPr>
      <w:tabs>
        <w:tab w:val="left" w:pos="360"/>
      </w:tabs>
      <w:outlineLvl w:val="6"/>
    </w:pPr>
  </w:style>
  <w:style w:type="paragraph" w:customStyle="1" w:styleId="38">
    <w:name w:val="四级条标题"/>
    <w:basedOn w:val="22"/>
    <w:next w:val="21"/>
    <w:qFormat/>
    <w:uiPriority w:val="0"/>
    <w:pPr>
      <w:numPr>
        <w:ilvl w:val="4"/>
      </w:numPr>
      <w:outlineLvl w:val="5"/>
    </w:pPr>
  </w:style>
  <w:style w:type="paragraph" w:customStyle="1" w:styleId="39">
    <w:name w:val="标准书眉_奇数页"/>
    <w:next w:val="1"/>
    <w:qFormat/>
    <w:uiPriority w:val="0"/>
    <w:pPr>
      <w:tabs>
        <w:tab w:val="center" w:pos="4154"/>
        <w:tab w:val="right" w:pos="8306"/>
      </w:tabs>
      <w:spacing w:after="220"/>
      <w:jc w:val="right"/>
    </w:pPr>
    <w:rPr>
      <w:rFonts w:ascii="黑体" w:hAnsi="Calibri" w:eastAsia="黑体" w:cs="Times New Roman"/>
      <w:kern w:val="2"/>
      <w:sz w:val="21"/>
      <w:szCs w:val="21"/>
      <w:lang w:val="en-US" w:eastAsia="zh-CN" w:bidi="ar-SA"/>
    </w:rPr>
  </w:style>
  <w:style w:type="paragraph" w:customStyle="1" w:styleId="40">
    <w:name w:val="目次、标准名称标题"/>
    <w:basedOn w:val="1"/>
    <w:next w:val="21"/>
    <w:qFormat/>
    <w:uiPriority w:val="0"/>
    <w:pPr>
      <w:keepNext/>
      <w:pageBreakBefore/>
      <w:widowControl/>
      <w:shd w:val="clear" w:color="FFFFFF" w:fill="FFFFFF"/>
      <w:spacing w:before="640" w:after="560" w:line="460" w:lineRule="exact"/>
      <w:jc w:val="center"/>
      <w:outlineLvl w:val="0"/>
    </w:pPr>
    <w:rPr>
      <w:rFonts w:ascii="黑体" w:hAnsi="Times New Roman" w:eastAsia="黑体"/>
      <w:kern w:val="0"/>
      <w:sz w:val="32"/>
      <w:szCs w:val="20"/>
    </w:rPr>
  </w:style>
  <w:style w:type="paragraph" w:customStyle="1" w:styleId="41">
    <w:name w:val="封面标准号2"/>
    <w:qFormat/>
    <w:uiPriority w:val="0"/>
    <w:pPr>
      <w:framePr w:w="9140" w:h="1242" w:hRule="exact" w:hSpace="284" w:wrap="around" w:vAnchor="page" w:hAnchor="page" w:x="1645" w:y="2910" w:anchorLock="1"/>
      <w:spacing w:before="357" w:line="280" w:lineRule="exact"/>
      <w:jc w:val="right"/>
    </w:pPr>
    <w:rPr>
      <w:rFonts w:ascii="黑体" w:hAnsi="Calibri" w:eastAsia="黑体" w:cs="Times New Roman"/>
      <w:kern w:val="2"/>
      <w:sz w:val="28"/>
      <w:szCs w:val="28"/>
      <w:lang w:val="en-US" w:eastAsia="zh-CN" w:bidi="ar-SA"/>
    </w:rPr>
  </w:style>
  <w:style w:type="paragraph" w:customStyle="1" w:styleId="42">
    <w:name w:val="标准书脚_奇数页"/>
    <w:qFormat/>
    <w:uiPriority w:val="0"/>
    <w:pPr>
      <w:spacing w:before="120"/>
      <w:ind w:right="198"/>
      <w:jc w:val="right"/>
    </w:pPr>
    <w:rPr>
      <w:rFonts w:ascii="宋体" w:hAnsi="Calibri" w:eastAsia="宋体" w:cs="Times New Roman"/>
      <w:kern w:val="2"/>
      <w:sz w:val="18"/>
      <w:szCs w:val="18"/>
      <w:lang w:val="en-US" w:eastAsia="zh-CN" w:bidi="ar-SA"/>
    </w:rPr>
  </w:style>
  <w:style w:type="paragraph" w:customStyle="1" w:styleId="43">
    <w:name w:val="其他发布日期"/>
    <w:basedOn w:val="1"/>
    <w:qFormat/>
    <w:uiPriority w:val="0"/>
    <w:pPr>
      <w:framePr w:w="3997" w:h="471" w:hRule="exact" w:vSpace="181" w:wrap="around" w:vAnchor="page" w:hAnchor="text" w:x="1419" w:y="14097" w:anchorLock="1"/>
      <w:widowControl/>
      <w:jc w:val="left"/>
    </w:pPr>
    <w:rPr>
      <w:rFonts w:ascii="Times New Roman" w:hAnsi="Times New Roman"/>
      <w:sz w:val="28"/>
    </w:rPr>
  </w:style>
  <w:style w:type="paragraph" w:customStyle="1" w:styleId="44">
    <w:name w:val="标准书脚_偶数页"/>
    <w:qFormat/>
    <w:uiPriority w:val="0"/>
    <w:pPr>
      <w:spacing w:before="120"/>
      <w:ind w:left="221"/>
    </w:pPr>
    <w:rPr>
      <w:rFonts w:ascii="宋体" w:hAnsi="Calibri" w:eastAsia="宋体" w:cs="Times New Roman"/>
      <w:kern w:val="2"/>
      <w:sz w:val="18"/>
      <w:szCs w:val="18"/>
      <w:lang w:val="en-US" w:eastAsia="zh-CN" w:bidi="ar-SA"/>
    </w:rPr>
  </w:style>
  <w:style w:type="paragraph" w:styleId="45">
    <w:name w:val="List Paragraph"/>
    <w:basedOn w:val="1"/>
    <w:qFormat/>
    <w:uiPriority w:val="34"/>
    <w:pPr>
      <w:ind w:firstLine="420" w:firstLineChars="200"/>
    </w:pPr>
  </w:style>
  <w:style w:type="character" w:customStyle="1" w:styleId="46">
    <w:name w:val="脚注文本字符"/>
    <w:basedOn w:val="14"/>
    <w:link w:val="11"/>
    <w:uiPriority w:val="0"/>
    <w:rPr>
      <w:rFonts w:ascii="宋体" w:hAnsi="Times New Roman" w:eastAsia="宋体" w:cs="Times New Roman"/>
      <w:sz w:val="18"/>
      <w:szCs w:val="18"/>
    </w:rPr>
  </w:style>
  <w:style w:type="character" w:customStyle="1" w:styleId="47">
    <w:name w:val="页脚字符"/>
    <w:basedOn w:val="14"/>
    <w:link w:val="8"/>
    <w:qFormat/>
    <w:uiPriority w:val="99"/>
    <w:rPr>
      <w:rFonts w:ascii="Calibri" w:hAnsi="Calibri" w:eastAsia="宋体" w:cs="Times New Roman"/>
      <w:sz w:val="18"/>
      <w:szCs w:val="18"/>
    </w:rPr>
  </w:style>
  <w:style w:type="character" w:customStyle="1" w:styleId="48">
    <w:name w:val="批注框文本字符"/>
    <w:basedOn w:val="14"/>
    <w:link w:val="7"/>
    <w:semiHidden/>
    <w:uiPriority w:val="99"/>
    <w:rPr>
      <w:rFonts w:ascii="Heiti SC Light" w:hAnsi="Calibri" w:eastAsia="Heiti SC Light" w:cs="Times New Roman"/>
      <w:kern w:val="2"/>
      <w:sz w:val="18"/>
      <w:szCs w:val="18"/>
    </w:rPr>
  </w:style>
  <w:style w:type="paragraph" w:customStyle="1" w:styleId="49">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0">
    <w:name w:val="样式1"/>
    <w:basedOn w:val="51"/>
    <w:uiPriority w:val="0"/>
    <w:pPr>
      <w:keepNext/>
      <w:pageBreakBefore/>
      <w:widowControl/>
      <w:shd w:val="clear" w:color="FFFFFF" w:fill="FFFFFF"/>
      <w:spacing w:before="640" w:after="560" w:line="460" w:lineRule="exact"/>
      <w:jc w:val="center"/>
      <w:outlineLvl w:val="0"/>
    </w:pPr>
    <w:rPr>
      <w:rFonts w:hint="eastAsia" w:ascii="黑体" w:hAnsi="黑体" w:eastAsia="黑体"/>
      <w:kern w:val="0"/>
      <w:sz w:val="32"/>
      <w:szCs w:val="20"/>
    </w:rPr>
  </w:style>
  <w:style w:type="paragraph" w:styleId="51">
    <w:name w:val="table of authorities"/>
    <w:basedOn w:val="1"/>
    <w:next w:val="1"/>
    <w:semiHidden/>
    <w:unhideWhenUsed/>
    <w:uiPriority w:val="99"/>
    <w:pPr>
      <w:ind w:left="420" w:leftChars="200"/>
    </w:pPr>
  </w:style>
  <w:style w:type="paragraph" w:customStyle="1" w:styleId="52">
    <w:name w:val="前言"/>
    <w:basedOn w:val="1"/>
    <w:uiPriority w:val="0"/>
    <w:pPr>
      <w:tabs>
        <w:tab w:val="center" w:pos="4201"/>
        <w:tab w:val="right" w:leader="dot" w:pos="9298"/>
      </w:tabs>
      <w:autoSpaceDE w:val="0"/>
      <w:autoSpaceDN w:val="0"/>
      <w:spacing w:line="440" w:lineRule="exact"/>
      <w:ind w:firstLine="420" w:firstLineChars="200"/>
    </w:pPr>
    <w:rPr>
      <w:rFonts w:hint="eastAsia" w:ascii="宋体" w:hAnsi="宋体"/>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stduhz</Company>
  <Pages>12</Pages>
  <Words>4152</Words>
  <Characters>4277</Characters>
  <Lines>2138</Lines>
  <Paragraphs>1404</Paragraphs>
  <TotalTime>24</TotalTime>
  <ScaleCrop>false</ScaleCrop>
  <LinksUpToDate>false</LinksUpToDate>
  <CharactersWithSpaces>7025</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2023-07-07T10:22:00Z</dcterms:created>
  <dc:creator>闲翁 野逸</dc:creator>
  <cp:lastModifiedBy>lenovo</cp:lastModifiedBy>
  <cp:lastPrinted>2023-11-13T01:24:25Z</cp:lastPrinted>
  <dcterms:modified xsi:type="dcterms:W3CDTF">2023-11-13T06:14:19Z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40EC39DB29F34E15B2CE244A21378758</vt:lpwstr>
  </property>
</Properties>
</file>