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_GBK" w:eastAsia="方正小标宋_GBK"/>
          <w:sz w:val="44"/>
          <w:szCs w:val="44"/>
        </w:rPr>
      </w:pPr>
      <w:r>
        <w:rPr>
          <w:rFonts w:hint="eastAsia" w:ascii="方正小标宋_GBK" w:eastAsia="方正小标宋_GBK"/>
          <w:sz w:val="44"/>
          <w:szCs w:val="44"/>
        </w:rPr>
        <w:t xml:space="preserve">  </w:t>
      </w:r>
    </w:p>
    <w:p>
      <w:pPr>
        <w:rPr>
          <w:rFonts w:ascii="黑体" w:hAnsi="黑体" w:eastAsia="黑体"/>
          <w:sz w:val="32"/>
          <w:szCs w:val="32"/>
        </w:rPr>
      </w:pPr>
      <w:bookmarkStart w:id="0" w:name="_GoBack"/>
      <w:bookmarkEnd w:id="0"/>
      <w:r>
        <w:rPr>
          <w:rFonts w:hint="eastAsia" w:ascii="黑体" w:hAnsi="黑体" w:eastAsia="黑体"/>
          <w:sz w:val="32"/>
          <w:szCs w:val="32"/>
        </w:rPr>
        <w:t>附件</w:t>
      </w:r>
      <w:r>
        <w:rPr>
          <w:rFonts w:ascii="黑体" w:hAnsi="黑体" w:eastAsia="黑体"/>
          <w:sz w:val="32"/>
          <w:szCs w:val="32"/>
        </w:rPr>
        <w:t>7</w:t>
      </w:r>
    </w:p>
    <w:p>
      <w:pPr>
        <w:spacing w:before="156" w:beforeLines="50" w:after="156" w:afterLines="50"/>
        <w:jc w:val="center"/>
        <w:rPr>
          <w:rFonts w:ascii="仿宋_GB2312" w:eastAsia="仿宋_GB2312"/>
          <w:sz w:val="28"/>
          <w:szCs w:val="28"/>
        </w:rPr>
      </w:pPr>
      <w:r>
        <w:rPr>
          <w:rFonts w:hint="eastAsia" w:ascii="方正小标宋简体" w:eastAsia="方正小标宋简体"/>
          <w:sz w:val="36"/>
          <w:szCs w:val="36"/>
        </w:rPr>
        <w:t>诚信计量承诺书</w:t>
      </w:r>
      <w:r>
        <w:rPr>
          <w:rFonts w:hint="eastAsia" w:ascii="仿宋_GB2312" w:eastAsia="仿宋_GB2312"/>
          <w:sz w:val="28"/>
          <w:szCs w:val="28"/>
        </w:rPr>
        <w:t xml:space="preserve"> </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为构建诚信经营的市场环境，树立和维护企业良好形象，本单位自愿参与餐饮企业诚信计量承诺单位创建，按照《餐饮企业诚信计量建设规范》要求开展诚信计量体系建设，经自我评价符合要求，特向社会</w:t>
      </w:r>
      <w:r>
        <w:rPr>
          <w:rFonts w:ascii="仿宋_GB2312" w:hAnsi="黑体" w:eastAsia="仿宋_GB2312"/>
          <w:sz w:val="28"/>
          <w:szCs w:val="28"/>
        </w:rPr>
        <w:t>公开承诺</w:t>
      </w:r>
      <w:r>
        <w:rPr>
          <w:rFonts w:hint="eastAsia" w:ascii="仿宋_GB2312" w:hAnsi="黑体" w:eastAsia="仿宋_GB2312"/>
          <w:sz w:val="28"/>
          <w:szCs w:val="28"/>
        </w:rPr>
        <w:t>：</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一、自觉遵守《中华人民共和国计量法》《零售商品称重计量监督管理办法》等法律法规对贸易计量的有关规定。</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二、积极宣传和带头遵守《商业 服务业诚信计量行为规范》，建立诚信计量</w:t>
      </w:r>
      <w:r>
        <w:rPr>
          <w:rFonts w:ascii="仿宋_GB2312" w:hAnsi="黑体" w:eastAsia="仿宋_GB2312"/>
          <w:sz w:val="28"/>
          <w:szCs w:val="28"/>
        </w:rPr>
        <w:t>管理体系并实施有效管理</w:t>
      </w:r>
      <w:r>
        <w:rPr>
          <w:rFonts w:hint="eastAsia" w:ascii="仿宋_GB2312" w:hAnsi="黑体" w:eastAsia="仿宋_GB2312"/>
          <w:sz w:val="28"/>
          <w:szCs w:val="28"/>
        </w:rPr>
        <w:t>、</w:t>
      </w:r>
      <w:r>
        <w:rPr>
          <w:rFonts w:ascii="仿宋_GB2312" w:hAnsi="黑体" w:eastAsia="仿宋_GB2312"/>
          <w:sz w:val="28"/>
          <w:szCs w:val="28"/>
        </w:rPr>
        <w:t>控制和</w:t>
      </w:r>
      <w:r>
        <w:rPr>
          <w:rFonts w:hint="eastAsia" w:ascii="仿宋_GB2312" w:hAnsi="黑体" w:eastAsia="仿宋_GB2312"/>
          <w:sz w:val="28"/>
          <w:szCs w:val="28"/>
        </w:rPr>
        <w:t>持续</w:t>
      </w:r>
      <w:r>
        <w:rPr>
          <w:rFonts w:ascii="仿宋_GB2312" w:hAnsi="黑体" w:eastAsia="仿宋_GB2312"/>
          <w:sz w:val="28"/>
          <w:szCs w:val="28"/>
        </w:rPr>
        <w:t>改进</w:t>
      </w:r>
      <w:r>
        <w:rPr>
          <w:rFonts w:hint="eastAsia" w:ascii="仿宋_GB2312" w:hAnsi="黑体" w:eastAsia="仿宋_GB2312"/>
          <w:sz w:val="28"/>
          <w:szCs w:val="28"/>
        </w:rPr>
        <w:t>。</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三、加强计量器具管理，配备和使用符合所售商品贸易计量要求的计量器具并定期检定。不使用未经检定、检定不合格和超检定周期的计量器具，不对计量器具进行未经授权的调整。</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四、对按重量计费的各种商品，向消费者明示商品称重计量操作过程，活禽、鲜活水产、水发物等不将包装物、捆扎物计入称重值。</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五、使用法定计量单位，商品量及价格标注真实。</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六、如发现商品量短缺行为，免于收取</w:t>
      </w:r>
      <w:r>
        <w:rPr>
          <w:rFonts w:ascii="仿宋_GB2312" w:hAnsi="黑体" w:eastAsia="仿宋_GB2312"/>
          <w:sz w:val="28"/>
          <w:szCs w:val="28"/>
        </w:rPr>
        <w:t>该商品费用</w:t>
      </w:r>
      <w:r>
        <w:rPr>
          <w:rFonts w:hint="eastAsia" w:ascii="仿宋_GB2312" w:hAnsi="黑体" w:eastAsia="仿宋_GB2312"/>
          <w:sz w:val="28"/>
          <w:szCs w:val="28"/>
        </w:rPr>
        <w:t>。</w:t>
      </w:r>
    </w:p>
    <w:p>
      <w:pPr>
        <w:spacing w:line="520" w:lineRule="exact"/>
        <w:ind w:firstLine="560" w:firstLineChars="200"/>
        <w:rPr>
          <w:rFonts w:ascii="仿宋_GB2312" w:hAnsi="黑体" w:eastAsia="仿宋_GB2312"/>
          <w:sz w:val="28"/>
          <w:szCs w:val="28"/>
        </w:rPr>
      </w:pPr>
      <w:r>
        <w:rPr>
          <w:rFonts w:hint="eastAsia" w:ascii="仿宋_GB2312" w:hAnsi="黑体" w:eastAsia="仿宋_GB2312"/>
          <w:sz w:val="28"/>
          <w:szCs w:val="28"/>
        </w:rPr>
        <w:t>本单位将严格履行以上承诺，如有违反，愿意承担相应的法律责任，欢迎社会各界予以监督。</w:t>
      </w:r>
    </w:p>
    <w:p>
      <w:pPr>
        <w:spacing w:line="520" w:lineRule="exact"/>
        <w:ind w:firstLine="4060" w:firstLineChars="1450"/>
        <w:rPr>
          <w:rFonts w:ascii="仿宋_GB2312" w:hAnsi="黑体" w:eastAsia="仿宋_GB2312"/>
          <w:sz w:val="28"/>
          <w:szCs w:val="28"/>
        </w:rPr>
      </w:pPr>
    </w:p>
    <w:p>
      <w:pPr>
        <w:spacing w:line="520" w:lineRule="exact"/>
        <w:ind w:firstLine="5180" w:firstLineChars="1850"/>
        <w:rPr>
          <w:rFonts w:ascii="仿宋_GB2312" w:hAnsi="黑体" w:eastAsia="仿宋_GB2312"/>
          <w:sz w:val="28"/>
          <w:szCs w:val="28"/>
        </w:rPr>
      </w:pPr>
      <w:r>
        <w:rPr>
          <w:rFonts w:hint="eastAsia" w:ascii="仿宋_GB2312" w:hAnsi="黑体" w:eastAsia="仿宋_GB2312"/>
          <w:sz w:val="28"/>
          <w:szCs w:val="28"/>
        </w:rPr>
        <w:t>单位（盖章）</w:t>
      </w:r>
    </w:p>
    <w:p>
      <w:pPr>
        <w:spacing w:line="520" w:lineRule="exact"/>
        <w:ind w:left="5705" w:leftChars="2450" w:hanging="560" w:hangingChars="200"/>
        <w:rPr>
          <w:rFonts w:ascii="仿宋_GB2312" w:hAnsi="黑体" w:eastAsia="仿宋_GB2312"/>
          <w:sz w:val="28"/>
          <w:szCs w:val="28"/>
        </w:rPr>
      </w:pPr>
      <w:r>
        <w:rPr>
          <w:rFonts w:hint="eastAsia" w:ascii="仿宋_GB2312" w:hAnsi="黑体" w:eastAsia="仿宋_GB2312"/>
          <w:sz w:val="28"/>
          <w:szCs w:val="28"/>
        </w:rPr>
        <w:t>举报电话：12315</w:t>
      </w:r>
    </w:p>
    <w:p>
      <w:pPr>
        <w:spacing w:line="520" w:lineRule="exact"/>
        <w:ind w:left="5565" w:leftChars="2650" w:firstLine="480" w:firstLineChars="150"/>
        <w:rPr>
          <w:rFonts w:ascii="仿宋_GB2312" w:hAnsi="黑体" w:eastAsia="仿宋_GB2312"/>
          <w:sz w:val="32"/>
          <w:szCs w:val="32"/>
        </w:rPr>
      </w:pPr>
    </w:p>
    <w:p>
      <w:pPr>
        <w:kinsoku w:val="0"/>
        <w:overflowPunct w:val="0"/>
        <w:rPr>
          <w:rFonts w:ascii="黑体" w:hAnsi="黑体" w:eastAsia="黑体" w:cs="黑体"/>
          <w:szCs w:val="21"/>
        </w:rPr>
        <w:sectPr>
          <w:pgSz w:w="11906" w:h="16838"/>
          <w:pgMar w:top="1134" w:right="1474" w:bottom="1134" w:left="1588" w:header="851" w:footer="992" w:gutter="0"/>
          <w:cols w:space="425" w:num="1"/>
          <w:docGrid w:type="lines" w:linePitch="312" w:charSpace="0"/>
        </w:sectPr>
      </w:pPr>
    </w:p>
    <w:p>
      <w:pPr>
        <w:kinsoku w:val="0"/>
        <w:overflowPunct w:val="0"/>
        <w:jc w:val="center"/>
        <w:rPr>
          <w:rFonts w:ascii="黑体" w:hAnsi="黑体" w:eastAsia="黑体" w:cs="黑体"/>
          <w:sz w:val="28"/>
          <w:szCs w:val="28"/>
        </w:rPr>
      </w:pPr>
      <w:r>
        <w:rPr>
          <w:rFonts w:hint="eastAsia" w:ascii="黑体" w:hAnsi="黑体" w:eastAsia="黑体" w:cs="黑体"/>
          <w:sz w:val="28"/>
          <w:szCs w:val="28"/>
        </w:rPr>
        <w:t xml:space="preserve">  餐饮企业诚信计量承诺单位自评表（试用</w:t>
      </w:r>
      <w:r>
        <w:rPr>
          <w:rFonts w:ascii="黑体" w:hAnsi="黑体" w:eastAsia="黑体" w:cs="黑体"/>
          <w:sz w:val="28"/>
          <w:szCs w:val="28"/>
        </w:rPr>
        <w:t>）</w:t>
      </w:r>
    </w:p>
    <w:p>
      <w:pPr>
        <w:kinsoku w:val="0"/>
        <w:overflowPunct w:val="0"/>
        <w:spacing w:after="156" w:afterLines="50" w:line="240" w:lineRule="exact"/>
        <w:rPr>
          <w:szCs w:val="21"/>
        </w:rPr>
      </w:pPr>
      <w:r>
        <w:rPr>
          <w:rFonts w:hint="eastAsia" w:ascii="黑体" w:hAnsi="黑体" w:eastAsia="黑体" w:cs="黑体"/>
          <w:szCs w:val="21"/>
        </w:rPr>
        <w:t>4 基本</w:t>
      </w:r>
      <w:r>
        <w:rPr>
          <w:rFonts w:ascii="黑体" w:hAnsi="黑体" w:eastAsia="黑体" w:cs="黑体"/>
          <w:szCs w:val="21"/>
        </w:rPr>
        <w:t>要求（</w:t>
      </w:r>
      <w:r>
        <w:rPr>
          <w:rFonts w:hint="eastAsia" w:ascii="黑体" w:hAnsi="黑体" w:eastAsia="黑体" w:cs="黑体"/>
          <w:szCs w:val="21"/>
        </w:rPr>
        <w:t>总分10分</w:t>
      </w:r>
      <w:r>
        <w:rPr>
          <w:rFonts w:ascii="黑体" w:hAnsi="黑体" w:eastAsia="黑体" w:cs="黑体"/>
          <w:szCs w:val="21"/>
        </w:rPr>
        <w:t>）</w:t>
      </w:r>
    </w:p>
    <w:tbl>
      <w:tblPr>
        <w:tblStyle w:val="8"/>
        <w:tblW w:w="14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95"/>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7"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序号</w:t>
            </w:r>
          </w:p>
        </w:tc>
        <w:tc>
          <w:tcPr>
            <w:tcW w:w="1395"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标准条款</w:t>
            </w:r>
          </w:p>
        </w:tc>
        <w:tc>
          <w:tcPr>
            <w:tcW w:w="524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诚信计量要求</w:t>
            </w:r>
          </w:p>
        </w:tc>
        <w:tc>
          <w:tcPr>
            <w:tcW w:w="3402"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评价方法</w:t>
            </w:r>
          </w:p>
        </w:tc>
        <w:tc>
          <w:tcPr>
            <w:tcW w:w="2835"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评价记录</w:t>
            </w:r>
          </w:p>
        </w:tc>
        <w:tc>
          <w:tcPr>
            <w:tcW w:w="92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737" w:type="dxa"/>
            <w:vAlign w:val="center"/>
          </w:tcPr>
          <w:p>
            <w:pPr>
              <w:pStyle w:val="31"/>
              <w:numPr>
                <w:ilvl w:val="1"/>
                <w:numId w:val="0"/>
              </w:numPr>
              <w:spacing w:line="240" w:lineRule="exact"/>
              <w:jc w:val="center"/>
              <w:rPr>
                <w:rFonts w:asciiTheme="minorHAnsi" w:hAnsiTheme="minorHAnsi"/>
                <w:sz w:val="18"/>
                <w:szCs w:val="18"/>
              </w:rPr>
            </w:pPr>
            <w:r>
              <w:rPr>
                <w:rFonts w:asciiTheme="minorHAnsi" w:hAnsiTheme="minorHAnsi"/>
                <w:sz w:val="18"/>
                <w:szCs w:val="18"/>
              </w:rPr>
              <w:t>1</w:t>
            </w:r>
          </w:p>
        </w:tc>
        <w:tc>
          <w:tcPr>
            <w:tcW w:w="1395" w:type="dxa"/>
            <w:vAlign w:val="center"/>
          </w:tcPr>
          <w:p>
            <w:pPr>
              <w:spacing w:line="240" w:lineRule="exact"/>
              <w:jc w:val="center"/>
              <w:rPr>
                <w:rFonts w:ascii="宋体" w:hAnsi="Times New Roman" w:eastAsia="宋体" w:cs="Times New Roman"/>
                <w:kern w:val="0"/>
                <w:sz w:val="18"/>
                <w:szCs w:val="18"/>
              </w:rPr>
            </w:pPr>
            <w:r>
              <w:rPr>
                <w:rFonts w:hint="eastAsia" w:ascii="黑体" w:hAnsi="黑体" w:eastAsia="黑体" w:cs="微软雅黑"/>
                <w:kern w:val="0"/>
                <w:sz w:val="18"/>
                <w:szCs w:val="18"/>
              </w:rPr>
              <w:t>※</w:t>
            </w:r>
            <w:r>
              <w:rPr>
                <w:rFonts w:ascii="宋体" w:hAnsi="Times New Roman" w:eastAsia="宋体" w:cs="Times New Roman"/>
                <w:kern w:val="0"/>
                <w:sz w:val="18"/>
                <w:szCs w:val="18"/>
              </w:rPr>
              <w:t>4.1能承担法律责任的实体（2分）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应是具有符合相关执照或许可证所规定的经营条件，依法取得所必要的执照或许可证，并保持有效。</w:t>
            </w:r>
          </w:p>
        </w:tc>
        <w:tc>
          <w:tcPr>
            <w:tcW w:w="3402"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企业依法取得营业执照、税务证、组织机构代码证和与生产、销售商品相适应的其它证照。</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eastAsia="宋体" w:cs="Times New Roman" w:asciiTheme="minorHAnsi" w:hAnsiTheme="minorHAnsi"/>
                <w:kern w:val="0"/>
                <w:sz w:val="18"/>
                <w:szCs w:val="18"/>
              </w:rPr>
            </w:pPr>
          </w:p>
        </w:tc>
        <w:tc>
          <w:tcPr>
            <w:tcW w:w="924" w:type="dxa"/>
          </w:tcPr>
          <w:p>
            <w:pPr>
              <w:kinsoku w:val="0"/>
              <w:overflowPunct w:val="0"/>
              <w:spacing w:line="240" w:lineRule="exact"/>
              <w:jc w:val="center"/>
              <w:rPr>
                <w:rFonts w:eastAsia="宋体" w:cs="Times New Roman" w:asciiTheme="minorHAnsi" w:hAnsiTheme="minorHAnsi"/>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trPr>
        <w:tc>
          <w:tcPr>
            <w:tcW w:w="737" w:type="dxa"/>
            <w:vAlign w:val="center"/>
          </w:tcPr>
          <w:p>
            <w:pPr>
              <w:pStyle w:val="31"/>
              <w:numPr>
                <w:ilvl w:val="1"/>
                <w:numId w:val="0"/>
              </w:numPr>
              <w:spacing w:line="240" w:lineRule="exact"/>
              <w:jc w:val="center"/>
              <w:rPr>
                <w:rFonts w:asciiTheme="minorHAnsi" w:hAnsiTheme="minorHAnsi"/>
                <w:sz w:val="18"/>
                <w:szCs w:val="18"/>
              </w:rPr>
            </w:pPr>
            <w:r>
              <w:rPr>
                <w:rFonts w:asciiTheme="minorHAnsi" w:hAnsiTheme="minorHAnsi"/>
                <w:sz w:val="18"/>
                <w:szCs w:val="18"/>
              </w:rPr>
              <w:t>2</w:t>
            </w:r>
          </w:p>
        </w:tc>
        <w:tc>
          <w:tcPr>
            <w:tcW w:w="1395" w:type="dxa"/>
            <w:vAlign w:val="center"/>
          </w:tcPr>
          <w:p>
            <w:pPr>
              <w:spacing w:line="240" w:lineRule="exact"/>
              <w:jc w:val="center"/>
              <w:rPr>
                <w:rFonts w:ascii="宋体" w:hAnsi="Times New Roman" w:eastAsia="宋体" w:cs="Times New Roman"/>
                <w:kern w:val="0"/>
                <w:sz w:val="18"/>
                <w:szCs w:val="18"/>
              </w:rPr>
            </w:pPr>
            <w:r>
              <w:rPr>
                <w:rFonts w:ascii="宋体" w:hAnsi="Times New Roman" w:eastAsia="宋体" w:cs="Times New Roman"/>
                <w:kern w:val="0"/>
                <w:sz w:val="18"/>
                <w:szCs w:val="18"/>
              </w:rPr>
              <w:t>4.2制定诚信计量方针和目标（2分）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企业管理者应当按 GB/T 31950、GB/T 19022、《商业 服务业诚信计量行为规范》等标准规范要求，制定诚信计量方针，明确诚信计量目标，识别诚信计量要素，建立诚信计量管理体系并实施有效管理、控制和持续改进。</w:t>
            </w:r>
          </w:p>
        </w:tc>
        <w:tc>
          <w:tcPr>
            <w:tcW w:w="3402"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企业制定了文件化的诚信计量方针、目标，指标合理</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eastAsia="宋体" w:cs="Times New Roman" w:asciiTheme="minorHAnsi" w:hAnsiTheme="minorHAnsi"/>
                <w:kern w:val="0"/>
                <w:sz w:val="18"/>
                <w:szCs w:val="18"/>
              </w:rPr>
            </w:pPr>
          </w:p>
        </w:tc>
        <w:tc>
          <w:tcPr>
            <w:tcW w:w="924" w:type="dxa"/>
          </w:tcPr>
          <w:p>
            <w:pPr>
              <w:kinsoku w:val="0"/>
              <w:overflowPunct w:val="0"/>
              <w:spacing w:line="240" w:lineRule="exact"/>
              <w:jc w:val="center"/>
              <w:rPr>
                <w:rFonts w:eastAsia="宋体" w:cs="Times New Roman" w:asciiTheme="minorHAnsi" w:hAnsiTheme="minorHAnsi"/>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37" w:type="dxa"/>
            <w:vAlign w:val="center"/>
          </w:tcPr>
          <w:p>
            <w:pPr>
              <w:pStyle w:val="31"/>
              <w:numPr>
                <w:ilvl w:val="1"/>
                <w:numId w:val="0"/>
              </w:numPr>
              <w:spacing w:line="240" w:lineRule="exact"/>
              <w:jc w:val="center"/>
              <w:rPr>
                <w:rFonts w:asciiTheme="minorHAnsi" w:hAnsiTheme="minorHAnsi"/>
                <w:sz w:val="18"/>
                <w:szCs w:val="18"/>
              </w:rPr>
            </w:pPr>
            <w:r>
              <w:rPr>
                <w:rFonts w:asciiTheme="minorHAnsi" w:hAnsiTheme="minorHAnsi"/>
                <w:sz w:val="18"/>
                <w:szCs w:val="18"/>
              </w:rPr>
              <w:t>3</w:t>
            </w:r>
          </w:p>
        </w:tc>
        <w:tc>
          <w:tcPr>
            <w:tcW w:w="1395" w:type="dxa"/>
            <w:vAlign w:val="center"/>
          </w:tcPr>
          <w:p>
            <w:pPr>
              <w:spacing w:line="240" w:lineRule="exact"/>
              <w:jc w:val="center"/>
              <w:rPr>
                <w:rFonts w:ascii="宋体" w:hAnsi="Times New Roman" w:eastAsia="宋体" w:cs="Times New Roman"/>
                <w:kern w:val="0"/>
                <w:sz w:val="18"/>
                <w:szCs w:val="18"/>
              </w:rPr>
            </w:pPr>
            <w:r>
              <w:rPr>
                <w:rFonts w:hint="eastAsia" w:ascii="黑体" w:hAnsi="黑体" w:eastAsia="黑体" w:cs="微软雅黑"/>
                <w:kern w:val="0"/>
                <w:sz w:val="18"/>
                <w:szCs w:val="18"/>
              </w:rPr>
              <w:t>※</w:t>
            </w:r>
            <w:r>
              <w:rPr>
                <w:rFonts w:ascii="宋体" w:hAnsi="Times New Roman" w:eastAsia="宋体" w:cs="Times New Roman"/>
                <w:kern w:val="0"/>
                <w:sz w:val="18"/>
                <w:szCs w:val="18"/>
              </w:rPr>
              <w:t>4.3执行相关法律、法规及政策规定</w:t>
            </w:r>
          </w:p>
          <w:p>
            <w:pPr>
              <w:spacing w:line="240" w:lineRule="exact"/>
              <w:jc w:val="center"/>
              <w:rPr>
                <w:rFonts w:ascii="宋体" w:hAnsi="Times New Roman" w:eastAsia="宋体" w:cs="Times New Roman"/>
                <w:kern w:val="0"/>
                <w:sz w:val="18"/>
                <w:szCs w:val="18"/>
              </w:rPr>
            </w:pPr>
            <w:r>
              <w:rPr>
                <w:rFonts w:ascii="宋体" w:hAnsi="Times New Roman" w:eastAsia="宋体" w:cs="Times New Roman"/>
                <w:kern w:val="0"/>
                <w:sz w:val="18"/>
                <w:szCs w:val="18"/>
              </w:rPr>
              <w:t>（2分）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应执行相关法律、法规及政策规定，遵循公正、公平、公开的原则。</w:t>
            </w:r>
          </w:p>
        </w:tc>
        <w:tc>
          <w:tcPr>
            <w:tcW w:w="3402"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企业贯彻执行相关法律、法规及政策规定，1年内未出现影响恶劣的不良计量记录和执法部门处理记录</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eastAsia="宋体" w:cs="Times New Roman" w:asciiTheme="minorHAnsi" w:hAnsiTheme="minorHAnsi"/>
                <w:kern w:val="0"/>
                <w:sz w:val="18"/>
                <w:szCs w:val="18"/>
              </w:rPr>
            </w:pPr>
          </w:p>
        </w:tc>
        <w:tc>
          <w:tcPr>
            <w:tcW w:w="924" w:type="dxa"/>
          </w:tcPr>
          <w:p>
            <w:pPr>
              <w:kinsoku w:val="0"/>
              <w:overflowPunct w:val="0"/>
              <w:spacing w:line="240" w:lineRule="exact"/>
              <w:jc w:val="center"/>
              <w:rPr>
                <w:rFonts w:eastAsia="宋体" w:cs="Times New Roman" w:asciiTheme="minorHAnsi" w:hAnsiTheme="minorHAnsi"/>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737" w:type="dxa"/>
            <w:vAlign w:val="center"/>
          </w:tcPr>
          <w:p>
            <w:pPr>
              <w:pStyle w:val="31"/>
              <w:numPr>
                <w:ilvl w:val="1"/>
                <w:numId w:val="0"/>
              </w:numPr>
              <w:spacing w:line="240" w:lineRule="exact"/>
              <w:jc w:val="center"/>
              <w:rPr>
                <w:rFonts w:asciiTheme="minorHAnsi" w:hAnsiTheme="minorHAnsi"/>
                <w:sz w:val="18"/>
                <w:szCs w:val="18"/>
              </w:rPr>
            </w:pPr>
            <w:r>
              <w:rPr>
                <w:rFonts w:asciiTheme="minorHAnsi" w:hAnsiTheme="minorHAnsi"/>
                <w:sz w:val="18"/>
                <w:szCs w:val="18"/>
              </w:rPr>
              <w:t>4</w:t>
            </w:r>
          </w:p>
        </w:tc>
        <w:tc>
          <w:tcPr>
            <w:tcW w:w="1395" w:type="dxa"/>
            <w:vAlign w:val="center"/>
          </w:tcPr>
          <w:p>
            <w:pPr>
              <w:spacing w:line="240" w:lineRule="exact"/>
              <w:jc w:val="center"/>
              <w:rPr>
                <w:rFonts w:ascii="宋体" w:hAnsi="Times New Roman" w:eastAsia="宋体" w:cs="Times New Roman"/>
                <w:kern w:val="0"/>
                <w:sz w:val="18"/>
                <w:szCs w:val="18"/>
              </w:rPr>
            </w:pPr>
            <w:r>
              <w:rPr>
                <w:rFonts w:hint="eastAsia" w:ascii="黑体" w:hAnsi="黑体" w:eastAsia="黑体" w:cs="微软雅黑"/>
                <w:kern w:val="0"/>
                <w:sz w:val="18"/>
                <w:szCs w:val="18"/>
              </w:rPr>
              <w:t>※</w:t>
            </w:r>
            <w:r>
              <w:rPr>
                <w:rFonts w:ascii="宋体" w:hAnsi="Times New Roman" w:eastAsia="宋体" w:cs="Times New Roman"/>
                <w:kern w:val="0"/>
                <w:sz w:val="18"/>
                <w:szCs w:val="18"/>
              </w:rPr>
              <w:t>4.4建立诚信计量承诺制度（4分）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应建立诚信计量承诺制度，公开做出诚信计量方面的承诺，保证菜品、饮品等符合企业承诺要求,主动接受社会监督，对违反诚信计量承诺的各类行为做出相应的改正和补偿规定。</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建立诚信计量承诺制度</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2.承诺内容</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向社会公示</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3.服务承诺</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符合标准要求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eastAsia="宋体" w:cs="Times New Roman" w:asciiTheme="minorHAnsi" w:hAnsiTheme="minorHAnsi"/>
                <w:kern w:val="0"/>
                <w:sz w:val="18"/>
                <w:szCs w:val="18"/>
              </w:rPr>
            </w:pPr>
          </w:p>
        </w:tc>
        <w:tc>
          <w:tcPr>
            <w:tcW w:w="924" w:type="dxa"/>
          </w:tcPr>
          <w:p>
            <w:pPr>
              <w:kinsoku w:val="0"/>
              <w:overflowPunct w:val="0"/>
              <w:spacing w:line="240" w:lineRule="exact"/>
              <w:jc w:val="center"/>
              <w:rPr>
                <w:rFonts w:eastAsia="宋体" w:cs="Times New Roman" w:asciiTheme="minorHAnsi" w:hAnsiTheme="minorHAnsi"/>
                <w:kern w:val="0"/>
                <w:sz w:val="18"/>
                <w:szCs w:val="18"/>
              </w:rPr>
            </w:pPr>
          </w:p>
        </w:tc>
      </w:tr>
    </w:tbl>
    <w:p>
      <w:pPr>
        <w:kinsoku w:val="0"/>
        <w:overflowPunct w:val="0"/>
        <w:spacing w:before="156" w:beforeLines="50" w:after="156" w:afterLines="50" w:line="240" w:lineRule="exact"/>
        <w:rPr>
          <w:szCs w:val="21"/>
        </w:rPr>
      </w:pPr>
      <w:r>
        <w:rPr>
          <w:rFonts w:ascii="黑体" w:hAnsi="黑体" w:eastAsia="黑体" w:cs="黑体"/>
          <w:szCs w:val="21"/>
        </w:rPr>
        <w:t>5</w:t>
      </w:r>
      <w:r>
        <w:rPr>
          <w:rFonts w:hint="eastAsia" w:ascii="黑体" w:hAnsi="黑体" w:eastAsia="黑体" w:cs="黑体"/>
          <w:szCs w:val="21"/>
        </w:rPr>
        <w:t xml:space="preserve"> 技术</w:t>
      </w:r>
      <w:r>
        <w:rPr>
          <w:rFonts w:ascii="黑体" w:hAnsi="黑体" w:eastAsia="黑体" w:cs="黑体"/>
          <w:szCs w:val="21"/>
        </w:rPr>
        <w:t>要求（</w:t>
      </w:r>
      <w:r>
        <w:rPr>
          <w:rFonts w:hint="eastAsia" w:ascii="黑体" w:hAnsi="黑体" w:eastAsia="黑体" w:cs="黑体"/>
          <w:szCs w:val="21"/>
        </w:rPr>
        <w:t>总分</w:t>
      </w:r>
      <w:r>
        <w:rPr>
          <w:rFonts w:ascii="黑体" w:hAnsi="黑体" w:eastAsia="黑体" w:cs="黑体"/>
          <w:szCs w:val="21"/>
        </w:rPr>
        <w:t>49</w:t>
      </w:r>
      <w:r>
        <w:rPr>
          <w:rFonts w:hint="eastAsia" w:ascii="黑体" w:hAnsi="黑体" w:eastAsia="黑体" w:cs="黑体"/>
          <w:szCs w:val="21"/>
        </w:rPr>
        <w:t>分</w:t>
      </w:r>
      <w:r>
        <w:rPr>
          <w:rFonts w:ascii="黑体" w:hAnsi="黑体" w:eastAsia="黑体" w:cs="黑体"/>
          <w:szCs w:val="21"/>
        </w:rPr>
        <w:t>）</w:t>
      </w:r>
    </w:p>
    <w:tbl>
      <w:tblPr>
        <w:tblStyle w:val="8"/>
        <w:tblW w:w="14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00"/>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7"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序号</w:t>
            </w:r>
          </w:p>
        </w:tc>
        <w:tc>
          <w:tcPr>
            <w:tcW w:w="1400"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标准条款</w:t>
            </w:r>
          </w:p>
        </w:tc>
        <w:tc>
          <w:tcPr>
            <w:tcW w:w="524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诚信计量要求</w:t>
            </w:r>
          </w:p>
        </w:tc>
        <w:tc>
          <w:tcPr>
            <w:tcW w:w="3402"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评价方法</w:t>
            </w:r>
          </w:p>
        </w:tc>
        <w:tc>
          <w:tcPr>
            <w:tcW w:w="2835"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评价记录</w:t>
            </w:r>
          </w:p>
        </w:tc>
        <w:tc>
          <w:tcPr>
            <w:tcW w:w="92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5</w:t>
            </w:r>
          </w:p>
        </w:tc>
        <w:tc>
          <w:tcPr>
            <w:tcW w:w="1400"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5.1人员</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（6分）</w:t>
            </w:r>
          </w:p>
        </w:tc>
        <w:tc>
          <w:tcPr>
            <w:tcW w:w="5244"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应根据工作需要配备足够的专（兼）职计量管理、技术、监督和服务人员，人员应诚实、公正、严谨地按照诚信计量管理体系要求工作。</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企业配备的计量人员，应熟悉各项计量活动的职责及其义务，有能力执行相关计量工作,保存人员的相关记录。</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w:t>
            </w:r>
            <w:r>
              <w:rPr>
                <w:rFonts w:asciiTheme="minorEastAsia" w:hAnsiTheme="minorEastAsia" w:eastAsiaTheme="minorEastAsia"/>
                <w:sz w:val="18"/>
                <w:szCs w:val="18"/>
              </w:rPr>
              <w:t>应重视和加强对计量人员的培训，不断提高其计量</w:t>
            </w:r>
            <w:r>
              <w:rPr>
                <w:rFonts w:hint="eastAsia" w:asciiTheme="minorEastAsia" w:hAnsiTheme="minorEastAsia" w:eastAsiaTheme="minorEastAsia"/>
                <w:sz w:val="18"/>
                <w:szCs w:val="18"/>
                <w:lang w:eastAsia="zh"/>
              </w:rPr>
              <w:t>法治意识</w:t>
            </w:r>
            <w:r>
              <w:rPr>
                <w:rFonts w:asciiTheme="minorEastAsia" w:hAnsiTheme="minorEastAsia" w:eastAsiaTheme="minorEastAsia"/>
                <w:sz w:val="18"/>
                <w:szCs w:val="18"/>
              </w:rPr>
              <w:t>和计量技术水平。</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配备专（兼）职计量管理、技术、监督和服务人员</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2.各类人员</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熟悉担负的计量职责和义务</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3.各类人员</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参加过计量岗位培训，</w:t>
            </w:r>
            <w:r>
              <w:rPr>
                <w:rFonts w:hint="eastAsia" w:asciiTheme="minorEastAsia" w:hAnsiTheme="minorEastAsia" w:eastAsiaTheme="minorEastAsia"/>
                <w:sz w:val="18"/>
                <w:szCs w:val="18"/>
              </w:rPr>
              <w:t>能否</w:t>
            </w:r>
            <w:r>
              <w:rPr>
                <w:rFonts w:asciiTheme="minorEastAsia" w:hAnsiTheme="minorEastAsia" w:eastAsiaTheme="minorEastAsia"/>
                <w:sz w:val="18"/>
                <w:szCs w:val="18"/>
              </w:rPr>
              <w:t>满足工作需求</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2"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6</w:t>
            </w:r>
          </w:p>
        </w:tc>
        <w:tc>
          <w:tcPr>
            <w:tcW w:w="1400"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5.2设备</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5</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应配备合格的计量器具，其最大允许误差应当优于或等于被测对象的允许计量负偏差，计量器具配备符合JJF 1647规定的要求。</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应建立、保持计量设备记录（档案）。</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w:t>
            </w:r>
            <w:r>
              <w:rPr>
                <w:rFonts w:asciiTheme="minorEastAsia" w:hAnsiTheme="minorEastAsia" w:eastAsiaTheme="minorEastAsia"/>
                <w:sz w:val="18"/>
                <w:szCs w:val="18"/>
              </w:rPr>
              <w:t>应对计量设备实施标志管理，标志应注明计量设备信息及状态，并保证标志的完整。</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4</w:t>
            </w:r>
            <w:r>
              <w:rPr>
                <w:rFonts w:hint="eastAsia" w:asciiTheme="minorEastAsia" w:hAnsiTheme="minorEastAsia" w:eastAsiaTheme="minorEastAsia"/>
                <w:sz w:val="18"/>
                <w:szCs w:val="18"/>
              </w:rPr>
              <w:t>.</w:t>
            </w:r>
            <w:r>
              <w:rPr>
                <w:rFonts w:asciiTheme="minorEastAsia" w:hAnsiTheme="minorEastAsia" w:eastAsiaTheme="minorEastAsia"/>
                <w:sz w:val="18"/>
                <w:szCs w:val="18"/>
              </w:rPr>
              <w:t>如果计量器具出现过载或处置不当、出现可疑结果、已显示有缺陷或超出规定要求时，应停止使用。这些计量器具应予以隔离，加贴标签、标记，表明该设备已停用，防止误用，直至修复，通过验证表明能正常工作。检查设备缺陷、故障等偏离规定要求的影响，必要时启动不符合工作程序。</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1.企业配备的计量器具</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符合相关要求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2.企业配备的计量器具</w:t>
            </w:r>
            <w:r>
              <w:rPr>
                <w:rFonts w:hint="eastAsia" w:asciiTheme="minorEastAsia" w:hAnsiTheme="minorEastAsia" w:eastAsiaTheme="minorEastAsia"/>
                <w:sz w:val="18"/>
                <w:szCs w:val="18"/>
              </w:rPr>
              <w:t>能否</w:t>
            </w:r>
            <w:r>
              <w:rPr>
                <w:rFonts w:asciiTheme="minorEastAsia" w:hAnsiTheme="minorEastAsia" w:eastAsiaTheme="minorEastAsia"/>
                <w:sz w:val="18"/>
                <w:szCs w:val="18"/>
              </w:rPr>
              <w:t>满足计量需求</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3.企业配备的计量器具最大允许负偏差</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4.企业不合格计量器具</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单独存放，并做出明确标记</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7</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5.3计量环境</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（2分）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计量器具的工作条件应满足其正常工作所需要的温度、湿度、防尘、防震、防腐蚀、抗干扰等环境要求。</w:t>
            </w:r>
          </w:p>
        </w:tc>
        <w:tc>
          <w:tcPr>
            <w:tcW w:w="3402"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计量器具工作环境</w:t>
            </w:r>
            <w:r>
              <w:rPr>
                <w:rFonts w:hint="eastAsia" w:asciiTheme="minorEastAsia" w:hAnsiTheme="minorEastAsia" w:eastAsiaTheme="minorEastAsia"/>
                <w:sz w:val="18"/>
                <w:szCs w:val="18"/>
              </w:rPr>
              <w:t>能否</w:t>
            </w:r>
            <w:r>
              <w:rPr>
                <w:rFonts w:asciiTheme="minorEastAsia" w:hAnsiTheme="minorEastAsia" w:eastAsiaTheme="minorEastAsia"/>
                <w:sz w:val="18"/>
                <w:szCs w:val="18"/>
              </w:rPr>
              <w:t>满足正常工作要求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8</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hint="eastAsia" w:ascii="黑体" w:hAnsi="黑体" w:eastAsia="黑体" w:cs="微软雅黑"/>
                <w:sz w:val="18"/>
                <w:szCs w:val="18"/>
              </w:rPr>
              <w:t>※</w:t>
            </w:r>
            <w:r>
              <w:rPr>
                <w:rFonts w:asciiTheme="minorHAnsi" w:hAnsiTheme="minorHAnsi" w:eastAsiaTheme="minorEastAsia"/>
                <w:sz w:val="18"/>
                <w:szCs w:val="18"/>
              </w:rPr>
              <w:t>5.4量值溯源</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5</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应制定检定/校准的程序和计划，所有计量设备均应通过检定或校准溯源至计量基准或社会公用计量标准。</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企业使用的强制检定计量器，应向当地计量行政主管部门指定的检定机构申请检定，在用计量器具应有有效合格的计量检定证书或校准报告。</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1.企业配备计量器具</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溯源至计量基准或社会公用计量标准</w:t>
            </w:r>
            <w:r>
              <w:rPr>
                <w:rFonts w:hint="eastAsia" w:asciiTheme="minorEastAsia" w:hAnsiTheme="minorEastAsia" w:eastAsiaTheme="minorEastAsia"/>
                <w:sz w:val="18"/>
                <w:szCs w:val="18"/>
              </w:rPr>
              <w:t>。（</w:t>
            </w:r>
            <w:r>
              <w:rPr>
                <w:rFonts w:asciiTheme="minorEastAsia" w:hAnsiTheme="minorEastAsia" w:eastAsiaTheme="minorEastAsia"/>
                <w:sz w:val="18"/>
                <w:szCs w:val="18"/>
              </w:rPr>
              <w:t>3分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2.企业配备用于贸易结算的计量器具</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经过强制检定并在检定周期内</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9</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5.5产品管理</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（6分）</w:t>
            </w:r>
          </w:p>
        </w:tc>
        <w:tc>
          <w:tcPr>
            <w:tcW w:w="5244" w:type="dxa"/>
            <w:vAlign w:val="center"/>
          </w:tcPr>
          <w:p>
            <w:pPr>
              <w:pStyle w:val="31"/>
              <w:numPr>
                <w:ilvl w:val="1"/>
                <w:numId w:val="0"/>
              </w:numPr>
              <w:spacing w:line="240" w:lineRule="exact"/>
              <w:ind w:firstLine="180" w:firstLineChars="100"/>
              <w:jc w:val="both"/>
              <w:rPr>
                <w:rFonts w:asciiTheme="minorEastAsia" w:hAnsiTheme="minorEastAsia" w:eastAsiaTheme="minorEastAsia"/>
                <w:sz w:val="18"/>
                <w:szCs w:val="18"/>
              </w:rPr>
            </w:pPr>
            <w:r>
              <w:rPr>
                <w:rFonts w:asciiTheme="minorEastAsia" w:hAnsiTheme="minorEastAsia" w:eastAsiaTheme="minorEastAsia"/>
                <w:sz w:val="18"/>
                <w:szCs w:val="18"/>
              </w:rPr>
              <w:t>应对产品的加工进行内部管理，管理的内容宜包含 产品名称， 标注产品的主料以及主要辅料的净含量，产品以</w:t>
            </w:r>
            <w:r>
              <w:rPr>
                <w:rFonts w:hint="eastAsia" w:asciiTheme="minorEastAsia" w:hAnsiTheme="minorEastAsia" w:eastAsiaTheme="minorEastAsia"/>
                <w:sz w:val="18"/>
                <w:szCs w:val="18"/>
              </w:rPr>
              <w:t>单一</w:t>
            </w:r>
            <w:r>
              <w:rPr>
                <w:rFonts w:asciiTheme="minorEastAsia" w:hAnsiTheme="minorEastAsia" w:eastAsiaTheme="minorEastAsia"/>
                <w:sz w:val="18"/>
                <w:szCs w:val="18"/>
              </w:rPr>
              <w:t>食材为主要原料（如鱼、鸡等），且以数量为计价单位的，宜标注</w:t>
            </w:r>
            <w:r>
              <w:rPr>
                <w:rFonts w:hint="eastAsia" w:asciiTheme="minorEastAsia" w:hAnsiTheme="minorEastAsia" w:eastAsiaTheme="minorEastAsia"/>
                <w:sz w:val="18"/>
                <w:szCs w:val="18"/>
              </w:rPr>
              <w:t>单一</w:t>
            </w:r>
            <w:r>
              <w:rPr>
                <w:rFonts w:asciiTheme="minorEastAsia" w:hAnsiTheme="minorEastAsia" w:eastAsiaTheme="minorEastAsia"/>
                <w:sz w:val="18"/>
                <w:szCs w:val="18"/>
              </w:rPr>
              <w:t>主料的最小净含量，产品的主料以及主要辅料的净含量的检查，产品主料以及主要辅料采购量与销售量的内部核算。</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对产品进行内部管理，标注主料及主要辅料净含量</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对主料</w:t>
            </w:r>
            <w:r>
              <w:rPr>
                <w:rFonts w:hint="eastAsia" w:asciiTheme="minorEastAsia" w:hAnsiTheme="minorEastAsia" w:eastAsiaTheme="minorEastAsia"/>
                <w:sz w:val="18"/>
                <w:szCs w:val="18"/>
              </w:rPr>
              <w:t>、</w:t>
            </w:r>
            <w:r>
              <w:rPr>
                <w:rFonts w:asciiTheme="minorEastAsia" w:hAnsiTheme="minorEastAsia" w:eastAsiaTheme="minorEastAsia"/>
                <w:sz w:val="18"/>
                <w:szCs w:val="18"/>
              </w:rPr>
              <w:t>主要辅料进行检查</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3.主料、主要辅料采购量与销售量</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进行内部核算</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10</w:t>
            </w:r>
          </w:p>
        </w:tc>
        <w:tc>
          <w:tcPr>
            <w:tcW w:w="1400"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5.6</w:t>
            </w:r>
            <w:r>
              <w:rPr>
                <w:rFonts w:hint="eastAsia" w:asciiTheme="minorHAnsi" w:hAnsiTheme="minorHAnsi" w:eastAsiaTheme="minorEastAsia"/>
                <w:sz w:val="18"/>
                <w:szCs w:val="18"/>
              </w:rPr>
              <w:t>服务</w:t>
            </w:r>
            <w:r>
              <w:rPr>
                <w:rFonts w:asciiTheme="minorHAnsi" w:hAnsiTheme="minorHAnsi" w:eastAsiaTheme="minorEastAsia"/>
                <w:sz w:val="18"/>
                <w:szCs w:val="18"/>
              </w:rPr>
              <w:t>操作</w:t>
            </w:r>
          </w:p>
          <w:p>
            <w:pPr>
              <w:pStyle w:val="31"/>
              <w:numPr>
                <w:ilvl w:val="1"/>
                <w:numId w:val="0"/>
              </w:numPr>
              <w:spacing w:line="240" w:lineRule="exact"/>
              <w:rPr>
                <w:rFonts w:asciiTheme="minorHAnsi" w:hAnsiTheme="minorHAnsi" w:eastAsiaTheme="minorEastAsia"/>
                <w:sz w:val="18"/>
                <w:szCs w:val="18"/>
              </w:rPr>
            </w:pPr>
            <w:r>
              <w:rPr>
                <w:rFonts w:hint="eastAsia" w:ascii="黑体" w:hAnsi="黑体" w:eastAsia="黑体" w:cs="微软雅黑"/>
                <w:sz w:val="18"/>
                <w:szCs w:val="18"/>
              </w:rPr>
              <w:t>（5</w:t>
            </w:r>
            <w:r>
              <w:rPr>
                <w:rFonts w:hint="eastAsia" w:asciiTheme="minorHAnsi" w:hAnsiTheme="minorHAnsi" w:eastAsiaTheme="minorEastAsia"/>
                <w:sz w:val="18"/>
                <w:szCs w:val="18"/>
              </w:rPr>
              <w:t>.6.1计量</w:t>
            </w:r>
            <w:r>
              <w:rPr>
                <w:rFonts w:asciiTheme="minorHAnsi" w:hAnsiTheme="minorHAnsi" w:eastAsiaTheme="minorEastAsia"/>
                <w:sz w:val="18"/>
                <w:szCs w:val="18"/>
              </w:rPr>
              <w:t>操作要求</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5.6.2计量结算要求</w:t>
            </w:r>
            <w:r>
              <w:rPr>
                <w:rFonts w:hint="eastAsia" w:ascii="黑体" w:hAnsi="黑体" w:eastAsia="黑体" w:cs="微软雅黑"/>
                <w:sz w:val="18"/>
                <w:szCs w:val="18"/>
              </w:rPr>
              <w:t>）</w:t>
            </w:r>
            <w:r>
              <w:rPr>
                <w:rFonts w:hint="eastAsia" w:asciiTheme="minorHAnsi" w:hAnsiTheme="minorHAnsi" w:eastAsiaTheme="minorEastAsia"/>
                <w:sz w:val="18"/>
                <w:szCs w:val="18"/>
              </w:rPr>
              <w:t>（</w:t>
            </w:r>
            <w:r>
              <w:rPr>
                <w:rFonts w:asciiTheme="minorHAnsi" w:hAnsiTheme="minorHAnsi" w:eastAsiaTheme="minorEastAsia"/>
                <w:sz w:val="18"/>
                <w:szCs w:val="18"/>
              </w:rPr>
              <w:t>20</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应根据有关标准规程规范、设备使用说明以及相关规定，制定计量设备的操作方法，保证测量过程和测量结果准确无误。操作方法应保持有效版本并易于人员取阅。操作过程应保持与客户持续沟通。</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活鱼等水产品净含量测量应去除包装、捆扎物的重量，用滤网控水,到没有连续水珠滴落后测量称重。</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1按规定使用法定计量单位。</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2按重量结算的生料、饮品和其他食品，结算量与实际量的量值偏差应不超过《零售商品称重计量监督管理办法》的规定。</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2.3活禽、活鱼及水发物的计量负偏差不应超过本规范规定（不含包装、捆扎物等）。</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2.4以定量包装商品销售的，应符合《定量包装商品计量监督管理办法》的规定。</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1.1有</w:t>
            </w:r>
            <w:r>
              <w:rPr>
                <w:rFonts w:hint="eastAsia" w:asciiTheme="minorEastAsia" w:hAnsiTheme="minorEastAsia" w:eastAsiaTheme="minorEastAsia"/>
                <w:sz w:val="18"/>
                <w:szCs w:val="18"/>
              </w:rPr>
              <w:t>无</w:t>
            </w:r>
            <w:r>
              <w:rPr>
                <w:rFonts w:asciiTheme="minorEastAsia" w:hAnsiTheme="minorEastAsia" w:eastAsiaTheme="minorEastAsia"/>
                <w:sz w:val="18"/>
                <w:szCs w:val="18"/>
              </w:rPr>
              <w:t>计量设备操作方法，保证测量过程和测量结果</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1.2计量操作过程</w:t>
            </w:r>
            <w:r>
              <w:rPr>
                <w:rFonts w:hint="eastAsia" w:asciiTheme="minorEastAsia" w:hAnsiTheme="minorEastAsia" w:eastAsiaTheme="minorEastAsia"/>
                <w:sz w:val="18"/>
                <w:szCs w:val="18"/>
              </w:rPr>
              <w:t>能否</w:t>
            </w:r>
            <w:r>
              <w:rPr>
                <w:rFonts w:asciiTheme="minorEastAsia" w:hAnsiTheme="minorEastAsia" w:eastAsiaTheme="minorEastAsia"/>
                <w:sz w:val="18"/>
                <w:szCs w:val="18"/>
              </w:rPr>
              <w:t>保持与客户持续沟通</w:t>
            </w:r>
            <w:r>
              <w:rPr>
                <w:rFonts w:hint="eastAsia" w:asciiTheme="minorEastAsia" w:hAnsiTheme="minorEastAsia" w:eastAsiaTheme="minorEastAsia"/>
                <w:sz w:val="18"/>
                <w:szCs w:val="18"/>
              </w:rPr>
              <w:t>。（</w:t>
            </w:r>
            <w:r>
              <w:rPr>
                <w:rFonts w:asciiTheme="minorEastAsia" w:hAnsiTheme="minorEastAsia" w:eastAsiaTheme="minorEastAsia"/>
                <w:sz w:val="18"/>
                <w:szCs w:val="18"/>
              </w:rPr>
              <w:t>4分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1.3活鱼等水产品测量</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符合规范要求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3分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2.1</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使用法定计量单位</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2.2.抽查2份</w:t>
            </w:r>
            <w:r>
              <w:rPr>
                <w:rFonts w:hint="eastAsia" w:asciiTheme="minorEastAsia" w:hAnsiTheme="minorEastAsia" w:eastAsiaTheme="minorEastAsia"/>
                <w:sz w:val="18"/>
                <w:szCs w:val="18"/>
              </w:rPr>
              <w:t>产品</w:t>
            </w:r>
            <w:r>
              <w:rPr>
                <w:rFonts w:asciiTheme="minorEastAsia" w:hAnsiTheme="minorEastAsia" w:eastAsiaTheme="minorEastAsia"/>
                <w:sz w:val="18"/>
                <w:szCs w:val="18"/>
              </w:rPr>
              <w:t>配料或饮品净含量，</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符合标准</w:t>
            </w:r>
            <w:r>
              <w:rPr>
                <w:rFonts w:hint="eastAsia" w:asciiTheme="minorEastAsia" w:hAnsiTheme="minorEastAsia" w:eastAsiaTheme="minorEastAsia"/>
                <w:sz w:val="18"/>
                <w:szCs w:val="18"/>
              </w:rPr>
              <w:t>。（</w:t>
            </w:r>
            <w:r>
              <w:rPr>
                <w:rFonts w:asciiTheme="minorEastAsia" w:hAnsiTheme="minorEastAsia" w:eastAsiaTheme="minorEastAsia"/>
                <w:sz w:val="18"/>
                <w:szCs w:val="18"/>
              </w:rPr>
              <w:t>5分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2.3活禽、活鱼及水发物计量负偏差</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符合规范要求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2.4以定量包装商品销售的商品</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符合相关要求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11</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5.7原始记录</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（5分）</w:t>
            </w:r>
          </w:p>
        </w:tc>
        <w:tc>
          <w:tcPr>
            <w:tcW w:w="5244"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w:t>
            </w:r>
            <w:r>
              <w:rPr>
                <w:rFonts w:asciiTheme="minorEastAsia" w:hAnsiTheme="minorEastAsia" w:eastAsiaTheme="minorEastAsia"/>
                <w:sz w:val="18"/>
                <w:szCs w:val="18"/>
              </w:rPr>
              <w:t>应制定测量原始记录格式，每份记录应包含足够的信息，以便于识别相同批次商品销售量与采购量相一致。记录中应有操作人员的签字或标识。</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w:t>
            </w:r>
            <w:r>
              <w:rPr>
                <w:rFonts w:hint="eastAsia" w:asciiTheme="minorEastAsia" w:hAnsiTheme="minorEastAsia" w:eastAsiaTheme="minorEastAsia"/>
                <w:sz w:val="18"/>
                <w:szCs w:val="18"/>
              </w:rPr>
              <w:t>.</w:t>
            </w:r>
            <w:r>
              <w:rPr>
                <w:rFonts w:asciiTheme="minorEastAsia" w:hAnsiTheme="minorEastAsia" w:eastAsiaTheme="minorEastAsia"/>
                <w:sz w:val="18"/>
                <w:szCs w:val="18"/>
              </w:rPr>
              <w:t>测量数据、计算和结果应在产生当时予以记录（或计算机自动生成记录并保存），并按不同批次不同种类分类标识。</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w:t>
            </w:r>
            <w:r>
              <w:rPr>
                <w:rFonts w:hint="eastAsia" w:asciiTheme="minorEastAsia" w:hAnsiTheme="minorEastAsia" w:eastAsiaTheme="minorEastAsia"/>
                <w:sz w:val="18"/>
                <w:szCs w:val="18"/>
              </w:rPr>
              <w:t>.</w:t>
            </w:r>
            <w:r>
              <w:rPr>
                <w:rFonts w:asciiTheme="minorEastAsia" w:hAnsiTheme="minorEastAsia" w:eastAsiaTheme="minorEastAsia"/>
                <w:sz w:val="18"/>
                <w:szCs w:val="18"/>
              </w:rPr>
              <w:t>应规定测量原始记录的保存期限。</w:t>
            </w:r>
          </w:p>
        </w:tc>
        <w:tc>
          <w:tcPr>
            <w:tcW w:w="3402" w:type="dxa"/>
            <w:vAlign w:val="center"/>
          </w:tcPr>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1.</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有测量原始记录，记录包含足够的信息，操作人员的签字或标识</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2.测量数据记录</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及时，按不同批次不同种类分类标识</w:t>
            </w:r>
            <w:r>
              <w:rPr>
                <w:rFonts w:hint="eastAsia" w:asciiTheme="minorEastAsia" w:hAnsiTheme="minorEastAsia" w:eastAsiaTheme="minorEastAsia"/>
                <w:sz w:val="18"/>
                <w:szCs w:val="18"/>
              </w:rPr>
              <w:t>。（</w:t>
            </w:r>
            <w:r>
              <w:rPr>
                <w:rFonts w:asciiTheme="minorEastAsia" w:hAnsiTheme="minorEastAsia" w:eastAsiaTheme="minorEastAsia"/>
                <w:sz w:val="18"/>
                <w:szCs w:val="18"/>
              </w:rPr>
              <w:t>2分</w:t>
            </w:r>
            <w:r>
              <w:rPr>
                <w:rFonts w:hint="eastAsia" w:asciiTheme="minorEastAsia" w:hAnsiTheme="minorEastAsia" w:eastAsiaTheme="minorEastAsia"/>
                <w:sz w:val="18"/>
                <w:szCs w:val="18"/>
              </w:rPr>
              <w:t>）</w:t>
            </w:r>
          </w:p>
          <w:p>
            <w:pPr>
              <w:pStyle w:val="31"/>
              <w:numPr>
                <w:ilvl w:val="1"/>
                <w:numId w:val="0"/>
              </w:numPr>
              <w:spacing w:line="240" w:lineRule="exact"/>
              <w:jc w:val="both"/>
              <w:rPr>
                <w:rFonts w:asciiTheme="minorEastAsia" w:hAnsiTheme="minorEastAsia" w:eastAsiaTheme="minorEastAsia"/>
                <w:sz w:val="18"/>
                <w:szCs w:val="18"/>
              </w:rPr>
            </w:pPr>
            <w:r>
              <w:rPr>
                <w:rFonts w:asciiTheme="minorEastAsia" w:hAnsiTheme="minorEastAsia" w:eastAsiaTheme="minorEastAsia"/>
                <w:sz w:val="18"/>
                <w:szCs w:val="18"/>
              </w:rPr>
              <w:t>3.测量原始记录保存期限</w:t>
            </w:r>
            <w:r>
              <w:rPr>
                <w:rFonts w:hint="eastAsia" w:asciiTheme="minorEastAsia" w:hAnsiTheme="minorEastAsia" w:eastAsiaTheme="minorEastAsia"/>
                <w:sz w:val="18"/>
                <w:szCs w:val="18"/>
              </w:rPr>
              <w:t>是否</w:t>
            </w:r>
            <w:r>
              <w:rPr>
                <w:rFonts w:asciiTheme="minorEastAsia" w:hAnsiTheme="minorEastAsia" w:eastAsiaTheme="minorEastAsia"/>
                <w:sz w:val="18"/>
                <w:szCs w:val="18"/>
              </w:rPr>
              <w:t>符合企业要求</w:t>
            </w:r>
            <w:r>
              <w:rPr>
                <w:rFonts w:hint="eastAsia" w:asciiTheme="minorEastAsia" w:hAnsiTheme="minorEastAsia" w:eastAsiaTheme="minorEastAsia"/>
                <w:sz w:val="18"/>
                <w:szCs w:val="18"/>
              </w:rPr>
              <w:t>。（</w:t>
            </w:r>
            <w:r>
              <w:rPr>
                <w:rFonts w:asciiTheme="minorEastAsia" w:hAnsiTheme="minorEastAsia" w:eastAsiaTheme="minorEastAsia"/>
                <w:sz w:val="18"/>
                <w:szCs w:val="18"/>
              </w:rPr>
              <w:t>1分</w:t>
            </w:r>
            <w:r>
              <w:rPr>
                <w:rFonts w:hint="eastAsia" w:asciiTheme="minorEastAsia" w:hAnsiTheme="minorEastAsia"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bl>
    <w:p>
      <w:pPr>
        <w:kinsoku w:val="0"/>
        <w:overflowPunct w:val="0"/>
        <w:spacing w:before="156" w:beforeLines="50" w:after="156" w:afterLines="50" w:line="240" w:lineRule="exact"/>
        <w:rPr>
          <w:szCs w:val="21"/>
        </w:rPr>
      </w:pPr>
      <w:r>
        <w:rPr>
          <w:rFonts w:ascii="黑体" w:hAnsi="黑体" w:eastAsia="黑体" w:cs="黑体"/>
          <w:szCs w:val="21"/>
        </w:rPr>
        <w:t>6</w:t>
      </w:r>
      <w:r>
        <w:rPr>
          <w:rFonts w:hint="eastAsia" w:ascii="黑体" w:hAnsi="黑体" w:eastAsia="黑体" w:cs="黑体"/>
          <w:szCs w:val="21"/>
        </w:rPr>
        <w:t xml:space="preserve"> 管理</w:t>
      </w:r>
      <w:r>
        <w:rPr>
          <w:rFonts w:ascii="黑体" w:hAnsi="黑体" w:eastAsia="黑体" w:cs="黑体"/>
          <w:szCs w:val="21"/>
        </w:rPr>
        <w:t>要求（</w:t>
      </w:r>
      <w:r>
        <w:rPr>
          <w:rFonts w:hint="eastAsia" w:ascii="黑体" w:hAnsi="黑体" w:eastAsia="黑体" w:cs="黑体"/>
          <w:szCs w:val="21"/>
        </w:rPr>
        <w:t>总分</w:t>
      </w:r>
      <w:r>
        <w:rPr>
          <w:rFonts w:ascii="黑体" w:hAnsi="黑体" w:eastAsia="黑体" w:cs="黑体"/>
          <w:szCs w:val="21"/>
        </w:rPr>
        <w:t>22</w:t>
      </w:r>
      <w:r>
        <w:rPr>
          <w:rFonts w:hint="eastAsia" w:ascii="黑体" w:hAnsi="黑体" w:eastAsia="黑体" w:cs="黑体"/>
          <w:szCs w:val="21"/>
        </w:rPr>
        <w:t>分</w:t>
      </w:r>
      <w:r>
        <w:rPr>
          <w:rFonts w:ascii="黑体" w:hAnsi="黑体" w:eastAsia="黑体" w:cs="黑体"/>
          <w:szCs w:val="21"/>
        </w:rPr>
        <w:t>）</w:t>
      </w:r>
    </w:p>
    <w:tbl>
      <w:tblPr>
        <w:tblStyle w:val="8"/>
        <w:tblW w:w="14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00"/>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7"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序号</w:t>
            </w:r>
          </w:p>
        </w:tc>
        <w:tc>
          <w:tcPr>
            <w:tcW w:w="1400"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标准条款</w:t>
            </w:r>
          </w:p>
        </w:tc>
        <w:tc>
          <w:tcPr>
            <w:tcW w:w="524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诚信计量要求</w:t>
            </w:r>
          </w:p>
        </w:tc>
        <w:tc>
          <w:tcPr>
            <w:tcW w:w="3402"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评价方法</w:t>
            </w:r>
          </w:p>
        </w:tc>
        <w:tc>
          <w:tcPr>
            <w:tcW w:w="2835"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评价记录</w:t>
            </w:r>
          </w:p>
        </w:tc>
        <w:tc>
          <w:tcPr>
            <w:tcW w:w="92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12</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6.1管理者职责</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（3分）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最高管理者策划、建立、实施并改进诚信计量管理体系。</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明确有关诚信计量工作的部门设置、岗位职责及相互关系，明确各实施过程及其相互衔接,管理内部诚信计量信息、处理相关方投诉，以及建立执行、保障和监督的协调机制等。</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hint="eastAsia" w:asciiTheme="minorHAnsi" w:hAnsiTheme="minorHAnsi" w:eastAsiaTheme="minorEastAsia"/>
                <w:sz w:val="18"/>
                <w:szCs w:val="18"/>
              </w:rPr>
              <w:t>1.</w:t>
            </w:r>
            <w:r>
              <w:rPr>
                <w:rFonts w:asciiTheme="minorHAnsi" w:hAnsiTheme="minorHAnsi" w:eastAsiaTheme="minorEastAsia"/>
                <w:sz w:val="18"/>
                <w:szCs w:val="18"/>
              </w:rPr>
              <w:t>最高管理者</w:t>
            </w:r>
            <w:r>
              <w:rPr>
                <w:rFonts w:hint="eastAsia" w:asciiTheme="minorHAnsi" w:hAnsiTheme="minorHAnsi" w:eastAsiaTheme="minorEastAsia"/>
                <w:sz w:val="18"/>
                <w:szCs w:val="18"/>
              </w:rPr>
              <w:t>是否</w:t>
            </w:r>
            <w:r>
              <w:rPr>
                <w:rFonts w:asciiTheme="minorHAnsi" w:hAnsiTheme="minorHAnsi" w:eastAsiaTheme="minorEastAsia"/>
                <w:sz w:val="18"/>
                <w:szCs w:val="18"/>
              </w:rPr>
              <w:t>签署、发布诚信计量管理体系</w:t>
            </w: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2.最高管理者</w:t>
            </w:r>
            <w:r>
              <w:rPr>
                <w:rFonts w:hint="eastAsia" w:asciiTheme="minorHAnsi" w:hAnsiTheme="minorHAnsi" w:eastAsiaTheme="minorEastAsia"/>
                <w:sz w:val="18"/>
                <w:szCs w:val="18"/>
              </w:rPr>
              <w:t>是否</w:t>
            </w:r>
            <w:r>
              <w:rPr>
                <w:rFonts w:asciiTheme="minorHAnsi" w:hAnsiTheme="minorHAnsi" w:eastAsiaTheme="minorEastAsia"/>
                <w:sz w:val="18"/>
                <w:szCs w:val="18"/>
              </w:rPr>
              <w:t>确立诚信计量各部门设置及岗位人员职责</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13</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6.2管理体系文件</w:t>
            </w:r>
            <w:r>
              <w:rPr>
                <w:rFonts w:hint="eastAsia" w:asciiTheme="minorHAnsi" w:hAnsiTheme="minorHAnsi" w:eastAsiaTheme="minorEastAsia"/>
                <w:sz w:val="18"/>
                <w:szCs w:val="18"/>
              </w:rPr>
              <w:t>（</w:t>
            </w:r>
            <w:r>
              <w:rPr>
                <w:rFonts w:asciiTheme="minorHAnsi" w:hAnsiTheme="minorHAnsi" w:eastAsiaTheme="minorEastAsia"/>
                <w:sz w:val="18"/>
                <w:szCs w:val="18"/>
              </w:rPr>
              <w:t>3</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应将政策、制度、计划、程序和作业指导书等制定成文件，管理体系文件应包括但不限于：城信计量方针和目标、公开承诺、管理手册、程序文件、记录等。</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制定有诚信计量的政策、制度、计划、程序和作业指导书等文件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传达至相关人员并记录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3.体系文件</w:t>
            </w:r>
            <w:r>
              <w:rPr>
                <w:rFonts w:hint="eastAsia" w:asciiTheme="minorHAnsi" w:hAnsiTheme="minorHAnsi" w:eastAsiaTheme="minorEastAsia"/>
                <w:sz w:val="18"/>
                <w:szCs w:val="18"/>
              </w:rPr>
              <w:t>是否</w:t>
            </w:r>
            <w:r>
              <w:rPr>
                <w:rFonts w:asciiTheme="minorHAnsi" w:hAnsiTheme="minorHAnsi" w:eastAsiaTheme="minorEastAsia"/>
                <w:sz w:val="18"/>
                <w:szCs w:val="18"/>
              </w:rPr>
              <w:t>包括诚信计量方针和目标、公开承诺、管理手册</w:t>
            </w:r>
            <w:r>
              <w:rPr>
                <w:rFonts w:hint="eastAsia" w:asciiTheme="minorHAnsi" w:hAnsiTheme="minorHAnsi" w:eastAsiaTheme="minorEastAsia"/>
                <w:sz w:val="18"/>
                <w:szCs w:val="18"/>
              </w:rPr>
              <w:t>等。（</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14</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6.3文件控制</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（2分）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应控制和管理诚信计量管理体系所要求的文件（含内部和外部），包括法律法规、规章、政策声明、标准、规程、规范、规则和方法、制造商的说明书、指导书和手册、程序文件、计划等。</w:t>
            </w:r>
          </w:p>
        </w:tc>
        <w:tc>
          <w:tcPr>
            <w:tcW w:w="3402"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hint="eastAsia" w:asciiTheme="minorHAnsi" w:hAnsiTheme="minorHAnsi" w:eastAsiaTheme="minorEastAsia"/>
                <w:sz w:val="18"/>
                <w:szCs w:val="18"/>
              </w:rPr>
              <w:t>是否</w:t>
            </w:r>
            <w:r>
              <w:rPr>
                <w:rFonts w:asciiTheme="minorHAnsi" w:hAnsiTheme="minorHAnsi" w:eastAsiaTheme="minorEastAsia"/>
                <w:sz w:val="18"/>
                <w:szCs w:val="18"/>
              </w:rPr>
              <w:t>制定了诚信计量管理体系控制程序文件,有相应实施记录</w:t>
            </w: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15</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6.4记录控制</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（3分）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应建立和保持识别、收集、检索、存取、存档、维护和清理记录的程序，以提供诚信计量管理体系有效运行的证据。</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记录应该清晰明了，便于存取，应保障存储安全和保密，不得丢失、损毁和变质。对记录调阅应作出规定。</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建立诚信计量记录控制程序</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有诚信计量记录控制运行记录</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16</w:t>
            </w:r>
          </w:p>
        </w:tc>
        <w:tc>
          <w:tcPr>
            <w:tcW w:w="1400"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6.5信息交流和控制</w:t>
            </w:r>
            <w:r>
              <w:rPr>
                <w:rFonts w:hint="eastAsia" w:asciiTheme="minorHAnsi" w:hAnsiTheme="minorHAnsi" w:eastAsiaTheme="minorEastAsia"/>
                <w:sz w:val="18"/>
                <w:szCs w:val="18"/>
              </w:rPr>
              <w:t>（4分）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应建立、实施并保持诚信计量信息交流和控制的程序，规定内部、外部计量信息的交流内容、形式、范围，规范诚信计量信息的接收、传递和处理，确保信息的真实、客观、全面、合法合规、可识别和可追溯。</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建立诚信计量信息交流和控制程序</w:t>
            </w: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2.信息交流渠道</w:t>
            </w:r>
            <w:r>
              <w:rPr>
                <w:rFonts w:hint="eastAsia" w:asciiTheme="minorHAnsi" w:hAnsiTheme="minorHAnsi" w:eastAsiaTheme="minorEastAsia"/>
                <w:sz w:val="18"/>
                <w:szCs w:val="18"/>
              </w:rPr>
              <w:t>是否</w:t>
            </w:r>
            <w:r>
              <w:rPr>
                <w:rFonts w:asciiTheme="minorHAnsi" w:hAnsiTheme="minorHAnsi" w:eastAsiaTheme="minorEastAsia"/>
                <w:sz w:val="18"/>
                <w:szCs w:val="18"/>
              </w:rPr>
              <w:t>畅通</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3.信息交流内容</w:t>
            </w:r>
            <w:r>
              <w:rPr>
                <w:rFonts w:hint="eastAsia" w:asciiTheme="minorHAnsi" w:hAnsiTheme="minorHAnsi" w:eastAsiaTheme="minorEastAsia"/>
                <w:sz w:val="18"/>
                <w:szCs w:val="18"/>
              </w:rPr>
              <w:t>是否</w:t>
            </w:r>
            <w:r>
              <w:rPr>
                <w:rFonts w:asciiTheme="minorHAnsi" w:hAnsiTheme="minorHAnsi" w:eastAsiaTheme="minorEastAsia"/>
                <w:sz w:val="18"/>
                <w:szCs w:val="18"/>
              </w:rPr>
              <w:t>完整</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17</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6.6风险管理</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（3分）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应制定风险管理程序，识别与诚信计量相关过程的风险和不确定性，其内容包括但不限于政策风险、产品风险、经营风险、舆情风险等。基于风险识别和风险等级，应分别采取相应的措施。</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基于风险识别和风险等级，应分别采取相应的措施。对预计发生的风险，提前做出预判；采取预防和控制措施，防止风险发生；对已经存在的风险，要采取控制和纠正措施，消除风险原因。</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制定了风险管理程序文件有实施记录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有应对风险的预警、纠正措施和应急响应措施</w:t>
            </w: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18</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6.7文化建设</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（4分）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应开展以诚信计量为核心的文化建设，树立诚信理念，增强诚信意识，关注品牌效应，履行社会承诺，参与诚信文化传播活动。</w:t>
            </w:r>
          </w:p>
        </w:tc>
        <w:tc>
          <w:tcPr>
            <w:tcW w:w="3402"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企业开展以诚信计量为核心的文化建设，并有相关记录或措施</w:t>
            </w:r>
            <w:r>
              <w:rPr>
                <w:rFonts w:hint="eastAsia" w:asciiTheme="minorHAnsi" w:hAnsiTheme="minorHAnsi" w:eastAsiaTheme="minorEastAsia"/>
                <w:sz w:val="18"/>
                <w:szCs w:val="18"/>
              </w:rPr>
              <w:t>。（</w:t>
            </w:r>
            <w:r>
              <w:rPr>
                <w:rFonts w:asciiTheme="minorHAnsi" w:hAnsiTheme="minorHAnsi" w:eastAsiaTheme="minorEastAsia"/>
                <w:sz w:val="18"/>
                <w:szCs w:val="18"/>
              </w:rPr>
              <w:t>4分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bl>
    <w:p>
      <w:pPr>
        <w:kinsoku w:val="0"/>
        <w:overflowPunct w:val="0"/>
        <w:spacing w:before="156" w:beforeLines="50" w:after="156" w:afterLines="50" w:line="240" w:lineRule="exact"/>
        <w:rPr>
          <w:szCs w:val="21"/>
        </w:rPr>
      </w:pPr>
      <w:r>
        <w:rPr>
          <w:rFonts w:ascii="黑体" w:hAnsi="黑体" w:eastAsia="黑体" w:cs="黑体"/>
          <w:szCs w:val="21"/>
        </w:rPr>
        <w:t>7</w:t>
      </w:r>
      <w:r>
        <w:rPr>
          <w:rFonts w:hint="eastAsia" w:ascii="黑体" w:hAnsi="黑体" w:eastAsia="黑体" w:cs="黑体"/>
          <w:szCs w:val="21"/>
        </w:rPr>
        <w:t xml:space="preserve"> 评价</w:t>
      </w:r>
      <w:r>
        <w:rPr>
          <w:rFonts w:ascii="黑体" w:hAnsi="黑体" w:eastAsia="黑体" w:cs="黑体"/>
          <w:szCs w:val="21"/>
        </w:rPr>
        <w:t>（</w:t>
      </w:r>
      <w:r>
        <w:rPr>
          <w:rFonts w:hint="eastAsia" w:ascii="黑体" w:hAnsi="黑体" w:eastAsia="黑体" w:cs="黑体"/>
          <w:szCs w:val="21"/>
        </w:rPr>
        <w:t>总分</w:t>
      </w:r>
      <w:r>
        <w:rPr>
          <w:rFonts w:ascii="黑体" w:hAnsi="黑体" w:eastAsia="黑体" w:cs="黑体"/>
          <w:szCs w:val="21"/>
        </w:rPr>
        <w:t>11</w:t>
      </w:r>
      <w:r>
        <w:rPr>
          <w:rFonts w:hint="eastAsia" w:ascii="黑体" w:hAnsi="黑体" w:eastAsia="黑体" w:cs="黑体"/>
          <w:szCs w:val="21"/>
        </w:rPr>
        <w:t>分</w:t>
      </w:r>
      <w:r>
        <w:rPr>
          <w:rFonts w:ascii="黑体" w:hAnsi="黑体" w:eastAsia="黑体" w:cs="黑体"/>
          <w:szCs w:val="21"/>
        </w:rPr>
        <w:t>）</w:t>
      </w:r>
    </w:p>
    <w:tbl>
      <w:tblPr>
        <w:tblStyle w:val="8"/>
        <w:tblW w:w="14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00"/>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7"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序号</w:t>
            </w:r>
          </w:p>
        </w:tc>
        <w:tc>
          <w:tcPr>
            <w:tcW w:w="1400"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标准条款</w:t>
            </w:r>
          </w:p>
        </w:tc>
        <w:tc>
          <w:tcPr>
            <w:tcW w:w="524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诚信计量要求</w:t>
            </w:r>
          </w:p>
        </w:tc>
        <w:tc>
          <w:tcPr>
            <w:tcW w:w="3402"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评价方法</w:t>
            </w:r>
          </w:p>
        </w:tc>
        <w:tc>
          <w:tcPr>
            <w:tcW w:w="2835"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评价记录</w:t>
            </w:r>
          </w:p>
        </w:tc>
        <w:tc>
          <w:tcPr>
            <w:tcW w:w="924" w:type="dxa"/>
            <w:vAlign w:val="center"/>
          </w:tcPr>
          <w:p>
            <w:pPr>
              <w:spacing w:line="240" w:lineRule="exact"/>
              <w:jc w:val="center"/>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19</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7.1监督和检查</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3</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应制定日常监督和检查工作程序，监督和检查诚信计量管理体系运行的各个过程和环节，建立防止偏离体系要求的机制。监督和检查的方式和时间间隔应适合本单位工作特点。</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有日常监督和检查工作程序，并有实施记录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2.日常监督和检查工作</w:t>
            </w:r>
            <w:r>
              <w:rPr>
                <w:rFonts w:hint="eastAsia" w:asciiTheme="minorHAnsi" w:hAnsiTheme="minorHAnsi" w:eastAsiaTheme="minorEastAsia"/>
                <w:sz w:val="18"/>
                <w:szCs w:val="18"/>
              </w:rPr>
              <w:t>是否</w:t>
            </w:r>
            <w:r>
              <w:rPr>
                <w:rFonts w:asciiTheme="minorHAnsi" w:hAnsiTheme="minorHAnsi" w:eastAsiaTheme="minorEastAsia"/>
                <w:sz w:val="18"/>
                <w:szCs w:val="18"/>
              </w:rPr>
              <w:t>涵盖计量体系运行的各个过程和环节</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3.监督和检查的方式</w:t>
            </w:r>
            <w:r>
              <w:rPr>
                <w:rFonts w:hint="eastAsia" w:asciiTheme="minorHAnsi" w:hAnsiTheme="minorHAnsi" w:eastAsiaTheme="minorEastAsia"/>
                <w:sz w:val="18"/>
                <w:szCs w:val="18"/>
              </w:rPr>
              <w:t>是否</w:t>
            </w:r>
            <w:r>
              <w:rPr>
                <w:rFonts w:asciiTheme="minorHAnsi" w:hAnsiTheme="minorHAnsi" w:eastAsiaTheme="minorEastAsia"/>
                <w:sz w:val="18"/>
                <w:szCs w:val="18"/>
              </w:rPr>
              <w:t>有效</w:t>
            </w:r>
            <w:r>
              <w:rPr>
                <w:rFonts w:hint="eastAsia" w:asciiTheme="minorHAnsi" w:hAnsiTheme="minorHAnsi" w:eastAsiaTheme="minorEastAsia"/>
                <w:sz w:val="18"/>
                <w:szCs w:val="18"/>
              </w:rPr>
              <w:t>，</w:t>
            </w:r>
            <w:r>
              <w:rPr>
                <w:rFonts w:asciiTheme="minorHAnsi" w:hAnsiTheme="minorHAnsi" w:eastAsiaTheme="minorEastAsia"/>
                <w:sz w:val="18"/>
                <w:szCs w:val="18"/>
              </w:rPr>
              <w:t>不影响工作开展，时间间隔具有经常性</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20</w:t>
            </w:r>
          </w:p>
        </w:tc>
        <w:tc>
          <w:tcPr>
            <w:tcW w:w="1400" w:type="dxa"/>
            <w:vAlign w:val="center"/>
          </w:tcPr>
          <w:p>
            <w:pPr>
              <w:pStyle w:val="31"/>
              <w:numPr>
                <w:ilvl w:val="1"/>
                <w:numId w:val="0"/>
              </w:numPr>
              <w:spacing w:line="240" w:lineRule="exact"/>
              <w:rPr>
                <w:rFonts w:asciiTheme="minorHAnsi" w:hAnsiTheme="minorHAnsi" w:eastAsiaTheme="minorEastAsia"/>
                <w:sz w:val="18"/>
                <w:szCs w:val="18"/>
              </w:rPr>
            </w:pPr>
            <w:r>
              <w:rPr>
                <w:rFonts w:asciiTheme="minorHAnsi" w:hAnsiTheme="minorHAnsi" w:eastAsiaTheme="minorEastAsia"/>
                <w:sz w:val="18"/>
                <w:szCs w:val="18"/>
              </w:rPr>
              <w:t>7.2客户投诉、满意度调查和承诺兑现</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4</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应制定客户投诉管理程序，明确受理投诉机构，收集投诉信息，公开投诉电话，采取处理措施，保证投诉处理有效，并保存投诉处理记录。</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应制定客户满意度调查程序，收集客户对服务是否满足要求的信息，规定调查方法和信息的分析、使用方法，改进诚信计量管理体系。</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w:t>
            </w:r>
            <w:r>
              <w:rPr>
                <w:rFonts w:asciiTheme="minorHAnsi" w:hAnsiTheme="minorHAnsi" w:eastAsiaTheme="minorEastAsia"/>
                <w:sz w:val="18"/>
                <w:szCs w:val="18"/>
              </w:rPr>
              <w:t>应制定诚信计量公开承诺履行评价程序，定期检查和评价诚信计量公开承诺的履行情况。</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制定了客户投诉程序文件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有投诉受理机构</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是否</w:t>
            </w:r>
            <w:r>
              <w:rPr>
                <w:rFonts w:asciiTheme="minorHAnsi" w:hAnsiTheme="minorHAnsi" w:eastAsiaTheme="minorEastAsia"/>
                <w:sz w:val="18"/>
                <w:szCs w:val="18"/>
              </w:rPr>
              <w:t>制定了客户满意度调查程序文件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4.</w:t>
            </w:r>
            <w:r>
              <w:rPr>
                <w:rFonts w:hint="eastAsia" w:asciiTheme="minorHAnsi" w:hAnsiTheme="minorHAnsi" w:eastAsiaTheme="minorEastAsia"/>
                <w:sz w:val="18"/>
                <w:szCs w:val="18"/>
              </w:rPr>
              <w:t>是否</w:t>
            </w:r>
            <w:r>
              <w:rPr>
                <w:rFonts w:asciiTheme="minorHAnsi" w:hAnsiTheme="minorHAnsi" w:eastAsiaTheme="minorEastAsia"/>
                <w:sz w:val="18"/>
                <w:szCs w:val="18"/>
              </w:rPr>
              <w:t>制定了诚信计量公开承诺履行评价程序</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4"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21</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7.3内部审核</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（2分）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应按照程序文件和预定计划表，定期对诚信计量管理体系运行进行内部审核。内审应涉及诚信计量管理体系所有要素。</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内部审查人员应经培训合格，独立于被审核的活动，并经管理者批准。内审周期一般为12个月。</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w:t>
            </w:r>
            <w:r>
              <w:rPr>
                <w:rFonts w:asciiTheme="minorHAnsi" w:hAnsiTheme="minorHAnsi" w:eastAsiaTheme="minorEastAsia"/>
                <w:sz w:val="18"/>
                <w:szCs w:val="18"/>
              </w:rPr>
              <w:t>内部审核的领域、发现，以及发现不符合后应采取的纠正或纠正措施等，应予以记录。</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4</w:t>
            </w:r>
            <w:r>
              <w:rPr>
                <w:rFonts w:hint="eastAsia" w:asciiTheme="minorHAnsi" w:hAnsiTheme="minorHAnsi" w:eastAsiaTheme="minorEastAsia"/>
                <w:sz w:val="18"/>
                <w:szCs w:val="18"/>
              </w:rPr>
              <w:t>.</w:t>
            </w:r>
            <w:r>
              <w:rPr>
                <w:rFonts w:asciiTheme="minorHAnsi" w:hAnsiTheme="minorHAnsi" w:eastAsiaTheme="minorEastAsia"/>
                <w:sz w:val="18"/>
                <w:szCs w:val="18"/>
              </w:rPr>
              <w:t>应保存内部审查活动的所有记录。包括（但不限于）审查计划、审查记录、纠正或纠正措施、跟踪验证、内部审查报告等。</w:t>
            </w:r>
          </w:p>
        </w:tc>
        <w:tc>
          <w:tcPr>
            <w:tcW w:w="3402" w:type="dxa"/>
            <w:vAlign w:val="center"/>
          </w:tcPr>
          <w:p>
            <w:pPr>
              <w:spacing w:line="240" w:lineRule="exact"/>
              <w:rPr>
                <w:rFonts w:cs="Times New Roman" w:asciiTheme="minorHAnsi" w:hAnsiTheme="minorHAnsi" w:eastAsiaTheme="minorEastAsia"/>
                <w:kern w:val="0"/>
                <w:sz w:val="18"/>
                <w:szCs w:val="18"/>
              </w:rPr>
            </w:pPr>
            <w:r>
              <w:rPr>
                <w:rFonts w:cs="Times New Roman" w:asciiTheme="minorHAnsi" w:hAnsiTheme="minorHAnsi" w:eastAsiaTheme="minorEastAsia"/>
                <w:kern w:val="0"/>
                <w:sz w:val="18"/>
                <w:szCs w:val="18"/>
              </w:rPr>
              <w:t>1.</w:t>
            </w:r>
            <w:r>
              <w:rPr>
                <w:rFonts w:hint="eastAsia" w:cs="Times New Roman" w:asciiTheme="minorHAnsi" w:hAnsiTheme="minorHAnsi" w:eastAsiaTheme="minorEastAsia"/>
                <w:kern w:val="0"/>
                <w:sz w:val="18"/>
                <w:szCs w:val="18"/>
              </w:rPr>
              <w:t>是否</w:t>
            </w:r>
            <w:r>
              <w:rPr>
                <w:rFonts w:cs="Times New Roman" w:asciiTheme="minorHAnsi" w:hAnsiTheme="minorHAnsi" w:eastAsiaTheme="minorEastAsia"/>
                <w:kern w:val="0"/>
                <w:sz w:val="18"/>
                <w:szCs w:val="18"/>
              </w:rPr>
              <w:t>制定了内部审核程序文件</w:t>
            </w:r>
            <w:r>
              <w:rPr>
                <w:rFonts w:hint="eastAsia" w:cs="Times New Roman" w:asciiTheme="minorHAnsi" w:hAnsiTheme="minorHAnsi" w:eastAsiaTheme="minorEastAsia"/>
                <w:kern w:val="0"/>
                <w:sz w:val="18"/>
                <w:szCs w:val="18"/>
              </w:rPr>
              <w:t>。（</w:t>
            </w:r>
            <w:r>
              <w:rPr>
                <w:rFonts w:cs="Times New Roman" w:asciiTheme="minorHAnsi" w:hAnsiTheme="minorHAnsi" w:eastAsiaTheme="minorEastAsia"/>
                <w:kern w:val="0"/>
                <w:sz w:val="18"/>
                <w:szCs w:val="18"/>
              </w:rPr>
              <w:t>1分</w:t>
            </w:r>
            <w:r>
              <w:rPr>
                <w:rFonts w:hint="eastAsia" w:cs="Times New Roman" w:asciiTheme="minorHAnsi" w:hAnsiTheme="minorHAnsi" w:eastAsiaTheme="minorEastAsia"/>
                <w:kern w:val="0"/>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2.检查内部审核相应实施记录，</w:t>
            </w:r>
            <w:r>
              <w:rPr>
                <w:rFonts w:hint="eastAsia" w:asciiTheme="minorHAnsi" w:hAnsiTheme="minorHAnsi" w:eastAsiaTheme="minorEastAsia"/>
                <w:sz w:val="18"/>
                <w:szCs w:val="18"/>
              </w:rPr>
              <w:t>是否</w:t>
            </w:r>
            <w:r>
              <w:rPr>
                <w:rFonts w:asciiTheme="minorHAnsi" w:hAnsiTheme="minorHAnsi" w:eastAsiaTheme="minorEastAsia"/>
                <w:sz w:val="18"/>
                <w:szCs w:val="18"/>
              </w:rPr>
              <w:t>定期进行内部审核</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22</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7.4管理评审</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（2分）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最高管理者应按照程序文件和预定计划表，系统地评审诚信计量管理体系。</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管理评审应包括输入和输出的内容。</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w:t>
            </w:r>
            <w:r>
              <w:rPr>
                <w:rFonts w:asciiTheme="minorHAnsi" w:hAnsiTheme="minorHAnsi" w:eastAsiaTheme="minorEastAsia"/>
                <w:sz w:val="18"/>
                <w:szCs w:val="18"/>
              </w:rPr>
              <w:t>最高管理者应根据管理评审的结果，确定对诚信计量管理体系修正、完善。</w:t>
            </w:r>
          </w:p>
          <w:p>
            <w:pPr>
              <w:pStyle w:val="31"/>
              <w:numPr>
                <w:ilvl w:val="1"/>
                <w:numId w:val="0"/>
              </w:numPr>
              <w:spacing w:line="240" w:lineRule="exact"/>
              <w:jc w:val="both"/>
              <w:rPr>
                <w:rFonts w:asciiTheme="minorHAnsi" w:hAnsiTheme="minorHAnsi" w:eastAsiaTheme="minorEastAsia"/>
                <w:kern w:val="2"/>
                <w:sz w:val="18"/>
                <w:szCs w:val="18"/>
              </w:rPr>
            </w:pPr>
            <w:r>
              <w:rPr>
                <w:rFonts w:asciiTheme="minorHAnsi" w:hAnsiTheme="minorHAnsi" w:eastAsiaTheme="minorEastAsia"/>
                <w:sz w:val="18"/>
                <w:szCs w:val="18"/>
              </w:rPr>
              <w:t>4</w:t>
            </w:r>
            <w:r>
              <w:rPr>
                <w:rFonts w:hint="eastAsia" w:asciiTheme="minorHAnsi" w:hAnsiTheme="minorHAnsi" w:eastAsiaTheme="minorEastAsia"/>
                <w:sz w:val="18"/>
                <w:szCs w:val="18"/>
              </w:rPr>
              <w:t>.</w:t>
            </w:r>
            <w:r>
              <w:rPr>
                <w:rFonts w:asciiTheme="minorHAnsi" w:hAnsiTheme="minorHAnsi" w:eastAsiaTheme="minorEastAsia"/>
                <w:sz w:val="18"/>
                <w:szCs w:val="18"/>
              </w:rPr>
              <w:t>应保存管理评审的记录。</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制定了管理评审程序文件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kern w:val="2"/>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有管理评审相应实施记录，及对诚信计量管理体系修正、完善情况</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bl>
    <w:p>
      <w:pPr>
        <w:kinsoku w:val="0"/>
        <w:overflowPunct w:val="0"/>
        <w:spacing w:before="156" w:beforeLines="50" w:after="156" w:afterLines="50" w:line="240" w:lineRule="exact"/>
        <w:rPr>
          <w:rFonts w:ascii="黑体" w:hAnsi="黑体" w:eastAsia="黑体" w:cs="黑体"/>
          <w:szCs w:val="21"/>
        </w:rPr>
      </w:pPr>
    </w:p>
    <w:p>
      <w:pPr>
        <w:kinsoku w:val="0"/>
        <w:overflowPunct w:val="0"/>
        <w:spacing w:before="156" w:beforeLines="50" w:after="156" w:afterLines="50" w:line="240" w:lineRule="exact"/>
        <w:rPr>
          <w:szCs w:val="21"/>
        </w:rPr>
      </w:pPr>
      <w:r>
        <w:rPr>
          <w:rFonts w:ascii="黑体" w:hAnsi="黑体" w:eastAsia="黑体" w:cs="黑体"/>
          <w:szCs w:val="21"/>
        </w:rPr>
        <w:t>8</w:t>
      </w:r>
      <w:r>
        <w:rPr>
          <w:rFonts w:hint="eastAsia" w:ascii="黑体" w:hAnsi="黑体" w:eastAsia="黑体" w:cs="黑体"/>
          <w:szCs w:val="21"/>
        </w:rPr>
        <w:t xml:space="preserve"> 改进</w:t>
      </w:r>
      <w:r>
        <w:rPr>
          <w:rFonts w:ascii="黑体" w:hAnsi="黑体" w:eastAsia="黑体" w:cs="黑体"/>
          <w:szCs w:val="21"/>
        </w:rPr>
        <w:t>（</w:t>
      </w:r>
      <w:r>
        <w:rPr>
          <w:rFonts w:hint="eastAsia" w:ascii="黑体" w:hAnsi="黑体" w:eastAsia="黑体" w:cs="黑体"/>
          <w:szCs w:val="21"/>
        </w:rPr>
        <w:t>总分</w:t>
      </w:r>
      <w:r>
        <w:rPr>
          <w:rFonts w:ascii="黑体" w:hAnsi="黑体" w:eastAsia="黑体" w:cs="黑体"/>
          <w:szCs w:val="21"/>
        </w:rPr>
        <w:t>8</w:t>
      </w:r>
      <w:r>
        <w:rPr>
          <w:rFonts w:hint="eastAsia" w:ascii="黑体" w:hAnsi="黑体" w:eastAsia="黑体" w:cs="黑体"/>
          <w:szCs w:val="21"/>
        </w:rPr>
        <w:t>分</w:t>
      </w:r>
      <w:r>
        <w:rPr>
          <w:rFonts w:ascii="黑体" w:hAnsi="黑体" w:eastAsia="黑体" w:cs="黑体"/>
          <w:szCs w:val="21"/>
        </w:rPr>
        <w:t>）</w:t>
      </w:r>
    </w:p>
    <w:tbl>
      <w:tblPr>
        <w:tblStyle w:val="8"/>
        <w:tblW w:w="14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00"/>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23</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8.1不符合控制</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（4分）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应建立、实施并保持不符合控制程序，确保发现与诚信计量管理体系或客户要求的不符合。</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应特别关注失信的评估、处置和社会效果。</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w:t>
            </w:r>
            <w:r>
              <w:rPr>
                <w:rFonts w:asciiTheme="minorHAnsi" w:hAnsiTheme="minorHAnsi" w:eastAsiaTheme="minorEastAsia"/>
                <w:sz w:val="18"/>
                <w:szCs w:val="18"/>
              </w:rPr>
              <w:t>应保存有关不符合工作处理的记录。</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4</w:t>
            </w:r>
            <w:r>
              <w:rPr>
                <w:rFonts w:hint="eastAsia" w:asciiTheme="minorHAnsi" w:hAnsiTheme="minorHAnsi" w:eastAsiaTheme="minorEastAsia"/>
                <w:sz w:val="18"/>
                <w:szCs w:val="18"/>
              </w:rPr>
              <w:t>.</w:t>
            </w:r>
            <w:r>
              <w:rPr>
                <w:rFonts w:asciiTheme="minorHAnsi" w:hAnsiTheme="minorHAnsi" w:eastAsiaTheme="minorEastAsia"/>
                <w:sz w:val="18"/>
                <w:szCs w:val="18"/>
              </w:rPr>
              <w:t>当评价表明不符合可能再发生，或对诚信计量管理体系运行产生怀疑时，应采取纠正措施。</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制定了不符合控制程序</w:t>
            </w:r>
            <w:r>
              <w:rPr>
                <w:rFonts w:hint="eastAsia" w:asciiTheme="minorHAnsi" w:hAnsiTheme="minorHAnsi" w:eastAsiaTheme="minorEastAsia"/>
                <w:sz w:val="18"/>
                <w:szCs w:val="18"/>
              </w:rPr>
              <w:t>。（</w:t>
            </w:r>
            <w:r>
              <w:rPr>
                <w:rFonts w:asciiTheme="minorHAnsi" w:hAnsiTheme="minorHAnsi" w:eastAsiaTheme="minorEastAsia"/>
                <w:sz w:val="18"/>
                <w:szCs w:val="18"/>
              </w:rPr>
              <w:t>2分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有失信应对预案</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3.</w:t>
            </w:r>
            <w:r>
              <w:rPr>
                <w:rFonts w:hint="eastAsia" w:asciiTheme="minorHAnsi" w:hAnsiTheme="minorHAnsi" w:eastAsiaTheme="minorEastAsia"/>
                <w:sz w:val="18"/>
                <w:szCs w:val="18"/>
              </w:rPr>
              <w:t>是否</w:t>
            </w:r>
            <w:r>
              <w:rPr>
                <w:rFonts w:asciiTheme="minorHAnsi" w:hAnsiTheme="minorHAnsi" w:eastAsiaTheme="minorEastAsia"/>
                <w:sz w:val="18"/>
                <w:szCs w:val="18"/>
              </w:rPr>
              <w:t>有相应实施记录。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24</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8.2纠正措施</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2</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w:t>
            </w:r>
            <w:r>
              <w:rPr>
                <w:rFonts w:asciiTheme="minorHAnsi" w:hAnsiTheme="minorHAnsi" w:eastAsiaTheme="minorEastAsia"/>
                <w:sz w:val="18"/>
                <w:szCs w:val="18"/>
              </w:rPr>
              <w:t>应制定纠正措施程序文件，指定合适的人员，对发现的不符合采取纠正措施。</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w:t>
            </w:r>
            <w:r>
              <w:rPr>
                <w:rFonts w:asciiTheme="minorHAnsi" w:hAnsiTheme="minorHAnsi" w:eastAsiaTheme="minorEastAsia"/>
                <w:sz w:val="18"/>
                <w:szCs w:val="18"/>
              </w:rPr>
              <w:t>纠正措施应从原因调查开始，分析和确定不符合的原因，制定采取的纠正措施。纠正措施应与问题的严重程度和风险大小相适应，实施纠正措施后，应能消除不符合，并防止再次发生。</w:t>
            </w:r>
          </w:p>
        </w:tc>
        <w:tc>
          <w:tcPr>
            <w:tcW w:w="3402"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1.</w:t>
            </w:r>
            <w:r>
              <w:rPr>
                <w:rFonts w:hint="eastAsia" w:asciiTheme="minorHAnsi" w:hAnsiTheme="minorHAnsi" w:eastAsiaTheme="minorEastAsia"/>
                <w:sz w:val="18"/>
                <w:szCs w:val="18"/>
              </w:rPr>
              <w:t>是否</w:t>
            </w:r>
            <w:r>
              <w:rPr>
                <w:rFonts w:asciiTheme="minorHAnsi" w:hAnsiTheme="minorHAnsi" w:eastAsiaTheme="minorEastAsia"/>
                <w:sz w:val="18"/>
                <w:szCs w:val="18"/>
              </w:rPr>
              <w:t>制定了纠正措施程序文件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有相应的实施记录。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737" w:type="dxa"/>
            <w:vAlign w:val="center"/>
          </w:tcPr>
          <w:p>
            <w:pPr>
              <w:pStyle w:val="31"/>
              <w:numPr>
                <w:ilvl w:val="1"/>
                <w:numId w:val="0"/>
              </w:numPr>
              <w:spacing w:line="240" w:lineRule="exact"/>
              <w:jc w:val="center"/>
              <w:rPr>
                <w:rFonts w:asciiTheme="minorHAnsi" w:hAnsiTheme="minorHAnsi" w:eastAsiaTheme="minorEastAsia"/>
                <w:sz w:val="18"/>
                <w:szCs w:val="18"/>
              </w:rPr>
            </w:pPr>
            <w:r>
              <w:rPr>
                <w:rFonts w:asciiTheme="minorHAnsi" w:hAnsiTheme="minorHAnsi" w:eastAsiaTheme="minorEastAsia"/>
                <w:sz w:val="18"/>
                <w:szCs w:val="18"/>
              </w:rPr>
              <w:t>25</w:t>
            </w:r>
          </w:p>
        </w:tc>
        <w:tc>
          <w:tcPr>
            <w:tcW w:w="1400" w:type="dxa"/>
            <w:vAlign w:val="center"/>
          </w:tcPr>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8.3持续改进</w:t>
            </w:r>
          </w:p>
          <w:p>
            <w:pPr>
              <w:pStyle w:val="31"/>
              <w:numPr>
                <w:ilvl w:val="1"/>
                <w:numId w:val="0"/>
              </w:numPr>
              <w:spacing w:line="240" w:lineRule="exact"/>
              <w:jc w:val="center"/>
              <w:rPr>
                <w:rFonts w:asciiTheme="minorHAnsi" w:hAnsiTheme="minorHAnsi" w:eastAsiaTheme="minorEastAsia"/>
                <w:sz w:val="18"/>
                <w:szCs w:val="18"/>
              </w:rPr>
            </w:pPr>
            <w:r>
              <w:rPr>
                <w:rFonts w:hint="eastAsia" w:asciiTheme="minorHAnsi" w:hAnsiTheme="minorHAnsi" w:eastAsiaTheme="minorEastAsia"/>
                <w:sz w:val="18"/>
                <w:szCs w:val="18"/>
              </w:rPr>
              <w:t>（</w:t>
            </w:r>
            <w:r>
              <w:rPr>
                <w:rFonts w:asciiTheme="minorHAnsi" w:hAnsiTheme="minorHAnsi" w:eastAsiaTheme="minorEastAsia"/>
                <w:sz w:val="18"/>
                <w:szCs w:val="18"/>
              </w:rPr>
              <w:t>2</w:t>
            </w:r>
            <w:r>
              <w:rPr>
                <w:rFonts w:hint="eastAsia" w:asciiTheme="minorHAnsi" w:hAnsiTheme="minorHAnsi" w:eastAsiaTheme="minorEastAsia"/>
                <w:sz w:val="18"/>
                <w:szCs w:val="18"/>
              </w:rPr>
              <w:t>分）</w:t>
            </w:r>
          </w:p>
        </w:tc>
        <w:tc>
          <w:tcPr>
            <w:tcW w:w="5244" w:type="dxa"/>
            <w:vAlign w:val="center"/>
          </w:tcPr>
          <w:p>
            <w:pPr>
              <w:pStyle w:val="31"/>
              <w:numPr>
                <w:ilvl w:val="1"/>
                <w:numId w:val="0"/>
              </w:numPr>
              <w:spacing w:line="240" w:lineRule="exact"/>
              <w:ind w:firstLine="180" w:firstLineChars="100"/>
              <w:jc w:val="both"/>
              <w:rPr>
                <w:rFonts w:asciiTheme="minorHAnsi" w:hAnsiTheme="minorHAnsi" w:eastAsiaTheme="minorEastAsia"/>
                <w:sz w:val="18"/>
                <w:szCs w:val="18"/>
              </w:rPr>
            </w:pPr>
            <w:r>
              <w:rPr>
                <w:rFonts w:asciiTheme="minorHAnsi" w:hAnsiTheme="minorHAnsi" w:eastAsiaTheme="minorEastAsia"/>
                <w:sz w:val="18"/>
                <w:szCs w:val="18"/>
              </w:rPr>
              <w:t>应建立符合本单位特点的持续改进机制，分析评价的结果，寻找需要改进的薄弱环节，发现改进的机会，制定和实施改进的措施，记录改进的结果，评估持续改进的有效性，不断提高诚信计量管理体系的适宜性、充分性和有效性。</w:t>
            </w:r>
          </w:p>
        </w:tc>
        <w:tc>
          <w:tcPr>
            <w:tcW w:w="3402" w:type="dxa"/>
            <w:vAlign w:val="center"/>
          </w:tcPr>
          <w:p>
            <w:pPr>
              <w:pStyle w:val="31"/>
              <w:numPr>
                <w:ilvl w:val="0"/>
                <w:numId w:val="0"/>
              </w:numPr>
              <w:spacing w:line="240" w:lineRule="exact"/>
              <w:jc w:val="both"/>
              <w:rPr>
                <w:rFonts w:asciiTheme="minorHAnsi" w:hAnsiTheme="minorHAnsi" w:eastAsiaTheme="minorEastAsia"/>
                <w:sz w:val="18"/>
                <w:szCs w:val="18"/>
              </w:rPr>
            </w:pPr>
            <w:r>
              <w:rPr>
                <w:rFonts w:hint="eastAsia" w:asciiTheme="minorHAnsi" w:hAnsiTheme="minorHAnsi" w:eastAsiaTheme="minorEastAsia"/>
                <w:sz w:val="18"/>
                <w:szCs w:val="18"/>
              </w:rPr>
              <w:t>1</w:t>
            </w:r>
            <w:r>
              <w:rPr>
                <w:rFonts w:asciiTheme="minorHAnsi" w:hAnsiTheme="minorHAnsi" w:eastAsiaTheme="minorEastAsia"/>
                <w:sz w:val="18"/>
                <w:szCs w:val="18"/>
              </w:rPr>
              <w:t>.</w:t>
            </w:r>
            <w:r>
              <w:rPr>
                <w:rFonts w:hint="eastAsia" w:asciiTheme="minorHAnsi" w:hAnsiTheme="minorHAnsi" w:eastAsiaTheme="minorEastAsia"/>
                <w:sz w:val="18"/>
                <w:szCs w:val="18"/>
              </w:rPr>
              <w:t>是否</w:t>
            </w:r>
            <w:r>
              <w:rPr>
                <w:rFonts w:asciiTheme="minorHAnsi" w:hAnsiTheme="minorHAnsi" w:eastAsiaTheme="minorEastAsia"/>
                <w:sz w:val="18"/>
                <w:szCs w:val="18"/>
              </w:rPr>
              <w:t>制定了持续改进程序文件</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p>
            <w:pPr>
              <w:pStyle w:val="31"/>
              <w:numPr>
                <w:ilvl w:val="1"/>
                <w:numId w:val="0"/>
              </w:numPr>
              <w:spacing w:line="240" w:lineRule="exact"/>
              <w:jc w:val="both"/>
              <w:rPr>
                <w:rFonts w:asciiTheme="minorHAnsi" w:hAnsiTheme="minorHAnsi" w:eastAsiaTheme="minorEastAsia"/>
                <w:sz w:val="18"/>
                <w:szCs w:val="18"/>
              </w:rPr>
            </w:pPr>
            <w:r>
              <w:rPr>
                <w:rFonts w:asciiTheme="minorHAnsi" w:hAnsiTheme="minorHAnsi" w:eastAsiaTheme="minorEastAsia"/>
                <w:sz w:val="18"/>
                <w:szCs w:val="18"/>
              </w:rPr>
              <w:t>2.</w:t>
            </w:r>
            <w:r>
              <w:rPr>
                <w:rFonts w:hint="eastAsia" w:asciiTheme="minorHAnsi" w:hAnsiTheme="minorHAnsi" w:eastAsiaTheme="minorEastAsia"/>
                <w:sz w:val="18"/>
                <w:szCs w:val="18"/>
              </w:rPr>
              <w:t>是否</w:t>
            </w:r>
            <w:r>
              <w:rPr>
                <w:rFonts w:asciiTheme="minorHAnsi" w:hAnsiTheme="minorHAnsi" w:eastAsiaTheme="minorEastAsia"/>
                <w:sz w:val="18"/>
                <w:szCs w:val="18"/>
              </w:rPr>
              <w:t>有相应的实施记录。</w:t>
            </w:r>
            <w:r>
              <w:rPr>
                <w:rFonts w:hint="eastAsia" w:asciiTheme="minorHAnsi" w:hAnsiTheme="minorHAnsi" w:eastAsiaTheme="minorEastAsia"/>
                <w:sz w:val="18"/>
                <w:szCs w:val="18"/>
              </w:rPr>
              <w:t>（</w:t>
            </w:r>
            <w:r>
              <w:rPr>
                <w:rFonts w:asciiTheme="minorHAnsi" w:hAnsiTheme="minorHAnsi" w:eastAsiaTheme="minorEastAsia"/>
                <w:sz w:val="18"/>
                <w:szCs w:val="18"/>
              </w:rPr>
              <w:t>1分</w:t>
            </w:r>
            <w:r>
              <w:rPr>
                <w:rFonts w:hint="eastAsia" w:asciiTheme="minorHAnsi" w:hAnsiTheme="minorHAnsi" w:eastAsiaTheme="minorEastAsia"/>
                <w:sz w:val="18"/>
                <w:szCs w:val="18"/>
              </w:rPr>
              <w:t>）</w:t>
            </w:r>
          </w:p>
        </w:tc>
        <w:tc>
          <w:tcPr>
            <w:tcW w:w="2835" w:type="dxa"/>
          </w:tcPr>
          <w:p>
            <w:pPr>
              <w:kinsoku w:val="0"/>
              <w:overflowPunct w:val="0"/>
              <w:spacing w:line="240" w:lineRule="exact"/>
              <w:jc w:val="center"/>
              <w:rPr>
                <w:rFonts w:cs="Times New Roman" w:asciiTheme="minorHAnsi" w:hAnsiTheme="minorHAnsi" w:eastAsiaTheme="minorEastAsia"/>
                <w:kern w:val="0"/>
                <w:sz w:val="18"/>
                <w:szCs w:val="18"/>
              </w:rPr>
            </w:pPr>
          </w:p>
        </w:tc>
        <w:tc>
          <w:tcPr>
            <w:tcW w:w="924" w:type="dxa"/>
          </w:tcPr>
          <w:p>
            <w:pPr>
              <w:kinsoku w:val="0"/>
              <w:overflowPunct w:val="0"/>
              <w:spacing w:line="240" w:lineRule="exact"/>
              <w:jc w:val="center"/>
              <w:rPr>
                <w:rFonts w:cs="Times New Roman" w:asciiTheme="minorHAnsi" w:hAnsiTheme="minorHAnsi" w:eastAsiaTheme="minorEastAsia"/>
                <w:kern w:val="0"/>
                <w:sz w:val="18"/>
                <w:szCs w:val="18"/>
              </w:rPr>
            </w:pPr>
          </w:p>
        </w:tc>
      </w:tr>
    </w:tbl>
    <w:p>
      <w:pPr>
        <w:widowControl/>
        <w:snapToGrid w:val="0"/>
        <w:ind w:firstLine="90" w:firstLineChars="50"/>
        <w:jc w:val="left"/>
        <w:rPr>
          <w:rFonts w:asciiTheme="minorEastAsia" w:hAnsiTheme="minorEastAsia"/>
          <w:sz w:val="18"/>
          <w:szCs w:val="18"/>
        </w:rPr>
      </w:pPr>
      <w:r>
        <w:rPr>
          <w:rFonts w:hint="eastAsia" w:asciiTheme="minorEastAsia" w:hAnsiTheme="minorEastAsia"/>
          <w:sz w:val="18"/>
          <w:szCs w:val="18"/>
        </w:rPr>
        <w:t>注：</w:t>
      </w:r>
    </w:p>
    <w:p>
      <w:pPr>
        <w:widowControl/>
        <w:spacing w:line="240" w:lineRule="exact"/>
        <w:ind w:firstLine="450" w:firstLineChars="250"/>
        <w:jc w:val="left"/>
        <w:rPr>
          <w:sz w:val="18"/>
          <w:szCs w:val="18"/>
        </w:rPr>
      </w:pPr>
      <w:r>
        <w:rPr>
          <w:sz w:val="18"/>
          <w:szCs w:val="18"/>
        </w:rPr>
        <w:t>1. 当发现不符合时，应在“评价记录”栏中注明扣分内容。</w:t>
      </w:r>
    </w:p>
    <w:p>
      <w:pPr>
        <w:widowControl/>
        <w:spacing w:line="240" w:lineRule="exact"/>
        <w:ind w:firstLine="450" w:firstLineChars="250"/>
        <w:jc w:val="left"/>
        <w:rPr>
          <w:sz w:val="18"/>
          <w:szCs w:val="18"/>
        </w:rPr>
      </w:pPr>
      <w:r>
        <w:rPr>
          <w:rFonts w:hint="eastAsia"/>
          <w:sz w:val="18"/>
          <w:szCs w:val="18"/>
        </w:rPr>
        <w:t xml:space="preserve">2. </w:t>
      </w:r>
      <w:r>
        <w:rPr>
          <w:sz w:val="18"/>
          <w:szCs w:val="18"/>
        </w:rPr>
        <w:t>自评表条款号同《</w:t>
      </w:r>
      <w:r>
        <w:rPr>
          <w:rFonts w:hint="eastAsia" w:ascii="宋体" w:hAnsi="宋体" w:eastAsia="宋体" w:cs="Times New Roman"/>
          <w:sz w:val="18"/>
          <w:szCs w:val="18"/>
        </w:rPr>
        <w:t>餐饮企业诚信计量建设规范</w:t>
      </w:r>
      <w:r>
        <w:rPr>
          <w:sz w:val="18"/>
          <w:szCs w:val="18"/>
        </w:rPr>
        <w:t>》</w:t>
      </w:r>
      <w:r>
        <w:rPr>
          <w:rFonts w:hint="eastAsia"/>
          <w:sz w:val="18"/>
          <w:szCs w:val="18"/>
        </w:rPr>
        <w:t>地方</w:t>
      </w:r>
      <w:r>
        <w:rPr>
          <w:sz w:val="18"/>
          <w:szCs w:val="18"/>
        </w:rPr>
        <w:t>标准条款号</w:t>
      </w:r>
      <w:r>
        <w:rPr>
          <w:rFonts w:hint="eastAsia"/>
          <w:sz w:val="18"/>
          <w:szCs w:val="18"/>
        </w:rPr>
        <w:t>。</w:t>
      </w:r>
    </w:p>
    <w:p>
      <w:pPr>
        <w:widowControl/>
        <w:spacing w:line="240" w:lineRule="exact"/>
        <w:ind w:firstLine="450" w:firstLineChars="250"/>
        <w:jc w:val="left"/>
        <w:rPr>
          <w:sz w:val="18"/>
          <w:szCs w:val="18"/>
        </w:rPr>
      </w:pPr>
      <w:r>
        <w:rPr>
          <w:sz w:val="18"/>
          <w:szCs w:val="18"/>
        </w:rPr>
        <w:t xml:space="preserve">3. </w:t>
      </w:r>
      <w:r>
        <w:rPr>
          <w:rFonts w:cs="宋体"/>
          <w:kern w:val="0"/>
          <w:sz w:val="18"/>
          <w:szCs w:val="18"/>
          <w:lang w:val="zh-CN"/>
        </w:rPr>
        <w:t>条款4.1、4.3、4.4</w:t>
      </w:r>
      <w:r>
        <w:rPr>
          <w:rFonts w:hint="eastAsia" w:cs="宋体"/>
          <w:kern w:val="0"/>
          <w:sz w:val="18"/>
          <w:szCs w:val="18"/>
          <w:lang w:val="zh-CN"/>
        </w:rPr>
        <w:t>、</w:t>
      </w:r>
      <w:r>
        <w:rPr>
          <w:rFonts w:cs="宋体"/>
          <w:kern w:val="0"/>
          <w:sz w:val="18"/>
          <w:szCs w:val="18"/>
          <w:lang w:val="zh-CN"/>
        </w:rPr>
        <w:t>5.4</w:t>
      </w:r>
      <w:r>
        <w:rPr>
          <w:rFonts w:hint="eastAsia" w:cs="宋体"/>
          <w:kern w:val="0"/>
          <w:sz w:val="18"/>
          <w:szCs w:val="18"/>
          <w:lang w:val="zh-CN"/>
        </w:rPr>
        <w:t>和5.</w:t>
      </w:r>
      <w:r>
        <w:rPr>
          <w:rFonts w:cs="宋体"/>
          <w:kern w:val="0"/>
          <w:sz w:val="18"/>
          <w:szCs w:val="18"/>
          <w:lang w:val="zh-CN"/>
        </w:rPr>
        <w:t>6</w:t>
      </w:r>
      <w:r>
        <w:rPr>
          <w:rFonts w:hint="eastAsia" w:cs="宋体"/>
          <w:kern w:val="0"/>
          <w:sz w:val="18"/>
          <w:szCs w:val="18"/>
          <w:lang w:val="zh-CN"/>
        </w:rPr>
        <w:t>.2</w:t>
      </w:r>
      <w:r>
        <w:rPr>
          <w:rFonts w:cs="宋体"/>
          <w:kern w:val="0"/>
          <w:sz w:val="18"/>
          <w:szCs w:val="18"/>
          <w:lang w:val="zh-CN"/>
        </w:rPr>
        <w:t>为必备条款（</w:t>
      </w:r>
      <w:r>
        <w:rPr>
          <w:sz w:val="18"/>
          <w:szCs w:val="18"/>
        </w:rPr>
        <w:t>用“</w:t>
      </w:r>
      <w:r>
        <w:rPr>
          <w:rFonts w:hint="eastAsia" w:ascii="黑体" w:hAnsi="黑体" w:eastAsia="黑体" w:cs="微软雅黑"/>
          <w:sz w:val="18"/>
          <w:szCs w:val="18"/>
        </w:rPr>
        <w:t>※</w:t>
      </w:r>
      <w:r>
        <w:rPr>
          <w:rFonts w:ascii="Calibri" w:hAnsi="Calibri" w:cs="Calibri"/>
          <w:sz w:val="18"/>
          <w:szCs w:val="18"/>
        </w:rPr>
        <w:t>”</w:t>
      </w:r>
      <w:r>
        <w:rPr>
          <w:sz w:val="18"/>
          <w:szCs w:val="18"/>
        </w:rPr>
        <w:t>表示</w:t>
      </w:r>
      <w:r>
        <w:rPr>
          <w:rFonts w:cs="宋体"/>
          <w:kern w:val="0"/>
          <w:sz w:val="18"/>
          <w:szCs w:val="18"/>
          <w:lang w:val="zh-CN"/>
        </w:rPr>
        <w:t>），若有不符合，不可进行诚信计量承诺</w:t>
      </w:r>
      <w:r>
        <w:rPr>
          <w:rFonts w:hint="eastAsia" w:cs="宋体"/>
          <w:kern w:val="0"/>
          <w:sz w:val="18"/>
          <w:szCs w:val="18"/>
          <w:lang w:val="zh-CN"/>
        </w:rPr>
        <w:t>。</w:t>
      </w:r>
      <w:r>
        <w:rPr>
          <w:sz w:val="18"/>
          <w:szCs w:val="18"/>
        </w:rPr>
        <w:t xml:space="preserve"> </w:t>
      </w:r>
    </w:p>
    <w:p>
      <w:pPr>
        <w:widowControl/>
        <w:spacing w:line="240" w:lineRule="exact"/>
        <w:ind w:firstLine="450" w:firstLineChars="250"/>
        <w:jc w:val="left"/>
        <w:rPr>
          <w:sz w:val="18"/>
          <w:szCs w:val="18"/>
        </w:rPr>
      </w:pPr>
      <w:r>
        <w:rPr>
          <w:sz w:val="18"/>
          <w:szCs w:val="18"/>
        </w:rPr>
        <w:t xml:space="preserve">4. </w:t>
      </w:r>
      <w:r>
        <w:rPr>
          <w:rFonts w:ascii="宋体" w:hAnsi="宋体" w:eastAsia="宋体" w:cs="Times New Roman"/>
          <w:sz w:val="18"/>
          <w:szCs w:val="18"/>
        </w:rPr>
        <w:t>每个二级条款</w:t>
      </w:r>
      <w:r>
        <w:rPr>
          <w:rFonts w:hint="eastAsia" w:ascii="宋体" w:hAnsi="宋体" w:eastAsia="宋体" w:cs="Times New Roman"/>
          <w:sz w:val="18"/>
          <w:szCs w:val="18"/>
        </w:rPr>
        <w:t>评分</w:t>
      </w:r>
      <w:r>
        <w:rPr>
          <w:rFonts w:ascii="宋体" w:hAnsi="宋体" w:eastAsia="宋体" w:cs="Times New Roman"/>
          <w:sz w:val="18"/>
          <w:szCs w:val="18"/>
        </w:rPr>
        <w:t>不可为</w:t>
      </w:r>
      <w:r>
        <w:rPr>
          <w:rFonts w:hint="eastAsia" w:ascii="宋体" w:hAnsi="宋体" w:eastAsia="宋体" w:cs="Times New Roman"/>
          <w:sz w:val="18"/>
          <w:szCs w:val="18"/>
        </w:rPr>
        <w:t>0</w:t>
      </w:r>
      <w:r>
        <w:rPr>
          <w:sz w:val="18"/>
          <w:szCs w:val="18"/>
        </w:rPr>
        <w:t>。</w:t>
      </w:r>
    </w:p>
    <w:p>
      <w:pPr>
        <w:widowControl/>
        <w:spacing w:line="240" w:lineRule="exact"/>
        <w:ind w:firstLine="450" w:firstLineChars="250"/>
        <w:jc w:val="left"/>
        <w:rPr>
          <w:sz w:val="18"/>
          <w:szCs w:val="18"/>
        </w:rPr>
      </w:pPr>
      <w:r>
        <w:rPr>
          <w:sz w:val="18"/>
          <w:szCs w:val="18"/>
        </w:rPr>
        <w:t>5. 累计分值达到 80分为评价合格</w:t>
      </w:r>
      <w:r>
        <w:rPr>
          <w:rFonts w:hint="eastAsia"/>
          <w:sz w:val="18"/>
          <w:szCs w:val="18"/>
        </w:rPr>
        <w:t>。</w:t>
      </w:r>
    </w:p>
    <w:p>
      <w:pPr>
        <w:widowControl/>
        <w:snapToGrid w:val="0"/>
        <w:jc w:val="left"/>
        <w:rPr>
          <w:rFonts w:ascii="Arial"/>
          <w:b/>
          <w:szCs w:val="21"/>
        </w:rPr>
      </w:pPr>
    </w:p>
    <w:p>
      <w:pPr>
        <w:widowControl/>
        <w:snapToGrid w:val="0"/>
        <w:ind w:firstLine="1791" w:firstLineChars="850"/>
        <w:jc w:val="left"/>
        <w:rPr>
          <w:rFonts w:ascii="Arial"/>
          <w:b/>
          <w:szCs w:val="21"/>
        </w:rPr>
      </w:pPr>
      <w:r>
        <w:rPr>
          <w:rFonts w:ascii="Arial"/>
          <w:b/>
          <w:szCs w:val="21"/>
        </w:rPr>
        <w:t>单位</w:t>
      </w:r>
      <w:r>
        <w:rPr>
          <w:rFonts w:hint="eastAsia" w:ascii="Arial"/>
          <w:b/>
          <w:szCs w:val="21"/>
        </w:rPr>
        <w:t>（盖章）</w:t>
      </w:r>
      <w:r>
        <w:rPr>
          <w:rFonts w:ascii="Arial"/>
          <w:b/>
          <w:szCs w:val="21"/>
        </w:rPr>
        <w:t>：</w:t>
      </w:r>
    </w:p>
    <w:p>
      <w:pPr>
        <w:widowControl/>
        <w:snapToGrid w:val="0"/>
        <w:ind w:firstLine="1791" w:firstLineChars="850"/>
        <w:jc w:val="left"/>
        <w:rPr>
          <w:rFonts w:ascii="Arial"/>
          <w:b/>
          <w:szCs w:val="21"/>
        </w:rPr>
      </w:pPr>
    </w:p>
    <w:p>
      <w:pPr>
        <w:widowControl/>
        <w:snapToGrid w:val="0"/>
        <w:ind w:firstLine="1791" w:firstLineChars="850"/>
        <w:jc w:val="left"/>
        <w:rPr>
          <w:rFonts w:ascii="黑体" w:hAnsi="黑体" w:eastAsia="黑体" w:cs="黑体"/>
          <w:szCs w:val="21"/>
        </w:rPr>
      </w:pPr>
      <w:r>
        <w:rPr>
          <w:rFonts w:hint="eastAsia" w:ascii="Arial"/>
          <w:b/>
          <w:szCs w:val="21"/>
        </w:rPr>
        <w:t>评价</w:t>
      </w:r>
      <w:r>
        <w:rPr>
          <w:rFonts w:ascii="Arial"/>
          <w:b/>
          <w:szCs w:val="21"/>
        </w:rPr>
        <w:t>结果：</w:t>
      </w:r>
      <w:r>
        <w:rPr>
          <w:rFonts w:hint="eastAsia" w:ascii="Arial"/>
          <w:b/>
          <w:szCs w:val="21"/>
        </w:rPr>
        <w:t xml:space="preserve">                  </w:t>
      </w:r>
      <w:r>
        <w:rPr>
          <w:rFonts w:ascii="Arial"/>
          <w:b/>
          <w:szCs w:val="21"/>
        </w:rPr>
        <w:t xml:space="preserve">    </w:t>
      </w:r>
      <w:r>
        <w:rPr>
          <w:rFonts w:hint="eastAsia" w:ascii="Arial"/>
          <w:b/>
          <w:szCs w:val="21"/>
        </w:rPr>
        <w:t xml:space="preserve">  评价人员签字：</w:t>
      </w:r>
      <w:r>
        <w:rPr>
          <w:rFonts w:ascii="Arial" w:hAnsi="Arial"/>
          <w:szCs w:val="21"/>
        </w:rPr>
        <w:t xml:space="preserve">                                    </w:t>
      </w:r>
      <w:r>
        <w:rPr>
          <w:rFonts w:hint="eastAsia" w:ascii="Arial"/>
          <w:b/>
          <w:szCs w:val="21"/>
        </w:rPr>
        <w:t>评价日期：</w:t>
      </w:r>
    </w:p>
    <w:sectPr>
      <w:pgSz w:w="16838" w:h="11906" w:orient="landscape"/>
      <w:pgMar w:top="1418" w:right="1134" w:bottom="119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swiss"/>
    <w:pitch w:val="default"/>
    <w:sig w:usb0="00000000" w:usb1="00000000" w:usb2="00000016" w:usb3="00000000" w:csb0="0004001F" w:csb1="00000000"/>
  </w:font>
  <w:font w:name="Arial">
    <w:altName w:val="Nimbus Roman No9 L"/>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42"/>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16667BBD"/>
    <w:multiLevelType w:val="multilevel"/>
    <w:tmpl w:val="16667BBD"/>
    <w:lvl w:ilvl="0" w:tentative="0">
      <w:start w:val="1"/>
      <w:numFmt w:val="lowerLetter"/>
      <w:pStyle w:val="34"/>
      <w:lvlText w:val="%1)"/>
      <w:lvlJc w:val="left"/>
      <w:pPr>
        <w:tabs>
          <w:tab w:val="left" w:pos="840"/>
        </w:tabs>
        <w:ind w:left="839" w:hanging="419"/>
      </w:pPr>
      <w:rPr>
        <w:rFonts w:hint="eastAsia"/>
        <w:b w:val="0"/>
        <w:i w:val="0"/>
        <w:sz w:val="21"/>
        <w:szCs w:val="21"/>
      </w:rPr>
    </w:lvl>
    <w:lvl w:ilvl="1" w:tentative="0">
      <w:start w:val="1"/>
      <w:numFmt w:val="decimal"/>
      <w:pStyle w:val="32"/>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657D3FBC"/>
    <w:multiLevelType w:val="multilevel"/>
    <w:tmpl w:val="657D3FBC"/>
    <w:lvl w:ilvl="0" w:tentative="0">
      <w:start w:val="1"/>
      <w:numFmt w:val="upperLetter"/>
      <w:pStyle w:val="1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3"/>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pStyle w:val="24"/>
      <w:suff w:val="nothing"/>
      <w:lvlText w:val="%1.%2.%3　"/>
      <w:lvlJc w:val="left"/>
      <w:pPr>
        <w:ind w:left="0" w:firstLine="0"/>
      </w:pPr>
      <w:rPr>
        <w:rFonts w:hint="eastAsia" w:ascii="黑体" w:hAnsi="Times New Roman" w:eastAsia="黑体"/>
        <w:b w:val="0"/>
        <w:i w:val="0"/>
        <w:sz w:val="21"/>
      </w:rPr>
    </w:lvl>
    <w:lvl w:ilvl="3" w:tentative="0">
      <w:start w:val="1"/>
      <w:numFmt w:val="decimal"/>
      <w:pStyle w:val="19"/>
      <w:suff w:val="nothing"/>
      <w:lvlText w:val="%1.%2.%3.%4　"/>
      <w:lvlJc w:val="left"/>
      <w:pPr>
        <w:ind w:left="0" w:firstLine="0"/>
      </w:pPr>
      <w:rPr>
        <w:rFonts w:hint="eastAsia" w:ascii="黑体" w:hAnsi="Times New Roman" w:eastAsia="黑体"/>
        <w:b w:val="0"/>
        <w:i w:val="0"/>
        <w:sz w:val="21"/>
      </w:rPr>
    </w:lvl>
    <w:lvl w:ilvl="4" w:tentative="0">
      <w:start w:val="1"/>
      <w:numFmt w:val="decimal"/>
      <w:pStyle w:val="20"/>
      <w:suff w:val="nothing"/>
      <w:lvlText w:val="%1.%2.%3.%4.%5　"/>
      <w:lvlJc w:val="left"/>
      <w:pPr>
        <w:ind w:left="0" w:firstLine="0"/>
      </w:pPr>
      <w:rPr>
        <w:rFonts w:hint="eastAsia" w:ascii="黑体" w:hAnsi="Times New Roman" w:eastAsia="黑体"/>
        <w:b w:val="0"/>
        <w:i w:val="0"/>
        <w:sz w:val="21"/>
      </w:rPr>
    </w:lvl>
    <w:lvl w:ilvl="5" w:tentative="0">
      <w:start w:val="1"/>
      <w:numFmt w:val="decimal"/>
      <w:pStyle w:val="21"/>
      <w:suff w:val="nothing"/>
      <w:lvlText w:val="%1.%2.%3.%4.%5.%6　"/>
      <w:lvlJc w:val="left"/>
      <w:pPr>
        <w:ind w:left="0" w:firstLine="0"/>
      </w:pPr>
      <w:rPr>
        <w:rFonts w:hint="eastAsia" w:ascii="黑体" w:hAnsi="Times New Roman" w:eastAsia="黑体"/>
        <w:b w:val="0"/>
        <w:i w:val="0"/>
        <w:sz w:val="21"/>
      </w:rPr>
    </w:lvl>
    <w:lvl w:ilvl="6" w:tentative="0">
      <w:start w:val="1"/>
      <w:numFmt w:val="decimal"/>
      <w:pStyle w:val="2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9FA6A86"/>
    <w:multiLevelType w:val="multilevel"/>
    <w:tmpl w:val="69FA6A86"/>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35"/>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4">
    <w:nsid w:val="6CE73117"/>
    <w:multiLevelType w:val="multilevel"/>
    <w:tmpl w:val="6CE73117"/>
    <w:lvl w:ilvl="0" w:tentative="0">
      <w:start w:val="1"/>
      <w:numFmt w:val="decimal"/>
      <w:pStyle w:val="26"/>
      <w:suff w:val="space"/>
      <w:lvlText w:val="%1 "/>
      <w:lvlJc w:val="left"/>
      <w:pPr>
        <w:ind w:left="0" w:firstLine="0"/>
      </w:pPr>
      <w:rPr>
        <w:rFonts w:hint="eastAsia" w:eastAsia="黑体"/>
        <w:sz w:val="21"/>
      </w:rPr>
    </w:lvl>
    <w:lvl w:ilvl="1" w:tentative="0">
      <w:start w:val="1"/>
      <w:numFmt w:val="decimal"/>
      <w:pStyle w:val="25"/>
      <w:suff w:val="space"/>
      <w:lvlText w:val="%1.%2 "/>
      <w:lvlJc w:val="left"/>
      <w:pPr>
        <w:ind w:left="0" w:firstLine="0"/>
      </w:pPr>
      <w:rPr>
        <w:rFonts w:hint="eastAsia" w:ascii="黑体" w:hAnsi="黑体" w:eastAsia="黑体"/>
      </w:rPr>
    </w:lvl>
    <w:lvl w:ilvl="2" w:tentative="0">
      <w:start w:val="1"/>
      <w:numFmt w:val="decimal"/>
      <w:pStyle w:val="27"/>
      <w:suff w:val="space"/>
      <w:lvlText w:val="%1.%2.%3 "/>
      <w:lvlJc w:val="left"/>
      <w:pPr>
        <w:ind w:left="142" w:firstLine="0"/>
      </w:pPr>
      <w:rPr>
        <w:rFonts w:hint="eastAsia" w:ascii="黑体" w:hAnsi="黑体" w:eastAsia="黑体"/>
        <w:color w:val="auto"/>
      </w:rPr>
    </w:lvl>
    <w:lvl w:ilvl="3" w:tentative="0">
      <w:start w:val="1"/>
      <w:numFmt w:val="decimal"/>
      <w:pStyle w:val="28"/>
      <w:suff w:val="space"/>
      <w:lvlText w:val="%1.%2.%3.%4 "/>
      <w:lvlJc w:val="left"/>
      <w:pPr>
        <w:ind w:left="0" w:firstLine="0"/>
      </w:pPr>
      <w:rPr>
        <w:rFonts w:hint="eastAsia"/>
      </w:rPr>
    </w:lvl>
    <w:lvl w:ilvl="4" w:tentative="0">
      <w:start w:val="1"/>
      <w:numFmt w:val="decimal"/>
      <w:pStyle w:val="29"/>
      <w:suff w:val="space"/>
      <w:lvlText w:val="%1.%2.%3.%4.%5 "/>
      <w:lvlJc w:val="left"/>
      <w:pPr>
        <w:ind w:left="0" w:firstLine="0"/>
      </w:pPr>
      <w:rPr>
        <w:rFonts w:hint="eastAsia"/>
      </w:rPr>
    </w:lvl>
    <w:lvl w:ilvl="5" w:tentative="0">
      <w:start w:val="1"/>
      <w:numFmt w:val="decimal"/>
      <w:pStyle w:val="30"/>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5">
    <w:nsid w:val="6DBF04F4"/>
    <w:multiLevelType w:val="multilevel"/>
    <w:tmpl w:val="6DBF04F4"/>
    <w:lvl w:ilvl="0" w:tentative="0">
      <w:start w:val="1"/>
      <w:numFmt w:val="none"/>
      <w:pStyle w:val="3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D51"/>
    <w:rsid w:val="00003587"/>
    <w:rsid w:val="00023A54"/>
    <w:rsid w:val="000242F7"/>
    <w:rsid w:val="00026306"/>
    <w:rsid w:val="000332EA"/>
    <w:rsid w:val="00035152"/>
    <w:rsid w:val="00046128"/>
    <w:rsid w:val="00062C1A"/>
    <w:rsid w:val="00072CE0"/>
    <w:rsid w:val="00077702"/>
    <w:rsid w:val="00084E9F"/>
    <w:rsid w:val="00093B84"/>
    <w:rsid w:val="000952AE"/>
    <w:rsid w:val="000A58A5"/>
    <w:rsid w:val="000A6A28"/>
    <w:rsid w:val="000B31D1"/>
    <w:rsid w:val="000C1526"/>
    <w:rsid w:val="000D4BEC"/>
    <w:rsid w:val="000D6440"/>
    <w:rsid w:val="000D7E64"/>
    <w:rsid w:val="000F3DDD"/>
    <w:rsid w:val="00100ECC"/>
    <w:rsid w:val="00104FAB"/>
    <w:rsid w:val="00116D51"/>
    <w:rsid w:val="001204B3"/>
    <w:rsid w:val="0014630E"/>
    <w:rsid w:val="001513BF"/>
    <w:rsid w:val="00154ACF"/>
    <w:rsid w:val="00156E77"/>
    <w:rsid w:val="00157076"/>
    <w:rsid w:val="0018441D"/>
    <w:rsid w:val="00184F8A"/>
    <w:rsid w:val="00193572"/>
    <w:rsid w:val="001D266E"/>
    <w:rsid w:val="001D6D31"/>
    <w:rsid w:val="001F14AC"/>
    <w:rsid w:val="001F26BE"/>
    <w:rsid w:val="001F5616"/>
    <w:rsid w:val="001F683F"/>
    <w:rsid w:val="001F75F9"/>
    <w:rsid w:val="00201AD7"/>
    <w:rsid w:val="00204E36"/>
    <w:rsid w:val="00205E29"/>
    <w:rsid w:val="0021773C"/>
    <w:rsid w:val="00226C67"/>
    <w:rsid w:val="00231AAE"/>
    <w:rsid w:val="002367C5"/>
    <w:rsid w:val="00247606"/>
    <w:rsid w:val="00253C08"/>
    <w:rsid w:val="00267034"/>
    <w:rsid w:val="002777E9"/>
    <w:rsid w:val="00282B68"/>
    <w:rsid w:val="00283994"/>
    <w:rsid w:val="00283D91"/>
    <w:rsid w:val="00297372"/>
    <w:rsid w:val="002C68B3"/>
    <w:rsid w:val="002D2609"/>
    <w:rsid w:val="002E0E24"/>
    <w:rsid w:val="002F110A"/>
    <w:rsid w:val="00305A44"/>
    <w:rsid w:val="003131AF"/>
    <w:rsid w:val="00327ED2"/>
    <w:rsid w:val="003559B2"/>
    <w:rsid w:val="003560A2"/>
    <w:rsid w:val="0036343A"/>
    <w:rsid w:val="00366814"/>
    <w:rsid w:val="003708E4"/>
    <w:rsid w:val="00384F68"/>
    <w:rsid w:val="003851B3"/>
    <w:rsid w:val="00385EE6"/>
    <w:rsid w:val="003914A7"/>
    <w:rsid w:val="0039404F"/>
    <w:rsid w:val="0039486D"/>
    <w:rsid w:val="003974CB"/>
    <w:rsid w:val="003A5C68"/>
    <w:rsid w:val="003C22FE"/>
    <w:rsid w:val="003F3F6F"/>
    <w:rsid w:val="00403849"/>
    <w:rsid w:val="004152D3"/>
    <w:rsid w:val="00415D41"/>
    <w:rsid w:val="004251C7"/>
    <w:rsid w:val="00427BF9"/>
    <w:rsid w:val="0043354B"/>
    <w:rsid w:val="00437E62"/>
    <w:rsid w:val="004609EA"/>
    <w:rsid w:val="00463210"/>
    <w:rsid w:val="004638A8"/>
    <w:rsid w:val="00466DEC"/>
    <w:rsid w:val="004933BE"/>
    <w:rsid w:val="004A1019"/>
    <w:rsid w:val="004B0168"/>
    <w:rsid w:val="004B14D1"/>
    <w:rsid w:val="004B7B4B"/>
    <w:rsid w:val="004C0A6B"/>
    <w:rsid w:val="004C4759"/>
    <w:rsid w:val="004D4B4D"/>
    <w:rsid w:val="0050094B"/>
    <w:rsid w:val="00507801"/>
    <w:rsid w:val="005343F6"/>
    <w:rsid w:val="00536A6C"/>
    <w:rsid w:val="00543183"/>
    <w:rsid w:val="00546BDF"/>
    <w:rsid w:val="00557B0B"/>
    <w:rsid w:val="005664AA"/>
    <w:rsid w:val="0057447B"/>
    <w:rsid w:val="005919A9"/>
    <w:rsid w:val="0059398F"/>
    <w:rsid w:val="005942C9"/>
    <w:rsid w:val="005B4EAA"/>
    <w:rsid w:val="005B5C22"/>
    <w:rsid w:val="005B5CF4"/>
    <w:rsid w:val="005C1044"/>
    <w:rsid w:val="005C25F3"/>
    <w:rsid w:val="005C6C9B"/>
    <w:rsid w:val="005D1682"/>
    <w:rsid w:val="005E0408"/>
    <w:rsid w:val="005E6770"/>
    <w:rsid w:val="005F01FC"/>
    <w:rsid w:val="005F0EC4"/>
    <w:rsid w:val="005F2B78"/>
    <w:rsid w:val="005F31E3"/>
    <w:rsid w:val="00601381"/>
    <w:rsid w:val="006035EF"/>
    <w:rsid w:val="00617F4E"/>
    <w:rsid w:val="00623D2F"/>
    <w:rsid w:val="00626F81"/>
    <w:rsid w:val="00632940"/>
    <w:rsid w:val="00640DE4"/>
    <w:rsid w:val="00641FB1"/>
    <w:rsid w:val="00645127"/>
    <w:rsid w:val="006519DE"/>
    <w:rsid w:val="00652CAF"/>
    <w:rsid w:val="00657EDB"/>
    <w:rsid w:val="006618A8"/>
    <w:rsid w:val="006619EA"/>
    <w:rsid w:val="00667945"/>
    <w:rsid w:val="00671AD3"/>
    <w:rsid w:val="00680CEF"/>
    <w:rsid w:val="0068364A"/>
    <w:rsid w:val="00691AE1"/>
    <w:rsid w:val="0069446C"/>
    <w:rsid w:val="00694EAB"/>
    <w:rsid w:val="006B02E2"/>
    <w:rsid w:val="006B0BC4"/>
    <w:rsid w:val="006B7DF7"/>
    <w:rsid w:val="006C2DEB"/>
    <w:rsid w:val="006C3723"/>
    <w:rsid w:val="006D08C1"/>
    <w:rsid w:val="006E142C"/>
    <w:rsid w:val="007142FB"/>
    <w:rsid w:val="00735B0E"/>
    <w:rsid w:val="00745517"/>
    <w:rsid w:val="007653C1"/>
    <w:rsid w:val="00771101"/>
    <w:rsid w:val="00777DA8"/>
    <w:rsid w:val="007806D7"/>
    <w:rsid w:val="00790262"/>
    <w:rsid w:val="007907BF"/>
    <w:rsid w:val="00791969"/>
    <w:rsid w:val="007A60AC"/>
    <w:rsid w:val="007B2D93"/>
    <w:rsid w:val="007C5BE2"/>
    <w:rsid w:val="007C74B4"/>
    <w:rsid w:val="007E1FAB"/>
    <w:rsid w:val="007E57A2"/>
    <w:rsid w:val="007E602F"/>
    <w:rsid w:val="007F0EA1"/>
    <w:rsid w:val="0080236C"/>
    <w:rsid w:val="0080739F"/>
    <w:rsid w:val="00812D15"/>
    <w:rsid w:val="00820367"/>
    <w:rsid w:val="00823C05"/>
    <w:rsid w:val="00825331"/>
    <w:rsid w:val="008270E5"/>
    <w:rsid w:val="00831A9B"/>
    <w:rsid w:val="008404CD"/>
    <w:rsid w:val="00845582"/>
    <w:rsid w:val="00847A8F"/>
    <w:rsid w:val="008520B3"/>
    <w:rsid w:val="00853298"/>
    <w:rsid w:val="0085422E"/>
    <w:rsid w:val="008553DA"/>
    <w:rsid w:val="008717E8"/>
    <w:rsid w:val="00885988"/>
    <w:rsid w:val="008872B7"/>
    <w:rsid w:val="0089442E"/>
    <w:rsid w:val="00897A71"/>
    <w:rsid w:val="008A5FBD"/>
    <w:rsid w:val="008B0A86"/>
    <w:rsid w:val="008B5A26"/>
    <w:rsid w:val="008B6384"/>
    <w:rsid w:val="008C2B6F"/>
    <w:rsid w:val="008C6E62"/>
    <w:rsid w:val="008E590B"/>
    <w:rsid w:val="008E79EC"/>
    <w:rsid w:val="008F1BA4"/>
    <w:rsid w:val="008F273E"/>
    <w:rsid w:val="008F7007"/>
    <w:rsid w:val="00902401"/>
    <w:rsid w:val="00913C58"/>
    <w:rsid w:val="00916090"/>
    <w:rsid w:val="009238C7"/>
    <w:rsid w:val="00924C47"/>
    <w:rsid w:val="00932982"/>
    <w:rsid w:val="0093795A"/>
    <w:rsid w:val="0094047A"/>
    <w:rsid w:val="009458B3"/>
    <w:rsid w:val="00950726"/>
    <w:rsid w:val="00954986"/>
    <w:rsid w:val="0095555B"/>
    <w:rsid w:val="0096224F"/>
    <w:rsid w:val="00966BBB"/>
    <w:rsid w:val="00993C26"/>
    <w:rsid w:val="00995891"/>
    <w:rsid w:val="009A1AF4"/>
    <w:rsid w:val="009A29B2"/>
    <w:rsid w:val="009A4BDE"/>
    <w:rsid w:val="009B2BE9"/>
    <w:rsid w:val="009C616B"/>
    <w:rsid w:val="009C6500"/>
    <w:rsid w:val="009C7126"/>
    <w:rsid w:val="009E7F05"/>
    <w:rsid w:val="009F65FE"/>
    <w:rsid w:val="00A152D4"/>
    <w:rsid w:val="00A156CF"/>
    <w:rsid w:val="00A30427"/>
    <w:rsid w:val="00A30838"/>
    <w:rsid w:val="00A46E31"/>
    <w:rsid w:val="00A623DF"/>
    <w:rsid w:val="00A67762"/>
    <w:rsid w:val="00A70E4A"/>
    <w:rsid w:val="00AA3342"/>
    <w:rsid w:val="00AB4109"/>
    <w:rsid w:val="00AB4665"/>
    <w:rsid w:val="00AE2672"/>
    <w:rsid w:val="00AE7263"/>
    <w:rsid w:val="00B16382"/>
    <w:rsid w:val="00B21BE4"/>
    <w:rsid w:val="00B24824"/>
    <w:rsid w:val="00B25670"/>
    <w:rsid w:val="00B27BF6"/>
    <w:rsid w:val="00B37C21"/>
    <w:rsid w:val="00B40A5E"/>
    <w:rsid w:val="00B448FA"/>
    <w:rsid w:val="00B47AC3"/>
    <w:rsid w:val="00B63403"/>
    <w:rsid w:val="00B638AB"/>
    <w:rsid w:val="00B66DE0"/>
    <w:rsid w:val="00B93037"/>
    <w:rsid w:val="00B93E38"/>
    <w:rsid w:val="00B94B99"/>
    <w:rsid w:val="00BA291A"/>
    <w:rsid w:val="00BA4CDE"/>
    <w:rsid w:val="00BA6720"/>
    <w:rsid w:val="00BB27D7"/>
    <w:rsid w:val="00BB4092"/>
    <w:rsid w:val="00BC7694"/>
    <w:rsid w:val="00BE57EA"/>
    <w:rsid w:val="00BF41D3"/>
    <w:rsid w:val="00C04DB2"/>
    <w:rsid w:val="00C05E9B"/>
    <w:rsid w:val="00C728CF"/>
    <w:rsid w:val="00C827F9"/>
    <w:rsid w:val="00CA2D26"/>
    <w:rsid w:val="00CA4BC1"/>
    <w:rsid w:val="00CC3643"/>
    <w:rsid w:val="00CD27BE"/>
    <w:rsid w:val="00CD70D0"/>
    <w:rsid w:val="00CE07F4"/>
    <w:rsid w:val="00CF6BCD"/>
    <w:rsid w:val="00D0026A"/>
    <w:rsid w:val="00D02509"/>
    <w:rsid w:val="00D03CE2"/>
    <w:rsid w:val="00D15F77"/>
    <w:rsid w:val="00D33993"/>
    <w:rsid w:val="00D41210"/>
    <w:rsid w:val="00D55C3B"/>
    <w:rsid w:val="00D62CC6"/>
    <w:rsid w:val="00D7379E"/>
    <w:rsid w:val="00D73A4A"/>
    <w:rsid w:val="00D87364"/>
    <w:rsid w:val="00D87D5F"/>
    <w:rsid w:val="00D918A6"/>
    <w:rsid w:val="00D95692"/>
    <w:rsid w:val="00DA2E3B"/>
    <w:rsid w:val="00DC14DB"/>
    <w:rsid w:val="00DC2D3C"/>
    <w:rsid w:val="00DC7E26"/>
    <w:rsid w:val="00DD5766"/>
    <w:rsid w:val="00DD5D3E"/>
    <w:rsid w:val="00DE1E74"/>
    <w:rsid w:val="00DE5729"/>
    <w:rsid w:val="00DE67F9"/>
    <w:rsid w:val="00DE7CB9"/>
    <w:rsid w:val="00DF310F"/>
    <w:rsid w:val="00DF4734"/>
    <w:rsid w:val="00E20444"/>
    <w:rsid w:val="00E268EF"/>
    <w:rsid w:val="00E33576"/>
    <w:rsid w:val="00E462B3"/>
    <w:rsid w:val="00E61D5B"/>
    <w:rsid w:val="00E77AD1"/>
    <w:rsid w:val="00E82614"/>
    <w:rsid w:val="00E95373"/>
    <w:rsid w:val="00E954B9"/>
    <w:rsid w:val="00E95E37"/>
    <w:rsid w:val="00EA5948"/>
    <w:rsid w:val="00ED4C24"/>
    <w:rsid w:val="00ED78D0"/>
    <w:rsid w:val="00EF6068"/>
    <w:rsid w:val="00F0281E"/>
    <w:rsid w:val="00F0759A"/>
    <w:rsid w:val="00F100E3"/>
    <w:rsid w:val="00F23CD7"/>
    <w:rsid w:val="00F37BBC"/>
    <w:rsid w:val="00F6124F"/>
    <w:rsid w:val="00F6228B"/>
    <w:rsid w:val="00F90851"/>
    <w:rsid w:val="00F96DAB"/>
    <w:rsid w:val="00FA007E"/>
    <w:rsid w:val="00FD204E"/>
    <w:rsid w:val="00FE4830"/>
    <w:rsid w:val="FAFA5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7"/>
    <w:qFormat/>
    <w:uiPriority w:val="99"/>
    <w:pPr>
      <w:autoSpaceDE w:val="0"/>
      <w:autoSpaceDN w:val="0"/>
      <w:adjustRightInd w:val="0"/>
      <w:jc w:val="left"/>
    </w:pPr>
    <w:rPr>
      <w:rFonts w:ascii="宋体" w:cs="宋体"/>
      <w:sz w:val="22"/>
    </w:r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ascii="宋体" w:hAnsi="Times New Roman" w:eastAsia="宋体"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1"/>
    <w:pPr>
      <w:ind w:firstLine="420" w:firstLineChars="200"/>
    </w:pPr>
  </w:style>
  <w:style w:type="character" w:customStyle="1" w:styleId="15">
    <w:name w:val="批注框文本 Char"/>
    <w:basedOn w:val="9"/>
    <w:link w:val="3"/>
    <w:semiHidden/>
    <w:qFormat/>
    <w:uiPriority w:val="99"/>
    <w:rPr>
      <w:sz w:val="18"/>
      <w:szCs w:val="18"/>
    </w:rPr>
  </w:style>
  <w:style w:type="paragraph" w:customStyle="1" w:styleId="16">
    <w:name w:val="段"/>
    <w:link w:val="1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7">
    <w:name w:val="段 Char"/>
    <w:link w:val="16"/>
    <w:qFormat/>
    <w:uiPriority w:val="0"/>
    <w:rPr>
      <w:rFonts w:ascii="宋体" w:hAnsi="Times New Roman" w:eastAsia="宋体" w:cs="Times New Roman"/>
      <w:kern w:val="0"/>
      <w:szCs w:val="20"/>
    </w:rPr>
  </w:style>
  <w:style w:type="paragraph" w:customStyle="1" w:styleId="18">
    <w:name w:val="附录标识"/>
    <w:basedOn w:val="1"/>
    <w:next w:val="16"/>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19">
    <w:name w:val="附录二级条标题"/>
    <w:basedOn w:val="1"/>
    <w:next w:val="16"/>
    <w:qFormat/>
    <w:uiPriority w:val="0"/>
    <w:pPr>
      <w:widowControl/>
      <w:numPr>
        <w:ilvl w:val="3"/>
        <w:numId w:val="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20">
    <w:name w:val="附录三级条标题"/>
    <w:basedOn w:val="19"/>
    <w:next w:val="16"/>
    <w:qFormat/>
    <w:uiPriority w:val="0"/>
    <w:pPr>
      <w:numPr>
        <w:ilvl w:val="4"/>
      </w:numPr>
      <w:outlineLvl w:val="4"/>
    </w:pPr>
  </w:style>
  <w:style w:type="paragraph" w:customStyle="1" w:styleId="21">
    <w:name w:val="附录四级条标题"/>
    <w:basedOn w:val="20"/>
    <w:next w:val="16"/>
    <w:qFormat/>
    <w:uiPriority w:val="0"/>
    <w:pPr>
      <w:numPr>
        <w:ilvl w:val="5"/>
      </w:numPr>
      <w:outlineLvl w:val="5"/>
    </w:pPr>
  </w:style>
  <w:style w:type="paragraph" w:customStyle="1" w:styleId="22">
    <w:name w:val="附录五级条标题"/>
    <w:basedOn w:val="21"/>
    <w:next w:val="16"/>
    <w:qFormat/>
    <w:uiPriority w:val="0"/>
    <w:pPr>
      <w:numPr>
        <w:ilvl w:val="6"/>
      </w:numPr>
      <w:outlineLvl w:val="6"/>
    </w:pPr>
  </w:style>
  <w:style w:type="paragraph" w:customStyle="1" w:styleId="23">
    <w:name w:val="附录章标题"/>
    <w:next w:val="16"/>
    <w:qFormat/>
    <w:uiPriority w:val="0"/>
    <w:pPr>
      <w:numPr>
        <w:ilvl w:val="1"/>
        <w:numId w:val="1"/>
      </w:numPr>
      <w:tabs>
        <w:tab w:val="left" w:pos="360"/>
      </w:tabs>
      <w:wordWrap w:val="0"/>
      <w:overflowPunct w:val="0"/>
      <w:autoSpaceDE w:val="0"/>
      <w:spacing w:beforeLines="100" w:afterLines="100"/>
      <w:ind w:left="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24">
    <w:name w:val="附录一级条标题"/>
    <w:basedOn w:val="23"/>
    <w:next w:val="16"/>
    <w:qFormat/>
    <w:uiPriority w:val="0"/>
    <w:pPr>
      <w:numPr>
        <w:ilvl w:val="2"/>
      </w:numPr>
      <w:autoSpaceDN w:val="0"/>
      <w:spacing w:beforeLines="50" w:afterLines="50"/>
      <w:outlineLvl w:val="2"/>
    </w:pPr>
  </w:style>
  <w:style w:type="paragraph" w:customStyle="1" w:styleId="25">
    <w:name w:val="一级条标题"/>
    <w:next w:val="1"/>
    <w:qFormat/>
    <w:uiPriority w:val="0"/>
    <w:pPr>
      <w:numPr>
        <w:ilvl w:val="1"/>
        <w:numId w:val="2"/>
      </w:numPr>
      <w:spacing w:beforeLines="50" w:afterLines="50"/>
      <w:outlineLvl w:val="2"/>
    </w:pPr>
    <w:rPr>
      <w:rFonts w:ascii="黑体" w:hAnsi="Times New Roman" w:eastAsia="黑体" w:cs="Times New Roman"/>
      <w:kern w:val="0"/>
      <w:sz w:val="21"/>
      <w:szCs w:val="21"/>
      <w:shd w:val="clear" w:color="auto" w:fill="FFFFFF"/>
      <w:lang w:val="en-US" w:eastAsia="zh-CN" w:bidi="ar-SA"/>
    </w:rPr>
  </w:style>
  <w:style w:type="paragraph" w:customStyle="1" w:styleId="26">
    <w:name w:val="章标题"/>
    <w:next w:val="1"/>
    <w:qFormat/>
    <w:uiPriority w:val="0"/>
    <w:pPr>
      <w:numPr>
        <w:ilvl w:val="0"/>
        <w:numId w:val="2"/>
      </w:numPr>
      <w:spacing w:beforeLines="100" w:afterLines="100"/>
      <w:jc w:val="both"/>
      <w:outlineLvl w:val="1"/>
    </w:pPr>
    <w:rPr>
      <w:rFonts w:ascii="黑体" w:hAnsi="Times New Roman" w:eastAsia="黑体" w:cs="Times New Roman"/>
      <w:kern w:val="0"/>
      <w:sz w:val="21"/>
      <w:szCs w:val="20"/>
      <w:shd w:val="clear" w:color="auto" w:fill="FFFFFF"/>
      <w:lang w:val="en-US" w:eastAsia="zh-CN" w:bidi="ar-SA"/>
    </w:rPr>
  </w:style>
  <w:style w:type="paragraph" w:customStyle="1" w:styleId="27">
    <w:name w:val="二级条标题"/>
    <w:basedOn w:val="25"/>
    <w:next w:val="1"/>
    <w:qFormat/>
    <w:uiPriority w:val="0"/>
    <w:pPr>
      <w:numPr>
        <w:ilvl w:val="2"/>
      </w:numPr>
      <w:ind w:left="0"/>
      <w:outlineLvl w:val="3"/>
    </w:pPr>
  </w:style>
  <w:style w:type="paragraph" w:customStyle="1" w:styleId="28">
    <w:name w:val="三级条标题"/>
    <w:basedOn w:val="27"/>
    <w:next w:val="1"/>
    <w:qFormat/>
    <w:uiPriority w:val="0"/>
    <w:pPr>
      <w:numPr>
        <w:ilvl w:val="3"/>
      </w:numPr>
      <w:outlineLvl w:val="4"/>
    </w:pPr>
    <w:rPr>
      <w:rFonts w:asciiTheme="minorEastAsia" w:hAnsiTheme="minorEastAsia"/>
    </w:rPr>
  </w:style>
  <w:style w:type="paragraph" w:customStyle="1" w:styleId="29">
    <w:name w:val="四级条标题"/>
    <w:basedOn w:val="28"/>
    <w:next w:val="1"/>
    <w:qFormat/>
    <w:uiPriority w:val="0"/>
    <w:pPr>
      <w:numPr>
        <w:ilvl w:val="4"/>
      </w:numPr>
      <w:outlineLvl w:val="5"/>
    </w:pPr>
  </w:style>
  <w:style w:type="paragraph" w:customStyle="1" w:styleId="30">
    <w:name w:val="五级条标题"/>
    <w:basedOn w:val="29"/>
    <w:next w:val="1"/>
    <w:qFormat/>
    <w:uiPriority w:val="0"/>
    <w:pPr>
      <w:numPr>
        <w:ilvl w:val="5"/>
      </w:numPr>
      <w:spacing w:before="50" w:after="50"/>
      <w:outlineLvl w:val="6"/>
    </w:pPr>
  </w:style>
  <w:style w:type="paragraph" w:customStyle="1" w:styleId="31">
    <w:name w:val="一级无标题条"/>
    <w:basedOn w:val="25"/>
    <w:link w:val="44"/>
    <w:qFormat/>
    <w:uiPriority w:val="0"/>
    <w:pPr>
      <w:spacing w:beforeLines="0" w:afterLines="0"/>
    </w:pPr>
    <w:rPr>
      <w:rFonts w:asciiTheme="majorEastAsia" w:hAnsiTheme="majorEastAsia" w:eastAsiaTheme="majorEastAsia"/>
    </w:rPr>
  </w:style>
  <w:style w:type="paragraph" w:customStyle="1" w:styleId="32">
    <w:name w:val="数字编号列项（二级）"/>
    <w:qFormat/>
    <w:uiPriority w:val="0"/>
    <w:pPr>
      <w:numPr>
        <w:ilvl w:val="1"/>
        <w:numId w:val="3"/>
      </w:numPr>
      <w:jc w:val="both"/>
    </w:pPr>
    <w:rPr>
      <w:rFonts w:ascii="宋体" w:hAnsi="Times New Roman" w:eastAsia="宋体" w:cs="Times New Roman"/>
      <w:kern w:val="0"/>
      <w:sz w:val="21"/>
      <w:szCs w:val="20"/>
      <w:lang w:val="en-US" w:eastAsia="zh-CN" w:bidi="ar-SA"/>
    </w:rPr>
  </w:style>
  <w:style w:type="paragraph" w:customStyle="1" w:styleId="33">
    <w:name w:val="注："/>
    <w:next w:val="16"/>
    <w:qFormat/>
    <w:uiPriority w:val="0"/>
    <w:pPr>
      <w:widowControl w:val="0"/>
      <w:numPr>
        <w:ilvl w:val="0"/>
        <w:numId w:val="4"/>
      </w:numPr>
      <w:autoSpaceDE w:val="0"/>
      <w:autoSpaceDN w:val="0"/>
      <w:jc w:val="both"/>
    </w:pPr>
    <w:rPr>
      <w:rFonts w:ascii="宋体" w:hAnsi="Times New Roman" w:eastAsia="宋体" w:cs="Times New Roman"/>
      <w:kern w:val="0"/>
      <w:sz w:val="18"/>
      <w:szCs w:val="18"/>
      <w:lang w:val="en-US" w:eastAsia="zh-CN" w:bidi="ar-SA"/>
    </w:rPr>
  </w:style>
  <w:style w:type="paragraph" w:customStyle="1" w:styleId="34">
    <w:name w:val="字母编号列项（一级）"/>
    <w:qFormat/>
    <w:uiPriority w:val="0"/>
    <w:pPr>
      <w:numPr>
        <w:ilvl w:val="0"/>
        <w:numId w:val="3"/>
      </w:numPr>
      <w:jc w:val="both"/>
    </w:pPr>
    <w:rPr>
      <w:rFonts w:ascii="宋体" w:hAnsi="Times New Roman" w:eastAsia="宋体" w:cs="Times New Roman"/>
      <w:kern w:val="0"/>
      <w:sz w:val="21"/>
      <w:szCs w:val="20"/>
      <w:lang w:val="en-US" w:eastAsia="zh-CN" w:bidi="ar-SA"/>
    </w:rPr>
  </w:style>
  <w:style w:type="paragraph" w:customStyle="1" w:styleId="35">
    <w:name w:val="二级无标题条"/>
    <w:basedOn w:val="27"/>
    <w:qFormat/>
    <w:uiPriority w:val="0"/>
    <w:pPr>
      <w:numPr>
        <w:numId w:val="5"/>
      </w:numPr>
      <w:tabs>
        <w:tab w:val="left" w:pos="2160"/>
      </w:tabs>
      <w:spacing w:beforeLines="0" w:afterLines="0"/>
      <w:ind w:left="0"/>
    </w:pPr>
    <w:rPr>
      <w:rFonts w:asciiTheme="minorEastAsia" w:hAnsiTheme="minorEastAsia" w:eastAsiaTheme="minorEastAsia"/>
    </w:rPr>
  </w:style>
  <w:style w:type="paragraph" w:customStyle="1" w:styleId="36">
    <w:name w:val="二级无"/>
    <w:basedOn w:val="27"/>
    <w:qFormat/>
    <w:uiPriority w:val="0"/>
    <w:pPr>
      <w:numPr>
        <w:ilvl w:val="0"/>
        <w:numId w:val="0"/>
      </w:numPr>
      <w:spacing w:beforeLines="0" w:afterLines="0" w:line="240" w:lineRule="exact"/>
    </w:pPr>
    <w:rPr>
      <w:rFonts w:asciiTheme="minorEastAsia" w:hAnsiTheme="minorEastAsia" w:eastAsiaTheme="minorEastAsia"/>
      <w:sz w:val="18"/>
      <w:szCs w:val="18"/>
    </w:rPr>
  </w:style>
  <w:style w:type="character" w:customStyle="1" w:styleId="37">
    <w:name w:val="正文文本 Char"/>
    <w:basedOn w:val="9"/>
    <w:link w:val="2"/>
    <w:qFormat/>
    <w:locked/>
    <w:uiPriority w:val="99"/>
    <w:rPr>
      <w:rFonts w:ascii="宋体" w:cs="宋体"/>
      <w:sz w:val="22"/>
    </w:rPr>
  </w:style>
  <w:style w:type="character" w:customStyle="1" w:styleId="38">
    <w:name w:val="正文文本 Char1"/>
    <w:basedOn w:val="9"/>
    <w:semiHidden/>
    <w:qFormat/>
    <w:uiPriority w:val="99"/>
  </w:style>
  <w:style w:type="paragraph" w:customStyle="1" w:styleId="39">
    <w:name w:val="示例×："/>
    <w:basedOn w:val="26"/>
    <w:qFormat/>
    <w:uiPriority w:val="0"/>
    <w:pPr>
      <w:numPr>
        <w:numId w:val="0"/>
      </w:numPr>
      <w:spacing w:beforeLines="0" w:afterLines="0"/>
      <w:ind w:firstLine="363"/>
      <w:jc w:val="left"/>
      <w:outlineLvl w:val="9"/>
    </w:pPr>
    <w:rPr>
      <w:rFonts w:ascii="宋体" w:eastAsia="宋体"/>
      <w:sz w:val="18"/>
      <w:szCs w:val="18"/>
      <w:shd w:val="clear" w:color="auto" w:fill="auto"/>
    </w:rPr>
  </w:style>
  <w:style w:type="paragraph" w:customStyle="1" w:styleId="40">
    <w:name w:val="五级无标题条"/>
    <w:basedOn w:val="30"/>
    <w:qFormat/>
    <w:uiPriority w:val="0"/>
    <w:pPr>
      <w:numPr>
        <w:ilvl w:val="0"/>
        <w:numId w:val="0"/>
      </w:numPr>
      <w:spacing w:beforeLines="0" w:afterLines="0"/>
    </w:pPr>
    <w:rPr>
      <w:rFonts w:ascii="宋体" w:hAnsi="宋体" w:eastAsia="宋体"/>
      <w:sz w:val="22"/>
      <w:szCs w:val="22"/>
      <w:shd w:val="clear" w:color="auto" w:fill="auto"/>
    </w:rPr>
  </w:style>
  <w:style w:type="paragraph" w:customStyle="1" w:styleId="41">
    <w:name w:val="注：（正文）"/>
    <w:basedOn w:val="33"/>
    <w:next w:val="16"/>
    <w:qFormat/>
    <w:uiPriority w:val="0"/>
    <w:pPr>
      <w:numPr>
        <w:numId w:val="0"/>
      </w:numPr>
      <w:ind w:left="789" w:hanging="363"/>
    </w:pPr>
  </w:style>
  <w:style w:type="paragraph" w:customStyle="1" w:styleId="42">
    <w:name w:val="标准标志"/>
    <w:next w:val="1"/>
    <w:qFormat/>
    <w:uiPriority w:val="0"/>
    <w:pPr>
      <w:framePr w:w="2546" w:h="1389" w:hRule="exact" w:hSpace="181" w:vSpace="181" w:wrap="around" w:vAnchor="margin" w:hAnchor="margin" w:x="6522" w:y="398" w:anchorLock="1"/>
      <w:numPr>
        <w:ilvl w:val="0"/>
        <w:numId w:val="6"/>
      </w:numPr>
      <w:shd w:val="solid" w:color="FFFFFF" w:fill="FFFFFF"/>
      <w:spacing w:line="240" w:lineRule="atLeast"/>
      <w:ind w:left="0" w:firstLine="0"/>
      <w:jc w:val="right"/>
    </w:pPr>
    <w:rPr>
      <w:rFonts w:ascii="Times New Roman" w:hAnsi="Times New Roman" w:eastAsia="宋体" w:cs="Times New Roman"/>
      <w:b/>
      <w:w w:val="170"/>
      <w:kern w:val="0"/>
      <w:sz w:val="96"/>
      <w:szCs w:val="96"/>
      <w:lang w:val="en-US" w:eastAsia="zh-CN" w:bidi="ar-SA"/>
    </w:rPr>
  </w:style>
  <w:style w:type="paragraph" w:customStyle="1" w:styleId="4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48"/>
      <w:szCs w:val="20"/>
      <w:lang w:val="en-US" w:eastAsia="zh-CN" w:bidi="ar-SA"/>
    </w:rPr>
  </w:style>
  <w:style w:type="character" w:customStyle="1" w:styleId="44">
    <w:name w:val="一级无标题条 Char"/>
    <w:link w:val="31"/>
    <w:qFormat/>
    <w:locked/>
    <w:uiPriority w:val="0"/>
    <w:rPr>
      <w:rFonts w:cs="Times New Roman" w:asciiTheme="majorEastAsia" w:hAnsiTheme="majorEastAsia" w:eastAsiaTheme="majorEastAsia"/>
      <w:kern w:val="0"/>
      <w:szCs w:val="21"/>
    </w:rPr>
  </w:style>
  <w:style w:type="paragraph" w:customStyle="1" w:styleId="45">
    <w:name w:val="列出段落1"/>
    <w:basedOn w:val="1"/>
    <w:qFormat/>
    <w:uiPriority w:val="0"/>
    <w:pPr>
      <w:autoSpaceDE w:val="0"/>
      <w:autoSpaceDN w:val="0"/>
      <w:adjustRightInd w:val="0"/>
      <w:ind w:left="1053" w:hanging="420"/>
      <w:jc w:val="left"/>
    </w:pPr>
    <w:rPr>
      <w:rFonts w:ascii="宋体" w:hAnsi="Times New Roman" w:eastAsia="宋体" w:cs="宋体"/>
      <w:kern w:val="0"/>
      <w:sz w:val="24"/>
      <w:szCs w:val="24"/>
    </w:rPr>
  </w:style>
  <w:style w:type="paragraph" w:customStyle="1" w:styleId="46">
    <w:name w:val="一级无"/>
    <w:basedOn w:val="25"/>
    <w:qFormat/>
    <w:uiPriority w:val="0"/>
    <w:pPr>
      <w:numPr>
        <w:ilvl w:val="0"/>
        <w:numId w:val="0"/>
      </w:numPr>
      <w:spacing w:beforeLines="0" w:afterLines="0"/>
      <w:ind w:firstLine="90" w:firstLineChars="50"/>
    </w:pPr>
    <w:rPr>
      <w:rFonts w:ascii="宋体" w:hAns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912</Words>
  <Characters>5200</Characters>
  <Lines>43</Lines>
  <Paragraphs>12</Paragraphs>
  <TotalTime>2</TotalTime>
  <ScaleCrop>false</ScaleCrop>
  <LinksUpToDate>false</LinksUpToDate>
  <CharactersWithSpaces>6100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2019-03-28T15:52:00Z</dcterms:created>
  <dc:creator>刘金合</dc:creator>
  <cp:lastModifiedBy>uos</cp:lastModifiedBy>
  <cp:lastPrinted>2019-03-26T14:08:00Z</cp:lastPrinted>
  <dcterms:modified xsi:type="dcterms:W3CDTF">2023-09-25T17:13:41Z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