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rPr>
          <w:rFonts w:ascii="Times New Roman"/>
        </w:rPr>
      </w:pPr>
      <w:r>
        <w:rPr>
          <w:rFonts w:hint="eastAsia" w:ascii="Times New Roman"/>
        </w:rPr>
        <w:t>前</w:t>
      </w:r>
      <w:bookmarkStart w:id="0" w:name="BKQY"/>
      <w:r>
        <w:rPr>
          <w:rFonts w:ascii="Times New Roman"/>
        </w:rPr>
        <w:t>  </w:t>
      </w:r>
      <w:r>
        <w:rPr>
          <w:rFonts w:hint="eastAsia" w:ascii="Times New Roman"/>
        </w:rPr>
        <w:t>言</w:t>
      </w:r>
      <w:bookmarkEnd w:id="0"/>
    </w:p>
    <w:p>
      <w:pPr>
        <w:pStyle w:val="6"/>
        <w:rPr>
          <w:rFonts w:ascii="Times New Roman"/>
        </w:rPr>
      </w:pPr>
      <w:r>
        <w:rPr>
          <w:rFonts w:hint="eastAsia" w:ascii="Times New Roman"/>
        </w:rPr>
        <w:t>本文件</w:t>
      </w:r>
      <w:r>
        <w:rPr>
          <w:rFonts w:hint="eastAsia" w:ascii="Times New Roman"/>
          <w:szCs w:val="21"/>
        </w:rPr>
        <w:t>按照</w:t>
      </w:r>
      <w:r>
        <w:rPr>
          <w:rFonts w:ascii="Times New Roman"/>
          <w:szCs w:val="21"/>
        </w:rPr>
        <w:t>GB/T 1.1-2020</w:t>
      </w:r>
      <w:r>
        <w:rPr>
          <w:rFonts w:hint="eastAsia" w:ascii="Times New Roman"/>
          <w:szCs w:val="21"/>
        </w:rPr>
        <w:t>《标准化工作导则第</w:t>
      </w:r>
      <w:r>
        <w:rPr>
          <w:rFonts w:ascii="Times New Roman"/>
          <w:szCs w:val="21"/>
        </w:rPr>
        <w:t>1</w:t>
      </w:r>
      <w:r>
        <w:rPr>
          <w:rFonts w:hint="eastAsia" w:ascii="Times New Roman"/>
          <w:szCs w:val="21"/>
        </w:rPr>
        <w:t>部分：标准化文件的结构和起草规则》的规定起草。</w:t>
      </w:r>
    </w:p>
    <w:p>
      <w:pPr>
        <w:pStyle w:val="6"/>
        <w:rPr>
          <w:rFonts w:ascii="Times New Roman"/>
        </w:rPr>
      </w:pPr>
      <w:r>
        <w:rPr>
          <w:rFonts w:hint="eastAsia" w:ascii="Times New Roman"/>
        </w:rPr>
        <w:t>本文件由</w:t>
      </w:r>
      <w:r>
        <w:rPr>
          <w:rFonts w:hint="eastAsia" w:ascii="Times New Roman"/>
          <w:lang w:eastAsia="zh-CN"/>
        </w:rPr>
        <w:t>河北省农业农村厅</w:t>
      </w:r>
      <w:r>
        <w:rPr>
          <w:rFonts w:hint="eastAsia" w:ascii="Times New Roman"/>
        </w:rPr>
        <w:t>提出。</w:t>
      </w:r>
    </w:p>
    <w:p>
      <w:pPr>
        <w:pStyle w:val="6"/>
        <w:rPr>
          <w:rFonts w:ascii="Times New Roman"/>
        </w:rPr>
      </w:pPr>
      <w:r>
        <w:rPr>
          <w:rFonts w:hint="eastAsia" w:ascii="Times New Roman"/>
        </w:rPr>
        <w:t>本文件</w:t>
      </w:r>
      <w:r>
        <w:rPr>
          <w:rFonts w:hint="eastAsia" w:ascii="Times New Roman"/>
          <w:lang w:val="en-US" w:eastAsia="zh-CN"/>
        </w:rPr>
        <w:t>起草单位：</w:t>
      </w:r>
      <w:r>
        <w:rPr>
          <w:rFonts w:hint="eastAsia" w:ascii="Times New Roman"/>
        </w:rPr>
        <w:t>沧州市农林科学院。</w:t>
      </w:r>
    </w:p>
    <w:p>
      <w:pPr>
        <w:pStyle w:val="6"/>
        <w:rPr>
          <w:rFonts w:hint="default" w:ascii="Times New Roman" w:eastAsia="宋体"/>
          <w:lang w:val="en-US" w:eastAsia="zh-CN"/>
        </w:rPr>
      </w:pPr>
      <w:r>
        <w:rPr>
          <w:rFonts w:hint="eastAsia" w:ascii="Times New Roman"/>
        </w:rPr>
        <w:t>本文件主要起草人：阎旭东、刘青松、徐玉鹏、</w:t>
      </w:r>
      <w:r>
        <w:rPr>
          <w:rFonts w:hint="eastAsia" w:ascii="Times New Roman"/>
          <w:lang w:val="en-US" w:eastAsia="zh-CN"/>
        </w:rPr>
        <w:t>肖宇、蒋建勋、徐婧、曹培霞、陈雅琦、屈新月、</w:t>
      </w:r>
      <w:r>
        <w:rPr>
          <w:rFonts w:hint="eastAsia" w:ascii="Times New Roman"/>
        </w:rPr>
        <w:t>滕霄、卢相义</w:t>
      </w:r>
      <w:r>
        <w:rPr>
          <w:rFonts w:hint="eastAsia" w:ascii="Times New Roman"/>
          <w:lang w:val="en-US" w:eastAsia="zh-CN"/>
        </w:rPr>
        <w:t xml:space="preserve">、闫玉英。  </w:t>
      </w:r>
    </w:p>
    <w:p>
      <w:pPr>
        <w:pStyle w:val="6"/>
        <w:rPr>
          <w:rFonts w:ascii="Times New Roman"/>
        </w:rPr>
      </w:pPr>
    </w:p>
    <w:p>
      <w:pPr>
        <w:pStyle w:val="6"/>
        <w:rPr>
          <w:rFonts w:ascii="Times New Roman"/>
        </w:rPr>
      </w:pPr>
    </w:p>
    <w:p>
      <w:pPr>
        <w:pStyle w:val="6"/>
        <w:rPr>
          <w:rFonts w:ascii="Times New Roman"/>
        </w:rPr>
      </w:pPr>
    </w:p>
    <w:p>
      <w:pPr>
        <w:pStyle w:val="6"/>
        <w:rPr>
          <w:rFonts w:ascii="Times New Roman"/>
        </w:rPr>
      </w:pPr>
    </w:p>
    <w:p>
      <w:pPr>
        <w:pStyle w:val="7"/>
        <w:rPr>
          <w:rFonts w:hint="default" w:ascii="Times New Roman" w:eastAsia="黑体"/>
          <w:color w:val="000000"/>
          <w:lang w:val="en-US" w:eastAsia="zh-CN"/>
        </w:rPr>
      </w:pPr>
      <w:bookmarkStart w:id="1" w:name="StandardName"/>
      <w:r>
        <w:rPr>
          <w:rFonts w:hint="eastAsia" w:ascii="Times New Roman"/>
          <w:color w:val="000000"/>
          <w:lang w:eastAsia="zh-CN"/>
        </w:rPr>
        <w:t>一年两季饲用燕麦生产</w:t>
      </w:r>
      <w:r>
        <w:rPr>
          <w:rFonts w:hint="eastAsia" w:ascii="Times New Roman"/>
          <w:color w:val="000000"/>
        </w:rPr>
        <w:t>技术规程</w:t>
      </w:r>
      <w:bookmarkEnd w:id="1"/>
    </w:p>
    <w:p>
      <w:pPr>
        <w:pStyle w:val="8"/>
        <w:spacing w:before="312" w:after="312"/>
        <w:rPr>
          <w:rFonts w:ascii="Times New Roman"/>
        </w:rPr>
      </w:pPr>
      <w:r>
        <w:rPr>
          <w:rFonts w:hint="eastAsia" w:ascii="Times New Roman"/>
        </w:rPr>
        <w:t>范围</w:t>
      </w:r>
    </w:p>
    <w:p>
      <w:pPr>
        <w:pStyle w:val="6"/>
        <w:spacing w:line="360" w:lineRule="auto"/>
        <w:rPr>
          <w:rFonts w:ascii="Times New Roman"/>
        </w:rPr>
      </w:pPr>
      <w:r>
        <w:rPr>
          <w:rFonts w:hint="eastAsia" w:ascii="Times New Roman"/>
        </w:rPr>
        <w:t>本文件规定了春</w:t>
      </w:r>
      <w:r>
        <w:rPr>
          <w:rFonts w:hint="eastAsia" w:ascii="Times New Roman"/>
          <w:lang w:val="en-US" w:eastAsia="zh-CN"/>
        </w:rPr>
        <w:t>燕麦-夏绿肥-</w:t>
      </w:r>
      <w:r>
        <w:rPr>
          <w:rFonts w:hint="eastAsia" w:ascii="Times New Roman"/>
        </w:rPr>
        <w:t>秋燕麦</w:t>
      </w:r>
      <w:r>
        <w:rPr>
          <w:rFonts w:hint="eastAsia" w:ascii="Times New Roman"/>
          <w:lang w:val="en-US" w:eastAsia="zh-CN"/>
        </w:rPr>
        <w:t>周年高效饲草生产</w:t>
      </w:r>
      <w:r>
        <w:rPr>
          <w:rFonts w:hint="eastAsia" w:ascii="Times New Roman"/>
        </w:rPr>
        <w:t>的</w:t>
      </w:r>
      <w:r>
        <w:rPr>
          <w:rFonts w:hint="eastAsia" w:ascii="Times New Roman"/>
          <w:lang w:val="en-US" w:eastAsia="zh-CN"/>
        </w:rPr>
        <w:t>术语与定义、适宜环境条件</w:t>
      </w:r>
      <w:r>
        <w:rPr>
          <w:rFonts w:hint="eastAsia" w:ascii="Times New Roman"/>
        </w:rPr>
        <w:t>、播前准备、播种、播后管理及收获</w:t>
      </w:r>
      <w:r>
        <w:rPr>
          <w:rFonts w:hint="eastAsia" w:ascii="Times New Roman"/>
          <w:lang w:val="en-US" w:eastAsia="zh-CN"/>
        </w:rPr>
        <w:t>等</w:t>
      </w:r>
      <w:r>
        <w:rPr>
          <w:rFonts w:hint="eastAsia" w:ascii="Times New Roman"/>
        </w:rPr>
        <w:t>。</w:t>
      </w:r>
    </w:p>
    <w:p>
      <w:pPr>
        <w:pStyle w:val="6"/>
        <w:spacing w:line="360" w:lineRule="auto"/>
        <w:rPr>
          <w:rFonts w:hint="eastAsia" w:ascii="Times New Roman"/>
        </w:rPr>
      </w:pPr>
      <w:r>
        <w:rPr>
          <w:rFonts w:hint="eastAsia" w:ascii="Times New Roman"/>
        </w:rPr>
        <w:t>本文件适用于</w:t>
      </w:r>
      <w:r>
        <w:rPr>
          <w:rFonts w:hint="eastAsia" w:ascii="Times New Roman"/>
          <w:lang w:eastAsia="zh-CN"/>
        </w:rPr>
        <w:t>河北东部平原区</w:t>
      </w:r>
      <w:r>
        <w:rPr>
          <w:rFonts w:hint="eastAsia" w:ascii="Times New Roman"/>
          <w:lang w:val="en-US" w:eastAsia="zh-CN"/>
        </w:rPr>
        <w:t>有灌溉条件的春燕麦-夏绿肥-冬燕麦饲草周年生产模式</w:t>
      </w:r>
      <w:r>
        <w:rPr>
          <w:rFonts w:hint="eastAsia" w:ascii="Times New Roman"/>
        </w:rPr>
        <w:t>。</w:t>
      </w:r>
    </w:p>
    <w:p>
      <w:pPr>
        <w:pStyle w:val="8"/>
        <w:spacing w:before="312" w:after="312"/>
        <w:rPr>
          <w:rFonts w:ascii="Times New Roman"/>
        </w:rPr>
      </w:pPr>
      <w:r>
        <w:rPr>
          <w:rFonts w:hint="eastAsia" w:ascii="Times New Roman"/>
        </w:rPr>
        <w:t>规范性引用文件</w:t>
      </w:r>
    </w:p>
    <w:p>
      <w:pPr>
        <w:pStyle w:val="6"/>
        <w:spacing w:line="360" w:lineRule="auto"/>
        <w:rPr>
          <w:rFonts w:ascii="Times New Roman"/>
        </w:rPr>
      </w:pPr>
      <w:r>
        <w:rPr>
          <w:rFonts w:hint="eastAsia" w:ascii="Times New Roman"/>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6"/>
        <w:spacing w:line="360" w:lineRule="auto"/>
        <w:rPr>
          <w:rFonts w:ascii="Times New Roman"/>
        </w:rPr>
      </w:pPr>
      <w:r>
        <w:rPr>
          <w:rFonts w:ascii="Times New Roman"/>
        </w:rPr>
        <w:t xml:space="preserve">GB 6142 </w:t>
      </w:r>
      <w:r>
        <w:rPr>
          <w:rFonts w:hint="eastAsia" w:ascii="Times New Roman"/>
        </w:rPr>
        <w:t>禾本科草种子质量分级</w:t>
      </w:r>
    </w:p>
    <w:p>
      <w:pPr>
        <w:pStyle w:val="6"/>
        <w:spacing w:line="360" w:lineRule="auto"/>
        <w:rPr>
          <w:rFonts w:ascii="Times New Roman"/>
        </w:rPr>
      </w:pPr>
      <w:r>
        <w:rPr>
          <w:rFonts w:ascii="Times New Roman"/>
        </w:rPr>
        <w:t xml:space="preserve">GB/T 8321 </w:t>
      </w:r>
      <w:r>
        <w:rPr>
          <w:rFonts w:hint="eastAsia" w:ascii="Times New Roman"/>
        </w:rPr>
        <w:t>农药合理使用准则</w:t>
      </w:r>
    </w:p>
    <w:p>
      <w:pPr>
        <w:pStyle w:val="6"/>
        <w:spacing w:line="360" w:lineRule="auto"/>
        <w:rPr>
          <w:rFonts w:ascii="Times New Roman"/>
        </w:rPr>
      </w:pPr>
      <w:r>
        <w:rPr>
          <w:rFonts w:ascii="Times New Roman"/>
        </w:rPr>
        <w:t xml:space="preserve">GB/T 15671 </w:t>
      </w:r>
      <w:r>
        <w:rPr>
          <w:rFonts w:hint="eastAsia" w:ascii="Times New Roman"/>
        </w:rPr>
        <w:t>农作物薄膜包衣种子技术条件</w:t>
      </w:r>
    </w:p>
    <w:p>
      <w:pPr>
        <w:pStyle w:val="6"/>
        <w:spacing w:line="360" w:lineRule="auto"/>
        <w:rPr>
          <w:rFonts w:ascii="Times New Roman"/>
        </w:rPr>
      </w:pPr>
      <w:r>
        <w:rPr>
          <w:rFonts w:ascii="Times New Roman"/>
        </w:rPr>
        <w:t xml:space="preserve">NY/T 496 </w:t>
      </w:r>
      <w:r>
        <w:rPr>
          <w:rFonts w:hint="eastAsia" w:ascii="Times New Roman"/>
        </w:rPr>
        <w:t>肥料合理使用准则通则</w:t>
      </w:r>
    </w:p>
    <w:p>
      <w:pPr>
        <w:pStyle w:val="6"/>
        <w:spacing w:line="360" w:lineRule="auto"/>
        <w:rPr>
          <w:rFonts w:ascii="Times New Roman"/>
        </w:rPr>
      </w:pPr>
      <w:r>
        <w:rPr>
          <w:rFonts w:ascii="Times New Roman"/>
        </w:rPr>
        <w:t xml:space="preserve">NY/T 499 </w:t>
      </w:r>
      <w:r>
        <w:rPr>
          <w:rFonts w:hint="eastAsia" w:ascii="Times New Roman"/>
        </w:rPr>
        <w:t>旋耕机作业质量</w:t>
      </w:r>
    </w:p>
    <w:p>
      <w:pPr>
        <w:pStyle w:val="6"/>
        <w:spacing w:line="360" w:lineRule="auto"/>
        <w:rPr>
          <w:rFonts w:ascii="Times New Roman"/>
          <w:szCs w:val="21"/>
        </w:rPr>
      </w:pPr>
      <w:r>
        <w:rPr>
          <w:rFonts w:ascii="Times New Roman"/>
          <w:szCs w:val="21"/>
        </w:rPr>
        <w:t xml:space="preserve">NY/T 1276 </w:t>
      </w:r>
      <w:r>
        <w:rPr>
          <w:rFonts w:hint="eastAsia" w:ascii="Times New Roman"/>
          <w:szCs w:val="21"/>
        </w:rPr>
        <w:t>农药安全使用规范总则</w:t>
      </w:r>
    </w:p>
    <w:p>
      <w:pPr>
        <w:pStyle w:val="8"/>
        <w:spacing w:before="312" w:after="312"/>
        <w:rPr>
          <w:rFonts w:ascii="Times New Roman"/>
        </w:rPr>
      </w:pPr>
      <w:r>
        <w:rPr>
          <w:rFonts w:hint="eastAsia" w:ascii="Times New Roman"/>
        </w:rPr>
        <w:t>术语和定义</w:t>
      </w:r>
    </w:p>
    <w:p>
      <w:pPr>
        <w:pStyle w:val="6"/>
        <w:rPr>
          <w:rFonts w:ascii="Times New Roman"/>
        </w:rPr>
      </w:pPr>
      <w:r>
        <w:rPr>
          <w:rFonts w:hint="eastAsia" w:ascii="Times New Roman"/>
        </w:rPr>
        <w:t>本文件没有需要界定的术语和定义。</w:t>
      </w:r>
    </w:p>
    <w:p>
      <w:pPr>
        <w:pStyle w:val="8"/>
        <w:spacing w:before="312" w:after="312"/>
        <w:rPr>
          <w:rFonts w:hint="eastAsia" w:ascii="Times New Roman"/>
          <w:lang w:val="en-US" w:eastAsia="zh-CN"/>
        </w:rPr>
      </w:pPr>
      <w:r>
        <w:rPr>
          <w:rFonts w:hint="eastAsia" w:ascii="Times New Roman"/>
          <w:lang w:val="en-US" w:eastAsia="zh-CN"/>
        </w:rPr>
        <w:t>种植条件选择</w:t>
      </w:r>
    </w:p>
    <w:p>
      <w:pPr>
        <w:pStyle w:val="6"/>
        <w:spacing w:line="360" w:lineRule="auto"/>
        <w:rPr>
          <w:rFonts w:hint="default" w:ascii="Times New Roman"/>
          <w:lang w:val="en-US" w:eastAsia="zh-CN"/>
        </w:rPr>
      </w:pPr>
      <w:r>
        <w:rPr>
          <w:rFonts w:hint="eastAsia" w:ascii="Times New Roman"/>
          <w:lang w:val="en-US" w:eastAsia="zh-CN"/>
        </w:rPr>
        <w:t>适宜环境条件</w:t>
      </w:r>
      <w:r>
        <w:rPr>
          <w:rFonts w:hint="eastAsia" w:ascii="Times New Roman"/>
        </w:rPr>
        <w:t>选择肥力中等及以上、土层深厚、排</w:t>
      </w:r>
      <w:r>
        <w:rPr>
          <w:rFonts w:hint="eastAsia" w:ascii="Times New Roman"/>
          <w:lang w:val="en-US" w:eastAsia="zh-CN"/>
        </w:rPr>
        <w:t>水</w:t>
      </w:r>
      <w:r>
        <w:rPr>
          <w:rFonts w:hint="eastAsia" w:ascii="Times New Roman"/>
        </w:rPr>
        <w:t>良好</w:t>
      </w:r>
      <w:r>
        <w:rPr>
          <w:rFonts w:hint="eastAsia" w:ascii="Times New Roman"/>
          <w:lang w:eastAsia="zh-CN"/>
        </w:rPr>
        <w:t>、</w:t>
      </w:r>
      <w:r>
        <w:rPr>
          <w:rFonts w:hint="eastAsia" w:ascii="Times New Roman"/>
          <w:lang w:val="en-US" w:eastAsia="zh-CN"/>
        </w:rPr>
        <w:t>有灌溉条件</w:t>
      </w:r>
      <w:r>
        <w:rPr>
          <w:rFonts w:hint="eastAsia" w:ascii="Times New Roman"/>
        </w:rPr>
        <w:t>的地块。</w:t>
      </w:r>
      <w:r>
        <w:rPr>
          <w:rFonts w:hint="eastAsia" w:ascii="Times New Roman"/>
          <w:lang w:val="en-US" w:eastAsia="zh-CN"/>
        </w:rPr>
        <w:t>种植区域8月10日-11月15日有不低于1500℃</w:t>
      </w:r>
      <w:r>
        <w:rPr>
          <w:rFonts w:hint="eastAsia" w:ascii="Times New Roman"/>
          <w:lang w:val="en-US" w:eastAsia="zh-CN"/>
        </w:rPr>
        <w:t>的积温。</w:t>
      </w:r>
    </w:p>
    <w:p>
      <w:pPr>
        <w:pStyle w:val="8"/>
        <w:spacing w:before="312" w:after="312"/>
        <w:rPr>
          <w:rFonts w:ascii="Times New Roman"/>
        </w:rPr>
      </w:pPr>
      <w:r>
        <w:rPr>
          <w:rFonts w:hint="eastAsia" w:ascii="Times New Roman"/>
        </w:rPr>
        <w:t>燕麦春播</w:t>
      </w:r>
    </w:p>
    <w:p>
      <w:pPr>
        <w:pStyle w:val="8"/>
        <w:numPr>
          <w:ilvl w:val="0"/>
          <w:numId w:val="0"/>
        </w:numPr>
        <w:spacing w:before="312" w:after="312"/>
        <w:rPr>
          <w:rFonts w:ascii="Times New Roman"/>
        </w:rPr>
      </w:pPr>
      <w:r>
        <w:rPr>
          <w:rFonts w:hint="eastAsia" w:ascii="Times New Roman"/>
        </w:rPr>
        <w:t>5.1播前准备</w:t>
      </w:r>
    </w:p>
    <w:p>
      <w:pPr>
        <w:pStyle w:val="8"/>
        <w:numPr>
          <w:ilvl w:val="0"/>
          <w:numId w:val="0"/>
        </w:numPr>
        <w:spacing w:before="312" w:after="312"/>
        <w:rPr>
          <w:rFonts w:ascii="Times New Roman"/>
        </w:rPr>
      </w:pPr>
      <w:r>
        <w:rPr>
          <w:rFonts w:ascii="Times New Roman"/>
        </w:rPr>
        <w:t>5.1</w:t>
      </w:r>
      <w:r>
        <w:rPr>
          <w:rFonts w:hint="eastAsia" w:ascii="Times New Roman"/>
        </w:rPr>
        <w:t>.1冬前整地造墒</w:t>
      </w:r>
    </w:p>
    <w:p>
      <w:pPr>
        <w:pStyle w:val="6"/>
        <w:spacing w:line="360" w:lineRule="auto"/>
        <w:rPr>
          <w:rFonts w:ascii="Times New Roman"/>
        </w:rPr>
      </w:pPr>
      <w:r>
        <w:rPr>
          <w:rFonts w:hint="eastAsia" w:ascii="Times New Roman"/>
        </w:rPr>
        <w:t>冬前结合整地亩施腐熟的有机肥</w:t>
      </w:r>
      <w:r>
        <w:rPr>
          <w:rFonts w:ascii="Times New Roman"/>
        </w:rPr>
        <w:t>1000kg～1500kg</w:t>
      </w:r>
      <w:r>
        <w:rPr>
          <w:rFonts w:hint="eastAsia" w:ascii="Times New Roman"/>
        </w:rPr>
        <w:t>；当土壤田间持水量低于</w:t>
      </w:r>
      <w:r>
        <w:rPr>
          <w:rFonts w:hint="default" w:ascii="Times New Roman"/>
          <w:lang w:val="en-US"/>
        </w:rPr>
        <w:t>5</w:t>
      </w:r>
      <w:r>
        <w:rPr>
          <w:rFonts w:ascii="Times New Roman"/>
        </w:rPr>
        <w:t>0%</w:t>
      </w:r>
      <w:r>
        <w:rPr>
          <w:rFonts w:hint="eastAsia" w:ascii="Times New Roman"/>
        </w:rPr>
        <w:t>时，可进行冬前</w:t>
      </w:r>
      <w:r>
        <w:rPr>
          <w:rFonts w:hint="eastAsia" w:ascii="Times New Roman"/>
          <w:lang w:val="en-US" w:eastAsia="zh-CN"/>
        </w:rPr>
        <w:t>灌溉</w:t>
      </w:r>
      <w:r>
        <w:rPr>
          <w:rFonts w:hint="eastAsia" w:ascii="Times New Roman"/>
        </w:rPr>
        <w:t>。</w:t>
      </w:r>
    </w:p>
    <w:p>
      <w:pPr>
        <w:pStyle w:val="9"/>
        <w:numPr>
          <w:ilvl w:val="0"/>
          <w:numId w:val="0"/>
        </w:numPr>
        <w:spacing w:before="156" w:after="156"/>
        <w:rPr>
          <w:rFonts w:ascii="Times New Roman"/>
        </w:rPr>
      </w:pPr>
      <w:r>
        <w:rPr>
          <w:rFonts w:ascii="Times New Roman"/>
        </w:rPr>
        <w:t>5.1</w:t>
      </w:r>
      <w:r>
        <w:rPr>
          <w:rFonts w:hint="eastAsia" w:ascii="Times New Roman"/>
        </w:rPr>
        <w:t>.2品种选择</w:t>
      </w:r>
    </w:p>
    <w:p>
      <w:pPr>
        <w:widowControl/>
        <w:tabs>
          <w:tab w:val="center" w:pos="4201"/>
          <w:tab w:val="right" w:leader="dot" w:pos="9298"/>
        </w:tabs>
        <w:autoSpaceDE w:val="0"/>
        <w:autoSpaceDN w:val="0"/>
        <w:adjustRightInd w:val="0"/>
        <w:snapToGrid w:val="0"/>
        <w:spacing w:line="360" w:lineRule="auto"/>
        <w:ind w:firstLine="420" w:firstLineChars="200"/>
      </w:pPr>
      <w:r>
        <w:rPr>
          <w:rFonts w:hint="eastAsia"/>
        </w:rPr>
        <w:t>选用抗逆丰产优质、生育期</w:t>
      </w:r>
      <w:r>
        <w:t>90d</w:t>
      </w:r>
      <w:r>
        <w:rPr>
          <w:rFonts w:hint="eastAsia"/>
        </w:rPr>
        <w:t>左右的饲用燕麦品种。种子质量符合</w:t>
      </w:r>
      <w:r>
        <w:t>GB 6142</w:t>
      </w:r>
      <w:r>
        <w:rPr>
          <w:rFonts w:hint="eastAsia"/>
        </w:rPr>
        <w:t>的规定。</w:t>
      </w:r>
    </w:p>
    <w:p>
      <w:pPr>
        <w:pStyle w:val="9"/>
        <w:numPr>
          <w:ilvl w:val="0"/>
          <w:numId w:val="0"/>
        </w:numPr>
        <w:spacing w:before="156" w:after="156"/>
        <w:rPr>
          <w:rFonts w:ascii="Times New Roman"/>
        </w:rPr>
      </w:pPr>
      <w:r>
        <w:rPr>
          <w:rFonts w:ascii="Times New Roman"/>
        </w:rPr>
        <w:t>5.1</w:t>
      </w:r>
      <w:r>
        <w:rPr>
          <w:rFonts w:hint="eastAsia" w:ascii="Times New Roman"/>
        </w:rPr>
        <w:t>.3种子处理</w:t>
      </w:r>
    </w:p>
    <w:p>
      <w:pPr>
        <w:pStyle w:val="6"/>
        <w:adjustRightInd w:val="0"/>
        <w:snapToGrid w:val="0"/>
        <w:spacing w:line="360" w:lineRule="auto"/>
        <w:rPr>
          <w:rFonts w:ascii="Times New Roman"/>
        </w:rPr>
      </w:pPr>
      <w:r>
        <w:rPr>
          <w:rFonts w:hint="eastAsia" w:ascii="Times New Roman"/>
        </w:rPr>
        <w:t>播种前晒种，针对当地病虫害选用高效低毒的农药拌种或包衣，农药的使用应符合</w:t>
      </w:r>
      <w:r>
        <w:rPr>
          <w:rFonts w:ascii="Times New Roman"/>
        </w:rPr>
        <w:t>GB/T 8321</w:t>
      </w:r>
      <w:r>
        <w:rPr>
          <w:rFonts w:hint="eastAsia" w:ascii="Times New Roman"/>
        </w:rPr>
        <w:t>的规定，种子包衣质量应符合GB/T 15671的规定。</w:t>
      </w:r>
    </w:p>
    <w:p>
      <w:pPr>
        <w:pStyle w:val="9"/>
        <w:numPr>
          <w:ilvl w:val="0"/>
          <w:numId w:val="0"/>
        </w:numPr>
        <w:spacing w:before="156" w:after="156"/>
        <w:rPr>
          <w:rFonts w:ascii="Times New Roman"/>
        </w:rPr>
      </w:pPr>
      <w:r>
        <w:rPr>
          <w:rFonts w:hint="eastAsia" w:ascii="Times New Roman"/>
        </w:rPr>
        <w:t>5.1.4播前整地与施肥</w:t>
      </w:r>
    </w:p>
    <w:p>
      <w:pPr>
        <w:pStyle w:val="6"/>
        <w:spacing w:line="360" w:lineRule="auto"/>
        <w:rPr>
          <w:rFonts w:ascii="Times New Roman"/>
        </w:rPr>
      </w:pPr>
      <w:r>
        <w:rPr>
          <w:rFonts w:hint="eastAsia" w:ascii="Times New Roman"/>
        </w:rPr>
        <w:t>结合旋耕亩施复合肥（</w:t>
      </w:r>
      <w:r>
        <w:rPr>
          <w:rFonts w:ascii="Times New Roman"/>
        </w:rPr>
        <w:t>N:P</w:t>
      </w:r>
      <w:r>
        <w:rPr>
          <w:rFonts w:ascii="Times New Roman"/>
          <w:vertAlign w:val="subscript"/>
        </w:rPr>
        <w:t>2</w:t>
      </w:r>
      <w:r>
        <w:rPr>
          <w:rFonts w:ascii="Times New Roman"/>
        </w:rPr>
        <w:t>O</w:t>
      </w:r>
      <w:r>
        <w:rPr>
          <w:rFonts w:ascii="Times New Roman"/>
          <w:vertAlign w:val="subscript"/>
        </w:rPr>
        <w:t>5</w:t>
      </w:r>
      <w:r>
        <w:rPr>
          <w:rFonts w:ascii="Times New Roman"/>
        </w:rPr>
        <w:t>:K</w:t>
      </w:r>
      <w:r>
        <w:rPr>
          <w:rFonts w:ascii="Times New Roman"/>
          <w:vertAlign w:val="subscript"/>
        </w:rPr>
        <w:t>2</w:t>
      </w:r>
      <w:r>
        <w:rPr>
          <w:rFonts w:ascii="Times New Roman"/>
        </w:rPr>
        <w:t>O=17:17:17</w:t>
      </w:r>
      <w:r>
        <w:rPr>
          <w:rFonts w:hint="eastAsia" w:ascii="Times New Roman"/>
        </w:rPr>
        <w:t>）</w:t>
      </w:r>
      <w:r>
        <w:rPr>
          <w:rFonts w:hint="eastAsia" w:ascii="Times New Roman"/>
          <w:lang w:val="en-US" w:eastAsia="zh-CN"/>
        </w:rPr>
        <w:t>4</w:t>
      </w:r>
      <w:r>
        <w:rPr>
          <w:rFonts w:ascii="Times New Roman"/>
        </w:rPr>
        <w:t>0kg</w:t>
      </w:r>
      <w:r>
        <w:rPr>
          <w:rFonts w:hint="eastAsia" w:ascii="Times New Roman"/>
        </w:rPr>
        <w:t>，复合肥的使用应符合</w:t>
      </w:r>
      <w:r>
        <w:rPr>
          <w:rFonts w:ascii="Times New Roman"/>
        </w:rPr>
        <w:t>NY/T 496</w:t>
      </w:r>
      <w:r>
        <w:rPr>
          <w:rFonts w:hint="eastAsia" w:ascii="Times New Roman"/>
        </w:rPr>
        <w:t>的规定。土壤浅旋，</w:t>
      </w:r>
      <w:r>
        <w:rPr>
          <w:rFonts w:hint="eastAsia" w:ascii="Times New Roman"/>
          <w:lang w:val="en-US" w:eastAsia="zh-CN"/>
        </w:rPr>
        <w:t>旋耕深度不低于20cm，</w:t>
      </w:r>
      <w:r>
        <w:rPr>
          <w:rFonts w:hint="eastAsia" w:ascii="Times New Roman"/>
        </w:rPr>
        <w:t>作业质量符合</w:t>
      </w:r>
      <w:r>
        <w:rPr>
          <w:rFonts w:ascii="Times New Roman"/>
        </w:rPr>
        <w:t>NY/T 499</w:t>
      </w:r>
      <w:r>
        <w:rPr>
          <w:rFonts w:hint="eastAsia" w:ascii="Times New Roman"/>
        </w:rPr>
        <w:t>中的规定。</w:t>
      </w:r>
    </w:p>
    <w:p>
      <w:pPr>
        <w:pStyle w:val="8"/>
        <w:numPr>
          <w:ilvl w:val="0"/>
          <w:numId w:val="0"/>
        </w:numPr>
        <w:spacing w:before="312" w:after="312"/>
        <w:rPr>
          <w:rFonts w:ascii="Times New Roman"/>
        </w:rPr>
      </w:pPr>
      <w:r>
        <w:rPr>
          <w:rFonts w:hint="eastAsia" w:ascii="Times New Roman"/>
        </w:rPr>
        <w:t>5.2播种</w:t>
      </w:r>
    </w:p>
    <w:p>
      <w:pPr>
        <w:pStyle w:val="9"/>
        <w:numPr>
          <w:ilvl w:val="0"/>
          <w:numId w:val="0"/>
        </w:numPr>
        <w:spacing w:before="156" w:after="156"/>
        <w:rPr>
          <w:rFonts w:ascii="Times New Roman"/>
        </w:rPr>
      </w:pPr>
      <w:r>
        <w:rPr>
          <w:rFonts w:hint="eastAsia" w:ascii="Times New Roman"/>
        </w:rPr>
        <w:t>5.2.1播期</w:t>
      </w:r>
    </w:p>
    <w:p>
      <w:pPr>
        <w:pStyle w:val="6"/>
        <w:rPr>
          <w:rFonts w:ascii="Times New Roman"/>
        </w:rPr>
      </w:pPr>
      <w:r>
        <w:rPr>
          <w:rFonts w:hint="eastAsia" w:ascii="Times New Roman"/>
        </w:rPr>
        <w:t>土壤解冻</w:t>
      </w:r>
      <w:r>
        <w:rPr>
          <w:rFonts w:ascii="Times New Roman"/>
        </w:rPr>
        <w:t>10cm</w:t>
      </w:r>
      <w:r>
        <w:rPr>
          <w:rFonts w:hint="eastAsia" w:ascii="Times New Roman"/>
        </w:rPr>
        <w:t>即可播种，播期一般为</w:t>
      </w:r>
      <w:r>
        <w:rPr>
          <w:rFonts w:ascii="Times New Roman"/>
        </w:rPr>
        <w:t>3</w:t>
      </w:r>
      <w:r>
        <w:rPr>
          <w:rFonts w:hint="eastAsia" w:ascii="Times New Roman"/>
        </w:rPr>
        <w:t>月上旬，最晚不晚于</w:t>
      </w:r>
      <w:r>
        <w:rPr>
          <w:rFonts w:ascii="Times New Roman"/>
        </w:rPr>
        <w:t>3</w:t>
      </w:r>
      <w:r>
        <w:rPr>
          <w:rFonts w:hint="eastAsia" w:ascii="Times New Roman"/>
        </w:rPr>
        <w:t>月</w:t>
      </w:r>
      <w:r>
        <w:rPr>
          <w:rFonts w:ascii="Times New Roman"/>
        </w:rPr>
        <w:t>15</w:t>
      </w:r>
      <w:r>
        <w:rPr>
          <w:rFonts w:hint="eastAsia" w:ascii="Times New Roman"/>
        </w:rPr>
        <w:t>日。</w:t>
      </w:r>
    </w:p>
    <w:p>
      <w:pPr>
        <w:pStyle w:val="9"/>
        <w:numPr>
          <w:ilvl w:val="0"/>
          <w:numId w:val="0"/>
        </w:numPr>
        <w:spacing w:before="156" w:after="156"/>
        <w:rPr>
          <w:rFonts w:ascii="Times New Roman"/>
        </w:rPr>
      </w:pPr>
      <w:r>
        <w:rPr>
          <w:rFonts w:hint="eastAsia" w:ascii="Times New Roman"/>
        </w:rPr>
        <w:t>5.2.2播量与播深</w:t>
      </w:r>
    </w:p>
    <w:p>
      <w:pPr>
        <w:pStyle w:val="6"/>
        <w:spacing w:line="360" w:lineRule="auto"/>
        <w:rPr>
          <w:rFonts w:ascii="Times New Roman"/>
        </w:rPr>
      </w:pPr>
      <w:r>
        <w:rPr>
          <w:rFonts w:hint="eastAsia" w:ascii="Times New Roman"/>
        </w:rPr>
        <w:t>亩播量</w:t>
      </w:r>
      <w:r>
        <w:rPr>
          <w:rFonts w:hint="eastAsia" w:ascii="Times New Roman"/>
          <w:lang w:val="en-US" w:eastAsia="zh-CN"/>
        </w:rPr>
        <w:t>9</w:t>
      </w:r>
      <w:r>
        <w:rPr>
          <w:rFonts w:hint="eastAsia" w:ascii="Times New Roman"/>
        </w:rPr>
        <w:t>kg～</w:t>
      </w:r>
      <w:r>
        <w:rPr>
          <w:rFonts w:hint="eastAsia" w:ascii="Times New Roman"/>
          <w:lang w:val="en-US" w:eastAsia="zh-CN"/>
        </w:rPr>
        <w:t>10</w:t>
      </w:r>
      <w:r>
        <w:rPr>
          <w:rFonts w:hint="eastAsia" w:ascii="Times New Roman"/>
        </w:rPr>
        <w:t>kg，播深3cm～5cm，行距17 cm，播后根据墒情适时镇压。</w:t>
      </w:r>
    </w:p>
    <w:p>
      <w:pPr>
        <w:pStyle w:val="8"/>
        <w:numPr>
          <w:ilvl w:val="0"/>
          <w:numId w:val="0"/>
        </w:numPr>
        <w:spacing w:before="312" w:after="312"/>
        <w:rPr>
          <w:rFonts w:ascii="Times New Roman"/>
        </w:rPr>
      </w:pPr>
      <w:r>
        <w:rPr>
          <w:rFonts w:hint="eastAsia" w:ascii="Times New Roman"/>
        </w:rPr>
        <w:t>5.3播后管理</w:t>
      </w:r>
    </w:p>
    <w:p>
      <w:pPr>
        <w:pStyle w:val="9"/>
        <w:numPr>
          <w:ilvl w:val="0"/>
          <w:numId w:val="0"/>
        </w:numPr>
        <w:spacing w:before="156" w:after="156"/>
        <w:rPr>
          <w:rFonts w:ascii="Times New Roman"/>
        </w:rPr>
      </w:pPr>
      <w:r>
        <w:rPr>
          <w:rFonts w:hint="eastAsia" w:ascii="Times New Roman"/>
        </w:rPr>
        <w:t>5.3.1灌溉</w:t>
      </w:r>
    </w:p>
    <w:p>
      <w:pPr>
        <w:pStyle w:val="6"/>
        <w:spacing w:line="360" w:lineRule="auto"/>
        <w:rPr>
          <w:rFonts w:ascii="Times New Roman"/>
        </w:rPr>
      </w:pPr>
      <w:r>
        <w:rPr>
          <w:rFonts w:hint="eastAsia" w:ascii="Times New Roman"/>
        </w:rPr>
        <w:t>分蘖期、拔节期和抽穗期</w:t>
      </w:r>
      <w:r>
        <w:rPr>
          <w:rFonts w:hint="eastAsia" w:ascii="Times New Roman"/>
          <w:lang w:eastAsia="zh-CN"/>
        </w:rPr>
        <w:t>，</w:t>
      </w:r>
      <w:r>
        <w:rPr>
          <w:rFonts w:hint="eastAsia" w:ascii="Times New Roman"/>
          <w:lang w:val="en-US" w:eastAsia="zh-CN"/>
        </w:rPr>
        <w:t>土壤田间持水量低于50%时进行</w:t>
      </w:r>
      <w:r>
        <w:rPr>
          <w:rFonts w:hint="eastAsia" w:ascii="Times New Roman"/>
        </w:rPr>
        <w:t>灌溉，每次灌水定额30m</w:t>
      </w:r>
      <w:r>
        <w:rPr>
          <w:rFonts w:hint="eastAsia" w:ascii="Times New Roman"/>
          <w:vertAlign w:val="superscript"/>
        </w:rPr>
        <w:t>3</w:t>
      </w:r>
      <w:r>
        <w:rPr>
          <w:rFonts w:hint="eastAsia" w:ascii="Times New Roman"/>
        </w:rPr>
        <w:t>/亩；</w:t>
      </w:r>
      <w:r>
        <w:rPr>
          <w:rFonts w:hint="eastAsia" w:ascii="Times New Roman"/>
          <w:lang w:val="en-US" w:eastAsia="zh-CN"/>
        </w:rPr>
        <w:t>水资源紧张的情况下，至少保证</w:t>
      </w:r>
      <w:r>
        <w:rPr>
          <w:rFonts w:hint="eastAsia" w:ascii="Times New Roman"/>
        </w:rPr>
        <w:t>拔节期灌溉一次，灌水定额为</w:t>
      </w:r>
      <w:r>
        <w:rPr>
          <w:rFonts w:hint="eastAsia" w:ascii="Times New Roman"/>
          <w:lang w:val="en-US" w:eastAsia="zh-CN"/>
        </w:rPr>
        <w:t>30-</w:t>
      </w:r>
      <w:r>
        <w:rPr>
          <w:rFonts w:hint="eastAsia" w:ascii="Times New Roman"/>
        </w:rPr>
        <w:t>50m</w:t>
      </w:r>
      <w:r>
        <w:rPr>
          <w:rFonts w:hint="eastAsia" w:ascii="Times New Roman"/>
          <w:vertAlign w:val="superscript"/>
        </w:rPr>
        <w:t>3</w:t>
      </w:r>
      <w:r>
        <w:rPr>
          <w:rFonts w:hint="eastAsia" w:ascii="Times New Roman"/>
        </w:rPr>
        <w:t>/亩。</w:t>
      </w:r>
    </w:p>
    <w:p>
      <w:pPr>
        <w:pStyle w:val="9"/>
        <w:numPr>
          <w:ilvl w:val="0"/>
          <w:numId w:val="0"/>
        </w:numPr>
        <w:spacing w:before="156" w:after="156"/>
        <w:rPr>
          <w:rFonts w:ascii="Times New Roman"/>
        </w:rPr>
      </w:pPr>
      <w:r>
        <w:rPr>
          <w:rFonts w:hint="eastAsia" w:ascii="Times New Roman"/>
        </w:rPr>
        <w:t>5.3.2追肥</w:t>
      </w:r>
    </w:p>
    <w:p>
      <w:pPr>
        <w:pStyle w:val="6"/>
        <w:spacing w:line="360" w:lineRule="auto"/>
        <w:rPr>
          <w:rFonts w:ascii="Times New Roman"/>
        </w:rPr>
      </w:pPr>
      <w:r>
        <w:rPr>
          <w:rFonts w:hint="eastAsia" w:ascii="Times New Roman"/>
        </w:rPr>
        <w:t>拔节期结合浇水进行追肥，追施尿素10kg/亩～15kg/亩。</w:t>
      </w:r>
    </w:p>
    <w:p>
      <w:pPr>
        <w:pStyle w:val="9"/>
        <w:numPr>
          <w:ilvl w:val="0"/>
          <w:numId w:val="0"/>
        </w:numPr>
        <w:spacing w:before="156" w:after="156"/>
        <w:rPr>
          <w:rFonts w:ascii="Times New Roman"/>
        </w:rPr>
      </w:pPr>
      <w:r>
        <w:rPr>
          <w:rFonts w:hint="eastAsia" w:ascii="Times New Roman"/>
        </w:rPr>
        <w:t>5.3.3病虫草害防治</w:t>
      </w:r>
    </w:p>
    <w:p>
      <w:pPr>
        <w:pStyle w:val="6"/>
        <w:spacing w:line="360" w:lineRule="auto"/>
        <w:rPr>
          <w:rFonts w:ascii="Times New Roman"/>
        </w:rPr>
      </w:pPr>
      <w:r>
        <w:rPr>
          <w:rFonts w:hint="eastAsia" w:ascii="Times New Roman"/>
        </w:rPr>
        <w:t>适时防治病虫草害，选用生物农药或高效低毒的化学农药，农药的使用应符合GB/T 8321、NY/T 1276的规定。</w:t>
      </w:r>
    </w:p>
    <w:p>
      <w:pPr>
        <w:pStyle w:val="8"/>
        <w:numPr>
          <w:ilvl w:val="0"/>
          <w:numId w:val="0"/>
        </w:numPr>
        <w:spacing w:before="312" w:after="312"/>
        <w:rPr>
          <w:rFonts w:ascii="Times New Roman"/>
        </w:rPr>
      </w:pPr>
      <w:r>
        <w:rPr>
          <w:rFonts w:hint="eastAsia" w:ascii="Times New Roman"/>
        </w:rPr>
        <w:t>5.4收获</w:t>
      </w:r>
    </w:p>
    <w:p>
      <w:pPr>
        <w:pStyle w:val="6"/>
        <w:spacing w:line="360" w:lineRule="auto"/>
        <w:rPr>
          <w:rFonts w:ascii="Times New Roman"/>
        </w:rPr>
      </w:pPr>
      <w:r>
        <w:rPr>
          <w:rFonts w:hint="eastAsia" w:ascii="Times New Roman"/>
        </w:rPr>
        <w:t>奶牛用燕麦，在乳熟期收获；肉牛肉羊用燕麦，腊熟初期收获，收获时间不迟于</w:t>
      </w:r>
      <w:r>
        <w:rPr>
          <w:rFonts w:ascii="Times New Roman"/>
        </w:rPr>
        <w:t>6</w:t>
      </w:r>
      <w:r>
        <w:rPr>
          <w:rFonts w:hint="eastAsia" w:ascii="Times New Roman"/>
        </w:rPr>
        <w:t>月中旬，留茬高度</w:t>
      </w:r>
      <w:r>
        <w:rPr>
          <w:rFonts w:ascii="Times New Roman"/>
        </w:rPr>
        <w:t>5cm</w:t>
      </w:r>
      <w:r>
        <w:rPr>
          <w:rFonts w:hint="eastAsia" w:ascii="Times New Roman"/>
        </w:rPr>
        <w:t>。</w:t>
      </w:r>
    </w:p>
    <w:p>
      <w:pPr>
        <w:pStyle w:val="8"/>
        <w:numPr>
          <w:ilvl w:val="0"/>
          <w:numId w:val="0"/>
        </w:numPr>
        <w:spacing w:before="312" w:after="312"/>
        <w:rPr>
          <w:rFonts w:ascii="Times New Roman"/>
        </w:rPr>
      </w:pPr>
      <w:r>
        <w:rPr>
          <w:rFonts w:hint="eastAsia" w:ascii="Times New Roman"/>
        </w:rPr>
        <w:t>6 绿肥种植</w:t>
      </w:r>
    </w:p>
    <w:p>
      <w:pPr>
        <w:pStyle w:val="8"/>
        <w:numPr>
          <w:ilvl w:val="0"/>
          <w:numId w:val="0"/>
        </w:numPr>
        <w:spacing w:before="312" w:after="312"/>
        <w:rPr>
          <w:rFonts w:ascii="Times New Roman"/>
        </w:rPr>
      </w:pPr>
      <w:r>
        <w:rPr>
          <w:rFonts w:hint="eastAsia" w:ascii="Times New Roman"/>
        </w:rPr>
        <w:t>6.1 播前准备</w:t>
      </w:r>
    </w:p>
    <w:p>
      <w:pPr>
        <w:pStyle w:val="6"/>
        <w:spacing w:line="360" w:lineRule="auto"/>
        <w:rPr>
          <w:rFonts w:ascii="Times New Roman"/>
        </w:rPr>
      </w:pPr>
      <w:r>
        <w:rPr>
          <w:rFonts w:hint="eastAsia" w:ascii="Times New Roman"/>
        </w:rPr>
        <w:t>春播饲用燕麦收获后，即时进行整地，结合施肥进行土壤旋耕，亩施复合肥（N:P</w:t>
      </w:r>
      <w:r>
        <w:rPr>
          <w:rFonts w:hint="eastAsia" w:ascii="Times New Roman"/>
          <w:vertAlign w:val="subscript"/>
        </w:rPr>
        <w:t>2</w:t>
      </w:r>
      <w:r>
        <w:rPr>
          <w:rFonts w:hint="eastAsia" w:ascii="Times New Roman"/>
        </w:rPr>
        <w:t>O</w:t>
      </w:r>
      <w:r>
        <w:rPr>
          <w:rFonts w:hint="eastAsia" w:ascii="Times New Roman"/>
          <w:vertAlign w:val="subscript"/>
        </w:rPr>
        <w:t>5</w:t>
      </w:r>
      <w:r>
        <w:rPr>
          <w:rFonts w:hint="eastAsia" w:ascii="Times New Roman"/>
        </w:rPr>
        <w:t>:K</w:t>
      </w:r>
      <w:r>
        <w:rPr>
          <w:rFonts w:hint="eastAsia" w:ascii="Times New Roman"/>
          <w:vertAlign w:val="subscript"/>
        </w:rPr>
        <w:t>2</w:t>
      </w:r>
      <w:r>
        <w:rPr>
          <w:rFonts w:hint="eastAsia" w:ascii="Times New Roman"/>
        </w:rPr>
        <w:t>O=17:17:17）20kg，复合肥的使用应符合NY/T 496的规定。旋耕作业质量符合NY/T 499中的规定。</w:t>
      </w:r>
    </w:p>
    <w:p>
      <w:pPr>
        <w:pStyle w:val="8"/>
        <w:numPr>
          <w:ilvl w:val="0"/>
          <w:numId w:val="0"/>
        </w:numPr>
        <w:spacing w:before="312" w:after="312"/>
        <w:rPr>
          <w:rFonts w:ascii="Times New Roman"/>
        </w:rPr>
      </w:pPr>
      <w:r>
        <w:rPr>
          <w:rFonts w:hint="eastAsia" w:ascii="Times New Roman"/>
        </w:rPr>
        <w:t>6.2 播种</w:t>
      </w:r>
    </w:p>
    <w:p>
      <w:pPr>
        <w:pStyle w:val="8"/>
        <w:numPr>
          <w:ilvl w:val="0"/>
          <w:numId w:val="0"/>
        </w:numPr>
        <w:spacing w:before="312" w:after="312"/>
        <w:rPr>
          <w:rFonts w:ascii="Times New Roman"/>
        </w:rPr>
      </w:pPr>
      <w:r>
        <w:rPr>
          <w:rFonts w:hint="eastAsia" w:ascii="Times New Roman"/>
        </w:rPr>
        <w:t>6.2.1 绿肥作物选择</w:t>
      </w:r>
    </w:p>
    <w:p>
      <w:pPr>
        <w:pStyle w:val="6"/>
        <w:spacing w:line="360" w:lineRule="auto"/>
        <w:rPr>
          <w:rFonts w:ascii="Times New Roman"/>
        </w:rPr>
      </w:pPr>
      <w:r>
        <w:rPr>
          <w:rFonts w:hint="eastAsia" w:ascii="Times New Roman"/>
        </w:rPr>
        <w:t>播种的绿肥作物可选择生育期较短的田菁、</w:t>
      </w:r>
      <w:r>
        <w:rPr>
          <w:rFonts w:hint="eastAsia" w:ascii="Times New Roman"/>
          <w:lang w:val="en-US" w:eastAsia="zh-CN"/>
        </w:rPr>
        <w:t>绿豆</w:t>
      </w:r>
      <w:r>
        <w:rPr>
          <w:rFonts w:hint="eastAsia" w:ascii="Times New Roman"/>
        </w:rPr>
        <w:t>等。</w:t>
      </w:r>
    </w:p>
    <w:p>
      <w:pPr>
        <w:pStyle w:val="8"/>
        <w:numPr>
          <w:ilvl w:val="0"/>
          <w:numId w:val="0"/>
        </w:numPr>
        <w:spacing w:before="312" w:after="312"/>
        <w:rPr>
          <w:rFonts w:ascii="Times New Roman"/>
        </w:rPr>
      </w:pPr>
      <w:r>
        <w:rPr>
          <w:rFonts w:hint="eastAsia" w:ascii="Times New Roman"/>
        </w:rPr>
        <w:t>6.2.2 播种时间</w:t>
      </w:r>
    </w:p>
    <w:p>
      <w:pPr>
        <w:pStyle w:val="6"/>
        <w:spacing w:line="360" w:lineRule="auto"/>
        <w:rPr>
          <w:rFonts w:ascii="Times New Roman"/>
        </w:rPr>
      </w:pPr>
      <w:r>
        <w:rPr>
          <w:rFonts w:hint="eastAsia" w:ascii="Times New Roman"/>
        </w:rPr>
        <w:t>春播燕麦收获后即时播种绿肥作物。</w:t>
      </w:r>
    </w:p>
    <w:p>
      <w:pPr>
        <w:pStyle w:val="8"/>
        <w:numPr>
          <w:ilvl w:val="0"/>
          <w:numId w:val="0"/>
        </w:numPr>
        <w:spacing w:before="312" w:after="312"/>
        <w:rPr>
          <w:rFonts w:ascii="Times New Roman"/>
        </w:rPr>
      </w:pPr>
      <w:r>
        <w:rPr>
          <w:rFonts w:hint="eastAsia" w:ascii="Times New Roman"/>
        </w:rPr>
        <w:t>6.2.3 播量与播深</w:t>
      </w:r>
    </w:p>
    <w:p>
      <w:pPr>
        <w:pStyle w:val="6"/>
        <w:spacing w:line="360" w:lineRule="auto"/>
        <w:rPr>
          <w:rFonts w:ascii="Times New Roman"/>
        </w:rPr>
      </w:pPr>
      <w:r>
        <w:rPr>
          <w:rFonts w:hint="eastAsia" w:ascii="Times New Roman"/>
        </w:rPr>
        <w:t>田菁亩播量3-4kg，播种深度2-3cm，条播。</w:t>
      </w:r>
      <w:r>
        <w:rPr>
          <w:rFonts w:hint="eastAsia" w:ascii="Times New Roman"/>
          <w:lang w:val="en-US" w:eastAsia="zh-CN"/>
        </w:rPr>
        <w:t>绿豆</w:t>
      </w:r>
      <w:r>
        <w:rPr>
          <w:rFonts w:hint="eastAsia" w:ascii="Times New Roman"/>
        </w:rPr>
        <w:t>亩播量</w:t>
      </w:r>
      <w:r>
        <w:rPr>
          <w:rFonts w:hint="eastAsia" w:ascii="Times New Roman"/>
          <w:lang w:val="en-US" w:eastAsia="zh-CN"/>
        </w:rPr>
        <w:t>1.2-1.5</w:t>
      </w:r>
      <w:r>
        <w:rPr>
          <w:rFonts w:hint="eastAsia" w:ascii="Times New Roman"/>
        </w:rPr>
        <w:t>kg，播种深度1-2cm，条播或撒播。</w:t>
      </w:r>
    </w:p>
    <w:p>
      <w:pPr>
        <w:pStyle w:val="8"/>
        <w:numPr>
          <w:ilvl w:val="0"/>
          <w:numId w:val="0"/>
        </w:numPr>
        <w:spacing w:before="312" w:after="312"/>
        <w:rPr>
          <w:rFonts w:ascii="Times New Roman"/>
        </w:rPr>
      </w:pPr>
      <w:r>
        <w:rPr>
          <w:rFonts w:hint="eastAsia" w:ascii="Times New Roman"/>
        </w:rPr>
        <w:t>6.3 播后管理</w:t>
      </w:r>
    </w:p>
    <w:p>
      <w:pPr>
        <w:pStyle w:val="6"/>
        <w:spacing w:line="360" w:lineRule="auto"/>
        <w:rPr>
          <w:rFonts w:ascii="Times New Roman"/>
        </w:rPr>
      </w:pPr>
      <w:r>
        <w:rPr>
          <w:rFonts w:hint="eastAsia" w:ascii="Times New Roman"/>
        </w:rPr>
        <w:t>适时防治病虫草害，选用生物农药或高效低毒的化学农药，农药的使用应符合GB/T 8321、NY/T 1276的规定。</w:t>
      </w:r>
    </w:p>
    <w:p>
      <w:pPr>
        <w:pStyle w:val="8"/>
        <w:numPr>
          <w:ilvl w:val="0"/>
          <w:numId w:val="0"/>
        </w:numPr>
        <w:spacing w:before="312" w:after="312"/>
        <w:rPr>
          <w:rFonts w:ascii="Times New Roman"/>
        </w:rPr>
      </w:pPr>
      <w:r>
        <w:rPr>
          <w:rFonts w:hint="eastAsia" w:ascii="Times New Roman"/>
        </w:rPr>
        <w:t>6.4 收获</w:t>
      </w:r>
    </w:p>
    <w:p>
      <w:pPr>
        <w:pStyle w:val="6"/>
        <w:spacing w:line="360" w:lineRule="auto"/>
        <w:rPr>
          <w:rFonts w:ascii="Times New Roman"/>
        </w:rPr>
      </w:pPr>
      <w:r>
        <w:rPr>
          <w:rFonts w:hint="eastAsia" w:ascii="Times New Roman"/>
        </w:rPr>
        <w:t>于8月初对种植的绿肥作物</w:t>
      </w:r>
      <w:r>
        <w:rPr>
          <w:rFonts w:hint="eastAsia" w:ascii="Times New Roman"/>
          <w:lang w:val="en-US" w:eastAsia="zh-CN"/>
        </w:rPr>
        <w:t>粉碎、</w:t>
      </w:r>
      <w:r>
        <w:rPr>
          <w:rFonts w:hint="eastAsia" w:ascii="Times New Roman"/>
        </w:rPr>
        <w:t>翻压入土还田</w:t>
      </w:r>
      <w:r>
        <w:rPr>
          <w:rFonts w:hint="eastAsia" w:ascii="Times New Roman"/>
          <w:lang w:eastAsia="zh-CN"/>
        </w:rPr>
        <w:t>，</w:t>
      </w:r>
      <w:r>
        <w:rPr>
          <w:rFonts w:hint="eastAsia" w:ascii="Times New Roman"/>
          <w:lang w:val="en-US" w:eastAsia="zh-CN"/>
        </w:rPr>
        <w:t>深度20cm</w:t>
      </w:r>
      <w:r>
        <w:rPr>
          <w:rFonts w:hint="eastAsia" w:ascii="Times New Roman"/>
        </w:rPr>
        <w:t>。收获时间最晚不晚于8月10日。</w:t>
      </w:r>
    </w:p>
    <w:p>
      <w:pPr>
        <w:pStyle w:val="8"/>
        <w:numPr>
          <w:ilvl w:val="0"/>
          <w:numId w:val="0"/>
        </w:numPr>
        <w:spacing w:before="312" w:after="312"/>
        <w:rPr>
          <w:rFonts w:ascii="Times New Roman"/>
        </w:rPr>
      </w:pPr>
      <w:r>
        <w:rPr>
          <w:rFonts w:hint="eastAsia" w:ascii="Times New Roman"/>
        </w:rPr>
        <w:t>7 燕麦秋播</w:t>
      </w:r>
    </w:p>
    <w:p>
      <w:pPr>
        <w:pStyle w:val="8"/>
        <w:numPr>
          <w:ilvl w:val="0"/>
          <w:numId w:val="0"/>
        </w:numPr>
        <w:spacing w:before="312" w:after="312"/>
        <w:rPr>
          <w:rFonts w:ascii="Times New Roman"/>
        </w:rPr>
      </w:pPr>
      <w:r>
        <w:rPr>
          <w:rFonts w:hint="eastAsia" w:ascii="Times New Roman"/>
        </w:rPr>
        <w:t>7.1旋耕施肥</w:t>
      </w:r>
    </w:p>
    <w:p>
      <w:pPr>
        <w:pStyle w:val="6"/>
        <w:spacing w:line="360" w:lineRule="auto"/>
        <w:rPr>
          <w:rFonts w:ascii="Times New Roman"/>
        </w:rPr>
      </w:pPr>
      <w:r>
        <w:rPr>
          <w:rFonts w:hint="eastAsia" w:ascii="Times New Roman"/>
        </w:rPr>
        <w:t>结合旋耕亩施复合肥（N:P</w:t>
      </w:r>
      <w:r>
        <w:rPr>
          <w:rFonts w:hint="eastAsia" w:ascii="Times New Roman"/>
          <w:vertAlign w:val="subscript"/>
        </w:rPr>
        <w:t>2</w:t>
      </w:r>
      <w:r>
        <w:rPr>
          <w:rFonts w:hint="eastAsia" w:ascii="Times New Roman"/>
        </w:rPr>
        <w:t>O</w:t>
      </w:r>
      <w:r>
        <w:rPr>
          <w:rFonts w:hint="eastAsia" w:ascii="Times New Roman"/>
          <w:vertAlign w:val="subscript"/>
        </w:rPr>
        <w:t>5</w:t>
      </w:r>
      <w:r>
        <w:rPr>
          <w:rFonts w:hint="eastAsia" w:ascii="Times New Roman"/>
        </w:rPr>
        <w:t>:K</w:t>
      </w:r>
      <w:r>
        <w:rPr>
          <w:rFonts w:hint="eastAsia" w:ascii="Times New Roman"/>
          <w:vertAlign w:val="subscript"/>
        </w:rPr>
        <w:t>2</w:t>
      </w:r>
      <w:r>
        <w:rPr>
          <w:rFonts w:hint="eastAsia" w:ascii="Times New Roman"/>
        </w:rPr>
        <w:t>O=17:17:17）</w:t>
      </w:r>
      <w:r>
        <w:rPr>
          <w:rFonts w:hint="eastAsia" w:ascii="Times New Roman"/>
          <w:lang w:val="en-US" w:eastAsia="zh-CN"/>
        </w:rPr>
        <w:t>4</w:t>
      </w:r>
      <w:r>
        <w:rPr>
          <w:rFonts w:hint="eastAsia" w:ascii="Times New Roman"/>
        </w:rPr>
        <w:t>0kg，复合肥的使用应符合NY/T 496的规定。旋耕作业质量符合NY/T 499中的规定。</w:t>
      </w:r>
    </w:p>
    <w:p>
      <w:pPr>
        <w:pStyle w:val="8"/>
        <w:numPr>
          <w:ilvl w:val="0"/>
          <w:numId w:val="0"/>
        </w:numPr>
        <w:spacing w:before="312" w:after="312"/>
        <w:rPr>
          <w:rFonts w:ascii="Times New Roman"/>
        </w:rPr>
      </w:pPr>
      <w:r>
        <w:rPr>
          <w:rFonts w:hint="eastAsia" w:ascii="Times New Roman"/>
        </w:rPr>
        <w:t>7.2品种选择</w:t>
      </w:r>
    </w:p>
    <w:p>
      <w:pPr>
        <w:pStyle w:val="6"/>
        <w:spacing w:line="360" w:lineRule="auto"/>
        <w:rPr>
          <w:rFonts w:ascii="Times New Roman"/>
        </w:rPr>
      </w:pPr>
      <w:r>
        <w:rPr>
          <w:rFonts w:hint="eastAsia" w:ascii="Times New Roman"/>
        </w:rPr>
        <w:t>选用抗逆丰产优质、生育期不超过90d的短生育期饲用燕麦品种。种子质量符合GB 6142 的规定。</w:t>
      </w:r>
    </w:p>
    <w:p>
      <w:pPr>
        <w:pStyle w:val="8"/>
        <w:numPr>
          <w:ilvl w:val="0"/>
          <w:numId w:val="0"/>
        </w:numPr>
        <w:spacing w:before="312" w:after="312"/>
        <w:rPr>
          <w:rFonts w:ascii="Times New Roman"/>
        </w:rPr>
      </w:pPr>
      <w:r>
        <w:rPr>
          <w:rFonts w:hint="eastAsia" w:ascii="Times New Roman"/>
        </w:rPr>
        <w:t>7.3种子处理</w:t>
      </w:r>
    </w:p>
    <w:p>
      <w:pPr>
        <w:pStyle w:val="6"/>
        <w:spacing w:line="360" w:lineRule="auto"/>
        <w:rPr>
          <w:rFonts w:ascii="Times New Roman"/>
        </w:rPr>
      </w:pPr>
      <w:r>
        <w:rPr>
          <w:rFonts w:hint="eastAsia" w:ascii="Times New Roman"/>
        </w:rPr>
        <w:t>播种前晒种，针对当地病虫害选用高效低毒的农药拌种或包衣，农药的使用应符合GB/T 8321的规定，种子包衣质量应符合GB/T 15671的规定。</w:t>
      </w:r>
    </w:p>
    <w:p>
      <w:pPr>
        <w:pStyle w:val="8"/>
        <w:numPr>
          <w:ilvl w:val="0"/>
          <w:numId w:val="0"/>
        </w:numPr>
        <w:spacing w:before="312" w:after="312"/>
        <w:rPr>
          <w:rFonts w:ascii="Times New Roman"/>
        </w:rPr>
      </w:pPr>
      <w:r>
        <w:rPr>
          <w:rFonts w:hint="eastAsia" w:ascii="Times New Roman"/>
        </w:rPr>
        <w:t>7.</w:t>
      </w:r>
      <w:r>
        <w:rPr>
          <w:rFonts w:hint="eastAsia" w:ascii="Times New Roman"/>
          <w:lang w:val="en-US" w:eastAsia="zh-CN"/>
        </w:rPr>
        <w:t>4</w:t>
      </w:r>
      <w:r>
        <w:rPr>
          <w:rFonts w:hint="eastAsia" w:ascii="Times New Roman"/>
        </w:rPr>
        <w:t xml:space="preserve"> 播种</w:t>
      </w:r>
    </w:p>
    <w:p>
      <w:pPr>
        <w:pStyle w:val="8"/>
        <w:numPr>
          <w:ilvl w:val="0"/>
          <w:numId w:val="0"/>
        </w:numPr>
        <w:spacing w:before="312" w:after="312"/>
        <w:rPr>
          <w:rFonts w:ascii="Times New Roman"/>
        </w:rPr>
      </w:pPr>
      <w:r>
        <w:rPr>
          <w:rFonts w:hint="eastAsia" w:ascii="Times New Roman"/>
        </w:rPr>
        <w:t>7.</w:t>
      </w:r>
      <w:r>
        <w:rPr>
          <w:rFonts w:hint="eastAsia" w:ascii="Times New Roman"/>
          <w:lang w:val="en-US" w:eastAsia="zh-CN"/>
        </w:rPr>
        <w:t>4</w:t>
      </w:r>
      <w:r>
        <w:rPr>
          <w:rFonts w:hint="eastAsia" w:ascii="Times New Roman"/>
        </w:rPr>
        <w:t>.1播期</w:t>
      </w:r>
    </w:p>
    <w:p>
      <w:pPr>
        <w:pStyle w:val="6"/>
        <w:spacing w:line="360" w:lineRule="auto"/>
        <w:rPr>
          <w:rFonts w:ascii="Times New Roman"/>
        </w:rPr>
      </w:pPr>
      <w:r>
        <w:rPr>
          <w:rFonts w:hint="eastAsia" w:ascii="Times New Roman"/>
        </w:rPr>
        <w:t>一般为8月上旬，最晚不晚于8月1</w:t>
      </w:r>
      <w:r>
        <w:rPr>
          <w:rFonts w:hint="default" w:ascii="Times New Roman"/>
          <w:lang w:val="en-US"/>
        </w:rPr>
        <w:t>0</w:t>
      </w:r>
      <w:r>
        <w:rPr>
          <w:rFonts w:hint="eastAsia" w:ascii="Times New Roman"/>
        </w:rPr>
        <w:t>日。</w:t>
      </w:r>
    </w:p>
    <w:p>
      <w:pPr>
        <w:pStyle w:val="8"/>
        <w:numPr>
          <w:ilvl w:val="0"/>
          <w:numId w:val="0"/>
        </w:numPr>
        <w:spacing w:before="312" w:after="312"/>
        <w:rPr>
          <w:rFonts w:ascii="Times New Roman"/>
        </w:rPr>
      </w:pPr>
      <w:r>
        <w:rPr>
          <w:rFonts w:hint="eastAsia" w:ascii="Times New Roman"/>
        </w:rPr>
        <w:t>7.</w:t>
      </w:r>
      <w:r>
        <w:rPr>
          <w:rFonts w:hint="eastAsia" w:ascii="Times New Roman"/>
          <w:lang w:val="en-US" w:eastAsia="zh-CN"/>
        </w:rPr>
        <w:t>4</w:t>
      </w:r>
      <w:r>
        <w:rPr>
          <w:rFonts w:hint="eastAsia" w:ascii="Times New Roman"/>
        </w:rPr>
        <w:t>.2播量与播深</w:t>
      </w:r>
    </w:p>
    <w:p>
      <w:pPr>
        <w:pStyle w:val="6"/>
        <w:spacing w:line="360" w:lineRule="auto"/>
        <w:rPr>
          <w:rFonts w:ascii="Times New Roman"/>
        </w:rPr>
      </w:pPr>
      <w:r>
        <w:rPr>
          <w:rFonts w:hint="eastAsia" w:ascii="Times New Roman"/>
        </w:rPr>
        <w:t>亩播量</w:t>
      </w:r>
      <w:r>
        <w:rPr>
          <w:rFonts w:hint="eastAsia" w:ascii="Times New Roman"/>
          <w:lang w:val="en-US" w:eastAsia="zh-CN"/>
        </w:rPr>
        <w:t>7</w:t>
      </w:r>
      <w:r>
        <w:rPr>
          <w:rFonts w:hint="eastAsia" w:ascii="Times New Roman"/>
        </w:rPr>
        <w:t>kg～</w:t>
      </w:r>
      <w:r>
        <w:rPr>
          <w:rFonts w:hint="eastAsia" w:ascii="Times New Roman"/>
          <w:lang w:val="en-US" w:eastAsia="zh-CN"/>
        </w:rPr>
        <w:t>8</w:t>
      </w:r>
      <w:r>
        <w:rPr>
          <w:rFonts w:hint="eastAsia" w:ascii="Times New Roman"/>
        </w:rPr>
        <w:t>kg，播深3cm～5cm，行距17 cm，播后根据墒情适时镇压。</w:t>
      </w:r>
    </w:p>
    <w:p>
      <w:pPr>
        <w:pStyle w:val="8"/>
        <w:numPr>
          <w:ilvl w:val="0"/>
          <w:numId w:val="0"/>
        </w:numPr>
        <w:spacing w:before="312" w:after="312"/>
        <w:rPr>
          <w:rFonts w:ascii="Times New Roman"/>
        </w:rPr>
      </w:pPr>
      <w:r>
        <w:rPr>
          <w:rFonts w:hint="eastAsia" w:ascii="Times New Roman"/>
        </w:rPr>
        <w:t>7.</w:t>
      </w:r>
      <w:r>
        <w:rPr>
          <w:rFonts w:hint="eastAsia" w:ascii="Times New Roman"/>
          <w:lang w:val="en-US" w:eastAsia="zh-CN"/>
        </w:rPr>
        <w:t>5</w:t>
      </w:r>
      <w:r>
        <w:rPr>
          <w:rFonts w:hint="eastAsia" w:ascii="Times New Roman"/>
        </w:rPr>
        <w:t>播后管理</w:t>
      </w:r>
    </w:p>
    <w:p>
      <w:pPr>
        <w:pStyle w:val="8"/>
        <w:numPr>
          <w:ilvl w:val="0"/>
          <w:numId w:val="0"/>
        </w:numPr>
        <w:spacing w:before="312" w:after="312"/>
        <w:rPr>
          <w:rFonts w:ascii="Times New Roman"/>
        </w:rPr>
      </w:pPr>
      <w:r>
        <w:rPr>
          <w:rFonts w:hint="eastAsia" w:ascii="Times New Roman"/>
        </w:rPr>
        <w:t>7.</w:t>
      </w:r>
      <w:r>
        <w:rPr>
          <w:rFonts w:hint="eastAsia" w:ascii="Times New Roman"/>
          <w:lang w:val="en-US" w:eastAsia="zh-CN"/>
        </w:rPr>
        <w:t>5</w:t>
      </w:r>
      <w:r>
        <w:rPr>
          <w:rFonts w:hint="eastAsia" w:ascii="Times New Roman"/>
        </w:rPr>
        <w:t>.1追肥</w:t>
      </w:r>
    </w:p>
    <w:p>
      <w:pPr>
        <w:pStyle w:val="6"/>
        <w:spacing w:line="360" w:lineRule="auto"/>
        <w:rPr>
          <w:rFonts w:ascii="Times New Roman"/>
        </w:rPr>
      </w:pPr>
      <w:r>
        <w:rPr>
          <w:rFonts w:hint="eastAsia" w:ascii="Times New Roman"/>
        </w:rPr>
        <w:t>拔节期进行追肥，追施尿素10kg/亩～15kg/亩。</w:t>
      </w:r>
    </w:p>
    <w:p>
      <w:pPr>
        <w:pStyle w:val="8"/>
        <w:numPr>
          <w:ilvl w:val="0"/>
          <w:numId w:val="0"/>
        </w:numPr>
        <w:spacing w:before="312" w:after="312"/>
        <w:rPr>
          <w:rFonts w:hint="default" w:ascii="Times New Roman" w:eastAsia="黑体"/>
          <w:lang w:val="en-US" w:eastAsia="zh-CN"/>
        </w:rPr>
      </w:pPr>
      <w:r>
        <w:rPr>
          <w:rFonts w:hint="eastAsia" w:ascii="Times New Roman"/>
          <w:lang w:val="en-US" w:eastAsia="zh-CN"/>
        </w:rPr>
        <w:t>7.5.2 灌溉</w:t>
      </w:r>
      <w:bookmarkStart w:id="2" w:name="_GoBack"/>
      <w:bookmarkEnd w:id="2"/>
    </w:p>
    <w:p>
      <w:pPr>
        <w:pStyle w:val="6"/>
        <w:spacing w:line="360" w:lineRule="auto"/>
        <w:rPr>
          <w:rFonts w:ascii="Times New Roman"/>
        </w:rPr>
      </w:pPr>
      <w:r>
        <w:rPr>
          <w:rFonts w:hint="eastAsia" w:ascii="Times New Roman"/>
          <w:lang w:val="en-US" w:eastAsia="zh-CN"/>
        </w:rPr>
        <w:t>根据墒情可</w:t>
      </w:r>
      <w:r>
        <w:rPr>
          <w:rFonts w:hint="eastAsia" w:ascii="Times New Roman"/>
        </w:rPr>
        <w:t>在拔节期灌溉一次，灌水定额为</w:t>
      </w:r>
      <w:r>
        <w:rPr>
          <w:rFonts w:hint="eastAsia" w:ascii="Times New Roman"/>
          <w:lang w:val="en-US" w:eastAsia="zh-CN"/>
        </w:rPr>
        <w:t>30-</w:t>
      </w:r>
      <w:r>
        <w:rPr>
          <w:rFonts w:hint="eastAsia" w:ascii="Times New Roman"/>
        </w:rPr>
        <w:t>50m</w:t>
      </w:r>
      <w:r>
        <w:rPr>
          <w:rFonts w:hint="eastAsia" w:ascii="Times New Roman"/>
          <w:vertAlign w:val="superscript"/>
        </w:rPr>
        <w:t>3</w:t>
      </w:r>
      <w:r>
        <w:rPr>
          <w:rFonts w:hint="eastAsia" w:ascii="Times New Roman"/>
        </w:rPr>
        <w:t>/亩。</w:t>
      </w:r>
    </w:p>
    <w:p>
      <w:pPr>
        <w:pStyle w:val="8"/>
        <w:numPr>
          <w:ilvl w:val="0"/>
          <w:numId w:val="0"/>
        </w:numPr>
        <w:spacing w:before="312" w:after="312"/>
        <w:rPr>
          <w:rFonts w:ascii="Times New Roman"/>
        </w:rPr>
      </w:pPr>
      <w:r>
        <w:rPr>
          <w:rFonts w:hint="eastAsia" w:ascii="Times New Roman"/>
        </w:rPr>
        <w:t>7.</w:t>
      </w:r>
      <w:r>
        <w:rPr>
          <w:rFonts w:hint="eastAsia" w:ascii="Times New Roman"/>
          <w:lang w:val="en-US" w:eastAsia="zh-CN"/>
        </w:rPr>
        <w:t>5</w:t>
      </w:r>
      <w:r>
        <w:rPr>
          <w:rFonts w:hint="eastAsia" w:ascii="Times New Roman"/>
        </w:rPr>
        <w:t>.</w:t>
      </w:r>
      <w:r>
        <w:rPr>
          <w:rFonts w:hint="eastAsia" w:ascii="Times New Roman"/>
          <w:lang w:val="en-US" w:eastAsia="zh-CN"/>
        </w:rPr>
        <w:t>3</w:t>
      </w:r>
      <w:r>
        <w:rPr>
          <w:rFonts w:hint="eastAsia" w:ascii="Times New Roman"/>
        </w:rPr>
        <w:t>病虫草害防治</w:t>
      </w:r>
    </w:p>
    <w:p>
      <w:pPr>
        <w:pStyle w:val="6"/>
        <w:spacing w:line="360" w:lineRule="auto"/>
        <w:rPr>
          <w:rFonts w:ascii="Times New Roman"/>
        </w:rPr>
      </w:pPr>
      <w:r>
        <w:rPr>
          <w:rFonts w:hint="eastAsia" w:ascii="Times New Roman"/>
        </w:rPr>
        <w:t>适时防治病虫草害，选用生物农药或高效低毒的化学农药，农药的使用应符合GB/T 8321、NY/T 1276的规定。</w:t>
      </w:r>
    </w:p>
    <w:p>
      <w:pPr>
        <w:pStyle w:val="8"/>
        <w:numPr>
          <w:ilvl w:val="0"/>
          <w:numId w:val="0"/>
        </w:numPr>
        <w:spacing w:before="312" w:after="312"/>
        <w:rPr>
          <w:rFonts w:ascii="Times New Roman"/>
        </w:rPr>
      </w:pPr>
      <w:r>
        <w:rPr>
          <w:rFonts w:hint="eastAsia" w:ascii="Times New Roman"/>
        </w:rPr>
        <w:t>7.</w:t>
      </w:r>
      <w:r>
        <w:rPr>
          <w:rFonts w:hint="eastAsia" w:ascii="Times New Roman"/>
          <w:lang w:val="en-US" w:eastAsia="zh-CN"/>
        </w:rPr>
        <w:t>6</w:t>
      </w:r>
      <w:r>
        <w:rPr>
          <w:rFonts w:hint="eastAsia" w:ascii="Times New Roman"/>
        </w:rPr>
        <w:t xml:space="preserve"> 收获</w:t>
      </w:r>
    </w:p>
    <w:p>
      <w:pPr>
        <w:pStyle w:val="6"/>
        <w:spacing w:line="360" w:lineRule="auto"/>
        <w:rPr>
          <w:rFonts w:ascii="Times New Roman"/>
        </w:rPr>
      </w:pPr>
      <w:r>
        <w:rPr>
          <w:rFonts w:hint="eastAsia" w:ascii="Times New Roman"/>
        </w:rPr>
        <w:t>霜前燕麦乳熟期进行收获，收获时间最晚不晚于11月1</w:t>
      </w:r>
      <w:r>
        <w:rPr>
          <w:rFonts w:hint="eastAsia" w:ascii="Times New Roman"/>
          <w:lang w:val="en-US" w:eastAsia="zh-CN"/>
        </w:rPr>
        <w:t>5</w:t>
      </w:r>
      <w:r>
        <w:rPr>
          <w:rFonts w:hint="eastAsia" w:ascii="Times New Roman"/>
        </w:rPr>
        <w:t>日。</w:t>
      </w:r>
    </w:p>
    <w:p>
      <w:pPr>
        <w:pStyle w:val="10"/>
        <w:framePr w:wrap="around"/>
      </w:pPr>
      <w:r>
        <w:t>_________________________________</w:t>
      </w:r>
    </w:p>
    <w:p/>
    <w:p/>
    <w:sectPr>
      <w:headerReference r:id="rId3" w:type="default"/>
      <w:footerReference r:id="rId4" w:type="default"/>
      <w:pgSz w:w="11906" w:h="16838"/>
      <w:pgMar w:top="567" w:right="1134" w:bottom="1134" w:left="1418" w:header="1418" w:footer="1134" w:gutter="0"/>
      <w:pgNumType w:start="1"/>
      <w:cols w:space="425"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fldChar w:fldCharType="begin"/>
    </w:r>
    <w:r>
      <w:instrText xml:space="preserve"> PAGE  \* MERGEFORMAT </w:instrText>
    </w:r>
    <w:r>
      <w:fldChar w:fldCharType="separate"/>
    </w:r>
    <w:r>
      <w:t>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t>DBXX/ XXXXX—XXXX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8"/>
      <w:suff w:val="nothing"/>
      <w:lvlText w:val="%1　"/>
      <w:lvlJc w:val="left"/>
      <w:rPr>
        <w:rFonts w:hint="eastAsia" w:ascii="黑体" w:hAnsi="Times New Roman" w:eastAsia="黑体" w:cs="Times New Roman"/>
        <w:b w:val="0"/>
        <w:i w:val="0"/>
        <w:sz w:val="21"/>
        <w:szCs w:val="21"/>
      </w:rPr>
    </w:lvl>
    <w:lvl w:ilvl="1" w:tentative="0">
      <w:start w:val="1"/>
      <w:numFmt w:val="decimal"/>
      <w:pStyle w:val="9"/>
      <w:suff w:val="nothing"/>
      <w:lvlText w:val="%1.%2　"/>
      <w:lvlJc w:val="left"/>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suff w:val="nothing"/>
      <w:lvlText w:val="%1.%2.%3　"/>
      <w:lvlJc w:val="left"/>
      <w:pPr>
        <w:ind w:left="709"/>
      </w:pPr>
      <w:rPr>
        <w:rFonts w:hint="eastAsia" w:ascii="黑体" w:hAnsi="Times New Roman" w:eastAsia="黑体" w:cs="Times New Roman"/>
        <w:b w:val="0"/>
        <w:i w:val="0"/>
        <w:sz w:val="21"/>
      </w:rPr>
    </w:lvl>
    <w:lvl w:ilvl="3" w:tentative="0">
      <w:start w:val="1"/>
      <w:numFmt w:val="decimal"/>
      <w:suff w:val="nothing"/>
      <w:lvlText w:val="%1.%2.%3.%4　"/>
      <w:lvlJc w:val="left"/>
      <w:rPr>
        <w:rFonts w:hint="eastAsia" w:ascii="黑体" w:hAnsi="Times New Roman" w:eastAsia="黑体" w:cs="Times New Roman"/>
        <w:b w:val="0"/>
        <w:i w:val="0"/>
        <w:color w:val="auto"/>
        <w:sz w:val="21"/>
      </w:rPr>
    </w:lvl>
    <w:lvl w:ilvl="4" w:tentative="0">
      <w:start w:val="1"/>
      <w:numFmt w:val="decimal"/>
      <w:suff w:val="nothing"/>
      <w:lvlText w:val="%1.%2.%3.%4.%5　"/>
      <w:lvlJc w:val="left"/>
      <w:rPr>
        <w:rFonts w:hint="eastAsia" w:ascii="黑体" w:hAnsi="Times New Roman" w:eastAsia="黑体" w:cs="Times New Roman"/>
        <w:b w:val="0"/>
        <w:i w:val="0"/>
        <w:sz w:val="21"/>
      </w:rPr>
    </w:lvl>
    <w:lvl w:ilvl="5" w:tentative="0">
      <w:start w:val="1"/>
      <w:numFmt w:val="decimal"/>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I0NTZiMDEwMjlkNjliZDlmZGIwMDhjNmM4OTMxMzAifQ=="/>
  </w:docVars>
  <w:rsids>
    <w:rsidRoot w:val="389F5A9B"/>
    <w:rsid w:val="01626374"/>
    <w:rsid w:val="0B543976"/>
    <w:rsid w:val="10AF4A06"/>
    <w:rsid w:val="11B83D8F"/>
    <w:rsid w:val="1F813A12"/>
    <w:rsid w:val="2205092A"/>
    <w:rsid w:val="29C92C9E"/>
    <w:rsid w:val="2E743721"/>
    <w:rsid w:val="336631F3"/>
    <w:rsid w:val="3503479B"/>
    <w:rsid w:val="389F5A9B"/>
    <w:rsid w:val="3BCC2061"/>
    <w:rsid w:val="46713F31"/>
    <w:rsid w:val="482D42A0"/>
    <w:rsid w:val="4B736055"/>
    <w:rsid w:val="4DD93673"/>
    <w:rsid w:val="50746AF7"/>
    <w:rsid w:val="530D6D8F"/>
    <w:rsid w:val="58EC5484"/>
    <w:rsid w:val="68252DED"/>
    <w:rsid w:val="69BF098B"/>
    <w:rsid w:val="77642B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customStyle="1" w:styleId="5">
    <w:name w:val="前言、引言标题"/>
    <w:next w:val="6"/>
    <w:qFormat/>
    <w:uiPriority w:val="99"/>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6">
    <w:name w:val="段"/>
    <w:qFormat/>
    <w:uiPriority w:val="99"/>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7">
    <w:name w:val="目次、标准名称标题"/>
    <w:basedOn w:val="1"/>
    <w:next w:val="6"/>
    <w:qFormat/>
    <w:uiPriority w:val="99"/>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8">
    <w:name w:val="章标题"/>
    <w:next w:val="6"/>
    <w:qFormat/>
    <w:uiPriority w:val="99"/>
    <w:pPr>
      <w:numPr>
        <w:ilvl w:val="0"/>
        <w:numId w:val="1"/>
      </w:numPr>
      <w:spacing w:beforeLines="100" w:afterLines="100"/>
      <w:jc w:val="both"/>
      <w:outlineLvl w:val="1"/>
    </w:pPr>
    <w:rPr>
      <w:rFonts w:ascii="黑体" w:hAnsi="Times New Roman" w:eastAsia="黑体" w:cs="Times New Roman"/>
      <w:sz w:val="21"/>
      <w:lang w:val="en-US" w:eastAsia="zh-CN" w:bidi="ar-SA"/>
    </w:rPr>
  </w:style>
  <w:style w:type="paragraph" w:customStyle="1" w:styleId="9">
    <w:name w:val="一级条标题"/>
    <w:next w:val="6"/>
    <w:qFormat/>
    <w:uiPriority w:val="99"/>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10">
    <w:name w:val="终结线"/>
    <w:basedOn w:val="1"/>
    <w:qFormat/>
    <w:uiPriority w:val="99"/>
    <w:pPr>
      <w:framePr w:hSpace="181" w:vSpace="181" w:wrap="around" w:vAnchor="text" w:hAnchor="margin" w:xAlign="center" w:y="285"/>
    </w:pPr>
  </w:style>
  <w:style w:type="paragraph" w:customStyle="1" w:styleId="11">
    <w:name w:val="标准书眉_奇数页"/>
    <w:next w:val="1"/>
    <w:qFormat/>
    <w:uiPriority w:val="99"/>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12">
    <w:name w:val="标准书脚_奇数页"/>
    <w:qFormat/>
    <w:uiPriority w:val="99"/>
    <w:pPr>
      <w:spacing w:before="120"/>
      <w:ind w:right="198"/>
      <w:jc w:val="right"/>
    </w:pPr>
    <w:rPr>
      <w:rFonts w:ascii="宋体" w:hAnsi="Times New Roman" w:eastAsia="宋体" w:cs="Times New Roman"/>
      <w:sz w:val="18"/>
      <w:szCs w:val="18"/>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1353</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2023-09-09T08:41:00Z</dcterms:created>
  <dc:creator>沧海一粟</dc:creator>
  <cp:lastModifiedBy>沧海一粟</cp:lastModifiedBy>
  <dcterms:modified xsi:type="dcterms:W3CDTF">2023-09-12T00:44:13Z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09E69E7087E04AC389C883DF20995DB0_11</vt:lpwstr>
  </property>
</Properties>
</file>