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9"/>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rPr>
        <w:t>ICS </w:t>
      </w:r>
      <w:r>
        <w:rPr>
          <w:rFonts w:hint="eastAsia" w:ascii="黑体" w:hAnsi="黑体" w:eastAsia="黑体" w:cs="黑体"/>
          <w:color w:val="auto"/>
          <w:sz w:val="21"/>
          <w:szCs w:val="21"/>
          <w:lang w:val="en-US" w:eastAsia="zh-CN"/>
        </w:rPr>
        <w:t>xxxx</w:t>
      </w:r>
    </w:p>
    <w:p>
      <w:pPr>
        <w:pStyle w:val="49"/>
        <w:framePr w:w="4233" w:wrap="around" w:vAnchor="page" w:hAnchor="page" w:x="6291" w:y="510"/>
        <w:rPr>
          <w:rFonts w:hint="default" w:eastAsia="宋体"/>
          <w:color w:val="auto"/>
          <w:lang w:val="en-US" w:eastAsia="zh-CN"/>
        </w:rPr>
      </w:pPr>
      <w:r>
        <w:rPr>
          <w:rFonts w:hint="eastAsia"/>
          <w:color w:val="auto"/>
        </w:rPr>
        <w:t>DB</w:t>
      </w:r>
      <w:r>
        <w:rPr>
          <w:rFonts w:hint="eastAsia"/>
          <w:color w:val="auto"/>
          <w:lang w:val="en-US" w:eastAsia="zh-CN"/>
        </w:rPr>
        <w:t>13</w:t>
      </w:r>
    </w:p>
    <w:p>
      <w:pPr>
        <w:pStyle w:val="105"/>
        <w:spacing w:line="440" w:lineRule="exact"/>
        <w:rPr>
          <w:rFonts w:hint="eastAsia" w:hAnsi="黑体" w:cs="黑体"/>
          <w:color w:val="auto"/>
        </w:rPr>
      </w:pPr>
    </w:p>
    <w:p>
      <w:pPr>
        <w:pStyle w:val="105"/>
        <w:spacing w:line="440" w:lineRule="exact"/>
        <w:rPr>
          <w:rFonts w:hint="eastAsia" w:hAnsi="黑体" w:cs="黑体"/>
          <w:color w:val="auto"/>
        </w:rPr>
      </w:pPr>
    </w:p>
    <w:p>
      <w:pPr>
        <w:pStyle w:val="105"/>
        <w:spacing w:line="440" w:lineRule="exact"/>
        <w:rPr>
          <w:rFonts w:hAnsi="黑体" w:cs="黑体"/>
          <w:color w:val="auto"/>
        </w:rPr>
      </w:pPr>
      <w:r>
        <w:rPr>
          <w:rFonts w:hint="eastAsia" w:hAnsi="黑体" w:cs="黑体"/>
          <w:color w:val="auto"/>
        </w:rPr>
        <w:t>河北省地方标准</w:t>
      </w:r>
    </w:p>
    <w:p>
      <w:pPr>
        <w:pStyle w:val="78"/>
        <w:spacing w:line="440" w:lineRule="exact"/>
        <w:rPr>
          <w:rFonts w:hAnsi="黑体" w:cs="黑体"/>
          <w:color w:val="auto"/>
        </w:rPr>
      </w:pPr>
      <w:r>
        <w:rPr>
          <w:rFonts w:hint="eastAsia" w:hAnsi="黑体" w:cs="黑体"/>
          <w:color w:val="auto"/>
          <w:lang w:val="en-US" w:eastAsia="zh-CN"/>
        </w:rPr>
        <w:t xml:space="preserve">                       </w:t>
      </w:r>
      <w:r>
        <w:rPr>
          <w:rFonts w:hint="eastAsia" w:hAnsi="黑体" w:cs="黑体"/>
          <w:color w:val="auto"/>
        </w:rPr>
        <w:t>DB</w:t>
      </w:r>
      <w:r>
        <w:rPr>
          <w:rFonts w:hint="eastAsia" w:hAnsi="黑体" w:cs="黑体"/>
          <w:color w:val="auto"/>
          <w:lang w:val="en-US" w:eastAsia="zh-CN"/>
        </w:rPr>
        <w:t>13</w:t>
      </w:r>
      <w:r>
        <w:rPr>
          <w:rFonts w:hint="eastAsia" w:hAnsi="黑体" w:cs="黑体"/>
          <w:color w:val="auto"/>
        </w:rPr>
        <w:t>/TXXXX-202</w:t>
      </w:r>
      <w:r>
        <w:rPr>
          <w:rFonts w:hint="eastAsia" w:hAnsi="黑体" w:cs="黑体"/>
          <w:color w:val="auto"/>
          <w:lang w:val="en-US" w:eastAsia="zh-CN"/>
        </w:rPr>
        <w:t>3</w:t>
      </w:r>
      <w:r>
        <w:rPr>
          <w:rFonts w:hint="eastAsia" w:hAnsi="黑体" w:cs="黑体"/>
          <w:color w:val="auto"/>
        </w:rPr>
        <w:t xml:space="preserve"> </w:t>
      </w:r>
    </w:p>
    <w:tbl>
      <w:tblPr>
        <w:tblStyle w:val="21"/>
        <w:tblW w:w="93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6" w:type="dxa"/>
            <w:tcBorders>
              <w:top w:val="nil"/>
              <w:left w:val="nil"/>
              <w:bottom w:val="nil"/>
              <w:right w:val="nil"/>
            </w:tcBorders>
          </w:tcPr>
          <w:p>
            <w:pPr>
              <w:pStyle w:val="130"/>
              <w:spacing w:line="440" w:lineRule="exact"/>
              <w:rPr>
                <w:rFonts w:ascii="黑体" w:hAnsi="黑体" w:eastAsia="黑体" w:cs="黑体"/>
                <w:color w:val="auto"/>
              </w:rPr>
            </w:pPr>
            <w:bookmarkStart w:id="0" w:name="DT"/>
            <w:r>
              <w:rPr>
                <w:rFonts w:hint="eastAsia"/>
                <w:color w:val="auto"/>
              </w:rPr>
              <mc:AlternateContent>
                <mc:Choice Requires="wps">
                  <w:drawing>
                    <wp:anchor distT="0" distB="0" distL="114300" distR="114300" simplePos="0" relativeHeight="251661312" behindDoc="0" locked="0" layoutInCell="1" allowOverlap="1">
                      <wp:simplePos x="0" y="0"/>
                      <wp:positionH relativeFrom="column">
                        <wp:posOffset>-153670</wp:posOffset>
                      </wp:positionH>
                      <wp:positionV relativeFrom="paragraph">
                        <wp:posOffset>20955</wp:posOffset>
                      </wp:positionV>
                      <wp:extent cx="6120130" cy="0"/>
                      <wp:effectExtent l="0" t="0" r="0" b="0"/>
                      <wp:wrapNone/>
                      <wp:docPr id="7" name="直线 5"/>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直线 5" o:spid="_x0000_s1026" o:spt="20" style="position:absolute;left:0pt;margin-left:-12.1pt;margin-top:1.65pt;height:0pt;width:481.9pt;z-index:251661312;mso-width-relative:page;mso-height-relative:page;" filled="f" stroked="t" coordsize="21600,21600" o:gfxdata="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9Dut7VAAAABwEAAA8AAAAAAAAAAQAgAAAA&#10;IgAAAGRycy9kb3ducmV2LnhtbFBLAQIUABQAAAAIAIdO4kBabi0M1QEAAKEDAAAOAAAAAAAAAAEA&#10;IAAAACQBAABkcnMvZTJvRG9jLnhtbFBLBQYAAAAABgAGAFkBAABrBQAAAAA=&#10;">
                      <v:fill on="f" focussize="0,0"/>
                      <v:stroke color="#000000" joinstyle="round"/>
                      <v:imagedata o:title=""/>
                      <o:lock v:ext="edit" aspectratio="f"/>
                    </v:line>
                  </w:pict>
                </mc:Fallback>
              </mc:AlternateContent>
            </w:r>
            <w:r>
              <w:rPr>
                <w:rFonts w:hint="eastAsia" w:ascii="黑体" w:hAnsi="黑体" w:eastAsia="黑体" w:cs="黑体"/>
                <w:color w:val="auto"/>
              </w:rPr>
              <mc:AlternateContent>
                <mc:Choice Requires="wps">
                  <w:drawing>
                    <wp:anchor distT="0" distB="0" distL="114300" distR="114300" simplePos="0" relativeHeight="251660288"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8" name="矩形 3"/>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txbx>
                              <w:txbxContent>
                                <w:p/>
                              </w:txbxContent>
                            </wps:txbx>
                            <wps:bodyPr rot="0" vert="horz" wrap="square" lIns="91440" tIns="45720" rIns="91440" bIns="45720" anchor="t" anchorCtr="0" upright="1">
                              <a:noAutofit/>
                            </wps:bodyPr>
                          </wps:wsp>
                        </a:graphicData>
                      </a:graphic>
                    </wp:anchor>
                  </w:drawing>
                </mc:Choice>
                <mc:Fallback>
                  <w:pict>
                    <v:rect id="矩形 3" o:spid="_x0000_s1026" o:spt="1" style="position:absolute;left:0pt;margin-left:372.8pt;margin-top:2.7pt;height:18pt;width:90pt;z-index:-251656192;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HmDyy9YAAAAI&#10;AQAADwAAAAAAAAABACAAAAAiAAAAZHJzL2Rvd25yZXYueG1sUEsBAhQAFAAAAAgAh07iQIDvUpMe&#10;AgAAMQQAAA4AAAAAAAAAAQAgAAAAJQEAAGRycy9lMm9Eb2MueG1sUEsFBgAAAAAGAAYAWQEAALUF&#10;AAAAAA==&#10;">
                      <v:fill on="t" focussize="0,0"/>
                      <v:stroke on="f"/>
                      <v:imagedata o:title=""/>
                      <o:lock v:ext="edit" aspectratio="f"/>
                      <v:textbox>
                        <w:txbxContent>
                          <w:p/>
                        </w:txbxContent>
                      </v:textbox>
                    </v:rect>
                  </w:pict>
                </mc:Fallback>
              </mc:AlternateContent>
            </w:r>
            <w:bookmarkEnd w:id="0"/>
          </w:p>
        </w:tc>
      </w:tr>
    </w:tbl>
    <w:p>
      <w:pPr>
        <w:pStyle w:val="78"/>
        <w:rPr>
          <w:color w:val="000000" w:themeColor="text1"/>
          <w14:textFill>
            <w14:solidFill>
              <w14:schemeClr w14:val="tx1"/>
            </w14:solidFill>
          </w14:textFill>
        </w:rPr>
      </w:pPr>
    </w:p>
    <w:p>
      <w:pPr>
        <w:pStyle w:val="87"/>
        <w:rPr>
          <w:rFonts w:hint="eastAsia"/>
          <w:color w:val="000000" w:themeColor="text1"/>
          <w:lang w:val="en-US" w:eastAsia="zh-CN"/>
          <w14:textFill>
            <w14:solidFill>
              <w14:schemeClr w14:val="tx1"/>
            </w14:solidFill>
          </w14:textFill>
        </w:rPr>
      </w:pPr>
    </w:p>
    <w:p>
      <w:pPr>
        <w:pStyle w:val="87"/>
        <w:rPr>
          <w:rFonts w:hint="eastAsia"/>
          <w:color w:val="000000" w:themeColor="text1"/>
          <w:lang w:val="en-US" w:eastAsia="zh-CN"/>
          <w14:textFill>
            <w14:solidFill>
              <w14:schemeClr w14:val="tx1"/>
            </w14:solidFill>
          </w14:textFill>
        </w:rPr>
      </w:pPr>
    </w:p>
    <w:p>
      <w:pPr>
        <w:pStyle w:val="87"/>
        <w:rPr>
          <w:rFonts w:hint="eastAsia" w:eastAsia="黑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“河北老字号”评价规范</w:t>
      </w:r>
    </w:p>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Identification Rules of Hebei Time-honored Brand</w:t>
      </w:r>
    </w:p>
    <w:p>
      <w:pPr>
        <w:pStyle w:val="99"/>
        <w:rPr>
          <w:rFonts w:hint="default"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征求意见稿）</w:t>
      </w:r>
    </w:p>
    <w:p>
      <w:pPr>
        <w:pStyle w:val="99"/>
        <w:rPr>
          <w:color w:val="000000" w:themeColor="text1"/>
          <w14:textFill>
            <w14:solidFill>
              <w14:schemeClr w14:val="tx1"/>
            </w14:solidFill>
          </w14:textFill>
        </w:rPr>
      </w:pPr>
    </w:p>
    <w:p>
      <w:pPr>
        <w:pStyle w:val="99"/>
        <w:rPr>
          <w:color w:val="000000" w:themeColor="text1"/>
          <w14:textFill>
            <w14:solidFill>
              <w14:schemeClr w14:val="tx1"/>
            </w14:solidFill>
          </w14:textFill>
        </w:rPr>
      </w:pPr>
    </w:p>
    <w:p>
      <w:pPr>
        <w:pStyle w:val="99"/>
        <w:jc w:val="both"/>
        <w:rPr>
          <w:color w:val="000000" w:themeColor="text1"/>
          <w14:textFill>
            <w14:solidFill>
              <w14:schemeClr w14:val="tx1"/>
            </w14:solidFill>
          </w14:textFill>
        </w:rPr>
      </w:pPr>
    </w:p>
    <w:p>
      <w:pPr>
        <w:pStyle w:val="99"/>
        <w:jc w:val="both"/>
        <w:rPr>
          <w:color w:val="000000" w:themeColor="text1"/>
          <w14:textFill>
            <w14:solidFill>
              <w14:schemeClr w14:val="tx1"/>
            </w14:solidFill>
          </w14:textFill>
        </w:rPr>
      </w:pPr>
    </w:p>
    <w:p>
      <w:pPr>
        <w:pStyle w:val="99"/>
        <w:rPr>
          <w:color w:val="000000" w:themeColor="text1"/>
          <w14:textFill>
            <w14:solidFill>
              <w14:schemeClr w14:val="tx1"/>
            </w14:solidFill>
          </w14:textFill>
        </w:rPr>
      </w:pPr>
    </w:p>
    <w:p>
      <w:pPr>
        <w:pStyle w:val="91"/>
        <w:rPr>
          <w:rFonts w:hint="eastAsia"/>
          <w:color w:val="000000" w:themeColor="text1"/>
          <w14:textFill>
            <w14:solidFill>
              <w14:schemeClr w14:val="tx1"/>
            </w14:solidFill>
          </w14:textFill>
        </w:rPr>
      </w:pPr>
      <w:r>
        <w:rPr>
          <w:rFonts w:hint="eastAsia" w:ascii="黑体"/>
          <w:color w:val="000000" w:themeColor="text1"/>
          <w14:textFill>
            <w14:solidFill>
              <w14:schemeClr w14:val="tx1"/>
            </w14:solidFill>
          </w14:textFill>
        </w:rPr>
        <w:t>20</w:t>
      </w:r>
      <w:r>
        <w:rPr>
          <w:rFonts w:hint="eastAsia" w:ascii="黑体"/>
          <w:color w:val="000000" w:themeColor="text1"/>
          <w:lang w:val="en-US" w:eastAsia="zh-CN"/>
          <w14:textFill>
            <w14:solidFill>
              <w14:schemeClr w14:val="tx1"/>
            </w14:solidFill>
          </w14:textFill>
        </w:rPr>
        <w:t>23</w:t>
      </w:r>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w:t>
      </w:r>
      <w:r>
        <w:rPr>
          <w:color w:val="000000" w:themeColor="text1"/>
          <w14:textFill>
            <w14:solidFill>
              <w14:schemeClr w14:val="tx1"/>
            </w14:solidFill>
          </w14:textFill>
        </w:rPr>
        <w:t xml:space="preserve"> </w:t>
      </w:r>
      <w:r>
        <w:rPr>
          <w:rFonts w:hint="eastAsia" w:ascii="黑体"/>
          <w:color w:val="000000" w:themeColor="text1"/>
          <w:lang w:val="en-US" w:eastAsia="zh-CN"/>
          <w14:textFill>
            <w14:solidFill>
              <w14:schemeClr w14:val="tx1"/>
            </w14:solidFill>
          </w14:textFill>
        </w:rPr>
        <w:t xml:space="preserve"> </w:t>
      </w:r>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w:t>
      </w:r>
      <w:r>
        <w:rPr>
          <w:color w:val="000000" w:themeColor="text1"/>
          <w14:textFill>
            <w14:solidFill>
              <w14:schemeClr w14:val="tx1"/>
            </w14:solidFill>
          </w14:textFill>
        </w:rPr>
        <w:t xml:space="preserve"> </w:t>
      </w:r>
      <w:r>
        <w:rPr>
          <w:rFonts w:hint="eastAsia" w:ascii="黑体"/>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发布</w:t>
      </w:r>
      <w:r>
        <w:rPr>
          <w:color w:val="000000" w:themeColor="text1"/>
          <w14:textFill>
            <w14:solidFill>
              <w14:schemeClr w14:val="tx1"/>
            </w14:solidFill>
          </w14:textFill>
        </w:rPr>
        <mc:AlternateContent>
          <mc:Choice Requires="wps">
            <w:drawing>
              <wp:anchor distT="0" distB="0" distL="114300" distR="114300" simplePos="0" relativeHeight="251659264" behindDoc="0" locked="1" layoutInCell="1" allowOverlap="1">
                <wp:simplePos x="0" y="0"/>
                <wp:positionH relativeFrom="column">
                  <wp:posOffset>-191135</wp:posOffset>
                </wp:positionH>
                <wp:positionV relativeFrom="page">
                  <wp:posOffset>9251950</wp:posOffset>
                </wp:positionV>
                <wp:extent cx="6120130" cy="0"/>
                <wp:effectExtent l="0" t="0" r="0" b="0"/>
                <wp:wrapNone/>
                <wp:docPr id="1" name="直线 10"/>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10" o:spid="_x0000_s1026" o:spt="20" style="position:absolute;left:0pt;margin-left:-15.05pt;margin-top:728.5pt;height:0pt;width:481.9pt;mso-position-vertical-relative:page;z-index:251659264;mso-width-relative:page;mso-height-relative:page;" filled="f" stroked="t" coordsize="21600,21600" o:gfxdata="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X&#10;Mthw2AAAAA0BAAAPAAAAAAAAAAEAIAAAACIAAABkcnMvZG93bnJldi54bWxQSwECFAAUAAAACACH&#10;TuJA+3FyF+sBAADqAwAADgAAAAAAAAABACAAAAAnAQAAZHJzL2Uyb0RvYy54bWxQSwUGAAAAAAYA&#10;BgBZAQAAhAUAAAAA&#10;">
                <v:fill on="f" focussize="0,0"/>
                <v:stroke color="#000000" joinstyle="round"/>
                <v:imagedata o:title=""/>
                <o:lock v:ext="edit" aspectratio="f"/>
                <w10:anchorlock/>
              </v:line>
            </w:pict>
          </mc:Fallback>
        </mc:AlternateContent>
      </w:r>
      <w:r>
        <w:rPr>
          <w:rFonts w:hint="eastAsia"/>
          <w:color w:val="000000" w:themeColor="text1"/>
          <w14:textFill>
            <w14:solidFill>
              <w14:schemeClr w14:val="tx1"/>
            </w14:solidFill>
          </w14:textFill>
        </w:rPr>
        <w:t xml:space="preserve">                           </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 xml:space="preserve"> </w:t>
      </w:r>
      <w:r>
        <w:rPr>
          <w:rFonts w:hint="eastAsia" w:ascii="黑体"/>
          <w:color w:val="000000" w:themeColor="text1"/>
          <w14:textFill>
            <w14:solidFill>
              <w14:schemeClr w14:val="tx1"/>
            </w14:solidFill>
          </w14:textFill>
        </w:rPr>
        <w:t>20</w:t>
      </w:r>
      <w:r>
        <w:rPr>
          <w:rFonts w:hint="eastAsia" w:ascii="黑体"/>
          <w:color w:val="000000" w:themeColor="text1"/>
          <w:lang w:val="en-US" w:eastAsia="zh-CN"/>
          <w14:textFill>
            <w14:solidFill>
              <w14:schemeClr w14:val="tx1"/>
            </w14:solidFill>
          </w14:textFill>
        </w:rPr>
        <w:t>23</w:t>
      </w:r>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w:t>
      </w:r>
      <w:r>
        <w:rPr>
          <w:color w:val="000000" w:themeColor="text1"/>
          <w14:textFill>
            <w14:solidFill>
              <w14:schemeClr w14:val="tx1"/>
            </w14:solidFill>
          </w14:textFill>
        </w:rPr>
        <w:t xml:space="preserve"> </w:t>
      </w:r>
      <w:r>
        <w:rPr>
          <w:rFonts w:hint="eastAsia" w:ascii="黑体"/>
          <w:color w:val="000000" w:themeColor="text1"/>
          <w:lang w:val="en-US" w:eastAsia="zh-CN"/>
          <w14:textFill>
            <w14:solidFill>
              <w14:schemeClr w14:val="tx1"/>
            </w14:solidFill>
          </w14:textFill>
        </w:rPr>
        <w:t xml:space="preserve"> </w:t>
      </w:r>
      <w:r>
        <w:rPr>
          <w:rFonts w:ascii="黑体"/>
          <w:color w:val="000000" w:themeColor="text1"/>
          <w14:textFill>
            <w14:solidFill>
              <w14:schemeClr w14:val="tx1"/>
            </w14:solidFill>
          </w14:textFill>
        </w:rPr>
        <w:t>-</w:t>
      </w:r>
      <w:r>
        <w:rPr>
          <w:color w:val="000000" w:themeColor="text1"/>
          <w14:textFill>
            <w14:solidFill>
              <w14:schemeClr w14:val="tx1"/>
            </w14:solidFill>
          </w14:textFill>
        </w:rPr>
        <w:t xml:space="preserve"> </w:t>
      </w:r>
      <w:r>
        <w:rPr>
          <w:rFonts w:hint="eastAsia" w:ascii="黑体"/>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实施</w:t>
      </w:r>
    </w:p>
    <w:p>
      <w:pPr>
        <w:pStyle w:val="51"/>
        <w:jc w:val="both"/>
        <w:rPr>
          <w:rFonts w:hint="eastAsia"/>
          <w:color w:val="000000" w:themeColor="text1"/>
          <w14:textFill>
            <w14:solidFill>
              <w14:schemeClr w14:val="tx1"/>
            </w14:solidFill>
          </w14:textFill>
        </w:rPr>
      </w:pPr>
    </w:p>
    <w:p>
      <w:pPr>
        <w:pStyle w:val="51"/>
        <w:ind w:firstLine="1672" w:firstLineChars="4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河北省</w:t>
      </w:r>
      <w:r>
        <w:rPr>
          <w:rFonts w:hint="eastAsia"/>
          <w:color w:val="000000" w:themeColor="text1"/>
          <w:lang w:eastAsia="zh-CN"/>
          <w14:textFill>
            <w14:solidFill>
              <w14:schemeClr w14:val="tx1"/>
            </w14:solidFill>
          </w14:textFill>
        </w:rPr>
        <w:t>市场监督管理局</w:t>
      </w:r>
      <w:r>
        <w:rPr>
          <w:rFonts w:ascii="Cambria Math" w:hAnsi="Cambria Math" w:cs="Cambria Math"/>
          <w:color w:val="000000" w:themeColor="text1"/>
          <w14:textFill>
            <w14:solidFill>
              <w14:schemeClr w14:val="tx1"/>
            </w14:solidFill>
          </w14:textFill>
        </w:rPr>
        <w:t>   </w:t>
      </w:r>
      <w:r>
        <w:rPr>
          <w:rStyle w:val="143"/>
          <w:rFonts w:hint="eastAsia"/>
          <w:color w:val="000000" w:themeColor="text1"/>
          <w14:textFill>
            <w14:solidFill>
              <w14:schemeClr w14:val="tx1"/>
            </w14:solidFill>
          </w14:textFill>
        </w:rPr>
        <w:t>发布</w:t>
      </w:r>
    </w:p>
    <w:p>
      <w:pPr>
        <w:pStyle w:val="112"/>
        <w:jc w:val="right"/>
        <w:rPr>
          <w:color w:val="000000" w:themeColor="text1"/>
          <w14:textFill>
            <w14:solidFill>
              <w14:schemeClr w14:val="tx1"/>
            </w14:solidFill>
          </w14:textFill>
        </w:rPr>
      </w:pPr>
      <w:r>
        <w:rPr>
          <w:rFonts w:hint="eastAsia" w:hAnsi="黑体" w:cs="黑体"/>
          <w:color w:val="000000" w:themeColor="text1"/>
          <w:sz w:val="21"/>
          <w:szCs w:val="21"/>
          <w:lang w:val="en-US" w:eastAsia="zh-CN"/>
          <w14:textFill>
            <w14:solidFill>
              <w14:schemeClr w14:val="tx1"/>
            </w14:solidFill>
          </w14:textFill>
        </w:rPr>
        <w:t xml:space="preserve">DB13/T </w:t>
      </w:r>
      <w:r>
        <w:rPr>
          <w:rFonts w:hint="eastAsia" w:hAnsi="黑体" w:cs="黑体"/>
          <w:color w:val="auto"/>
          <w:sz w:val="21"/>
          <w:szCs w:val="21"/>
        </w:rPr>
        <w:t>XXXX-202</w:t>
      </w:r>
      <w:r>
        <w:rPr>
          <w:rFonts w:hint="eastAsia" w:hAnsi="黑体" w:cs="黑体"/>
          <w:color w:val="auto"/>
          <w:sz w:val="21"/>
          <w:szCs w:val="21"/>
          <w:lang w:val="en-US" w:eastAsia="zh-CN"/>
        </w:rPr>
        <w:t>3</w:t>
      </w:r>
    </w:p>
    <w:p>
      <w:pPr>
        <w:pStyle w:val="40"/>
        <w:spacing w:line="440" w:lineRule="exact"/>
        <w:jc w:val="cente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前</w:t>
      </w:r>
      <w:bookmarkStart w:id="1" w:name="BKQY"/>
      <w:r>
        <w:rPr>
          <w:rFonts w:hint="eastAsia" w:ascii="黑体" w:hAnsi="黑体" w:eastAsia="黑体" w:cs="黑体"/>
          <w:color w:val="000000" w:themeColor="text1"/>
          <w:sz w:val="32"/>
          <w:szCs w:val="32"/>
          <w14:textFill>
            <w14:solidFill>
              <w14:schemeClr w14:val="tx1"/>
            </w14:solidFill>
          </w14:textFill>
        </w:rPr>
        <w:t>  言</w:t>
      </w:r>
      <w:bookmarkEnd w:id="1"/>
    </w:p>
    <w:p>
      <w:pPr>
        <w:pStyle w:val="40"/>
        <w:spacing w:line="440" w:lineRule="exact"/>
        <w:jc w:val="center"/>
        <w:rPr>
          <w:rFonts w:hint="eastAsia" w:ascii="黑体" w:hAnsi="黑体" w:eastAsia="黑体" w:cs="黑体"/>
          <w:color w:val="000000" w:themeColor="text1"/>
          <w:sz w:val="32"/>
          <w:szCs w:val="32"/>
          <w14:textFill>
            <w14:solidFill>
              <w14:schemeClr w14:val="tx1"/>
            </w14:solidFill>
          </w14:textFill>
        </w:rPr>
      </w:pPr>
    </w:p>
    <w:p>
      <w:pPr>
        <w:pStyle w:val="40"/>
        <w:spacing w:line="440" w:lineRule="exact"/>
        <w:rPr>
          <w:rFonts w:hint="eastAsia" w:hAnsi="Cambria"/>
          <w:color w:val="auto"/>
          <w:szCs w:val="22"/>
        </w:rPr>
      </w:pPr>
      <w:r>
        <w:rPr>
          <w:rFonts w:hint="eastAsia" w:hAnsi="Cambria"/>
          <w:color w:val="auto"/>
          <w:szCs w:val="22"/>
        </w:rPr>
        <w:t>本文件按照GB/T</w:t>
      </w:r>
      <w:r>
        <w:rPr>
          <w:rFonts w:hint="eastAsia" w:hAnsi="Cambria"/>
          <w:color w:val="auto"/>
          <w:szCs w:val="22"/>
          <w:lang w:val="en-US" w:eastAsia="zh-CN"/>
        </w:rPr>
        <w:t xml:space="preserve">  </w:t>
      </w:r>
      <w:r>
        <w:rPr>
          <w:rFonts w:hint="eastAsia" w:hAnsi="Cambria"/>
          <w:color w:val="auto"/>
          <w:szCs w:val="22"/>
        </w:rPr>
        <w:t>1.1-2020《标准化工作导则 第1部分：标准化文件的结构和起草规则》的规定起草。</w:t>
      </w:r>
    </w:p>
    <w:p>
      <w:pPr>
        <w:pStyle w:val="40"/>
        <w:spacing w:line="440" w:lineRule="exact"/>
        <w:rPr>
          <w:rFonts w:hint="eastAsia" w:hAnsi="Cambria"/>
          <w:color w:val="auto"/>
          <w:szCs w:val="22"/>
        </w:rPr>
      </w:pPr>
      <w:r>
        <w:rPr>
          <w:rFonts w:hint="eastAsia" w:hAnsi="Cambria"/>
          <w:color w:val="auto"/>
          <w:szCs w:val="22"/>
          <w:lang w:eastAsia="zh-CN"/>
        </w:rPr>
        <w:t>请注意本文件的某些内容可能涉及专利。本文件的发布机构不承担识别专利的责任。</w:t>
      </w:r>
    </w:p>
    <w:p>
      <w:pPr>
        <w:pStyle w:val="40"/>
        <w:spacing w:line="440" w:lineRule="exact"/>
        <w:rPr>
          <w:rFonts w:hAnsi="Cambria"/>
          <w:color w:val="auto"/>
          <w:szCs w:val="22"/>
        </w:rPr>
      </w:pPr>
      <w:r>
        <w:rPr>
          <w:rFonts w:hint="eastAsia" w:hAnsi="Cambria"/>
          <w:color w:val="auto"/>
          <w:szCs w:val="22"/>
        </w:rPr>
        <w:t>本文件由河北省商务厅提出。</w:t>
      </w:r>
    </w:p>
    <w:p>
      <w:pPr>
        <w:pStyle w:val="40"/>
        <w:spacing w:line="440" w:lineRule="exact"/>
        <w:rPr>
          <w:rFonts w:hAnsi="Cambria"/>
          <w:color w:val="auto"/>
          <w:szCs w:val="22"/>
        </w:rPr>
      </w:pPr>
      <w:r>
        <w:rPr>
          <w:rFonts w:hint="eastAsia" w:hAnsi="Cambria"/>
          <w:color w:val="auto"/>
          <w:szCs w:val="22"/>
        </w:rPr>
        <w:t>本文件由河北省商务标准化技术委员会（HB/TC</w:t>
      </w:r>
      <w:r>
        <w:rPr>
          <w:rFonts w:hAnsi="Cambria"/>
          <w:color w:val="auto"/>
          <w:szCs w:val="22"/>
        </w:rPr>
        <w:t>28</w:t>
      </w:r>
      <w:r>
        <w:rPr>
          <w:rFonts w:hint="eastAsia" w:hAnsi="Cambria"/>
          <w:color w:val="auto"/>
          <w:szCs w:val="22"/>
        </w:rPr>
        <w:t>）归口。</w:t>
      </w:r>
    </w:p>
    <w:p>
      <w:pPr>
        <w:pStyle w:val="40"/>
        <w:spacing w:line="360" w:lineRule="auto"/>
        <w:rPr>
          <w:rFonts w:hint="eastAsia" w:eastAsia="宋体"/>
          <w:color w:val="000000" w:themeColor="text1"/>
          <w:lang w:eastAsia="zh-CN"/>
          <w14:textFill>
            <w14:solidFill>
              <w14:schemeClr w14:val="tx1"/>
            </w14:solidFill>
          </w14:textFill>
        </w:rPr>
      </w:pPr>
      <w:r>
        <w:rPr>
          <w:rFonts w:hint="eastAsia" w:hAnsi="Cambria"/>
          <w:color w:val="auto"/>
          <w:szCs w:val="22"/>
        </w:rPr>
        <w:t>本</w:t>
      </w:r>
      <w:r>
        <w:rPr>
          <w:rFonts w:hint="eastAsia" w:hAnsi="Cambria"/>
          <w:color w:val="auto"/>
          <w:szCs w:val="22"/>
          <w:lang w:val="en-US" w:eastAsia="zh-CN"/>
        </w:rPr>
        <w:t>文件</w:t>
      </w:r>
      <w:r>
        <w:rPr>
          <w:rFonts w:hint="eastAsia" w:hAnsi="Cambria"/>
          <w:color w:val="auto"/>
          <w:szCs w:val="22"/>
        </w:rPr>
        <w:t>起草单位：</w:t>
      </w:r>
      <w:r>
        <w:rPr>
          <w:rFonts w:hint="eastAsia"/>
          <w:color w:val="000000" w:themeColor="text1"/>
          <w:lang w:eastAsia="zh-CN"/>
          <w14:textFill>
            <w14:solidFill>
              <w14:schemeClr w14:val="tx1"/>
            </w14:solidFill>
          </w14:textFill>
        </w:rPr>
        <w:t>河北省商务标准化技术委员会、</w:t>
      </w:r>
      <w:r>
        <w:rPr>
          <w:rFonts w:hint="eastAsia"/>
          <w:color w:val="000000" w:themeColor="text1"/>
          <w:lang w:val="en-US" w:eastAsia="zh-CN"/>
          <w14:textFill>
            <w14:solidFill>
              <w14:schemeClr w14:val="tx1"/>
            </w14:solidFill>
          </w14:textFill>
        </w:rPr>
        <w:t>河北省商务厅、</w:t>
      </w:r>
      <w:r>
        <w:rPr>
          <w:rFonts w:hint="eastAsia"/>
          <w:color w:val="000000" w:themeColor="text1"/>
          <w14:textFill>
            <w14:solidFill>
              <w14:schemeClr w14:val="tx1"/>
            </w14:solidFill>
          </w14:textFill>
        </w:rPr>
        <w:t>河北省商业联合会</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河北省标准化研究院</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河北经贸大学商学院、</w:t>
      </w:r>
      <w:r>
        <w:rPr>
          <w:rFonts w:hint="eastAsia"/>
          <w:color w:val="000000" w:themeColor="text1"/>
          <w14:textFill>
            <w14:solidFill>
              <w14:schemeClr w14:val="tx1"/>
            </w14:solidFill>
          </w14:textFill>
        </w:rPr>
        <w:t>石家庄洛杉奇食品有限公司</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唐山市鸿宴饭庄</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河北中弘记饮食科技有限公司、唐山市新新麻糖厂、</w:t>
      </w:r>
      <w:r>
        <w:rPr>
          <w:rFonts w:hint="eastAsia"/>
          <w:color w:val="000000" w:themeColor="text1"/>
          <w14:textFill>
            <w14:solidFill>
              <w14:schemeClr w14:val="tx1"/>
            </w14:solidFill>
          </w14:textFill>
        </w:rPr>
        <w:t>河北嘉福物业服务有限公司</w:t>
      </w:r>
      <w:r>
        <w:rPr>
          <w:rFonts w:hint="eastAsia"/>
          <w:color w:val="000000" w:themeColor="text1"/>
          <w:lang w:eastAsia="zh-CN"/>
          <w14:textFill>
            <w14:solidFill>
              <w14:schemeClr w14:val="tx1"/>
            </w14:solidFill>
          </w14:textFill>
        </w:rPr>
        <w:t>。</w:t>
      </w:r>
    </w:p>
    <w:p>
      <w:pPr>
        <w:pStyle w:val="40"/>
        <w:spacing w:line="360" w:lineRule="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本</w:t>
      </w:r>
      <w:r>
        <w:rPr>
          <w:rFonts w:hint="eastAsia"/>
          <w:color w:val="000000" w:themeColor="text1"/>
          <w:lang w:val="en-US" w:eastAsia="zh-CN"/>
          <w14:textFill>
            <w14:solidFill>
              <w14:schemeClr w14:val="tx1"/>
            </w14:solidFill>
          </w14:textFill>
        </w:rPr>
        <w:t>文件</w:t>
      </w:r>
      <w:r>
        <w:rPr>
          <w:rFonts w:hint="eastAsia"/>
          <w:color w:val="000000" w:themeColor="text1"/>
          <w14:textFill>
            <w14:solidFill>
              <w14:schemeClr w14:val="tx1"/>
            </w14:solidFill>
          </w14:textFill>
        </w:rPr>
        <w:t>主要起草人：</w:t>
      </w:r>
      <w:r>
        <w:rPr>
          <w:rFonts w:hint="eastAsia"/>
          <w:color w:val="000000" w:themeColor="text1"/>
          <w:lang w:val="en-US" w:eastAsia="zh-CN"/>
          <w14:textFill>
            <w14:solidFill>
              <w14:schemeClr w14:val="tx1"/>
            </w14:solidFill>
          </w14:textFill>
        </w:rPr>
        <w:t>丁立钢、刘东清、</w:t>
      </w:r>
      <w:r>
        <w:rPr>
          <w:rFonts w:hint="eastAsia"/>
          <w:color w:val="000000" w:themeColor="text1"/>
          <w:sz w:val="21"/>
          <w:szCs w:val="21"/>
          <w:lang w:val="en-US" w:eastAsia="zh-CN"/>
          <w14:textFill>
            <w14:solidFill>
              <w14:schemeClr w14:val="tx1"/>
            </w14:solidFill>
          </w14:textFill>
        </w:rPr>
        <w:t>李欣、</w:t>
      </w:r>
      <w:r>
        <w:rPr>
          <w:rFonts w:hint="eastAsia"/>
          <w:color w:val="000000" w:themeColor="text1"/>
          <w14:textFill>
            <w14:solidFill>
              <w14:schemeClr w14:val="tx1"/>
            </w14:solidFill>
          </w14:textFill>
        </w:rPr>
        <w:t>曹润亭、</w:t>
      </w:r>
      <w:r>
        <w:rPr>
          <w:rFonts w:hint="eastAsia"/>
          <w:color w:val="000000" w:themeColor="text1"/>
          <w:lang w:val="en-US" w:eastAsia="zh-CN"/>
          <w14:textFill>
            <w14:solidFill>
              <w14:schemeClr w14:val="tx1"/>
            </w14:solidFill>
          </w14:textFill>
        </w:rPr>
        <w:t>陈航伟、李小兵、李宗力、</w:t>
      </w:r>
      <w:r>
        <w:rPr>
          <w:rFonts w:hint="eastAsia"/>
          <w:color w:val="000000" w:themeColor="text1"/>
          <w:sz w:val="21"/>
          <w:szCs w:val="21"/>
          <w:lang w:val="en-US" w:eastAsia="zh-CN"/>
          <w14:textFill>
            <w14:solidFill>
              <w14:schemeClr w14:val="tx1"/>
            </w14:solidFill>
          </w14:textFill>
        </w:rPr>
        <w:t>王世宏、张玉兰、包全增</w:t>
      </w:r>
      <w:r>
        <w:rPr>
          <w:rFonts w:hint="eastAsia"/>
          <w:color w:val="000000" w:themeColor="text1"/>
          <w:lang w:val="en-US" w:eastAsia="zh-CN"/>
          <w14:textFill>
            <w14:solidFill>
              <w14:schemeClr w14:val="tx1"/>
            </w14:solidFill>
          </w14:textFill>
        </w:rPr>
        <w:t>。</w:t>
      </w:r>
    </w:p>
    <w:p>
      <w:pPr>
        <w:pStyle w:val="40"/>
        <w:spacing w:line="360" w:lineRule="auto"/>
        <w:rPr>
          <w:color w:val="000000" w:themeColor="text1"/>
          <w14:textFill>
            <w14:solidFill>
              <w14:schemeClr w14:val="tx1"/>
            </w14:solidFill>
          </w14:textFill>
        </w:rPr>
      </w:pPr>
    </w:p>
    <w:p>
      <w:pPr>
        <w:pStyle w:val="40"/>
        <w:spacing w:line="360" w:lineRule="auto"/>
        <w:rPr>
          <w:color w:val="000000" w:themeColor="text1"/>
          <w14:textFill>
            <w14:solidFill>
              <w14:schemeClr w14:val="tx1"/>
            </w14:solidFill>
          </w14:textFill>
        </w:rPr>
      </w:pPr>
    </w:p>
    <w:p>
      <w:pPr>
        <w:pStyle w:val="40"/>
        <w:spacing w:line="360" w:lineRule="auto"/>
        <w:rPr>
          <w:color w:val="000000" w:themeColor="text1"/>
          <w14:textFill>
            <w14:solidFill>
              <w14:schemeClr w14:val="tx1"/>
            </w14:solidFill>
          </w14:textFill>
        </w:rPr>
      </w:pPr>
    </w:p>
    <w:p>
      <w:pPr>
        <w:pStyle w:val="40"/>
        <w:spacing w:line="360" w:lineRule="auto"/>
        <w:rPr>
          <w:color w:val="000000" w:themeColor="text1"/>
          <w14:textFill>
            <w14:solidFill>
              <w14:schemeClr w14:val="tx1"/>
            </w14:solidFill>
          </w14:textFill>
        </w:rPr>
      </w:pPr>
    </w:p>
    <w:p>
      <w:pPr>
        <w:pStyle w:val="40"/>
        <w:spacing w:line="360" w:lineRule="auto"/>
        <w:rPr>
          <w:color w:val="000000" w:themeColor="text1"/>
          <w14:textFill>
            <w14:solidFill>
              <w14:schemeClr w14:val="tx1"/>
            </w14:solidFill>
          </w14:textFill>
        </w:rPr>
      </w:pPr>
    </w:p>
    <w:p>
      <w:pPr>
        <w:pStyle w:val="40"/>
        <w:spacing w:line="360" w:lineRule="auto"/>
        <w:rPr>
          <w:color w:val="000000" w:themeColor="text1"/>
          <w14:textFill>
            <w14:solidFill>
              <w14:schemeClr w14:val="tx1"/>
            </w14:solidFill>
          </w14:textFill>
        </w:rPr>
      </w:pPr>
    </w:p>
    <w:p>
      <w:pPr>
        <w:pStyle w:val="40"/>
        <w:spacing w:line="360" w:lineRule="auto"/>
        <w:rPr>
          <w:color w:val="000000" w:themeColor="text1"/>
          <w14:textFill>
            <w14:solidFill>
              <w14:schemeClr w14:val="tx1"/>
            </w14:solidFill>
          </w14:textFill>
        </w:rPr>
      </w:pPr>
    </w:p>
    <w:p>
      <w:pPr>
        <w:pStyle w:val="40"/>
        <w:spacing w:line="360" w:lineRule="auto"/>
        <w:rPr>
          <w:color w:val="000000" w:themeColor="text1"/>
          <w14:textFill>
            <w14:solidFill>
              <w14:schemeClr w14:val="tx1"/>
            </w14:solidFill>
          </w14:textFill>
        </w:rPr>
      </w:pPr>
    </w:p>
    <w:p>
      <w:pPr>
        <w:pStyle w:val="40"/>
        <w:spacing w:line="360" w:lineRule="auto"/>
        <w:rPr>
          <w:color w:val="000000" w:themeColor="text1"/>
          <w14:textFill>
            <w14:solidFill>
              <w14:schemeClr w14:val="tx1"/>
            </w14:solidFill>
          </w14:textFill>
        </w:rPr>
      </w:pPr>
    </w:p>
    <w:p>
      <w:pPr>
        <w:pStyle w:val="40"/>
        <w:spacing w:line="360" w:lineRule="auto"/>
        <w:rPr>
          <w:color w:val="000000" w:themeColor="text1"/>
          <w14:textFill>
            <w14:solidFill>
              <w14:schemeClr w14:val="tx1"/>
            </w14:solidFill>
          </w14:textFill>
        </w:rPr>
      </w:pPr>
    </w:p>
    <w:p>
      <w:pPr>
        <w:pStyle w:val="40"/>
        <w:spacing w:line="360" w:lineRule="auto"/>
        <w:rPr>
          <w:color w:val="000000" w:themeColor="text1"/>
          <w14:textFill>
            <w14:solidFill>
              <w14:schemeClr w14:val="tx1"/>
            </w14:solidFill>
          </w14:textFill>
        </w:rPr>
      </w:pPr>
    </w:p>
    <w:p>
      <w:pPr>
        <w:pStyle w:val="40"/>
        <w:spacing w:line="360" w:lineRule="auto"/>
        <w:rPr>
          <w:color w:val="000000" w:themeColor="text1"/>
          <w14:textFill>
            <w14:solidFill>
              <w14:schemeClr w14:val="tx1"/>
            </w14:solidFill>
          </w14:textFill>
        </w:rPr>
      </w:pPr>
    </w:p>
    <w:p>
      <w:pPr>
        <w:pStyle w:val="40"/>
        <w:spacing w:line="360" w:lineRule="auto"/>
        <w:rPr>
          <w:color w:val="000000" w:themeColor="text1"/>
          <w14:textFill>
            <w14:solidFill>
              <w14:schemeClr w14:val="tx1"/>
            </w14:solidFill>
          </w14:textFill>
        </w:rPr>
      </w:pPr>
    </w:p>
    <w:p>
      <w:pPr>
        <w:pStyle w:val="112"/>
        <w:jc w:val="right"/>
        <w:rPr>
          <w:rFonts w:hint="eastAsia"/>
          <w:color w:val="000000" w:themeColor="text1"/>
          <w:lang w:eastAsia="zh-CN"/>
          <w14:textFill>
            <w14:solidFill>
              <w14:schemeClr w14:val="tx1"/>
            </w14:solidFill>
          </w14:textFill>
        </w:rPr>
      </w:pPr>
      <w:r>
        <w:rPr>
          <w:rFonts w:hint="eastAsia" w:hAnsi="黑体" w:cs="黑体"/>
          <w:color w:val="000000" w:themeColor="text1"/>
          <w:sz w:val="21"/>
          <w:szCs w:val="21"/>
          <w:lang w:val="en-US" w:eastAsia="zh-CN"/>
          <w14:textFill>
            <w14:solidFill>
              <w14:schemeClr w14:val="tx1"/>
            </w14:solidFill>
          </w14:textFill>
        </w:rPr>
        <w:t xml:space="preserve">DB13/T </w:t>
      </w:r>
      <w:r>
        <w:rPr>
          <w:rFonts w:hint="eastAsia" w:hAnsi="黑体" w:cs="黑体"/>
          <w:color w:val="auto"/>
          <w:sz w:val="21"/>
          <w:szCs w:val="21"/>
        </w:rPr>
        <w:t>XXXX-202</w:t>
      </w:r>
      <w:r>
        <w:rPr>
          <w:rFonts w:hint="eastAsia" w:hAnsi="黑体" w:cs="黑体"/>
          <w:color w:val="auto"/>
          <w:sz w:val="21"/>
          <w:szCs w:val="21"/>
          <w:lang w:val="en-US" w:eastAsia="zh-CN"/>
        </w:rPr>
        <w:t>3</w:t>
      </w:r>
    </w:p>
    <w:p>
      <w:pPr>
        <w:pStyle w:val="40"/>
        <w:jc w:val="center"/>
      </w:pPr>
      <w:r>
        <w:rPr>
          <w:rFonts w:hint="eastAsia" w:ascii="黑体" w:hAnsi="黑体" w:eastAsia="黑体" w:cs="黑体"/>
          <w:color w:val="000000" w:themeColor="text1"/>
          <w:sz w:val="32"/>
          <w:szCs w:val="32"/>
          <w:lang w:eastAsia="zh-CN"/>
          <w14:textFill>
            <w14:solidFill>
              <w14:schemeClr w14:val="tx1"/>
            </w14:solidFill>
          </w14:textFill>
        </w:rPr>
        <w:t>河北老字号评价规范</w:t>
      </w:r>
    </w:p>
    <w:p>
      <w:pPr>
        <w:pStyle w:val="83"/>
        <w:spacing w:before="312" w:after="312"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范围</w:t>
      </w:r>
    </w:p>
    <w:p>
      <w:pPr>
        <w:pStyle w:val="40"/>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本</w:t>
      </w:r>
      <w:r>
        <w:rPr>
          <w:rFonts w:hint="eastAsia"/>
          <w:color w:val="000000" w:themeColor="text1"/>
          <w:lang w:val="en-US" w:eastAsia="zh-CN"/>
          <w14:textFill>
            <w14:solidFill>
              <w14:schemeClr w14:val="tx1"/>
            </w14:solidFill>
          </w14:textFill>
        </w:rPr>
        <w:t>文件</w:t>
      </w:r>
      <w:r>
        <w:rPr>
          <w:rFonts w:hint="eastAsia"/>
          <w:color w:val="000000" w:themeColor="text1"/>
          <w14:textFill>
            <w14:solidFill>
              <w14:schemeClr w14:val="tx1"/>
            </w14:solidFill>
          </w14:textFill>
        </w:rPr>
        <w:t>规定了</w:t>
      </w:r>
      <w:r>
        <w:rPr>
          <w:rFonts w:hint="eastAsia"/>
          <w:color w:val="000000" w:themeColor="text1"/>
          <w:lang w:eastAsia="zh-CN"/>
          <w14:textFill>
            <w14:solidFill>
              <w14:schemeClr w14:val="tx1"/>
            </w14:solidFill>
          </w14:textFill>
        </w:rPr>
        <w:t>“河北老字号”</w:t>
      </w:r>
      <w:r>
        <w:rPr>
          <w:rFonts w:hint="eastAsia"/>
          <w:color w:val="000000" w:themeColor="text1"/>
          <w:lang w:val="en-US" w:eastAsia="zh-CN"/>
          <w14:textFill>
            <w14:solidFill>
              <w14:schemeClr w14:val="tx1"/>
            </w14:solidFill>
          </w14:textFill>
        </w:rPr>
        <w:t>的评价规则和评价程序</w:t>
      </w:r>
      <w:r>
        <w:rPr>
          <w:rFonts w:hint="eastAsia"/>
          <w:color w:val="000000" w:themeColor="text1"/>
          <w14:textFill>
            <w14:solidFill>
              <w14:schemeClr w14:val="tx1"/>
            </w14:solidFill>
          </w14:textFill>
        </w:rPr>
        <w:t>。</w:t>
      </w:r>
    </w:p>
    <w:p>
      <w:pPr>
        <w:pStyle w:val="40"/>
        <w:spacing w:line="360" w:lineRule="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本</w:t>
      </w:r>
      <w:r>
        <w:rPr>
          <w:rFonts w:hint="eastAsia"/>
          <w:color w:val="000000" w:themeColor="text1"/>
          <w:lang w:val="en-US" w:eastAsia="zh-CN"/>
          <w14:textFill>
            <w14:solidFill>
              <w14:schemeClr w14:val="tx1"/>
            </w14:solidFill>
          </w14:textFill>
        </w:rPr>
        <w:t>文件</w:t>
      </w:r>
      <w:r>
        <w:rPr>
          <w:rFonts w:hint="eastAsia"/>
          <w:color w:val="000000" w:themeColor="text1"/>
          <w14:textFill>
            <w14:solidFill>
              <w14:schemeClr w14:val="tx1"/>
            </w14:solidFill>
          </w14:textFill>
        </w:rPr>
        <w:t>适用于</w:t>
      </w:r>
      <w:r>
        <w:rPr>
          <w:rFonts w:hint="eastAsia"/>
          <w:color w:val="000000" w:themeColor="text1"/>
          <w:lang w:eastAsia="zh-CN"/>
          <w14:textFill>
            <w14:solidFill>
              <w14:schemeClr w14:val="tx1"/>
            </w14:solidFill>
          </w14:textFill>
        </w:rPr>
        <w:t>“河北老字号”</w:t>
      </w:r>
      <w:r>
        <w:rPr>
          <w:rFonts w:hint="eastAsia"/>
          <w:color w:val="000000" w:themeColor="text1"/>
          <w14:textFill>
            <w14:solidFill>
              <w14:schemeClr w14:val="tx1"/>
            </w14:solidFill>
          </w14:textFill>
        </w:rPr>
        <w:t>的</w:t>
      </w:r>
      <w:r>
        <w:rPr>
          <w:rFonts w:hint="eastAsia"/>
          <w:color w:val="000000" w:themeColor="text1"/>
          <w:lang w:eastAsia="zh-CN"/>
          <w14:textFill>
            <w14:solidFill>
              <w14:schemeClr w14:val="tx1"/>
            </w14:solidFill>
          </w14:textFill>
        </w:rPr>
        <w:t>评</w:t>
      </w:r>
      <w:r>
        <w:rPr>
          <w:rFonts w:hint="eastAsia"/>
          <w:color w:val="000000" w:themeColor="text1"/>
          <w:lang w:val="en-US" w:eastAsia="zh-CN"/>
          <w14:textFill>
            <w14:solidFill>
              <w14:schemeClr w14:val="tx1"/>
            </w14:solidFill>
          </w14:textFill>
        </w:rPr>
        <w:t>定</w:t>
      </w:r>
      <w:r>
        <w:rPr>
          <w:rFonts w:hint="eastAsia"/>
          <w:color w:val="000000" w:themeColor="text1"/>
          <w14:textFill>
            <w14:solidFill>
              <w14:schemeClr w14:val="tx1"/>
            </w14:solidFill>
          </w14:textFill>
        </w:rPr>
        <w:t>与管理。</w:t>
      </w:r>
    </w:p>
    <w:p>
      <w:pPr>
        <w:pStyle w:val="40"/>
        <w:spacing w:line="360" w:lineRule="auto"/>
        <w:ind w:firstLine="0" w:firstLineChars="0"/>
        <w:rPr>
          <w:rFonts w:hint="eastAsia" w:ascii="黑体" w:hAnsi="黑体" w:eastAsia="黑体" w:cs="黑体"/>
          <w:color w:val="000000" w:themeColor="text1"/>
          <w:lang w:val="en-US" w:eastAsia="zh-CN"/>
          <w14:textFill>
            <w14:solidFill>
              <w14:schemeClr w14:val="tx1"/>
            </w14:solidFill>
          </w14:textFill>
        </w:rPr>
      </w:pPr>
      <w:r>
        <w:rPr>
          <w:rFonts w:hint="eastAsia" w:ascii="黑体" w:hAnsi="黑体" w:eastAsia="黑体" w:cs="黑体"/>
          <w:color w:val="000000" w:themeColor="text1"/>
          <w:lang w:val="en-US" w:eastAsia="zh-CN"/>
          <w14:textFill>
            <w14:solidFill>
              <w14:schemeClr w14:val="tx1"/>
            </w14:solidFill>
          </w14:textFill>
        </w:rPr>
        <w:t>2  规范性引用文件</w:t>
      </w:r>
    </w:p>
    <w:p>
      <w:pPr>
        <w:pStyle w:val="40"/>
        <w:spacing w:line="360" w:lineRule="auto"/>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 xml:space="preserve">  本文件没有规范性引用文件。</w:t>
      </w:r>
    </w:p>
    <w:p>
      <w:pPr>
        <w:pStyle w:val="83"/>
        <w:numPr>
          <w:ilvl w:val="0"/>
          <w:numId w:val="0"/>
        </w:numPr>
        <w:spacing w:before="312" w:after="312" w:line="360" w:lineRule="auto"/>
        <w:ind w:leftChars="0"/>
        <w:rPr>
          <w:color w:val="auto"/>
        </w:rPr>
      </w:pPr>
      <w:r>
        <w:rPr>
          <w:rFonts w:hint="eastAsia"/>
          <w:color w:val="000000" w:themeColor="text1"/>
          <w:lang w:val="en-US" w:eastAsia="zh-CN"/>
          <w14:textFill>
            <w14:solidFill>
              <w14:schemeClr w14:val="tx1"/>
            </w14:solidFill>
          </w14:textFill>
        </w:rPr>
        <w:t xml:space="preserve">3  </w:t>
      </w:r>
      <w:r>
        <w:rPr>
          <w:rFonts w:hint="eastAsia"/>
          <w:color w:val="000000" w:themeColor="text1"/>
          <w14:textFill>
            <w14:solidFill>
              <w14:schemeClr w14:val="tx1"/>
            </w14:solidFill>
          </w14:textFill>
        </w:rPr>
        <w:t>术</w:t>
      </w:r>
      <w:r>
        <w:rPr>
          <w:rFonts w:hint="eastAsia"/>
          <w:color w:val="auto"/>
        </w:rPr>
        <w:t>语和定义</w:t>
      </w:r>
    </w:p>
    <w:p>
      <w:pPr>
        <w:pStyle w:val="40"/>
        <w:spacing w:line="360" w:lineRule="auto"/>
        <w:rPr>
          <w:color w:val="auto"/>
        </w:rPr>
      </w:pPr>
      <w:r>
        <w:rPr>
          <w:rFonts w:hint="eastAsia"/>
          <w:color w:val="auto"/>
        </w:rPr>
        <w:t>下列术语和定义适用于本文件。</w:t>
      </w:r>
    </w:p>
    <w:p>
      <w:pPr>
        <w:pStyle w:val="47"/>
        <w:numPr>
          <w:ilvl w:val="1"/>
          <w:numId w:val="0"/>
        </w:numPr>
        <w:spacing w:before="156" w:after="156"/>
        <w:ind w:leftChars="0"/>
        <w:rPr>
          <w:rFonts w:hint="default" w:eastAsia="黑体"/>
          <w:color w:val="auto"/>
          <w:lang w:val="en-US" w:eastAsia="zh-CN"/>
        </w:rPr>
      </w:pPr>
      <w:r>
        <w:rPr>
          <w:rFonts w:hint="eastAsia"/>
          <w:color w:val="auto"/>
          <w:lang w:val="en-US" w:eastAsia="zh-CN"/>
        </w:rPr>
        <w:t>3.1</w:t>
      </w:r>
    </w:p>
    <w:p>
      <w:pPr>
        <w:pStyle w:val="40"/>
        <w:spacing w:line="360" w:lineRule="auto"/>
        <w:rPr>
          <w:rFonts w:ascii="黑体" w:eastAsia="黑体"/>
          <w:color w:val="auto"/>
        </w:rPr>
      </w:pPr>
      <w:r>
        <w:rPr>
          <w:rFonts w:hint="eastAsia" w:ascii="黑体" w:eastAsia="黑体"/>
          <w:color w:val="auto"/>
        </w:rPr>
        <w:t>老字号 time-honored brand</w:t>
      </w:r>
    </w:p>
    <w:p>
      <w:pPr>
        <w:pStyle w:val="40"/>
        <w:spacing w:line="360" w:lineRule="auto"/>
        <w:rPr>
          <w:rFonts w:ascii="黑体" w:eastAsia="黑体"/>
          <w:color w:val="auto"/>
        </w:rPr>
      </w:pPr>
      <w:r>
        <w:rPr>
          <w:rFonts w:hint="eastAsia" w:hAnsi="宋体" w:cs="宋体"/>
          <w:color w:val="auto"/>
        </w:rPr>
        <w:t>具有一定历史和传统文化背景，拥有传承的产品、技艺或服务</w:t>
      </w:r>
      <w:r>
        <w:rPr>
          <w:rFonts w:hint="eastAsia" w:hAnsi="宋体" w:cs="宋体"/>
          <w:color w:val="auto"/>
          <w:lang w:eastAsia="zh-CN"/>
        </w:rPr>
        <w:t>，</w:t>
      </w:r>
      <w:r>
        <w:rPr>
          <w:rFonts w:hint="eastAsia" w:hAnsi="宋体" w:cs="宋体"/>
          <w:color w:val="auto"/>
          <w:lang w:val="en-US" w:eastAsia="zh-CN"/>
        </w:rPr>
        <w:t>取得社会广泛认同并有</w:t>
      </w:r>
      <w:r>
        <w:rPr>
          <w:rFonts w:hint="eastAsia" w:hAnsi="宋体" w:cs="宋体"/>
          <w:color w:val="auto"/>
        </w:rPr>
        <w:t>良好信誉的商号、商标。</w:t>
      </w:r>
    </w:p>
    <w:p>
      <w:pPr>
        <w:pStyle w:val="47"/>
        <w:numPr>
          <w:ilvl w:val="1"/>
          <w:numId w:val="0"/>
        </w:numPr>
        <w:spacing w:before="156" w:after="156"/>
        <w:ind w:leftChars="0"/>
        <w:rPr>
          <w:rFonts w:hint="default" w:eastAsia="黑体"/>
          <w:color w:val="auto"/>
          <w:lang w:val="en-US" w:eastAsia="zh-CN"/>
        </w:rPr>
      </w:pPr>
      <w:r>
        <w:rPr>
          <w:rFonts w:hint="eastAsia"/>
          <w:color w:val="auto"/>
          <w:lang w:val="en-US" w:eastAsia="zh-CN"/>
        </w:rPr>
        <w:t>3.2</w:t>
      </w:r>
    </w:p>
    <w:p>
      <w:pPr>
        <w:pStyle w:val="40"/>
        <w:spacing w:line="360" w:lineRule="auto"/>
        <w:ind w:firstLine="420" w:firstLineChars="0"/>
        <w:rPr>
          <w:rFonts w:hint="eastAsia" w:asciiTheme="majorEastAsia" w:hAnsiTheme="majorEastAsia" w:eastAsiaTheme="majorEastAsia" w:cstheme="majorEastAsia"/>
          <w:b/>
          <w:bCs/>
          <w:color w:val="auto"/>
          <w:szCs w:val="22"/>
          <w:lang w:val="en-US" w:eastAsia="zh-CN"/>
        </w:rPr>
      </w:pPr>
      <w:r>
        <w:rPr>
          <w:rFonts w:hint="eastAsia" w:asciiTheme="majorEastAsia" w:hAnsiTheme="majorEastAsia" w:eastAsiaTheme="majorEastAsia" w:cstheme="majorEastAsia"/>
          <w:b/>
          <w:bCs/>
          <w:color w:val="auto"/>
          <w:szCs w:val="22"/>
          <w:lang w:val="en-US" w:eastAsia="zh-CN"/>
        </w:rPr>
        <w:t>中华老字号 China Time-honored brand</w:t>
      </w:r>
    </w:p>
    <w:p>
      <w:pPr>
        <w:pStyle w:val="40"/>
        <w:spacing w:line="360" w:lineRule="auto"/>
        <w:ind w:firstLine="420" w:firstLineChars="0"/>
        <w:rPr>
          <w:rFonts w:hint="eastAsia" w:asciiTheme="majorEastAsia" w:hAnsiTheme="majorEastAsia" w:eastAsiaTheme="majorEastAsia" w:cstheme="majorEastAsia"/>
          <w:color w:val="auto"/>
          <w:szCs w:val="22"/>
          <w:lang w:val="en-US" w:eastAsia="zh-CN"/>
        </w:rPr>
      </w:pPr>
      <w:r>
        <w:rPr>
          <w:rFonts w:hint="eastAsia" w:asciiTheme="majorEastAsia" w:hAnsiTheme="majorEastAsia" w:eastAsiaTheme="majorEastAsia" w:cstheme="majorEastAsia"/>
          <w:color w:val="auto"/>
          <w:szCs w:val="22"/>
          <w:lang w:val="en-US" w:eastAsia="zh-CN"/>
        </w:rPr>
        <w:t>是指历史底蕴深厚、文化特色鲜明、工艺技术独特、设计制造精良、产品服务优质、营销渠道高效、社会广泛认同的品牌（字号、商标等），由商务部会同有关部门认定的商号、商标。</w:t>
      </w:r>
    </w:p>
    <w:p>
      <w:pPr>
        <w:pStyle w:val="40"/>
        <w:spacing w:line="360" w:lineRule="auto"/>
        <w:ind w:firstLine="420" w:firstLineChars="0"/>
        <w:rPr>
          <w:rFonts w:hint="eastAsia" w:asciiTheme="majorEastAsia" w:hAnsiTheme="majorEastAsia" w:eastAsiaTheme="majorEastAsia" w:cstheme="majorEastAsia"/>
          <w:color w:val="auto"/>
          <w:szCs w:val="22"/>
          <w:lang w:val="en-US" w:eastAsia="zh-CN"/>
        </w:rPr>
      </w:pPr>
    </w:p>
    <w:p>
      <w:pPr>
        <w:pStyle w:val="40"/>
        <w:spacing w:line="360" w:lineRule="auto"/>
        <w:ind w:left="0" w:leftChars="0" w:firstLine="0" w:firstLineChars="0"/>
        <w:rPr>
          <w:rFonts w:hint="eastAsia" w:asciiTheme="majorEastAsia" w:hAnsiTheme="majorEastAsia" w:eastAsiaTheme="majorEastAsia" w:cstheme="majorEastAsia"/>
          <w:color w:val="auto"/>
          <w:szCs w:val="22"/>
          <w:lang w:val="en-US" w:eastAsia="zh-CN"/>
        </w:rPr>
      </w:pPr>
      <w:r>
        <w:rPr>
          <w:rFonts w:hint="eastAsia" w:asciiTheme="majorEastAsia" w:hAnsiTheme="majorEastAsia" w:eastAsiaTheme="majorEastAsia" w:cstheme="majorEastAsia"/>
          <w:color w:val="auto"/>
          <w:szCs w:val="22"/>
          <w:lang w:val="en-US" w:eastAsia="zh-CN"/>
        </w:rPr>
        <w:t>3.3</w:t>
      </w:r>
    </w:p>
    <w:p>
      <w:pPr>
        <w:pStyle w:val="40"/>
        <w:spacing w:line="360" w:lineRule="auto"/>
        <w:ind w:firstLine="420" w:firstLineChars="0"/>
        <w:rPr>
          <w:rFonts w:hint="eastAsia" w:asciiTheme="majorEastAsia" w:hAnsiTheme="majorEastAsia" w:eastAsiaTheme="majorEastAsia" w:cstheme="majorEastAsia"/>
          <w:b/>
          <w:bCs/>
          <w:color w:val="auto"/>
          <w:szCs w:val="22"/>
          <w:lang w:val="en-US" w:eastAsia="zh-CN"/>
        </w:rPr>
      </w:pPr>
      <w:r>
        <w:rPr>
          <w:rFonts w:hint="eastAsia" w:asciiTheme="majorEastAsia" w:hAnsiTheme="majorEastAsia" w:eastAsiaTheme="majorEastAsia" w:cstheme="majorEastAsia"/>
          <w:b/>
          <w:bCs/>
          <w:color w:val="auto"/>
          <w:szCs w:val="22"/>
          <w:lang w:val="en-US" w:eastAsia="zh-CN"/>
        </w:rPr>
        <w:t>河北老字号 Hebei Time-honored brand</w:t>
      </w:r>
    </w:p>
    <w:p>
      <w:pPr>
        <w:pStyle w:val="40"/>
        <w:spacing w:line="360" w:lineRule="auto"/>
        <w:ind w:firstLine="420" w:firstLineChars="0"/>
        <w:rPr>
          <w:rFonts w:hint="eastAsia" w:asciiTheme="majorEastAsia" w:hAnsiTheme="majorEastAsia" w:eastAsiaTheme="majorEastAsia" w:cstheme="majorEastAsia"/>
          <w:color w:val="auto"/>
          <w:szCs w:val="22"/>
          <w:lang w:val="en-US" w:eastAsia="zh-CN"/>
        </w:rPr>
      </w:pPr>
    </w:p>
    <w:p>
      <w:pPr>
        <w:pStyle w:val="40"/>
        <w:spacing w:line="360" w:lineRule="auto"/>
        <w:ind w:firstLine="420" w:firstLineChars="0"/>
        <w:rPr>
          <w:rFonts w:hint="eastAsia" w:asciiTheme="majorEastAsia" w:hAnsiTheme="majorEastAsia" w:eastAsiaTheme="majorEastAsia" w:cstheme="majorEastAsia"/>
          <w:color w:val="auto"/>
          <w:szCs w:val="22"/>
          <w:lang w:val="en-US" w:eastAsia="zh-CN"/>
        </w:rPr>
      </w:pPr>
    </w:p>
    <w:p>
      <w:pPr>
        <w:pStyle w:val="112"/>
        <w:tabs>
          <w:tab w:val="center" w:pos="4201"/>
          <w:tab w:val="right" w:leader="dot" w:pos="9298"/>
        </w:tabs>
        <w:spacing w:line="360" w:lineRule="auto"/>
        <w:ind w:firstLine="420" w:firstLineChars="0"/>
        <w:jc w:val="right"/>
        <w:rPr>
          <w:rFonts w:hint="eastAsia"/>
          <w:highlight w:val="none"/>
        </w:rPr>
      </w:pPr>
      <w:r>
        <w:rPr>
          <w:rFonts w:hint="eastAsia"/>
          <w:color w:val="000000" w:themeColor="text1"/>
          <w:sz w:val="21"/>
          <w:szCs w:val="21"/>
          <w:lang w:val="en-US" w:eastAsia="zh-CN"/>
          <w14:textFill>
            <w14:solidFill>
              <w14:schemeClr w14:val="tx1"/>
            </w14:solidFill>
          </w14:textFill>
        </w:rPr>
        <w:t xml:space="preserve">DB13/T </w:t>
      </w:r>
      <w:r>
        <w:rPr>
          <w:rFonts w:hint="eastAsia" w:hAnsi="黑体" w:cs="黑体"/>
          <w:color w:val="auto"/>
          <w:sz w:val="21"/>
          <w:szCs w:val="21"/>
        </w:rPr>
        <w:t>XXXX-202</w:t>
      </w:r>
      <w:r>
        <w:rPr>
          <w:rFonts w:hint="eastAsia" w:hAnsi="黑体" w:cs="黑体"/>
          <w:color w:val="auto"/>
          <w:sz w:val="21"/>
          <w:szCs w:val="21"/>
          <w:lang w:val="en-US" w:eastAsia="zh-CN"/>
        </w:rPr>
        <w:t>3</w:t>
      </w:r>
    </w:p>
    <w:p>
      <w:pPr>
        <w:pStyle w:val="40"/>
        <w:spacing w:line="360" w:lineRule="auto"/>
        <w:ind w:firstLine="420" w:firstLineChars="0"/>
        <w:rPr>
          <w:rFonts w:hint="eastAsia" w:asciiTheme="majorEastAsia" w:hAnsiTheme="majorEastAsia" w:eastAsiaTheme="majorEastAsia" w:cstheme="majorEastAsia"/>
          <w:color w:val="auto"/>
          <w:szCs w:val="22"/>
          <w:lang w:val="en-US" w:eastAsia="zh-CN"/>
        </w:rPr>
      </w:pPr>
      <w:r>
        <w:rPr>
          <w:rFonts w:hint="eastAsia" w:asciiTheme="majorEastAsia" w:hAnsiTheme="majorEastAsia" w:eastAsiaTheme="majorEastAsia" w:cstheme="majorEastAsia"/>
          <w:color w:val="auto"/>
          <w:szCs w:val="22"/>
          <w:lang w:val="en-US" w:eastAsia="zh-CN"/>
        </w:rPr>
        <w:t>河北行政区域内历史底蕴深厚、文化特色鲜明、工艺技术独特、设计制造精良、产品服务优质、营销渠道高效、社会广泛认同的品牌（字号、商标等），由河北老字号工作机构认定的商号、商标。</w:t>
      </w:r>
    </w:p>
    <w:p>
      <w:pPr>
        <w:pStyle w:val="40"/>
        <w:spacing w:line="360" w:lineRule="auto"/>
        <w:ind w:firstLine="420" w:firstLineChars="0"/>
        <w:rPr>
          <w:rFonts w:hint="eastAsia" w:ascii="黑体" w:hAnsi="黑体" w:eastAsia="黑体" w:cs="黑体"/>
          <w:color w:val="auto"/>
          <w:szCs w:val="22"/>
          <w:lang w:val="en-US" w:eastAsia="zh-CN"/>
        </w:rPr>
      </w:pPr>
    </w:p>
    <w:p>
      <w:pPr>
        <w:pStyle w:val="40"/>
        <w:ind w:left="0" w:leftChars="0" w:firstLine="0" w:firstLineChars="0"/>
        <w:rPr>
          <w:rFonts w:hint="default" w:eastAsia="宋体"/>
          <w:lang w:val="en-US" w:eastAsia="zh-CN"/>
        </w:rPr>
      </w:pPr>
      <w:r>
        <w:rPr>
          <w:rFonts w:hint="eastAsia"/>
          <w:color w:val="auto"/>
          <w:lang w:val="en-US" w:eastAsia="zh-CN"/>
        </w:rPr>
        <w:t>3.4</w:t>
      </w:r>
    </w:p>
    <w:p>
      <w:pPr>
        <w:pStyle w:val="40"/>
        <w:spacing w:line="360" w:lineRule="auto"/>
        <w:ind w:firstLine="420" w:firstLineChars="0"/>
        <w:rPr>
          <w:rFonts w:hint="eastAsia" w:ascii="黑体" w:hAnsi="黑体" w:eastAsia="黑体" w:cs="黑体"/>
          <w:color w:val="auto"/>
        </w:rPr>
      </w:pPr>
      <w:r>
        <w:rPr>
          <w:rFonts w:hint="eastAsia" w:ascii="黑体" w:hAnsi="黑体" w:eastAsia="黑体" w:cs="黑体"/>
          <w:color w:val="auto"/>
          <w:lang w:val="en-US" w:eastAsia="zh-CN"/>
        </w:rPr>
        <w:t>品牌</w:t>
      </w:r>
      <w:r>
        <w:rPr>
          <w:rFonts w:hint="eastAsia" w:ascii="黑体" w:hAnsi="黑体" w:eastAsia="黑体" w:cs="黑体"/>
          <w:color w:val="auto"/>
        </w:rPr>
        <w:t xml:space="preserve"> Trade Name</w:t>
      </w:r>
    </w:p>
    <w:p>
      <w:pPr>
        <w:pStyle w:val="40"/>
        <w:spacing w:line="560" w:lineRule="exact"/>
        <w:ind w:firstLine="640"/>
        <w:rPr>
          <w:rFonts w:hint="eastAsia"/>
          <w:sz w:val="21"/>
          <w:szCs w:val="21"/>
          <w:highlight w:val="none"/>
          <w:lang w:eastAsia="zh-CN"/>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企业历史上长期使用并传承至今，能够代表企业主营业务、产品服务、经营理念、商业道德、社会声誉等整体形象，受到市场和消费者广泛认可，并明显区别于其他竞争对手的文字符号。应当至少与企业的字号、代表性注册商标二者之一相一致。</w:t>
      </w:r>
    </w:p>
    <w:p>
      <w:pPr>
        <w:pStyle w:val="83"/>
        <w:numPr>
          <w:ilvl w:val="0"/>
          <w:numId w:val="0"/>
        </w:numPr>
        <w:spacing w:before="312" w:after="312" w:line="360" w:lineRule="auto"/>
        <w:ind w:leftChars="0"/>
        <w:rPr>
          <w:b w:val="0"/>
          <w:bCs w:val="0"/>
          <w:color w:val="auto"/>
        </w:rPr>
      </w:pPr>
      <w:r>
        <w:rPr>
          <w:rFonts w:hint="eastAsia"/>
          <w:b w:val="0"/>
          <w:bCs w:val="0"/>
          <w:color w:val="auto"/>
          <w:lang w:val="en-US" w:eastAsia="zh-CN"/>
        </w:rPr>
        <w:t xml:space="preserve">4  </w:t>
      </w:r>
      <w:r>
        <w:rPr>
          <w:rFonts w:hint="eastAsia"/>
          <w:b w:val="0"/>
          <w:bCs w:val="0"/>
          <w:color w:val="auto"/>
          <w:lang w:eastAsia="zh-CN"/>
        </w:rPr>
        <w:t>评价</w:t>
      </w:r>
      <w:r>
        <w:rPr>
          <w:rFonts w:hint="eastAsia"/>
          <w:b w:val="0"/>
          <w:bCs w:val="0"/>
          <w:color w:val="auto"/>
        </w:rPr>
        <w:t>规则</w:t>
      </w:r>
    </w:p>
    <w:p>
      <w:pPr>
        <w:pStyle w:val="47"/>
        <w:numPr>
          <w:ilvl w:val="1"/>
          <w:numId w:val="0"/>
        </w:numPr>
        <w:spacing w:before="156" w:after="156" w:line="560" w:lineRule="exact"/>
        <w:ind w:leftChars="0"/>
        <w:rPr>
          <w:rFonts w:hint="eastAsia" w:ascii="黑体" w:hAnsi="黑体" w:eastAsia="黑体" w:cs="黑体"/>
          <w:b w:val="0"/>
          <w:bCs w:val="0"/>
          <w:sz w:val="21"/>
          <w:szCs w:val="21"/>
        </w:rPr>
      </w:pPr>
      <w:r>
        <w:rPr>
          <w:rFonts w:hint="eastAsia" w:ascii="黑体" w:hAnsi="黑体" w:eastAsia="黑体" w:cs="黑体"/>
          <w:b w:val="0"/>
          <w:bCs w:val="0"/>
          <w:sz w:val="21"/>
          <w:szCs w:val="21"/>
          <w:lang w:val="en-US" w:eastAsia="zh-CN"/>
        </w:rPr>
        <w:t xml:space="preserve">4.1  </w:t>
      </w:r>
      <w:r>
        <w:rPr>
          <w:rFonts w:hint="eastAsia" w:ascii="黑体" w:hAnsi="黑体" w:eastAsia="黑体" w:cs="黑体"/>
          <w:b w:val="0"/>
          <w:bCs w:val="0"/>
          <w:sz w:val="21"/>
          <w:szCs w:val="21"/>
        </w:rPr>
        <w:t>评价组织机构</w:t>
      </w:r>
    </w:p>
    <w:p>
      <w:pPr>
        <w:pStyle w:val="40"/>
        <w:numPr>
          <w:ilvl w:val="0"/>
          <w:numId w:val="0"/>
        </w:numPr>
        <w:tabs>
          <w:tab w:val="left" w:pos="1060"/>
          <w:tab w:val="clear" w:pos="4201"/>
        </w:tabs>
        <w:spacing w:line="560" w:lineRule="exact"/>
        <w:ind w:leftChars="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黑体" w:hAnsi="黑体" w:eastAsia="黑体" w:cs="黑体"/>
          <w:color w:val="000000" w:themeColor="text1"/>
          <w:sz w:val="21"/>
          <w:szCs w:val="21"/>
          <w:lang w:val="en-US" w:eastAsia="zh-CN"/>
          <w14:textFill>
            <w14:solidFill>
              <w14:schemeClr w14:val="tx1"/>
            </w14:solidFill>
          </w14:textFill>
        </w:rPr>
        <w:t>4.1.1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“河北老字号”由省级商务行政主管部门牵头会同相关部门和行业协会组成河北省推进老字号创新发展工作组；</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委托</w:t>
      </w:r>
      <w:r>
        <w:rPr>
          <w:rFonts w:hint="eastAsia" w:asciiTheme="minorEastAsia" w:hAnsiTheme="minorEastAsia" w:eastAsiaTheme="minorEastAsia" w:cstheme="minorEastAsia"/>
          <w:color w:val="000000" w:themeColor="text1"/>
          <w:sz w:val="21"/>
          <w:szCs w:val="21"/>
          <w14:textFill>
            <w14:solidFill>
              <w14:schemeClr w14:val="tx1"/>
            </w14:solidFill>
          </w14:textFill>
        </w:rPr>
        <w:t>河北省商业综合性行业协会成立“河北老字号”工作办公室及</w:t>
      </w:r>
      <w:r>
        <w:rPr>
          <w:rFonts w:hint="eastAsia" w:ascii="宋体" w:hAnsi="宋体" w:eastAsia="宋体" w:cs="宋体"/>
          <w:b w:val="0"/>
          <w:bCs w:val="0"/>
          <w:color w:val="auto"/>
          <w:lang w:val="en-US" w:eastAsia="zh-CN"/>
        </w:rPr>
        <w:t>“</w:t>
      </w:r>
      <w:r>
        <w:rPr>
          <w:rFonts w:hint="eastAsia" w:asciiTheme="minorEastAsia" w:hAnsiTheme="minorEastAsia" w:eastAsiaTheme="minorEastAsia" w:cstheme="minorEastAsia"/>
          <w:color w:val="auto"/>
          <w:lang w:val="en-US" w:eastAsia="zh-CN"/>
        </w:rPr>
        <w:t>河北</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老字号”工作</w:t>
      </w:r>
      <w:r>
        <w:rPr>
          <w:rFonts w:hint="eastAsia" w:asciiTheme="minorEastAsia" w:hAnsiTheme="minorEastAsia" w:eastAsiaTheme="minorEastAsia" w:cstheme="minorEastAsia"/>
          <w:color w:val="000000" w:themeColor="text1"/>
          <w:sz w:val="21"/>
          <w:szCs w:val="21"/>
          <w14:textFill>
            <w14:solidFill>
              <w14:schemeClr w14:val="tx1"/>
            </w14:solidFill>
          </w14:textFill>
        </w:rPr>
        <w:t>专家技术委员会，在河北省推进老字号创新发展工作组指导下，组织开展“河北老字号”</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初步</w:t>
      </w:r>
      <w:r>
        <w:rPr>
          <w:rFonts w:hint="eastAsia" w:asciiTheme="minorEastAsia" w:hAnsiTheme="minorEastAsia" w:eastAsiaTheme="minorEastAsia" w:cstheme="minorEastAsia"/>
          <w:color w:val="000000" w:themeColor="text1"/>
          <w:sz w:val="21"/>
          <w:szCs w:val="21"/>
          <w14:textFill>
            <w14:solidFill>
              <w14:schemeClr w14:val="tx1"/>
            </w14:solidFill>
          </w14:textFill>
        </w:rPr>
        <w:t>评价工作</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，并提交初评结果，经工作组认定后发布</w:t>
      </w:r>
      <w:r>
        <w:rPr>
          <w:rFonts w:hint="eastAsia" w:asciiTheme="minorEastAsia" w:hAnsiTheme="minorEastAsia" w:eastAsiaTheme="minorEastAsia" w:cstheme="minorEastAsia"/>
          <w:color w:val="000000" w:themeColor="text1"/>
          <w:sz w:val="21"/>
          <w:szCs w:val="21"/>
          <w14:textFill>
            <w14:solidFill>
              <w14:schemeClr w14:val="tx1"/>
            </w14:solidFill>
          </w14:textFill>
        </w:rPr>
        <w:t>。</w:t>
      </w:r>
    </w:p>
    <w:p>
      <w:pPr>
        <w:pStyle w:val="40"/>
        <w:numPr>
          <w:ilvl w:val="0"/>
          <w:numId w:val="0"/>
        </w:numPr>
        <w:tabs>
          <w:tab w:val="left" w:pos="1060"/>
          <w:tab w:val="clear" w:pos="4201"/>
        </w:tabs>
        <w:spacing w:line="560" w:lineRule="exact"/>
        <w:ind w:leftChars="0"/>
        <w:rPr>
          <w:rFonts w:asciiTheme="minorEastAsia" w:hAnsiTheme="minorEastAsia" w:eastAsiaTheme="minorEastAsia"/>
          <w:color w:val="auto"/>
        </w:rPr>
      </w:pPr>
      <w:r>
        <w:rPr>
          <w:rFonts w:hint="eastAsia" w:ascii="黑体" w:hAnsi="黑体" w:eastAsia="黑体" w:cs="黑体"/>
          <w:color w:val="000000" w:themeColor="text1"/>
          <w:sz w:val="21"/>
          <w:szCs w:val="21"/>
          <w:lang w:val="en-US" w:eastAsia="zh-CN"/>
          <w14:textFill>
            <w14:solidFill>
              <w14:schemeClr w14:val="tx1"/>
            </w14:solidFill>
          </w14:textFill>
        </w:rPr>
        <w:t xml:space="preserve">4.1.2 </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“河北老字号”工作专家技术委员会的评审专家应接受培训并考核。必要时可邀请国家或其他省份专家参与“河北老字号”的评价工作。</w:t>
      </w:r>
      <w:r>
        <w:rPr>
          <w:rFonts w:hint="eastAsia" w:asciiTheme="minorEastAsia" w:hAnsiTheme="minorEastAsia" w:eastAsiaTheme="minorEastAsia"/>
          <w:color w:val="auto"/>
        </w:rPr>
        <w:t xml:space="preserve">                                                                   </w:t>
      </w:r>
      <w:r>
        <w:rPr>
          <w:rFonts w:hint="eastAsia" w:asciiTheme="minorEastAsia" w:hAnsiTheme="minorEastAsia" w:eastAsiaTheme="minorEastAsia"/>
          <w:color w:val="auto"/>
          <w:lang w:val="en-US" w:eastAsia="zh-CN"/>
        </w:rPr>
        <w:t xml:space="preserve">                      </w:t>
      </w:r>
      <w:r>
        <w:rPr>
          <w:rFonts w:hint="eastAsia" w:asciiTheme="minorEastAsia" w:hAnsiTheme="minorEastAsia" w:eastAsiaTheme="minorEastAsia"/>
          <w:color w:val="auto"/>
        </w:rPr>
        <w:t xml:space="preserve">                                      </w:t>
      </w:r>
    </w:p>
    <w:p>
      <w:pPr>
        <w:pStyle w:val="47"/>
        <w:numPr>
          <w:ilvl w:val="1"/>
          <w:numId w:val="0"/>
        </w:numPr>
        <w:spacing w:before="156" w:after="156" w:line="360" w:lineRule="auto"/>
        <w:ind w:leftChars="0"/>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lang w:val="en-US" w:eastAsia="zh-CN"/>
        </w:rPr>
        <w:t>4.2  企业</w:t>
      </w:r>
      <w:r>
        <w:rPr>
          <w:rFonts w:hint="eastAsia" w:ascii="黑体" w:hAnsi="黑体" w:eastAsia="黑体" w:cs="黑体"/>
          <w:b w:val="0"/>
          <w:bCs w:val="0"/>
          <w:color w:val="auto"/>
          <w:sz w:val="21"/>
          <w:szCs w:val="21"/>
        </w:rPr>
        <w:t xml:space="preserve">申报资格  </w:t>
      </w:r>
    </w:p>
    <w:p>
      <w:pPr>
        <w:pStyle w:val="47"/>
        <w:numPr>
          <w:ilvl w:val="1"/>
          <w:numId w:val="0"/>
        </w:numPr>
        <w:spacing w:before="156" w:after="156"/>
        <w:ind w:leftChars="0"/>
        <w:rPr>
          <w:rFonts w:hint="eastAsia" w:ascii="宋体" w:hAnsi="宋体" w:eastAsia="宋体" w:cs="宋体"/>
          <w:b w:val="0"/>
          <w:bCs w:val="0"/>
          <w:color w:val="auto"/>
          <w:lang w:eastAsia="zh-CN"/>
        </w:rPr>
      </w:pPr>
      <w:r>
        <w:rPr>
          <w:rFonts w:hint="eastAsia" w:ascii="黑体" w:hAnsi="黑体" w:eastAsia="黑体" w:cs="黑体"/>
          <w:b w:val="0"/>
          <w:bCs w:val="0"/>
          <w:color w:val="auto"/>
          <w:lang w:val="en-US" w:eastAsia="zh-CN"/>
        </w:rPr>
        <w:t>4.</w:t>
      </w:r>
      <w:r>
        <w:rPr>
          <w:rFonts w:hint="eastAsia" w:ascii="黑体" w:hAnsi="黑体" w:eastAsia="黑体" w:cs="黑体"/>
          <w:b w:val="0"/>
          <w:bCs w:val="0"/>
          <w:color w:val="auto"/>
          <w:lang w:eastAsia="zh-CN"/>
        </w:rPr>
        <w:t>2.1</w:t>
      </w:r>
      <w:r>
        <w:rPr>
          <w:rFonts w:hint="eastAsia" w:ascii="宋体" w:hAnsi="宋体" w:eastAsia="宋体" w:cs="宋体"/>
          <w:b w:val="0"/>
          <w:bCs w:val="0"/>
          <w:color w:val="auto"/>
          <w:lang w:eastAsia="zh-CN"/>
        </w:rPr>
        <w:t xml:space="preserve">  </w:t>
      </w:r>
      <w:r>
        <w:rPr>
          <w:rFonts w:hint="eastAsia" w:ascii="宋体" w:hAnsi="宋体" w:eastAsia="宋体" w:cs="宋体"/>
          <w:b w:val="0"/>
          <w:bCs w:val="0"/>
          <w:color w:val="auto"/>
          <w:lang w:val="en-US" w:eastAsia="zh-CN"/>
        </w:rPr>
        <w:t>“河北</w:t>
      </w:r>
      <w:r>
        <w:rPr>
          <w:rFonts w:hint="eastAsia" w:ascii="宋体" w:hAnsi="宋体" w:eastAsia="宋体" w:cs="宋体"/>
          <w:b w:val="0"/>
          <w:bCs w:val="0"/>
          <w:color w:val="auto"/>
          <w:lang w:eastAsia="zh-CN"/>
        </w:rPr>
        <w:t>老字号”应当具备以下基本条件：</w:t>
      </w:r>
    </w:p>
    <w:p>
      <w:pPr>
        <w:pStyle w:val="47"/>
        <w:numPr>
          <w:ilvl w:val="1"/>
          <w:numId w:val="0"/>
        </w:numPr>
        <w:spacing w:before="156" w:after="156"/>
        <w:ind w:leftChars="0"/>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 xml:space="preserve">    --</w:t>
      </w:r>
      <w:r>
        <w:rPr>
          <w:rFonts w:hint="eastAsia" w:ascii="宋体" w:hAnsi="宋体" w:eastAsia="宋体" w:cs="宋体"/>
          <w:b w:val="0"/>
          <w:bCs w:val="0"/>
          <w:color w:val="auto"/>
          <w:lang w:eastAsia="zh-CN"/>
        </w:rPr>
        <w:t>品牌创立时间在50年（含）以上（</w:t>
      </w:r>
      <w:r>
        <w:rPr>
          <w:rFonts w:hint="eastAsia" w:ascii="宋体" w:hAnsi="宋体" w:eastAsia="宋体" w:cs="宋体"/>
          <w:b w:val="0"/>
          <w:bCs w:val="0"/>
          <w:color w:val="auto"/>
          <w:lang w:val="en-US" w:eastAsia="zh-CN"/>
        </w:rPr>
        <w:t>特殊情况可适当放宽，见评价评分表</w:t>
      </w:r>
      <w:r>
        <w:rPr>
          <w:rFonts w:hint="eastAsia" w:ascii="宋体" w:hAnsi="宋体" w:eastAsia="宋体" w:cs="宋体"/>
          <w:b w:val="0"/>
          <w:bCs w:val="0"/>
          <w:color w:val="auto"/>
          <w:lang w:eastAsia="zh-CN"/>
        </w:rPr>
        <w:t>）；</w:t>
      </w:r>
    </w:p>
    <w:p>
      <w:pPr>
        <w:pStyle w:val="112"/>
        <w:numPr>
          <w:ilvl w:val="1"/>
          <w:numId w:val="0"/>
        </w:numPr>
        <w:spacing w:before="156" w:after="156"/>
        <w:ind w:leftChars="0"/>
        <w:jc w:val="right"/>
        <w:rPr>
          <w:rFonts w:hint="eastAsia"/>
          <w:lang w:val="en-US" w:eastAsia="zh-CN"/>
        </w:rPr>
      </w:pPr>
      <w:r>
        <w:rPr>
          <w:rFonts w:hint="eastAsia"/>
          <w:color w:val="000000" w:themeColor="text1"/>
          <w:sz w:val="21"/>
          <w:szCs w:val="21"/>
          <w:lang w:val="en-US" w:eastAsia="zh-CN"/>
          <w14:textFill>
            <w14:solidFill>
              <w14:schemeClr w14:val="tx1"/>
            </w14:solidFill>
          </w14:textFill>
        </w:rPr>
        <w:t xml:space="preserve">DB13/T </w:t>
      </w:r>
      <w:r>
        <w:rPr>
          <w:rFonts w:hint="eastAsia" w:hAnsi="黑体" w:cs="黑体"/>
          <w:color w:val="auto"/>
          <w:sz w:val="21"/>
          <w:szCs w:val="21"/>
        </w:rPr>
        <w:t>XXXX-202</w:t>
      </w:r>
      <w:r>
        <w:rPr>
          <w:rFonts w:hint="eastAsia" w:hAnsi="黑体" w:cs="黑体"/>
          <w:color w:val="auto"/>
          <w:sz w:val="21"/>
          <w:szCs w:val="21"/>
          <w:lang w:val="en-US" w:eastAsia="zh-CN"/>
        </w:rPr>
        <w:t>3</w:t>
      </w:r>
    </w:p>
    <w:p>
      <w:pPr>
        <w:pStyle w:val="47"/>
        <w:numPr>
          <w:ilvl w:val="1"/>
          <w:numId w:val="0"/>
        </w:numPr>
        <w:spacing w:before="156" w:after="156"/>
        <w:ind w:leftChars="0" w:firstLine="420" w:firstLineChars="200"/>
        <w:rPr>
          <w:rFonts w:hint="eastAsia" w:ascii="宋体" w:hAnsi="宋体" w:eastAsia="宋体" w:cs="宋体"/>
          <w:b w:val="0"/>
          <w:bCs w:val="0"/>
          <w:color w:val="auto"/>
          <w:lang w:val="en-US" w:eastAsia="zh-CN"/>
        </w:rPr>
      </w:pPr>
    </w:p>
    <w:p>
      <w:pPr>
        <w:pStyle w:val="47"/>
        <w:numPr>
          <w:ilvl w:val="1"/>
          <w:numId w:val="0"/>
        </w:numPr>
        <w:spacing w:before="156" w:after="156"/>
        <w:ind w:leftChars="0" w:firstLine="420" w:firstLineChars="200"/>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w:t>
      </w:r>
      <w:r>
        <w:rPr>
          <w:rFonts w:hint="eastAsia" w:ascii="宋体" w:hAnsi="宋体" w:eastAsia="宋体" w:cs="宋体"/>
          <w:b w:val="0"/>
          <w:bCs w:val="0"/>
          <w:color w:val="auto"/>
          <w:lang w:eastAsia="zh-CN"/>
        </w:rPr>
        <w:t>具有</w:t>
      </w:r>
      <w:r>
        <w:rPr>
          <w:rFonts w:hint="eastAsia" w:ascii="宋体" w:hAnsi="宋体" w:eastAsia="宋体" w:cs="宋体"/>
          <w:b w:val="0"/>
          <w:bCs w:val="0"/>
          <w:color w:val="auto"/>
          <w:lang w:val="en-US" w:eastAsia="zh-CN"/>
        </w:rPr>
        <w:t>具有河北、</w:t>
      </w:r>
      <w:r>
        <w:rPr>
          <w:rFonts w:hint="eastAsia" w:ascii="宋体" w:hAnsi="宋体" w:eastAsia="宋体" w:cs="宋体"/>
          <w:b w:val="0"/>
          <w:bCs w:val="0"/>
          <w:color w:val="auto"/>
          <w:lang w:eastAsia="zh-CN"/>
        </w:rPr>
        <w:t>中华民族特色和鲜明的地域文化特征；</w:t>
      </w:r>
    </w:p>
    <w:p>
      <w:pPr>
        <w:pStyle w:val="47"/>
        <w:numPr>
          <w:ilvl w:val="1"/>
          <w:numId w:val="0"/>
        </w:numPr>
        <w:spacing w:before="156" w:after="156"/>
        <w:ind w:leftChars="0" w:firstLine="420" w:firstLineChars="200"/>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w:t>
      </w:r>
      <w:r>
        <w:rPr>
          <w:rFonts w:hint="eastAsia" w:ascii="宋体" w:hAnsi="宋体" w:eastAsia="宋体" w:cs="宋体"/>
          <w:b w:val="0"/>
          <w:bCs w:val="0"/>
          <w:color w:val="auto"/>
          <w:lang w:eastAsia="zh-CN"/>
        </w:rPr>
        <w:t>面向居民生活提供经济价值、文化价值较高的产品、技艺或服务；</w:t>
      </w:r>
    </w:p>
    <w:p>
      <w:pPr>
        <w:pStyle w:val="47"/>
        <w:numPr>
          <w:ilvl w:val="1"/>
          <w:numId w:val="0"/>
        </w:numPr>
        <w:spacing w:before="156" w:after="156"/>
        <w:ind w:leftChars="0" w:firstLine="420" w:firstLineChars="200"/>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w:t>
      </w:r>
      <w:r>
        <w:rPr>
          <w:rFonts w:hint="eastAsia" w:ascii="宋体" w:hAnsi="宋体" w:eastAsia="宋体" w:cs="宋体"/>
          <w:b w:val="0"/>
          <w:bCs w:val="0"/>
          <w:color w:val="auto"/>
          <w:lang w:eastAsia="zh-CN"/>
        </w:rPr>
        <w:t>在所属行业或领域内具有代表性、引领性和示范性，得到广泛的社会认同和赞誉。</w:t>
      </w:r>
    </w:p>
    <w:p>
      <w:pPr>
        <w:pStyle w:val="47"/>
        <w:numPr>
          <w:ilvl w:val="1"/>
          <w:numId w:val="0"/>
        </w:numPr>
        <w:spacing w:before="156" w:after="156"/>
        <w:ind w:leftChars="0"/>
        <w:rPr>
          <w:rFonts w:hint="eastAsia" w:ascii="宋体" w:hAnsi="宋体" w:eastAsia="宋体" w:cs="宋体"/>
          <w:b w:val="0"/>
          <w:bCs w:val="0"/>
          <w:color w:val="auto"/>
          <w:lang w:eastAsia="zh-CN"/>
        </w:rPr>
      </w:pPr>
      <w:r>
        <w:rPr>
          <w:rFonts w:hint="eastAsia" w:ascii="黑体" w:hAnsi="黑体" w:eastAsia="黑体" w:cs="黑体"/>
          <w:b w:val="0"/>
          <w:bCs w:val="0"/>
          <w:color w:val="auto"/>
          <w:lang w:val="en-US" w:eastAsia="zh-CN"/>
        </w:rPr>
        <w:t>4</w:t>
      </w:r>
      <w:r>
        <w:rPr>
          <w:rFonts w:hint="eastAsia" w:ascii="黑体" w:hAnsi="黑体" w:eastAsia="黑体" w:cs="黑体"/>
          <w:b w:val="0"/>
          <w:bCs w:val="0"/>
          <w:color w:val="auto"/>
          <w:lang w:eastAsia="zh-CN"/>
        </w:rPr>
        <w:t>.2.2</w:t>
      </w:r>
      <w:r>
        <w:rPr>
          <w:rFonts w:hint="eastAsia" w:ascii="宋体" w:hAnsi="宋体" w:eastAsia="宋体" w:cs="宋体"/>
          <w:b w:val="0"/>
          <w:bCs w:val="0"/>
          <w:color w:val="auto"/>
          <w:lang w:eastAsia="zh-CN"/>
        </w:rPr>
        <w:t xml:space="preserve"> </w:t>
      </w:r>
      <w:r>
        <w:rPr>
          <w:rFonts w:hint="eastAsia" w:ascii="宋体" w:hAnsi="宋体" w:eastAsia="宋体" w:cs="宋体"/>
          <w:b w:val="0"/>
          <w:bCs w:val="0"/>
          <w:color w:val="auto"/>
          <w:lang w:val="en-US" w:eastAsia="zh-CN"/>
        </w:rPr>
        <w:t xml:space="preserve"> “河北</w:t>
      </w:r>
      <w:r>
        <w:rPr>
          <w:rFonts w:hint="eastAsia" w:ascii="宋体" w:hAnsi="宋体" w:eastAsia="宋体" w:cs="宋体"/>
          <w:b w:val="0"/>
          <w:bCs w:val="0"/>
          <w:color w:val="auto"/>
          <w:lang w:eastAsia="zh-CN"/>
        </w:rPr>
        <w:t>老字号”企业应当具备以下基本条件：</w:t>
      </w:r>
    </w:p>
    <w:p>
      <w:pPr>
        <w:pStyle w:val="47"/>
        <w:numPr>
          <w:ilvl w:val="1"/>
          <w:numId w:val="0"/>
        </w:numPr>
        <w:spacing w:before="156" w:after="156"/>
        <w:ind w:leftChars="0" w:firstLine="420" w:firstLineChars="200"/>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w:t>
      </w:r>
      <w:r>
        <w:rPr>
          <w:rFonts w:hint="eastAsia" w:ascii="宋体" w:hAnsi="宋体" w:eastAsia="宋体" w:cs="宋体"/>
          <w:b w:val="0"/>
          <w:bCs w:val="0"/>
          <w:color w:val="auto"/>
          <w:lang w:eastAsia="zh-CN"/>
        </w:rPr>
        <w:t>在</w:t>
      </w:r>
      <w:r>
        <w:rPr>
          <w:rFonts w:hint="eastAsia" w:ascii="宋体" w:hAnsi="宋体" w:eastAsia="宋体" w:cs="宋体"/>
          <w:b w:val="0"/>
          <w:bCs w:val="0"/>
          <w:color w:val="auto"/>
          <w:lang w:val="en-US" w:eastAsia="zh-CN"/>
        </w:rPr>
        <w:t>河北省</w:t>
      </w:r>
      <w:r>
        <w:rPr>
          <w:rFonts w:hint="eastAsia" w:ascii="宋体" w:hAnsi="宋体" w:eastAsia="宋体" w:cs="宋体"/>
          <w:b w:val="0"/>
          <w:bCs w:val="0"/>
          <w:color w:val="auto"/>
          <w:lang w:eastAsia="zh-CN"/>
        </w:rPr>
        <w:t>境内依法设立</w:t>
      </w:r>
      <w:r>
        <w:rPr>
          <w:rFonts w:hint="eastAsia" w:ascii="宋体" w:hAnsi="宋体" w:eastAsia="宋体" w:cs="宋体"/>
          <w:b w:val="0"/>
          <w:bCs w:val="0"/>
          <w:color w:val="auto"/>
          <w:lang w:val="en-US" w:eastAsia="zh-CN"/>
        </w:rPr>
        <w:t>并登记注册</w:t>
      </w:r>
      <w:r>
        <w:rPr>
          <w:rFonts w:hint="eastAsia" w:ascii="宋体" w:hAnsi="宋体" w:eastAsia="宋体" w:cs="宋体"/>
          <w:b w:val="0"/>
          <w:bCs w:val="0"/>
          <w:color w:val="auto"/>
          <w:lang w:eastAsia="zh-CN"/>
        </w:rPr>
        <w:t>；</w:t>
      </w:r>
    </w:p>
    <w:p>
      <w:pPr>
        <w:pStyle w:val="47"/>
        <w:numPr>
          <w:ilvl w:val="1"/>
          <w:numId w:val="0"/>
        </w:numPr>
        <w:spacing w:before="156" w:after="156"/>
        <w:ind w:left="630" w:leftChars="200" w:hanging="210" w:hangingChars="100"/>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w:t>
      </w:r>
      <w:r>
        <w:rPr>
          <w:rFonts w:hint="eastAsia" w:ascii="宋体" w:hAnsi="宋体" w:eastAsia="宋体" w:cs="宋体"/>
          <w:b w:val="0"/>
          <w:bCs w:val="0"/>
          <w:color w:val="auto"/>
          <w:lang w:eastAsia="zh-CN"/>
        </w:rPr>
        <w:t>依法拥有与</w:t>
      </w:r>
      <w:r>
        <w:rPr>
          <w:rFonts w:hint="eastAsia" w:ascii="宋体" w:hAnsi="宋体" w:eastAsia="宋体" w:cs="宋体"/>
          <w:b w:val="0"/>
          <w:bCs w:val="0"/>
          <w:color w:val="auto"/>
          <w:lang w:val="en-US" w:eastAsia="zh-CN"/>
        </w:rPr>
        <w:t>河北</w:t>
      </w:r>
      <w:r>
        <w:rPr>
          <w:rFonts w:hint="eastAsia" w:ascii="宋体" w:hAnsi="宋体" w:eastAsia="宋体" w:cs="宋体"/>
          <w:b w:val="0"/>
          <w:bCs w:val="0"/>
          <w:color w:val="auto"/>
          <w:lang w:eastAsia="zh-CN"/>
        </w:rPr>
        <w:t>老字号相一致的字号，或与</w:t>
      </w:r>
      <w:r>
        <w:rPr>
          <w:rFonts w:hint="eastAsia" w:ascii="宋体" w:hAnsi="宋体" w:eastAsia="宋体" w:cs="宋体"/>
          <w:b w:val="0"/>
          <w:bCs w:val="0"/>
          <w:color w:val="auto"/>
          <w:lang w:val="en-US" w:eastAsia="zh-CN"/>
        </w:rPr>
        <w:t>河北</w:t>
      </w:r>
      <w:r>
        <w:rPr>
          <w:rFonts w:hint="eastAsia" w:ascii="宋体" w:hAnsi="宋体" w:eastAsia="宋体" w:cs="宋体"/>
          <w:b w:val="0"/>
          <w:bCs w:val="0"/>
          <w:color w:val="auto"/>
          <w:lang w:eastAsia="zh-CN"/>
        </w:rPr>
        <w:t>老字号相一致的注册商标的所有权或</w:t>
      </w:r>
      <w:r>
        <w:rPr>
          <w:rFonts w:hint="eastAsia" w:ascii="宋体" w:hAnsi="宋体" w:eastAsia="宋体" w:cs="宋体"/>
          <w:b w:val="0"/>
          <w:bCs w:val="0"/>
          <w:color w:val="auto"/>
          <w:lang w:val="en-US" w:eastAsia="zh-CN"/>
        </w:rPr>
        <w:t>合法</w:t>
      </w:r>
      <w:r>
        <w:rPr>
          <w:rFonts w:hint="eastAsia" w:ascii="宋体" w:hAnsi="宋体" w:eastAsia="宋体" w:cs="宋体"/>
          <w:b w:val="0"/>
          <w:bCs w:val="0"/>
          <w:color w:val="auto"/>
          <w:lang w:eastAsia="zh-CN"/>
        </w:rPr>
        <w:t>使用权且未侵犯他人注册商标专用权，传承关系明确且无争议；</w:t>
      </w:r>
    </w:p>
    <w:p>
      <w:pPr>
        <w:pStyle w:val="47"/>
        <w:numPr>
          <w:ilvl w:val="1"/>
          <w:numId w:val="0"/>
        </w:numPr>
        <w:spacing w:before="156" w:after="156"/>
        <w:ind w:leftChars="0" w:firstLine="420" w:firstLineChars="200"/>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w:t>
      </w:r>
      <w:r>
        <w:rPr>
          <w:rFonts w:hint="eastAsia" w:ascii="宋体" w:hAnsi="宋体" w:eastAsia="宋体" w:cs="宋体"/>
          <w:b w:val="0"/>
          <w:bCs w:val="0"/>
          <w:color w:val="auto"/>
          <w:lang w:eastAsia="zh-CN"/>
        </w:rPr>
        <w:t>主营业务连续经营30年（含）以上，且主要面向居民生活提供商品或服务；</w:t>
      </w:r>
    </w:p>
    <w:p>
      <w:pPr>
        <w:pStyle w:val="47"/>
        <w:numPr>
          <w:ilvl w:val="1"/>
          <w:numId w:val="0"/>
        </w:numPr>
        <w:spacing w:before="156" w:after="156"/>
        <w:ind w:leftChars="0" w:firstLine="420" w:firstLineChars="200"/>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w:t>
      </w:r>
      <w:r>
        <w:rPr>
          <w:rFonts w:hint="eastAsia" w:ascii="宋体" w:hAnsi="宋体" w:eastAsia="宋体" w:cs="宋体"/>
          <w:b w:val="0"/>
          <w:bCs w:val="0"/>
          <w:color w:val="auto"/>
          <w:lang w:eastAsia="zh-CN"/>
        </w:rPr>
        <w:t>经营状况良好，且具有较强的可持续发展能力；</w:t>
      </w:r>
    </w:p>
    <w:p>
      <w:pPr>
        <w:pStyle w:val="47"/>
        <w:numPr>
          <w:ilvl w:val="1"/>
          <w:numId w:val="0"/>
        </w:numPr>
        <w:spacing w:before="156" w:after="156"/>
        <w:ind w:left="630" w:leftChars="200" w:hanging="210" w:hangingChars="100"/>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w:t>
      </w:r>
      <w:r>
        <w:rPr>
          <w:rFonts w:hint="eastAsia" w:ascii="宋体" w:hAnsi="宋体" w:eastAsia="宋体" w:cs="宋体"/>
          <w:b w:val="0"/>
          <w:bCs w:val="0"/>
          <w:color w:val="auto"/>
          <w:lang w:eastAsia="zh-CN"/>
        </w:rPr>
        <w:t>具有符合现代要求的企业治理模式，在设计、研发、工艺、技术、制造、产品、服务和经营理念、营销渠道、管理模式等方面具备较强的创新能力；</w:t>
      </w:r>
    </w:p>
    <w:p>
      <w:pPr>
        <w:pStyle w:val="47"/>
        <w:numPr>
          <w:ilvl w:val="1"/>
          <w:numId w:val="0"/>
        </w:numPr>
        <w:spacing w:before="156" w:after="156"/>
        <w:ind w:leftChars="0" w:firstLine="420" w:firstLineChars="200"/>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w:t>
      </w:r>
      <w:r>
        <w:rPr>
          <w:rFonts w:hint="eastAsia" w:ascii="宋体" w:hAnsi="宋体" w:eastAsia="宋体" w:cs="宋体"/>
          <w:b w:val="0"/>
          <w:bCs w:val="0"/>
          <w:color w:val="auto"/>
          <w:lang w:eastAsia="zh-CN"/>
        </w:rPr>
        <w:t>在所属行业或领域内具有较强影响力；</w:t>
      </w:r>
    </w:p>
    <w:p>
      <w:pPr>
        <w:pStyle w:val="47"/>
        <w:numPr>
          <w:ilvl w:val="1"/>
          <w:numId w:val="0"/>
        </w:numPr>
        <w:spacing w:before="156" w:after="156"/>
        <w:ind w:leftChars="0" w:firstLine="420" w:firstLineChars="200"/>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w:t>
      </w:r>
      <w:r>
        <w:rPr>
          <w:rFonts w:hint="eastAsia" w:ascii="宋体" w:hAnsi="宋体" w:eastAsia="宋体" w:cs="宋体"/>
          <w:b w:val="0"/>
          <w:bCs w:val="0"/>
          <w:color w:val="auto"/>
          <w:lang w:eastAsia="zh-CN"/>
        </w:rPr>
        <w:t>未在经营异常名录或严重违法失信名单中。</w:t>
      </w:r>
    </w:p>
    <w:p>
      <w:pPr>
        <w:pStyle w:val="83"/>
        <w:numPr>
          <w:ilvl w:val="0"/>
          <w:numId w:val="0"/>
        </w:numPr>
        <w:spacing w:before="312" w:after="312" w:line="360" w:lineRule="auto"/>
        <w:ind w:leftChars="0"/>
        <w:rPr>
          <w:rFonts w:hint="eastAsia" w:ascii="黑体" w:hAnsi="黑体" w:eastAsia="黑体" w:cs="黑体"/>
          <w:b w:val="0"/>
          <w:bCs w:val="0"/>
          <w:color w:val="auto"/>
        </w:rPr>
      </w:pPr>
      <w:r>
        <w:rPr>
          <w:rFonts w:hint="eastAsia" w:ascii="黑体" w:hAnsi="黑体" w:eastAsia="黑体" w:cs="黑体"/>
          <w:b w:val="0"/>
          <w:bCs w:val="0"/>
          <w:color w:val="auto"/>
          <w:lang w:val="en-US" w:eastAsia="zh-CN"/>
        </w:rPr>
        <w:t xml:space="preserve">5  </w:t>
      </w:r>
      <w:r>
        <w:rPr>
          <w:rFonts w:hint="eastAsia" w:ascii="黑体" w:hAnsi="黑体" w:eastAsia="黑体" w:cs="黑体"/>
          <w:b w:val="0"/>
          <w:bCs w:val="0"/>
          <w:color w:val="auto"/>
          <w:lang w:eastAsia="zh-CN"/>
        </w:rPr>
        <w:t>评价</w:t>
      </w:r>
      <w:r>
        <w:rPr>
          <w:rFonts w:hint="eastAsia" w:ascii="黑体" w:hAnsi="黑体" w:eastAsia="黑体" w:cs="黑体"/>
          <w:b w:val="0"/>
          <w:bCs w:val="0"/>
          <w:color w:val="auto"/>
        </w:rPr>
        <w:t>程序</w:t>
      </w:r>
    </w:p>
    <w:p>
      <w:pPr>
        <w:pStyle w:val="47"/>
        <w:numPr>
          <w:ilvl w:val="1"/>
          <w:numId w:val="0"/>
        </w:numPr>
        <w:spacing w:before="156" w:after="156"/>
        <w:ind w:leftChars="0"/>
        <w:rPr>
          <w:rFonts w:hint="eastAsia"/>
          <w:lang w:val="en-US" w:eastAsia="zh-CN"/>
        </w:rPr>
      </w:pPr>
      <w:r>
        <w:rPr>
          <w:rFonts w:hint="eastAsia"/>
          <w:lang w:val="en-US" w:eastAsia="zh-CN"/>
        </w:rPr>
        <w:t>5.1 组织安排</w:t>
      </w:r>
    </w:p>
    <w:p>
      <w:pPr>
        <w:pStyle w:val="47"/>
        <w:numPr>
          <w:ilvl w:val="1"/>
          <w:numId w:val="0"/>
        </w:numPr>
        <w:spacing w:before="156" w:after="156"/>
        <w:ind w:leftChars="0"/>
        <w:rPr>
          <w:rFonts w:hint="default" w:ascii="宋体" w:hAnsi="宋体" w:eastAsia="宋体" w:cs="宋体"/>
          <w:b w:val="0"/>
          <w:bCs w:val="0"/>
          <w:color w:val="auto"/>
          <w:lang w:val="en-US" w:eastAsia="zh-CN"/>
        </w:rPr>
      </w:pPr>
      <w:r>
        <w:rPr>
          <w:rFonts w:hint="eastAsia"/>
          <w:lang w:val="en-US" w:eastAsia="zh-CN"/>
        </w:rPr>
        <w:t xml:space="preserve">5.1.1  </w:t>
      </w:r>
      <w:r>
        <w:rPr>
          <w:rFonts w:hint="eastAsia" w:asciiTheme="minorEastAsia" w:hAnsiTheme="minorEastAsia" w:eastAsiaTheme="minorEastAsia" w:cstheme="minorEastAsia"/>
          <w:color w:val="auto"/>
          <w:lang w:val="en-US" w:eastAsia="zh-CN"/>
        </w:rPr>
        <w:t>河北</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省推进老字号创新发展工作组</w:t>
      </w:r>
      <w:r>
        <w:rPr>
          <w:rFonts w:hint="eastAsia" w:ascii="宋体" w:hAnsi="宋体" w:eastAsia="宋体" w:cs="宋体"/>
          <w:b w:val="0"/>
          <w:bCs w:val="0"/>
          <w:color w:val="auto"/>
          <w:lang w:val="en-US" w:eastAsia="zh-CN"/>
        </w:rPr>
        <w:t>应按年度制定地方老字号评价工作安排，原则上每两年组织申报一次。</w:t>
      </w:r>
    </w:p>
    <w:p>
      <w:pPr>
        <w:pStyle w:val="47"/>
        <w:numPr>
          <w:ilvl w:val="1"/>
          <w:numId w:val="0"/>
        </w:numPr>
        <w:spacing w:before="156" w:after="156"/>
        <w:ind w:leftChars="0"/>
        <w:rPr>
          <w:rFonts w:hint="default" w:ascii="宋体" w:hAnsi="宋体" w:eastAsia="宋体" w:cs="宋体"/>
          <w:b w:val="0"/>
          <w:bCs w:val="0"/>
          <w:color w:val="auto"/>
          <w:lang w:val="en-US" w:eastAsia="zh-CN"/>
        </w:rPr>
      </w:pPr>
      <w:r>
        <w:rPr>
          <w:rFonts w:hint="eastAsia" w:ascii="黑体" w:hAnsi="黑体" w:eastAsia="黑体" w:cs="黑体"/>
          <w:b w:val="0"/>
          <w:bCs w:val="0"/>
          <w:color w:val="auto"/>
          <w:lang w:val="en-US" w:eastAsia="zh-CN"/>
        </w:rPr>
        <w:t>5.1.2</w:t>
      </w:r>
      <w:r>
        <w:rPr>
          <w:rFonts w:hint="eastAsia" w:ascii="宋体" w:hAnsi="宋体" w:eastAsia="宋体" w:cs="宋体"/>
          <w:b w:val="0"/>
          <w:bCs w:val="0"/>
          <w:color w:val="auto"/>
          <w:lang w:val="en-US" w:eastAsia="zh-CN"/>
        </w:rPr>
        <w:t xml:space="preserve">  “</w:t>
      </w:r>
      <w:r>
        <w:rPr>
          <w:rFonts w:hint="eastAsia" w:asciiTheme="minorEastAsia" w:hAnsiTheme="minorEastAsia" w:eastAsiaTheme="minorEastAsia" w:cstheme="minorEastAsia"/>
          <w:color w:val="auto"/>
          <w:lang w:val="en-US" w:eastAsia="zh-CN"/>
        </w:rPr>
        <w:t>河北</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老字号”工作</w:t>
      </w:r>
      <w:r>
        <w:rPr>
          <w:rFonts w:hint="eastAsia" w:asciiTheme="minorEastAsia" w:hAnsiTheme="minorEastAsia" w:eastAsiaTheme="minorEastAsia"/>
          <w:color w:val="auto"/>
          <w:lang w:val="en-US" w:eastAsia="zh-CN"/>
        </w:rPr>
        <w:t>办公室及</w:t>
      </w:r>
      <w:r>
        <w:rPr>
          <w:rFonts w:hint="eastAsia" w:ascii="宋体" w:hAnsi="宋体" w:eastAsia="宋体" w:cs="宋体"/>
          <w:b w:val="0"/>
          <w:bCs w:val="0"/>
          <w:color w:val="auto"/>
          <w:lang w:val="en-US" w:eastAsia="zh-CN"/>
        </w:rPr>
        <w:t>“</w:t>
      </w:r>
      <w:r>
        <w:rPr>
          <w:rFonts w:hint="eastAsia" w:asciiTheme="minorEastAsia" w:hAnsiTheme="minorEastAsia" w:eastAsiaTheme="minorEastAsia" w:cstheme="minorEastAsia"/>
          <w:color w:val="auto"/>
          <w:lang w:val="en-US" w:eastAsia="zh-CN"/>
        </w:rPr>
        <w:t>河北</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老字号”工作</w:t>
      </w:r>
      <w:r>
        <w:rPr>
          <w:rFonts w:hint="eastAsia" w:asciiTheme="minorEastAsia" w:hAnsiTheme="minorEastAsia" w:eastAsiaTheme="minorEastAsia"/>
          <w:color w:val="auto"/>
        </w:rPr>
        <w:t>专家</w:t>
      </w:r>
      <w:r>
        <w:rPr>
          <w:rFonts w:hint="eastAsia" w:asciiTheme="minorEastAsia" w:hAnsiTheme="minorEastAsia" w:eastAsiaTheme="minorEastAsia"/>
          <w:color w:val="auto"/>
          <w:lang w:val="en-US" w:eastAsia="zh-CN"/>
        </w:rPr>
        <w:t>技术</w:t>
      </w:r>
      <w:r>
        <w:rPr>
          <w:rFonts w:hint="eastAsia" w:asciiTheme="minorEastAsia" w:hAnsiTheme="minorEastAsia" w:eastAsiaTheme="minorEastAsia"/>
          <w:color w:val="auto"/>
        </w:rPr>
        <w:t>委员会</w:t>
      </w:r>
      <w:r>
        <w:rPr>
          <w:rFonts w:hint="eastAsia" w:ascii="宋体" w:hAnsi="宋体" w:eastAsia="宋体" w:cs="宋体"/>
          <w:b w:val="0"/>
          <w:bCs w:val="0"/>
          <w:color w:val="auto"/>
          <w:lang w:val="en-US" w:eastAsia="zh-CN"/>
        </w:rPr>
        <w:t>应根据</w:t>
      </w:r>
      <w:r>
        <w:rPr>
          <w:rFonts w:hint="eastAsia" w:asciiTheme="minorEastAsia" w:hAnsiTheme="minorEastAsia" w:eastAsiaTheme="minorEastAsia" w:cstheme="minorEastAsia"/>
          <w:color w:val="auto"/>
          <w:lang w:val="en-US" w:eastAsia="zh-CN"/>
        </w:rPr>
        <w:t>河北</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省推进老字号创新发展工作组</w:t>
      </w:r>
      <w:r>
        <w:rPr>
          <w:rFonts w:hint="eastAsia" w:ascii="宋体" w:hAnsi="宋体" w:eastAsia="宋体" w:cs="宋体"/>
          <w:b w:val="0"/>
          <w:bCs w:val="0"/>
          <w:color w:val="auto"/>
          <w:lang w:val="en-US" w:eastAsia="zh-CN"/>
        </w:rPr>
        <w:t>年度计划安排，组织项目申报和评价工作。</w:t>
      </w:r>
    </w:p>
    <w:p>
      <w:pPr>
        <w:pStyle w:val="47"/>
        <w:numPr>
          <w:ilvl w:val="1"/>
          <w:numId w:val="0"/>
        </w:numPr>
        <w:spacing w:before="156" w:after="156"/>
        <w:ind w:leftChars="0"/>
        <w:rPr>
          <w:color w:val="auto"/>
        </w:rPr>
      </w:pPr>
      <w:r>
        <w:rPr>
          <w:rFonts w:hint="eastAsia"/>
          <w:color w:val="auto"/>
          <w:lang w:val="en-US" w:eastAsia="zh-CN"/>
        </w:rPr>
        <w:t>5.2 项目</w:t>
      </w:r>
      <w:r>
        <w:rPr>
          <w:rFonts w:hint="eastAsia"/>
          <w:color w:val="auto"/>
        </w:rPr>
        <w:t>申请</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符合条件的企业向</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各</w:t>
      </w:r>
      <w:r>
        <w:rPr>
          <w:rFonts w:hint="eastAsia" w:asciiTheme="minorEastAsia" w:hAnsiTheme="minorEastAsia" w:eastAsiaTheme="minorEastAsia" w:cstheme="minorEastAsia"/>
          <w:color w:val="000000" w:themeColor="text1"/>
          <w:sz w:val="21"/>
          <w:szCs w:val="21"/>
          <w14:textFill>
            <w14:solidFill>
              <w14:schemeClr w14:val="tx1"/>
            </w14:solidFill>
          </w14:textFill>
        </w:rPr>
        <w:t>市</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（含定州、辛集市，</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雄安新区，下同</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商务主管部门或其指定机构提出书面申请，报送资料，经地方初审合格按程序提交上报“河北老字号”工作办公室。提交的材料包括：    </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企业基本信息、股权结构及近5年经营情况；</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品牌创立时间的证明材料；</w:t>
      </w:r>
    </w:p>
    <w:p>
      <w:pPr>
        <w:pStyle w:val="112"/>
        <w:numPr>
          <w:ilvl w:val="1"/>
          <w:numId w:val="0"/>
        </w:numPr>
        <w:spacing w:before="156" w:after="156"/>
        <w:ind w:leftChars="0"/>
        <w:jc w:val="right"/>
        <w:rPr>
          <w:rFonts w:hint="eastAsia"/>
          <w:lang w:val="en-US" w:eastAsia="zh-CN"/>
        </w:rPr>
      </w:pPr>
      <w:r>
        <w:rPr>
          <w:rFonts w:hint="eastAsia"/>
          <w:color w:val="000000" w:themeColor="text1"/>
          <w:sz w:val="21"/>
          <w:szCs w:val="21"/>
          <w:lang w:val="en-US" w:eastAsia="zh-CN"/>
          <w14:textFill>
            <w14:solidFill>
              <w14:schemeClr w14:val="tx1"/>
            </w14:solidFill>
          </w14:textFill>
        </w:rPr>
        <w:t xml:space="preserve">DB13/T </w:t>
      </w:r>
      <w:r>
        <w:rPr>
          <w:rFonts w:hint="eastAsia" w:hAnsi="黑体" w:cs="黑体"/>
          <w:color w:val="auto"/>
          <w:sz w:val="21"/>
          <w:szCs w:val="21"/>
        </w:rPr>
        <w:t>XXXX-202</w:t>
      </w:r>
      <w:r>
        <w:rPr>
          <w:rFonts w:hint="eastAsia" w:hAnsi="黑体" w:cs="黑体"/>
          <w:color w:val="auto"/>
          <w:sz w:val="21"/>
          <w:szCs w:val="21"/>
          <w:lang w:val="en-US" w:eastAsia="zh-CN"/>
        </w:rPr>
        <w:t>3</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pStyle w:val="40"/>
        <w:tabs>
          <w:tab w:val="left" w:pos="1060"/>
          <w:tab w:val="clear" w:pos="4201"/>
        </w:tabs>
        <w:spacing w:line="560" w:lineRule="exac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老字号注册商标的权属证明文件；</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主营业务传承脉络清晰的证明材料；</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品牌历史价值和文化价值的介绍材料；</w:t>
      </w:r>
    </w:p>
    <w:p>
      <w:pPr>
        <w:pStyle w:val="40"/>
        <w:tabs>
          <w:tab w:val="left" w:pos="1060"/>
          <w:tab w:val="clear" w:pos="4201"/>
        </w:tabs>
        <w:spacing w:line="560" w:lineRule="exact"/>
        <w:ind w:left="630" w:leftChars="200" w:hanging="210" w:hangingChars="1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企业在设计研发、工艺技术、产品服务和经营理念、营销渠道、管理模式等方面创新发展的介绍材料；</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企业文化的介绍材料和获得荣誉的证明材料；</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针对上述材料并经法定代表人或负责人签字的真实性承诺；</w:t>
      </w:r>
    </w:p>
    <w:p>
      <w:pPr>
        <w:pStyle w:val="40"/>
        <w:tabs>
          <w:tab w:val="left" w:pos="1060"/>
          <w:tab w:val="clear" w:pos="4201"/>
        </w:tabs>
        <w:spacing w:line="560" w:lineRule="exact"/>
        <w:ind w:firstLine="64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商务主管部门和相关部门认为应当提交的其他相关材料。</w:t>
      </w:r>
    </w:p>
    <w:p>
      <w:pPr>
        <w:pStyle w:val="47"/>
        <w:numPr>
          <w:ilvl w:val="1"/>
          <w:numId w:val="0"/>
        </w:numPr>
        <w:spacing w:before="156" w:after="156"/>
        <w:ind w:leftChars="0"/>
        <w:rPr>
          <w:color w:val="auto"/>
        </w:rPr>
      </w:pPr>
      <w:r>
        <w:rPr>
          <w:rFonts w:hint="eastAsia"/>
          <w:color w:val="auto"/>
          <w:lang w:val="en-US" w:eastAsia="zh-CN"/>
        </w:rPr>
        <w:t xml:space="preserve">5.3 </w:t>
      </w:r>
      <w:r>
        <w:rPr>
          <w:rFonts w:hint="eastAsia"/>
          <w:color w:val="auto"/>
        </w:rPr>
        <w:t>初审及核查</w:t>
      </w:r>
    </w:p>
    <w:p>
      <w:pPr>
        <w:pStyle w:val="40"/>
        <w:tabs>
          <w:tab w:val="left" w:pos="5490"/>
          <w:tab w:val="clear" w:pos="9298"/>
        </w:tabs>
        <w:spacing w:line="360" w:lineRule="auto"/>
        <w:ind w:firstLine="0" w:firstLineChars="0"/>
        <w:jc w:val="left"/>
        <w:rPr>
          <w:rFonts w:hint="eastAsia" w:eastAsia="宋体"/>
          <w:color w:val="auto"/>
          <w:lang w:val="en-US" w:eastAsia="zh-CN"/>
        </w:rPr>
      </w:pPr>
      <w:r>
        <w:rPr>
          <w:rFonts w:hint="eastAsia" w:ascii="黑体" w:hAnsi="黑体" w:eastAsia="黑体" w:cs="黑体"/>
          <w:color w:val="auto"/>
          <w:lang w:val="en-US" w:eastAsia="zh-CN"/>
        </w:rPr>
        <w:t>5.</w:t>
      </w:r>
      <w:r>
        <w:rPr>
          <w:rFonts w:hint="eastAsia" w:ascii="黑体" w:hAnsi="黑体" w:eastAsia="黑体" w:cs="黑体"/>
          <w:color w:val="auto"/>
        </w:rPr>
        <w:t xml:space="preserve">3.1 </w:t>
      </w:r>
      <w:r>
        <w:rPr>
          <w:rFonts w:hint="eastAsia"/>
          <w:color w:val="auto"/>
        </w:rPr>
        <w:t xml:space="preserve"> </w:t>
      </w:r>
      <w:r>
        <w:rPr>
          <w:rFonts w:hint="eastAsia"/>
          <w:color w:val="auto"/>
          <w:lang w:eastAsia="zh-CN"/>
        </w:rPr>
        <w:t>“</w:t>
      </w:r>
      <w:r>
        <w:rPr>
          <w:rFonts w:hint="eastAsia" w:asciiTheme="minorEastAsia" w:hAnsiTheme="minorEastAsia" w:eastAsiaTheme="minorEastAsia" w:cstheme="minorEastAsia"/>
          <w:color w:val="auto"/>
          <w:lang w:val="en-US" w:eastAsia="zh-CN"/>
        </w:rPr>
        <w:t>河北</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老字号”工作</w:t>
      </w:r>
      <w:r>
        <w:rPr>
          <w:rFonts w:hint="eastAsia" w:asciiTheme="minorEastAsia" w:hAnsiTheme="minorEastAsia" w:eastAsiaTheme="minorEastAsia"/>
          <w:color w:val="auto"/>
        </w:rPr>
        <w:t>专家</w:t>
      </w:r>
      <w:r>
        <w:rPr>
          <w:rFonts w:hint="eastAsia" w:asciiTheme="minorEastAsia" w:hAnsiTheme="minorEastAsia" w:eastAsiaTheme="minorEastAsia"/>
          <w:color w:val="auto"/>
          <w:lang w:val="en-US" w:eastAsia="zh-CN"/>
        </w:rPr>
        <w:t>技术</w:t>
      </w:r>
      <w:r>
        <w:rPr>
          <w:rFonts w:hint="eastAsia" w:asciiTheme="minorEastAsia" w:hAnsiTheme="minorEastAsia" w:eastAsiaTheme="minorEastAsia"/>
          <w:color w:val="auto"/>
        </w:rPr>
        <w:t>委员会</w:t>
      </w:r>
      <w:r>
        <w:rPr>
          <w:rFonts w:hint="eastAsia"/>
          <w:color w:val="auto"/>
        </w:rPr>
        <w:t>对申报材料进行初审，并提出意见。对不符合申报条件的不予受理</w:t>
      </w:r>
      <w:r>
        <w:rPr>
          <w:rFonts w:hint="eastAsia"/>
          <w:color w:val="auto"/>
          <w:lang w:eastAsia="zh-CN"/>
        </w:rPr>
        <w:t>。</w:t>
      </w:r>
      <w:r>
        <w:rPr>
          <w:rFonts w:hint="eastAsia"/>
          <w:color w:val="auto"/>
        </w:rPr>
        <w:t>对申报材料不完整的，应及时予以告知，允许在申报时限内补充材料。</w:t>
      </w:r>
    </w:p>
    <w:p>
      <w:pPr>
        <w:pStyle w:val="40"/>
        <w:tabs>
          <w:tab w:val="left" w:pos="5490"/>
          <w:tab w:val="clear" w:pos="9298"/>
        </w:tabs>
        <w:spacing w:line="360" w:lineRule="auto"/>
        <w:ind w:hanging="10" w:firstLineChars="0"/>
        <w:rPr>
          <w:color w:val="auto"/>
        </w:rPr>
      </w:pPr>
      <w:r>
        <w:rPr>
          <w:rFonts w:hint="eastAsia" w:ascii="黑体" w:hAnsi="黑体" w:eastAsia="黑体" w:cs="黑体"/>
          <w:color w:val="auto"/>
          <w:lang w:val="en-US" w:eastAsia="zh-CN"/>
        </w:rPr>
        <w:t>5</w:t>
      </w:r>
      <w:r>
        <w:rPr>
          <w:rFonts w:hint="eastAsia" w:ascii="黑体" w:hAnsi="黑体" w:eastAsia="黑体" w:cs="黑体"/>
          <w:color w:val="auto"/>
        </w:rPr>
        <w:t xml:space="preserve">.3.2  </w:t>
      </w:r>
      <w:r>
        <w:rPr>
          <w:rFonts w:hint="eastAsia"/>
          <w:color w:val="auto"/>
          <w:lang w:eastAsia="zh-CN"/>
        </w:rPr>
        <w:t>“</w:t>
      </w:r>
      <w:r>
        <w:rPr>
          <w:rFonts w:hint="eastAsia" w:asciiTheme="minorEastAsia" w:hAnsiTheme="minorEastAsia" w:eastAsiaTheme="minorEastAsia" w:cstheme="minorEastAsia"/>
          <w:color w:val="auto"/>
          <w:lang w:val="en-US" w:eastAsia="zh-CN"/>
        </w:rPr>
        <w:t>河北</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老字号”工作</w:t>
      </w:r>
      <w:r>
        <w:rPr>
          <w:rFonts w:hint="eastAsia" w:asciiTheme="minorEastAsia" w:hAnsiTheme="minorEastAsia" w:eastAsiaTheme="minorEastAsia"/>
          <w:color w:val="auto"/>
        </w:rPr>
        <w:t>专家</w:t>
      </w:r>
      <w:r>
        <w:rPr>
          <w:rFonts w:hint="eastAsia" w:asciiTheme="minorEastAsia" w:hAnsiTheme="minorEastAsia" w:eastAsiaTheme="minorEastAsia"/>
          <w:color w:val="auto"/>
          <w:lang w:val="en-US" w:eastAsia="zh-CN"/>
        </w:rPr>
        <w:t>技术</w:t>
      </w:r>
      <w:r>
        <w:rPr>
          <w:rFonts w:hint="eastAsia" w:asciiTheme="minorEastAsia" w:hAnsiTheme="minorEastAsia" w:eastAsiaTheme="minorEastAsia"/>
          <w:color w:val="auto"/>
        </w:rPr>
        <w:t>委员会</w:t>
      </w:r>
      <w:r>
        <w:rPr>
          <w:rFonts w:hint="eastAsia"/>
          <w:color w:val="auto"/>
          <w:lang w:val="en-US" w:eastAsia="zh-CN"/>
        </w:rPr>
        <w:t>对有异议的申请单位</w:t>
      </w:r>
      <w:r>
        <w:rPr>
          <w:rFonts w:hint="eastAsia"/>
          <w:color w:val="auto"/>
          <w:lang w:eastAsia="zh-CN"/>
        </w:rPr>
        <w:t>可采用实地调研、电话咨询、第三方平台查询、召集相关人员座谈、发放信函等形式</w:t>
      </w:r>
      <w:r>
        <w:rPr>
          <w:rFonts w:hint="eastAsia"/>
          <w:color w:val="auto"/>
        </w:rPr>
        <w:t>核实申报材料内容，核查相关企业、组织或者个体工商户的经营场所情况、商标和品牌的使用情况，必要时可以取证。</w:t>
      </w:r>
    </w:p>
    <w:p>
      <w:pPr>
        <w:pStyle w:val="47"/>
        <w:numPr>
          <w:ilvl w:val="1"/>
          <w:numId w:val="0"/>
        </w:numPr>
        <w:spacing w:before="156" w:after="156"/>
        <w:ind w:leftChars="0"/>
        <w:rPr>
          <w:color w:val="auto"/>
        </w:rPr>
      </w:pPr>
      <w:r>
        <w:rPr>
          <w:rFonts w:hint="eastAsia"/>
          <w:color w:val="auto"/>
          <w:lang w:val="en-US" w:eastAsia="zh-CN"/>
        </w:rPr>
        <w:t>5.4</w:t>
      </w:r>
      <w:r>
        <w:rPr>
          <w:rFonts w:hint="eastAsia"/>
          <w:color w:val="auto"/>
        </w:rPr>
        <w:t>评审</w:t>
      </w:r>
    </w:p>
    <w:p>
      <w:pPr>
        <w:pStyle w:val="40"/>
        <w:numPr>
          <w:ilvl w:val="0"/>
          <w:numId w:val="0"/>
        </w:numPr>
        <w:tabs>
          <w:tab w:val="left" w:pos="1060"/>
          <w:tab w:val="clear" w:pos="4201"/>
        </w:tabs>
        <w:spacing w:line="560" w:lineRule="exact"/>
        <w:ind w:leftChars="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黑体" w:hAnsi="黑体" w:eastAsia="黑体" w:cs="黑体"/>
          <w:color w:val="auto"/>
          <w:sz w:val="21"/>
          <w:szCs w:val="21"/>
          <w:lang w:val="en-US" w:eastAsia="zh-CN"/>
        </w:rPr>
        <w:t>5.4</w:t>
      </w:r>
      <w:r>
        <w:rPr>
          <w:rFonts w:hint="eastAsia" w:ascii="黑体" w:hAnsi="黑体" w:eastAsia="黑体" w:cs="黑体"/>
          <w:color w:val="auto"/>
          <w:sz w:val="21"/>
          <w:szCs w:val="21"/>
        </w:rPr>
        <w:t>.1</w:t>
      </w:r>
      <w:r>
        <w:rPr>
          <w:rFonts w:hint="eastAsia" w:asciiTheme="minorEastAsia" w:hAnsiTheme="minorEastAsia" w:eastAsiaTheme="minorEastAsia" w:cstheme="minorEastAsia"/>
          <w:color w:val="auto"/>
          <w:sz w:val="21"/>
          <w:szCs w:val="21"/>
        </w:rPr>
        <w:t xml:space="preserve"> </w:t>
      </w:r>
      <w:r>
        <w:rPr>
          <w:rFonts w:hint="eastAsia" w:asciiTheme="minorEastAsia" w:hAnsiTheme="minorEastAsia" w:eastAsiaTheme="minorEastAsia" w:cstheme="minorEastAsia"/>
          <w:color w:val="auto"/>
          <w:sz w:val="21"/>
          <w:szCs w:val="21"/>
          <w:lang w:val="en-US" w:eastAsia="zh-CN"/>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“河北老字号”工作专家技术委员会按公开、公正、公平原则组织评审工作。</w:t>
      </w:r>
    </w:p>
    <w:p>
      <w:pPr>
        <w:pStyle w:val="40"/>
        <w:numPr>
          <w:ilvl w:val="0"/>
          <w:numId w:val="0"/>
        </w:numPr>
        <w:tabs>
          <w:tab w:val="left" w:pos="1060"/>
          <w:tab w:val="clear" w:pos="4201"/>
        </w:tabs>
        <w:spacing w:line="560" w:lineRule="exact"/>
        <w:ind w:leftChars="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黑体" w:hAnsi="黑体" w:eastAsia="黑体" w:cs="黑体"/>
          <w:color w:val="000000" w:themeColor="text1"/>
          <w:sz w:val="21"/>
          <w:szCs w:val="21"/>
          <w:lang w:val="en-US" w:eastAsia="zh-CN"/>
          <w14:textFill>
            <w14:solidFill>
              <w14:schemeClr w14:val="tx1"/>
            </w14:solidFill>
          </w14:textFill>
        </w:rPr>
        <w:t>5.4.2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评分和判定</w:t>
      </w:r>
    </w:p>
    <w:p>
      <w:pPr>
        <w:pStyle w:val="40"/>
        <w:numPr>
          <w:ilvl w:val="0"/>
          <w:numId w:val="0"/>
        </w:numPr>
        <w:tabs>
          <w:tab w:val="left" w:pos="1060"/>
          <w:tab w:val="clear" w:pos="4201"/>
        </w:tabs>
        <w:spacing w:line="560" w:lineRule="exac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黑体" w:hAnsi="黑体" w:eastAsia="黑体" w:cs="黑体"/>
          <w:color w:val="000000" w:themeColor="text1"/>
          <w:sz w:val="21"/>
          <w:szCs w:val="21"/>
          <w:lang w:val="en-US" w:eastAsia="zh-CN"/>
          <w14:textFill>
            <w14:solidFill>
              <w14:schemeClr w14:val="tx1"/>
            </w14:solidFill>
          </w14:textFill>
        </w:rPr>
        <w:t>5.4.2.1</w:t>
      </w:r>
      <w:r>
        <w:rPr>
          <w:rFonts w:hint="eastAsia" w:asciiTheme="minorEastAsia" w:hAnsiTheme="minorEastAsia" w:eastAsiaTheme="minorEastAsia" w:cstheme="minorEastAsia"/>
          <w:color w:val="000000" w:themeColor="text1"/>
          <w:sz w:val="21"/>
          <w:szCs w:val="21"/>
          <w14:textFill>
            <w14:solidFill>
              <w14:schemeClr w14:val="tx1"/>
            </w14:solidFill>
          </w14:textFill>
        </w:rPr>
        <w:t>“河北老字号”工作专家技术委员会应随机抽取专家组成专家组开展评审工作，专家评审组依据《“河北老字号”评价评分表》（见附录）进行评分。</w:t>
      </w:r>
    </w:p>
    <w:p>
      <w:pPr>
        <w:pStyle w:val="40"/>
        <w:numPr>
          <w:ilvl w:val="0"/>
          <w:numId w:val="0"/>
        </w:numPr>
        <w:tabs>
          <w:tab w:val="left" w:pos="1060"/>
          <w:tab w:val="clear" w:pos="4201"/>
        </w:tabs>
        <w:spacing w:line="560" w:lineRule="exac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黑体" w:hAnsi="黑体" w:eastAsia="黑体" w:cs="黑体"/>
          <w:color w:val="000000" w:themeColor="text1"/>
          <w:sz w:val="21"/>
          <w:szCs w:val="21"/>
          <w:lang w:val="en-US" w:eastAsia="zh-CN"/>
          <w14:textFill>
            <w14:solidFill>
              <w14:schemeClr w14:val="tx1"/>
            </w14:solidFill>
          </w14:textFill>
        </w:rPr>
        <w:t>5.4.2.2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最终评分结果由评审专家组根据参评专家所给分数进行评价，并由专家组书面确认。</w:t>
      </w:r>
    </w:p>
    <w:p>
      <w:pPr>
        <w:pStyle w:val="40"/>
        <w:numPr>
          <w:ilvl w:val="0"/>
          <w:numId w:val="0"/>
        </w:numPr>
        <w:tabs>
          <w:tab w:val="left" w:pos="1060"/>
          <w:tab w:val="clear" w:pos="4201"/>
        </w:tabs>
        <w:spacing w:line="560" w:lineRule="exac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黑体" w:hAnsi="黑体" w:eastAsia="黑体" w:cs="黑体"/>
          <w:color w:val="000000" w:themeColor="text1"/>
          <w:sz w:val="21"/>
          <w:szCs w:val="21"/>
          <w:lang w:val="en-US" w:eastAsia="zh-CN"/>
          <w14:textFill>
            <w14:solidFill>
              <w14:schemeClr w14:val="tx1"/>
            </w14:solidFill>
          </w14:textFill>
        </w:rPr>
        <w:t>5.4.2.3</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分值应至少达到80分以上（总分100分）。</w:t>
      </w:r>
    </w:p>
    <w:p>
      <w:pPr>
        <w:pStyle w:val="112"/>
        <w:numPr>
          <w:ilvl w:val="1"/>
          <w:numId w:val="0"/>
        </w:numPr>
        <w:spacing w:before="156" w:after="156"/>
        <w:ind w:leftChars="0"/>
        <w:jc w:val="right"/>
        <w:rPr>
          <w:rFonts w:hint="eastAsia" w:ascii="黑体" w:hAnsi="黑体" w:eastAsia="黑体" w:cs="黑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DB13/T </w:t>
      </w:r>
      <w:r>
        <w:rPr>
          <w:rFonts w:hint="eastAsia" w:hAnsi="黑体" w:cs="黑体"/>
          <w:color w:val="auto"/>
          <w:sz w:val="21"/>
          <w:szCs w:val="21"/>
        </w:rPr>
        <w:t>XXXX-202</w:t>
      </w:r>
      <w:r>
        <w:rPr>
          <w:rFonts w:hint="eastAsia" w:hAnsi="黑体" w:cs="黑体"/>
          <w:color w:val="auto"/>
          <w:sz w:val="21"/>
          <w:szCs w:val="21"/>
          <w:lang w:val="en-US" w:eastAsia="zh-CN"/>
        </w:rPr>
        <w:t>3</w:t>
      </w:r>
    </w:p>
    <w:p>
      <w:pPr>
        <w:pStyle w:val="40"/>
        <w:numPr>
          <w:ilvl w:val="0"/>
          <w:numId w:val="0"/>
        </w:numPr>
        <w:tabs>
          <w:tab w:val="left" w:pos="1060"/>
          <w:tab w:val="clear" w:pos="4201"/>
        </w:tabs>
        <w:spacing w:line="560" w:lineRule="exac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黑体" w:hAnsi="黑体" w:eastAsia="黑体" w:cs="黑体"/>
          <w:color w:val="000000" w:themeColor="text1"/>
          <w:sz w:val="21"/>
          <w:szCs w:val="21"/>
          <w:lang w:val="en-US" w:eastAsia="zh-CN"/>
          <w14:textFill>
            <w14:solidFill>
              <w14:schemeClr w14:val="tx1"/>
            </w14:solidFill>
          </w14:textFill>
        </w:rPr>
        <w:t>5.4.2.4</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根据分值拟定评审结果。</w:t>
      </w:r>
    </w:p>
    <w:p>
      <w:pPr>
        <w:pStyle w:val="60"/>
        <w:spacing w:before="156" w:after="156" w:line="360" w:lineRule="auto"/>
        <w:jc w:val="left"/>
        <w:rPr>
          <w:rFonts w:ascii="宋体" w:hAnsi="宋体" w:eastAsia="宋体"/>
          <w:color w:val="auto"/>
        </w:rPr>
      </w:pPr>
    </w:p>
    <w:p>
      <w:pPr>
        <w:pStyle w:val="47"/>
        <w:numPr>
          <w:ilvl w:val="1"/>
          <w:numId w:val="0"/>
        </w:numPr>
        <w:spacing w:before="156" w:after="156"/>
        <w:rPr>
          <w:color w:val="auto"/>
        </w:rPr>
      </w:pPr>
      <w:r>
        <w:rPr>
          <w:rFonts w:hint="eastAsia"/>
          <w:color w:val="auto"/>
          <w:lang w:val="en-US" w:eastAsia="zh-CN"/>
        </w:rPr>
        <w:t>5.5</w:t>
      </w:r>
      <w:r>
        <w:rPr>
          <w:rFonts w:hint="eastAsia"/>
          <w:color w:val="auto"/>
        </w:rPr>
        <w:t xml:space="preserve"> 公示</w:t>
      </w:r>
      <w:r>
        <w:rPr>
          <w:color w:val="auto"/>
        </w:rPr>
        <w:tab/>
      </w:r>
    </w:p>
    <w:p>
      <w:pPr>
        <w:pStyle w:val="40"/>
        <w:tabs>
          <w:tab w:val="left" w:pos="660"/>
          <w:tab w:val="clear" w:pos="4201"/>
          <w:tab w:val="clear" w:pos="9298"/>
        </w:tabs>
        <w:spacing w:line="360" w:lineRule="auto"/>
        <w:ind w:leftChars="-100" w:hanging="210" w:hangingChars="100"/>
        <w:jc w:val="left"/>
        <w:rPr>
          <w:rFonts w:hint="eastAsia"/>
          <w:color w:val="auto"/>
        </w:rPr>
      </w:pPr>
      <w:r>
        <w:rPr>
          <w:color w:val="auto"/>
        </w:rPr>
        <w:tab/>
      </w:r>
      <w:r>
        <w:rPr>
          <w:rFonts w:hint="eastAsia"/>
          <w:color w:val="auto"/>
        </w:rPr>
        <w:t xml:space="preserve">  </w:t>
      </w:r>
      <w:r>
        <w:rPr>
          <w:rFonts w:hint="eastAsia"/>
          <w:color w:val="auto"/>
          <w:lang w:val="en-US" w:eastAsia="zh-CN"/>
        </w:rPr>
        <w:t xml:space="preserve"> “</w:t>
      </w:r>
      <w:r>
        <w:rPr>
          <w:rFonts w:hint="eastAsia" w:asciiTheme="minorEastAsia" w:hAnsiTheme="minorEastAsia" w:eastAsiaTheme="minorEastAsia" w:cstheme="minorEastAsia"/>
          <w:color w:val="auto"/>
          <w:lang w:val="en-US" w:eastAsia="zh-CN"/>
        </w:rPr>
        <w:t>河北</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老字号”工作</w:t>
      </w:r>
      <w:r>
        <w:rPr>
          <w:rFonts w:hint="eastAsia" w:asciiTheme="minorEastAsia" w:hAnsiTheme="minorEastAsia" w:eastAsiaTheme="minorEastAsia"/>
          <w:color w:val="auto"/>
          <w:lang w:val="en-US" w:eastAsia="zh-CN"/>
        </w:rPr>
        <w:t>办公室及</w:t>
      </w:r>
      <w:r>
        <w:rPr>
          <w:rFonts w:hint="eastAsia" w:asciiTheme="minorEastAsia" w:hAnsiTheme="minorEastAsia" w:eastAsiaTheme="minorEastAsia"/>
          <w:color w:val="auto"/>
        </w:rPr>
        <w:t>专家</w:t>
      </w:r>
      <w:r>
        <w:rPr>
          <w:rFonts w:hint="eastAsia" w:asciiTheme="minorEastAsia" w:hAnsiTheme="minorEastAsia" w:eastAsiaTheme="minorEastAsia"/>
          <w:color w:val="auto"/>
          <w:lang w:val="en-US" w:eastAsia="zh-CN"/>
        </w:rPr>
        <w:t>技术</w:t>
      </w:r>
      <w:r>
        <w:rPr>
          <w:rFonts w:hint="eastAsia" w:asciiTheme="minorEastAsia" w:hAnsiTheme="minorEastAsia" w:eastAsiaTheme="minorEastAsia"/>
          <w:color w:val="auto"/>
        </w:rPr>
        <w:t>委员会</w:t>
      </w:r>
      <w:r>
        <w:rPr>
          <w:rFonts w:hint="eastAsia" w:hAnsi="宋体"/>
          <w:color w:val="auto"/>
          <w:lang w:val="en-US" w:eastAsia="zh-CN"/>
        </w:rPr>
        <w:t>将评审</w:t>
      </w:r>
      <w:r>
        <w:rPr>
          <w:rFonts w:hint="eastAsia" w:ascii="宋体" w:hAnsi="宋体" w:eastAsia="宋体"/>
          <w:color w:val="auto"/>
          <w:lang w:eastAsia="zh-CN"/>
        </w:rPr>
        <w:t>专家组</w:t>
      </w:r>
      <w:r>
        <w:rPr>
          <w:rFonts w:hint="eastAsia" w:hAnsi="宋体"/>
          <w:color w:val="auto"/>
          <w:lang w:val="en-US" w:eastAsia="zh-CN"/>
        </w:rPr>
        <w:t>所有</w:t>
      </w:r>
      <w:r>
        <w:rPr>
          <w:rFonts w:hint="eastAsia"/>
          <w:color w:val="auto"/>
        </w:rPr>
        <w:t>评审结果</w:t>
      </w:r>
      <w:r>
        <w:rPr>
          <w:rFonts w:hint="eastAsia"/>
          <w:color w:val="auto"/>
          <w:lang w:val="en-US" w:eastAsia="zh-CN"/>
        </w:rPr>
        <w:t>汇总报经</w:t>
      </w:r>
      <w:r>
        <w:rPr>
          <w:rFonts w:hint="eastAsia" w:asciiTheme="minorEastAsia" w:hAnsiTheme="minorEastAsia" w:eastAsiaTheme="minorEastAsia" w:cstheme="minorEastAsia"/>
          <w:color w:val="auto"/>
          <w:lang w:val="en-US" w:eastAsia="zh-CN"/>
        </w:rPr>
        <w:t>河北</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省推进老字号创新发展工作组</w:t>
      </w:r>
      <w:r>
        <w:rPr>
          <w:rFonts w:hint="eastAsia"/>
          <w:color w:val="auto"/>
          <w:lang w:val="en-US" w:eastAsia="zh-CN"/>
        </w:rPr>
        <w:t>审查后，在</w:t>
      </w:r>
      <w:r>
        <w:rPr>
          <w:rFonts w:hint="eastAsia"/>
          <w:color w:val="auto"/>
        </w:rPr>
        <w:t>网站公示，并公开接受监督和意见，公示期为15天。</w:t>
      </w:r>
    </w:p>
    <w:p>
      <w:pPr>
        <w:pStyle w:val="47"/>
        <w:numPr>
          <w:ilvl w:val="1"/>
          <w:numId w:val="0"/>
        </w:numPr>
        <w:spacing w:before="156" w:after="156"/>
        <w:ind w:leftChars="0"/>
        <w:rPr>
          <w:sz w:val="30"/>
          <w:szCs w:val="30"/>
        </w:rPr>
      </w:pPr>
      <w:r>
        <w:rPr>
          <w:rFonts w:hint="eastAsia"/>
          <w:color w:val="auto"/>
          <w:lang w:val="en-US" w:eastAsia="zh-CN"/>
        </w:rPr>
        <w:t xml:space="preserve">5.6  </w:t>
      </w:r>
      <w:r>
        <w:rPr>
          <w:rFonts w:hint="eastAsia"/>
          <w:color w:val="auto"/>
        </w:rPr>
        <w:t xml:space="preserve">确认及公告 </w:t>
      </w:r>
    </w:p>
    <w:p>
      <w:pPr>
        <w:pStyle w:val="40"/>
        <w:numPr>
          <w:ilvl w:val="0"/>
          <w:numId w:val="0"/>
        </w:numPr>
        <w:tabs>
          <w:tab w:val="left" w:pos="1060"/>
          <w:tab w:val="clear" w:pos="4201"/>
        </w:tabs>
        <w:spacing w:line="560" w:lineRule="exact"/>
        <w:ind w:leftChars="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黑体" w:hAnsi="黑体" w:eastAsia="黑体" w:cs="黑体"/>
          <w:color w:val="000000" w:themeColor="text1"/>
          <w:sz w:val="21"/>
          <w:szCs w:val="21"/>
          <w:lang w:val="en-US" w:eastAsia="zh-CN"/>
          <w14:textFill>
            <w14:solidFill>
              <w14:schemeClr w14:val="tx1"/>
            </w14:solidFill>
          </w14:textFill>
        </w:rPr>
        <w:t>5.6.1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在公示期内，对评审结果有异议的，“河北老字号”工作专家技术委员会应重新组织调查核实，根据调查结果做出裁定。若在公示期内，投诉事实成立的，取消评价资格。 </w:t>
      </w:r>
    </w:p>
    <w:p>
      <w:pPr>
        <w:pStyle w:val="40"/>
        <w:numPr>
          <w:ilvl w:val="0"/>
          <w:numId w:val="0"/>
        </w:numPr>
        <w:tabs>
          <w:tab w:val="left" w:pos="1060"/>
          <w:tab w:val="clear" w:pos="4201"/>
        </w:tabs>
        <w:spacing w:line="560" w:lineRule="exact"/>
        <w:ind w:leftChars="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黑体" w:hAnsi="黑体" w:eastAsia="黑体" w:cs="黑体"/>
          <w:color w:val="000000" w:themeColor="text1"/>
          <w:sz w:val="21"/>
          <w:szCs w:val="21"/>
          <w:lang w:val="en-US" w:eastAsia="zh-CN"/>
          <w14:textFill>
            <w14:solidFill>
              <w14:schemeClr w14:val="tx1"/>
            </w14:solidFill>
          </w14:textFill>
        </w:rPr>
        <w:t>5.6.2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14:textFill>
            <w14:solidFill>
              <w14:schemeClr w14:val="tx1"/>
            </w14:solidFill>
          </w14:textFill>
        </w:rPr>
        <w:t>对公示期内无异议或经裁定通过的，报经河北省推进老字号创新发展工作组，确认后按照程序备案收入“河北老字号”名录，授予“河北老字号”使用权，并颁发证书和标志牌。</w:t>
      </w:r>
    </w:p>
    <w:p>
      <w:pPr>
        <w:pStyle w:val="47"/>
        <w:numPr>
          <w:ilvl w:val="1"/>
          <w:numId w:val="0"/>
        </w:numPr>
        <w:spacing w:before="156" w:after="156"/>
        <w:ind w:leftChars="0"/>
        <w:rPr>
          <w:color w:val="auto"/>
        </w:rPr>
      </w:pPr>
      <w:r>
        <w:rPr>
          <w:rFonts w:hint="eastAsia"/>
          <w:color w:val="auto"/>
          <w:lang w:val="en-US" w:eastAsia="zh-CN"/>
        </w:rPr>
        <w:t xml:space="preserve">5.7  </w:t>
      </w:r>
      <w:r>
        <w:rPr>
          <w:rFonts w:hint="eastAsia"/>
          <w:color w:val="auto"/>
        </w:rPr>
        <w:t>备案存档</w:t>
      </w:r>
    </w:p>
    <w:p>
      <w:pPr>
        <w:pStyle w:val="40"/>
        <w:tabs>
          <w:tab w:val="left" w:pos="5490"/>
          <w:tab w:val="clear" w:pos="9298"/>
        </w:tabs>
        <w:spacing w:line="360" w:lineRule="auto"/>
        <w:ind w:firstLine="0" w:firstLineChars="0"/>
        <w:jc w:val="left"/>
        <w:rPr>
          <w:color w:val="auto"/>
        </w:rPr>
      </w:pPr>
      <w:r>
        <w:rPr>
          <w:rFonts w:hint="eastAsia" w:ascii="黑体" w:hAnsi="黑体" w:eastAsia="黑体" w:cs="黑体"/>
          <w:color w:val="auto"/>
          <w:lang w:val="en-US" w:eastAsia="zh-CN"/>
        </w:rPr>
        <w:t>5</w:t>
      </w:r>
      <w:r>
        <w:rPr>
          <w:rFonts w:hint="eastAsia" w:ascii="黑体" w:hAnsi="黑体" w:eastAsia="黑体" w:cs="黑体"/>
          <w:color w:val="auto"/>
        </w:rPr>
        <w:t>.</w:t>
      </w:r>
      <w:r>
        <w:rPr>
          <w:rFonts w:hint="eastAsia" w:ascii="黑体" w:hAnsi="黑体" w:eastAsia="黑体" w:cs="黑体"/>
          <w:color w:val="auto"/>
          <w:lang w:val="en-US" w:eastAsia="zh-CN"/>
        </w:rPr>
        <w:t>7</w:t>
      </w:r>
      <w:r>
        <w:rPr>
          <w:rFonts w:hint="eastAsia" w:ascii="黑体" w:hAnsi="黑体" w:eastAsia="黑体" w:cs="黑体"/>
          <w:color w:val="auto"/>
        </w:rPr>
        <w:t>.1</w:t>
      </w:r>
      <w:r>
        <w:rPr>
          <w:rFonts w:hint="eastAsia"/>
          <w:color w:val="auto"/>
        </w:rPr>
        <w:t xml:space="preserve"> 申报单位在申报</w:t>
      </w:r>
      <w:r>
        <w:rPr>
          <w:rFonts w:hint="eastAsia"/>
          <w:color w:val="auto"/>
          <w:lang w:eastAsia="zh-CN"/>
        </w:rPr>
        <w:t>评价</w:t>
      </w:r>
      <w:r>
        <w:rPr>
          <w:rFonts w:hint="eastAsia"/>
          <w:color w:val="auto"/>
        </w:rPr>
        <w:t>过程中涉及的所有材料</w:t>
      </w:r>
      <w:r>
        <w:rPr>
          <w:rFonts w:hint="eastAsia"/>
          <w:color w:val="auto"/>
          <w:lang w:val="en-US" w:eastAsia="zh-CN"/>
        </w:rPr>
        <w:t>应</w:t>
      </w:r>
      <w:r>
        <w:rPr>
          <w:rFonts w:hint="eastAsia"/>
          <w:color w:val="auto"/>
        </w:rPr>
        <w:t>存档备案。档案保留期限为五年。</w:t>
      </w:r>
    </w:p>
    <w:p>
      <w:pPr>
        <w:pStyle w:val="40"/>
        <w:tabs>
          <w:tab w:val="left" w:pos="5490"/>
          <w:tab w:val="clear" w:pos="9298"/>
        </w:tabs>
        <w:spacing w:line="360" w:lineRule="auto"/>
        <w:ind w:firstLine="0" w:firstLineChars="0"/>
        <w:jc w:val="left"/>
        <w:rPr>
          <w:rFonts w:hint="eastAsia"/>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5.</w:t>
      </w:r>
      <w:r>
        <w:rPr>
          <w:rFonts w:hint="eastAsia" w:ascii="黑体" w:hAnsi="黑体" w:eastAsia="黑体" w:cs="黑体"/>
          <w:color w:val="000000" w:themeColor="text1"/>
          <w:lang w:val="en-US" w:eastAsia="zh-CN"/>
          <w14:textFill>
            <w14:solidFill>
              <w14:schemeClr w14:val="tx1"/>
            </w14:solidFill>
          </w14:textFill>
        </w:rPr>
        <w:t>7</w:t>
      </w:r>
      <w:r>
        <w:rPr>
          <w:rFonts w:hint="eastAsia" w:ascii="黑体" w:hAnsi="黑体" w:eastAsia="黑体" w:cs="黑体"/>
          <w:color w:val="000000" w:themeColor="text1"/>
          <w14:textFill>
            <w14:solidFill>
              <w14:schemeClr w14:val="tx1"/>
            </w14:solidFill>
          </w14:textFill>
        </w:rPr>
        <w:t>.2</w:t>
      </w:r>
      <w:r>
        <w:rPr>
          <w:rFonts w:hint="eastAsia"/>
          <w:color w:val="000000" w:themeColor="text1"/>
          <w14:textFill>
            <w14:solidFill>
              <w14:schemeClr w14:val="tx1"/>
            </w14:solidFill>
          </w14:textFill>
        </w:rPr>
        <w:t xml:space="preserve">  应指定专门部室或专人负责档案的管理，并严格遵守保密制度，未经允许，不得透漏相关信息。</w:t>
      </w:r>
    </w:p>
    <w:p>
      <w:pPr>
        <w:pStyle w:val="83"/>
        <w:numPr>
          <w:ilvl w:val="0"/>
          <w:numId w:val="0"/>
        </w:numPr>
        <w:spacing w:before="312" w:after="312" w:line="360" w:lineRule="auto"/>
        <w:ind w:leftChars="0"/>
        <w:rPr>
          <w:color w:val="auto"/>
        </w:rPr>
      </w:pPr>
      <w:r>
        <w:rPr>
          <w:rFonts w:hint="eastAsia"/>
          <w:color w:val="auto"/>
          <w:lang w:val="en-US" w:eastAsia="zh-CN"/>
        </w:rPr>
        <w:t xml:space="preserve">5.8  </w:t>
      </w:r>
      <w:r>
        <w:rPr>
          <w:rFonts w:hint="eastAsia"/>
          <w:color w:val="auto"/>
          <w:lang w:eastAsia="zh-CN"/>
        </w:rPr>
        <w:t>评价</w:t>
      </w:r>
      <w:r>
        <w:rPr>
          <w:rFonts w:hint="eastAsia"/>
          <w:color w:val="auto"/>
          <w:lang w:val="en-US" w:eastAsia="zh-CN"/>
        </w:rPr>
        <w:t>的</w:t>
      </w:r>
      <w:r>
        <w:rPr>
          <w:rFonts w:hint="eastAsia"/>
          <w:color w:val="auto"/>
        </w:rPr>
        <w:t>豁免</w:t>
      </w:r>
    </w:p>
    <w:p>
      <w:pPr>
        <w:widowControl/>
        <w:shd w:val="clear" w:color="auto" w:fill="FFFFFF"/>
        <w:spacing w:line="360" w:lineRule="auto"/>
        <w:jc w:val="left"/>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pPr>
      <w:r>
        <w:rPr>
          <w:rFonts w:hint="eastAsia" w:ascii="宋体" w:hAnsi="宋体" w:cs="宋体"/>
          <w:color w:val="auto"/>
          <w:kern w:val="0"/>
          <w:szCs w:val="21"/>
        </w:rPr>
        <w:t xml:space="preserve">    </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在河北省境内依法设立的，由商务部认定的“中华老字号”企业，可递交申请和相关证明材料，经核实后可直接认定为“河北老字号”。</w:t>
      </w:r>
    </w:p>
    <w:p>
      <w:pPr>
        <w:pStyle w:val="83"/>
        <w:numPr>
          <w:ilvl w:val="0"/>
          <w:numId w:val="0"/>
        </w:numPr>
        <w:spacing w:before="312" w:after="312" w:line="560" w:lineRule="exact"/>
        <w:ind w:leftChars="0"/>
        <w:rPr>
          <w:rFonts w:hint="eastAsia" w:ascii="黑体" w:hAnsi="黑体" w:eastAsia="黑体" w:cs="黑体"/>
          <w:b w:val="0"/>
          <w:bCs w:val="0"/>
          <w:color w:val="000000" w:themeColor="text1"/>
          <w:sz w:val="21"/>
          <w:szCs w:val="21"/>
          <w14:textFill>
            <w14:solidFill>
              <w14:schemeClr w14:val="tx1"/>
            </w14:solidFill>
          </w14:textFill>
        </w:rPr>
      </w:pPr>
      <w:r>
        <w:rPr>
          <w:rFonts w:hint="eastAsia" w:ascii="黑体" w:hAnsi="黑体" w:eastAsia="黑体" w:cs="黑体"/>
          <w:b w:val="0"/>
          <w:bCs w:val="0"/>
          <w:color w:val="000000" w:themeColor="text1"/>
          <w:sz w:val="21"/>
          <w:szCs w:val="21"/>
          <w:lang w:val="en-US" w:eastAsia="zh-CN"/>
          <w14:textFill>
            <w14:solidFill>
              <w14:schemeClr w14:val="tx1"/>
            </w14:solidFill>
          </w14:textFill>
        </w:rPr>
        <w:t xml:space="preserve">6  </w:t>
      </w:r>
      <w:r>
        <w:rPr>
          <w:rFonts w:hint="eastAsia" w:ascii="黑体" w:hAnsi="黑体" w:eastAsia="黑体" w:cs="黑体"/>
          <w:b w:val="0"/>
          <w:bCs w:val="0"/>
          <w:color w:val="000000" w:themeColor="text1"/>
          <w:sz w:val="21"/>
          <w:szCs w:val="21"/>
          <w14:textFill>
            <w14:solidFill>
              <w14:schemeClr w14:val="tx1"/>
            </w14:solidFill>
          </w14:textFill>
        </w:rPr>
        <w:t>动态管理</w:t>
      </w:r>
    </w:p>
    <w:p>
      <w:pPr>
        <w:pStyle w:val="47"/>
        <w:numPr>
          <w:ilvl w:val="1"/>
          <w:numId w:val="0"/>
        </w:numPr>
        <w:spacing w:before="156" w:after="156" w:line="560" w:lineRule="exact"/>
        <w:ind w:leftChars="0"/>
        <w:rPr>
          <w:rFonts w:hint="eastAsia" w:asciiTheme="minorEastAsia" w:hAnsiTheme="minorEastAsia" w:eastAsiaTheme="minorEastAsia" w:cstheme="minorEastAsia"/>
          <w:sz w:val="21"/>
          <w:szCs w:val="21"/>
        </w:rPr>
      </w:pPr>
      <w:r>
        <w:rPr>
          <w:rFonts w:hint="eastAsia" w:ascii="黑体" w:hAnsi="黑体" w:eastAsia="黑体" w:cs="黑体"/>
          <w:b w:val="0"/>
          <w:bCs w:val="0"/>
          <w:sz w:val="21"/>
          <w:szCs w:val="21"/>
          <w:lang w:val="en-US" w:eastAsia="zh-CN"/>
        </w:rPr>
        <w:t xml:space="preserve">6.1 </w:t>
      </w:r>
      <w:r>
        <w:rPr>
          <w:rFonts w:hint="eastAsia" w:ascii="黑体" w:hAnsi="黑体" w:eastAsia="黑体" w:cs="黑体"/>
          <w:b w:val="0"/>
          <w:bCs w:val="0"/>
          <w:sz w:val="21"/>
          <w:szCs w:val="21"/>
        </w:rPr>
        <w:t>变更备案</w:t>
      </w:r>
      <w:r>
        <w:rPr>
          <w:rFonts w:hint="eastAsia" w:asciiTheme="minorEastAsia" w:hAnsiTheme="minorEastAsia" w:eastAsiaTheme="minorEastAsia" w:cstheme="minorEastAsia"/>
          <w:sz w:val="21"/>
          <w:szCs w:val="21"/>
        </w:rPr>
        <w:t xml:space="preserve">  </w:t>
      </w:r>
    </w:p>
    <w:p>
      <w:pPr>
        <w:widowControl/>
        <w:shd w:val="clear" w:color="auto" w:fill="FFFFFF"/>
        <w:spacing w:line="560" w:lineRule="exact"/>
        <w:ind w:firstLine="420" w:firstLineChars="200"/>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p>
      <w:pPr>
        <w:pStyle w:val="112"/>
        <w:numPr>
          <w:ilvl w:val="1"/>
          <w:numId w:val="0"/>
        </w:numPr>
        <w:spacing w:before="156" w:after="156"/>
        <w:ind w:leftChars="0"/>
        <w:jc w:val="righ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DB13/T </w:t>
      </w:r>
      <w:r>
        <w:rPr>
          <w:rFonts w:hint="eastAsia" w:hAnsi="黑体" w:cs="黑体"/>
          <w:color w:val="auto"/>
          <w:sz w:val="21"/>
          <w:szCs w:val="21"/>
        </w:rPr>
        <w:t>XXXX-202</w:t>
      </w:r>
      <w:r>
        <w:rPr>
          <w:rFonts w:hint="eastAsia" w:hAnsi="黑体" w:cs="黑体"/>
          <w:color w:val="auto"/>
          <w:sz w:val="21"/>
          <w:szCs w:val="21"/>
          <w:lang w:val="en-US" w:eastAsia="zh-CN"/>
        </w:rPr>
        <w:t>3</w:t>
      </w:r>
    </w:p>
    <w:p>
      <w:pPr>
        <w:widowControl/>
        <w:shd w:val="clear" w:color="auto" w:fill="FFFFFF"/>
        <w:spacing w:line="560" w:lineRule="exact"/>
        <w:ind w:firstLine="420" w:firstLineChars="200"/>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“河北老字号”企业的企业名称或其商标发生以下变化的，应当自发生变化之日起30个工作日之内经所在市商务部门向“河北老字号”工作办公室提出申请，并详细说明发生变化的理由：</w:t>
      </w:r>
    </w:p>
    <w:p>
      <w:pPr>
        <w:widowControl/>
        <w:shd w:val="clear" w:color="auto" w:fill="FFFFFF"/>
        <w:spacing w:line="560" w:lineRule="exact"/>
        <w:ind w:left="0" w:leftChars="0" w:firstLine="420" w:firstLineChars="200"/>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企业名称发生变化的；</w:t>
      </w:r>
    </w:p>
    <w:p>
      <w:pPr>
        <w:widowControl/>
        <w:shd w:val="clear" w:color="auto" w:fill="FFFFFF"/>
        <w:spacing w:line="560" w:lineRule="exact"/>
        <w:ind w:left="0" w:leftChars="0" w:firstLine="420" w:firstLineChars="200"/>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在不丧失老字号注册商标使用权的前提下，该注册商标发生转让的。</w:t>
      </w:r>
    </w:p>
    <w:p>
      <w:pPr>
        <w:widowControl/>
        <w:shd w:val="clear" w:color="auto" w:fill="FFFFFF"/>
        <w:spacing w:line="560" w:lineRule="exact"/>
        <w:ind w:firstLine="420" w:firstLineChars="200"/>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河北老字号”工作专家技术委员会应按照“河北老字号”认定条件进行复核，并提出审核意见报河北省推进老字号创新发展工作组。审核过程中可根据需要现场核实相关情况或要求企业补充提供相关材料，必要时向社会公示。</w:t>
      </w:r>
    </w:p>
    <w:p>
      <w:pPr>
        <w:pStyle w:val="47"/>
        <w:numPr>
          <w:ilvl w:val="1"/>
          <w:numId w:val="0"/>
        </w:numPr>
        <w:spacing w:before="156" w:after="156" w:line="560" w:lineRule="exact"/>
        <w:ind w:leftChars="0"/>
        <w:rPr>
          <w:rFonts w:hint="eastAsia" w:ascii="黑体" w:hAnsi="黑体" w:eastAsia="黑体" w:cs="黑体"/>
          <w:b w:val="0"/>
          <w:bCs w:val="0"/>
          <w:sz w:val="21"/>
          <w:szCs w:val="21"/>
        </w:rPr>
      </w:pPr>
      <w:r>
        <w:rPr>
          <w:rFonts w:hint="eastAsia" w:ascii="黑体" w:hAnsi="黑体" w:eastAsia="黑体" w:cs="黑体"/>
          <w:b w:val="0"/>
          <w:bCs w:val="0"/>
          <w:sz w:val="21"/>
          <w:szCs w:val="21"/>
          <w:lang w:val="en-US" w:eastAsia="zh-CN"/>
        </w:rPr>
        <w:t xml:space="preserve">6.2 </w:t>
      </w:r>
      <w:r>
        <w:rPr>
          <w:rFonts w:hint="eastAsia" w:ascii="黑体" w:hAnsi="黑体" w:eastAsia="黑体" w:cs="黑体"/>
          <w:b w:val="0"/>
          <w:bCs w:val="0"/>
          <w:sz w:val="21"/>
          <w:szCs w:val="21"/>
        </w:rPr>
        <w:t>提交年度报告</w:t>
      </w:r>
    </w:p>
    <w:p>
      <w:pPr>
        <w:widowControl/>
        <w:shd w:val="clear" w:color="auto" w:fill="FFFFFF"/>
        <w:spacing w:line="560" w:lineRule="exact"/>
        <w:ind w:firstLine="420" w:firstLineChars="200"/>
        <w:jc w:val="left"/>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“河北老字号”企业每年2—4月将上一年“河北老字号”称号的使用及经营等情况书面报告，并对内容的真实性负责。</w:t>
      </w:r>
    </w:p>
    <w:p>
      <w:pPr>
        <w:pStyle w:val="47"/>
        <w:numPr>
          <w:ilvl w:val="1"/>
          <w:numId w:val="0"/>
        </w:numPr>
        <w:spacing w:before="156" w:after="156" w:line="560" w:lineRule="exact"/>
        <w:ind w:leftChars="0"/>
        <w:rPr>
          <w:rFonts w:hint="eastAsia" w:ascii="黑体" w:hAnsi="黑体" w:eastAsia="黑体" w:cs="黑体"/>
          <w:b w:val="0"/>
          <w:bCs w:val="0"/>
          <w:sz w:val="21"/>
          <w:szCs w:val="21"/>
        </w:rPr>
      </w:pPr>
      <w:r>
        <w:rPr>
          <w:rFonts w:hint="eastAsia" w:ascii="黑体" w:hAnsi="黑体" w:eastAsia="黑体" w:cs="黑体"/>
          <w:b w:val="0"/>
          <w:bCs w:val="0"/>
          <w:sz w:val="21"/>
          <w:szCs w:val="21"/>
          <w:lang w:val="en-US" w:eastAsia="zh-CN"/>
        </w:rPr>
        <w:t xml:space="preserve">6.3 </w:t>
      </w:r>
      <w:r>
        <w:rPr>
          <w:rFonts w:hint="eastAsia" w:ascii="黑体" w:hAnsi="黑体" w:eastAsia="黑体" w:cs="黑体"/>
          <w:b w:val="0"/>
          <w:bCs w:val="0"/>
          <w:sz w:val="21"/>
          <w:szCs w:val="21"/>
        </w:rPr>
        <w:t>日常监管</w:t>
      </w:r>
    </w:p>
    <w:p>
      <w:pPr>
        <w:pStyle w:val="47"/>
        <w:numPr>
          <w:ilvl w:val="1"/>
          <w:numId w:val="0"/>
        </w:numPr>
        <w:adjustRightInd w:val="0"/>
        <w:snapToGrid w:val="0"/>
        <w:spacing w:before="156" w:after="156" w:line="560" w:lineRule="exact"/>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由“河北老字号”工作办公室开展“河北老字号”日常监测，对出现以下情形的“河北老字号”企业分别采取相应管理措施。每2年对“河北老字号”进行复核。</w:t>
      </w:r>
    </w:p>
    <w:p>
      <w:pPr>
        <w:pStyle w:val="40"/>
        <w:numPr>
          <w:ilvl w:val="0"/>
          <w:numId w:val="0"/>
        </w:numPr>
        <w:tabs>
          <w:tab w:val="left" w:pos="1060"/>
          <w:tab w:val="clear" w:pos="4201"/>
        </w:tabs>
        <w:spacing w:line="560" w:lineRule="exact"/>
        <w:ind w:leftChars="0"/>
        <w:rPr>
          <w:rFonts w:hint="eastAsia" w:ascii="黑体" w:hAnsi="黑体" w:eastAsia="黑体" w:cs="黑体"/>
          <w:b w:val="0"/>
          <w:bCs w:val="0"/>
          <w:color w:val="000000" w:themeColor="text1"/>
          <w:sz w:val="21"/>
          <w:szCs w:val="21"/>
          <w14:textFill>
            <w14:solidFill>
              <w14:schemeClr w14:val="tx1"/>
            </w14:solidFill>
          </w14:textFill>
        </w:rPr>
      </w:pPr>
      <w:r>
        <w:rPr>
          <w:rFonts w:hint="eastAsia" w:ascii="黑体" w:hAnsi="黑体" w:eastAsia="黑体" w:cs="黑体"/>
          <w:b w:val="0"/>
          <w:bCs w:val="0"/>
          <w:color w:val="000000" w:themeColor="text1"/>
          <w:sz w:val="21"/>
          <w:szCs w:val="21"/>
          <w:lang w:val="en-US" w:eastAsia="zh-CN"/>
          <w14:textFill>
            <w14:solidFill>
              <w14:schemeClr w14:val="tx1"/>
            </w14:solidFill>
          </w14:textFill>
        </w:rPr>
        <w:t xml:space="preserve">6.4  </w:t>
      </w:r>
      <w:r>
        <w:rPr>
          <w:rFonts w:hint="eastAsia" w:ascii="黑体" w:hAnsi="黑体" w:eastAsia="黑体" w:cs="黑体"/>
          <w:b w:val="0"/>
          <w:bCs w:val="0"/>
          <w:color w:val="000000" w:themeColor="text1"/>
          <w:sz w:val="21"/>
          <w:szCs w:val="21"/>
          <w14:textFill>
            <w14:solidFill>
              <w14:schemeClr w14:val="tx1"/>
            </w14:solidFill>
          </w14:textFill>
        </w:rPr>
        <w:t>整改</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“河北老字号”企业出现下列情形之一的，责令3个月内予以整改：</w:t>
      </w:r>
    </w:p>
    <w:p>
      <w:pPr>
        <w:pStyle w:val="40"/>
        <w:numPr>
          <w:numId w:val="0"/>
        </w:numPr>
        <w:tabs>
          <w:tab w:val="left" w:pos="1060"/>
          <w:tab w:val="clear" w:pos="4201"/>
        </w:tabs>
        <w:spacing w:line="560" w:lineRule="exact"/>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企业信息发生变化后，未按本标准5.1规定提交申请的；</w:t>
      </w:r>
    </w:p>
    <w:p>
      <w:pPr>
        <w:pStyle w:val="40"/>
        <w:numPr>
          <w:numId w:val="0"/>
        </w:numPr>
        <w:tabs>
          <w:tab w:val="left" w:pos="1060"/>
          <w:tab w:val="clear" w:pos="4201"/>
        </w:tabs>
        <w:spacing w:line="560" w:lineRule="exact"/>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未按本标准5.2规定提交年度报告的；</w:t>
      </w:r>
    </w:p>
    <w:p>
      <w:pPr>
        <w:pStyle w:val="40"/>
        <w:numPr>
          <w:numId w:val="0"/>
        </w:numPr>
        <w:tabs>
          <w:tab w:val="left" w:pos="1060"/>
          <w:tab w:val="clear" w:pos="4201"/>
        </w:tabs>
        <w:spacing w:line="560" w:lineRule="exact"/>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“河北老字号”标识、标志牌使用不规范的；</w:t>
      </w:r>
    </w:p>
    <w:p>
      <w:pPr>
        <w:pStyle w:val="40"/>
        <w:numPr>
          <w:numId w:val="0"/>
        </w:numPr>
        <w:tabs>
          <w:tab w:val="left" w:pos="1060"/>
          <w:tab w:val="clear" w:pos="4201"/>
        </w:tabs>
        <w:spacing w:line="560" w:lineRule="exact"/>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因经营问题被相关部门作出行政处罚，或引起社会不良影响的；</w:t>
      </w:r>
    </w:p>
    <w:p>
      <w:pPr>
        <w:pStyle w:val="40"/>
        <w:numPr>
          <w:numId w:val="0"/>
        </w:numPr>
        <w:tabs>
          <w:tab w:val="left" w:pos="1060"/>
          <w:tab w:val="clear" w:pos="4201"/>
        </w:tabs>
        <w:spacing w:line="560" w:lineRule="exact"/>
        <w:ind w:firstLine="420" w:firstLineChars="200"/>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p>
      <w:pPr>
        <w:pStyle w:val="112"/>
        <w:numPr>
          <w:ilvl w:val="1"/>
          <w:numId w:val="0"/>
        </w:numPr>
        <w:spacing w:before="156" w:after="156"/>
        <w:ind w:leftChars="0"/>
        <w:jc w:val="right"/>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DB13/T </w:t>
      </w:r>
      <w:r>
        <w:rPr>
          <w:rFonts w:hint="eastAsia" w:hAnsi="黑体" w:cs="黑体"/>
          <w:color w:val="auto"/>
          <w:sz w:val="21"/>
          <w:szCs w:val="21"/>
        </w:rPr>
        <w:t>XXXX-202</w:t>
      </w:r>
      <w:r>
        <w:rPr>
          <w:rFonts w:hint="eastAsia" w:hAnsi="黑体" w:cs="黑体"/>
          <w:color w:val="auto"/>
          <w:sz w:val="21"/>
          <w:szCs w:val="21"/>
          <w:lang w:val="en-US" w:eastAsia="zh-CN"/>
        </w:rPr>
        <w:t>3</w:t>
      </w:r>
    </w:p>
    <w:p>
      <w:pPr>
        <w:pStyle w:val="40"/>
        <w:numPr>
          <w:numId w:val="0"/>
        </w:numPr>
        <w:tabs>
          <w:tab w:val="left" w:pos="1060"/>
          <w:tab w:val="clear" w:pos="4201"/>
        </w:tabs>
        <w:spacing w:line="560" w:lineRule="exact"/>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因违反《文物保护法》相关规定，对涉及不可移动文物的生产经营场所违法进行修缮、转让、抵押、改变用途等活动被相关部门作出行政处罚的；</w:t>
      </w:r>
    </w:p>
    <w:p>
      <w:pPr>
        <w:pStyle w:val="40"/>
        <w:numPr>
          <w:numId w:val="0"/>
        </w:numPr>
        <w:tabs>
          <w:tab w:val="left" w:pos="1060"/>
          <w:tab w:val="clear" w:pos="4201"/>
        </w:tabs>
        <w:spacing w:line="560" w:lineRule="exact"/>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被相关部门列入经营异常名录的。</w:t>
      </w:r>
    </w:p>
    <w:p>
      <w:pPr>
        <w:pStyle w:val="40"/>
        <w:numPr>
          <w:ilvl w:val="0"/>
          <w:numId w:val="0"/>
        </w:numPr>
        <w:tabs>
          <w:tab w:val="left" w:pos="1060"/>
          <w:tab w:val="clear" w:pos="4201"/>
        </w:tabs>
        <w:spacing w:line="560" w:lineRule="exact"/>
        <w:ind w:leftChars="0"/>
        <w:rPr>
          <w:rFonts w:hint="eastAsia" w:ascii="黑体" w:hAnsi="黑体" w:eastAsia="黑体" w:cs="黑体"/>
          <w:b w:val="0"/>
          <w:bCs w:val="0"/>
          <w:color w:val="000000" w:themeColor="text1"/>
          <w:sz w:val="21"/>
          <w:szCs w:val="21"/>
          <w14:textFill>
            <w14:solidFill>
              <w14:schemeClr w14:val="tx1"/>
            </w14:solidFill>
          </w14:textFill>
        </w:rPr>
      </w:pPr>
      <w:r>
        <w:rPr>
          <w:rFonts w:hint="eastAsia" w:ascii="黑体" w:hAnsi="黑体" w:eastAsia="黑体" w:cs="黑体"/>
          <w:b w:val="0"/>
          <w:bCs w:val="0"/>
          <w:color w:val="000000" w:themeColor="text1"/>
          <w:sz w:val="21"/>
          <w:szCs w:val="21"/>
          <w:lang w:val="en-US" w:eastAsia="zh-CN"/>
          <w14:textFill>
            <w14:solidFill>
              <w14:schemeClr w14:val="tx1"/>
            </w14:solidFill>
          </w14:textFill>
        </w:rPr>
        <w:t xml:space="preserve">6.5  </w:t>
      </w:r>
      <w:r>
        <w:rPr>
          <w:rFonts w:hint="eastAsia" w:ascii="黑体" w:hAnsi="黑体" w:eastAsia="黑体" w:cs="黑体"/>
          <w:b w:val="0"/>
          <w:bCs w:val="0"/>
          <w:color w:val="000000" w:themeColor="text1"/>
          <w:sz w:val="21"/>
          <w:szCs w:val="21"/>
          <w14:textFill>
            <w14:solidFill>
              <w14:schemeClr w14:val="tx1"/>
            </w14:solidFill>
          </w14:textFill>
        </w:rPr>
        <w:t>暂停使用标识、标志牌</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“河北老字号”企业出现下列情形之一的，可暂停其“河北老字号”标识、标志牌使用权：</w:t>
      </w:r>
    </w:p>
    <w:p>
      <w:pPr>
        <w:pStyle w:val="40"/>
        <w:numPr>
          <w:numId w:val="0"/>
        </w:numPr>
        <w:tabs>
          <w:tab w:val="left" w:pos="1060"/>
          <w:tab w:val="clear" w:pos="4201"/>
        </w:tabs>
        <w:spacing w:line="560" w:lineRule="exact"/>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未按时整改或整改措施不利的；</w:t>
      </w:r>
    </w:p>
    <w:p>
      <w:pPr>
        <w:pStyle w:val="40"/>
        <w:numPr>
          <w:numId w:val="0"/>
        </w:numPr>
        <w:tabs>
          <w:tab w:val="left" w:pos="1060"/>
          <w:tab w:val="clear" w:pos="4201"/>
        </w:tabs>
        <w:spacing w:line="560" w:lineRule="exact"/>
        <w:ind w:firstLine="420" w:firstLineChars="20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被相关部门列入严重违法失信名单的。</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如确有必要的，由“河北老字号”工作办公室提出建议，河北省推进老字号创新发展工作组做出暂停其“河北老字号”标识、标志牌使用权的决定，并责令3个月内完成整改。整改完成后，由“河北老字号”工作专家技术委员会对整改情况进行审核，并提出审核意见报河北省推进老字号创新发展工作组。工作组认为整改到位的，撤销暂停其“河北老字号”标识、标志牌使用权的决定。</w:t>
      </w:r>
    </w:p>
    <w:p>
      <w:pPr>
        <w:pStyle w:val="40"/>
        <w:numPr>
          <w:ilvl w:val="0"/>
          <w:numId w:val="0"/>
        </w:numPr>
        <w:tabs>
          <w:tab w:val="left" w:pos="1060"/>
          <w:tab w:val="clear" w:pos="4201"/>
        </w:tabs>
        <w:spacing w:line="560" w:lineRule="exact"/>
        <w:ind w:leftChars="0"/>
        <w:rPr>
          <w:rFonts w:hint="eastAsia" w:ascii="黑体" w:hAnsi="黑体" w:eastAsia="黑体" w:cs="黑体"/>
          <w:b w:val="0"/>
          <w:bCs w:val="0"/>
          <w:color w:val="000000" w:themeColor="text1"/>
          <w:sz w:val="21"/>
          <w:szCs w:val="21"/>
          <w14:textFill>
            <w14:solidFill>
              <w14:schemeClr w14:val="tx1"/>
            </w14:solidFill>
          </w14:textFill>
        </w:rPr>
      </w:pPr>
      <w:r>
        <w:rPr>
          <w:rFonts w:hint="eastAsia" w:ascii="黑体" w:hAnsi="黑体" w:eastAsia="黑体" w:cs="黑体"/>
          <w:b w:val="0"/>
          <w:bCs w:val="0"/>
          <w:color w:val="000000" w:themeColor="text1"/>
          <w:sz w:val="21"/>
          <w:szCs w:val="21"/>
          <w:lang w:val="en-US" w:eastAsia="zh-CN"/>
          <w14:textFill>
            <w14:solidFill>
              <w14:schemeClr w14:val="tx1"/>
            </w14:solidFill>
          </w14:textFill>
        </w:rPr>
        <w:t xml:space="preserve">6.6 </w:t>
      </w:r>
      <w:r>
        <w:rPr>
          <w:rFonts w:hint="eastAsia" w:ascii="黑体" w:hAnsi="黑体" w:eastAsia="黑体" w:cs="黑体"/>
          <w:b w:val="0"/>
          <w:bCs w:val="0"/>
          <w:color w:val="000000" w:themeColor="text1"/>
          <w:sz w:val="21"/>
          <w:szCs w:val="21"/>
          <w14:textFill>
            <w14:solidFill>
              <w14:schemeClr w14:val="tx1"/>
            </w14:solidFill>
          </w14:textFill>
        </w:rPr>
        <w:t>撤销“河北老字号”</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“河北老字号”企业出现下列情形之一的，撤销河北老字号称号：</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bookmarkStart w:id="2" w:name="_GoBack"/>
      <w:bookmarkEnd w:id="2"/>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企业破产清算、解散、注销、被吊销营业执照或三年以上不开展经营活动的；</w:t>
      </w:r>
    </w:p>
    <w:p>
      <w:pPr>
        <w:pStyle w:val="40"/>
        <w:tabs>
          <w:tab w:val="left" w:pos="1060"/>
          <w:tab w:val="clear" w:pos="4201"/>
        </w:tabs>
        <w:spacing w:line="560" w:lineRule="exac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丧失老字号注册商标所有权及使用权的；</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发生严重损害消费者权益、出现重大质量问题或安全事故、重复侵犯他人知识产权、严重扰乱市场秩序或其他严重违法行为的；</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以欺骗或其他不正当手段骗取“河北老字号”示范称号的；</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被暂停河北老字号标识及牌匾使用权，到期后仍未有效整改的；</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其他不符合“河北老字号”和“河北老字号”企业基本条件的。</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pStyle w:val="112"/>
        <w:numPr>
          <w:ilvl w:val="1"/>
          <w:numId w:val="0"/>
        </w:numPr>
        <w:spacing w:before="156" w:after="156"/>
        <w:ind w:leftChars="0"/>
        <w:jc w:val="righ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DB13/T </w:t>
      </w:r>
      <w:r>
        <w:rPr>
          <w:rFonts w:hint="eastAsia" w:hAnsi="黑体" w:cs="黑体"/>
          <w:color w:val="auto"/>
          <w:sz w:val="21"/>
          <w:szCs w:val="21"/>
        </w:rPr>
        <w:t>XXXX-202</w:t>
      </w:r>
      <w:r>
        <w:rPr>
          <w:rFonts w:hint="eastAsia" w:hAnsi="黑体" w:cs="黑体"/>
          <w:color w:val="auto"/>
          <w:sz w:val="21"/>
          <w:szCs w:val="21"/>
          <w:lang w:val="en-US" w:eastAsia="zh-CN"/>
        </w:rPr>
        <w:t>3</w:t>
      </w:r>
    </w:p>
    <w:p>
      <w:pPr>
        <w:pStyle w:val="40"/>
        <w:tabs>
          <w:tab w:val="left" w:pos="1060"/>
          <w:tab w:val="clear" w:pos="4201"/>
        </w:tabs>
        <w:spacing w:line="56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被撤销“河北老字号”称号的企业，自撤销之日起，两个申报周期内不得再次申报“河北老字号”。</w:t>
      </w:r>
    </w:p>
    <w:p>
      <w:pPr>
        <w:pStyle w:val="40"/>
        <w:tabs>
          <w:tab w:val="left" w:pos="1060"/>
          <w:tab w:val="clear" w:pos="4201"/>
        </w:tabs>
        <w:spacing w:line="520" w:lineRule="exact"/>
        <w:ind w:firstLine="640"/>
        <w:rPr>
          <w:rFonts w:hint="eastAsia" w:asciiTheme="minorEastAsia" w:hAnsiTheme="minorEastAsia" w:eastAsiaTheme="minorEastAsia" w:cstheme="minorEastAsia"/>
          <w:color w:val="000000" w:themeColor="text1"/>
          <w:sz w:val="21"/>
          <w:szCs w:val="21"/>
          <w14:textFill>
            <w14:solidFill>
              <w14:schemeClr w14:val="tx1"/>
            </w14:solidFill>
          </w14:textFill>
        </w:rPr>
        <w:sectPr>
          <w:footerReference r:id="rId3" w:type="default"/>
          <w:footerReference r:id="rId4" w:type="even"/>
          <w:pgSz w:w="11906" w:h="16838"/>
          <w:pgMar w:top="1984" w:right="1474" w:bottom="1757" w:left="1587" w:header="1418" w:footer="1134" w:gutter="0"/>
          <w:cols w:space="720" w:num="1"/>
          <w:formProt w:val="0"/>
          <w:docGrid w:type="lines" w:linePitch="312" w:charSpace="0"/>
        </w:sectPr>
      </w:pPr>
    </w:p>
    <w:p>
      <w:pPr>
        <w:pStyle w:val="3"/>
        <w:jc w:val="center"/>
        <w:rPr>
          <w:rFonts w:hint="eastAsia" w:ascii="黑体" w:hAnsi="黑体" w:eastAsia="黑体" w:cs="黑体"/>
          <w:b w:val="0"/>
          <w:bCs w:val="0"/>
          <w:sz w:val="24"/>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“河北老字号”</w:t>
      </w:r>
      <w:r>
        <w:rPr>
          <w:rFonts w:hint="eastAsia" w:ascii="黑体" w:hAnsi="黑体" w:eastAsia="黑体" w:cs="黑体"/>
          <w:b w:val="0"/>
          <w:bCs w:val="0"/>
          <w:sz w:val="32"/>
          <w:szCs w:val="32"/>
        </w:rPr>
        <w:t>示范创建</w:t>
      </w:r>
      <w:r>
        <w:rPr>
          <w:rFonts w:hint="eastAsia" w:ascii="黑体" w:hAnsi="黑体" w:eastAsia="黑体" w:cs="黑体"/>
          <w:b w:val="0"/>
          <w:bCs w:val="0"/>
          <w:color w:val="auto"/>
          <w:sz w:val="32"/>
          <w:szCs w:val="32"/>
          <w:lang w:eastAsia="zh-CN"/>
        </w:rPr>
        <w:t>评价</w:t>
      </w:r>
      <w:r>
        <w:rPr>
          <w:rFonts w:hint="eastAsia" w:ascii="黑体" w:hAnsi="黑体" w:eastAsia="黑体" w:cs="黑体"/>
          <w:b w:val="0"/>
          <w:bCs w:val="0"/>
          <w:color w:val="auto"/>
          <w:sz w:val="32"/>
          <w:szCs w:val="32"/>
        </w:rPr>
        <w:t>评分表</w:t>
      </w:r>
    </w:p>
    <w:tbl>
      <w:tblPr>
        <w:tblStyle w:val="21"/>
        <w:tblpPr w:leftFromText="180" w:rightFromText="180" w:vertAnchor="text" w:tblpXSpec="center" w:tblpY="1"/>
        <w:tblOverlap w:val="never"/>
        <w:tblW w:w="147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1339"/>
        <w:gridCol w:w="1450"/>
        <w:gridCol w:w="5387"/>
        <w:gridCol w:w="6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0" w:hRule="atLeast"/>
        </w:trPr>
        <w:tc>
          <w:tcPr>
            <w:tcW w:w="14757" w:type="dxa"/>
            <w:gridSpan w:val="4"/>
            <w:tcBorders>
              <w:bottom w:val="single" w:color="auto" w:sz="4" w:space="0"/>
            </w:tcBorders>
            <w:shd w:val="clear" w:color="auto" w:fill="FFFFFF" w:themeFill="background1"/>
            <w:vAlign w:val="center"/>
          </w:tcPr>
          <w:p>
            <w:pPr>
              <w:widowControl/>
              <w:rPr>
                <w:rFonts w:ascii="宋体" w:hAnsi="宋体"/>
                <w:color w:val="000000"/>
                <w:sz w:val="18"/>
                <w:szCs w:val="18"/>
              </w:rPr>
            </w:pPr>
            <w:r>
              <w:rPr>
                <w:rFonts w:hint="eastAsia" w:ascii="宋体" w:hAnsi="宋体" w:eastAsia="宋体" w:cs="宋体"/>
                <w:b w:val="0"/>
                <w:bCs/>
                <w:color w:val="000000"/>
                <w:sz w:val="18"/>
                <w:szCs w:val="18"/>
              </w:rPr>
              <w:t>一、历史文化（38分）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00" w:hRule="atLeast"/>
        </w:trPr>
        <w:tc>
          <w:tcPr>
            <w:tcW w:w="1339" w:type="dxa"/>
            <w:shd w:val="clear" w:color="auto" w:fill="FFFFFF" w:themeFill="background1"/>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一级指标</w:t>
            </w:r>
          </w:p>
        </w:tc>
        <w:tc>
          <w:tcPr>
            <w:tcW w:w="1450" w:type="dxa"/>
            <w:shd w:val="clear" w:color="auto" w:fill="FFFFFF" w:themeFill="background1"/>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二级指标</w:t>
            </w:r>
          </w:p>
        </w:tc>
        <w:tc>
          <w:tcPr>
            <w:tcW w:w="5387" w:type="dxa"/>
            <w:shd w:val="clear" w:color="auto" w:fill="FFFFFF" w:themeFill="background1"/>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评分标准</w:t>
            </w:r>
          </w:p>
        </w:tc>
        <w:tc>
          <w:tcPr>
            <w:tcW w:w="6581" w:type="dxa"/>
            <w:shd w:val="clear" w:color="auto" w:fill="FFFFFF" w:themeFill="background1"/>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评分说明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842" w:hRule="atLeast"/>
        </w:trPr>
        <w:tc>
          <w:tcPr>
            <w:tcW w:w="1339" w:type="dxa"/>
            <w:vMerge w:val="restart"/>
            <w:shd w:val="clear" w:color="auto" w:fill="FFFFFF" w:themeFill="background1"/>
            <w:vAlign w:val="center"/>
          </w:tcPr>
          <w:p>
            <w:pPr>
              <w:widowControl/>
              <w:jc w:val="center"/>
              <w:rPr>
                <w:rFonts w:ascii="宋体" w:hAnsi="宋体"/>
                <w:b w:val="0"/>
                <w:bCs/>
                <w:color w:val="000000"/>
                <w:kern w:val="0"/>
                <w:sz w:val="18"/>
                <w:szCs w:val="18"/>
              </w:rPr>
            </w:pPr>
            <w:r>
              <w:rPr>
                <w:rFonts w:hint="eastAsia" w:ascii="宋体" w:hAnsi="宋体"/>
                <w:b w:val="0"/>
                <w:bCs/>
                <w:color w:val="000000"/>
                <w:kern w:val="0"/>
                <w:sz w:val="18"/>
                <w:szCs w:val="18"/>
              </w:rPr>
              <w:t>历史底蕴</w:t>
            </w:r>
            <w:r>
              <w:rPr>
                <w:rFonts w:hint="eastAsia" w:ascii="宋体" w:hAnsi="宋体"/>
                <w:b w:val="0"/>
                <w:bCs/>
                <w:color w:val="000000"/>
                <w:kern w:val="0"/>
                <w:sz w:val="18"/>
                <w:szCs w:val="18"/>
                <w:lang w:eastAsia="zh-CN"/>
              </w:rPr>
              <w:t>浓郁</w:t>
            </w:r>
          </w:p>
          <w:p>
            <w:pPr>
              <w:jc w:val="center"/>
              <w:rPr>
                <w:rFonts w:ascii="宋体" w:hAnsi="宋体"/>
                <w:b w:val="0"/>
                <w:bCs/>
                <w:color w:val="000000"/>
                <w:kern w:val="0"/>
                <w:sz w:val="18"/>
                <w:szCs w:val="18"/>
              </w:rPr>
            </w:pPr>
            <w:r>
              <w:rPr>
                <w:rFonts w:hint="eastAsia" w:ascii="宋体" w:hAnsi="宋体"/>
                <w:b w:val="0"/>
                <w:bCs/>
                <w:color w:val="000000"/>
                <w:kern w:val="0"/>
                <w:sz w:val="18"/>
                <w:szCs w:val="18"/>
              </w:rPr>
              <w:t>（11分）</w:t>
            </w:r>
          </w:p>
        </w:tc>
        <w:tc>
          <w:tcPr>
            <w:tcW w:w="1450" w:type="dxa"/>
            <w:shd w:val="clear" w:color="auto" w:fill="FFFFFF" w:themeFill="background1"/>
            <w:vAlign w:val="center"/>
          </w:tcPr>
          <w:p>
            <w:pPr>
              <w:widowControl/>
              <w:jc w:val="center"/>
              <w:rPr>
                <w:rFonts w:hint="eastAsia" w:ascii="宋体" w:hAnsi="宋体" w:eastAsia="宋体"/>
                <w:b w:val="0"/>
                <w:bCs/>
                <w:color w:val="000000"/>
                <w:kern w:val="0"/>
                <w:sz w:val="18"/>
                <w:szCs w:val="18"/>
                <w:lang w:val="en-US" w:eastAsia="zh-Hans"/>
              </w:rPr>
            </w:pPr>
            <w:r>
              <w:rPr>
                <w:rFonts w:hint="eastAsia" w:ascii="宋体" w:hAnsi="宋体"/>
                <w:b w:val="0"/>
                <w:bCs/>
                <w:color w:val="000000"/>
                <w:kern w:val="0"/>
                <w:sz w:val="18"/>
                <w:szCs w:val="18"/>
              </w:rPr>
              <w:t>创立时间</w:t>
            </w:r>
            <w:r>
              <w:rPr>
                <w:rFonts w:hint="eastAsia" w:ascii="宋体" w:hAnsi="宋体"/>
                <w:b w:val="0"/>
                <w:bCs/>
                <w:color w:val="000000"/>
                <w:kern w:val="0"/>
                <w:sz w:val="18"/>
                <w:szCs w:val="18"/>
                <w:lang w:val="en-US" w:eastAsia="zh-Hans"/>
              </w:rPr>
              <w:t>悠久</w:t>
            </w:r>
          </w:p>
        </w:tc>
        <w:tc>
          <w:tcPr>
            <w:tcW w:w="5387" w:type="dxa"/>
            <w:shd w:val="clear" w:color="auto" w:fill="FFFFFF" w:themeFill="background1"/>
            <w:vAlign w:val="center"/>
          </w:tcPr>
          <w:p>
            <w:pPr>
              <w:rPr>
                <w:rFonts w:hint="eastAsia" w:ascii="宋体" w:hAnsi="宋体" w:eastAsia="宋体"/>
                <w:color w:val="000000"/>
                <w:kern w:val="0"/>
                <w:sz w:val="18"/>
                <w:szCs w:val="18"/>
                <w:lang w:val="en-US" w:eastAsia="zh-CN"/>
              </w:rPr>
            </w:pPr>
            <w:r>
              <w:rPr>
                <w:rFonts w:hint="eastAsia" w:asciiTheme="minorEastAsia" w:hAnsiTheme="minorEastAsia" w:eastAsiaTheme="minorEastAsia" w:cstheme="minorEastAsia"/>
                <w:color w:val="000000"/>
                <w:kern w:val="0"/>
                <w:sz w:val="18"/>
                <w:szCs w:val="18"/>
              </w:rPr>
              <w:t>品牌创立时间在50年（含）以上。（3分）对被列入国家级非物质文化遗产代表性项目名录、联合国教科文组织非物质文化遗产名录（名册）、中国政府质量奖的品牌（企业）满40年（含）不满50年的，视同50年；被列入省级非物质文化遗产代表性项目名录、河北省政府质量奖的品牌（企业）满45年（含）不满50年的，视同50年。</w:t>
            </w:r>
          </w:p>
        </w:tc>
        <w:tc>
          <w:tcPr>
            <w:tcW w:w="6581" w:type="dxa"/>
            <w:shd w:val="clear" w:color="auto" w:fill="FFFFFF" w:themeFill="background1"/>
            <w:vAlign w:val="center"/>
          </w:tcPr>
          <w:p>
            <w:pPr>
              <w:rPr>
                <w:rFonts w:hint="eastAsia" w:ascii="宋体" w:hAnsi="宋体"/>
                <w:color w:val="000000"/>
                <w:kern w:val="0"/>
                <w:sz w:val="18"/>
                <w:szCs w:val="18"/>
              </w:rPr>
            </w:pPr>
            <w:r>
              <w:rPr>
                <w:rFonts w:hint="eastAsia" w:asciiTheme="minorEastAsia" w:hAnsiTheme="minorEastAsia" w:eastAsiaTheme="minorEastAsia" w:cstheme="minorEastAsia"/>
                <w:color w:val="000000"/>
                <w:kern w:val="0"/>
                <w:sz w:val="18"/>
                <w:szCs w:val="18"/>
              </w:rPr>
              <w:t>品牌创立时间在50-60年（含）（1分）；品牌时间在60-100年（含）（2分）；品牌创立时间100年以上（3分）。对于已经获得</w:t>
            </w: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创立时间应有可追溯证明。商号等名称变动应提供脉承关系书面证明（此项分数只能选一个对应分值）</w:t>
            </w:r>
            <w:r>
              <w:rPr>
                <w:rFonts w:hint="eastAsia" w:asciiTheme="minorEastAsia" w:hAnsiTheme="minorEastAsia" w:eastAsiaTheme="minorEastAsia" w:cstheme="minorEastAsia"/>
                <w:color w:val="000000"/>
                <w:kern w:val="0"/>
                <w:sz w:val="18"/>
                <w:szCs w:val="18"/>
              </w:rPr>
              <w:t>不重复得分。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90" w:hRule="atLeast"/>
        </w:trPr>
        <w:tc>
          <w:tcPr>
            <w:tcW w:w="1339" w:type="dxa"/>
            <w:vMerge w:val="continue"/>
            <w:shd w:val="clear" w:color="auto" w:fill="FFFFFF" w:themeFill="background1"/>
            <w:vAlign w:val="center"/>
          </w:tcPr>
          <w:p>
            <w:pPr>
              <w:jc w:val="center"/>
              <w:rPr>
                <w:rFonts w:ascii="宋体" w:hAnsi="宋体"/>
                <w:b w:val="0"/>
                <w:bCs/>
                <w:color w:val="000000"/>
                <w:kern w:val="0"/>
                <w:sz w:val="18"/>
                <w:szCs w:val="18"/>
              </w:rPr>
            </w:pPr>
          </w:p>
        </w:tc>
        <w:tc>
          <w:tcPr>
            <w:tcW w:w="1450" w:type="dxa"/>
            <w:shd w:val="clear" w:color="auto" w:fill="FFFFFF" w:themeFill="background1"/>
            <w:vAlign w:val="center"/>
          </w:tcPr>
          <w:p>
            <w:pPr>
              <w:widowControl/>
              <w:jc w:val="center"/>
              <w:rPr>
                <w:rFonts w:hint="eastAsia" w:ascii="宋体" w:hAnsi="宋体" w:eastAsia="宋体"/>
                <w:b w:val="0"/>
                <w:bCs/>
                <w:color w:val="000000"/>
                <w:kern w:val="0"/>
                <w:sz w:val="18"/>
                <w:szCs w:val="18"/>
                <w:lang w:val="en-US" w:eastAsia="zh-CN"/>
              </w:rPr>
            </w:pPr>
            <w:r>
              <w:rPr>
                <w:rFonts w:hint="eastAsia" w:ascii="宋体" w:hAnsi="宋体"/>
                <w:b w:val="0"/>
                <w:bCs/>
                <w:color w:val="000000"/>
                <w:kern w:val="0"/>
                <w:sz w:val="18"/>
                <w:szCs w:val="18"/>
              </w:rPr>
              <w:t>原址保护</w:t>
            </w:r>
            <w:r>
              <w:rPr>
                <w:rFonts w:hint="eastAsia" w:ascii="宋体" w:hAnsi="宋体"/>
                <w:b w:val="0"/>
                <w:bCs/>
                <w:color w:val="000000"/>
                <w:kern w:val="0"/>
                <w:sz w:val="18"/>
                <w:szCs w:val="18"/>
                <w:lang w:val="en-US" w:eastAsia="zh-Hans"/>
              </w:rPr>
              <w:t>完整</w:t>
            </w:r>
          </w:p>
        </w:tc>
        <w:tc>
          <w:tcPr>
            <w:tcW w:w="5387" w:type="dxa"/>
            <w:shd w:val="clear" w:color="auto" w:fill="FFFFFF" w:themeFill="background1"/>
            <w:vAlign w:val="center"/>
          </w:tcPr>
          <w:p>
            <w:pPr>
              <w:rPr>
                <w:rFonts w:hint="eastAsia" w:ascii="宋体" w:hAnsi="宋体"/>
                <w:color w:val="000000"/>
                <w:kern w:val="0"/>
                <w:sz w:val="18"/>
                <w:szCs w:val="18"/>
              </w:rPr>
            </w:pPr>
            <w:r>
              <w:rPr>
                <w:rFonts w:hint="eastAsia" w:ascii="宋体" w:hAnsi="宋体"/>
                <w:color w:val="000000"/>
                <w:kern w:val="0"/>
                <w:sz w:val="18"/>
                <w:szCs w:val="18"/>
              </w:rPr>
              <w:t>有塑造</w:t>
            </w:r>
            <w:r>
              <w:rPr>
                <w:rFonts w:hint="eastAsia" w:ascii="宋体" w:hAnsi="宋体"/>
                <w:color w:val="000000"/>
                <w:kern w:val="0"/>
                <w:sz w:val="18"/>
                <w:szCs w:val="18"/>
                <w:lang w:val="en-US" w:eastAsia="zh-CN"/>
              </w:rPr>
              <w:t>河北</w:t>
            </w:r>
            <w:r>
              <w:rPr>
                <w:rFonts w:hint="eastAsia" w:ascii="宋体" w:hAnsi="宋体"/>
                <w:color w:val="000000"/>
                <w:kern w:val="0"/>
                <w:sz w:val="18"/>
                <w:szCs w:val="18"/>
              </w:rPr>
              <w:t>历史记忆、民族特色和文化传承的建筑或设施，生产经营场所被认定为文物保护单位。（5分）</w:t>
            </w:r>
          </w:p>
        </w:tc>
        <w:tc>
          <w:tcPr>
            <w:tcW w:w="6581" w:type="dxa"/>
            <w:shd w:val="clear" w:color="auto" w:fill="FFFFFF" w:themeFill="background1"/>
            <w:vAlign w:val="center"/>
          </w:tcPr>
          <w:p>
            <w:pPr>
              <w:rPr>
                <w:rFonts w:hint="eastAsia" w:ascii="宋体" w:hAnsi="宋体"/>
                <w:color w:val="000000"/>
                <w:kern w:val="0"/>
                <w:sz w:val="18"/>
                <w:szCs w:val="18"/>
              </w:rPr>
            </w:pPr>
            <w:r>
              <w:rPr>
                <w:rFonts w:hint="eastAsia" w:ascii="宋体" w:hAnsi="宋体"/>
                <w:color w:val="000000"/>
                <w:kern w:val="0"/>
                <w:sz w:val="18"/>
                <w:szCs w:val="18"/>
              </w:rPr>
              <w:t>生产经营场所被列为全国重点文物保护单位（5分）；生产经营场所被列为省级文物保护单位（4分）；生产经营场所被列为市级文物保护单位（3分）；生产经营场所被列为县级文物保护单位（2分）；生产经营场所被列为未核定为文物保护单位的不可移动文物或历史建筑（1分）。同时被列入以上各级的，按列入的最高层级得分，不重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90" w:hRule="atLeast"/>
        </w:trPr>
        <w:tc>
          <w:tcPr>
            <w:tcW w:w="1339" w:type="dxa"/>
            <w:vMerge w:val="continue"/>
            <w:shd w:val="clear" w:color="auto" w:fill="FFFFFF" w:themeFill="background1"/>
            <w:vAlign w:val="center"/>
          </w:tcPr>
          <w:p>
            <w:pPr>
              <w:jc w:val="center"/>
              <w:rPr>
                <w:rFonts w:ascii="宋体" w:hAnsi="宋体"/>
                <w:b w:val="0"/>
                <w:bCs/>
                <w:color w:val="000000"/>
                <w:kern w:val="0"/>
                <w:sz w:val="18"/>
                <w:szCs w:val="18"/>
              </w:rPr>
            </w:pPr>
          </w:p>
        </w:tc>
        <w:tc>
          <w:tcPr>
            <w:tcW w:w="1450" w:type="dxa"/>
            <w:shd w:val="clear" w:color="auto" w:fill="FFFFFF" w:themeFill="background1"/>
            <w:vAlign w:val="center"/>
          </w:tcPr>
          <w:p>
            <w:pPr>
              <w:widowControl/>
              <w:jc w:val="center"/>
              <w:rPr>
                <w:rFonts w:hint="eastAsia" w:ascii="宋体" w:hAnsi="宋体" w:eastAsia="宋体"/>
                <w:b w:val="0"/>
                <w:bCs/>
                <w:color w:val="000000"/>
                <w:kern w:val="0"/>
                <w:sz w:val="18"/>
                <w:szCs w:val="18"/>
                <w:lang w:val="en-US" w:eastAsia="zh-CN"/>
              </w:rPr>
            </w:pPr>
            <w:r>
              <w:rPr>
                <w:rFonts w:hint="eastAsia" w:ascii="宋体" w:hAnsi="宋体"/>
                <w:b w:val="0"/>
                <w:bCs/>
                <w:color w:val="000000"/>
                <w:kern w:val="0"/>
                <w:sz w:val="18"/>
                <w:szCs w:val="18"/>
              </w:rPr>
              <w:t>历史价值</w:t>
            </w:r>
            <w:r>
              <w:rPr>
                <w:rFonts w:hint="eastAsia" w:ascii="宋体" w:hAnsi="宋体"/>
                <w:b w:val="0"/>
                <w:bCs/>
                <w:color w:val="000000"/>
                <w:kern w:val="0"/>
                <w:sz w:val="18"/>
                <w:szCs w:val="18"/>
                <w:lang w:val="en-US" w:eastAsia="zh-CN"/>
              </w:rPr>
              <w:t>突出</w:t>
            </w:r>
          </w:p>
        </w:tc>
        <w:tc>
          <w:tcPr>
            <w:tcW w:w="5387" w:type="dxa"/>
            <w:shd w:val="clear" w:color="auto" w:fill="FFFFFF" w:themeFill="background1"/>
            <w:vAlign w:val="center"/>
          </w:tcPr>
          <w:p>
            <w:pPr>
              <w:rPr>
                <w:rFonts w:hint="eastAsia" w:ascii="宋体" w:hAnsi="宋体"/>
                <w:color w:val="000000"/>
                <w:kern w:val="0"/>
                <w:sz w:val="18"/>
                <w:szCs w:val="18"/>
              </w:rPr>
            </w:pPr>
            <w:r>
              <w:rPr>
                <w:rFonts w:hint="eastAsia"/>
                <w:color w:val="000000" w:themeColor="text1"/>
                <w:kern w:val="0"/>
                <w:sz w:val="18"/>
                <w:szCs w:val="18"/>
                <w14:textFill>
                  <w14:solidFill>
                    <w14:schemeClr w14:val="tx1"/>
                  </w14:solidFill>
                </w14:textFill>
              </w:rPr>
              <w:t>具有</w:t>
            </w:r>
            <w:r>
              <w:rPr>
                <w:rFonts w:hint="eastAsia"/>
                <w:color w:val="000000" w:themeColor="text1"/>
                <w:kern w:val="0"/>
                <w:sz w:val="18"/>
                <w:szCs w:val="18"/>
                <w:lang w:val="en-US" w:eastAsia="zh-CN"/>
                <w14:textFill>
                  <w14:solidFill>
                    <w14:schemeClr w14:val="tx1"/>
                  </w14:solidFill>
                </w14:textFill>
              </w:rPr>
              <w:t>突出的河北历史文化价值，</w:t>
            </w:r>
            <w:r>
              <w:rPr>
                <w:rFonts w:hint="eastAsia"/>
                <w:color w:val="000000" w:themeColor="text1"/>
                <w:kern w:val="0"/>
                <w:sz w:val="18"/>
                <w:szCs w:val="18"/>
                <w14:textFill>
                  <w14:solidFill>
                    <w14:schemeClr w14:val="tx1"/>
                  </w14:solidFill>
                </w14:textFill>
              </w:rPr>
              <w:t>在河北文化中得到</w:t>
            </w:r>
            <w:r>
              <w:rPr>
                <w:rFonts w:hint="eastAsia"/>
                <w:color w:val="000000" w:themeColor="text1"/>
                <w:kern w:val="0"/>
                <w:sz w:val="18"/>
                <w:szCs w:val="18"/>
                <w:lang w:val="en-US" w:eastAsia="zh-CN"/>
                <w14:textFill>
                  <w14:solidFill>
                    <w14:schemeClr w14:val="tx1"/>
                  </w14:solidFill>
                </w14:textFill>
              </w:rPr>
              <w:t>社会</w:t>
            </w:r>
            <w:r>
              <w:rPr>
                <w:rFonts w:hint="eastAsia"/>
                <w:color w:val="000000" w:themeColor="text1"/>
                <w:kern w:val="0"/>
                <w:sz w:val="18"/>
                <w:szCs w:val="18"/>
                <w14:textFill>
                  <w14:solidFill>
                    <w14:schemeClr w14:val="tx1"/>
                  </w14:solidFill>
                </w14:textFill>
              </w:rPr>
              <w:t>认同</w:t>
            </w:r>
            <w:r>
              <w:rPr>
                <w:rFonts w:hint="eastAsia"/>
                <w:color w:val="000000" w:themeColor="text1"/>
                <w:kern w:val="0"/>
                <w:sz w:val="18"/>
                <w:szCs w:val="18"/>
                <w:lang w:val="en-US" w:eastAsia="zh-CN"/>
                <w14:textFill>
                  <w14:solidFill>
                    <w14:schemeClr w14:val="tx1"/>
                  </w14:solidFill>
                </w14:textFill>
              </w:rPr>
              <w:t>并</w:t>
            </w:r>
            <w:r>
              <w:rPr>
                <w:rFonts w:hint="eastAsia"/>
                <w:color w:val="000000" w:themeColor="text1"/>
                <w:kern w:val="0"/>
                <w:sz w:val="18"/>
                <w:szCs w:val="18"/>
                <w14:textFill>
                  <w14:solidFill>
                    <w14:schemeClr w14:val="tx1"/>
                  </w14:solidFill>
                </w14:textFill>
              </w:rPr>
              <w:t>有一席之地</w:t>
            </w:r>
            <w:r>
              <w:rPr>
                <w:rFonts w:hint="eastAsia" w:ascii="宋体" w:hAnsi="宋体"/>
                <w:color w:val="000000"/>
                <w:kern w:val="0"/>
                <w:sz w:val="18"/>
                <w:szCs w:val="18"/>
              </w:rPr>
              <w:t>、</w:t>
            </w:r>
            <w:r>
              <w:rPr>
                <w:rFonts w:hint="eastAsia" w:ascii="宋体" w:hAnsi="宋体"/>
                <w:color w:val="000000"/>
                <w:kern w:val="0"/>
                <w:sz w:val="18"/>
                <w:szCs w:val="18"/>
                <w:lang w:val="en-US" w:eastAsia="zh-CN"/>
              </w:rPr>
              <w:t>有</w:t>
            </w:r>
            <w:r>
              <w:rPr>
                <w:rFonts w:hint="eastAsia" w:ascii="宋体" w:hAnsi="宋体"/>
                <w:color w:val="000000"/>
                <w:kern w:val="0"/>
                <w:sz w:val="18"/>
                <w:szCs w:val="18"/>
              </w:rPr>
              <w:t>较高的建筑艺术价值、体现一定的科学技术价值或其他价值特色的建筑。（3分）</w:t>
            </w:r>
          </w:p>
        </w:tc>
        <w:tc>
          <w:tcPr>
            <w:tcW w:w="6581" w:type="dxa"/>
            <w:shd w:val="clear" w:color="auto" w:fill="FFFFFF" w:themeFill="background1"/>
            <w:vAlign w:val="center"/>
          </w:tcPr>
          <w:p>
            <w:pPr>
              <w:rPr>
                <w:rFonts w:hint="eastAsia" w:ascii="宋体" w:hAnsi="宋体"/>
                <w:color w:val="000000"/>
                <w:kern w:val="0"/>
                <w:sz w:val="18"/>
                <w:szCs w:val="18"/>
              </w:rPr>
            </w:pPr>
            <w:r>
              <w:rPr>
                <w:rFonts w:hint="eastAsia" w:ascii="宋体" w:hAnsi="宋体"/>
                <w:color w:val="000000"/>
                <w:kern w:val="0"/>
                <w:sz w:val="18"/>
                <w:szCs w:val="18"/>
              </w:rPr>
              <w:t>与重要历史事件、历史名人相关联，在城市发展与建设史、行业发展史上具有代表性或历史文化意义（1分）；反映</w:t>
            </w:r>
            <w:r>
              <w:rPr>
                <w:rFonts w:hint="eastAsia" w:ascii="宋体" w:hAnsi="宋体"/>
                <w:color w:val="000000"/>
                <w:kern w:val="0"/>
                <w:sz w:val="18"/>
                <w:szCs w:val="18"/>
                <w:lang w:val="en-US" w:eastAsia="zh-CN"/>
              </w:rPr>
              <w:t>河北省</w:t>
            </w:r>
            <w:r>
              <w:rPr>
                <w:rFonts w:hint="eastAsia" w:ascii="宋体" w:hAnsi="宋体"/>
                <w:color w:val="000000"/>
                <w:kern w:val="0"/>
                <w:sz w:val="18"/>
                <w:szCs w:val="18"/>
              </w:rPr>
              <w:t>一定时期的建筑设计风格，建筑样式与细部等具有一定的艺术特色和价值，反映所在地域或民族的建筑艺术特点（1分）；在城市或乡村一定地域内具有标志性或象征性，具有群体心理认同感（1分）。每符合一项得1分，最多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85" w:hRule="atLeast"/>
        </w:trPr>
        <w:tc>
          <w:tcPr>
            <w:tcW w:w="1339" w:type="dxa"/>
            <w:vMerge w:val="restart"/>
            <w:shd w:val="clear" w:color="auto" w:fill="FFFFFF" w:themeFill="background1"/>
            <w:vAlign w:val="center"/>
          </w:tcPr>
          <w:p>
            <w:pPr>
              <w:jc w:val="center"/>
              <w:rPr>
                <w:rFonts w:ascii="宋体" w:hAnsi="宋体"/>
                <w:b w:val="0"/>
                <w:bCs/>
                <w:color w:val="000000"/>
                <w:kern w:val="0"/>
                <w:sz w:val="18"/>
                <w:szCs w:val="18"/>
              </w:rPr>
            </w:pPr>
            <w:r>
              <w:rPr>
                <w:rFonts w:hint="eastAsia" w:ascii="宋体" w:hAnsi="宋体"/>
                <w:b w:val="0"/>
                <w:bCs/>
                <w:color w:val="000000"/>
                <w:kern w:val="0"/>
                <w:sz w:val="18"/>
                <w:szCs w:val="18"/>
                <w:lang w:eastAsia="zh-CN"/>
              </w:rPr>
              <w:t>文化传承有力</w:t>
            </w:r>
            <w:r>
              <w:rPr>
                <w:rFonts w:hint="eastAsia" w:ascii="宋体" w:hAnsi="宋体"/>
                <w:b w:val="0"/>
                <w:bCs/>
                <w:color w:val="000000"/>
                <w:kern w:val="0"/>
                <w:sz w:val="18"/>
                <w:szCs w:val="18"/>
              </w:rPr>
              <w:t>（15分）</w:t>
            </w:r>
          </w:p>
        </w:tc>
        <w:tc>
          <w:tcPr>
            <w:tcW w:w="1450" w:type="dxa"/>
            <w:shd w:val="clear" w:color="auto" w:fill="FFFFFF" w:themeFill="background1"/>
            <w:vAlign w:val="center"/>
          </w:tcPr>
          <w:p>
            <w:pPr>
              <w:widowControl/>
              <w:jc w:val="center"/>
              <w:rPr>
                <w:rFonts w:hint="eastAsia" w:ascii="宋体" w:hAnsi="宋体" w:eastAsia="宋体"/>
                <w:b w:val="0"/>
                <w:bCs/>
                <w:color w:val="000000"/>
                <w:kern w:val="0"/>
                <w:sz w:val="18"/>
                <w:szCs w:val="18"/>
                <w:lang w:val="en" w:eastAsia="zh-CN"/>
              </w:rPr>
            </w:pPr>
            <w:r>
              <w:rPr>
                <w:rFonts w:hint="eastAsia" w:ascii="宋体" w:hAnsi="宋体"/>
                <w:b w:val="0"/>
                <w:bCs/>
                <w:color w:val="000000"/>
                <w:kern w:val="0"/>
                <w:sz w:val="18"/>
                <w:szCs w:val="18"/>
                <w:lang w:val="en-US" w:eastAsia="zh-CN"/>
              </w:rPr>
              <w:t>技艺传承有序</w:t>
            </w:r>
          </w:p>
        </w:tc>
        <w:tc>
          <w:tcPr>
            <w:tcW w:w="5387" w:type="dxa"/>
            <w:shd w:val="clear" w:color="auto" w:fill="FFFFFF" w:themeFill="background1"/>
            <w:vAlign w:val="center"/>
          </w:tcPr>
          <w:p>
            <w:pPr>
              <w:widowControl/>
              <w:jc w:val="left"/>
              <w:rPr>
                <w:rFonts w:ascii="宋体" w:hAnsi="宋体"/>
                <w:color w:val="000000"/>
                <w:kern w:val="0"/>
                <w:sz w:val="18"/>
                <w:szCs w:val="18"/>
              </w:rPr>
            </w:pPr>
            <w:r>
              <w:rPr>
                <w:rFonts w:hint="eastAsia" w:ascii="宋体" w:hAnsi="宋体"/>
                <w:color w:val="000000"/>
                <w:kern w:val="0"/>
                <w:sz w:val="18"/>
                <w:szCs w:val="18"/>
              </w:rPr>
              <w:t>相关文化或技艺等被列入非物质文化遗产名录情况。（5分）</w:t>
            </w:r>
          </w:p>
        </w:tc>
        <w:tc>
          <w:tcPr>
            <w:tcW w:w="6581" w:type="dxa"/>
            <w:shd w:val="clear" w:color="auto" w:fill="FFFFFF" w:themeFill="background1"/>
            <w:vAlign w:val="center"/>
          </w:tcPr>
          <w:p>
            <w:pPr>
              <w:widowControl/>
              <w:jc w:val="left"/>
              <w:rPr>
                <w:rFonts w:ascii="宋体" w:hAnsi="宋体"/>
                <w:color w:val="000000"/>
                <w:kern w:val="0"/>
                <w:sz w:val="18"/>
                <w:szCs w:val="18"/>
              </w:rPr>
            </w:pPr>
            <w:r>
              <w:rPr>
                <w:rFonts w:hint="eastAsia" w:ascii="宋体" w:hAnsi="宋体"/>
                <w:color w:val="000000"/>
                <w:kern w:val="0"/>
                <w:sz w:val="18"/>
                <w:szCs w:val="18"/>
              </w:rPr>
              <w:t>相关文化或技艺等被列入国家级非物质文化遗产代表性项目名录、联合国教科文组织非物质文化遗产名录（名册）（5分）；相关文化或技艺等被列入省级非物质文化遗产代表性项目名录（3分）；相关文化或技艺等被列入市县级非物质文化遗产代表性项目名录（1分）。同时被列入以上各级名录的，按列入的最高层级得分，不重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257" w:hRule="atLeast"/>
        </w:trPr>
        <w:tc>
          <w:tcPr>
            <w:tcW w:w="1339" w:type="dxa"/>
            <w:vMerge w:val="continue"/>
            <w:shd w:val="clear" w:color="auto" w:fill="FFFFFF" w:themeFill="background1"/>
            <w:vAlign w:val="center"/>
          </w:tcPr>
          <w:p>
            <w:pPr>
              <w:widowControl/>
              <w:jc w:val="center"/>
              <w:rPr>
                <w:rFonts w:ascii="宋体" w:hAnsi="宋体"/>
                <w:b/>
                <w:color w:val="000000"/>
                <w:kern w:val="0"/>
                <w:sz w:val="18"/>
                <w:szCs w:val="18"/>
              </w:rPr>
            </w:pPr>
          </w:p>
        </w:tc>
        <w:tc>
          <w:tcPr>
            <w:tcW w:w="1450" w:type="dxa"/>
            <w:shd w:val="clear" w:color="auto" w:fill="FFFFFF" w:themeFill="background1"/>
            <w:vAlign w:val="center"/>
          </w:tcPr>
          <w:p>
            <w:pPr>
              <w:widowControl/>
              <w:jc w:val="center"/>
              <w:rPr>
                <w:rFonts w:hint="eastAsia" w:ascii="宋体" w:hAnsi="宋体"/>
                <w:b w:val="0"/>
                <w:bCs/>
                <w:color w:val="000000"/>
                <w:kern w:val="0"/>
                <w:sz w:val="18"/>
                <w:szCs w:val="18"/>
              </w:rPr>
            </w:pPr>
            <w:r>
              <w:rPr>
                <w:rFonts w:hint="eastAsia" w:ascii="宋体" w:hAnsi="宋体"/>
                <w:b w:val="0"/>
                <w:bCs/>
                <w:color w:val="000000"/>
                <w:kern w:val="0"/>
                <w:sz w:val="18"/>
                <w:szCs w:val="18"/>
              </w:rPr>
              <w:t>可移动文物</w:t>
            </w:r>
          </w:p>
          <w:p>
            <w:pPr>
              <w:widowControl/>
              <w:jc w:val="center"/>
              <w:rPr>
                <w:rFonts w:hint="eastAsia" w:ascii="宋体" w:hAnsi="宋体" w:eastAsia="宋体" w:cs="黑体"/>
                <w:b w:val="0"/>
                <w:bCs/>
                <w:color w:val="000000"/>
                <w:kern w:val="0"/>
                <w:sz w:val="18"/>
                <w:szCs w:val="18"/>
                <w:lang w:val="en" w:eastAsia="zh-CN"/>
              </w:rPr>
            </w:pPr>
            <w:r>
              <w:rPr>
                <w:rFonts w:hint="eastAsia" w:ascii="宋体" w:hAnsi="宋体"/>
                <w:b w:val="0"/>
                <w:bCs/>
                <w:color w:val="000000"/>
                <w:kern w:val="0"/>
                <w:sz w:val="18"/>
                <w:szCs w:val="18"/>
                <w:lang w:eastAsia="zh-CN"/>
              </w:rPr>
              <w:t>保护得当</w:t>
            </w:r>
          </w:p>
        </w:tc>
        <w:tc>
          <w:tcPr>
            <w:tcW w:w="5387" w:type="dxa"/>
            <w:shd w:val="clear" w:color="auto" w:fill="FFFFFF" w:themeFill="background1"/>
            <w:vAlign w:val="center"/>
          </w:tcPr>
          <w:p>
            <w:pPr>
              <w:rPr>
                <w:rFonts w:ascii="宋体" w:hAnsi="宋体" w:cs="黑体"/>
                <w:color w:val="000000"/>
                <w:kern w:val="0"/>
                <w:sz w:val="18"/>
                <w:szCs w:val="18"/>
              </w:rPr>
            </w:pPr>
            <w:r>
              <w:rPr>
                <w:rFonts w:hint="eastAsia" w:ascii="宋体" w:hAnsi="宋体"/>
                <w:color w:val="000000"/>
                <w:kern w:val="0"/>
                <w:sz w:val="18"/>
                <w:szCs w:val="18"/>
              </w:rPr>
              <w:t>具有一定历史价值的重要实物、艺术品、文献、手稿、图书资料、代表性实物等珍贵文物或一般文物。（4分）</w:t>
            </w:r>
          </w:p>
        </w:tc>
        <w:tc>
          <w:tcPr>
            <w:tcW w:w="6581" w:type="dxa"/>
            <w:shd w:val="clear" w:color="auto" w:fill="FFFFFF" w:themeFill="background1"/>
            <w:vAlign w:val="center"/>
          </w:tcPr>
          <w:p>
            <w:pPr>
              <w:rPr>
                <w:rFonts w:ascii="宋体" w:hAnsi="宋体" w:cs="黑体"/>
                <w:color w:val="000000"/>
                <w:kern w:val="0"/>
                <w:sz w:val="18"/>
                <w:szCs w:val="18"/>
              </w:rPr>
            </w:pPr>
            <w:r>
              <w:rPr>
                <w:rFonts w:hint="eastAsia" w:ascii="宋体" w:hAnsi="宋体"/>
                <w:color w:val="000000"/>
                <w:kern w:val="0"/>
                <w:sz w:val="18"/>
                <w:szCs w:val="18"/>
              </w:rPr>
              <w:t>具有一定历史价值的重要实物、艺术品、文献、手稿、图书资料、代表性实物等珍贵文物（3分）；具有一定历史价值的重要实物、艺术品、文献、手稿、图书资料、代表性实物等一般文物（1分）。每符合一项得1分，最多得</w:t>
            </w:r>
            <w:r>
              <w:rPr>
                <w:rFonts w:ascii="宋体" w:hAnsi="宋体"/>
                <w:color w:val="000000"/>
                <w:kern w:val="0"/>
                <w:sz w:val="18"/>
                <w:szCs w:val="18"/>
              </w:rPr>
              <w:t>4</w:t>
            </w:r>
            <w:r>
              <w:rPr>
                <w:rFonts w:hint="eastAsia" w:ascii="宋体" w:hAnsi="宋体"/>
                <w:color w:val="000000"/>
                <w:kern w:val="0"/>
                <w:sz w:val="18"/>
                <w:szCs w:val="1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781" w:hRule="atLeast"/>
        </w:trPr>
        <w:tc>
          <w:tcPr>
            <w:tcW w:w="1339" w:type="dxa"/>
            <w:vMerge w:val="continue"/>
            <w:shd w:val="clear" w:color="auto" w:fill="FFFFFF" w:themeFill="background1"/>
            <w:vAlign w:val="center"/>
          </w:tcPr>
          <w:p>
            <w:pPr>
              <w:widowControl/>
              <w:jc w:val="center"/>
              <w:rPr>
                <w:rFonts w:ascii="宋体" w:hAnsi="宋体"/>
                <w:b/>
                <w:color w:val="000000"/>
                <w:kern w:val="0"/>
                <w:sz w:val="18"/>
                <w:szCs w:val="18"/>
              </w:rPr>
            </w:pPr>
          </w:p>
        </w:tc>
        <w:tc>
          <w:tcPr>
            <w:tcW w:w="1450" w:type="dxa"/>
            <w:shd w:val="clear" w:color="auto" w:fill="FFFFFF" w:themeFill="background1"/>
            <w:vAlign w:val="center"/>
          </w:tcPr>
          <w:p>
            <w:pPr>
              <w:widowControl/>
              <w:jc w:val="center"/>
              <w:rPr>
                <w:rFonts w:hint="eastAsia" w:ascii="宋体" w:hAnsi="宋体" w:eastAsia="宋体"/>
                <w:b w:val="0"/>
                <w:bCs/>
                <w:color w:val="000000"/>
                <w:kern w:val="0"/>
                <w:sz w:val="18"/>
                <w:szCs w:val="18"/>
                <w:lang w:val="en-US" w:eastAsia="zh-Hans"/>
              </w:rPr>
            </w:pPr>
            <w:r>
              <w:rPr>
                <w:rFonts w:hint="eastAsia" w:ascii="宋体" w:hAnsi="宋体"/>
                <w:b w:val="0"/>
                <w:bCs/>
                <w:color w:val="000000"/>
                <w:kern w:val="0"/>
                <w:sz w:val="18"/>
                <w:szCs w:val="18"/>
                <w:lang w:eastAsia="zh-CN"/>
              </w:rPr>
              <w:t>传承</w:t>
            </w:r>
            <w:r>
              <w:rPr>
                <w:rFonts w:hint="eastAsia" w:ascii="宋体" w:hAnsi="宋体"/>
                <w:b w:val="0"/>
                <w:bCs/>
                <w:color w:val="000000"/>
                <w:kern w:val="0"/>
                <w:sz w:val="18"/>
                <w:szCs w:val="18"/>
              </w:rPr>
              <w:t>载体</w:t>
            </w:r>
            <w:r>
              <w:rPr>
                <w:rFonts w:hint="eastAsia" w:ascii="宋体" w:hAnsi="宋体"/>
                <w:b w:val="0"/>
                <w:bCs/>
                <w:color w:val="000000"/>
                <w:kern w:val="0"/>
                <w:sz w:val="18"/>
                <w:szCs w:val="18"/>
                <w:lang w:val="en-US" w:eastAsia="zh-Hans"/>
              </w:rPr>
              <w:t>丰富</w:t>
            </w:r>
          </w:p>
        </w:tc>
        <w:tc>
          <w:tcPr>
            <w:tcW w:w="5387" w:type="dxa"/>
            <w:shd w:val="clear" w:color="auto" w:fill="FFFFFF" w:themeFill="background1"/>
            <w:vAlign w:val="center"/>
          </w:tcPr>
          <w:p>
            <w:pPr>
              <w:widowControl/>
              <w:jc w:val="left"/>
              <w:rPr>
                <w:rFonts w:ascii="黑体" w:hAnsi="黑体" w:eastAsia="黑体"/>
                <w:color w:val="000000"/>
                <w:kern w:val="0"/>
                <w:szCs w:val="21"/>
              </w:rPr>
            </w:pPr>
            <w:r>
              <w:rPr>
                <w:rFonts w:hint="eastAsia" w:ascii="宋体" w:hAnsi="宋体"/>
                <w:color w:val="000000"/>
                <w:kern w:val="0"/>
                <w:sz w:val="18"/>
                <w:szCs w:val="18"/>
              </w:rPr>
              <w:t>建有体现品牌文化价值的博物馆、文化馆等。（4分）</w:t>
            </w:r>
          </w:p>
        </w:tc>
        <w:tc>
          <w:tcPr>
            <w:tcW w:w="6581" w:type="dxa"/>
            <w:shd w:val="clear" w:color="auto" w:fill="FFFFFF" w:themeFill="background1"/>
            <w:vAlign w:val="center"/>
          </w:tcPr>
          <w:p>
            <w:pPr>
              <w:widowControl/>
              <w:jc w:val="left"/>
              <w:rPr>
                <w:rFonts w:ascii="黑体" w:hAnsi="黑体" w:eastAsia="黑体"/>
                <w:color w:val="000000"/>
                <w:kern w:val="0"/>
                <w:szCs w:val="21"/>
              </w:rPr>
            </w:pPr>
            <w:r>
              <w:rPr>
                <w:rFonts w:hint="eastAsia" w:ascii="宋体" w:hAnsi="宋体"/>
                <w:color w:val="000000"/>
                <w:kern w:val="0"/>
                <w:sz w:val="18"/>
                <w:szCs w:val="18"/>
              </w:rPr>
              <w:t>相关部门认定的一级博物馆或一级文化馆（4分）；相关部门认定的二</w:t>
            </w:r>
            <w:r>
              <w:rPr>
                <w:rFonts w:hint="eastAsia" w:ascii="宋体" w:hAnsi="宋体"/>
                <w:color w:val="000000"/>
                <w:kern w:val="0"/>
                <w:sz w:val="18"/>
                <w:szCs w:val="18"/>
                <w:lang w:eastAsia="zh-CN"/>
              </w:rPr>
              <w:t>、三</w:t>
            </w:r>
            <w:r>
              <w:rPr>
                <w:rFonts w:hint="eastAsia" w:ascii="宋体" w:hAnsi="宋体"/>
                <w:color w:val="000000"/>
                <w:kern w:val="0"/>
                <w:sz w:val="18"/>
                <w:szCs w:val="18"/>
              </w:rPr>
              <w:t>级博物馆或二</w:t>
            </w:r>
            <w:r>
              <w:rPr>
                <w:rFonts w:hint="eastAsia" w:ascii="宋体" w:hAnsi="宋体"/>
                <w:color w:val="000000"/>
                <w:kern w:val="0"/>
                <w:sz w:val="18"/>
                <w:szCs w:val="18"/>
                <w:lang w:eastAsia="zh-CN"/>
              </w:rPr>
              <w:t>、三</w:t>
            </w:r>
            <w:r>
              <w:rPr>
                <w:rFonts w:hint="eastAsia" w:ascii="宋体" w:hAnsi="宋体"/>
                <w:color w:val="000000"/>
                <w:kern w:val="0"/>
                <w:sz w:val="18"/>
                <w:szCs w:val="18"/>
              </w:rPr>
              <w:t>级文化馆（3分）；建有专门的已经文物部门备案但未评定等级的博物馆或文化馆（2分）；建有专门的但未经</w:t>
            </w:r>
            <w:r>
              <w:rPr>
                <w:rFonts w:hint="eastAsia" w:ascii="宋体" w:hAnsi="宋体"/>
                <w:color w:val="000000"/>
                <w:kern w:val="0"/>
                <w:sz w:val="18"/>
                <w:szCs w:val="18"/>
                <w:lang w:eastAsia="zh-CN"/>
              </w:rPr>
              <w:t>文物</w:t>
            </w:r>
            <w:r>
              <w:rPr>
                <w:rFonts w:hint="eastAsia" w:ascii="宋体" w:hAnsi="宋体"/>
                <w:color w:val="000000"/>
                <w:kern w:val="0"/>
                <w:sz w:val="18"/>
                <w:szCs w:val="18"/>
              </w:rPr>
              <w:t>部门</w:t>
            </w:r>
            <w:r>
              <w:rPr>
                <w:rFonts w:hint="eastAsia" w:ascii="宋体" w:hAnsi="宋体"/>
                <w:color w:val="000000"/>
                <w:kern w:val="0"/>
                <w:sz w:val="18"/>
                <w:szCs w:val="18"/>
                <w:lang w:eastAsia="zh-CN"/>
              </w:rPr>
              <w:t>备案</w:t>
            </w:r>
            <w:r>
              <w:rPr>
                <w:rFonts w:hint="eastAsia" w:ascii="宋体" w:hAnsi="宋体"/>
                <w:color w:val="000000"/>
                <w:kern w:val="0"/>
                <w:sz w:val="18"/>
                <w:szCs w:val="18"/>
              </w:rPr>
              <w:t>的博物馆或文化馆（1分）。同时获得不同层级部门或机构颁发的荣誉的，按所获最高层部门或机构颁发的荣誉得分，不重复得分。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100" w:hRule="atLeast"/>
        </w:trPr>
        <w:tc>
          <w:tcPr>
            <w:tcW w:w="1339" w:type="dxa"/>
            <w:vMerge w:val="continue"/>
            <w:shd w:val="clear" w:color="auto" w:fill="FFFFFF" w:themeFill="background1"/>
            <w:vAlign w:val="center"/>
          </w:tcPr>
          <w:p>
            <w:pPr>
              <w:widowControl/>
              <w:jc w:val="center"/>
              <w:rPr>
                <w:rFonts w:ascii="宋体" w:hAnsi="宋体"/>
                <w:b/>
                <w:color w:val="000000"/>
                <w:kern w:val="0"/>
                <w:sz w:val="18"/>
                <w:szCs w:val="18"/>
              </w:rPr>
            </w:pPr>
          </w:p>
        </w:tc>
        <w:tc>
          <w:tcPr>
            <w:tcW w:w="1450" w:type="dxa"/>
            <w:shd w:val="clear" w:color="auto" w:fill="FFFFFF" w:themeFill="background1"/>
            <w:vAlign w:val="center"/>
          </w:tcPr>
          <w:p>
            <w:pPr>
              <w:widowControl/>
              <w:jc w:val="center"/>
              <w:rPr>
                <w:rFonts w:hint="eastAsia" w:ascii="宋体" w:hAnsi="宋体" w:eastAsia="宋体"/>
                <w:b w:val="0"/>
                <w:bCs/>
                <w:color w:val="000000"/>
                <w:kern w:val="0"/>
                <w:sz w:val="18"/>
                <w:szCs w:val="18"/>
                <w:lang w:val="en-US" w:eastAsia="zh-Hans"/>
              </w:rPr>
            </w:pPr>
            <w:r>
              <w:rPr>
                <w:rFonts w:hint="eastAsia" w:ascii="宋体" w:hAnsi="宋体"/>
                <w:b w:val="0"/>
                <w:bCs/>
                <w:color w:val="000000"/>
                <w:kern w:val="0"/>
                <w:sz w:val="18"/>
                <w:szCs w:val="18"/>
              </w:rPr>
              <w:t>理念</w:t>
            </w:r>
            <w:r>
              <w:rPr>
                <w:rFonts w:hint="eastAsia" w:ascii="宋体" w:hAnsi="宋体"/>
                <w:b w:val="0"/>
                <w:bCs/>
                <w:color w:val="000000"/>
                <w:kern w:val="0"/>
                <w:sz w:val="18"/>
                <w:szCs w:val="18"/>
                <w:lang w:eastAsia="zh-CN"/>
              </w:rPr>
              <w:t>影响</w:t>
            </w:r>
            <w:r>
              <w:rPr>
                <w:rFonts w:hint="eastAsia" w:ascii="宋体" w:hAnsi="宋体"/>
                <w:b w:val="0"/>
                <w:bCs/>
                <w:color w:val="000000"/>
                <w:kern w:val="0"/>
                <w:sz w:val="18"/>
                <w:szCs w:val="18"/>
                <w:lang w:val="en-US" w:eastAsia="zh-Hans"/>
              </w:rPr>
              <w:t>深远</w:t>
            </w:r>
          </w:p>
        </w:tc>
        <w:tc>
          <w:tcPr>
            <w:tcW w:w="5387" w:type="dxa"/>
            <w:shd w:val="clear" w:color="auto" w:fill="FFFFFF" w:themeFill="background1"/>
            <w:vAlign w:val="center"/>
          </w:tcPr>
          <w:p>
            <w:pPr>
              <w:rPr>
                <w:rFonts w:ascii="黑体" w:hAnsi="黑体" w:eastAsia="黑体"/>
                <w:color w:val="000000"/>
                <w:kern w:val="0"/>
                <w:szCs w:val="21"/>
              </w:rPr>
            </w:pPr>
            <w:r>
              <w:rPr>
                <w:rFonts w:hint="eastAsia" w:ascii="宋体" w:hAnsi="宋体"/>
                <w:color w:val="000000"/>
                <w:kern w:val="0"/>
                <w:sz w:val="18"/>
                <w:szCs w:val="18"/>
              </w:rPr>
              <w:t>具有历代传承的店训、堂训、师训、店规等文化资源，并组织典礼仪式等活动。（2分）</w:t>
            </w:r>
          </w:p>
        </w:tc>
        <w:tc>
          <w:tcPr>
            <w:tcW w:w="6581" w:type="dxa"/>
            <w:shd w:val="clear" w:color="auto" w:fill="FFFFFF" w:themeFill="background1"/>
            <w:vAlign w:val="center"/>
          </w:tcPr>
          <w:p>
            <w:pPr>
              <w:rPr>
                <w:rFonts w:ascii="黑体" w:hAnsi="黑体" w:eastAsia="黑体"/>
                <w:color w:val="000000"/>
                <w:kern w:val="0"/>
                <w:szCs w:val="21"/>
              </w:rPr>
            </w:pPr>
            <w:r>
              <w:rPr>
                <w:rFonts w:hint="eastAsia" w:ascii="宋体" w:hAnsi="宋体"/>
                <w:color w:val="000000"/>
                <w:kern w:val="0"/>
                <w:sz w:val="18"/>
                <w:szCs w:val="18"/>
              </w:rPr>
              <w:t>有历代传承且在社会上有一定影响力的典礼仪式等文化活动（1分）；有历代传承的店训、堂训、师训、店规等品牌文化（1分）。每符合一项得</w:t>
            </w:r>
            <w:r>
              <w:rPr>
                <w:rFonts w:ascii="宋体" w:hAnsi="宋体"/>
                <w:color w:val="000000"/>
                <w:kern w:val="0"/>
                <w:sz w:val="18"/>
                <w:szCs w:val="18"/>
              </w:rPr>
              <w:t>1</w:t>
            </w:r>
            <w:r>
              <w:rPr>
                <w:rFonts w:hint="eastAsia" w:ascii="宋体" w:hAnsi="宋体"/>
                <w:color w:val="000000"/>
                <w:kern w:val="0"/>
                <w:sz w:val="18"/>
                <w:szCs w:val="18"/>
              </w:rPr>
              <w:t>分，最多得</w:t>
            </w:r>
            <w:r>
              <w:rPr>
                <w:rFonts w:ascii="宋体" w:hAnsi="宋体"/>
                <w:color w:val="000000"/>
                <w:kern w:val="0"/>
                <w:sz w:val="18"/>
                <w:szCs w:val="18"/>
              </w:rPr>
              <w:t>2</w:t>
            </w:r>
            <w:r>
              <w:rPr>
                <w:rFonts w:hint="eastAsia" w:ascii="宋体" w:hAnsi="宋体"/>
                <w:color w:val="000000"/>
                <w:kern w:val="0"/>
                <w:sz w:val="18"/>
                <w:szCs w:val="1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541" w:hRule="atLeast"/>
        </w:trPr>
        <w:tc>
          <w:tcPr>
            <w:tcW w:w="1339" w:type="dxa"/>
            <w:vMerge w:val="restart"/>
            <w:shd w:val="clear" w:color="auto" w:fill="FFFFFF" w:themeFill="background1"/>
            <w:vAlign w:val="center"/>
          </w:tcPr>
          <w:p>
            <w:pPr>
              <w:widowControl/>
              <w:jc w:val="center"/>
              <w:rPr>
                <w:rFonts w:ascii="宋体" w:hAnsi="宋体"/>
                <w:b w:val="0"/>
                <w:bCs/>
                <w:color w:val="000000"/>
                <w:kern w:val="0"/>
                <w:sz w:val="18"/>
                <w:szCs w:val="18"/>
              </w:rPr>
            </w:pPr>
            <w:r>
              <w:rPr>
                <w:rFonts w:hint="eastAsia" w:ascii="宋体" w:hAnsi="宋体"/>
                <w:b w:val="0"/>
                <w:bCs/>
                <w:color w:val="000000"/>
                <w:kern w:val="0"/>
                <w:sz w:val="18"/>
                <w:szCs w:val="18"/>
              </w:rPr>
              <w:t>品牌</w:t>
            </w:r>
            <w:r>
              <w:rPr>
                <w:rFonts w:hint="eastAsia" w:ascii="宋体" w:hAnsi="宋体"/>
                <w:b w:val="0"/>
                <w:bCs/>
                <w:color w:val="000000"/>
                <w:kern w:val="0"/>
                <w:sz w:val="18"/>
                <w:szCs w:val="18"/>
                <w:lang w:eastAsia="zh-CN"/>
              </w:rPr>
              <w:t>建设规范</w:t>
            </w:r>
          </w:p>
          <w:p>
            <w:pPr>
              <w:jc w:val="center"/>
              <w:rPr>
                <w:rFonts w:ascii="宋体" w:hAnsi="宋体"/>
                <w:b w:val="0"/>
                <w:bCs/>
                <w:color w:val="000000"/>
                <w:kern w:val="0"/>
                <w:sz w:val="18"/>
                <w:szCs w:val="18"/>
              </w:rPr>
            </w:pPr>
            <w:r>
              <w:rPr>
                <w:rFonts w:hint="eastAsia" w:ascii="宋体" w:hAnsi="宋体"/>
                <w:b w:val="0"/>
                <w:bCs/>
                <w:color w:val="000000"/>
                <w:kern w:val="0"/>
                <w:sz w:val="18"/>
                <w:szCs w:val="18"/>
              </w:rPr>
              <w:t>（12分）</w:t>
            </w:r>
          </w:p>
        </w:tc>
        <w:tc>
          <w:tcPr>
            <w:tcW w:w="1450" w:type="dxa"/>
            <w:shd w:val="clear" w:color="auto" w:fill="FFFFFF" w:themeFill="background1"/>
            <w:vAlign w:val="center"/>
          </w:tcPr>
          <w:p>
            <w:pPr>
              <w:widowControl/>
              <w:jc w:val="center"/>
              <w:rPr>
                <w:rFonts w:hint="eastAsia" w:ascii="宋体" w:hAnsi="宋体" w:eastAsia="宋体"/>
                <w:b w:val="0"/>
                <w:bCs/>
                <w:color w:val="000000"/>
                <w:kern w:val="0"/>
                <w:sz w:val="18"/>
                <w:szCs w:val="18"/>
                <w:lang w:eastAsia="zh-CN"/>
              </w:rPr>
            </w:pPr>
            <w:r>
              <w:rPr>
                <w:rFonts w:hint="eastAsia" w:ascii="宋体" w:hAnsi="宋体"/>
                <w:b w:val="0"/>
                <w:bCs/>
                <w:color w:val="000000"/>
                <w:kern w:val="0"/>
                <w:sz w:val="18"/>
                <w:szCs w:val="18"/>
                <w:lang w:val="en-US" w:eastAsia="zh-Hans"/>
              </w:rPr>
              <w:t>品牌</w:t>
            </w:r>
            <w:r>
              <w:rPr>
                <w:rFonts w:hint="eastAsia" w:ascii="宋体" w:hAnsi="宋体"/>
                <w:b w:val="0"/>
                <w:bCs/>
                <w:color w:val="000000"/>
                <w:kern w:val="0"/>
                <w:sz w:val="18"/>
                <w:szCs w:val="18"/>
              </w:rPr>
              <w:t>权属</w:t>
            </w:r>
            <w:r>
              <w:rPr>
                <w:rFonts w:hint="eastAsia" w:ascii="宋体" w:hAnsi="宋体"/>
                <w:b w:val="0"/>
                <w:bCs/>
                <w:color w:val="000000"/>
                <w:kern w:val="0"/>
                <w:sz w:val="18"/>
                <w:szCs w:val="18"/>
                <w:lang w:eastAsia="zh-CN"/>
              </w:rPr>
              <w:t>清晰</w:t>
            </w:r>
          </w:p>
        </w:tc>
        <w:tc>
          <w:tcPr>
            <w:tcW w:w="5387" w:type="dxa"/>
            <w:shd w:val="clear" w:color="auto" w:fill="FFFFFF" w:themeFill="background1"/>
            <w:vAlign w:val="center"/>
          </w:tcPr>
          <w:p>
            <w:pPr>
              <w:rPr>
                <w:rFonts w:ascii="宋体" w:hAnsi="宋体"/>
                <w:color w:val="000000"/>
                <w:sz w:val="18"/>
                <w:szCs w:val="18"/>
              </w:rPr>
            </w:pPr>
            <w:r>
              <w:rPr>
                <w:rFonts w:hint="eastAsia" w:ascii="宋体" w:hAnsi="宋体"/>
                <w:color w:val="000000"/>
                <w:sz w:val="18"/>
                <w:szCs w:val="18"/>
              </w:rPr>
              <w:t>依法拥有与</w:t>
            </w:r>
            <w:r>
              <w:rPr>
                <w:rFonts w:hint="eastAsia" w:ascii="宋体" w:hAnsi="宋体"/>
                <w:color w:val="000000"/>
                <w:sz w:val="18"/>
                <w:szCs w:val="18"/>
                <w:lang w:val="en-US" w:eastAsia="zh-CN"/>
              </w:rPr>
              <w:t>河北</w:t>
            </w:r>
            <w:r>
              <w:rPr>
                <w:rFonts w:hint="eastAsia" w:ascii="宋体" w:hAnsi="宋体"/>
                <w:color w:val="000000"/>
                <w:sz w:val="18"/>
                <w:szCs w:val="18"/>
              </w:rPr>
              <w:t>老字号品牌相一致的企业字号或注册商标的所有权或使用权。</w:t>
            </w:r>
            <w:r>
              <w:rPr>
                <w:rFonts w:hint="eastAsia" w:ascii="宋体" w:hAnsi="宋体"/>
                <w:color w:val="000000"/>
                <w:kern w:val="0"/>
                <w:sz w:val="18"/>
                <w:szCs w:val="18"/>
              </w:rPr>
              <w:t>（6分）</w:t>
            </w:r>
          </w:p>
        </w:tc>
        <w:tc>
          <w:tcPr>
            <w:tcW w:w="6581" w:type="dxa"/>
            <w:shd w:val="clear" w:color="auto" w:fill="FFFFFF" w:themeFill="background1"/>
            <w:vAlign w:val="center"/>
          </w:tcPr>
          <w:p>
            <w:pPr>
              <w:rPr>
                <w:rFonts w:ascii="宋体" w:hAnsi="宋体"/>
                <w:color w:val="000000"/>
                <w:sz w:val="18"/>
                <w:szCs w:val="18"/>
              </w:rPr>
            </w:pPr>
            <w:r>
              <w:rPr>
                <w:rFonts w:hint="eastAsia" w:ascii="宋体" w:hAnsi="宋体"/>
                <w:color w:val="000000"/>
                <w:kern w:val="0"/>
                <w:sz w:val="18"/>
                <w:szCs w:val="18"/>
              </w:rPr>
              <w:t>企业字号与品牌相一致（2分）；拥有与品牌相一致的注册商标使用权（3分）；拥有与品牌相一致的注册商标所有权（4分）；企业字号、注册商标与品牌均相一致，且拥有注册商标使用权（5分）；企业字号、注册商标与品牌均相一致，且拥有注册商标所有权（6分）。不重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832" w:hRule="atLeast"/>
        </w:trPr>
        <w:tc>
          <w:tcPr>
            <w:tcW w:w="1339" w:type="dxa"/>
            <w:vMerge w:val="continue"/>
            <w:shd w:val="clear" w:color="auto" w:fill="FFFFFF" w:themeFill="background1"/>
            <w:vAlign w:val="center"/>
          </w:tcPr>
          <w:p>
            <w:pPr>
              <w:widowControl/>
              <w:jc w:val="center"/>
              <w:rPr>
                <w:rFonts w:ascii="宋体" w:hAnsi="宋体"/>
                <w:b w:val="0"/>
                <w:bCs/>
                <w:color w:val="000000"/>
                <w:kern w:val="0"/>
                <w:sz w:val="18"/>
                <w:szCs w:val="18"/>
              </w:rPr>
            </w:pPr>
          </w:p>
        </w:tc>
        <w:tc>
          <w:tcPr>
            <w:tcW w:w="1450" w:type="dxa"/>
            <w:shd w:val="clear" w:color="auto" w:fill="FFFFFF" w:themeFill="background1"/>
            <w:vAlign w:val="center"/>
          </w:tcPr>
          <w:p>
            <w:pPr>
              <w:widowControl/>
              <w:jc w:val="center"/>
              <w:rPr>
                <w:rFonts w:hint="eastAsia" w:ascii="宋体" w:hAnsi="宋体" w:eastAsia="宋体"/>
                <w:b w:val="0"/>
                <w:bCs/>
                <w:color w:val="000000"/>
                <w:kern w:val="0"/>
                <w:sz w:val="18"/>
                <w:szCs w:val="18"/>
                <w:lang w:val="en-US" w:eastAsia="zh-CN"/>
              </w:rPr>
            </w:pPr>
            <w:r>
              <w:rPr>
                <w:rFonts w:hint="eastAsia" w:ascii="宋体" w:hAnsi="宋体"/>
                <w:b w:val="0"/>
                <w:bCs/>
                <w:color w:val="000000"/>
                <w:kern w:val="0"/>
                <w:sz w:val="18"/>
                <w:szCs w:val="18"/>
              </w:rPr>
              <w:t>驰名商标</w:t>
            </w:r>
            <w:r>
              <w:rPr>
                <w:rFonts w:hint="eastAsia" w:ascii="宋体" w:hAnsi="宋体"/>
                <w:b w:val="0"/>
                <w:bCs/>
                <w:color w:val="000000"/>
                <w:kern w:val="0"/>
                <w:sz w:val="18"/>
                <w:szCs w:val="18"/>
                <w:lang w:val="en-US" w:eastAsia="zh-CN"/>
              </w:rPr>
              <w:t>保护</w:t>
            </w:r>
          </w:p>
        </w:tc>
        <w:tc>
          <w:tcPr>
            <w:tcW w:w="5387" w:type="dxa"/>
            <w:shd w:val="clear" w:color="auto" w:fill="FFFFFF" w:themeFill="background1"/>
            <w:vAlign w:val="center"/>
          </w:tcPr>
          <w:p>
            <w:pPr>
              <w:widowControl/>
              <w:jc w:val="left"/>
              <w:rPr>
                <w:rFonts w:ascii="宋体" w:hAnsi="宋体"/>
                <w:color w:val="000000"/>
                <w:kern w:val="0"/>
                <w:sz w:val="18"/>
                <w:szCs w:val="18"/>
              </w:rPr>
            </w:pPr>
            <w:r>
              <w:rPr>
                <w:rFonts w:hint="eastAsia" w:ascii="宋体" w:hAnsi="宋体"/>
                <w:color w:val="000000"/>
                <w:kern w:val="0"/>
                <w:sz w:val="18"/>
                <w:szCs w:val="18"/>
              </w:rPr>
              <w:t>与品牌一致的注册商标有驰名商标认定记录。（3分）</w:t>
            </w:r>
          </w:p>
        </w:tc>
        <w:tc>
          <w:tcPr>
            <w:tcW w:w="6581" w:type="dxa"/>
            <w:shd w:val="clear" w:color="auto" w:fill="FFFFFF" w:themeFill="background1"/>
            <w:vAlign w:val="center"/>
          </w:tcPr>
          <w:p>
            <w:pPr>
              <w:widowControl/>
              <w:jc w:val="left"/>
              <w:rPr>
                <w:rFonts w:ascii="宋体" w:hAnsi="宋体"/>
                <w:color w:val="000000"/>
                <w:kern w:val="0"/>
                <w:sz w:val="18"/>
                <w:szCs w:val="18"/>
              </w:rPr>
            </w:pPr>
            <w:r>
              <w:rPr>
                <w:rFonts w:hint="eastAsia" w:ascii="宋体" w:hAnsi="宋体"/>
                <w:color w:val="000000"/>
                <w:kern w:val="0"/>
                <w:sz w:val="18"/>
                <w:szCs w:val="18"/>
              </w:rPr>
              <w:t>持有与品牌一致的商标并受驰名商标保护的（3分）；持有与品牌不一致的商标并受驰名商标保护的（2分）。不重复得分。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541" w:hRule="atLeast"/>
        </w:trPr>
        <w:tc>
          <w:tcPr>
            <w:tcW w:w="1339" w:type="dxa"/>
            <w:vMerge w:val="continue"/>
            <w:shd w:val="clear" w:color="auto" w:fill="FFFFFF" w:themeFill="background1"/>
            <w:vAlign w:val="center"/>
          </w:tcPr>
          <w:p>
            <w:pPr>
              <w:widowControl/>
              <w:jc w:val="center"/>
              <w:rPr>
                <w:rFonts w:ascii="宋体" w:hAnsi="宋体"/>
                <w:b w:val="0"/>
                <w:bCs/>
                <w:color w:val="000000"/>
                <w:kern w:val="0"/>
                <w:sz w:val="18"/>
                <w:szCs w:val="18"/>
              </w:rPr>
            </w:pPr>
          </w:p>
        </w:tc>
        <w:tc>
          <w:tcPr>
            <w:tcW w:w="1450" w:type="dxa"/>
            <w:shd w:val="clear" w:color="auto" w:fill="FFFFFF" w:themeFill="background1"/>
            <w:vAlign w:val="center"/>
          </w:tcPr>
          <w:p>
            <w:pPr>
              <w:widowControl/>
              <w:jc w:val="center"/>
              <w:rPr>
                <w:rFonts w:hint="eastAsia" w:ascii="宋体" w:hAnsi="宋体" w:eastAsia="宋体"/>
                <w:b w:val="0"/>
                <w:bCs/>
                <w:color w:val="000000"/>
                <w:kern w:val="0"/>
                <w:sz w:val="18"/>
                <w:szCs w:val="18"/>
                <w:lang w:val="en-US" w:eastAsia="zh-Hans"/>
              </w:rPr>
            </w:pPr>
            <w:r>
              <w:rPr>
                <w:rFonts w:hint="eastAsia" w:ascii="宋体" w:hAnsi="宋体"/>
                <w:b w:val="0"/>
                <w:bCs/>
                <w:color w:val="000000"/>
                <w:kern w:val="0"/>
                <w:sz w:val="18"/>
                <w:szCs w:val="18"/>
              </w:rPr>
              <w:t>宣传</w:t>
            </w:r>
            <w:r>
              <w:rPr>
                <w:rFonts w:hint="eastAsia" w:ascii="宋体" w:hAnsi="宋体"/>
                <w:b w:val="0"/>
                <w:bCs/>
                <w:color w:val="000000"/>
                <w:kern w:val="0"/>
                <w:sz w:val="18"/>
                <w:szCs w:val="18"/>
                <w:lang w:eastAsia="zh-CN"/>
              </w:rPr>
              <w:t>方式多样</w:t>
            </w:r>
          </w:p>
        </w:tc>
        <w:tc>
          <w:tcPr>
            <w:tcW w:w="5387" w:type="dxa"/>
            <w:shd w:val="clear" w:color="auto" w:fill="FFFFFF" w:themeFill="background1"/>
            <w:vAlign w:val="center"/>
          </w:tcPr>
          <w:p>
            <w:pPr>
              <w:widowControl/>
              <w:jc w:val="left"/>
              <w:rPr>
                <w:rFonts w:ascii="黑体" w:hAnsi="黑体" w:eastAsia="黑体"/>
                <w:color w:val="000000"/>
                <w:kern w:val="0"/>
                <w:szCs w:val="21"/>
              </w:rPr>
            </w:pPr>
            <w:r>
              <w:rPr>
                <w:rFonts w:hint="eastAsia" w:ascii="宋体" w:hAnsi="宋体"/>
                <w:color w:val="000000"/>
                <w:kern w:val="0"/>
                <w:sz w:val="18"/>
                <w:szCs w:val="18"/>
              </w:rPr>
              <w:t>运用多种方式积极宣传品牌文化和掌门人故事（3分）</w:t>
            </w:r>
          </w:p>
        </w:tc>
        <w:tc>
          <w:tcPr>
            <w:tcW w:w="6581" w:type="dxa"/>
            <w:shd w:val="clear" w:color="auto" w:fill="FFFFFF" w:themeFill="background1"/>
            <w:vAlign w:val="center"/>
          </w:tcPr>
          <w:p>
            <w:pPr>
              <w:widowControl/>
              <w:jc w:val="left"/>
              <w:rPr>
                <w:rFonts w:ascii="宋体" w:hAnsi="宋体"/>
                <w:color w:val="000000"/>
                <w:kern w:val="0"/>
                <w:sz w:val="18"/>
                <w:szCs w:val="18"/>
              </w:rPr>
            </w:pPr>
            <w:r>
              <w:rPr>
                <w:rFonts w:hint="eastAsia" w:ascii="宋体" w:hAnsi="宋体"/>
                <w:color w:val="000000"/>
                <w:kern w:val="0"/>
                <w:sz w:val="18"/>
                <w:szCs w:val="18"/>
              </w:rPr>
              <w:t>在电影、电视剧中宣传和展示品牌文化或掌门人故事（1分）；以广告、视频（微视频、纪录片）、宣传册等形式宣传和展示品牌文化或掌门人故事（1分）；在新媒体平台（微博、微信、抖音、快手等）宣传和展示品牌文化或掌门人故事（1分）。每符合一项得1分，最多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7" w:hRule="atLeast"/>
        </w:trPr>
        <w:tc>
          <w:tcPr>
            <w:tcW w:w="14757" w:type="dxa"/>
            <w:gridSpan w:val="4"/>
            <w:tcBorders>
              <w:bottom w:val="single" w:color="auto" w:sz="4" w:space="0"/>
            </w:tcBorders>
            <w:shd w:val="clear" w:color="auto" w:fill="FFFFFF" w:themeFill="background1"/>
            <w:vAlign w:val="center"/>
          </w:tcPr>
          <w:p>
            <w:pPr>
              <w:widowControl/>
              <w:jc w:val="left"/>
              <w:rPr>
                <w:rFonts w:ascii="宋体" w:hAnsi="宋体"/>
                <w:color w:val="000000"/>
                <w:kern w:val="0"/>
                <w:sz w:val="18"/>
                <w:szCs w:val="18"/>
              </w:rPr>
            </w:pPr>
            <w:r>
              <w:rPr>
                <w:rFonts w:hint="eastAsia" w:ascii="宋体" w:hAnsi="宋体" w:eastAsia="宋体" w:cs="宋体"/>
                <w:b w:val="0"/>
                <w:bCs/>
                <w:color w:val="000000"/>
                <w:sz w:val="18"/>
                <w:szCs w:val="18"/>
              </w:rPr>
              <w:t>二、经营管理（22分）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3" w:hRule="atLeast"/>
        </w:trPr>
        <w:tc>
          <w:tcPr>
            <w:tcW w:w="1339" w:type="dxa"/>
            <w:shd w:val="clear" w:color="auto" w:fill="FFFFFF" w:themeFill="background1"/>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一级指标</w:t>
            </w:r>
          </w:p>
        </w:tc>
        <w:tc>
          <w:tcPr>
            <w:tcW w:w="1450" w:type="dxa"/>
            <w:shd w:val="clear" w:color="auto" w:fill="FFFFFF" w:themeFill="background1"/>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二级指标</w:t>
            </w:r>
          </w:p>
        </w:tc>
        <w:tc>
          <w:tcPr>
            <w:tcW w:w="5387" w:type="dxa"/>
            <w:shd w:val="clear" w:color="auto" w:fill="FFFFFF" w:themeFill="background1"/>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评分标准</w:t>
            </w:r>
          </w:p>
        </w:tc>
        <w:tc>
          <w:tcPr>
            <w:tcW w:w="6581" w:type="dxa"/>
            <w:shd w:val="clear" w:color="auto" w:fill="FFFFFF" w:themeFill="background1"/>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评分说明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17" w:hRule="atLeast"/>
        </w:trPr>
        <w:tc>
          <w:tcPr>
            <w:tcW w:w="1339" w:type="dxa"/>
            <w:vMerge w:val="restart"/>
            <w:shd w:val="clear" w:color="auto" w:fill="FFFFFF" w:themeFill="background1"/>
            <w:vAlign w:val="center"/>
          </w:tcPr>
          <w:p>
            <w:pPr>
              <w:jc w:val="center"/>
              <w:rPr>
                <w:rFonts w:hint="eastAsia" w:ascii="宋体" w:hAnsi="宋体" w:eastAsia="宋体"/>
                <w:b w:val="0"/>
                <w:bCs/>
                <w:color w:val="000000"/>
                <w:kern w:val="0"/>
                <w:sz w:val="18"/>
                <w:szCs w:val="18"/>
                <w:lang w:eastAsia="zh-CN"/>
              </w:rPr>
            </w:pPr>
            <w:r>
              <w:rPr>
                <w:rFonts w:hint="eastAsia" w:ascii="宋体" w:hAnsi="宋体"/>
                <w:b w:val="0"/>
                <w:bCs/>
                <w:color w:val="000000"/>
                <w:kern w:val="0"/>
                <w:sz w:val="18"/>
                <w:szCs w:val="18"/>
              </w:rPr>
              <w:t>经济效益</w:t>
            </w:r>
            <w:r>
              <w:rPr>
                <w:rFonts w:hint="eastAsia" w:ascii="宋体" w:hAnsi="宋体"/>
                <w:b w:val="0"/>
                <w:bCs/>
                <w:color w:val="000000"/>
                <w:kern w:val="0"/>
                <w:sz w:val="18"/>
                <w:szCs w:val="18"/>
                <w:lang w:eastAsia="zh-CN"/>
              </w:rPr>
              <w:t>良好</w:t>
            </w:r>
          </w:p>
          <w:p>
            <w:pPr>
              <w:jc w:val="center"/>
              <w:rPr>
                <w:rFonts w:ascii="宋体" w:hAnsi="宋体"/>
                <w:b w:val="0"/>
                <w:bCs/>
                <w:color w:val="000000"/>
                <w:kern w:val="0"/>
                <w:sz w:val="18"/>
                <w:szCs w:val="18"/>
              </w:rPr>
            </w:pPr>
            <w:r>
              <w:rPr>
                <w:rFonts w:hint="eastAsia" w:ascii="宋体" w:hAnsi="宋体"/>
                <w:b w:val="0"/>
                <w:bCs/>
                <w:color w:val="000000"/>
                <w:kern w:val="0"/>
                <w:sz w:val="18"/>
                <w:szCs w:val="18"/>
              </w:rPr>
              <w:t>（12分）</w:t>
            </w:r>
          </w:p>
        </w:tc>
        <w:tc>
          <w:tcPr>
            <w:tcW w:w="1450" w:type="dxa"/>
            <w:shd w:val="clear" w:color="auto" w:fill="FFFFFF" w:themeFill="background1"/>
            <w:vAlign w:val="center"/>
          </w:tcPr>
          <w:p>
            <w:pPr>
              <w:jc w:val="center"/>
              <w:rPr>
                <w:rFonts w:hint="default" w:ascii="宋体" w:hAnsi="宋体" w:eastAsia="宋体"/>
                <w:b w:val="0"/>
                <w:bCs/>
                <w:color w:val="000000"/>
                <w:kern w:val="0"/>
                <w:sz w:val="18"/>
                <w:szCs w:val="18"/>
                <w:lang w:val="en-US" w:eastAsia="zh-Hans"/>
              </w:rPr>
            </w:pPr>
            <w:r>
              <w:rPr>
                <w:rFonts w:hint="eastAsia" w:ascii="宋体" w:hAnsi="宋体"/>
                <w:b w:val="0"/>
                <w:bCs/>
                <w:color w:val="000000"/>
                <w:kern w:val="0"/>
                <w:sz w:val="18"/>
                <w:szCs w:val="18"/>
                <w:lang w:eastAsia="zh-CN"/>
              </w:rPr>
              <w:t>主营业务</w:t>
            </w:r>
            <w:r>
              <w:rPr>
                <w:rFonts w:hint="eastAsia" w:ascii="宋体" w:hAnsi="宋体"/>
                <w:b w:val="0"/>
                <w:bCs/>
                <w:color w:val="000000"/>
                <w:kern w:val="0"/>
                <w:sz w:val="18"/>
                <w:szCs w:val="18"/>
                <w:lang w:val="en-US" w:eastAsia="zh-Hans"/>
              </w:rPr>
              <w:t>连续</w:t>
            </w:r>
          </w:p>
        </w:tc>
        <w:tc>
          <w:tcPr>
            <w:tcW w:w="5387" w:type="dxa"/>
            <w:shd w:val="clear" w:color="auto" w:fill="FFFFFF" w:themeFill="background1"/>
            <w:vAlign w:val="center"/>
          </w:tcPr>
          <w:p>
            <w:pPr>
              <w:widowControl/>
              <w:rPr>
                <w:rFonts w:ascii="宋体" w:hAnsi="宋体"/>
                <w:color w:val="000000"/>
                <w:kern w:val="0"/>
                <w:sz w:val="18"/>
                <w:szCs w:val="18"/>
              </w:rPr>
            </w:pPr>
            <w:r>
              <w:rPr>
                <w:rFonts w:hint="eastAsia" w:ascii="宋体" w:hAnsi="宋体"/>
                <w:color w:val="000000"/>
                <w:kern w:val="0"/>
                <w:sz w:val="18"/>
                <w:szCs w:val="18"/>
              </w:rPr>
              <w:t>主营业务连续经营3</w:t>
            </w:r>
            <w:r>
              <w:rPr>
                <w:rFonts w:ascii="宋体" w:hAnsi="宋体"/>
                <w:color w:val="000000"/>
                <w:kern w:val="0"/>
                <w:sz w:val="18"/>
                <w:szCs w:val="18"/>
              </w:rPr>
              <w:t>0</w:t>
            </w:r>
            <w:r>
              <w:rPr>
                <w:rFonts w:hint="eastAsia" w:ascii="宋体" w:hAnsi="宋体"/>
                <w:color w:val="000000"/>
                <w:kern w:val="0"/>
                <w:sz w:val="18"/>
                <w:szCs w:val="18"/>
              </w:rPr>
              <w:t>年（含）以上。（3分）</w:t>
            </w:r>
          </w:p>
        </w:tc>
        <w:tc>
          <w:tcPr>
            <w:tcW w:w="6581" w:type="dxa"/>
            <w:shd w:val="clear" w:color="auto" w:fill="FFFFFF" w:themeFill="background1"/>
            <w:vAlign w:val="center"/>
          </w:tcPr>
          <w:p>
            <w:pPr>
              <w:widowControl/>
              <w:rPr>
                <w:rFonts w:ascii="宋体" w:hAnsi="宋体"/>
                <w:color w:val="000000"/>
                <w:kern w:val="0"/>
                <w:sz w:val="18"/>
                <w:szCs w:val="18"/>
              </w:rPr>
            </w:pPr>
            <w:r>
              <w:rPr>
                <w:rFonts w:hint="eastAsia" w:ascii="宋体" w:hAnsi="宋体"/>
                <w:color w:val="000000"/>
                <w:kern w:val="0"/>
                <w:sz w:val="18"/>
                <w:szCs w:val="18"/>
              </w:rPr>
              <w:t>主营业务连续经营时间为</w:t>
            </w:r>
            <w:r>
              <w:rPr>
                <w:rFonts w:ascii="宋体" w:hAnsi="宋体"/>
                <w:color w:val="000000"/>
                <w:kern w:val="0"/>
                <w:sz w:val="18"/>
                <w:szCs w:val="18"/>
              </w:rPr>
              <w:t>30</w:t>
            </w:r>
            <w:r>
              <w:rPr>
                <w:rFonts w:hint="eastAsia" w:ascii="宋体" w:hAnsi="宋体"/>
                <w:color w:val="000000"/>
                <w:kern w:val="0"/>
                <w:sz w:val="18"/>
                <w:szCs w:val="18"/>
              </w:rPr>
              <w:t>-4</w:t>
            </w:r>
            <w:r>
              <w:rPr>
                <w:rFonts w:ascii="宋体" w:hAnsi="宋体"/>
                <w:color w:val="000000"/>
                <w:kern w:val="0"/>
                <w:sz w:val="18"/>
                <w:szCs w:val="18"/>
              </w:rPr>
              <w:t>0</w:t>
            </w:r>
            <w:r>
              <w:rPr>
                <w:rFonts w:hint="eastAsia" w:ascii="宋体" w:hAnsi="宋体"/>
                <w:color w:val="000000"/>
                <w:kern w:val="0"/>
                <w:sz w:val="18"/>
                <w:szCs w:val="18"/>
              </w:rPr>
              <w:t>年（含）（1分）；主营业务连续经营时间为4</w:t>
            </w:r>
            <w:r>
              <w:rPr>
                <w:rFonts w:ascii="宋体" w:hAnsi="宋体"/>
                <w:color w:val="000000"/>
                <w:kern w:val="0"/>
                <w:sz w:val="18"/>
                <w:szCs w:val="18"/>
              </w:rPr>
              <w:t>0</w:t>
            </w:r>
            <w:r>
              <w:rPr>
                <w:rFonts w:hint="eastAsia" w:ascii="宋体" w:hAnsi="宋体"/>
                <w:color w:val="000000"/>
                <w:kern w:val="0"/>
                <w:sz w:val="18"/>
                <w:szCs w:val="18"/>
              </w:rPr>
              <w:t>-5</w:t>
            </w:r>
            <w:r>
              <w:rPr>
                <w:rFonts w:ascii="宋体" w:hAnsi="宋体"/>
                <w:color w:val="000000"/>
                <w:kern w:val="0"/>
                <w:sz w:val="18"/>
                <w:szCs w:val="18"/>
              </w:rPr>
              <w:t>0</w:t>
            </w:r>
            <w:r>
              <w:rPr>
                <w:rFonts w:hint="eastAsia" w:ascii="宋体" w:hAnsi="宋体"/>
                <w:color w:val="000000"/>
                <w:kern w:val="0"/>
                <w:sz w:val="18"/>
                <w:szCs w:val="18"/>
              </w:rPr>
              <w:t>年（含）（2分）；主营业务连续经营时间为50年以上（3分）。不重复得分。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40" w:hRule="atLeast"/>
        </w:trPr>
        <w:tc>
          <w:tcPr>
            <w:tcW w:w="1339" w:type="dxa"/>
            <w:vMerge w:val="continue"/>
            <w:shd w:val="clear" w:color="auto" w:fill="FFFFFF" w:themeFill="background1"/>
          </w:tcPr>
          <w:p>
            <w:pPr>
              <w:widowControl/>
              <w:jc w:val="center"/>
              <w:rPr>
                <w:rFonts w:ascii="宋体" w:hAnsi="宋体"/>
                <w:b w:val="0"/>
                <w:bCs/>
                <w:color w:val="000000"/>
                <w:kern w:val="0"/>
                <w:sz w:val="18"/>
                <w:szCs w:val="18"/>
              </w:rPr>
            </w:pPr>
          </w:p>
        </w:tc>
        <w:tc>
          <w:tcPr>
            <w:tcW w:w="1450" w:type="dxa"/>
            <w:shd w:val="clear" w:color="auto" w:fill="FFFFFF" w:themeFill="background1"/>
            <w:vAlign w:val="center"/>
          </w:tcPr>
          <w:p>
            <w:pPr>
              <w:widowControl/>
              <w:jc w:val="center"/>
              <w:rPr>
                <w:rFonts w:hint="eastAsia" w:ascii="宋体" w:hAnsi="宋体" w:eastAsia="宋体"/>
                <w:b w:val="0"/>
                <w:bCs/>
                <w:color w:val="000000"/>
                <w:kern w:val="0"/>
                <w:sz w:val="18"/>
                <w:szCs w:val="18"/>
                <w:lang w:val="en-US" w:eastAsia="zh-Hans"/>
              </w:rPr>
            </w:pPr>
            <w:r>
              <w:rPr>
                <w:rFonts w:hint="eastAsia" w:ascii="宋体" w:hAnsi="宋体"/>
                <w:b w:val="0"/>
                <w:bCs/>
                <w:color w:val="000000"/>
                <w:kern w:val="0"/>
                <w:sz w:val="18"/>
                <w:szCs w:val="18"/>
              </w:rPr>
              <w:t>盈利能力</w:t>
            </w:r>
            <w:r>
              <w:rPr>
                <w:rFonts w:hint="eastAsia" w:ascii="宋体" w:hAnsi="宋体"/>
                <w:b w:val="0"/>
                <w:bCs/>
                <w:color w:val="000000"/>
                <w:kern w:val="0"/>
                <w:sz w:val="18"/>
                <w:szCs w:val="18"/>
                <w:lang w:val="en-US" w:eastAsia="zh-Hans"/>
              </w:rPr>
              <w:t>良好</w:t>
            </w:r>
          </w:p>
        </w:tc>
        <w:tc>
          <w:tcPr>
            <w:tcW w:w="5387" w:type="dxa"/>
            <w:shd w:val="clear" w:color="auto" w:fill="FFFFFF" w:themeFill="background1"/>
            <w:vAlign w:val="center"/>
          </w:tcPr>
          <w:p>
            <w:pPr>
              <w:widowControl/>
              <w:rPr>
                <w:rFonts w:ascii="宋体" w:hAnsi="宋体"/>
                <w:color w:val="000000"/>
                <w:kern w:val="0"/>
                <w:sz w:val="18"/>
                <w:szCs w:val="18"/>
              </w:rPr>
            </w:pPr>
            <w:r>
              <w:rPr>
                <w:rFonts w:hint="eastAsia" w:ascii="宋体" w:hAnsi="宋体"/>
                <w:color w:val="000000"/>
                <w:kern w:val="0"/>
                <w:sz w:val="18"/>
                <w:szCs w:val="18"/>
              </w:rPr>
              <w:t>经营状况良好，可持续发展能力强。（3分）</w:t>
            </w:r>
          </w:p>
        </w:tc>
        <w:tc>
          <w:tcPr>
            <w:tcW w:w="6581" w:type="dxa"/>
            <w:shd w:val="clear" w:color="auto" w:fill="FFFFFF" w:themeFill="background1"/>
            <w:vAlign w:val="center"/>
          </w:tcPr>
          <w:p>
            <w:pPr>
              <w:widowControl/>
              <w:rPr>
                <w:rFonts w:ascii="宋体" w:hAnsi="宋体"/>
                <w:color w:val="000000"/>
                <w:kern w:val="0"/>
                <w:sz w:val="18"/>
                <w:szCs w:val="18"/>
              </w:rPr>
            </w:pPr>
            <w:r>
              <w:rPr>
                <w:rFonts w:hint="eastAsia" w:ascii="宋体" w:hAnsi="宋体"/>
                <w:color w:val="000000"/>
                <w:kern w:val="0"/>
                <w:sz w:val="18"/>
                <w:szCs w:val="18"/>
              </w:rPr>
              <w:t>企业处于盈利状态（1分）；持续盈利2年（含）以上（2分）；持续盈利3年（含）以上（3分）。不重复得分。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40" w:hRule="atLeast"/>
        </w:trPr>
        <w:tc>
          <w:tcPr>
            <w:tcW w:w="1339" w:type="dxa"/>
            <w:vMerge w:val="continue"/>
            <w:shd w:val="clear" w:color="auto" w:fill="FFFFFF" w:themeFill="background1"/>
          </w:tcPr>
          <w:p>
            <w:pPr>
              <w:widowControl/>
              <w:jc w:val="center"/>
              <w:rPr>
                <w:rFonts w:ascii="宋体" w:hAnsi="宋体"/>
                <w:b w:val="0"/>
                <w:bCs/>
                <w:color w:val="000000"/>
                <w:kern w:val="0"/>
                <w:sz w:val="18"/>
                <w:szCs w:val="18"/>
              </w:rPr>
            </w:pPr>
          </w:p>
        </w:tc>
        <w:tc>
          <w:tcPr>
            <w:tcW w:w="1450" w:type="dxa"/>
            <w:shd w:val="clear" w:color="auto" w:fill="FFFFFF" w:themeFill="background1"/>
            <w:vAlign w:val="center"/>
          </w:tcPr>
          <w:p>
            <w:pPr>
              <w:widowControl/>
              <w:jc w:val="center"/>
              <w:rPr>
                <w:rFonts w:hint="eastAsia" w:ascii="宋体" w:hAnsi="宋体" w:eastAsia="宋体" w:cs="黑体"/>
                <w:b w:val="0"/>
                <w:bCs/>
                <w:color w:val="000000"/>
                <w:kern w:val="0"/>
                <w:sz w:val="18"/>
                <w:szCs w:val="18"/>
                <w:lang w:val="en-US" w:eastAsia="zh-Hans"/>
              </w:rPr>
            </w:pPr>
            <w:r>
              <w:rPr>
                <w:rFonts w:hint="eastAsia" w:ascii="宋体" w:hAnsi="宋体"/>
                <w:b w:val="0"/>
                <w:bCs/>
                <w:color w:val="000000"/>
                <w:kern w:val="0"/>
                <w:sz w:val="18"/>
                <w:szCs w:val="18"/>
              </w:rPr>
              <w:t>市场</w:t>
            </w:r>
            <w:r>
              <w:rPr>
                <w:rFonts w:hint="eastAsia" w:ascii="宋体" w:hAnsi="宋体"/>
                <w:b w:val="0"/>
                <w:bCs/>
                <w:color w:val="000000"/>
                <w:kern w:val="0"/>
                <w:sz w:val="18"/>
                <w:szCs w:val="18"/>
                <w:lang w:eastAsia="zh-CN"/>
              </w:rPr>
              <w:t>覆盖</w:t>
            </w:r>
            <w:r>
              <w:rPr>
                <w:rFonts w:hint="eastAsia" w:ascii="宋体" w:hAnsi="宋体"/>
                <w:b w:val="0"/>
                <w:bCs/>
                <w:color w:val="000000"/>
                <w:kern w:val="0"/>
                <w:sz w:val="18"/>
                <w:szCs w:val="18"/>
                <w:lang w:val="en-US" w:eastAsia="zh-Hans"/>
              </w:rPr>
              <w:t>广泛</w:t>
            </w:r>
          </w:p>
        </w:tc>
        <w:tc>
          <w:tcPr>
            <w:tcW w:w="5387" w:type="dxa"/>
            <w:shd w:val="clear" w:color="auto" w:fill="FFFFFF" w:themeFill="background1"/>
            <w:vAlign w:val="center"/>
          </w:tcPr>
          <w:p>
            <w:pPr>
              <w:widowControl/>
              <w:rPr>
                <w:rFonts w:ascii="宋体" w:hAnsi="宋体" w:cs="黑体"/>
                <w:color w:val="000000"/>
                <w:kern w:val="0"/>
                <w:sz w:val="18"/>
                <w:szCs w:val="18"/>
              </w:rPr>
            </w:pPr>
            <w:r>
              <w:rPr>
                <w:rFonts w:hint="eastAsia" w:ascii="宋体" w:hAnsi="宋体"/>
                <w:color w:val="000000"/>
                <w:kern w:val="0"/>
                <w:sz w:val="18"/>
                <w:szCs w:val="18"/>
              </w:rPr>
              <w:t>国际化、跨区域、数字化、连锁化经营情况。（4分）</w:t>
            </w:r>
          </w:p>
        </w:tc>
        <w:tc>
          <w:tcPr>
            <w:tcW w:w="6581" w:type="dxa"/>
            <w:shd w:val="clear" w:color="auto" w:fill="FFFFFF" w:themeFill="background1"/>
            <w:vAlign w:val="center"/>
          </w:tcPr>
          <w:p>
            <w:pPr>
              <w:widowControl/>
              <w:rPr>
                <w:rFonts w:ascii="宋体" w:hAnsi="宋体" w:cs="黑体"/>
                <w:color w:val="000000"/>
                <w:kern w:val="0"/>
                <w:sz w:val="18"/>
                <w:szCs w:val="18"/>
              </w:rPr>
            </w:pPr>
            <w:r>
              <w:rPr>
                <w:rFonts w:hint="eastAsia" w:ascii="宋体" w:hAnsi="宋体" w:cs="黑体"/>
                <w:color w:val="000000"/>
                <w:kern w:val="0"/>
                <w:sz w:val="18"/>
                <w:szCs w:val="18"/>
                <w:lang w:bidi="ar"/>
              </w:rPr>
              <w:t>商品或服务进入国际市场（1分）；商品或服务进入省外市场（1分）；运用电子商务方式拓展销售渠道（1分）；拥有2家以上的直营店或加盟店（1分）。</w:t>
            </w:r>
            <w:r>
              <w:rPr>
                <w:rFonts w:hint="eastAsia" w:ascii="宋体" w:hAnsi="宋体"/>
                <w:color w:val="000000"/>
                <w:kern w:val="0"/>
                <w:sz w:val="18"/>
                <w:szCs w:val="18"/>
              </w:rPr>
              <w:t>每符合一项得1分，最多得</w:t>
            </w:r>
            <w:r>
              <w:rPr>
                <w:rFonts w:ascii="宋体" w:hAnsi="宋体"/>
                <w:color w:val="000000"/>
                <w:kern w:val="0"/>
                <w:sz w:val="18"/>
                <w:szCs w:val="18"/>
              </w:rPr>
              <w:t>4</w:t>
            </w:r>
            <w:r>
              <w:rPr>
                <w:rFonts w:hint="eastAsia" w:ascii="宋体" w:hAnsi="宋体"/>
                <w:color w:val="000000"/>
                <w:kern w:val="0"/>
                <w:sz w:val="18"/>
                <w:szCs w:val="1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59" w:hRule="atLeast"/>
        </w:trPr>
        <w:tc>
          <w:tcPr>
            <w:tcW w:w="1339" w:type="dxa"/>
            <w:vMerge w:val="continue"/>
            <w:shd w:val="clear" w:color="auto" w:fill="FFFFFF" w:themeFill="background1"/>
          </w:tcPr>
          <w:p>
            <w:pPr>
              <w:widowControl/>
              <w:jc w:val="center"/>
              <w:rPr>
                <w:rFonts w:ascii="宋体" w:hAnsi="宋体"/>
                <w:b w:val="0"/>
                <w:bCs/>
                <w:color w:val="000000"/>
                <w:kern w:val="0"/>
                <w:sz w:val="18"/>
                <w:szCs w:val="18"/>
              </w:rPr>
            </w:pPr>
          </w:p>
        </w:tc>
        <w:tc>
          <w:tcPr>
            <w:tcW w:w="1450" w:type="dxa"/>
            <w:shd w:val="clear" w:color="auto" w:fill="FFFFFF" w:themeFill="background1"/>
            <w:vAlign w:val="center"/>
          </w:tcPr>
          <w:p>
            <w:pPr>
              <w:jc w:val="center"/>
              <w:rPr>
                <w:rFonts w:hint="eastAsia" w:ascii="宋体" w:hAnsi="宋体" w:eastAsia="宋体" w:cs="黑体"/>
                <w:b w:val="0"/>
                <w:bCs/>
                <w:color w:val="000000"/>
                <w:kern w:val="0"/>
                <w:sz w:val="18"/>
                <w:szCs w:val="18"/>
                <w:lang w:eastAsia="zh-CN"/>
              </w:rPr>
            </w:pPr>
            <w:r>
              <w:rPr>
                <w:rFonts w:hint="eastAsia" w:ascii="宋体" w:hAnsi="宋体"/>
                <w:b w:val="0"/>
                <w:bCs/>
                <w:color w:val="000000"/>
                <w:kern w:val="0"/>
                <w:sz w:val="18"/>
                <w:szCs w:val="18"/>
                <w:lang w:val="en-US" w:eastAsia="zh-Hans"/>
              </w:rPr>
              <w:t>企业</w:t>
            </w:r>
            <w:r>
              <w:rPr>
                <w:rFonts w:hint="eastAsia" w:ascii="宋体" w:hAnsi="宋体"/>
                <w:b w:val="0"/>
                <w:bCs/>
                <w:color w:val="000000"/>
                <w:kern w:val="0"/>
                <w:sz w:val="18"/>
                <w:szCs w:val="18"/>
              </w:rPr>
              <w:t>上市</w:t>
            </w:r>
            <w:r>
              <w:rPr>
                <w:rFonts w:hint="eastAsia" w:ascii="宋体" w:hAnsi="宋体"/>
                <w:b w:val="0"/>
                <w:bCs/>
                <w:color w:val="000000"/>
                <w:kern w:val="0"/>
                <w:sz w:val="18"/>
                <w:szCs w:val="18"/>
                <w:lang w:val="en-US" w:eastAsia="zh-CN"/>
              </w:rPr>
              <w:t>发展</w:t>
            </w:r>
          </w:p>
        </w:tc>
        <w:tc>
          <w:tcPr>
            <w:tcW w:w="5387" w:type="dxa"/>
            <w:shd w:val="clear" w:color="auto" w:fill="FFFFFF" w:themeFill="background1"/>
            <w:vAlign w:val="center"/>
          </w:tcPr>
          <w:p>
            <w:pPr>
              <w:widowControl/>
              <w:rPr>
                <w:rFonts w:ascii="宋体" w:hAnsi="宋体" w:cs="黑体"/>
                <w:color w:val="000000"/>
                <w:kern w:val="0"/>
                <w:sz w:val="18"/>
                <w:szCs w:val="18"/>
              </w:rPr>
            </w:pPr>
            <w:r>
              <w:rPr>
                <w:rFonts w:hint="eastAsia" w:ascii="宋体" w:hAnsi="宋体"/>
                <w:color w:val="000000"/>
                <w:kern w:val="0"/>
                <w:sz w:val="18"/>
                <w:szCs w:val="18"/>
              </w:rPr>
              <w:t>企业是否上市。（2分）</w:t>
            </w:r>
          </w:p>
        </w:tc>
        <w:tc>
          <w:tcPr>
            <w:tcW w:w="6581" w:type="dxa"/>
            <w:shd w:val="clear" w:color="auto" w:fill="FFFFFF" w:themeFill="background1"/>
            <w:vAlign w:val="center"/>
          </w:tcPr>
          <w:p>
            <w:pPr>
              <w:widowControl/>
              <w:jc w:val="left"/>
              <w:rPr>
                <w:rFonts w:ascii="宋体" w:hAnsi="宋体" w:cs="黑体"/>
                <w:color w:val="000000"/>
                <w:kern w:val="0"/>
                <w:sz w:val="18"/>
                <w:szCs w:val="18"/>
              </w:rPr>
            </w:pPr>
            <w:r>
              <w:rPr>
                <w:rFonts w:hint="eastAsia" w:ascii="宋体" w:hAnsi="宋体"/>
                <w:color w:val="000000"/>
                <w:kern w:val="0"/>
                <w:sz w:val="18"/>
                <w:szCs w:val="18"/>
              </w:rPr>
              <w:t>在境内外股票市场公开发行股票（2分）。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54" w:hRule="atLeast"/>
        </w:trPr>
        <w:tc>
          <w:tcPr>
            <w:tcW w:w="1339" w:type="dxa"/>
            <w:vMerge w:val="restart"/>
            <w:shd w:val="clear" w:color="auto" w:fill="FFFFFF" w:themeFill="background1"/>
            <w:vAlign w:val="center"/>
          </w:tcPr>
          <w:p>
            <w:pPr>
              <w:jc w:val="center"/>
              <w:rPr>
                <w:rFonts w:hint="eastAsia" w:ascii="宋体" w:hAnsi="宋体" w:eastAsia="宋体"/>
                <w:b w:val="0"/>
                <w:bCs/>
                <w:color w:val="000000"/>
                <w:kern w:val="0"/>
                <w:sz w:val="18"/>
                <w:szCs w:val="18"/>
                <w:lang w:eastAsia="zh-CN"/>
              </w:rPr>
            </w:pPr>
            <w:r>
              <w:rPr>
                <w:rFonts w:hint="eastAsia" w:ascii="宋体" w:hAnsi="宋体"/>
                <w:b w:val="0"/>
                <w:bCs/>
                <w:color w:val="000000"/>
                <w:kern w:val="0"/>
                <w:sz w:val="18"/>
                <w:szCs w:val="18"/>
              </w:rPr>
              <w:t>制度建设</w:t>
            </w:r>
            <w:r>
              <w:rPr>
                <w:rFonts w:hint="eastAsia" w:ascii="宋体" w:hAnsi="宋体"/>
                <w:b w:val="0"/>
                <w:bCs/>
                <w:color w:val="000000"/>
                <w:kern w:val="0"/>
                <w:sz w:val="18"/>
                <w:szCs w:val="18"/>
                <w:lang w:eastAsia="zh-CN"/>
              </w:rPr>
              <w:t>完善</w:t>
            </w:r>
          </w:p>
          <w:p>
            <w:pPr>
              <w:jc w:val="center"/>
              <w:rPr>
                <w:rFonts w:ascii="宋体" w:hAnsi="宋体"/>
                <w:b w:val="0"/>
                <w:bCs/>
                <w:color w:val="000000"/>
                <w:kern w:val="0"/>
                <w:sz w:val="18"/>
                <w:szCs w:val="18"/>
              </w:rPr>
            </w:pPr>
            <w:r>
              <w:rPr>
                <w:rFonts w:hint="eastAsia" w:ascii="宋体" w:hAnsi="宋体"/>
                <w:b w:val="0"/>
                <w:bCs/>
                <w:color w:val="000000"/>
                <w:kern w:val="0"/>
                <w:sz w:val="18"/>
                <w:szCs w:val="18"/>
              </w:rPr>
              <w:t>（10分）</w:t>
            </w:r>
          </w:p>
        </w:tc>
        <w:tc>
          <w:tcPr>
            <w:tcW w:w="1450" w:type="dxa"/>
            <w:shd w:val="clear" w:color="auto" w:fill="FFFFFF" w:themeFill="background1"/>
            <w:vAlign w:val="center"/>
          </w:tcPr>
          <w:p>
            <w:pPr>
              <w:widowControl/>
              <w:jc w:val="center"/>
              <w:rPr>
                <w:rFonts w:hint="eastAsia" w:ascii="宋体" w:hAnsi="宋体" w:eastAsia="宋体"/>
                <w:b w:val="0"/>
                <w:bCs/>
                <w:color w:val="000000"/>
                <w:kern w:val="0"/>
                <w:sz w:val="18"/>
                <w:szCs w:val="18"/>
                <w:lang w:val="en-US" w:eastAsia="zh-Hans"/>
              </w:rPr>
            </w:pPr>
            <w:r>
              <w:rPr>
                <w:rFonts w:hint="eastAsia" w:ascii="宋体" w:hAnsi="宋体"/>
                <w:b w:val="0"/>
                <w:bCs/>
                <w:color w:val="000000"/>
                <w:kern w:val="0"/>
                <w:sz w:val="18"/>
                <w:szCs w:val="18"/>
              </w:rPr>
              <w:t>管理制度</w:t>
            </w:r>
            <w:r>
              <w:rPr>
                <w:rFonts w:hint="eastAsia" w:ascii="宋体" w:hAnsi="宋体"/>
                <w:b w:val="0"/>
                <w:bCs/>
                <w:color w:val="000000"/>
                <w:kern w:val="0"/>
                <w:sz w:val="18"/>
                <w:szCs w:val="18"/>
                <w:lang w:val="en-US" w:eastAsia="zh-Hans"/>
              </w:rPr>
              <w:t>健全</w:t>
            </w:r>
          </w:p>
        </w:tc>
        <w:tc>
          <w:tcPr>
            <w:tcW w:w="5387"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kern w:val="0"/>
                <w:sz w:val="18"/>
                <w:szCs w:val="18"/>
              </w:rPr>
              <w:t>有完善的管理制度，包括突发事件应急处置机制及食品安全、环境卫生、知识产权、消费者权益、市场公平竞争、人才培训等。（5分）</w:t>
            </w:r>
          </w:p>
        </w:tc>
        <w:tc>
          <w:tcPr>
            <w:tcW w:w="6581"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kern w:val="0"/>
                <w:sz w:val="18"/>
                <w:szCs w:val="18"/>
              </w:rPr>
              <w:t>有完善的管理制度，包括突发事件应急处置机制、食品安全、环境卫生、知识产权、消费者权益、其他制度。每拥有一种管理制度得1分，最多得5分。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994" w:hRule="atLeast"/>
        </w:trPr>
        <w:tc>
          <w:tcPr>
            <w:tcW w:w="1339" w:type="dxa"/>
            <w:vMerge w:val="continue"/>
            <w:shd w:val="clear" w:color="auto" w:fill="FFFFFF" w:themeFill="background1"/>
            <w:vAlign w:val="center"/>
          </w:tcPr>
          <w:p>
            <w:pPr>
              <w:widowControl/>
              <w:jc w:val="center"/>
              <w:rPr>
                <w:rFonts w:ascii="宋体" w:hAnsi="宋体"/>
                <w:b w:val="0"/>
                <w:bCs/>
                <w:color w:val="000000"/>
                <w:kern w:val="0"/>
                <w:sz w:val="18"/>
                <w:szCs w:val="18"/>
              </w:rPr>
            </w:pPr>
          </w:p>
        </w:tc>
        <w:tc>
          <w:tcPr>
            <w:tcW w:w="1450" w:type="dxa"/>
            <w:shd w:val="clear" w:color="auto" w:fill="FFFFFF" w:themeFill="background1"/>
            <w:vAlign w:val="center"/>
          </w:tcPr>
          <w:p>
            <w:pPr>
              <w:widowControl/>
              <w:jc w:val="center"/>
              <w:rPr>
                <w:rFonts w:hint="eastAsia" w:ascii="宋体" w:hAnsi="宋体" w:eastAsia="宋体"/>
                <w:b w:val="0"/>
                <w:bCs/>
                <w:color w:val="000000"/>
                <w:kern w:val="0"/>
                <w:sz w:val="18"/>
                <w:szCs w:val="18"/>
                <w:lang w:val="en-US" w:eastAsia="zh-Hans"/>
              </w:rPr>
            </w:pPr>
            <w:r>
              <w:rPr>
                <w:rFonts w:hint="eastAsia" w:ascii="宋体" w:hAnsi="宋体"/>
                <w:b w:val="0"/>
                <w:bCs/>
                <w:color w:val="000000"/>
                <w:kern w:val="0"/>
                <w:sz w:val="18"/>
                <w:szCs w:val="18"/>
              </w:rPr>
              <w:t>体制改革</w:t>
            </w:r>
            <w:r>
              <w:rPr>
                <w:rFonts w:hint="eastAsia" w:ascii="宋体" w:hAnsi="宋体"/>
                <w:b w:val="0"/>
                <w:bCs/>
                <w:color w:val="000000"/>
                <w:kern w:val="0"/>
                <w:sz w:val="18"/>
                <w:szCs w:val="18"/>
                <w:lang w:val="en-US" w:eastAsia="zh-Hans"/>
              </w:rPr>
              <w:t>完善</w:t>
            </w:r>
          </w:p>
        </w:tc>
        <w:tc>
          <w:tcPr>
            <w:tcW w:w="5387" w:type="dxa"/>
            <w:shd w:val="clear" w:color="auto" w:fill="FFFFFF" w:themeFill="background1"/>
            <w:vAlign w:val="center"/>
          </w:tcPr>
          <w:p>
            <w:pPr>
              <w:widowControl/>
              <w:rPr>
                <w:rFonts w:ascii="宋体" w:hAnsi="宋体"/>
                <w:color w:val="000000"/>
                <w:kern w:val="0"/>
                <w:sz w:val="18"/>
                <w:szCs w:val="18"/>
              </w:rPr>
            </w:pPr>
            <w:r>
              <w:rPr>
                <w:rFonts w:hint="eastAsia" w:ascii="宋体" w:hAnsi="宋体"/>
                <w:color w:val="000000"/>
                <w:kern w:val="0"/>
                <w:sz w:val="18"/>
                <w:szCs w:val="18"/>
              </w:rPr>
              <w:t>从人事、用工、分配制度着手深化企业改革，明晰产权，开展兼并重组，推进混合所有制改革，构建现代企业治理体系，拓展延长产业链，集团化、产业化发展。（5分）</w:t>
            </w:r>
          </w:p>
        </w:tc>
        <w:tc>
          <w:tcPr>
            <w:tcW w:w="6581" w:type="dxa"/>
            <w:shd w:val="clear" w:color="auto" w:fill="FFFFFF" w:themeFill="background1"/>
            <w:vAlign w:val="center"/>
          </w:tcPr>
          <w:p>
            <w:pPr>
              <w:widowControl/>
              <w:rPr>
                <w:rFonts w:ascii="宋体" w:hAnsi="宋体"/>
                <w:color w:val="000000"/>
                <w:kern w:val="0"/>
                <w:sz w:val="18"/>
                <w:szCs w:val="18"/>
              </w:rPr>
            </w:pPr>
            <w:r>
              <w:rPr>
                <w:rFonts w:hint="eastAsia" w:ascii="宋体" w:hAnsi="宋体"/>
                <w:color w:val="000000"/>
                <w:kern w:val="0"/>
                <w:sz w:val="18"/>
                <w:szCs w:val="18"/>
              </w:rPr>
              <w:t>采取人事制度、用工制度、分配制度改革措施（1分）；明晰产权，开展兼并重组，推进混合所有制改革（1分）；构建现代企业治理体系（1分）；拓展延长产业链，集团化、产业化发展（2分）。每符合一项得1分，最多得</w:t>
            </w:r>
            <w:r>
              <w:rPr>
                <w:rFonts w:ascii="宋体" w:hAnsi="宋体"/>
                <w:color w:val="000000"/>
                <w:kern w:val="0"/>
                <w:sz w:val="18"/>
                <w:szCs w:val="18"/>
              </w:rPr>
              <w:t>5</w:t>
            </w:r>
            <w:r>
              <w:rPr>
                <w:rFonts w:hint="eastAsia" w:ascii="宋体" w:hAnsi="宋体"/>
                <w:color w:val="000000"/>
                <w:kern w:val="0"/>
                <w:sz w:val="18"/>
                <w:szCs w:val="1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7" w:hRule="atLeast"/>
        </w:trPr>
        <w:tc>
          <w:tcPr>
            <w:tcW w:w="14757" w:type="dxa"/>
            <w:gridSpan w:val="4"/>
            <w:tcBorders>
              <w:bottom w:val="single" w:color="auto" w:sz="4" w:space="0"/>
            </w:tcBorders>
            <w:shd w:val="clear" w:color="auto" w:fill="FFFFFF" w:themeFill="background1"/>
            <w:vAlign w:val="center"/>
          </w:tcPr>
          <w:p>
            <w:pPr>
              <w:widowControl/>
              <w:jc w:val="left"/>
              <w:rPr>
                <w:rFonts w:ascii="宋体" w:hAnsi="宋体"/>
                <w:color w:val="000000"/>
                <w:kern w:val="0"/>
                <w:sz w:val="18"/>
                <w:szCs w:val="18"/>
              </w:rPr>
            </w:pPr>
            <w:r>
              <w:rPr>
                <w:rFonts w:hint="eastAsia" w:ascii="宋体" w:hAnsi="宋体" w:eastAsia="宋体" w:cs="宋体"/>
                <w:b w:val="0"/>
                <w:bCs/>
                <w:color w:val="000000"/>
                <w:sz w:val="18"/>
                <w:szCs w:val="18"/>
              </w:rPr>
              <w:t>三、创新发展</w:t>
            </w:r>
            <w:r>
              <w:rPr>
                <w:rFonts w:hint="eastAsia" w:ascii="宋体" w:hAnsi="宋体" w:eastAsia="宋体" w:cs="宋体"/>
                <w:b w:val="0"/>
                <w:bCs/>
                <w:color w:val="000000"/>
                <w:sz w:val="18"/>
                <w:szCs w:val="18"/>
                <w:lang w:eastAsia="zh-CN"/>
              </w:rPr>
              <w:t>能力</w:t>
            </w:r>
            <w:r>
              <w:rPr>
                <w:rFonts w:hint="eastAsia" w:ascii="宋体" w:hAnsi="宋体" w:eastAsia="宋体" w:cs="宋体"/>
                <w:b w:val="0"/>
                <w:bCs/>
                <w:color w:val="000000"/>
                <w:sz w:val="18"/>
                <w:szCs w:val="18"/>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77" w:hRule="atLeast"/>
        </w:trPr>
        <w:tc>
          <w:tcPr>
            <w:tcW w:w="1339" w:type="dxa"/>
            <w:shd w:val="clear" w:color="auto" w:fill="FFFFFF" w:themeFill="background1"/>
            <w:vAlign w:val="center"/>
          </w:tcPr>
          <w:p>
            <w:pPr>
              <w:widowControl/>
              <w:jc w:val="center"/>
              <w:rPr>
                <w:rFonts w:hint="eastAsia" w:ascii="宋体" w:hAnsi="宋体" w:eastAsia="宋体" w:cs="宋体"/>
                <w:b w:val="0"/>
                <w:bCs w:val="0"/>
                <w:color w:val="000000"/>
                <w:kern w:val="0"/>
                <w:sz w:val="18"/>
                <w:szCs w:val="18"/>
              </w:rPr>
            </w:pPr>
            <w:r>
              <w:rPr>
                <w:rFonts w:hint="eastAsia" w:ascii="宋体" w:hAnsi="宋体" w:eastAsia="宋体" w:cs="宋体"/>
                <w:b w:val="0"/>
                <w:bCs w:val="0"/>
                <w:color w:val="000000"/>
                <w:kern w:val="0"/>
                <w:sz w:val="18"/>
                <w:szCs w:val="18"/>
              </w:rPr>
              <w:t>一级指标</w:t>
            </w:r>
          </w:p>
        </w:tc>
        <w:tc>
          <w:tcPr>
            <w:tcW w:w="1450" w:type="dxa"/>
            <w:shd w:val="clear" w:color="auto" w:fill="FFFFFF" w:themeFill="background1"/>
            <w:vAlign w:val="center"/>
          </w:tcPr>
          <w:p>
            <w:pPr>
              <w:widowControl/>
              <w:jc w:val="center"/>
              <w:rPr>
                <w:rFonts w:hint="eastAsia" w:ascii="宋体" w:hAnsi="宋体" w:eastAsia="宋体" w:cs="宋体"/>
                <w:b w:val="0"/>
                <w:bCs w:val="0"/>
                <w:color w:val="000000"/>
                <w:kern w:val="0"/>
                <w:sz w:val="18"/>
                <w:szCs w:val="18"/>
              </w:rPr>
            </w:pPr>
            <w:r>
              <w:rPr>
                <w:rFonts w:hint="eastAsia" w:ascii="宋体" w:hAnsi="宋体" w:eastAsia="宋体" w:cs="宋体"/>
                <w:b w:val="0"/>
                <w:bCs w:val="0"/>
                <w:color w:val="000000"/>
                <w:kern w:val="0"/>
                <w:sz w:val="18"/>
                <w:szCs w:val="18"/>
              </w:rPr>
              <w:t>二级指标</w:t>
            </w:r>
          </w:p>
        </w:tc>
        <w:tc>
          <w:tcPr>
            <w:tcW w:w="5387" w:type="dxa"/>
            <w:shd w:val="clear" w:color="auto" w:fill="FFFFFF" w:themeFill="background1"/>
            <w:vAlign w:val="center"/>
          </w:tcPr>
          <w:p>
            <w:pPr>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评分标准</w:t>
            </w:r>
          </w:p>
        </w:tc>
        <w:tc>
          <w:tcPr>
            <w:tcW w:w="6581" w:type="dxa"/>
            <w:shd w:val="clear" w:color="auto" w:fill="FFFFFF" w:themeFill="background1"/>
            <w:vAlign w:val="center"/>
          </w:tcPr>
          <w:p>
            <w:pPr>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评分说明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339" w:type="dxa"/>
            <w:vMerge w:val="restart"/>
            <w:shd w:val="clear" w:color="auto" w:fill="FFFFFF" w:themeFill="background1"/>
            <w:vAlign w:val="center"/>
          </w:tcPr>
          <w:p>
            <w:pPr>
              <w:widowControl/>
              <w:jc w:val="center"/>
              <w:rPr>
                <w:rFonts w:hint="eastAsia" w:ascii="宋体" w:hAnsi="宋体" w:eastAsia="宋体"/>
                <w:b w:val="0"/>
                <w:bCs w:val="0"/>
                <w:color w:val="000000"/>
                <w:kern w:val="0"/>
                <w:sz w:val="18"/>
                <w:szCs w:val="18"/>
                <w:lang w:eastAsia="zh-CN"/>
              </w:rPr>
            </w:pPr>
            <w:r>
              <w:rPr>
                <w:rFonts w:hint="eastAsia" w:ascii="宋体" w:hAnsi="宋体"/>
                <w:b w:val="0"/>
                <w:bCs w:val="0"/>
                <w:color w:val="000000"/>
                <w:kern w:val="0"/>
                <w:sz w:val="18"/>
                <w:szCs w:val="18"/>
              </w:rPr>
              <w:t>产品服务</w:t>
            </w:r>
            <w:r>
              <w:rPr>
                <w:rFonts w:hint="eastAsia" w:ascii="宋体" w:hAnsi="宋体"/>
                <w:b w:val="0"/>
                <w:bCs w:val="0"/>
                <w:color w:val="000000"/>
                <w:kern w:val="0"/>
                <w:sz w:val="18"/>
                <w:szCs w:val="18"/>
                <w:lang w:eastAsia="zh-CN"/>
              </w:rPr>
              <w:t>优质</w:t>
            </w:r>
          </w:p>
          <w:p>
            <w:pPr>
              <w:widowControl/>
              <w:jc w:val="center"/>
              <w:rPr>
                <w:rFonts w:ascii="宋体" w:hAnsi="宋体"/>
                <w:b w:val="0"/>
                <w:bCs w:val="0"/>
                <w:color w:val="000000"/>
                <w:kern w:val="0"/>
                <w:sz w:val="18"/>
                <w:szCs w:val="18"/>
              </w:rPr>
            </w:pPr>
            <w:r>
              <w:rPr>
                <w:rFonts w:hint="eastAsia" w:ascii="宋体" w:hAnsi="宋体"/>
                <w:b w:val="0"/>
                <w:bCs w:val="0"/>
                <w:color w:val="000000"/>
                <w:kern w:val="0"/>
                <w:sz w:val="18"/>
                <w:szCs w:val="18"/>
              </w:rPr>
              <w:t>（10分）</w:t>
            </w:r>
          </w:p>
        </w:tc>
        <w:tc>
          <w:tcPr>
            <w:tcW w:w="1450" w:type="dxa"/>
            <w:shd w:val="clear" w:color="auto" w:fill="FFFFFF" w:themeFill="background1"/>
            <w:vAlign w:val="center"/>
          </w:tcPr>
          <w:p>
            <w:pPr>
              <w:widowControl/>
              <w:jc w:val="center"/>
              <w:rPr>
                <w:rFonts w:hint="eastAsia" w:ascii="宋体" w:hAnsi="宋体" w:eastAsia="宋体"/>
                <w:b w:val="0"/>
                <w:bCs w:val="0"/>
                <w:color w:val="000000"/>
                <w:kern w:val="0"/>
                <w:sz w:val="18"/>
                <w:szCs w:val="18"/>
                <w:lang w:eastAsia="zh-CN"/>
              </w:rPr>
            </w:pPr>
            <w:r>
              <w:rPr>
                <w:rFonts w:hint="eastAsia" w:ascii="宋体" w:hAnsi="宋体"/>
                <w:b w:val="0"/>
                <w:bCs w:val="0"/>
                <w:color w:val="000000"/>
                <w:kern w:val="0"/>
                <w:sz w:val="18"/>
                <w:szCs w:val="18"/>
                <w:lang w:val="en-US" w:eastAsia="zh-Hans"/>
              </w:rPr>
              <w:t>服务</w:t>
            </w:r>
            <w:r>
              <w:rPr>
                <w:rFonts w:hint="eastAsia" w:ascii="宋体" w:hAnsi="宋体"/>
                <w:b w:val="0"/>
                <w:bCs w:val="0"/>
                <w:color w:val="000000"/>
                <w:kern w:val="0"/>
                <w:sz w:val="18"/>
                <w:szCs w:val="18"/>
              </w:rPr>
              <w:t>品质</w:t>
            </w:r>
            <w:r>
              <w:rPr>
                <w:rFonts w:hint="eastAsia" w:ascii="宋体" w:hAnsi="宋体"/>
                <w:b w:val="0"/>
                <w:bCs w:val="0"/>
                <w:color w:val="000000"/>
                <w:kern w:val="0"/>
                <w:sz w:val="18"/>
                <w:szCs w:val="18"/>
                <w:lang w:eastAsia="zh-CN"/>
              </w:rPr>
              <w:t>良好</w:t>
            </w:r>
          </w:p>
        </w:tc>
        <w:tc>
          <w:tcPr>
            <w:tcW w:w="5387"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kern w:val="0"/>
                <w:sz w:val="18"/>
                <w:szCs w:val="18"/>
              </w:rPr>
              <w:t>坚守工匠精神，提升服务质量和服务水平，永葆品质魅力。（5分）</w:t>
            </w:r>
          </w:p>
        </w:tc>
        <w:tc>
          <w:tcPr>
            <w:tcW w:w="6581"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kern w:val="0"/>
                <w:sz w:val="18"/>
                <w:szCs w:val="18"/>
              </w:rPr>
              <w:t>拥有国家级或省级非物质文化遗产代表性传承人</w:t>
            </w:r>
            <w:r>
              <w:rPr>
                <w:rFonts w:hint="eastAsia" w:ascii="宋体" w:hAnsi="宋体"/>
                <w:color w:val="000000"/>
                <w:kern w:val="0"/>
                <w:sz w:val="18"/>
                <w:szCs w:val="18"/>
                <w:lang w:eastAsia="zh-CN"/>
              </w:rPr>
              <w:t>、工艺美术大师等技艺传承人</w:t>
            </w:r>
            <w:r>
              <w:rPr>
                <w:rFonts w:hint="eastAsia" w:ascii="宋体" w:hAnsi="宋体"/>
                <w:color w:val="000000"/>
                <w:kern w:val="0"/>
                <w:sz w:val="18"/>
                <w:szCs w:val="18"/>
              </w:rPr>
              <w:t>，面向居民生活提供经济价值、文化价值较高的产品、技艺或服务，最多得5分。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339" w:type="dxa"/>
            <w:vMerge w:val="continue"/>
            <w:shd w:val="clear" w:color="auto" w:fill="FFFFFF" w:themeFill="background1"/>
            <w:vAlign w:val="center"/>
          </w:tcPr>
          <w:p>
            <w:pPr>
              <w:widowControl/>
              <w:jc w:val="center"/>
              <w:rPr>
                <w:rFonts w:ascii="宋体" w:hAnsi="宋体"/>
                <w:b w:val="0"/>
                <w:bCs w:val="0"/>
                <w:color w:val="000000"/>
                <w:kern w:val="0"/>
                <w:sz w:val="18"/>
                <w:szCs w:val="18"/>
              </w:rPr>
            </w:pPr>
          </w:p>
        </w:tc>
        <w:tc>
          <w:tcPr>
            <w:tcW w:w="1450" w:type="dxa"/>
            <w:shd w:val="clear" w:color="auto" w:fill="FFFFFF" w:themeFill="background1"/>
            <w:vAlign w:val="center"/>
          </w:tcPr>
          <w:p>
            <w:pPr>
              <w:widowControl/>
              <w:jc w:val="center"/>
              <w:rPr>
                <w:rFonts w:ascii="宋体" w:hAnsi="宋体"/>
                <w:b w:val="0"/>
                <w:bCs w:val="0"/>
                <w:color w:val="000000"/>
                <w:kern w:val="0"/>
                <w:sz w:val="18"/>
                <w:szCs w:val="18"/>
              </w:rPr>
            </w:pPr>
            <w:r>
              <w:rPr>
                <w:rFonts w:hint="eastAsia" w:ascii="宋体" w:hAnsi="宋体"/>
                <w:b w:val="0"/>
                <w:bCs w:val="0"/>
                <w:color w:val="000000"/>
                <w:kern w:val="0"/>
                <w:sz w:val="18"/>
                <w:szCs w:val="18"/>
                <w:lang w:val="en-US" w:eastAsia="zh-Hans"/>
              </w:rPr>
              <w:t>产品</w:t>
            </w:r>
            <w:r>
              <w:rPr>
                <w:rFonts w:hint="eastAsia" w:ascii="宋体" w:hAnsi="宋体"/>
                <w:b w:val="0"/>
                <w:bCs w:val="0"/>
                <w:color w:val="000000"/>
                <w:kern w:val="0"/>
                <w:sz w:val="18"/>
                <w:szCs w:val="18"/>
              </w:rPr>
              <w:t>品类丰富</w:t>
            </w:r>
          </w:p>
        </w:tc>
        <w:tc>
          <w:tcPr>
            <w:tcW w:w="5387"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kern w:val="0"/>
                <w:sz w:val="18"/>
                <w:szCs w:val="18"/>
              </w:rPr>
              <w:t>根据消费需求创新开发产品，提升产品创新力，丰富产品品类。（5分）</w:t>
            </w:r>
          </w:p>
        </w:tc>
        <w:tc>
          <w:tcPr>
            <w:tcW w:w="6581"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sz w:val="18"/>
                <w:szCs w:val="18"/>
              </w:rPr>
              <w:t>在坚持产品品质前提下，根据广大消费者需求变化创新开发产品，丰富产品品类，最多得5分。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038" w:hRule="atLeast"/>
        </w:trPr>
        <w:tc>
          <w:tcPr>
            <w:tcW w:w="1339" w:type="dxa"/>
            <w:vMerge w:val="restart"/>
            <w:shd w:val="clear" w:color="auto" w:fill="FFFFFF" w:themeFill="background1"/>
            <w:vAlign w:val="center"/>
          </w:tcPr>
          <w:p>
            <w:pPr>
              <w:widowControl/>
              <w:jc w:val="center"/>
              <w:rPr>
                <w:rFonts w:ascii="宋体" w:hAnsi="宋体"/>
                <w:b w:val="0"/>
                <w:bCs/>
                <w:color w:val="000000"/>
                <w:kern w:val="0"/>
                <w:sz w:val="18"/>
                <w:szCs w:val="18"/>
              </w:rPr>
            </w:pPr>
            <w:r>
              <w:rPr>
                <w:rFonts w:hint="eastAsia" w:ascii="宋体" w:hAnsi="宋体"/>
                <w:b w:val="0"/>
                <w:bCs/>
                <w:color w:val="000000"/>
                <w:kern w:val="0"/>
                <w:sz w:val="18"/>
                <w:szCs w:val="18"/>
                <w:lang w:eastAsia="zh-CN"/>
              </w:rPr>
              <w:t>研发能力突出</w:t>
            </w:r>
          </w:p>
          <w:p>
            <w:pPr>
              <w:widowControl/>
              <w:jc w:val="center"/>
              <w:rPr>
                <w:rFonts w:ascii="宋体" w:hAnsi="宋体"/>
                <w:b w:val="0"/>
                <w:bCs/>
                <w:color w:val="000000"/>
                <w:kern w:val="0"/>
                <w:sz w:val="18"/>
                <w:szCs w:val="18"/>
              </w:rPr>
            </w:pPr>
            <w:r>
              <w:rPr>
                <w:rFonts w:hint="eastAsia" w:ascii="宋体" w:hAnsi="宋体"/>
                <w:b w:val="0"/>
                <w:bCs/>
                <w:color w:val="000000"/>
                <w:kern w:val="0"/>
                <w:sz w:val="18"/>
                <w:szCs w:val="18"/>
              </w:rPr>
              <w:t>（10分）</w:t>
            </w:r>
          </w:p>
        </w:tc>
        <w:tc>
          <w:tcPr>
            <w:tcW w:w="1450" w:type="dxa"/>
            <w:shd w:val="clear" w:color="auto" w:fill="FFFFFF" w:themeFill="background1"/>
            <w:vAlign w:val="center"/>
          </w:tcPr>
          <w:p>
            <w:pPr>
              <w:widowControl/>
              <w:jc w:val="center"/>
              <w:rPr>
                <w:rFonts w:hint="eastAsia" w:ascii="宋体" w:hAnsi="宋体" w:eastAsia="宋体"/>
                <w:b w:val="0"/>
                <w:bCs/>
                <w:color w:val="000000"/>
                <w:kern w:val="0"/>
                <w:sz w:val="18"/>
                <w:szCs w:val="18"/>
                <w:lang w:eastAsia="zh-CN"/>
              </w:rPr>
            </w:pPr>
            <w:r>
              <w:rPr>
                <w:rFonts w:hint="eastAsia" w:ascii="宋体" w:hAnsi="宋体"/>
                <w:b w:val="0"/>
                <w:bCs/>
                <w:color w:val="000000"/>
                <w:kern w:val="0"/>
                <w:sz w:val="18"/>
                <w:szCs w:val="18"/>
                <w:lang w:val="en-US" w:eastAsia="zh-Hans"/>
              </w:rPr>
              <w:t>生产</w:t>
            </w:r>
            <w:r>
              <w:rPr>
                <w:rFonts w:hint="eastAsia" w:ascii="宋体" w:hAnsi="宋体"/>
                <w:b w:val="0"/>
                <w:bCs/>
                <w:color w:val="000000"/>
                <w:kern w:val="0"/>
                <w:sz w:val="18"/>
                <w:szCs w:val="18"/>
              </w:rPr>
              <w:t>技艺</w:t>
            </w:r>
            <w:r>
              <w:rPr>
                <w:rFonts w:hint="eastAsia" w:ascii="宋体" w:hAnsi="宋体"/>
                <w:b w:val="0"/>
                <w:bCs/>
                <w:color w:val="000000"/>
                <w:kern w:val="0"/>
                <w:sz w:val="18"/>
                <w:szCs w:val="18"/>
                <w:lang w:val="en-US" w:eastAsia="zh-Hans"/>
              </w:rPr>
              <w:t>革新</w:t>
            </w:r>
          </w:p>
        </w:tc>
        <w:tc>
          <w:tcPr>
            <w:tcW w:w="5387"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kern w:val="0"/>
                <w:sz w:val="18"/>
                <w:szCs w:val="18"/>
              </w:rPr>
              <w:t>运用先进技术和设备，全面掌握并运用传统工艺核心技艺和关键技术，与时俱进改进技艺，创新生产方式，降低生产成本，提高生产效率，形成了</w:t>
            </w:r>
            <w:r>
              <w:rPr>
                <w:rFonts w:hint="eastAsia" w:ascii="宋体" w:hAnsi="宋体"/>
                <w:color w:val="000000"/>
                <w:sz w:val="18"/>
                <w:szCs w:val="18"/>
              </w:rPr>
              <w:t>与品牌传统工艺技术相匹配的新技艺，且成效明显。（4分）</w:t>
            </w:r>
          </w:p>
        </w:tc>
        <w:tc>
          <w:tcPr>
            <w:tcW w:w="6581"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kern w:val="0"/>
                <w:sz w:val="18"/>
                <w:szCs w:val="18"/>
              </w:rPr>
              <w:t>运用先进技术和设备，全面掌握并运用传统工艺核心技艺和关键技术，与时俱进改进技艺，创新生产方式，降低生产成本，提高生产效率，形成了</w:t>
            </w:r>
            <w:r>
              <w:rPr>
                <w:rFonts w:hint="eastAsia" w:ascii="宋体" w:hAnsi="宋体"/>
                <w:color w:val="000000"/>
                <w:sz w:val="18"/>
                <w:szCs w:val="18"/>
              </w:rPr>
              <w:t>与品牌传统工艺技术相匹配的新技艺，且成效明显，最多得4分。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89" w:hRule="atLeast"/>
        </w:trPr>
        <w:tc>
          <w:tcPr>
            <w:tcW w:w="1339" w:type="dxa"/>
            <w:vMerge w:val="continue"/>
            <w:shd w:val="clear" w:color="auto" w:fill="FFFFFF" w:themeFill="background1"/>
            <w:vAlign w:val="center"/>
          </w:tcPr>
          <w:p>
            <w:pPr>
              <w:widowControl/>
              <w:jc w:val="center"/>
              <w:rPr>
                <w:rFonts w:ascii="宋体" w:hAnsi="宋体"/>
                <w:b w:val="0"/>
                <w:bCs/>
                <w:color w:val="000000"/>
                <w:kern w:val="0"/>
                <w:sz w:val="18"/>
                <w:szCs w:val="18"/>
              </w:rPr>
            </w:pPr>
          </w:p>
        </w:tc>
        <w:tc>
          <w:tcPr>
            <w:tcW w:w="1450" w:type="dxa"/>
            <w:shd w:val="clear" w:color="auto" w:fill="FFFFFF" w:themeFill="background1"/>
            <w:vAlign w:val="center"/>
          </w:tcPr>
          <w:p>
            <w:pPr>
              <w:widowControl/>
              <w:jc w:val="center"/>
              <w:rPr>
                <w:rFonts w:ascii="宋体" w:hAnsi="宋体"/>
                <w:b w:val="0"/>
                <w:bCs/>
                <w:color w:val="000000"/>
                <w:kern w:val="0"/>
                <w:sz w:val="18"/>
                <w:szCs w:val="18"/>
              </w:rPr>
            </w:pPr>
            <w:r>
              <w:rPr>
                <w:rFonts w:hint="eastAsia" w:ascii="宋体" w:hAnsi="宋体"/>
                <w:b w:val="0"/>
                <w:bCs/>
                <w:color w:val="000000"/>
                <w:kern w:val="0"/>
                <w:sz w:val="18"/>
                <w:szCs w:val="18"/>
                <w:lang w:eastAsia="zh-CN"/>
              </w:rPr>
              <w:t>科技</w:t>
            </w:r>
            <w:r>
              <w:rPr>
                <w:rFonts w:hint="eastAsia" w:ascii="宋体" w:hAnsi="宋体"/>
                <w:b w:val="0"/>
                <w:bCs/>
                <w:color w:val="000000"/>
                <w:kern w:val="0"/>
                <w:sz w:val="18"/>
                <w:szCs w:val="18"/>
                <w:lang w:val="en-US" w:eastAsia="zh-Hans"/>
              </w:rPr>
              <w:t>研发</w:t>
            </w:r>
            <w:r>
              <w:rPr>
                <w:rFonts w:hint="eastAsia" w:ascii="宋体" w:hAnsi="宋体"/>
                <w:b w:val="0"/>
                <w:bCs/>
                <w:color w:val="000000"/>
                <w:kern w:val="0"/>
                <w:sz w:val="18"/>
                <w:szCs w:val="18"/>
                <w:lang w:eastAsia="zh-CN"/>
              </w:rPr>
              <w:t>创新</w:t>
            </w:r>
          </w:p>
        </w:tc>
        <w:tc>
          <w:tcPr>
            <w:tcW w:w="5387"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kern w:val="0"/>
                <w:sz w:val="18"/>
                <w:szCs w:val="18"/>
              </w:rPr>
              <w:t>建立技术中心或科研机构，对传统技艺进行研究、保护、传承和创新。（3分）</w:t>
            </w:r>
          </w:p>
        </w:tc>
        <w:tc>
          <w:tcPr>
            <w:tcW w:w="6581"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sz w:val="18"/>
                <w:szCs w:val="18"/>
              </w:rPr>
              <w:t>建立国家级技术中心或同级别科研机构（3分）；建立省级技术中心或同级别科研机构（2分）；建立市级技术中心或同级别科研机构（1分）。</w:t>
            </w:r>
            <w:r>
              <w:rPr>
                <w:rFonts w:hint="eastAsia" w:ascii="宋体" w:hAnsi="宋体"/>
                <w:color w:val="000000"/>
                <w:kern w:val="0"/>
                <w:sz w:val="18"/>
                <w:szCs w:val="18"/>
              </w:rPr>
              <w:t>不重复得分。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64" w:hRule="atLeast"/>
        </w:trPr>
        <w:tc>
          <w:tcPr>
            <w:tcW w:w="1339" w:type="dxa"/>
            <w:vMerge w:val="continue"/>
            <w:shd w:val="clear" w:color="auto" w:fill="FFFFFF" w:themeFill="background1"/>
            <w:vAlign w:val="center"/>
          </w:tcPr>
          <w:p>
            <w:pPr>
              <w:widowControl/>
              <w:jc w:val="center"/>
              <w:rPr>
                <w:rFonts w:ascii="宋体" w:hAnsi="宋体"/>
                <w:b w:val="0"/>
                <w:bCs/>
                <w:color w:val="000000"/>
                <w:kern w:val="0"/>
                <w:sz w:val="18"/>
                <w:szCs w:val="18"/>
              </w:rPr>
            </w:pPr>
          </w:p>
        </w:tc>
        <w:tc>
          <w:tcPr>
            <w:tcW w:w="1450" w:type="dxa"/>
            <w:shd w:val="clear" w:color="auto" w:fill="FFFFFF" w:themeFill="background1"/>
            <w:vAlign w:val="center"/>
          </w:tcPr>
          <w:p>
            <w:pPr>
              <w:widowControl/>
              <w:jc w:val="center"/>
              <w:rPr>
                <w:rFonts w:hint="eastAsia" w:ascii="宋体" w:hAnsi="宋体" w:eastAsia="宋体"/>
                <w:b w:val="0"/>
                <w:bCs/>
                <w:color w:val="000000"/>
                <w:kern w:val="0"/>
                <w:sz w:val="18"/>
                <w:szCs w:val="18"/>
                <w:lang w:eastAsia="zh-CN"/>
              </w:rPr>
            </w:pPr>
            <w:r>
              <w:rPr>
                <w:rFonts w:hint="eastAsia" w:ascii="宋体" w:hAnsi="宋体"/>
                <w:b w:val="0"/>
                <w:bCs/>
                <w:color w:val="000000"/>
                <w:kern w:val="0"/>
                <w:sz w:val="18"/>
                <w:szCs w:val="18"/>
              </w:rPr>
              <w:t>人才培养</w:t>
            </w:r>
            <w:r>
              <w:rPr>
                <w:rFonts w:hint="eastAsia" w:ascii="宋体" w:hAnsi="宋体"/>
                <w:b w:val="0"/>
                <w:bCs/>
                <w:color w:val="000000"/>
                <w:kern w:val="0"/>
                <w:sz w:val="18"/>
                <w:szCs w:val="18"/>
                <w:lang w:eastAsia="zh-CN"/>
              </w:rPr>
              <w:t>有力</w:t>
            </w:r>
          </w:p>
        </w:tc>
        <w:tc>
          <w:tcPr>
            <w:tcW w:w="5387"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kern w:val="0"/>
                <w:sz w:val="18"/>
                <w:szCs w:val="18"/>
              </w:rPr>
              <w:t>有完善的人才培养和管理制度，注重专业人才队伍建设。（3分）</w:t>
            </w:r>
          </w:p>
        </w:tc>
        <w:tc>
          <w:tcPr>
            <w:tcW w:w="6581" w:type="dxa"/>
            <w:shd w:val="clear" w:color="auto" w:fill="FFFFFF" w:themeFill="background1"/>
            <w:vAlign w:val="center"/>
          </w:tcPr>
          <w:p>
            <w:pPr>
              <w:rPr>
                <w:rFonts w:ascii="宋体" w:hAnsi="宋体"/>
                <w:color w:val="000000"/>
                <w:sz w:val="18"/>
                <w:szCs w:val="18"/>
              </w:rPr>
            </w:pPr>
            <w:r>
              <w:rPr>
                <w:rFonts w:hint="eastAsia" w:ascii="宋体" w:hAnsi="宋体"/>
                <w:color w:val="000000"/>
                <w:kern w:val="0"/>
                <w:sz w:val="18"/>
                <w:szCs w:val="18"/>
              </w:rPr>
              <w:t>有完善的人才培养和管理制度，</w:t>
            </w:r>
            <w:r>
              <w:rPr>
                <w:rFonts w:hint="eastAsia" w:ascii="宋体" w:hAnsi="宋体"/>
                <w:color w:val="000000"/>
                <w:sz w:val="18"/>
                <w:szCs w:val="18"/>
              </w:rPr>
              <w:t>定期组织员工培训，积极吸收高等教育毕业生就业，吸纳非物质文化遗产代表性传承人参与生产或培训等。</w:t>
            </w:r>
            <w:r>
              <w:rPr>
                <w:rFonts w:hint="eastAsia" w:ascii="宋体" w:hAnsi="宋体"/>
                <w:color w:val="000000"/>
                <w:kern w:val="0"/>
                <w:sz w:val="18"/>
                <w:szCs w:val="18"/>
              </w:rPr>
              <w:t>每采取一项措施得1分，最多得3分。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826" w:hRule="atLeast"/>
        </w:trPr>
        <w:tc>
          <w:tcPr>
            <w:tcW w:w="1339" w:type="dxa"/>
            <w:vMerge w:val="restart"/>
            <w:shd w:val="clear" w:color="auto" w:fill="FFFFFF" w:themeFill="background1"/>
            <w:vAlign w:val="center"/>
          </w:tcPr>
          <w:p>
            <w:pPr>
              <w:jc w:val="center"/>
              <w:rPr>
                <w:rFonts w:hint="eastAsia" w:ascii="宋体" w:hAnsi="宋体" w:eastAsia="宋体"/>
                <w:b w:val="0"/>
                <w:bCs/>
                <w:color w:val="000000"/>
                <w:kern w:val="0"/>
                <w:sz w:val="18"/>
                <w:szCs w:val="18"/>
                <w:lang w:eastAsia="zh-CN"/>
              </w:rPr>
            </w:pPr>
            <w:r>
              <w:rPr>
                <w:rFonts w:hint="eastAsia" w:ascii="宋体" w:hAnsi="宋体"/>
                <w:b w:val="0"/>
                <w:bCs/>
                <w:color w:val="000000"/>
                <w:kern w:val="0"/>
                <w:sz w:val="18"/>
                <w:szCs w:val="18"/>
              </w:rPr>
              <w:t>消费场景</w:t>
            </w:r>
            <w:r>
              <w:rPr>
                <w:rFonts w:hint="eastAsia" w:ascii="宋体" w:hAnsi="宋体"/>
                <w:b w:val="0"/>
                <w:bCs/>
                <w:color w:val="000000"/>
                <w:kern w:val="0"/>
                <w:sz w:val="18"/>
                <w:szCs w:val="18"/>
                <w:lang w:eastAsia="zh-CN"/>
              </w:rPr>
              <w:t>丰富</w:t>
            </w:r>
          </w:p>
          <w:p>
            <w:pPr>
              <w:jc w:val="center"/>
              <w:rPr>
                <w:rFonts w:ascii="宋体" w:hAnsi="宋体"/>
                <w:b w:val="0"/>
                <w:bCs/>
                <w:color w:val="000000"/>
                <w:kern w:val="0"/>
                <w:sz w:val="18"/>
                <w:szCs w:val="18"/>
              </w:rPr>
            </w:pPr>
            <w:r>
              <w:rPr>
                <w:rFonts w:hint="eastAsia" w:ascii="宋体" w:hAnsi="宋体"/>
                <w:b w:val="0"/>
                <w:bCs/>
                <w:color w:val="000000"/>
                <w:kern w:val="0"/>
                <w:sz w:val="18"/>
                <w:szCs w:val="18"/>
              </w:rPr>
              <w:t>（12分）</w:t>
            </w:r>
          </w:p>
        </w:tc>
        <w:tc>
          <w:tcPr>
            <w:tcW w:w="1450" w:type="dxa"/>
            <w:shd w:val="clear" w:color="auto" w:fill="FFFFFF" w:themeFill="background1"/>
            <w:vAlign w:val="center"/>
          </w:tcPr>
          <w:p>
            <w:pPr>
              <w:jc w:val="center"/>
              <w:rPr>
                <w:rFonts w:hint="default" w:ascii="宋体" w:hAnsi="宋体" w:eastAsia="宋体"/>
                <w:b w:val="0"/>
                <w:bCs/>
                <w:color w:val="000000"/>
                <w:kern w:val="0"/>
                <w:sz w:val="18"/>
                <w:szCs w:val="18"/>
                <w:lang w:val="en-US" w:eastAsia="zh-Hans"/>
              </w:rPr>
            </w:pPr>
            <w:r>
              <w:rPr>
                <w:rFonts w:hint="eastAsia" w:ascii="宋体" w:hAnsi="宋体"/>
                <w:b w:val="0"/>
                <w:bCs/>
                <w:color w:val="000000"/>
                <w:kern w:val="0"/>
                <w:sz w:val="18"/>
                <w:szCs w:val="18"/>
                <w:lang w:eastAsia="zh-CN"/>
              </w:rPr>
              <w:t>传播</w:t>
            </w:r>
            <w:r>
              <w:rPr>
                <w:rFonts w:hint="eastAsia" w:ascii="宋体" w:hAnsi="宋体"/>
                <w:b w:val="0"/>
                <w:bCs/>
                <w:color w:val="000000"/>
                <w:kern w:val="0"/>
                <w:sz w:val="18"/>
                <w:szCs w:val="18"/>
                <w:lang w:val="en-US" w:eastAsia="zh-Hans"/>
              </w:rPr>
              <w:t>活动多样</w:t>
            </w:r>
          </w:p>
        </w:tc>
        <w:tc>
          <w:tcPr>
            <w:tcW w:w="5387"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kern w:val="0"/>
                <w:sz w:val="18"/>
                <w:szCs w:val="18"/>
              </w:rPr>
              <w:t>举办形式多样的购物消费活动、文化内涵丰富的文化活动，以及突出商旅文融合发展的互动活动。（3分）</w:t>
            </w:r>
          </w:p>
        </w:tc>
        <w:tc>
          <w:tcPr>
            <w:tcW w:w="6581"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sz w:val="18"/>
                <w:szCs w:val="18"/>
              </w:rPr>
              <w:t>经常性举办具有影响力的大型购物消费类活动、</w:t>
            </w:r>
            <w:r>
              <w:rPr>
                <w:rFonts w:hint="eastAsia" w:ascii="宋体" w:hAnsi="宋体"/>
                <w:color w:val="000000"/>
                <w:kern w:val="0"/>
                <w:sz w:val="18"/>
                <w:szCs w:val="18"/>
              </w:rPr>
              <w:t>文化内涵丰富的文化活动，以及突出商旅文融合发展的互动活动，每举办一次上述活动得0.5分，最多得3分。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27" w:hRule="atLeast"/>
        </w:trPr>
        <w:tc>
          <w:tcPr>
            <w:tcW w:w="1339" w:type="dxa"/>
            <w:vMerge w:val="continue"/>
            <w:shd w:val="clear" w:color="auto" w:fill="FFFFFF" w:themeFill="background1"/>
          </w:tcPr>
          <w:p>
            <w:pPr>
              <w:widowControl/>
              <w:rPr>
                <w:rFonts w:ascii="宋体" w:hAnsi="宋体"/>
                <w:b w:val="0"/>
                <w:bCs/>
                <w:color w:val="000000"/>
                <w:kern w:val="0"/>
                <w:sz w:val="18"/>
                <w:szCs w:val="18"/>
              </w:rPr>
            </w:pPr>
          </w:p>
        </w:tc>
        <w:tc>
          <w:tcPr>
            <w:tcW w:w="1450" w:type="dxa"/>
            <w:shd w:val="clear" w:color="auto" w:fill="FFFFFF" w:themeFill="background1"/>
            <w:vAlign w:val="center"/>
          </w:tcPr>
          <w:p>
            <w:pPr>
              <w:widowControl/>
              <w:jc w:val="center"/>
              <w:rPr>
                <w:rFonts w:hint="eastAsia" w:ascii="宋体" w:hAnsi="宋体" w:eastAsia="宋体"/>
                <w:b w:val="0"/>
                <w:bCs/>
                <w:color w:val="000000"/>
                <w:kern w:val="0"/>
                <w:sz w:val="18"/>
                <w:szCs w:val="18"/>
                <w:lang w:val="en-US" w:eastAsia="zh-Hans"/>
              </w:rPr>
            </w:pPr>
            <w:r>
              <w:rPr>
                <w:rFonts w:hint="eastAsia" w:ascii="宋体" w:hAnsi="宋体"/>
                <w:b w:val="0"/>
                <w:bCs/>
                <w:color w:val="000000"/>
                <w:kern w:val="0"/>
                <w:sz w:val="18"/>
                <w:szCs w:val="18"/>
              </w:rPr>
              <w:t>跨界融合</w:t>
            </w:r>
            <w:r>
              <w:rPr>
                <w:rFonts w:hint="eastAsia" w:ascii="宋体" w:hAnsi="宋体"/>
                <w:b w:val="0"/>
                <w:bCs/>
                <w:color w:val="000000"/>
                <w:kern w:val="0"/>
                <w:sz w:val="18"/>
                <w:szCs w:val="18"/>
                <w:lang w:val="en-US" w:eastAsia="zh-Hans"/>
              </w:rPr>
              <w:t>精准</w:t>
            </w:r>
          </w:p>
        </w:tc>
        <w:tc>
          <w:tcPr>
            <w:tcW w:w="5387"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kern w:val="0"/>
                <w:sz w:val="18"/>
                <w:szCs w:val="18"/>
              </w:rPr>
              <w:t>与匹配度高的</w:t>
            </w:r>
            <w:r>
              <w:rPr>
                <w:rFonts w:hint="eastAsia" w:ascii="宋体" w:hAnsi="宋体"/>
                <w:color w:val="000000"/>
                <w:kern w:val="0"/>
                <w:sz w:val="18"/>
                <w:szCs w:val="18"/>
                <w:highlight w:val="none"/>
              </w:rPr>
              <w:t>国货品牌、影视或动漫作品、文创产品等跨界互动，联合打造I</w:t>
            </w:r>
            <w:r>
              <w:rPr>
                <w:rFonts w:ascii="宋体" w:hAnsi="宋体"/>
                <w:color w:val="000000"/>
                <w:kern w:val="0"/>
                <w:sz w:val="18"/>
                <w:szCs w:val="18"/>
                <w:highlight w:val="none"/>
              </w:rPr>
              <w:t>P</w:t>
            </w:r>
            <w:r>
              <w:rPr>
                <w:rFonts w:hint="eastAsia" w:ascii="宋体" w:hAnsi="宋体"/>
                <w:color w:val="000000"/>
                <w:kern w:val="0"/>
                <w:sz w:val="18"/>
                <w:szCs w:val="18"/>
                <w:highlight w:val="none"/>
              </w:rPr>
              <w:t>，共同开展营销，吸引年轻消费群体，推动流量转化，引领国潮热点。（3分）</w:t>
            </w:r>
          </w:p>
        </w:tc>
        <w:tc>
          <w:tcPr>
            <w:tcW w:w="6581"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kern w:val="0"/>
                <w:sz w:val="18"/>
                <w:szCs w:val="18"/>
              </w:rPr>
              <w:t>与匹配度高的国货品牌、影视或动漫作品、文创产品等跨界互动，联合打造I</w:t>
            </w:r>
            <w:r>
              <w:rPr>
                <w:rFonts w:ascii="宋体" w:hAnsi="宋体"/>
                <w:color w:val="000000"/>
                <w:kern w:val="0"/>
                <w:sz w:val="18"/>
                <w:szCs w:val="18"/>
              </w:rPr>
              <w:t>P</w:t>
            </w:r>
            <w:r>
              <w:rPr>
                <w:rFonts w:hint="eastAsia" w:ascii="宋体" w:hAnsi="宋体"/>
                <w:color w:val="000000"/>
                <w:kern w:val="0"/>
                <w:sz w:val="18"/>
                <w:szCs w:val="18"/>
              </w:rPr>
              <w:t>，共同开展营销。每采取一项措施得0.5分，最多得3分。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76" w:hRule="atLeast"/>
        </w:trPr>
        <w:tc>
          <w:tcPr>
            <w:tcW w:w="1339" w:type="dxa"/>
            <w:vMerge w:val="continue"/>
            <w:shd w:val="clear" w:color="auto" w:fill="FFFFFF" w:themeFill="background1"/>
          </w:tcPr>
          <w:p>
            <w:pPr>
              <w:widowControl/>
              <w:rPr>
                <w:rFonts w:ascii="宋体" w:hAnsi="宋体"/>
                <w:b w:val="0"/>
                <w:bCs/>
                <w:color w:val="000000"/>
                <w:kern w:val="0"/>
                <w:sz w:val="18"/>
                <w:szCs w:val="18"/>
              </w:rPr>
            </w:pPr>
          </w:p>
        </w:tc>
        <w:tc>
          <w:tcPr>
            <w:tcW w:w="1450" w:type="dxa"/>
            <w:shd w:val="clear" w:color="auto" w:fill="FFFFFF" w:themeFill="background1"/>
            <w:vAlign w:val="center"/>
          </w:tcPr>
          <w:p>
            <w:pPr>
              <w:widowControl/>
              <w:jc w:val="center"/>
              <w:rPr>
                <w:rFonts w:hint="eastAsia" w:ascii="宋体" w:hAnsi="宋体" w:eastAsia="宋体"/>
                <w:b w:val="0"/>
                <w:bCs/>
                <w:color w:val="000000"/>
                <w:kern w:val="0"/>
                <w:sz w:val="18"/>
                <w:szCs w:val="18"/>
                <w:lang w:val="en-US" w:eastAsia="zh-CN"/>
              </w:rPr>
            </w:pPr>
            <w:r>
              <w:rPr>
                <w:rFonts w:hint="eastAsia" w:ascii="宋体" w:hAnsi="宋体"/>
                <w:b w:val="0"/>
                <w:bCs/>
                <w:color w:val="000000"/>
                <w:kern w:val="0"/>
                <w:sz w:val="18"/>
                <w:szCs w:val="18"/>
                <w:lang w:eastAsia="zh-CN"/>
              </w:rPr>
              <w:t>营销</w:t>
            </w:r>
            <w:r>
              <w:rPr>
                <w:rFonts w:hint="eastAsia" w:ascii="宋体" w:hAnsi="宋体"/>
                <w:b w:val="0"/>
                <w:bCs/>
                <w:color w:val="000000"/>
                <w:kern w:val="0"/>
                <w:sz w:val="18"/>
                <w:szCs w:val="18"/>
              </w:rPr>
              <w:t>渠道</w:t>
            </w:r>
            <w:r>
              <w:rPr>
                <w:rFonts w:hint="eastAsia" w:ascii="宋体" w:hAnsi="宋体"/>
                <w:b w:val="0"/>
                <w:bCs/>
                <w:color w:val="000000"/>
                <w:kern w:val="0"/>
                <w:sz w:val="18"/>
                <w:szCs w:val="18"/>
                <w:lang w:val="en-US" w:eastAsia="zh-CN"/>
              </w:rPr>
              <w:t>多元</w:t>
            </w:r>
          </w:p>
        </w:tc>
        <w:tc>
          <w:tcPr>
            <w:tcW w:w="5387"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kern w:val="0"/>
                <w:sz w:val="18"/>
                <w:szCs w:val="18"/>
              </w:rPr>
              <w:t>运用互联网技术，利用第三方平台、公众号、直播带货、快闪店等方式，全方位推动线上线下营销渠道融合。（3分）</w:t>
            </w:r>
          </w:p>
        </w:tc>
        <w:tc>
          <w:tcPr>
            <w:tcW w:w="6581"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kern w:val="0"/>
                <w:sz w:val="18"/>
                <w:szCs w:val="18"/>
              </w:rPr>
              <w:t>运用互联网技术，利用第三方平台、公众号、直播、快闪店等方式，全方位推动线上线下营销渠道融合，每采取一种线上营销方式可得0.5分，最多得3分。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64" w:hRule="atLeast"/>
        </w:trPr>
        <w:tc>
          <w:tcPr>
            <w:tcW w:w="1339" w:type="dxa"/>
            <w:vMerge w:val="continue"/>
            <w:shd w:val="clear" w:color="auto" w:fill="FFFFFF" w:themeFill="background1"/>
          </w:tcPr>
          <w:p>
            <w:pPr>
              <w:widowControl/>
              <w:rPr>
                <w:rFonts w:ascii="宋体" w:hAnsi="宋体"/>
                <w:b/>
                <w:color w:val="000000"/>
                <w:kern w:val="0"/>
                <w:sz w:val="18"/>
                <w:szCs w:val="18"/>
              </w:rPr>
            </w:pPr>
          </w:p>
        </w:tc>
        <w:tc>
          <w:tcPr>
            <w:tcW w:w="1450" w:type="dxa"/>
            <w:shd w:val="clear" w:color="auto" w:fill="FFFFFF" w:themeFill="background1"/>
            <w:vAlign w:val="center"/>
          </w:tcPr>
          <w:p>
            <w:pPr>
              <w:widowControl/>
              <w:jc w:val="center"/>
              <w:rPr>
                <w:rFonts w:hint="eastAsia" w:ascii="宋体" w:hAnsi="宋体" w:eastAsia="宋体"/>
                <w:b w:val="0"/>
                <w:bCs/>
                <w:color w:val="000000"/>
                <w:kern w:val="0"/>
                <w:sz w:val="18"/>
                <w:szCs w:val="18"/>
                <w:lang w:eastAsia="zh-CN"/>
              </w:rPr>
            </w:pPr>
            <w:r>
              <w:rPr>
                <w:rFonts w:hint="eastAsia" w:ascii="宋体" w:hAnsi="宋体"/>
                <w:b w:val="0"/>
                <w:bCs/>
                <w:color w:val="000000"/>
                <w:kern w:val="0"/>
                <w:sz w:val="18"/>
                <w:szCs w:val="18"/>
                <w:lang w:val="en-US" w:eastAsia="zh-CN"/>
              </w:rPr>
              <w:t>消费体验提升</w:t>
            </w:r>
          </w:p>
        </w:tc>
        <w:tc>
          <w:tcPr>
            <w:tcW w:w="5387"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kern w:val="0"/>
                <w:sz w:val="18"/>
                <w:szCs w:val="18"/>
              </w:rPr>
              <w:t>注重设计标识、改进包装、升级店面、提供增值服务等，提升产品消费体验。（3分）</w:t>
            </w:r>
          </w:p>
        </w:tc>
        <w:tc>
          <w:tcPr>
            <w:tcW w:w="6581" w:type="dxa"/>
            <w:shd w:val="clear" w:color="auto" w:fill="FFFFFF" w:themeFill="background1"/>
            <w:vAlign w:val="center"/>
          </w:tcPr>
          <w:p>
            <w:pPr>
              <w:rPr>
                <w:rFonts w:ascii="宋体" w:hAnsi="宋体"/>
                <w:color w:val="000000"/>
                <w:kern w:val="0"/>
                <w:sz w:val="18"/>
                <w:szCs w:val="18"/>
              </w:rPr>
            </w:pPr>
            <w:r>
              <w:rPr>
                <w:rFonts w:hint="eastAsia" w:ascii="宋体" w:hAnsi="宋体"/>
                <w:color w:val="000000"/>
                <w:kern w:val="0"/>
                <w:sz w:val="18"/>
                <w:szCs w:val="18"/>
              </w:rPr>
              <w:t>通过注重设计标识、改进包装，升级店面、提供增值服务等措施，提升产品消费体验，吸引更多消费群体，每采用一种措施得0.5分，最多得3分。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105" w:hRule="atLeast"/>
        </w:trPr>
        <w:tc>
          <w:tcPr>
            <w:tcW w:w="1339" w:type="dxa"/>
            <w:vMerge w:val="restart"/>
            <w:shd w:val="clear" w:color="auto" w:fill="FFFFFF" w:themeFill="background1"/>
            <w:vAlign w:val="center"/>
          </w:tcPr>
          <w:p>
            <w:pPr>
              <w:widowControl/>
              <w:jc w:val="center"/>
              <w:rPr>
                <w:rFonts w:ascii="宋体" w:hAnsi="宋体"/>
                <w:b w:val="0"/>
                <w:bCs/>
                <w:color w:val="000000"/>
                <w:kern w:val="0"/>
                <w:sz w:val="18"/>
                <w:szCs w:val="18"/>
              </w:rPr>
            </w:pPr>
            <w:r>
              <w:rPr>
                <w:rFonts w:hint="eastAsia" w:ascii="宋体" w:hAnsi="宋体"/>
                <w:b w:val="0"/>
                <w:bCs/>
                <w:color w:val="000000"/>
                <w:kern w:val="0"/>
                <w:sz w:val="18"/>
                <w:szCs w:val="18"/>
              </w:rPr>
              <w:t>社会贡献</w:t>
            </w:r>
            <w:r>
              <w:rPr>
                <w:rFonts w:hint="eastAsia" w:ascii="宋体" w:hAnsi="宋体"/>
                <w:b w:val="0"/>
                <w:bCs/>
                <w:color w:val="000000"/>
                <w:kern w:val="0"/>
                <w:sz w:val="18"/>
                <w:szCs w:val="18"/>
                <w:lang w:eastAsia="zh-CN"/>
              </w:rPr>
              <w:t>杰出</w:t>
            </w:r>
          </w:p>
          <w:p>
            <w:pPr>
              <w:jc w:val="center"/>
              <w:rPr>
                <w:rFonts w:ascii="宋体" w:hAnsi="宋体"/>
                <w:color w:val="000000"/>
                <w:kern w:val="0"/>
                <w:sz w:val="18"/>
                <w:szCs w:val="18"/>
              </w:rPr>
            </w:pPr>
            <w:r>
              <w:rPr>
                <w:rFonts w:hint="eastAsia" w:ascii="宋体" w:hAnsi="宋体"/>
                <w:b w:val="0"/>
                <w:bCs/>
                <w:color w:val="000000"/>
                <w:kern w:val="0"/>
                <w:sz w:val="18"/>
                <w:szCs w:val="18"/>
              </w:rPr>
              <w:t>（8分）</w:t>
            </w:r>
          </w:p>
        </w:tc>
        <w:tc>
          <w:tcPr>
            <w:tcW w:w="1450" w:type="dxa"/>
            <w:shd w:val="clear" w:color="auto" w:fill="FFFFFF" w:themeFill="background1"/>
            <w:vAlign w:val="center"/>
          </w:tcPr>
          <w:p>
            <w:pPr>
              <w:widowControl/>
              <w:jc w:val="center"/>
              <w:rPr>
                <w:rFonts w:ascii="宋体" w:hAnsi="宋体" w:cs="黑体"/>
                <w:b w:val="0"/>
                <w:bCs/>
                <w:color w:val="000000"/>
                <w:kern w:val="0"/>
                <w:sz w:val="18"/>
                <w:szCs w:val="18"/>
              </w:rPr>
            </w:pPr>
            <w:r>
              <w:rPr>
                <w:rFonts w:hint="eastAsia" w:ascii="宋体" w:hAnsi="宋体"/>
                <w:b w:val="0"/>
                <w:bCs/>
                <w:color w:val="000000"/>
                <w:kern w:val="0"/>
                <w:sz w:val="18"/>
                <w:szCs w:val="18"/>
                <w:lang w:eastAsia="zh-CN"/>
              </w:rPr>
              <w:t>履行</w:t>
            </w:r>
            <w:r>
              <w:rPr>
                <w:rFonts w:hint="eastAsia" w:ascii="宋体" w:hAnsi="宋体"/>
                <w:b w:val="0"/>
                <w:bCs/>
                <w:color w:val="000000"/>
                <w:kern w:val="0"/>
                <w:sz w:val="18"/>
                <w:szCs w:val="18"/>
              </w:rPr>
              <w:t>社会责任</w:t>
            </w:r>
          </w:p>
        </w:tc>
        <w:tc>
          <w:tcPr>
            <w:tcW w:w="5387" w:type="dxa"/>
            <w:shd w:val="clear" w:color="auto" w:fill="FFFFFF" w:themeFill="background1"/>
            <w:vAlign w:val="center"/>
          </w:tcPr>
          <w:p>
            <w:pPr>
              <w:rPr>
                <w:rFonts w:ascii="宋体" w:hAnsi="宋体" w:cs="黑体"/>
                <w:color w:val="000000"/>
                <w:kern w:val="0"/>
                <w:sz w:val="18"/>
                <w:szCs w:val="18"/>
              </w:rPr>
            </w:pPr>
            <w:r>
              <w:rPr>
                <w:rFonts w:hint="eastAsia" w:ascii="宋体" w:hAnsi="宋体"/>
                <w:color w:val="000000"/>
                <w:kern w:val="0"/>
                <w:sz w:val="18"/>
                <w:szCs w:val="18"/>
              </w:rPr>
              <w:t>参与疫情防控、抢险救灾、应急保供等重大任务。（3分）</w:t>
            </w:r>
          </w:p>
        </w:tc>
        <w:tc>
          <w:tcPr>
            <w:tcW w:w="6581" w:type="dxa"/>
            <w:shd w:val="clear" w:color="auto" w:fill="FFFFFF" w:themeFill="background1"/>
            <w:vAlign w:val="center"/>
          </w:tcPr>
          <w:p>
            <w:pPr>
              <w:rPr>
                <w:rFonts w:ascii="宋体" w:hAnsi="宋体" w:cs="黑体"/>
                <w:color w:val="000000"/>
                <w:kern w:val="0"/>
                <w:sz w:val="18"/>
                <w:szCs w:val="18"/>
              </w:rPr>
            </w:pPr>
            <w:r>
              <w:rPr>
                <w:rFonts w:hint="eastAsia" w:ascii="宋体" w:hAnsi="宋体"/>
                <w:color w:val="000000"/>
                <w:kern w:val="0"/>
                <w:sz w:val="18"/>
                <w:szCs w:val="18"/>
              </w:rPr>
              <w:t>每参与一次任务得0.5分，最多得3分。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654" w:hRule="atLeast"/>
        </w:trPr>
        <w:tc>
          <w:tcPr>
            <w:tcW w:w="1339" w:type="dxa"/>
            <w:vMerge w:val="continue"/>
            <w:shd w:val="clear" w:color="auto" w:fill="FFFFFF" w:themeFill="background1"/>
            <w:vAlign w:val="center"/>
          </w:tcPr>
          <w:p>
            <w:pPr>
              <w:widowControl/>
              <w:jc w:val="center"/>
              <w:rPr>
                <w:rFonts w:ascii="宋体" w:hAnsi="宋体"/>
                <w:color w:val="000000"/>
                <w:kern w:val="0"/>
                <w:sz w:val="18"/>
                <w:szCs w:val="18"/>
              </w:rPr>
            </w:pPr>
          </w:p>
        </w:tc>
        <w:tc>
          <w:tcPr>
            <w:tcW w:w="1450" w:type="dxa"/>
            <w:shd w:val="clear" w:color="auto" w:fill="FFFFFF" w:themeFill="background1"/>
            <w:vAlign w:val="center"/>
          </w:tcPr>
          <w:p>
            <w:pPr>
              <w:widowControl/>
              <w:jc w:val="center"/>
              <w:rPr>
                <w:rFonts w:ascii="宋体" w:hAnsi="宋体" w:cs="黑体"/>
                <w:b w:val="0"/>
                <w:bCs/>
                <w:color w:val="000000"/>
                <w:kern w:val="0"/>
                <w:sz w:val="18"/>
                <w:szCs w:val="18"/>
              </w:rPr>
            </w:pPr>
            <w:r>
              <w:rPr>
                <w:rFonts w:hint="eastAsia" w:ascii="宋体" w:hAnsi="宋体"/>
                <w:b w:val="0"/>
                <w:bCs/>
                <w:color w:val="000000"/>
                <w:kern w:val="0"/>
                <w:sz w:val="18"/>
                <w:szCs w:val="18"/>
              </w:rPr>
              <w:t>参与</w:t>
            </w:r>
            <w:r>
              <w:rPr>
                <w:rFonts w:hint="eastAsia" w:ascii="宋体" w:hAnsi="宋体"/>
                <w:b w:val="0"/>
                <w:bCs/>
                <w:color w:val="000000"/>
                <w:kern w:val="0"/>
                <w:sz w:val="18"/>
                <w:szCs w:val="18"/>
                <w:lang w:eastAsia="zh-CN"/>
              </w:rPr>
              <w:t>公益</w:t>
            </w:r>
            <w:r>
              <w:rPr>
                <w:rFonts w:hint="eastAsia" w:ascii="宋体" w:hAnsi="宋体"/>
                <w:b w:val="0"/>
                <w:bCs/>
                <w:color w:val="000000"/>
                <w:kern w:val="0"/>
                <w:sz w:val="18"/>
                <w:szCs w:val="18"/>
              </w:rPr>
              <w:t>活动</w:t>
            </w:r>
          </w:p>
        </w:tc>
        <w:tc>
          <w:tcPr>
            <w:tcW w:w="5387" w:type="dxa"/>
            <w:shd w:val="clear" w:color="auto" w:fill="FFFFFF" w:themeFill="background1"/>
            <w:vAlign w:val="center"/>
          </w:tcPr>
          <w:p>
            <w:pPr>
              <w:rPr>
                <w:rFonts w:ascii="宋体" w:hAnsi="宋体" w:cs="黑体"/>
                <w:color w:val="000000"/>
                <w:kern w:val="0"/>
                <w:sz w:val="18"/>
                <w:szCs w:val="18"/>
              </w:rPr>
            </w:pPr>
            <w:r>
              <w:rPr>
                <w:rFonts w:hint="eastAsia" w:ascii="宋体" w:hAnsi="宋体"/>
                <w:color w:val="000000"/>
                <w:kern w:val="0"/>
                <w:sz w:val="18"/>
                <w:szCs w:val="18"/>
              </w:rPr>
              <w:t>积极参与政府部门、行业协会组织的老字号活动，组织促进行业发展的公益性活动。（3分）</w:t>
            </w:r>
          </w:p>
        </w:tc>
        <w:tc>
          <w:tcPr>
            <w:tcW w:w="6581" w:type="dxa"/>
            <w:shd w:val="clear" w:color="auto" w:fill="FFFFFF" w:themeFill="background1"/>
            <w:vAlign w:val="center"/>
          </w:tcPr>
          <w:p>
            <w:pPr>
              <w:rPr>
                <w:rFonts w:ascii="宋体" w:hAnsi="宋体" w:cs="黑体"/>
                <w:color w:val="000000"/>
                <w:kern w:val="0"/>
                <w:sz w:val="18"/>
                <w:szCs w:val="18"/>
              </w:rPr>
            </w:pPr>
            <w:r>
              <w:rPr>
                <w:rFonts w:hint="eastAsia" w:ascii="宋体" w:hAnsi="宋体"/>
                <w:color w:val="000000"/>
                <w:kern w:val="0"/>
                <w:sz w:val="18"/>
                <w:szCs w:val="18"/>
              </w:rPr>
              <w:t>每参与1项政府部门、行业协会组织的老字号活动得0.5分；每组织一次促进行业发展的公益性活动得0.5分。最多得3分。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27" w:hRule="atLeast"/>
        </w:trPr>
        <w:tc>
          <w:tcPr>
            <w:tcW w:w="1339" w:type="dxa"/>
            <w:vMerge w:val="continue"/>
            <w:shd w:val="clear" w:color="auto" w:fill="FFFFFF" w:themeFill="background1"/>
            <w:vAlign w:val="center"/>
          </w:tcPr>
          <w:p>
            <w:pPr>
              <w:widowControl/>
              <w:jc w:val="center"/>
              <w:rPr>
                <w:rFonts w:ascii="宋体" w:hAnsi="宋体"/>
                <w:color w:val="000000"/>
                <w:kern w:val="0"/>
                <w:sz w:val="18"/>
                <w:szCs w:val="18"/>
              </w:rPr>
            </w:pPr>
          </w:p>
        </w:tc>
        <w:tc>
          <w:tcPr>
            <w:tcW w:w="1450" w:type="dxa"/>
            <w:shd w:val="clear" w:color="auto" w:fill="FFFFFF" w:themeFill="background1"/>
            <w:vAlign w:val="center"/>
          </w:tcPr>
          <w:p>
            <w:pPr>
              <w:widowControl/>
              <w:jc w:val="center"/>
              <w:rPr>
                <w:rFonts w:hint="eastAsia" w:ascii="宋体" w:hAnsi="宋体" w:eastAsia="宋体" w:cs="黑体"/>
                <w:b w:val="0"/>
                <w:bCs/>
                <w:color w:val="000000"/>
                <w:kern w:val="0"/>
                <w:sz w:val="18"/>
                <w:szCs w:val="18"/>
                <w:lang w:eastAsia="zh-CN"/>
              </w:rPr>
            </w:pPr>
            <w:r>
              <w:rPr>
                <w:rFonts w:hint="eastAsia" w:ascii="宋体" w:hAnsi="宋体"/>
                <w:b w:val="0"/>
                <w:bCs/>
                <w:color w:val="000000"/>
                <w:kern w:val="0"/>
                <w:sz w:val="18"/>
                <w:szCs w:val="18"/>
              </w:rPr>
              <w:t>获得荣誉</w:t>
            </w:r>
            <w:r>
              <w:rPr>
                <w:rFonts w:hint="eastAsia" w:ascii="宋体" w:hAnsi="宋体"/>
                <w:b w:val="0"/>
                <w:bCs/>
                <w:color w:val="000000"/>
                <w:kern w:val="0"/>
                <w:sz w:val="18"/>
                <w:szCs w:val="18"/>
                <w:lang w:eastAsia="zh-CN"/>
              </w:rPr>
              <w:t>奖励</w:t>
            </w:r>
          </w:p>
        </w:tc>
        <w:tc>
          <w:tcPr>
            <w:tcW w:w="5387" w:type="dxa"/>
            <w:shd w:val="clear" w:color="auto" w:fill="FFFFFF" w:themeFill="background1"/>
            <w:vAlign w:val="center"/>
          </w:tcPr>
          <w:p>
            <w:pPr>
              <w:rPr>
                <w:rFonts w:ascii="宋体" w:hAnsi="宋体" w:cs="黑体"/>
                <w:color w:val="000000"/>
                <w:kern w:val="0"/>
                <w:sz w:val="18"/>
                <w:szCs w:val="18"/>
              </w:rPr>
            </w:pPr>
            <w:r>
              <w:rPr>
                <w:rFonts w:hint="eastAsia" w:ascii="宋体" w:hAnsi="宋体"/>
                <w:color w:val="000000"/>
                <w:sz w:val="18"/>
                <w:szCs w:val="18"/>
              </w:rPr>
              <w:t>相关商标、产品或企业获得荣誉情况。（2分）</w:t>
            </w:r>
          </w:p>
        </w:tc>
        <w:tc>
          <w:tcPr>
            <w:tcW w:w="6581" w:type="dxa"/>
            <w:shd w:val="clear" w:color="auto" w:fill="FFFFFF" w:themeFill="background1"/>
            <w:vAlign w:val="center"/>
          </w:tcPr>
          <w:p>
            <w:pPr>
              <w:rPr>
                <w:rFonts w:ascii="宋体" w:hAnsi="宋体" w:cs="黑体"/>
                <w:color w:val="000000"/>
                <w:kern w:val="0"/>
                <w:sz w:val="18"/>
                <w:szCs w:val="18"/>
              </w:rPr>
            </w:pPr>
            <w:r>
              <w:rPr>
                <w:rFonts w:hint="eastAsia" w:ascii="宋体" w:hAnsi="宋体"/>
                <w:color w:val="000000"/>
                <w:kern w:val="0"/>
                <w:sz w:val="18"/>
                <w:szCs w:val="18"/>
              </w:rPr>
              <w:t>相关</w:t>
            </w:r>
            <w:r>
              <w:rPr>
                <w:rFonts w:hint="eastAsia" w:ascii="宋体" w:hAnsi="宋体"/>
                <w:color w:val="000000"/>
                <w:sz w:val="18"/>
                <w:szCs w:val="18"/>
              </w:rPr>
              <w:t>商标、产品或企业</w:t>
            </w:r>
            <w:r>
              <w:rPr>
                <w:rFonts w:hint="eastAsia" w:ascii="宋体" w:hAnsi="宋体"/>
                <w:color w:val="000000"/>
                <w:kern w:val="0"/>
                <w:sz w:val="18"/>
                <w:szCs w:val="18"/>
              </w:rPr>
              <w:t>获得国家级荣誉称号（2分）；</w:t>
            </w:r>
            <w:r>
              <w:rPr>
                <w:rFonts w:hint="eastAsia" w:ascii="宋体" w:hAnsi="宋体"/>
                <w:color w:val="000000"/>
                <w:sz w:val="18"/>
                <w:szCs w:val="18"/>
              </w:rPr>
              <w:t>相关商标、产品或企业获得省级荣誉称号（1.5分）；</w:t>
            </w:r>
            <w:r>
              <w:rPr>
                <w:rFonts w:hint="eastAsia" w:ascii="宋体" w:hAnsi="宋体"/>
                <w:color w:val="000000"/>
                <w:kern w:val="0"/>
                <w:sz w:val="18"/>
                <w:szCs w:val="18"/>
              </w:rPr>
              <w:t>相关</w:t>
            </w:r>
            <w:r>
              <w:rPr>
                <w:rFonts w:hint="eastAsia" w:ascii="宋体" w:hAnsi="宋体"/>
                <w:color w:val="000000"/>
                <w:sz w:val="18"/>
                <w:szCs w:val="18"/>
              </w:rPr>
              <w:t>商标、产品或企业</w:t>
            </w:r>
            <w:r>
              <w:rPr>
                <w:rFonts w:hint="eastAsia" w:ascii="宋体" w:hAnsi="宋体"/>
                <w:color w:val="000000"/>
                <w:kern w:val="0"/>
                <w:sz w:val="18"/>
                <w:szCs w:val="18"/>
              </w:rPr>
              <w:t>获得市级、县级等荣誉称号（1分）；相关</w:t>
            </w:r>
            <w:r>
              <w:rPr>
                <w:rFonts w:hint="eastAsia" w:ascii="宋体" w:hAnsi="宋体"/>
                <w:color w:val="000000"/>
                <w:sz w:val="18"/>
                <w:szCs w:val="18"/>
              </w:rPr>
              <w:t>商标、产品或企业</w:t>
            </w:r>
            <w:r>
              <w:rPr>
                <w:rFonts w:hint="eastAsia" w:ascii="宋体" w:hAnsi="宋体"/>
                <w:color w:val="000000"/>
                <w:kern w:val="0"/>
                <w:sz w:val="18"/>
                <w:szCs w:val="18"/>
              </w:rPr>
              <w:t>获得其他荣誉称号（0.5分）。同时获得国家级、省级、市县级荣誉称号的，按所获的最高层级荣誉称号得分，不重复得分。</w:t>
            </w:r>
          </w:p>
        </w:tc>
      </w:tr>
    </w:tbl>
    <w:p>
      <w:pPr>
        <w:pStyle w:val="146"/>
        <w:spacing w:line="360" w:lineRule="auto"/>
        <w:ind w:firstLine="420" w:firstLineChars="200"/>
      </w:pPr>
    </w:p>
    <w:p/>
    <w:p>
      <w:pPr>
        <w:rPr>
          <w:rFonts w:hint="eastAsia"/>
          <w:color w:val="000000" w:themeColor="text1"/>
          <w14:textFill>
            <w14:solidFill>
              <w14:schemeClr w14:val="tx1"/>
            </w14:solidFill>
          </w14:textFill>
        </w:rPr>
      </w:pPr>
    </w:p>
    <w:sectPr>
      <w:footerReference r:id="rId5" w:type="default"/>
      <w:pgSz w:w="16838" w:h="11906" w:orient="landscape"/>
      <w:pgMar w:top="1417" w:right="567" w:bottom="1134" w:left="1134" w:header="1418" w:footer="1134" w:gutter="0"/>
      <w:pgNumType w:start="1"/>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Cambria">
    <w:panose1 w:val="02040503050406030204"/>
    <w:charset w:val="86"/>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6"/>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6"/>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66"/>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6"/>
    </w:pPr>
    <w:r>
      <w:fldChar w:fldCharType="begin"/>
    </w:r>
    <w:r>
      <w:instrText xml:space="preserve"> PAGE  \* MERGEFORMAT </w:instrText>
    </w:r>
    <w:r>
      <w:fldChar w:fldCharType="separate"/>
    </w:r>
    <w:r>
      <w:t>9</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126"/>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000000B"/>
    <w:multiLevelType w:val="multilevel"/>
    <w:tmpl w:val="0000000B"/>
    <w:lvl w:ilvl="0" w:tentative="0">
      <w:start w:val="1"/>
      <w:numFmt w:val="decimal"/>
      <w:pStyle w:val="92"/>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000000C"/>
    <w:multiLevelType w:val="multilevel"/>
    <w:tmpl w:val="0000000C"/>
    <w:lvl w:ilvl="0" w:tentative="0">
      <w:start w:val="1"/>
      <w:numFmt w:val="none"/>
      <w:pStyle w:val="124"/>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000000D"/>
    <w:multiLevelType w:val="multilevel"/>
    <w:tmpl w:val="0000000D"/>
    <w:lvl w:ilvl="0" w:tentative="0">
      <w:start w:val="1"/>
      <w:numFmt w:val="lowerLetter"/>
      <w:pStyle w:val="54"/>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4">
    <w:nsid w:val="0000000E"/>
    <w:multiLevelType w:val="multilevel"/>
    <w:tmpl w:val="0000000E"/>
    <w:lvl w:ilvl="0" w:tentative="0">
      <w:start w:val="1"/>
      <w:numFmt w:val="decimal"/>
      <w:pStyle w:val="122"/>
      <w:suff w:val="nothing"/>
      <w:lvlText w:val="注%1："/>
      <w:lvlJc w:val="left"/>
      <w:pPr>
        <w:ind w:left="811" w:hanging="448"/>
      </w:pPr>
      <w:rPr>
        <w:rFonts w:hint="eastAsia" w:ascii="黑体" w:eastAsia="黑体"/>
        <w:b w:val="0"/>
        <w:i w:val="0"/>
        <w:sz w:val="18"/>
        <w:szCs w:val="18"/>
      </w:rPr>
    </w:lvl>
    <w:lvl w:ilvl="1" w:tentative="0">
      <w:start w:val="1"/>
      <w:numFmt w:val="lowerLetter"/>
      <w:lvlText w:val="%2)"/>
      <w:lvlJc w:val="left"/>
      <w:pPr>
        <w:tabs>
          <w:tab w:val="left" w:pos="180"/>
        </w:tabs>
        <w:ind w:left="1172" w:hanging="629"/>
      </w:pPr>
      <w:rPr>
        <w:rFonts w:hint="eastAsia"/>
      </w:rPr>
    </w:lvl>
    <w:lvl w:ilvl="2" w:tentative="0">
      <w:start w:val="1"/>
      <w:numFmt w:val="lowerRoman"/>
      <w:lvlText w:val="%3."/>
      <w:lvlJc w:val="right"/>
      <w:pPr>
        <w:tabs>
          <w:tab w:val="left" w:pos="180"/>
        </w:tabs>
        <w:ind w:left="1172" w:hanging="629"/>
      </w:pPr>
      <w:rPr>
        <w:rFonts w:hint="eastAsia"/>
      </w:rPr>
    </w:lvl>
    <w:lvl w:ilvl="3" w:tentative="0">
      <w:start w:val="1"/>
      <w:numFmt w:val="decimal"/>
      <w:lvlText w:val="%4."/>
      <w:lvlJc w:val="left"/>
      <w:pPr>
        <w:tabs>
          <w:tab w:val="left" w:pos="180"/>
        </w:tabs>
        <w:ind w:left="1172" w:hanging="629"/>
      </w:pPr>
      <w:rPr>
        <w:rFonts w:hint="eastAsia"/>
      </w:rPr>
    </w:lvl>
    <w:lvl w:ilvl="4" w:tentative="0">
      <w:start w:val="1"/>
      <w:numFmt w:val="lowerLetter"/>
      <w:lvlText w:val="%5)"/>
      <w:lvlJc w:val="left"/>
      <w:pPr>
        <w:tabs>
          <w:tab w:val="left" w:pos="180"/>
        </w:tabs>
        <w:ind w:left="1172" w:hanging="629"/>
      </w:pPr>
      <w:rPr>
        <w:rFonts w:hint="eastAsia"/>
      </w:rPr>
    </w:lvl>
    <w:lvl w:ilvl="5" w:tentative="0">
      <w:start w:val="1"/>
      <w:numFmt w:val="lowerRoman"/>
      <w:lvlText w:val="%6."/>
      <w:lvlJc w:val="right"/>
      <w:pPr>
        <w:tabs>
          <w:tab w:val="left" w:pos="180"/>
        </w:tabs>
        <w:ind w:left="1172" w:hanging="629"/>
      </w:pPr>
      <w:rPr>
        <w:rFonts w:hint="eastAsia"/>
      </w:rPr>
    </w:lvl>
    <w:lvl w:ilvl="6" w:tentative="0">
      <w:start w:val="1"/>
      <w:numFmt w:val="decimal"/>
      <w:lvlText w:val="%7."/>
      <w:lvlJc w:val="left"/>
      <w:pPr>
        <w:tabs>
          <w:tab w:val="left" w:pos="180"/>
        </w:tabs>
        <w:ind w:left="1172" w:hanging="629"/>
      </w:pPr>
      <w:rPr>
        <w:rFonts w:hint="eastAsia"/>
      </w:rPr>
    </w:lvl>
    <w:lvl w:ilvl="7" w:tentative="0">
      <w:start w:val="1"/>
      <w:numFmt w:val="lowerLetter"/>
      <w:lvlText w:val="%8)"/>
      <w:lvlJc w:val="left"/>
      <w:pPr>
        <w:tabs>
          <w:tab w:val="left" w:pos="180"/>
        </w:tabs>
        <w:ind w:left="1172" w:hanging="629"/>
      </w:pPr>
      <w:rPr>
        <w:rFonts w:hint="eastAsia"/>
      </w:rPr>
    </w:lvl>
    <w:lvl w:ilvl="8" w:tentative="0">
      <w:start w:val="1"/>
      <w:numFmt w:val="lowerRoman"/>
      <w:lvlText w:val="%9."/>
      <w:lvlJc w:val="right"/>
      <w:pPr>
        <w:tabs>
          <w:tab w:val="left" w:pos="180"/>
        </w:tabs>
        <w:ind w:left="1172" w:hanging="629"/>
      </w:pPr>
      <w:rPr>
        <w:rFonts w:hint="eastAsia"/>
      </w:rPr>
    </w:lvl>
  </w:abstractNum>
  <w:abstractNum w:abstractNumId="5">
    <w:nsid w:val="0000000F"/>
    <w:multiLevelType w:val="multilevel"/>
    <w:tmpl w:val="0000000F"/>
    <w:lvl w:ilvl="0" w:tentative="0">
      <w:start w:val="1"/>
      <w:numFmt w:val="decimal"/>
      <w:pStyle w:val="83"/>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7"/>
      <w:suff w:val="nothing"/>
      <w:lvlText w:val="%1.%2　"/>
      <w:lvlJc w:val="left"/>
      <w:pPr>
        <w:ind w:left="0" w:firstLine="0"/>
      </w:pPr>
      <w:rPr>
        <w:rFonts w:hint="eastAsia" w:ascii="宋体" w:hAnsi="宋体" w:eastAsia="宋体" w:cs="Times New Roman"/>
        <w:b w:val="0"/>
        <w:bCs w:val="0"/>
        <w:i w:val="0"/>
        <w:iCs w:val="0"/>
        <w:caps w:val="0"/>
        <w:strike w:val="0"/>
        <w:dstrike w:val="0"/>
        <w:outline w:val="0"/>
        <w:shadow w:val="0"/>
        <w:spacing w:val="0"/>
        <w:kern w:val="0"/>
        <w:position w:val="0"/>
        <w:sz w:val="21"/>
        <w:szCs w:val="21"/>
        <w:u w:val="no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00000010"/>
    <w:multiLevelType w:val="multilevel"/>
    <w:tmpl w:val="00000010"/>
    <w:lvl w:ilvl="0" w:tentative="0">
      <w:start w:val="1"/>
      <w:numFmt w:val="upperLetter"/>
      <w:pStyle w:val="108"/>
      <w:suff w:val="space"/>
      <w:lvlText w:val="%1"/>
      <w:lvlJc w:val="left"/>
      <w:pPr>
        <w:ind w:left="623" w:hanging="425"/>
      </w:pPr>
      <w:rPr>
        <w:rFonts w:hint="eastAsia"/>
      </w:rPr>
    </w:lvl>
    <w:lvl w:ilvl="1" w:tentative="0">
      <w:start w:val="1"/>
      <w:numFmt w:val="decimal"/>
      <w:pStyle w:val="107"/>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7">
    <w:nsid w:val="00000011"/>
    <w:multiLevelType w:val="multilevel"/>
    <w:tmpl w:val="00000011"/>
    <w:lvl w:ilvl="0" w:tentative="0">
      <w:start w:val="1"/>
      <w:numFmt w:val="none"/>
      <w:pStyle w:val="134"/>
      <w:suff w:val="nothing"/>
      <w:lvlText w:val="%1——"/>
      <w:lvlJc w:val="left"/>
      <w:pPr>
        <w:ind w:left="833" w:hanging="408"/>
      </w:pPr>
      <w:rPr>
        <w:rFonts w:hint="eastAsia"/>
      </w:rPr>
    </w:lvl>
    <w:lvl w:ilvl="1" w:tentative="0">
      <w:start w:val="1"/>
      <w:numFmt w:val="bullet"/>
      <w:pStyle w:val="70"/>
      <w:lvlText w:val=""/>
      <w:lvlJc w:val="left"/>
      <w:pPr>
        <w:tabs>
          <w:tab w:val="left" w:pos="760"/>
        </w:tabs>
        <w:ind w:left="1264" w:hanging="413"/>
      </w:pPr>
      <w:rPr>
        <w:rFonts w:hint="default" w:ascii="Symbol" w:hAnsi="Symbol"/>
        <w:color w:val="auto"/>
      </w:rPr>
    </w:lvl>
    <w:lvl w:ilvl="2" w:tentative="0">
      <w:start w:val="1"/>
      <w:numFmt w:val="bullet"/>
      <w:pStyle w:val="133"/>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8">
    <w:nsid w:val="00000012"/>
    <w:multiLevelType w:val="multilevel"/>
    <w:tmpl w:val="00000012"/>
    <w:lvl w:ilvl="0" w:tentative="0">
      <w:start w:val="1"/>
      <w:numFmt w:val="decimal"/>
      <w:pStyle w:val="16"/>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9">
    <w:nsid w:val="00000013"/>
    <w:multiLevelType w:val="multilevel"/>
    <w:tmpl w:val="00000013"/>
    <w:lvl w:ilvl="0" w:tentative="0">
      <w:start w:val="1"/>
      <w:numFmt w:val="lowerLetter"/>
      <w:pStyle w:val="135"/>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109"/>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84"/>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10">
    <w:nsid w:val="00000014"/>
    <w:multiLevelType w:val="multilevel"/>
    <w:tmpl w:val="00000014"/>
    <w:lvl w:ilvl="0" w:tentative="0">
      <w:start w:val="1"/>
      <w:numFmt w:val="decimal"/>
      <w:pStyle w:val="82"/>
      <w:suff w:val="nothing"/>
      <w:lvlText w:val="示例%1："/>
      <w:lvlJc w:val="left"/>
      <w:pPr>
        <w:ind w:left="0" w:firstLine="363"/>
      </w:pPr>
      <w:rPr>
        <w:rFonts w:hint="eastAsia" w:ascii="黑体" w:hAnsi="Times New Roman" w:eastAsia="黑体"/>
        <w:b w:val="0"/>
        <w:i w:val="0"/>
        <w:sz w:val="18"/>
        <w:szCs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1">
    <w:nsid w:val="00000015"/>
    <w:multiLevelType w:val="multilevel"/>
    <w:tmpl w:val="00000015"/>
    <w:lvl w:ilvl="0" w:tentative="0">
      <w:start w:val="1"/>
      <w:numFmt w:val="decimal"/>
      <w:pStyle w:val="80"/>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2">
    <w:nsid w:val="00000016"/>
    <w:multiLevelType w:val="multilevel"/>
    <w:tmpl w:val="00000016"/>
    <w:lvl w:ilvl="0" w:tentative="0">
      <w:start w:val="1"/>
      <w:numFmt w:val="upperLetter"/>
      <w:pStyle w:val="50"/>
      <w:lvlText w:val="%1"/>
      <w:lvlJc w:val="left"/>
      <w:pPr>
        <w:tabs>
          <w:tab w:val="left" w:pos="0"/>
        </w:tabs>
        <w:ind w:left="0" w:hanging="425"/>
      </w:pPr>
      <w:rPr>
        <w:rFonts w:hint="eastAsia"/>
      </w:rPr>
    </w:lvl>
    <w:lvl w:ilvl="1" w:tentative="0">
      <w:start w:val="1"/>
      <w:numFmt w:val="decimal"/>
      <w:pStyle w:val="125"/>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00000017"/>
    <w:multiLevelType w:val="multilevel"/>
    <w:tmpl w:val="00000017"/>
    <w:lvl w:ilvl="0" w:tentative="0">
      <w:start w:val="1"/>
      <w:numFmt w:val="decimal"/>
      <w:pStyle w:val="116"/>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00000018"/>
    <w:multiLevelType w:val="multilevel"/>
    <w:tmpl w:val="00000018"/>
    <w:lvl w:ilvl="0" w:tentative="0">
      <w:start w:val="1"/>
      <w:numFmt w:val="upperLetter"/>
      <w:pStyle w:val="79"/>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75"/>
      <w:suff w:val="nothing"/>
      <w:lvlText w:val="%1.%2　"/>
      <w:lvlJc w:val="left"/>
      <w:pPr>
        <w:ind w:left="0" w:firstLine="0"/>
      </w:pPr>
      <w:rPr>
        <w:rFonts w:hint="eastAsia" w:ascii="黑体" w:hAnsi="Times New Roman" w:eastAsia="黑体"/>
        <w:b w:val="0"/>
        <w:i w:val="0"/>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pStyle w:val="58"/>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00000019"/>
    <w:multiLevelType w:val="multilevel"/>
    <w:tmpl w:val="00000019"/>
    <w:lvl w:ilvl="0" w:tentative="0">
      <w:start w:val="1"/>
      <w:numFmt w:val="lowerLetter"/>
      <w:pStyle w:val="119"/>
      <w:lvlText w:val="%1)"/>
      <w:lvlJc w:val="left"/>
      <w:pPr>
        <w:tabs>
          <w:tab w:val="left" w:pos="839"/>
        </w:tabs>
        <w:ind w:left="839" w:hanging="419"/>
      </w:pPr>
      <w:rPr>
        <w:rFonts w:hint="eastAsia" w:ascii="宋体" w:eastAsia="宋体"/>
        <w:b w:val="0"/>
        <w:i w:val="0"/>
        <w:sz w:val="21"/>
      </w:rPr>
    </w:lvl>
    <w:lvl w:ilvl="1" w:tentative="0">
      <w:start w:val="1"/>
      <w:numFmt w:val="decimal"/>
      <w:pStyle w:val="81"/>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6">
    <w:nsid w:val="0000001A"/>
    <w:multiLevelType w:val="multilevel"/>
    <w:tmpl w:val="0000001A"/>
    <w:lvl w:ilvl="0" w:tentative="0">
      <w:start w:val="1"/>
      <w:numFmt w:val="none"/>
      <w:pStyle w:val="101"/>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8"/>
  </w:num>
  <w:num w:numId="2">
    <w:abstractNumId w:val="5"/>
  </w:num>
  <w:num w:numId="3">
    <w:abstractNumId w:val="12"/>
  </w:num>
  <w:num w:numId="4">
    <w:abstractNumId w:val="3"/>
  </w:num>
  <w:num w:numId="5">
    <w:abstractNumId w:val="14"/>
  </w:num>
  <w:num w:numId="6">
    <w:abstractNumId w:val="7"/>
  </w:num>
  <w:num w:numId="7">
    <w:abstractNumId w:val="11"/>
  </w:num>
  <w:num w:numId="8">
    <w:abstractNumId w:val="15"/>
  </w:num>
  <w:num w:numId="9">
    <w:abstractNumId w:val="10"/>
  </w:num>
  <w:num w:numId="10">
    <w:abstractNumId w:val="9"/>
  </w:num>
  <w:num w:numId="11">
    <w:abstractNumId w:val="1"/>
  </w:num>
  <w:num w:numId="12">
    <w:abstractNumId w:val="16"/>
  </w:num>
  <w:num w:numId="13">
    <w:abstractNumId w:val="6"/>
  </w:num>
  <w:num w:numId="14">
    <w:abstractNumId w:val="13"/>
  </w:num>
  <w:num w:numId="15">
    <w:abstractNumId w:val="4"/>
  </w:num>
  <w:num w:numId="16">
    <w:abstractNumId w:val="2"/>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zNTVmYzU1MmFmYTAzMWVmMDJjYzdjNDEzZjRkNDUifQ=="/>
  </w:docVars>
  <w:rsids>
    <w:rsidRoot w:val="003B72E6"/>
    <w:rsid w:val="0000220A"/>
    <w:rsid w:val="000C1339"/>
    <w:rsid w:val="00213CF6"/>
    <w:rsid w:val="002F4DCE"/>
    <w:rsid w:val="00320A87"/>
    <w:rsid w:val="003B72E6"/>
    <w:rsid w:val="005665E7"/>
    <w:rsid w:val="007A2137"/>
    <w:rsid w:val="007A72AC"/>
    <w:rsid w:val="007D297F"/>
    <w:rsid w:val="008C22CA"/>
    <w:rsid w:val="00920750"/>
    <w:rsid w:val="00972FD7"/>
    <w:rsid w:val="0097564B"/>
    <w:rsid w:val="009F5C2C"/>
    <w:rsid w:val="00B261E8"/>
    <w:rsid w:val="00D379A4"/>
    <w:rsid w:val="00D70859"/>
    <w:rsid w:val="00F30006"/>
    <w:rsid w:val="00FC2383"/>
    <w:rsid w:val="02F623AC"/>
    <w:rsid w:val="038500F8"/>
    <w:rsid w:val="05205170"/>
    <w:rsid w:val="06843AB6"/>
    <w:rsid w:val="06F71B2F"/>
    <w:rsid w:val="072E0AA7"/>
    <w:rsid w:val="079E2FA6"/>
    <w:rsid w:val="07D1419F"/>
    <w:rsid w:val="09F85E2D"/>
    <w:rsid w:val="0AE82265"/>
    <w:rsid w:val="0AFA24BA"/>
    <w:rsid w:val="0B9F3D21"/>
    <w:rsid w:val="0C1A100C"/>
    <w:rsid w:val="0C7C56B8"/>
    <w:rsid w:val="0D2C104E"/>
    <w:rsid w:val="0DA70078"/>
    <w:rsid w:val="0E7A518F"/>
    <w:rsid w:val="0ECA5FF9"/>
    <w:rsid w:val="0F0E5AAD"/>
    <w:rsid w:val="0F52198C"/>
    <w:rsid w:val="104E2C59"/>
    <w:rsid w:val="10692A71"/>
    <w:rsid w:val="10F774F5"/>
    <w:rsid w:val="11CA1131"/>
    <w:rsid w:val="11F11FEC"/>
    <w:rsid w:val="12460791"/>
    <w:rsid w:val="12577104"/>
    <w:rsid w:val="1290052D"/>
    <w:rsid w:val="13346DC1"/>
    <w:rsid w:val="139333B7"/>
    <w:rsid w:val="14EB5448"/>
    <w:rsid w:val="15AF7345"/>
    <w:rsid w:val="17C61DD1"/>
    <w:rsid w:val="18EE0096"/>
    <w:rsid w:val="192817FA"/>
    <w:rsid w:val="1B2A7AAB"/>
    <w:rsid w:val="1BA220A9"/>
    <w:rsid w:val="1C4E6FC4"/>
    <w:rsid w:val="1C9F61CE"/>
    <w:rsid w:val="20172A50"/>
    <w:rsid w:val="20A75476"/>
    <w:rsid w:val="20CF23A5"/>
    <w:rsid w:val="20F255C0"/>
    <w:rsid w:val="22D30DFE"/>
    <w:rsid w:val="23302572"/>
    <w:rsid w:val="25093DC6"/>
    <w:rsid w:val="269D2781"/>
    <w:rsid w:val="274D1B9F"/>
    <w:rsid w:val="27B00760"/>
    <w:rsid w:val="28C822BB"/>
    <w:rsid w:val="2B2D54DC"/>
    <w:rsid w:val="2BAB20FD"/>
    <w:rsid w:val="2BC76916"/>
    <w:rsid w:val="2C1D2D14"/>
    <w:rsid w:val="2DB93E4E"/>
    <w:rsid w:val="2DDB107A"/>
    <w:rsid w:val="2E092ECB"/>
    <w:rsid w:val="2F19052F"/>
    <w:rsid w:val="2FCF089F"/>
    <w:rsid w:val="2FD302BA"/>
    <w:rsid w:val="30EB518F"/>
    <w:rsid w:val="31E357FB"/>
    <w:rsid w:val="32E53546"/>
    <w:rsid w:val="34CE5AD5"/>
    <w:rsid w:val="3531296D"/>
    <w:rsid w:val="37753459"/>
    <w:rsid w:val="388536BB"/>
    <w:rsid w:val="39825F81"/>
    <w:rsid w:val="3A5C70FE"/>
    <w:rsid w:val="3A6A6885"/>
    <w:rsid w:val="3BD6725A"/>
    <w:rsid w:val="3C7C75E3"/>
    <w:rsid w:val="3F92699D"/>
    <w:rsid w:val="44850024"/>
    <w:rsid w:val="45062140"/>
    <w:rsid w:val="45133650"/>
    <w:rsid w:val="453A2A03"/>
    <w:rsid w:val="457A7EF4"/>
    <w:rsid w:val="465118EA"/>
    <w:rsid w:val="46600E4C"/>
    <w:rsid w:val="46A2233C"/>
    <w:rsid w:val="46B061CC"/>
    <w:rsid w:val="482543E1"/>
    <w:rsid w:val="48327623"/>
    <w:rsid w:val="48461457"/>
    <w:rsid w:val="49291298"/>
    <w:rsid w:val="4A2D016F"/>
    <w:rsid w:val="4A8B3F48"/>
    <w:rsid w:val="4B4307EE"/>
    <w:rsid w:val="4C1A6813"/>
    <w:rsid w:val="4DC14696"/>
    <w:rsid w:val="4EBE1CDD"/>
    <w:rsid w:val="4F336227"/>
    <w:rsid w:val="52981FF1"/>
    <w:rsid w:val="530D26D7"/>
    <w:rsid w:val="53B812F7"/>
    <w:rsid w:val="53DF6195"/>
    <w:rsid w:val="54922015"/>
    <w:rsid w:val="54E7043D"/>
    <w:rsid w:val="54F10A8B"/>
    <w:rsid w:val="55670EDA"/>
    <w:rsid w:val="56D15429"/>
    <w:rsid w:val="578348D3"/>
    <w:rsid w:val="580208B5"/>
    <w:rsid w:val="59631533"/>
    <w:rsid w:val="596C5ACF"/>
    <w:rsid w:val="5DB70764"/>
    <w:rsid w:val="5E615526"/>
    <w:rsid w:val="60285208"/>
    <w:rsid w:val="60512281"/>
    <w:rsid w:val="608C0DB9"/>
    <w:rsid w:val="620F5391"/>
    <w:rsid w:val="62692145"/>
    <w:rsid w:val="640064F5"/>
    <w:rsid w:val="644C0752"/>
    <w:rsid w:val="64CD27D6"/>
    <w:rsid w:val="654A0E49"/>
    <w:rsid w:val="65B31A18"/>
    <w:rsid w:val="67A51ED6"/>
    <w:rsid w:val="680B0553"/>
    <w:rsid w:val="69FE1928"/>
    <w:rsid w:val="6A0B71ED"/>
    <w:rsid w:val="6A312C8B"/>
    <w:rsid w:val="6B3475BF"/>
    <w:rsid w:val="6BC26511"/>
    <w:rsid w:val="6C073651"/>
    <w:rsid w:val="6D836174"/>
    <w:rsid w:val="6EA00D04"/>
    <w:rsid w:val="6FA56E03"/>
    <w:rsid w:val="70016CB2"/>
    <w:rsid w:val="708118D2"/>
    <w:rsid w:val="70D5238F"/>
    <w:rsid w:val="7136095E"/>
    <w:rsid w:val="7229316E"/>
    <w:rsid w:val="7258372B"/>
    <w:rsid w:val="72FB3759"/>
    <w:rsid w:val="730B4715"/>
    <w:rsid w:val="731165F7"/>
    <w:rsid w:val="739F6299"/>
    <w:rsid w:val="745B5755"/>
    <w:rsid w:val="775C04AF"/>
    <w:rsid w:val="77642276"/>
    <w:rsid w:val="776C56D3"/>
    <w:rsid w:val="78A81F59"/>
    <w:rsid w:val="790E7239"/>
    <w:rsid w:val="7A916DDA"/>
    <w:rsid w:val="7B50407D"/>
    <w:rsid w:val="7B7251D1"/>
    <w:rsid w:val="7D440C00"/>
    <w:rsid w:val="7D8D4357"/>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qFormat="1"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0"/>
    <w:pPr>
      <w:ind w:firstLine="420" w:firstLineChars="200"/>
    </w:pPr>
  </w:style>
  <w:style w:type="paragraph" w:styleId="4">
    <w:name w:val="toc 7"/>
    <w:basedOn w:val="1"/>
    <w:next w:val="1"/>
    <w:qFormat/>
    <w:uiPriority w:val="0"/>
    <w:pPr>
      <w:tabs>
        <w:tab w:val="right" w:leader="dot" w:pos="9241"/>
      </w:tabs>
      <w:ind w:firstLine="500" w:firstLineChars="500"/>
      <w:jc w:val="left"/>
    </w:pPr>
    <w:rPr>
      <w:rFonts w:ascii="宋体"/>
      <w:szCs w:val="21"/>
    </w:rPr>
  </w:style>
  <w:style w:type="paragraph" w:styleId="5">
    <w:name w:val="caption"/>
    <w:basedOn w:val="1"/>
    <w:next w:val="1"/>
    <w:qFormat/>
    <w:uiPriority w:val="0"/>
    <w:pPr>
      <w:spacing w:before="152" w:after="160"/>
    </w:pPr>
    <w:rPr>
      <w:rFonts w:ascii="Arial" w:hAnsi="Arial" w:eastAsia="黑体" w:cs="Arial"/>
      <w:sz w:val="20"/>
      <w:szCs w:val="20"/>
    </w:rPr>
  </w:style>
  <w:style w:type="paragraph" w:styleId="6">
    <w:name w:val="annotation text"/>
    <w:basedOn w:val="1"/>
    <w:semiHidden/>
    <w:unhideWhenUsed/>
    <w:qFormat/>
    <w:uiPriority w:val="99"/>
    <w:pPr>
      <w:jc w:val="left"/>
    </w:pPr>
  </w:style>
  <w:style w:type="paragraph" w:styleId="7">
    <w:name w:val="toc 5"/>
    <w:basedOn w:val="1"/>
    <w:next w:val="1"/>
    <w:qFormat/>
    <w:uiPriority w:val="0"/>
    <w:pPr>
      <w:tabs>
        <w:tab w:val="right" w:leader="dot" w:pos="9241"/>
      </w:tabs>
      <w:ind w:firstLine="300" w:firstLineChars="300"/>
      <w:jc w:val="left"/>
    </w:pPr>
    <w:rPr>
      <w:rFonts w:ascii="宋体"/>
      <w:szCs w:val="21"/>
    </w:rPr>
  </w:style>
  <w:style w:type="paragraph" w:styleId="8">
    <w:name w:val="toc 3"/>
    <w:basedOn w:val="1"/>
    <w:next w:val="1"/>
    <w:qFormat/>
    <w:uiPriority w:val="0"/>
    <w:pPr>
      <w:tabs>
        <w:tab w:val="right" w:leader="dot" w:pos="9241"/>
      </w:tabs>
      <w:ind w:firstLine="100" w:firstLineChars="100"/>
      <w:jc w:val="left"/>
    </w:pPr>
    <w:rPr>
      <w:rFonts w:ascii="宋体"/>
      <w:szCs w:val="21"/>
    </w:rPr>
  </w:style>
  <w:style w:type="paragraph" w:styleId="9">
    <w:name w:val="toc 8"/>
    <w:basedOn w:val="1"/>
    <w:next w:val="1"/>
    <w:qFormat/>
    <w:uiPriority w:val="0"/>
    <w:pPr>
      <w:tabs>
        <w:tab w:val="right" w:leader="dot" w:pos="9241"/>
      </w:tabs>
      <w:ind w:firstLine="607" w:firstLineChars="600"/>
      <w:jc w:val="left"/>
    </w:pPr>
    <w:rPr>
      <w:rFonts w:ascii="宋体"/>
      <w:szCs w:val="21"/>
    </w:rPr>
  </w:style>
  <w:style w:type="paragraph" w:styleId="10">
    <w:name w:val="Date"/>
    <w:basedOn w:val="1"/>
    <w:next w:val="1"/>
    <w:link w:val="145"/>
    <w:semiHidden/>
    <w:unhideWhenUsed/>
    <w:qFormat/>
    <w:uiPriority w:val="99"/>
    <w:pPr>
      <w:ind w:left="100" w:leftChars="2500"/>
    </w:pPr>
  </w:style>
  <w:style w:type="paragraph" w:styleId="11">
    <w:name w:val="endnote text"/>
    <w:basedOn w:val="1"/>
    <w:qFormat/>
    <w:uiPriority w:val="0"/>
    <w:pPr>
      <w:snapToGrid w:val="0"/>
      <w:jc w:val="left"/>
    </w:pPr>
  </w:style>
  <w:style w:type="paragraph" w:styleId="12">
    <w:name w:val="footer"/>
    <w:basedOn w:val="1"/>
    <w:qFormat/>
    <w:uiPriority w:val="0"/>
    <w:pPr>
      <w:snapToGrid w:val="0"/>
      <w:ind w:right="210" w:rightChars="100"/>
      <w:jc w:val="right"/>
    </w:pPr>
    <w:rPr>
      <w:sz w:val="18"/>
      <w:szCs w:val="18"/>
    </w:rPr>
  </w:style>
  <w:style w:type="paragraph" w:styleId="13">
    <w:name w:val="header"/>
    <w:basedOn w:val="1"/>
    <w:qFormat/>
    <w:uiPriority w:val="0"/>
    <w:pPr>
      <w:snapToGrid w:val="0"/>
      <w:jc w:val="left"/>
    </w:pPr>
    <w:rPr>
      <w:sz w:val="18"/>
      <w:szCs w:val="18"/>
    </w:rPr>
  </w:style>
  <w:style w:type="paragraph" w:styleId="14">
    <w:name w:val="toc 1"/>
    <w:basedOn w:val="1"/>
    <w:next w:val="1"/>
    <w:qFormat/>
    <w:uiPriority w:val="0"/>
    <w:pPr>
      <w:tabs>
        <w:tab w:val="right" w:leader="dot" w:pos="9242"/>
      </w:tabs>
      <w:spacing w:beforeLines="25" w:afterLines="25"/>
      <w:jc w:val="left"/>
    </w:pPr>
    <w:rPr>
      <w:rFonts w:ascii="宋体"/>
      <w:szCs w:val="21"/>
    </w:rPr>
  </w:style>
  <w:style w:type="paragraph" w:styleId="15">
    <w:name w:val="toc 4"/>
    <w:basedOn w:val="1"/>
    <w:next w:val="1"/>
    <w:qFormat/>
    <w:uiPriority w:val="0"/>
    <w:pPr>
      <w:tabs>
        <w:tab w:val="right" w:leader="dot" w:pos="9241"/>
      </w:tabs>
      <w:ind w:firstLine="200" w:firstLineChars="200"/>
      <w:jc w:val="left"/>
    </w:pPr>
    <w:rPr>
      <w:rFonts w:ascii="宋体"/>
      <w:szCs w:val="21"/>
    </w:rPr>
  </w:style>
  <w:style w:type="paragraph" w:styleId="16">
    <w:name w:val="footnote text"/>
    <w:basedOn w:val="1"/>
    <w:qFormat/>
    <w:uiPriority w:val="0"/>
    <w:pPr>
      <w:numPr>
        <w:ilvl w:val="0"/>
        <w:numId w:val="1"/>
      </w:numPr>
      <w:snapToGrid w:val="0"/>
      <w:jc w:val="left"/>
    </w:pPr>
    <w:rPr>
      <w:rFonts w:ascii="宋体"/>
      <w:sz w:val="18"/>
      <w:szCs w:val="18"/>
    </w:rPr>
  </w:style>
  <w:style w:type="paragraph" w:styleId="17">
    <w:name w:val="toc 6"/>
    <w:basedOn w:val="1"/>
    <w:next w:val="1"/>
    <w:qFormat/>
    <w:uiPriority w:val="0"/>
    <w:pPr>
      <w:tabs>
        <w:tab w:val="right" w:leader="dot" w:pos="9241"/>
      </w:tabs>
      <w:ind w:firstLine="400" w:firstLineChars="400"/>
      <w:jc w:val="left"/>
    </w:pPr>
    <w:rPr>
      <w:rFonts w:ascii="宋体"/>
      <w:szCs w:val="21"/>
    </w:rPr>
  </w:style>
  <w:style w:type="paragraph" w:styleId="18">
    <w:name w:val="toc 2"/>
    <w:basedOn w:val="1"/>
    <w:next w:val="1"/>
    <w:qFormat/>
    <w:uiPriority w:val="0"/>
    <w:pPr>
      <w:tabs>
        <w:tab w:val="right" w:leader="dot" w:pos="9242"/>
      </w:tabs>
    </w:pPr>
    <w:rPr>
      <w:rFonts w:ascii="宋体"/>
      <w:szCs w:val="21"/>
    </w:rPr>
  </w:style>
  <w:style w:type="paragraph" w:styleId="19">
    <w:name w:val="toc 9"/>
    <w:basedOn w:val="1"/>
    <w:next w:val="1"/>
    <w:qFormat/>
    <w:uiPriority w:val="0"/>
    <w:pPr>
      <w:ind w:left="1470"/>
      <w:jc w:val="left"/>
    </w:pPr>
    <w:rPr>
      <w:sz w:val="20"/>
      <w:szCs w:val="20"/>
    </w:rPr>
  </w:style>
  <w:style w:type="paragraph" w:styleId="20">
    <w:name w:val="Normal (Web)"/>
    <w:basedOn w:val="1"/>
    <w:qFormat/>
    <w:uiPriority w:val="0"/>
    <w:pPr>
      <w:jc w:val="left"/>
    </w:pPr>
    <w:rPr>
      <w:kern w:val="0"/>
      <w:sz w:val="24"/>
    </w:rPr>
  </w:style>
  <w:style w:type="table" w:styleId="22">
    <w:name w:val="Table Grid"/>
    <w:basedOn w:val="2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endnote reference"/>
    <w:basedOn w:val="23"/>
    <w:qFormat/>
    <w:uiPriority w:val="0"/>
    <w:rPr>
      <w:vertAlign w:val="superscript"/>
    </w:rPr>
  </w:style>
  <w:style w:type="character" w:styleId="25">
    <w:name w:val="FollowedHyperlink"/>
    <w:basedOn w:val="23"/>
    <w:qFormat/>
    <w:uiPriority w:val="0"/>
    <w:rPr>
      <w:color w:val="800080"/>
      <w:u w:val="single"/>
    </w:rPr>
  </w:style>
  <w:style w:type="character" w:styleId="26">
    <w:name w:val="Emphasis"/>
    <w:basedOn w:val="23"/>
    <w:qFormat/>
    <w:uiPriority w:val="20"/>
    <w:rPr>
      <w:i/>
      <w:iCs/>
    </w:rPr>
  </w:style>
  <w:style w:type="character" w:styleId="27">
    <w:name w:val="Hyperlink"/>
    <w:basedOn w:val="23"/>
    <w:qFormat/>
    <w:uiPriority w:val="0"/>
    <w:rPr>
      <w:color w:val="0000FF"/>
      <w:spacing w:val="0"/>
      <w:w w:val="100"/>
      <w:szCs w:val="21"/>
      <w:u w:val="single"/>
    </w:rPr>
  </w:style>
  <w:style w:type="character" w:styleId="28">
    <w:name w:val="footnote reference"/>
    <w:basedOn w:val="23"/>
    <w:qFormat/>
    <w:uiPriority w:val="0"/>
    <w:rPr>
      <w:vertAlign w:val="superscript"/>
    </w:rPr>
  </w:style>
  <w:style w:type="paragraph" w:customStyle="1" w:styleId="29">
    <w:name w:val="TOC 标题1"/>
    <w:basedOn w:val="3"/>
    <w:next w:val="1"/>
    <w:qFormat/>
    <w:uiPriority w:val="0"/>
    <w:pPr>
      <w:keepNext/>
      <w:keepLines/>
      <w:spacing w:before="480" w:line="276" w:lineRule="auto"/>
      <w:jc w:val="both"/>
      <w:outlineLvl w:val="9"/>
    </w:pPr>
    <w:rPr>
      <w:rFonts w:ascii="仿宋" w:hAnsi="仿宋" w:eastAsia="仿宋"/>
      <w:color w:val="000000"/>
      <w:kern w:val="0"/>
      <w:sz w:val="32"/>
      <w:szCs w:val="32"/>
    </w:rPr>
  </w:style>
  <w:style w:type="character" w:customStyle="1" w:styleId="30">
    <w:name w:val="日期 Char"/>
    <w:basedOn w:val="23"/>
    <w:link w:val="31"/>
    <w:semiHidden/>
    <w:qFormat/>
    <w:uiPriority w:val="0"/>
    <w:rPr>
      <w:kern w:val="2"/>
      <w:sz w:val="21"/>
      <w:szCs w:val="24"/>
    </w:rPr>
  </w:style>
  <w:style w:type="paragraph" w:customStyle="1" w:styleId="31">
    <w:name w:val="日期1"/>
    <w:basedOn w:val="1"/>
    <w:next w:val="1"/>
    <w:link w:val="30"/>
    <w:qFormat/>
    <w:uiPriority w:val="0"/>
    <w:pPr>
      <w:ind w:left="100" w:leftChars="2500"/>
    </w:pPr>
  </w:style>
  <w:style w:type="paragraph" w:customStyle="1" w:styleId="32">
    <w:name w:val="索引 81"/>
    <w:basedOn w:val="1"/>
    <w:next w:val="1"/>
    <w:qFormat/>
    <w:uiPriority w:val="0"/>
    <w:pPr>
      <w:ind w:left="1680" w:hanging="210"/>
      <w:jc w:val="left"/>
    </w:pPr>
    <w:rPr>
      <w:sz w:val="20"/>
      <w:szCs w:val="20"/>
    </w:rPr>
  </w:style>
  <w:style w:type="paragraph" w:customStyle="1" w:styleId="33">
    <w:name w:val="索引 51"/>
    <w:basedOn w:val="1"/>
    <w:next w:val="1"/>
    <w:qFormat/>
    <w:uiPriority w:val="0"/>
    <w:pPr>
      <w:ind w:left="1050" w:hanging="210"/>
      <w:jc w:val="left"/>
    </w:pPr>
    <w:rPr>
      <w:sz w:val="20"/>
      <w:szCs w:val="20"/>
    </w:rPr>
  </w:style>
  <w:style w:type="paragraph" w:customStyle="1" w:styleId="34">
    <w:name w:val="文档结构图1"/>
    <w:basedOn w:val="1"/>
    <w:qFormat/>
    <w:uiPriority w:val="0"/>
    <w:pPr>
      <w:shd w:val="clear" w:color="auto" w:fill="000080"/>
    </w:pPr>
  </w:style>
  <w:style w:type="paragraph" w:customStyle="1" w:styleId="35">
    <w:name w:val="索引 61"/>
    <w:basedOn w:val="1"/>
    <w:next w:val="1"/>
    <w:qFormat/>
    <w:uiPriority w:val="0"/>
    <w:pPr>
      <w:ind w:left="1260" w:hanging="210"/>
      <w:jc w:val="left"/>
    </w:pPr>
    <w:rPr>
      <w:sz w:val="20"/>
      <w:szCs w:val="20"/>
    </w:rPr>
  </w:style>
  <w:style w:type="paragraph" w:customStyle="1" w:styleId="36">
    <w:name w:val="索引 41"/>
    <w:basedOn w:val="1"/>
    <w:next w:val="1"/>
    <w:qFormat/>
    <w:uiPriority w:val="0"/>
    <w:pPr>
      <w:ind w:left="840" w:hanging="210"/>
      <w:jc w:val="left"/>
    </w:pPr>
    <w:rPr>
      <w:sz w:val="20"/>
      <w:szCs w:val="20"/>
    </w:rPr>
  </w:style>
  <w:style w:type="paragraph" w:customStyle="1" w:styleId="37">
    <w:name w:val="索引 31"/>
    <w:basedOn w:val="1"/>
    <w:next w:val="1"/>
    <w:qFormat/>
    <w:uiPriority w:val="0"/>
    <w:pPr>
      <w:ind w:left="630" w:hanging="210"/>
      <w:jc w:val="left"/>
    </w:pPr>
    <w:rPr>
      <w:sz w:val="20"/>
      <w:szCs w:val="20"/>
    </w:rPr>
  </w:style>
  <w:style w:type="paragraph" w:customStyle="1" w:styleId="38">
    <w:name w:val="索引标题1"/>
    <w:basedOn w:val="1"/>
    <w:next w:val="39"/>
    <w:qFormat/>
    <w:uiPriority w:val="0"/>
    <w:pPr>
      <w:spacing w:before="120" w:after="120"/>
      <w:jc w:val="center"/>
    </w:pPr>
    <w:rPr>
      <w:b/>
      <w:bCs/>
      <w:iCs/>
      <w:szCs w:val="20"/>
    </w:rPr>
  </w:style>
  <w:style w:type="paragraph" w:customStyle="1" w:styleId="39">
    <w:name w:val="索引 11"/>
    <w:basedOn w:val="1"/>
    <w:next w:val="40"/>
    <w:qFormat/>
    <w:uiPriority w:val="0"/>
    <w:pPr>
      <w:tabs>
        <w:tab w:val="right" w:leader="dot" w:pos="9299"/>
      </w:tabs>
      <w:jc w:val="left"/>
    </w:pPr>
    <w:rPr>
      <w:rFonts w:ascii="宋体"/>
      <w:szCs w:val="21"/>
    </w:rPr>
  </w:style>
  <w:style w:type="paragraph" w:customStyle="1" w:styleId="40">
    <w:name w:val="段"/>
    <w:link w:val="139"/>
    <w:qFormat/>
    <w:uiPriority w:val="0"/>
    <w:pPr>
      <w:tabs>
        <w:tab w:val="center" w:pos="4201"/>
        <w:tab w:val="right" w:leader="dot" w:pos="9298"/>
      </w:tabs>
      <w:autoSpaceDE w:val="0"/>
      <w:autoSpaceDN w:val="0"/>
      <w:ind w:firstLine="420" w:firstLineChars="200"/>
      <w:jc w:val="both"/>
    </w:pPr>
    <w:rPr>
      <w:rFonts w:ascii="宋体" w:hAnsi="Calibri" w:eastAsia="宋体" w:cs="Calibri"/>
      <w:sz w:val="21"/>
      <w:lang w:val="en-US" w:eastAsia="zh-CN" w:bidi="ar-SA"/>
    </w:rPr>
  </w:style>
  <w:style w:type="paragraph" w:customStyle="1" w:styleId="41">
    <w:name w:val="索引 71"/>
    <w:basedOn w:val="1"/>
    <w:next w:val="1"/>
    <w:qFormat/>
    <w:uiPriority w:val="0"/>
    <w:pPr>
      <w:ind w:left="1470" w:hanging="210"/>
      <w:jc w:val="left"/>
    </w:pPr>
    <w:rPr>
      <w:sz w:val="20"/>
      <w:szCs w:val="20"/>
    </w:rPr>
  </w:style>
  <w:style w:type="paragraph" w:customStyle="1" w:styleId="42">
    <w:name w:val="索引 91"/>
    <w:basedOn w:val="1"/>
    <w:next w:val="1"/>
    <w:qFormat/>
    <w:uiPriority w:val="0"/>
    <w:pPr>
      <w:ind w:left="1890" w:hanging="210"/>
      <w:jc w:val="left"/>
    </w:pPr>
    <w:rPr>
      <w:sz w:val="20"/>
      <w:szCs w:val="20"/>
    </w:rPr>
  </w:style>
  <w:style w:type="paragraph" w:customStyle="1" w:styleId="43">
    <w:name w:val="普通(网站)1"/>
    <w:basedOn w:val="1"/>
    <w:qFormat/>
    <w:uiPriority w:val="0"/>
    <w:pPr>
      <w:jc w:val="left"/>
    </w:pPr>
    <w:rPr>
      <w:kern w:val="0"/>
      <w:sz w:val="24"/>
    </w:rPr>
  </w:style>
  <w:style w:type="paragraph" w:customStyle="1" w:styleId="44">
    <w:name w:val="索引 21"/>
    <w:basedOn w:val="1"/>
    <w:next w:val="1"/>
    <w:qFormat/>
    <w:uiPriority w:val="0"/>
    <w:pPr>
      <w:ind w:left="420" w:hanging="210"/>
      <w:jc w:val="left"/>
    </w:pPr>
    <w:rPr>
      <w:sz w:val="20"/>
      <w:szCs w:val="20"/>
    </w:rPr>
  </w:style>
  <w:style w:type="paragraph" w:customStyle="1" w:styleId="45">
    <w:name w:val="实施日期"/>
    <w:basedOn w:val="46"/>
    <w:qFormat/>
    <w:uiPriority w:val="0"/>
    <w:pPr>
      <w:jc w:val="right"/>
    </w:pPr>
  </w:style>
  <w:style w:type="paragraph" w:customStyle="1" w:styleId="46">
    <w:name w:val="发布日期"/>
    <w:qFormat/>
    <w:uiPriority w:val="0"/>
    <w:rPr>
      <w:rFonts w:ascii="Calibri" w:hAnsi="Calibri" w:eastAsia="黑体" w:cs="Calibri"/>
      <w:sz w:val="28"/>
      <w:lang w:val="en-US" w:eastAsia="zh-CN" w:bidi="ar-SA"/>
    </w:rPr>
  </w:style>
  <w:style w:type="paragraph" w:customStyle="1" w:styleId="47">
    <w:name w:val="一级条标题"/>
    <w:next w:val="40"/>
    <w:qFormat/>
    <w:uiPriority w:val="0"/>
    <w:pPr>
      <w:numPr>
        <w:ilvl w:val="1"/>
        <w:numId w:val="2"/>
      </w:numPr>
      <w:spacing w:beforeLines="50" w:afterLines="50"/>
      <w:outlineLvl w:val="2"/>
    </w:pPr>
    <w:rPr>
      <w:rFonts w:ascii="黑体" w:hAnsi="Calibri" w:eastAsia="黑体" w:cs="Calibri"/>
      <w:sz w:val="21"/>
      <w:szCs w:val="21"/>
      <w:lang w:val="en-US" w:eastAsia="zh-CN" w:bidi="ar-SA"/>
    </w:rPr>
  </w:style>
  <w:style w:type="paragraph" w:customStyle="1" w:styleId="48">
    <w:name w:val="其他标准标志"/>
    <w:basedOn w:val="49"/>
    <w:qFormat/>
    <w:uiPriority w:val="0"/>
    <w:rPr>
      <w:w w:val="130"/>
    </w:rPr>
  </w:style>
  <w:style w:type="paragraph" w:customStyle="1" w:styleId="49">
    <w:name w:val="标准标志"/>
    <w:next w:val="1"/>
    <w:qFormat/>
    <w:uiPriority w:val="0"/>
    <w:pPr>
      <w:shd w:val="solid" w:color="FFFFFF" w:fill="FFFFFF"/>
      <w:spacing w:line="0" w:lineRule="atLeast"/>
      <w:jc w:val="right"/>
    </w:pPr>
    <w:rPr>
      <w:rFonts w:ascii="Calibri" w:hAnsi="Calibri" w:eastAsia="宋体" w:cs="Calibri"/>
      <w:b/>
      <w:w w:val="170"/>
      <w:sz w:val="96"/>
      <w:szCs w:val="96"/>
      <w:lang w:val="en-US" w:eastAsia="zh-CN" w:bidi="ar-SA"/>
    </w:rPr>
  </w:style>
  <w:style w:type="paragraph" w:customStyle="1" w:styleId="50">
    <w:name w:val="附录表标号"/>
    <w:basedOn w:val="1"/>
    <w:next w:val="40"/>
    <w:qFormat/>
    <w:uiPriority w:val="0"/>
    <w:pPr>
      <w:numPr>
        <w:ilvl w:val="0"/>
        <w:numId w:val="3"/>
      </w:numPr>
      <w:spacing w:line="14" w:lineRule="exact"/>
      <w:ind w:left="811" w:hanging="448"/>
      <w:jc w:val="center"/>
      <w:outlineLvl w:val="0"/>
    </w:pPr>
    <w:rPr>
      <w:color w:val="FFFFFF"/>
    </w:rPr>
  </w:style>
  <w:style w:type="paragraph" w:customStyle="1" w:styleId="51">
    <w:name w:val="其他发布部门"/>
    <w:basedOn w:val="52"/>
    <w:qFormat/>
    <w:uiPriority w:val="0"/>
    <w:pPr>
      <w:spacing w:line="0" w:lineRule="atLeast"/>
    </w:pPr>
    <w:rPr>
      <w:rFonts w:ascii="黑体" w:eastAsia="黑体"/>
      <w:b w:val="0"/>
    </w:rPr>
  </w:style>
  <w:style w:type="paragraph" w:customStyle="1" w:styleId="52">
    <w:name w:val="发布部门"/>
    <w:next w:val="40"/>
    <w:qFormat/>
    <w:uiPriority w:val="0"/>
    <w:pPr>
      <w:jc w:val="center"/>
    </w:pPr>
    <w:rPr>
      <w:rFonts w:ascii="宋体" w:hAnsi="Calibri" w:eastAsia="宋体" w:cs="Calibri"/>
      <w:b/>
      <w:spacing w:val="20"/>
      <w:w w:val="135"/>
      <w:sz w:val="28"/>
      <w:lang w:val="en-US" w:eastAsia="zh-CN" w:bidi="ar-SA"/>
    </w:rPr>
  </w:style>
  <w:style w:type="paragraph" w:customStyle="1" w:styleId="53">
    <w:name w:val="列项说明数字编号"/>
    <w:qFormat/>
    <w:uiPriority w:val="0"/>
    <w:pPr>
      <w:ind w:left="600" w:leftChars="400" w:hanging="200" w:hangingChars="200"/>
    </w:pPr>
    <w:rPr>
      <w:rFonts w:ascii="宋体" w:hAnsi="Calibri" w:eastAsia="宋体" w:cs="Calibri"/>
      <w:sz w:val="21"/>
      <w:lang w:val="en-US" w:eastAsia="zh-CN" w:bidi="ar-SA"/>
    </w:rPr>
  </w:style>
  <w:style w:type="paragraph" w:customStyle="1" w:styleId="54">
    <w:name w:val="图表脚注说明"/>
    <w:basedOn w:val="1"/>
    <w:qFormat/>
    <w:uiPriority w:val="0"/>
    <w:pPr>
      <w:numPr>
        <w:ilvl w:val="0"/>
        <w:numId w:val="4"/>
      </w:numPr>
    </w:pPr>
    <w:rPr>
      <w:rFonts w:ascii="宋体"/>
      <w:sz w:val="18"/>
      <w:szCs w:val="18"/>
    </w:rPr>
  </w:style>
  <w:style w:type="paragraph" w:customStyle="1" w:styleId="55">
    <w:name w:val="附录五级条标题"/>
    <w:basedOn w:val="56"/>
    <w:next w:val="40"/>
    <w:qFormat/>
    <w:uiPriority w:val="0"/>
    <w:pPr>
      <w:tabs>
        <w:tab w:val="left" w:pos="360"/>
      </w:tabs>
      <w:outlineLvl w:val="6"/>
    </w:pPr>
  </w:style>
  <w:style w:type="paragraph" w:customStyle="1" w:styleId="56">
    <w:name w:val="附录四级条标题"/>
    <w:basedOn w:val="57"/>
    <w:next w:val="40"/>
    <w:qFormat/>
    <w:uiPriority w:val="0"/>
    <w:pPr>
      <w:tabs>
        <w:tab w:val="left" w:pos="360"/>
      </w:tabs>
      <w:outlineLvl w:val="5"/>
    </w:pPr>
  </w:style>
  <w:style w:type="paragraph" w:customStyle="1" w:styleId="57">
    <w:name w:val="附录三级条标题"/>
    <w:basedOn w:val="58"/>
    <w:next w:val="40"/>
    <w:qFormat/>
    <w:uiPriority w:val="0"/>
    <w:pPr>
      <w:numPr>
        <w:numId w:val="0"/>
      </w:numPr>
      <w:tabs>
        <w:tab w:val="left" w:pos="360"/>
      </w:tabs>
      <w:outlineLvl w:val="4"/>
    </w:pPr>
  </w:style>
  <w:style w:type="paragraph" w:customStyle="1" w:styleId="58">
    <w:name w:val="附录二级条标题"/>
    <w:basedOn w:val="1"/>
    <w:next w:val="40"/>
    <w:qFormat/>
    <w:uiPriority w:val="0"/>
    <w:pPr>
      <w:widowControl/>
      <w:numPr>
        <w:ilvl w:val="3"/>
        <w:numId w:val="5"/>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59">
    <w:name w:val="三级条标题"/>
    <w:basedOn w:val="60"/>
    <w:next w:val="40"/>
    <w:qFormat/>
    <w:uiPriority w:val="0"/>
    <w:pPr>
      <w:outlineLvl w:val="4"/>
    </w:pPr>
  </w:style>
  <w:style w:type="paragraph" w:customStyle="1" w:styleId="60">
    <w:name w:val="二级条标题"/>
    <w:basedOn w:val="47"/>
    <w:next w:val="40"/>
    <w:qFormat/>
    <w:uiPriority w:val="0"/>
    <w:pPr>
      <w:numPr>
        <w:numId w:val="0"/>
      </w:numPr>
      <w:spacing w:before="50" w:after="50"/>
      <w:outlineLvl w:val="3"/>
    </w:pPr>
  </w:style>
  <w:style w:type="paragraph" w:customStyle="1" w:styleId="61">
    <w:name w:val="附录四级无"/>
    <w:basedOn w:val="56"/>
    <w:qFormat/>
    <w:uiPriority w:val="0"/>
    <w:rPr>
      <w:rFonts w:ascii="宋体" w:eastAsia="宋体"/>
      <w:szCs w:val="21"/>
    </w:rPr>
  </w:style>
  <w:style w:type="paragraph" w:customStyle="1" w:styleId="62">
    <w:name w:val="附录三级无"/>
    <w:basedOn w:val="57"/>
    <w:qFormat/>
    <w:uiPriority w:val="0"/>
    <w:rPr>
      <w:rFonts w:ascii="宋体" w:eastAsia="宋体"/>
      <w:szCs w:val="21"/>
    </w:rPr>
  </w:style>
  <w:style w:type="paragraph" w:customStyle="1" w:styleId="63">
    <w:name w:val="标准书眉_偶数页"/>
    <w:basedOn w:val="64"/>
    <w:next w:val="1"/>
    <w:qFormat/>
    <w:uiPriority w:val="0"/>
    <w:pPr>
      <w:tabs>
        <w:tab w:val="center" w:pos="4154"/>
        <w:tab w:val="right" w:pos="8306"/>
      </w:tabs>
      <w:jc w:val="left"/>
    </w:pPr>
  </w:style>
  <w:style w:type="paragraph" w:customStyle="1" w:styleId="64">
    <w:name w:val="标准书眉_奇数页"/>
    <w:next w:val="1"/>
    <w:qFormat/>
    <w:uiPriority w:val="0"/>
    <w:pPr>
      <w:tabs>
        <w:tab w:val="center" w:pos="4154"/>
        <w:tab w:val="right" w:pos="8306"/>
      </w:tabs>
      <w:spacing w:after="220"/>
      <w:jc w:val="right"/>
    </w:pPr>
    <w:rPr>
      <w:rFonts w:ascii="黑体" w:hAnsi="Calibri" w:eastAsia="黑体" w:cs="Calibri"/>
      <w:sz w:val="21"/>
      <w:szCs w:val="21"/>
      <w:lang w:val="en-US" w:eastAsia="zh-CN" w:bidi="ar-SA"/>
    </w:rPr>
  </w:style>
  <w:style w:type="paragraph" w:customStyle="1" w:styleId="65">
    <w:name w:val="示例后文字"/>
    <w:basedOn w:val="40"/>
    <w:next w:val="40"/>
    <w:qFormat/>
    <w:uiPriority w:val="0"/>
    <w:pPr>
      <w:ind w:firstLine="360"/>
    </w:pPr>
    <w:rPr>
      <w:sz w:val="18"/>
    </w:rPr>
  </w:style>
  <w:style w:type="paragraph" w:customStyle="1" w:styleId="66">
    <w:name w:val="标准书脚_奇数页"/>
    <w:qFormat/>
    <w:uiPriority w:val="0"/>
    <w:pPr>
      <w:spacing w:before="120"/>
      <w:ind w:right="198"/>
      <w:jc w:val="right"/>
    </w:pPr>
    <w:rPr>
      <w:rFonts w:ascii="宋体" w:hAnsi="Calibri" w:eastAsia="宋体" w:cs="Calibri"/>
      <w:sz w:val="18"/>
      <w:szCs w:val="18"/>
      <w:lang w:val="en-US" w:eastAsia="zh-CN" w:bidi="ar-SA"/>
    </w:rPr>
  </w:style>
  <w:style w:type="paragraph" w:customStyle="1" w:styleId="67">
    <w:name w:val="附录标题"/>
    <w:basedOn w:val="40"/>
    <w:next w:val="40"/>
    <w:qFormat/>
    <w:uiPriority w:val="0"/>
    <w:pPr>
      <w:ind w:firstLine="0" w:firstLineChars="0"/>
      <w:jc w:val="center"/>
    </w:pPr>
    <w:rPr>
      <w:rFonts w:ascii="黑体" w:eastAsia="黑体"/>
    </w:rPr>
  </w:style>
  <w:style w:type="paragraph" w:customStyle="1" w:styleId="68">
    <w:name w:val="正文公式编号制表符"/>
    <w:basedOn w:val="40"/>
    <w:next w:val="40"/>
    <w:qFormat/>
    <w:uiPriority w:val="0"/>
    <w:pPr>
      <w:ind w:firstLine="0" w:firstLineChars="0"/>
    </w:pPr>
  </w:style>
  <w:style w:type="paragraph" w:customStyle="1" w:styleId="69">
    <w:name w:val="图标脚注说明"/>
    <w:basedOn w:val="40"/>
    <w:qFormat/>
    <w:uiPriority w:val="0"/>
    <w:pPr>
      <w:ind w:left="840" w:hanging="420" w:firstLineChars="0"/>
    </w:pPr>
    <w:rPr>
      <w:sz w:val="18"/>
      <w:szCs w:val="18"/>
    </w:rPr>
  </w:style>
  <w:style w:type="paragraph" w:customStyle="1" w:styleId="70">
    <w:name w:val="列项●（二级）"/>
    <w:qFormat/>
    <w:uiPriority w:val="0"/>
    <w:pPr>
      <w:numPr>
        <w:ilvl w:val="1"/>
        <w:numId w:val="6"/>
      </w:numPr>
      <w:tabs>
        <w:tab w:val="left" w:pos="840"/>
      </w:tabs>
      <w:jc w:val="both"/>
    </w:pPr>
    <w:rPr>
      <w:rFonts w:ascii="宋体" w:hAnsi="Calibri" w:eastAsia="宋体" w:cs="Calibri"/>
      <w:sz w:val="21"/>
      <w:lang w:val="en-US" w:eastAsia="zh-CN" w:bidi="ar-SA"/>
    </w:rPr>
  </w:style>
  <w:style w:type="paragraph" w:customStyle="1" w:styleId="71">
    <w:name w:val="四级无"/>
    <w:basedOn w:val="72"/>
    <w:qFormat/>
    <w:uiPriority w:val="0"/>
    <w:rPr>
      <w:rFonts w:ascii="宋体" w:eastAsia="宋体"/>
    </w:rPr>
  </w:style>
  <w:style w:type="paragraph" w:customStyle="1" w:styleId="72">
    <w:name w:val="四级条标题"/>
    <w:basedOn w:val="59"/>
    <w:next w:val="40"/>
    <w:qFormat/>
    <w:uiPriority w:val="0"/>
    <w:pPr>
      <w:outlineLvl w:val="5"/>
    </w:pPr>
  </w:style>
  <w:style w:type="paragraph" w:customStyle="1" w:styleId="73">
    <w:name w:val="附录一级无"/>
    <w:basedOn w:val="74"/>
    <w:qFormat/>
    <w:uiPriority w:val="0"/>
    <w:pPr>
      <w:tabs>
        <w:tab w:val="left" w:pos="360"/>
      </w:tabs>
    </w:pPr>
    <w:rPr>
      <w:rFonts w:ascii="宋体" w:eastAsia="宋体"/>
      <w:szCs w:val="21"/>
    </w:rPr>
  </w:style>
  <w:style w:type="paragraph" w:customStyle="1" w:styleId="74">
    <w:name w:val="附录一级条标题"/>
    <w:basedOn w:val="75"/>
    <w:next w:val="40"/>
    <w:qFormat/>
    <w:uiPriority w:val="0"/>
    <w:pPr>
      <w:numPr>
        <w:numId w:val="0"/>
      </w:numPr>
      <w:tabs>
        <w:tab w:val="left" w:pos="360"/>
      </w:tabs>
      <w:autoSpaceDN w:val="0"/>
      <w:spacing w:beforeLines="50" w:afterLines="50"/>
      <w:outlineLvl w:val="2"/>
    </w:pPr>
  </w:style>
  <w:style w:type="paragraph" w:customStyle="1" w:styleId="75">
    <w:name w:val="附录章标题"/>
    <w:next w:val="40"/>
    <w:qFormat/>
    <w:uiPriority w:val="0"/>
    <w:pPr>
      <w:numPr>
        <w:ilvl w:val="1"/>
        <w:numId w:val="5"/>
      </w:numPr>
      <w:tabs>
        <w:tab w:val="left" w:pos="360"/>
      </w:tabs>
      <w:wordWrap w:val="0"/>
      <w:overflowPunct w:val="0"/>
      <w:autoSpaceDE w:val="0"/>
      <w:spacing w:beforeLines="100" w:afterLines="100"/>
      <w:jc w:val="both"/>
      <w:textAlignment w:val="baseline"/>
      <w:outlineLvl w:val="1"/>
    </w:pPr>
    <w:rPr>
      <w:rFonts w:ascii="黑体" w:hAnsi="Calibri" w:eastAsia="黑体" w:cs="Calibri"/>
      <w:kern w:val="21"/>
      <w:sz w:val="21"/>
      <w:lang w:val="en-US" w:eastAsia="zh-CN" w:bidi="ar-SA"/>
    </w:rPr>
  </w:style>
  <w:style w:type="paragraph" w:customStyle="1" w:styleId="76">
    <w:name w:val="条文脚注"/>
    <w:basedOn w:val="16"/>
    <w:qFormat/>
    <w:uiPriority w:val="0"/>
    <w:pPr>
      <w:numPr>
        <w:numId w:val="0"/>
      </w:numPr>
      <w:jc w:val="both"/>
    </w:pPr>
  </w:style>
  <w:style w:type="paragraph" w:customStyle="1" w:styleId="77">
    <w:name w:val="标准称谓"/>
    <w:next w:val="1"/>
    <w:qFormat/>
    <w:uiPriority w:val="0"/>
    <w:pPr>
      <w:widowControl w:val="0"/>
      <w:kinsoku w:val="0"/>
      <w:overflowPunct w:val="0"/>
      <w:autoSpaceDE w:val="0"/>
      <w:autoSpaceDN w:val="0"/>
      <w:spacing w:line="0" w:lineRule="atLeast"/>
      <w:jc w:val="distribute"/>
    </w:pPr>
    <w:rPr>
      <w:rFonts w:ascii="宋体" w:hAnsi="Calibri" w:eastAsia="宋体" w:cs="Calibri"/>
      <w:b/>
      <w:bCs/>
      <w:spacing w:val="20"/>
      <w:w w:val="148"/>
      <w:sz w:val="48"/>
      <w:lang w:val="en-US" w:eastAsia="zh-CN" w:bidi="ar-SA"/>
    </w:rPr>
  </w:style>
  <w:style w:type="paragraph" w:customStyle="1" w:styleId="78">
    <w:name w:val="封面标准号2"/>
    <w:qFormat/>
    <w:uiPriority w:val="0"/>
    <w:pPr>
      <w:spacing w:before="357" w:line="280" w:lineRule="exact"/>
      <w:jc w:val="right"/>
    </w:pPr>
    <w:rPr>
      <w:rFonts w:ascii="黑体" w:hAnsi="Calibri" w:eastAsia="黑体" w:cs="Calibri"/>
      <w:sz w:val="28"/>
      <w:szCs w:val="28"/>
      <w:lang w:val="en-US" w:eastAsia="zh-CN" w:bidi="ar-SA"/>
    </w:rPr>
  </w:style>
  <w:style w:type="paragraph" w:customStyle="1" w:styleId="79">
    <w:name w:val="附录标识"/>
    <w:basedOn w:val="1"/>
    <w:next w:val="40"/>
    <w:qFormat/>
    <w:uiPriority w:val="0"/>
    <w:pPr>
      <w:keepNext/>
      <w:widowControl/>
      <w:numPr>
        <w:ilvl w:val="0"/>
        <w:numId w:val="5"/>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0">
    <w:name w:val="正文图标题"/>
    <w:next w:val="40"/>
    <w:qFormat/>
    <w:uiPriority w:val="0"/>
    <w:pPr>
      <w:numPr>
        <w:ilvl w:val="0"/>
        <w:numId w:val="7"/>
      </w:numPr>
      <w:tabs>
        <w:tab w:val="left" w:pos="360"/>
      </w:tabs>
      <w:spacing w:beforeLines="50" w:afterLines="50"/>
      <w:jc w:val="center"/>
    </w:pPr>
    <w:rPr>
      <w:rFonts w:ascii="黑体" w:hAnsi="Calibri" w:eastAsia="黑体" w:cs="Calibri"/>
      <w:sz w:val="21"/>
      <w:lang w:val="en-US" w:eastAsia="zh-CN" w:bidi="ar-SA"/>
    </w:rPr>
  </w:style>
  <w:style w:type="paragraph" w:customStyle="1" w:styleId="81">
    <w:name w:val="附录数字编号列项（二级）"/>
    <w:qFormat/>
    <w:uiPriority w:val="0"/>
    <w:pPr>
      <w:numPr>
        <w:ilvl w:val="1"/>
        <w:numId w:val="8"/>
      </w:numPr>
      <w:tabs>
        <w:tab w:val="left" w:pos="839"/>
        <w:tab w:val="clear" w:pos="840"/>
      </w:tabs>
    </w:pPr>
    <w:rPr>
      <w:rFonts w:ascii="宋体" w:hAnsi="Calibri" w:eastAsia="宋体" w:cs="Calibri"/>
      <w:sz w:val="21"/>
      <w:lang w:val="en-US" w:eastAsia="zh-CN" w:bidi="ar-SA"/>
    </w:rPr>
  </w:style>
  <w:style w:type="paragraph" w:customStyle="1" w:styleId="82">
    <w:name w:val="示例×："/>
    <w:basedOn w:val="83"/>
    <w:qFormat/>
    <w:uiPriority w:val="0"/>
    <w:pPr>
      <w:numPr>
        <w:numId w:val="9"/>
      </w:numPr>
      <w:outlineLvl w:val="9"/>
    </w:pPr>
    <w:rPr>
      <w:rFonts w:ascii="宋体" w:eastAsia="宋体"/>
      <w:sz w:val="18"/>
      <w:szCs w:val="18"/>
    </w:rPr>
  </w:style>
  <w:style w:type="paragraph" w:customStyle="1" w:styleId="83">
    <w:name w:val="章标题"/>
    <w:next w:val="40"/>
    <w:qFormat/>
    <w:uiPriority w:val="0"/>
    <w:pPr>
      <w:numPr>
        <w:ilvl w:val="0"/>
        <w:numId w:val="2"/>
      </w:numPr>
      <w:spacing w:beforeLines="100" w:afterLines="100"/>
      <w:jc w:val="both"/>
      <w:outlineLvl w:val="1"/>
    </w:pPr>
    <w:rPr>
      <w:rFonts w:ascii="黑体" w:hAnsi="Calibri" w:eastAsia="黑体" w:cs="Calibri"/>
      <w:sz w:val="21"/>
      <w:lang w:val="en-US" w:eastAsia="zh-CN" w:bidi="ar-SA"/>
    </w:rPr>
  </w:style>
  <w:style w:type="paragraph" w:customStyle="1" w:styleId="84">
    <w:name w:val="编号列项（三级）"/>
    <w:qFormat/>
    <w:uiPriority w:val="0"/>
    <w:pPr>
      <w:numPr>
        <w:ilvl w:val="2"/>
        <w:numId w:val="10"/>
      </w:numPr>
      <w:tabs>
        <w:tab w:val="left" w:pos="839"/>
      </w:tabs>
    </w:pPr>
    <w:rPr>
      <w:rFonts w:ascii="宋体" w:hAnsi="Calibri" w:eastAsia="宋体" w:cs="Calibri"/>
      <w:sz w:val="21"/>
      <w:lang w:val="en-US" w:eastAsia="zh-CN" w:bidi="ar-SA"/>
    </w:rPr>
  </w:style>
  <w:style w:type="paragraph" w:customStyle="1" w:styleId="85">
    <w:name w:val="终结线"/>
    <w:basedOn w:val="1"/>
    <w:qFormat/>
    <w:uiPriority w:val="0"/>
  </w:style>
  <w:style w:type="paragraph" w:customStyle="1" w:styleId="86">
    <w:name w:val="附录二级无"/>
    <w:basedOn w:val="58"/>
    <w:qFormat/>
    <w:uiPriority w:val="0"/>
    <w:pPr>
      <w:tabs>
        <w:tab w:val="clear" w:pos="360"/>
      </w:tabs>
    </w:pPr>
    <w:rPr>
      <w:rFonts w:ascii="宋体" w:eastAsia="宋体"/>
      <w:szCs w:val="21"/>
    </w:rPr>
  </w:style>
  <w:style w:type="paragraph" w:customStyle="1" w:styleId="87">
    <w:name w:val="封面标准名称"/>
    <w:qFormat/>
    <w:uiPriority w:val="0"/>
    <w:pPr>
      <w:widowControl w:val="0"/>
      <w:spacing w:line="680" w:lineRule="exact"/>
      <w:jc w:val="center"/>
      <w:textAlignment w:val="center"/>
    </w:pPr>
    <w:rPr>
      <w:rFonts w:ascii="黑体" w:hAnsi="Calibri" w:eastAsia="黑体" w:cs="Calibri"/>
      <w:sz w:val="52"/>
      <w:lang w:val="en-US" w:eastAsia="zh-CN" w:bidi="ar-SA"/>
    </w:rPr>
  </w:style>
  <w:style w:type="paragraph" w:customStyle="1" w:styleId="88">
    <w:name w:val="其他实施日期"/>
    <w:basedOn w:val="45"/>
    <w:qFormat/>
    <w:uiPriority w:val="0"/>
  </w:style>
  <w:style w:type="paragraph" w:customStyle="1" w:styleId="89">
    <w:name w:val="封面标准名称2"/>
    <w:basedOn w:val="87"/>
    <w:qFormat/>
    <w:uiPriority w:val="0"/>
    <w:pPr>
      <w:spacing w:beforeLines="630"/>
    </w:pPr>
  </w:style>
  <w:style w:type="paragraph" w:customStyle="1" w:styleId="90">
    <w:name w:val="附录公式编号制表符"/>
    <w:basedOn w:val="1"/>
    <w:next w:val="40"/>
    <w:qFormat/>
    <w:uiPriority w:val="0"/>
    <w:pPr>
      <w:widowControl/>
      <w:tabs>
        <w:tab w:val="center" w:pos="4201"/>
        <w:tab w:val="right" w:leader="dot" w:pos="9298"/>
      </w:tabs>
      <w:autoSpaceDE w:val="0"/>
      <w:autoSpaceDN w:val="0"/>
    </w:pPr>
    <w:rPr>
      <w:rFonts w:ascii="宋体"/>
      <w:kern w:val="0"/>
      <w:szCs w:val="20"/>
    </w:rPr>
  </w:style>
  <w:style w:type="paragraph" w:customStyle="1" w:styleId="91">
    <w:name w:val="其他发布日期"/>
    <w:basedOn w:val="46"/>
    <w:qFormat/>
    <w:uiPriority w:val="0"/>
  </w:style>
  <w:style w:type="paragraph" w:customStyle="1" w:styleId="92">
    <w:name w:val="首示例"/>
    <w:next w:val="40"/>
    <w:link w:val="140"/>
    <w:qFormat/>
    <w:uiPriority w:val="0"/>
    <w:pPr>
      <w:numPr>
        <w:ilvl w:val="0"/>
        <w:numId w:val="11"/>
      </w:numPr>
      <w:tabs>
        <w:tab w:val="left" w:pos="360"/>
      </w:tabs>
      <w:ind w:firstLine="0"/>
    </w:pPr>
    <w:rPr>
      <w:rFonts w:ascii="宋体" w:hAnsi="宋体" w:eastAsia="宋体" w:cs="Calibri"/>
      <w:kern w:val="2"/>
      <w:sz w:val="18"/>
      <w:szCs w:val="18"/>
      <w:lang w:val="en-US" w:eastAsia="zh-CN" w:bidi="ar-SA"/>
    </w:rPr>
  </w:style>
  <w:style w:type="paragraph" w:customStyle="1" w:styleId="93">
    <w:name w:val="封面标准英文名称"/>
    <w:basedOn w:val="87"/>
    <w:qFormat/>
    <w:uiPriority w:val="0"/>
    <w:pPr>
      <w:spacing w:before="370" w:line="400" w:lineRule="exact"/>
    </w:pPr>
    <w:rPr>
      <w:rFonts w:ascii="Times New Roman"/>
      <w:sz w:val="28"/>
      <w:szCs w:val="28"/>
    </w:rPr>
  </w:style>
  <w:style w:type="paragraph" w:customStyle="1" w:styleId="94">
    <w:name w:val="图的脚注"/>
    <w:next w:val="40"/>
    <w:qFormat/>
    <w:uiPriority w:val="0"/>
    <w:pPr>
      <w:widowControl w:val="0"/>
      <w:ind w:left="840" w:leftChars="200" w:hanging="420" w:hangingChars="200"/>
      <w:jc w:val="both"/>
    </w:pPr>
    <w:rPr>
      <w:rFonts w:ascii="宋体" w:hAnsi="Calibri" w:eastAsia="宋体" w:cs="Calibri"/>
      <w:sz w:val="18"/>
      <w:lang w:val="en-US" w:eastAsia="zh-CN" w:bidi="ar-SA"/>
    </w:rPr>
  </w:style>
  <w:style w:type="paragraph" w:customStyle="1" w:styleId="95">
    <w:name w:val="一级无"/>
    <w:basedOn w:val="47"/>
    <w:link w:val="142"/>
    <w:qFormat/>
    <w:uiPriority w:val="0"/>
    <w:rPr>
      <w:rFonts w:ascii="宋体"/>
    </w:rPr>
  </w:style>
  <w:style w:type="paragraph" w:customStyle="1" w:styleId="96">
    <w:name w:val="封面标准文稿编辑信息2"/>
    <w:basedOn w:val="97"/>
    <w:qFormat/>
    <w:uiPriority w:val="0"/>
  </w:style>
  <w:style w:type="paragraph" w:customStyle="1" w:styleId="97">
    <w:name w:val="封面标准文稿编辑信息"/>
    <w:basedOn w:val="98"/>
    <w:qFormat/>
    <w:uiPriority w:val="0"/>
    <w:pPr>
      <w:spacing w:before="180" w:line="180" w:lineRule="exact"/>
    </w:pPr>
    <w:rPr>
      <w:sz w:val="21"/>
    </w:rPr>
  </w:style>
  <w:style w:type="paragraph" w:customStyle="1" w:styleId="98">
    <w:name w:val="封面标准文稿类别"/>
    <w:basedOn w:val="99"/>
    <w:qFormat/>
    <w:uiPriority w:val="0"/>
    <w:pPr>
      <w:spacing w:after="160" w:line="240" w:lineRule="auto"/>
    </w:pPr>
    <w:rPr>
      <w:sz w:val="24"/>
    </w:rPr>
  </w:style>
  <w:style w:type="paragraph" w:customStyle="1" w:styleId="99">
    <w:name w:val="封面一致性程度标识"/>
    <w:basedOn w:val="93"/>
    <w:qFormat/>
    <w:uiPriority w:val="0"/>
    <w:pPr>
      <w:spacing w:before="440"/>
    </w:pPr>
    <w:rPr>
      <w:rFonts w:ascii="宋体" w:eastAsia="宋体"/>
    </w:rPr>
  </w:style>
  <w:style w:type="paragraph" w:customStyle="1" w:styleId="100">
    <w:name w:val="注：（正文）"/>
    <w:basedOn w:val="101"/>
    <w:next w:val="40"/>
    <w:qFormat/>
    <w:uiPriority w:val="0"/>
  </w:style>
  <w:style w:type="paragraph" w:customStyle="1" w:styleId="101">
    <w:name w:val="注："/>
    <w:next w:val="40"/>
    <w:qFormat/>
    <w:uiPriority w:val="0"/>
    <w:pPr>
      <w:widowControl w:val="0"/>
      <w:numPr>
        <w:ilvl w:val="0"/>
        <w:numId w:val="12"/>
      </w:numPr>
      <w:autoSpaceDE w:val="0"/>
      <w:autoSpaceDN w:val="0"/>
      <w:jc w:val="both"/>
    </w:pPr>
    <w:rPr>
      <w:rFonts w:ascii="宋体" w:hAnsi="Calibri" w:eastAsia="宋体" w:cs="Calibri"/>
      <w:sz w:val="18"/>
      <w:szCs w:val="18"/>
      <w:lang w:val="en-US" w:eastAsia="zh-CN" w:bidi="ar-SA"/>
    </w:rPr>
  </w:style>
  <w:style w:type="paragraph" w:customStyle="1" w:styleId="102">
    <w:name w:val="参考文献"/>
    <w:basedOn w:val="1"/>
    <w:next w:val="40"/>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03">
    <w:name w:val="封面标准号1"/>
    <w:qFormat/>
    <w:uiPriority w:val="0"/>
    <w:pPr>
      <w:widowControl w:val="0"/>
      <w:kinsoku w:val="0"/>
      <w:overflowPunct w:val="0"/>
      <w:autoSpaceDE w:val="0"/>
      <w:autoSpaceDN w:val="0"/>
      <w:spacing w:before="308"/>
      <w:jc w:val="right"/>
      <w:textAlignment w:val="center"/>
    </w:pPr>
    <w:rPr>
      <w:rFonts w:ascii="Calibri" w:hAnsi="Calibri" w:eastAsia="宋体" w:cs="Calibri"/>
      <w:sz w:val="28"/>
      <w:lang w:val="en-US" w:eastAsia="zh-CN" w:bidi="ar-SA"/>
    </w:rPr>
  </w:style>
  <w:style w:type="paragraph" w:customStyle="1" w:styleId="104">
    <w:name w:val="标准书眉一"/>
    <w:qFormat/>
    <w:uiPriority w:val="0"/>
    <w:pPr>
      <w:jc w:val="both"/>
    </w:pPr>
    <w:rPr>
      <w:rFonts w:ascii="Calibri" w:hAnsi="Calibri" w:eastAsia="宋体" w:cs="Calibri"/>
      <w:lang w:val="en-US" w:eastAsia="zh-CN" w:bidi="ar-SA"/>
    </w:rPr>
  </w:style>
  <w:style w:type="paragraph" w:customStyle="1" w:styleId="105">
    <w:name w:val="其他标准称谓"/>
    <w:next w:val="1"/>
    <w:qFormat/>
    <w:uiPriority w:val="0"/>
    <w:pPr>
      <w:spacing w:line="0" w:lineRule="atLeast"/>
      <w:jc w:val="distribute"/>
    </w:pPr>
    <w:rPr>
      <w:rFonts w:ascii="黑体" w:hAnsi="宋体" w:eastAsia="黑体" w:cs="Calibri"/>
      <w:spacing w:val="-40"/>
      <w:sz w:val="48"/>
      <w:szCs w:val="52"/>
      <w:lang w:val="en-US" w:eastAsia="zh-CN" w:bidi="ar-SA"/>
    </w:rPr>
  </w:style>
  <w:style w:type="paragraph" w:customStyle="1" w:styleId="106">
    <w:name w:val="二级无"/>
    <w:basedOn w:val="60"/>
    <w:qFormat/>
    <w:uiPriority w:val="0"/>
    <w:rPr>
      <w:rFonts w:ascii="宋体" w:eastAsia="宋体"/>
    </w:rPr>
  </w:style>
  <w:style w:type="paragraph" w:customStyle="1" w:styleId="107">
    <w:name w:val="附录图标题"/>
    <w:basedOn w:val="1"/>
    <w:next w:val="40"/>
    <w:qFormat/>
    <w:uiPriority w:val="0"/>
    <w:pPr>
      <w:numPr>
        <w:ilvl w:val="1"/>
        <w:numId w:val="13"/>
      </w:numPr>
      <w:tabs>
        <w:tab w:val="left" w:pos="363"/>
      </w:tabs>
      <w:spacing w:beforeLines="50" w:afterLines="50"/>
      <w:ind w:left="0" w:firstLine="0"/>
      <w:jc w:val="center"/>
    </w:pPr>
    <w:rPr>
      <w:rFonts w:ascii="黑体" w:eastAsia="黑体"/>
      <w:szCs w:val="21"/>
    </w:rPr>
  </w:style>
  <w:style w:type="paragraph" w:customStyle="1" w:styleId="108">
    <w:name w:val="附录图标号"/>
    <w:basedOn w:val="1"/>
    <w:qFormat/>
    <w:uiPriority w:val="0"/>
    <w:pPr>
      <w:keepNext/>
      <w:pageBreakBefore/>
      <w:widowControl/>
      <w:numPr>
        <w:ilvl w:val="0"/>
        <w:numId w:val="13"/>
      </w:numPr>
      <w:spacing w:line="14" w:lineRule="exact"/>
      <w:ind w:left="0" w:firstLine="363"/>
      <w:jc w:val="center"/>
      <w:outlineLvl w:val="0"/>
    </w:pPr>
    <w:rPr>
      <w:color w:val="FFFFFF"/>
    </w:rPr>
  </w:style>
  <w:style w:type="paragraph" w:customStyle="1" w:styleId="109">
    <w:name w:val="数字编号列项（二级）"/>
    <w:qFormat/>
    <w:uiPriority w:val="0"/>
    <w:pPr>
      <w:numPr>
        <w:ilvl w:val="1"/>
        <w:numId w:val="10"/>
      </w:numPr>
      <w:tabs>
        <w:tab w:val="left" w:pos="839"/>
      </w:tabs>
      <w:jc w:val="both"/>
    </w:pPr>
    <w:rPr>
      <w:rFonts w:ascii="宋体" w:hAnsi="Calibri" w:eastAsia="宋体" w:cs="Calibri"/>
      <w:sz w:val="21"/>
      <w:lang w:val="en-US" w:eastAsia="zh-CN" w:bidi="ar-SA"/>
    </w:rPr>
  </w:style>
  <w:style w:type="paragraph" w:customStyle="1" w:styleId="110">
    <w:name w:val="封面一致性程度标识2"/>
    <w:basedOn w:val="99"/>
    <w:qFormat/>
    <w:uiPriority w:val="0"/>
  </w:style>
  <w:style w:type="paragraph" w:customStyle="1" w:styleId="111">
    <w:name w:val="目次、标准名称标题"/>
    <w:basedOn w:val="1"/>
    <w:next w:val="40"/>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12">
    <w:name w:val="前言、引言标题"/>
    <w:next w:val="40"/>
    <w:qFormat/>
    <w:uiPriority w:val="0"/>
    <w:pPr>
      <w:keepNext/>
      <w:pageBreakBefore/>
      <w:shd w:val="clear" w:color="FFFFFF" w:fill="FFFFFF"/>
      <w:spacing w:before="640" w:after="560"/>
      <w:jc w:val="center"/>
      <w:outlineLvl w:val="0"/>
    </w:pPr>
    <w:rPr>
      <w:rFonts w:ascii="黑体" w:hAnsi="Calibri" w:eastAsia="黑体" w:cs="Calibri"/>
      <w:sz w:val="32"/>
      <w:lang w:val="en-US" w:eastAsia="zh-CN" w:bidi="ar-SA"/>
    </w:rPr>
  </w:style>
  <w:style w:type="paragraph" w:customStyle="1" w:styleId="113">
    <w:name w:val="文献分类号"/>
    <w:qFormat/>
    <w:uiPriority w:val="0"/>
    <w:pPr>
      <w:widowControl w:val="0"/>
      <w:textAlignment w:val="center"/>
    </w:pPr>
    <w:rPr>
      <w:rFonts w:ascii="黑体" w:hAnsi="Calibri" w:eastAsia="黑体" w:cs="Calibri"/>
      <w:sz w:val="21"/>
      <w:szCs w:val="21"/>
      <w:lang w:val="en-US" w:eastAsia="zh-CN" w:bidi="ar-SA"/>
    </w:rPr>
  </w:style>
  <w:style w:type="paragraph" w:customStyle="1" w:styleId="114">
    <w:name w:val="五级条标题"/>
    <w:basedOn w:val="72"/>
    <w:next w:val="40"/>
    <w:qFormat/>
    <w:uiPriority w:val="0"/>
    <w:pPr>
      <w:outlineLvl w:val="6"/>
    </w:pPr>
  </w:style>
  <w:style w:type="paragraph" w:customStyle="1" w:styleId="115">
    <w:name w:val="示例内容"/>
    <w:qFormat/>
    <w:uiPriority w:val="0"/>
    <w:pPr>
      <w:ind w:firstLine="200" w:firstLineChars="200"/>
    </w:pPr>
    <w:rPr>
      <w:rFonts w:ascii="宋体" w:hAnsi="Calibri" w:eastAsia="宋体" w:cs="Calibri"/>
      <w:sz w:val="18"/>
      <w:szCs w:val="18"/>
      <w:lang w:val="en-US" w:eastAsia="zh-CN" w:bidi="ar-SA"/>
    </w:rPr>
  </w:style>
  <w:style w:type="paragraph" w:customStyle="1" w:styleId="116">
    <w:name w:val="正文表标题"/>
    <w:next w:val="40"/>
    <w:qFormat/>
    <w:uiPriority w:val="0"/>
    <w:pPr>
      <w:numPr>
        <w:ilvl w:val="0"/>
        <w:numId w:val="14"/>
      </w:numPr>
      <w:tabs>
        <w:tab w:val="left" w:pos="360"/>
      </w:tabs>
      <w:spacing w:beforeLines="50" w:afterLines="50"/>
      <w:jc w:val="center"/>
    </w:pPr>
    <w:rPr>
      <w:rFonts w:ascii="黑体" w:hAnsi="Calibri" w:eastAsia="黑体" w:cs="Calibri"/>
      <w:sz w:val="21"/>
      <w:lang w:val="en-US" w:eastAsia="zh-CN" w:bidi="ar-SA"/>
    </w:rPr>
  </w:style>
  <w:style w:type="paragraph" w:customStyle="1" w:styleId="117">
    <w:name w:val="封面正文"/>
    <w:qFormat/>
    <w:uiPriority w:val="0"/>
    <w:pPr>
      <w:jc w:val="both"/>
    </w:pPr>
    <w:rPr>
      <w:rFonts w:ascii="Calibri" w:hAnsi="Calibri" w:eastAsia="宋体" w:cs="Calibri"/>
      <w:lang w:val="en-US" w:eastAsia="zh-CN" w:bidi="ar-SA"/>
    </w:rPr>
  </w:style>
  <w:style w:type="paragraph" w:customStyle="1" w:styleId="118">
    <w:name w:val="参考文献、索引标题"/>
    <w:basedOn w:val="1"/>
    <w:next w:val="40"/>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19">
    <w:name w:val="附录字母编号列项（一级）"/>
    <w:qFormat/>
    <w:uiPriority w:val="0"/>
    <w:pPr>
      <w:numPr>
        <w:ilvl w:val="0"/>
        <w:numId w:val="8"/>
      </w:numPr>
    </w:pPr>
    <w:rPr>
      <w:rFonts w:ascii="宋体" w:hAnsi="Calibri" w:eastAsia="宋体" w:cs="Calibri"/>
      <w:sz w:val="21"/>
      <w:lang w:val="en-US" w:eastAsia="zh-CN" w:bidi="ar-SA"/>
    </w:rPr>
  </w:style>
  <w:style w:type="paragraph" w:customStyle="1" w:styleId="120">
    <w:name w:val="目次、索引正文"/>
    <w:qFormat/>
    <w:uiPriority w:val="0"/>
    <w:pPr>
      <w:spacing w:line="320" w:lineRule="exact"/>
      <w:jc w:val="both"/>
    </w:pPr>
    <w:rPr>
      <w:rFonts w:ascii="宋体" w:hAnsi="Calibri" w:eastAsia="宋体" w:cs="Calibri"/>
      <w:sz w:val="21"/>
      <w:lang w:val="en-US" w:eastAsia="zh-CN" w:bidi="ar-SA"/>
    </w:rPr>
  </w:style>
  <w:style w:type="paragraph" w:customStyle="1" w:styleId="121">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22">
    <w:name w:val="注×：（正文）"/>
    <w:qFormat/>
    <w:uiPriority w:val="0"/>
    <w:pPr>
      <w:numPr>
        <w:ilvl w:val="0"/>
        <w:numId w:val="15"/>
      </w:numPr>
      <w:jc w:val="both"/>
    </w:pPr>
    <w:rPr>
      <w:rFonts w:ascii="宋体" w:hAnsi="Calibri" w:eastAsia="宋体" w:cs="Calibri"/>
      <w:sz w:val="18"/>
      <w:szCs w:val="18"/>
      <w:lang w:val="en-US" w:eastAsia="zh-CN" w:bidi="ar-SA"/>
    </w:rPr>
  </w:style>
  <w:style w:type="paragraph" w:customStyle="1" w:styleId="123">
    <w:name w:val="三级无"/>
    <w:basedOn w:val="59"/>
    <w:qFormat/>
    <w:uiPriority w:val="0"/>
    <w:rPr>
      <w:rFonts w:ascii="宋体" w:eastAsia="宋体"/>
    </w:rPr>
  </w:style>
  <w:style w:type="paragraph" w:customStyle="1" w:styleId="124">
    <w:name w:val="示例"/>
    <w:next w:val="115"/>
    <w:qFormat/>
    <w:uiPriority w:val="0"/>
    <w:pPr>
      <w:widowControl w:val="0"/>
      <w:numPr>
        <w:ilvl w:val="0"/>
        <w:numId w:val="16"/>
      </w:numPr>
      <w:jc w:val="both"/>
    </w:pPr>
    <w:rPr>
      <w:rFonts w:ascii="宋体" w:hAnsi="Calibri" w:eastAsia="宋体" w:cs="Calibri"/>
      <w:sz w:val="18"/>
      <w:szCs w:val="18"/>
      <w:lang w:val="en-US" w:eastAsia="zh-CN" w:bidi="ar-SA"/>
    </w:rPr>
  </w:style>
  <w:style w:type="paragraph" w:customStyle="1" w:styleId="125">
    <w:name w:val="附录表标题"/>
    <w:basedOn w:val="1"/>
    <w:next w:val="40"/>
    <w:qFormat/>
    <w:uiPriority w:val="0"/>
    <w:pPr>
      <w:numPr>
        <w:ilvl w:val="1"/>
        <w:numId w:val="3"/>
      </w:numPr>
      <w:tabs>
        <w:tab w:val="left" w:pos="0"/>
        <w:tab w:val="left" w:pos="180"/>
      </w:tabs>
      <w:spacing w:beforeLines="50" w:afterLines="50"/>
      <w:ind w:left="0" w:firstLine="0"/>
      <w:jc w:val="center"/>
    </w:pPr>
    <w:rPr>
      <w:rFonts w:ascii="黑体" w:eastAsia="黑体"/>
      <w:szCs w:val="21"/>
    </w:rPr>
  </w:style>
  <w:style w:type="paragraph" w:customStyle="1" w:styleId="126">
    <w:name w:val="注×："/>
    <w:qFormat/>
    <w:uiPriority w:val="0"/>
    <w:pPr>
      <w:widowControl w:val="0"/>
      <w:numPr>
        <w:ilvl w:val="0"/>
        <w:numId w:val="17"/>
      </w:numPr>
      <w:autoSpaceDE w:val="0"/>
      <w:autoSpaceDN w:val="0"/>
      <w:jc w:val="both"/>
    </w:pPr>
    <w:rPr>
      <w:rFonts w:ascii="宋体" w:hAnsi="Calibri" w:eastAsia="宋体" w:cs="Calibri"/>
      <w:sz w:val="18"/>
      <w:szCs w:val="18"/>
      <w:lang w:val="en-US" w:eastAsia="zh-CN" w:bidi="ar-SA"/>
    </w:rPr>
  </w:style>
  <w:style w:type="paragraph" w:customStyle="1" w:styleId="127">
    <w:name w:val="五级无"/>
    <w:basedOn w:val="114"/>
    <w:qFormat/>
    <w:uiPriority w:val="0"/>
    <w:rPr>
      <w:rFonts w:ascii="宋体" w:eastAsia="宋体"/>
    </w:rPr>
  </w:style>
  <w:style w:type="paragraph" w:customStyle="1" w:styleId="128">
    <w:name w:val="封面标准英文名称2"/>
    <w:basedOn w:val="93"/>
    <w:qFormat/>
    <w:uiPriority w:val="0"/>
  </w:style>
  <w:style w:type="paragraph" w:customStyle="1" w:styleId="129">
    <w:name w:val="标准书脚_偶数页"/>
    <w:qFormat/>
    <w:uiPriority w:val="0"/>
    <w:pPr>
      <w:spacing w:before="120"/>
      <w:ind w:left="221"/>
    </w:pPr>
    <w:rPr>
      <w:rFonts w:ascii="宋体" w:hAnsi="Calibri" w:eastAsia="宋体" w:cs="Calibri"/>
      <w:sz w:val="18"/>
      <w:szCs w:val="18"/>
      <w:lang w:val="en-US" w:eastAsia="zh-CN" w:bidi="ar-SA"/>
    </w:rPr>
  </w:style>
  <w:style w:type="paragraph" w:customStyle="1" w:styleId="130">
    <w:name w:val="封面标准代替信息"/>
    <w:qFormat/>
    <w:uiPriority w:val="0"/>
    <w:pPr>
      <w:spacing w:before="57" w:line="280" w:lineRule="exact"/>
      <w:jc w:val="right"/>
    </w:pPr>
    <w:rPr>
      <w:rFonts w:ascii="宋体" w:hAnsi="Calibri" w:eastAsia="宋体" w:cs="Calibri"/>
      <w:sz w:val="21"/>
      <w:szCs w:val="21"/>
      <w:lang w:val="en-US" w:eastAsia="zh-CN" w:bidi="ar-SA"/>
    </w:rPr>
  </w:style>
  <w:style w:type="paragraph" w:customStyle="1" w:styleId="131">
    <w:name w:val="附录五级无"/>
    <w:basedOn w:val="55"/>
    <w:qFormat/>
    <w:uiPriority w:val="0"/>
    <w:rPr>
      <w:rFonts w:ascii="宋体" w:eastAsia="宋体"/>
      <w:szCs w:val="21"/>
    </w:rPr>
  </w:style>
  <w:style w:type="paragraph" w:customStyle="1" w:styleId="132">
    <w:name w:val="封面标准文稿类别2"/>
    <w:basedOn w:val="98"/>
    <w:qFormat/>
    <w:uiPriority w:val="0"/>
  </w:style>
  <w:style w:type="paragraph" w:customStyle="1" w:styleId="133">
    <w:name w:val="列项◆（三级）"/>
    <w:basedOn w:val="1"/>
    <w:qFormat/>
    <w:uiPriority w:val="0"/>
    <w:pPr>
      <w:numPr>
        <w:ilvl w:val="2"/>
        <w:numId w:val="6"/>
      </w:numPr>
    </w:pPr>
    <w:rPr>
      <w:rFonts w:ascii="宋体"/>
      <w:szCs w:val="21"/>
    </w:rPr>
  </w:style>
  <w:style w:type="paragraph" w:customStyle="1" w:styleId="134">
    <w:name w:val="列项——（一级）"/>
    <w:qFormat/>
    <w:uiPriority w:val="0"/>
    <w:pPr>
      <w:widowControl w:val="0"/>
      <w:numPr>
        <w:ilvl w:val="0"/>
        <w:numId w:val="6"/>
      </w:numPr>
      <w:jc w:val="both"/>
    </w:pPr>
    <w:rPr>
      <w:rFonts w:ascii="宋体" w:hAnsi="Calibri" w:eastAsia="宋体" w:cs="Calibri"/>
      <w:sz w:val="21"/>
      <w:lang w:val="en-US" w:eastAsia="zh-CN" w:bidi="ar-SA"/>
    </w:rPr>
  </w:style>
  <w:style w:type="paragraph" w:customStyle="1" w:styleId="135">
    <w:name w:val="字母编号列项（一级）"/>
    <w:qFormat/>
    <w:uiPriority w:val="0"/>
    <w:pPr>
      <w:numPr>
        <w:ilvl w:val="0"/>
        <w:numId w:val="10"/>
      </w:numPr>
      <w:jc w:val="both"/>
    </w:pPr>
    <w:rPr>
      <w:rFonts w:ascii="宋体" w:hAnsi="Calibri" w:eastAsia="宋体" w:cs="Calibri"/>
      <w:sz w:val="21"/>
      <w:lang w:val="en-US" w:eastAsia="zh-CN" w:bidi="ar-SA"/>
    </w:rPr>
  </w:style>
  <w:style w:type="paragraph" w:customStyle="1" w:styleId="136">
    <w:name w:val="附录公式"/>
    <w:basedOn w:val="40"/>
    <w:next w:val="40"/>
    <w:link w:val="138"/>
    <w:qFormat/>
    <w:uiPriority w:val="0"/>
  </w:style>
  <w:style w:type="character" w:customStyle="1" w:styleId="137">
    <w:name w:val="页码1"/>
    <w:basedOn w:val="23"/>
    <w:qFormat/>
    <w:uiPriority w:val="0"/>
    <w:rPr>
      <w:rFonts w:ascii="Times New Roman" w:hAnsi="Times New Roman" w:eastAsia="宋体"/>
      <w:sz w:val="18"/>
    </w:rPr>
  </w:style>
  <w:style w:type="character" w:customStyle="1" w:styleId="138">
    <w:name w:val="附录公式 Char Char"/>
    <w:basedOn w:val="139"/>
    <w:link w:val="136"/>
    <w:semiHidden/>
    <w:qFormat/>
    <w:uiPriority w:val="0"/>
  </w:style>
  <w:style w:type="character" w:customStyle="1" w:styleId="139">
    <w:name w:val="段 Char Char"/>
    <w:basedOn w:val="23"/>
    <w:link w:val="40"/>
    <w:qFormat/>
    <w:uiPriority w:val="0"/>
    <w:rPr>
      <w:rFonts w:ascii="宋体"/>
      <w:sz w:val="21"/>
      <w:lang w:val="en-US" w:eastAsia="zh-CN" w:bidi="ar-SA"/>
    </w:rPr>
  </w:style>
  <w:style w:type="character" w:customStyle="1" w:styleId="140">
    <w:name w:val="首示例 Char Char"/>
    <w:basedOn w:val="23"/>
    <w:link w:val="92"/>
    <w:qFormat/>
    <w:uiPriority w:val="0"/>
    <w:rPr>
      <w:rFonts w:ascii="宋体" w:hAnsi="宋体"/>
      <w:kern w:val="2"/>
      <w:sz w:val="18"/>
      <w:szCs w:val="18"/>
      <w:lang w:val="en-US" w:eastAsia="zh-CN" w:bidi="ar-SA"/>
    </w:rPr>
  </w:style>
  <w:style w:type="character" w:customStyle="1" w:styleId="141">
    <w:name w:val="apple-converted-space"/>
    <w:basedOn w:val="23"/>
    <w:qFormat/>
    <w:uiPriority w:val="0"/>
  </w:style>
  <w:style w:type="character" w:customStyle="1" w:styleId="142">
    <w:name w:val="一级无 Char Char"/>
    <w:basedOn w:val="23"/>
    <w:link w:val="95"/>
    <w:semiHidden/>
    <w:qFormat/>
    <w:uiPriority w:val="0"/>
    <w:rPr>
      <w:rFonts w:ascii="宋体"/>
      <w:sz w:val="21"/>
      <w:szCs w:val="21"/>
    </w:rPr>
  </w:style>
  <w:style w:type="character" w:customStyle="1" w:styleId="143">
    <w:name w:val="发布"/>
    <w:basedOn w:val="23"/>
    <w:qFormat/>
    <w:uiPriority w:val="0"/>
    <w:rPr>
      <w:rFonts w:ascii="黑体" w:eastAsia="黑体"/>
      <w:spacing w:val="85"/>
      <w:w w:val="100"/>
      <w:position w:val="3"/>
      <w:sz w:val="28"/>
      <w:szCs w:val="28"/>
    </w:rPr>
  </w:style>
  <w:style w:type="character" w:customStyle="1" w:styleId="144">
    <w:name w:val="段 Char"/>
    <w:basedOn w:val="23"/>
    <w:qFormat/>
    <w:uiPriority w:val="0"/>
    <w:rPr>
      <w:rFonts w:ascii="宋体"/>
      <w:sz w:val="21"/>
      <w:lang w:val="en-US" w:eastAsia="zh-CN" w:bidi="ar-SA"/>
    </w:rPr>
  </w:style>
  <w:style w:type="character" w:customStyle="1" w:styleId="145">
    <w:name w:val="日期 Char1"/>
    <w:basedOn w:val="23"/>
    <w:link w:val="10"/>
    <w:semiHidden/>
    <w:qFormat/>
    <w:uiPriority w:val="99"/>
    <w:rPr>
      <w:rFonts w:cs="Times New Roman"/>
      <w:kern w:val="2"/>
      <w:sz w:val="21"/>
      <w:szCs w:val="24"/>
    </w:rPr>
  </w:style>
  <w:style w:type="paragraph" w:customStyle="1" w:styleId="146">
    <w:name w:val="无间隔1"/>
    <w:qFormat/>
    <w:uiPriority w:val="1"/>
    <w:pPr>
      <w:widowControl w:val="0"/>
      <w:jc w:val="both"/>
    </w:pPr>
    <w:rPr>
      <w:rFonts w:ascii="Calibri" w:hAnsi="Calibri" w:eastAsia="宋体" w:cs="黑体"/>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9C07B4-9431-488D-B552-0288A00B144F}">
  <ds:schemaRefs/>
</ds:datastoreItem>
</file>

<file path=docProps/app.xml><?xml version="1.0" encoding="utf-8"?>
<Properties xmlns="http://schemas.openxmlformats.org/officeDocument/2006/extended-properties" xmlns:vt="http://schemas.openxmlformats.org/officeDocument/2006/docPropsVTypes">
  <Template>Normal</Template>
  <Company>zle</Company>
  <Pages>16</Pages>
  <Words>7730</Words>
  <Characters>8219</Characters>
  <Lines>50</Lines>
  <Paragraphs>14</Paragraphs>
  <TotalTime>2</TotalTime>
  <ScaleCrop>false</ScaleCrop>
  <LinksUpToDate>false</LinksUpToDate>
  <CharactersWithSpaces>8524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2019-11-15T10:37:00Z</dcterms:created>
  <dc:creator>CNIS</dc:creator>
  <cp:lastModifiedBy>Admin</cp:lastModifiedBy>
  <cp:lastPrinted>2023-02-20T03:36:00Z</cp:lastPrinted>
  <dcterms:modified xsi:type="dcterms:W3CDTF">2023-09-07T06:54:24Z</dcterms:modified>
  <dc:title>标准名称</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B8CC98F75E7041C89F1B0F4429EC9087_13</vt:lpwstr>
  </property>
</Properties>
</file>