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val="0"/>
        <w:autoSpaceDN w:val="0"/>
        <w:bidi w:val="0"/>
        <w:adjustRightInd/>
        <w:snapToGrid/>
        <w:spacing w:before="1" w:line="56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w:t>
      </w: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r>
        <w:rPr>
          <w:rFonts w:hint="eastAsia" w:ascii="宋体" w:hAnsi="宋体"/>
          <w:b/>
          <w:sz w:val="44"/>
          <w:szCs w:val="44"/>
        </w:rPr>
        <w:t>旅游景区研学旅游产品设计导则</w:t>
      </w:r>
    </w:p>
    <w:p>
      <w:pPr>
        <w:jc w:val="center"/>
        <w:rPr>
          <w:rFonts w:hint="default" w:ascii="Times New Roman" w:hAnsi="Times New Roman" w:cs="Times New Roman"/>
          <w:b w:val="0"/>
          <w:bCs/>
          <w:sz w:val="28"/>
          <w:szCs w:val="28"/>
          <w:lang w:val="en-US" w:eastAsia="zh-CN"/>
        </w:rPr>
      </w:pPr>
      <w:r>
        <w:rPr>
          <w:rFonts w:hint="default" w:ascii="Times New Roman" w:hAnsi="Times New Roman" w:cs="Times New Roman"/>
          <w:b w:val="0"/>
          <w:bCs/>
          <w:sz w:val="28"/>
          <w:szCs w:val="28"/>
          <w:lang w:val="en-US" w:eastAsia="zh-CN"/>
        </w:rPr>
        <w:t>Guidelines for the design of study travel products in tourist attraction</w:t>
      </w:r>
    </w:p>
    <w:p>
      <w:pPr>
        <w:jc w:val="center"/>
        <w:rPr>
          <w:rFonts w:hint="eastAsia" w:ascii="Times New Roman" w:hAnsi="Times New Roman" w:cs="Times New Roman"/>
          <w:b w:val="0"/>
          <w:bCs/>
          <w:sz w:val="28"/>
          <w:szCs w:val="28"/>
          <w:lang w:val="en-US" w:eastAsia="zh-CN"/>
        </w:rPr>
      </w:pPr>
      <w:r>
        <w:rPr>
          <w:rFonts w:hint="eastAsia" w:ascii="Times New Roman" w:hAnsi="Times New Roman" w:cs="Times New Roman"/>
          <w:b w:val="0"/>
          <w:bCs/>
          <w:sz w:val="28"/>
          <w:szCs w:val="28"/>
          <w:lang w:val="en-US" w:eastAsia="zh-CN"/>
        </w:rPr>
        <w:t>（网上征求意见稿）</w:t>
      </w:r>
    </w:p>
    <w:p>
      <w:pPr>
        <w:jc w:val="center"/>
        <w:rPr>
          <w:rFonts w:hint="eastAsia" w:ascii="Times New Roman" w:hAnsi="Times New Roman" w:cs="Times New Roman"/>
          <w:b w:val="0"/>
          <w:bCs/>
          <w:sz w:val="28"/>
          <w:szCs w:val="28"/>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pPr>
        <w:pStyle w:val="15"/>
        <w:spacing w:line="360" w:lineRule="auto"/>
        <w:jc w:val="center"/>
        <w:rPr>
          <w:rFonts w:ascii="黑体" w:hAnsi="黑体" w:eastAsia="黑体"/>
          <w:b/>
          <w:color w:val="000000"/>
          <w:szCs w:val="24"/>
        </w:rPr>
      </w:pPr>
      <w:r>
        <w:rPr>
          <w:rFonts w:ascii="黑体" w:hAnsi="黑体" w:eastAsia="黑体"/>
          <w:b/>
          <w:color w:val="000000"/>
          <w:szCs w:val="24"/>
          <w:lang w:val="zh-CN"/>
        </w:rPr>
        <w:t>目</w:t>
      </w:r>
      <w:r>
        <w:rPr>
          <w:rFonts w:hint="eastAsia" w:ascii="黑体" w:hAnsi="黑体" w:eastAsia="黑体"/>
          <w:b/>
          <w:color w:val="000000"/>
          <w:szCs w:val="24"/>
          <w:lang w:val="zh-CN"/>
        </w:rPr>
        <w:t xml:space="preserve">  </w:t>
      </w:r>
      <w:r>
        <w:rPr>
          <w:rFonts w:ascii="黑体" w:hAnsi="黑体" w:eastAsia="黑体"/>
          <w:b/>
          <w:color w:val="000000"/>
          <w:szCs w:val="24"/>
          <w:lang w:val="zh-CN"/>
        </w:rPr>
        <w:t>次</w:t>
      </w:r>
    </w:p>
    <w:p>
      <w:pPr>
        <w:pStyle w:val="7"/>
        <w:tabs>
          <w:tab w:val="right" w:leader="dot" w:pos="8300"/>
        </w:tabs>
        <w:spacing w:line="360" w:lineRule="auto"/>
        <w:rPr>
          <w:rFonts w:asciiTheme="minorHAnsi" w:hAnsiTheme="minorHAnsi" w:eastAsiaTheme="minorEastAsia" w:cstheme="minorBidi"/>
          <w:sz w:val="21"/>
          <w:szCs w:val="22"/>
        </w:rPr>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"_Toc120651723" </w:instrText>
      </w:r>
      <w:r>
        <w:fldChar w:fldCharType="separate"/>
      </w:r>
      <w:r>
        <w:rPr>
          <w:rStyle w:val="10"/>
          <w:rFonts w:ascii="黑体" w:hAnsi="黑体" w:eastAsia="黑体"/>
          <w:bCs/>
          <w:kern w:val="44"/>
        </w:rPr>
        <w:t>前   言</w:t>
      </w:r>
      <w:r>
        <w:tab/>
      </w:r>
      <w:r>
        <w:rPr>
          <w:rFonts w:hint="eastAsia"/>
          <w:lang w:val="en-US" w:eastAsia="zh-CN"/>
        </w:rPr>
        <w:t>3</w:t>
      </w:r>
      <w:r>
        <w:fldChar w:fldCharType="end"/>
      </w:r>
    </w:p>
    <w:p>
      <w:pPr>
        <w:pStyle w:val="7"/>
        <w:tabs>
          <w:tab w:val="right" w:leader="dot" w:pos="8300"/>
        </w:tabs>
        <w:spacing w:line="360" w:lineRule="auto"/>
        <w:rPr>
          <w:rFonts w:asciiTheme="minorHAnsi" w:hAnsiTheme="minorHAnsi" w:eastAsiaTheme="minorEastAsia" w:cstheme="minorBidi"/>
          <w:sz w:val="21"/>
          <w:szCs w:val="22"/>
        </w:rPr>
      </w:pPr>
      <w:r>
        <w:fldChar w:fldCharType="begin"/>
      </w:r>
      <w:r>
        <w:instrText xml:space="preserve"> HYPERLINK \l "_Toc120651724" </w:instrText>
      </w:r>
      <w:r>
        <w:fldChar w:fldCharType="separate"/>
      </w:r>
      <w:r>
        <w:rPr>
          <w:rStyle w:val="10"/>
          <w:rFonts w:ascii="黑体" w:hAnsi="黑体" w:eastAsia="黑体"/>
          <w:bCs/>
          <w:kern w:val="44"/>
        </w:rPr>
        <w:t>引   言</w:t>
      </w:r>
      <w:r>
        <w:tab/>
      </w:r>
      <w:r>
        <w:rPr>
          <w:rFonts w:hint="eastAsia"/>
          <w:lang w:val="en-US" w:eastAsia="zh-CN"/>
        </w:rPr>
        <w:t>4</w:t>
      </w:r>
      <w:r>
        <w:fldChar w:fldCharType="end"/>
      </w:r>
    </w:p>
    <w:p>
      <w:pPr>
        <w:pStyle w:val="7"/>
        <w:tabs>
          <w:tab w:val="right" w:leader="dot" w:pos="8300"/>
        </w:tabs>
        <w:spacing w:line="360" w:lineRule="auto"/>
        <w:rPr>
          <w:rFonts w:asciiTheme="minorHAnsi" w:hAnsiTheme="minorHAnsi" w:eastAsiaTheme="minorEastAsia" w:cstheme="minorBidi"/>
          <w:sz w:val="21"/>
          <w:szCs w:val="22"/>
        </w:rPr>
      </w:pPr>
      <w:r>
        <w:fldChar w:fldCharType="begin"/>
      </w:r>
      <w:r>
        <w:instrText xml:space="preserve"> HYPERLINK \l "_Toc120651725" </w:instrText>
      </w:r>
      <w:r>
        <w:fldChar w:fldCharType="separate"/>
      </w:r>
      <w:r>
        <w:rPr>
          <w:rStyle w:val="10"/>
          <w:rFonts w:ascii="黑体" w:hAnsi="黑体" w:eastAsia="黑体"/>
          <w:bCs/>
          <w:kern w:val="44"/>
        </w:rPr>
        <w:t>1 范围</w:t>
      </w:r>
      <w:r>
        <w:tab/>
      </w:r>
      <w:r>
        <w:rPr>
          <w:rFonts w:hint="eastAsia"/>
          <w:lang w:val="en-US" w:eastAsia="zh-CN"/>
        </w:rPr>
        <w:t>6</w:t>
      </w:r>
      <w:r>
        <w:fldChar w:fldCharType="end"/>
      </w:r>
    </w:p>
    <w:p>
      <w:pPr>
        <w:pStyle w:val="7"/>
        <w:tabs>
          <w:tab w:val="right" w:leader="dot" w:pos="8300"/>
        </w:tabs>
        <w:spacing w:line="360" w:lineRule="auto"/>
        <w:rPr>
          <w:rFonts w:asciiTheme="minorHAnsi" w:hAnsiTheme="minorHAnsi" w:eastAsiaTheme="minorEastAsia" w:cstheme="minorBidi"/>
          <w:sz w:val="21"/>
          <w:szCs w:val="22"/>
        </w:rPr>
      </w:pPr>
      <w:r>
        <w:fldChar w:fldCharType="begin"/>
      </w:r>
      <w:r>
        <w:instrText xml:space="preserve"> HYPERLINK \l "_Toc120651726" </w:instrText>
      </w:r>
      <w:r>
        <w:fldChar w:fldCharType="separate"/>
      </w:r>
      <w:r>
        <w:rPr>
          <w:rStyle w:val="10"/>
          <w:rFonts w:ascii="黑体" w:hAnsi="黑体" w:eastAsia="黑体"/>
          <w:bCs/>
          <w:kern w:val="44"/>
        </w:rPr>
        <w:t>2 规范性引用文件</w:t>
      </w:r>
      <w:r>
        <w:tab/>
      </w:r>
      <w:r>
        <w:rPr>
          <w:rFonts w:hint="eastAsia"/>
          <w:lang w:val="en-US" w:eastAsia="zh-CN"/>
        </w:rPr>
        <w:t>6</w:t>
      </w:r>
      <w:r>
        <w:fldChar w:fldCharType="end"/>
      </w:r>
    </w:p>
    <w:p>
      <w:pPr>
        <w:pStyle w:val="7"/>
        <w:tabs>
          <w:tab w:val="right" w:leader="dot" w:pos="8300"/>
        </w:tabs>
        <w:spacing w:line="360" w:lineRule="auto"/>
        <w:rPr>
          <w:rFonts w:asciiTheme="minorHAnsi" w:hAnsiTheme="minorHAnsi" w:eastAsiaTheme="minorEastAsia" w:cstheme="minorBidi"/>
          <w:sz w:val="21"/>
          <w:szCs w:val="22"/>
        </w:rPr>
      </w:pPr>
      <w:r>
        <w:fldChar w:fldCharType="begin"/>
      </w:r>
      <w:r>
        <w:instrText xml:space="preserve"> HYPERLINK \l "_Toc120651727" </w:instrText>
      </w:r>
      <w:r>
        <w:fldChar w:fldCharType="separate"/>
      </w:r>
      <w:r>
        <w:rPr>
          <w:rStyle w:val="10"/>
          <w:rFonts w:ascii="黑体" w:hAnsi="黑体" w:eastAsia="黑体"/>
          <w:bCs/>
          <w:kern w:val="44"/>
        </w:rPr>
        <w:t>3 术语和定义</w:t>
      </w:r>
      <w:r>
        <w:tab/>
      </w:r>
      <w:r>
        <w:rPr>
          <w:rFonts w:hint="eastAsia"/>
          <w:lang w:val="en-US" w:eastAsia="zh-CN"/>
        </w:rPr>
        <w:t>6</w:t>
      </w:r>
      <w:r>
        <w:fldChar w:fldCharType="end"/>
      </w:r>
    </w:p>
    <w:p>
      <w:pPr>
        <w:pStyle w:val="7"/>
        <w:tabs>
          <w:tab w:val="right" w:leader="dot" w:pos="8300"/>
        </w:tabs>
        <w:spacing w:line="360" w:lineRule="auto"/>
        <w:rPr>
          <w:rFonts w:asciiTheme="minorHAnsi" w:hAnsiTheme="minorHAnsi" w:eastAsiaTheme="minorEastAsia" w:cstheme="minorBidi"/>
          <w:sz w:val="21"/>
          <w:szCs w:val="22"/>
        </w:rPr>
      </w:pPr>
      <w:r>
        <w:fldChar w:fldCharType="begin"/>
      </w:r>
      <w:r>
        <w:instrText xml:space="preserve"> HYPERLINK \l "_Toc120651728" </w:instrText>
      </w:r>
      <w:r>
        <w:fldChar w:fldCharType="separate"/>
      </w:r>
      <w:r>
        <w:rPr>
          <w:rStyle w:val="10"/>
          <w:rFonts w:ascii="黑体" w:hAnsi="黑体" w:eastAsia="黑体"/>
          <w:bCs/>
          <w:kern w:val="44"/>
        </w:rPr>
        <w:t>4 总则</w:t>
      </w:r>
      <w:r>
        <w:tab/>
      </w:r>
      <w:r>
        <w:rPr>
          <w:rFonts w:hint="eastAsia"/>
          <w:lang w:val="en-US" w:eastAsia="zh-CN"/>
        </w:rPr>
        <w:t>7</w:t>
      </w:r>
      <w:r>
        <w:fldChar w:fldCharType="end"/>
      </w:r>
    </w:p>
    <w:p>
      <w:pPr>
        <w:pStyle w:val="7"/>
        <w:tabs>
          <w:tab w:val="right" w:leader="dot" w:pos="8300"/>
        </w:tabs>
        <w:spacing w:line="360" w:lineRule="auto"/>
        <w:rPr>
          <w:rFonts w:asciiTheme="minorHAnsi" w:hAnsiTheme="minorHAnsi" w:eastAsiaTheme="minorEastAsia" w:cstheme="minorBidi"/>
          <w:sz w:val="21"/>
          <w:szCs w:val="22"/>
        </w:rPr>
      </w:pPr>
      <w:r>
        <w:fldChar w:fldCharType="begin"/>
      </w:r>
      <w:r>
        <w:instrText xml:space="preserve"> HYPERLINK \l "_Toc120651729" </w:instrText>
      </w:r>
      <w:r>
        <w:fldChar w:fldCharType="separate"/>
      </w:r>
      <w:r>
        <w:rPr>
          <w:rStyle w:val="10"/>
          <w:rFonts w:ascii="黑体" w:hAnsi="黑体" w:eastAsia="黑体"/>
          <w:bCs/>
          <w:kern w:val="44"/>
        </w:rPr>
        <w:t>5 研学旅游课程</w:t>
      </w:r>
      <w:r>
        <w:tab/>
      </w:r>
      <w:r>
        <w:rPr>
          <w:rFonts w:hint="eastAsia"/>
          <w:lang w:val="en-US" w:eastAsia="zh-CN"/>
        </w:rPr>
        <w:t>8</w:t>
      </w:r>
      <w:r>
        <w:fldChar w:fldCharType="end"/>
      </w:r>
    </w:p>
    <w:p>
      <w:pPr>
        <w:pStyle w:val="7"/>
        <w:tabs>
          <w:tab w:val="right" w:leader="dot" w:pos="8300"/>
        </w:tabs>
        <w:spacing w:line="360" w:lineRule="auto"/>
        <w:rPr>
          <w:rFonts w:asciiTheme="minorHAnsi" w:hAnsiTheme="minorHAnsi" w:eastAsiaTheme="minorEastAsia" w:cstheme="minorBidi"/>
          <w:sz w:val="21"/>
          <w:szCs w:val="22"/>
        </w:rPr>
      </w:pPr>
      <w:r>
        <w:fldChar w:fldCharType="begin"/>
      </w:r>
      <w:r>
        <w:instrText xml:space="preserve"> HYPERLINK \l "_Toc120651730" </w:instrText>
      </w:r>
      <w:r>
        <w:fldChar w:fldCharType="separate"/>
      </w:r>
      <w:r>
        <w:rPr>
          <w:rStyle w:val="10"/>
          <w:rFonts w:ascii="黑体" w:hAnsi="黑体" w:eastAsia="黑体"/>
          <w:bCs/>
          <w:kern w:val="44"/>
        </w:rPr>
        <w:t>6 研学旅游硬件</w:t>
      </w:r>
      <w:r>
        <w:tab/>
      </w:r>
      <w:r>
        <w:rPr>
          <w:rFonts w:hint="eastAsia"/>
          <w:lang w:val="en-US" w:eastAsia="zh-CN"/>
        </w:rPr>
        <w:t>9</w:t>
      </w:r>
      <w:r>
        <w:fldChar w:fldCharType="end"/>
      </w:r>
    </w:p>
    <w:p>
      <w:pPr>
        <w:pStyle w:val="7"/>
        <w:tabs>
          <w:tab w:val="right" w:leader="dot" w:pos="8300"/>
        </w:tabs>
        <w:spacing w:line="360" w:lineRule="auto"/>
        <w:rPr>
          <w:rFonts w:hint="eastAsia" w:eastAsia="宋体" w:asciiTheme="minorHAnsi" w:hAnsiTheme="minorHAnsi" w:cstheme="minorBidi"/>
          <w:sz w:val="21"/>
          <w:szCs w:val="22"/>
          <w:lang w:val="en-US" w:eastAsia="zh-CN"/>
        </w:rPr>
      </w:pPr>
      <w:r>
        <w:fldChar w:fldCharType="begin"/>
      </w:r>
      <w:r>
        <w:instrText xml:space="preserve"> HYPERLINK \l "_Toc120651731" </w:instrText>
      </w:r>
      <w:r>
        <w:fldChar w:fldCharType="separate"/>
      </w:r>
      <w:r>
        <w:rPr>
          <w:rStyle w:val="10"/>
          <w:rFonts w:ascii="黑体" w:hAnsi="黑体" w:eastAsia="黑体"/>
          <w:bCs/>
          <w:kern w:val="44"/>
        </w:rPr>
        <w:t>7 研学旅游路线</w:t>
      </w:r>
      <w:r>
        <w:tab/>
      </w:r>
      <w:r>
        <w:rPr>
          <w:rFonts w:hint="eastAsia"/>
          <w:lang w:val="en-US" w:eastAsia="zh-CN"/>
        </w:rPr>
        <w:t>1</w:t>
      </w:r>
      <w:r>
        <w:fldChar w:fldCharType="end"/>
      </w:r>
      <w:r>
        <w:rPr>
          <w:rFonts w:hint="eastAsia"/>
          <w:lang w:val="en-US" w:eastAsia="zh-CN"/>
        </w:rPr>
        <w:t>0</w:t>
      </w:r>
    </w:p>
    <w:p>
      <w:pPr>
        <w:pStyle w:val="7"/>
        <w:tabs>
          <w:tab w:val="right" w:leader="dot" w:pos="8300"/>
        </w:tabs>
        <w:spacing w:line="360" w:lineRule="auto"/>
        <w:rPr>
          <w:rFonts w:hint="eastAsia" w:eastAsia="宋体" w:asciiTheme="minorHAnsi" w:hAnsiTheme="minorHAnsi" w:cstheme="minorBidi"/>
          <w:sz w:val="21"/>
          <w:szCs w:val="22"/>
          <w:lang w:val="en-US" w:eastAsia="zh-CN"/>
        </w:rPr>
      </w:pPr>
      <w:r>
        <w:fldChar w:fldCharType="begin"/>
      </w:r>
      <w:r>
        <w:instrText xml:space="preserve"> HYPERLINK \l "_Toc120651732" </w:instrText>
      </w:r>
      <w:r>
        <w:fldChar w:fldCharType="separate"/>
      </w:r>
      <w:r>
        <w:rPr>
          <w:rStyle w:val="10"/>
          <w:rFonts w:ascii="黑体" w:hAnsi="黑体" w:eastAsia="黑体"/>
          <w:bCs/>
          <w:kern w:val="44"/>
        </w:rPr>
        <w:t>8 研学旅游商品</w:t>
      </w:r>
      <w:r>
        <w:tab/>
      </w:r>
      <w:r>
        <w:rPr>
          <w:rFonts w:hint="eastAsia"/>
          <w:lang w:val="en-US" w:eastAsia="zh-CN"/>
        </w:rPr>
        <w:t>1</w:t>
      </w:r>
      <w:r>
        <w:fldChar w:fldCharType="end"/>
      </w:r>
      <w:r>
        <w:rPr>
          <w:rFonts w:hint="eastAsia"/>
          <w:lang w:val="en-US" w:eastAsia="zh-CN"/>
        </w:rPr>
        <w:t>1</w:t>
      </w:r>
    </w:p>
    <w:p>
      <w:pPr>
        <w:pStyle w:val="7"/>
        <w:tabs>
          <w:tab w:val="right" w:leader="dot" w:pos="8300"/>
        </w:tabs>
        <w:spacing w:line="360" w:lineRule="auto"/>
        <w:rPr>
          <w:rFonts w:hint="eastAsia" w:eastAsia="宋体" w:asciiTheme="minorHAnsi" w:hAnsiTheme="minorHAnsi" w:cstheme="minorBidi"/>
          <w:sz w:val="21"/>
          <w:szCs w:val="22"/>
          <w:lang w:val="en-US" w:eastAsia="zh-CN"/>
        </w:rPr>
      </w:pPr>
      <w:r>
        <w:fldChar w:fldCharType="begin"/>
      </w:r>
      <w:r>
        <w:instrText xml:space="preserve"> HYPERLINK \l "_Toc120651733" </w:instrText>
      </w:r>
      <w:r>
        <w:fldChar w:fldCharType="separate"/>
      </w:r>
      <w:r>
        <w:rPr>
          <w:rStyle w:val="10"/>
          <w:rFonts w:ascii="黑体" w:hAnsi="黑体" w:eastAsia="黑体"/>
          <w:bCs/>
          <w:kern w:val="44"/>
        </w:rPr>
        <w:t>9 智慧研学旅游产品</w:t>
      </w:r>
      <w:r>
        <w:tab/>
      </w:r>
      <w:r>
        <w:rPr>
          <w:rFonts w:hint="eastAsia"/>
          <w:lang w:val="en-US" w:eastAsia="zh-CN"/>
        </w:rPr>
        <w:t>1</w:t>
      </w:r>
      <w:r>
        <w:fldChar w:fldCharType="end"/>
      </w:r>
      <w:r>
        <w:rPr>
          <w:rFonts w:hint="eastAsia"/>
          <w:lang w:val="en-US" w:eastAsia="zh-CN"/>
        </w:rPr>
        <w:t>1</w:t>
      </w:r>
    </w:p>
    <w:p>
      <w:pPr>
        <w:pStyle w:val="7"/>
        <w:tabs>
          <w:tab w:val="right" w:leader="dot" w:pos="8300"/>
        </w:tabs>
        <w:spacing w:line="360" w:lineRule="auto"/>
        <w:rPr>
          <w:rFonts w:hint="eastAsia" w:eastAsia="宋体" w:asciiTheme="minorHAnsi" w:hAnsiTheme="minorHAnsi" w:cstheme="minorBidi"/>
          <w:sz w:val="21"/>
          <w:szCs w:val="22"/>
          <w:lang w:val="en-US" w:eastAsia="zh-CN"/>
        </w:rPr>
      </w:pPr>
      <w:r>
        <w:fldChar w:fldCharType="begin"/>
      </w:r>
      <w:r>
        <w:instrText xml:space="preserve"> HYPERLINK \l "_Toc120651734" </w:instrText>
      </w:r>
      <w:r>
        <w:fldChar w:fldCharType="separate"/>
      </w:r>
      <w:r>
        <w:rPr>
          <w:rStyle w:val="10"/>
          <w:rFonts w:ascii="黑体" w:hAnsi="黑体" w:eastAsia="黑体"/>
          <w:bCs/>
          <w:kern w:val="44"/>
        </w:rPr>
        <w:t>10 产品质量保障与管理</w:t>
      </w:r>
      <w:r>
        <w:tab/>
      </w:r>
      <w:r>
        <w:rPr>
          <w:rFonts w:hint="eastAsia"/>
          <w:lang w:val="en-US" w:eastAsia="zh-CN"/>
        </w:rPr>
        <w:t>1</w:t>
      </w:r>
      <w:r>
        <w:fldChar w:fldCharType="end"/>
      </w:r>
      <w:r>
        <w:rPr>
          <w:rFonts w:hint="eastAsia"/>
          <w:lang w:val="en-US" w:eastAsia="zh-CN"/>
        </w:rPr>
        <w:t>2</w:t>
      </w:r>
    </w:p>
    <w:p>
      <w:pPr>
        <w:pStyle w:val="7"/>
        <w:tabs>
          <w:tab w:val="right" w:leader="dot" w:pos="8300"/>
        </w:tabs>
        <w:spacing w:line="360" w:lineRule="auto"/>
        <w:rPr>
          <w:rFonts w:hint="eastAsia" w:eastAsia="宋体" w:asciiTheme="minorHAnsi" w:hAnsiTheme="minorHAnsi" w:cstheme="minorBidi"/>
          <w:sz w:val="21"/>
          <w:szCs w:val="22"/>
          <w:lang w:val="en-US" w:eastAsia="zh-CN"/>
        </w:rPr>
      </w:pPr>
      <w:r>
        <w:fldChar w:fldCharType="begin"/>
      </w:r>
      <w:r>
        <w:instrText xml:space="preserve"> HYPERLINK \l "_Toc120651735" </w:instrText>
      </w:r>
      <w:r>
        <w:fldChar w:fldCharType="separate"/>
      </w:r>
      <w:r>
        <w:rPr>
          <w:rStyle w:val="10"/>
          <w:rFonts w:ascii="黑体" w:hAnsi="黑体" w:eastAsia="黑体"/>
          <w:bCs/>
          <w:kern w:val="44"/>
        </w:rPr>
        <w:t xml:space="preserve">附录A </w:t>
      </w:r>
      <w:r>
        <w:rPr>
          <w:rStyle w:val="10"/>
          <w:rFonts w:hint="eastAsia" w:ascii="黑体" w:hAnsi="黑体" w:eastAsia="黑体"/>
          <w:bCs/>
          <w:kern w:val="44"/>
        </w:rPr>
        <w:t>（资料性附录）研学旅游课程设计类别</w:t>
      </w:r>
      <w:r>
        <w:tab/>
      </w:r>
      <w:r>
        <w:rPr>
          <w:rFonts w:hint="eastAsia"/>
          <w:lang w:val="en-US" w:eastAsia="zh-CN"/>
        </w:rPr>
        <w:t>1</w:t>
      </w:r>
      <w:r>
        <w:fldChar w:fldCharType="end"/>
      </w:r>
      <w:r>
        <w:rPr>
          <w:rFonts w:hint="eastAsia"/>
          <w:lang w:val="en-US" w:eastAsia="zh-CN"/>
        </w:rPr>
        <w:t>3</w:t>
      </w:r>
    </w:p>
    <w:p>
      <w:pPr>
        <w:pStyle w:val="7"/>
        <w:tabs>
          <w:tab w:val="right" w:leader="dot" w:pos="8300"/>
        </w:tabs>
        <w:spacing w:line="360" w:lineRule="auto"/>
        <w:rPr>
          <w:rFonts w:hint="eastAsia" w:eastAsia="宋体" w:asciiTheme="minorHAnsi" w:hAnsiTheme="minorHAnsi" w:cstheme="minorBidi"/>
          <w:sz w:val="21"/>
          <w:szCs w:val="22"/>
          <w:lang w:val="en-US" w:eastAsia="zh-CN"/>
        </w:rPr>
      </w:pPr>
      <w:r>
        <w:fldChar w:fldCharType="begin"/>
      </w:r>
      <w:r>
        <w:instrText xml:space="preserve"> HYPERLINK \l "_Toc120651736" </w:instrText>
      </w:r>
      <w:r>
        <w:fldChar w:fldCharType="separate"/>
      </w:r>
      <w:r>
        <w:rPr>
          <w:rStyle w:val="10"/>
          <w:rFonts w:ascii="黑体" w:hAnsi="黑体" w:eastAsia="黑体"/>
          <w:bCs/>
          <w:kern w:val="44"/>
        </w:rPr>
        <w:t xml:space="preserve">附录B </w:t>
      </w:r>
      <w:r>
        <w:rPr>
          <w:rStyle w:val="10"/>
          <w:rFonts w:hint="eastAsia" w:ascii="黑体" w:hAnsi="黑体" w:eastAsia="黑体"/>
          <w:bCs/>
          <w:kern w:val="44"/>
        </w:rPr>
        <w:t>（资料性附录）研学旅游商品设计类别</w:t>
      </w:r>
      <w:r>
        <w:tab/>
      </w:r>
      <w:r>
        <w:rPr>
          <w:rFonts w:hint="eastAsia"/>
          <w:lang w:val="en-US" w:eastAsia="zh-CN"/>
        </w:rPr>
        <w:t>1</w:t>
      </w:r>
      <w:r>
        <w:fldChar w:fldCharType="end"/>
      </w:r>
      <w:r>
        <w:rPr>
          <w:rFonts w:hint="eastAsia"/>
          <w:lang w:val="en-US" w:eastAsia="zh-CN"/>
        </w:rPr>
        <w:t>5</w:t>
      </w:r>
    </w:p>
    <w:p>
      <w:pPr>
        <w:spacing w:line="360" w:lineRule="auto"/>
        <w:rPr>
          <w:rFonts w:ascii="宋体" w:hAnsi="宋体"/>
          <w:b/>
          <w:bCs/>
          <w:lang w:val="zh-CN"/>
        </w:rPr>
      </w:pPr>
      <w:r>
        <w:rPr>
          <w:rFonts w:ascii="黑体" w:hAnsi="黑体" w:eastAsia="黑体"/>
          <w:bCs/>
          <w:sz w:val="24"/>
          <w:lang w:val="zh-CN"/>
        </w:rPr>
        <w:fldChar w:fldCharType="end"/>
      </w:r>
    </w:p>
    <w:p>
      <w:pPr>
        <w:spacing w:line="360" w:lineRule="auto"/>
        <w:rPr>
          <w:rFonts w:ascii="黑体" w:hAnsi="黑体" w:eastAsia="黑体"/>
        </w:rPr>
      </w:pPr>
      <w:bookmarkStart w:id="0" w:name="_Toc469040266"/>
    </w:p>
    <w:p>
      <w:pPr>
        <w:pStyle w:val="2"/>
        <w:rPr>
          <w:rFonts w:hAnsi="Calibri Light"/>
          <w:b/>
          <w:sz w:val="28"/>
          <w:szCs w:val="28"/>
        </w:rPr>
        <w:sectPr>
          <w:footerReference r:id="rId4" w:type="default"/>
          <w:pgSz w:w="11910" w:h="16840"/>
          <w:pgMar w:top="1440" w:right="1800" w:bottom="1440" w:left="1800" w:header="0" w:footer="601" w:gutter="0"/>
          <w:pgNumType w:fmt="decimal"/>
          <w:cols w:space="0" w:num="1"/>
          <w:docGrid w:linePitch="312" w:charSpace="0"/>
        </w:sectPr>
      </w:pPr>
    </w:p>
    <w:p>
      <w:pPr>
        <w:keepNext/>
        <w:keepLines/>
        <w:spacing w:before="120" w:beforeLines="50" w:after="120" w:afterLines="50"/>
        <w:jc w:val="center"/>
        <w:outlineLvl w:val="0"/>
        <w:rPr>
          <w:rFonts w:ascii="黑体" w:hAnsi="黑体" w:eastAsia="黑体"/>
          <w:bCs/>
          <w:kern w:val="44"/>
          <w:sz w:val="28"/>
          <w:szCs w:val="44"/>
        </w:rPr>
      </w:pPr>
      <w:bookmarkStart w:id="1" w:name="_Toc120651723"/>
      <w:r>
        <w:rPr>
          <w:rFonts w:hint="eastAsia" w:ascii="黑体" w:hAnsi="黑体" w:eastAsia="黑体"/>
          <w:bCs/>
          <w:kern w:val="44"/>
          <w:sz w:val="28"/>
          <w:szCs w:val="44"/>
        </w:rPr>
        <w:t>前   言</w:t>
      </w:r>
      <w:bookmarkEnd w:id="0"/>
      <w:bookmarkEnd w:id="1"/>
    </w:p>
    <w:p>
      <w:pPr>
        <w:keepNext/>
        <w:keepLines/>
        <w:spacing w:before="120" w:beforeLines="50" w:after="120" w:afterLines="50"/>
        <w:jc w:val="center"/>
        <w:outlineLvl w:val="0"/>
        <w:rPr>
          <w:rFonts w:ascii="黑体" w:hAnsi="黑体" w:eastAsia="黑体"/>
          <w:bCs/>
          <w:kern w:val="44"/>
          <w:sz w:val="28"/>
          <w:szCs w:val="44"/>
        </w:rPr>
      </w:pPr>
    </w:p>
    <w:p>
      <w:pPr>
        <w:ind w:firstLine="440" w:firstLineChars="200"/>
        <w:rPr>
          <w:rFonts w:ascii="宋体" w:hAnsi="宋体"/>
        </w:rPr>
      </w:pPr>
      <w:r>
        <w:rPr>
          <w:rFonts w:hint="eastAsia" w:ascii="宋体" w:hAnsi="宋体"/>
        </w:rPr>
        <w:t>本文件按照GB/T1.1-2020 《标准化工作导则 第1部分：标准化文件的结构和起草规则》的规定起草。</w:t>
      </w:r>
    </w:p>
    <w:p>
      <w:pPr>
        <w:ind w:firstLine="440" w:firstLineChars="200"/>
        <w:rPr>
          <w:rFonts w:ascii="宋体" w:hAnsi="宋体"/>
        </w:rPr>
      </w:pPr>
    </w:p>
    <w:p>
      <w:pPr>
        <w:ind w:firstLine="440" w:firstLineChars="200"/>
        <w:rPr>
          <w:rFonts w:ascii="宋体" w:hAnsi="宋体"/>
        </w:rPr>
      </w:pPr>
      <w:r>
        <w:rPr>
          <w:rFonts w:hint="eastAsia" w:ascii="宋体" w:hAnsi="宋体"/>
        </w:rPr>
        <w:t>请注意本文件的某些内容可能涉及专利。本文件的发布机构不承担识别专利的责任。</w:t>
      </w:r>
    </w:p>
    <w:p>
      <w:pPr>
        <w:ind w:firstLine="440" w:firstLineChars="200"/>
        <w:rPr>
          <w:rFonts w:ascii="宋体" w:hAnsi="宋体"/>
        </w:rPr>
      </w:pPr>
      <w:r>
        <w:rPr>
          <w:rFonts w:hint="eastAsia" w:ascii="宋体" w:hAnsi="宋体"/>
        </w:rPr>
        <w:t xml:space="preserve">本文件由河北省文化和旅游厅提出。 </w:t>
      </w:r>
    </w:p>
    <w:p>
      <w:pPr>
        <w:ind w:firstLine="440" w:firstLineChars="200"/>
        <w:rPr>
          <w:rFonts w:ascii="宋体" w:hAnsi="宋体"/>
        </w:rPr>
      </w:pPr>
      <w:r>
        <w:rPr>
          <w:rFonts w:hint="eastAsia" w:ascii="宋体" w:hAnsi="宋体"/>
        </w:rPr>
        <w:t>本文件由河北旅游标准化技术委员会归口。</w:t>
      </w:r>
    </w:p>
    <w:p>
      <w:pPr>
        <w:ind w:firstLine="440" w:firstLineChars="200"/>
        <w:rPr>
          <w:rFonts w:ascii="宋体" w:hAnsi="宋体"/>
        </w:rPr>
      </w:pPr>
      <w:r>
        <w:rPr>
          <w:rFonts w:hint="eastAsia" w:ascii="宋体" w:hAnsi="宋体"/>
        </w:rPr>
        <w:t>本文件起草单位：河北衡水湖国家级自然保护区管理委员会、衡水滨湖新区文化和旅游局、衡水市文化广电和旅游局、衡水滨湖新区资源保护局、衡水市市场监督管理局滨湖新区分局、衡水滨湖旅游有限公司、衡水湖文化旅游发展有限公司、北京达世文教育科技有限公司。</w:t>
      </w:r>
    </w:p>
    <w:p>
      <w:pPr>
        <w:ind w:firstLine="440" w:firstLineChars="200"/>
        <w:rPr>
          <w:rFonts w:ascii="宋体" w:hAnsi="宋体"/>
        </w:rPr>
      </w:pPr>
      <w:r>
        <w:rPr>
          <w:rFonts w:hint="eastAsia" w:ascii="宋体" w:hAnsi="宋体"/>
        </w:rPr>
        <w:t>本文件主要起草人：刘振杰、冯晓华、刘叶、任艳明、王娟、王文斌、杜国华、王金旭、王志红、安文娟、张晗、吴军梅、宗雪飞、李会龙、赵亚广、宋健、蔚东英、刘冀徽。</w:t>
      </w: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ind w:firstLine="440" w:firstLineChars="200"/>
        <w:rPr>
          <w:rFonts w:ascii="宋体" w:hAnsi="宋体"/>
        </w:rPr>
      </w:pPr>
    </w:p>
    <w:p>
      <w:pPr>
        <w:rPr>
          <w:rFonts w:ascii="宋体" w:hAnsi="宋体"/>
        </w:rPr>
        <w:sectPr>
          <w:footerReference r:id="rId5" w:type="default"/>
          <w:pgSz w:w="11910" w:h="16840"/>
          <w:pgMar w:top="1440" w:right="1800" w:bottom="1440" w:left="1800" w:header="0" w:footer="601" w:gutter="0"/>
          <w:pgNumType w:fmt="decimal"/>
          <w:cols w:space="0" w:num="1"/>
          <w:docGrid w:linePitch="312" w:charSpace="0"/>
        </w:sectPr>
      </w:pPr>
    </w:p>
    <w:p>
      <w:pPr>
        <w:ind w:firstLine="440" w:firstLineChars="200"/>
        <w:rPr>
          <w:rFonts w:ascii="宋体" w:hAnsi="宋体"/>
        </w:rPr>
      </w:pPr>
    </w:p>
    <w:p>
      <w:pPr>
        <w:keepNext/>
        <w:keepLines/>
        <w:spacing w:before="120" w:beforeLines="50" w:after="120" w:afterLines="50"/>
        <w:jc w:val="center"/>
        <w:outlineLvl w:val="0"/>
        <w:rPr>
          <w:rFonts w:ascii="黑体" w:hAnsi="黑体" w:eastAsia="黑体"/>
          <w:bCs/>
          <w:kern w:val="44"/>
          <w:sz w:val="28"/>
          <w:szCs w:val="44"/>
        </w:rPr>
      </w:pPr>
      <w:bookmarkStart w:id="2" w:name="_Toc120651724"/>
      <w:r>
        <w:rPr>
          <w:rFonts w:hint="eastAsia" w:ascii="黑体" w:hAnsi="黑体" w:eastAsia="黑体"/>
          <w:bCs/>
          <w:kern w:val="44"/>
          <w:sz w:val="28"/>
          <w:szCs w:val="44"/>
        </w:rPr>
        <w:t>引   言</w:t>
      </w:r>
      <w:bookmarkEnd w:id="2"/>
    </w:p>
    <w:p>
      <w:pPr>
        <w:keepNext/>
        <w:keepLines/>
        <w:spacing w:before="120" w:beforeLines="50" w:after="120" w:afterLines="50"/>
        <w:jc w:val="center"/>
        <w:outlineLvl w:val="0"/>
        <w:rPr>
          <w:rFonts w:ascii="黑体" w:hAnsi="黑体" w:eastAsia="黑体"/>
          <w:bCs/>
          <w:kern w:val="44"/>
          <w:sz w:val="28"/>
          <w:szCs w:val="44"/>
        </w:rPr>
      </w:pPr>
    </w:p>
    <w:p>
      <w:pPr>
        <w:spacing w:line="360" w:lineRule="auto"/>
        <w:ind w:firstLine="440" w:firstLineChars="200"/>
        <w:rPr>
          <w:rFonts w:ascii="宋体" w:hAnsi="宋体"/>
        </w:rPr>
      </w:pPr>
      <w:r>
        <w:rPr>
          <w:rFonts w:hint="eastAsia" w:ascii="宋体" w:hAnsi="宋体"/>
        </w:rPr>
        <w:t>随着文旅融合的持续推进和教育教学改革的深入发展，研学旅游成为全面提升“旅游+”新业态的突破口。河北省长期以建立可持续发展长效机制为主线，深入推进文化和旅游产业的高质量融合发展，全面提升研学旅游发展水平，努力把河北省研学旅游发展成为文、体、教、旅融合发展的典范，中国生态教育和研学教育高地。为打造河北省旅游景区高质量研学旅游产品，规范河北省研学旅游产品设计标准，提高研学旅游产品供给品质和价值实现，推动河北省研学旅游发展水平及区域经济、文化、社会、生态发展，特制定本文件。</w:t>
      </w:r>
    </w:p>
    <w:p>
      <w:pPr>
        <w:spacing w:line="360" w:lineRule="auto"/>
        <w:ind w:firstLine="440" w:firstLineChars="200"/>
        <w:rPr>
          <w:rFonts w:ascii="宋体" w:hAnsi="宋体"/>
        </w:rPr>
      </w:pPr>
    </w:p>
    <w:p>
      <w:pPr>
        <w:spacing w:line="360" w:lineRule="auto"/>
        <w:ind w:firstLine="440" w:firstLineChars="200"/>
        <w:rPr>
          <w:rFonts w:ascii="宋体" w:hAnsi="宋体"/>
        </w:rPr>
      </w:pPr>
    </w:p>
    <w:p>
      <w:pPr>
        <w:spacing w:line="360" w:lineRule="auto"/>
        <w:ind w:firstLine="440" w:firstLineChars="200"/>
        <w:rPr>
          <w:rFonts w:ascii="宋体" w:hAnsi="宋体"/>
        </w:rPr>
      </w:pPr>
    </w:p>
    <w:p>
      <w:pPr>
        <w:spacing w:line="360" w:lineRule="auto"/>
        <w:ind w:firstLine="440" w:firstLineChars="200"/>
        <w:rPr>
          <w:rFonts w:ascii="宋体" w:hAnsi="宋体"/>
        </w:rPr>
      </w:pPr>
    </w:p>
    <w:p>
      <w:pPr>
        <w:spacing w:line="360" w:lineRule="auto"/>
        <w:ind w:firstLine="440" w:firstLineChars="200"/>
        <w:rPr>
          <w:rFonts w:ascii="宋体" w:hAnsi="宋体"/>
        </w:rPr>
      </w:pPr>
    </w:p>
    <w:p>
      <w:pPr>
        <w:spacing w:line="360" w:lineRule="auto"/>
        <w:ind w:firstLine="722" w:firstLineChars="200"/>
        <w:rPr>
          <w:rFonts w:ascii="宋体" w:hAnsi="宋体"/>
          <w:b/>
          <w:sz w:val="36"/>
          <w:szCs w:val="36"/>
        </w:rPr>
        <w:sectPr>
          <w:footerReference r:id="rId6" w:type="default"/>
          <w:pgSz w:w="11910" w:h="16840"/>
          <w:pgMar w:top="1440" w:right="1800" w:bottom="1440" w:left="1800" w:header="0" w:footer="601" w:gutter="0"/>
          <w:pgNumType w:fmt="decimal"/>
          <w:cols w:space="0" w:num="1"/>
          <w:docGrid w:linePitch="312" w:charSpace="0"/>
        </w:sectPr>
      </w:pPr>
    </w:p>
    <w:p>
      <w:pPr>
        <w:jc w:val="center"/>
        <w:rPr>
          <w:rFonts w:ascii="黑体"/>
          <w:b/>
          <w:sz w:val="30"/>
          <w:szCs w:val="30"/>
        </w:rPr>
      </w:pPr>
      <w:bookmarkStart w:id="3" w:name="_Toc516323668"/>
      <w:bookmarkStart w:id="4" w:name="_Toc516390390"/>
      <w:r>
        <w:rPr>
          <w:rFonts w:hint="eastAsia" w:ascii="宋体" w:hAnsi="宋体"/>
          <w:b/>
          <w:sz w:val="30"/>
          <w:szCs w:val="30"/>
        </w:rPr>
        <w:t>旅游景区研学旅游产品设计导则</w:t>
      </w:r>
    </w:p>
    <w:p>
      <w:pPr>
        <w:keepNext/>
        <w:keepLines/>
        <w:spacing w:before="120" w:beforeLines="50" w:after="120" w:afterLines="50"/>
        <w:jc w:val="left"/>
        <w:outlineLvl w:val="0"/>
        <w:rPr>
          <w:rFonts w:ascii="黑体" w:hAnsi="黑体" w:eastAsia="黑体"/>
          <w:bCs/>
          <w:kern w:val="44"/>
          <w:szCs w:val="44"/>
        </w:rPr>
      </w:pPr>
      <w:bookmarkStart w:id="5" w:name="_Toc120651725"/>
      <w:r>
        <w:rPr>
          <w:rFonts w:hint="eastAsia" w:ascii="黑体" w:hAnsi="黑体" w:eastAsia="黑体"/>
          <w:bCs/>
          <w:kern w:val="44"/>
          <w:szCs w:val="44"/>
        </w:rPr>
        <w:t>1</w:t>
      </w:r>
      <w:r>
        <w:rPr>
          <w:rFonts w:ascii="黑体" w:hAnsi="黑体" w:eastAsia="黑体"/>
          <w:bCs/>
          <w:kern w:val="44"/>
          <w:szCs w:val="44"/>
        </w:rPr>
        <w:t xml:space="preserve"> </w:t>
      </w:r>
      <w:r>
        <w:rPr>
          <w:rFonts w:hint="eastAsia" w:ascii="黑体" w:hAnsi="黑体" w:eastAsia="黑体"/>
          <w:bCs/>
          <w:kern w:val="44"/>
          <w:szCs w:val="44"/>
        </w:rPr>
        <w:t>范围</w:t>
      </w:r>
      <w:bookmarkEnd w:id="3"/>
      <w:bookmarkEnd w:id="4"/>
      <w:bookmarkEnd w:id="5"/>
    </w:p>
    <w:p>
      <w:pPr>
        <w:spacing w:before="120" w:after="120"/>
        <w:ind w:firstLine="440" w:firstLineChars="200"/>
        <w:rPr>
          <w:rFonts w:ascii="宋体" w:hAnsi="宋体"/>
        </w:rPr>
      </w:pPr>
      <w:r>
        <w:rPr>
          <w:rFonts w:hint="eastAsia" w:ascii="宋体" w:hAnsi="宋体"/>
        </w:rPr>
        <w:t>本文件提供了旅游景区研学旅游产品设计的指导思想、设计原则、基本步骤、设计方法，以及研学旅游课程、研学旅游硬件、研学旅游路线、研学旅游商品、智慧研学旅游产品的设计指导。</w:t>
      </w:r>
    </w:p>
    <w:p>
      <w:pPr>
        <w:spacing w:before="120" w:after="120"/>
        <w:ind w:firstLine="440" w:firstLineChars="200"/>
        <w:rPr>
          <w:rFonts w:ascii="宋体" w:hAnsi="宋体"/>
        </w:rPr>
      </w:pPr>
      <w:r>
        <w:rPr>
          <w:rFonts w:hint="eastAsia" w:ascii="宋体" w:hAnsi="宋体"/>
        </w:rPr>
        <w:t>本文件适用于河北省内旅游景区在接待研学旅游团（者）过程中提供的研学旅游产品。</w:t>
      </w:r>
    </w:p>
    <w:p>
      <w:pPr>
        <w:keepNext/>
        <w:keepLines/>
        <w:spacing w:before="120" w:beforeLines="50" w:after="120" w:afterLines="50"/>
        <w:jc w:val="left"/>
        <w:outlineLvl w:val="0"/>
        <w:rPr>
          <w:rFonts w:ascii="黑体" w:hAnsi="黑体" w:eastAsia="黑体"/>
          <w:bCs/>
          <w:kern w:val="44"/>
          <w:szCs w:val="44"/>
        </w:rPr>
      </w:pPr>
      <w:bookmarkStart w:id="6" w:name="_Toc516390391"/>
      <w:bookmarkStart w:id="7" w:name="_Toc516323669"/>
      <w:bookmarkStart w:id="8" w:name="_Toc120651726"/>
      <w:r>
        <w:rPr>
          <w:rFonts w:hint="eastAsia" w:ascii="黑体" w:hAnsi="黑体" w:eastAsia="黑体"/>
          <w:bCs/>
          <w:kern w:val="44"/>
          <w:szCs w:val="44"/>
        </w:rPr>
        <w:t>2</w:t>
      </w:r>
      <w:r>
        <w:rPr>
          <w:rFonts w:ascii="黑体" w:hAnsi="黑体" w:eastAsia="黑体"/>
          <w:bCs/>
          <w:kern w:val="44"/>
          <w:szCs w:val="44"/>
        </w:rPr>
        <w:t xml:space="preserve"> </w:t>
      </w:r>
      <w:r>
        <w:rPr>
          <w:rFonts w:hint="eastAsia" w:ascii="黑体" w:hAnsi="黑体" w:eastAsia="黑体"/>
          <w:bCs/>
          <w:kern w:val="44"/>
          <w:szCs w:val="44"/>
        </w:rPr>
        <w:t>规范性引用文件</w:t>
      </w:r>
      <w:bookmarkEnd w:id="6"/>
      <w:bookmarkEnd w:id="7"/>
      <w:bookmarkEnd w:id="8"/>
    </w:p>
    <w:p>
      <w:pPr>
        <w:ind w:firstLine="440" w:firstLineChars="200"/>
        <w:jc w:val="left"/>
        <w:rPr>
          <w:rFonts w:ascii="宋体" w:hAnsi="宋体"/>
        </w:rPr>
      </w:pPr>
      <w:r>
        <w:rPr>
          <w:rFonts w:hint="eastAsia" w:ascii="宋体" w:hAnsi="宋体"/>
        </w:rPr>
        <w:t>下列文件对于本文件的应用是必不可少的。凡是注日期的引用文件，仅注日期的版本适用于本文件。凡是不注日期的引用文件，其最新版本（包括所有的修改单）适用于本标准。</w:t>
      </w:r>
    </w:p>
    <w:p>
      <w:pPr>
        <w:spacing w:line="360" w:lineRule="auto"/>
        <w:ind w:firstLine="440" w:firstLineChars="200"/>
        <w:jc w:val="left"/>
        <w:rPr>
          <w:rFonts w:ascii="宋体" w:hAnsi="宋体"/>
        </w:rPr>
      </w:pPr>
      <w:r>
        <w:rPr>
          <w:rFonts w:hint="eastAsia" w:ascii="宋体" w:hAnsi="宋体"/>
        </w:rPr>
        <w:t>GB/T 2893.1</w:t>
      </w:r>
      <w:r>
        <w:rPr>
          <w:rFonts w:ascii="宋体" w:hAnsi="宋体"/>
        </w:rPr>
        <w:t xml:space="preserve"> </w:t>
      </w:r>
      <w:r>
        <w:rPr>
          <w:rFonts w:hint="eastAsia" w:ascii="宋体" w:hAnsi="宋体"/>
        </w:rPr>
        <w:t>图形符号安全色和安全标志 第1部分：安全标志和安全标记的设计原则</w:t>
      </w:r>
    </w:p>
    <w:p>
      <w:pPr>
        <w:spacing w:line="360" w:lineRule="auto"/>
        <w:ind w:firstLine="440" w:firstLineChars="200"/>
        <w:jc w:val="left"/>
        <w:rPr>
          <w:rFonts w:ascii="宋体" w:hAnsi="宋体"/>
        </w:rPr>
      </w:pPr>
      <w:r>
        <w:rPr>
          <w:rFonts w:hint="eastAsia" w:ascii="宋体" w:hAnsi="宋体"/>
        </w:rPr>
        <w:t>GB/T 15566.1</w:t>
      </w:r>
      <w:r>
        <w:rPr>
          <w:rFonts w:ascii="宋体" w:hAnsi="宋体"/>
        </w:rPr>
        <w:t xml:space="preserve"> </w:t>
      </w:r>
      <w:r>
        <w:rPr>
          <w:rFonts w:hint="eastAsia" w:ascii="宋体" w:hAnsi="宋体"/>
        </w:rPr>
        <w:t>公共信息导向系统 设置原则与要求 第1部分：总则</w:t>
      </w:r>
    </w:p>
    <w:p>
      <w:pPr>
        <w:spacing w:line="360" w:lineRule="auto"/>
        <w:ind w:firstLine="440" w:firstLineChars="200"/>
        <w:jc w:val="left"/>
        <w:rPr>
          <w:rFonts w:ascii="宋体" w:hAnsi="宋体"/>
        </w:rPr>
      </w:pPr>
      <w:r>
        <w:rPr>
          <w:rFonts w:hint="eastAsia" w:ascii="宋体" w:hAnsi="宋体"/>
        </w:rPr>
        <w:t>GB/T 20501.1</w:t>
      </w:r>
      <w:r>
        <w:rPr>
          <w:rFonts w:ascii="宋体" w:hAnsi="宋体"/>
        </w:rPr>
        <w:t xml:space="preserve"> </w:t>
      </w:r>
      <w:r>
        <w:rPr>
          <w:rFonts w:hint="eastAsia" w:ascii="宋体" w:hAnsi="宋体"/>
        </w:rPr>
        <w:t>公共信息导向系统 导向要素的设计原则与要求 第1部分：总则</w:t>
      </w:r>
    </w:p>
    <w:p>
      <w:pPr>
        <w:keepNext/>
        <w:keepLines/>
        <w:spacing w:before="120" w:beforeLines="50" w:after="120" w:afterLines="50"/>
        <w:jc w:val="left"/>
        <w:outlineLvl w:val="0"/>
        <w:rPr>
          <w:rFonts w:ascii="黑体" w:hAnsi="黑体" w:eastAsia="黑体"/>
          <w:bCs/>
          <w:kern w:val="44"/>
          <w:szCs w:val="44"/>
        </w:rPr>
      </w:pPr>
      <w:bookmarkStart w:id="9" w:name="_Toc516323670"/>
      <w:bookmarkStart w:id="10" w:name="_Toc120651727"/>
      <w:bookmarkStart w:id="11" w:name="_Toc516390392"/>
      <w:r>
        <w:rPr>
          <w:rFonts w:hint="eastAsia" w:ascii="黑体" w:hAnsi="黑体" w:eastAsia="黑体"/>
          <w:bCs/>
          <w:kern w:val="44"/>
          <w:szCs w:val="44"/>
        </w:rPr>
        <w:t>3</w:t>
      </w:r>
      <w:r>
        <w:rPr>
          <w:rFonts w:ascii="黑体" w:hAnsi="黑体" w:eastAsia="黑体"/>
          <w:bCs/>
          <w:kern w:val="44"/>
          <w:szCs w:val="44"/>
        </w:rPr>
        <w:t xml:space="preserve"> </w:t>
      </w:r>
      <w:r>
        <w:rPr>
          <w:rFonts w:hint="eastAsia" w:ascii="黑体" w:hAnsi="黑体" w:eastAsia="黑体"/>
          <w:bCs/>
          <w:kern w:val="44"/>
          <w:szCs w:val="44"/>
        </w:rPr>
        <w:t>术语和定义</w:t>
      </w:r>
      <w:bookmarkEnd w:id="9"/>
      <w:bookmarkEnd w:id="10"/>
      <w:bookmarkEnd w:id="11"/>
    </w:p>
    <w:p>
      <w:pPr>
        <w:spacing w:before="120" w:beforeLines="50" w:after="120" w:afterLines="50"/>
        <w:ind w:firstLine="440" w:firstLineChars="200"/>
        <w:jc w:val="left"/>
        <w:rPr>
          <w:rFonts w:ascii="宋体" w:hAnsi="宋体"/>
        </w:rPr>
      </w:pPr>
      <w:r>
        <w:rPr>
          <w:rFonts w:hint="eastAsia" w:ascii="宋体" w:hAnsi="宋体"/>
        </w:rPr>
        <w:t>下列术语和定义适用于本文件。</w:t>
      </w:r>
    </w:p>
    <w:p>
      <w:pPr>
        <w:spacing w:line="360" w:lineRule="auto"/>
        <w:jc w:val="left"/>
        <w:rPr>
          <w:rFonts w:ascii="黑体" w:hAnsi="黑体" w:eastAsia="黑体"/>
        </w:rPr>
      </w:pPr>
      <w:r>
        <w:rPr>
          <w:rFonts w:hint="eastAsia" w:ascii="黑体" w:hAnsi="黑体" w:eastAsia="黑体"/>
        </w:rPr>
        <w:t xml:space="preserve"> </w:t>
      </w:r>
      <w:r>
        <w:rPr>
          <w:rFonts w:ascii="黑体" w:hAnsi="黑体" w:eastAsia="黑体"/>
        </w:rPr>
        <w:t xml:space="preserve">   3.1</w:t>
      </w:r>
    </w:p>
    <w:p>
      <w:pPr>
        <w:spacing w:line="360" w:lineRule="auto"/>
        <w:ind w:firstLine="440" w:firstLineChars="200"/>
        <w:jc w:val="left"/>
        <w:rPr>
          <w:rFonts w:ascii="黑体" w:hAnsi="黑体" w:eastAsia="黑体"/>
        </w:rPr>
      </w:pPr>
      <w:r>
        <w:rPr>
          <w:rFonts w:hint="eastAsia" w:ascii="黑体" w:hAnsi="黑体" w:eastAsia="黑体"/>
        </w:rPr>
        <w:t>研学旅游</w:t>
      </w:r>
      <w:r>
        <w:rPr>
          <w:rFonts w:ascii="黑体" w:hAnsi="黑体" w:eastAsia="黑体"/>
        </w:rPr>
        <w:t>S</w:t>
      </w:r>
      <w:r>
        <w:rPr>
          <w:rFonts w:hint="eastAsia" w:ascii="黑体" w:hAnsi="黑体" w:eastAsia="黑体"/>
        </w:rPr>
        <w:t>tudy</w:t>
      </w:r>
      <w:r>
        <w:rPr>
          <w:rFonts w:ascii="黑体" w:hAnsi="黑体" w:eastAsia="黑体"/>
        </w:rPr>
        <w:t xml:space="preserve"> Travel</w:t>
      </w:r>
    </w:p>
    <w:p>
      <w:pPr>
        <w:spacing w:line="360" w:lineRule="auto"/>
        <w:ind w:firstLine="440" w:firstLineChars="200"/>
        <w:rPr>
          <w:rFonts w:ascii="宋体" w:hAnsi="宋体"/>
        </w:rPr>
      </w:pPr>
      <w:r>
        <w:rPr>
          <w:rFonts w:hint="eastAsia" w:ascii="宋体" w:hAnsi="宋体"/>
        </w:rPr>
        <w:t>旅游者以文化求知、自然探索等为需求，前往具有固定性与异域性的活动场所，进行以全学段探究性、实践性为目的，以行动、深度体验为核心的专项旅游活动。</w:t>
      </w:r>
    </w:p>
    <w:p>
      <w:pPr>
        <w:spacing w:line="360" w:lineRule="auto"/>
        <w:ind w:firstLine="440" w:firstLineChars="200"/>
        <w:rPr>
          <w:rFonts w:ascii="宋体" w:hAnsi="宋体"/>
        </w:rPr>
      </w:pPr>
      <w:r>
        <w:rPr>
          <w:rFonts w:hint="eastAsia" w:ascii="宋体" w:hAnsi="宋体"/>
        </w:rPr>
        <w:t>注：包括夏令营、冬令营、中小学春游秋游，大学生专业认知实习、暑期调研等校外实践教育活动，研学实践、研学旅行、营（基）地实践活动，其他年龄阶段人群以研究、学习或实践为目的而进行的旅游活动。</w:t>
      </w:r>
    </w:p>
    <w:p>
      <w:pPr>
        <w:spacing w:line="360" w:lineRule="auto"/>
        <w:ind w:firstLine="440" w:firstLineChars="200"/>
        <w:jc w:val="left"/>
        <w:rPr>
          <w:rFonts w:ascii="黑体" w:hAnsi="黑体" w:eastAsia="黑体"/>
        </w:rPr>
      </w:pPr>
      <w:r>
        <w:rPr>
          <w:rFonts w:hint="eastAsia" w:ascii="黑体" w:hAnsi="黑体" w:eastAsia="黑体"/>
        </w:rPr>
        <w:t>3</w:t>
      </w:r>
      <w:r>
        <w:rPr>
          <w:rFonts w:ascii="黑体" w:hAnsi="黑体" w:eastAsia="黑体"/>
        </w:rPr>
        <w:t>.2</w:t>
      </w:r>
    </w:p>
    <w:p>
      <w:pPr>
        <w:spacing w:line="360" w:lineRule="auto"/>
        <w:ind w:firstLine="440" w:firstLineChars="200"/>
        <w:jc w:val="left"/>
        <w:rPr>
          <w:rFonts w:ascii="宋体" w:hAnsi="宋体"/>
        </w:rPr>
      </w:pPr>
      <w:r>
        <w:rPr>
          <w:rFonts w:hint="eastAsia" w:ascii="黑体" w:hAnsi="黑体" w:eastAsia="黑体"/>
        </w:rPr>
        <w:t>研学旅游产品</w:t>
      </w:r>
      <w:r>
        <w:rPr>
          <w:rFonts w:ascii="黑体" w:hAnsi="黑体" w:eastAsia="黑体"/>
        </w:rPr>
        <w:t>S</w:t>
      </w:r>
      <w:r>
        <w:rPr>
          <w:rFonts w:hint="eastAsia" w:ascii="黑体" w:hAnsi="黑体" w:eastAsia="黑体"/>
        </w:rPr>
        <w:t>tudy</w:t>
      </w:r>
      <w:r>
        <w:rPr>
          <w:rFonts w:ascii="黑体" w:hAnsi="黑体" w:eastAsia="黑体"/>
        </w:rPr>
        <w:t xml:space="preserve"> Travel Products</w:t>
      </w:r>
    </w:p>
    <w:p>
      <w:pPr>
        <w:spacing w:line="360" w:lineRule="auto"/>
        <w:ind w:firstLine="440" w:firstLineChars="200"/>
        <w:jc w:val="left"/>
        <w:rPr>
          <w:rFonts w:ascii="宋体" w:hAnsi="宋体"/>
        </w:rPr>
      </w:pPr>
      <w:r>
        <w:rPr>
          <w:rFonts w:hint="eastAsia" w:ascii="宋体" w:hAnsi="宋体"/>
        </w:rPr>
        <w:t>为了满足旅游团（者）在研学旅游过程中的各种需求，所提供的以探究式学习和体验性学习为主要内容的产品与服务的总和。</w:t>
      </w:r>
    </w:p>
    <w:p>
      <w:pPr>
        <w:spacing w:line="360" w:lineRule="auto"/>
        <w:ind w:firstLine="440" w:firstLineChars="200"/>
        <w:jc w:val="left"/>
        <w:rPr>
          <w:rFonts w:ascii="宋体" w:hAnsi="宋体"/>
        </w:rPr>
      </w:pPr>
      <w:r>
        <w:rPr>
          <w:rFonts w:hint="eastAsia" w:ascii="宋体" w:hAnsi="宋体"/>
        </w:rPr>
        <w:t>注：主要包括研学旅游课程、研学旅游硬件、研学旅游路线、研学旅游商品和智慧研学旅游产品等。</w:t>
      </w:r>
    </w:p>
    <w:p>
      <w:pPr>
        <w:spacing w:line="360" w:lineRule="auto"/>
        <w:ind w:firstLine="440" w:firstLineChars="200"/>
        <w:jc w:val="left"/>
        <w:rPr>
          <w:rFonts w:ascii="黑体" w:hAnsi="黑体" w:eastAsia="黑体"/>
        </w:rPr>
      </w:pPr>
      <w:r>
        <w:rPr>
          <w:rFonts w:hint="eastAsia" w:ascii="黑体" w:hAnsi="黑体" w:eastAsia="黑体"/>
        </w:rPr>
        <w:t>3</w:t>
      </w:r>
      <w:r>
        <w:rPr>
          <w:rFonts w:ascii="黑体" w:hAnsi="黑体" w:eastAsia="黑体"/>
        </w:rPr>
        <w:t>.3</w:t>
      </w:r>
    </w:p>
    <w:p>
      <w:pPr>
        <w:spacing w:line="360" w:lineRule="auto"/>
        <w:ind w:firstLine="440" w:firstLineChars="200"/>
        <w:jc w:val="left"/>
        <w:rPr>
          <w:rFonts w:ascii="黑体" w:hAnsi="黑体" w:eastAsia="黑体"/>
        </w:rPr>
      </w:pPr>
      <w:r>
        <w:rPr>
          <w:rFonts w:hint="eastAsia" w:ascii="黑体" w:hAnsi="黑体" w:eastAsia="黑体"/>
        </w:rPr>
        <w:t>研学旅游产品设计</w:t>
      </w:r>
      <w:r>
        <w:rPr>
          <w:rFonts w:ascii="黑体" w:hAnsi="黑体" w:eastAsia="黑体"/>
        </w:rPr>
        <w:t>S</w:t>
      </w:r>
      <w:r>
        <w:rPr>
          <w:rFonts w:hint="eastAsia" w:ascii="黑体" w:hAnsi="黑体" w:eastAsia="黑体"/>
        </w:rPr>
        <w:t>tudy</w:t>
      </w:r>
      <w:r>
        <w:rPr>
          <w:rFonts w:ascii="黑体" w:hAnsi="黑体" w:eastAsia="黑体"/>
        </w:rPr>
        <w:t xml:space="preserve"> Travel Product Design</w:t>
      </w:r>
    </w:p>
    <w:p>
      <w:pPr>
        <w:spacing w:line="360" w:lineRule="auto"/>
        <w:ind w:firstLine="440" w:firstLineChars="200"/>
        <w:jc w:val="left"/>
        <w:rPr>
          <w:rFonts w:ascii="宋体" w:hAnsi="宋体"/>
        </w:rPr>
      </w:pPr>
      <w:r>
        <w:rPr>
          <w:rFonts w:hint="eastAsia" w:ascii="宋体" w:hAnsi="宋体"/>
        </w:rPr>
        <w:t>对研学旅游产品的研究、构思、设计、开发和推广的过程。</w:t>
      </w:r>
    </w:p>
    <w:p>
      <w:pPr>
        <w:spacing w:line="360" w:lineRule="auto"/>
        <w:ind w:firstLine="440" w:firstLineChars="200"/>
        <w:jc w:val="left"/>
        <w:rPr>
          <w:rFonts w:ascii="黑体" w:hAnsi="黑体" w:eastAsia="黑体"/>
        </w:rPr>
      </w:pPr>
      <w:r>
        <w:rPr>
          <w:rFonts w:hint="eastAsia" w:ascii="黑体" w:hAnsi="黑体" w:eastAsia="黑体"/>
        </w:rPr>
        <w:t>3</w:t>
      </w:r>
      <w:r>
        <w:rPr>
          <w:rFonts w:ascii="黑体" w:hAnsi="黑体" w:eastAsia="黑体"/>
        </w:rPr>
        <w:t>.4</w:t>
      </w:r>
    </w:p>
    <w:p>
      <w:pPr>
        <w:spacing w:line="360" w:lineRule="auto"/>
        <w:ind w:firstLine="440" w:firstLineChars="200"/>
        <w:jc w:val="left"/>
        <w:rPr>
          <w:rFonts w:ascii="黑体" w:hAnsi="黑体" w:eastAsia="黑体"/>
        </w:rPr>
        <w:sectPr>
          <w:footerReference r:id="rId7" w:type="default"/>
          <w:pgSz w:w="11910" w:h="16840"/>
          <w:pgMar w:top="1440" w:right="1800" w:bottom="1440" w:left="1800" w:header="0" w:footer="601" w:gutter="0"/>
          <w:pgNumType w:fmt="decimal"/>
          <w:cols w:space="0" w:num="1"/>
          <w:docGrid w:linePitch="312" w:charSpace="0"/>
        </w:sectPr>
      </w:pPr>
    </w:p>
    <w:p>
      <w:pPr>
        <w:spacing w:line="360" w:lineRule="auto"/>
        <w:ind w:firstLine="440" w:firstLineChars="200"/>
        <w:jc w:val="left"/>
        <w:rPr>
          <w:rFonts w:ascii="黑体" w:hAnsi="黑体" w:eastAsia="黑体"/>
        </w:rPr>
      </w:pPr>
      <w:r>
        <w:rPr>
          <w:rFonts w:ascii="黑体" w:hAnsi="黑体" w:eastAsia="黑体"/>
        </w:rPr>
        <w:t>研学旅游</w:t>
      </w:r>
      <w:r>
        <w:rPr>
          <w:rFonts w:hint="eastAsia" w:ascii="黑体" w:hAnsi="黑体" w:eastAsia="黑体"/>
        </w:rPr>
        <w:t>课程</w:t>
      </w:r>
      <w:r>
        <w:rPr>
          <w:rFonts w:ascii="黑体" w:hAnsi="黑体" w:eastAsia="黑体"/>
        </w:rPr>
        <w:t>S</w:t>
      </w:r>
      <w:r>
        <w:rPr>
          <w:rFonts w:hint="eastAsia" w:ascii="黑体" w:hAnsi="黑体" w:eastAsia="黑体"/>
        </w:rPr>
        <w:t>tudy</w:t>
      </w:r>
      <w:r>
        <w:rPr>
          <w:rFonts w:ascii="黑体" w:hAnsi="黑体" w:eastAsia="黑体"/>
        </w:rPr>
        <w:t xml:space="preserve"> Travel Curriculum</w:t>
      </w:r>
    </w:p>
    <w:p>
      <w:pPr>
        <w:spacing w:line="360" w:lineRule="auto"/>
        <w:ind w:firstLine="440" w:firstLineChars="200"/>
        <w:jc w:val="left"/>
        <w:rPr>
          <w:rFonts w:ascii="宋体" w:hAnsi="宋体"/>
        </w:rPr>
      </w:pPr>
      <w:r>
        <w:rPr>
          <w:rFonts w:hint="eastAsia" w:ascii="宋体" w:hAnsi="宋体"/>
        </w:rPr>
        <w:t>依据研学旅游目标而设计的具有探究性、开放性和体验性的综合实践活动课程，包含课程目标、课程内容、课程实施、课程评价等要素。</w:t>
      </w:r>
    </w:p>
    <w:p>
      <w:pPr>
        <w:spacing w:line="360" w:lineRule="auto"/>
        <w:ind w:firstLine="440" w:firstLineChars="200"/>
        <w:jc w:val="left"/>
        <w:rPr>
          <w:rFonts w:ascii="黑体" w:hAnsi="黑体" w:eastAsia="黑体"/>
        </w:rPr>
      </w:pPr>
      <w:r>
        <w:rPr>
          <w:rFonts w:hint="eastAsia" w:ascii="黑体" w:hAnsi="黑体" w:eastAsia="黑体"/>
        </w:rPr>
        <w:t>3.</w:t>
      </w:r>
      <w:r>
        <w:rPr>
          <w:rFonts w:ascii="黑体" w:hAnsi="黑体" w:eastAsia="黑体"/>
        </w:rPr>
        <w:t xml:space="preserve">5 </w:t>
      </w:r>
    </w:p>
    <w:p>
      <w:pPr>
        <w:spacing w:line="360" w:lineRule="auto"/>
        <w:ind w:firstLine="440" w:firstLineChars="200"/>
        <w:jc w:val="left"/>
        <w:rPr>
          <w:rFonts w:ascii="宋体" w:hAnsi="宋体"/>
        </w:rPr>
      </w:pPr>
      <w:r>
        <w:rPr>
          <w:rFonts w:ascii="黑体" w:hAnsi="黑体" w:eastAsia="黑体"/>
        </w:rPr>
        <w:t>研学旅游</w:t>
      </w:r>
      <w:r>
        <w:rPr>
          <w:rFonts w:hint="eastAsia" w:ascii="黑体" w:hAnsi="黑体" w:eastAsia="黑体"/>
        </w:rPr>
        <w:t>硬件</w:t>
      </w:r>
      <w:r>
        <w:rPr>
          <w:rFonts w:ascii="黑体" w:hAnsi="黑体" w:eastAsia="黑体"/>
        </w:rPr>
        <w:t>S</w:t>
      </w:r>
      <w:r>
        <w:rPr>
          <w:rFonts w:hint="eastAsia" w:ascii="黑体" w:hAnsi="黑体" w:eastAsia="黑体"/>
        </w:rPr>
        <w:t>tudy</w:t>
      </w:r>
      <w:r>
        <w:rPr>
          <w:rFonts w:ascii="黑体" w:hAnsi="黑体" w:eastAsia="黑体"/>
        </w:rPr>
        <w:t xml:space="preserve"> Travel Hardware</w:t>
      </w:r>
    </w:p>
    <w:p>
      <w:pPr>
        <w:spacing w:line="360" w:lineRule="auto"/>
        <w:ind w:firstLine="440" w:firstLineChars="200"/>
        <w:jc w:val="left"/>
        <w:rPr>
          <w:rFonts w:ascii="宋体" w:hAnsi="宋体"/>
        </w:rPr>
      </w:pPr>
      <w:r>
        <w:rPr>
          <w:rFonts w:hint="eastAsia" w:ascii="宋体" w:hAnsi="宋体"/>
        </w:rPr>
        <w:t>直接或间接为研学旅游者提供服务所凭借的物质条件。</w:t>
      </w:r>
    </w:p>
    <w:p>
      <w:pPr>
        <w:spacing w:line="360" w:lineRule="auto"/>
        <w:jc w:val="left"/>
        <w:rPr>
          <w:rFonts w:ascii="黑体" w:hAnsi="黑体" w:eastAsia="黑体"/>
        </w:rPr>
      </w:pPr>
      <w:r>
        <w:rPr>
          <w:rFonts w:hint="eastAsia" w:ascii="黑体" w:hAnsi="黑体" w:eastAsia="黑体"/>
        </w:rPr>
        <w:t xml:space="preserve"> </w:t>
      </w:r>
      <w:r>
        <w:rPr>
          <w:rFonts w:ascii="黑体" w:hAnsi="黑体" w:eastAsia="黑体"/>
        </w:rPr>
        <w:t xml:space="preserve">   3.6</w:t>
      </w:r>
    </w:p>
    <w:p>
      <w:pPr>
        <w:spacing w:line="360" w:lineRule="auto"/>
        <w:ind w:firstLine="440" w:firstLineChars="200"/>
        <w:jc w:val="left"/>
        <w:rPr>
          <w:rFonts w:ascii="黑体" w:hAnsi="黑体" w:eastAsia="黑体"/>
        </w:rPr>
      </w:pPr>
      <w:r>
        <w:rPr>
          <w:rFonts w:hint="eastAsia" w:ascii="黑体" w:hAnsi="黑体" w:eastAsia="黑体"/>
        </w:rPr>
        <w:t>研学旅游指导师</w:t>
      </w:r>
      <w:r>
        <w:rPr>
          <w:rFonts w:ascii="黑体" w:hAnsi="黑体" w:eastAsia="黑体"/>
        </w:rPr>
        <w:t>S</w:t>
      </w:r>
      <w:r>
        <w:rPr>
          <w:rFonts w:hint="eastAsia" w:ascii="黑体" w:hAnsi="黑体" w:eastAsia="黑体"/>
        </w:rPr>
        <w:t>tudy</w:t>
      </w:r>
      <w:r>
        <w:rPr>
          <w:rFonts w:ascii="黑体" w:hAnsi="黑体" w:eastAsia="黑体"/>
        </w:rPr>
        <w:t xml:space="preserve"> Travel Tutor</w:t>
      </w:r>
    </w:p>
    <w:p>
      <w:pPr>
        <w:spacing w:line="360" w:lineRule="auto"/>
        <w:ind w:firstLine="440" w:firstLineChars="200"/>
        <w:jc w:val="left"/>
        <w:rPr>
          <w:rFonts w:ascii="宋体" w:hAnsi="宋体"/>
        </w:rPr>
      </w:pPr>
      <w:r>
        <w:rPr>
          <w:rFonts w:hint="eastAsia" w:ascii="宋体" w:hAnsi="宋体"/>
        </w:rPr>
        <w:t>掌握研学旅游相关政策、法规，理解研学旅游的教育价值，能策划、制定、实施和评价研学旅游课程方案，在研学旅游过程中组织和指导旅游者开展各类体验式教育和研究性学习的专业人员。</w:t>
      </w:r>
    </w:p>
    <w:p>
      <w:pPr>
        <w:keepNext/>
        <w:keepLines/>
        <w:spacing w:before="120" w:beforeLines="50" w:after="120" w:afterLines="50"/>
        <w:jc w:val="left"/>
        <w:outlineLvl w:val="0"/>
        <w:rPr>
          <w:rFonts w:ascii="黑体" w:hAnsi="黑体" w:eastAsia="黑体"/>
          <w:bCs/>
          <w:kern w:val="44"/>
          <w:szCs w:val="44"/>
        </w:rPr>
      </w:pPr>
      <w:bookmarkStart w:id="12" w:name="_Toc120651728"/>
      <w:r>
        <w:rPr>
          <w:rFonts w:hint="eastAsia" w:ascii="黑体" w:hAnsi="黑体" w:eastAsia="黑体"/>
          <w:bCs/>
          <w:kern w:val="44"/>
          <w:szCs w:val="44"/>
        </w:rPr>
        <w:t>4 总则</w:t>
      </w:r>
      <w:bookmarkEnd w:id="12"/>
    </w:p>
    <w:p>
      <w:pPr>
        <w:spacing w:line="360" w:lineRule="auto"/>
        <w:jc w:val="left"/>
        <w:rPr>
          <w:rFonts w:ascii="黑体" w:hAnsi="黑体" w:eastAsia="黑体"/>
        </w:rPr>
      </w:pPr>
      <w:bookmarkStart w:id="13" w:name="_Toc22275"/>
      <w:r>
        <w:rPr>
          <w:rFonts w:ascii="黑体" w:hAnsi="黑体" w:eastAsia="黑体"/>
        </w:rPr>
        <w:t>4.1</w:t>
      </w:r>
      <w:bookmarkEnd w:id="13"/>
      <w:r>
        <w:rPr>
          <w:rFonts w:ascii="黑体" w:hAnsi="黑体" w:eastAsia="黑体"/>
        </w:rPr>
        <w:t xml:space="preserve"> </w:t>
      </w:r>
      <w:r>
        <w:rPr>
          <w:rFonts w:hint="eastAsia" w:ascii="黑体" w:hAnsi="黑体" w:eastAsia="黑体"/>
        </w:rPr>
        <w:t>指导思想</w:t>
      </w:r>
    </w:p>
    <w:p>
      <w:pPr>
        <w:spacing w:line="360" w:lineRule="auto"/>
        <w:jc w:val="left"/>
        <w:rPr>
          <w:rFonts w:asciiTheme="minorEastAsia" w:hAnsiTheme="minorEastAsia" w:eastAsiaTheme="minorEastAsia"/>
        </w:rPr>
      </w:pPr>
      <w:r>
        <w:rPr>
          <w:rFonts w:hint="eastAsia" w:ascii="黑体" w:hAnsi="黑体" w:eastAsia="黑体"/>
        </w:rPr>
        <w:t>4.1.1</w:t>
      </w:r>
      <w:r>
        <w:rPr>
          <w:rFonts w:hint="eastAsia" w:asciiTheme="minorEastAsia" w:hAnsiTheme="minorEastAsia" w:eastAsiaTheme="minorEastAsia"/>
        </w:rPr>
        <w:t xml:space="preserve"> 深入贯彻</w:t>
      </w:r>
      <w:r>
        <w:rPr>
          <w:rFonts w:hint="default" w:asciiTheme="minorEastAsia" w:hAnsiTheme="minorEastAsia" w:eastAsiaTheme="minorEastAsia"/>
          <w:lang w:val="en"/>
        </w:rPr>
        <w:t>习近平生态文明思想</w:t>
      </w:r>
      <w:bookmarkStart w:id="37" w:name="_GoBack"/>
      <w:bookmarkEnd w:id="37"/>
      <w:r>
        <w:rPr>
          <w:rFonts w:hint="eastAsia" w:asciiTheme="minorEastAsia" w:hAnsiTheme="minorEastAsia" w:eastAsiaTheme="minorEastAsia"/>
        </w:rPr>
        <w:t>，积极践行绿水青山就是金山银山的理念。</w:t>
      </w:r>
    </w:p>
    <w:p>
      <w:pPr>
        <w:spacing w:line="360" w:lineRule="auto"/>
        <w:jc w:val="left"/>
        <w:rPr>
          <w:rFonts w:asciiTheme="minorEastAsia" w:hAnsiTheme="minorEastAsia" w:eastAsiaTheme="minorEastAsia"/>
        </w:rPr>
      </w:pPr>
      <w:r>
        <w:rPr>
          <w:rFonts w:hint="eastAsia" w:ascii="黑体" w:hAnsi="黑体" w:eastAsia="黑体"/>
        </w:rPr>
        <w:t>4.1.2</w:t>
      </w:r>
      <w:r>
        <w:rPr>
          <w:rFonts w:hint="eastAsia" w:asciiTheme="minorEastAsia" w:hAnsiTheme="minorEastAsia" w:eastAsiaTheme="minorEastAsia"/>
        </w:rPr>
        <w:t xml:space="preserve"> 以可持续发展思想为指导，促进生态、经济、社会可持续发展。</w:t>
      </w:r>
    </w:p>
    <w:p>
      <w:pPr>
        <w:spacing w:line="360" w:lineRule="auto"/>
        <w:jc w:val="left"/>
        <w:rPr>
          <w:rFonts w:asciiTheme="minorEastAsia" w:hAnsiTheme="minorEastAsia" w:eastAsiaTheme="minorEastAsia"/>
        </w:rPr>
      </w:pPr>
      <w:r>
        <w:rPr>
          <w:rFonts w:hint="eastAsia" w:ascii="黑体" w:hAnsi="黑体" w:eastAsia="黑体"/>
        </w:rPr>
        <w:t>4.1.3</w:t>
      </w:r>
      <w:r>
        <w:rPr>
          <w:rFonts w:hint="eastAsia" w:asciiTheme="minorEastAsia" w:hAnsiTheme="minorEastAsia" w:eastAsiaTheme="minorEastAsia"/>
        </w:rPr>
        <w:t xml:space="preserve"> 以文化自信思想为指导，肯定文化价值，保持文化生命力。</w:t>
      </w:r>
    </w:p>
    <w:p>
      <w:pPr>
        <w:spacing w:line="360" w:lineRule="auto"/>
        <w:jc w:val="left"/>
        <w:rPr>
          <w:rFonts w:asciiTheme="minorEastAsia" w:hAnsiTheme="minorEastAsia" w:eastAsiaTheme="minorEastAsia"/>
        </w:rPr>
      </w:pPr>
      <w:r>
        <w:rPr>
          <w:rFonts w:hint="eastAsia" w:ascii="黑体" w:hAnsi="黑体" w:eastAsia="黑体"/>
        </w:rPr>
        <w:t>4.1.4</w:t>
      </w:r>
      <w:r>
        <w:rPr>
          <w:rFonts w:hint="eastAsia" w:asciiTheme="minorEastAsia" w:hAnsiTheme="minorEastAsia" w:eastAsiaTheme="minorEastAsia"/>
        </w:rPr>
        <w:t xml:space="preserve"> 落实实践育人思想，增强公众的社会责任感、创新精神和实践能力。</w:t>
      </w:r>
    </w:p>
    <w:p>
      <w:pPr>
        <w:spacing w:line="360" w:lineRule="auto"/>
        <w:jc w:val="left"/>
        <w:rPr>
          <w:rFonts w:asciiTheme="minorEastAsia" w:hAnsiTheme="minorEastAsia" w:eastAsiaTheme="minorEastAsia"/>
        </w:rPr>
      </w:pPr>
      <w:r>
        <w:rPr>
          <w:rFonts w:ascii="黑体" w:hAnsi="黑体" w:eastAsia="黑体"/>
        </w:rPr>
        <w:t>4.1.5</w:t>
      </w:r>
      <w:r>
        <w:rPr>
          <w:rFonts w:asciiTheme="minorEastAsia" w:hAnsiTheme="minorEastAsia" w:eastAsiaTheme="minorEastAsia"/>
        </w:rPr>
        <w:t xml:space="preserve"> </w:t>
      </w:r>
      <w:r>
        <w:rPr>
          <w:rFonts w:hint="eastAsia" w:asciiTheme="minorEastAsia" w:hAnsiTheme="minorEastAsia" w:eastAsiaTheme="minorEastAsia"/>
        </w:rPr>
        <w:t>以家国情怀思想为指导，激发家国意识和民族自豪感。</w:t>
      </w:r>
    </w:p>
    <w:p>
      <w:pPr>
        <w:spacing w:line="360" w:lineRule="auto"/>
        <w:jc w:val="left"/>
        <w:rPr>
          <w:rFonts w:ascii="黑体" w:hAnsi="黑体" w:eastAsia="黑体"/>
        </w:rPr>
      </w:pPr>
      <w:r>
        <w:rPr>
          <w:rFonts w:ascii="黑体" w:hAnsi="黑体" w:eastAsia="黑体"/>
        </w:rPr>
        <w:t>4</w:t>
      </w:r>
      <w:r>
        <w:rPr>
          <w:rFonts w:hint="eastAsia" w:ascii="黑体" w:hAnsi="黑体" w:eastAsia="黑体"/>
        </w:rPr>
        <w:t>.2</w:t>
      </w:r>
      <w:r>
        <w:rPr>
          <w:rFonts w:ascii="黑体" w:hAnsi="黑体" w:eastAsia="黑体"/>
        </w:rPr>
        <w:t xml:space="preserve"> </w:t>
      </w:r>
      <w:r>
        <w:rPr>
          <w:rFonts w:hint="eastAsia" w:ascii="黑体" w:hAnsi="黑体" w:eastAsia="黑体"/>
        </w:rPr>
        <w:t>设计原则</w:t>
      </w:r>
    </w:p>
    <w:p>
      <w:pPr>
        <w:spacing w:line="360" w:lineRule="auto"/>
        <w:jc w:val="left"/>
        <w:rPr>
          <w:rFonts w:ascii="黑体" w:hAnsi="黑体" w:eastAsia="黑体"/>
        </w:rPr>
      </w:pPr>
      <w:r>
        <w:rPr>
          <w:rFonts w:hint="eastAsia" w:ascii="黑体" w:hAnsi="黑体" w:eastAsia="黑体"/>
        </w:rPr>
        <w:t>4.2.</w:t>
      </w:r>
      <w:r>
        <w:rPr>
          <w:rFonts w:ascii="黑体" w:hAnsi="黑体" w:eastAsia="黑体"/>
        </w:rPr>
        <w:t>1</w:t>
      </w:r>
      <w:r>
        <w:rPr>
          <w:rFonts w:hint="eastAsia" w:ascii="黑体" w:hAnsi="黑体" w:eastAsia="黑体"/>
        </w:rPr>
        <w:t xml:space="preserve"> 教育性原则</w:t>
      </w:r>
    </w:p>
    <w:p>
      <w:pPr>
        <w:spacing w:line="360" w:lineRule="auto"/>
        <w:ind w:firstLine="440" w:firstLineChars="200"/>
        <w:jc w:val="left"/>
        <w:rPr>
          <w:rFonts w:asciiTheme="minorEastAsia" w:hAnsiTheme="minorEastAsia" w:eastAsiaTheme="minorEastAsia"/>
        </w:rPr>
      </w:pPr>
      <w:r>
        <w:rPr>
          <w:rFonts w:hint="eastAsia" w:asciiTheme="minorEastAsia" w:hAnsiTheme="minorEastAsia" w:eastAsiaTheme="minorEastAsia"/>
        </w:rPr>
        <w:t>应结合旅游者身心发展阶段、接受能力和实际需要，遵循教育规律，注重思想性、知识性、实践性、科学性和趣味性，设计具有教育价值的研学旅游产品。</w:t>
      </w:r>
    </w:p>
    <w:p>
      <w:pPr>
        <w:spacing w:line="360" w:lineRule="auto"/>
        <w:jc w:val="left"/>
        <w:rPr>
          <w:rFonts w:ascii="黑体" w:hAnsi="黑体" w:eastAsia="黑体"/>
        </w:rPr>
      </w:pPr>
      <w:r>
        <w:rPr>
          <w:rFonts w:hint="eastAsia" w:ascii="黑体" w:hAnsi="黑体" w:eastAsia="黑体"/>
        </w:rPr>
        <w:t>4.2.</w:t>
      </w:r>
      <w:r>
        <w:rPr>
          <w:rFonts w:ascii="黑体" w:hAnsi="黑体" w:eastAsia="黑体"/>
        </w:rPr>
        <w:t>2</w:t>
      </w:r>
      <w:r>
        <w:rPr>
          <w:rFonts w:hint="eastAsia" w:ascii="黑体" w:hAnsi="黑体" w:eastAsia="黑体"/>
        </w:rPr>
        <w:t xml:space="preserve"> 生态优先原则</w:t>
      </w:r>
    </w:p>
    <w:p>
      <w:pPr>
        <w:spacing w:line="360" w:lineRule="auto"/>
        <w:jc w:val="left"/>
        <w:rPr>
          <w:rFonts w:asciiTheme="minorEastAsia" w:hAnsiTheme="minorEastAsia" w:eastAsiaTheme="minorEastAsia"/>
        </w:rPr>
      </w:pPr>
      <w:r>
        <w:rPr>
          <w:rFonts w:hint="eastAsia" w:asciiTheme="minorEastAsia" w:hAnsiTheme="minorEastAsia" w:eastAsiaTheme="minorEastAsia"/>
        </w:rPr>
        <w:t xml:space="preserve">    应维护生态系统的稳定平衡，尽可能减少对生态环境和资源的破坏，正确处理研学旅游产品开发与环境保护的关系。</w:t>
      </w:r>
    </w:p>
    <w:p>
      <w:pPr>
        <w:spacing w:line="360" w:lineRule="auto"/>
        <w:jc w:val="left"/>
        <w:rPr>
          <w:rFonts w:ascii="黑体" w:hAnsi="黑体" w:eastAsia="黑体"/>
        </w:rPr>
      </w:pPr>
      <w:r>
        <w:rPr>
          <w:rFonts w:hint="eastAsia" w:ascii="黑体" w:hAnsi="黑体" w:eastAsia="黑体"/>
        </w:rPr>
        <w:t>4.2.3 因地制宜原则</w:t>
      </w:r>
    </w:p>
    <w:p>
      <w:pPr>
        <w:spacing w:line="360" w:lineRule="auto"/>
        <w:ind w:firstLine="440" w:firstLineChars="200"/>
        <w:jc w:val="left"/>
        <w:rPr>
          <w:rFonts w:asciiTheme="minorEastAsia" w:hAnsiTheme="minorEastAsia" w:eastAsiaTheme="minorEastAsia"/>
        </w:rPr>
      </w:pPr>
      <w:r>
        <w:rPr>
          <w:rFonts w:hint="eastAsia" w:asciiTheme="minorEastAsia" w:hAnsiTheme="minorEastAsia" w:eastAsiaTheme="minorEastAsia"/>
        </w:rPr>
        <w:t>应从河北省实际出发，立足于经济社会发展状况、资源环境禀赋和比较优势，采取适宜于地域环境的研学旅游产品设计方式。</w:t>
      </w:r>
    </w:p>
    <w:p>
      <w:pPr>
        <w:spacing w:line="360" w:lineRule="auto"/>
        <w:jc w:val="left"/>
        <w:rPr>
          <w:rFonts w:ascii="黑体" w:hAnsi="黑体" w:eastAsia="黑体"/>
        </w:rPr>
      </w:pPr>
      <w:r>
        <w:rPr>
          <w:rFonts w:hint="eastAsia" w:ascii="黑体" w:hAnsi="黑体" w:eastAsia="黑体"/>
        </w:rPr>
        <w:t>4.2.4 市场导向原则</w:t>
      </w:r>
    </w:p>
    <w:p>
      <w:pPr>
        <w:spacing w:line="360" w:lineRule="auto"/>
        <w:ind w:firstLine="440" w:firstLineChars="200"/>
        <w:jc w:val="left"/>
        <w:rPr>
          <w:rFonts w:asciiTheme="minorEastAsia" w:hAnsiTheme="minorEastAsia" w:eastAsiaTheme="minorEastAsia"/>
        </w:rPr>
      </w:pPr>
      <w:r>
        <w:rPr>
          <w:rFonts w:hint="eastAsia" w:asciiTheme="minorEastAsia" w:hAnsiTheme="minorEastAsia" w:eastAsiaTheme="minorEastAsia"/>
        </w:rPr>
        <w:t>应充分考虑研学旅游市场及经济效益，提高供给品质和市场竞争力，设计符合研学旅游市场发展需求的产品。</w:t>
      </w:r>
    </w:p>
    <w:p>
      <w:pPr>
        <w:spacing w:line="360" w:lineRule="auto"/>
        <w:jc w:val="left"/>
        <w:rPr>
          <w:rFonts w:ascii="黑体" w:hAnsi="黑体" w:eastAsia="黑体"/>
        </w:rPr>
      </w:pPr>
      <w:r>
        <w:rPr>
          <w:rFonts w:hint="eastAsia" w:ascii="黑体" w:hAnsi="黑体" w:eastAsia="黑体"/>
        </w:rPr>
        <w:t>4.2.5 安全保障原则</w:t>
      </w:r>
    </w:p>
    <w:p>
      <w:pPr>
        <w:spacing w:line="360" w:lineRule="auto"/>
        <w:ind w:firstLine="440" w:firstLineChars="200"/>
        <w:jc w:val="left"/>
        <w:rPr>
          <w:rFonts w:asciiTheme="minorEastAsia" w:hAnsiTheme="minorEastAsia" w:eastAsiaTheme="minorEastAsia"/>
        </w:rPr>
      </w:pPr>
      <w:r>
        <w:rPr>
          <w:rFonts w:hint="eastAsia" w:asciiTheme="minorEastAsia" w:hAnsiTheme="minorEastAsia" w:eastAsiaTheme="minorEastAsia"/>
        </w:rPr>
        <w:t>应始终坚持安全第一，落实安全保障措施，有完整的针对研学旅游的安全紧急预案，确保旅游者的人身和财产安全。</w:t>
      </w:r>
    </w:p>
    <w:p>
      <w:pPr>
        <w:spacing w:line="360" w:lineRule="auto"/>
        <w:jc w:val="left"/>
        <w:rPr>
          <w:rFonts w:ascii="黑体" w:hAnsi="黑体" w:eastAsia="黑体"/>
        </w:rPr>
      </w:pPr>
      <w:r>
        <w:rPr>
          <w:rFonts w:ascii="黑体" w:hAnsi="黑体" w:eastAsia="黑体"/>
        </w:rPr>
        <w:t>4</w:t>
      </w:r>
      <w:r>
        <w:rPr>
          <w:rFonts w:hint="eastAsia" w:ascii="黑体" w:hAnsi="黑体" w:eastAsia="黑体"/>
        </w:rPr>
        <w:t>.3</w:t>
      </w:r>
      <w:r>
        <w:rPr>
          <w:rFonts w:ascii="黑体" w:hAnsi="黑体" w:eastAsia="黑体"/>
        </w:rPr>
        <w:t xml:space="preserve"> </w:t>
      </w:r>
      <w:r>
        <w:rPr>
          <w:rFonts w:hint="eastAsia" w:ascii="黑体" w:hAnsi="黑体" w:eastAsia="黑体"/>
        </w:rPr>
        <w:t>基本步骤</w:t>
      </w:r>
    </w:p>
    <w:p>
      <w:pPr>
        <w:spacing w:line="360" w:lineRule="auto"/>
        <w:jc w:val="left"/>
        <w:rPr>
          <w:rFonts w:ascii="黑体" w:hAnsi="黑体" w:eastAsia="黑体"/>
        </w:rPr>
      </w:pPr>
      <w:r>
        <w:rPr>
          <w:rFonts w:ascii="黑体" w:hAnsi="黑体" w:eastAsia="黑体"/>
        </w:rPr>
        <w:t xml:space="preserve">4.3.1 </w:t>
      </w:r>
      <w:r>
        <w:rPr>
          <w:rFonts w:hint="eastAsia" w:ascii="黑体" w:hAnsi="黑体" w:eastAsia="黑体"/>
        </w:rPr>
        <w:t>前期准备</w:t>
      </w:r>
    </w:p>
    <w:p>
      <w:pPr>
        <w:numPr>
          <w:ilvl w:val="0"/>
          <w:numId w:val="4"/>
        </w:numPr>
        <w:spacing w:line="276" w:lineRule="auto"/>
        <w:rPr>
          <w:rFonts w:ascii="宋体" w:hAnsi="宋体"/>
          <w:szCs w:val="22"/>
        </w:rPr>
      </w:pPr>
      <w:r>
        <w:rPr>
          <w:rFonts w:hint="eastAsia" w:ascii="宋体" w:hAnsi="宋体"/>
          <w:szCs w:val="22"/>
        </w:rPr>
        <w:t>资源基础分析：包括资源基本要素、资源组合、资源等级、资源价值等；</w:t>
      </w:r>
    </w:p>
    <w:p>
      <w:pPr>
        <w:numPr>
          <w:ilvl w:val="0"/>
          <w:numId w:val="4"/>
        </w:numPr>
        <w:spacing w:line="276" w:lineRule="auto"/>
        <w:rPr>
          <w:rFonts w:ascii="宋体" w:hAnsi="宋体"/>
          <w:szCs w:val="22"/>
        </w:rPr>
      </w:pPr>
      <w:r>
        <w:rPr>
          <w:rFonts w:hint="eastAsia" w:ascii="宋体" w:hAnsi="宋体"/>
          <w:szCs w:val="22"/>
        </w:rPr>
        <w:t>市场和经济效益分析：包括市场需求、产品规模和定位、产品投入产出等；</w:t>
      </w:r>
    </w:p>
    <w:p>
      <w:pPr>
        <w:numPr>
          <w:ilvl w:val="0"/>
          <w:numId w:val="4"/>
        </w:numPr>
        <w:spacing w:line="276" w:lineRule="auto"/>
        <w:rPr>
          <w:rFonts w:ascii="宋体" w:hAnsi="宋体"/>
          <w:szCs w:val="22"/>
        </w:rPr>
      </w:pPr>
      <w:r>
        <w:rPr>
          <w:rFonts w:hint="eastAsia" w:ascii="宋体" w:hAnsi="宋体"/>
          <w:szCs w:val="22"/>
        </w:rPr>
        <w:t>开发条件评估：包括自然条件评估、社会条件评估、经济条件、环境承载力、建设条件评估等；</w:t>
      </w:r>
    </w:p>
    <w:p>
      <w:pPr>
        <w:numPr>
          <w:ilvl w:val="0"/>
          <w:numId w:val="4"/>
        </w:numPr>
        <w:spacing w:line="276" w:lineRule="auto"/>
        <w:rPr>
          <w:rFonts w:ascii="宋体" w:hAnsi="宋体"/>
          <w:szCs w:val="22"/>
        </w:rPr>
      </w:pPr>
      <w:r>
        <w:rPr>
          <w:rFonts w:hint="eastAsia" w:ascii="宋体" w:hAnsi="宋体"/>
          <w:szCs w:val="22"/>
        </w:rPr>
        <w:t>需求调查：包括旅游者的年龄特征、认知程度、情感态度、期望和要求等。</w:t>
      </w:r>
    </w:p>
    <w:p>
      <w:pPr>
        <w:spacing w:line="360" w:lineRule="auto"/>
        <w:jc w:val="left"/>
        <w:rPr>
          <w:rFonts w:ascii="黑体" w:hAnsi="黑体" w:eastAsia="黑体"/>
        </w:rPr>
      </w:pPr>
      <w:r>
        <w:rPr>
          <w:rFonts w:hint="eastAsia" w:ascii="黑体" w:hAnsi="黑体" w:eastAsia="黑体"/>
        </w:rPr>
        <w:t>4</w:t>
      </w:r>
      <w:r>
        <w:rPr>
          <w:rFonts w:ascii="黑体" w:hAnsi="黑体" w:eastAsia="黑体"/>
        </w:rPr>
        <w:t xml:space="preserve">.3.2 </w:t>
      </w:r>
      <w:r>
        <w:rPr>
          <w:rFonts w:hint="eastAsia" w:ascii="黑体" w:hAnsi="黑体" w:eastAsia="黑体"/>
        </w:rPr>
        <w:t>确定目标</w:t>
      </w:r>
    </w:p>
    <w:p>
      <w:pPr>
        <w:numPr>
          <w:ilvl w:val="0"/>
          <w:numId w:val="5"/>
        </w:numPr>
        <w:spacing w:line="276" w:lineRule="auto"/>
        <w:rPr>
          <w:rFonts w:ascii="宋体" w:hAnsi="宋体"/>
          <w:szCs w:val="22"/>
        </w:rPr>
      </w:pPr>
      <w:r>
        <w:rPr>
          <w:rFonts w:hint="eastAsia" w:ascii="宋体" w:hAnsi="宋体"/>
          <w:szCs w:val="22"/>
        </w:rPr>
        <w:t>明确研学旅游产品类型，确定研学旅游产品设计目标；</w:t>
      </w:r>
    </w:p>
    <w:p>
      <w:pPr>
        <w:numPr>
          <w:ilvl w:val="0"/>
          <w:numId w:val="5"/>
        </w:numPr>
        <w:spacing w:line="276" w:lineRule="auto"/>
        <w:rPr>
          <w:rFonts w:ascii="宋体" w:hAnsi="宋体"/>
          <w:szCs w:val="22"/>
        </w:rPr>
      </w:pPr>
      <w:r>
        <w:rPr>
          <w:rFonts w:hint="eastAsia" w:ascii="宋体" w:hAnsi="宋体"/>
          <w:szCs w:val="22"/>
        </w:rPr>
        <w:t>目标应具体化，满足可行性、可操作性和时效性。</w:t>
      </w:r>
    </w:p>
    <w:p>
      <w:pPr>
        <w:spacing w:line="360" w:lineRule="auto"/>
        <w:jc w:val="left"/>
        <w:rPr>
          <w:rFonts w:ascii="黑体" w:hAnsi="黑体" w:eastAsia="黑体"/>
        </w:rPr>
      </w:pPr>
      <w:r>
        <w:rPr>
          <w:rFonts w:hint="eastAsia" w:ascii="黑体" w:hAnsi="黑体" w:eastAsia="黑体"/>
        </w:rPr>
        <w:t>4</w:t>
      </w:r>
      <w:r>
        <w:rPr>
          <w:rFonts w:ascii="黑体" w:hAnsi="黑体" w:eastAsia="黑体"/>
        </w:rPr>
        <w:t xml:space="preserve">.3.3 </w:t>
      </w:r>
      <w:r>
        <w:rPr>
          <w:rFonts w:hint="eastAsia" w:ascii="黑体" w:hAnsi="黑体" w:eastAsia="黑体"/>
        </w:rPr>
        <w:t>设计产品</w:t>
      </w:r>
    </w:p>
    <w:p>
      <w:pPr>
        <w:numPr>
          <w:ilvl w:val="0"/>
          <w:numId w:val="6"/>
        </w:numPr>
        <w:spacing w:line="276" w:lineRule="auto"/>
        <w:rPr>
          <w:rFonts w:ascii="宋体" w:hAnsi="宋体"/>
          <w:szCs w:val="22"/>
        </w:rPr>
      </w:pPr>
      <w:r>
        <w:rPr>
          <w:rFonts w:hint="eastAsia" w:ascii="宋体" w:hAnsi="宋体"/>
          <w:szCs w:val="22"/>
        </w:rPr>
        <w:t>制定研学旅游产品设计方案，有针对性的设计不同主题的研学旅游产品；</w:t>
      </w:r>
    </w:p>
    <w:p>
      <w:pPr>
        <w:numPr>
          <w:ilvl w:val="0"/>
          <w:numId w:val="6"/>
        </w:numPr>
        <w:spacing w:line="276" w:lineRule="auto"/>
        <w:rPr>
          <w:rFonts w:ascii="宋体" w:hAnsi="宋体"/>
          <w:szCs w:val="22"/>
        </w:rPr>
      </w:pPr>
      <w:r>
        <w:rPr>
          <w:rFonts w:hint="eastAsia" w:ascii="宋体" w:hAnsi="宋体"/>
          <w:szCs w:val="22"/>
        </w:rPr>
        <w:t>增强产品的教育性、安全性、实践性和操作性。</w:t>
      </w:r>
    </w:p>
    <w:p>
      <w:pPr>
        <w:spacing w:line="360" w:lineRule="auto"/>
        <w:jc w:val="left"/>
        <w:rPr>
          <w:rFonts w:ascii="黑体" w:hAnsi="黑体" w:eastAsia="黑体"/>
        </w:rPr>
      </w:pPr>
      <w:r>
        <w:rPr>
          <w:rFonts w:hint="eastAsia" w:ascii="黑体" w:hAnsi="黑体" w:eastAsia="黑体"/>
        </w:rPr>
        <w:t>4</w:t>
      </w:r>
      <w:r>
        <w:rPr>
          <w:rFonts w:ascii="黑体" w:hAnsi="黑体" w:eastAsia="黑体"/>
        </w:rPr>
        <w:t xml:space="preserve">.3.4 </w:t>
      </w:r>
      <w:r>
        <w:rPr>
          <w:rFonts w:hint="eastAsia" w:ascii="黑体" w:hAnsi="黑体" w:eastAsia="黑体"/>
        </w:rPr>
        <w:t>产品优化</w:t>
      </w:r>
    </w:p>
    <w:p>
      <w:pPr>
        <w:numPr>
          <w:ilvl w:val="0"/>
          <w:numId w:val="7"/>
        </w:numPr>
        <w:spacing w:line="276" w:lineRule="auto"/>
        <w:rPr>
          <w:rFonts w:ascii="宋体" w:hAnsi="宋体"/>
          <w:szCs w:val="22"/>
        </w:rPr>
      </w:pPr>
      <w:r>
        <w:rPr>
          <w:rFonts w:hint="eastAsia" w:ascii="宋体" w:hAnsi="宋体"/>
          <w:szCs w:val="22"/>
        </w:rPr>
        <w:t>开展测试活动，确保达到研学预期效果；</w:t>
      </w:r>
    </w:p>
    <w:p>
      <w:pPr>
        <w:numPr>
          <w:ilvl w:val="0"/>
          <w:numId w:val="7"/>
        </w:numPr>
        <w:spacing w:line="276" w:lineRule="auto"/>
        <w:rPr>
          <w:rFonts w:ascii="宋体" w:hAnsi="宋体"/>
          <w:szCs w:val="22"/>
        </w:rPr>
      </w:pPr>
      <w:r>
        <w:rPr>
          <w:rFonts w:hint="eastAsia" w:ascii="宋体" w:hAnsi="宋体"/>
          <w:szCs w:val="22"/>
        </w:rPr>
        <w:t>修改、完善研学旅游产品。</w:t>
      </w:r>
    </w:p>
    <w:p>
      <w:pPr>
        <w:spacing w:line="360" w:lineRule="auto"/>
        <w:jc w:val="left"/>
        <w:rPr>
          <w:rFonts w:ascii="黑体" w:hAnsi="黑体" w:eastAsia="黑体"/>
        </w:rPr>
      </w:pPr>
      <w:r>
        <w:rPr>
          <w:rFonts w:hint="eastAsia" w:ascii="黑体" w:hAnsi="黑体" w:eastAsia="黑体"/>
        </w:rPr>
        <w:t>4</w:t>
      </w:r>
      <w:r>
        <w:rPr>
          <w:rFonts w:ascii="黑体" w:hAnsi="黑体" w:eastAsia="黑体"/>
        </w:rPr>
        <w:t xml:space="preserve">.3.5 </w:t>
      </w:r>
      <w:r>
        <w:rPr>
          <w:rFonts w:hint="eastAsia" w:ascii="黑体" w:hAnsi="黑体" w:eastAsia="黑体"/>
        </w:rPr>
        <w:t>验收使用</w:t>
      </w:r>
    </w:p>
    <w:p>
      <w:pPr>
        <w:numPr>
          <w:ilvl w:val="0"/>
          <w:numId w:val="8"/>
        </w:numPr>
        <w:spacing w:line="276" w:lineRule="auto"/>
        <w:rPr>
          <w:rFonts w:ascii="宋体" w:hAnsi="宋体"/>
          <w:szCs w:val="22"/>
        </w:rPr>
      </w:pPr>
      <w:r>
        <w:rPr>
          <w:rFonts w:hint="eastAsia" w:ascii="宋体" w:hAnsi="宋体"/>
          <w:szCs w:val="22"/>
        </w:rPr>
        <w:t>验收指标重点考虑与目标一致程度、有无重大安全隐患、具有教育意义和旅游价值；</w:t>
      </w:r>
    </w:p>
    <w:p>
      <w:pPr>
        <w:numPr>
          <w:ilvl w:val="0"/>
          <w:numId w:val="8"/>
        </w:numPr>
        <w:spacing w:line="276" w:lineRule="auto"/>
        <w:rPr>
          <w:rFonts w:ascii="宋体" w:hAnsi="宋体"/>
          <w:szCs w:val="22"/>
        </w:rPr>
      </w:pPr>
      <w:r>
        <w:rPr>
          <w:rFonts w:hint="eastAsia" w:ascii="宋体" w:hAnsi="宋体"/>
          <w:szCs w:val="22"/>
        </w:rPr>
        <w:t>经旅游景区相关负责部门验收合格后，方可投入使用。</w:t>
      </w:r>
    </w:p>
    <w:p>
      <w:pPr>
        <w:spacing w:line="360" w:lineRule="auto"/>
        <w:jc w:val="left"/>
        <w:rPr>
          <w:rFonts w:ascii="黑体" w:hAnsi="黑体" w:eastAsia="黑体"/>
        </w:rPr>
      </w:pPr>
      <w:r>
        <w:rPr>
          <w:rFonts w:hint="eastAsia" w:ascii="黑体" w:hAnsi="黑体" w:eastAsia="黑体"/>
        </w:rPr>
        <w:t>4</w:t>
      </w:r>
      <w:r>
        <w:rPr>
          <w:rFonts w:ascii="黑体" w:hAnsi="黑体" w:eastAsia="黑体"/>
        </w:rPr>
        <w:t xml:space="preserve">.3.6 </w:t>
      </w:r>
      <w:r>
        <w:rPr>
          <w:rFonts w:hint="eastAsia" w:ascii="黑体" w:hAnsi="黑体" w:eastAsia="黑体"/>
        </w:rPr>
        <w:t>评价反馈</w:t>
      </w:r>
    </w:p>
    <w:p>
      <w:pPr>
        <w:pStyle w:val="16"/>
        <w:numPr>
          <w:ilvl w:val="0"/>
          <w:numId w:val="9"/>
        </w:numPr>
        <w:spacing w:line="276" w:lineRule="auto"/>
        <w:ind w:firstLineChars="0"/>
        <w:rPr>
          <w:rFonts w:ascii="宋体" w:hAnsi="宋体"/>
          <w:szCs w:val="22"/>
        </w:rPr>
      </w:pPr>
      <w:r>
        <w:rPr>
          <w:rFonts w:hint="eastAsia" w:ascii="宋体" w:hAnsi="宋体"/>
          <w:szCs w:val="22"/>
        </w:rPr>
        <w:t>由旅游景区专职人员收集研学旅游产品实施后的反馈意见，持续改进；</w:t>
      </w:r>
    </w:p>
    <w:p>
      <w:pPr>
        <w:pStyle w:val="16"/>
        <w:numPr>
          <w:ilvl w:val="0"/>
          <w:numId w:val="9"/>
        </w:numPr>
        <w:spacing w:line="276" w:lineRule="auto"/>
        <w:ind w:firstLineChars="0"/>
        <w:rPr>
          <w:rFonts w:ascii="宋体" w:hAnsi="宋体"/>
          <w:szCs w:val="22"/>
        </w:rPr>
      </w:pPr>
      <w:r>
        <w:rPr>
          <w:rFonts w:hint="eastAsia" w:ascii="宋体" w:hAnsi="宋体"/>
          <w:szCs w:val="22"/>
        </w:rPr>
        <w:t>及时对研学旅游产品进行调整和不断更新。</w:t>
      </w:r>
    </w:p>
    <w:p>
      <w:pPr>
        <w:spacing w:line="360" w:lineRule="auto"/>
        <w:jc w:val="left"/>
        <w:rPr>
          <w:rFonts w:ascii="黑体" w:hAnsi="黑体" w:eastAsia="黑体"/>
        </w:rPr>
      </w:pPr>
      <w:r>
        <w:rPr>
          <w:rFonts w:ascii="黑体" w:hAnsi="黑体" w:eastAsia="黑体"/>
        </w:rPr>
        <w:t>4</w:t>
      </w:r>
      <w:r>
        <w:rPr>
          <w:rFonts w:hint="eastAsia" w:ascii="黑体" w:hAnsi="黑体" w:eastAsia="黑体"/>
        </w:rPr>
        <w:t>.4</w:t>
      </w:r>
      <w:r>
        <w:rPr>
          <w:rFonts w:ascii="黑体" w:hAnsi="黑体" w:eastAsia="黑体"/>
        </w:rPr>
        <w:t xml:space="preserve"> </w:t>
      </w:r>
      <w:r>
        <w:rPr>
          <w:rFonts w:hint="eastAsia" w:ascii="黑体" w:hAnsi="黑体" w:eastAsia="黑体"/>
        </w:rPr>
        <w:t>设计方法</w:t>
      </w:r>
    </w:p>
    <w:p>
      <w:pPr>
        <w:spacing w:line="360" w:lineRule="auto"/>
        <w:jc w:val="left"/>
        <w:rPr>
          <w:rFonts w:ascii="宋体" w:hAnsi="宋体"/>
        </w:rPr>
      </w:pPr>
      <w:r>
        <w:rPr>
          <w:rFonts w:hint="eastAsia" w:ascii="黑体" w:hAnsi="黑体" w:eastAsia="黑体"/>
        </w:rPr>
        <w:t>4</w:t>
      </w:r>
      <w:r>
        <w:rPr>
          <w:rFonts w:ascii="黑体" w:hAnsi="黑体" w:eastAsia="黑体"/>
        </w:rPr>
        <w:t>.4.1</w:t>
      </w:r>
      <w:r>
        <w:rPr>
          <w:rFonts w:ascii="宋体" w:hAnsi="宋体"/>
        </w:rPr>
        <w:t xml:space="preserve"> </w:t>
      </w:r>
      <w:r>
        <w:rPr>
          <w:rFonts w:hint="eastAsia" w:ascii="宋体" w:hAnsi="宋体"/>
        </w:rPr>
        <w:t>科学规划旅游景区研学旅游产品，适应旅游景区的发展。</w:t>
      </w:r>
    </w:p>
    <w:p>
      <w:pPr>
        <w:spacing w:line="360" w:lineRule="auto"/>
        <w:jc w:val="left"/>
        <w:rPr>
          <w:rFonts w:ascii="宋体" w:hAnsi="宋体"/>
        </w:rPr>
      </w:pPr>
      <w:r>
        <w:rPr>
          <w:rFonts w:ascii="黑体" w:hAnsi="黑体" w:eastAsia="黑体"/>
        </w:rPr>
        <w:t>4.4.2</w:t>
      </w:r>
      <w:r>
        <w:rPr>
          <w:rFonts w:ascii="宋体" w:hAnsi="宋体"/>
        </w:rPr>
        <w:t xml:space="preserve"> </w:t>
      </w:r>
      <w:r>
        <w:rPr>
          <w:rFonts w:hint="eastAsia" w:ascii="宋体" w:hAnsi="宋体"/>
        </w:rPr>
        <w:t>有形产品与无形产品相结合。</w:t>
      </w:r>
    </w:p>
    <w:p>
      <w:pPr>
        <w:spacing w:line="360" w:lineRule="auto"/>
        <w:jc w:val="left"/>
        <w:rPr>
          <w:rFonts w:ascii="宋体" w:hAnsi="宋体"/>
        </w:rPr>
      </w:pPr>
      <w:r>
        <w:rPr>
          <w:rFonts w:ascii="黑体" w:hAnsi="黑体" w:eastAsia="黑体"/>
        </w:rPr>
        <w:t>4.4.3</w:t>
      </w:r>
      <w:r>
        <w:rPr>
          <w:rFonts w:ascii="宋体" w:hAnsi="宋体"/>
        </w:rPr>
        <w:t xml:space="preserve"> </w:t>
      </w:r>
      <w:r>
        <w:rPr>
          <w:rFonts w:hint="eastAsia" w:ascii="宋体" w:hAnsi="宋体"/>
        </w:rPr>
        <w:t>研学旅游产品开发与特色文化相结合，彰显地域特色。</w:t>
      </w:r>
    </w:p>
    <w:p>
      <w:pPr>
        <w:spacing w:line="360" w:lineRule="auto"/>
        <w:jc w:val="left"/>
        <w:rPr>
          <w:rFonts w:ascii="宋体" w:hAnsi="宋体"/>
        </w:rPr>
      </w:pPr>
      <w:r>
        <w:rPr>
          <w:rFonts w:ascii="黑体" w:hAnsi="黑体" w:eastAsia="黑体"/>
        </w:rPr>
        <w:t>4.4.4</w:t>
      </w:r>
      <w:r>
        <w:rPr>
          <w:rFonts w:ascii="宋体" w:hAnsi="宋体"/>
        </w:rPr>
        <w:t xml:space="preserve"> </w:t>
      </w:r>
      <w:r>
        <w:rPr>
          <w:rFonts w:hint="eastAsia" w:ascii="宋体" w:hAnsi="宋体"/>
        </w:rPr>
        <w:t>合理进行空间布局，设计多主题、多功能线路体系，创造产品个性。</w:t>
      </w:r>
    </w:p>
    <w:p>
      <w:pPr>
        <w:spacing w:line="360" w:lineRule="auto"/>
        <w:jc w:val="left"/>
        <w:rPr>
          <w:rFonts w:ascii="黑体" w:hAnsi="黑体" w:eastAsia="黑体"/>
        </w:rPr>
      </w:pPr>
      <w:r>
        <w:rPr>
          <w:rFonts w:ascii="黑体" w:hAnsi="黑体" w:eastAsia="黑体"/>
        </w:rPr>
        <w:t xml:space="preserve">4.4.5 </w:t>
      </w:r>
      <w:r>
        <w:rPr>
          <w:rFonts w:hint="eastAsia" w:ascii="宋体" w:hAnsi="宋体"/>
        </w:rPr>
        <w:t>注重生态、文化资源的开发利用和保护有机结合。</w:t>
      </w:r>
    </w:p>
    <w:p>
      <w:pPr>
        <w:spacing w:line="360" w:lineRule="auto"/>
        <w:jc w:val="left"/>
        <w:rPr>
          <w:rFonts w:ascii="宋体" w:hAnsi="宋体"/>
        </w:rPr>
      </w:pPr>
      <w:r>
        <w:rPr>
          <w:rFonts w:ascii="黑体" w:hAnsi="黑体" w:eastAsia="黑体"/>
        </w:rPr>
        <w:t>4.4.6</w:t>
      </w:r>
      <w:r>
        <w:rPr>
          <w:rFonts w:ascii="宋体" w:hAnsi="宋体"/>
        </w:rPr>
        <w:t xml:space="preserve"> </w:t>
      </w:r>
      <w:r>
        <w:rPr>
          <w:rFonts w:hint="eastAsia" w:ascii="宋体" w:hAnsi="宋体"/>
        </w:rPr>
        <w:t>人工景观与天然景观和谐共生。</w:t>
      </w:r>
    </w:p>
    <w:p>
      <w:pPr>
        <w:spacing w:line="360" w:lineRule="auto"/>
        <w:jc w:val="left"/>
        <w:rPr>
          <w:rFonts w:ascii="宋体" w:hAnsi="宋体"/>
        </w:rPr>
      </w:pPr>
      <w:r>
        <w:rPr>
          <w:rFonts w:ascii="黑体" w:hAnsi="黑体" w:eastAsia="黑体"/>
        </w:rPr>
        <w:t xml:space="preserve">4.4.7 </w:t>
      </w:r>
      <w:r>
        <w:rPr>
          <w:rFonts w:hint="eastAsia" w:ascii="宋体" w:hAnsi="宋体"/>
        </w:rPr>
        <w:t>德智体美劳“五育”与研学旅游产品的有机融合。</w:t>
      </w:r>
    </w:p>
    <w:p>
      <w:pPr>
        <w:keepNext/>
        <w:keepLines/>
        <w:spacing w:before="120" w:beforeLines="50" w:after="120" w:afterLines="50"/>
        <w:jc w:val="left"/>
        <w:outlineLvl w:val="0"/>
        <w:rPr>
          <w:rFonts w:ascii="黑体" w:hAnsi="黑体" w:eastAsia="黑体"/>
          <w:bCs/>
          <w:kern w:val="44"/>
          <w:szCs w:val="44"/>
        </w:rPr>
      </w:pPr>
      <w:bookmarkStart w:id="14" w:name="_Toc120651729"/>
      <w:r>
        <w:rPr>
          <w:rFonts w:ascii="黑体" w:hAnsi="黑体" w:eastAsia="黑体"/>
          <w:bCs/>
          <w:kern w:val="44"/>
          <w:szCs w:val="44"/>
        </w:rPr>
        <w:t>5</w:t>
      </w:r>
      <w:r>
        <w:rPr>
          <w:rFonts w:hint="eastAsia" w:ascii="黑体" w:hAnsi="黑体" w:eastAsia="黑体"/>
          <w:bCs/>
          <w:kern w:val="44"/>
          <w:szCs w:val="44"/>
        </w:rPr>
        <w:t xml:space="preserve"> 研学旅游课程</w:t>
      </w:r>
      <w:bookmarkEnd w:id="14"/>
    </w:p>
    <w:p>
      <w:pPr>
        <w:spacing w:line="360" w:lineRule="auto"/>
        <w:jc w:val="left"/>
        <w:rPr>
          <w:rFonts w:ascii="黑体" w:hAnsi="黑体" w:eastAsia="黑体"/>
        </w:rPr>
      </w:pPr>
      <w:r>
        <w:rPr>
          <w:rFonts w:ascii="黑体" w:hAnsi="黑体" w:eastAsia="黑体"/>
        </w:rPr>
        <w:t>5</w:t>
      </w:r>
      <w:r>
        <w:rPr>
          <w:rFonts w:hint="eastAsia" w:ascii="黑体" w:hAnsi="黑体" w:eastAsia="黑体"/>
        </w:rPr>
        <w:t>.1</w:t>
      </w:r>
      <w:r>
        <w:rPr>
          <w:rFonts w:ascii="黑体" w:hAnsi="黑体" w:eastAsia="黑体"/>
        </w:rPr>
        <w:t xml:space="preserve"> </w:t>
      </w:r>
      <w:r>
        <w:rPr>
          <w:rFonts w:hint="eastAsia" w:ascii="黑体" w:hAnsi="黑体" w:eastAsia="黑体"/>
        </w:rPr>
        <w:t>研学旅游课程设计要求</w:t>
      </w:r>
    </w:p>
    <w:p>
      <w:pPr>
        <w:spacing w:line="360" w:lineRule="auto"/>
        <w:jc w:val="left"/>
        <w:rPr>
          <w:rFonts w:ascii="黑体" w:hAnsi="黑体" w:eastAsia="黑体"/>
        </w:rPr>
      </w:pPr>
      <w:r>
        <w:rPr>
          <w:rFonts w:hint="eastAsia" w:ascii="黑体" w:hAnsi="黑体" w:eastAsia="黑体"/>
        </w:rPr>
        <w:t>5</w:t>
      </w:r>
      <w:r>
        <w:rPr>
          <w:rFonts w:ascii="黑体" w:hAnsi="黑体" w:eastAsia="黑体"/>
        </w:rPr>
        <w:t xml:space="preserve">.1.1 </w:t>
      </w:r>
      <w:r>
        <w:rPr>
          <w:rFonts w:hint="eastAsia" w:ascii="黑体" w:hAnsi="黑体" w:eastAsia="黑体"/>
        </w:rPr>
        <w:t>课程目标</w:t>
      </w:r>
    </w:p>
    <w:p>
      <w:pPr>
        <w:numPr>
          <w:ilvl w:val="0"/>
          <w:numId w:val="10"/>
        </w:numPr>
        <w:spacing w:line="276" w:lineRule="auto"/>
        <w:rPr>
          <w:rFonts w:ascii="宋体" w:hAnsi="宋体"/>
          <w:szCs w:val="22"/>
        </w:rPr>
      </w:pPr>
      <w:r>
        <w:rPr>
          <w:rFonts w:hint="eastAsia" w:ascii="宋体" w:hAnsi="宋体"/>
          <w:szCs w:val="22"/>
        </w:rPr>
        <w:t>从价值认同、实践内化、身心健康、责任担当等方面确定课程目标；</w:t>
      </w:r>
    </w:p>
    <w:p>
      <w:pPr>
        <w:numPr>
          <w:ilvl w:val="0"/>
          <w:numId w:val="10"/>
        </w:numPr>
        <w:spacing w:line="276" w:lineRule="auto"/>
        <w:rPr>
          <w:rFonts w:ascii="宋体" w:hAnsi="宋体"/>
          <w:szCs w:val="22"/>
        </w:rPr>
      </w:pPr>
      <w:r>
        <w:rPr>
          <w:rFonts w:hint="eastAsia" w:ascii="宋体" w:hAnsi="宋体"/>
          <w:szCs w:val="22"/>
        </w:rPr>
        <w:t>注意不同学段课程目标的层次性和差异性；</w:t>
      </w:r>
    </w:p>
    <w:p>
      <w:pPr>
        <w:numPr>
          <w:ilvl w:val="0"/>
          <w:numId w:val="10"/>
        </w:numPr>
        <w:spacing w:line="276" w:lineRule="auto"/>
        <w:rPr>
          <w:rFonts w:ascii="宋体" w:hAnsi="宋体"/>
          <w:szCs w:val="22"/>
        </w:rPr>
      </w:pPr>
      <w:r>
        <w:rPr>
          <w:rFonts w:hint="eastAsia" w:ascii="宋体" w:hAnsi="宋体"/>
          <w:szCs w:val="22"/>
        </w:rPr>
        <w:t>针对同一阶段的课程目标，体现课程目标间的跨学科性；</w:t>
      </w:r>
    </w:p>
    <w:p>
      <w:pPr>
        <w:numPr>
          <w:ilvl w:val="0"/>
          <w:numId w:val="10"/>
        </w:numPr>
        <w:spacing w:line="276" w:lineRule="auto"/>
        <w:rPr>
          <w:rFonts w:ascii="宋体" w:hAnsi="宋体"/>
          <w:szCs w:val="22"/>
        </w:rPr>
      </w:pPr>
      <w:r>
        <w:rPr>
          <w:rFonts w:hint="eastAsia" w:ascii="宋体" w:hAnsi="宋体"/>
          <w:szCs w:val="22"/>
        </w:rPr>
        <w:t>课程目标应科学合理、契合主题、具体明确。</w:t>
      </w:r>
    </w:p>
    <w:p>
      <w:pPr>
        <w:spacing w:line="360" w:lineRule="auto"/>
        <w:jc w:val="left"/>
        <w:rPr>
          <w:rFonts w:ascii="黑体" w:hAnsi="黑体" w:eastAsia="黑体"/>
        </w:rPr>
      </w:pPr>
      <w:r>
        <w:rPr>
          <w:rFonts w:hint="eastAsia" w:ascii="黑体" w:hAnsi="黑体" w:eastAsia="黑体"/>
        </w:rPr>
        <w:t>5</w:t>
      </w:r>
      <w:r>
        <w:rPr>
          <w:rFonts w:ascii="黑体" w:hAnsi="黑体" w:eastAsia="黑体"/>
        </w:rPr>
        <w:t xml:space="preserve">.1.2 </w:t>
      </w:r>
      <w:r>
        <w:rPr>
          <w:rFonts w:hint="eastAsia" w:ascii="黑体" w:hAnsi="黑体" w:eastAsia="黑体"/>
        </w:rPr>
        <w:t>课程内容</w:t>
      </w:r>
    </w:p>
    <w:p>
      <w:pPr>
        <w:numPr>
          <w:ilvl w:val="0"/>
          <w:numId w:val="11"/>
        </w:numPr>
        <w:spacing w:line="276" w:lineRule="auto"/>
        <w:rPr>
          <w:rFonts w:ascii="宋体" w:hAnsi="宋体"/>
          <w:szCs w:val="22"/>
        </w:rPr>
      </w:pPr>
      <w:r>
        <w:rPr>
          <w:rFonts w:hint="eastAsia" w:ascii="宋体" w:hAnsi="宋体"/>
          <w:szCs w:val="22"/>
        </w:rPr>
        <w:t>结合旅游景区自身特点以及旅游者身心发展阶段和认知水平，围绕课程主题和课程目标，精选价值丰富、清晰充实的研学资源与内容；</w:t>
      </w:r>
    </w:p>
    <w:p>
      <w:pPr>
        <w:numPr>
          <w:ilvl w:val="0"/>
          <w:numId w:val="11"/>
        </w:numPr>
        <w:spacing w:line="276" w:lineRule="auto"/>
        <w:rPr>
          <w:rFonts w:ascii="宋体" w:hAnsi="宋体"/>
          <w:szCs w:val="22"/>
        </w:rPr>
      </w:pPr>
      <w:r>
        <w:rPr>
          <w:rFonts w:hint="eastAsia" w:ascii="宋体" w:hAnsi="宋体"/>
          <w:szCs w:val="22"/>
        </w:rPr>
        <w:t>幼儿与小学阶段，应以游览、观光、体验为主，重视游戏性、审美性内容；</w:t>
      </w:r>
    </w:p>
    <w:p>
      <w:pPr>
        <w:numPr>
          <w:ilvl w:val="0"/>
          <w:numId w:val="11"/>
        </w:numPr>
        <w:spacing w:line="276" w:lineRule="auto"/>
        <w:rPr>
          <w:rFonts w:ascii="宋体" w:hAnsi="宋体"/>
          <w:szCs w:val="22"/>
        </w:rPr>
      </w:pPr>
      <w:r>
        <w:rPr>
          <w:rFonts w:hint="eastAsia" w:ascii="宋体" w:hAnsi="宋体"/>
          <w:szCs w:val="22"/>
        </w:rPr>
        <w:t>初中阶段，应设计更多理解性内容，适当增加旅游景区竞赛、参与、探索性内容；</w:t>
      </w:r>
    </w:p>
    <w:p>
      <w:pPr>
        <w:numPr>
          <w:ilvl w:val="0"/>
          <w:numId w:val="11"/>
        </w:numPr>
        <w:spacing w:line="276" w:lineRule="auto"/>
        <w:rPr>
          <w:rFonts w:ascii="宋体" w:hAnsi="宋体"/>
          <w:szCs w:val="22"/>
        </w:rPr>
      </w:pPr>
      <w:r>
        <w:rPr>
          <w:rFonts w:hint="eastAsia" w:ascii="宋体" w:hAnsi="宋体"/>
          <w:szCs w:val="22"/>
        </w:rPr>
        <w:t>高中及以上阶段，应以知识的拓展、理论的应用、综合性体验、研究性学习为主，辅之以观光、考察、游历等活动。</w:t>
      </w:r>
    </w:p>
    <w:p>
      <w:pPr>
        <w:spacing w:line="360" w:lineRule="auto"/>
        <w:jc w:val="left"/>
        <w:rPr>
          <w:rFonts w:ascii="黑体" w:hAnsi="黑体" w:eastAsia="黑体"/>
        </w:rPr>
      </w:pPr>
      <w:r>
        <w:rPr>
          <w:rFonts w:hint="eastAsia" w:ascii="黑体" w:hAnsi="黑体" w:eastAsia="黑体"/>
        </w:rPr>
        <w:t>5</w:t>
      </w:r>
      <w:r>
        <w:rPr>
          <w:rFonts w:ascii="黑体" w:hAnsi="黑体" w:eastAsia="黑体"/>
        </w:rPr>
        <w:t xml:space="preserve">.1.3 </w:t>
      </w:r>
      <w:r>
        <w:rPr>
          <w:rFonts w:hint="eastAsia" w:ascii="黑体" w:hAnsi="黑体" w:eastAsia="黑体"/>
        </w:rPr>
        <w:t>课程实施</w:t>
      </w:r>
    </w:p>
    <w:p>
      <w:pPr>
        <w:numPr>
          <w:ilvl w:val="0"/>
          <w:numId w:val="12"/>
        </w:numPr>
        <w:spacing w:line="276" w:lineRule="auto"/>
        <w:rPr>
          <w:rFonts w:ascii="宋体" w:hAnsi="宋体"/>
          <w:szCs w:val="22"/>
        </w:rPr>
      </w:pPr>
      <w:r>
        <w:rPr>
          <w:rFonts w:hint="eastAsia" w:ascii="宋体" w:hAnsi="宋体"/>
          <w:szCs w:val="22"/>
        </w:rPr>
        <w:t>应明确课程组织形式、课时安排、教学方法、课程保障等，注重实施过程的指导、管理和评价，确保课程实施到位；</w:t>
      </w:r>
    </w:p>
    <w:p>
      <w:pPr>
        <w:numPr>
          <w:ilvl w:val="0"/>
          <w:numId w:val="12"/>
        </w:numPr>
        <w:spacing w:line="276" w:lineRule="auto"/>
        <w:rPr>
          <w:rFonts w:ascii="宋体" w:hAnsi="宋体"/>
          <w:szCs w:val="22"/>
        </w:rPr>
      </w:pPr>
      <w:r>
        <w:rPr>
          <w:rFonts w:hint="eastAsia" w:ascii="宋体" w:hAnsi="宋体"/>
          <w:szCs w:val="22"/>
        </w:rPr>
        <w:t>为研学旅游团队配置数量适宜的经专业机构认证的专（兼）职研学旅游指导师，旅游者与研学旅游指导师配置的比例不高于20:1，根据不同年龄段的旅游者和情况做调整，在其他工作人员的配合下提供研学旅游教育服务；</w:t>
      </w:r>
    </w:p>
    <w:p>
      <w:pPr>
        <w:numPr>
          <w:ilvl w:val="0"/>
          <w:numId w:val="12"/>
        </w:numPr>
        <w:spacing w:line="276" w:lineRule="auto"/>
        <w:rPr>
          <w:rFonts w:ascii="宋体" w:hAnsi="宋体"/>
          <w:szCs w:val="22"/>
        </w:rPr>
      </w:pPr>
      <w:r>
        <w:rPr>
          <w:rFonts w:hint="eastAsia" w:ascii="宋体" w:hAnsi="宋体"/>
          <w:szCs w:val="22"/>
        </w:rPr>
        <w:t>应提供知识性、趣味性相结合的多种类型的体验和互动项目。</w:t>
      </w:r>
    </w:p>
    <w:p>
      <w:pPr>
        <w:spacing w:line="360" w:lineRule="auto"/>
        <w:jc w:val="left"/>
        <w:rPr>
          <w:rFonts w:ascii="黑体" w:hAnsi="黑体" w:eastAsia="黑体"/>
        </w:rPr>
      </w:pPr>
      <w:r>
        <w:rPr>
          <w:rFonts w:hint="eastAsia" w:ascii="黑体" w:hAnsi="黑体" w:eastAsia="黑体"/>
        </w:rPr>
        <w:t>5</w:t>
      </w:r>
      <w:r>
        <w:rPr>
          <w:rFonts w:ascii="黑体" w:hAnsi="黑体" w:eastAsia="黑体"/>
        </w:rPr>
        <w:t xml:space="preserve">.1.4 </w:t>
      </w:r>
      <w:r>
        <w:rPr>
          <w:rFonts w:hint="eastAsia" w:ascii="黑体" w:hAnsi="黑体" w:eastAsia="黑体"/>
        </w:rPr>
        <w:t>课程评价</w:t>
      </w:r>
    </w:p>
    <w:p>
      <w:pPr>
        <w:numPr>
          <w:ilvl w:val="0"/>
          <w:numId w:val="13"/>
        </w:numPr>
        <w:spacing w:line="276" w:lineRule="auto"/>
        <w:rPr>
          <w:rFonts w:ascii="宋体" w:hAnsi="宋体"/>
          <w:szCs w:val="22"/>
        </w:rPr>
      </w:pPr>
      <w:r>
        <w:rPr>
          <w:rFonts w:hint="eastAsia" w:ascii="宋体" w:hAnsi="宋体"/>
          <w:szCs w:val="22"/>
        </w:rPr>
        <w:t>课程评价的主体涉及参与到研学课程开发到实施的人员；</w:t>
      </w:r>
    </w:p>
    <w:p>
      <w:pPr>
        <w:numPr>
          <w:ilvl w:val="0"/>
          <w:numId w:val="13"/>
        </w:numPr>
        <w:spacing w:line="276" w:lineRule="auto"/>
        <w:rPr>
          <w:rFonts w:ascii="宋体" w:hAnsi="宋体"/>
          <w:szCs w:val="22"/>
        </w:rPr>
      </w:pPr>
      <w:r>
        <w:rPr>
          <w:rFonts w:hint="eastAsia" w:ascii="宋体" w:hAnsi="宋体"/>
          <w:szCs w:val="22"/>
        </w:rPr>
        <w:t>课程评价主要说明评价的理念、原则及评价的具体方法、工具等；</w:t>
      </w:r>
    </w:p>
    <w:p>
      <w:pPr>
        <w:numPr>
          <w:ilvl w:val="0"/>
          <w:numId w:val="13"/>
        </w:numPr>
        <w:spacing w:line="276" w:lineRule="auto"/>
        <w:rPr>
          <w:rFonts w:ascii="宋体" w:hAnsi="宋体"/>
          <w:szCs w:val="22"/>
        </w:rPr>
      </w:pPr>
      <w:r>
        <w:rPr>
          <w:rFonts w:ascii="宋体" w:hAnsi="宋体"/>
          <w:szCs w:val="22"/>
        </w:rPr>
        <w:t>应至少涵盖学习评价、研学旅</w:t>
      </w:r>
      <w:r>
        <w:rPr>
          <w:rFonts w:hint="eastAsia" w:ascii="宋体" w:hAnsi="宋体"/>
          <w:szCs w:val="22"/>
        </w:rPr>
        <w:t>游指</w:t>
      </w:r>
      <w:r>
        <w:rPr>
          <w:rFonts w:ascii="宋体" w:hAnsi="宋体"/>
          <w:szCs w:val="22"/>
        </w:rPr>
        <w:t>导师服务评价、</w:t>
      </w:r>
      <w:r>
        <w:rPr>
          <w:rFonts w:hint="eastAsia" w:ascii="宋体" w:hAnsi="宋体"/>
          <w:szCs w:val="22"/>
        </w:rPr>
        <w:t>研学旅游</w:t>
      </w:r>
      <w:r>
        <w:rPr>
          <w:rFonts w:ascii="宋体" w:hAnsi="宋体"/>
          <w:szCs w:val="22"/>
        </w:rPr>
        <w:t>课程评价等方面</w:t>
      </w:r>
      <w:r>
        <w:rPr>
          <w:rFonts w:hint="eastAsia" w:ascii="宋体" w:hAnsi="宋体"/>
          <w:szCs w:val="22"/>
        </w:rPr>
        <w:t>；</w:t>
      </w:r>
    </w:p>
    <w:p>
      <w:pPr>
        <w:numPr>
          <w:ilvl w:val="0"/>
          <w:numId w:val="13"/>
        </w:numPr>
        <w:spacing w:line="276" w:lineRule="auto"/>
        <w:rPr>
          <w:rFonts w:ascii="宋体" w:hAnsi="宋体"/>
          <w:szCs w:val="22"/>
        </w:rPr>
      </w:pPr>
      <w:r>
        <w:rPr>
          <w:rFonts w:ascii="宋体" w:hAnsi="宋体"/>
          <w:szCs w:val="22"/>
        </w:rPr>
        <w:t>应注重过程性评价与结果性评价相结合，强化多元主体评价</w:t>
      </w:r>
      <w:r>
        <w:rPr>
          <w:rFonts w:hint="eastAsia" w:ascii="宋体" w:hAnsi="宋体"/>
          <w:szCs w:val="22"/>
        </w:rPr>
        <w:t>。</w:t>
      </w:r>
    </w:p>
    <w:p>
      <w:pPr>
        <w:spacing w:line="360" w:lineRule="auto"/>
        <w:jc w:val="left"/>
        <w:rPr>
          <w:rFonts w:ascii="黑体" w:hAnsi="黑体" w:eastAsia="黑体"/>
        </w:rPr>
      </w:pPr>
      <w:r>
        <w:rPr>
          <w:rFonts w:hint="eastAsia" w:ascii="黑体" w:hAnsi="黑体" w:eastAsia="黑体"/>
        </w:rPr>
        <w:t>5</w:t>
      </w:r>
      <w:r>
        <w:rPr>
          <w:rFonts w:ascii="黑体" w:hAnsi="黑体" w:eastAsia="黑体"/>
        </w:rPr>
        <w:t xml:space="preserve">.2 </w:t>
      </w:r>
      <w:r>
        <w:rPr>
          <w:rFonts w:hint="eastAsia" w:ascii="黑体" w:hAnsi="黑体" w:eastAsia="黑体"/>
        </w:rPr>
        <w:t>研学旅游课程设计类别</w:t>
      </w:r>
    </w:p>
    <w:p>
      <w:pPr>
        <w:spacing w:line="276" w:lineRule="auto"/>
        <w:ind w:firstLine="440" w:firstLineChars="200"/>
        <w:rPr>
          <w:rFonts w:ascii="宋体" w:hAnsi="宋体"/>
          <w:szCs w:val="22"/>
        </w:rPr>
      </w:pPr>
      <w:r>
        <w:rPr>
          <w:rFonts w:hint="eastAsia" w:ascii="宋体" w:hAnsi="宋体"/>
          <w:szCs w:val="22"/>
        </w:rPr>
        <w:t>根据研学旅游资源和主题类型，可分为自然类研学旅游课程、文化类研学旅游课程、康体类研学旅游课程、特种类研学旅游课程。详见附录A。</w:t>
      </w:r>
    </w:p>
    <w:p>
      <w:pPr>
        <w:keepNext/>
        <w:keepLines/>
        <w:spacing w:before="120" w:beforeLines="50" w:after="120" w:afterLines="50"/>
        <w:jc w:val="left"/>
        <w:outlineLvl w:val="0"/>
        <w:rPr>
          <w:rFonts w:ascii="黑体" w:hAnsi="黑体" w:eastAsia="黑体"/>
          <w:bCs/>
          <w:kern w:val="44"/>
          <w:szCs w:val="44"/>
        </w:rPr>
      </w:pPr>
      <w:bookmarkStart w:id="15" w:name="_Toc120651730"/>
      <w:r>
        <w:rPr>
          <w:rFonts w:ascii="黑体" w:hAnsi="黑体" w:eastAsia="黑体"/>
          <w:bCs/>
          <w:kern w:val="44"/>
          <w:szCs w:val="44"/>
        </w:rPr>
        <w:t xml:space="preserve">6 </w:t>
      </w:r>
      <w:r>
        <w:rPr>
          <w:rFonts w:hint="eastAsia" w:ascii="黑体" w:hAnsi="黑体" w:eastAsia="黑体"/>
          <w:bCs/>
          <w:kern w:val="44"/>
          <w:szCs w:val="44"/>
        </w:rPr>
        <w:t>研学旅游硬件</w:t>
      </w:r>
      <w:bookmarkEnd w:id="15"/>
    </w:p>
    <w:p>
      <w:pPr>
        <w:spacing w:line="360" w:lineRule="auto"/>
        <w:jc w:val="left"/>
        <w:rPr>
          <w:rFonts w:ascii="黑体" w:hAnsi="黑体" w:eastAsia="黑体"/>
        </w:rPr>
      </w:pPr>
      <w:r>
        <w:rPr>
          <w:rFonts w:ascii="黑体" w:hAnsi="黑体" w:eastAsia="黑体"/>
        </w:rPr>
        <w:t xml:space="preserve">6.1 </w:t>
      </w:r>
      <w:r>
        <w:rPr>
          <w:rFonts w:hint="eastAsia" w:ascii="黑体" w:hAnsi="黑体" w:eastAsia="黑体"/>
        </w:rPr>
        <w:t>研学旅游教具</w:t>
      </w:r>
    </w:p>
    <w:p>
      <w:pPr>
        <w:numPr>
          <w:ilvl w:val="0"/>
          <w:numId w:val="14"/>
        </w:numPr>
        <w:spacing w:line="276" w:lineRule="auto"/>
        <w:rPr>
          <w:rFonts w:ascii="宋体" w:hAnsi="宋体"/>
          <w:szCs w:val="22"/>
        </w:rPr>
      </w:pPr>
      <w:r>
        <w:rPr>
          <w:rFonts w:ascii="宋体" w:hAnsi="宋体"/>
          <w:szCs w:val="22"/>
        </w:rPr>
        <w:t>教具性能良好，检验合格，无安全隐患</w:t>
      </w:r>
      <w:r>
        <w:rPr>
          <w:rFonts w:hint="eastAsia" w:ascii="宋体" w:hAnsi="宋体"/>
          <w:szCs w:val="22"/>
        </w:rPr>
        <w:t>；</w:t>
      </w:r>
    </w:p>
    <w:p>
      <w:pPr>
        <w:numPr>
          <w:ilvl w:val="0"/>
          <w:numId w:val="14"/>
        </w:numPr>
        <w:spacing w:line="276" w:lineRule="auto"/>
        <w:rPr>
          <w:rFonts w:ascii="宋体" w:hAnsi="宋体"/>
          <w:szCs w:val="22"/>
        </w:rPr>
      </w:pPr>
      <w:r>
        <w:rPr>
          <w:rFonts w:hint="eastAsia" w:ascii="宋体" w:hAnsi="宋体"/>
          <w:szCs w:val="22"/>
        </w:rPr>
        <w:t>教具的结构简单，方便旅游者操作；</w:t>
      </w:r>
    </w:p>
    <w:p>
      <w:pPr>
        <w:numPr>
          <w:ilvl w:val="0"/>
          <w:numId w:val="14"/>
        </w:numPr>
        <w:spacing w:line="276" w:lineRule="auto"/>
        <w:rPr>
          <w:rFonts w:ascii="宋体" w:hAnsi="宋体"/>
          <w:szCs w:val="22"/>
        </w:rPr>
      </w:pPr>
      <w:r>
        <w:rPr>
          <w:rFonts w:hint="eastAsia" w:ascii="宋体" w:hAnsi="宋体"/>
          <w:szCs w:val="22"/>
        </w:rPr>
        <w:t>教具应直观适用，演示效果好；</w:t>
      </w:r>
    </w:p>
    <w:p>
      <w:pPr>
        <w:numPr>
          <w:ilvl w:val="0"/>
          <w:numId w:val="14"/>
        </w:numPr>
        <w:spacing w:line="276" w:lineRule="auto"/>
        <w:rPr>
          <w:rFonts w:ascii="宋体" w:hAnsi="宋体"/>
          <w:szCs w:val="22"/>
        </w:rPr>
      </w:pPr>
      <w:r>
        <w:rPr>
          <w:rFonts w:hint="eastAsia" w:ascii="宋体" w:hAnsi="宋体"/>
          <w:szCs w:val="22"/>
        </w:rPr>
        <w:t>教具应美观耐用，具有吸引力；</w:t>
      </w:r>
    </w:p>
    <w:p>
      <w:pPr>
        <w:numPr>
          <w:ilvl w:val="0"/>
          <w:numId w:val="14"/>
        </w:numPr>
        <w:spacing w:line="276" w:lineRule="auto"/>
        <w:rPr>
          <w:rFonts w:ascii="宋体" w:hAnsi="宋体"/>
          <w:szCs w:val="22"/>
        </w:rPr>
      </w:pPr>
      <w:r>
        <w:rPr>
          <w:rFonts w:hint="eastAsia" w:ascii="宋体" w:hAnsi="宋体"/>
          <w:szCs w:val="22"/>
        </w:rPr>
        <w:t>教具应具备使用说明或者配套培训。</w:t>
      </w:r>
    </w:p>
    <w:p>
      <w:pPr>
        <w:spacing w:line="360" w:lineRule="auto"/>
        <w:jc w:val="left"/>
        <w:rPr>
          <w:rFonts w:ascii="黑体" w:hAnsi="黑体" w:eastAsia="黑体"/>
        </w:rPr>
      </w:pPr>
      <w:r>
        <w:rPr>
          <w:rFonts w:ascii="黑体" w:hAnsi="黑体" w:eastAsia="黑体"/>
        </w:rPr>
        <w:t xml:space="preserve">6.2 </w:t>
      </w:r>
      <w:r>
        <w:rPr>
          <w:rFonts w:hint="eastAsia" w:ascii="黑体" w:hAnsi="黑体" w:eastAsia="黑体"/>
        </w:rPr>
        <w:t>研学旅游手册</w:t>
      </w:r>
    </w:p>
    <w:p>
      <w:pPr>
        <w:pStyle w:val="16"/>
        <w:numPr>
          <w:ilvl w:val="0"/>
          <w:numId w:val="15"/>
        </w:numPr>
        <w:ind w:firstLineChars="0"/>
        <w:rPr>
          <w:rFonts w:ascii="宋体" w:hAnsi="宋体"/>
          <w:szCs w:val="22"/>
        </w:rPr>
      </w:pPr>
      <w:r>
        <w:rPr>
          <w:rFonts w:hint="eastAsia" w:ascii="宋体" w:hAnsi="宋体"/>
          <w:szCs w:val="22"/>
        </w:rPr>
        <w:t>能有效指导研学旅游互动、合作学习、体验活动等行为；</w:t>
      </w:r>
    </w:p>
    <w:p>
      <w:pPr>
        <w:numPr>
          <w:ilvl w:val="0"/>
          <w:numId w:val="15"/>
        </w:numPr>
        <w:spacing w:line="276" w:lineRule="auto"/>
        <w:rPr>
          <w:rFonts w:ascii="宋体" w:hAnsi="宋体"/>
          <w:szCs w:val="22"/>
        </w:rPr>
      </w:pPr>
      <w:r>
        <w:rPr>
          <w:rFonts w:hint="eastAsia" w:ascii="宋体" w:hAnsi="宋体"/>
          <w:szCs w:val="22"/>
        </w:rPr>
        <w:t>适用于研学旅游全过程，包括前期准备、研学过程、行后总结评估和成果推广应用；</w:t>
      </w:r>
    </w:p>
    <w:p>
      <w:pPr>
        <w:numPr>
          <w:ilvl w:val="0"/>
          <w:numId w:val="15"/>
        </w:numPr>
        <w:spacing w:line="276" w:lineRule="auto"/>
        <w:rPr>
          <w:rFonts w:ascii="宋体" w:hAnsi="宋体"/>
          <w:szCs w:val="22"/>
        </w:rPr>
      </w:pPr>
      <w:r>
        <w:rPr>
          <w:rFonts w:hint="eastAsia" w:ascii="宋体" w:hAnsi="宋体"/>
          <w:szCs w:val="22"/>
        </w:rPr>
        <w:t>满足不同学段的研学需求；</w:t>
      </w:r>
    </w:p>
    <w:p>
      <w:pPr>
        <w:numPr>
          <w:ilvl w:val="0"/>
          <w:numId w:val="15"/>
        </w:numPr>
        <w:spacing w:line="276" w:lineRule="auto"/>
        <w:rPr>
          <w:rFonts w:ascii="宋体" w:hAnsi="宋体"/>
          <w:szCs w:val="22"/>
        </w:rPr>
      </w:pPr>
      <w:r>
        <w:rPr>
          <w:rFonts w:hint="eastAsia" w:ascii="宋体" w:hAnsi="宋体"/>
          <w:szCs w:val="22"/>
        </w:rPr>
        <w:t>提供详细全面的研学旅游所需的知识信息、活动指导、相关图表、注意事项等；</w:t>
      </w:r>
    </w:p>
    <w:p>
      <w:pPr>
        <w:numPr>
          <w:ilvl w:val="0"/>
          <w:numId w:val="15"/>
        </w:numPr>
        <w:spacing w:line="276" w:lineRule="auto"/>
        <w:rPr>
          <w:rFonts w:ascii="宋体" w:hAnsi="宋体"/>
          <w:szCs w:val="22"/>
        </w:rPr>
      </w:pPr>
      <w:r>
        <w:rPr>
          <w:rFonts w:hint="eastAsia" w:ascii="宋体" w:hAnsi="宋体"/>
          <w:szCs w:val="22"/>
        </w:rPr>
        <w:t>针对不同学段需求，设计有差异的研学旅游手册，简单易用。</w:t>
      </w:r>
    </w:p>
    <w:p>
      <w:pPr>
        <w:spacing w:line="360" w:lineRule="auto"/>
        <w:jc w:val="left"/>
        <w:rPr>
          <w:rFonts w:ascii="黑体" w:hAnsi="黑体" w:eastAsia="黑体"/>
        </w:rPr>
      </w:pPr>
      <w:r>
        <w:rPr>
          <w:rFonts w:ascii="黑体" w:hAnsi="黑体" w:eastAsia="黑体"/>
        </w:rPr>
        <w:t xml:space="preserve">6.3 </w:t>
      </w:r>
      <w:r>
        <w:rPr>
          <w:rFonts w:hint="eastAsia" w:ascii="黑体" w:hAnsi="黑体" w:eastAsia="黑体"/>
        </w:rPr>
        <w:t>研学旅游解说牌</w:t>
      </w:r>
    </w:p>
    <w:p>
      <w:pPr>
        <w:numPr>
          <w:ilvl w:val="0"/>
          <w:numId w:val="16"/>
        </w:numPr>
        <w:spacing w:line="276" w:lineRule="auto"/>
        <w:rPr>
          <w:rFonts w:ascii="宋体" w:hAnsi="宋体"/>
          <w:szCs w:val="22"/>
        </w:rPr>
      </w:pPr>
      <w:r>
        <w:rPr>
          <w:rFonts w:hint="eastAsia" w:ascii="宋体" w:hAnsi="宋体"/>
          <w:szCs w:val="22"/>
        </w:rPr>
        <w:t>解说牌的要素设计应符合GB/T 20501.1和GB/T 2893.1的要求；</w:t>
      </w:r>
    </w:p>
    <w:p>
      <w:pPr>
        <w:numPr>
          <w:ilvl w:val="0"/>
          <w:numId w:val="16"/>
        </w:numPr>
        <w:spacing w:line="276" w:lineRule="auto"/>
        <w:rPr>
          <w:rFonts w:ascii="宋体" w:hAnsi="宋体"/>
          <w:szCs w:val="22"/>
        </w:rPr>
      </w:pPr>
      <w:r>
        <w:rPr>
          <w:rFonts w:hint="eastAsia" w:ascii="宋体" w:hAnsi="宋体"/>
          <w:szCs w:val="22"/>
        </w:rPr>
        <w:t>解说牌系统内部信息应保证连续性、设置位置的规律性和内容的一致性；</w:t>
      </w:r>
    </w:p>
    <w:p>
      <w:pPr>
        <w:numPr>
          <w:ilvl w:val="0"/>
          <w:numId w:val="16"/>
        </w:numPr>
        <w:spacing w:line="276" w:lineRule="auto"/>
        <w:rPr>
          <w:rFonts w:ascii="宋体" w:hAnsi="宋体"/>
          <w:szCs w:val="22"/>
        </w:rPr>
      </w:pPr>
      <w:r>
        <w:rPr>
          <w:rFonts w:hint="eastAsia" w:ascii="宋体" w:hAnsi="宋体"/>
          <w:szCs w:val="22"/>
        </w:rPr>
        <w:t>解说牌设置醒目，设置在易于发现的位置，应避免被其他固定物体遮挡；</w:t>
      </w:r>
    </w:p>
    <w:p>
      <w:pPr>
        <w:numPr>
          <w:ilvl w:val="0"/>
          <w:numId w:val="16"/>
        </w:numPr>
        <w:spacing w:line="276" w:lineRule="auto"/>
        <w:rPr>
          <w:rFonts w:ascii="宋体" w:hAnsi="宋体"/>
          <w:szCs w:val="22"/>
        </w:rPr>
      </w:pPr>
      <w:r>
        <w:rPr>
          <w:rFonts w:hint="eastAsia" w:ascii="宋体" w:hAnsi="宋体"/>
          <w:szCs w:val="22"/>
        </w:rPr>
        <w:t>解说牌中文字、平面示意图与其背景应有足够的对比度，保证文字、平面示意图在细节之间的区分，并应清晰表现文字及平面示意图之间的相互关系；</w:t>
      </w:r>
    </w:p>
    <w:p>
      <w:pPr>
        <w:numPr>
          <w:ilvl w:val="0"/>
          <w:numId w:val="16"/>
        </w:numPr>
        <w:spacing w:line="276" w:lineRule="auto"/>
        <w:rPr>
          <w:rFonts w:ascii="宋体" w:hAnsi="宋体"/>
          <w:szCs w:val="22"/>
        </w:rPr>
      </w:pPr>
      <w:r>
        <w:rPr>
          <w:rFonts w:hint="eastAsia" w:ascii="宋体" w:hAnsi="宋体"/>
          <w:szCs w:val="22"/>
        </w:rPr>
        <w:t>解说牌的设计应与所处环境相协调；</w:t>
      </w:r>
    </w:p>
    <w:p>
      <w:pPr>
        <w:numPr>
          <w:ilvl w:val="0"/>
          <w:numId w:val="16"/>
        </w:numPr>
        <w:spacing w:line="276" w:lineRule="auto"/>
        <w:rPr>
          <w:rFonts w:ascii="宋体" w:hAnsi="宋体"/>
          <w:szCs w:val="22"/>
        </w:rPr>
      </w:pPr>
      <w:r>
        <w:rPr>
          <w:rFonts w:hint="eastAsia" w:ascii="宋体" w:hAnsi="宋体"/>
          <w:szCs w:val="22"/>
        </w:rPr>
        <w:t>保证安全性；</w:t>
      </w:r>
    </w:p>
    <w:p>
      <w:pPr>
        <w:numPr>
          <w:ilvl w:val="0"/>
          <w:numId w:val="16"/>
        </w:numPr>
        <w:spacing w:line="276" w:lineRule="auto"/>
        <w:rPr>
          <w:rFonts w:ascii="宋体" w:hAnsi="宋体"/>
          <w:szCs w:val="22"/>
        </w:rPr>
      </w:pPr>
      <w:r>
        <w:rPr>
          <w:rFonts w:hint="eastAsia" w:ascii="宋体" w:hAnsi="宋体"/>
          <w:szCs w:val="22"/>
        </w:rPr>
        <w:t>解说牌设置高度应符合GB/T 15566.1的规定；</w:t>
      </w:r>
    </w:p>
    <w:p>
      <w:pPr>
        <w:numPr>
          <w:ilvl w:val="0"/>
          <w:numId w:val="16"/>
        </w:numPr>
        <w:spacing w:line="276" w:lineRule="auto"/>
        <w:rPr>
          <w:rFonts w:ascii="宋体" w:hAnsi="宋体"/>
          <w:szCs w:val="22"/>
        </w:rPr>
      </w:pPr>
      <w:r>
        <w:rPr>
          <w:rFonts w:hint="eastAsia" w:ascii="宋体" w:hAnsi="宋体"/>
          <w:szCs w:val="22"/>
        </w:rPr>
        <w:t>宜选用天然材料或可回收材料，具有防水、防晒、防蚀、防冻和坚固耐用性能；</w:t>
      </w:r>
    </w:p>
    <w:p>
      <w:pPr>
        <w:numPr>
          <w:ilvl w:val="0"/>
          <w:numId w:val="16"/>
        </w:numPr>
        <w:spacing w:line="276" w:lineRule="auto"/>
        <w:rPr>
          <w:rFonts w:ascii="宋体" w:hAnsi="宋体"/>
          <w:szCs w:val="22"/>
        </w:rPr>
      </w:pPr>
      <w:r>
        <w:rPr>
          <w:rFonts w:hint="eastAsia" w:ascii="宋体" w:hAnsi="宋体"/>
          <w:szCs w:val="22"/>
        </w:rPr>
        <w:t>具有审美价值。</w:t>
      </w:r>
    </w:p>
    <w:p>
      <w:pPr>
        <w:spacing w:line="360" w:lineRule="auto"/>
        <w:jc w:val="left"/>
        <w:rPr>
          <w:rFonts w:ascii="黑体" w:hAnsi="黑体" w:eastAsia="黑体"/>
        </w:rPr>
      </w:pPr>
      <w:r>
        <w:rPr>
          <w:rFonts w:ascii="黑体" w:hAnsi="黑体" w:eastAsia="黑体"/>
        </w:rPr>
        <w:t xml:space="preserve">6.4 </w:t>
      </w:r>
      <w:r>
        <w:rPr>
          <w:rFonts w:hint="eastAsia" w:ascii="黑体" w:hAnsi="黑体" w:eastAsia="黑体"/>
        </w:rPr>
        <w:t>研学旅游出版物</w:t>
      </w:r>
    </w:p>
    <w:p>
      <w:pPr>
        <w:spacing w:line="276" w:lineRule="auto"/>
        <w:rPr>
          <w:rFonts w:ascii="宋体" w:hAnsi="宋体"/>
          <w:szCs w:val="22"/>
        </w:rPr>
      </w:pPr>
      <w:r>
        <w:rPr>
          <w:rFonts w:ascii="黑体" w:hAnsi="黑体" w:eastAsia="黑体"/>
        </w:rPr>
        <w:t xml:space="preserve">6.4.1 </w:t>
      </w:r>
      <w:r>
        <w:rPr>
          <w:rFonts w:hint="eastAsia" w:ascii="宋体" w:hAnsi="宋体"/>
          <w:szCs w:val="22"/>
        </w:rPr>
        <w:t>出版物应兼顾科学性和普及性。</w:t>
      </w:r>
    </w:p>
    <w:p>
      <w:pPr>
        <w:spacing w:line="276" w:lineRule="auto"/>
        <w:rPr>
          <w:rFonts w:ascii="宋体" w:hAnsi="宋体"/>
          <w:szCs w:val="22"/>
        </w:rPr>
      </w:pPr>
      <w:r>
        <w:rPr>
          <w:rFonts w:ascii="黑体" w:hAnsi="黑体" w:eastAsia="黑体"/>
        </w:rPr>
        <w:t xml:space="preserve">6.4.2 </w:t>
      </w:r>
      <w:r>
        <w:rPr>
          <w:rFonts w:hint="eastAsia" w:ascii="宋体" w:hAnsi="宋体"/>
          <w:szCs w:val="22"/>
        </w:rPr>
        <w:t>应包括旅游景区内部的自然资源和历史文化等信息的详细介绍。</w:t>
      </w:r>
    </w:p>
    <w:p>
      <w:pPr>
        <w:spacing w:line="276" w:lineRule="auto"/>
        <w:rPr>
          <w:rFonts w:ascii="宋体" w:hAnsi="宋体"/>
          <w:szCs w:val="22"/>
        </w:rPr>
      </w:pPr>
      <w:r>
        <w:rPr>
          <w:rFonts w:ascii="黑体" w:hAnsi="黑体" w:eastAsia="黑体"/>
        </w:rPr>
        <w:t>6.4.3</w:t>
      </w:r>
      <w:r>
        <w:rPr>
          <w:rFonts w:ascii="宋体" w:hAnsi="宋体"/>
          <w:szCs w:val="22"/>
        </w:rPr>
        <w:t xml:space="preserve"> </w:t>
      </w:r>
      <w:r>
        <w:rPr>
          <w:rFonts w:hint="eastAsia" w:ascii="宋体" w:hAnsi="宋体"/>
          <w:szCs w:val="22"/>
        </w:rPr>
        <w:t>宜针对旅游景区的特色研学资源，针对不同群体创作不同样式以满足各类需求：</w:t>
      </w:r>
    </w:p>
    <w:p>
      <w:pPr>
        <w:numPr>
          <w:ilvl w:val="0"/>
          <w:numId w:val="17"/>
        </w:numPr>
        <w:spacing w:line="276" w:lineRule="auto"/>
        <w:rPr>
          <w:rFonts w:ascii="宋体" w:hAnsi="宋体"/>
          <w:szCs w:val="22"/>
        </w:rPr>
      </w:pPr>
      <w:r>
        <w:rPr>
          <w:rFonts w:hint="eastAsia" w:ascii="宋体" w:hAnsi="宋体"/>
          <w:szCs w:val="22"/>
        </w:rPr>
        <w:t>学龄前儿童出版物应将绘本性、科学性、故事性和形象性紧密结合，避免教科书式的说教；</w:t>
      </w:r>
    </w:p>
    <w:p>
      <w:pPr>
        <w:numPr>
          <w:ilvl w:val="0"/>
          <w:numId w:val="17"/>
        </w:numPr>
        <w:spacing w:line="276" w:lineRule="auto"/>
        <w:rPr>
          <w:rFonts w:ascii="宋体" w:hAnsi="宋体"/>
          <w:szCs w:val="22"/>
        </w:rPr>
      </w:pPr>
      <w:r>
        <w:rPr>
          <w:rFonts w:hint="eastAsia" w:ascii="宋体" w:hAnsi="宋体"/>
          <w:szCs w:val="22"/>
        </w:rPr>
        <w:t>中小学生出版物应以讲知识、讲理论的形式，注重科普内容的前沿性与领域的广泛性；</w:t>
      </w:r>
    </w:p>
    <w:p>
      <w:pPr>
        <w:numPr>
          <w:ilvl w:val="0"/>
          <w:numId w:val="17"/>
        </w:numPr>
        <w:spacing w:line="276" w:lineRule="auto"/>
        <w:rPr>
          <w:rFonts w:ascii="宋体" w:hAnsi="宋体"/>
          <w:szCs w:val="22"/>
        </w:rPr>
      </w:pPr>
      <w:r>
        <w:rPr>
          <w:rFonts w:hint="eastAsia" w:ascii="宋体" w:hAnsi="宋体"/>
          <w:szCs w:val="22"/>
        </w:rPr>
        <w:t>面向大众群体的出版物应通俗易懂，重视公众对自然科学和人文历史的兴趣和需求。</w:t>
      </w:r>
    </w:p>
    <w:p>
      <w:pPr>
        <w:spacing w:line="360" w:lineRule="auto"/>
        <w:jc w:val="left"/>
        <w:rPr>
          <w:rFonts w:ascii="黑体" w:hAnsi="黑体" w:eastAsia="黑体"/>
        </w:rPr>
      </w:pPr>
      <w:r>
        <w:rPr>
          <w:rFonts w:ascii="黑体" w:hAnsi="黑体" w:eastAsia="黑体"/>
        </w:rPr>
        <w:t xml:space="preserve">6.5 </w:t>
      </w:r>
      <w:r>
        <w:rPr>
          <w:rFonts w:hint="eastAsia" w:ascii="黑体" w:hAnsi="黑体" w:eastAsia="黑体"/>
        </w:rPr>
        <w:t>电子设备</w:t>
      </w:r>
    </w:p>
    <w:p>
      <w:pPr>
        <w:pStyle w:val="17"/>
        <w:numPr>
          <w:ilvl w:val="0"/>
          <w:numId w:val="0"/>
        </w:numPr>
        <w:spacing w:before="120" w:after="120"/>
      </w:pPr>
      <w:r>
        <w:rPr>
          <w:rFonts w:ascii="黑体" w:hAnsi="黑体" w:eastAsia="黑体" w:cs="宋体"/>
          <w:kern w:val="2"/>
          <w:szCs w:val="24"/>
        </w:rPr>
        <w:t>6.5.1</w:t>
      </w:r>
      <w:r>
        <w:t xml:space="preserve"> </w:t>
      </w:r>
      <w:r>
        <w:rPr>
          <w:rFonts w:hint="eastAsia"/>
        </w:rPr>
        <w:t>电子</w:t>
      </w:r>
      <w:r>
        <w:t>设备</w:t>
      </w:r>
      <w:r>
        <w:rPr>
          <w:rFonts w:hint="eastAsia"/>
        </w:rPr>
        <w:t>教育内容及形式应与环境协调，将清晰度、时长、音量等调至最佳，有介绍、吸引和引导等作用。</w:t>
      </w:r>
    </w:p>
    <w:p>
      <w:pPr>
        <w:pStyle w:val="17"/>
        <w:numPr>
          <w:ilvl w:val="0"/>
          <w:numId w:val="0"/>
        </w:numPr>
        <w:spacing w:before="120" w:after="120"/>
      </w:pPr>
      <w:r>
        <w:rPr>
          <w:rFonts w:ascii="黑体" w:hAnsi="黑体" w:eastAsia="黑体" w:cs="宋体"/>
          <w:kern w:val="2"/>
          <w:szCs w:val="24"/>
        </w:rPr>
        <w:t>6.5.2</w:t>
      </w:r>
      <w:r>
        <w:t xml:space="preserve"> 保持信息显示清晰，避免阳光直射和出现视觉</w:t>
      </w:r>
      <w:r>
        <w:rPr>
          <w:rFonts w:hint="eastAsia"/>
        </w:rPr>
        <w:t>盲</w:t>
      </w:r>
      <w:r>
        <w:t>区</w:t>
      </w:r>
      <w:r>
        <w:rPr>
          <w:rFonts w:hint="eastAsia"/>
        </w:rPr>
        <w:t>。</w:t>
      </w:r>
    </w:p>
    <w:p>
      <w:pPr>
        <w:pStyle w:val="17"/>
        <w:numPr>
          <w:ilvl w:val="0"/>
          <w:numId w:val="0"/>
        </w:numPr>
        <w:spacing w:before="120" w:after="120"/>
      </w:pPr>
      <w:r>
        <w:rPr>
          <w:rFonts w:ascii="黑体" w:hAnsi="黑体" w:eastAsia="黑体" w:cs="宋体"/>
          <w:kern w:val="2"/>
          <w:szCs w:val="24"/>
        </w:rPr>
        <w:t xml:space="preserve">6.5.3 </w:t>
      </w:r>
      <w:r>
        <w:rPr>
          <w:rFonts w:hint="eastAsia"/>
        </w:rPr>
        <w:t>电子设备内容设计应符合以下要求：</w:t>
      </w:r>
    </w:p>
    <w:p>
      <w:pPr>
        <w:pStyle w:val="19"/>
        <w:numPr>
          <w:ilvl w:val="0"/>
          <w:numId w:val="18"/>
        </w:numPr>
      </w:pPr>
      <w:r>
        <w:t>显示屏应主要用来介绍</w:t>
      </w:r>
      <w:r>
        <w:rPr>
          <w:rFonts w:hint="eastAsia"/>
        </w:rPr>
        <w:t>旅游景区研学资源</w:t>
      </w:r>
      <w:r>
        <w:t>概况、景点特色，发布实时信息(天气预报、游人量等)</w:t>
      </w:r>
      <w:r>
        <w:rPr>
          <w:rFonts w:hint="eastAsia"/>
        </w:rPr>
        <w:t>；</w:t>
      </w:r>
    </w:p>
    <w:p>
      <w:pPr>
        <w:pStyle w:val="19"/>
      </w:pPr>
      <w:r>
        <w:t>触摸屏应供</w:t>
      </w:r>
      <w:r>
        <w:rPr>
          <w:rFonts w:hint="eastAsia"/>
        </w:rPr>
        <w:t>旅游者</w:t>
      </w:r>
      <w:r>
        <w:t>自助查询</w:t>
      </w:r>
      <w:r>
        <w:rPr>
          <w:rFonts w:hint="eastAsia"/>
        </w:rPr>
        <w:t>旅游景区</w:t>
      </w:r>
      <w:r>
        <w:t>概况、景点、服务设施、规划与管理、</w:t>
      </w:r>
      <w:r>
        <w:rPr>
          <w:rFonts w:hint="eastAsia"/>
        </w:rPr>
        <w:t>研学</w:t>
      </w:r>
      <w:r>
        <w:t>旅游商品等信息，参与虚拟漫游</w:t>
      </w:r>
      <w:r>
        <w:rPr>
          <w:rFonts w:hint="eastAsia"/>
        </w:rPr>
        <w:t>；</w:t>
      </w:r>
    </w:p>
    <w:p>
      <w:pPr>
        <w:pStyle w:val="19"/>
      </w:pPr>
      <w:r>
        <w:rPr>
          <w:rFonts w:hint="eastAsia"/>
        </w:rPr>
        <w:t>宜提供交互体验设备实现多感官信息传递，供旅游者进行更丰富的研学活动。</w:t>
      </w:r>
    </w:p>
    <w:p>
      <w:pPr>
        <w:keepNext/>
        <w:keepLines/>
        <w:spacing w:before="120" w:beforeLines="50" w:after="120" w:afterLines="50"/>
        <w:jc w:val="left"/>
        <w:outlineLvl w:val="0"/>
        <w:rPr>
          <w:rFonts w:ascii="黑体" w:hAnsi="黑体" w:eastAsia="黑体"/>
          <w:bCs/>
          <w:kern w:val="44"/>
          <w:szCs w:val="44"/>
        </w:rPr>
      </w:pPr>
      <w:bookmarkStart w:id="16" w:name="_Toc120651731"/>
      <w:r>
        <w:rPr>
          <w:rFonts w:ascii="黑体" w:hAnsi="黑体" w:eastAsia="黑体"/>
          <w:bCs/>
          <w:kern w:val="44"/>
          <w:szCs w:val="44"/>
        </w:rPr>
        <w:t xml:space="preserve">7 </w:t>
      </w:r>
      <w:r>
        <w:rPr>
          <w:rFonts w:hint="eastAsia" w:ascii="黑体" w:hAnsi="黑体" w:eastAsia="黑体"/>
          <w:bCs/>
          <w:kern w:val="44"/>
          <w:szCs w:val="44"/>
        </w:rPr>
        <w:t>研学旅游路线</w:t>
      </w:r>
      <w:bookmarkEnd w:id="16"/>
    </w:p>
    <w:p>
      <w:pPr>
        <w:spacing w:line="360" w:lineRule="auto"/>
        <w:jc w:val="left"/>
        <w:rPr>
          <w:rFonts w:ascii="黑体" w:hAnsi="黑体" w:eastAsia="黑体"/>
        </w:rPr>
      </w:pPr>
      <w:r>
        <w:rPr>
          <w:rFonts w:ascii="黑体" w:hAnsi="黑体" w:eastAsia="黑体"/>
        </w:rPr>
        <w:t xml:space="preserve">7.1 </w:t>
      </w:r>
      <w:r>
        <w:rPr>
          <w:rFonts w:hint="eastAsia" w:ascii="黑体" w:hAnsi="黑体" w:eastAsia="黑体"/>
        </w:rPr>
        <w:t>研学旅游路线设计要求</w:t>
      </w:r>
    </w:p>
    <w:p>
      <w:pPr>
        <w:numPr>
          <w:ilvl w:val="0"/>
          <w:numId w:val="19"/>
        </w:numPr>
        <w:spacing w:line="276" w:lineRule="auto"/>
        <w:rPr>
          <w:rFonts w:ascii="宋体" w:hAnsi="宋体"/>
          <w:szCs w:val="22"/>
        </w:rPr>
      </w:pPr>
      <w:r>
        <w:rPr>
          <w:rFonts w:hint="eastAsia" w:ascii="宋体" w:hAnsi="宋体"/>
          <w:szCs w:val="22"/>
        </w:rPr>
        <w:t>统筹规划：应结合景区自身地理位置和研学资源，统筹规划设计研学旅游路线；</w:t>
      </w:r>
    </w:p>
    <w:p>
      <w:pPr>
        <w:numPr>
          <w:ilvl w:val="0"/>
          <w:numId w:val="19"/>
        </w:numPr>
        <w:spacing w:line="276" w:lineRule="auto"/>
        <w:rPr>
          <w:rFonts w:ascii="宋体" w:hAnsi="宋体"/>
          <w:szCs w:val="22"/>
        </w:rPr>
      </w:pPr>
      <w:r>
        <w:rPr>
          <w:rFonts w:hint="eastAsia" w:ascii="宋体" w:hAnsi="宋体"/>
          <w:szCs w:val="22"/>
        </w:rPr>
        <w:t>主题突出：每条路线应具有自己的特色，以形成鲜明的主题；</w:t>
      </w:r>
    </w:p>
    <w:p>
      <w:pPr>
        <w:numPr>
          <w:ilvl w:val="0"/>
          <w:numId w:val="19"/>
        </w:numPr>
        <w:spacing w:line="276" w:lineRule="auto"/>
        <w:rPr>
          <w:rFonts w:ascii="宋体" w:hAnsi="宋体"/>
          <w:szCs w:val="22"/>
        </w:rPr>
      </w:pPr>
      <w:r>
        <w:rPr>
          <w:rFonts w:hint="eastAsia" w:ascii="宋体" w:hAnsi="宋体"/>
          <w:szCs w:val="22"/>
        </w:rPr>
        <w:t>合理协调：应设计至少3条以上与研学硬件相结合的内部路线，保证路线设置便捷、合理，与研学主题协调一致；</w:t>
      </w:r>
    </w:p>
    <w:p>
      <w:pPr>
        <w:numPr>
          <w:ilvl w:val="0"/>
          <w:numId w:val="19"/>
        </w:numPr>
        <w:spacing w:line="276" w:lineRule="auto"/>
        <w:rPr>
          <w:rFonts w:ascii="宋体" w:hAnsi="宋体"/>
          <w:szCs w:val="22"/>
        </w:rPr>
      </w:pPr>
      <w:r>
        <w:rPr>
          <w:rFonts w:hint="eastAsia" w:ascii="宋体" w:hAnsi="宋体"/>
          <w:szCs w:val="22"/>
        </w:rPr>
        <w:t>通行顺畅：方便开展研学活动与集散；</w:t>
      </w:r>
    </w:p>
    <w:p>
      <w:pPr>
        <w:numPr>
          <w:ilvl w:val="0"/>
          <w:numId w:val="19"/>
        </w:numPr>
        <w:spacing w:line="276" w:lineRule="auto"/>
        <w:rPr>
          <w:rFonts w:ascii="宋体" w:hAnsi="宋体"/>
          <w:szCs w:val="22"/>
        </w:rPr>
      </w:pPr>
      <w:r>
        <w:rPr>
          <w:rFonts w:hint="eastAsia" w:ascii="宋体" w:hAnsi="宋体"/>
          <w:szCs w:val="22"/>
        </w:rPr>
        <w:t>及时调整：考虑沿线景点的最佳观赏和体验时间；</w:t>
      </w:r>
    </w:p>
    <w:p>
      <w:pPr>
        <w:numPr>
          <w:ilvl w:val="0"/>
          <w:numId w:val="19"/>
        </w:numPr>
        <w:spacing w:line="276" w:lineRule="auto"/>
        <w:rPr>
          <w:rFonts w:ascii="宋体" w:hAnsi="宋体"/>
          <w:szCs w:val="22"/>
        </w:rPr>
      </w:pPr>
      <w:r>
        <w:rPr>
          <w:rFonts w:hint="eastAsia" w:ascii="宋体" w:hAnsi="宋体"/>
          <w:szCs w:val="22"/>
        </w:rPr>
        <w:t>资源整合：深入研究各资源要素之间的内在联系，追求长周期和深入性；</w:t>
      </w:r>
    </w:p>
    <w:p>
      <w:pPr>
        <w:numPr>
          <w:ilvl w:val="0"/>
          <w:numId w:val="19"/>
        </w:numPr>
        <w:spacing w:line="276" w:lineRule="auto"/>
        <w:rPr>
          <w:rFonts w:ascii="宋体" w:hAnsi="宋体"/>
          <w:szCs w:val="22"/>
        </w:rPr>
      </w:pPr>
      <w:r>
        <w:rPr>
          <w:rFonts w:hint="eastAsia" w:ascii="宋体" w:hAnsi="宋体"/>
          <w:szCs w:val="22"/>
        </w:rPr>
        <w:t>保障安全：保证每条研学路线的安全性。</w:t>
      </w:r>
    </w:p>
    <w:p>
      <w:pPr>
        <w:spacing w:line="360" w:lineRule="auto"/>
        <w:jc w:val="left"/>
        <w:rPr>
          <w:rFonts w:ascii="黑体" w:hAnsi="黑体" w:eastAsia="黑体"/>
        </w:rPr>
      </w:pPr>
      <w:r>
        <w:rPr>
          <w:rFonts w:ascii="黑体" w:hAnsi="黑体" w:eastAsia="黑体"/>
        </w:rPr>
        <w:t xml:space="preserve">7.2 </w:t>
      </w:r>
      <w:r>
        <w:rPr>
          <w:rFonts w:hint="eastAsia" w:ascii="黑体" w:hAnsi="黑体" w:eastAsia="黑体"/>
        </w:rPr>
        <w:t>研学旅游路线类型</w:t>
      </w:r>
    </w:p>
    <w:p>
      <w:pPr>
        <w:spacing w:line="276" w:lineRule="auto"/>
        <w:rPr>
          <w:rFonts w:asciiTheme="minorEastAsia" w:hAnsiTheme="minorEastAsia" w:eastAsiaTheme="minorEastAsia"/>
          <w:szCs w:val="22"/>
        </w:rPr>
      </w:pPr>
      <w:r>
        <w:rPr>
          <w:rFonts w:ascii="黑体" w:hAnsi="黑体" w:eastAsia="黑体"/>
          <w:szCs w:val="22"/>
        </w:rPr>
        <w:t xml:space="preserve">7.2.1 </w:t>
      </w:r>
      <w:r>
        <w:rPr>
          <w:rFonts w:hint="eastAsia" w:asciiTheme="minorEastAsia" w:hAnsiTheme="minorEastAsia" w:eastAsiaTheme="minorEastAsia"/>
          <w:szCs w:val="22"/>
        </w:rPr>
        <w:t>行程串联型，适用于一个景区内按研学路程便利度形成的研学路线。</w:t>
      </w:r>
    </w:p>
    <w:p>
      <w:pPr>
        <w:spacing w:line="276" w:lineRule="auto"/>
        <w:rPr>
          <w:rFonts w:ascii="宋体" w:hAnsi="宋体"/>
          <w:szCs w:val="22"/>
        </w:rPr>
      </w:pPr>
      <w:r>
        <w:rPr>
          <w:rFonts w:ascii="黑体" w:hAnsi="黑体" w:eastAsia="黑体"/>
          <w:szCs w:val="22"/>
        </w:rPr>
        <w:t>7.2.2</w:t>
      </w:r>
      <w:r>
        <w:rPr>
          <w:rFonts w:ascii="宋体" w:hAnsi="宋体"/>
          <w:szCs w:val="22"/>
        </w:rPr>
        <w:t xml:space="preserve"> </w:t>
      </w:r>
      <w:r>
        <w:rPr>
          <w:rFonts w:hint="eastAsia" w:ascii="宋体" w:hAnsi="宋体"/>
          <w:szCs w:val="22"/>
        </w:rPr>
        <w:t>主题聚焦型，适用于聚焦同一研学主题，按主题内在逻辑顺序形成的研学路线。</w:t>
      </w:r>
    </w:p>
    <w:p>
      <w:pPr>
        <w:spacing w:line="276" w:lineRule="auto"/>
        <w:rPr>
          <w:rFonts w:ascii="宋体" w:hAnsi="宋体"/>
          <w:szCs w:val="22"/>
        </w:rPr>
      </w:pPr>
      <w:r>
        <w:rPr>
          <w:rFonts w:ascii="黑体" w:hAnsi="黑体" w:eastAsia="黑体"/>
          <w:szCs w:val="22"/>
        </w:rPr>
        <w:t>7.2.3</w:t>
      </w:r>
      <w:r>
        <w:rPr>
          <w:rFonts w:ascii="宋体" w:hAnsi="宋体"/>
          <w:szCs w:val="22"/>
        </w:rPr>
        <w:t xml:space="preserve"> </w:t>
      </w:r>
      <w:r>
        <w:rPr>
          <w:rFonts w:hint="eastAsia" w:ascii="宋体" w:hAnsi="宋体"/>
          <w:szCs w:val="22"/>
        </w:rPr>
        <w:t>中心辐射型，适用于以某旅游景区为中心，辐射带动周边旅游景区形成的研学路线。</w:t>
      </w:r>
    </w:p>
    <w:p>
      <w:pPr>
        <w:spacing w:line="276" w:lineRule="auto"/>
        <w:rPr>
          <w:rFonts w:ascii="宋体" w:hAnsi="宋体"/>
          <w:szCs w:val="22"/>
        </w:rPr>
      </w:pPr>
      <w:r>
        <w:rPr>
          <w:rFonts w:ascii="黑体" w:hAnsi="黑体" w:eastAsia="黑体"/>
          <w:szCs w:val="22"/>
        </w:rPr>
        <w:t xml:space="preserve">7.2.4 </w:t>
      </w:r>
      <w:r>
        <w:rPr>
          <w:rFonts w:hint="eastAsia" w:ascii="宋体" w:hAnsi="宋体"/>
          <w:szCs w:val="22"/>
        </w:rPr>
        <w:t>区域网络型，适用于在某一固定研学地域内，融合全域研学特色资源，联结成有效的地域研学网络系统。</w:t>
      </w:r>
    </w:p>
    <w:p>
      <w:pPr>
        <w:keepNext/>
        <w:keepLines/>
        <w:spacing w:before="120" w:beforeLines="50" w:after="120" w:afterLines="50"/>
        <w:jc w:val="left"/>
        <w:outlineLvl w:val="0"/>
        <w:rPr>
          <w:rFonts w:ascii="黑体" w:hAnsi="黑体" w:eastAsia="黑体"/>
          <w:bCs/>
          <w:kern w:val="44"/>
          <w:szCs w:val="44"/>
        </w:rPr>
      </w:pPr>
      <w:bookmarkStart w:id="17" w:name="_Toc120651732"/>
      <w:r>
        <w:rPr>
          <w:rFonts w:ascii="黑体" w:hAnsi="黑体" w:eastAsia="黑体"/>
          <w:bCs/>
          <w:kern w:val="44"/>
          <w:szCs w:val="44"/>
        </w:rPr>
        <w:t xml:space="preserve">8 </w:t>
      </w:r>
      <w:r>
        <w:rPr>
          <w:rFonts w:hint="eastAsia" w:ascii="黑体" w:hAnsi="黑体" w:eastAsia="黑体"/>
          <w:bCs/>
          <w:kern w:val="44"/>
          <w:szCs w:val="44"/>
        </w:rPr>
        <w:t>研学旅游商品</w:t>
      </w:r>
      <w:bookmarkEnd w:id="17"/>
    </w:p>
    <w:p>
      <w:pPr>
        <w:spacing w:line="360" w:lineRule="auto"/>
        <w:jc w:val="left"/>
        <w:rPr>
          <w:rFonts w:ascii="黑体" w:hAnsi="黑体" w:eastAsia="黑体"/>
        </w:rPr>
      </w:pPr>
      <w:r>
        <w:rPr>
          <w:rFonts w:ascii="黑体" w:hAnsi="黑体" w:eastAsia="黑体"/>
        </w:rPr>
        <w:t xml:space="preserve">8.1 </w:t>
      </w:r>
      <w:r>
        <w:rPr>
          <w:rFonts w:hint="eastAsia" w:ascii="黑体" w:hAnsi="黑体" w:eastAsia="黑体"/>
        </w:rPr>
        <w:t>研学旅游商品设计要求</w:t>
      </w:r>
    </w:p>
    <w:p>
      <w:pPr>
        <w:spacing w:line="276" w:lineRule="auto"/>
        <w:rPr>
          <w:rFonts w:ascii="黑体" w:hAnsi="黑体" w:eastAsia="黑体"/>
          <w:szCs w:val="22"/>
        </w:rPr>
      </w:pPr>
      <w:r>
        <w:rPr>
          <w:rFonts w:ascii="黑体" w:hAnsi="黑体" w:eastAsia="黑体"/>
          <w:szCs w:val="22"/>
        </w:rPr>
        <w:t xml:space="preserve">8.1.1 </w:t>
      </w:r>
      <w:r>
        <w:rPr>
          <w:rFonts w:hint="eastAsia" w:ascii="黑体" w:hAnsi="黑体" w:eastAsia="黑体"/>
          <w:szCs w:val="22"/>
        </w:rPr>
        <w:t>质量与服务</w:t>
      </w:r>
    </w:p>
    <w:p>
      <w:pPr>
        <w:numPr>
          <w:ilvl w:val="0"/>
          <w:numId w:val="20"/>
        </w:numPr>
        <w:spacing w:line="276" w:lineRule="auto"/>
        <w:rPr>
          <w:rFonts w:ascii="宋体" w:hAnsi="宋体"/>
          <w:szCs w:val="22"/>
        </w:rPr>
      </w:pPr>
      <w:r>
        <w:rPr>
          <w:rFonts w:hint="eastAsia" w:ascii="宋体" w:hAnsi="宋体"/>
          <w:szCs w:val="22"/>
        </w:rPr>
        <w:t>不存在人身财产、安全、健康等方面的危险；</w:t>
      </w:r>
    </w:p>
    <w:p>
      <w:pPr>
        <w:numPr>
          <w:ilvl w:val="0"/>
          <w:numId w:val="20"/>
        </w:numPr>
        <w:spacing w:line="276" w:lineRule="auto"/>
        <w:rPr>
          <w:rFonts w:ascii="宋体" w:hAnsi="宋体"/>
          <w:szCs w:val="22"/>
        </w:rPr>
      </w:pPr>
      <w:r>
        <w:rPr>
          <w:rFonts w:hint="eastAsia" w:ascii="宋体" w:hAnsi="宋体"/>
          <w:szCs w:val="22"/>
        </w:rPr>
        <w:t>杜绝假冒伪劣商品，保证商品的真材实料；</w:t>
      </w:r>
    </w:p>
    <w:p>
      <w:pPr>
        <w:numPr>
          <w:ilvl w:val="0"/>
          <w:numId w:val="20"/>
        </w:numPr>
        <w:spacing w:line="276" w:lineRule="auto"/>
        <w:rPr>
          <w:rFonts w:ascii="宋体" w:hAnsi="宋体"/>
          <w:szCs w:val="22"/>
        </w:rPr>
      </w:pPr>
      <w:r>
        <w:rPr>
          <w:rFonts w:hint="eastAsia" w:ascii="宋体" w:hAnsi="宋体"/>
          <w:szCs w:val="22"/>
        </w:rPr>
        <w:t>符合商品外包装上注明的产品标准；</w:t>
      </w:r>
    </w:p>
    <w:p>
      <w:pPr>
        <w:numPr>
          <w:ilvl w:val="0"/>
          <w:numId w:val="20"/>
        </w:numPr>
        <w:spacing w:line="276" w:lineRule="auto"/>
        <w:rPr>
          <w:rFonts w:ascii="宋体" w:hAnsi="宋体"/>
          <w:szCs w:val="22"/>
        </w:rPr>
      </w:pPr>
      <w:r>
        <w:rPr>
          <w:rFonts w:hint="eastAsia" w:ascii="宋体" w:hAnsi="宋体"/>
          <w:szCs w:val="22"/>
        </w:rPr>
        <w:t>符合以产品说明、实物样品等方式表明的质量状况；</w:t>
      </w:r>
    </w:p>
    <w:p>
      <w:pPr>
        <w:numPr>
          <w:ilvl w:val="0"/>
          <w:numId w:val="20"/>
        </w:numPr>
        <w:spacing w:line="276" w:lineRule="auto"/>
        <w:rPr>
          <w:rFonts w:ascii="宋体" w:hAnsi="宋体"/>
          <w:szCs w:val="22"/>
        </w:rPr>
      </w:pPr>
      <w:r>
        <w:rPr>
          <w:rFonts w:hint="eastAsia" w:ascii="宋体" w:hAnsi="宋体"/>
          <w:szCs w:val="22"/>
        </w:rPr>
        <w:t>如实展示商品的主要品种和特色；</w:t>
      </w:r>
    </w:p>
    <w:p>
      <w:pPr>
        <w:numPr>
          <w:ilvl w:val="0"/>
          <w:numId w:val="20"/>
        </w:numPr>
        <w:spacing w:line="276" w:lineRule="auto"/>
        <w:rPr>
          <w:rFonts w:ascii="宋体" w:hAnsi="宋体"/>
          <w:szCs w:val="22"/>
        </w:rPr>
      </w:pPr>
      <w:r>
        <w:rPr>
          <w:rFonts w:hint="eastAsia" w:ascii="宋体" w:hAnsi="宋体"/>
          <w:szCs w:val="22"/>
        </w:rPr>
        <w:t>提供购物发票，告知旅游者退、换货的时效、方式、途径；</w:t>
      </w:r>
    </w:p>
    <w:p>
      <w:pPr>
        <w:numPr>
          <w:ilvl w:val="0"/>
          <w:numId w:val="20"/>
        </w:numPr>
        <w:spacing w:line="276" w:lineRule="auto"/>
        <w:rPr>
          <w:rFonts w:ascii="黑体" w:hAnsi="黑体" w:eastAsia="黑体"/>
          <w:szCs w:val="22"/>
        </w:rPr>
      </w:pPr>
      <w:r>
        <w:rPr>
          <w:rFonts w:hint="eastAsia" w:ascii="宋体" w:hAnsi="宋体"/>
          <w:szCs w:val="22"/>
        </w:rPr>
        <w:t>若发现商品有质量问题，及时进行处理，妥善解决。</w:t>
      </w:r>
    </w:p>
    <w:p>
      <w:pPr>
        <w:spacing w:line="276" w:lineRule="auto"/>
        <w:rPr>
          <w:rFonts w:ascii="黑体" w:hAnsi="黑体" w:eastAsia="黑体"/>
          <w:szCs w:val="22"/>
        </w:rPr>
      </w:pPr>
      <w:r>
        <w:rPr>
          <w:rFonts w:ascii="黑体" w:hAnsi="黑体" w:eastAsia="黑体"/>
          <w:szCs w:val="22"/>
        </w:rPr>
        <w:t xml:space="preserve">8.1.2 </w:t>
      </w:r>
      <w:r>
        <w:rPr>
          <w:rFonts w:hint="eastAsia" w:ascii="黑体" w:hAnsi="黑体" w:eastAsia="黑体"/>
          <w:szCs w:val="22"/>
        </w:rPr>
        <w:t>包装与宣传</w:t>
      </w:r>
    </w:p>
    <w:p>
      <w:pPr>
        <w:numPr>
          <w:ilvl w:val="0"/>
          <w:numId w:val="21"/>
        </w:numPr>
        <w:spacing w:line="276" w:lineRule="auto"/>
        <w:rPr>
          <w:rFonts w:ascii="宋体" w:hAnsi="宋体"/>
          <w:szCs w:val="22"/>
        </w:rPr>
      </w:pPr>
      <w:r>
        <w:rPr>
          <w:rFonts w:hint="eastAsia" w:ascii="宋体" w:hAnsi="宋体"/>
          <w:szCs w:val="22"/>
        </w:rPr>
        <w:t>包装尽可能使用绿色环保材料，包装废弃物不产生二次污染；</w:t>
      </w:r>
    </w:p>
    <w:p>
      <w:pPr>
        <w:numPr>
          <w:ilvl w:val="0"/>
          <w:numId w:val="21"/>
        </w:numPr>
        <w:spacing w:line="276" w:lineRule="auto"/>
        <w:rPr>
          <w:rFonts w:ascii="宋体" w:hAnsi="宋体"/>
          <w:szCs w:val="22"/>
        </w:rPr>
      </w:pPr>
      <w:r>
        <w:rPr>
          <w:rFonts w:hint="eastAsia" w:ascii="宋体" w:hAnsi="宋体"/>
          <w:szCs w:val="22"/>
        </w:rPr>
        <w:t>包装简洁，可以反复使用多次；</w:t>
      </w:r>
    </w:p>
    <w:p>
      <w:pPr>
        <w:numPr>
          <w:ilvl w:val="0"/>
          <w:numId w:val="21"/>
        </w:numPr>
        <w:spacing w:line="276" w:lineRule="auto"/>
        <w:rPr>
          <w:rFonts w:ascii="宋体" w:hAnsi="宋体"/>
          <w:szCs w:val="22"/>
        </w:rPr>
      </w:pPr>
      <w:r>
        <w:rPr>
          <w:rFonts w:hint="eastAsia" w:ascii="宋体" w:hAnsi="宋体"/>
          <w:szCs w:val="22"/>
        </w:rPr>
        <w:t>包装符合防潮、防腐、耐磨、防水等要求；</w:t>
      </w:r>
    </w:p>
    <w:p>
      <w:pPr>
        <w:numPr>
          <w:ilvl w:val="0"/>
          <w:numId w:val="21"/>
        </w:numPr>
        <w:spacing w:line="276" w:lineRule="auto"/>
        <w:rPr>
          <w:rFonts w:ascii="宋体" w:hAnsi="宋体"/>
          <w:szCs w:val="22"/>
        </w:rPr>
      </w:pPr>
      <w:r>
        <w:rPr>
          <w:rFonts w:hint="eastAsia" w:ascii="宋体" w:hAnsi="宋体"/>
          <w:szCs w:val="22"/>
        </w:rPr>
        <w:t>包装新颖，具有创新性；</w:t>
      </w:r>
    </w:p>
    <w:p>
      <w:pPr>
        <w:numPr>
          <w:ilvl w:val="0"/>
          <w:numId w:val="21"/>
        </w:numPr>
        <w:spacing w:line="276" w:lineRule="auto"/>
        <w:rPr>
          <w:rFonts w:ascii="宋体" w:hAnsi="宋体"/>
          <w:szCs w:val="22"/>
        </w:rPr>
      </w:pPr>
      <w:r>
        <w:rPr>
          <w:rFonts w:hint="eastAsia" w:ascii="宋体" w:hAnsi="宋体"/>
          <w:szCs w:val="22"/>
        </w:rPr>
        <w:t>商品不易过大过沉，小巧精致，方便携带；</w:t>
      </w:r>
    </w:p>
    <w:p>
      <w:pPr>
        <w:numPr>
          <w:ilvl w:val="0"/>
          <w:numId w:val="21"/>
        </w:numPr>
        <w:spacing w:line="276" w:lineRule="auto"/>
        <w:rPr>
          <w:rFonts w:ascii="宋体" w:hAnsi="宋体"/>
          <w:szCs w:val="22"/>
        </w:rPr>
      </w:pPr>
      <w:r>
        <w:rPr>
          <w:rFonts w:hint="eastAsia" w:ascii="宋体" w:hAnsi="宋体"/>
          <w:szCs w:val="22"/>
        </w:rPr>
        <w:t>如实宣传商品，不得虚假宣传。</w:t>
      </w:r>
    </w:p>
    <w:p>
      <w:pPr>
        <w:spacing w:line="276" w:lineRule="auto"/>
        <w:rPr>
          <w:rFonts w:ascii="黑体" w:hAnsi="黑体" w:eastAsia="黑体"/>
          <w:szCs w:val="22"/>
        </w:rPr>
      </w:pPr>
      <w:r>
        <w:rPr>
          <w:rFonts w:ascii="黑体" w:hAnsi="黑体" w:eastAsia="黑体"/>
          <w:szCs w:val="22"/>
        </w:rPr>
        <w:t xml:space="preserve">8.1.3 </w:t>
      </w:r>
      <w:r>
        <w:rPr>
          <w:rFonts w:hint="eastAsia" w:ascii="黑体" w:hAnsi="黑体" w:eastAsia="黑体"/>
          <w:szCs w:val="22"/>
        </w:rPr>
        <w:t>品牌与商标</w:t>
      </w:r>
    </w:p>
    <w:p>
      <w:pPr>
        <w:numPr>
          <w:ilvl w:val="0"/>
          <w:numId w:val="22"/>
        </w:numPr>
        <w:spacing w:line="276" w:lineRule="auto"/>
        <w:rPr>
          <w:rFonts w:ascii="宋体" w:hAnsi="宋体"/>
          <w:szCs w:val="22"/>
        </w:rPr>
      </w:pPr>
      <w:r>
        <w:rPr>
          <w:rFonts w:hint="eastAsia" w:ascii="宋体" w:hAnsi="宋体"/>
          <w:szCs w:val="22"/>
        </w:rPr>
        <w:t>品牌应具有深厚的文化底蕴，融入河北省文化元素；</w:t>
      </w:r>
    </w:p>
    <w:p>
      <w:pPr>
        <w:numPr>
          <w:ilvl w:val="0"/>
          <w:numId w:val="22"/>
        </w:numPr>
        <w:spacing w:line="276" w:lineRule="auto"/>
        <w:rPr>
          <w:rFonts w:ascii="宋体" w:hAnsi="宋体"/>
          <w:szCs w:val="22"/>
        </w:rPr>
      </w:pPr>
      <w:r>
        <w:rPr>
          <w:rFonts w:hint="eastAsia" w:ascii="宋体" w:hAnsi="宋体"/>
          <w:szCs w:val="22"/>
        </w:rPr>
        <w:t>品牌应具有鲜明的本土特色，注重本土化、地域化；</w:t>
      </w:r>
    </w:p>
    <w:p>
      <w:pPr>
        <w:numPr>
          <w:ilvl w:val="0"/>
          <w:numId w:val="22"/>
        </w:numPr>
        <w:spacing w:line="276" w:lineRule="auto"/>
        <w:rPr>
          <w:rFonts w:ascii="宋体" w:hAnsi="宋体"/>
          <w:szCs w:val="22"/>
        </w:rPr>
      </w:pPr>
      <w:r>
        <w:rPr>
          <w:rFonts w:hint="eastAsia" w:ascii="宋体" w:hAnsi="宋体"/>
          <w:szCs w:val="22"/>
        </w:rPr>
        <w:t>规范使用商品商标；</w:t>
      </w:r>
    </w:p>
    <w:p>
      <w:pPr>
        <w:numPr>
          <w:ilvl w:val="0"/>
          <w:numId w:val="22"/>
        </w:numPr>
        <w:spacing w:line="276" w:lineRule="auto"/>
        <w:rPr>
          <w:rFonts w:ascii="宋体" w:hAnsi="宋体"/>
          <w:szCs w:val="22"/>
        </w:rPr>
      </w:pPr>
      <w:r>
        <w:rPr>
          <w:rFonts w:hint="eastAsia" w:ascii="宋体" w:hAnsi="宋体"/>
          <w:szCs w:val="22"/>
        </w:rPr>
        <w:t>注重商标的保护。</w:t>
      </w:r>
    </w:p>
    <w:p>
      <w:pPr>
        <w:spacing w:line="360" w:lineRule="auto"/>
        <w:jc w:val="left"/>
        <w:rPr>
          <w:rFonts w:ascii="黑体" w:hAnsi="黑体" w:eastAsia="黑体"/>
        </w:rPr>
      </w:pPr>
      <w:r>
        <w:rPr>
          <w:rFonts w:ascii="黑体" w:hAnsi="黑体" w:eastAsia="黑体"/>
        </w:rPr>
        <w:t>8</w:t>
      </w:r>
      <w:r>
        <w:rPr>
          <w:rFonts w:hint="eastAsia" w:ascii="黑体" w:hAnsi="黑体" w:eastAsia="黑体"/>
        </w:rPr>
        <w:t>.</w:t>
      </w:r>
      <w:r>
        <w:rPr>
          <w:rFonts w:ascii="黑体" w:hAnsi="黑体" w:eastAsia="黑体"/>
        </w:rPr>
        <w:t xml:space="preserve">2 </w:t>
      </w:r>
      <w:r>
        <w:rPr>
          <w:rFonts w:hint="eastAsia" w:ascii="黑体" w:hAnsi="黑体" w:eastAsia="黑体"/>
        </w:rPr>
        <w:t>研学旅游商品设计类别</w:t>
      </w:r>
    </w:p>
    <w:p>
      <w:pPr>
        <w:spacing w:line="276" w:lineRule="auto"/>
        <w:ind w:firstLine="440" w:firstLineChars="200"/>
        <w:rPr>
          <w:rFonts w:ascii="宋体" w:hAnsi="宋体"/>
          <w:szCs w:val="22"/>
        </w:rPr>
      </w:pPr>
      <w:r>
        <w:rPr>
          <w:rFonts w:hint="eastAsia" w:ascii="宋体" w:hAnsi="宋体"/>
          <w:szCs w:val="22"/>
        </w:rPr>
        <w:t>根据研学旅游商品的创新性、实用性和艺术性，可分为文创产品、实用品、工艺品、艺术品。详见附录</w:t>
      </w:r>
      <w:r>
        <w:rPr>
          <w:rFonts w:ascii="宋体" w:hAnsi="宋体"/>
          <w:szCs w:val="22"/>
        </w:rPr>
        <w:t>B</w:t>
      </w:r>
      <w:r>
        <w:rPr>
          <w:rFonts w:hint="eastAsia" w:ascii="宋体" w:hAnsi="宋体"/>
          <w:szCs w:val="22"/>
        </w:rPr>
        <w:t>。</w:t>
      </w:r>
    </w:p>
    <w:p>
      <w:pPr>
        <w:keepNext/>
        <w:keepLines/>
        <w:spacing w:before="120" w:beforeLines="50" w:after="120" w:afterLines="50"/>
        <w:jc w:val="left"/>
        <w:outlineLvl w:val="0"/>
        <w:rPr>
          <w:rFonts w:ascii="黑体" w:hAnsi="黑体" w:eastAsia="黑体"/>
          <w:bCs/>
          <w:kern w:val="44"/>
          <w:szCs w:val="44"/>
        </w:rPr>
      </w:pPr>
      <w:bookmarkStart w:id="18" w:name="_Toc120651733"/>
      <w:r>
        <w:rPr>
          <w:rFonts w:ascii="黑体" w:hAnsi="黑体" w:eastAsia="黑体"/>
          <w:bCs/>
          <w:kern w:val="44"/>
          <w:szCs w:val="44"/>
        </w:rPr>
        <w:t xml:space="preserve">9 </w:t>
      </w:r>
      <w:r>
        <w:rPr>
          <w:rFonts w:hint="eastAsia" w:ascii="黑体" w:hAnsi="黑体" w:eastAsia="黑体"/>
          <w:bCs/>
          <w:kern w:val="44"/>
          <w:szCs w:val="44"/>
        </w:rPr>
        <w:t>智慧研学旅游产品</w:t>
      </w:r>
      <w:bookmarkEnd w:id="18"/>
    </w:p>
    <w:p>
      <w:pPr>
        <w:spacing w:line="360" w:lineRule="auto"/>
        <w:jc w:val="left"/>
        <w:rPr>
          <w:rFonts w:ascii="黑体" w:hAnsi="黑体" w:eastAsia="黑体"/>
        </w:rPr>
      </w:pPr>
      <w:r>
        <w:rPr>
          <w:rFonts w:ascii="黑体" w:hAnsi="黑体" w:eastAsia="黑体"/>
        </w:rPr>
        <w:t xml:space="preserve">9.1 </w:t>
      </w:r>
      <w:r>
        <w:rPr>
          <w:rFonts w:hint="eastAsia" w:ascii="黑体" w:hAnsi="黑体" w:eastAsia="黑体"/>
        </w:rPr>
        <w:t>智慧研学旅游产品开发</w:t>
      </w:r>
    </w:p>
    <w:p>
      <w:pPr>
        <w:spacing w:line="276" w:lineRule="auto"/>
        <w:rPr>
          <w:rFonts w:ascii="宋体" w:hAnsi="宋体"/>
          <w:szCs w:val="22"/>
        </w:rPr>
      </w:pPr>
      <w:r>
        <w:rPr>
          <w:rFonts w:ascii="黑体" w:hAnsi="黑体" w:eastAsia="黑体"/>
          <w:szCs w:val="22"/>
        </w:rPr>
        <w:t>9.1.1</w:t>
      </w:r>
      <w:r>
        <w:rPr>
          <w:rFonts w:ascii="宋体" w:hAnsi="宋体"/>
          <w:szCs w:val="22"/>
        </w:rPr>
        <w:t xml:space="preserve"> </w:t>
      </w:r>
      <w:r>
        <w:rPr>
          <w:rFonts w:hint="eastAsia" w:ascii="宋体" w:hAnsi="宋体"/>
          <w:szCs w:val="22"/>
        </w:rPr>
        <w:t>官方网站、APP、小程序和微信公众号等新媒体应完善在线研学旅游模块。</w:t>
      </w:r>
    </w:p>
    <w:p>
      <w:pPr>
        <w:spacing w:line="276" w:lineRule="auto"/>
        <w:rPr>
          <w:rFonts w:ascii="宋体" w:hAnsi="宋体"/>
          <w:szCs w:val="22"/>
        </w:rPr>
      </w:pPr>
      <w:r>
        <w:rPr>
          <w:rFonts w:ascii="黑体" w:hAnsi="黑体" w:eastAsia="黑体"/>
          <w:szCs w:val="22"/>
        </w:rPr>
        <w:t>9.1.2</w:t>
      </w:r>
      <w:r>
        <w:rPr>
          <w:rFonts w:ascii="宋体" w:hAnsi="宋体"/>
          <w:szCs w:val="22"/>
        </w:rPr>
        <w:t xml:space="preserve"> </w:t>
      </w:r>
      <w:r>
        <w:rPr>
          <w:rFonts w:hint="eastAsia" w:ascii="宋体" w:hAnsi="宋体"/>
          <w:szCs w:val="22"/>
        </w:rPr>
        <w:t>利用元宇宙、A</w:t>
      </w:r>
      <w:r>
        <w:rPr>
          <w:rFonts w:ascii="宋体" w:hAnsi="宋体"/>
          <w:szCs w:val="22"/>
        </w:rPr>
        <w:t>I</w:t>
      </w:r>
      <w:r>
        <w:rPr>
          <w:rFonts w:hint="eastAsia" w:ascii="宋体" w:hAnsi="宋体"/>
          <w:szCs w:val="22"/>
        </w:rPr>
        <w:t>、V</w:t>
      </w:r>
      <w:r>
        <w:rPr>
          <w:rFonts w:ascii="宋体" w:hAnsi="宋体"/>
          <w:szCs w:val="22"/>
        </w:rPr>
        <w:t>R</w:t>
      </w:r>
      <w:r>
        <w:rPr>
          <w:rFonts w:hint="eastAsia" w:ascii="宋体" w:hAnsi="宋体"/>
          <w:szCs w:val="22"/>
        </w:rPr>
        <w:t>等打造虚拟在线研学旅游。</w:t>
      </w:r>
    </w:p>
    <w:p>
      <w:pPr>
        <w:spacing w:line="276" w:lineRule="auto"/>
        <w:rPr>
          <w:rFonts w:ascii="宋体" w:hAnsi="宋体"/>
          <w:szCs w:val="22"/>
        </w:rPr>
      </w:pPr>
      <w:r>
        <w:rPr>
          <w:rFonts w:hint="eastAsia" w:ascii="黑体" w:hAnsi="黑体" w:eastAsia="黑体"/>
          <w:szCs w:val="22"/>
        </w:rPr>
        <w:t>9</w:t>
      </w:r>
      <w:r>
        <w:rPr>
          <w:rFonts w:ascii="黑体" w:hAnsi="黑体" w:eastAsia="黑体"/>
          <w:szCs w:val="22"/>
        </w:rPr>
        <w:t>.1.3</w:t>
      </w:r>
      <w:r>
        <w:rPr>
          <w:rFonts w:ascii="宋体" w:hAnsi="宋体"/>
          <w:szCs w:val="22"/>
        </w:rPr>
        <w:t xml:space="preserve"> </w:t>
      </w:r>
      <w:r>
        <w:rPr>
          <w:rFonts w:hint="eastAsia" w:ascii="宋体" w:hAnsi="宋体"/>
          <w:szCs w:val="22"/>
        </w:rPr>
        <w:t>建立河北省旅游景区研学旅游大数据平台，与省、市、县共享相关数据。</w:t>
      </w:r>
    </w:p>
    <w:p>
      <w:pPr>
        <w:spacing w:line="360" w:lineRule="auto"/>
        <w:jc w:val="left"/>
        <w:rPr>
          <w:rFonts w:ascii="黑体" w:hAnsi="黑体" w:eastAsia="黑体"/>
        </w:rPr>
      </w:pPr>
      <w:r>
        <w:rPr>
          <w:rFonts w:ascii="黑体" w:hAnsi="黑体" w:eastAsia="黑体"/>
        </w:rPr>
        <w:t xml:space="preserve">9.2 </w:t>
      </w:r>
      <w:r>
        <w:rPr>
          <w:rFonts w:hint="eastAsia" w:ascii="黑体" w:hAnsi="黑体" w:eastAsia="黑体"/>
        </w:rPr>
        <w:t>智慧研学旅游产品内容</w:t>
      </w:r>
    </w:p>
    <w:p>
      <w:pPr>
        <w:spacing w:line="276" w:lineRule="auto"/>
        <w:rPr>
          <w:rFonts w:asciiTheme="minorEastAsia" w:hAnsiTheme="minorEastAsia" w:eastAsiaTheme="minorEastAsia"/>
          <w:szCs w:val="22"/>
        </w:rPr>
      </w:pPr>
      <w:r>
        <w:rPr>
          <w:rFonts w:ascii="黑体" w:hAnsi="黑体" w:eastAsia="黑体"/>
          <w:szCs w:val="22"/>
        </w:rPr>
        <w:t xml:space="preserve">9.2.1 </w:t>
      </w:r>
      <w:r>
        <w:rPr>
          <w:rFonts w:hint="eastAsia" w:asciiTheme="minorEastAsia" w:hAnsiTheme="minorEastAsia" w:eastAsiaTheme="minorEastAsia"/>
          <w:szCs w:val="22"/>
        </w:rPr>
        <w:t>景区信息（旅游景区自然风光、红色文化、历史资源等）。</w:t>
      </w:r>
    </w:p>
    <w:p>
      <w:pPr>
        <w:spacing w:line="276" w:lineRule="auto"/>
        <w:rPr>
          <w:rFonts w:ascii="宋体" w:hAnsi="宋体"/>
          <w:szCs w:val="22"/>
        </w:rPr>
      </w:pPr>
      <w:r>
        <w:rPr>
          <w:rFonts w:ascii="黑体" w:hAnsi="黑体" w:eastAsia="黑体"/>
          <w:szCs w:val="22"/>
        </w:rPr>
        <w:t>9.2.2</w:t>
      </w:r>
      <w:r>
        <w:rPr>
          <w:rFonts w:ascii="宋体" w:hAnsi="宋体"/>
          <w:szCs w:val="22"/>
        </w:rPr>
        <w:t xml:space="preserve"> </w:t>
      </w:r>
      <w:r>
        <w:rPr>
          <w:rFonts w:hint="eastAsia" w:ascii="宋体" w:hAnsi="宋体"/>
          <w:szCs w:val="22"/>
        </w:rPr>
        <w:t>外部交通信息（自驾和公共交通方式）。</w:t>
      </w:r>
    </w:p>
    <w:p>
      <w:pPr>
        <w:spacing w:line="276" w:lineRule="auto"/>
        <w:rPr>
          <w:rFonts w:ascii="宋体" w:hAnsi="宋体"/>
          <w:szCs w:val="22"/>
        </w:rPr>
      </w:pPr>
      <w:r>
        <w:rPr>
          <w:rFonts w:ascii="黑体" w:hAnsi="黑体" w:eastAsia="黑体"/>
          <w:szCs w:val="22"/>
        </w:rPr>
        <w:t>9.2.3</w:t>
      </w:r>
      <w:r>
        <w:rPr>
          <w:rFonts w:ascii="宋体" w:hAnsi="宋体"/>
          <w:szCs w:val="22"/>
        </w:rPr>
        <w:t xml:space="preserve"> </w:t>
      </w:r>
      <w:r>
        <w:rPr>
          <w:rFonts w:hint="eastAsia" w:ascii="宋体" w:hAnsi="宋体"/>
          <w:szCs w:val="22"/>
        </w:rPr>
        <w:t>餐饮住宿、购票等基础信息。</w:t>
      </w:r>
    </w:p>
    <w:p>
      <w:pPr>
        <w:spacing w:line="276" w:lineRule="auto"/>
        <w:rPr>
          <w:rFonts w:ascii="宋体" w:hAnsi="宋体"/>
          <w:szCs w:val="22"/>
        </w:rPr>
      </w:pPr>
      <w:r>
        <w:rPr>
          <w:rFonts w:ascii="黑体" w:hAnsi="黑体" w:eastAsia="黑体"/>
          <w:szCs w:val="22"/>
        </w:rPr>
        <w:t>9.2.4</w:t>
      </w:r>
      <w:r>
        <w:rPr>
          <w:rFonts w:ascii="宋体" w:hAnsi="宋体"/>
          <w:szCs w:val="22"/>
        </w:rPr>
        <w:t xml:space="preserve"> </w:t>
      </w:r>
      <w:r>
        <w:rPr>
          <w:rFonts w:hint="eastAsia" w:ascii="宋体" w:hAnsi="宋体"/>
          <w:szCs w:val="22"/>
        </w:rPr>
        <w:t>导览平面图、研学旅游路线等信息。</w:t>
      </w:r>
    </w:p>
    <w:p>
      <w:pPr>
        <w:spacing w:line="276" w:lineRule="auto"/>
        <w:rPr>
          <w:rFonts w:ascii="宋体" w:hAnsi="宋体"/>
          <w:szCs w:val="22"/>
        </w:rPr>
      </w:pPr>
      <w:r>
        <w:rPr>
          <w:rFonts w:ascii="黑体" w:hAnsi="黑体" w:eastAsia="黑体"/>
          <w:szCs w:val="22"/>
        </w:rPr>
        <w:t>9.2.5</w:t>
      </w:r>
      <w:r>
        <w:rPr>
          <w:rFonts w:ascii="宋体" w:hAnsi="宋体"/>
          <w:szCs w:val="22"/>
        </w:rPr>
        <w:t xml:space="preserve"> </w:t>
      </w:r>
      <w:r>
        <w:rPr>
          <w:rFonts w:hint="eastAsia" w:ascii="宋体" w:hAnsi="宋体"/>
          <w:szCs w:val="22"/>
        </w:rPr>
        <w:t>研学旅游指导师的介绍。</w:t>
      </w:r>
    </w:p>
    <w:p>
      <w:pPr>
        <w:spacing w:line="276" w:lineRule="auto"/>
        <w:rPr>
          <w:rFonts w:ascii="宋体" w:hAnsi="宋体"/>
          <w:szCs w:val="22"/>
        </w:rPr>
      </w:pPr>
      <w:r>
        <w:rPr>
          <w:rFonts w:ascii="黑体" w:hAnsi="黑体" w:eastAsia="黑体"/>
          <w:szCs w:val="22"/>
        </w:rPr>
        <w:t>9.2.6</w:t>
      </w:r>
      <w:r>
        <w:rPr>
          <w:rFonts w:ascii="宋体" w:hAnsi="宋体"/>
          <w:szCs w:val="22"/>
        </w:rPr>
        <w:t xml:space="preserve"> </w:t>
      </w:r>
      <w:r>
        <w:rPr>
          <w:rFonts w:hint="eastAsia" w:ascii="宋体" w:hAnsi="宋体"/>
          <w:szCs w:val="22"/>
        </w:rPr>
        <w:t>生态科普、专题讲座和户外拓展等主题活动项目信息。</w:t>
      </w:r>
    </w:p>
    <w:p>
      <w:pPr>
        <w:spacing w:line="276" w:lineRule="auto"/>
        <w:rPr>
          <w:rFonts w:ascii="宋体" w:hAnsi="宋体"/>
          <w:szCs w:val="22"/>
        </w:rPr>
      </w:pPr>
      <w:r>
        <w:rPr>
          <w:rFonts w:ascii="黑体" w:hAnsi="黑体" w:eastAsia="黑体"/>
          <w:szCs w:val="22"/>
        </w:rPr>
        <w:t>9.2.7</w:t>
      </w:r>
      <w:r>
        <w:rPr>
          <w:rFonts w:ascii="宋体" w:hAnsi="宋体"/>
          <w:szCs w:val="22"/>
        </w:rPr>
        <w:t xml:space="preserve"> </w:t>
      </w:r>
      <w:r>
        <w:rPr>
          <w:rFonts w:hint="eastAsia" w:ascii="宋体" w:hAnsi="宋体"/>
          <w:szCs w:val="22"/>
        </w:rPr>
        <w:t>研学活动内容、研学目标等信息。</w:t>
      </w:r>
    </w:p>
    <w:p>
      <w:pPr>
        <w:spacing w:line="360" w:lineRule="auto"/>
        <w:jc w:val="left"/>
        <w:rPr>
          <w:rFonts w:ascii="黑体" w:hAnsi="黑体" w:eastAsia="黑体"/>
        </w:rPr>
      </w:pPr>
      <w:r>
        <w:rPr>
          <w:rFonts w:ascii="黑体" w:hAnsi="黑体" w:eastAsia="黑体"/>
        </w:rPr>
        <w:t xml:space="preserve">9.3 </w:t>
      </w:r>
      <w:r>
        <w:rPr>
          <w:rFonts w:hint="eastAsia" w:ascii="黑体" w:hAnsi="黑体" w:eastAsia="黑体"/>
        </w:rPr>
        <w:t>智慧研学旅游产品宣传</w:t>
      </w:r>
    </w:p>
    <w:p>
      <w:pPr>
        <w:spacing w:line="276" w:lineRule="auto"/>
        <w:rPr>
          <w:rFonts w:ascii="宋体" w:hAnsi="宋体"/>
          <w:szCs w:val="22"/>
        </w:rPr>
      </w:pPr>
      <w:r>
        <w:rPr>
          <w:rFonts w:ascii="黑体" w:hAnsi="黑体" w:eastAsia="黑体"/>
          <w:szCs w:val="22"/>
        </w:rPr>
        <w:t xml:space="preserve">9.3.1 </w:t>
      </w:r>
      <w:r>
        <w:rPr>
          <w:rFonts w:hint="eastAsia" w:ascii="宋体" w:hAnsi="宋体"/>
          <w:szCs w:val="22"/>
        </w:rPr>
        <w:t>丰富智慧研学旅游产品内容。</w:t>
      </w:r>
    </w:p>
    <w:p>
      <w:pPr>
        <w:spacing w:line="276" w:lineRule="auto"/>
        <w:rPr>
          <w:rFonts w:ascii="宋体" w:hAnsi="宋体"/>
          <w:szCs w:val="22"/>
        </w:rPr>
      </w:pPr>
      <w:r>
        <w:rPr>
          <w:rFonts w:ascii="黑体" w:hAnsi="黑体" w:eastAsia="黑体"/>
          <w:szCs w:val="22"/>
        </w:rPr>
        <w:t xml:space="preserve">9.3.2 </w:t>
      </w:r>
      <w:r>
        <w:rPr>
          <w:rFonts w:hint="eastAsia" w:ascii="宋体" w:hAnsi="宋体"/>
          <w:szCs w:val="22"/>
        </w:rPr>
        <w:t>标题设计有吸引力，突出研学旅游产品的特色。</w:t>
      </w:r>
    </w:p>
    <w:p>
      <w:pPr>
        <w:spacing w:line="276" w:lineRule="auto"/>
        <w:rPr>
          <w:rFonts w:ascii="宋体" w:hAnsi="宋体"/>
          <w:szCs w:val="22"/>
        </w:rPr>
      </w:pPr>
      <w:r>
        <w:rPr>
          <w:rFonts w:ascii="黑体" w:hAnsi="黑体" w:eastAsia="黑体"/>
          <w:szCs w:val="22"/>
        </w:rPr>
        <w:t>9.3.3</w:t>
      </w:r>
      <w:r>
        <w:rPr>
          <w:rFonts w:ascii="宋体" w:hAnsi="宋体"/>
          <w:szCs w:val="22"/>
        </w:rPr>
        <w:t xml:space="preserve"> </w:t>
      </w:r>
      <w:r>
        <w:rPr>
          <w:rFonts w:hint="eastAsia" w:ascii="宋体" w:hAnsi="宋体"/>
          <w:szCs w:val="22"/>
        </w:rPr>
        <w:t>及时发布研学旅游产品信息，定期更新。</w:t>
      </w:r>
    </w:p>
    <w:p>
      <w:pPr>
        <w:keepNext/>
        <w:keepLines/>
        <w:spacing w:before="120" w:beforeLines="50" w:after="120" w:afterLines="50"/>
        <w:jc w:val="left"/>
        <w:outlineLvl w:val="0"/>
        <w:rPr>
          <w:rFonts w:ascii="黑体" w:hAnsi="黑体" w:eastAsia="黑体"/>
          <w:bCs/>
          <w:kern w:val="44"/>
          <w:szCs w:val="44"/>
        </w:rPr>
      </w:pPr>
      <w:bookmarkStart w:id="19" w:name="_Toc120651734"/>
      <w:r>
        <w:rPr>
          <w:rFonts w:ascii="黑体" w:hAnsi="黑体" w:eastAsia="黑体"/>
          <w:bCs/>
          <w:kern w:val="44"/>
          <w:szCs w:val="44"/>
        </w:rPr>
        <w:t>10</w:t>
      </w:r>
      <w:r>
        <w:rPr>
          <w:rFonts w:hint="eastAsia" w:ascii="黑体" w:hAnsi="黑体" w:eastAsia="黑体"/>
          <w:bCs/>
          <w:kern w:val="44"/>
          <w:szCs w:val="44"/>
        </w:rPr>
        <w:t xml:space="preserve"> 产品质量保障与管理</w:t>
      </w:r>
      <w:bookmarkEnd w:id="19"/>
    </w:p>
    <w:p>
      <w:pPr>
        <w:spacing w:line="360" w:lineRule="auto"/>
        <w:jc w:val="left"/>
        <w:rPr>
          <w:rFonts w:ascii="黑体" w:hAnsi="黑体" w:eastAsia="黑体"/>
        </w:rPr>
      </w:pPr>
      <w:r>
        <w:rPr>
          <w:rFonts w:ascii="黑体" w:hAnsi="黑体" w:eastAsia="黑体"/>
        </w:rPr>
        <w:t>10.1</w:t>
      </w:r>
      <w:r>
        <w:rPr>
          <w:rFonts w:hint="eastAsia" w:ascii="黑体" w:hAnsi="黑体" w:eastAsia="黑体"/>
        </w:rPr>
        <w:t xml:space="preserve"> 质量评价</w:t>
      </w:r>
    </w:p>
    <w:p>
      <w:pPr>
        <w:spacing w:line="360" w:lineRule="auto"/>
        <w:jc w:val="left"/>
        <w:rPr>
          <w:rFonts w:asciiTheme="minorEastAsia" w:hAnsiTheme="minorEastAsia" w:eastAsiaTheme="minorEastAsia"/>
        </w:rPr>
      </w:pPr>
      <w:r>
        <w:rPr>
          <w:rFonts w:ascii="黑体" w:hAnsi="黑体" w:eastAsia="黑体"/>
          <w:szCs w:val="22"/>
        </w:rPr>
        <w:t>10.1</w:t>
      </w:r>
      <w:r>
        <w:rPr>
          <w:rFonts w:hint="eastAsia" w:ascii="黑体" w:hAnsi="黑体" w:eastAsia="黑体"/>
          <w:szCs w:val="22"/>
        </w:rPr>
        <w:t>.1</w:t>
      </w:r>
      <w:r>
        <w:rPr>
          <w:rFonts w:hint="eastAsia" w:asciiTheme="minorEastAsia" w:hAnsiTheme="minorEastAsia" w:eastAsiaTheme="minorEastAsia"/>
        </w:rPr>
        <w:t xml:space="preserve"> 健全研学旅游产品质量评价体系，规范产品质量标准化建设。</w:t>
      </w:r>
    </w:p>
    <w:p>
      <w:pPr>
        <w:spacing w:line="360" w:lineRule="auto"/>
        <w:jc w:val="left"/>
        <w:rPr>
          <w:rFonts w:asciiTheme="minorEastAsia" w:hAnsiTheme="minorEastAsia" w:eastAsiaTheme="minorEastAsia"/>
        </w:rPr>
      </w:pPr>
      <w:r>
        <w:rPr>
          <w:rFonts w:hint="eastAsia" w:ascii="黑体" w:hAnsi="黑体" w:eastAsia="黑体"/>
          <w:szCs w:val="22"/>
        </w:rPr>
        <w:t>1</w:t>
      </w:r>
      <w:r>
        <w:rPr>
          <w:rFonts w:ascii="黑体" w:hAnsi="黑体" w:eastAsia="黑体"/>
          <w:szCs w:val="22"/>
        </w:rPr>
        <w:t>0.1</w:t>
      </w:r>
      <w:r>
        <w:rPr>
          <w:rFonts w:hint="eastAsia" w:ascii="黑体" w:hAnsi="黑体" w:eastAsia="黑体"/>
          <w:szCs w:val="22"/>
        </w:rPr>
        <w:t>.2</w:t>
      </w:r>
      <w:r>
        <w:rPr>
          <w:rFonts w:hint="eastAsia" w:asciiTheme="minorEastAsia" w:hAnsiTheme="minorEastAsia" w:eastAsiaTheme="minorEastAsia"/>
        </w:rPr>
        <w:t xml:space="preserve"> 制定旅游景区研学旅游产品内部评价机制，开展自检、自查工作。</w:t>
      </w:r>
    </w:p>
    <w:p>
      <w:pPr>
        <w:spacing w:line="360" w:lineRule="auto"/>
        <w:jc w:val="left"/>
        <w:rPr>
          <w:rFonts w:asciiTheme="minorEastAsia" w:hAnsiTheme="minorEastAsia" w:eastAsiaTheme="minorEastAsia"/>
        </w:rPr>
      </w:pPr>
      <w:r>
        <w:rPr>
          <w:rFonts w:hint="eastAsia" w:ascii="黑体" w:hAnsi="黑体" w:eastAsia="黑体"/>
          <w:szCs w:val="22"/>
        </w:rPr>
        <w:t>1</w:t>
      </w:r>
      <w:r>
        <w:rPr>
          <w:rFonts w:ascii="黑体" w:hAnsi="黑体" w:eastAsia="黑体"/>
          <w:szCs w:val="22"/>
        </w:rPr>
        <w:t>0.1</w:t>
      </w:r>
      <w:r>
        <w:rPr>
          <w:rFonts w:hint="eastAsia" w:ascii="黑体" w:hAnsi="黑体" w:eastAsia="黑体"/>
          <w:szCs w:val="22"/>
        </w:rPr>
        <w:t>.3</w:t>
      </w:r>
      <w:r>
        <w:rPr>
          <w:rFonts w:hint="eastAsia" w:asciiTheme="minorEastAsia" w:hAnsiTheme="minorEastAsia" w:eastAsiaTheme="minorEastAsia"/>
        </w:rPr>
        <w:t xml:space="preserve"> 建立学生、家长、学校、活动组织机构、公众等多方参与的评价系统。</w:t>
      </w:r>
    </w:p>
    <w:p>
      <w:pPr>
        <w:spacing w:line="360" w:lineRule="auto"/>
        <w:jc w:val="left"/>
        <w:rPr>
          <w:rFonts w:asciiTheme="minorEastAsia" w:hAnsiTheme="minorEastAsia" w:eastAsiaTheme="minorEastAsia"/>
        </w:rPr>
      </w:pPr>
      <w:r>
        <w:rPr>
          <w:rFonts w:ascii="黑体" w:hAnsi="黑体" w:eastAsia="黑体"/>
          <w:szCs w:val="22"/>
        </w:rPr>
        <w:t>10.1.4</w:t>
      </w:r>
      <w:r>
        <w:rPr>
          <w:rFonts w:hint="eastAsia" w:asciiTheme="minorEastAsia" w:hAnsiTheme="minorEastAsia" w:eastAsiaTheme="minorEastAsia"/>
        </w:rPr>
        <w:t xml:space="preserve"> 定期开展研学旅游产品质量检测及相应等级达标评定活动。</w:t>
      </w:r>
    </w:p>
    <w:p>
      <w:pPr>
        <w:spacing w:line="360" w:lineRule="auto"/>
        <w:jc w:val="left"/>
        <w:rPr>
          <w:rFonts w:ascii="黑体" w:hAnsi="黑体" w:eastAsia="黑体"/>
        </w:rPr>
      </w:pPr>
      <w:r>
        <w:rPr>
          <w:rFonts w:hint="eastAsia" w:ascii="黑体" w:hAnsi="黑体" w:eastAsia="黑体"/>
        </w:rPr>
        <w:t>1</w:t>
      </w:r>
      <w:r>
        <w:rPr>
          <w:rFonts w:ascii="黑体" w:hAnsi="黑体" w:eastAsia="黑体"/>
        </w:rPr>
        <w:t>0</w:t>
      </w:r>
      <w:r>
        <w:rPr>
          <w:rFonts w:hint="eastAsia" w:ascii="黑体" w:hAnsi="黑体" w:eastAsia="黑体"/>
        </w:rPr>
        <w:t>.2 质量监督</w:t>
      </w:r>
    </w:p>
    <w:p>
      <w:pPr>
        <w:spacing w:line="360" w:lineRule="auto"/>
        <w:jc w:val="left"/>
        <w:rPr>
          <w:rFonts w:asciiTheme="minorEastAsia" w:hAnsiTheme="minorEastAsia" w:eastAsiaTheme="minorEastAsia"/>
        </w:rPr>
      </w:pPr>
      <w:r>
        <w:rPr>
          <w:rFonts w:hint="eastAsia" w:ascii="黑体" w:hAnsi="黑体" w:eastAsia="黑体"/>
          <w:szCs w:val="22"/>
        </w:rPr>
        <w:t>1</w:t>
      </w:r>
      <w:r>
        <w:rPr>
          <w:rFonts w:ascii="黑体" w:hAnsi="黑体" w:eastAsia="黑体"/>
          <w:szCs w:val="22"/>
        </w:rPr>
        <w:t>0</w:t>
      </w:r>
      <w:r>
        <w:rPr>
          <w:rFonts w:hint="eastAsia" w:ascii="黑体" w:hAnsi="黑体" w:eastAsia="黑体"/>
          <w:szCs w:val="22"/>
        </w:rPr>
        <w:t>.2.1</w:t>
      </w:r>
      <w:r>
        <w:rPr>
          <w:rFonts w:hint="eastAsia" w:asciiTheme="minorEastAsia" w:hAnsiTheme="minorEastAsia" w:eastAsiaTheme="minorEastAsia"/>
        </w:rPr>
        <w:t xml:space="preserve"> 建立研学旅游产品质量监督机制，主动接受公众监督，对外公布质量监督电话。</w:t>
      </w:r>
    </w:p>
    <w:p>
      <w:pPr>
        <w:spacing w:line="360" w:lineRule="auto"/>
        <w:jc w:val="left"/>
        <w:rPr>
          <w:rFonts w:asciiTheme="minorEastAsia" w:hAnsiTheme="minorEastAsia" w:eastAsiaTheme="minorEastAsia"/>
        </w:rPr>
      </w:pPr>
      <w:r>
        <w:rPr>
          <w:rFonts w:hint="eastAsia" w:ascii="黑体" w:hAnsi="黑体" w:eastAsia="黑体"/>
          <w:szCs w:val="22"/>
        </w:rPr>
        <w:t>10.2.2</w:t>
      </w:r>
      <w:r>
        <w:rPr>
          <w:rFonts w:hint="eastAsia" w:asciiTheme="minorEastAsia" w:hAnsiTheme="minorEastAsia" w:eastAsiaTheme="minorEastAsia"/>
        </w:rPr>
        <w:t xml:space="preserve"> 建立产品质量监督保障体系，定期进行产品质量考核。</w:t>
      </w:r>
    </w:p>
    <w:p>
      <w:pPr>
        <w:spacing w:line="360" w:lineRule="auto"/>
        <w:jc w:val="left"/>
        <w:rPr>
          <w:rFonts w:asciiTheme="minorEastAsia" w:hAnsiTheme="minorEastAsia" w:eastAsiaTheme="minorEastAsia"/>
        </w:rPr>
      </w:pPr>
      <w:r>
        <w:rPr>
          <w:rFonts w:hint="eastAsia" w:ascii="黑体" w:hAnsi="黑体" w:eastAsia="黑体"/>
          <w:szCs w:val="22"/>
        </w:rPr>
        <w:t>1</w:t>
      </w:r>
      <w:r>
        <w:rPr>
          <w:rFonts w:ascii="黑体" w:hAnsi="黑体" w:eastAsia="黑体"/>
          <w:szCs w:val="22"/>
        </w:rPr>
        <w:t>0</w:t>
      </w:r>
      <w:r>
        <w:rPr>
          <w:rFonts w:hint="eastAsia" w:ascii="黑体" w:hAnsi="黑体" w:eastAsia="黑体"/>
          <w:szCs w:val="22"/>
        </w:rPr>
        <w:t>.</w:t>
      </w:r>
      <w:r>
        <w:rPr>
          <w:rFonts w:ascii="黑体" w:hAnsi="黑体" w:eastAsia="黑体"/>
          <w:szCs w:val="22"/>
        </w:rPr>
        <w:t>2</w:t>
      </w:r>
      <w:r>
        <w:rPr>
          <w:rFonts w:hint="eastAsia" w:ascii="黑体" w:hAnsi="黑体" w:eastAsia="黑体"/>
          <w:szCs w:val="22"/>
        </w:rPr>
        <w:t>.</w:t>
      </w:r>
      <w:r>
        <w:rPr>
          <w:rFonts w:ascii="黑体" w:hAnsi="黑体" w:eastAsia="黑体"/>
          <w:szCs w:val="22"/>
        </w:rPr>
        <w:t>3</w:t>
      </w:r>
      <w:r>
        <w:rPr>
          <w:rFonts w:hint="eastAsia" w:asciiTheme="minorEastAsia" w:hAnsiTheme="minorEastAsia" w:eastAsiaTheme="minorEastAsia"/>
        </w:rPr>
        <w:t xml:space="preserve"> 确定专门机构及人员负责研学旅游产品满意度监测工作，存档并及时改正。</w:t>
      </w:r>
    </w:p>
    <w:p>
      <w:pPr>
        <w:spacing w:line="360" w:lineRule="auto"/>
        <w:jc w:val="left"/>
        <w:rPr>
          <w:rFonts w:ascii="黑体" w:hAnsi="黑体" w:eastAsia="黑体"/>
        </w:rPr>
      </w:pPr>
      <w:r>
        <w:rPr>
          <w:rFonts w:ascii="黑体" w:hAnsi="黑体" w:eastAsia="黑体"/>
          <w:szCs w:val="22"/>
        </w:rPr>
        <w:t xml:space="preserve">10.2.4 </w:t>
      </w:r>
      <w:r>
        <w:rPr>
          <w:rFonts w:hint="eastAsia" w:asciiTheme="minorEastAsia" w:hAnsiTheme="minorEastAsia" w:eastAsiaTheme="minorEastAsia"/>
        </w:rPr>
        <w:t>健全投诉与处理制度，流程清晰、渠道畅通，处理及时、妥善，档案记录完整。</w:t>
      </w:r>
      <w:r>
        <w:rPr>
          <w:rFonts w:ascii="黑体" w:hAnsi="黑体" w:eastAsia="黑体"/>
        </w:rPr>
        <w:t xml:space="preserve">10.3 </w:t>
      </w:r>
      <w:r>
        <w:rPr>
          <w:rFonts w:hint="eastAsia" w:ascii="黑体" w:hAnsi="黑体" w:eastAsia="黑体"/>
        </w:rPr>
        <w:t>运营管理</w:t>
      </w:r>
    </w:p>
    <w:p>
      <w:pPr>
        <w:spacing w:line="360" w:lineRule="auto"/>
        <w:jc w:val="left"/>
        <w:rPr>
          <w:rFonts w:ascii="黑体" w:hAnsi="黑体" w:eastAsia="黑体"/>
          <w:szCs w:val="22"/>
        </w:rPr>
      </w:pPr>
      <w:r>
        <w:rPr>
          <w:rFonts w:hint="eastAsia" w:ascii="黑体" w:hAnsi="黑体" w:eastAsia="黑体"/>
          <w:szCs w:val="22"/>
        </w:rPr>
        <w:t>10.</w:t>
      </w:r>
      <w:r>
        <w:rPr>
          <w:rFonts w:ascii="黑体" w:hAnsi="黑体" w:eastAsia="黑体"/>
          <w:szCs w:val="22"/>
        </w:rPr>
        <w:t>3</w:t>
      </w:r>
      <w:r>
        <w:rPr>
          <w:rFonts w:hint="eastAsia" w:ascii="黑体" w:hAnsi="黑体" w:eastAsia="黑体"/>
          <w:szCs w:val="22"/>
        </w:rPr>
        <w:t>.1</w:t>
      </w:r>
      <w:r>
        <w:rPr>
          <w:rFonts w:ascii="黑体" w:hAnsi="黑体" w:eastAsia="黑体"/>
          <w:szCs w:val="22"/>
        </w:rPr>
        <w:t xml:space="preserve"> </w:t>
      </w:r>
      <w:r>
        <w:rPr>
          <w:rFonts w:hint="eastAsia" w:asciiTheme="minorEastAsia" w:hAnsiTheme="minorEastAsia" w:eastAsiaTheme="minorEastAsia"/>
          <w:szCs w:val="22"/>
        </w:rPr>
        <w:t>应设有研学旅游管理机构，对研学旅游产品实施统筹管理。</w:t>
      </w:r>
    </w:p>
    <w:p>
      <w:pPr>
        <w:spacing w:line="360" w:lineRule="auto"/>
        <w:jc w:val="left"/>
        <w:rPr>
          <w:rFonts w:ascii="黑体" w:hAnsi="黑体" w:eastAsia="黑体"/>
          <w:szCs w:val="22"/>
        </w:rPr>
      </w:pPr>
      <w:r>
        <w:rPr>
          <w:rFonts w:ascii="黑体" w:hAnsi="黑体" w:eastAsia="黑体"/>
          <w:szCs w:val="22"/>
        </w:rPr>
        <w:t xml:space="preserve">10.3.2 </w:t>
      </w:r>
      <w:r>
        <w:rPr>
          <w:rFonts w:hint="eastAsia" w:asciiTheme="minorEastAsia" w:hAnsiTheme="minorEastAsia" w:eastAsiaTheme="minorEastAsia"/>
          <w:szCs w:val="22"/>
        </w:rPr>
        <w:t>合理设计研学旅游产品，规范研学旅游产品市场化运作、运营平稳有序。</w:t>
      </w:r>
    </w:p>
    <w:p>
      <w:pPr>
        <w:spacing w:line="360" w:lineRule="auto"/>
        <w:jc w:val="left"/>
        <w:rPr>
          <w:rFonts w:ascii="宋体" w:hAnsi="宋体"/>
          <w:szCs w:val="22"/>
        </w:rPr>
      </w:pPr>
      <w:r>
        <w:rPr>
          <w:rFonts w:ascii="黑体" w:hAnsi="黑体" w:eastAsia="黑体"/>
          <w:szCs w:val="22"/>
        </w:rPr>
        <w:t xml:space="preserve">10.3.3 </w:t>
      </w:r>
      <w:r>
        <w:rPr>
          <w:rFonts w:hint="eastAsia" w:ascii="宋体" w:hAnsi="宋体"/>
          <w:szCs w:val="22"/>
        </w:rPr>
        <w:t>制定完善的研学旅游产品质量制度、岗位责任制度和工作规范。</w:t>
      </w:r>
    </w:p>
    <w:p>
      <w:pPr>
        <w:spacing w:line="360" w:lineRule="auto"/>
        <w:jc w:val="left"/>
        <w:rPr>
          <w:rFonts w:asciiTheme="minorEastAsia" w:hAnsiTheme="minorEastAsia" w:eastAsiaTheme="minorEastAsia"/>
        </w:rPr>
      </w:pPr>
      <w:r>
        <w:rPr>
          <w:rFonts w:hint="eastAsia" w:ascii="黑体" w:hAnsi="黑体" w:eastAsia="黑体"/>
          <w:szCs w:val="22"/>
        </w:rPr>
        <w:t>10.</w:t>
      </w:r>
      <w:r>
        <w:rPr>
          <w:rFonts w:ascii="黑体" w:hAnsi="黑体" w:eastAsia="黑体"/>
          <w:szCs w:val="22"/>
        </w:rPr>
        <w:t>3</w:t>
      </w:r>
      <w:r>
        <w:rPr>
          <w:rFonts w:hint="eastAsia" w:ascii="黑体" w:hAnsi="黑体" w:eastAsia="黑体"/>
          <w:szCs w:val="22"/>
        </w:rPr>
        <w:t>.</w:t>
      </w:r>
      <w:r>
        <w:rPr>
          <w:rFonts w:ascii="黑体" w:hAnsi="黑体" w:eastAsia="黑体"/>
          <w:szCs w:val="22"/>
        </w:rPr>
        <w:t xml:space="preserve">4 </w:t>
      </w:r>
      <w:r>
        <w:rPr>
          <w:rFonts w:hint="eastAsia" w:asciiTheme="minorEastAsia" w:hAnsiTheme="minorEastAsia" w:eastAsiaTheme="minorEastAsia"/>
        </w:rPr>
        <w:t>明确各方安全责任，建立贯穿研学旅游全流程、全时段、全方位的安全责任机制。</w:t>
      </w:r>
    </w:p>
    <w:p>
      <w:pPr>
        <w:spacing w:line="360" w:lineRule="auto"/>
        <w:jc w:val="left"/>
        <w:rPr>
          <w:rFonts w:asciiTheme="minorEastAsia" w:hAnsiTheme="minorEastAsia" w:eastAsiaTheme="minorEastAsia"/>
        </w:rPr>
      </w:pPr>
      <w:r>
        <w:rPr>
          <w:rFonts w:hint="eastAsia" w:ascii="黑体" w:hAnsi="黑体" w:eastAsia="黑体"/>
          <w:szCs w:val="22"/>
        </w:rPr>
        <w:t>10.</w:t>
      </w:r>
      <w:r>
        <w:rPr>
          <w:rFonts w:ascii="黑体" w:hAnsi="黑体" w:eastAsia="黑体"/>
          <w:szCs w:val="22"/>
        </w:rPr>
        <w:t>3</w:t>
      </w:r>
      <w:r>
        <w:rPr>
          <w:rFonts w:hint="eastAsia" w:ascii="黑体" w:hAnsi="黑体" w:eastAsia="黑体"/>
          <w:szCs w:val="22"/>
        </w:rPr>
        <w:t>.</w:t>
      </w:r>
      <w:r>
        <w:rPr>
          <w:rFonts w:ascii="黑体" w:hAnsi="黑体" w:eastAsia="黑体"/>
          <w:szCs w:val="22"/>
        </w:rPr>
        <w:t>5</w:t>
      </w:r>
      <w:r>
        <w:rPr>
          <w:rFonts w:asciiTheme="minorEastAsia" w:hAnsiTheme="minorEastAsia" w:eastAsiaTheme="minorEastAsia"/>
        </w:rPr>
        <w:t xml:space="preserve"> </w:t>
      </w:r>
      <w:r>
        <w:rPr>
          <w:rFonts w:hint="eastAsia" w:asciiTheme="minorEastAsia" w:hAnsiTheme="minorEastAsia" w:eastAsiaTheme="minorEastAsia"/>
        </w:rPr>
        <w:t>建立研学旅游产品档案库、数据库，及时进行档案、数据收集、整理、归档。</w:t>
      </w:r>
    </w:p>
    <w:p>
      <w:pPr>
        <w:spacing w:line="360" w:lineRule="auto"/>
        <w:jc w:val="left"/>
        <w:rPr>
          <w:rFonts w:asciiTheme="minorEastAsia" w:hAnsiTheme="minorEastAsia" w:eastAsiaTheme="minorEastAsia"/>
        </w:rPr>
      </w:pPr>
      <w:r>
        <w:rPr>
          <w:rFonts w:hint="eastAsia" w:ascii="黑体" w:hAnsi="黑体" w:eastAsia="黑体"/>
          <w:szCs w:val="22"/>
        </w:rPr>
        <w:t>10.</w:t>
      </w:r>
      <w:r>
        <w:rPr>
          <w:rFonts w:ascii="黑体" w:hAnsi="黑体" w:eastAsia="黑体"/>
          <w:szCs w:val="22"/>
        </w:rPr>
        <w:t>3</w:t>
      </w:r>
      <w:r>
        <w:rPr>
          <w:rFonts w:hint="eastAsia" w:ascii="黑体" w:hAnsi="黑体" w:eastAsia="黑体"/>
          <w:szCs w:val="22"/>
        </w:rPr>
        <w:t>.</w:t>
      </w:r>
      <w:r>
        <w:rPr>
          <w:rFonts w:ascii="黑体" w:hAnsi="黑体" w:eastAsia="黑体"/>
          <w:szCs w:val="22"/>
        </w:rPr>
        <w:t xml:space="preserve">6 </w:t>
      </w:r>
      <w:r>
        <w:rPr>
          <w:rFonts w:hint="eastAsia" w:asciiTheme="minorEastAsia" w:hAnsiTheme="minorEastAsia" w:eastAsiaTheme="minorEastAsia"/>
        </w:rPr>
        <w:t>对研学旅游产品定期管理，及时更新研学旅游产品信息与内容。</w:t>
      </w:r>
    </w:p>
    <w:p>
      <w:pPr>
        <w:spacing w:line="360" w:lineRule="auto"/>
        <w:jc w:val="left"/>
      </w:pPr>
    </w:p>
    <w:p>
      <w:pPr>
        <w:spacing w:line="360" w:lineRule="auto"/>
        <w:jc w:val="left"/>
      </w:pPr>
    </w:p>
    <w:p>
      <w:pPr>
        <w:spacing w:line="360" w:lineRule="auto"/>
        <w:jc w:val="left"/>
      </w:pPr>
    </w:p>
    <w:p>
      <w:pPr>
        <w:spacing w:line="360" w:lineRule="auto"/>
        <w:jc w:val="left"/>
      </w:pPr>
    </w:p>
    <w:p>
      <w:pPr>
        <w:spacing w:line="360" w:lineRule="auto"/>
        <w:jc w:val="left"/>
      </w:pPr>
    </w:p>
    <w:p>
      <w:pPr>
        <w:keepNext/>
        <w:keepLines/>
        <w:spacing w:before="120" w:beforeLines="50" w:after="360" w:afterLines="150"/>
        <w:jc w:val="center"/>
        <w:outlineLvl w:val="0"/>
        <w:rPr>
          <w:rFonts w:ascii="黑体" w:hAnsi="黑体" w:eastAsia="黑体"/>
          <w:bCs/>
          <w:kern w:val="44"/>
          <w:szCs w:val="44"/>
        </w:rPr>
        <w:sectPr>
          <w:footerReference r:id="rId8" w:type="default"/>
          <w:pgSz w:w="11910" w:h="16840"/>
          <w:pgMar w:top="1440" w:right="1800" w:bottom="1440" w:left="1800" w:header="0" w:footer="601" w:gutter="0"/>
          <w:pgNumType w:fmt="decimal"/>
          <w:cols w:space="0" w:num="1"/>
          <w:docGrid w:linePitch="312" w:charSpace="0"/>
        </w:sectPr>
      </w:pPr>
      <w:bookmarkStart w:id="20" w:name="_Toc109659385"/>
    </w:p>
    <w:p>
      <w:pPr>
        <w:keepNext/>
        <w:keepLines/>
        <w:spacing w:line="360" w:lineRule="auto"/>
        <w:jc w:val="center"/>
        <w:outlineLvl w:val="0"/>
        <w:rPr>
          <w:rFonts w:ascii="黑体" w:hAnsi="黑体" w:eastAsia="黑体"/>
          <w:bCs/>
          <w:kern w:val="44"/>
          <w:szCs w:val="44"/>
        </w:rPr>
      </w:pPr>
      <w:bookmarkStart w:id="21" w:name="_Toc120651735"/>
      <w:r>
        <w:rPr>
          <w:rFonts w:hint="eastAsia" w:ascii="黑体" w:hAnsi="黑体" w:eastAsia="黑体"/>
          <w:bCs/>
          <w:kern w:val="44"/>
          <w:szCs w:val="44"/>
        </w:rPr>
        <w:t>附录A</w:t>
      </w:r>
      <w:bookmarkEnd w:id="20"/>
      <w:bookmarkEnd w:id="21"/>
    </w:p>
    <w:p>
      <w:pPr>
        <w:spacing w:line="360" w:lineRule="auto"/>
        <w:jc w:val="center"/>
        <w:rPr>
          <w:rFonts w:ascii="黑体" w:hAnsi="黑体" w:eastAsia="黑体"/>
        </w:rPr>
      </w:pPr>
      <w:r>
        <w:rPr>
          <w:rFonts w:hint="eastAsia" w:ascii="黑体" w:hAnsi="黑体" w:eastAsia="黑体"/>
        </w:rPr>
        <w:t>（资料性附录）</w:t>
      </w:r>
    </w:p>
    <w:p>
      <w:pPr>
        <w:spacing w:line="360" w:lineRule="auto"/>
        <w:jc w:val="center"/>
        <w:rPr>
          <w:rFonts w:ascii="黑体" w:hAnsi="黑体" w:eastAsia="黑体"/>
        </w:rPr>
      </w:pPr>
      <w:r>
        <w:rPr>
          <w:rFonts w:hint="eastAsia" w:ascii="黑体" w:hAnsi="黑体" w:eastAsia="黑体"/>
        </w:rPr>
        <w:t>研学旅游课程设计类别</w:t>
      </w:r>
    </w:p>
    <w:p>
      <w:pPr>
        <w:spacing w:line="360" w:lineRule="auto"/>
        <w:ind w:firstLine="420"/>
        <w:jc w:val="left"/>
        <w:rPr>
          <w:rFonts w:ascii="宋体" w:hAnsi="宋体"/>
        </w:rPr>
      </w:pPr>
    </w:p>
    <w:p>
      <w:pPr>
        <w:spacing w:line="360" w:lineRule="auto"/>
        <w:ind w:firstLine="420"/>
        <w:jc w:val="left"/>
        <w:rPr>
          <w:rFonts w:ascii="宋体" w:hAnsi="宋体"/>
        </w:rPr>
      </w:pPr>
      <w:r>
        <w:rPr>
          <w:rFonts w:hint="eastAsia" w:ascii="宋体" w:hAnsi="宋体"/>
        </w:rPr>
        <w:t>根据研学旅游资源和主题类型，可分为自然类研学旅游课程、文化类研学旅游课程、康体类研学旅游课程、特种类研学旅游课程。</w:t>
      </w:r>
    </w:p>
    <w:p>
      <w:pPr>
        <w:spacing w:line="360" w:lineRule="auto"/>
        <w:jc w:val="left"/>
        <w:rPr>
          <w:rFonts w:ascii="黑体" w:hAnsi="黑体" w:eastAsia="黑体"/>
        </w:rPr>
      </w:pPr>
      <w:r>
        <w:rPr>
          <w:rFonts w:ascii="黑体" w:hAnsi="黑体" w:eastAsia="黑体"/>
        </w:rPr>
        <w:t>1.</w:t>
      </w:r>
      <w:r>
        <w:rPr>
          <w:rFonts w:hint="eastAsia" w:ascii="黑体" w:hAnsi="黑体" w:eastAsia="黑体"/>
        </w:rPr>
        <w:t>自然类研学课程</w:t>
      </w:r>
    </w:p>
    <w:p>
      <w:pPr>
        <w:spacing w:line="360" w:lineRule="auto"/>
        <w:ind w:firstLine="420"/>
        <w:jc w:val="left"/>
        <w:rPr>
          <w:rFonts w:ascii="宋体" w:hAnsi="宋体"/>
        </w:rPr>
      </w:pPr>
      <w:r>
        <w:rPr>
          <w:rFonts w:hint="eastAsia" w:ascii="宋体" w:hAnsi="宋体"/>
        </w:rPr>
        <w:t>自然类研学课程是通过对旅游景区地理环境和自然资源的分析和利用，引导旅游者在自然中探索和学习，以激发旅游者尊重自然、保护自然的态度而设计的课程。自然类研学课程包括但不限于：</w:t>
      </w:r>
    </w:p>
    <w:p>
      <w:pPr>
        <w:numPr>
          <w:ilvl w:val="0"/>
          <w:numId w:val="23"/>
        </w:numPr>
        <w:spacing w:line="276" w:lineRule="auto"/>
        <w:rPr>
          <w:rFonts w:ascii="宋体" w:hAnsi="宋体"/>
          <w:szCs w:val="22"/>
        </w:rPr>
      </w:pPr>
      <w:r>
        <w:rPr>
          <w:rFonts w:hint="eastAsia" w:ascii="宋体" w:hAnsi="宋体"/>
          <w:szCs w:val="22"/>
        </w:rPr>
        <w:t>自然风光：岛屿、湿地、森林、山川、峡谷等；</w:t>
      </w:r>
    </w:p>
    <w:p>
      <w:pPr>
        <w:numPr>
          <w:ilvl w:val="0"/>
          <w:numId w:val="23"/>
        </w:numPr>
        <w:spacing w:line="276" w:lineRule="auto"/>
        <w:rPr>
          <w:rFonts w:ascii="宋体" w:hAnsi="宋体"/>
          <w:szCs w:val="22"/>
        </w:rPr>
      </w:pPr>
      <w:r>
        <w:rPr>
          <w:rFonts w:hint="eastAsia" w:ascii="宋体" w:hAnsi="宋体"/>
          <w:szCs w:val="22"/>
        </w:rPr>
        <w:t>生物资源：野生动植物、海洋生物、鸟类等；</w:t>
      </w:r>
    </w:p>
    <w:p>
      <w:pPr>
        <w:numPr>
          <w:ilvl w:val="0"/>
          <w:numId w:val="23"/>
        </w:numPr>
        <w:spacing w:line="276" w:lineRule="auto"/>
        <w:rPr>
          <w:rFonts w:ascii="宋体" w:hAnsi="宋体"/>
          <w:szCs w:val="22"/>
        </w:rPr>
      </w:pPr>
      <w:r>
        <w:rPr>
          <w:rFonts w:hint="eastAsia" w:ascii="宋体" w:hAnsi="宋体"/>
          <w:szCs w:val="22"/>
        </w:rPr>
        <w:t>主题公园：湿地公园、地质公园、矿山公园、森林公园等。</w:t>
      </w:r>
    </w:p>
    <w:p>
      <w:pPr>
        <w:spacing w:line="360" w:lineRule="auto"/>
        <w:jc w:val="left"/>
        <w:rPr>
          <w:rFonts w:ascii="黑体" w:hAnsi="黑体" w:eastAsia="黑体"/>
        </w:rPr>
      </w:pPr>
      <w:r>
        <w:rPr>
          <w:rFonts w:ascii="黑体" w:hAnsi="黑体" w:eastAsia="黑体"/>
        </w:rPr>
        <w:t>2.</w:t>
      </w:r>
      <w:r>
        <w:rPr>
          <w:rFonts w:hint="eastAsia" w:ascii="黑体" w:hAnsi="黑体" w:eastAsia="黑体"/>
        </w:rPr>
        <w:t>文化类研学课程</w:t>
      </w:r>
    </w:p>
    <w:p>
      <w:pPr>
        <w:spacing w:line="360" w:lineRule="auto"/>
        <w:ind w:firstLine="420"/>
        <w:jc w:val="left"/>
        <w:rPr>
          <w:rFonts w:ascii="宋体" w:hAnsi="宋体"/>
        </w:rPr>
      </w:pPr>
      <w:r>
        <w:rPr>
          <w:rFonts w:hint="eastAsia" w:ascii="宋体" w:hAnsi="宋体"/>
        </w:rPr>
        <w:t>文化类研学课程是指深入挖掘本地文化底蕴和人文价值，传播传统文化，以提高旅游者文化修养而设计的课程。文化类研学课程包括但不限于：</w:t>
      </w:r>
    </w:p>
    <w:p>
      <w:pPr>
        <w:numPr>
          <w:ilvl w:val="0"/>
          <w:numId w:val="24"/>
        </w:numPr>
        <w:spacing w:line="276" w:lineRule="auto"/>
        <w:rPr>
          <w:rFonts w:ascii="宋体" w:hAnsi="宋体"/>
          <w:szCs w:val="22"/>
        </w:rPr>
      </w:pPr>
      <w:r>
        <w:rPr>
          <w:rFonts w:hint="eastAsia" w:ascii="宋体" w:hAnsi="宋体"/>
          <w:szCs w:val="22"/>
        </w:rPr>
        <w:t>历史文化：冀文化、燕赵文化、长城文化、大运河文化、董子文化、名人文化等；</w:t>
      </w:r>
    </w:p>
    <w:p>
      <w:pPr>
        <w:numPr>
          <w:ilvl w:val="0"/>
          <w:numId w:val="24"/>
        </w:numPr>
        <w:spacing w:line="276" w:lineRule="auto"/>
        <w:rPr>
          <w:rFonts w:ascii="宋体" w:hAnsi="宋体"/>
          <w:szCs w:val="22"/>
        </w:rPr>
      </w:pPr>
      <w:r>
        <w:rPr>
          <w:rFonts w:hint="eastAsia" w:ascii="宋体" w:hAnsi="宋体"/>
          <w:szCs w:val="22"/>
        </w:rPr>
        <w:t>红色文化：革命纪念馆、廉政教育馆、孙犁故居等；</w:t>
      </w:r>
    </w:p>
    <w:p>
      <w:pPr>
        <w:numPr>
          <w:ilvl w:val="0"/>
          <w:numId w:val="24"/>
        </w:numPr>
        <w:spacing w:line="276" w:lineRule="auto"/>
        <w:rPr>
          <w:rFonts w:ascii="宋体" w:hAnsi="宋体"/>
          <w:szCs w:val="22"/>
        </w:rPr>
      </w:pPr>
      <w:r>
        <w:rPr>
          <w:rFonts w:hint="eastAsia" w:ascii="宋体" w:hAnsi="宋体"/>
          <w:szCs w:val="22"/>
        </w:rPr>
        <w:t>非遗文化：武强木板年画、衡水老白干传统酿造技艺、大营裘皮、冀州宫廷剪纸、冀派内画、阎庄法帖等；</w:t>
      </w:r>
    </w:p>
    <w:p>
      <w:pPr>
        <w:numPr>
          <w:ilvl w:val="0"/>
          <w:numId w:val="24"/>
        </w:numPr>
        <w:spacing w:line="276" w:lineRule="auto"/>
        <w:rPr>
          <w:rFonts w:ascii="宋体" w:hAnsi="宋体"/>
          <w:szCs w:val="22"/>
        </w:rPr>
      </w:pPr>
      <w:r>
        <w:rPr>
          <w:rFonts w:hint="eastAsia" w:ascii="宋体" w:hAnsi="宋体"/>
          <w:szCs w:val="22"/>
        </w:rPr>
        <w:t>书院文化：孙敬学堂、封龙书院、大原书院等；</w:t>
      </w:r>
    </w:p>
    <w:p>
      <w:pPr>
        <w:numPr>
          <w:ilvl w:val="0"/>
          <w:numId w:val="24"/>
        </w:numPr>
        <w:spacing w:line="276" w:lineRule="auto"/>
        <w:rPr>
          <w:rFonts w:ascii="宋体" w:hAnsi="宋体"/>
          <w:szCs w:val="22"/>
        </w:rPr>
      </w:pPr>
      <w:r>
        <w:rPr>
          <w:rFonts w:hint="eastAsia" w:ascii="宋体" w:hAnsi="宋体"/>
          <w:szCs w:val="22"/>
        </w:rPr>
        <w:t>民俗文化：</w:t>
      </w:r>
      <w:r>
        <w:rPr>
          <w:rFonts w:hint="eastAsia" w:hAnsi="宋体"/>
          <w:szCs w:val="22"/>
        </w:rPr>
        <w:t>庙会、花灯等。</w:t>
      </w:r>
    </w:p>
    <w:p>
      <w:pPr>
        <w:spacing w:line="360" w:lineRule="auto"/>
        <w:jc w:val="left"/>
        <w:rPr>
          <w:rFonts w:ascii="黑体" w:hAnsi="黑体" w:eastAsia="黑体"/>
        </w:rPr>
      </w:pPr>
      <w:r>
        <w:rPr>
          <w:rFonts w:ascii="黑体" w:hAnsi="黑体" w:eastAsia="黑体"/>
        </w:rPr>
        <w:t>3.</w:t>
      </w:r>
      <w:r>
        <w:rPr>
          <w:rFonts w:hint="eastAsia" w:ascii="黑体" w:hAnsi="黑体" w:eastAsia="黑体"/>
        </w:rPr>
        <w:t>康体类研学课程</w:t>
      </w:r>
    </w:p>
    <w:p>
      <w:pPr>
        <w:spacing w:line="360" w:lineRule="auto"/>
        <w:ind w:firstLine="420"/>
        <w:jc w:val="left"/>
        <w:rPr>
          <w:rFonts w:ascii="宋体" w:hAnsi="宋体"/>
        </w:rPr>
      </w:pPr>
      <w:r>
        <w:rPr>
          <w:rFonts w:hint="eastAsia" w:ascii="宋体" w:hAnsi="宋体"/>
        </w:rPr>
        <w:t>康体类研学课程是依托良好的自然生态环境、人文活动环境等资源条件，以维护或促进身心健康为需求动机，以发展旅游者的体能而设计的课程。康体类研学课程包括但不限于：</w:t>
      </w:r>
    </w:p>
    <w:p>
      <w:pPr>
        <w:numPr>
          <w:ilvl w:val="0"/>
          <w:numId w:val="25"/>
        </w:numPr>
        <w:spacing w:line="276" w:lineRule="auto"/>
        <w:rPr>
          <w:rFonts w:ascii="宋体" w:hAnsi="宋体"/>
          <w:szCs w:val="22"/>
        </w:rPr>
      </w:pPr>
      <w:r>
        <w:rPr>
          <w:rFonts w:hint="eastAsia" w:ascii="宋体" w:hAnsi="宋体"/>
          <w:szCs w:val="22"/>
        </w:rPr>
        <w:t>体育研学：马拉松、骑行、徒步、滑雪、滑冰、龙舟等；</w:t>
      </w:r>
    </w:p>
    <w:p>
      <w:pPr>
        <w:numPr>
          <w:ilvl w:val="0"/>
          <w:numId w:val="25"/>
        </w:numPr>
        <w:spacing w:line="276" w:lineRule="auto"/>
        <w:rPr>
          <w:rFonts w:ascii="宋体" w:hAnsi="宋体"/>
          <w:szCs w:val="22"/>
        </w:rPr>
      </w:pPr>
      <w:r>
        <w:rPr>
          <w:rFonts w:hint="eastAsia" w:ascii="宋体" w:hAnsi="宋体"/>
          <w:szCs w:val="22"/>
        </w:rPr>
        <w:t>保健研学：垂钓、健身、温泉、水疗等。</w:t>
      </w:r>
    </w:p>
    <w:p>
      <w:pPr>
        <w:spacing w:line="360" w:lineRule="auto"/>
        <w:jc w:val="left"/>
        <w:rPr>
          <w:rFonts w:ascii="黑体" w:hAnsi="黑体" w:eastAsia="黑体"/>
        </w:rPr>
      </w:pPr>
      <w:r>
        <w:rPr>
          <w:rFonts w:ascii="黑体" w:hAnsi="黑体" w:eastAsia="黑体"/>
        </w:rPr>
        <w:t>4.</w:t>
      </w:r>
      <w:r>
        <w:rPr>
          <w:rFonts w:hint="eastAsia" w:ascii="黑体" w:hAnsi="黑体" w:eastAsia="黑体"/>
        </w:rPr>
        <w:t>特种类研学课程</w:t>
      </w:r>
    </w:p>
    <w:p>
      <w:pPr>
        <w:spacing w:line="360" w:lineRule="auto"/>
        <w:ind w:firstLine="420"/>
        <w:jc w:val="left"/>
        <w:rPr>
          <w:rFonts w:ascii="黑体" w:hAnsi="黑体" w:eastAsia="黑体"/>
        </w:rPr>
      </w:pPr>
      <w:r>
        <w:rPr>
          <w:rFonts w:hint="eastAsia" w:ascii="宋体" w:hAnsi="宋体"/>
        </w:rPr>
        <w:t>特种类研学课程是指为满足旅游者某方面的特殊兴趣与需要，定向设计开发的一种特色专题旅游课程。特种类研学课程包括但不限于：</w:t>
      </w:r>
    </w:p>
    <w:p>
      <w:pPr>
        <w:numPr>
          <w:ilvl w:val="0"/>
          <w:numId w:val="26"/>
        </w:numPr>
        <w:spacing w:line="276" w:lineRule="auto"/>
        <w:rPr>
          <w:rFonts w:ascii="宋体" w:hAnsi="宋体"/>
          <w:szCs w:val="22"/>
        </w:rPr>
      </w:pPr>
      <w:r>
        <w:rPr>
          <w:rFonts w:hint="eastAsia" w:ascii="宋体" w:hAnsi="宋体"/>
          <w:szCs w:val="22"/>
        </w:rPr>
        <w:t>工农业研学：现代农业园区、工业园区、知名企业、产业公园、企业文化以及重大工程基地等；</w:t>
      </w:r>
    </w:p>
    <w:p>
      <w:pPr>
        <w:numPr>
          <w:ilvl w:val="0"/>
          <w:numId w:val="26"/>
        </w:numPr>
        <w:spacing w:line="276" w:lineRule="auto"/>
        <w:rPr>
          <w:rFonts w:ascii="宋体" w:hAnsi="宋体"/>
          <w:szCs w:val="22"/>
        </w:rPr>
      </w:pPr>
      <w:r>
        <w:rPr>
          <w:rFonts w:hint="eastAsia" w:ascii="宋体" w:hAnsi="宋体"/>
          <w:szCs w:val="22"/>
        </w:rPr>
        <w:t>乡村研学：农业、村寨、民俗风情等（观光、度假、学习、体验、娱乐、考察）；</w:t>
      </w:r>
    </w:p>
    <w:p>
      <w:pPr>
        <w:numPr>
          <w:ilvl w:val="0"/>
          <w:numId w:val="26"/>
        </w:numPr>
        <w:spacing w:line="276" w:lineRule="auto"/>
        <w:rPr>
          <w:rFonts w:ascii="宋体" w:hAnsi="宋体"/>
          <w:szCs w:val="22"/>
        </w:rPr>
      </w:pPr>
      <w:r>
        <w:rPr>
          <w:rFonts w:hint="eastAsia" w:ascii="宋体" w:hAnsi="宋体"/>
          <w:szCs w:val="22"/>
        </w:rPr>
        <w:t>传统工艺研学：剪纸工艺、雕塑工艺、陶瓷制作工艺、织染工艺、传统建筑营造工艺、金属冶炼加工工艺、工具器械制作工艺、文房四宝制作工艺、印刷品工艺、刻绘工艺、编织扎制工艺等中华传统工艺。</w:t>
      </w:r>
    </w:p>
    <w:p>
      <w:pPr>
        <w:spacing w:line="360" w:lineRule="auto"/>
        <w:jc w:val="left"/>
      </w:pPr>
    </w:p>
    <w:p>
      <w:pPr>
        <w:keepNext/>
        <w:keepLines/>
        <w:spacing w:before="120" w:beforeLines="50" w:after="360" w:afterLines="150"/>
        <w:jc w:val="center"/>
        <w:outlineLvl w:val="0"/>
        <w:rPr>
          <w:rFonts w:ascii="黑体" w:hAnsi="黑体" w:eastAsia="黑体"/>
          <w:bCs/>
          <w:kern w:val="44"/>
          <w:szCs w:val="44"/>
        </w:rPr>
        <w:sectPr>
          <w:footerReference r:id="rId9" w:type="default"/>
          <w:pgSz w:w="11910" w:h="16840"/>
          <w:pgMar w:top="1440" w:right="1800" w:bottom="1440" w:left="1800" w:header="0" w:footer="601" w:gutter="0"/>
          <w:pgNumType w:fmt="decimal"/>
          <w:cols w:space="0" w:num="1"/>
          <w:docGrid w:linePitch="312" w:charSpace="0"/>
        </w:sectPr>
      </w:pPr>
    </w:p>
    <w:p>
      <w:pPr>
        <w:keepNext/>
        <w:keepLines/>
        <w:spacing w:line="360" w:lineRule="auto"/>
        <w:jc w:val="center"/>
        <w:outlineLvl w:val="0"/>
        <w:rPr>
          <w:rFonts w:ascii="黑体" w:hAnsi="黑体" w:eastAsia="黑体"/>
          <w:bCs/>
          <w:kern w:val="44"/>
          <w:szCs w:val="44"/>
        </w:rPr>
      </w:pPr>
      <w:bookmarkStart w:id="22" w:name="_Toc120651736"/>
      <w:r>
        <w:rPr>
          <w:rFonts w:hint="eastAsia" w:ascii="黑体" w:hAnsi="黑体" w:eastAsia="黑体"/>
          <w:bCs/>
          <w:kern w:val="44"/>
          <w:szCs w:val="44"/>
        </w:rPr>
        <w:t>附录</w:t>
      </w:r>
      <w:r>
        <w:rPr>
          <w:rFonts w:ascii="黑体" w:hAnsi="黑体" w:eastAsia="黑体"/>
          <w:bCs/>
          <w:kern w:val="44"/>
          <w:szCs w:val="44"/>
        </w:rPr>
        <w:t>B</w:t>
      </w:r>
      <w:bookmarkEnd w:id="22"/>
    </w:p>
    <w:p>
      <w:pPr>
        <w:spacing w:line="360" w:lineRule="auto"/>
        <w:jc w:val="center"/>
        <w:rPr>
          <w:rFonts w:ascii="黑体" w:hAnsi="黑体" w:eastAsia="黑体"/>
        </w:rPr>
      </w:pPr>
      <w:r>
        <w:rPr>
          <w:rFonts w:hint="eastAsia" w:ascii="黑体" w:hAnsi="黑体" w:eastAsia="黑体"/>
        </w:rPr>
        <w:t>（资料性附录）</w:t>
      </w:r>
    </w:p>
    <w:p>
      <w:pPr>
        <w:spacing w:line="360" w:lineRule="auto"/>
        <w:jc w:val="center"/>
        <w:rPr>
          <w:rFonts w:ascii="黑体" w:hAnsi="黑体" w:eastAsia="黑体"/>
        </w:rPr>
      </w:pPr>
      <w:r>
        <w:rPr>
          <w:rFonts w:hint="eastAsia" w:ascii="黑体" w:hAnsi="黑体" w:eastAsia="黑体"/>
        </w:rPr>
        <w:t>研学旅游商品设计类别</w:t>
      </w:r>
    </w:p>
    <w:p>
      <w:pPr>
        <w:spacing w:line="360" w:lineRule="auto"/>
        <w:ind w:firstLine="420"/>
        <w:jc w:val="left"/>
        <w:rPr>
          <w:rFonts w:ascii="宋体" w:hAnsi="宋体"/>
        </w:rPr>
      </w:pPr>
    </w:p>
    <w:p>
      <w:pPr>
        <w:spacing w:line="360" w:lineRule="auto"/>
        <w:ind w:firstLine="420"/>
        <w:jc w:val="left"/>
        <w:rPr>
          <w:rFonts w:ascii="宋体" w:hAnsi="宋体"/>
        </w:rPr>
      </w:pPr>
      <w:r>
        <w:rPr>
          <w:rFonts w:hint="eastAsia" w:ascii="宋体" w:hAnsi="宋体"/>
        </w:rPr>
        <w:t>根据研学旅游商品的创新性、实用性和艺术性，可分为文创产品、实用品、工艺品、艺术品。</w:t>
      </w:r>
    </w:p>
    <w:p>
      <w:pPr>
        <w:spacing w:line="360" w:lineRule="auto"/>
        <w:jc w:val="left"/>
        <w:rPr>
          <w:rFonts w:ascii="黑体" w:hAnsi="黑体" w:eastAsia="黑体"/>
        </w:rPr>
      </w:pPr>
      <w:r>
        <w:rPr>
          <w:rFonts w:ascii="黑体" w:hAnsi="黑体" w:eastAsia="黑体"/>
        </w:rPr>
        <w:t>1.</w:t>
      </w:r>
      <w:r>
        <w:rPr>
          <w:rFonts w:hint="eastAsia" w:ascii="黑体" w:hAnsi="黑体" w:eastAsia="黑体"/>
        </w:rPr>
        <w:t>文创产品</w:t>
      </w:r>
    </w:p>
    <w:p>
      <w:pPr>
        <w:spacing w:line="360" w:lineRule="auto"/>
        <w:ind w:firstLine="420"/>
        <w:jc w:val="left"/>
        <w:rPr>
          <w:rFonts w:ascii="宋体" w:hAnsi="宋体"/>
        </w:rPr>
      </w:pPr>
      <w:r>
        <w:rPr>
          <w:rFonts w:hint="eastAsia" w:ascii="宋体" w:hAnsi="宋体"/>
        </w:rPr>
        <w:t>文创产品是依靠创意人的智慧、技能和天赋，借助于现代科技手段对文化资源、文化用品进行创造与提升，通过知识产权的开发和运用而产出的高附加值产品。文创产品主要有：</w:t>
      </w:r>
    </w:p>
    <w:p>
      <w:pPr>
        <w:numPr>
          <w:ilvl w:val="0"/>
          <w:numId w:val="27"/>
        </w:numPr>
        <w:spacing w:line="276" w:lineRule="auto"/>
        <w:rPr>
          <w:rFonts w:ascii="宋体" w:hAnsi="宋体"/>
          <w:szCs w:val="22"/>
        </w:rPr>
      </w:pPr>
      <w:r>
        <w:rPr>
          <w:rFonts w:hint="eastAsia" w:ascii="宋体" w:hAnsi="宋体"/>
          <w:szCs w:val="22"/>
        </w:rPr>
        <w:t>文化类文创产品</w:t>
      </w:r>
    </w:p>
    <w:p>
      <w:pPr>
        <w:pStyle w:val="20"/>
        <w:tabs>
          <w:tab w:val="clear" w:pos="1703"/>
        </w:tabs>
        <w:spacing w:line="276" w:lineRule="auto"/>
        <w:ind w:left="1276"/>
      </w:pPr>
      <w:r>
        <w:rPr>
          <w:rFonts w:hint="eastAsia" w:hAnsi="宋体"/>
          <w:szCs w:val="22"/>
        </w:rPr>
        <w:t>历史文化（燕赵文化、邯郸战国文化、沧州运河文化等）+实物产品载体；</w:t>
      </w:r>
    </w:p>
    <w:p>
      <w:pPr>
        <w:pStyle w:val="20"/>
        <w:tabs>
          <w:tab w:val="clear" w:pos="1703"/>
        </w:tabs>
        <w:spacing w:line="276" w:lineRule="auto"/>
        <w:ind w:left="1276"/>
      </w:pPr>
      <w:r>
        <w:rPr>
          <w:rFonts w:hint="eastAsia"/>
        </w:rPr>
        <w:t>非遗文化（武强木版年画、蔚县剪纸、衡水内画等）+实物产品载体；</w:t>
      </w:r>
    </w:p>
    <w:p>
      <w:pPr>
        <w:pStyle w:val="20"/>
        <w:tabs>
          <w:tab w:val="clear" w:pos="1703"/>
        </w:tabs>
        <w:spacing w:line="276" w:lineRule="auto"/>
        <w:ind w:left="1276"/>
        <w:rPr>
          <w:rFonts w:hAnsi="宋体"/>
          <w:szCs w:val="22"/>
        </w:rPr>
      </w:pPr>
      <w:r>
        <w:rPr>
          <w:rFonts w:hint="eastAsia" w:hAnsi="宋体"/>
          <w:szCs w:val="22"/>
        </w:rPr>
        <w:t>民俗文化（打树花、庙会、花灯会等）+实物产品载体。</w:t>
      </w:r>
    </w:p>
    <w:p>
      <w:pPr>
        <w:numPr>
          <w:ilvl w:val="0"/>
          <w:numId w:val="27"/>
        </w:numPr>
        <w:spacing w:line="276" w:lineRule="auto"/>
        <w:rPr>
          <w:rFonts w:ascii="宋体" w:hAnsi="宋体"/>
          <w:szCs w:val="22"/>
        </w:rPr>
      </w:pPr>
      <w:r>
        <w:rPr>
          <w:rFonts w:hint="eastAsia" w:ascii="宋体" w:hAnsi="宋体"/>
          <w:szCs w:val="22"/>
        </w:rPr>
        <w:t>衍生型文创产品</w:t>
      </w:r>
    </w:p>
    <w:p>
      <w:pPr>
        <w:pStyle w:val="20"/>
        <w:tabs>
          <w:tab w:val="clear" w:pos="1703"/>
        </w:tabs>
        <w:spacing w:line="276" w:lineRule="auto"/>
        <w:ind w:left="1276"/>
        <w:rPr>
          <w:rFonts w:hAnsi="宋体"/>
          <w:szCs w:val="22"/>
        </w:rPr>
      </w:pPr>
      <w:r>
        <w:rPr>
          <w:rFonts w:hint="eastAsia" w:hAnsi="宋体"/>
          <w:szCs w:val="22"/>
        </w:rPr>
        <w:t>I</w:t>
      </w:r>
      <w:r>
        <w:rPr>
          <w:rFonts w:hAnsi="宋体"/>
          <w:szCs w:val="22"/>
        </w:rPr>
        <w:t>P</w:t>
      </w:r>
      <w:r>
        <w:rPr>
          <w:rFonts w:hint="eastAsia" w:hAnsi="宋体"/>
          <w:szCs w:val="22"/>
        </w:rPr>
        <w:t>衍生品（历史名人I</w:t>
      </w:r>
      <w:r>
        <w:rPr>
          <w:rFonts w:hAnsi="宋体"/>
          <w:szCs w:val="22"/>
        </w:rPr>
        <w:t>P</w:t>
      </w:r>
      <w:r>
        <w:rPr>
          <w:rFonts w:hint="eastAsia" w:hAnsi="宋体"/>
          <w:szCs w:val="22"/>
        </w:rPr>
        <w:t>、动植物I</w:t>
      </w:r>
      <w:r>
        <w:rPr>
          <w:rFonts w:hAnsi="宋体"/>
          <w:szCs w:val="22"/>
        </w:rPr>
        <w:t>P</w:t>
      </w:r>
      <w:r>
        <w:rPr>
          <w:rFonts w:hint="eastAsia" w:hAnsi="宋体"/>
          <w:szCs w:val="22"/>
        </w:rPr>
        <w:t>、虚拟人物I</w:t>
      </w:r>
      <w:r>
        <w:rPr>
          <w:rFonts w:hAnsi="宋体"/>
          <w:szCs w:val="22"/>
        </w:rPr>
        <w:t>P</w:t>
      </w:r>
      <w:r>
        <w:rPr>
          <w:rFonts w:hint="eastAsia" w:hAnsi="宋体"/>
          <w:szCs w:val="22"/>
        </w:rPr>
        <w:t>、美食特产I</w:t>
      </w:r>
      <w:r>
        <w:rPr>
          <w:rFonts w:hAnsi="宋体"/>
          <w:szCs w:val="22"/>
        </w:rPr>
        <w:t>P</w:t>
      </w:r>
      <w:r>
        <w:rPr>
          <w:rFonts w:hint="eastAsia" w:hAnsi="宋体"/>
          <w:szCs w:val="22"/>
        </w:rPr>
        <w:t>等）；</w:t>
      </w:r>
    </w:p>
    <w:p>
      <w:pPr>
        <w:pStyle w:val="20"/>
        <w:tabs>
          <w:tab w:val="clear" w:pos="1703"/>
        </w:tabs>
        <w:spacing w:line="276" w:lineRule="auto"/>
        <w:ind w:left="1276"/>
        <w:rPr>
          <w:rFonts w:hAnsi="宋体"/>
          <w:szCs w:val="22"/>
        </w:rPr>
      </w:pPr>
      <w:r>
        <w:rPr>
          <w:rFonts w:hint="eastAsia" w:hAnsi="宋体"/>
          <w:szCs w:val="22"/>
        </w:rPr>
        <w:t>娱乐艺术衍生品（影视动漫作品、电竞、娱乐、游戏、各种视频图文等）；</w:t>
      </w:r>
    </w:p>
    <w:p>
      <w:pPr>
        <w:pStyle w:val="20"/>
        <w:tabs>
          <w:tab w:val="clear" w:pos="1703"/>
        </w:tabs>
        <w:spacing w:line="276" w:lineRule="auto"/>
        <w:ind w:left="1276"/>
        <w:rPr>
          <w:rFonts w:hAnsi="宋体"/>
          <w:szCs w:val="22"/>
        </w:rPr>
      </w:pPr>
      <w:r>
        <w:rPr>
          <w:rFonts w:hint="eastAsia" w:hAnsi="宋体"/>
          <w:szCs w:val="22"/>
        </w:rPr>
        <w:t>品牌衍生品（红色太行品牌、壮美长城品牌、诚义燕赵品牌、神韵京畿品牌、弄潮渤海品牌等）。</w:t>
      </w:r>
    </w:p>
    <w:p>
      <w:pPr>
        <w:spacing w:line="360" w:lineRule="auto"/>
        <w:jc w:val="left"/>
        <w:rPr>
          <w:rFonts w:ascii="黑体" w:hAnsi="黑体" w:eastAsia="黑体"/>
        </w:rPr>
      </w:pPr>
      <w:r>
        <w:rPr>
          <w:rFonts w:ascii="黑体" w:hAnsi="黑体" w:eastAsia="黑体"/>
        </w:rPr>
        <w:t>2.</w:t>
      </w:r>
      <w:r>
        <w:rPr>
          <w:rFonts w:hint="eastAsia" w:ascii="黑体" w:hAnsi="黑体" w:eastAsia="黑体"/>
        </w:rPr>
        <w:t>实用品</w:t>
      </w:r>
    </w:p>
    <w:p>
      <w:pPr>
        <w:spacing w:line="360" w:lineRule="auto"/>
        <w:ind w:firstLine="440" w:firstLineChars="200"/>
        <w:rPr>
          <w:rFonts w:ascii="黑体" w:hAnsi="黑体" w:eastAsia="黑体"/>
          <w:szCs w:val="22"/>
        </w:rPr>
      </w:pPr>
      <w:r>
        <w:rPr>
          <w:rFonts w:hint="eastAsia" w:ascii="宋体" w:hAnsi="宋体"/>
        </w:rPr>
        <w:t>实用品是指与旅游者衣、食、住、行有关的产品。实用性主要有：</w:t>
      </w:r>
    </w:p>
    <w:p>
      <w:pPr>
        <w:numPr>
          <w:ilvl w:val="0"/>
          <w:numId w:val="28"/>
        </w:numPr>
        <w:spacing w:line="276" w:lineRule="auto"/>
        <w:rPr>
          <w:rFonts w:ascii="宋体" w:hAnsi="宋体"/>
          <w:szCs w:val="22"/>
        </w:rPr>
      </w:pPr>
      <w:r>
        <w:rPr>
          <w:rFonts w:hint="eastAsia" w:ascii="宋体" w:hAnsi="宋体"/>
          <w:szCs w:val="22"/>
        </w:rPr>
        <w:t>土特产品（茶叶、野生菌材、保健药品、名酒、水果等）；</w:t>
      </w:r>
    </w:p>
    <w:p>
      <w:pPr>
        <w:numPr>
          <w:ilvl w:val="0"/>
          <w:numId w:val="28"/>
        </w:numPr>
        <w:spacing w:line="276" w:lineRule="auto"/>
        <w:rPr>
          <w:rFonts w:ascii="宋体" w:hAnsi="宋体"/>
          <w:szCs w:val="22"/>
        </w:rPr>
      </w:pPr>
      <w:r>
        <w:rPr>
          <w:rFonts w:hint="eastAsia" w:ascii="宋体" w:hAnsi="宋体"/>
          <w:szCs w:val="22"/>
        </w:rPr>
        <w:t>旅游食品（符合环保意识的菜品果蔬、风味食品等）；</w:t>
      </w:r>
    </w:p>
    <w:p>
      <w:pPr>
        <w:numPr>
          <w:ilvl w:val="0"/>
          <w:numId w:val="28"/>
        </w:numPr>
        <w:spacing w:line="276" w:lineRule="auto"/>
        <w:rPr>
          <w:rFonts w:ascii="宋体" w:hAnsi="宋体"/>
          <w:szCs w:val="22"/>
        </w:rPr>
      </w:pPr>
      <w:r>
        <w:rPr>
          <w:rFonts w:hint="eastAsia" w:ascii="宋体" w:hAnsi="宋体"/>
          <w:szCs w:val="22"/>
        </w:rPr>
        <w:t>旅游文化宣传用品（导游图、旅游指南、光蝶、宣传册等）。</w:t>
      </w:r>
    </w:p>
    <w:p>
      <w:pPr>
        <w:spacing w:line="360" w:lineRule="auto"/>
        <w:jc w:val="left"/>
        <w:rPr>
          <w:rFonts w:ascii="黑体" w:hAnsi="黑体" w:eastAsia="黑体"/>
        </w:rPr>
      </w:pPr>
      <w:r>
        <w:rPr>
          <w:rFonts w:ascii="黑体" w:hAnsi="黑体" w:eastAsia="黑体"/>
        </w:rPr>
        <w:t>3.</w:t>
      </w:r>
      <w:r>
        <w:rPr>
          <w:rFonts w:hint="eastAsia" w:ascii="黑体" w:hAnsi="黑体" w:eastAsia="黑体"/>
        </w:rPr>
        <w:t>工艺品</w:t>
      </w:r>
    </w:p>
    <w:p>
      <w:pPr>
        <w:spacing w:line="360" w:lineRule="auto"/>
        <w:ind w:firstLine="440" w:firstLineChars="200"/>
        <w:rPr>
          <w:rFonts w:ascii="宋体" w:hAnsi="宋体"/>
        </w:rPr>
      </w:pPr>
      <w:r>
        <w:rPr>
          <w:rFonts w:hint="eastAsia" w:ascii="宋体" w:hAnsi="宋体"/>
        </w:rPr>
        <w:t>工艺品是通过手工或机器将原料或半成品加工而成的产品。工艺品主要有：</w:t>
      </w:r>
    </w:p>
    <w:p>
      <w:pPr>
        <w:numPr>
          <w:ilvl w:val="0"/>
          <w:numId w:val="29"/>
        </w:numPr>
        <w:spacing w:line="276" w:lineRule="auto"/>
        <w:rPr>
          <w:rFonts w:ascii="宋体" w:hAnsi="宋体"/>
          <w:szCs w:val="22"/>
        </w:rPr>
      </w:pPr>
      <w:r>
        <w:rPr>
          <w:rFonts w:hint="eastAsia" w:ascii="宋体" w:hAnsi="宋体"/>
          <w:szCs w:val="22"/>
        </w:rPr>
        <w:t>石玉类（宝玉石、大理石制作物等）；</w:t>
      </w:r>
    </w:p>
    <w:p>
      <w:pPr>
        <w:numPr>
          <w:ilvl w:val="0"/>
          <w:numId w:val="29"/>
        </w:numPr>
        <w:spacing w:line="276" w:lineRule="auto"/>
        <w:rPr>
          <w:rFonts w:ascii="宋体" w:hAnsi="宋体"/>
          <w:szCs w:val="22"/>
        </w:rPr>
      </w:pPr>
      <w:r>
        <w:rPr>
          <w:rFonts w:hint="eastAsia" w:ascii="宋体" w:hAnsi="宋体"/>
          <w:szCs w:val="22"/>
        </w:rPr>
        <w:t>木质类（木雕、竹雕、竹藤制品、民间乐器等）；</w:t>
      </w:r>
    </w:p>
    <w:p>
      <w:pPr>
        <w:numPr>
          <w:ilvl w:val="0"/>
          <w:numId w:val="29"/>
        </w:numPr>
        <w:spacing w:line="276" w:lineRule="auto"/>
        <w:rPr>
          <w:rFonts w:ascii="宋体" w:hAnsi="宋体"/>
          <w:szCs w:val="22"/>
        </w:rPr>
      </w:pPr>
      <w:r>
        <w:rPr>
          <w:rFonts w:hint="eastAsia" w:ascii="宋体" w:hAnsi="宋体"/>
          <w:szCs w:val="22"/>
        </w:rPr>
        <w:t>纺织类（蜡染、民族服饰、锦秀等）；</w:t>
      </w:r>
    </w:p>
    <w:p>
      <w:pPr>
        <w:numPr>
          <w:ilvl w:val="0"/>
          <w:numId w:val="29"/>
        </w:numPr>
        <w:spacing w:line="276" w:lineRule="auto"/>
        <w:rPr>
          <w:rFonts w:ascii="宋体" w:hAnsi="宋体"/>
          <w:szCs w:val="22"/>
        </w:rPr>
      </w:pPr>
      <w:r>
        <w:rPr>
          <w:rFonts w:hint="eastAsia" w:ascii="宋体" w:hAnsi="宋体"/>
          <w:szCs w:val="22"/>
        </w:rPr>
        <w:t>陶瓷类（陶器、瓷器、陶瓷雕塑等）；</w:t>
      </w:r>
    </w:p>
    <w:p>
      <w:pPr>
        <w:numPr>
          <w:ilvl w:val="0"/>
          <w:numId w:val="29"/>
        </w:numPr>
        <w:spacing w:line="276" w:lineRule="auto"/>
        <w:rPr>
          <w:rFonts w:ascii="宋体" w:hAnsi="宋体"/>
          <w:szCs w:val="22"/>
        </w:rPr>
      </w:pPr>
      <w:r>
        <w:rPr>
          <w:rFonts w:hint="eastAsia" w:ascii="宋体" w:hAnsi="宋体"/>
          <w:szCs w:val="22"/>
        </w:rPr>
        <w:t>金属类（金银首饰、器物等）。</w:t>
      </w:r>
    </w:p>
    <w:p>
      <w:pPr>
        <w:spacing w:line="360" w:lineRule="auto"/>
        <w:jc w:val="left"/>
        <w:rPr>
          <w:rFonts w:ascii="黑体" w:hAnsi="黑体" w:eastAsia="黑体"/>
        </w:rPr>
      </w:pPr>
      <w:r>
        <w:rPr>
          <w:rFonts w:ascii="黑体" w:hAnsi="黑体" w:eastAsia="黑体"/>
        </w:rPr>
        <w:t>4.</w:t>
      </w:r>
      <w:r>
        <w:rPr>
          <w:rFonts w:hint="eastAsia" w:ascii="黑体" w:hAnsi="黑体" w:eastAsia="黑体"/>
        </w:rPr>
        <w:t>艺术品</w:t>
      </w:r>
    </w:p>
    <w:p>
      <w:pPr>
        <w:spacing w:line="360" w:lineRule="auto"/>
        <w:ind w:firstLine="440" w:firstLineChars="200"/>
        <w:rPr>
          <w:rFonts w:ascii="宋体" w:hAnsi="宋体"/>
        </w:rPr>
      </w:pPr>
      <w:r>
        <w:rPr>
          <w:rFonts w:hint="eastAsia" w:ascii="宋体" w:hAnsi="宋体"/>
        </w:rPr>
        <w:t>艺术品是艺术家和制作者原创的，具有审美价值和使用功能的一种特殊商品。艺术品主要有：</w:t>
      </w:r>
    </w:p>
    <w:p>
      <w:pPr>
        <w:numPr>
          <w:ilvl w:val="0"/>
          <w:numId w:val="30"/>
        </w:numPr>
        <w:spacing w:line="276" w:lineRule="auto"/>
        <w:rPr>
          <w:rFonts w:ascii="宋体" w:hAnsi="宋体"/>
          <w:szCs w:val="22"/>
        </w:rPr>
      </w:pPr>
      <w:r>
        <w:rPr>
          <w:rFonts w:hint="eastAsia" w:ascii="宋体" w:hAnsi="宋体"/>
          <w:szCs w:val="22"/>
        </w:rPr>
        <w:t>美术作品（国画、书法、油画等）；</w:t>
      </w:r>
    </w:p>
    <w:p>
      <w:pPr>
        <w:numPr>
          <w:ilvl w:val="0"/>
          <w:numId w:val="30"/>
        </w:numPr>
        <w:spacing w:line="276" w:lineRule="auto"/>
        <w:rPr>
          <w:rFonts w:ascii="宋体" w:hAnsi="宋体"/>
          <w:szCs w:val="22"/>
        </w:rPr>
      </w:pPr>
      <w:r>
        <w:rPr>
          <w:rFonts w:hint="eastAsia" w:ascii="宋体" w:hAnsi="宋体"/>
          <w:szCs w:val="22"/>
        </w:rPr>
        <w:t>摄影作品（纪实摄影、风光摄影、人像摄影、创意摄影等）；</w:t>
      </w:r>
    </w:p>
    <w:p>
      <w:pPr>
        <w:numPr>
          <w:ilvl w:val="0"/>
          <w:numId w:val="30"/>
        </w:numPr>
        <w:spacing w:line="276" w:lineRule="auto"/>
        <w:rPr>
          <w:rFonts w:ascii="宋体" w:hAnsi="宋体"/>
          <w:szCs w:val="22"/>
        </w:rPr>
      </w:pPr>
      <w:r>
        <w:rPr>
          <w:rFonts w:hint="eastAsia" w:ascii="宋体" w:hAnsi="宋体"/>
          <w:szCs w:val="22"/>
        </w:rPr>
        <w:t>雕刻作品（玉雕、翠雕、石雕等）。</w:t>
      </w:r>
    </w:p>
    <w:p>
      <w:pPr>
        <w:spacing w:line="360" w:lineRule="auto"/>
        <w:jc w:val="left"/>
      </w:pPr>
    </w:p>
    <w:p>
      <w:pPr>
        <w:jc w:val="left"/>
        <w:rPr>
          <w:rFonts w:hint="eastAsia" w:ascii="Times New Roman" w:hAnsi="Times New Roman" w:cs="Times New Roman"/>
          <w:b w:val="0"/>
          <w:bCs/>
          <w:sz w:val="28"/>
          <w:szCs w:val="28"/>
          <w:lang w:val="en-US" w:eastAsia="zh-CN"/>
        </w:rPr>
      </w:pPr>
      <w:r>
        <w:rPr>
          <w:rFonts w:hint="eastAsia" w:ascii="Times New Roman" w:hAnsi="Times New Roman" w:cs="Times New Roman"/>
          <w:b w:val="0"/>
          <w:bCs/>
          <w:sz w:val="28"/>
          <w:szCs w:val="28"/>
          <w:lang w:val="en-US" w:eastAsia="zh-CN"/>
        </w:rPr>
        <w:t>附件2</w:t>
      </w:r>
    </w:p>
    <w:p>
      <w:pPr>
        <w:autoSpaceDE w:val="0"/>
        <w:autoSpaceDN w:val="0"/>
        <w:adjustRightInd w:val="0"/>
        <w:snapToGrid w:val="0"/>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《旅游景区研学旅游产品设计导则》</w:t>
      </w:r>
    </w:p>
    <w:p>
      <w:pPr>
        <w:autoSpaceDE w:val="0"/>
        <w:autoSpaceDN w:val="0"/>
        <w:adjustRightInd w:val="0"/>
        <w:snapToGrid w:val="0"/>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编制说明</w:t>
      </w:r>
    </w:p>
    <w:p>
      <w:pPr>
        <w:adjustRightInd w:val="0"/>
        <w:snapToGrid w:val="0"/>
        <w:spacing w:line="560" w:lineRule="exact"/>
        <w:ind w:firstLine="640" w:firstLineChars="200"/>
        <w:outlineLvl w:val="0"/>
        <w:rPr>
          <w:rFonts w:ascii="黑体" w:hAnsi="黑体" w:eastAsia="黑体"/>
          <w:bCs/>
          <w:sz w:val="32"/>
          <w:szCs w:val="32"/>
        </w:rPr>
      </w:pPr>
      <w:bookmarkStart w:id="23" w:name="_Toc79573467"/>
    </w:p>
    <w:p>
      <w:pPr>
        <w:adjustRightInd w:val="0"/>
        <w:snapToGrid w:val="0"/>
        <w:spacing w:line="560" w:lineRule="exact"/>
        <w:ind w:firstLine="640" w:firstLineChars="200"/>
        <w:outlineLvl w:val="0"/>
        <w:rPr>
          <w:rFonts w:ascii="黑体" w:hAnsi="黑体" w:eastAsia="黑体"/>
          <w:bCs/>
          <w:sz w:val="32"/>
          <w:szCs w:val="32"/>
        </w:rPr>
      </w:pPr>
      <w:bookmarkStart w:id="24" w:name="_Toc114685250"/>
      <w:bookmarkStart w:id="25" w:name="_Toc114685371"/>
      <w:r>
        <w:rPr>
          <w:rFonts w:hint="eastAsia" w:ascii="黑体" w:hAnsi="黑体" w:eastAsia="黑体"/>
          <w:bCs/>
          <w:sz w:val="32"/>
          <w:szCs w:val="32"/>
        </w:rPr>
        <w:t>一、目的和意义</w:t>
      </w:r>
      <w:bookmarkEnd w:id="23"/>
      <w:bookmarkEnd w:id="24"/>
      <w:bookmarkEnd w:id="25"/>
    </w:p>
    <w:p>
      <w:pPr>
        <w:adjustRightInd w:val="0"/>
        <w:snapToGrid w:val="0"/>
        <w:spacing w:line="560" w:lineRule="exact"/>
        <w:ind w:firstLine="640" w:firstLineChars="200"/>
        <w:rPr>
          <w:rFonts w:ascii="仿宋_GB2312" w:hAnsi="仿宋_GB2312" w:eastAsia="仿宋_GB2312" w:cs="仿宋_GB2312"/>
          <w:bCs/>
          <w:sz w:val="32"/>
          <w:szCs w:val="32"/>
        </w:rPr>
      </w:pPr>
      <w:bookmarkStart w:id="26" w:name="_Toc79573468"/>
      <w:r>
        <w:rPr>
          <w:rFonts w:hint="eastAsia" w:ascii="仿宋_GB2312" w:hAnsi="仿宋_GB2312" w:eastAsia="仿宋_GB2312" w:cs="仿宋_GB2312"/>
          <w:bCs/>
          <w:sz w:val="32"/>
          <w:szCs w:val="32"/>
        </w:rPr>
        <w:t>《旅游景区研学旅游产品设计导则》的制定发布，对深入推进文化和旅游产业的高质量融合发展，全面提升河北省研学旅游发展水平具有十分重要意义。一是对研学旅游本身而言，能有效指导旅游景区研学旅游产品设计全过程，为包括广大中小学生在内的全年龄段旅游者设计高品质研学旅游产品提供技术支撑和保障。二是对河北省研学旅游发展而言，利用优质的研学旅游产品推动旅游景区优势资源价值转换，促进旅游和研学的深度融合，有效推动全省研学旅游事业的发展，将研学旅游培育成为河北省旅游发展创新的增长点，助推全国研学旅游目的地建设。三是对深化教育改革而言，能满足旅游者文化求知、自然探索、自我认知与实践等需求，培育和践行社会主义核心价值观，探索素质教育发展新路径，创新综合实践育人模式，助力“双减”政策全面落地和全民学习氛围的养成，实现全民综合素质提升和民生福祉持续增进。</w:t>
      </w:r>
    </w:p>
    <w:p>
      <w:pPr>
        <w:adjustRightInd w:val="0"/>
        <w:snapToGrid w:val="0"/>
        <w:spacing w:line="560" w:lineRule="exact"/>
        <w:ind w:firstLine="640" w:firstLineChars="200"/>
        <w:outlineLvl w:val="0"/>
        <w:rPr>
          <w:rFonts w:ascii="黑体" w:hAnsi="黑体" w:eastAsia="黑体"/>
          <w:bCs/>
          <w:sz w:val="32"/>
          <w:szCs w:val="32"/>
        </w:rPr>
      </w:pPr>
      <w:bookmarkStart w:id="27" w:name="_Toc114685372"/>
      <w:bookmarkStart w:id="28" w:name="_Toc114685251"/>
      <w:r>
        <w:rPr>
          <w:rFonts w:hint="eastAsia" w:ascii="黑体" w:hAnsi="黑体" w:eastAsia="黑体"/>
          <w:bCs/>
          <w:sz w:val="32"/>
          <w:szCs w:val="32"/>
        </w:rPr>
        <w:t>二、项目基本情况</w:t>
      </w:r>
      <w:bookmarkEnd w:id="26"/>
      <w:bookmarkEnd w:id="27"/>
      <w:bookmarkEnd w:id="28"/>
    </w:p>
    <w:p>
      <w:pPr>
        <w:adjustRightInd w:val="0"/>
        <w:snapToGrid w:val="0"/>
        <w:spacing w:line="560" w:lineRule="exact"/>
        <w:ind w:firstLine="642"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（一）项目来源</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根据河北省市场监督管理局《关于征集2022年河北省地方标准制修订项目的通知》（冀市监函[2022]10号）要求，为全面贯彻《国家标准化发展纲要》及河北省实施意见，2022年1月28日，河北省文化和旅游厅发布了“关于征集2022年河北省文化和旅游行业地方标准制修订项目的通知”。河北衡水湖国家级自然保护区管理委员会结合衡水湖自然教育生态研学、闾里古镇中华优秀传统文化研学的实践经验和研学旅游未来发展需要，积极探索谋划编写关于研学旅游产品设计方面的标准，力求为全省旅游景区研学旅游产品设计工作提供可借鉴、可参考的基本依据。</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在河北省文化和旅游厅、河北省市场监督管理局的精心指导下，我们与衡水市文化广电和旅游局、衡水市市场监督管理局等部门进行了多次实地调研，反复研讨，在立足本部门、本行业的实际的基础上，2022年4月份向河北省市场监督管理局上报了河北省地方标准《旅游景区研学旅游产品设计导则》制修订任务书。</w:t>
      </w:r>
    </w:p>
    <w:p>
      <w:pPr>
        <w:adjustRightInd w:val="0"/>
        <w:snapToGrid w:val="0"/>
        <w:spacing w:line="560" w:lineRule="exact"/>
        <w:ind w:firstLine="640" w:firstLineChars="200"/>
      </w:pPr>
      <w:r>
        <w:rPr>
          <w:rFonts w:hint="eastAsia" w:ascii="仿宋_GB2312" w:hAnsi="仿宋_GB2312" w:eastAsia="仿宋_GB2312" w:cs="仿宋_GB2312"/>
          <w:bCs/>
          <w:sz w:val="32"/>
          <w:szCs w:val="32"/>
        </w:rPr>
        <w:t>2022年9月1日，河北省市场监督管理局印发《关于下达2022年河北省地方标准制修订项目计划的通知》，我单位起草的《旅游景区研学旅游产品设计导则》位列其中。</w:t>
      </w:r>
    </w:p>
    <w:p>
      <w:pPr>
        <w:adjustRightInd w:val="0"/>
        <w:snapToGrid w:val="0"/>
        <w:spacing w:line="560" w:lineRule="exact"/>
        <w:ind w:firstLine="642"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（二）标准提出单位</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本标准由河北省文化和旅游厅提出。</w:t>
      </w:r>
    </w:p>
    <w:p>
      <w:pPr>
        <w:adjustRightInd w:val="0"/>
        <w:snapToGrid w:val="0"/>
        <w:spacing w:line="560" w:lineRule="exact"/>
        <w:ind w:firstLine="642"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（三）标准起草单位和人员</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文件起草单位：河北衡水湖国家级自然保护区管理委员会、衡水滨湖新区文化和旅游局、衡水市文化广电和旅游局、衡水滨湖新区资源保护局、衡水市市场监督管理局滨湖新区分局、衡水滨湖旅游有限公司、衡水湖文化旅游发展有限公司、北京达世文教育科技有限公司。</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本文件主要起草人：刘振杰、冯晓华、刘叶、任艳明、王娟、王文斌、杜国华、王金旭、王志红、安文娟、张晗、吴军梅、宗雪飞、李会龙、赵亚广、宋健、蔚东英、刘冀徽。</w:t>
      </w:r>
    </w:p>
    <w:p>
      <w:pPr>
        <w:adjustRightInd w:val="0"/>
        <w:snapToGrid w:val="0"/>
        <w:spacing w:line="560" w:lineRule="exact"/>
        <w:ind w:firstLine="640" w:firstLineChars="200"/>
        <w:outlineLvl w:val="0"/>
        <w:rPr>
          <w:rFonts w:ascii="黑体" w:hAnsi="黑体" w:eastAsia="黑体"/>
          <w:bCs/>
          <w:sz w:val="32"/>
          <w:szCs w:val="32"/>
        </w:rPr>
      </w:pPr>
      <w:bookmarkStart w:id="29" w:name="_Toc79573469"/>
      <w:bookmarkStart w:id="30" w:name="_Toc114685373"/>
      <w:r>
        <w:rPr>
          <w:rFonts w:hint="eastAsia" w:ascii="黑体" w:hAnsi="黑体" w:eastAsia="黑体"/>
          <w:bCs/>
          <w:sz w:val="32"/>
          <w:szCs w:val="32"/>
        </w:rPr>
        <w:t>三、标准制定过程</w:t>
      </w:r>
      <w:bookmarkEnd w:id="29"/>
      <w:bookmarkEnd w:id="30"/>
    </w:p>
    <w:p>
      <w:pPr>
        <w:adjustRightInd w:val="0"/>
        <w:snapToGrid w:val="0"/>
        <w:spacing w:line="560" w:lineRule="exact"/>
        <w:ind w:firstLine="640" w:firstLineChars="200"/>
        <w:rPr>
          <w:rFonts w:ascii="仿宋_GB2312" w:hAnsi="仿宋_GB2312" w:eastAsia="仿宋_GB2312" w:cs="仿宋_GB2312"/>
          <w:bCs/>
          <w:sz w:val="32"/>
          <w:szCs w:val="32"/>
        </w:rPr>
      </w:pPr>
      <w:bookmarkStart w:id="31" w:name="_Toc79573470"/>
      <w:r>
        <w:rPr>
          <w:rFonts w:hint="eastAsia" w:ascii="仿宋_GB2312" w:hAnsi="仿宋_GB2312" w:eastAsia="仿宋_GB2312" w:cs="仿宋_GB2312"/>
          <w:bCs/>
          <w:sz w:val="32"/>
          <w:szCs w:val="32"/>
        </w:rPr>
        <w:t>工作任务下达后，我单位主要进行了以下几个阶段的工作：</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是组建高水平标准编制团队。在河北省文化和旅游厅的指导下，成立了以河北衡水湖国家级自然保护区管理委员会为核心，多单位参与的标准编制组。邀请多领域、高水平的专家指导和支持，邀请北京师范大学蔚东英教授团队参与标准的编制工作。二是文献的搜集、整理与筛选工作。重点收集了国内外旅游景区研学旅游发展概况、河北省研学旅游产品开发与设计现状研究、国内已经颁布的研学旅游相关标准、河北省研学旅游目前发展存在的问题与相关意见等资料，进一步对文献资料进行整理和筛选。三是开展调研工作</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2022年8月，深入河北省旅游景区开展实地考察，了解旅游景区研学旅游产品开发现状，充分听取旅游景区意见和建议，为标准的编写打下坚实的基础。四是形成初步成果。2022年9月22日，标准编制组召开专题研讨会，对《旅游景区研学旅游产品设计导则（草案）》进行深入分析，听取专家学者、研学机构意见，对草案内容提出更加具体的要求和完善提升方向。2022年11月24日，邀请行业专家学者对《旅游景区研学旅游产品设计导则（草案）》再次进行研讨，对导则文本的章、节、条等内容进行调整、完善，形成《旅游景区研学旅游产品设计导则》（征求意见稿）。</w:t>
      </w:r>
      <w:r>
        <w:rPr>
          <w:rFonts w:hint="eastAsia" w:ascii="仿宋_GB2312" w:hAnsi="仿宋_GB2312" w:eastAsia="仿宋_GB2312" w:cs="仿宋_GB2312"/>
          <w:bCs/>
          <w:sz w:val="32"/>
          <w:szCs w:val="32"/>
          <w:lang w:val="en-US" w:eastAsia="zh-CN"/>
        </w:rPr>
        <w:t>2022年12月16日-2023年1月6日，向文化和旅游部旅游质量监督管理所、中青旅、北京林业大学、衡水学院以及世界研学旅游组织等41家单位征求意见，最终征集55条有效意见。</w:t>
      </w:r>
      <w:r>
        <w:rPr>
          <w:rFonts w:ascii="仿宋_GB2312" w:hAnsi="仿宋_GB2312" w:eastAsia="仿宋_GB2312" w:cs="仿宋_GB2312"/>
          <w:bCs/>
          <w:sz w:val="32"/>
          <w:szCs w:val="32"/>
        </w:rPr>
        <w:t>2023年</w:t>
      </w:r>
      <w:r>
        <w:rPr>
          <w:rFonts w:hint="eastAsia" w:ascii="仿宋_GB2312" w:hAnsi="仿宋_GB2312" w:eastAsia="仿宋_GB2312" w:cs="仿宋_GB2312"/>
          <w:bCs/>
          <w:sz w:val="32"/>
          <w:szCs w:val="32"/>
        </w:rPr>
        <w:t>1月</w:t>
      </w:r>
      <w:r>
        <w:rPr>
          <w:rFonts w:ascii="仿宋_GB2312" w:hAnsi="仿宋_GB2312" w:eastAsia="仿宋_GB2312" w:cs="仿宋_GB2312"/>
          <w:bCs/>
          <w:sz w:val="32"/>
          <w:szCs w:val="32"/>
        </w:rPr>
        <w:t>31</w:t>
      </w:r>
      <w:r>
        <w:rPr>
          <w:rFonts w:hint="eastAsia" w:ascii="仿宋_GB2312" w:hAnsi="仿宋_GB2312" w:eastAsia="仿宋_GB2312" w:cs="仿宋_GB2312"/>
          <w:bCs/>
          <w:sz w:val="32"/>
          <w:szCs w:val="32"/>
        </w:rPr>
        <w:t>日，编制组对收集到的反馈意见认真分析研究，逐条意见进行修改整理，形成本次《旅游景区研学旅游产品设计导则》（网上征求意见稿）。</w:t>
      </w:r>
    </w:p>
    <w:p>
      <w:pPr>
        <w:adjustRightInd w:val="0"/>
        <w:snapToGrid w:val="0"/>
        <w:spacing w:line="560" w:lineRule="exact"/>
        <w:ind w:firstLine="640" w:firstLineChars="200"/>
        <w:outlineLvl w:val="0"/>
        <w:rPr>
          <w:rFonts w:ascii="黑体" w:hAnsi="黑体" w:eastAsia="黑体"/>
          <w:bCs/>
          <w:sz w:val="32"/>
          <w:szCs w:val="32"/>
        </w:rPr>
      </w:pPr>
      <w:bookmarkStart w:id="32" w:name="_Toc114685374"/>
      <w:bookmarkStart w:id="33" w:name="_Toc114685252"/>
      <w:r>
        <w:rPr>
          <w:rFonts w:hint="eastAsia" w:ascii="黑体" w:hAnsi="黑体" w:eastAsia="黑体"/>
          <w:bCs/>
          <w:sz w:val="32"/>
          <w:szCs w:val="32"/>
        </w:rPr>
        <w:t>四、标准编制原则</w:t>
      </w:r>
      <w:bookmarkEnd w:id="31"/>
      <w:bookmarkEnd w:id="32"/>
      <w:bookmarkEnd w:id="33"/>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本标准编制遵循了以下主要原则。</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协调性原则。本标准以《中华人民共和国旅游法》等法律法规为依据，参考了国家、行业、地方相关标准，根据河北省旅游景区实际编写。标准框架、内容不仅与国家、行业管理办法协调一致，对相关法律法规也起到支撑落地作用。</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适用性原则。研学旅游作为全面提升“旅游+”新业态的突破口，河北省旅游资源得天独厚，具备开展研学旅游活动的区位和资源优势，且发展势头强劲，各方需求强烈。编制《旅游景区研学旅游产品设计导则》，将具有较强的现实适用性。</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（三）规范性原则。本标准的制定符合GB/T1.1-2020《标准化工作导则 第1部分：标准化文件的结构和起草规则》要求，文本内容及文本格式具有规范性。</w:t>
      </w:r>
    </w:p>
    <w:p>
      <w:pPr>
        <w:adjustRightInd w:val="0"/>
        <w:snapToGrid w:val="0"/>
        <w:spacing w:line="560" w:lineRule="exact"/>
        <w:ind w:firstLine="640" w:firstLineChars="200"/>
        <w:outlineLvl w:val="0"/>
        <w:rPr>
          <w:rFonts w:ascii="黑体" w:hAnsi="黑体" w:eastAsia="黑体"/>
          <w:bCs/>
          <w:sz w:val="32"/>
          <w:szCs w:val="32"/>
        </w:rPr>
      </w:pPr>
      <w:bookmarkStart w:id="34" w:name="_Toc79573472"/>
      <w:bookmarkStart w:id="35" w:name="_Toc114685253"/>
      <w:bookmarkStart w:id="36" w:name="_Toc114685375"/>
      <w:r>
        <w:rPr>
          <w:rFonts w:hint="eastAsia" w:ascii="黑体" w:hAnsi="黑体" w:eastAsia="黑体"/>
          <w:bCs/>
          <w:sz w:val="32"/>
          <w:szCs w:val="32"/>
        </w:rPr>
        <w:t>五、主要内容</w:t>
      </w:r>
      <w:bookmarkEnd w:id="34"/>
      <w:r>
        <w:rPr>
          <w:rFonts w:hint="eastAsia" w:ascii="黑体" w:hAnsi="黑体" w:eastAsia="黑体"/>
          <w:bCs/>
          <w:sz w:val="32"/>
          <w:szCs w:val="32"/>
        </w:rPr>
        <w:t>及确定依据</w:t>
      </w:r>
      <w:bookmarkEnd w:id="35"/>
      <w:bookmarkEnd w:id="36"/>
    </w:p>
    <w:p>
      <w:pPr>
        <w:widowControl/>
        <w:tabs>
          <w:tab w:val="center" w:pos="4201"/>
          <w:tab w:val="right" w:leader="dot" w:pos="9298"/>
        </w:tabs>
        <w:autoSpaceDE w:val="0"/>
        <w:autoSpaceDN w:val="0"/>
        <w:spacing w:line="560" w:lineRule="exact"/>
        <w:ind w:firstLine="642"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（一）主要内容</w:t>
      </w:r>
    </w:p>
    <w:p>
      <w:pPr>
        <w:widowControl/>
        <w:tabs>
          <w:tab w:val="center" w:pos="4201"/>
          <w:tab w:val="right" w:leader="dot" w:pos="9298"/>
        </w:tabs>
        <w:autoSpaceDE w:val="0"/>
        <w:autoSpaceDN w:val="0"/>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1.标准明确了研学旅游、研学旅游产品、研学旅游产品设计、研学旅游课程、研学旅游硬件、研学旅游导师的定义。</w:t>
      </w:r>
    </w:p>
    <w:p>
      <w:pPr>
        <w:widowControl/>
        <w:tabs>
          <w:tab w:val="center" w:pos="4201"/>
          <w:tab w:val="right" w:leader="dot" w:pos="9298"/>
        </w:tabs>
        <w:autoSpaceDE w:val="0"/>
        <w:autoSpaceDN w:val="0"/>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2.</w:t>
      </w:r>
      <w:r>
        <w:rPr>
          <w:rFonts w:hint="eastAsia" w:ascii="仿宋" w:hAnsi="仿宋" w:eastAsia="仿宋" w:cs="仿宋"/>
          <w:bCs/>
        </w:rPr>
        <w:t xml:space="preserve"> </w:t>
      </w:r>
      <w:r>
        <w:rPr>
          <w:rFonts w:hint="eastAsia" w:ascii="仿宋" w:hAnsi="仿宋" w:eastAsia="仿宋" w:cs="仿宋"/>
          <w:bCs/>
          <w:sz w:val="32"/>
          <w:szCs w:val="32"/>
        </w:rPr>
        <w:t>标准明确了研学旅游产品的总体设计要求，包括指导思想、设计原则、基本步骤、设计方法等方面。</w:t>
      </w:r>
    </w:p>
    <w:p>
      <w:pPr>
        <w:adjustRightInd w:val="0"/>
        <w:snapToGrid w:val="0"/>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3.</w:t>
      </w:r>
      <w:r>
        <w:rPr>
          <w:rFonts w:hint="eastAsia" w:ascii="仿宋" w:hAnsi="仿宋" w:eastAsia="仿宋" w:cs="仿宋"/>
          <w:bCs/>
        </w:rPr>
        <w:t xml:space="preserve"> </w:t>
      </w:r>
      <w:r>
        <w:rPr>
          <w:rFonts w:hint="eastAsia" w:ascii="仿宋" w:hAnsi="仿宋" w:eastAsia="仿宋" w:cs="仿宋"/>
          <w:bCs/>
          <w:sz w:val="32"/>
          <w:szCs w:val="32"/>
        </w:rPr>
        <w:t>标准明确了研学旅游产品设计的要求，主要包括研学旅游课程、研学旅游硬件、研学旅游路线、研学旅游商品和智慧研学旅游产品五大类。</w:t>
      </w:r>
    </w:p>
    <w:p>
      <w:pPr>
        <w:adjustRightInd w:val="0"/>
        <w:snapToGrid w:val="0"/>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4.标准明确了研学旅游产品的质量保障与管理。</w:t>
      </w:r>
    </w:p>
    <w:p>
      <w:pPr>
        <w:adjustRightInd w:val="0"/>
        <w:snapToGrid w:val="0"/>
        <w:spacing w:line="560" w:lineRule="exact"/>
        <w:ind w:firstLine="642"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（二）确定依据</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标准制定的总体思路是以《中华人民共和国旅游法》等法律法规为依据，根据河北省旅游景区研学旅游的区位和资源优势，考虑到旅游景区研学旅游产品的现状，全方面、多角度、系统化的编制了《旅游景区研学旅游产品设计导则》，有助于提升河北省文旅行业规划的总体水平，确保规划的科学性、前瞻性和可操作性，为研学旅游产品提供技术支撑和保障，指导河北省旅游景区研学旅游产品的设计和开发工作，促进河北省文旅产业的高质量融合和可持续性发展。</w:t>
      </w:r>
    </w:p>
    <w:p>
      <w:pPr>
        <w:adjustRightInd w:val="0"/>
        <w:snapToGrid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从国家、行业标准层面看，尚无关于研学旅游产品类的专业性、权威性标准规范，多是关于旅游产品或生态产品的标准。其中河北省出台了2项关于研学旅行的标准，分别是《研学旅行基地服务规范》和《研学旅行基地设施规范》。《研学旅行基地服务规范》规定了研学旅行基地服务的术语和定义、基本要求、安全服务、设施服务、教育服务、游览服务、体验服务、国际交流、配套服务和质量管理的要求。《研学旅行基地设施规范》规定了研学旅行基地设施的总则、教育设施、游览设施、配套设施、建设管理的任务、目标和要求。鉴于研学旅游的蓬勃发展，应适时颁布关于旅游景区研学旅游产品标准规范，以顶层设计的形式规范研学旅游产品的总体设计和开发要求等。</w:t>
      </w:r>
    </w:p>
    <w:p>
      <w:pPr>
        <w:adjustRightInd w:val="0"/>
        <w:snapToGrid w:val="0"/>
        <w:spacing w:line="560" w:lineRule="exact"/>
        <w:ind w:firstLine="640" w:firstLineChars="200"/>
        <w:outlineLvl w:val="0"/>
        <w:rPr>
          <w:rFonts w:ascii="黑体" w:hAnsi="黑体" w:eastAsia="黑体"/>
          <w:bCs/>
          <w:sz w:val="32"/>
          <w:szCs w:val="32"/>
        </w:rPr>
      </w:pPr>
      <w:r>
        <w:rPr>
          <w:rFonts w:hint="eastAsia" w:ascii="黑体" w:hAnsi="黑体" w:eastAsia="黑体"/>
          <w:bCs/>
          <w:sz w:val="32"/>
          <w:szCs w:val="32"/>
        </w:rPr>
        <w:t>六、创新点</w:t>
      </w:r>
    </w:p>
    <w:p>
      <w:pPr>
        <w:widowControl/>
        <w:tabs>
          <w:tab w:val="center" w:pos="4201"/>
          <w:tab w:val="right" w:leader="dot" w:pos="9298"/>
        </w:tabs>
        <w:autoSpaceDE w:val="0"/>
        <w:autoSpaceDN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研学旅游并非是新概念，各大旅游景区也在积极探索研学旅游模式。但从目前已有的标准来看，河北省的地方标准还没有出台关于研学旅游产品方面的相关规范。鉴于研学旅游产品的蓬勃发展，编制关于旅游景区研学旅游产品标准规范，以顶层设计的形式规范研学旅游产品的总体设计和开发要求等。</w:t>
      </w:r>
    </w:p>
    <w:p>
      <w:pPr>
        <w:spacing w:line="560" w:lineRule="exact"/>
        <w:ind w:firstLine="640" w:firstLineChars="200"/>
        <w:rPr>
          <w:rFonts w:hint="default" w:ascii="Times New Roman" w:hAnsi="Times New Roman" w:cs="Times New Roman"/>
          <w:b w:val="0"/>
          <w:bCs/>
          <w:sz w:val="28"/>
          <w:szCs w:val="28"/>
          <w:lang w:val="en-US" w:eastAsia="zh-CN"/>
        </w:rPr>
      </w:pPr>
      <w:r>
        <w:rPr>
          <w:rFonts w:hint="eastAsia" w:ascii="仿宋_GB2312" w:hAnsi="仿宋_GB2312" w:eastAsia="仿宋_GB2312" w:cs="仿宋_GB2312"/>
          <w:bCs/>
          <w:sz w:val="32"/>
          <w:szCs w:val="32"/>
        </w:rPr>
        <w:t>（二）目前很多的传统旅行社自主开发的研学旅游产品较为粗放，且销售的多是较为同质化、非主题化的旅游产品，研学旅游产品无规范化体系，这使得研学旅游工作存在一定的自发性和盲目性。本标准的制定，将有利于根据河北省研学旅游资源实况，构建基于现代服务理念的、科学的、完善的研学旅游产品体系，形成时令齐全、类型多样、覆盖面广、特色鲜明的旅游景区研学旅游产品。</w:t>
      </w:r>
    </w:p>
    <w:sectPr>
      <w:footerReference r:id="rId10" w:type="default"/>
      <w:pgSz w:w="11910" w:h="16840"/>
      <w:pgMar w:top="1440" w:right="1800" w:bottom="1440" w:left="1800" w:header="0" w:footer="601" w:gutter="0"/>
      <w:pgNumType w:fmt="decimal"/>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Calibri Light">
    <w:altName w:val="DejaVu Sans"/>
    <w:panose1 w:val="020F0302020204030204"/>
    <w:charset w:val="00"/>
    <w:family w:val="swiss"/>
    <w:pitch w:val="default"/>
    <w:sig w:usb0="00000000" w:usb1="00000000" w:usb2="00000009" w:usb3="00000000" w:csb0="200001FF"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BgkQdHQIAACsEAAAOAAAAZHJz&#10;L2Uyb0RvYy54bWytU82O0zAQviPxDpbvNGlXrK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MGCRB0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dwRadHQIAACsEAAAOAAAAZHJz&#10;L2Uyb0RvYy54bWytU82O0zAQviPxDpbvNGmBVV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ihLDNGZ0+vb19P3p9OML&#10;wRsAalyYwW/j4BnbN7YtaPR7MZgC3lPrrfQ63WiKwAVoHy8IizYSjsfxdDKd5jBx2AYFKbLrd+dD&#10;fCusJkkoqMcIO2TZYR3i2XVwSdmMXdVKdWNUhjQFvXn5O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B3BFp0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vA/AhHQIAACsEAAAOAAAAZHJz&#10;L2Uyb0RvYy54bWytU82O0zAQviPxDpbvNGnRrq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G8D8CE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EOqPxwCAAArBAAADgAAAAAAAAABACAAAAA1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BTHVGnGwIAACsEAAAOAAAAAAAAAAEAIAAAADU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h37cb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Id+3GxwCAAArBAAADgAAAAAAAAABACAAAAA1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Bwn/kHAIAACs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QcJ/5BwCAAArBAAADgAAAAAAAAABACAAAAA1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zAJlYHQIAACsEAAAOAAAAZHJz&#10;L2Uyb0RvYy54bWytU82O0zAQviPxDpbvNGkRq1I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DMAmVg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0000002"/>
    <w:multiLevelType w:val="multilevel"/>
    <w:tmpl w:val="00000002"/>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0000003"/>
    <w:multiLevelType w:val="multilevel"/>
    <w:tmpl w:val="0000000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00000004"/>
    <w:multiLevelType w:val="multilevel"/>
    <w:tmpl w:val="0000000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00000005"/>
    <w:multiLevelType w:val="multilevel"/>
    <w:tmpl w:val="00000005"/>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00000007"/>
    <w:multiLevelType w:val="multilevel"/>
    <w:tmpl w:val="00000007"/>
    <w:lvl w:ilvl="0" w:tentative="0">
      <w:start w:val="1"/>
      <w:numFmt w:val="none"/>
      <w:pStyle w:val="20"/>
      <w:lvlText w:val="%1——"/>
      <w:lvlJc w:val="left"/>
      <w:pPr>
        <w:tabs>
          <w:tab w:val="left" w:pos="1703"/>
        </w:tabs>
        <w:ind w:left="1703" w:hanging="426"/>
      </w:pPr>
      <w:rPr>
        <w:rFonts w:hint="eastAsia" w:ascii="宋体" w:hAnsi="Times New Roman" w:eastAsia="宋体"/>
        <w:b w:val="0"/>
        <w:i w:val="0"/>
        <w:sz w:val="21"/>
      </w:rPr>
    </w:lvl>
    <w:lvl w:ilvl="1" w:tentative="0">
      <w:start w:val="1"/>
      <w:numFmt w:val="none"/>
      <w:lvlText w:val=""/>
      <w:lvlJc w:val="left"/>
      <w:pPr>
        <w:ind w:left="851" w:hanging="431"/>
      </w:pPr>
      <w:rPr>
        <w:rFonts w:hint="default" w:ascii="Symbol" w:hAnsi="Symbol"/>
        <w:sz w:val="21"/>
      </w:rPr>
    </w:lvl>
    <w:lvl w:ilvl="2" w:tentative="0">
      <w:start w:val="1"/>
      <w:numFmt w:val="bullet"/>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6">
    <w:nsid w:val="00000008"/>
    <w:multiLevelType w:val="multilevel"/>
    <w:tmpl w:val="00000008"/>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0000000C"/>
    <w:multiLevelType w:val="multilevel"/>
    <w:tmpl w:val="0000000C"/>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0000000D"/>
    <w:multiLevelType w:val="multilevel"/>
    <w:tmpl w:val="0000000D"/>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0000000F"/>
    <w:multiLevelType w:val="multilevel"/>
    <w:tmpl w:val="0000000F"/>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00000010"/>
    <w:multiLevelType w:val="multilevel"/>
    <w:tmpl w:val="00000010"/>
    <w:lvl w:ilvl="0" w:tentative="0">
      <w:start w:val="1"/>
      <w:numFmt w:val="lowerLetter"/>
      <w:pStyle w:val="19"/>
      <w:lvlText w:val="%1)"/>
      <w:lvlJc w:val="left"/>
      <w:pPr>
        <w:tabs>
          <w:tab w:val="left" w:pos="851"/>
        </w:tabs>
        <w:ind w:left="851" w:hanging="426"/>
      </w:pPr>
      <w:rPr>
        <w:rFonts w:hint="eastAsia" w:ascii="宋体" w:hAnsi="Times New Roman" w:eastAsia="宋体"/>
        <w:sz w:val="21"/>
      </w:rPr>
    </w:lvl>
    <w:lvl w:ilvl="1" w:tentative="0">
      <w:start w:val="1"/>
      <w:numFmt w:val="decimal"/>
      <w:lvlText w:val="%2)"/>
      <w:lvlJc w:val="left"/>
      <w:pPr>
        <w:tabs>
          <w:tab w:val="left" w:pos="1276"/>
        </w:tabs>
        <w:ind w:left="1276" w:hanging="425"/>
      </w:pPr>
      <w:rPr>
        <w:rFonts w:hint="eastAsia" w:ascii="宋体" w:hAnsi="Times New Roman" w:eastAsia="宋体"/>
        <w:sz w:val="21"/>
      </w:rPr>
    </w:lvl>
    <w:lvl w:ilvl="2" w:tentative="0">
      <w:start w:val="1"/>
      <w:numFmt w:val="decimal"/>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1">
    <w:nsid w:val="00000011"/>
    <w:multiLevelType w:val="multilevel"/>
    <w:tmpl w:val="0000001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00000013"/>
    <w:multiLevelType w:val="multilevel"/>
    <w:tmpl w:val="0000001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00000014"/>
    <w:multiLevelType w:val="multilevel"/>
    <w:tmpl w:val="0000001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00000015"/>
    <w:multiLevelType w:val="multilevel"/>
    <w:tmpl w:val="00000015"/>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00000016"/>
    <w:multiLevelType w:val="multilevel"/>
    <w:tmpl w:val="00000016"/>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00000018"/>
    <w:multiLevelType w:val="multilevel"/>
    <w:tmpl w:val="00000018"/>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7">
    <w:nsid w:val="00000019"/>
    <w:multiLevelType w:val="multilevel"/>
    <w:tmpl w:val="00000019"/>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0000001B"/>
    <w:multiLevelType w:val="multilevel"/>
    <w:tmpl w:val="0000001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0000001C"/>
    <w:multiLevelType w:val="multilevel"/>
    <w:tmpl w:val="0000001C"/>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0000001D"/>
    <w:multiLevelType w:val="multilevel"/>
    <w:tmpl w:val="0000001D"/>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0000001E"/>
    <w:multiLevelType w:val="multilevel"/>
    <w:tmpl w:val="0000001E"/>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rPr>
        <w:rFonts w:hint="eastAsia" w:ascii="黑体" w:hAnsi="Times New Roman" w:eastAsia="黑体" w:cs="Times New Roman"/>
        <w:b w:val="0"/>
        <w:bCs w:val="0"/>
        <w:i w:val="0"/>
        <w:iCs w:val="0"/>
        <w:caps w:val="0"/>
        <w:smallCaps w:val="0"/>
        <w:vanish w:val="0"/>
        <w:color w:val="000000"/>
        <w:spacing w:val="0"/>
        <w:kern w:val="0"/>
        <w:position w:val="0"/>
        <w:sz w:val="21"/>
        <w:u w:val="none"/>
        <w:vertAlign w:val="baseline"/>
      </w:rPr>
    </w:lvl>
    <w:lvl w:ilvl="3" w:tentative="0">
      <w:start w:val="1"/>
      <w:numFmt w:val="decimal"/>
      <w:pStyle w:val="18"/>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284"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2">
    <w:nsid w:val="0000001F"/>
    <w:multiLevelType w:val="multilevel"/>
    <w:tmpl w:val="0000001F"/>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3">
    <w:nsid w:val="00000020"/>
    <w:multiLevelType w:val="multilevel"/>
    <w:tmpl w:val="0000002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4">
    <w:nsid w:val="00000021"/>
    <w:multiLevelType w:val="multilevel"/>
    <w:tmpl w:val="0000002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00000022"/>
    <w:multiLevelType w:val="multilevel"/>
    <w:tmpl w:val="00000022"/>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6">
    <w:nsid w:val="00000023"/>
    <w:multiLevelType w:val="multilevel"/>
    <w:tmpl w:val="0000002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00000025"/>
    <w:multiLevelType w:val="multilevel"/>
    <w:tmpl w:val="00000025"/>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68985A5A"/>
    <w:multiLevelType w:val="multilevel"/>
    <w:tmpl w:val="68985A5A"/>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1"/>
  </w:num>
  <w:num w:numId="2">
    <w:abstractNumId w:val="10"/>
  </w:num>
  <w:num w:numId="3">
    <w:abstractNumId w:val="5"/>
  </w:num>
  <w:num w:numId="4">
    <w:abstractNumId w:val="26"/>
  </w:num>
  <w:num w:numId="5">
    <w:abstractNumId w:val="28"/>
  </w:num>
  <w:num w:numId="6">
    <w:abstractNumId w:val="20"/>
  </w:num>
  <w:num w:numId="7">
    <w:abstractNumId w:val="25"/>
  </w:num>
  <w:num w:numId="8">
    <w:abstractNumId w:val="14"/>
  </w:num>
  <w:num w:numId="9">
    <w:abstractNumId w:val="11"/>
  </w:num>
  <w:num w:numId="10">
    <w:abstractNumId w:val="3"/>
  </w:num>
  <w:num w:numId="11">
    <w:abstractNumId w:val="0"/>
  </w:num>
  <w:num w:numId="12">
    <w:abstractNumId w:val="27"/>
  </w:num>
  <w:num w:numId="13">
    <w:abstractNumId w:val="18"/>
  </w:num>
  <w:num w:numId="14">
    <w:abstractNumId w:val="16"/>
  </w:num>
  <w:num w:numId="15">
    <w:abstractNumId w:val="22"/>
  </w:num>
  <w:num w:numId="16">
    <w:abstractNumId w:val="12"/>
  </w:num>
  <w:num w:numId="17">
    <w:abstractNumId w:val="4"/>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2"/>
  </w:num>
  <w:num w:numId="21">
    <w:abstractNumId w:val="6"/>
  </w:num>
  <w:num w:numId="22">
    <w:abstractNumId w:val="9"/>
  </w:num>
  <w:num w:numId="23">
    <w:abstractNumId w:val="1"/>
  </w:num>
  <w:num w:numId="24">
    <w:abstractNumId w:val="13"/>
  </w:num>
  <w:num w:numId="25">
    <w:abstractNumId w:val="7"/>
  </w:num>
  <w:num w:numId="26">
    <w:abstractNumId w:val="19"/>
  </w:num>
  <w:num w:numId="27">
    <w:abstractNumId w:val="24"/>
  </w:num>
  <w:num w:numId="28">
    <w:abstractNumId w:val="23"/>
  </w:num>
  <w:num w:numId="29">
    <w:abstractNumId w:val="17"/>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wYTFkYTJmZGE1NmY5YjUzZWNhMGI2MzBmODllYmMifQ=="/>
  </w:docVars>
  <w:rsids>
    <w:rsidRoot w:val="7C685852"/>
    <w:rsid w:val="13F25C9B"/>
    <w:rsid w:val="202764B4"/>
    <w:rsid w:val="41D21F64"/>
    <w:rsid w:val="41E00C98"/>
    <w:rsid w:val="7B446665"/>
    <w:rsid w:val="7C685852"/>
    <w:rsid w:val="7EBF5509"/>
    <w:rsid w:val="FFF6AF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zh-CN" w:bidi="ar-SA"/>
    </w:rPr>
  </w:style>
  <w:style w:type="paragraph" w:styleId="3">
    <w:name w:val="heading 1"/>
    <w:basedOn w:val="1"/>
    <w:next w:val="1"/>
    <w:qFormat/>
    <w:uiPriority w:val="1"/>
    <w:pPr>
      <w:ind w:left="60" w:right="167"/>
      <w:jc w:val="center"/>
      <w:outlineLvl w:val="0"/>
    </w:pPr>
    <w:rPr>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等线" w:eastAsia="宋体" w:cs="宋体"/>
      <w:color w:val="000000"/>
      <w:sz w:val="24"/>
      <w:szCs w:val="24"/>
      <w:lang w:val="en-US" w:eastAsia="zh-CN" w:bidi="ar-SA"/>
    </w:rPr>
  </w:style>
  <w:style w:type="paragraph" w:styleId="4">
    <w:name w:val="Body Text"/>
    <w:basedOn w:val="1"/>
    <w:qFormat/>
    <w:uiPriority w:val="1"/>
    <w:rPr>
      <w:sz w:val="32"/>
      <w:szCs w:val="32"/>
    </w:rPr>
  </w:style>
  <w:style w:type="paragraph" w:styleId="5">
    <w:name w:val="footer"/>
    <w:basedOn w:val="1"/>
    <w:unhideWhenUsed/>
    <w:qFormat/>
    <w:uiPriority w:val="99"/>
    <w:pPr>
      <w:tabs>
        <w:tab w:val="center" w:pos="4153"/>
        <w:tab w:val="right" w:pos="8306"/>
      </w:tabs>
      <w:snapToGrid w:val="0"/>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39"/>
    <w:rPr>
      <w:sz w:val="24"/>
    </w:rPr>
  </w:style>
  <w:style w:type="character" w:styleId="10">
    <w:name w:val="Hyperlink"/>
    <w:basedOn w:val="9"/>
    <w:qFormat/>
    <w:uiPriority w:val="99"/>
    <w:rPr>
      <w:color w:val="0563C1"/>
      <w:u w:val="single"/>
    </w:rPr>
  </w:style>
  <w:style w:type="paragraph" w:customStyle="1" w:styleId="11">
    <w:name w:val="封面标准英文名称"/>
    <w:basedOn w:val="12"/>
    <w:qFormat/>
    <w:uiPriority w:val="0"/>
    <w:pPr>
      <w:framePr/>
      <w:spacing w:before="370" w:line="400" w:lineRule="exact"/>
    </w:pPr>
    <w:rPr>
      <w:rFonts w:ascii="Times New Roman"/>
      <w:sz w:val="28"/>
      <w:szCs w:val="28"/>
    </w:rPr>
  </w:style>
  <w:style w:type="paragraph" w:customStyle="1" w:styleId="12">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3">
    <w:name w:val="封面标准文稿类别"/>
    <w:basedOn w:val="14"/>
    <w:qFormat/>
    <w:uiPriority w:val="0"/>
    <w:pPr>
      <w:framePr/>
      <w:spacing w:after="160" w:line="240" w:lineRule="auto"/>
    </w:pPr>
    <w:rPr>
      <w:sz w:val="24"/>
    </w:rPr>
  </w:style>
  <w:style w:type="paragraph" w:customStyle="1" w:styleId="14">
    <w:name w:val="封面一致性程度标识"/>
    <w:basedOn w:val="11"/>
    <w:qFormat/>
    <w:uiPriority w:val="0"/>
    <w:pPr>
      <w:framePr/>
      <w:spacing w:before="440"/>
    </w:pPr>
    <w:rPr>
      <w:rFonts w:ascii="宋体" w:eastAsia="宋体"/>
    </w:rPr>
  </w:style>
  <w:style w:type="paragraph" w:customStyle="1" w:styleId="15">
    <w:name w:val="目录标题2"/>
    <w:basedOn w:val="3"/>
    <w:next w:val="1"/>
    <w:qFormat/>
    <w:uiPriority w:val="39"/>
    <w:pPr>
      <w:widowControl/>
      <w:spacing w:before="240" w:after="0" w:line="259" w:lineRule="auto"/>
      <w:outlineLvl w:val="9"/>
    </w:pPr>
    <w:rPr>
      <w:rFonts w:ascii="Calibri Light" w:hAnsi="Calibri Light"/>
      <w:color w:val="2E74B5"/>
      <w:kern w:val="0"/>
      <w:sz w:val="32"/>
      <w:szCs w:val="32"/>
    </w:rPr>
  </w:style>
  <w:style w:type="paragraph" w:styleId="16">
    <w:name w:val="List Paragraph"/>
    <w:basedOn w:val="1"/>
    <w:qFormat/>
    <w:uiPriority w:val="99"/>
    <w:pPr>
      <w:ind w:firstLine="420" w:firstLineChars="200"/>
    </w:pPr>
  </w:style>
  <w:style w:type="paragraph" w:customStyle="1" w:styleId="17">
    <w:name w:val="标准文件_二级无标题"/>
    <w:basedOn w:val="18"/>
    <w:qFormat/>
    <w:uiPriority w:val="0"/>
    <w:pPr>
      <w:spacing w:before="0" w:after="0"/>
      <w:outlineLvl w:val="9"/>
    </w:pPr>
    <w:rPr>
      <w:rFonts w:ascii="宋体" w:eastAsia="宋体"/>
    </w:rPr>
  </w:style>
  <w:style w:type="paragraph" w:customStyle="1" w:styleId="18">
    <w:name w:val="标准文件_二级条标题"/>
    <w:next w:val="1"/>
    <w:qFormat/>
    <w:uiPriority w:val="0"/>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19">
    <w:name w:val="标准文件_字母编号列项（一级）"/>
    <w:qFormat/>
    <w:uiPriority w:val="0"/>
    <w:pPr>
      <w:numPr>
        <w:ilvl w:val="0"/>
        <w:numId w:val="2"/>
      </w:numPr>
      <w:jc w:val="both"/>
    </w:pPr>
    <w:rPr>
      <w:rFonts w:ascii="宋体" w:hAnsi="Times New Roman" w:eastAsia="宋体" w:cs="Times New Roman"/>
      <w:sz w:val="21"/>
      <w:lang w:val="en-US" w:eastAsia="zh-CN" w:bidi="ar-SA"/>
    </w:rPr>
  </w:style>
  <w:style w:type="paragraph" w:customStyle="1" w:styleId="20">
    <w:name w:val="标准文件_一级项"/>
    <w:qFormat/>
    <w:uiPriority w:val="0"/>
    <w:pPr>
      <w:numPr>
        <w:ilvl w:val="0"/>
        <w:numId w:val="3"/>
      </w:numPr>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10717</Words>
  <Characters>11416</Characters>
  <Lines>0</Lines>
  <Paragraphs>0</Paragraphs>
  <TotalTime>13</TotalTime>
  <ScaleCrop>false</ScaleCrop>
  <LinksUpToDate>false</LinksUpToDate>
  <CharactersWithSpaces>11632</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2023-02-01T15:01:00Z</dcterms:created>
  <dc:creator>lenovo</dc:creator>
  <cp:lastModifiedBy>uos</cp:lastModifiedBy>
  <cp:lastPrinted>2023-02-06T14:16:00Z</cp:lastPrinted>
  <dcterms:modified xsi:type="dcterms:W3CDTF">2023-08-09T17:04:08Z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CDDBD7CB7A8144DC90495AAFF0FBF4D2</vt:lpwstr>
  </property>
</Properties>
</file>