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hSpace="180" w:vSpace="180" w:wrap="around" w:vAnchor="margin" w:hAnchor="margin" w:y="1" w:anchorLock="1"/>
        <w:ind w:firstLine="480"/>
      </w:pPr>
    </w:p>
    <w:p>
      <w:pPr>
        <w:framePr w:hSpace="180" w:vSpace="180" w:wrap="around" w:vAnchor="margin" w:hAnchor="margin" w:y="1" w:anchorLock="1"/>
        <w:ind w:firstLine="480"/>
      </w:pPr>
    </w:p>
    <w:tbl>
      <w:tblPr>
        <w:tblStyle w:val="17"/>
        <w:tblW w:w="9571" w:type="dxa"/>
        <w:tblInd w:w="2" w:type="dxa"/>
        <w:tblLayout w:type="fixed"/>
        <w:tblCellMar>
          <w:top w:w="0" w:type="dxa"/>
          <w:left w:w="108" w:type="dxa"/>
          <w:bottom w:w="0" w:type="dxa"/>
          <w:right w:w="108" w:type="dxa"/>
        </w:tblCellMar>
      </w:tblPr>
      <w:tblGrid>
        <w:gridCol w:w="9571"/>
      </w:tblGrid>
      <w:tr>
        <w:trPr>
          <w:trHeight w:val="1602" w:hRule="atLeast"/>
        </w:trPr>
        <w:tc>
          <w:tcPr>
            <w:tcW w:w="9571" w:type="dxa"/>
          </w:tcPr>
          <w:p>
            <w:pPr>
              <w:pStyle w:val="82"/>
              <w:framePr w:hSpace="180" w:vSpace="180" w:wrap="around" w:vAnchor="margin" w:hAnchor="margin" w:y="1" w:anchorLock="1"/>
              <w:ind w:firstLine="0" w:firstLineChars="0"/>
              <w:jc w:val="both"/>
            </w:pPr>
            <w:r>
              <w:t xml:space="preserve">    </w:t>
            </w:r>
            <w:r>
              <w:rPr>
                <w:rFonts w:hint="eastAsia"/>
              </w:rPr>
              <w:t xml:space="preserve">     </w:t>
            </w:r>
            <w:r>
              <w:t>DB13</w:t>
            </w:r>
            <w:r>
              <w:rPr>
                <w:rFonts w:ascii="黑体" w:eastAsia="黑体" w:cs="黑体"/>
                <w:sz w:val="21"/>
                <w:szCs w:val="21"/>
              </w:rPr>
              <w:pict>
                <v:rect id="_x0000_s1026" o:spid="_x0000_s1026" o:spt="1" style="position:absolute;left:0pt;margin-left:-5.25pt;margin-top:0pt;height:15.6pt;width:68.25pt;z-index:-251655168;mso-width-relative:page;mso-height-relative:page;"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Iri/s&#10;1QAAAAcBAAAPAAAAAAAAAAEAIAAAACIAAABkcnMvZG93bnJldi54bWxQSwECFAAUAAAACACHTuJA&#10;pHqTNLIBAABeAwAADgAAAAAAAAABACAAAAAkAQAAZHJzL2Uyb0RvYy54bWxQSwUGAAAAAAYABgBZ&#10;AQAASAUAAAAA&#10;">
                  <v:path/>
                  <v:fill focussize="0,0"/>
                  <v:stroke on="f"/>
                  <v:imagedata o:title=""/>
                  <o:lock v:ext="edit"/>
                </v:rect>
              </w:pict>
            </w:r>
          </w:p>
        </w:tc>
      </w:tr>
      <w:tr>
        <w:trPr>
          <w:trHeight w:val="1347" w:hRule="atLeast"/>
        </w:trPr>
        <w:tc>
          <w:tcPr>
            <w:tcW w:w="9571" w:type="dxa"/>
          </w:tcPr>
          <w:p>
            <w:pPr>
              <w:pStyle w:val="81"/>
              <w:framePr w:hSpace="180" w:vSpace="180" w:wrap="around" w:vAnchor="margin" w:hAnchor="margin" w:y="1" w:anchorLock="1"/>
              <w:spacing w:line="200" w:lineRule="exact"/>
              <w:rPr>
                <w:rFonts w:ascii="Times New Roman" w:cs="Times New Roman"/>
              </w:rPr>
            </w:pPr>
            <w:bookmarkStart w:id="0" w:name="StdNo0"/>
          </w:p>
          <w:p>
            <w:pPr>
              <w:pStyle w:val="81"/>
              <w:framePr w:hSpace="180" w:vSpace="180" w:wrap="around" w:vAnchor="margin" w:hAnchor="margin" w:y="1" w:anchorLock="1"/>
              <w:wordWrap w:val="0"/>
              <w:rPr>
                <w:rFonts w:ascii="Times New Roman" w:cs="Times New Roman"/>
              </w:rPr>
            </w:pPr>
            <w:r>
              <w:rPr>
                <w:rFonts w:ascii="Times New Roman" w:cs="Times New Roman"/>
              </w:rPr>
              <w:t>DB13/  -20</w:t>
            </w:r>
            <w:r>
              <w:rPr>
                <w:rFonts w:hint="eastAsia" w:ascii="Times New Roman" w:cs="Times New Roman"/>
              </w:rPr>
              <w:t>21</w:t>
            </w:r>
          </w:p>
          <w:p>
            <w:pPr>
              <w:pStyle w:val="46"/>
              <w:framePr w:hSpace="180" w:vSpace="180" w:wrap="around" w:vAnchor="margin" w:hAnchor="margin" w:y="1" w:anchorLock="1"/>
            </w:pPr>
            <w:r>
              <w:rPr>
                <w:rFonts w:ascii="黑体" w:cs="黑体"/>
                <w:szCs w:val="21"/>
              </w:rPr>
              <w:pict>
                <v:line id="_x0000_s1031" o:spid="_x0000_s1031" o:spt="20" style="position:absolute;left:0pt;margin-left:-4.7pt;margin-top:10.8pt;height:0.05pt;width:481.85pt;z-index:251663360;mso-width-relative:page;mso-height-relative:page;" coordsize="21600,21600" o:gfxdata="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S6TYe1wAAAAgBAAAPAAAAAAAAAAEAIAAAACIAAABkcnMvZG93bnJldi54bWxQSwEC&#10;FAAUAAAACACHTuJA7ULb5/UBAADmAwAADgAAAAAAAAABACAAAAAmAQAAZHJzL2Uyb0RvYy54bWxQ&#10;SwUGAAAAAAYABgBZAQAAjQUAAAAA&#10;">
                  <v:path arrowok="t"/>
                  <v:fill focussize="0,0"/>
                  <v:stroke/>
                  <v:imagedata o:title=""/>
                  <o:lock v:ext="edit"/>
                </v:line>
              </w:pict>
            </w:r>
          </w:p>
        </w:tc>
      </w:tr>
      <w:tr>
        <w:trPr>
          <w:trHeight w:val="1602" w:hRule="atLeast"/>
        </w:trPr>
        <w:tc>
          <w:tcPr>
            <w:tcW w:w="9571" w:type="dxa"/>
          </w:tcPr>
          <w:p>
            <w:pPr>
              <w:pStyle w:val="46"/>
              <w:framePr w:hSpace="180" w:vSpace="180" w:wrap="around" w:vAnchor="margin" w:hAnchor="margin" w:y="1" w:anchorLock="1"/>
            </w:pPr>
          </w:p>
        </w:tc>
      </w:tr>
      <w:tr>
        <w:trPr>
          <w:trHeight w:val="1602" w:hRule="atLeast"/>
        </w:trPr>
        <w:tc>
          <w:tcPr>
            <w:tcW w:w="9571" w:type="dxa"/>
          </w:tcPr>
          <w:p>
            <w:pPr>
              <w:pStyle w:val="46"/>
              <w:framePr w:hSpace="180" w:vSpace="180" w:wrap="around" w:vAnchor="margin" w:hAnchor="margin" w:y="1" w:anchorLock="1"/>
            </w:pPr>
          </w:p>
        </w:tc>
      </w:tr>
      <w:tr>
        <w:trPr>
          <w:trHeight w:val="1602" w:hRule="atLeast"/>
        </w:trPr>
        <w:tc>
          <w:tcPr>
            <w:tcW w:w="9571" w:type="dxa"/>
          </w:tcPr>
          <w:p>
            <w:pPr>
              <w:pStyle w:val="46"/>
              <w:framePr w:hSpace="180" w:vSpace="180" w:wrap="around" w:vAnchor="margin" w:hAnchor="margin" w:y="1" w:anchorLock="1"/>
            </w:pPr>
          </w:p>
        </w:tc>
      </w:tr>
      <w:tr>
        <w:trPr>
          <w:trHeight w:val="1602" w:hRule="atLeast"/>
        </w:trPr>
        <w:tc>
          <w:tcPr>
            <w:tcW w:w="9571" w:type="dxa"/>
          </w:tcPr>
          <w:p>
            <w:pPr>
              <w:pStyle w:val="46"/>
              <w:framePr w:hSpace="180" w:vSpace="180" w:wrap="around" w:vAnchor="margin" w:hAnchor="margin" w:y="1" w:anchorLock="1"/>
            </w:pPr>
          </w:p>
        </w:tc>
      </w:tr>
    </w:tbl>
    <w:p>
      <w:pPr>
        <w:pStyle w:val="83"/>
        <w:framePr w:w="9140" w:h="1242" w:hRule="exact" w:hSpace="284" w:wrap="around" w:vAnchor="page" w:hAnchor="page" w:x="1326" w:y="2434" w:anchorLock="1"/>
        <w:rPr>
          <w:rFonts w:ascii="Times New Roman" w:hAnsi="Times New Roman" w:cs="Times New Roman"/>
          <w:sz w:val="30"/>
          <w:szCs w:val="30"/>
        </w:rPr>
      </w:pPr>
    </w:p>
    <w:p>
      <w:pPr>
        <w:pStyle w:val="83"/>
        <w:framePr w:w="9140" w:h="1242" w:hRule="exact" w:hSpace="284" w:wrap="around" w:vAnchor="page" w:hAnchor="page" w:x="1326" w:y="2434" w:anchorLock="1"/>
        <w:rPr>
          <w:rFonts w:ascii="Times New Roman" w:hAnsi="Times New Roman" w:cs="Times New Roman"/>
        </w:rPr>
      </w:pPr>
      <w:r>
        <w:rPr>
          <w:rFonts w:ascii="Times New Roman" w:hAnsi="Times New Roman" w:cs="Times New Roman"/>
        </w:rPr>
        <w:t>河北省地方标准</w:t>
      </w:r>
    </w:p>
    <w:tbl>
      <w:tblPr>
        <w:tblStyle w:val="17"/>
        <w:tblW w:w="935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56" w:type="dxa"/>
            <w:tcBorders>
              <w:top w:val="nil"/>
              <w:left w:val="nil"/>
              <w:bottom w:val="nil"/>
              <w:right w:val="nil"/>
            </w:tcBorders>
          </w:tcPr>
          <w:p>
            <w:pPr>
              <w:pStyle w:val="84"/>
              <w:framePr w:w="9140" w:h="1242" w:hRule="exact" w:hSpace="284" w:wrap="around" w:vAnchor="page" w:hAnchor="page" w:x="1326" w:y="2434" w:anchorLock="1"/>
              <w:rPr>
                <w:rFonts w:ascii="Times New Roman" w:cs="Times New Roman"/>
              </w:rPr>
            </w:pPr>
            <w:bookmarkStart w:id="1" w:name="DT"/>
            <w:r>
              <w:pict>
                <v:rect id="_x0000_s1030" o:spid="_x0000_s1030" o:spt="1" style="position:absolute;left:0pt;margin-left:372.8pt;margin-top:2.7pt;height:18pt;width:90pt;z-index:-251656192;mso-width-relative:page;mso-height-relative:page;"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mDyy9YA&#10;AAAIAQAADwAAAAAAAAABACAAAAAiAAAAZHJzL2Rvd25yZXYueG1sUEsBAhQAFAAAAAgAh07iQGGD&#10;u76vAQAAXwMAAA4AAAAAAAAAAQAgAAAAJQEAAGRycy9lMm9Eb2MueG1sUEsFBgAAAAAGAAYAWQEA&#10;AEYFAAAAAA==&#10;">
                  <v:path/>
                  <v:fill focussize="0,0"/>
                  <v:stroke on="f"/>
                  <v:imagedata o:title=""/>
                  <o:lock v:ext="edit"/>
                </v:rect>
              </w:pict>
            </w:r>
            <w:bookmarkEnd w:id="0"/>
            <w:bookmarkEnd w:id="1"/>
          </w:p>
        </w:tc>
      </w:tr>
    </w:tbl>
    <w:p>
      <w:pPr>
        <w:pStyle w:val="81"/>
        <w:framePr w:w="9140" w:h="1242" w:hRule="exact" w:hSpace="284" w:wrap="around" w:vAnchor="page" w:hAnchor="page" w:x="1326" w:y="2434" w:anchorLock="1"/>
        <w:rPr>
          <w:rFonts w:ascii="Times New Roman" w:cs="Times New Roman"/>
        </w:rPr>
      </w:pPr>
    </w:p>
    <w:p>
      <w:pPr>
        <w:pStyle w:val="81"/>
        <w:framePr w:w="9140" w:h="1242" w:hRule="exact" w:hSpace="284" w:wrap="around" w:vAnchor="page" w:hAnchor="page" w:x="1326" w:y="2434" w:anchorLock="1"/>
        <w:rPr>
          <w:rFonts w:ascii="Times New Roman" w:cs="Times New Roman"/>
        </w:rPr>
      </w:pPr>
    </w:p>
    <w:p>
      <w:pPr>
        <w:pStyle w:val="40"/>
        <w:framePr w:w="9639" w:h="6917" w:hRule="exact" w:wrap="around" w:vAnchor="page" w:hAnchor="page" w:x="1057" w:y="6181" w:anchorLock="1"/>
        <w:ind w:firstLine="481" w:firstLineChars="100"/>
        <w:rPr>
          <w:b/>
          <w:sz w:val="48"/>
          <w:szCs w:val="18"/>
        </w:rPr>
      </w:pPr>
      <w:r>
        <w:rPr>
          <w:rFonts w:hint="eastAsia"/>
          <w:b/>
          <w:sz w:val="48"/>
          <w:szCs w:val="18"/>
        </w:rPr>
        <w:t>畜禽场液态粪污温室气体排放控制技术规范</w:t>
      </w:r>
    </w:p>
    <w:p>
      <w:pPr>
        <w:pStyle w:val="40"/>
        <w:framePr w:w="9639" w:h="6917" w:hRule="exact" w:wrap="around" w:vAnchor="page" w:hAnchor="page" w:x="1057" w:y="6181" w:anchorLock="1"/>
        <w:ind w:firstLine="320" w:firstLineChars="100"/>
        <w:rPr>
          <w:rFonts w:ascii="Times New Roman"/>
          <w:sz w:val="32"/>
          <w:szCs w:val="32"/>
        </w:rPr>
      </w:pPr>
      <w:r>
        <w:rPr>
          <w:rFonts w:ascii="Times New Roman"/>
          <w:sz w:val="32"/>
          <w:szCs w:val="32"/>
        </w:rPr>
        <w:t>（</w:t>
      </w:r>
      <w:r>
        <w:rPr>
          <w:rFonts w:hint="eastAsia" w:ascii="Times New Roman"/>
          <w:sz w:val="32"/>
          <w:szCs w:val="32"/>
        </w:rPr>
        <w:t>征求意见</w:t>
      </w:r>
      <w:r>
        <w:rPr>
          <w:rFonts w:ascii="Times New Roman"/>
          <w:sz w:val="32"/>
          <w:szCs w:val="32"/>
        </w:rPr>
        <w:t>稿）</w:t>
      </w:r>
    </w:p>
    <w:p>
      <w:pPr>
        <w:pStyle w:val="40"/>
        <w:framePr w:w="9639" w:h="6917" w:hRule="exact" w:wrap="around" w:vAnchor="page" w:hAnchor="page" w:x="1057" w:y="6181" w:anchorLock="1"/>
        <w:ind w:firstLine="520" w:firstLineChars="100"/>
        <w:rPr>
          <w:rFonts w:ascii="Times New Roman"/>
        </w:rPr>
      </w:pPr>
    </w:p>
    <w:p>
      <w:pPr>
        <w:pStyle w:val="85"/>
        <w:framePr w:w="3997" w:h="471" w:hRule="exact" w:vSpace="181" w:wrap="around" w:vAnchor="page" w:hAnchor="page" w:x="1419" w:y="14097" w:anchorLock="1"/>
        <w:ind w:firstLine="560"/>
      </w:pPr>
      <w:r>
        <w:t>20</w:t>
      </w:r>
      <w:r>
        <w:rPr>
          <w:rFonts w:hint="eastAsia"/>
        </w:rPr>
        <w:t>21</w:t>
      </w:r>
      <w:r>
        <w:t>-  -  发布</w:t>
      </w:r>
      <w:r>
        <w:pict>
          <v:line id="_x0000_s1029" o:spid="_x0000_s1029" o:spt="20" style="position:absolute;left:0pt;margin-left:0pt;margin-top:728.5pt;height:0.05pt;width:481.85pt;mso-position-vertical-relative:page;z-index:251662336;mso-width-relative:page;mso-height-relative:page;" coordsize="21600,21600" o:gfxdata="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6oVvs1wAAAAoBAAAPAAAAAAAAAAEAIAAAACIAAABkcnMvZG93bnJldi54bWxQSwEC&#10;FAAUAAAACACHTuJAGnMAZfUBAADoAwAADgAAAAAAAAABACAAAAAmAQAAZHJzL2Uyb0RvYy54bWxQ&#10;SwUGAAAAAAYABgBZAQAAjQUAAAAA&#10;">
            <v:path arrowok="t"/>
            <v:fill focussize="0,0"/>
            <v:stroke/>
            <v:imagedata o:title=""/>
            <o:lock v:ext="edit"/>
            <w10:anchorlock/>
          </v:line>
        </w:pict>
      </w:r>
    </w:p>
    <w:p>
      <w:pPr>
        <w:pStyle w:val="86"/>
        <w:framePr w:w="3997" w:h="471" w:hRule="exact" w:vSpace="181" w:wrap="around" w:vAnchor="page" w:hAnchor="page" w:x="7089" w:y="14097" w:anchorLock="1"/>
        <w:wordWrap w:val="0"/>
        <w:ind w:firstLine="560"/>
      </w:pPr>
      <w:r>
        <w:t>20</w:t>
      </w:r>
      <w:r>
        <w:rPr>
          <w:rFonts w:hint="eastAsia"/>
        </w:rPr>
        <w:t>21</w:t>
      </w:r>
      <w:r>
        <w:t>-  -  实施</w:t>
      </w:r>
    </w:p>
    <w:p>
      <w:pPr>
        <w:pStyle w:val="24"/>
        <w:rPr>
          <w:rFonts w:ascii="Times New Roman"/>
        </w:rPr>
        <w:sectPr>
          <w:headerReference r:id="rId7" w:type="first"/>
          <w:footerReference r:id="rId10" w:type="first"/>
          <w:headerReference r:id="rId5" w:type="default"/>
          <w:footerReference r:id="rId8" w:type="default"/>
          <w:headerReference r:id="rId6" w:type="even"/>
          <w:footerReference r:id="rId9" w:type="even"/>
          <w:pgSz w:w="11906" w:h="16838"/>
          <w:pgMar w:top="567" w:right="1134" w:bottom="1134" w:left="1417" w:header="0" w:footer="0" w:gutter="0"/>
          <w:pgNumType w:fmt="upperRoman" w:start="1"/>
          <w:cols w:space="720" w:num="1"/>
          <w:docGrid w:type="lines" w:linePitch="312" w:charSpace="0"/>
        </w:sectPr>
      </w:pPr>
      <w:bookmarkStart w:id="72" w:name="_GoBack"/>
      <w:bookmarkEnd w:id="72"/>
      <w:r>
        <w:rPr>
          <w:szCs w:val="22"/>
        </w:rPr>
        <w:pict>
          <v:shape id="文本框 10" o:spid="_x0000_s1028" o:spt="202" type="#_x0000_t202" style="position:absolute;left:0pt;margin-left:323.75pt;margin-top:720.55pt;height:39.15pt;width:66.15pt;z-index:251665408;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">
            <v:path/>
            <v:fill focussize="0,0"/>
            <v:stroke color="#FFFFFF" joinstyle="miter"/>
            <v:imagedata o:title=""/>
            <o:lock v:ext="edit"/>
            <v:textbox>
              <w:txbxContent>
                <w:p>
                  <w:pPr>
                    <w:ind w:firstLine="900"/>
                  </w:pPr>
                  <w:r>
                    <w:rPr>
                      <w:rStyle w:val="87"/>
                      <w:rFonts w:hint="eastAsia" w:cs="黑体"/>
                      <w:szCs w:val="28"/>
                    </w:rPr>
                    <w:t>发布</w:t>
                  </w:r>
                </w:p>
              </w:txbxContent>
            </v:textbox>
            <w10:anchorlock/>
          </v:shape>
        </w:pict>
      </w:r>
      <w:r>
        <w:rPr>
          <w:szCs w:val="22"/>
        </w:rPr>
        <w:pict>
          <v:shape id="文本框 6" o:spid="_x0000_s1027" o:spt="202" type="#_x0000_t202" style="position:absolute;left:0pt;margin-left:65.65pt;margin-top:725.2pt;height:63.2pt;width:275.6pt;z-index:25166438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">
            <v:path/>
            <v:fill focussize="0,0"/>
            <v:stroke color="#FFFFFF" joinstyle="miter"/>
            <v:imagedata o:title=""/>
            <o:lock v:ext="edit"/>
            <v:textbox>
              <w:txbxContent>
                <w:p>
                  <w:pPr>
                    <w:spacing w:line="440" w:lineRule="exact"/>
                    <w:ind w:firstLine="0" w:firstLineChars="0"/>
                    <w:rPr>
                      <w:rFonts w:ascii="黑体" w:eastAsia="黑体"/>
                      <w:spacing w:val="70"/>
                      <w:sz w:val="36"/>
                      <w:szCs w:val="36"/>
                    </w:rPr>
                  </w:pPr>
                  <w:r>
                    <w:rPr>
                      <w:rFonts w:hint="eastAsia" w:ascii="黑体" w:eastAsia="黑体" w:cs="黑体"/>
                      <w:spacing w:val="70"/>
                      <w:sz w:val="36"/>
                      <w:szCs w:val="36"/>
                    </w:rPr>
                    <w:t>河北省市场监督管理局</w:t>
                  </w:r>
                </w:p>
              </w:txbxContent>
            </v:textbox>
            <w10:anchorlock/>
          </v:shape>
        </w:pict>
      </w:r>
    </w:p>
    <w:p>
      <w:pPr>
        <w:pStyle w:val="13"/>
        <w:tabs>
          <w:tab w:val="right" w:leader="dot" w:pos="8306"/>
        </w:tabs>
        <w:ind w:firstLine="0" w:firstLineChars="0"/>
        <w:jc w:val="center"/>
        <w:rPr>
          <w:rFonts w:eastAsia="黑体"/>
          <w:sz w:val="32"/>
          <w:szCs w:val="32"/>
        </w:rPr>
      </w:pPr>
      <w:r>
        <w:rPr>
          <w:rFonts w:eastAsia="黑体"/>
          <w:sz w:val="32"/>
          <w:szCs w:val="32"/>
        </w:rPr>
        <w:t>目</w:t>
      </w:r>
      <w:r>
        <w:rPr>
          <w:rFonts w:hint="eastAsia" w:eastAsia="黑体"/>
          <w:sz w:val="32"/>
          <w:szCs w:val="32"/>
        </w:rPr>
        <w:t xml:space="preserve"> </w:t>
      </w:r>
      <w:r>
        <w:rPr>
          <w:rFonts w:eastAsia="黑体"/>
          <w:sz w:val="32"/>
          <w:szCs w:val="32"/>
        </w:rPr>
        <w:t xml:space="preserve">   次</w:t>
      </w:r>
    </w:p>
    <w:p>
      <w:pPr>
        <w:ind w:firstLine="560"/>
        <w:rPr>
          <w:sz w:val="28"/>
          <w:szCs w:val="28"/>
        </w:rPr>
      </w:pPr>
    </w:p>
    <w:p>
      <w:pPr>
        <w:pStyle w:val="13"/>
        <w:tabs>
          <w:tab w:val="right" w:leader="dot" w:pos="9345"/>
        </w:tabs>
        <w:ind w:firstLine="420"/>
        <w:rPr>
          <w:rFonts w:asciiTheme="minorHAnsi" w:hAnsiTheme="minorHAnsi" w:eastAsiaTheme="minorEastAsia" w:cstheme="minorBidi"/>
          <w:sz w:val="21"/>
          <w:szCs w:val="22"/>
        </w:rPr>
      </w:pPr>
      <w:r>
        <w:rPr>
          <w:sz w:val="21"/>
          <w:szCs w:val="21"/>
        </w:rPr>
        <w:fldChar w:fldCharType="begin"/>
      </w:r>
      <w:r>
        <w:rPr>
          <w:sz w:val="21"/>
          <w:szCs w:val="21"/>
        </w:rPr>
        <w:instrText xml:space="preserve">TOC \o "1-2" \h \u </w:instrText>
      </w:r>
      <w:r>
        <w:rPr>
          <w:sz w:val="21"/>
          <w:szCs w:val="21"/>
        </w:rPr>
        <w:fldChar w:fldCharType="separate"/>
      </w:r>
      <w:r>
        <w:fldChar w:fldCharType="begin"/>
      </w:r>
      <w:r>
        <w:instrText xml:space="preserve"> HYPERLINK \l "_Toc88660608" </w:instrText>
      </w:r>
      <w:r>
        <w:fldChar w:fldCharType="separate"/>
      </w:r>
      <w:r>
        <w:rPr>
          <w:rStyle w:val="22"/>
        </w:rPr>
        <w:t>前   言</w:t>
      </w:r>
      <w:r>
        <w:tab/>
      </w:r>
      <w:r>
        <w:fldChar w:fldCharType="begin"/>
      </w:r>
      <w:r>
        <w:instrText xml:space="preserve"> PAGEREF _Toc88660608 \h </w:instrText>
      </w:r>
      <w:r>
        <w:fldChar w:fldCharType="separate"/>
      </w:r>
      <w:r>
        <w:t>i</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"_Toc88660609" </w:instrText>
      </w:r>
      <w:r>
        <w:fldChar w:fldCharType="separate"/>
      </w:r>
      <w:r>
        <w:rPr>
          <w:rStyle w:val="22"/>
          <w:rFonts w:ascii="黑体" w:hAnsi="黑体" w:cs="黑体"/>
        </w:rPr>
        <w:t xml:space="preserve">1 </w:t>
      </w:r>
      <w:r>
        <w:rPr>
          <w:rStyle w:val="22"/>
        </w:rPr>
        <w:t>范围</w:t>
      </w:r>
      <w:r>
        <w:tab/>
      </w:r>
      <w:r>
        <w:fldChar w:fldCharType="begin"/>
      </w:r>
      <w:r>
        <w:instrText xml:space="preserve"> PAGEREF _Toc88660609 \h </w:instrText>
      </w:r>
      <w:r>
        <w:fldChar w:fldCharType="separate"/>
      </w:r>
      <w:r>
        <w:t>1</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"_Toc88660610" </w:instrText>
      </w:r>
      <w:r>
        <w:fldChar w:fldCharType="separate"/>
      </w:r>
      <w:r>
        <w:rPr>
          <w:rStyle w:val="22"/>
          <w:rFonts w:ascii="黑体" w:hAnsi="黑体" w:cs="黑体"/>
        </w:rPr>
        <w:t>2 规范性引用文件</w:t>
      </w:r>
      <w:r>
        <w:tab/>
      </w:r>
      <w:r>
        <w:fldChar w:fldCharType="begin"/>
      </w:r>
      <w:r>
        <w:instrText xml:space="preserve"> PAGEREF _Toc88660610 \h </w:instrText>
      </w:r>
      <w:r>
        <w:fldChar w:fldCharType="separate"/>
      </w:r>
      <w:r>
        <w:t>1</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"_Toc88660611" </w:instrText>
      </w:r>
      <w:r>
        <w:fldChar w:fldCharType="separate"/>
      </w:r>
      <w:r>
        <w:rPr>
          <w:rStyle w:val="22"/>
          <w:rFonts w:ascii="黑体" w:hAnsi="黑体" w:cs="黑体"/>
        </w:rPr>
        <w:t>3 术语和定义</w:t>
      </w:r>
      <w:r>
        <w:tab/>
      </w:r>
      <w:r>
        <w:fldChar w:fldCharType="begin"/>
      </w:r>
      <w:r>
        <w:instrText xml:space="preserve"> PAGEREF _Toc88660611 \h </w:instrText>
      </w:r>
      <w:r>
        <w:fldChar w:fldCharType="separate"/>
      </w:r>
      <w:r>
        <w:t>1</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"_Toc88660612" </w:instrText>
      </w:r>
      <w:r>
        <w:fldChar w:fldCharType="separate"/>
      </w:r>
      <w:r>
        <w:rPr>
          <w:rStyle w:val="22"/>
          <w:rFonts w:ascii="黑体" w:hAnsi="黑体" w:cs="黑体"/>
        </w:rPr>
        <w:t>4 液态粪污固液分离管理要求</w:t>
      </w:r>
      <w:r>
        <w:tab/>
      </w:r>
      <w:r>
        <w:fldChar w:fldCharType="begin"/>
      </w:r>
      <w:r>
        <w:instrText xml:space="preserve"> PAGEREF _Toc88660612 \h </w:instrText>
      </w:r>
      <w:r>
        <w:fldChar w:fldCharType="separate"/>
      </w:r>
      <w:r>
        <w:t>3</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"_Toc88660613" </w:instrText>
      </w:r>
      <w:r>
        <w:fldChar w:fldCharType="separate"/>
      </w:r>
      <w:r>
        <w:rPr>
          <w:rStyle w:val="22"/>
          <w:rFonts w:ascii="黑体" w:hAnsi="黑体" w:cs="黑体"/>
        </w:rPr>
        <w:t>5 液态粪污存储的管理要求</w:t>
      </w:r>
      <w:r>
        <w:tab/>
      </w:r>
      <w:r>
        <w:fldChar w:fldCharType="begin"/>
      </w:r>
      <w:r>
        <w:instrText xml:space="preserve"> PAGEREF _Toc88660613 \h </w:instrText>
      </w:r>
      <w:r>
        <w:fldChar w:fldCharType="separate"/>
      </w:r>
      <w:r>
        <w:t>4</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"_Toc88660614" </w:instrText>
      </w:r>
      <w:r>
        <w:fldChar w:fldCharType="separate"/>
      </w:r>
      <w:r>
        <w:rPr>
          <w:rStyle w:val="22"/>
          <w:rFonts w:ascii="黑体" w:hAnsi="黑体" w:cs="黑体"/>
        </w:rPr>
        <w:t>6 液态粪污处理的管理要求</w:t>
      </w:r>
      <w:r>
        <w:tab/>
      </w:r>
      <w:r>
        <w:fldChar w:fldCharType="begin"/>
      </w:r>
      <w:r>
        <w:instrText xml:space="preserve"> PAGEREF _Toc88660614 \h </w:instrText>
      </w:r>
      <w:r>
        <w:fldChar w:fldCharType="separate"/>
      </w:r>
      <w:r>
        <w:t>4</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"_Toc88660615" </w:instrText>
      </w:r>
      <w:r>
        <w:fldChar w:fldCharType="separate"/>
      </w:r>
      <w:r>
        <w:rPr>
          <w:rStyle w:val="22"/>
          <w:rFonts w:ascii="黑体" w:hAnsi="黑体" w:cs="黑体"/>
        </w:rPr>
        <w:t>7 实施注意事项</w:t>
      </w:r>
      <w:r>
        <w:tab/>
      </w:r>
      <w:r>
        <w:fldChar w:fldCharType="begin"/>
      </w:r>
      <w:r>
        <w:instrText xml:space="preserve"> PAGEREF _Toc88660615 \h </w:instrText>
      </w:r>
      <w:r>
        <w:fldChar w:fldCharType="separate"/>
      </w:r>
      <w:r>
        <w:t>4</w:t>
      </w:r>
      <w:r>
        <w:fldChar w:fldCharType="end"/>
      </w:r>
      <w:r>
        <w:fldChar w:fldCharType="end"/>
      </w:r>
    </w:p>
    <w:p>
      <w:pPr>
        <w:pStyle w:val="13"/>
        <w:tabs>
          <w:tab w:val="right" w:leader="dot" w:pos="9345"/>
        </w:tabs>
        <w:ind w:firstLine="480"/>
        <w:rPr>
          <w:rFonts w:asciiTheme="minorHAnsi" w:hAnsiTheme="minorHAnsi" w:eastAsiaTheme="minorEastAsia" w:cstheme="minorBidi"/>
          <w:sz w:val="21"/>
          <w:szCs w:val="22"/>
        </w:rPr>
      </w:pPr>
      <w:r>
        <w:fldChar w:fldCharType="begin"/>
      </w:r>
      <w:r>
        <w:instrText xml:space="preserve"> HYPERLINK \l "_Toc88660616" </w:instrText>
      </w:r>
      <w:r>
        <w:fldChar w:fldCharType="separate"/>
      </w:r>
      <w:r>
        <w:rPr>
          <w:rStyle w:val="22"/>
          <w:rFonts w:ascii="黑体" w:hAnsi="黑体" w:cs="黑体"/>
        </w:rPr>
        <w:t>8 监管要求</w:t>
      </w:r>
      <w:r>
        <w:tab/>
      </w:r>
      <w:r>
        <w:fldChar w:fldCharType="begin"/>
      </w:r>
      <w:r>
        <w:instrText xml:space="preserve"> PAGEREF _Toc88660616 \h </w:instrText>
      </w:r>
      <w:r>
        <w:fldChar w:fldCharType="separate"/>
      </w:r>
      <w:r>
        <w:t>4</w:t>
      </w:r>
      <w:r>
        <w:fldChar w:fldCharType="end"/>
      </w:r>
      <w:r>
        <w:fldChar w:fldCharType="end"/>
      </w:r>
    </w:p>
    <w:p>
      <w:pPr>
        <w:pStyle w:val="70"/>
        <w:tabs>
          <w:tab w:val="right" w:leader="dot" w:pos="8306"/>
        </w:tabs>
        <w:spacing w:line="360" w:lineRule="auto"/>
        <w:jc w:val="both"/>
        <w:rPr>
          <w:rFonts w:ascii="宋体" w:hAnsi="宋体" w:cs="宋体"/>
          <w:sz w:val="21"/>
          <w:szCs w:val="21"/>
        </w:rPr>
      </w:pPr>
      <w:r>
        <w:rPr>
          <w:szCs w:val="21"/>
        </w:rPr>
        <w:fldChar w:fldCharType="end"/>
      </w:r>
    </w:p>
    <w:p>
      <w:pPr>
        <w:spacing w:line="240" w:lineRule="auto"/>
        <w:ind w:firstLine="420"/>
        <w:rPr>
          <w:rFonts w:ascii="宋体" w:hAnsi="宋体" w:cs="宋体"/>
          <w:sz w:val="21"/>
          <w:szCs w:val="21"/>
        </w:rPr>
      </w:pPr>
    </w:p>
    <w:p>
      <w:pPr>
        <w:ind w:firstLine="420"/>
        <w:rPr>
          <w:rFonts w:ascii="宋体" w:hAnsi="宋体" w:cs="宋体"/>
          <w:sz w:val="21"/>
          <w:szCs w:val="21"/>
        </w:rPr>
      </w:pPr>
    </w:p>
    <w:p>
      <w:pPr>
        <w:ind w:firstLine="420"/>
        <w:rPr>
          <w:rFonts w:ascii="宋体" w:hAnsi="宋体" w:cs="宋体"/>
          <w:sz w:val="21"/>
          <w:szCs w:val="21"/>
        </w:rPr>
      </w:pPr>
    </w:p>
    <w:p>
      <w:pPr>
        <w:ind w:firstLine="420"/>
        <w:rPr>
          <w:rFonts w:ascii="宋体" w:hAnsi="宋体" w:cs="宋体"/>
          <w:sz w:val="21"/>
          <w:szCs w:val="21"/>
        </w:rPr>
      </w:pPr>
    </w:p>
    <w:p>
      <w:pPr>
        <w:ind w:firstLine="0" w:firstLineChars="0"/>
        <w:rPr>
          <w:rFonts w:ascii="宋体" w:hAnsi="宋体" w:cs="宋体"/>
          <w:sz w:val="21"/>
          <w:szCs w:val="21"/>
        </w:rPr>
      </w:pPr>
    </w:p>
    <w:p>
      <w:pPr>
        <w:ind w:firstLine="0" w:firstLineChars="0"/>
        <w:rPr>
          <w:rFonts w:ascii="宋体" w:hAnsi="宋体" w:cs="宋体"/>
          <w:sz w:val="21"/>
          <w:szCs w:val="21"/>
        </w:rPr>
      </w:pPr>
    </w:p>
    <w:p>
      <w:pPr>
        <w:ind w:firstLine="0" w:firstLineChars="0"/>
        <w:rPr>
          <w:rFonts w:ascii="宋体" w:hAnsi="宋体" w:cs="宋体"/>
          <w:sz w:val="21"/>
          <w:szCs w:val="21"/>
        </w:rPr>
      </w:pPr>
    </w:p>
    <w:p>
      <w:pPr>
        <w:ind w:firstLine="0" w:firstLineChars="0"/>
        <w:rPr>
          <w:rFonts w:ascii="宋体" w:hAnsi="宋体" w:cs="宋体"/>
          <w:sz w:val="21"/>
          <w:szCs w:val="21"/>
        </w:rPr>
      </w:pPr>
    </w:p>
    <w:p>
      <w:pPr>
        <w:ind w:firstLine="0" w:firstLineChars="0"/>
        <w:rPr>
          <w:rFonts w:ascii="宋体" w:hAnsi="宋体" w:cs="宋体"/>
          <w:sz w:val="21"/>
          <w:szCs w:val="21"/>
        </w:rPr>
      </w:pPr>
    </w:p>
    <w:p>
      <w:pPr>
        <w:ind w:firstLine="420"/>
        <w:rPr>
          <w:rFonts w:ascii="宋体" w:hAnsi="宋体" w:cs="宋体"/>
          <w:sz w:val="21"/>
          <w:szCs w:val="21"/>
        </w:rPr>
        <w:sectPr>
          <w:footerReference r:id="rId11" w:type="default"/>
          <w:pgSz w:w="11906" w:h="16838"/>
          <w:pgMar w:top="1417" w:right="1134" w:bottom="1134" w:left="1417" w:header="1417" w:footer="992" w:gutter="0"/>
          <w:pgNumType w:fmt="upperRoman" w:start="1"/>
          <w:cols w:space="425" w:num="1"/>
          <w:docGrid w:type="lines" w:linePitch="326" w:charSpace="0"/>
        </w:sectPr>
      </w:pPr>
    </w:p>
    <w:p>
      <w:pPr>
        <w:pStyle w:val="36"/>
        <w:rPr>
          <w:rFonts w:ascii="Times New Roman"/>
        </w:rPr>
      </w:pPr>
      <w:bookmarkStart w:id="2" w:name="_Toc88660608"/>
      <w:bookmarkStart w:id="3" w:name="_Toc5868_WPSOffice_Level1"/>
      <w:bookmarkStart w:id="4" w:name="_Toc8037"/>
      <w:r>
        <w:rPr>
          <w:rFonts w:ascii="Times New Roman"/>
        </w:rPr>
        <w:t>前</w:t>
      </w:r>
      <w:r>
        <w:rPr>
          <w:rFonts w:hint="eastAsia" w:ascii="Times New Roman"/>
        </w:rPr>
        <w:t xml:space="preserve"> </w:t>
      </w:r>
      <w:r>
        <w:rPr>
          <w:rFonts w:ascii="Times New Roman"/>
        </w:rPr>
        <w:t xml:space="preserve">  言</w:t>
      </w:r>
      <w:bookmarkEnd w:id="2"/>
      <w:bookmarkEnd w:id="3"/>
      <w:bookmarkEnd w:id="4"/>
    </w:p>
    <w:p>
      <w:pPr>
        <w:ind w:firstLine="420"/>
        <w:rPr>
          <w:kern w:val="0"/>
          <w:sz w:val="21"/>
          <w:szCs w:val="21"/>
        </w:rPr>
      </w:pPr>
      <w:r>
        <w:rPr>
          <w:rFonts w:hint="eastAsia"/>
          <w:kern w:val="0"/>
          <w:sz w:val="21"/>
          <w:szCs w:val="21"/>
        </w:rPr>
        <w:t>本文件按照GB/T 1.1-2020《标准化工作导则 第1部分：标准化文件的结构和起草规则》的规定起草。</w:t>
      </w:r>
    </w:p>
    <w:p>
      <w:pPr>
        <w:ind w:firstLine="420"/>
        <w:rPr>
          <w:kern w:val="0"/>
          <w:sz w:val="21"/>
          <w:szCs w:val="21"/>
        </w:rPr>
      </w:pPr>
      <w:r>
        <w:rPr>
          <w:rFonts w:hint="eastAsia"/>
          <w:kern w:val="0"/>
          <w:sz w:val="21"/>
          <w:szCs w:val="21"/>
        </w:rPr>
        <w:t>本文件</w:t>
      </w:r>
      <w:r>
        <w:rPr>
          <w:kern w:val="0"/>
          <w:sz w:val="21"/>
          <w:szCs w:val="21"/>
        </w:rPr>
        <w:t>由</w:t>
      </w:r>
      <w:r>
        <w:rPr>
          <w:rFonts w:hint="eastAsia"/>
          <w:kern w:val="0"/>
          <w:sz w:val="21"/>
          <w:szCs w:val="21"/>
        </w:rPr>
        <w:t>河北省农村农业厅</w:t>
      </w:r>
      <w:r>
        <w:rPr>
          <w:kern w:val="0"/>
          <w:sz w:val="21"/>
          <w:szCs w:val="21"/>
        </w:rPr>
        <w:t>提出并归口。</w:t>
      </w:r>
    </w:p>
    <w:p>
      <w:pPr>
        <w:ind w:firstLine="420"/>
        <w:rPr>
          <w:kern w:val="0"/>
          <w:sz w:val="21"/>
          <w:szCs w:val="21"/>
        </w:rPr>
      </w:pPr>
      <w:r>
        <w:rPr>
          <w:rFonts w:hint="eastAsia"/>
          <w:kern w:val="0"/>
          <w:sz w:val="21"/>
          <w:szCs w:val="21"/>
        </w:rPr>
        <w:t>本文件起草</w:t>
      </w:r>
      <w:r>
        <w:rPr>
          <w:kern w:val="0"/>
          <w:sz w:val="21"/>
          <w:szCs w:val="21"/>
        </w:rPr>
        <w:t>单位</w:t>
      </w:r>
      <w:r>
        <w:rPr>
          <w:rFonts w:hint="eastAsia"/>
          <w:kern w:val="0"/>
          <w:sz w:val="21"/>
          <w:szCs w:val="21"/>
        </w:rPr>
        <w:t>：</w:t>
      </w:r>
      <w:r>
        <w:rPr>
          <w:rFonts w:hint="eastAsia"/>
          <w:sz w:val="21"/>
          <w:szCs w:val="21"/>
        </w:rPr>
        <w:t>河北农业大学、河北省畜牧总站</w:t>
      </w:r>
      <w:r>
        <w:rPr>
          <w:kern w:val="0"/>
          <w:sz w:val="21"/>
          <w:szCs w:val="21"/>
        </w:rPr>
        <w:t>。</w:t>
      </w:r>
    </w:p>
    <w:p>
      <w:pPr>
        <w:ind w:firstLine="420"/>
        <w:rPr>
          <w:sz w:val="21"/>
          <w:szCs w:val="21"/>
        </w:rPr>
      </w:pPr>
      <w:r>
        <w:rPr>
          <w:rFonts w:hint="eastAsia"/>
          <w:kern w:val="0"/>
          <w:sz w:val="21"/>
          <w:szCs w:val="21"/>
        </w:rPr>
        <w:t>本文件</w:t>
      </w:r>
      <w:r>
        <w:rPr>
          <w:kern w:val="0"/>
          <w:sz w:val="21"/>
          <w:szCs w:val="21"/>
        </w:rPr>
        <w:t>主要起草人：</w:t>
      </w:r>
      <w:r>
        <w:rPr>
          <w:rFonts w:hint="eastAsia"/>
          <w:kern w:val="0"/>
          <w:sz w:val="21"/>
          <w:szCs w:val="21"/>
        </w:rPr>
        <w:t>高志岭、王健诚、廖文华、张伟涛、刘春敬、姚惠娇、王红</w:t>
      </w:r>
    </w:p>
    <w:p>
      <w:pPr>
        <w:ind w:firstLine="420"/>
        <w:rPr>
          <w:kern w:val="0"/>
          <w:sz w:val="21"/>
          <w:szCs w:val="21"/>
        </w:rPr>
      </w:pPr>
    </w:p>
    <w:p>
      <w:pPr>
        <w:ind w:firstLine="480"/>
      </w:pPr>
    </w:p>
    <w:p>
      <w:pPr>
        <w:ind w:firstLine="480"/>
      </w:pPr>
    </w:p>
    <w:p>
      <w:pPr>
        <w:ind w:firstLine="480"/>
      </w:pPr>
    </w:p>
    <w:p>
      <w:pPr>
        <w:tabs>
          <w:tab w:val="center" w:pos="4677"/>
        </w:tabs>
        <w:ind w:firstLine="480"/>
        <w:jc w:val="left"/>
      </w:pPr>
      <w:r>
        <w:rPr>
          <w:rFonts w:hint="eastAsia"/>
        </w:rPr>
        <w:tab/>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jc w:val="right"/>
      </w:pPr>
    </w:p>
    <w:p>
      <w:pPr>
        <w:ind w:firstLine="480"/>
      </w:pPr>
    </w:p>
    <w:p>
      <w:pPr>
        <w:ind w:firstLine="480"/>
        <w:sectPr>
          <w:headerReference r:id="rId12" w:type="default"/>
          <w:footerReference r:id="rId13" w:type="default"/>
          <w:footerReference r:id="rId14" w:type="even"/>
          <w:pgSz w:w="11906" w:h="16838"/>
          <w:pgMar w:top="1418" w:right="1134" w:bottom="1134" w:left="1418" w:header="1417" w:footer="992" w:gutter="0"/>
          <w:pgNumType w:fmt="lowerRoman" w:start="1"/>
          <w:cols w:space="720" w:num="1"/>
          <w:formProt w:val="0"/>
          <w:docGrid w:type="lines" w:linePitch="326" w:charSpace="0"/>
        </w:sectPr>
      </w:pPr>
    </w:p>
    <w:p>
      <w:pPr>
        <w:spacing w:before="850" w:after="680" w:line="320" w:lineRule="exact"/>
        <w:ind w:firstLine="0" w:firstLineChars="0"/>
        <w:jc w:val="center"/>
        <w:rPr>
          <w:rFonts w:eastAsia="黑体"/>
          <w:sz w:val="32"/>
          <w:szCs w:val="32"/>
        </w:rPr>
      </w:pPr>
      <w:r>
        <w:rPr>
          <w:rFonts w:hint="eastAsia" w:eastAsia="黑体"/>
          <w:sz w:val="32"/>
          <w:szCs w:val="32"/>
        </w:rPr>
        <w:t>畜禽场液态粪污温室气体排放控制技术规范</w:t>
      </w:r>
    </w:p>
    <w:p>
      <w:pPr>
        <w:pStyle w:val="2"/>
        <w:spacing w:before="326" w:beforeLines="100" w:after="326" w:afterLines="100" w:line="240" w:lineRule="auto"/>
        <w:rPr>
          <w:sz w:val="21"/>
          <w:szCs w:val="21"/>
        </w:rPr>
      </w:pPr>
      <w:bookmarkStart w:id="5" w:name="_Toc22521"/>
      <w:bookmarkStart w:id="6" w:name="_Toc4883_WPSOffice_Level1"/>
      <w:bookmarkStart w:id="7" w:name="_Toc88660609"/>
      <w:r>
        <w:rPr>
          <w:rFonts w:hint="eastAsia" w:ascii="黑体" w:hAnsi="黑体" w:cs="黑体"/>
          <w:sz w:val="21"/>
          <w:szCs w:val="21"/>
        </w:rPr>
        <w:t xml:space="preserve">1 </w:t>
      </w:r>
      <w:r>
        <w:rPr>
          <w:sz w:val="21"/>
          <w:szCs w:val="21"/>
        </w:rPr>
        <w:t>范围</w:t>
      </w:r>
      <w:bookmarkEnd w:id="5"/>
      <w:bookmarkEnd w:id="6"/>
      <w:bookmarkEnd w:id="7"/>
    </w:p>
    <w:p>
      <w:pPr>
        <w:spacing w:line="240" w:lineRule="auto"/>
        <w:ind w:firstLine="420"/>
        <w:rPr>
          <w:rFonts w:ascii="宋体" w:hAnsi="宋体"/>
          <w:sz w:val="21"/>
          <w:szCs w:val="21"/>
        </w:rPr>
      </w:pPr>
      <w:r>
        <w:rPr>
          <w:rFonts w:hint="eastAsia" w:ascii="宋体" w:hAnsi="宋体"/>
          <w:sz w:val="21"/>
          <w:szCs w:val="21"/>
        </w:rPr>
        <w:t>本文件提供了畜禽养殖场液态粪污存储设施温室气体排放控制技术规范。</w:t>
      </w:r>
    </w:p>
    <w:p>
      <w:pPr>
        <w:spacing w:line="240" w:lineRule="auto"/>
        <w:ind w:firstLine="420"/>
        <w:rPr>
          <w:rFonts w:ascii="宋体" w:hAnsi="宋体"/>
          <w:sz w:val="21"/>
          <w:szCs w:val="21"/>
        </w:rPr>
      </w:pPr>
      <w:r>
        <w:rPr>
          <w:rFonts w:ascii="宋体" w:hAnsi="宋体"/>
          <w:sz w:val="21"/>
          <w:szCs w:val="21"/>
        </w:rPr>
        <w:t>本</w:t>
      </w:r>
      <w:r>
        <w:rPr>
          <w:rFonts w:hint="eastAsia" w:ascii="宋体" w:hAnsi="宋体"/>
          <w:sz w:val="21"/>
          <w:szCs w:val="21"/>
        </w:rPr>
        <w:t>文件</w:t>
      </w:r>
      <w:r>
        <w:rPr>
          <w:rFonts w:ascii="宋体" w:hAnsi="宋体"/>
          <w:sz w:val="21"/>
          <w:szCs w:val="21"/>
        </w:rPr>
        <w:t>适用于</w:t>
      </w:r>
      <w:r>
        <w:rPr>
          <w:rFonts w:hint="eastAsia" w:ascii="宋体" w:hAnsi="宋体"/>
          <w:sz w:val="21"/>
          <w:szCs w:val="21"/>
        </w:rPr>
        <w:t>规模化畜禽养殖场（或养殖区）液态粪污温室气体排放控制的效果监测和评价等。畜禽养殖场和养殖区的规模分级，按表1和表2执行（引自《畜禽养殖业污染物排放标准GB 18596-2001》）。</w:t>
      </w:r>
    </w:p>
    <w:p>
      <w:pPr>
        <w:pStyle w:val="2"/>
        <w:spacing w:before="326" w:beforeLines="100" w:after="326" w:afterLines="100" w:line="240" w:lineRule="auto"/>
        <w:rPr>
          <w:rFonts w:ascii="黑体" w:hAnsi="黑体" w:cs="黑体"/>
          <w:sz w:val="21"/>
          <w:szCs w:val="21"/>
        </w:rPr>
      </w:pPr>
      <w:bookmarkStart w:id="8" w:name="_Toc27401_WPSOffice_Level1"/>
      <w:bookmarkStart w:id="9" w:name="_Toc19234"/>
      <w:bookmarkStart w:id="10" w:name="_Toc88660610"/>
      <w:r>
        <w:rPr>
          <w:rFonts w:hint="eastAsia" w:ascii="黑体" w:hAnsi="黑体" w:cs="黑体"/>
          <w:sz w:val="21"/>
          <w:szCs w:val="21"/>
        </w:rPr>
        <w:t>2 规范性引用文件</w:t>
      </w:r>
      <w:bookmarkEnd w:id="8"/>
      <w:bookmarkEnd w:id="9"/>
      <w:bookmarkEnd w:id="10"/>
    </w:p>
    <w:p>
      <w:pPr>
        <w:pStyle w:val="24"/>
        <w:rPr>
          <w:rFonts w:ascii="Times New Roman"/>
        </w:rPr>
      </w:pPr>
      <w:bookmarkStart w:id="11" w:name="_Toc11045"/>
      <w:bookmarkStart w:id="12" w:name="_Toc31562_WPSOffice_Level1"/>
      <w:r>
        <w:rPr>
          <w:rFonts w:hint="eastAsia" w:ascii="Times New Roman"/>
        </w:rPr>
        <w:t>下列文件中的条款通过本文件的引用而成为本文件的条款。凡是不注日期的引用文件，其最新版本（包括所有的修改单）适用于本文件。</w:t>
      </w:r>
    </w:p>
    <w:p>
      <w:pPr>
        <w:pStyle w:val="24"/>
        <w:rPr>
          <w:rFonts w:hAnsi="宋体"/>
        </w:rPr>
      </w:pPr>
      <w:r>
        <w:rPr>
          <w:rFonts w:hAnsi="宋体"/>
        </w:rPr>
        <w:t>GB 18596 畜禽养殖业污染物排放标准</w:t>
      </w:r>
    </w:p>
    <w:p>
      <w:pPr>
        <w:pStyle w:val="24"/>
        <w:rPr>
          <w:rFonts w:hAnsi="宋体"/>
        </w:rPr>
      </w:pPr>
      <w:r>
        <w:rPr>
          <w:rFonts w:hAnsi="宋体"/>
        </w:rPr>
        <w:t xml:space="preserve">GB/T 29151 </w:t>
      </w:r>
      <w:r>
        <w:rPr>
          <w:rFonts w:hint="eastAsia" w:hAnsi="宋体"/>
        </w:rPr>
        <w:t>城镇粪便消纳站</w:t>
      </w:r>
    </w:p>
    <w:p>
      <w:pPr>
        <w:pStyle w:val="24"/>
        <w:rPr>
          <w:rFonts w:hAnsi="宋体"/>
        </w:rPr>
      </w:pPr>
      <w:r>
        <w:rPr>
          <w:rFonts w:hint="eastAsia" w:hAnsi="宋体"/>
        </w:rPr>
        <w:t>GB 13486 便携式热催化甲烷检测报警仪</w:t>
      </w:r>
    </w:p>
    <w:p>
      <w:pPr>
        <w:pStyle w:val="24"/>
        <w:rPr>
          <w:rFonts w:hAnsi="宋体"/>
        </w:rPr>
      </w:pPr>
      <w:r>
        <w:rPr>
          <w:rFonts w:hAnsi="宋体"/>
        </w:rPr>
        <w:t xml:space="preserve">GB 16889 </w:t>
      </w:r>
      <w:r>
        <w:rPr>
          <w:rFonts w:hint="eastAsia" w:hAnsi="宋体"/>
        </w:rPr>
        <w:t>生活垃圾填埋场污染控制标准</w:t>
      </w:r>
    </w:p>
    <w:p>
      <w:pPr>
        <w:pStyle w:val="24"/>
        <w:rPr>
          <w:rFonts w:hAnsi="宋体"/>
        </w:rPr>
      </w:pPr>
      <w:r>
        <w:rPr>
          <w:rFonts w:hAnsi="宋体"/>
        </w:rPr>
        <w:t>ISO 14064-3-2019 Greenhouse gases — Part 3</w:t>
      </w:r>
    </w:p>
    <w:p>
      <w:pPr>
        <w:pStyle w:val="24"/>
        <w:rPr>
          <w:rFonts w:hAnsi="宋体"/>
        </w:rPr>
      </w:pPr>
      <w:r>
        <w:rPr>
          <w:rFonts w:hAnsi="宋体"/>
        </w:rPr>
        <w:t>CJJ/T 54  污水稳定塘设计规范</w:t>
      </w:r>
    </w:p>
    <w:p>
      <w:pPr>
        <w:pStyle w:val="24"/>
        <w:rPr>
          <w:rFonts w:hAnsi="宋体"/>
        </w:rPr>
      </w:pPr>
      <w:r>
        <w:rPr>
          <w:rFonts w:hint="eastAsia" w:hAnsi="宋体"/>
        </w:rPr>
        <w:t>HJ/T 38 固定污染源排气中非甲烷总烃的测定 气相色谱法</w:t>
      </w:r>
    </w:p>
    <w:p>
      <w:pPr>
        <w:pStyle w:val="24"/>
        <w:rPr>
          <w:rFonts w:hAnsi="宋体"/>
        </w:rPr>
      </w:pPr>
      <w:r>
        <w:rPr>
          <w:rFonts w:hAnsi="宋体"/>
        </w:rPr>
        <w:t>HJ 497  畜禽养殖业污染治理工程技术规范</w:t>
      </w:r>
    </w:p>
    <w:p>
      <w:pPr>
        <w:pStyle w:val="24"/>
        <w:rPr>
          <w:rFonts w:hAnsi="宋体"/>
        </w:rPr>
      </w:pPr>
      <w:bookmarkStart w:id="13" w:name="_Hlk59012481"/>
      <w:r>
        <w:rPr>
          <w:rFonts w:hAnsi="宋体"/>
        </w:rPr>
        <w:t>NY/T 1168</w:t>
      </w:r>
      <w:bookmarkEnd w:id="13"/>
      <w:r>
        <w:rPr>
          <w:rFonts w:hAnsi="宋体"/>
        </w:rPr>
        <w:t xml:space="preserve">  畜禽粪便无害化处理技术规范</w:t>
      </w:r>
    </w:p>
    <w:p>
      <w:pPr>
        <w:pStyle w:val="24"/>
        <w:rPr>
          <w:rFonts w:hAnsi="宋体"/>
        </w:rPr>
      </w:pPr>
      <w:r>
        <w:rPr>
          <w:rFonts w:hint="eastAsia" w:hAnsi="宋体"/>
        </w:rPr>
        <w:t>NY/T 1220.6 沼气工程技术规范第6部分：安全使用</w:t>
      </w:r>
    </w:p>
    <w:p>
      <w:pPr>
        <w:pStyle w:val="24"/>
        <w:rPr>
          <w:rFonts w:hAnsi="宋体"/>
        </w:rPr>
      </w:pPr>
      <w:r>
        <w:rPr>
          <w:rFonts w:hAnsi="宋体"/>
        </w:rPr>
        <w:t>NY/T 1221  规模化畜禽养殖场沼气工程运行、维护及其安全技术规程</w:t>
      </w:r>
    </w:p>
    <w:p>
      <w:pPr>
        <w:pStyle w:val="24"/>
        <w:rPr>
          <w:rFonts w:hAnsi="宋体"/>
        </w:rPr>
      </w:pPr>
      <w:r>
        <w:rPr>
          <w:rFonts w:hAnsi="宋体"/>
        </w:rPr>
        <w:t>NY/T 1222  规模化畜禽养殖场沼气工程设计规范</w:t>
      </w:r>
    </w:p>
    <w:p>
      <w:pPr>
        <w:pStyle w:val="24"/>
        <w:rPr>
          <w:rFonts w:hAnsi="宋体"/>
        </w:rPr>
      </w:pPr>
      <w:r>
        <w:rPr>
          <w:rFonts w:hAnsi="宋体"/>
        </w:rPr>
        <w:t>NY/T 2600  规模化畜禽养殖场沼气工程设备选型技术规范</w:t>
      </w:r>
    </w:p>
    <w:p>
      <w:pPr>
        <w:pStyle w:val="24"/>
        <w:rPr>
          <w:rFonts w:hAnsi="宋体"/>
        </w:rPr>
      </w:pPr>
      <w:r>
        <w:rPr>
          <w:rFonts w:hint="eastAsia" w:hAnsi="宋体"/>
        </w:rPr>
        <w:t>NY</w:t>
      </w:r>
      <w:r>
        <w:rPr>
          <w:rFonts w:hAnsi="宋体"/>
        </w:rPr>
        <w:t>/</w:t>
      </w:r>
      <w:r>
        <w:rPr>
          <w:rFonts w:hint="eastAsia" w:hAnsi="宋体"/>
        </w:rPr>
        <w:t>T 3119 畜禽粪便固液分离机 质量评价技术规范</w:t>
      </w:r>
    </w:p>
    <w:p>
      <w:pPr>
        <w:pStyle w:val="24"/>
        <w:rPr>
          <w:rFonts w:hAnsi="宋体"/>
        </w:rPr>
      </w:pPr>
      <w:r>
        <w:rPr>
          <w:rFonts w:hint="eastAsia" w:hAnsi="宋体"/>
        </w:rPr>
        <w:t>DB51/T</w:t>
      </w:r>
      <w:r>
        <w:rPr>
          <w:rFonts w:hAnsi="宋体"/>
        </w:rPr>
        <w:t xml:space="preserve"> </w:t>
      </w:r>
      <w:r>
        <w:rPr>
          <w:rFonts w:hint="eastAsia" w:hAnsi="宋体"/>
        </w:rPr>
        <w:t>2339</w:t>
      </w:r>
      <w:r>
        <w:rPr>
          <w:rFonts w:hAnsi="宋体"/>
        </w:rPr>
        <w:t xml:space="preserve"> </w:t>
      </w:r>
      <w:r>
        <w:rPr>
          <w:rFonts w:hint="eastAsia" w:hAnsi="宋体"/>
        </w:rPr>
        <w:t>畜禽粪便固液分离机技术条件</w:t>
      </w:r>
    </w:p>
    <w:p>
      <w:pPr>
        <w:pStyle w:val="24"/>
        <w:rPr>
          <w:rFonts w:hAnsi="宋体"/>
        </w:rPr>
      </w:pPr>
      <w:r>
        <w:rPr>
          <w:rFonts w:hint="eastAsia" w:hAnsi="宋体"/>
        </w:rPr>
        <w:t>DB37</w:t>
      </w:r>
      <w:r>
        <w:rPr>
          <w:rFonts w:hAnsi="宋体"/>
        </w:rPr>
        <w:t>/</w:t>
      </w:r>
      <w:r>
        <w:rPr>
          <w:rFonts w:hint="eastAsia" w:hAnsi="宋体"/>
        </w:rPr>
        <w:t>T</w:t>
      </w:r>
      <w:r>
        <w:rPr>
          <w:rFonts w:hAnsi="宋体"/>
        </w:rPr>
        <w:t xml:space="preserve"> </w:t>
      </w:r>
      <w:r>
        <w:rPr>
          <w:rFonts w:hint="eastAsia" w:hAnsi="宋体"/>
        </w:rPr>
        <w:t>4244</w:t>
      </w:r>
      <w:r>
        <w:rPr>
          <w:rFonts w:hAnsi="宋体"/>
        </w:rPr>
        <w:t xml:space="preserve"> </w:t>
      </w:r>
      <w:r>
        <w:rPr>
          <w:rFonts w:hint="eastAsia" w:hAnsi="宋体"/>
        </w:rPr>
        <w:t>畜禽粪便固液分离机通用技术条件</w:t>
      </w:r>
    </w:p>
    <w:p>
      <w:pPr>
        <w:pStyle w:val="24"/>
        <w:rPr>
          <w:rFonts w:hAnsi="宋体"/>
        </w:rPr>
      </w:pPr>
      <w:r>
        <w:rPr>
          <w:rFonts w:hint="eastAsia" w:hAnsi="宋体"/>
        </w:rPr>
        <w:t>DB11</w:t>
      </w:r>
      <w:r>
        <w:rPr>
          <w:rFonts w:hAnsi="宋体"/>
        </w:rPr>
        <w:t>/</w:t>
      </w:r>
      <w:r>
        <w:rPr>
          <w:rFonts w:hint="eastAsia" w:hAnsi="宋体"/>
        </w:rPr>
        <w:t>T-269</w:t>
      </w:r>
      <w:r>
        <w:rPr>
          <w:rFonts w:hAnsi="宋体"/>
        </w:rPr>
        <w:t xml:space="preserve"> </w:t>
      </w:r>
      <w:r>
        <w:rPr>
          <w:rFonts w:hint="eastAsia" w:hAnsi="宋体"/>
        </w:rPr>
        <w:t>粪便处理设施运行管理规范</w:t>
      </w:r>
    </w:p>
    <w:p>
      <w:pPr>
        <w:pStyle w:val="24"/>
        <w:rPr>
          <w:rFonts w:hAnsi="宋体"/>
        </w:rPr>
      </w:pPr>
      <w:r>
        <w:rPr>
          <w:rFonts w:hint="eastAsia" w:hAnsi="宋体"/>
        </w:rPr>
        <w:t>JB/T 11379 粪便消纳站 固液分离设备</w:t>
      </w:r>
    </w:p>
    <w:p>
      <w:pPr>
        <w:pStyle w:val="2"/>
        <w:spacing w:before="326" w:beforeLines="100" w:after="326" w:afterLines="100" w:line="240" w:lineRule="auto"/>
        <w:rPr>
          <w:rFonts w:ascii="黑体" w:hAnsi="黑体" w:cs="黑体"/>
          <w:sz w:val="21"/>
          <w:szCs w:val="21"/>
        </w:rPr>
      </w:pPr>
      <w:bookmarkStart w:id="14" w:name="_Toc88660611"/>
      <w:r>
        <w:rPr>
          <w:rFonts w:hint="eastAsia" w:ascii="黑体" w:hAnsi="黑体" w:cs="黑体"/>
          <w:sz w:val="21"/>
          <w:szCs w:val="21"/>
        </w:rPr>
        <w:t>3 术语和定义</w:t>
      </w:r>
      <w:bookmarkEnd w:id="11"/>
      <w:bookmarkEnd w:id="12"/>
      <w:bookmarkEnd w:id="14"/>
    </w:p>
    <w:p>
      <w:pPr>
        <w:spacing w:line="360" w:lineRule="exact"/>
        <w:ind w:firstLine="420"/>
        <w:rPr>
          <w:sz w:val="21"/>
          <w:szCs w:val="21"/>
        </w:rPr>
      </w:pPr>
      <w:bookmarkStart w:id="15" w:name="_Toc32509"/>
      <w:bookmarkStart w:id="16" w:name="_Toc17512"/>
      <w:bookmarkStart w:id="17" w:name="_Toc17561"/>
      <w:bookmarkStart w:id="18" w:name="_Toc16491"/>
      <w:bookmarkStart w:id="19" w:name="_Toc32192"/>
      <w:bookmarkStart w:id="20" w:name="_Toc29145"/>
      <w:bookmarkStart w:id="21" w:name="_Toc3106"/>
      <w:bookmarkStart w:id="22" w:name="_Toc16380"/>
      <w:bookmarkStart w:id="23" w:name="_Toc2565"/>
      <w:bookmarkStart w:id="24" w:name="_Toc62557388"/>
      <w:bookmarkStart w:id="25" w:name="_Toc26287"/>
      <w:bookmarkStart w:id="26" w:name="_Toc18319"/>
      <w:bookmarkStart w:id="27" w:name="_Toc19460"/>
      <w:r>
        <w:rPr>
          <w:sz w:val="21"/>
          <w:szCs w:val="21"/>
        </w:rPr>
        <w:t>下列术语和定义适用于本</w:t>
      </w:r>
      <w:r>
        <w:rPr>
          <w:rFonts w:hint="eastAsia"/>
          <w:sz w:val="21"/>
          <w:szCs w:val="21"/>
        </w:rPr>
        <w:t>文件</w:t>
      </w:r>
      <w:r>
        <w:rPr>
          <w:sz w:val="21"/>
          <w:szCs w:val="21"/>
        </w:rPr>
        <w:t>。</w:t>
      </w:r>
    </w:p>
    <w:p>
      <w:pPr>
        <w:spacing w:before="163" w:beforeLines="50" w:after="163" w:afterLines="50" w:line="240" w:lineRule="auto"/>
        <w:ind w:firstLine="0" w:firstLineChars="0"/>
        <w:rPr>
          <w:rFonts w:ascii="黑体" w:hAnsi="黑体" w:eastAsia="黑体"/>
          <w:bCs/>
          <w:sz w:val="21"/>
          <w:szCs w:val="21"/>
        </w:rPr>
      </w:pPr>
      <w:bookmarkStart w:id="28" w:name="_Toc87806394"/>
      <w:r>
        <w:rPr>
          <w:rFonts w:hint="eastAsia" w:ascii="黑体" w:hAnsi="黑体" w:eastAsia="黑体"/>
          <w:bCs/>
          <w:sz w:val="21"/>
          <w:szCs w:val="21"/>
        </w:rPr>
        <w:t>3.1</w:t>
      </w:r>
      <w:bookmarkEnd w:id="15"/>
      <w:bookmarkEnd w:id="16"/>
      <w:bookmarkEnd w:id="17"/>
      <w:bookmarkEnd w:id="18"/>
      <w:bookmarkEnd w:id="19"/>
      <w:bookmarkEnd w:id="20"/>
      <w:bookmarkEnd w:id="21"/>
      <w:bookmarkEnd w:id="22"/>
      <w:bookmarkEnd w:id="23"/>
      <w:bookmarkEnd w:id="24"/>
      <w:bookmarkEnd w:id="25"/>
      <w:bookmarkEnd w:id="26"/>
      <w:bookmarkEnd w:id="27"/>
      <w:bookmarkEnd w:id="28"/>
      <w:r>
        <w:rPr>
          <w:rFonts w:hint="eastAsia" w:ascii="黑体" w:hAnsi="黑体" w:eastAsia="黑体"/>
          <w:bCs/>
          <w:sz w:val="21"/>
          <w:szCs w:val="21"/>
        </w:rPr>
        <w:t xml:space="preserve"> </w:t>
      </w:r>
    </w:p>
    <w:p>
      <w:pPr>
        <w:spacing w:before="163" w:beforeLines="50" w:after="163" w:afterLines="50" w:line="240" w:lineRule="auto"/>
        <w:ind w:firstLine="420"/>
        <w:rPr>
          <w:rFonts w:ascii="黑体" w:hAnsi="黑体" w:eastAsia="黑体"/>
          <w:bCs/>
          <w:sz w:val="21"/>
          <w:szCs w:val="21"/>
        </w:rPr>
      </w:pPr>
      <w:r>
        <w:rPr>
          <w:rFonts w:hint="eastAsia" w:ascii="黑体" w:hAnsi="黑体" w:eastAsia="黑体"/>
          <w:bCs/>
          <w:sz w:val="21"/>
          <w:szCs w:val="21"/>
        </w:rPr>
        <w:t>规模化</w:t>
      </w:r>
      <w:r>
        <w:rPr>
          <w:rFonts w:ascii="黑体" w:hAnsi="黑体" w:eastAsia="黑体"/>
          <w:bCs/>
          <w:sz w:val="21"/>
          <w:szCs w:val="21"/>
        </w:rPr>
        <w:t xml:space="preserve">畜禽养殖场intensive </w:t>
      </w:r>
      <w:r>
        <w:rPr>
          <w:rFonts w:hint="eastAsia" w:ascii="黑体" w:hAnsi="黑体" w:eastAsia="黑体"/>
          <w:bCs/>
          <w:sz w:val="21"/>
          <w:szCs w:val="21"/>
        </w:rPr>
        <w:t>livestock</w:t>
      </w:r>
      <w:r>
        <w:rPr>
          <w:rFonts w:ascii="黑体" w:hAnsi="黑体" w:eastAsia="黑体"/>
          <w:bCs/>
          <w:sz w:val="21"/>
          <w:szCs w:val="21"/>
        </w:rPr>
        <w:t xml:space="preserve"> farms</w:t>
      </w:r>
    </w:p>
    <w:p>
      <w:pPr>
        <w:spacing w:line="240" w:lineRule="auto"/>
        <w:ind w:firstLine="420"/>
        <w:rPr>
          <w:sz w:val="21"/>
          <w:szCs w:val="21"/>
        </w:rPr>
      </w:pPr>
      <w:r>
        <w:rPr>
          <w:sz w:val="21"/>
          <w:szCs w:val="21"/>
        </w:rPr>
        <w:t>指以企业化运营为主要模式从事畜禽养殖活动的场所，或者以个体经营模式从事经营性畜禽养殖活动但达到省级人民政府规定的养殖规模标准的场所（参见表1），以及从事畜禽养殖科研活动的场所。</w:t>
      </w:r>
    </w:p>
    <w:p>
      <w:pPr>
        <w:spacing w:line="240" w:lineRule="auto"/>
        <w:ind w:firstLine="420"/>
        <w:rPr>
          <w:rFonts w:ascii="宋体" w:hAnsi="宋体"/>
          <w:sz w:val="21"/>
          <w:szCs w:val="21"/>
        </w:rPr>
      </w:pPr>
      <w:r>
        <w:rPr>
          <w:rFonts w:hint="eastAsia" w:ascii="宋体" w:hAnsi="宋体"/>
          <w:sz w:val="21"/>
          <w:szCs w:val="21"/>
        </w:rPr>
        <w:t>[来源：GB 18596-</w:t>
      </w:r>
      <w:r>
        <w:rPr>
          <w:rFonts w:ascii="宋体" w:hAnsi="宋体"/>
          <w:sz w:val="21"/>
          <w:szCs w:val="21"/>
        </w:rPr>
        <w:t>2001</w:t>
      </w:r>
      <w:r>
        <w:rPr>
          <w:rFonts w:hint="eastAsia" w:ascii="宋体" w:hAnsi="宋体"/>
          <w:sz w:val="21"/>
          <w:szCs w:val="21"/>
        </w:rPr>
        <w:t>]</w:t>
      </w:r>
    </w:p>
    <w:p>
      <w:pPr>
        <w:spacing w:line="240" w:lineRule="auto"/>
        <w:ind w:firstLine="420"/>
        <w:jc w:val="center"/>
        <w:rPr>
          <w:sz w:val="21"/>
          <w:szCs w:val="21"/>
        </w:rPr>
      </w:pPr>
      <w:r>
        <w:rPr>
          <w:sz w:val="21"/>
          <w:szCs w:val="21"/>
        </w:rPr>
        <w:t>表1 集约化畜禽养殖场的适用规模(以存栏数计)</w:t>
      </w:r>
    </w:p>
    <w:tbl>
      <w:tblPr>
        <w:tblStyle w:val="1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81"/>
        <w:gridCol w:w="1970"/>
        <w:gridCol w:w="1566"/>
        <w:gridCol w:w="1558"/>
        <w:gridCol w:w="1332"/>
        <w:gridCol w:w="13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22" w:hRule="atLeast"/>
        </w:trPr>
        <w:tc>
          <w:tcPr>
            <w:tcW w:w="931" w:type="pct"/>
            <w:vMerge w:val="restar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类别规模分级</w:t>
            </w:r>
          </w:p>
        </w:tc>
        <w:tc>
          <w:tcPr>
            <w:tcW w:w="1029" w:type="pct"/>
            <w:vMerge w:val="restar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猪（头）</w:t>
            </w:r>
          </w:p>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（25kg以上）</w:t>
            </w:r>
          </w:p>
        </w:tc>
        <w:tc>
          <w:tcPr>
            <w:tcW w:w="1632" w:type="pct"/>
            <w:gridSpan w:val="2"/>
            <w:shd w:val="clear" w:color="auto" w:fill="auto"/>
            <w:vAlign w:val="center"/>
          </w:tcPr>
          <w:p>
            <w:pPr>
              <w:widowControl/>
              <w:adjustRightInd w:val="0"/>
              <w:snapToGrid w:val="0"/>
              <w:spacing w:line="240" w:lineRule="auto"/>
              <w:ind w:firstLine="420"/>
              <w:jc w:val="center"/>
              <w:rPr>
                <w:rFonts w:ascii="宋体" w:hAnsi="宋体"/>
                <w:sz w:val="21"/>
                <w:szCs w:val="21"/>
              </w:rPr>
            </w:pPr>
            <w:r>
              <w:rPr>
                <w:rFonts w:ascii="宋体" w:hAnsi="宋体"/>
                <w:sz w:val="21"/>
                <w:szCs w:val="21"/>
              </w:rPr>
              <w:t>鸡（</w:t>
            </w:r>
            <w:r>
              <w:rPr>
                <w:rFonts w:hint="eastAsia" w:ascii="宋体" w:hAnsi="宋体"/>
                <w:sz w:val="21"/>
                <w:szCs w:val="21"/>
              </w:rPr>
              <w:t>万</w:t>
            </w:r>
            <w:r>
              <w:rPr>
                <w:rFonts w:ascii="宋体" w:hAnsi="宋体"/>
                <w:sz w:val="21"/>
                <w:szCs w:val="21"/>
              </w:rPr>
              <w:t>只）</w:t>
            </w:r>
          </w:p>
        </w:tc>
        <w:tc>
          <w:tcPr>
            <w:tcW w:w="1408" w:type="pct"/>
            <w:gridSpan w:val="2"/>
            <w:shd w:val="clear" w:color="auto" w:fill="auto"/>
            <w:vAlign w:val="center"/>
          </w:tcPr>
          <w:p>
            <w:pPr>
              <w:widowControl/>
              <w:adjustRightInd w:val="0"/>
              <w:snapToGrid w:val="0"/>
              <w:spacing w:line="240" w:lineRule="auto"/>
              <w:ind w:firstLine="420"/>
              <w:jc w:val="center"/>
              <w:rPr>
                <w:rFonts w:ascii="宋体" w:hAnsi="宋体"/>
                <w:sz w:val="21"/>
                <w:szCs w:val="21"/>
              </w:rPr>
            </w:pPr>
            <w:r>
              <w:rPr>
                <w:rFonts w:ascii="宋体" w:hAnsi="宋体"/>
                <w:sz w:val="21"/>
                <w:szCs w:val="21"/>
              </w:rPr>
              <w:t>牛（头）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14" w:hRule="atLeast"/>
        </w:trPr>
        <w:tc>
          <w:tcPr>
            <w:tcW w:w="931" w:type="pct"/>
            <w:vMerge w:val="continue"/>
            <w:shd w:val="clear" w:color="auto" w:fill="auto"/>
            <w:vAlign w:val="center"/>
          </w:tcPr>
          <w:p>
            <w:pPr>
              <w:widowControl/>
              <w:adjustRightInd w:val="0"/>
              <w:snapToGrid w:val="0"/>
              <w:spacing w:line="240" w:lineRule="auto"/>
              <w:ind w:firstLine="0" w:firstLineChars="0"/>
              <w:jc w:val="left"/>
              <w:rPr>
                <w:rFonts w:ascii="宋体" w:hAnsi="宋体"/>
                <w:sz w:val="21"/>
                <w:szCs w:val="21"/>
              </w:rPr>
            </w:pPr>
          </w:p>
        </w:tc>
        <w:tc>
          <w:tcPr>
            <w:tcW w:w="1029" w:type="pct"/>
            <w:vMerge w:val="continue"/>
            <w:shd w:val="clear" w:color="auto" w:fill="auto"/>
            <w:vAlign w:val="center"/>
          </w:tcPr>
          <w:p>
            <w:pPr>
              <w:widowControl/>
              <w:adjustRightInd w:val="0"/>
              <w:snapToGrid w:val="0"/>
              <w:spacing w:line="240" w:lineRule="auto"/>
              <w:ind w:firstLine="0" w:firstLineChars="0"/>
              <w:jc w:val="left"/>
              <w:rPr>
                <w:rFonts w:ascii="宋体" w:hAnsi="宋体"/>
                <w:sz w:val="21"/>
                <w:szCs w:val="21"/>
              </w:rPr>
            </w:pPr>
          </w:p>
        </w:tc>
        <w:tc>
          <w:tcPr>
            <w:tcW w:w="818"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蛋鸡</w:t>
            </w:r>
          </w:p>
        </w:tc>
        <w:tc>
          <w:tcPr>
            <w:tcW w:w="8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肉鸡</w:t>
            </w:r>
          </w:p>
        </w:tc>
        <w:tc>
          <w:tcPr>
            <w:tcW w:w="696"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成年奶牛</w:t>
            </w:r>
          </w:p>
        </w:tc>
        <w:tc>
          <w:tcPr>
            <w:tcW w:w="712"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肉牛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931"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I 级</w:t>
            </w:r>
          </w:p>
        </w:tc>
        <w:tc>
          <w:tcPr>
            <w:tcW w:w="1029"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≥3000</w:t>
            </w:r>
          </w:p>
        </w:tc>
        <w:tc>
          <w:tcPr>
            <w:tcW w:w="818"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≥10</w:t>
            </w:r>
          </w:p>
        </w:tc>
        <w:tc>
          <w:tcPr>
            <w:tcW w:w="8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≥20</w:t>
            </w:r>
          </w:p>
        </w:tc>
        <w:tc>
          <w:tcPr>
            <w:tcW w:w="696"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≥200</w:t>
            </w:r>
          </w:p>
        </w:tc>
        <w:tc>
          <w:tcPr>
            <w:tcW w:w="712"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931"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II 级</w:t>
            </w:r>
          </w:p>
        </w:tc>
        <w:tc>
          <w:tcPr>
            <w:tcW w:w="1029"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500≤Q&lt;3000</w:t>
            </w:r>
          </w:p>
        </w:tc>
        <w:tc>
          <w:tcPr>
            <w:tcW w:w="818"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1.5≤Q&lt;10</w:t>
            </w:r>
          </w:p>
        </w:tc>
        <w:tc>
          <w:tcPr>
            <w:tcW w:w="8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3≤Q&lt;20</w:t>
            </w:r>
          </w:p>
        </w:tc>
        <w:tc>
          <w:tcPr>
            <w:tcW w:w="696"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100≤Q&lt;200</w:t>
            </w:r>
          </w:p>
        </w:tc>
        <w:tc>
          <w:tcPr>
            <w:tcW w:w="712"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200≤Q&lt;400</w:t>
            </w:r>
          </w:p>
        </w:tc>
      </w:tr>
    </w:tbl>
    <w:p>
      <w:pPr>
        <w:spacing w:line="240" w:lineRule="auto"/>
        <w:ind w:firstLine="420"/>
        <w:rPr>
          <w:rFonts w:ascii="宋体" w:hAnsi="宋体"/>
        </w:rPr>
      </w:pPr>
      <w:r>
        <w:rPr>
          <w:rFonts w:ascii="宋体" w:hAnsi="宋体"/>
          <w:sz w:val="21"/>
          <w:szCs w:val="21"/>
        </w:rPr>
        <w:t>注: Q表示养殖量。对具有不同畜禽种类的养殖场和养殖区，其规模可将鸡、牛的养殖量换算成猪的养殖量，换算比例为：30只蛋鸡折算成1头猪，60只肉鸡折算成1头猪，1头奶牛折算成10头猪，1头肉牛折算成5头猪。</w:t>
      </w:r>
    </w:p>
    <w:p>
      <w:pPr>
        <w:spacing w:before="163" w:beforeLines="50" w:after="163" w:afterLines="50" w:line="240" w:lineRule="auto"/>
        <w:ind w:firstLine="0" w:firstLineChars="0"/>
        <w:rPr>
          <w:rFonts w:ascii="黑体" w:hAnsi="黑体" w:eastAsia="黑体"/>
          <w:bCs/>
          <w:sz w:val="21"/>
          <w:szCs w:val="21"/>
        </w:rPr>
      </w:pPr>
      <w:bookmarkStart w:id="29" w:name="_Toc24848"/>
      <w:bookmarkStart w:id="30" w:name="_Toc28735"/>
      <w:bookmarkStart w:id="31" w:name="_Toc62557392"/>
      <w:bookmarkStart w:id="32" w:name="_Toc22646"/>
      <w:bookmarkStart w:id="33" w:name="_Toc1660"/>
      <w:bookmarkStart w:id="34" w:name="_Toc16065"/>
      <w:bookmarkStart w:id="35" w:name="_Toc12836"/>
      <w:bookmarkStart w:id="36" w:name="_Toc87806395"/>
      <w:bookmarkStart w:id="37" w:name="_Toc816"/>
      <w:bookmarkStart w:id="38" w:name="_Toc22971"/>
      <w:bookmarkStart w:id="39" w:name="_Toc26359"/>
      <w:bookmarkStart w:id="40" w:name="_Toc3773"/>
      <w:bookmarkStart w:id="41" w:name="_Toc8146"/>
      <w:bookmarkStart w:id="42" w:name="_Toc26541"/>
      <w:bookmarkStart w:id="43" w:name="_Toc32719"/>
      <w:bookmarkStart w:id="44" w:name="_Toc14472"/>
      <w:bookmarkStart w:id="45" w:name="_Toc2624"/>
      <w:bookmarkStart w:id="46" w:name="_Toc62557390"/>
      <w:bookmarkStart w:id="47" w:name="_Toc10291"/>
      <w:bookmarkStart w:id="48" w:name="_Toc18269"/>
      <w:bookmarkStart w:id="49" w:name="_Toc11692"/>
      <w:bookmarkStart w:id="50" w:name="_Toc1349"/>
      <w:bookmarkStart w:id="51" w:name="_Toc7273"/>
      <w:bookmarkStart w:id="52" w:name="_Toc8026"/>
      <w:bookmarkStart w:id="53" w:name="_Toc24342"/>
      <w:r>
        <w:rPr>
          <w:rFonts w:hint="eastAsia" w:ascii="黑体" w:hAnsi="黑体" w:eastAsia="黑体"/>
          <w:bCs/>
          <w:sz w:val="21"/>
          <w:szCs w:val="21"/>
        </w:rPr>
        <w:t>3.</w:t>
      </w:r>
      <w:bookmarkEnd w:id="29"/>
      <w:bookmarkEnd w:id="30"/>
      <w:bookmarkEnd w:id="31"/>
      <w:bookmarkEnd w:id="32"/>
      <w:bookmarkEnd w:id="33"/>
      <w:bookmarkEnd w:id="34"/>
      <w:bookmarkEnd w:id="35"/>
      <w:r>
        <w:rPr>
          <w:rFonts w:hint="eastAsia" w:ascii="黑体" w:hAnsi="黑体" w:eastAsia="黑体"/>
          <w:bCs/>
          <w:sz w:val="21"/>
          <w:szCs w:val="21"/>
        </w:rPr>
        <w:t>2</w:t>
      </w:r>
      <w:bookmarkEnd w:id="36"/>
      <w:bookmarkEnd w:id="37"/>
      <w:bookmarkEnd w:id="38"/>
      <w:r>
        <w:rPr>
          <w:rFonts w:hint="eastAsia" w:ascii="黑体" w:hAnsi="黑体" w:eastAsia="黑体"/>
          <w:bCs/>
          <w:sz w:val="21"/>
          <w:szCs w:val="21"/>
        </w:rPr>
        <w:t xml:space="preserve"> </w:t>
      </w:r>
    </w:p>
    <w:p>
      <w:pPr>
        <w:spacing w:before="163" w:beforeLines="50" w:after="163" w:afterLines="50" w:line="240" w:lineRule="auto"/>
        <w:ind w:firstLine="420"/>
        <w:rPr>
          <w:rFonts w:ascii="黑体" w:hAnsi="黑体" w:eastAsia="黑体"/>
          <w:bCs/>
          <w:sz w:val="21"/>
          <w:szCs w:val="21"/>
        </w:rPr>
      </w:pPr>
      <w:r>
        <w:rPr>
          <w:rFonts w:ascii="黑体" w:hAnsi="黑体" w:eastAsia="黑体"/>
          <w:bCs/>
          <w:sz w:val="21"/>
          <w:szCs w:val="21"/>
        </w:rPr>
        <w:t>畜禽养殖区</w:t>
      </w:r>
      <w:r>
        <w:rPr>
          <w:rFonts w:eastAsia="黑体"/>
          <w:bCs/>
          <w:sz w:val="21"/>
          <w:szCs w:val="21"/>
        </w:rPr>
        <w:t xml:space="preserve"> </w:t>
      </w:r>
      <w:r>
        <w:rPr>
          <w:rFonts w:ascii="黑体" w:hAnsi="黑体" w:eastAsia="黑体"/>
          <w:bCs/>
          <w:sz w:val="21"/>
          <w:szCs w:val="21"/>
        </w:rPr>
        <w:t>collective livestock farms</w:t>
      </w:r>
    </w:p>
    <w:p>
      <w:pPr>
        <w:spacing w:line="240" w:lineRule="auto"/>
        <w:ind w:firstLine="420"/>
        <w:rPr>
          <w:sz w:val="21"/>
          <w:szCs w:val="21"/>
        </w:rPr>
      </w:pPr>
      <w:r>
        <w:rPr>
          <w:sz w:val="21"/>
          <w:szCs w:val="21"/>
        </w:rPr>
        <w:t>指以集中建造畜禽圈舍、农户分户饲养为主要模式，按照畜禽养殖场所与居民生活区分离的原则，由地方人民政府、村民委员会、农村集体经济组织、畜牧业合作经济组织划定，或者由专门从事畜禽产品生产经营的龙头企业按照有关规定设置，集中从事畜禽养殖活动达到省级人民政府规定的养殖规模标准的区域（参见表2）。</w:t>
      </w:r>
    </w:p>
    <w:p>
      <w:pPr>
        <w:spacing w:line="240" w:lineRule="auto"/>
        <w:ind w:firstLine="420"/>
        <w:rPr>
          <w:rFonts w:ascii="宋体" w:hAnsi="宋体"/>
          <w:sz w:val="21"/>
          <w:szCs w:val="21"/>
        </w:rPr>
      </w:pPr>
      <w:r>
        <w:rPr>
          <w:rFonts w:hint="eastAsia" w:ascii="宋体" w:hAnsi="宋体"/>
          <w:sz w:val="21"/>
          <w:szCs w:val="21"/>
        </w:rPr>
        <w:t>[来源：GB 18596-</w:t>
      </w:r>
      <w:r>
        <w:rPr>
          <w:rFonts w:ascii="宋体" w:hAnsi="宋体"/>
          <w:sz w:val="21"/>
          <w:szCs w:val="21"/>
        </w:rPr>
        <w:t>2001</w:t>
      </w:r>
      <w:r>
        <w:rPr>
          <w:rFonts w:hint="eastAsia" w:ascii="宋体" w:hAnsi="宋体"/>
          <w:sz w:val="21"/>
          <w:szCs w:val="21"/>
        </w:rPr>
        <w:t>]</w:t>
      </w:r>
    </w:p>
    <w:p>
      <w:pPr>
        <w:spacing w:line="240" w:lineRule="auto"/>
        <w:ind w:firstLine="420"/>
        <w:jc w:val="center"/>
        <w:rPr>
          <w:sz w:val="21"/>
          <w:szCs w:val="21"/>
        </w:rPr>
      </w:pPr>
      <w:r>
        <w:rPr>
          <w:sz w:val="21"/>
          <w:szCs w:val="21"/>
        </w:rPr>
        <w:t>表2 集约化畜禽养殖区的适用规模(以存栏数计)</w:t>
      </w:r>
    </w:p>
    <w:tbl>
      <w:tblPr>
        <w:tblStyle w:val="1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85"/>
        <w:gridCol w:w="1973"/>
        <w:gridCol w:w="1558"/>
        <w:gridCol w:w="1524"/>
        <w:gridCol w:w="1367"/>
        <w:gridCol w:w="13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33" w:type="pct"/>
            <w:vMerge w:val="restar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类别规模分级</w:t>
            </w:r>
          </w:p>
        </w:tc>
        <w:tc>
          <w:tcPr>
            <w:tcW w:w="1031" w:type="pct"/>
            <w:vMerge w:val="restar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猪（头）</w:t>
            </w:r>
          </w:p>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（25kg以上）</w:t>
            </w:r>
          </w:p>
        </w:tc>
        <w:tc>
          <w:tcPr>
            <w:tcW w:w="1610" w:type="pct"/>
            <w:gridSpan w:val="2"/>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鸡（</w:t>
            </w:r>
            <w:r>
              <w:rPr>
                <w:rFonts w:hint="eastAsia" w:ascii="宋体" w:hAnsi="宋体"/>
                <w:sz w:val="21"/>
                <w:szCs w:val="21"/>
              </w:rPr>
              <w:t>万</w:t>
            </w:r>
            <w:r>
              <w:rPr>
                <w:rFonts w:ascii="宋体" w:hAnsi="宋体"/>
                <w:sz w:val="21"/>
                <w:szCs w:val="21"/>
              </w:rPr>
              <w:t>只）</w:t>
            </w:r>
          </w:p>
        </w:tc>
        <w:tc>
          <w:tcPr>
            <w:tcW w:w="1427" w:type="pct"/>
            <w:gridSpan w:val="2"/>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牛（头）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33" w:type="pct"/>
            <w:vMerge w:val="continue"/>
            <w:shd w:val="clear" w:color="auto" w:fill="auto"/>
            <w:vAlign w:val="center"/>
          </w:tcPr>
          <w:p>
            <w:pPr>
              <w:widowControl/>
              <w:adjustRightInd w:val="0"/>
              <w:snapToGrid w:val="0"/>
              <w:spacing w:line="240" w:lineRule="auto"/>
              <w:ind w:firstLine="0" w:firstLineChars="0"/>
              <w:jc w:val="left"/>
              <w:rPr>
                <w:rFonts w:ascii="宋体" w:hAnsi="宋体"/>
                <w:sz w:val="21"/>
                <w:szCs w:val="21"/>
              </w:rPr>
            </w:pPr>
          </w:p>
        </w:tc>
        <w:tc>
          <w:tcPr>
            <w:tcW w:w="1031" w:type="pct"/>
            <w:vMerge w:val="continue"/>
            <w:shd w:val="clear" w:color="auto" w:fill="auto"/>
            <w:vAlign w:val="center"/>
          </w:tcPr>
          <w:p>
            <w:pPr>
              <w:widowControl/>
              <w:adjustRightInd w:val="0"/>
              <w:snapToGrid w:val="0"/>
              <w:spacing w:line="240" w:lineRule="auto"/>
              <w:ind w:firstLine="0" w:firstLineChars="0"/>
              <w:jc w:val="left"/>
              <w:rPr>
                <w:rFonts w:ascii="宋体" w:hAnsi="宋体"/>
                <w:sz w:val="21"/>
                <w:szCs w:val="21"/>
              </w:rPr>
            </w:pPr>
          </w:p>
        </w:tc>
        <w:tc>
          <w:tcPr>
            <w:tcW w:w="8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蛋鸡</w:t>
            </w:r>
          </w:p>
        </w:tc>
        <w:tc>
          <w:tcPr>
            <w:tcW w:w="796"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肉鸡</w:t>
            </w:r>
          </w:p>
        </w:tc>
        <w:tc>
          <w:tcPr>
            <w:tcW w:w="7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成年奶牛</w:t>
            </w:r>
          </w:p>
        </w:tc>
        <w:tc>
          <w:tcPr>
            <w:tcW w:w="713"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肉牛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33"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I 级</w:t>
            </w:r>
          </w:p>
        </w:tc>
        <w:tc>
          <w:tcPr>
            <w:tcW w:w="1031"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≥6000</w:t>
            </w:r>
          </w:p>
        </w:tc>
        <w:tc>
          <w:tcPr>
            <w:tcW w:w="8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≥20</w:t>
            </w:r>
          </w:p>
        </w:tc>
        <w:tc>
          <w:tcPr>
            <w:tcW w:w="796"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≥40</w:t>
            </w:r>
          </w:p>
        </w:tc>
        <w:tc>
          <w:tcPr>
            <w:tcW w:w="7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≥400</w:t>
            </w:r>
          </w:p>
        </w:tc>
        <w:tc>
          <w:tcPr>
            <w:tcW w:w="713"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933"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II 级</w:t>
            </w:r>
          </w:p>
        </w:tc>
        <w:tc>
          <w:tcPr>
            <w:tcW w:w="1031"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3000≤Q&lt;6000</w:t>
            </w:r>
          </w:p>
        </w:tc>
        <w:tc>
          <w:tcPr>
            <w:tcW w:w="8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10≤Q&lt;20</w:t>
            </w:r>
          </w:p>
        </w:tc>
        <w:tc>
          <w:tcPr>
            <w:tcW w:w="796"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20≤Q&lt;40</w:t>
            </w:r>
          </w:p>
        </w:tc>
        <w:tc>
          <w:tcPr>
            <w:tcW w:w="714"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200≤Q&lt;400</w:t>
            </w:r>
          </w:p>
        </w:tc>
        <w:tc>
          <w:tcPr>
            <w:tcW w:w="713" w:type="pct"/>
            <w:shd w:val="clear" w:color="auto" w:fill="auto"/>
            <w:vAlign w:val="center"/>
          </w:tcPr>
          <w:p>
            <w:pPr>
              <w:widowControl/>
              <w:adjustRightInd w:val="0"/>
              <w:snapToGrid w:val="0"/>
              <w:spacing w:line="240" w:lineRule="auto"/>
              <w:ind w:firstLine="0" w:firstLineChars="0"/>
              <w:jc w:val="center"/>
              <w:rPr>
                <w:rFonts w:ascii="宋体" w:hAnsi="宋体"/>
                <w:sz w:val="21"/>
                <w:szCs w:val="21"/>
              </w:rPr>
            </w:pPr>
            <w:r>
              <w:rPr>
                <w:rFonts w:ascii="宋体" w:hAnsi="宋体"/>
                <w:sz w:val="21"/>
                <w:szCs w:val="21"/>
              </w:rPr>
              <w:t>400≤Q&lt;800</w:t>
            </w:r>
          </w:p>
        </w:tc>
      </w:tr>
    </w:tbl>
    <w:p>
      <w:pPr>
        <w:spacing w:line="240" w:lineRule="auto"/>
        <w:ind w:firstLine="420"/>
        <w:rPr>
          <w:sz w:val="21"/>
          <w:szCs w:val="21"/>
        </w:rPr>
      </w:pPr>
      <w:r>
        <w:rPr>
          <w:sz w:val="21"/>
          <w:szCs w:val="21"/>
        </w:rPr>
        <w:t>注: Q表示养殖量。对具有不同畜禽种类的养殖场和养殖区，其规模可将鸡、牛的养殖量换算成猪的养殖量，换算比例为：30只蛋鸡折算成1头猪，60只肉鸡折算成1头猪，1头奶牛折算成10头猪，1头肉牛折算成5头猪。</w:t>
      </w:r>
    </w:p>
    <w:p>
      <w:pPr>
        <w:spacing w:before="163" w:beforeLines="50" w:after="163" w:afterLines="50" w:line="240" w:lineRule="auto"/>
        <w:ind w:firstLine="0" w:firstLineChars="0"/>
        <w:rPr>
          <w:rFonts w:ascii="黑体" w:hAnsi="黑体" w:eastAsia="黑体"/>
          <w:bCs/>
          <w:sz w:val="21"/>
          <w:szCs w:val="21"/>
        </w:rPr>
      </w:pPr>
      <w:bookmarkStart w:id="54" w:name="_Toc87806396"/>
      <w:r>
        <w:rPr>
          <w:rFonts w:ascii="黑体" w:hAnsi="黑体" w:eastAsia="黑体"/>
          <w:bCs/>
          <w:sz w:val="21"/>
          <w:szCs w:val="21"/>
        </w:rPr>
        <w:t>3.3</w:t>
      </w:r>
      <w:bookmarkEnd w:id="54"/>
      <w:r>
        <w:rPr>
          <w:rFonts w:ascii="黑体" w:hAnsi="黑体" w:eastAsia="黑体"/>
          <w:bCs/>
          <w:sz w:val="21"/>
          <w:szCs w:val="21"/>
        </w:rPr>
        <w:t xml:space="preserve"> </w:t>
      </w:r>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畜禽</w:t>
      </w:r>
      <w:r>
        <w:rPr>
          <w:rFonts w:ascii="黑体" w:hAnsi="黑体" w:eastAsia="黑体"/>
          <w:color w:val="000000"/>
          <w:sz w:val="21"/>
          <w:szCs w:val="21"/>
        </w:rPr>
        <w:t xml:space="preserve">粪污 </w:t>
      </w:r>
      <w:r>
        <w:rPr>
          <w:rFonts w:hint="eastAsia" w:ascii="黑体" w:hAnsi="黑体" w:eastAsia="黑体"/>
          <w:color w:val="000000"/>
          <w:sz w:val="21"/>
          <w:szCs w:val="21"/>
        </w:rPr>
        <w:t>feca</w:t>
      </w:r>
      <w:r>
        <w:rPr>
          <w:rFonts w:ascii="黑体" w:hAnsi="黑体" w:eastAsia="黑体"/>
          <w:color w:val="000000"/>
          <w:sz w:val="21"/>
          <w:szCs w:val="21"/>
        </w:rPr>
        <w:t>l residue and waste water</w:t>
      </w:r>
    </w:p>
    <w:p>
      <w:pPr>
        <w:spacing w:line="240" w:lineRule="auto"/>
        <w:ind w:firstLine="420"/>
        <w:rPr>
          <w:sz w:val="21"/>
          <w:szCs w:val="21"/>
        </w:rPr>
      </w:pPr>
      <w:r>
        <w:rPr>
          <w:sz w:val="21"/>
          <w:szCs w:val="21"/>
        </w:rPr>
        <w:t>畜禽</w:t>
      </w:r>
      <w:r>
        <w:rPr>
          <w:rFonts w:hint="eastAsia"/>
          <w:sz w:val="21"/>
          <w:szCs w:val="21"/>
        </w:rPr>
        <w:t>养殖场产生</w:t>
      </w:r>
      <w:r>
        <w:rPr>
          <w:sz w:val="21"/>
          <w:szCs w:val="21"/>
        </w:rPr>
        <w:t>的</w:t>
      </w:r>
      <w:r>
        <w:rPr>
          <w:rFonts w:hint="eastAsia"/>
          <w:sz w:val="21"/>
          <w:szCs w:val="21"/>
        </w:rPr>
        <w:t>废水和固体粪便的总称</w:t>
      </w:r>
      <w:r>
        <w:rPr>
          <w:sz w:val="21"/>
          <w:szCs w:val="21"/>
        </w:rPr>
        <w:t>。</w:t>
      </w:r>
    </w:p>
    <w:p>
      <w:pPr>
        <w:spacing w:line="240" w:lineRule="auto"/>
        <w:ind w:firstLine="420"/>
        <w:rPr>
          <w:rFonts w:ascii="宋体" w:hAnsi="宋体"/>
          <w:sz w:val="21"/>
          <w:szCs w:val="21"/>
        </w:rPr>
      </w:pPr>
      <w:r>
        <w:rPr>
          <w:rFonts w:ascii="宋体" w:hAnsi="宋体"/>
          <w:sz w:val="21"/>
          <w:szCs w:val="21"/>
        </w:rPr>
        <w:t>[</w:t>
      </w:r>
      <w:r>
        <w:rPr>
          <w:rFonts w:hint="eastAsia" w:ascii="宋体" w:hAnsi="宋体"/>
          <w:sz w:val="21"/>
          <w:szCs w:val="21"/>
        </w:rPr>
        <w:t>来源：HJ</w:t>
      </w:r>
      <w:r>
        <w:rPr>
          <w:rFonts w:ascii="宋体" w:hAnsi="宋体"/>
          <w:sz w:val="21"/>
          <w:szCs w:val="21"/>
        </w:rPr>
        <w:t xml:space="preserve"> 497]</w:t>
      </w:r>
    </w:p>
    <w:p>
      <w:pPr>
        <w:spacing w:before="163" w:beforeLines="50" w:after="163" w:afterLines="50" w:line="240" w:lineRule="auto"/>
        <w:ind w:firstLine="0" w:firstLineChars="0"/>
        <w:rPr>
          <w:rFonts w:ascii="黑体" w:hAnsi="黑体" w:eastAsia="黑体"/>
          <w:bCs/>
          <w:sz w:val="21"/>
          <w:szCs w:val="21"/>
        </w:rPr>
      </w:pPr>
      <w:bookmarkStart w:id="55" w:name="_Toc87806397"/>
      <w:r>
        <w:rPr>
          <w:rFonts w:hint="eastAsia" w:ascii="黑体" w:hAnsi="黑体" w:eastAsia="黑体"/>
          <w:bCs/>
          <w:sz w:val="21"/>
          <w:szCs w:val="21"/>
        </w:rPr>
        <w:t>3</w:t>
      </w:r>
      <w:r>
        <w:rPr>
          <w:rFonts w:ascii="黑体" w:hAnsi="黑体" w:eastAsia="黑体"/>
          <w:bCs/>
          <w:sz w:val="21"/>
          <w:szCs w:val="21"/>
        </w:rPr>
        <w:t>.4</w:t>
      </w:r>
      <w:bookmarkEnd w:id="55"/>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粪污水 manure sewage</w:t>
      </w:r>
    </w:p>
    <w:p>
      <w:pPr>
        <w:spacing w:line="240" w:lineRule="auto"/>
        <w:ind w:firstLine="420"/>
        <w:rPr>
          <w:rFonts w:ascii="宋体" w:hAnsi="宋体"/>
          <w:color w:val="000000"/>
          <w:sz w:val="21"/>
          <w:szCs w:val="21"/>
        </w:rPr>
      </w:pPr>
      <w:r>
        <w:rPr>
          <w:rFonts w:hint="eastAsia" w:ascii="宋体" w:hAnsi="宋体"/>
          <w:color w:val="000000"/>
          <w:sz w:val="21"/>
          <w:szCs w:val="21"/>
        </w:rPr>
        <w:t>冲洗水与畜禽排泻物的混合物，包括水冲粪、水泡粪。</w:t>
      </w:r>
    </w:p>
    <w:p>
      <w:pPr>
        <w:spacing w:line="240" w:lineRule="auto"/>
        <w:ind w:firstLine="420"/>
        <w:rPr>
          <w:rFonts w:ascii="宋体" w:hAnsi="宋体"/>
          <w:sz w:val="21"/>
          <w:szCs w:val="21"/>
        </w:rPr>
      </w:pPr>
      <w:r>
        <w:rPr>
          <w:rFonts w:hint="eastAsia" w:ascii="宋体" w:hAnsi="宋体"/>
          <w:sz w:val="21"/>
          <w:szCs w:val="21"/>
        </w:rPr>
        <w:t>[</w:t>
      </w:r>
      <w:r>
        <w:rPr>
          <w:rFonts w:ascii="宋体" w:hAnsi="宋体"/>
          <w:sz w:val="21"/>
          <w:szCs w:val="21"/>
        </w:rPr>
        <w:t>DB37/T 4244—2020]</w:t>
      </w:r>
    </w:p>
    <w:p>
      <w:pPr>
        <w:spacing w:before="163" w:beforeLines="50" w:after="163" w:afterLines="50" w:line="240" w:lineRule="auto"/>
        <w:ind w:firstLine="0" w:firstLineChars="0"/>
        <w:rPr>
          <w:rFonts w:ascii="黑体" w:hAnsi="黑体" w:eastAsia="黑体"/>
          <w:bCs/>
          <w:sz w:val="21"/>
          <w:szCs w:val="21"/>
        </w:rPr>
      </w:pPr>
      <w:bookmarkStart w:id="56" w:name="_Toc87806398"/>
      <w:r>
        <w:rPr>
          <w:rFonts w:hint="eastAsia" w:ascii="黑体" w:hAnsi="黑体" w:eastAsia="黑体"/>
          <w:bCs/>
          <w:sz w:val="21"/>
          <w:szCs w:val="21"/>
        </w:rPr>
        <w:t>3</w:t>
      </w:r>
      <w:r>
        <w:rPr>
          <w:rFonts w:ascii="黑体" w:hAnsi="黑体" w:eastAsia="黑体"/>
          <w:bCs/>
          <w:sz w:val="21"/>
          <w:szCs w:val="21"/>
        </w:rPr>
        <w:t>.5</w:t>
      </w:r>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粪液固含量 dr</w:t>
      </w:r>
      <w:r>
        <w:rPr>
          <w:rFonts w:ascii="黑体" w:hAnsi="黑体" w:eastAsia="黑体"/>
          <w:color w:val="000000"/>
          <w:sz w:val="21"/>
          <w:szCs w:val="21"/>
        </w:rPr>
        <w:t>y matter content</w:t>
      </w:r>
    </w:p>
    <w:p>
      <w:pPr>
        <w:spacing w:line="240" w:lineRule="auto"/>
        <w:ind w:firstLine="420"/>
        <w:rPr>
          <w:rFonts w:ascii="宋体" w:hAnsi="宋体"/>
          <w:color w:val="000000"/>
          <w:sz w:val="21"/>
          <w:szCs w:val="21"/>
        </w:rPr>
      </w:pPr>
      <w:r>
        <w:rPr>
          <w:rFonts w:hint="eastAsia" w:ascii="宋体" w:hAnsi="宋体"/>
          <w:color w:val="000000"/>
          <w:sz w:val="21"/>
          <w:szCs w:val="21"/>
        </w:rPr>
        <w:t>一定质量的粪污水在1</w:t>
      </w:r>
      <w:r>
        <w:rPr>
          <w:rFonts w:ascii="宋体" w:hAnsi="宋体"/>
          <w:color w:val="000000"/>
          <w:sz w:val="21"/>
          <w:szCs w:val="21"/>
        </w:rPr>
        <w:t>05</w:t>
      </w:r>
      <w:r>
        <w:rPr>
          <w:rFonts w:hint="eastAsia" w:ascii="宋体" w:hAnsi="宋体"/>
          <w:color w:val="000000"/>
          <w:sz w:val="21"/>
          <w:szCs w:val="21"/>
        </w:rPr>
        <w:t>℃烘干6h后的固体质量占样品质量的比率。</w:t>
      </w:r>
    </w:p>
    <w:p>
      <w:pPr>
        <w:spacing w:line="240" w:lineRule="auto"/>
        <w:ind w:firstLine="420"/>
        <w:rPr>
          <w:rFonts w:ascii="宋体" w:hAnsi="宋体"/>
          <w:sz w:val="21"/>
          <w:szCs w:val="21"/>
        </w:rPr>
      </w:pPr>
      <w:r>
        <w:rPr>
          <w:rFonts w:ascii="宋体" w:hAnsi="宋体"/>
          <w:sz w:val="21"/>
          <w:szCs w:val="21"/>
        </w:rPr>
        <w:t>[</w:t>
      </w:r>
      <w:r>
        <w:rPr>
          <w:rFonts w:hint="eastAsia" w:ascii="宋体" w:hAnsi="宋体"/>
          <w:sz w:val="21"/>
          <w:szCs w:val="21"/>
        </w:rPr>
        <w:t>改自：N</w:t>
      </w:r>
      <w:r>
        <w:rPr>
          <w:rFonts w:ascii="宋体" w:hAnsi="宋体"/>
          <w:sz w:val="21"/>
          <w:szCs w:val="21"/>
        </w:rPr>
        <w:t>Y/T 3119]</w:t>
      </w:r>
    </w:p>
    <w:p>
      <w:pPr>
        <w:spacing w:line="240" w:lineRule="auto"/>
        <w:ind w:firstLine="420"/>
        <w:rPr>
          <w:color w:val="000000"/>
          <w:sz w:val="21"/>
          <w:szCs w:val="21"/>
        </w:rPr>
      </w:pPr>
    </w:p>
    <w:p>
      <w:pPr>
        <w:spacing w:before="163" w:beforeLines="50" w:after="163" w:afterLines="50" w:line="240" w:lineRule="auto"/>
        <w:ind w:firstLine="0" w:firstLineChars="0"/>
        <w:rPr>
          <w:rFonts w:ascii="黑体" w:hAnsi="黑体" w:eastAsia="黑体"/>
          <w:bCs/>
          <w:sz w:val="21"/>
          <w:szCs w:val="21"/>
        </w:rPr>
      </w:pPr>
      <w:r>
        <w:rPr>
          <w:rFonts w:hint="eastAsia" w:ascii="黑体" w:hAnsi="黑体" w:eastAsia="黑体"/>
          <w:bCs/>
          <w:sz w:val="21"/>
          <w:szCs w:val="21"/>
        </w:rPr>
        <w:t>3</w:t>
      </w:r>
      <w:r>
        <w:rPr>
          <w:rFonts w:ascii="黑体" w:hAnsi="黑体" w:eastAsia="黑体"/>
          <w:bCs/>
          <w:sz w:val="21"/>
          <w:szCs w:val="21"/>
        </w:rPr>
        <w:t>.</w:t>
      </w:r>
      <w:bookmarkEnd w:id="56"/>
      <w:r>
        <w:rPr>
          <w:rFonts w:ascii="黑体" w:hAnsi="黑体" w:eastAsia="黑体"/>
          <w:bCs/>
          <w:sz w:val="21"/>
          <w:szCs w:val="21"/>
        </w:rPr>
        <w:t>6</w:t>
      </w:r>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初级固液分离 excrement of primary separation</w:t>
      </w:r>
    </w:p>
    <w:p>
      <w:pPr>
        <w:spacing w:line="240" w:lineRule="auto"/>
        <w:ind w:firstLine="420"/>
        <w:rPr>
          <w:rFonts w:ascii="宋体" w:hAnsi="宋体"/>
          <w:sz w:val="21"/>
          <w:szCs w:val="21"/>
        </w:rPr>
      </w:pPr>
      <w:r>
        <w:rPr>
          <w:rFonts w:hint="eastAsia" w:ascii="宋体" w:hAnsi="宋体"/>
          <w:sz w:val="21"/>
          <w:szCs w:val="21"/>
        </w:rPr>
        <w:t>应用固液分离设备对粪便中的固体部分和液体部分进行初级分离。</w:t>
      </w:r>
    </w:p>
    <w:p>
      <w:pPr>
        <w:spacing w:line="240" w:lineRule="auto"/>
        <w:ind w:firstLine="420"/>
        <w:rPr>
          <w:rFonts w:ascii="宋体" w:hAnsi="宋体"/>
          <w:sz w:val="21"/>
          <w:szCs w:val="21"/>
        </w:rPr>
      </w:pPr>
      <w:r>
        <w:rPr>
          <w:rFonts w:hint="eastAsia" w:ascii="宋体" w:hAnsi="宋体"/>
          <w:sz w:val="21"/>
          <w:szCs w:val="21"/>
        </w:rPr>
        <w:t>[</w:t>
      </w:r>
      <w:r>
        <w:rPr>
          <w:rFonts w:ascii="宋体" w:hAnsi="宋体"/>
          <w:sz w:val="21"/>
          <w:szCs w:val="21"/>
        </w:rPr>
        <w:t>DB 11/ T 269]</w:t>
      </w:r>
    </w:p>
    <w:p>
      <w:pPr>
        <w:spacing w:before="163" w:beforeLines="50" w:after="163" w:afterLines="50" w:line="240" w:lineRule="auto"/>
        <w:ind w:firstLine="0" w:firstLineChars="0"/>
        <w:rPr>
          <w:rFonts w:ascii="黑体" w:hAnsi="黑体" w:eastAsia="黑体"/>
          <w:bCs/>
          <w:sz w:val="21"/>
          <w:szCs w:val="21"/>
        </w:rPr>
      </w:pPr>
      <w:bookmarkStart w:id="57" w:name="_Toc87806399"/>
      <w:r>
        <w:rPr>
          <w:rFonts w:ascii="黑体" w:hAnsi="黑体" w:eastAsia="黑体"/>
          <w:bCs/>
          <w:sz w:val="21"/>
          <w:szCs w:val="21"/>
        </w:rPr>
        <w:t>3.</w:t>
      </w:r>
      <w:bookmarkEnd w:id="57"/>
      <w:r>
        <w:rPr>
          <w:rFonts w:ascii="黑体" w:hAnsi="黑体" w:eastAsia="黑体"/>
          <w:bCs/>
          <w:sz w:val="21"/>
          <w:szCs w:val="21"/>
        </w:rPr>
        <w:t>7</w:t>
      </w:r>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畜禽粪便固液分离机 manure</w:t>
      </w:r>
      <w:r>
        <w:rPr>
          <w:rFonts w:ascii="黑体" w:hAnsi="黑体" w:eastAsia="黑体"/>
          <w:color w:val="000000"/>
          <w:sz w:val="21"/>
          <w:szCs w:val="21"/>
        </w:rPr>
        <w:t xml:space="preserve"> liquid-solid separator</w:t>
      </w:r>
    </w:p>
    <w:p>
      <w:pPr>
        <w:spacing w:line="240" w:lineRule="auto"/>
        <w:ind w:firstLine="420"/>
        <w:rPr>
          <w:sz w:val="21"/>
          <w:szCs w:val="21"/>
        </w:rPr>
      </w:pPr>
      <w:r>
        <w:rPr>
          <w:rFonts w:hint="eastAsia"/>
          <w:sz w:val="21"/>
          <w:szCs w:val="21"/>
        </w:rPr>
        <w:t>利用筛分、螺旋挤压、辊压等方式对畜禽粪便进行固液分离的机械设备。</w:t>
      </w:r>
    </w:p>
    <w:p>
      <w:pPr>
        <w:spacing w:line="240" w:lineRule="auto"/>
        <w:ind w:firstLine="420"/>
        <w:rPr>
          <w:rFonts w:ascii="宋体" w:hAnsi="宋体"/>
          <w:sz w:val="21"/>
          <w:szCs w:val="21"/>
        </w:rPr>
      </w:pPr>
      <w:r>
        <w:rPr>
          <w:rFonts w:hint="eastAsia" w:ascii="宋体" w:hAnsi="宋体"/>
          <w:sz w:val="21"/>
          <w:szCs w:val="21"/>
        </w:rPr>
        <w:t>[NY/T 3119</w:t>
      </w:r>
      <w:r>
        <w:rPr>
          <w:rFonts w:ascii="宋体" w:hAnsi="宋体"/>
          <w:sz w:val="21"/>
          <w:szCs w:val="21"/>
        </w:rPr>
        <w:t>]</w:t>
      </w:r>
      <w:r>
        <w:rPr>
          <w:rFonts w:hint="eastAsia" w:ascii="宋体" w:hAnsi="宋体"/>
          <w:sz w:val="21"/>
          <w:szCs w:val="21"/>
        </w:rPr>
        <w:t>（有的地方有“来源”，有的地方没有“来源”）</w:t>
      </w:r>
    </w:p>
    <w:p>
      <w:pPr>
        <w:spacing w:before="163" w:beforeLines="50" w:after="163" w:afterLines="50" w:line="240" w:lineRule="auto"/>
        <w:ind w:firstLine="0" w:firstLineChars="0"/>
        <w:rPr>
          <w:rFonts w:ascii="黑体" w:hAnsi="黑体" w:eastAsia="黑体"/>
          <w:bCs/>
          <w:sz w:val="21"/>
          <w:szCs w:val="21"/>
        </w:rPr>
      </w:pPr>
      <w:bookmarkStart w:id="58" w:name="_Toc87806400"/>
      <w:r>
        <w:rPr>
          <w:rFonts w:ascii="黑体" w:hAnsi="黑体" w:eastAsia="黑体"/>
          <w:bCs/>
          <w:sz w:val="21"/>
          <w:szCs w:val="21"/>
        </w:rPr>
        <w:t>3.</w:t>
      </w:r>
      <w:bookmarkEnd w:id="58"/>
      <w:r>
        <w:rPr>
          <w:rFonts w:ascii="黑体" w:hAnsi="黑体" w:eastAsia="黑体"/>
          <w:bCs/>
          <w:sz w:val="21"/>
          <w:szCs w:val="21"/>
        </w:rPr>
        <w:t>8</w:t>
      </w:r>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沼液贮存池  digestate pond</w:t>
      </w:r>
    </w:p>
    <w:p>
      <w:pPr>
        <w:spacing w:line="240" w:lineRule="auto"/>
        <w:ind w:firstLine="420"/>
        <w:rPr>
          <w:color w:val="000000"/>
          <w:sz w:val="21"/>
          <w:szCs w:val="21"/>
        </w:rPr>
      </w:pPr>
      <w:r>
        <w:rPr>
          <w:rFonts w:hint="eastAsia"/>
          <w:color w:val="000000"/>
          <w:sz w:val="21"/>
          <w:szCs w:val="21"/>
        </w:rPr>
        <w:t>存放养殖场粪便污水经厌氧消化后产生的废液的场所。</w:t>
      </w:r>
    </w:p>
    <w:p>
      <w:pPr>
        <w:spacing w:line="240" w:lineRule="auto"/>
        <w:ind w:firstLine="420"/>
        <w:rPr>
          <w:color w:val="000000"/>
          <w:sz w:val="21"/>
          <w:szCs w:val="21"/>
        </w:rPr>
      </w:pPr>
      <w:r>
        <w:rPr>
          <w:rFonts w:ascii="宋体" w:hAnsi="宋体"/>
          <w:sz w:val="21"/>
          <w:szCs w:val="21"/>
        </w:rPr>
        <w:t>[</w:t>
      </w:r>
      <w:r>
        <w:rPr>
          <w:rFonts w:hint="eastAsia" w:ascii="宋体" w:hAnsi="宋体"/>
          <w:sz w:val="21"/>
          <w:szCs w:val="21"/>
        </w:rPr>
        <w:t>改自：NY/T</w:t>
      </w:r>
      <w:r>
        <w:rPr>
          <w:rFonts w:ascii="宋体" w:hAnsi="宋体"/>
          <w:sz w:val="21"/>
          <w:szCs w:val="21"/>
        </w:rPr>
        <w:t xml:space="preserve"> 1222]</w:t>
      </w:r>
    </w:p>
    <w:p>
      <w:pPr>
        <w:spacing w:before="163" w:beforeLines="50" w:after="163" w:afterLines="50" w:line="240" w:lineRule="auto"/>
        <w:ind w:firstLine="0" w:firstLineChars="0"/>
        <w:rPr>
          <w:rFonts w:ascii="黑体" w:hAnsi="黑体" w:eastAsia="黑体"/>
          <w:bCs/>
          <w:sz w:val="21"/>
          <w:szCs w:val="21"/>
        </w:rPr>
      </w:pPr>
      <w:bookmarkStart w:id="59" w:name="_Toc87806401"/>
      <w:r>
        <w:rPr>
          <w:rFonts w:ascii="黑体" w:hAnsi="黑体" w:eastAsia="黑体"/>
          <w:bCs/>
          <w:sz w:val="21"/>
          <w:szCs w:val="21"/>
        </w:rPr>
        <w:t>3.</w:t>
      </w:r>
      <w:bookmarkEnd w:id="59"/>
      <w:r>
        <w:rPr>
          <w:rFonts w:ascii="黑体" w:hAnsi="黑体" w:eastAsia="黑体"/>
          <w:bCs/>
          <w:sz w:val="21"/>
          <w:szCs w:val="21"/>
        </w:rPr>
        <w:t>9</w:t>
      </w:r>
    </w:p>
    <w:p>
      <w:pPr>
        <w:spacing w:line="240" w:lineRule="auto"/>
        <w:ind w:firstLine="420"/>
        <w:rPr>
          <w:rFonts w:ascii="黑体" w:hAnsi="黑体" w:eastAsia="黑体"/>
          <w:color w:val="000000"/>
          <w:sz w:val="21"/>
          <w:szCs w:val="21"/>
        </w:rPr>
      </w:pPr>
      <w:r>
        <w:rPr>
          <w:rFonts w:hint="eastAsia" w:ascii="黑体" w:hAnsi="黑体" w:eastAsia="黑体"/>
          <w:color w:val="000000"/>
          <w:sz w:val="21"/>
          <w:szCs w:val="21"/>
        </w:rPr>
        <w:t>稳定塘/氧化塘stabilization pond/oxidation pond/lagoon</w:t>
      </w:r>
    </w:p>
    <w:p>
      <w:pPr>
        <w:spacing w:line="240" w:lineRule="auto"/>
        <w:ind w:firstLine="420"/>
        <w:rPr>
          <w:color w:val="000000"/>
          <w:sz w:val="21"/>
          <w:szCs w:val="21"/>
        </w:rPr>
      </w:pPr>
      <w:r>
        <w:rPr>
          <w:rFonts w:hint="eastAsia"/>
          <w:color w:val="000000"/>
          <w:sz w:val="21"/>
          <w:szCs w:val="21"/>
        </w:rPr>
        <w:t>以塘为主要构筑物，利用自然生物群体净化污水的处理设施。根据溶解氧含量和微生物种类分为厌氧塘、兼性塘、好氧塘、曝气塘、生物塘。根据处理后达到的水质标准分为常规处理和深度处理塘。</w:t>
      </w:r>
    </w:p>
    <w:p>
      <w:pPr>
        <w:spacing w:line="240" w:lineRule="auto"/>
        <w:ind w:firstLine="420"/>
        <w:rPr>
          <w:color w:val="000000"/>
          <w:sz w:val="21"/>
          <w:szCs w:val="21"/>
        </w:rPr>
      </w:pPr>
      <w:r>
        <w:rPr>
          <w:rFonts w:ascii="宋体" w:hAnsi="宋体"/>
          <w:sz w:val="21"/>
          <w:szCs w:val="21"/>
        </w:rPr>
        <w:t>[</w:t>
      </w:r>
      <w:r>
        <w:rPr>
          <w:rFonts w:hint="eastAsia" w:ascii="宋体" w:hAnsi="宋体"/>
          <w:sz w:val="21"/>
          <w:szCs w:val="21"/>
        </w:rPr>
        <w:t>来源：GJJ/T</w:t>
      </w:r>
      <w:r>
        <w:rPr>
          <w:rFonts w:ascii="宋体" w:hAnsi="宋体"/>
          <w:sz w:val="21"/>
          <w:szCs w:val="21"/>
        </w:rPr>
        <w:t xml:space="preserve"> 54]</w:t>
      </w:r>
    </w:p>
    <w:p>
      <w:pPr>
        <w:spacing w:before="163" w:beforeLines="50" w:after="163" w:afterLines="50" w:line="240" w:lineRule="auto"/>
        <w:ind w:firstLine="0" w:firstLineChars="0"/>
        <w:rPr>
          <w:rFonts w:ascii="黑体" w:hAnsi="黑体" w:eastAsia="黑体"/>
          <w:bCs/>
          <w:sz w:val="21"/>
          <w:szCs w:val="21"/>
        </w:rPr>
      </w:pPr>
      <w:bookmarkStart w:id="60" w:name="_Toc87806402"/>
      <w:r>
        <w:rPr>
          <w:rFonts w:ascii="黑体" w:hAnsi="黑体" w:eastAsia="黑体"/>
          <w:bCs/>
          <w:sz w:val="21"/>
          <w:szCs w:val="21"/>
        </w:rPr>
        <w:t>3.</w:t>
      </w:r>
      <w:bookmarkEnd w:id="60"/>
      <w:r>
        <w:rPr>
          <w:rFonts w:ascii="黑体" w:hAnsi="黑体" w:eastAsia="黑体"/>
          <w:bCs/>
          <w:sz w:val="21"/>
          <w:szCs w:val="21"/>
        </w:rPr>
        <w:t>10</w:t>
      </w:r>
    </w:p>
    <w:p>
      <w:pPr>
        <w:spacing w:line="240" w:lineRule="auto"/>
        <w:ind w:firstLine="420"/>
        <w:rPr>
          <w:color w:val="000000"/>
          <w:sz w:val="21"/>
          <w:szCs w:val="21"/>
        </w:rPr>
      </w:pPr>
      <w:r>
        <w:rPr>
          <w:rFonts w:hint="eastAsia" w:ascii="黑体" w:hAnsi="黑体" w:eastAsia="黑体"/>
          <w:color w:val="000000"/>
          <w:sz w:val="21"/>
          <w:szCs w:val="21"/>
        </w:rPr>
        <w:t>温室气体 greenhouse gas</w:t>
      </w:r>
      <w:r>
        <w:rPr>
          <w:rFonts w:ascii="黑体" w:hAnsi="黑体" w:eastAsia="黑体"/>
          <w:color w:val="000000"/>
          <w:sz w:val="21"/>
          <w:szCs w:val="21"/>
        </w:rPr>
        <w:t xml:space="preserve"> </w:t>
      </w:r>
    </w:p>
    <w:p>
      <w:pPr>
        <w:spacing w:line="240" w:lineRule="auto"/>
        <w:ind w:firstLine="420"/>
        <w:rPr>
          <w:rFonts w:ascii="宋体" w:hAnsi="宋体"/>
          <w:color w:val="000000"/>
          <w:sz w:val="21"/>
          <w:szCs w:val="21"/>
        </w:rPr>
      </w:pPr>
      <w:r>
        <w:rPr>
          <w:rFonts w:hint="eastAsia" w:ascii="宋体" w:hAnsi="宋体"/>
          <w:color w:val="000000"/>
          <w:sz w:val="21"/>
          <w:szCs w:val="21"/>
        </w:rPr>
        <w:t>大气层中自然存在的和由于人类活动产生的能够吸收和散发由地球表面、大气层和云层所产生的、波长在红外光谱内的辐射的气态成分，一般包括二氧化碳（CO</w:t>
      </w:r>
      <w:r>
        <w:rPr>
          <w:rFonts w:hint="eastAsia" w:ascii="宋体" w:hAnsi="宋体"/>
          <w:color w:val="000000"/>
          <w:sz w:val="21"/>
          <w:szCs w:val="21"/>
          <w:vertAlign w:val="subscript"/>
        </w:rPr>
        <w:t>2</w:t>
      </w:r>
      <w:r>
        <w:rPr>
          <w:rFonts w:hint="eastAsia" w:ascii="宋体" w:hAnsi="宋体"/>
          <w:color w:val="000000"/>
          <w:sz w:val="21"/>
          <w:szCs w:val="21"/>
        </w:rPr>
        <w:t>）、甲烷（CH</w:t>
      </w:r>
      <w:r>
        <w:rPr>
          <w:rFonts w:hint="eastAsia" w:ascii="宋体" w:hAnsi="宋体"/>
          <w:color w:val="000000"/>
          <w:sz w:val="21"/>
          <w:szCs w:val="21"/>
          <w:vertAlign w:val="subscript"/>
        </w:rPr>
        <w:t>4</w:t>
      </w:r>
      <w:r>
        <w:rPr>
          <w:rFonts w:hint="eastAsia" w:ascii="宋体" w:hAnsi="宋体"/>
          <w:color w:val="000000"/>
          <w:sz w:val="21"/>
          <w:szCs w:val="21"/>
        </w:rPr>
        <w:t>）、氧化亚氮（N</w:t>
      </w:r>
      <w:r>
        <w:rPr>
          <w:rFonts w:hint="eastAsia" w:ascii="宋体" w:hAnsi="宋体"/>
          <w:color w:val="000000"/>
          <w:sz w:val="21"/>
          <w:szCs w:val="21"/>
          <w:vertAlign w:val="subscript"/>
        </w:rPr>
        <w:t>2</w:t>
      </w:r>
      <w:r>
        <w:rPr>
          <w:rFonts w:hint="eastAsia" w:ascii="宋体" w:hAnsi="宋体"/>
          <w:color w:val="000000"/>
          <w:sz w:val="21"/>
          <w:szCs w:val="21"/>
        </w:rPr>
        <w:t>O）、氢氟碳化物（HFCs）、全氟碳化物（PFCs）、六氟化硫（SF</w:t>
      </w:r>
      <w:r>
        <w:rPr>
          <w:rFonts w:hint="eastAsia" w:ascii="宋体" w:hAnsi="宋体"/>
          <w:color w:val="000000"/>
          <w:sz w:val="21"/>
          <w:szCs w:val="21"/>
          <w:vertAlign w:val="subscript"/>
        </w:rPr>
        <w:t>6</w:t>
      </w:r>
      <w:r>
        <w:rPr>
          <w:rFonts w:hint="eastAsia" w:ascii="宋体" w:hAnsi="宋体"/>
          <w:color w:val="000000"/>
          <w:sz w:val="21"/>
          <w:szCs w:val="21"/>
        </w:rPr>
        <w:t>）和三氟化氮（NF</w:t>
      </w:r>
      <w:r>
        <w:rPr>
          <w:rFonts w:hint="eastAsia" w:ascii="宋体" w:hAnsi="宋体"/>
          <w:color w:val="000000"/>
          <w:sz w:val="21"/>
          <w:szCs w:val="21"/>
          <w:vertAlign w:val="subscript"/>
        </w:rPr>
        <w:t>3</w:t>
      </w:r>
      <w:r>
        <w:rPr>
          <w:rFonts w:hint="eastAsia" w:ascii="宋体" w:hAnsi="宋体"/>
          <w:color w:val="000000"/>
          <w:sz w:val="21"/>
          <w:szCs w:val="21"/>
        </w:rPr>
        <w:t>）等。本文件中的温室气体为主要为甲烷和二氧化碳。</w:t>
      </w:r>
    </w:p>
    <w:p>
      <w:pPr>
        <w:spacing w:line="240" w:lineRule="auto"/>
        <w:ind w:firstLine="420"/>
        <w:rPr>
          <w:rFonts w:ascii="宋体" w:hAnsi="宋体"/>
          <w:color w:val="000000"/>
          <w:sz w:val="21"/>
          <w:szCs w:val="21"/>
        </w:rPr>
      </w:pPr>
      <w:r>
        <w:rPr>
          <w:rFonts w:hint="eastAsia" w:ascii="宋体" w:hAnsi="宋体"/>
          <w:color w:val="000000"/>
          <w:sz w:val="21"/>
          <w:szCs w:val="21"/>
        </w:rPr>
        <w:t>[</w:t>
      </w:r>
      <w:r>
        <w:rPr>
          <w:rFonts w:ascii="宋体" w:hAnsi="宋体"/>
          <w:color w:val="000000"/>
          <w:sz w:val="21"/>
          <w:szCs w:val="21"/>
        </w:rPr>
        <w:t>ISO 14064-3-2019]</w:t>
      </w:r>
    </w:p>
    <w:p>
      <w:pPr>
        <w:pStyle w:val="2"/>
        <w:spacing w:before="326" w:beforeLines="100" w:after="326" w:afterLines="100" w:line="240" w:lineRule="auto"/>
        <w:rPr>
          <w:rFonts w:ascii="黑体" w:hAnsi="黑体" w:cs="黑体"/>
          <w:sz w:val="21"/>
          <w:szCs w:val="21"/>
        </w:rPr>
      </w:pPr>
      <w:bookmarkStart w:id="61" w:name="_Toc88660612"/>
      <w:bookmarkStart w:id="62" w:name="_Toc59012893"/>
      <w:bookmarkStart w:id="63" w:name="_Toc45986083"/>
      <w:r>
        <w:rPr>
          <w:rFonts w:ascii="黑体" w:hAnsi="黑体" w:cs="黑体"/>
          <w:sz w:val="21"/>
          <w:szCs w:val="21"/>
        </w:rPr>
        <w:t>4</w:t>
      </w:r>
      <w:r>
        <w:rPr>
          <w:rFonts w:hint="eastAsia" w:ascii="黑体" w:hAnsi="黑体" w:cs="黑体"/>
          <w:sz w:val="21"/>
          <w:szCs w:val="21"/>
        </w:rPr>
        <w:t xml:space="preserve"> 液态粪污固液分离管理要求</w:t>
      </w:r>
      <w:bookmarkEnd w:id="61"/>
    </w:p>
    <w:p>
      <w:pPr>
        <w:spacing w:line="240" w:lineRule="auto"/>
        <w:ind w:firstLine="420"/>
        <w:rPr>
          <w:rFonts w:ascii="宋体" w:hAnsi="宋体"/>
          <w:sz w:val="21"/>
          <w:szCs w:val="21"/>
        </w:rPr>
      </w:pPr>
      <w:r>
        <w:rPr>
          <w:rFonts w:hint="eastAsia" w:ascii="宋体" w:hAnsi="宋体"/>
          <w:sz w:val="21"/>
          <w:szCs w:val="21"/>
        </w:rPr>
        <w:t>将饲舍、奶厅等生产或加工场所的水冲粪等经管道或运输车输送到规定位置卸料（</w:t>
      </w:r>
      <w:r>
        <w:rPr>
          <w:rFonts w:ascii="宋体" w:hAnsi="宋体"/>
          <w:sz w:val="21"/>
          <w:szCs w:val="21"/>
        </w:rPr>
        <w:t>DB11/T</w:t>
      </w:r>
      <w:r>
        <w:rPr>
          <w:rFonts w:hint="eastAsia" w:ascii="宋体" w:hAnsi="宋体"/>
          <w:sz w:val="21"/>
          <w:szCs w:val="21"/>
        </w:rPr>
        <w:t xml:space="preserve"> </w:t>
      </w:r>
      <w:r>
        <w:rPr>
          <w:rFonts w:ascii="宋体" w:hAnsi="宋体"/>
          <w:sz w:val="21"/>
          <w:szCs w:val="21"/>
        </w:rPr>
        <w:t>-269</w:t>
      </w:r>
      <w:r>
        <w:rPr>
          <w:rFonts w:hint="eastAsia" w:ascii="宋体" w:hAnsi="宋体"/>
          <w:sz w:val="21"/>
          <w:szCs w:val="21"/>
        </w:rPr>
        <w:t>），并进行初级固液分离。具体要求包括：</w:t>
      </w:r>
    </w:p>
    <w:p>
      <w:pPr>
        <w:spacing w:line="240" w:lineRule="auto"/>
        <w:ind w:firstLine="420"/>
        <w:rPr>
          <w:rFonts w:ascii="宋体" w:hAnsi="宋体"/>
          <w:sz w:val="21"/>
          <w:szCs w:val="21"/>
        </w:rPr>
      </w:pPr>
      <w:r>
        <w:rPr>
          <w:rFonts w:ascii="宋体" w:hAnsi="宋体"/>
          <w:sz w:val="21"/>
          <w:szCs w:val="21"/>
        </w:rPr>
        <w:t>4.</w:t>
      </w:r>
      <w:r>
        <w:rPr>
          <w:rFonts w:hint="eastAsia" w:ascii="宋体" w:hAnsi="宋体"/>
          <w:sz w:val="21"/>
          <w:szCs w:val="21"/>
        </w:rPr>
        <w:t>1 粪便固液分离设备应符合JB/T 11379、</w:t>
      </w:r>
      <w:r>
        <w:rPr>
          <w:rFonts w:ascii="宋体" w:hAnsi="宋体"/>
          <w:sz w:val="21"/>
          <w:szCs w:val="21"/>
        </w:rPr>
        <w:t>DB51/T 2339</w:t>
      </w:r>
      <w:r>
        <w:rPr>
          <w:rFonts w:hint="eastAsia" w:ascii="宋体" w:hAnsi="宋体"/>
          <w:sz w:val="21"/>
          <w:szCs w:val="21"/>
        </w:rPr>
        <w:t>、</w:t>
      </w:r>
      <w:r>
        <w:rPr>
          <w:rFonts w:ascii="宋体" w:hAnsi="宋体"/>
          <w:sz w:val="21"/>
          <w:szCs w:val="21"/>
        </w:rPr>
        <w:t>DB37/T 4244</w:t>
      </w:r>
      <w:r>
        <w:rPr>
          <w:rFonts w:hint="eastAsia" w:ascii="宋体" w:hAnsi="宋体"/>
          <w:sz w:val="21"/>
          <w:szCs w:val="21"/>
        </w:rPr>
        <w:t>的技术要求。</w:t>
      </w:r>
    </w:p>
    <w:p>
      <w:pPr>
        <w:spacing w:line="240" w:lineRule="auto"/>
        <w:ind w:firstLine="420"/>
        <w:rPr>
          <w:rFonts w:ascii="宋体" w:hAnsi="宋体"/>
          <w:sz w:val="21"/>
          <w:szCs w:val="21"/>
        </w:rPr>
      </w:pPr>
      <w:r>
        <w:rPr>
          <w:rFonts w:ascii="宋体" w:hAnsi="宋体"/>
          <w:sz w:val="21"/>
          <w:szCs w:val="21"/>
        </w:rPr>
        <w:t>4.</w:t>
      </w:r>
      <w:r>
        <w:rPr>
          <w:rFonts w:hint="eastAsia" w:ascii="宋体" w:hAnsi="宋体"/>
          <w:sz w:val="21"/>
          <w:szCs w:val="21"/>
        </w:rPr>
        <w:t>2 粪便固液分离的正常运行参数应符合下列规定：</w:t>
      </w:r>
    </w:p>
    <w:p>
      <w:pPr>
        <w:spacing w:line="240" w:lineRule="auto"/>
        <w:ind w:left="240" w:leftChars="100" w:firstLine="420"/>
        <w:rPr>
          <w:rFonts w:ascii="宋体" w:hAnsi="宋体"/>
          <w:sz w:val="21"/>
          <w:szCs w:val="21"/>
        </w:rPr>
      </w:pPr>
      <w:r>
        <w:rPr>
          <w:rFonts w:hint="eastAsia" w:ascii="宋体" w:hAnsi="宋体"/>
          <w:sz w:val="21"/>
          <w:szCs w:val="21"/>
        </w:rPr>
        <w:t>a) 粪液固含量小于5%；</w:t>
      </w:r>
    </w:p>
    <w:p>
      <w:pPr>
        <w:spacing w:line="240" w:lineRule="auto"/>
        <w:ind w:left="240" w:leftChars="100" w:firstLine="420"/>
        <w:rPr>
          <w:rFonts w:ascii="宋体" w:hAnsi="宋体"/>
          <w:sz w:val="21"/>
          <w:szCs w:val="21"/>
        </w:rPr>
      </w:pPr>
      <w:r>
        <w:rPr>
          <w:rFonts w:hint="eastAsia" w:ascii="宋体" w:hAnsi="宋体"/>
          <w:sz w:val="21"/>
          <w:szCs w:val="21"/>
        </w:rPr>
        <w:t>b) 其他参数应符合 GB/T 29151的要求。</w:t>
      </w:r>
    </w:p>
    <w:p>
      <w:pPr>
        <w:spacing w:line="240" w:lineRule="auto"/>
        <w:ind w:firstLine="420"/>
        <w:rPr>
          <w:rFonts w:ascii="宋体" w:hAnsi="宋体"/>
          <w:sz w:val="21"/>
          <w:szCs w:val="21"/>
        </w:rPr>
      </w:pPr>
      <w:r>
        <w:rPr>
          <w:rFonts w:ascii="宋体" w:hAnsi="宋体"/>
          <w:sz w:val="21"/>
          <w:szCs w:val="21"/>
        </w:rPr>
        <w:t>4.</w:t>
      </w:r>
      <w:r>
        <w:rPr>
          <w:rFonts w:hint="eastAsia" w:ascii="宋体" w:hAnsi="宋体"/>
          <w:sz w:val="21"/>
          <w:szCs w:val="21"/>
        </w:rPr>
        <w:t>3 粪便固液分离设备、受料设备应安放在有废气处理装置的车间内。</w:t>
      </w:r>
    </w:p>
    <w:p>
      <w:pPr>
        <w:spacing w:line="240" w:lineRule="auto"/>
        <w:ind w:firstLine="420"/>
        <w:rPr>
          <w:rFonts w:ascii="宋体" w:hAnsi="宋体"/>
          <w:sz w:val="21"/>
          <w:szCs w:val="21"/>
        </w:rPr>
      </w:pPr>
      <w:r>
        <w:rPr>
          <w:rFonts w:hint="eastAsia" w:ascii="宋体" w:hAnsi="宋体"/>
          <w:sz w:val="21"/>
          <w:szCs w:val="21"/>
        </w:rPr>
        <w:t>4</w:t>
      </w:r>
      <w:r>
        <w:rPr>
          <w:rFonts w:ascii="宋体" w:hAnsi="宋体"/>
          <w:sz w:val="21"/>
          <w:szCs w:val="21"/>
        </w:rPr>
        <w:t xml:space="preserve">.4 </w:t>
      </w:r>
      <w:r>
        <w:rPr>
          <w:rFonts w:hint="eastAsia" w:ascii="宋体" w:hAnsi="宋体"/>
          <w:sz w:val="21"/>
          <w:szCs w:val="21"/>
        </w:rPr>
        <w:t>定时进行调节池回流搅拌，回流量大于10%。</w:t>
      </w:r>
    </w:p>
    <w:p>
      <w:pPr>
        <w:spacing w:line="240" w:lineRule="auto"/>
        <w:ind w:firstLine="420"/>
        <w:rPr>
          <w:rFonts w:ascii="宋体" w:hAnsi="宋体"/>
          <w:sz w:val="21"/>
          <w:szCs w:val="21"/>
        </w:rPr>
      </w:pPr>
      <w:r>
        <w:rPr>
          <w:rFonts w:hint="eastAsia" w:ascii="宋体" w:hAnsi="宋体"/>
          <w:sz w:val="21"/>
          <w:szCs w:val="21"/>
        </w:rPr>
        <w:t>4</w:t>
      </w:r>
      <w:r>
        <w:rPr>
          <w:rFonts w:ascii="宋体" w:hAnsi="宋体"/>
          <w:sz w:val="21"/>
          <w:szCs w:val="21"/>
        </w:rPr>
        <w:t xml:space="preserve">.5 </w:t>
      </w:r>
      <w:r>
        <w:rPr>
          <w:rFonts w:hint="eastAsia" w:ascii="宋体" w:hAnsi="宋体"/>
          <w:sz w:val="21"/>
          <w:szCs w:val="21"/>
        </w:rPr>
        <w:t>定期对调节池及其管道进行冲刷清洗，外排管网无堵塞、粪便积存及漂浮物结痂现象。</w:t>
      </w:r>
    </w:p>
    <w:p>
      <w:pPr>
        <w:pStyle w:val="2"/>
        <w:spacing w:before="326" w:beforeLines="100" w:after="326" w:afterLines="100" w:line="240" w:lineRule="auto"/>
        <w:rPr>
          <w:rFonts w:ascii="黑体" w:hAnsi="黑体" w:cs="黑体"/>
          <w:sz w:val="21"/>
          <w:szCs w:val="21"/>
        </w:rPr>
      </w:pPr>
      <w:bookmarkStart w:id="64" w:name="_Toc88660613"/>
      <w:r>
        <w:rPr>
          <w:rFonts w:ascii="黑体" w:hAnsi="黑体" w:cs="黑体"/>
          <w:sz w:val="21"/>
          <w:szCs w:val="21"/>
        </w:rPr>
        <w:t xml:space="preserve">5 </w:t>
      </w:r>
      <w:r>
        <w:rPr>
          <w:rFonts w:hint="eastAsia" w:ascii="黑体" w:hAnsi="黑体" w:cs="黑体"/>
          <w:sz w:val="21"/>
          <w:szCs w:val="21"/>
        </w:rPr>
        <w:t>液态粪污存储的管理要求</w:t>
      </w:r>
      <w:bookmarkEnd w:id="64"/>
    </w:p>
    <w:p>
      <w:pPr>
        <w:spacing w:line="240" w:lineRule="auto"/>
        <w:ind w:firstLine="420"/>
        <w:rPr>
          <w:rFonts w:ascii="宋体" w:hAnsi="宋体"/>
          <w:sz w:val="21"/>
          <w:szCs w:val="21"/>
        </w:rPr>
      </w:pPr>
      <w:r>
        <w:rPr>
          <w:rFonts w:hint="eastAsia" w:ascii="宋体" w:hAnsi="宋体"/>
          <w:sz w:val="21"/>
          <w:szCs w:val="21"/>
        </w:rPr>
        <w:t>分离后液态粪污暂时存储过程中，污水暂存池的设计和容积参照农办牧[2018]2号执行。在满足防渗、防雨、防溢流等要求上，须通过加膜覆盖，降低粪污暴露面积，加膜覆盖方式参照CJJ/T54执行。在出气口对甲烷等气体进行收集利用（可参照NY/T 1220</w:t>
      </w:r>
      <w:r>
        <w:rPr>
          <w:rFonts w:ascii="宋体" w:hAnsi="宋体"/>
          <w:sz w:val="21"/>
          <w:szCs w:val="21"/>
        </w:rPr>
        <w:t>.6</w:t>
      </w:r>
      <w:r>
        <w:rPr>
          <w:rFonts w:hint="eastAsia" w:ascii="宋体" w:hAnsi="宋体"/>
          <w:sz w:val="21"/>
          <w:szCs w:val="21"/>
        </w:rPr>
        <w:t>），若甲烷等浓度达不到燃气的要求，可采用燃烧法去除（可参照</w:t>
      </w:r>
      <w:r>
        <w:rPr>
          <w:rFonts w:ascii="宋体" w:hAnsi="宋体"/>
          <w:sz w:val="21"/>
          <w:szCs w:val="21"/>
        </w:rPr>
        <w:t>GB 16889-2008</w:t>
      </w:r>
      <w:r>
        <w:rPr>
          <w:rFonts w:hint="eastAsia" w:ascii="宋体" w:hAnsi="宋体"/>
          <w:sz w:val="21"/>
          <w:szCs w:val="21"/>
        </w:rPr>
        <w:t>）。</w:t>
      </w:r>
    </w:p>
    <w:p>
      <w:pPr>
        <w:pStyle w:val="2"/>
        <w:spacing w:before="326" w:beforeLines="100" w:after="326" w:afterLines="100" w:line="240" w:lineRule="auto"/>
        <w:rPr>
          <w:rFonts w:ascii="黑体" w:hAnsi="黑体" w:cs="黑体"/>
          <w:sz w:val="21"/>
          <w:szCs w:val="21"/>
        </w:rPr>
      </w:pPr>
      <w:bookmarkStart w:id="65" w:name="_Toc88660614"/>
      <w:r>
        <w:rPr>
          <w:rFonts w:ascii="黑体" w:hAnsi="黑体" w:cs="黑体"/>
          <w:sz w:val="21"/>
          <w:szCs w:val="21"/>
        </w:rPr>
        <w:t xml:space="preserve">6 </w:t>
      </w:r>
      <w:r>
        <w:rPr>
          <w:rFonts w:hint="eastAsia" w:ascii="黑体" w:hAnsi="黑体" w:cs="黑体"/>
          <w:sz w:val="21"/>
          <w:szCs w:val="21"/>
        </w:rPr>
        <w:t>液态粪污处理的管理要求</w:t>
      </w:r>
      <w:bookmarkEnd w:id="65"/>
    </w:p>
    <w:p>
      <w:pPr>
        <w:spacing w:line="240" w:lineRule="auto"/>
        <w:ind w:firstLine="420"/>
        <w:rPr>
          <w:rFonts w:ascii="宋体" w:hAnsi="宋体"/>
          <w:sz w:val="21"/>
          <w:szCs w:val="21"/>
        </w:rPr>
      </w:pPr>
      <w:r>
        <w:rPr>
          <w:rFonts w:ascii="宋体" w:hAnsi="宋体"/>
          <w:sz w:val="21"/>
          <w:szCs w:val="21"/>
        </w:rPr>
        <w:t>6</w:t>
      </w:r>
      <w:r>
        <w:rPr>
          <w:rFonts w:hint="eastAsia" w:ascii="宋体" w:hAnsi="宋体"/>
          <w:sz w:val="21"/>
          <w:szCs w:val="21"/>
        </w:rPr>
        <w:t>.</w:t>
      </w:r>
      <w:r>
        <w:rPr>
          <w:rFonts w:ascii="宋体" w:hAnsi="宋体"/>
          <w:sz w:val="21"/>
          <w:szCs w:val="21"/>
        </w:rPr>
        <w:t>1</w:t>
      </w:r>
      <w:r>
        <w:rPr>
          <w:rFonts w:hint="eastAsia" w:ascii="宋体" w:hAnsi="宋体"/>
          <w:sz w:val="21"/>
          <w:szCs w:val="21"/>
        </w:rPr>
        <w:t xml:space="preserve"> 液态粪污处理的管理要求</w:t>
      </w:r>
    </w:p>
    <w:p>
      <w:pPr>
        <w:spacing w:line="240" w:lineRule="auto"/>
        <w:ind w:firstLine="420"/>
        <w:rPr>
          <w:rFonts w:ascii="宋体" w:hAnsi="宋体"/>
          <w:sz w:val="21"/>
          <w:szCs w:val="21"/>
        </w:rPr>
      </w:pPr>
      <w:r>
        <w:rPr>
          <w:rFonts w:hint="eastAsia" w:ascii="宋体" w:hAnsi="宋体"/>
          <w:sz w:val="21"/>
          <w:szCs w:val="21"/>
        </w:rPr>
        <w:t>分离后液态粪污沉淀池设计和容积按照农办牧[2018]2号执行，须通过加膜覆盖，降低粪污暴露面积；与沉淀池相连接的污水稳定塘采用塘面覆盖的厌氧塘类型，沉淀池和厌氧塘覆盖方式参照CJJ/T</w:t>
      </w:r>
      <w:r>
        <w:rPr>
          <w:rFonts w:ascii="宋体" w:hAnsi="宋体"/>
          <w:sz w:val="21"/>
          <w:szCs w:val="21"/>
        </w:rPr>
        <w:t xml:space="preserve"> </w:t>
      </w:r>
      <w:r>
        <w:rPr>
          <w:rFonts w:hint="eastAsia" w:ascii="宋体" w:hAnsi="宋体"/>
          <w:sz w:val="21"/>
          <w:szCs w:val="21"/>
        </w:rPr>
        <w:t>54执行。在出气口对甲烷等气体进行收集利用（可参照NY/T 122</w:t>
      </w:r>
      <w:r>
        <w:rPr>
          <w:rFonts w:ascii="宋体" w:hAnsi="宋体"/>
          <w:sz w:val="21"/>
          <w:szCs w:val="21"/>
        </w:rPr>
        <w:t>2</w:t>
      </w:r>
      <w:r>
        <w:rPr>
          <w:rFonts w:hint="eastAsia" w:ascii="宋体" w:hAnsi="宋体"/>
          <w:sz w:val="21"/>
          <w:szCs w:val="21"/>
        </w:rPr>
        <w:t>），若甲烷等浓度达不到燃气的要求，可采用燃烧法去除（可参照</w:t>
      </w:r>
      <w:r>
        <w:rPr>
          <w:rFonts w:ascii="宋体" w:hAnsi="宋体"/>
          <w:sz w:val="21"/>
          <w:szCs w:val="21"/>
        </w:rPr>
        <w:t>GB 16889-2008</w:t>
      </w:r>
      <w:r>
        <w:rPr>
          <w:rFonts w:hint="eastAsia" w:ascii="宋体" w:hAnsi="宋体"/>
          <w:sz w:val="21"/>
          <w:szCs w:val="21"/>
        </w:rPr>
        <w:t>）。</w:t>
      </w:r>
    </w:p>
    <w:p>
      <w:pPr>
        <w:spacing w:line="240" w:lineRule="auto"/>
        <w:ind w:firstLine="420"/>
        <w:rPr>
          <w:rFonts w:ascii="宋体" w:hAnsi="宋体"/>
          <w:sz w:val="21"/>
          <w:szCs w:val="21"/>
        </w:rPr>
      </w:pPr>
      <w:r>
        <w:rPr>
          <w:rFonts w:ascii="宋体" w:hAnsi="宋体"/>
          <w:sz w:val="21"/>
          <w:szCs w:val="21"/>
        </w:rPr>
        <w:t>6</w:t>
      </w:r>
      <w:r>
        <w:rPr>
          <w:rFonts w:hint="eastAsia" w:ascii="宋体" w:hAnsi="宋体"/>
          <w:sz w:val="21"/>
          <w:szCs w:val="21"/>
        </w:rPr>
        <w:t>.</w:t>
      </w:r>
      <w:r>
        <w:rPr>
          <w:rFonts w:ascii="宋体" w:hAnsi="宋体"/>
          <w:sz w:val="21"/>
          <w:szCs w:val="21"/>
        </w:rPr>
        <w:t>2</w:t>
      </w:r>
      <w:r>
        <w:rPr>
          <w:rFonts w:hint="eastAsia" w:ascii="宋体" w:hAnsi="宋体"/>
          <w:sz w:val="21"/>
          <w:szCs w:val="21"/>
        </w:rPr>
        <w:t xml:space="preserve"> 厌氧发酵处理</w:t>
      </w:r>
    </w:p>
    <w:p>
      <w:pPr>
        <w:spacing w:line="240" w:lineRule="auto"/>
        <w:ind w:firstLine="420"/>
        <w:rPr>
          <w:rFonts w:ascii="宋体" w:hAnsi="宋体"/>
          <w:sz w:val="21"/>
          <w:szCs w:val="21"/>
        </w:rPr>
      </w:pPr>
      <w:r>
        <w:rPr>
          <w:rFonts w:hint="eastAsia" w:ascii="宋体" w:hAnsi="宋体"/>
          <w:sz w:val="21"/>
          <w:szCs w:val="21"/>
        </w:rPr>
        <w:t>分离后液态粪污可采用厌氧发酵反应器（沼气池）进行处理，并对沼气进行合理利用。厌氧发酵反应器（沼气池）的设计和容积NY/T 122</w:t>
      </w:r>
      <w:r>
        <w:rPr>
          <w:rFonts w:ascii="宋体" w:hAnsi="宋体"/>
          <w:sz w:val="21"/>
          <w:szCs w:val="21"/>
        </w:rPr>
        <w:t>2</w:t>
      </w:r>
      <w:r>
        <w:rPr>
          <w:rFonts w:hint="eastAsia" w:ascii="宋体" w:hAnsi="宋体"/>
          <w:sz w:val="21"/>
          <w:szCs w:val="21"/>
        </w:rPr>
        <w:t>执行。沼液（沼渣）贮存池须通过加膜覆盖，降低粪污暴露面积，加膜覆盖方式参照CJJ/T</w:t>
      </w:r>
      <w:r>
        <w:rPr>
          <w:rFonts w:ascii="宋体" w:hAnsi="宋体"/>
          <w:sz w:val="21"/>
          <w:szCs w:val="21"/>
        </w:rPr>
        <w:t xml:space="preserve"> </w:t>
      </w:r>
      <w:r>
        <w:rPr>
          <w:rFonts w:hint="eastAsia" w:ascii="宋体" w:hAnsi="宋体"/>
          <w:sz w:val="21"/>
          <w:szCs w:val="21"/>
        </w:rPr>
        <w:t>54执行。</w:t>
      </w:r>
    </w:p>
    <w:p>
      <w:pPr>
        <w:spacing w:line="240" w:lineRule="auto"/>
        <w:ind w:firstLine="420"/>
        <w:rPr>
          <w:rFonts w:ascii="宋体" w:hAnsi="宋体"/>
          <w:sz w:val="21"/>
          <w:szCs w:val="21"/>
        </w:rPr>
      </w:pPr>
      <w:r>
        <w:rPr>
          <w:rFonts w:ascii="宋体" w:hAnsi="宋体"/>
          <w:sz w:val="21"/>
          <w:szCs w:val="21"/>
        </w:rPr>
        <w:t>6</w:t>
      </w:r>
      <w:r>
        <w:rPr>
          <w:rFonts w:hint="eastAsia" w:ascii="宋体" w:hAnsi="宋体"/>
          <w:sz w:val="21"/>
          <w:szCs w:val="21"/>
        </w:rPr>
        <w:t>.</w:t>
      </w:r>
      <w:r>
        <w:rPr>
          <w:rFonts w:ascii="宋体" w:hAnsi="宋体"/>
          <w:sz w:val="21"/>
          <w:szCs w:val="21"/>
        </w:rPr>
        <w:t>3</w:t>
      </w:r>
      <w:r>
        <w:rPr>
          <w:rFonts w:hint="eastAsia" w:ascii="宋体" w:hAnsi="宋体"/>
          <w:sz w:val="21"/>
          <w:szCs w:val="21"/>
        </w:rPr>
        <w:t xml:space="preserve"> 粪液输送</w:t>
      </w:r>
    </w:p>
    <w:p>
      <w:pPr>
        <w:spacing w:line="240" w:lineRule="auto"/>
        <w:ind w:firstLine="420"/>
        <w:rPr>
          <w:rFonts w:ascii="宋体" w:hAnsi="宋体"/>
          <w:sz w:val="21"/>
          <w:szCs w:val="21"/>
        </w:rPr>
      </w:pPr>
      <w:r>
        <w:rPr>
          <w:rFonts w:hint="eastAsia" w:ascii="宋体" w:hAnsi="宋体"/>
          <w:sz w:val="21"/>
          <w:szCs w:val="21"/>
        </w:rPr>
        <w:t xml:space="preserve">    粪液宜采用封闭运输方式。</w:t>
      </w:r>
    </w:p>
    <w:bookmarkEnd w:id="62"/>
    <w:bookmarkEnd w:id="63"/>
    <w:p>
      <w:pPr>
        <w:pStyle w:val="2"/>
        <w:spacing w:before="326" w:beforeLines="100" w:after="326" w:afterLines="100" w:line="240" w:lineRule="auto"/>
        <w:rPr>
          <w:rFonts w:ascii="黑体" w:hAnsi="黑体" w:cs="黑体"/>
          <w:sz w:val="21"/>
          <w:szCs w:val="21"/>
        </w:rPr>
      </w:pPr>
      <w:bookmarkStart w:id="66" w:name="_Toc88660615"/>
      <w:bookmarkStart w:id="67" w:name="_Toc45986090"/>
      <w:bookmarkStart w:id="68" w:name="_Toc59012894"/>
      <w:r>
        <w:rPr>
          <w:rFonts w:ascii="黑体" w:hAnsi="黑体" w:cs="黑体"/>
          <w:sz w:val="21"/>
          <w:szCs w:val="21"/>
        </w:rPr>
        <w:t xml:space="preserve">7 </w:t>
      </w:r>
      <w:r>
        <w:rPr>
          <w:rFonts w:hint="eastAsia" w:ascii="黑体" w:hAnsi="黑体" w:cs="黑体"/>
          <w:sz w:val="21"/>
          <w:szCs w:val="21"/>
        </w:rPr>
        <w:t>实施注意事项</w:t>
      </w:r>
      <w:bookmarkEnd w:id="66"/>
      <w:bookmarkEnd w:id="67"/>
      <w:bookmarkEnd w:id="68"/>
    </w:p>
    <w:p>
      <w:pPr>
        <w:spacing w:line="240" w:lineRule="auto"/>
        <w:ind w:firstLine="420"/>
        <w:rPr>
          <w:sz w:val="21"/>
          <w:szCs w:val="21"/>
        </w:rPr>
      </w:pPr>
      <w:bookmarkStart w:id="69" w:name="_Hlk59024652"/>
      <w:r>
        <w:rPr>
          <w:rFonts w:ascii="宋体" w:hAnsi="宋体"/>
          <w:sz w:val="21"/>
          <w:szCs w:val="21"/>
        </w:rPr>
        <w:t>7.1</w:t>
      </w:r>
      <w:r>
        <w:rPr>
          <w:rFonts w:hint="eastAsia" w:ascii="宋体" w:hAnsi="宋体"/>
          <w:sz w:val="21"/>
          <w:szCs w:val="21"/>
        </w:rPr>
        <w:t>为了从源头降低液态粪污产生量，建议</w:t>
      </w:r>
      <w:r>
        <w:rPr>
          <w:rFonts w:hint="eastAsia"/>
          <w:sz w:val="21"/>
          <w:szCs w:val="21"/>
        </w:rPr>
        <w:t>采用水冲粪、水泡粪等湿法清粪工艺的养殖场要逐步改为干法清粪工艺，并推广高压水枪（清洁用）等节水设施。</w:t>
      </w:r>
    </w:p>
    <w:p>
      <w:pPr>
        <w:spacing w:line="240" w:lineRule="auto"/>
        <w:ind w:firstLine="420"/>
        <w:rPr>
          <w:rFonts w:ascii="宋体" w:hAnsi="宋体"/>
          <w:sz w:val="21"/>
          <w:szCs w:val="21"/>
        </w:rPr>
      </w:pPr>
      <w:r>
        <w:rPr>
          <w:rFonts w:ascii="宋体" w:hAnsi="宋体"/>
          <w:sz w:val="21"/>
          <w:szCs w:val="21"/>
        </w:rPr>
        <w:t>7.2</w:t>
      </w:r>
      <w:r>
        <w:rPr>
          <w:rFonts w:hint="eastAsia" w:ascii="宋体" w:hAnsi="宋体"/>
          <w:sz w:val="21"/>
          <w:szCs w:val="21"/>
        </w:rPr>
        <w:t>沼气利用时制定安全管理制度。在消化池、储气柜、脱硫间周边划定重点防火区，并配备消防安全设施；非工作人员未经许可不得进入厌氧消化管理区内；在可能的泄漏点设置甲烷浓度超标及氧亏报警装置（</w:t>
      </w:r>
      <w:r>
        <w:rPr>
          <w:rFonts w:ascii="宋体" w:hAnsi="宋体"/>
          <w:sz w:val="21"/>
          <w:szCs w:val="21"/>
        </w:rPr>
        <w:t>NY/T 1221</w:t>
      </w:r>
      <w:r>
        <w:rPr>
          <w:rFonts w:hint="eastAsia" w:ascii="宋体" w:hAnsi="宋体"/>
          <w:sz w:val="21"/>
          <w:szCs w:val="21"/>
        </w:rPr>
        <w:t>、</w:t>
      </w:r>
      <w:r>
        <w:rPr>
          <w:rFonts w:ascii="宋体" w:hAnsi="宋体"/>
          <w:sz w:val="21"/>
          <w:szCs w:val="21"/>
        </w:rPr>
        <w:t>NY/T 1222</w:t>
      </w:r>
      <w:r>
        <w:rPr>
          <w:rFonts w:hint="eastAsia" w:ascii="宋体" w:hAnsi="宋体"/>
          <w:sz w:val="21"/>
          <w:szCs w:val="21"/>
        </w:rPr>
        <w:t>、</w:t>
      </w:r>
      <w:r>
        <w:rPr>
          <w:rFonts w:ascii="宋体" w:hAnsi="宋体"/>
          <w:sz w:val="21"/>
          <w:szCs w:val="21"/>
        </w:rPr>
        <w:t>NY/T 2600</w:t>
      </w:r>
      <w:r>
        <w:rPr>
          <w:rFonts w:hint="eastAsia" w:ascii="宋体" w:hAnsi="宋体"/>
          <w:sz w:val="21"/>
          <w:szCs w:val="21"/>
        </w:rPr>
        <w:t>）。</w:t>
      </w:r>
    </w:p>
    <w:p>
      <w:pPr>
        <w:spacing w:line="240" w:lineRule="auto"/>
        <w:ind w:firstLine="420"/>
        <w:rPr>
          <w:rFonts w:ascii="宋体" w:hAnsi="宋体"/>
          <w:sz w:val="21"/>
          <w:szCs w:val="21"/>
        </w:rPr>
      </w:pPr>
      <w:r>
        <w:rPr>
          <w:rFonts w:ascii="宋体" w:hAnsi="宋体"/>
          <w:sz w:val="21"/>
          <w:szCs w:val="21"/>
        </w:rPr>
        <w:t>7.3</w:t>
      </w:r>
      <w:r>
        <w:rPr>
          <w:rFonts w:hint="eastAsia"/>
          <w:sz w:val="21"/>
          <w:szCs w:val="21"/>
        </w:rPr>
        <w:t>设置完善的堆肥产品监测系统，加强固液分离后固相部分处理，控制堆肥产品的质量。仅允许符合国家相关标准要求的好氧发酵产品出厂、销售或施用。在好氧发酵车间布设气体收集系统，通过引风装置将车间内的恶臭气体送入除</w:t>
      </w:r>
      <w:r>
        <w:rPr>
          <w:rFonts w:hint="eastAsia" w:ascii="宋体" w:hAnsi="宋体"/>
          <w:sz w:val="21"/>
          <w:szCs w:val="21"/>
        </w:rPr>
        <w:t>臭装置，保证车间及场区内的环境安全和操作人员的健康（</w:t>
      </w:r>
      <w:r>
        <w:rPr>
          <w:rFonts w:ascii="宋体" w:hAnsi="宋体"/>
          <w:sz w:val="21"/>
          <w:szCs w:val="21"/>
        </w:rPr>
        <w:t>NY/T 1168</w:t>
      </w:r>
      <w:r>
        <w:rPr>
          <w:rFonts w:hint="eastAsia" w:ascii="宋体" w:hAnsi="宋体"/>
          <w:sz w:val="21"/>
          <w:szCs w:val="21"/>
        </w:rPr>
        <w:t>）。</w:t>
      </w:r>
    </w:p>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69"/>
    <w:p>
      <w:pPr>
        <w:pStyle w:val="2"/>
        <w:spacing w:before="326" w:beforeLines="100" w:after="326" w:afterLines="100" w:line="240" w:lineRule="auto"/>
        <w:rPr>
          <w:rFonts w:ascii="黑体" w:hAnsi="黑体" w:cs="黑体"/>
          <w:sz w:val="21"/>
          <w:szCs w:val="21"/>
        </w:rPr>
      </w:pPr>
      <w:bookmarkStart w:id="70" w:name="_Toc28387"/>
      <w:bookmarkStart w:id="71" w:name="_Toc88660616"/>
      <w:r>
        <w:rPr>
          <w:rFonts w:ascii="黑体" w:hAnsi="黑体" w:cs="黑体"/>
          <w:sz w:val="21"/>
          <w:szCs w:val="21"/>
        </w:rPr>
        <w:t>8 监管要求</w:t>
      </w:r>
      <w:bookmarkEnd w:id="70"/>
      <w:bookmarkEnd w:id="71"/>
    </w:p>
    <w:p>
      <w:pPr>
        <w:pStyle w:val="24"/>
        <w:rPr>
          <w:rFonts w:hAnsi="宋体"/>
          <w:szCs w:val="22"/>
        </w:rPr>
      </w:pPr>
      <w:r>
        <w:rPr>
          <w:rFonts w:hAnsi="宋体"/>
          <w:szCs w:val="22"/>
        </w:rPr>
        <w:t>8</w:t>
      </w:r>
      <w:r>
        <w:rPr>
          <w:rFonts w:hint="eastAsia" w:hAnsi="宋体"/>
          <w:szCs w:val="22"/>
        </w:rPr>
        <w:t>.1 本标准由县级以上人民政府农业农村主管部门和生态环境主管部门共同负责监督实施。</w:t>
      </w:r>
    </w:p>
    <w:p>
      <w:pPr>
        <w:pStyle w:val="24"/>
        <w:rPr>
          <w:rFonts w:hAnsi="宋体"/>
          <w:szCs w:val="22"/>
        </w:rPr>
      </w:pPr>
      <w:r>
        <w:rPr>
          <w:rFonts w:hAnsi="宋体"/>
          <w:szCs w:val="22"/>
        </w:rPr>
        <w:t xml:space="preserve">8.2 </w:t>
      </w:r>
      <w:r>
        <w:rPr>
          <w:rFonts w:hint="eastAsia" w:hAnsi="宋体"/>
          <w:szCs w:val="22"/>
        </w:rPr>
        <w:t>养殖场应建立液态粪污规范化管理制度</w:t>
      </w:r>
      <w:r>
        <w:rPr>
          <w:rFonts w:hAnsi="宋体"/>
          <w:szCs w:val="22"/>
        </w:rPr>
        <w:t>。</w:t>
      </w:r>
      <w:r>
        <w:rPr>
          <w:rFonts w:hint="eastAsia" w:hAnsi="宋体"/>
          <w:szCs w:val="22"/>
        </w:rPr>
        <w:t>主要包括：管理岗位，液态粪污存储和输送管理制度，甲烷等气体浓度监测制度（GB 13486 便携式热催化甲烷检测报警仪，HJ/T 38-1999 固定污染源排气中非甲烷总烃的测定 气相色谱法）。</w:t>
      </w:r>
    </w:p>
    <w:p>
      <w:pPr>
        <w:pStyle w:val="24"/>
        <w:rPr>
          <w:rFonts w:ascii="Times New Roman"/>
          <w:szCs w:val="22"/>
        </w:rPr>
      </w:pPr>
    </w:p>
    <w:sectPr>
      <w:footerReference r:id="rId15" w:type="default"/>
      <w:footerReference r:id="rId16" w:type="even"/>
      <w:pgSz w:w="11906" w:h="16838"/>
      <w:pgMar w:top="1418" w:right="1134" w:bottom="1134" w:left="1418" w:header="1418" w:footer="1134" w:gutter="0"/>
      <w:pgNumType w:start="1"/>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等线 Light">
    <w:altName w:val="汉仪中宋简"/>
    <w:panose1 w:val="02010600030101010101"/>
    <w:charset w:val="86"/>
    <w:family w:val="auto"/>
    <w:pitch w:val="default"/>
    <w:sig w:usb0="00000000" w:usb1="00000000" w:usb2="00000016" w:usb3="00000000" w:csb0="0004000F" w:csb1="00000000"/>
  </w:font>
  <w:font w:name="等线">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等线">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360"/>
    </w:pPr>
    <w:r>
      <w:pict>
        <v:shape id="文本框 1" o:spid="_x0000_s2051" o:spt="202" type="#_x0000_t202" style="position:absolute;left:0pt;margin-top:0pt;height:144pt;width:144pt;mso-position-horizontal:right;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v:path/>
          <v:fill on="f" focussize="0,0"/>
          <v:stroke on="f" weight="0.5pt" joinstyle="miter"/>
          <v:imagedata o:title=""/>
          <o:lock v:ext="edit"/>
          <v:textbox inset="0mm,0mm,0mm,0mm" style="mso-fit-shape-to-text:t;">
            <w:txbxContent>
              <w:p>
                <w:pPr>
                  <w:pStyle w:val="11"/>
                  <w:ind w:right="240" w:firstLine="360"/>
                </w:pPr>
                <w:r>
                  <w:fldChar w:fldCharType="begin"/>
                </w:r>
                <w:r>
                  <w:instrText xml:space="preserve"> PAGE  \* MERGEFORMAT </w:instrText>
                </w:r>
                <w:r>
                  <w:fldChar w:fldCharType="separate"/>
                </w:r>
                <w:r>
                  <w:t>I</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360"/>
    </w:pPr>
    <w:r>
      <w:pict>
        <v:shape id="_x0000_s2050" o:spid="_x0000_s2050" o:spt="202" type="#_x0000_t202" style="position:absolute;left:0pt;margin-top:0pt;height:144pt;width:144pt;mso-position-horizontal:right;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L1AydYHAwAA0wYAAA4AAAAAAAAAAAAAAAAALgIAAGRycy9lMm9Eb2MueG1sUEsBAi0A&#10;FAAGAAgAAAAhAOcqirzWAAAABQEAAA8AAAAAAAAAAAAAAAAAYQUAAGRycy9kb3ducmV2LnhtbFBL&#10;BQYAAAAABAAEAPMAAABkBgAAAAA=&#10;">
          <v:path/>
          <v:fill on="f" focussize="0,0"/>
          <v:stroke on="f" weight="0.5pt" joinstyle="miter"/>
          <v:imagedata o:title=""/>
          <o:lock v:ext="edit"/>
          <v:textbox inset="0mm,0mm,0mm,0mm" style="mso-fit-shape-to-text:t;">
            <w:txbxContent>
              <w:sdt>
                <w:sdtPr>
                  <w:id w:val="-1411928652"/>
                </w:sdtPr>
                <w:sdtContent>
                  <w:p>
                    <w:pPr>
                      <w:pStyle w:val="11"/>
                      <w:ind w:right="240" w:firstLine="360"/>
                    </w:pPr>
                    <w:r>
                      <w:fldChar w:fldCharType="begin"/>
                    </w:r>
                    <w:r>
                      <w:instrText xml:space="preserve">PAGE   \* MERGEFORMAT</w:instrText>
                    </w:r>
                    <w:r>
                      <w:fldChar w:fldCharType="separate"/>
                    </w:r>
                    <w:r>
                      <w:rPr>
                        <w:lang w:val="zh-CN"/>
                      </w:rPr>
                      <w:t>i</w:t>
                    </w:r>
                    <w:r>
                      <w:fldChar w:fldCharType="end"/>
                    </w:r>
                  </w:p>
                </w:sdtContent>
              </w:sdt>
              <w:p>
                <w:pPr>
                  <w:ind w:firstLine="480"/>
                </w:pP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360"/>
    </w:pPr>
    <w:r>
      <w:t>Ⅱ</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139" w:rightChars="58" w:firstLine="360"/>
    </w:pPr>
    <w:r>
      <w:pict>
        <v:shape id="文本框 3" o:spid="_x0000_s2049" o:spt="202" type="#_x0000_t202" style="position:absolute;left:0pt;margin-top:0pt;height:144pt;width:144pt;mso-position-horizontal:right;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AmD6YoCAMAANMGAAAOAAAAAAAAAAAAAAAAAC4CAABkcnMvZTJvRG9jLnhtbFBLAQIt&#10;ABQABgAIAAAAIQDnKoq81gAAAAUBAAAPAAAAAAAAAAAAAAAAAGIFAABkcnMvZG93bnJldi54bWxQ&#10;SwUGAAAAAAQABADzAAAAZQYAAAAA&#10;">
          <v:path/>
          <v:fill on="f" focussize="0,0"/>
          <v:stroke on="f" weight="0.5pt" joinstyle="miter"/>
          <v:imagedata o:title=""/>
          <o:lock v:ext="edit"/>
          <v:textbox inset="0mm,0mm,0mm,0mm" style="mso-fit-shape-to-text:t;">
            <w:txbxContent>
              <w:sdt>
                <w:sdtPr>
                  <w:id w:val="1076179059"/>
                </w:sdtPr>
                <w:sdtContent>
                  <w:p>
                    <w:pPr>
                      <w:pStyle w:val="11"/>
                      <w:ind w:right="139" w:rightChars="58" w:firstLine="360"/>
                    </w:pPr>
                    <w:r>
                      <w:fldChar w:fldCharType="begin"/>
                    </w:r>
                    <w:r>
                      <w:instrText xml:space="preserve">PAGE   \* MERGEFORMAT</w:instrText>
                    </w:r>
                    <w:r>
                      <w:fldChar w:fldCharType="separate"/>
                    </w:r>
                    <w:r>
                      <w:rPr>
                        <w:lang w:val="zh-CN"/>
                      </w:rPr>
                      <w:t>1</w:t>
                    </w:r>
                    <w:r>
                      <w:fldChar w:fldCharType="end"/>
                    </w:r>
                  </w:p>
                </w:sdtContent>
              </w:sdt>
              <w:p>
                <w:pPr>
                  <w:ind w:firstLine="480"/>
                </w:pPr>
              </w:p>
            </w:txbxContent>
          </v:textbox>
        </v:shape>
      </w:pict>
    </w:r>
  </w:p>
  <w:p>
    <w:pPr>
      <w:spacing w:line="1" w:lineRule="exact"/>
      <w:ind w:firstLine="48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40" w:firstLine="140" w:firstLineChars="78"/>
      <w:jc w:val="left"/>
    </w:pPr>
    <w:r>
      <w:fldChar w:fldCharType="begin"/>
    </w:r>
    <w:r>
      <w:instrText xml:space="preserve">PAGE   \* MERGEFORMAT</w:instrText>
    </w:r>
    <w:r>
      <w:fldChar w:fldCharType="separate"/>
    </w:r>
    <w:r>
      <w:rPr>
        <w:lang w:val="zh-CN"/>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spacing w:after="240" w:afterLines="100"/>
    </w:pPr>
    <w:r>
      <w:rPr>
        <w:rFonts w:hint="eastAsia"/>
      </w:rPr>
      <w:t>DB13/  -2021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w:rPr>
        <w:rFonts w:hint="eastAsia" w:ascii="Times New Roman"/>
        <w:b/>
        <w:bCs/>
      </w:rPr>
      <w:t>DB13/  -2021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pPr>
    <w:r>
      <w:rPr>
        <w:rFonts w:hint="eastAsia" w:ascii="Times New Roman"/>
        <w:b/>
        <w:bCs/>
      </w:rPr>
      <w:t>DB13/  -2021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
      <w:suff w:val="nothing"/>
      <w:lvlText w:val="%1.%2　"/>
      <w:lvlJc w:val="left"/>
      <w:pPr>
        <w:ind w:left="156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0"/>
      <w:suff w:val="nothing"/>
      <w:lvlText w:val="%1.%2.%3　"/>
      <w:lvlJc w:val="left"/>
      <w:pPr>
        <w:ind w:left="0" w:firstLine="0"/>
      </w:pPr>
      <w:rPr>
        <w:rFonts w:hint="eastAsia" w:ascii="黑体" w:hAnsi="Times New Roman" w:eastAsia="黑体"/>
        <w:b w:val="0"/>
        <w:i w:val="0"/>
        <w:sz w:val="21"/>
      </w:rPr>
    </w:lvl>
    <w:lvl w:ilvl="3" w:tentative="0">
      <w:start w:val="1"/>
      <w:numFmt w:val="decimal"/>
      <w:pStyle w:val="32"/>
      <w:suff w:val="nothing"/>
      <w:lvlText w:val="%1.%2.%3.%4　"/>
      <w:lvlJc w:val="left"/>
      <w:pPr>
        <w:ind w:left="0" w:firstLine="0"/>
      </w:pPr>
      <w:rPr>
        <w:rFonts w:hint="eastAsia" w:ascii="黑体" w:hAnsi="Times New Roman" w:eastAsia="黑体"/>
        <w:b w:val="0"/>
        <w:i w:val="0"/>
        <w:sz w:val="21"/>
      </w:rPr>
    </w:lvl>
    <w:lvl w:ilvl="4" w:tentative="0">
      <w:start w:val="1"/>
      <w:numFmt w:val="decimal"/>
      <w:pStyle w:val="33"/>
      <w:suff w:val="nothing"/>
      <w:lvlText w:val="%1.%2.%3.%4.%5　"/>
      <w:lvlJc w:val="left"/>
      <w:pPr>
        <w:ind w:left="0" w:firstLine="0"/>
      </w:pPr>
      <w:rPr>
        <w:rFonts w:hint="eastAsia" w:ascii="黑体" w:hAnsi="Times New Roman" w:eastAsia="黑体"/>
        <w:b w:val="0"/>
        <w:i w:val="0"/>
        <w:sz w:val="21"/>
      </w:rPr>
    </w:lvl>
    <w:lvl w:ilvl="5" w:tentative="0">
      <w:start w:val="1"/>
      <w:numFmt w:val="decimal"/>
      <w:pStyle w:val="34"/>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57D3FBC"/>
    <w:multiLevelType w:val="multilevel"/>
    <w:tmpl w:val="657D3FBC"/>
    <w:lvl w:ilvl="0" w:tentative="0">
      <w:start w:val="1"/>
      <w:numFmt w:val="upperLetter"/>
      <w:pStyle w:val="5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5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60"/>
      <w:suff w:val="nothing"/>
      <w:lvlText w:val="%1.%2.%3　"/>
      <w:lvlJc w:val="left"/>
      <w:pPr>
        <w:ind w:left="0" w:firstLine="0"/>
      </w:pPr>
      <w:rPr>
        <w:rFonts w:hint="eastAsia" w:ascii="黑体" w:hAnsi="Times New Roman" w:eastAsia="黑体"/>
        <w:b w:val="0"/>
        <w:i w:val="0"/>
        <w:sz w:val="21"/>
      </w:rPr>
    </w:lvl>
    <w:lvl w:ilvl="3" w:tentative="0">
      <w:start w:val="1"/>
      <w:numFmt w:val="decimal"/>
      <w:pStyle w:val="55"/>
      <w:suff w:val="nothing"/>
      <w:lvlText w:val="%1.%2.%3.%4　"/>
      <w:lvlJc w:val="left"/>
      <w:pPr>
        <w:ind w:left="0" w:firstLine="0"/>
      </w:pPr>
      <w:rPr>
        <w:rFonts w:hint="eastAsia" w:ascii="黑体" w:hAnsi="Times New Roman" w:eastAsia="黑体"/>
        <w:b w:val="0"/>
        <w:i w:val="0"/>
        <w:sz w:val="21"/>
      </w:rPr>
    </w:lvl>
    <w:lvl w:ilvl="4" w:tentative="0">
      <w:start w:val="1"/>
      <w:numFmt w:val="decimal"/>
      <w:pStyle w:val="56"/>
      <w:suff w:val="nothing"/>
      <w:lvlText w:val="%1.%2.%3.%4.%5　"/>
      <w:lvlJc w:val="left"/>
      <w:pPr>
        <w:ind w:left="0" w:firstLine="0"/>
      </w:pPr>
      <w:rPr>
        <w:rFonts w:hint="eastAsia" w:ascii="黑体" w:hAnsi="Times New Roman" w:eastAsia="黑体"/>
        <w:b w:val="0"/>
        <w:i w:val="0"/>
        <w:sz w:val="21"/>
      </w:rPr>
    </w:lvl>
    <w:lvl w:ilvl="5" w:tentative="0">
      <w:start w:val="1"/>
      <w:numFmt w:val="decimal"/>
      <w:pStyle w:val="57"/>
      <w:suff w:val="nothing"/>
      <w:lvlText w:val="%1.%2.%3.%4.%5.%6　"/>
      <w:lvlJc w:val="left"/>
      <w:pPr>
        <w:ind w:left="0" w:firstLine="0"/>
      </w:pPr>
      <w:rPr>
        <w:rFonts w:hint="eastAsia" w:ascii="黑体" w:hAnsi="Times New Roman" w:eastAsia="黑体"/>
        <w:b w:val="0"/>
        <w:i w:val="0"/>
        <w:sz w:val="21"/>
      </w:rPr>
    </w:lvl>
    <w:lvl w:ilvl="6" w:tentative="0">
      <w:start w:val="1"/>
      <w:numFmt w:val="decimal"/>
      <w:pStyle w:val="5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20"/>
  <w:drawingGridVerticalSpacing w:val="163"/>
  <w:noPunctuationKerning w:val="true"/>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3433"/>
    <w:rsid w:val="00014BBA"/>
    <w:rsid w:val="00022CE1"/>
    <w:rsid w:val="00025F7C"/>
    <w:rsid w:val="00027130"/>
    <w:rsid w:val="000312C5"/>
    <w:rsid w:val="00032203"/>
    <w:rsid w:val="0005364A"/>
    <w:rsid w:val="00055C93"/>
    <w:rsid w:val="00057037"/>
    <w:rsid w:val="000579BE"/>
    <w:rsid w:val="00057C10"/>
    <w:rsid w:val="0007157D"/>
    <w:rsid w:val="00076271"/>
    <w:rsid w:val="00076930"/>
    <w:rsid w:val="000810D5"/>
    <w:rsid w:val="00082F23"/>
    <w:rsid w:val="00087E48"/>
    <w:rsid w:val="00092964"/>
    <w:rsid w:val="00094B95"/>
    <w:rsid w:val="000A1E1A"/>
    <w:rsid w:val="000B00F7"/>
    <w:rsid w:val="000B0D71"/>
    <w:rsid w:val="000B3131"/>
    <w:rsid w:val="000B5CD4"/>
    <w:rsid w:val="000C0A82"/>
    <w:rsid w:val="000E04F7"/>
    <w:rsid w:val="000E2262"/>
    <w:rsid w:val="000F0AE9"/>
    <w:rsid w:val="000F46A1"/>
    <w:rsid w:val="000F7A0F"/>
    <w:rsid w:val="0010141D"/>
    <w:rsid w:val="0010275E"/>
    <w:rsid w:val="00107FB5"/>
    <w:rsid w:val="0011109F"/>
    <w:rsid w:val="00117CB3"/>
    <w:rsid w:val="00121C15"/>
    <w:rsid w:val="0012221A"/>
    <w:rsid w:val="00135FD7"/>
    <w:rsid w:val="0013641F"/>
    <w:rsid w:val="001370E5"/>
    <w:rsid w:val="001505E5"/>
    <w:rsid w:val="00164DC1"/>
    <w:rsid w:val="00164F0C"/>
    <w:rsid w:val="00171157"/>
    <w:rsid w:val="00172A27"/>
    <w:rsid w:val="00184859"/>
    <w:rsid w:val="00194F13"/>
    <w:rsid w:val="001966AA"/>
    <w:rsid w:val="00197817"/>
    <w:rsid w:val="001A00C2"/>
    <w:rsid w:val="001A6C2E"/>
    <w:rsid w:val="001A6C39"/>
    <w:rsid w:val="001B66C5"/>
    <w:rsid w:val="001B6BA6"/>
    <w:rsid w:val="001C1900"/>
    <w:rsid w:val="001D4D7D"/>
    <w:rsid w:val="001D55CA"/>
    <w:rsid w:val="001E1F49"/>
    <w:rsid w:val="001E2A50"/>
    <w:rsid w:val="001E55F0"/>
    <w:rsid w:val="001E60B8"/>
    <w:rsid w:val="00203E7F"/>
    <w:rsid w:val="0020502E"/>
    <w:rsid w:val="00205B83"/>
    <w:rsid w:val="00220D9C"/>
    <w:rsid w:val="002215E4"/>
    <w:rsid w:val="0022606B"/>
    <w:rsid w:val="0022626D"/>
    <w:rsid w:val="002348F6"/>
    <w:rsid w:val="00251BCF"/>
    <w:rsid w:val="00256495"/>
    <w:rsid w:val="00264534"/>
    <w:rsid w:val="00274A8F"/>
    <w:rsid w:val="0028063A"/>
    <w:rsid w:val="0028068F"/>
    <w:rsid w:val="0028378E"/>
    <w:rsid w:val="002855A7"/>
    <w:rsid w:val="002863FB"/>
    <w:rsid w:val="002926B5"/>
    <w:rsid w:val="00295D79"/>
    <w:rsid w:val="002A55FD"/>
    <w:rsid w:val="002A685C"/>
    <w:rsid w:val="002B0896"/>
    <w:rsid w:val="002B16B6"/>
    <w:rsid w:val="002B5FEB"/>
    <w:rsid w:val="002B6DBC"/>
    <w:rsid w:val="002B6DE9"/>
    <w:rsid w:val="002C5511"/>
    <w:rsid w:val="002C7874"/>
    <w:rsid w:val="002D0979"/>
    <w:rsid w:val="002D1F09"/>
    <w:rsid w:val="002D63C3"/>
    <w:rsid w:val="002E05C6"/>
    <w:rsid w:val="002E1BA0"/>
    <w:rsid w:val="002E250E"/>
    <w:rsid w:val="002E5FC8"/>
    <w:rsid w:val="002E7F56"/>
    <w:rsid w:val="002F0976"/>
    <w:rsid w:val="002F4D6A"/>
    <w:rsid w:val="002F6056"/>
    <w:rsid w:val="00304AEF"/>
    <w:rsid w:val="00313CE0"/>
    <w:rsid w:val="00316A88"/>
    <w:rsid w:val="00317AF0"/>
    <w:rsid w:val="00323B7B"/>
    <w:rsid w:val="00325606"/>
    <w:rsid w:val="0032583A"/>
    <w:rsid w:val="00330F18"/>
    <w:rsid w:val="00332102"/>
    <w:rsid w:val="0033598C"/>
    <w:rsid w:val="0034004F"/>
    <w:rsid w:val="003439D2"/>
    <w:rsid w:val="00343F31"/>
    <w:rsid w:val="0034582E"/>
    <w:rsid w:val="00360C7B"/>
    <w:rsid w:val="00365BD5"/>
    <w:rsid w:val="00372AC9"/>
    <w:rsid w:val="00374EC4"/>
    <w:rsid w:val="00376A3C"/>
    <w:rsid w:val="00376A65"/>
    <w:rsid w:val="00391003"/>
    <w:rsid w:val="00393D4D"/>
    <w:rsid w:val="003A1E04"/>
    <w:rsid w:val="003A2C30"/>
    <w:rsid w:val="003A3EAF"/>
    <w:rsid w:val="003B074F"/>
    <w:rsid w:val="003B3461"/>
    <w:rsid w:val="003B659F"/>
    <w:rsid w:val="003C2613"/>
    <w:rsid w:val="003C3C0E"/>
    <w:rsid w:val="003C4CA9"/>
    <w:rsid w:val="003C548D"/>
    <w:rsid w:val="003C5658"/>
    <w:rsid w:val="003D011E"/>
    <w:rsid w:val="003D545F"/>
    <w:rsid w:val="003E0529"/>
    <w:rsid w:val="003E16B8"/>
    <w:rsid w:val="003E395A"/>
    <w:rsid w:val="003E4079"/>
    <w:rsid w:val="003E40EE"/>
    <w:rsid w:val="003F466D"/>
    <w:rsid w:val="00400165"/>
    <w:rsid w:val="00400801"/>
    <w:rsid w:val="00403EDA"/>
    <w:rsid w:val="00404621"/>
    <w:rsid w:val="00413511"/>
    <w:rsid w:val="00417407"/>
    <w:rsid w:val="00425A82"/>
    <w:rsid w:val="00425C42"/>
    <w:rsid w:val="00425D21"/>
    <w:rsid w:val="00430F2B"/>
    <w:rsid w:val="0043175E"/>
    <w:rsid w:val="0043239D"/>
    <w:rsid w:val="00432578"/>
    <w:rsid w:val="00435B08"/>
    <w:rsid w:val="00450271"/>
    <w:rsid w:val="00451DF6"/>
    <w:rsid w:val="00455886"/>
    <w:rsid w:val="0045707A"/>
    <w:rsid w:val="00457137"/>
    <w:rsid w:val="00461C8A"/>
    <w:rsid w:val="00462A4F"/>
    <w:rsid w:val="00462FCC"/>
    <w:rsid w:val="0047241B"/>
    <w:rsid w:val="00486DD2"/>
    <w:rsid w:val="00486EA2"/>
    <w:rsid w:val="004903CA"/>
    <w:rsid w:val="00491576"/>
    <w:rsid w:val="00493A2C"/>
    <w:rsid w:val="004A037E"/>
    <w:rsid w:val="004A7215"/>
    <w:rsid w:val="004B26FE"/>
    <w:rsid w:val="004C1E35"/>
    <w:rsid w:val="004C2683"/>
    <w:rsid w:val="004C7396"/>
    <w:rsid w:val="004D2A6E"/>
    <w:rsid w:val="004D4908"/>
    <w:rsid w:val="004E0F51"/>
    <w:rsid w:val="004E4ADD"/>
    <w:rsid w:val="004E67D2"/>
    <w:rsid w:val="004F0FA2"/>
    <w:rsid w:val="004F1AA3"/>
    <w:rsid w:val="004F50A3"/>
    <w:rsid w:val="004F6466"/>
    <w:rsid w:val="004F7EB4"/>
    <w:rsid w:val="00502221"/>
    <w:rsid w:val="00502E0E"/>
    <w:rsid w:val="00506855"/>
    <w:rsid w:val="00507C7E"/>
    <w:rsid w:val="00512CD9"/>
    <w:rsid w:val="00513711"/>
    <w:rsid w:val="00522ACD"/>
    <w:rsid w:val="005352F8"/>
    <w:rsid w:val="00536BAD"/>
    <w:rsid w:val="0054067E"/>
    <w:rsid w:val="00545C79"/>
    <w:rsid w:val="00551A7D"/>
    <w:rsid w:val="00555A8A"/>
    <w:rsid w:val="00570141"/>
    <w:rsid w:val="005717C2"/>
    <w:rsid w:val="005744C9"/>
    <w:rsid w:val="00574F8E"/>
    <w:rsid w:val="005753F9"/>
    <w:rsid w:val="005777EA"/>
    <w:rsid w:val="00580469"/>
    <w:rsid w:val="00580685"/>
    <w:rsid w:val="005849D0"/>
    <w:rsid w:val="00584B74"/>
    <w:rsid w:val="00586AB3"/>
    <w:rsid w:val="00591E2F"/>
    <w:rsid w:val="0059557C"/>
    <w:rsid w:val="0059614E"/>
    <w:rsid w:val="005A0406"/>
    <w:rsid w:val="005A2AB6"/>
    <w:rsid w:val="005E2EC9"/>
    <w:rsid w:val="005F2102"/>
    <w:rsid w:val="005F21A9"/>
    <w:rsid w:val="005F3F78"/>
    <w:rsid w:val="0060733C"/>
    <w:rsid w:val="00612FB2"/>
    <w:rsid w:val="00613F90"/>
    <w:rsid w:val="0061546F"/>
    <w:rsid w:val="0062229E"/>
    <w:rsid w:val="00646A16"/>
    <w:rsid w:val="0065212A"/>
    <w:rsid w:val="006567F9"/>
    <w:rsid w:val="00662753"/>
    <w:rsid w:val="0066448E"/>
    <w:rsid w:val="00664A0E"/>
    <w:rsid w:val="00665CD0"/>
    <w:rsid w:val="006677AA"/>
    <w:rsid w:val="006843D3"/>
    <w:rsid w:val="00687722"/>
    <w:rsid w:val="0069704E"/>
    <w:rsid w:val="006A1B0B"/>
    <w:rsid w:val="006B0CF6"/>
    <w:rsid w:val="006B2F33"/>
    <w:rsid w:val="006B39A8"/>
    <w:rsid w:val="006B5956"/>
    <w:rsid w:val="006B7D92"/>
    <w:rsid w:val="006C0159"/>
    <w:rsid w:val="006C643F"/>
    <w:rsid w:val="006D7A93"/>
    <w:rsid w:val="006E1DF8"/>
    <w:rsid w:val="006E5EBA"/>
    <w:rsid w:val="006E785E"/>
    <w:rsid w:val="006F588D"/>
    <w:rsid w:val="00705623"/>
    <w:rsid w:val="00705A5B"/>
    <w:rsid w:val="00712AD9"/>
    <w:rsid w:val="00715153"/>
    <w:rsid w:val="00715A32"/>
    <w:rsid w:val="0071673B"/>
    <w:rsid w:val="00716BA0"/>
    <w:rsid w:val="0073271B"/>
    <w:rsid w:val="00732AF5"/>
    <w:rsid w:val="00732D4C"/>
    <w:rsid w:val="00732DFB"/>
    <w:rsid w:val="0073687D"/>
    <w:rsid w:val="007455B7"/>
    <w:rsid w:val="00750E8A"/>
    <w:rsid w:val="00751AA0"/>
    <w:rsid w:val="00760249"/>
    <w:rsid w:val="0076029F"/>
    <w:rsid w:val="00760E72"/>
    <w:rsid w:val="007616D1"/>
    <w:rsid w:val="007717B1"/>
    <w:rsid w:val="007731E2"/>
    <w:rsid w:val="00775BED"/>
    <w:rsid w:val="00776822"/>
    <w:rsid w:val="00784A49"/>
    <w:rsid w:val="007854D6"/>
    <w:rsid w:val="007905AD"/>
    <w:rsid w:val="007A377D"/>
    <w:rsid w:val="007A73D2"/>
    <w:rsid w:val="007B25A2"/>
    <w:rsid w:val="007B3A34"/>
    <w:rsid w:val="007C1A1A"/>
    <w:rsid w:val="007C4DBB"/>
    <w:rsid w:val="007D1434"/>
    <w:rsid w:val="007D3C86"/>
    <w:rsid w:val="007D4C5D"/>
    <w:rsid w:val="007D6899"/>
    <w:rsid w:val="007D7D7E"/>
    <w:rsid w:val="007E0B3A"/>
    <w:rsid w:val="007E2847"/>
    <w:rsid w:val="007E2B56"/>
    <w:rsid w:val="007E5DA8"/>
    <w:rsid w:val="007F5510"/>
    <w:rsid w:val="007F7383"/>
    <w:rsid w:val="007F75D6"/>
    <w:rsid w:val="007F7ACE"/>
    <w:rsid w:val="00800313"/>
    <w:rsid w:val="00800BB7"/>
    <w:rsid w:val="00804608"/>
    <w:rsid w:val="00805B22"/>
    <w:rsid w:val="00810A86"/>
    <w:rsid w:val="00813C3B"/>
    <w:rsid w:val="00814AA4"/>
    <w:rsid w:val="00824D8B"/>
    <w:rsid w:val="008309F3"/>
    <w:rsid w:val="00832644"/>
    <w:rsid w:val="0083406D"/>
    <w:rsid w:val="00834A3E"/>
    <w:rsid w:val="008364B4"/>
    <w:rsid w:val="00842F87"/>
    <w:rsid w:val="00844636"/>
    <w:rsid w:val="00844A67"/>
    <w:rsid w:val="00845F2F"/>
    <w:rsid w:val="00846E78"/>
    <w:rsid w:val="00852982"/>
    <w:rsid w:val="00855CC6"/>
    <w:rsid w:val="00862643"/>
    <w:rsid w:val="0086421D"/>
    <w:rsid w:val="008719A2"/>
    <w:rsid w:val="008719B4"/>
    <w:rsid w:val="00871AB6"/>
    <w:rsid w:val="00872D16"/>
    <w:rsid w:val="0087657F"/>
    <w:rsid w:val="00880905"/>
    <w:rsid w:val="00884B66"/>
    <w:rsid w:val="00885F07"/>
    <w:rsid w:val="008979F4"/>
    <w:rsid w:val="008A3603"/>
    <w:rsid w:val="008A41B3"/>
    <w:rsid w:val="008A6A13"/>
    <w:rsid w:val="008B1819"/>
    <w:rsid w:val="008B4A03"/>
    <w:rsid w:val="008C4E35"/>
    <w:rsid w:val="008D3E1B"/>
    <w:rsid w:val="008E2E76"/>
    <w:rsid w:val="008E5924"/>
    <w:rsid w:val="008E624F"/>
    <w:rsid w:val="008F3BAB"/>
    <w:rsid w:val="009021ED"/>
    <w:rsid w:val="00902340"/>
    <w:rsid w:val="0091028F"/>
    <w:rsid w:val="009116A4"/>
    <w:rsid w:val="009119B8"/>
    <w:rsid w:val="00920D96"/>
    <w:rsid w:val="00921502"/>
    <w:rsid w:val="009218C1"/>
    <w:rsid w:val="009365B4"/>
    <w:rsid w:val="00940614"/>
    <w:rsid w:val="00940E15"/>
    <w:rsid w:val="00942C07"/>
    <w:rsid w:val="009448C2"/>
    <w:rsid w:val="0094556E"/>
    <w:rsid w:val="00951758"/>
    <w:rsid w:val="00951FF3"/>
    <w:rsid w:val="00954D8D"/>
    <w:rsid w:val="00962FDC"/>
    <w:rsid w:val="00963276"/>
    <w:rsid w:val="00963966"/>
    <w:rsid w:val="00963F2F"/>
    <w:rsid w:val="00965E0F"/>
    <w:rsid w:val="00967F52"/>
    <w:rsid w:val="00967F5D"/>
    <w:rsid w:val="00971680"/>
    <w:rsid w:val="009747EA"/>
    <w:rsid w:val="009756F1"/>
    <w:rsid w:val="00990C87"/>
    <w:rsid w:val="0099291E"/>
    <w:rsid w:val="009A17D7"/>
    <w:rsid w:val="009A4D9A"/>
    <w:rsid w:val="009A4DC2"/>
    <w:rsid w:val="009B0D92"/>
    <w:rsid w:val="009B6972"/>
    <w:rsid w:val="009B6E8F"/>
    <w:rsid w:val="009B7011"/>
    <w:rsid w:val="009C3CFF"/>
    <w:rsid w:val="009D274B"/>
    <w:rsid w:val="009D3BE4"/>
    <w:rsid w:val="009D7C4A"/>
    <w:rsid w:val="009E151E"/>
    <w:rsid w:val="009E3491"/>
    <w:rsid w:val="009E3E17"/>
    <w:rsid w:val="009F1F2B"/>
    <w:rsid w:val="009F3C5F"/>
    <w:rsid w:val="009F72AB"/>
    <w:rsid w:val="00A01119"/>
    <w:rsid w:val="00A12AD5"/>
    <w:rsid w:val="00A20EC8"/>
    <w:rsid w:val="00A21A13"/>
    <w:rsid w:val="00A3042A"/>
    <w:rsid w:val="00A3210B"/>
    <w:rsid w:val="00A339D0"/>
    <w:rsid w:val="00A35996"/>
    <w:rsid w:val="00A41DF0"/>
    <w:rsid w:val="00A4422F"/>
    <w:rsid w:val="00A46B34"/>
    <w:rsid w:val="00A51BC3"/>
    <w:rsid w:val="00A564BE"/>
    <w:rsid w:val="00A5714D"/>
    <w:rsid w:val="00A60A72"/>
    <w:rsid w:val="00A62AF1"/>
    <w:rsid w:val="00A62F50"/>
    <w:rsid w:val="00A751B0"/>
    <w:rsid w:val="00A825B5"/>
    <w:rsid w:val="00A83BDF"/>
    <w:rsid w:val="00A84504"/>
    <w:rsid w:val="00A849AC"/>
    <w:rsid w:val="00A91D46"/>
    <w:rsid w:val="00A92BF7"/>
    <w:rsid w:val="00A92E0E"/>
    <w:rsid w:val="00A97805"/>
    <w:rsid w:val="00AA4460"/>
    <w:rsid w:val="00AA5F31"/>
    <w:rsid w:val="00AB4E50"/>
    <w:rsid w:val="00AB71F8"/>
    <w:rsid w:val="00AC3F23"/>
    <w:rsid w:val="00AC611C"/>
    <w:rsid w:val="00AD30FF"/>
    <w:rsid w:val="00AD3AD8"/>
    <w:rsid w:val="00AD4C5D"/>
    <w:rsid w:val="00AD561B"/>
    <w:rsid w:val="00AD658F"/>
    <w:rsid w:val="00AE0A5A"/>
    <w:rsid w:val="00AE0D19"/>
    <w:rsid w:val="00AE302A"/>
    <w:rsid w:val="00AE5519"/>
    <w:rsid w:val="00AE5F8D"/>
    <w:rsid w:val="00AE6EF0"/>
    <w:rsid w:val="00AF2943"/>
    <w:rsid w:val="00AF64D2"/>
    <w:rsid w:val="00AF7D0B"/>
    <w:rsid w:val="00B03899"/>
    <w:rsid w:val="00B038B2"/>
    <w:rsid w:val="00B052F8"/>
    <w:rsid w:val="00B2204A"/>
    <w:rsid w:val="00B23862"/>
    <w:rsid w:val="00B23C3C"/>
    <w:rsid w:val="00B311CE"/>
    <w:rsid w:val="00B332B7"/>
    <w:rsid w:val="00B43657"/>
    <w:rsid w:val="00B455B4"/>
    <w:rsid w:val="00B45FEE"/>
    <w:rsid w:val="00B50825"/>
    <w:rsid w:val="00B53278"/>
    <w:rsid w:val="00B55175"/>
    <w:rsid w:val="00B61038"/>
    <w:rsid w:val="00B66E85"/>
    <w:rsid w:val="00B677F0"/>
    <w:rsid w:val="00B85F6A"/>
    <w:rsid w:val="00B92186"/>
    <w:rsid w:val="00B95328"/>
    <w:rsid w:val="00BA1D51"/>
    <w:rsid w:val="00BA43D9"/>
    <w:rsid w:val="00BA6625"/>
    <w:rsid w:val="00BB4543"/>
    <w:rsid w:val="00BC1B69"/>
    <w:rsid w:val="00BC33A1"/>
    <w:rsid w:val="00BC35E9"/>
    <w:rsid w:val="00BC45CE"/>
    <w:rsid w:val="00BC677D"/>
    <w:rsid w:val="00BC6816"/>
    <w:rsid w:val="00BD3411"/>
    <w:rsid w:val="00BD5EC2"/>
    <w:rsid w:val="00BE0FEB"/>
    <w:rsid w:val="00BE1783"/>
    <w:rsid w:val="00BE2AC4"/>
    <w:rsid w:val="00BE2FD2"/>
    <w:rsid w:val="00BE76C5"/>
    <w:rsid w:val="00BE778E"/>
    <w:rsid w:val="00BF2AE5"/>
    <w:rsid w:val="00BF3595"/>
    <w:rsid w:val="00BF7A7A"/>
    <w:rsid w:val="00C00EE2"/>
    <w:rsid w:val="00C021B6"/>
    <w:rsid w:val="00C102DA"/>
    <w:rsid w:val="00C10D57"/>
    <w:rsid w:val="00C11923"/>
    <w:rsid w:val="00C135F7"/>
    <w:rsid w:val="00C24538"/>
    <w:rsid w:val="00C36C5E"/>
    <w:rsid w:val="00C57B9C"/>
    <w:rsid w:val="00C665F7"/>
    <w:rsid w:val="00C73F2D"/>
    <w:rsid w:val="00C75E25"/>
    <w:rsid w:val="00C761F2"/>
    <w:rsid w:val="00C84057"/>
    <w:rsid w:val="00C86D00"/>
    <w:rsid w:val="00C935A5"/>
    <w:rsid w:val="00C95022"/>
    <w:rsid w:val="00C96CDB"/>
    <w:rsid w:val="00CA6069"/>
    <w:rsid w:val="00CA638D"/>
    <w:rsid w:val="00CC4C2A"/>
    <w:rsid w:val="00CD67FA"/>
    <w:rsid w:val="00CE04F9"/>
    <w:rsid w:val="00CE2322"/>
    <w:rsid w:val="00CE4E70"/>
    <w:rsid w:val="00CE6114"/>
    <w:rsid w:val="00CE61F6"/>
    <w:rsid w:val="00CE7E2F"/>
    <w:rsid w:val="00CF002B"/>
    <w:rsid w:val="00CF1D39"/>
    <w:rsid w:val="00D00BA0"/>
    <w:rsid w:val="00D05E86"/>
    <w:rsid w:val="00D079E4"/>
    <w:rsid w:val="00D10476"/>
    <w:rsid w:val="00D10864"/>
    <w:rsid w:val="00D16173"/>
    <w:rsid w:val="00D17DA9"/>
    <w:rsid w:val="00D229D8"/>
    <w:rsid w:val="00D234EA"/>
    <w:rsid w:val="00D2492A"/>
    <w:rsid w:val="00D27EF3"/>
    <w:rsid w:val="00D30FE2"/>
    <w:rsid w:val="00D515B7"/>
    <w:rsid w:val="00D6030E"/>
    <w:rsid w:val="00D60C9C"/>
    <w:rsid w:val="00D6300B"/>
    <w:rsid w:val="00D70382"/>
    <w:rsid w:val="00D75611"/>
    <w:rsid w:val="00D82B67"/>
    <w:rsid w:val="00D8509C"/>
    <w:rsid w:val="00DA1819"/>
    <w:rsid w:val="00DA4A60"/>
    <w:rsid w:val="00DA5B0B"/>
    <w:rsid w:val="00DB3429"/>
    <w:rsid w:val="00DB517F"/>
    <w:rsid w:val="00DB6764"/>
    <w:rsid w:val="00DC0188"/>
    <w:rsid w:val="00DC45E0"/>
    <w:rsid w:val="00DC5547"/>
    <w:rsid w:val="00DC7AF8"/>
    <w:rsid w:val="00DD5C1C"/>
    <w:rsid w:val="00DE1260"/>
    <w:rsid w:val="00DE40B2"/>
    <w:rsid w:val="00DF268D"/>
    <w:rsid w:val="00DF3D0A"/>
    <w:rsid w:val="00DF64DA"/>
    <w:rsid w:val="00E1365F"/>
    <w:rsid w:val="00E16E59"/>
    <w:rsid w:val="00E209E7"/>
    <w:rsid w:val="00E241A4"/>
    <w:rsid w:val="00E3448F"/>
    <w:rsid w:val="00E4020F"/>
    <w:rsid w:val="00E41E85"/>
    <w:rsid w:val="00E44FBB"/>
    <w:rsid w:val="00E47CF1"/>
    <w:rsid w:val="00E512F6"/>
    <w:rsid w:val="00E5156C"/>
    <w:rsid w:val="00E5770B"/>
    <w:rsid w:val="00E609C7"/>
    <w:rsid w:val="00E617BF"/>
    <w:rsid w:val="00E6184F"/>
    <w:rsid w:val="00E644AC"/>
    <w:rsid w:val="00E65C17"/>
    <w:rsid w:val="00E67AE0"/>
    <w:rsid w:val="00E70601"/>
    <w:rsid w:val="00E70C5A"/>
    <w:rsid w:val="00E720ED"/>
    <w:rsid w:val="00E7613C"/>
    <w:rsid w:val="00E77C12"/>
    <w:rsid w:val="00E84128"/>
    <w:rsid w:val="00E8484A"/>
    <w:rsid w:val="00E901AF"/>
    <w:rsid w:val="00E90B5E"/>
    <w:rsid w:val="00E9177D"/>
    <w:rsid w:val="00E92DD2"/>
    <w:rsid w:val="00E93894"/>
    <w:rsid w:val="00E938A5"/>
    <w:rsid w:val="00E97DCE"/>
    <w:rsid w:val="00EB2745"/>
    <w:rsid w:val="00EC2373"/>
    <w:rsid w:val="00ED0CC8"/>
    <w:rsid w:val="00ED1429"/>
    <w:rsid w:val="00EE099B"/>
    <w:rsid w:val="00EE46CF"/>
    <w:rsid w:val="00EF2594"/>
    <w:rsid w:val="00F0256D"/>
    <w:rsid w:val="00F144F0"/>
    <w:rsid w:val="00F215E4"/>
    <w:rsid w:val="00F21914"/>
    <w:rsid w:val="00F23606"/>
    <w:rsid w:val="00F30C19"/>
    <w:rsid w:val="00F32713"/>
    <w:rsid w:val="00F32BE1"/>
    <w:rsid w:val="00F3617B"/>
    <w:rsid w:val="00F43349"/>
    <w:rsid w:val="00F53D24"/>
    <w:rsid w:val="00F5436D"/>
    <w:rsid w:val="00F55D89"/>
    <w:rsid w:val="00F6435B"/>
    <w:rsid w:val="00F64F90"/>
    <w:rsid w:val="00F65A17"/>
    <w:rsid w:val="00F749C0"/>
    <w:rsid w:val="00F75010"/>
    <w:rsid w:val="00F760C5"/>
    <w:rsid w:val="00F76556"/>
    <w:rsid w:val="00F77032"/>
    <w:rsid w:val="00F772EF"/>
    <w:rsid w:val="00F904DE"/>
    <w:rsid w:val="00F939D7"/>
    <w:rsid w:val="00F93EBA"/>
    <w:rsid w:val="00F9441F"/>
    <w:rsid w:val="00F95713"/>
    <w:rsid w:val="00F96720"/>
    <w:rsid w:val="00FA3D08"/>
    <w:rsid w:val="00FB3D72"/>
    <w:rsid w:val="00FC3688"/>
    <w:rsid w:val="00FD19A6"/>
    <w:rsid w:val="00FD1A07"/>
    <w:rsid w:val="00FE140C"/>
    <w:rsid w:val="00FE28DF"/>
    <w:rsid w:val="00FE3F82"/>
    <w:rsid w:val="00FF08BB"/>
    <w:rsid w:val="00FF4C3E"/>
    <w:rsid w:val="00FF69C1"/>
    <w:rsid w:val="010312BB"/>
    <w:rsid w:val="01224185"/>
    <w:rsid w:val="012373FC"/>
    <w:rsid w:val="014851BF"/>
    <w:rsid w:val="014E47DE"/>
    <w:rsid w:val="01630470"/>
    <w:rsid w:val="01C72AC4"/>
    <w:rsid w:val="01DB7336"/>
    <w:rsid w:val="01DD1D37"/>
    <w:rsid w:val="01F25ADE"/>
    <w:rsid w:val="02096EF2"/>
    <w:rsid w:val="021013F0"/>
    <w:rsid w:val="021374A6"/>
    <w:rsid w:val="021D5397"/>
    <w:rsid w:val="0220243E"/>
    <w:rsid w:val="022120FE"/>
    <w:rsid w:val="024D07F0"/>
    <w:rsid w:val="026610E3"/>
    <w:rsid w:val="026B58E2"/>
    <w:rsid w:val="02713B2D"/>
    <w:rsid w:val="028015F7"/>
    <w:rsid w:val="02943C97"/>
    <w:rsid w:val="02A76592"/>
    <w:rsid w:val="02CA6958"/>
    <w:rsid w:val="02CF4893"/>
    <w:rsid w:val="02E35203"/>
    <w:rsid w:val="02FA1280"/>
    <w:rsid w:val="03141B37"/>
    <w:rsid w:val="03453850"/>
    <w:rsid w:val="03901576"/>
    <w:rsid w:val="03982A23"/>
    <w:rsid w:val="03A80095"/>
    <w:rsid w:val="03BF49BF"/>
    <w:rsid w:val="03CC5F10"/>
    <w:rsid w:val="040977D5"/>
    <w:rsid w:val="044334CB"/>
    <w:rsid w:val="046774C2"/>
    <w:rsid w:val="04972D86"/>
    <w:rsid w:val="04EB69D0"/>
    <w:rsid w:val="050726BF"/>
    <w:rsid w:val="0534112C"/>
    <w:rsid w:val="05357636"/>
    <w:rsid w:val="054D14EF"/>
    <w:rsid w:val="054D25BD"/>
    <w:rsid w:val="05B102CD"/>
    <w:rsid w:val="05C91F43"/>
    <w:rsid w:val="05E726A8"/>
    <w:rsid w:val="060E2FB5"/>
    <w:rsid w:val="0630092E"/>
    <w:rsid w:val="0640583C"/>
    <w:rsid w:val="06CC1E63"/>
    <w:rsid w:val="06CF0613"/>
    <w:rsid w:val="06DA253F"/>
    <w:rsid w:val="06EB11F5"/>
    <w:rsid w:val="072645A8"/>
    <w:rsid w:val="073B5912"/>
    <w:rsid w:val="074C43A3"/>
    <w:rsid w:val="07503867"/>
    <w:rsid w:val="07571E0B"/>
    <w:rsid w:val="077A5398"/>
    <w:rsid w:val="07930159"/>
    <w:rsid w:val="07935662"/>
    <w:rsid w:val="079E29B2"/>
    <w:rsid w:val="07A00274"/>
    <w:rsid w:val="07A51948"/>
    <w:rsid w:val="07A91DB6"/>
    <w:rsid w:val="07C67F7B"/>
    <w:rsid w:val="07D87A78"/>
    <w:rsid w:val="07FD3B56"/>
    <w:rsid w:val="082E51E9"/>
    <w:rsid w:val="084C2079"/>
    <w:rsid w:val="084E5E86"/>
    <w:rsid w:val="0865216C"/>
    <w:rsid w:val="08730FE8"/>
    <w:rsid w:val="08B577D8"/>
    <w:rsid w:val="09022654"/>
    <w:rsid w:val="09461C80"/>
    <w:rsid w:val="09502ADE"/>
    <w:rsid w:val="0969695E"/>
    <w:rsid w:val="0989264F"/>
    <w:rsid w:val="0995295E"/>
    <w:rsid w:val="09A65213"/>
    <w:rsid w:val="09DB39FA"/>
    <w:rsid w:val="09E633AF"/>
    <w:rsid w:val="09E709E5"/>
    <w:rsid w:val="0A6920AB"/>
    <w:rsid w:val="0AC25820"/>
    <w:rsid w:val="0AE70F0A"/>
    <w:rsid w:val="0AF3427F"/>
    <w:rsid w:val="0AFC647B"/>
    <w:rsid w:val="0B556793"/>
    <w:rsid w:val="0B62258C"/>
    <w:rsid w:val="0B630AEF"/>
    <w:rsid w:val="0B6C6BF3"/>
    <w:rsid w:val="0B6D4642"/>
    <w:rsid w:val="0B7E79F5"/>
    <w:rsid w:val="0B9132EE"/>
    <w:rsid w:val="0BAF156E"/>
    <w:rsid w:val="0BD6552A"/>
    <w:rsid w:val="0C0638EE"/>
    <w:rsid w:val="0C0E0895"/>
    <w:rsid w:val="0C104005"/>
    <w:rsid w:val="0C184D9E"/>
    <w:rsid w:val="0C1C32C6"/>
    <w:rsid w:val="0C2A6D35"/>
    <w:rsid w:val="0C582FDC"/>
    <w:rsid w:val="0C6E2AD6"/>
    <w:rsid w:val="0C930A39"/>
    <w:rsid w:val="0CBD1FE3"/>
    <w:rsid w:val="0CE00BFC"/>
    <w:rsid w:val="0CE81774"/>
    <w:rsid w:val="0CFC38F5"/>
    <w:rsid w:val="0D1E494A"/>
    <w:rsid w:val="0D4D7A16"/>
    <w:rsid w:val="0D6E67D3"/>
    <w:rsid w:val="0D7D522D"/>
    <w:rsid w:val="0DCE3188"/>
    <w:rsid w:val="0DD259F4"/>
    <w:rsid w:val="0DDA1335"/>
    <w:rsid w:val="0DDF4A92"/>
    <w:rsid w:val="0DF007DF"/>
    <w:rsid w:val="0E041EF7"/>
    <w:rsid w:val="0E38252C"/>
    <w:rsid w:val="0E4A08F4"/>
    <w:rsid w:val="0F1459C1"/>
    <w:rsid w:val="0F300731"/>
    <w:rsid w:val="0F327AA3"/>
    <w:rsid w:val="0F3D3AB3"/>
    <w:rsid w:val="0F715648"/>
    <w:rsid w:val="0F91014F"/>
    <w:rsid w:val="0F9559FD"/>
    <w:rsid w:val="0FB44FC1"/>
    <w:rsid w:val="0FED6F4A"/>
    <w:rsid w:val="0FF27591"/>
    <w:rsid w:val="10123E7B"/>
    <w:rsid w:val="106D004F"/>
    <w:rsid w:val="10A907D7"/>
    <w:rsid w:val="10AF7E7C"/>
    <w:rsid w:val="10BA052B"/>
    <w:rsid w:val="10F368B2"/>
    <w:rsid w:val="11790E34"/>
    <w:rsid w:val="1197573A"/>
    <w:rsid w:val="11CB38E1"/>
    <w:rsid w:val="11F16890"/>
    <w:rsid w:val="12261203"/>
    <w:rsid w:val="12433026"/>
    <w:rsid w:val="126104D5"/>
    <w:rsid w:val="1274764E"/>
    <w:rsid w:val="129331CC"/>
    <w:rsid w:val="129A6906"/>
    <w:rsid w:val="12F950E6"/>
    <w:rsid w:val="13261758"/>
    <w:rsid w:val="13395BB9"/>
    <w:rsid w:val="134E61AA"/>
    <w:rsid w:val="137E5D72"/>
    <w:rsid w:val="13D60D04"/>
    <w:rsid w:val="13DA4A8E"/>
    <w:rsid w:val="140670AE"/>
    <w:rsid w:val="140C510B"/>
    <w:rsid w:val="14160942"/>
    <w:rsid w:val="14254748"/>
    <w:rsid w:val="14262757"/>
    <w:rsid w:val="144C7A45"/>
    <w:rsid w:val="14754C45"/>
    <w:rsid w:val="1485383D"/>
    <w:rsid w:val="148936B9"/>
    <w:rsid w:val="1495142F"/>
    <w:rsid w:val="14A54AC5"/>
    <w:rsid w:val="14D5129C"/>
    <w:rsid w:val="14F35A11"/>
    <w:rsid w:val="153F1B4E"/>
    <w:rsid w:val="15475361"/>
    <w:rsid w:val="15553275"/>
    <w:rsid w:val="156C5ACB"/>
    <w:rsid w:val="1583742E"/>
    <w:rsid w:val="15885F23"/>
    <w:rsid w:val="15907319"/>
    <w:rsid w:val="15985A6F"/>
    <w:rsid w:val="15AC6412"/>
    <w:rsid w:val="15CD640F"/>
    <w:rsid w:val="15F97899"/>
    <w:rsid w:val="160636F6"/>
    <w:rsid w:val="160D2937"/>
    <w:rsid w:val="163360DA"/>
    <w:rsid w:val="16980527"/>
    <w:rsid w:val="16A22E90"/>
    <w:rsid w:val="16BA50E4"/>
    <w:rsid w:val="16CD382D"/>
    <w:rsid w:val="171D29C7"/>
    <w:rsid w:val="173726D5"/>
    <w:rsid w:val="17516625"/>
    <w:rsid w:val="17552D74"/>
    <w:rsid w:val="177663FB"/>
    <w:rsid w:val="17A437B9"/>
    <w:rsid w:val="17BF02E5"/>
    <w:rsid w:val="17C70927"/>
    <w:rsid w:val="17C75744"/>
    <w:rsid w:val="17DE0C1A"/>
    <w:rsid w:val="182B7E3A"/>
    <w:rsid w:val="185D3D02"/>
    <w:rsid w:val="18677DF9"/>
    <w:rsid w:val="18827080"/>
    <w:rsid w:val="18875F06"/>
    <w:rsid w:val="18A101A4"/>
    <w:rsid w:val="18B11F92"/>
    <w:rsid w:val="18B616E0"/>
    <w:rsid w:val="18C027CD"/>
    <w:rsid w:val="18E82D2E"/>
    <w:rsid w:val="18F06A81"/>
    <w:rsid w:val="19323400"/>
    <w:rsid w:val="1954308E"/>
    <w:rsid w:val="19682847"/>
    <w:rsid w:val="197079B9"/>
    <w:rsid w:val="197B19BA"/>
    <w:rsid w:val="198069BA"/>
    <w:rsid w:val="1996337C"/>
    <w:rsid w:val="19A4299C"/>
    <w:rsid w:val="19DA21A4"/>
    <w:rsid w:val="19EF5BB9"/>
    <w:rsid w:val="19F97DAF"/>
    <w:rsid w:val="1A05368C"/>
    <w:rsid w:val="1A0D2162"/>
    <w:rsid w:val="1A39403D"/>
    <w:rsid w:val="1A3D159E"/>
    <w:rsid w:val="1A5A6CF7"/>
    <w:rsid w:val="1A8126A0"/>
    <w:rsid w:val="1A8E2C80"/>
    <w:rsid w:val="1A8E77CB"/>
    <w:rsid w:val="1A8F3C01"/>
    <w:rsid w:val="1AB05B18"/>
    <w:rsid w:val="1AC021BC"/>
    <w:rsid w:val="1ADF0F0C"/>
    <w:rsid w:val="1ADF77A6"/>
    <w:rsid w:val="1AF3481A"/>
    <w:rsid w:val="1AF36C41"/>
    <w:rsid w:val="1AF54336"/>
    <w:rsid w:val="1B077256"/>
    <w:rsid w:val="1B130F5A"/>
    <w:rsid w:val="1B407999"/>
    <w:rsid w:val="1B8E50AD"/>
    <w:rsid w:val="1B9321C5"/>
    <w:rsid w:val="1BE00274"/>
    <w:rsid w:val="1BE15795"/>
    <w:rsid w:val="1BFE31F6"/>
    <w:rsid w:val="1C0056E9"/>
    <w:rsid w:val="1C0C1054"/>
    <w:rsid w:val="1C143FA3"/>
    <w:rsid w:val="1C2722D3"/>
    <w:rsid w:val="1C6513F0"/>
    <w:rsid w:val="1C7B1A1B"/>
    <w:rsid w:val="1CB070DF"/>
    <w:rsid w:val="1CC67B98"/>
    <w:rsid w:val="1CD7522C"/>
    <w:rsid w:val="1CE33B20"/>
    <w:rsid w:val="1CFB2622"/>
    <w:rsid w:val="1D091EE0"/>
    <w:rsid w:val="1D3003A2"/>
    <w:rsid w:val="1D38640A"/>
    <w:rsid w:val="1D5F5185"/>
    <w:rsid w:val="1D672DAC"/>
    <w:rsid w:val="1DA21718"/>
    <w:rsid w:val="1DA7592C"/>
    <w:rsid w:val="1DBC45B6"/>
    <w:rsid w:val="1DC45811"/>
    <w:rsid w:val="1DCA2EB2"/>
    <w:rsid w:val="1DFA0742"/>
    <w:rsid w:val="1E0B3B82"/>
    <w:rsid w:val="1E0C2FC7"/>
    <w:rsid w:val="1E326968"/>
    <w:rsid w:val="1EA902E7"/>
    <w:rsid w:val="1EAB11AF"/>
    <w:rsid w:val="1EAD6CD7"/>
    <w:rsid w:val="1EFA2FBF"/>
    <w:rsid w:val="1EFB2BC0"/>
    <w:rsid w:val="1F11603A"/>
    <w:rsid w:val="1F603BEE"/>
    <w:rsid w:val="1F61796A"/>
    <w:rsid w:val="1F78332B"/>
    <w:rsid w:val="1F82140D"/>
    <w:rsid w:val="1F9D19A2"/>
    <w:rsid w:val="1FC70E59"/>
    <w:rsid w:val="1FEB1C63"/>
    <w:rsid w:val="1FF51FC5"/>
    <w:rsid w:val="20000FA5"/>
    <w:rsid w:val="20395788"/>
    <w:rsid w:val="20546575"/>
    <w:rsid w:val="2077018B"/>
    <w:rsid w:val="208730FA"/>
    <w:rsid w:val="20AD36F2"/>
    <w:rsid w:val="21141B94"/>
    <w:rsid w:val="214C2D13"/>
    <w:rsid w:val="2173308A"/>
    <w:rsid w:val="21A052CB"/>
    <w:rsid w:val="21B60323"/>
    <w:rsid w:val="22103A8E"/>
    <w:rsid w:val="221B313A"/>
    <w:rsid w:val="22901860"/>
    <w:rsid w:val="22A76DD5"/>
    <w:rsid w:val="23082F20"/>
    <w:rsid w:val="23115B25"/>
    <w:rsid w:val="236C2955"/>
    <w:rsid w:val="236F1440"/>
    <w:rsid w:val="23805234"/>
    <w:rsid w:val="23B41E7C"/>
    <w:rsid w:val="23CC6A44"/>
    <w:rsid w:val="23D0109F"/>
    <w:rsid w:val="23F67602"/>
    <w:rsid w:val="24007839"/>
    <w:rsid w:val="240A36D6"/>
    <w:rsid w:val="242362A4"/>
    <w:rsid w:val="242565F9"/>
    <w:rsid w:val="24503F8A"/>
    <w:rsid w:val="245475E8"/>
    <w:rsid w:val="245F6E88"/>
    <w:rsid w:val="246078B4"/>
    <w:rsid w:val="24C9138E"/>
    <w:rsid w:val="24DF6ADB"/>
    <w:rsid w:val="24E95535"/>
    <w:rsid w:val="25257392"/>
    <w:rsid w:val="25270286"/>
    <w:rsid w:val="253F4CB6"/>
    <w:rsid w:val="256F213C"/>
    <w:rsid w:val="25950217"/>
    <w:rsid w:val="259D499B"/>
    <w:rsid w:val="25CC2F91"/>
    <w:rsid w:val="25E8342F"/>
    <w:rsid w:val="25F0031C"/>
    <w:rsid w:val="25FB7C56"/>
    <w:rsid w:val="26336DE6"/>
    <w:rsid w:val="26461E23"/>
    <w:rsid w:val="267067BD"/>
    <w:rsid w:val="268C6A79"/>
    <w:rsid w:val="26906F08"/>
    <w:rsid w:val="269937C1"/>
    <w:rsid w:val="269F166C"/>
    <w:rsid w:val="26E7573E"/>
    <w:rsid w:val="26F75599"/>
    <w:rsid w:val="26FD52BA"/>
    <w:rsid w:val="27002905"/>
    <w:rsid w:val="273A0E28"/>
    <w:rsid w:val="274D0853"/>
    <w:rsid w:val="27502A67"/>
    <w:rsid w:val="27C06EE5"/>
    <w:rsid w:val="27C27CAE"/>
    <w:rsid w:val="27D15054"/>
    <w:rsid w:val="27DC0AB1"/>
    <w:rsid w:val="27EC3BEC"/>
    <w:rsid w:val="27FA01F7"/>
    <w:rsid w:val="280B39D8"/>
    <w:rsid w:val="288C6C9E"/>
    <w:rsid w:val="288E31FD"/>
    <w:rsid w:val="28960479"/>
    <w:rsid w:val="28AE400A"/>
    <w:rsid w:val="28B34840"/>
    <w:rsid w:val="28D57BDE"/>
    <w:rsid w:val="2903556C"/>
    <w:rsid w:val="29235C14"/>
    <w:rsid w:val="29672B85"/>
    <w:rsid w:val="297510EA"/>
    <w:rsid w:val="29823511"/>
    <w:rsid w:val="29CD123D"/>
    <w:rsid w:val="2A0B0B8C"/>
    <w:rsid w:val="2A2126C1"/>
    <w:rsid w:val="2A307069"/>
    <w:rsid w:val="2A532049"/>
    <w:rsid w:val="2A674B1F"/>
    <w:rsid w:val="2A757E32"/>
    <w:rsid w:val="2AB72D74"/>
    <w:rsid w:val="2AD311DF"/>
    <w:rsid w:val="2B006E76"/>
    <w:rsid w:val="2B2004A1"/>
    <w:rsid w:val="2B2A0C4C"/>
    <w:rsid w:val="2B4A54A4"/>
    <w:rsid w:val="2B5951CF"/>
    <w:rsid w:val="2B8C5609"/>
    <w:rsid w:val="2C0140FA"/>
    <w:rsid w:val="2C045926"/>
    <w:rsid w:val="2C054CD6"/>
    <w:rsid w:val="2C18398A"/>
    <w:rsid w:val="2C206454"/>
    <w:rsid w:val="2C447F29"/>
    <w:rsid w:val="2C886978"/>
    <w:rsid w:val="2C9026D4"/>
    <w:rsid w:val="2CBA633F"/>
    <w:rsid w:val="2CD83751"/>
    <w:rsid w:val="2CF028C7"/>
    <w:rsid w:val="2D07529E"/>
    <w:rsid w:val="2D0D2BE9"/>
    <w:rsid w:val="2D2B09ED"/>
    <w:rsid w:val="2D3337F8"/>
    <w:rsid w:val="2D552654"/>
    <w:rsid w:val="2DBF3B20"/>
    <w:rsid w:val="2DF40BF5"/>
    <w:rsid w:val="2E0A5D6D"/>
    <w:rsid w:val="2E6D1217"/>
    <w:rsid w:val="2E87003A"/>
    <w:rsid w:val="2EB94133"/>
    <w:rsid w:val="2EBF1A97"/>
    <w:rsid w:val="2EC40FE1"/>
    <w:rsid w:val="2EDB0D45"/>
    <w:rsid w:val="2EE5657E"/>
    <w:rsid w:val="2F11148D"/>
    <w:rsid w:val="2F1F06DD"/>
    <w:rsid w:val="2F833123"/>
    <w:rsid w:val="2F8666F2"/>
    <w:rsid w:val="2F9B1DD6"/>
    <w:rsid w:val="2F9C0EB5"/>
    <w:rsid w:val="2FA156B3"/>
    <w:rsid w:val="2FB11461"/>
    <w:rsid w:val="2FE615BE"/>
    <w:rsid w:val="2FE921AE"/>
    <w:rsid w:val="302F77E0"/>
    <w:rsid w:val="303A4CF9"/>
    <w:rsid w:val="30422F11"/>
    <w:rsid w:val="306E0B0C"/>
    <w:rsid w:val="308E36E9"/>
    <w:rsid w:val="30D139FF"/>
    <w:rsid w:val="30F2455F"/>
    <w:rsid w:val="3100116A"/>
    <w:rsid w:val="31013B99"/>
    <w:rsid w:val="312F0E17"/>
    <w:rsid w:val="3140260E"/>
    <w:rsid w:val="31D2533F"/>
    <w:rsid w:val="31FA5D4E"/>
    <w:rsid w:val="32172D61"/>
    <w:rsid w:val="32340442"/>
    <w:rsid w:val="32B44269"/>
    <w:rsid w:val="32C90126"/>
    <w:rsid w:val="32D963EC"/>
    <w:rsid w:val="32E01F7E"/>
    <w:rsid w:val="32EB5AE4"/>
    <w:rsid w:val="32F75B25"/>
    <w:rsid w:val="32FE7FE8"/>
    <w:rsid w:val="331640CE"/>
    <w:rsid w:val="331E2B9D"/>
    <w:rsid w:val="33442FA4"/>
    <w:rsid w:val="33525A38"/>
    <w:rsid w:val="33BE0575"/>
    <w:rsid w:val="33C75F55"/>
    <w:rsid w:val="33CB46FD"/>
    <w:rsid w:val="33E71E39"/>
    <w:rsid w:val="33F0133B"/>
    <w:rsid w:val="33FB1E9C"/>
    <w:rsid w:val="340871A5"/>
    <w:rsid w:val="341B4AD7"/>
    <w:rsid w:val="341E2B27"/>
    <w:rsid w:val="34237544"/>
    <w:rsid w:val="34481DDA"/>
    <w:rsid w:val="34527A15"/>
    <w:rsid w:val="345D5F03"/>
    <w:rsid w:val="34674887"/>
    <w:rsid w:val="34767B51"/>
    <w:rsid w:val="34985690"/>
    <w:rsid w:val="34AC031A"/>
    <w:rsid w:val="34E51BBF"/>
    <w:rsid w:val="35037CE2"/>
    <w:rsid w:val="353256B4"/>
    <w:rsid w:val="35687DB3"/>
    <w:rsid w:val="357A5B45"/>
    <w:rsid w:val="35A70F2B"/>
    <w:rsid w:val="35A93833"/>
    <w:rsid w:val="35AF6723"/>
    <w:rsid w:val="35C55A06"/>
    <w:rsid w:val="35DD5510"/>
    <w:rsid w:val="35E154C2"/>
    <w:rsid w:val="35E27BF5"/>
    <w:rsid w:val="35F143EE"/>
    <w:rsid w:val="36627C1F"/>
    <w:rsid w:val="366973A7"/>
    <w:rsid w:val="36850970"/>
    <w:rsid w:val="36BA2EA8"/>
    <w:rsid w:val="36CD79A4"/>
    <w:rsid w:val="36D357CF"/>
    <w:rsid w:val="36E66378"/>
    <w:rsid w:val="36F659B4"/>
    <w:rsid w:val="36F97CAE"/>
    <w:rsid w:val="36FA0F65"/>
    <w:rsid w:val="3727764B"/>
    <w:rsid w:val="37294EC5"/>
    <w:rsid w:val="37555A58"/>
    <w:rsid w:val="37575EA3"/>
    <w:rsid w:val="377A374A"/>
    <w:rsid w:val="37950D5F"/>
    <w:rsid w:val="37AF22DA"/>
    <w:rsid w:val="37C42585"/>
    <w:rsid w:val="37D63FAB"/>
    <w:rsid w:val="37E47118"/>
    <w:rsid w:val="37E63CE0"/>
    <w:rsid w:val="381D7523"/>
    <w:rsid w:val="38277FED"/>
    <w:rsid w:val="38455845"/>
    <w:rsid w:val="384F3A1C"/>
    <w:rsid w:val="38B93FFC"/>
    <w:rsid w:val="38E218CC"/>
    <w:rsid w:val="3912757B"/>
    <w:rsid w:val="393778F4"/>
    <w:rsid w:val="394417AC"/>
    <w:rsid w:val="394B6863"/>
    <w:rsid w:val="395A2161"/>
    <w:rsid w:val="3960479A"/>
    <w:rsid w:val="3972214F"/>
    <w:rsid w:val="39BB11CD"/>
    <w:rsid w:val="39CE4B02"/>
    <w:rsid w:val="39EA4EC7"/>
    <w:rsid w:val="39F05927"/>
    <w:rsid w:val="3A004234"/>
    <w:rsid w:val="3A0370B7"/>
    <w:rsid w:val="3A1843AF"/>
    <w:rsid w:val="3A3A2E7F"/>
    <w:rsid w:val="3A480176"/>
    <w:rsid w:val="3A6E0DFD"/>
    <w:rsid w:val="3A996EBF"/>
    <w:rsid w:val="3AA11392"/>
    <w:rsid w:val="3B0420B7"/>
    <w:rsid w:val="3B0675EF"/>
    <w:rsid w:val="3B2F465C"/>
    <w:rsid w:val="3B410FDD"/>
    <w:rsid w:val="3B4D3FC8"/>
    <w:rsid w:val="3B532D51"/>
    <w:rsid w:val="3B5A071E"/>
    <w:rsid w:val="3B722370"/>
    <w:rsid w:val="3BC80C77"/>
    <w:rsid w:val="3BDA1E34"/>
    <w:rsid w:val="3BF270B0"/>
    <w:rsid w:val="3C1509E9"/>
    <w:rsid w:val="3C183C9D"/>
    <w:rsid w:val="3C244095"/>
    <w:rsid w:val="3C3E6434"/>
    <w:rsid w:val="3C9A640A"/>
    <w:rsid w:val="3CB2288F"/>
    <w:rsid w:val="3CC10F7E"/>
    <w:rsid w:val="3CDF3885"/>
    <w:rsid w:val="3CFC764E"/>
    <w:rsid w:val="3D3A2E5D"/>
    <w:rsid w:val="3D445301"/>
    <w:rsid w:val="3D52278F"/>
    <w:rsid w:val="3D596E39"/>
    <w:rsid w:val="3D640503"/>
    <w:rsid w:val="3DA34D76"/>
    <w:rsid w:val="3DA40EDA"/>
    <w:rsid w:val="3DA56350"/>
    <w:rsid w:val="3DB24457"/>
    <w:rsid w:val="3DE70D5E"/>
    <w:rsid w:val="3DF82840"/>
    <w:rsid w:val="3E4312BD"/>
    <w:rsid w:val="3E9457D9"/>
    <w:rsid w:val="3E9D048C"/>
    <w:rsid w:val="3EC30CAD"/>
    <w:rsid w:val="3ED33517"/>
    <w:rsid w:val="3F624BF0"/>
    <w:rsid w:val="3F73071A"/>
    <w:rsid w:val="4024246B"/>
    <w:rsid w:val="405C25C1"/>
    <w:rsid w:val="40944973"/>
    <w:rsid w:val="40A712AC"/>
    <w:rsid w:val="40AB4522"/>
    <w:rsid w:val="40B56044"/>
    <w:rsid w:val="40CE16BC"/>
    <w:rsid w:val="40D72116"/>
    <w:rsid w:val="40D77A8F"/>
    <w:rsid w:val="40F4532C"/>
    <w:rsid w:val="40FF0930"/>
    <w:rsid w:val="410A17A6"/>
    <w:rsid w:val="415A4751"/>
    <w:rsid w:val="41867AC8"/>
    <w:rsid w:val="41972FA7"/>
    <w:rsid w:val="41D34842"/>
    <w:rsid w:val="420C46E9"/>
    <w:rsid w:val="42135EBC"/>
    <w:rsid w:val="42160DFC"/>
    <w:rsid w:val="42183315"/>
    <w:rsid w:val="42197D2C"/>
    <w:rsid w:val="42201517"/>
    <w:rsid w:val="422D5CDC"/>
    <w:rsid w:val="427A0E38"/>
    <w:rsid w:val="42B961BA"/>
    <w:rsid w:val="431F4306"/>
    <w:rsid w:val="43273D30"/>
    <w:rsid w:val="43377BB9"/>
    <w:rsid w:val="435A58A7"/>
    <w:rsid w:val="43A8301F"/>
    <w:rsid w:val="43BE5121"/>
    <w:rsid w:val="444866B3"/>
    <w:rsid w:val="446C1C65"/>
    <w:rsid w:val="44820F48"/>
    <w:rsid w:val="44876382"/>
    <w:rsid w:val="44982C6A"/>
    <w:rsid w:val="44AC0D0E"/>
    <w:rsid w:val="44C415F0"/>
    <w:rsid w:val="44CD450B"/>
    <w:rsid w:val="44E33349"/>
    <w:rsid w:val="45017E79"/>
    <w:rsid w:val="451931E5"/>
    <w:rsid w:val="451E3962"/>
    <w:rsid w:val="45347C99"/>
    <w:rsid w:val="453912B4"/>
    <w:rsid w:val="45704719"/>
    <w:rsid w:val="45801A90"/>
    <w:rsid w:val="45A23C2C"/>
    <w:rsid w:val="45A61059"/>
    <w:rsid w:val="45B219D3"/>
    <w:rsid w:val="45CA3BD1"/>
    <w:rsid w:val="45DF6CB1"/>
    <w:rsid w:val="461130B1"/>
    <w:rsid w:val="464772FA"/>
    <w:rsid w:val="46505890"/>
    <w:rsid w:val="46617E99"/>
    <w:rsid w:val="469E16FD"/>
    <w:rsid w:val="46B25245"/>
    <w:rsid w:val="46C55F0D"/>
    <w:rsid w:val="46D501E0"/>
    <w:rsid w:val="47021119"/>
    <w:rsid w:val="4708535B"/>
    <w:rsid w:val="47115A31"/>
    <w:rsid w:val="472A6AA5"/>
    <w:rsid w:val="472F6421"/>
    <w:rsid w:val="475F6EC7"/>
    <w:rsid w:val="479232E7"/>
    <w:rsid w:val="479864E3"/>
    <w:rsid w:val="47B14000"/>
    <w:rsid w:val="47BF543B"/>
    <w:rsid w:val="47C35D36"/>
    <w:rsid w:val="47D20880"/>
    <w:rsid w:val="47F81301"/>
    <w:rsid w:val="483B268E"/>
    <w:rsid w:val="4865066E"/>
    <w:rsid w:val="487300F0"/>
    <w:rsid w:val="48875FCA"/>
    <w:rsid w:val="48912D5B"/>
    <w:rsid w:val="48B95D7E"/>
    <w:rsid w:val="48C164C3"/>
    <w:rsid w:val="48EC54A5"/>
    <w:rsid w:val="48F059ED"/>
    <w:rsid w:val="48F61B9B"/>
    <w:rsid w:val="49041849"/>
    <w:rsid w:val="492E56C6"/>
    <w:rsid w:val="494B2205"/>
    <w:rsid w:val="49A370C7"/>
    <w:rsid w:val="49A4677D"/>
    <w:rsid w:val="49B76741"/>
    <w:rsid w:val="4A1208F9"/>
    <w:rsid w:val="4A1B3A71"/>
    <w:rsid w:val="4A5B0C07"/>
    <w:rsid w:val="4A6D369D"/>
    <w:rsid w:val="4A7E5F31"/>
    <w:rsid w:val="4A802493"/>
    <w:rsid w:val="4A9C41BA"/>
    <w:rsid w:val="4AAB77F8"/>
    <w:rsid w:val="4AB771A0"/>
    <w:rsid w:val="4AEC01FB"/>
    <w:rsid w:val="4B06740A"/>
    <w:rsid w:val="4B192F41"/>
    <w:rsid w:val="4B212213"/>
    <w:rsid w:val="4B2A1A6F"/>
    <w:rsid w:val="4B3B534A"/>
    <w:rsid w:val="4B70568E"/>
    <w:rsid w:val="4B7E7775"/>
    <w:rsid w:val="4B9D5EBF"/>
    <w:rsid w:val="4BA06E3F"/>
    <w:rsid w:val="4BB15CDB"/>
    <w:rsid w:val="4BF5101F"/>
    <w:rsid w:val="4C247AB9"/>
    <w:rsid w:val="4C3C6A18"/>
    <w:rsid w:val="4C7741C5"/>
    <w:rsid w:val="4C931EA6"/>
    <w:rsid w:val="4CB90250"/>
    <w:rsid w:val="4CF45259"/>
    <w:rsid w:val="4D013F2F"/>
    <w:rsid w:val="4D0A1BA0"/>
    <w:rsid w:val="4D196C54"/>
    <w:rsid w:val="4D4D205E"/>
    <w:rsid w:val="4DAD08B1"/>
    <w:rsid w:val="4DBD3CE1"/>
    <w:rsid w:val="4DC4528E"/>
    <w:rsid w:val="4DF06E31"/>
    <w:rsid w:val="4DF54E84"/>
    <w:rsid w:val="4E0A2EAC"/>
    <w:rsid w:val="4E4302B7"/>
    <w:rsid w:val="4E5954F9"/>
    <w:rsid w:val="4E694A5B"/>
    <w:rsid w:val="4E784F7C"/>
    <w:rsid w:val="4E7C54FC"/>
    <w:rsid w:val="4E8B6728"/>
    <w:rsid w:val="4ECB00BD"/>
    <w:rsid w:val="4EDF0A7B"/>
    <w:rsid w:val="4EEA5B8A"/>
    <w:rsid w:val="4EEC12CB"/>
    <w:rsid w:val="4EF36CCD"/>
    <w:rsid w:val="4EFC363F"/>
    <w:rsid w:val="4F5410BA"/>
    <w:rsid w:val="4F5E2B78"/>
    <w:rsid w:val="4F6B46D6"/>
    <w:rsid w:val="4F85297E"/>
    <w:rsid w:val="4F901356"/>
    <w:rsid w:val="4FAC226F"/>
    <w:rsid w:val="4FC37224"/>
    <w:rsid w:val="4FC845AE"/>
    <w:rsid w:val="4FC94069"/>
    <w:rsid w:val="4FCD4EE3"/>
    <w:rsid w:val="4FD5372D"/>
    <w:rsid w:val="4FE73231"/>
    <w:rsid w:val="4FED6E05"/>
    <w:rsid w:val="4FF63773"/>
    <w:rsid w:val="50021AAC"/>
    <w:rsid w:val="5009760E"/>
    <w:rsid w:val="5048203C"/>
    <w:rsid w:val="50504147"/>
    <w:rsid w:val="50572FAB"/>
    <w:rsid w:val="50617AC8"/>
    <w:rsid w:val="50965A8C"/>
    <w:rsid w:val="50A568C7"/>
    <w:rsid w:val="50DB0346"/>
    <w:rsid w:val="50EC7BFC"/>
    <w:rsid w:val="51060028"/>
    <w:rsid w:val="51207050"/>
    <w:rsid w:val="51232FF1"/>
    <w:rsid w:val="512E31F9"/>
    <w:rsid w:val="514E6056"/>
    <w:rsid w:val="515B14F7"/>
    <w:rsid w:val="51A8241E"/>
    <w:rsid w:val="51BF63EF"/>
    <w:rsid w:val="51D52673"/>
    <w:rsid w:val="51E2209F"/>
    <w:rsid w:val="51FB65E2"/>
    <w:rsid w:val="52014C9C"/>
    <w:rsid w:val="520464C5"/>
    <w:rsid w:val="525400E8"/>
    <w:rsid w:val="52674764"/>
    <w:rsid w:val="52712541"/>
    <w:rsid w:val="527A44F7"/>
    <w:rsid w:val="52C77E00"/>
    <w:rsid w:val="531808EF"/>
    <w:rsid w:val="53275C31"/>
    <w:rsid w:val="532967F7"/>
    <w:rsid w:val="532A1882"/>
    <w:rsid w:val="53325F58"/>
    <w:rsid w:val="534423E0"/>
    <w:rsid w:val="534A2B43"/>
    <w:rsid w:val="537B357A"/>
    <w:rsid w:val="53945FF0"/>
    <w:rsid w:val="53AD13C7"/>
    <w:rsid w:val="53B63640"/>
    <w:rsid w:val="53BC0313"/>
    <w:rsid w:val="53CE4375"/>
    <w:rsid w:val="54087F74"/>
    <w:rsid w:val="54106920"/>
    <w:rsid w:val="5416376E"/>
    <w:rsid w:val="541E7A33"/>
    <w:rsid w:val="542A69A2"/>
    <w:rsid w:val="543632C7"/>
    <w:rsid w:val="543D3C75"/>
    <w:rsid w:val="545C3EC5"/>
    <w:rsid w:val="54BB5F19"/>
    <w:rsid w:val="54CE15E4"/>
    <w:rsid w:val="54F94798"/>
    <w:rsid w:val="552B6331"/>
    <w:rsid w:val="552E70F0"/>
    <w:rsid w:val="5544536D"/>
    <w:rsid w:val="5549725F"/>
    <w:rsid w:val="55AF58D4"/>
    <w:rsid w:val="55B47B79"/>
    <w:rsid w:val="55C60960"/>
    <w:rsid w:val="5613554D"/>
    <w:rsid w:val="56416B99"/>
    <w:rsid w:val="56461506"/>
    <w:rsid w:val="565E6BA0"/>
    <w:rsid w:val="56A16042"/>
    <w:rsid w:val="56A20000"/>
    <w:rsid w:val="56BC3C05"/>
    <w:rsid w:val="56BE037E"/>
    <w:rsid w:val="57106668"/>
    <w:rsid w:val="572F3455"/>
    <w:rsid w:val="57476FFF"/>
    <w:rsid w:val="57506399"/>
    <w:rsid w:val="576B0F4F"/>
    <w:rsid w:val="57A8645A"/>
    <w:rsid w:val="57AA3F39"/>
    <w:rsid w:val="57BA605D"/>
    <w:rsid w:val="57C12D0E"/>
    <w:rsid w:val="57DB37C0"/>
    <w:rsid w:val="580356E6"/>
    <w:rsid w:val="58275FE7"/>
    <w:rsid w:val="58420B05"/>
    <w:rsid w:val="588C283E"/>
    <w:rsid w:val="589C551D"/>
    <w:rsid w:val="58A47B56"/>
    <w:rsid w:val="58CC416F"/>
    <w:rsid w:val="58EA5A3B"/>
    <w:rsid w:val="592501E4"/>
    <w:rsid w:val="592B05AE"/>
    <w:rsid w:val="593460DE"/>
    <w:rsid w:val="598A784B"/>
    <w:rsid w:val="59ED2BE3"/>
    <w:rsid w:val="59F06266"/>
    <w:rsid w:val="5A342BC3"/>
    <w:rsid w:val="5A4A0723"/>
    <w:rsid w:val="5A4B1FB9"/>
    <w:rsid w:val="5A5F39B0"/>
    <w:rsid w:val="5A7C336E"/>
    <w:rsid w:val="5AC3459C"/>
    <w:rsid w:val="5ACF2B99"/>
    <w:rsid w:val="5AD0554F"/>
    <w:rsid w:val="5AFA0C58"/>
    <w:rsid w:val="5B0E29B1"/>
    <w:rsid w:val="5B13521D"/>
    <w:rsid w:val="5B3C7828"/>
    <w:rsid w:val="5B4C2A77"/>
    <w:rsid w:val="5B5F7C13"/>
    <w:rsid w:val="5B84737F"/>
    <w:rsid w:val="5B8B1970"/>
    <w:rsid w:val="5B8C471D"/>
    <w:rsid w:val="5B98555B"/>
    <w:rsid w:val="5BA83BE9"/>
    <w:rsid w:val="5BCE71F6"/>
    <w:rsid w:val="5BDC51D5"/>
    <w:rsid w:val="5BED2127"/>
    <w:rsid w:val="5C04533C"/>
    <w:rsid w:val="5C0728A7"/>
    <w:rsid w:val="5C323F6E"/>
    <w:rsid w:val="5C3D202A"/>
    <w:rsid w:val="5C5F5082"/>
    <w:rsid w:val="5CBD3AFE"/>
    <w:rsid w:val="5CC327BD"/>
    <w:rsid w:val="5CDB3330"/>
    <w:rsid w:val="5D0602A9"/>
    <w:rsid w:val="5D550CDB"/>
    <w:rsid w:val="5D5D3ED4"/>
    <w:rsid w:val="5D944C81"/>
    <w:rsid w:val="5D97462C"/>
    <w:rsid w:val="5DC60174"/>
    <w:rsid w:val="5DD71CC9"/>
    <w:rsid w:val="5E06168E"/>
    <w:rsid w:val="5E182B5E"/>
    <w:rsid w:val="5E6A1A3B"/>
    <w:rsid w:val="5E792DC1"/>
    <w:rsid w:val="5E7D2DE5"/>
    <w:rsid w:val="5E8E2928"/>
    <w:rsid w:val="5E98062A"/>
    <w:rsid w:val="5EC34893"/>
    <w:rsid w:val="5ED906EC"/>
    <w:rsid w:val="5EFE30B5"/>
    <w:rsid w:val="5F357A32"/>
    <w:rsid w:val="5F534D6C"/>
    <w:rsid w:val="5F750411"/>
    <w:rsid w:val="5F7C7F2F"/>
    <w:rsid w:val="5F8C53B1"/>
    <w:rsid w:val="5FC91C08"/>
    <w:rsid w:val="5FDD7328"/>
    <w:rsid w:val="5FE302B5"/>
    <w:rsid w:val="5FEC7BD5"/>
    <w:rsid w:val="5FFF4EDE"/>
    <w:rsid w:val="6068636A"/>
    <w:rsid w:val="60B62D7D"/>
    <w:rsid w:val="60C53AEC"/>
    <w:rsid w:val="60D25CFD"/>
    <w:rsid w:val="60E103FD"/>
    <w:rsid w:val="61535EF6"/>
    <w:rsid w:val="61827231"/>
    <w:rsid w:val="61C9727F"/>
    <w:rsid w:val="61D33910"/>
    <w:rsid w:val="62034031"/>
    <w:rsid w:val="625C6E0A"/>
    <w:rsid w:val="627E2E0A"/>
    <w:rsid w:val="628009F7"/>
    <w:rsid w:val="629B13B7"/>
    <w:rsid w:val="62A85E9C"/>
    <w:rsid w:val="62B81C6D"/>
    <w:rsid w:val="62C772A7"/>
    <w:rsid w:val="62D21016"/>
    <w:rsid w:val="62E05960"/>
    <w:rsid w:val="62EC34A2"/>
    <w:rsid w:val="6320781E"/>
    <w:rsid w:val="633155C3"/>
    <w:rsid w:val="633E795A"/>
    <w:rsid w:val="635C4950"/>
    <w:rsid w:val="63602DCE"/>
    <w:rsid w:val="636449C9"/>
    <w:rsid w:val="637A0BE5"/>
    <w:rsid w:val="63A93F41"/>
    <w:rsid w:val="63CB5C29"/>
    <w:rsid w:val="63D32FE0"/>
    <w:rsid w:val="63DA6B35"/>
    <w:rsid w:val="63EF48B7"/>
    <w:rsid w:val="63FC5777"/>
    <w:rsid w:val="640C15A9"/>
    <w:rsid w:val="64223501"/>
    <w:rsid w:val="6424591D"/>
    <w:rsid w:val="642665E1"/>
    <w:rsid w:val="642C1167"/>
    <w:rsid w:val="64397B13"/>
    <w:rsid w:val="64492A5F"/>
    <w:rsid w:val="645A4A4E"/>
    <w:rsid w:val="64623A54"/>
    <w:rsid w:val="649F39AB"/>
    <w:rsid w:val="64F45EA9"/>
    <w:rsid w:val="65065712"/>
    <w:rsid w:val="65135EF4"/>
    <w:rsid w:val="65261CFE"/>
    <w:rsid w:val="653907AF"/>
    <w:rsid w:val="655F4D52"/>
    <w:rsid w:val="656E12FC"/>
    <w:rsid w:val="657643EA"/>
    <w:rsid w:val="65917EFD"/>
    <w:rsid w:val="65A43886"/>
    <w:rsid w:val="65A732B6"/>
    <w:rsid w:val="65B7115D"/>
    <w:rsid w:val="65FA03A4"/>
    <w:rsid w:val="66056DC8"/>
    <w:rsid w:val="66357AA6"/>
    <w:rsid w:val="663E51E6"/>
    <w:rsid w:val="66533103"/>
    <w:rsid w:val="66A53009"/>
    <w:rsid w:val="66CB7063"/>
    <w:rsid w:val="66ED5334"/>
    <w:rsid w:val="67076920"/>
    <w:rsid w:val="67090F31"/>
    <w:rsid w:val="670F2506"/>
    <w:rsid w:val="67135386"/>
    <w:rsid w:val="671D35AF"/>
    <w:rsid w:val="673B6D67"/>
    <w:rsid w:val="67401EFA"/>
    <w:rsid w:val="6774305A"/>
    <w:rsid w:val="677E783A"/>
    <w:rsid w:val="67B470EE"/>
    <w:rsid w:val="67D57192"/>
    <w:rsid w:val="67F56DF1"/>
    <w:rsid w:val="68810E04"/>
    <w:rsid w:val="68BF4008"/>
    <w:rsid w:val="68D1321A"/>
    <w:rsid w:val="68E36EA7"/>
    <w:rsid w:val="68F92857"/>
    <w:rsid w:val="68FD444C"/>
    <w:rsid w:val="691A597D"/>
    <w:rsid w:val="69236A26"/>
    <w:rsid w:val="69312B35"/>
    <w:rsid w:val="69402F0E"/>
    <w:rsid w:val="695663AF"/>
    <w:rsid w:val="69601EB7"/>
    <w:rsid w:val="697C00AE"/>
    <w:rsid w:val="69AD7294"/>
    <w:rsid w:val="69B71F1D"/>
    <w:rsid w:val="69FE188D"/>
    <w:rsid w:val="6A040D04"/>
    <w:rsid w:val="6A1F1038"/>
    <w:rsid w:val="6A3834F3"/>
    <w:rsid w:val="6A5C75FB"/>
    <w:rsid w:val="6A6F5D8C"/>
    <w:rsid w:val="6A807EFA"/>
    <w:rsid w:val="6A8312EB"/>
    <w:rsid w:val="6A8E3330"/>
    <w:rsid w:val="6A9C2883"/>
    <w:rsid w:val="6AAB2835"/>
    <w:rsid w:val="6AB54193"/>
    <w:rsid w:val="6AB94C39"/>
    <w:rsid w:val="6ACA40FE"/>
    <w:rsid w:val="6AD12D5B"/>
    <w:rsid w:val="6AE12CFE"/>
    <w:rsid w:val="6AEC3081"/>
    <w:rsid w:val="6B2E0E78"/>
    <w:rsid w:val="6B335640"/>
    <w:rsid w:val="6B4976BC"/>
    <w:rsid w:val="6B52558E"/>
    <w:rsid w:val="6B665B94"/>
    <w:rsid w:val="6B8C484A"/>
    <w:rsid w:val="6BB06403"/>
    <w:rsid w:val="6C09081B"/>
    <w:rsid w:val="6C18633B"/>
    <w:rsid w:val="6C2D6444"/>
    <w:rsid w:val="6C315050"/>
    <w:rsid w:val="6C4D0293"/>
    <w:rsid w:val="6C4F0D0F"/>
    <w:rsid w:val="6C595E2A"/>
    <w:rsid w:val="6C5C5D25"/>
    <w:rsid w:val="6C5F3867"/>
    <w:rsid w:val="6C821374"/>
    <w:rsid w:val="6C834C72"/>
    <w:rsid w:val="6C8D0AF7"/>
    <w:rsid w:val="6C90513C"/>
    <w:rsid w:val="6CA8720D"/>
    <w:rsid w:val="6CA91FB2"/>
    <w:rsid w:val="6CCE326F"/>
    <w:rsid w:val="6CDC003D"/>
    <w:rsid w:val="6CDD5812"/>
    <w:rsid w:val="6CF64415"/>
    <w:rsid w:val="6D207486"/>
    <w:rsid w:val="6D2A56E5"/>
    <w:rsid w:val="6D610F11"/>
    <w:rsid w:val="6D8D44FF"/>
    <w:rsid w:val="6DA4726C"/>
    <w:rsid w:val="6DC665AB"/>
    <w:rsid w:val="6DCD3117"/>
    <w:rsid w:val="6DD629D3"/>
    <w:rsid w:val="6DEC5E82"/>
    <w:rsid w:val="6E066AC3"/>
    <w:rsid w:val="6E2C543A"/>
    <w:rsid w:val="6E5326B5"/>
    <w:rsid w:val="6E852F10"/>
    <w:rsid w:val="6EAF57EF"/>
    <w:rsid w:val="6EB668F5"/>
    <w:rsid w:val="6EDE6C19"/>
    <w:rsid w:val="6F2A3F78"/>
    <w:rsid w:val="6F317A85"/>
    <w:rsid w:val="6F3562D8"/>
    <w:rsid w:val="6F3F58D1"/>
    <w:rsid w:val="6F5D6891"/>
    <w:rsid w:val="6F850D32"/>
    <w:rsid w:val="6FAE4A29"/>
    <w:rsid w:val="6FD62437"/>
    <w:rsid w:val="700A7B4D"/>
    <w:rsid w:val="703A4058"/>
    <w:rsid w:val="70602ECB"/>
    <w:rsid w:val="706F6182"/>
    <w:rsid w:val="70B87FFA"/>
    <w:rsid w:val="71067107"/>
    <w:rsid w:val="71080B14"/>
    <w:rsid w:val="710B7797"/>
    <w:rsid w:val="711F54C2"/>
    <w:rsid w:val="714B6B72"/>
    <w:rsid w:val="71AD54EA"/>
    <w:rsid w:val="71CF302F"/>
    <w:rsid w:val="71D82B70"/>
    <w:rsid w:val="721E6460"/>
    <w:rsid w:val="72426D87"/>
    <w:rsid w:val="728E2337"/>
    <w:rsid w:val="72F62104"/>
    <w:rsid w:val="730900D5"/>
    <w:rsid w:val="73305652"/>
    <w:rsid w:val="733F11E0"/>
    <w:rsid w:val="73482664"/>
    <w:rsid w:val="73533BF9"/>
    <w:rsid w:val="73536701"/>
    <w:rsid w:val="73582F72"/>
    <w:rsid w:val="736F3CB4"/>
    <w:rsid w:val="73962EDB"/>
    <w:rsid w:val="739C125F"/>
    <w:rsid w:val="739E681F"/>
    <w:rsid w:val="74323AA1"/>
    <w:rsid w:val="74464C70"/>
    <w:rsid w:val="74552365"/>
    <w:rsid w:val="745554CF"/>
    <w:rsid w:val="74657F2A"/>
    <w:rsid w:val="74724D03"/>
    <w:rsid w:val="749B687A"/>
    <w:rsid w:val="74C43DDB"/>
    <w:rsid w:val="74CC33B6"/>
    <w:rsid w:val="74E32396"/>
    <w:rsid w:val="74EE65C9"/>
    <w:rsid w:val="74FB0933"/>
    <w:rsid w:val="751F3D4D"/>
    <w:rsid w:val="75352632"/>
    <w:rsid w:val="753951D7"/>
    <w:rsid w:val="75580632"/>
    <w:rsid w:val="755C4DB4"/>
    <w:rsid w:val="756373A8"/>
    <w:rsid w:val="756B7FCD"/>
    <w:rsid w:val="75796A46"/>
    <w:rsid w:val="758118C6"/>
    <w:rsid w:val="75902835"/>
    <w:rsid w:val="75B4208A"/>
    <w:rsid w:val="75CF3016"/>
    <w:rsid w:val="75DD64EF"/>
    <w:rsid w:val="75F63F85"/>
    <w:rsid w:val="76250AE4"/>
    <w:rsid w:val="76332D84"/>
    <w:rsid w:val="763D3911"/>
    <w:rsid w:val="763E7FA4"/>
    <w:rsid w:val="76453913"/>
    <w:rsid w:val="76490508"/>
    <w:rsid w:val="764C22C1"/>
    <w:rsid w:val="766E62C0"/>
    <w:rsid w:val="7676372E"/>
    <w:rsid w:val="7678667E"/>
    <w:rsid w:val="7681721D"/>
    <w:rsid w:val="76863368"/>
    <w:rsid w:val="76C40899"/>
    <w:rsid w:val="76CF3172"/>
    <w:rsid w:val="76D35296"/>
    <w:rsid w:val="76FF60E6"/>
    <w:rsid w:val="77097234"/>
    <w:rsid w:val="776673B4"/>
    <w:rsid w:val="779C6B0B"/>
    <w:rsid w:val="77A4186D"/>
    <w:rsid w:val="77D46514"/>
    <w:rsid w:val="77DA326A"/>
    <w:rsid w:val="77EC3B19"/>
    <w:rsid w:val="780375C7"/>
    <w:rsid w:val="780E43E0"/>
    <w:rsid w:val="783928FD"/>
    <w:rsid w:val="783E668A"/>
    <w:rsid w:val="785710D2"/>
    <w:rsid w:val="787677BA"/>
    <w:rsid w:val="789D4C0B"/>
    <w:rsid w:val="789D6FDD"/>
    <w:rsid w:val="78A65C78"/>
    <w:rsid w:val="78B33270"/>
    <w:rsid w:val="78B65085"/>
    <w:rsid w:val="78BB16AB"/>
    <w:rsid w:val="78CA12A0"/>
    <w:rsid w:val="78DD02E4"/>
    <w:rsid w:val="78EC7CB7"/>
    <w:rsid w:val="78EF7975"/>
    <w:rsid w:val="793C4F4B"/>
    <w:rsid w:val="794E0D40"/>
    <w:rsid w:val="79642714"/>
    <w:rsid w:val="796F7409"/>
    <w:rsid w:val="799C0935"/>
    <w:rsid w:val="79A47ECD"/>
    <w:rsid w:val="79A75E62"/>
    <w:rsid w:val="79C967D4"/>
    <w:rsid w:val="79D16998"/>
    <w:rsid w:val="7A421463"/>
    <w:rsid w:val="7AA2637A"/>
    <w:rsid w:val="7B110B45"/>
    <w:rsid w:val="7B143472"/>
    <w:rsid w:val="7B15453F"/>
    <w:rsid w:val="7B3823AF"/>
    <w:rsid w:val="7B3D55A6"/>
    <w:rsid w:val="7B4D69E2"/>
    <w:rsid w:val="7B5160F3"/>
    <w:rsid w:val="7B65675A"/>
    <w:rsid w:val="7B854F3F"/>
    <w:rsid w:val="7BD85644"/>
    <w:rsid w:val="7BF31D4A"/>
    <w:rsid w:val="7BF91315"/>
    <w:rsid w:val="7BFA20BF"/>
    <w:rsid w:val="7BFA337D"/>
    <w:rsid w:val="7C286C8D"/>
    <w:rsid w:val="7C3371A1"/>
    <w:rsid w:val="7C340299"/>
    <w:rsid w:val="7C445C6C"/>
    <w:rsid w:val="7C637ECB"/>
    <w:rsid w:val="7C7347DD"/>
    <w:rsid w:val="7CCB2EEB"/>
    <w:rsid w:val="7D235A53"/>
    <w:rsid w:val="7D252465"/>
    <w:rsid w:val="7D5E5BE9"/>
    <w:rsid w:val="7D93575C"/>
    <w:rsid w:val="7DD31367"/>
    <w:rsid w:val="7DF4422F"/>
    <w:rsid w:val="7DF822F1"/>
    <w:rsid w:val="7E004D66"/>
    <w:rsid w:val="7E0B354F"/>
    <w:rsid w:val="7E96013B"/>
    <w:rsid w:val="7EC37238"/>
    <w:rsid w:val="7ECB6091"/>
    <w:rsid w:val="7EF06A45"/>
    <w:rsid w:val="7F005DE0"/>
    <w:rsid w:val="7F145C2A"/>
    <w:rsid w:val="7F150DAF"/>
    <w:rsid w:val="7F156304"/>
    <w:rsid w:val="7F58435A"/>
    <w:rsid w:val="7F5D6E39"/>
    <w:rsid w:val="7F6057CB"/>
    <w:rsid w:val="7F621130"/>
    <w:rsid w:val="7F6E5772"/>
    <w:rsid w:val="7FC5648C"/>
    <w:rsid w:val="7FFF3B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99" w:semiHidden="0" w:name="heading 3"/>
    <w:lsdException w:qFormat="1"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62"/>
    <w:qFormat/>
    <w:uiPriority w:val="0"/>
    <w:pPr>
      <w:keepNext/>
      <w:keepLines/>
      <w:spacing w:before="120" w:after="120"/>
      <w:ind w:firstLine="0" w:firstLineChars="0"/>
      <w:outlineLvl w:val="0"/>
    </w:pPr>
    <w:rPr>
      <w:rFonts w:eastAsia="黑体"/>
      <w:bCs/>
      <w:kern w:val="44"/>
      <w:sz w:val="28"/>
      <w:szCs w:val="44"/>
    </w:rPr>
  </w:style>
  <w:style w:type="paragraph" w:styleId="3">
    <w:name w:val="heading 2"/>
    <w:basedOn w:val="1"/>
    <w:next w:val="1"/>
    <w:link w:val="61"/>
    <w:unhideWhenUsed/>
    <w:qFormat/>
    <w:uiPriority w:val="99"/>
    <w:pPr>
      <w:keepNext/>
      <w:keepLines/>
      <w:spacing w:before="120" w:after="120"/>
      <w:ind w:firstLine="0" w:firstLineChars="0"/>
      <w:outlineLvl w:val="1"/>
    </w:pPr>
    <w:rPr>
      <w:rFonts w:ascii="Cambria" w:hAnsi="Cambria" w:eastAsia="黑体"/>
      <w:bCs/>
      <w:szCs w:val="32"/>
    </w:rPr>
  </w:style>
  <w:style w:type="paragraph" w:styleId="4">
    <w:name w:val="heading 3"/>
    <w:basedOn w:val="1"/>
    <w:next w:val="1"/>
    <w:link w:val="63"/>
    <w:unhideWhenUsed/>
    <w:qFormat/>
    <w:uiPriority w:val="99"/>
    <w:pPr>
      <w:keepNext/>
      <w:keepLines/>
      <w:spacing w:before="260" w:after="260" w:line="415" w:lineRule="auto"/>
      <w:ind w:firstLine="0" w:firstLineChars="0"/>
      <w:outlineLvl w:val="2"/>
    </w:pPr>
    <w:rPr>
      <w:rFonts w:eastAsia="黑体"/>
      <w:bCs/>
      <w:szCs w:val="32"/>
    </w:rPr>
  </w:style>
  <w:style w:type="paragraph" w:styleId="5">
    <w:name w:val="heading 4"/>
    <w:basedOn w:val="1"/>
    <w:next w:val="1"/>
    <w:link w:val="64"/>
    <w:unhideWhenUsed/>
    <w:qFormat/>
    <w:uiPriority w:val="99"/>
    <w:pPr>
      <w:keepNext/>
      <w:keepLines/>
      <w:spacing w:before="280" w:after="290" w:line="377" w:lineRule="auto"/>
      <w:ind w:firstLine="0" w:firstLineChars="0"/>
      <w:outlineLvl w:val="3"/>
    </w:pPr>
    <w:rPr>
      <w:rFonts w:ascii="Cambria" w:hAnsi="Cambria" w:eastAsia="黑体"/>
      <w:bCs/>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qFormat/>
    <w:uiPriority w:val="0"/>
    <w:pPr>
      <w:spacing w:before="152" w:after="160"/>
      <w:ind w:firstLine="0" w:firstLineChars="0"/>
    </w:pPr>
    <w:rPr>
      <w:rFonts w:ascii="Arial" w:hAnsi="Arial" w:eastAsia="黑体" w:cs="Arial"/>
      <w:sz w:val="20"/>
      <w:szCs w:val="20"/>
    </w:rPr>
  </w:style>
  <w:style w:type="paragraph" w:styleId="7">
    <w:name w:val="Document Map"/>
    <w:basedOn w:val="1"/>
    <w:link w:val="71"/>
    <w:semiHidden/>
    <w:unhideWhenUsed/>
    <w:qFormat/>
    <w:uiPriority w:val="99"/>
    <w:rPr>
      <w:rFonts w:ascii="宋体"/>
      <w:sz w:val="18"/>
      <w:szCs w:val="18"/>
    </w:rPr>
  </w:style>
  <w:style w:type="paragraph" w:styleId="8">
    <w:name w:val="annotation text"/>
    <w:basedOn w:val="1"/>
    <w:link w:val="66"/>
    <w:semiHidden/>
    <w:unhideWhenUsed/>
    <w:qFormat/>
    <w:uiPriority w:val="99"/>
    <w:pPr>
      <w:jc w:val="left"/>
    </w:pPr>
  </w:style>
  <w:style w:type="paragraph" w:styleId="9">
    <w:name w:val="toc 3"/>
    <w:basedOn w:val="1"/>
    <w:next w:val="1"/>
    <w:unhideWhenUsed/>
    <w:qFormat/>
    <w:uiPriority w:val="39"/>
    <w:pPr>
      <w:ind w:left="840" w:leftChars="400"/>
    </w:pPr>
  </w:style>
  <w:style w:type="paragraph" w:styleId="10">
    <w:name w:val="Balloon Text"/>
    <w:basedOn w:val="1"/>
    <w:link w:val="38"/>
    <w:semiHidden/>
    <w:unhideWhenUsed/>
    <w:qFormat/>
    <w:uiPriority w:val="99"/>
    <w:rPr>
      <w:sz w:val="18"/>
      <w:szCs w:val="18"/>
    </w:rPr>
  </w:style>
  <w:style w:type="paragraph" w:styleId="11">
    <w:name w:val="footer"/>
    <w:basedOn w:val="1"/>
    <w:link w:val="48"/>
    <w:qFormat/>
    <w:uiPriority w:val="99"/>
    <w:pPr>
      <w:tabs>
        <w:tab w:val="center" w:pos="4153"/>
        <w:tab w:val="right" w:pos="8306"/>
      </w:tabs>
      <w:snapToGrid w:val="0"/>
      <w:ind w:right="100" w:rightChars="100"/>
      <w:jc w:val="right"/>
    </w:pPr>
    <w:rPr>
      <w:sz w:val="18"/>
      <w:szCs w:val="20"/>
    </w:rPr>
  </w:style>
  <w:style w:type="paragraph" w:styleId="12">
    <w:name w:val="header"/>
    <w:basedOn w:val="1"/>
    <w:link w:val="6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paragraph" w:styleId="15">
    <w:name w:val="Normal (Web)"/>
    <w:basedOn w:val="1"/>
    <w:qFormat/>
    <w:uiPriority w:val="99"/>
    <w:pPr>
      <w:ind w:firstLine="0" w:firstLineChars="0"/>
    </w:pPr>
    <w:rPr>
      <w:rFonts w:ascii="Calibri" w:hAnsi="Calibri"/>
      <w:szCs w:val="22"/>
    </w:rPr>
  </w:style>
  <w:style w:type="paragraph" w:styleId="16">
    <w:name w:val="annotation subject"/>
    <w:basedOn w:val="8"/>
    <w:next w:val="8"/>
    <w:link w:val="67"/>
    <w:semiHidden/>
    <w:unhideWhenUsed/>
    <w:qFormat/>
    <w:uiPriority w:val="99"/>
    <w:rPr>
      <w:b/>
      <w:bCs/>
    </w:rPr>
  </w:style>
  <w:style w:type="table" w:styleId="18">
    <w:name w:val="Table Grid"/>
    <w:basedOn w:val="17"/>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page number"/>
    <w:qFormat/>
    <w:uiPriority w:val="99"/>
    <w:rPr>
      <w:rFonts w:ascii="Times New Roman" w:hAnsi="Times New Roman" w:eastAsia="宋体" w:cs="Times New Roman"/>
      <w:sz w:val="18"/>
    </w:rPr>
  </w:style>
  <w:style w:type="character" w:styleId="21">
    <w:name w:val="Emphasis"/>
    <w:basedOn w:val="19"/>
    <w:qFormat/>
    <w:uiPriority w:val="20"/>
    <w:rPr>
      <w:i/>
    </w:rPr>
  </w:style>
  <w:style w:type="character" w:styleId="22">
    <w:name w:val="Hyperlink"/>
    <w:basedOn w:val="19"/>
    <w:unhideWhenUsed/>
    <w:qFormat/>
    <w:uiPriority w:val="99"/>
    <w:rPr>
      <w:color w:val="0563C1" w:themeColor="hyperlink"/>
      <w:u w:val="single"/>
    </w:rPr>
  </w:style>
  <w:style w:type="character" w:styleId="23">
    <w:name w:val="annotation reference"/>
    <w:basedOn w:val="19"/>
    <w:semiHidden/>
    <w:unhideWhenUsed/>
    <w:qFormat/>
    <w:uiPriority w:val="99"/>
    <w:rPr>
      <w:sz w:val="21"/>
      <w:szCs w:val="21"/>
    </w:rPr>
  </w:style>
  <w:style w:type="paragraph" w:customStyle="1" w:styleId="24">
    <w:name w:val="段"/>
    <w:link w:val="2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5">
    <w:name w:val="段 Char"/>
    <w:link w:val="24"/>
    <w:qFormat/>
    <w:uiPriority w:val="0"/>
    <w:rPr>
      <w:rFonts w:ascii="宋体" w:hAnsi="Times New Roman"/>
      <w:sz w:val="21"/>
      <w:lang w:val="en-US" w:eastAsia="zh-CN" w:bidi="ar-SA"/>
    </w:rPr>
  </w:style>
  <w:style w:type="paragraph" w:customStyle="1" w:styleId="26">
    <w:name w:val="一级条标题"/>
    <w:next w:val="24"/>
    <w:qFormat/>
    <w:uiPriority w:val="0"/>
    <w:pPr>
      <w:numPr>
        <w:ilvl w:val="1"/>
        <w:numId w:val="1"/>
      </w:numPr>
      <w:spacing w:beforeLines="50" w:afterLines="50"/>
      <w:ind w:left="0"/>
      <w:outlineLvl w:val="2"/>
    </w:pPr>
    <w:rPr>
      <w:rFonts w:ascii="黑体" w:hAnsi="Times New Roman" w:eastAsia="黑体" w:cs="Times New Roman"/>
      <w:sz w:val="21"/>
      <w:szCs w:val="21"/>
      <w:lang w:val="en-US" w:eastAsia="zh-CN" w:bidi="ar-SA"/>
    </w:rPr>
  </w:style>
  <w:style w:type="paragraph" w:customStyle="1" w:styleId="27">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28">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9">
    <w:name w:val="章标题"/>
    <w:next w:val="24"/>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30">
    <w:name w:val="二级条标题"/>
    <w:basedOn w:val="26"/>
    <w:next w:val="24"/>
    <w:qFormat/>
    <w:uiPriority w:val="0"/>
    <w:pPr>
      <w:numPr>
        <w:ilvl w:val="2"/>
      </w:numPr>
      <w:spacing w:before="50" w:after="50"/>
      <w:outlineLvl w:val="3"/>
    </w:pPr>
  </w:style>
  <w:style w:type="paragraph" w:customStyle="1" w:styleId="31">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2">
    <w:name w:val="三级条标题"/>
    <w:basedOn w:val="30"/>
    <w:next w:val="24"/>
    <w:qFormat/>
    <w:uiPriority w:val="0"/>
    <w:pPr>
      <w:numPr>
        <w:ilvl w:val="3"/>
      </w:numPr>
      <w:outlineLvl w:val="4"/>
    </w:pPr>
  </w:style>
  <w:style w:type="paragraph" w:customStyle="1" w:styleId="33">
    <w:name w:val="四级条标题"/>
    <w:basedOn w:val="32"/>
    <w:next w:val="24"/>
    <w:qFormat/>
    <w:uiPriority w:val="0"/>
    <w:pPr>
      <w:numPr>
        <w:ilvl w:val="4"/>
      </w:numPr>
      <w:outlineLvl w:val="5"/>
    </w:pPr>
  </w:style>
  <w:style w:type="paragraph" w:customStyle="1" w:styleId="34">
    <w:name w:val="五级条标题"/>
    <w:basedOn w:val="33"/>
    <w:next w:val="24"/>
    <w:qFormat/>
    <w:uiPriority w:val="0"/>
    <w:pPr>
      <w:numPr>
        <w:ilvl w:val="5"/>
      </w:numPr>
      <w:outlineLvl w:val="6"/>
    </w:pPr>
  </w:style>
  <w:style w:type="paragraph" w:customStyle="1" w:styleId="35">
    <w:name w:val="二级无"/>
    <w:basedOn w:val="30"/>
    <w:qFormat/>
    <w:uiPriority w:val="0"/>
    <w:pPr>
      <w:spacing w:beforeLines="0" w:afterLines="0"/>
    </w:pPr>
    <w:rPr>
      <w:rFonts w:ascii="宋体" w:eastAsia="宋体"/>
    </w:rPr>
  </w:style>
  <w:style w:type="paragraph" w:customStyle="1" w:styleId="36">
    <w:name w:val="前言、引言标题"/>
    <w:next w:val="24"/>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7">
    <w:name w:val="一级无"/>
    <w:basedOn w:val="26"/>
    <w:qFormat/>
    <w:uiPriority w:val="0"/>
    <w:pPr>
      <w:spacing w:beforeLines="0" w:afterLines="0"/>
      <w:ind w:left="1560"/>
    </w:pPr>
    <w:rPr>
      <w:rFonts w:ascii="宋体" w:eastAsia="宋体"/>
    </w:rPr>
  </w:style>
  <w:style w:type="character" w:customStyle="1" w:styleId="38">
    <w:name w:val="批注框文本 字符"/>
    <w:link w:val="10"/>
    <w:semiHidden/>
    <w:qFormat/>
    <w:uiPriority w:val="99"/>
    <w:rPr>
      <w:rFonts w:ascii="Times New Roman" w:hAnsi="Times New Roman" w:eastAsia="宋体" w:cs="Times New Roman"/>
      <w:sz w:val="18"/>
      <w:szCs w:val="18"/>
    </w:rPr>
  </w:style>
  <w:style w:type="paragraph" w:customStyle="1" w:styleId="39">
    <w:name w:val="发布日期"/>
    <w:qFormat/>
    <w:uiPriority w:val="99"/>
    <w:rPr>
      <w:rFonts w:ascii="Times New Roman" w:hAnsi="Times New Roman" w:eastAsia="黑体" w:cs="Times New Roman"/>
      <w:sz w:val="28"/>
      <w:lang w:val="en-US" w:eastAsia="zh-CN" w:bidi="ar-SA"/>
    </w:rPr>
  </w:style>
  <w:style w:type="paragraph" w:customStyle="1" w:styleId="40">
    <w:name w:val="封面标准名称"/>
    <w:qFormat/>
    <w:uiPriority w:val="99"/>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1">
    <w:name w:val="封面标准文稿类别"/>
    <w:qFormat/>
    <w:uiPriority w:val="99"/>
    <w:pPr>
      <w:spacing w:before="440" w:line="400" w:lineRule="exact"/>
      <w:jc w:val="center"/>
    </w:pPr>
    <w:rPr>
      <w:rFonts w:ascii="宋体" w:hAnsi="Times New Roman" w:eastAsia="宋体" w:cs="Times New Roman"/>
      <w:sz w:val="24"/>
      <w:lang w:val="en-US" w:eastAsia="zh-CN" w:bidi="ar-SA"/>
    </w:rPr>
  </w:style>
  <w:style w:type="paragraph" w:customStyle="1" w:styleId="42">
    <w:name w:val="封面标准英文名称"/>
    <w:qFormat/>
    <w:uiPriority w:val="99"/>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3">
    <w:name w:val="实施日期"/>
    <w:basedOn w:val="39"/>
    <w:qFormat/>
    <w:uiPriority w:val="99"/>
    <w:pPr>
      <w:jc w:val="right"/>
    </w:pPr>
  </w:style>
  <w:style w:type="paragraph" w:customStyle="1" w:styleId="44">
    <w:name w:val="标准称谓"/>
    <w:next w:val="1"/>
    <w:qFormat/>
    <w:uiPriority w:val="99"/>
    <w:pPr>
      <w:widowControl w:val="0"/>
      <w:kinsoku w:val="0"/>
      <w:overflowPunct w:val="0"/>
      <w:autoSpaceDE w:val="0"/>
      <w:autoSpaceDN w:val="0"/>
      <w:spacing w:line="240" w:lineRule="atLeast"/>
      <w:jc w:val="distribute"/>
    </w:pPr>
    <w:rPr>
      <w:rFonts w:ascii="宋体" w:hAnsi="Times New Roman" w:eastAsia="宋体" w:cs="Times New Roman"/>
      <w:b/>
      <w:spacing w:val="20"/>
      <w:w w:val="148"/>
      <w:sz w:val="52"/>
      <w:lang w:val="en-US" w:eastAsia="zh-CN" w:bidi="ar-SA"/>
    </w:rPr>
  </w:style>
  <w:style w:type="paragraph" w:customStyle="1" w:styleId="45">
    <w:name w:val="发布部门"/>
    <w:next w:val="1"/>
    <w:qFormat/>
    <w:uiPriority w:val="99"/>
    <w:pPr>
      <w:jc w:val="center"/>
    </w:pPr>
    <w:rPr>
      <w:rFonts w:ascii="宋体" w:hAnsi="Times New Roman" w:eastAsia="宋体" w:cs="Times New Roman"/>
      <w:b/>
      <w:spacing w:val="20"/>
      <w:w w:val="135"/>
      <w:sz w:val="36"/>
      <w:lang w:val="en-US" w:eastAsia="zh-CN" w:bidi="ar-SA"/>
    </w:rPr>
  </w:style>
  <w:style w:type="paragraph" w:customStyle="1" w:styleId="46">
    <w:name w:val="文献分类号"/>
    <w:qFormat/>
    <w:uiPriority w:val="99"/>
    <w:pPr>
      <w:widowControl w:val="0"/>
      <w:textAlignment w:val="center"/>
    </w:pPr>
    <w:rPr>
      <w:rFonts w:ascii="Times New Roman" w:hAnsi="Times New Roman" w:eastAsia="黑体" w:cs="Times New Roman"/>
      <w:sz w:val="21"/>
      <w:lang w:val="en-US" w:eastAsia="zh-CN" w:bidi="ar-SA"/>
    </w:rPr>
  </w:style>
  <w:style w:type="paragraph" w:customStyle="1" w:styleId="47">
    <w:name w:val="标准书眉_偶数页"/>
    <w:basedOn w:val="28"/>
    <w:next w:val="1"/>
    <w:qFormat/>
    <w:uiPriority w:val="99"/>
    <w:pPr>
      <w:spacing w:after="120"/>
      <w:jc w:val="left"/>
    </w:pPr>
    <w:rPr>
      <w:rFonts w:ascii="Times New Roman" w:eastAsia="宋体"/>
      <w:szCs w:val="20"/>
    </w:rPr>
  </w:style>
  <w:style w:type="character" w:customStyle="1" w:styleId="48">
    <w:name w:val="页脚 字符"/>
    <w:link w:val="11"/>
    <w:qFormat/>
    <w:uiPriority w:val="99"/>
    <w:rPr>
      <w:rFonts w:ascii="Times New Roman" w:hAnsi="Times New Roman" w:eastAsia="宋体" w:cs="Times New Roman"/>
      <w:sz w:val="18"/>
      <w:szCs w:val="20"/>
    </w:rPr>
  </w:style>
  <w:style w:type="paragraph" w:customStyle="1" w:styleId="49">
    <w:name w:val="封面标准文稿编辑信息"/>
    <w:qFormat/>
    <w:uiPriority w:val="99"/>
    <w:pPr>
      <w:spacing w:before="180" w:line="180" w:lineRule="exact"/>
      <w:jc w:val="center"/>
    </w:pPr>
    <w:rPr>
      <w:rFonts w:ascii="宋体" w:hAnsi="Times New Roman" w:eastAsia="宋体" w:cs="Times New Roman"/>
      <w:sz w:val="21"/>
      <w:lang w:val="en-US" w:eastAsia="zh-CN" w:bidi="ar-SA"/>
    </w:rPr>
  </w:style>
  <w:style w:type="paragraph" w:customStyle="1" w:styleId="50">
    <w:name w:val="封面正文"/>
    <w:qFormat/>
    <w:uiPriority w:val="99"/>
    <w:pPr>
      <w:jc w:val="both"/>
    </w:pPr>
    <w:rPr>
      <w:rFonts w:ascii="Times New Roman" w:hAnsi="Times New Roman" w:eastAsia="宋体" w:cs="Times New Roman"/>
      <w:lang w:val="en-US" w:eastAsia="zh-CN" w:bidi="ar-SA"/>
    </w:rPr>
  </w:style>
  <w:style w:type="paragraph" w:customStyle="1" w:styleId="51">
    <w:name w:val="标准书脚_偶数页"/>
    <w:qFormat/>
    <w:uiPriority w:val="99"/>
    <w:pPr>
      <w:spacing w:before="120"/>
    </w:pPr>
    <w:rPr>
      <w:rFonts w:ascii="Times New Roman" w:hAnsi="Times New Roman" w:eastAsia="宋体" w:cs="Times New Roman"/>
      <w:sz w:val="18"/>
      <w:lang w:val="en-US" w:eastAsia="zh-CN" w:bidi="ar-SA"/>
    </w:rPr>
  </w:style>
  <w:style w:type="paragraph" w:customStyle="1" w:styleId="52">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3">
    <w:name w:val="标准书眉一"/>
    <w:qFormat/>
    <w:uiPriority w:val="99"/>
    <w:pPr>
      <w:jc w:val="both"/>
    </w:pPr>
    <w:rPr>
      <w:rFonts w:ascii="Times New Roman" w:hAnsi="Times New Roman" w:eastAsia="宋体" w:cs="Times New Roman"/>
      <w:lang w:val="en-US" w:eastAsia="zh-CN" w:bidi="ar-SA"/>
    </w:rPr>
  </w:style>
  <w:style w:type="paragraph" w:customStyle="1" w:styleId="54">
    <w:name w:val="附录标识"/>
    <w:basedOn w:val="1"/>
    <w:next w:val="24"/>
    <w:qFormat/>
    <w:uiPriority w:val="0"/>
    <w:pPr>
      <w:keepNext/>
      <w:widowControl/>
      <w:numPr>
        <w:ilvl w:val="0"/>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55">
    <w:name w:val="附录二级条标题"/>
    <w:basedOn w:val="1"/>
    <w:next w:val="24"/>
    <w:qFormat/>
    <w:uiPriority w:val="0"/>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56">
    <w:name w:val="附录三级条标题"/>
    <w:basedOn w:val="55"/>
    <w:next w:val="24"/>
    <w:qFormat/>
    <w:uiPriority w:val="0"/>
    <w:pPr>
      <w:numPr>
        <w:ilvl w:val="4"/>
      </w:numPr>
      <w:outlineLvl w:val="4"/>
    </w:pPr>
  </w:style>
  <w:style w:type="paragraph" w:customStyle="1" w:styleId="57">
    <w:name w:val="附录四级条标题"/>
    <w:basedOn w:val="56"/>
    <w:next w:val="24"/>
    <w:qFormat/>
    <w:uiPriority w:val="0"/>
    <w:pPr>
      <w:numPr>
        <w:ilvl w:val="5"/>
      </w:numPr>
      <w:outlineLvl w:val="5"/>
    </w:pPr>
  </w:style>
  <w:style w:type="paragraph" w:customStyle="1" w:styleId="58">
    <w:name w:val="附录五级条标题"/>
    <w:basedOn w:val="57"/>
    <w:next w:val="24"/>
    <w:qFormat/>
    <w:uiPriority w:val="0"/>
    <w:pPr>
      <w:numPr>
        <w:ilvl w:val="6"/>
      </w:numPr>
      <w:outlineLvl w:val="6"/>
    </w:pPr>
  </w:style>
  <w:style w:type="paragraph" w:customStyle="1" w:styleId="59">
    <w:name w:val="附录章标题"/>
    <w:next w:val="24"/>
    <w:qFormat/>
    <w:uiPriority w:val="0"/>
    <w:pPr>
      <w:numPr>
        <w:ilvl w:val="1"/>
        <w:numId w:val="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0">
    <w:name w:val="附录一级条标题"/>
    <w:basedOn w:val="59"/>
    <w:next w:val="24"/>
    <w:qFormat/>
    <w:uiPriority w:val="0"/>
    <w:pPr>
      <w:numPr>
        <w:ilvl w:val="2"/>
      </w:numPr>
      <w:autoSpaceDN w:val="0"/>
      <w:spacing w:beforeLines="50" w:afterLines="50"/>
      <w:outlineLvl w:val="2"/>
    </w:pPr>
  </w:style>
  <w:style w:type="character" w:customStyle="1" w:styleId="61">
    <w:name w:val="标题 2 字符"/>
    <w:link w:val="3"/>
    <w:qFormat/>
    <w:uiPriority w:val="9"/>
    <w:rPr>
      <w:rFonts w:ascii="Cambria" w:hAnsi="Cambria" w:eastAsia="黑体"/>
      <w:bCs/>
      <w:kern w:val="2"/>
      <w:sz w:val="24"/>
      <w:szCs w:val="32"/>
    </w:rPr>
  </w:style>
  <w:style w:type="character" w:customStyle="1" w:styleId="62">
    <w:name w:val="标题 1 字符"/>
    <w:link w:val="2"/>
    <w:qFormat/>
    <w:uiPriority w:val="0"/>
    <w:rPr>
      <w:rFonts w:ascii="Times New Roman" w:hAnsi="Times New Roman" w:eastAsia="黑体"/>
      <w:bCs/>
      <w:kern w:val="44"/>
      <w:sz w:val="28"/>
      <w:szCs w:val="44"/>
    </w:rPr>
  </w:style>
  <w:style w:type="character" w:customStyle="1" w:styleId="63">
    <w:name w:val="标题 3 字符"/>
    <w:link w:val="4"/>
    <w:qFormat/>
    <w:uiPriority w:val="9"/>
    <w:rPr>
      <w:rFonts w:ascii="Times New Roman" w:hAnsi="Times New Roman" w:eastAsia="黑体"/>
      <w:bCs/>
      <w:kern w:val="2"/>
      <w:sz w:val="21"/>
      <w:szCs w:val="32"/>
    </w:rPr>
  </w:style>
  <w:style w:type="character" w:customStyle="1" w:styleId="64">
    <w:name w:val="标题 4 字符"/>
    <w:link w:val="5"/>
    <w:qFormat/>
    <w:uiPriority w:val="9"/>
    <w:rPr>
      <w:rFonts w:ascii="Cambria" w:hAnsi="Cambria" w:eastAsia="黑体" w:cs="Times New Roman"/>
      <w:bCs/>
      <w:kern w:val="2"/>
      <w:sz w:val="21"/>
      <w:szCs w:val="28"/>
    </w:rPr>
  </w:style>
  <w:style w:type="character" w:customStyle="1" w:styleId="65">
    <w:name w:val="页眉 字符"/>
    <w:basedOn w:val="19"/>
    <w:link w:val="12"/>
    <w:qFormat/>
    <w:uiPriority w:val="99"/>
    <w:rPr>
      <w:rFonts w:ascii="Times New Roman" w:hAnsi="Times New Roman"/>
      <w:kern w:val="2"/>
      <w:sz w:val="18"/>
      <w:szCs w:val="18"/>
    </w:rPr>
  </w:style>
  <w:style w:type="character" w:customStyle="1" w:styleId="66">
    <w:name w:val="批注文字 字符"/>
    <w:basedOn w:val="19"/>
    <w:link w:val="8"/>
    <w:semiHidden/>
    <w:qFormat/>
    <w:uiPriority w:val="99"/>
    <w:rPr>
      <w:rFonts w:ascii="Times New Roman" w:hAnsi="Times New Roman"/>
      <w:kern w:val="2"/>
      <w:sz w:val="21"/>
      <w:szCs w:val="24"/>
    </w:rPr>
  </w:style>
  <w:style w:type="character" w:customStyle="1" w:styleId="67">
    <w:name w:val="批注主题 字符"/>
    <w:basedOn w:val="66"/>
    <w:link w:val="16"/>
    <w:semiHidden/>
    <w:qFormat/>
    <w:uiPriority w:val="99"/>
    <w:rPr>
      <w:rFonts w:ascii="Times New Roman" w:hAnsi="Times New Roman"/>
      <w:b/>
      <w:bCs/>
      <w:kern w:val="2"/>
      <w:sz w:val="21"/>
      <w:szCs w:val="24"/>
    </w:rPr>
  </w:style>
  <w:style w:type="paragraph" w:customStyle="1" w:styleId="68">
    <w:name w:val="图表"/>
    <w:basedOn w:val="1"/>
    <w:qFormat/>
    <w:uiPriority w:val="99"/>
    <w:pPr>
      <w:ind w:firstLine="0" w:firstLineChars="0"/>
      <w:jc w:val="center"/>
    </w:pPr>
    <w:rPr>
      <w:rFonts w:eastAsia="黑体"/>
      <w:sz w:val="21"/>
      <w:szCs w:val="22"/>
    </w:rPr>
  </w:style>
  <w:style w:type="paragraph" w:customStyle="1" w:styleId="69">
    <w:name w:val="封面一致性程度标识"/>
    <w:basedOn w:val="42"/>
    <w:qFormat/>
    <w:uiPriority w:val="99"/>
    <w:pPr>
      <w:spacing w:before="440"/>
      <w:textAlignment w:val="center"/>
    </w:pPr>
    <w:rPr>
      <w:rFonts w:ascii="宋体"/>
      <w:szCs w:val="28"/>
    </w:rPr>
  </w:style>
  <w:style w:type="paragraph" w:customStyle="1" w:styleId="70">
    <w:name w:val="WPSOffice手动目录 1"/>
    <w:qFormat/>
    <w:uiPriority w:val="0"/>
    <w:rPr>
      <w:rFonts w:ascii="Times New Roman" w:hAnsi="Times New Roman" w:eastAsia="宋体" w:cs="Times New Roman"/>
      <w:lang w:val="en-US" w:eastAsia="zh-CN" w:bidi="ar-SA"/>
    </w:rPr>
  </w:style>
  <w:style w:type="character" w:customStyle="1" w:styleId="71">
    <w:name w:val="文档结构图 字符"/>
    <w:basedOn w:val="19"/>
    <w:link w:val="7"/>
    <w:semiHidden/>
    <w:qFormat/>
    <w:uiPriority w:val="99"/>
    <w:rPr>
      <w:rFonts w:ascii="宋体" w:hAnsi="Times New Roman"/>
      <w:kern w:val="2"/>
      <w:sz w:val="18"/>
      <w:szCs w:val="18"/>
    </w:rPr>
  </w:style>
  <w:style w:type="paragraph" w:customStyle="1" w:styleId="7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b/>
      <w:color w:val="2E75B5" w:themeColor="accent1" w:themeShade="BF"/>
      <w:kern w:val="0"/>
      <w:szCs w:val="28"/>
    </w:rPr>
  </w:style>
  <w:style w:type="paragraph" w:customStyle="1" w:styleId="73">
    <w:name w:val="Body text|1"/>
    <w:basedOn w:val="1"/>
    <w:qFormat/>
    <w:uiPriority w:val="0"/>
    <w:pPr>
      <w:spacing w:line="331" w:lineRule="auto"/>
    </w:pPr>
    <w:rPr>
      <w:rFonts w:ascii="宋体" w:hAnsi="宋体" w:cs="宋体"/>
      <w:sz w:val="20"/>
      <w:szCs w:val="20"/>
      <w:lang w:val="zh-TW" w:eastAsia="zh-TW" w:bidi="zh-TW"/>
    </w:rPr>
  </w:style>
  <w:style w:type="paragraph" w:customStyle="1" w:styleId="74">
    <w:name w:val="Header or footer|2"/>
    <w:basedOn w:val="1"/>
    <w:qFormat/>
    <w:uiPriority w:val="0"/>
    <w:rPr>
      <w:sz w:val="20"/>
      <w:szCs w:val="20"/>
    </w:rPr>
  </w:style>
  <w:style w:type="paragraph" w:customStyle="1" w:styleId="75">
    <w:name w:val="Header or footer|1"/>
    <w:basedOn w:val="1"/>
    <w:qFormat/>
    <w:uiPriority w:val="0"/>
    <w:rPr>
      <w:sz w:val="17"/>
      <w:szCs w:val="17"/>
      <w:lang w:val="zh-TW" w:eastAsia="zh-TW" w:bidi="zh-TW"/>
    </w:rPr>
  </w:style>
  <w:style w:type="paragraph" w:customStyle="1" w:styleId="76">
    <w:name w:val="Other|1"/>
    <w:basedOn w:val="1"/>
    <w:qFormat/>
    <w:uiPriority w:val="0"/>
    <w:pPr>
      <w:spacing w:after="30" w:line="326" w:lineRule="auto"/>
    </w:pPr>
    <w:rPr>
      <w:rFonts w:ascii="宋体" w:hAnsi="宋体" w:cs="宋体"/>
      <w:sz w:val="17"/>
      <w:szCs w:val="17"/>
    </w:rPr>
  </w:style>
  <w:style w:type="paragraph" w:customStyle="1" w:styleId="7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character" w:customStyle="1" w:styleId="78">
    <w:name w:val="15"/>
    <w:qFormat/>
    <w:uiPriority w:val="0"/>
    <w:rPr>
      <w:rFonts w:hint="eastAsia" w:ascii="黑体" w:hAnsi="黑体" w:eastAsia="黑体"/>
      <w:spacing w:val="85"/>
      <w:position w:val="3"/>
      <w:sz w:val="28"/>
      <w:szCs w:val="28"/>
    </w:rPr>
  </w:style>
  <w:style w:type="paragraph" w:styleId="79">
    <w:name w:val="List Paragraph"/>
    <w:basedOn w:val="1"/>
    <w:unhideWhenUsed/>
    <w:qFormat/>
    <w:uiPriority w:val="99"/>
    <w:pPr>
      <w:ind w:firstLine="420"/>
    </w:pPr>
  </w:style>
  <w:style w:type="paragraph" w:customStyle="1" w:styleId="80">
    <w:name w:val="Body text|2"/>
    <w:basedOn w:val="1"/>
    <w:qFormat/>
    <w:uiPriority w:val="0"/>
    <w:pPr>
      <w:spacing w:after="60"/>
    </w:pPr>
    <w:rPr>
      <w:sz w:val="18"/>
      <w:szCs w:val="18"/>
    </w:rPr>
  </w:style>
  <w:style w:type="paragraph" w:customStyle="1" w:styleId="81">
    <w:name w:val="封面标准号2"/>
    <w:qFormat/>
    <w:uiPriority w:val="99"/>
    <w:pPr>
      <w:spacing w:before="357" w:line="280" w:lineRule="exact"/>
      <w:jc w:val="right"/>
    </w:pPr>
    <w:rPr>
      <w:rFonts w:ascii="黑体" w:hAnsi="Times New Roman" w:eastAsia="黑体" w:cs="黑体"/>
      <w:sz w:val="28"/>
      <w:szCs w:val="28"/>
      <w:lang w:val="en-US" w:eastAsia="zh-CN" w:bidi="ar-SA"/>
    </w:rPr>
  </w:style>
  <w:style w:type="paragraph" w:customStyle="1" w:styleId="82">
    <w:name w:val="其他标准标志"/>
    <w:basedOn w:val="1"/>
    <w:qFormat/>
    <w:uiPriority w:val="99"/>
    <w:pPr>
      <w:widowControl/>
      <w:shd w:val="solid" w:color="FFFFFF" w:fill="FFFFFF"/>
      <w:spacing w:line="240" w:lineRule="atLeast"/>
      <w:jc w:val="right"/>
    </w:pPr>
    <w:rPr>
      <w:b/>
      <w:bCs/>
      <w:w w:val="130"/>
      <w:kern w:val="0"/>
      <w:sz w:val="96"/>
      <w:szCs w:val="96"/>
    </w:rPr>
  </w:style>
  <w:style w:type="paragraph" w:customStyle="1" w:styleId="83">
    <w:name w:val="其他标准称谓"/>
    <w:next w:val="1"/>
    <w:qFormat/>
    <w:uiPriority w:val="99"/>
    <w:pPr>
      <w:spacing w:line="240" w:lineRule="atLeast"/>
      <w:jc w:val="distribute"/>
    </w:pPr>
    <w:rPr>
      <w:rFonts w:ascii="黑体" w:hAnsi="宋体" w:eastAsia="黑体" w:cs="黑体"/>
      <w:spacing w:val="-40"/>
      <w:sz w:val="48"/>
      <w:szCs w:val="48"/>
      <w:lang w:val="en-US" w:eastAsia="zh-CN" w:bidi="ar-SA"/>
    </w:rPr>
  </w:style>
  <w:style w:type="paragraph" w:customStyle="1" w:styleId="84">
    <w:name w:val="封面标准代替信息"/>
    <w:qFormat/>
    <w:uiPriority w:val="99"/>
    <w:pPr>
      <w:spacing w:before="57" w:line="280" w:lineRule="exact"/>
      <w:jc w:val="right"/>
    </w:pPr>
    <w:rPr>
      <w:rFonts w:ascii="宋体" w:hAnsi="Times New Roman" w:eastAsia="宋体" w:cs="宋体"/>
      <w:sz w:val="21"/>
      <w:szCs w:val="21"/>
      <w:lang w:val="en-US" w:eastAsia="zh-CN" w:bidi="ar-SA"/>
    </w:rPr>
  </w:style>
  <w:style w:type="paragraph" w:customStyle="1" w:styleId="85">
    <w:name w:val="其他发布日期"/>
    <w:basedOn w:val="1"/>
    <w:qFormat/>
    <w:uiPriority w:val="99"/>
    <w:pPr>
      <w:widowControl/>
      <w:jc w:val="left"/>
    </w:pPr>
    <w:rPr>
      <w:rFonts w:eastAsia="黑体"/>
      <w:kern w:val="0"/>
      <w:sz w:val="28"/>
      <w:szCs w:val="28"/>
    </w:rPr>
  </w:style>
  <w:style w:type="paragraph" w:customStyle="1" w:styleId="86">
    <w:name w:val="其他实施日期"/>
    <w:basedOn w:val="1"/>
    <w:qFormat/>
    <w:uiPriority w:val="99"/>
    <w:pPr>
      <w:widowControl/>
      <w:jc w:val="right"/>
    </w:pPr>
    <w:rPr>
      <w:rFonts w:eastAsia="黑体"/>
      <w:kern w:val="0"/>
      <w:sz w:val="28"/>
      <w:szCs w:val="28"/>
    </w:rPr>
  </w:style>
  <w:style w:type="character" w:customStyle="1" w:styleId="87">
    <w:name w:val="发布"/>
    <w:qFormat/>
    <w:uiPriority w:val="99"/>
    <w:rPr>
      <w:rFonts w:ascii="黑体" w:eastAsia="黑体"/>
      <w:spacing w:val="85"/>
      <w:w w:val="100"/>
      <w:position w:val="3"/>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Info spid="_x0000_s2050"/>
    <customShpInfo spid="_x0000_s2049"/>
    <customShpInfo spid="_x0000_s1026"/>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8</Pages>
  <Words>727</Words>
  <Characters>4148</Characters>
  <Lines>34</Lines>
  <Paragraphs>9</Paragraphs>
  <TotalTime>221</TotalTime>
  <ScaleCrop>false</ScaleCrop>
  <LinksUpToDate>false</LinksUpToDate>
  <CharactersWithSpaces>4866</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2021-11-14T09:53:00Z</dcterms:created>
  <dc:creator>Administrator</dc:creator>
  <cp:lastModifiedBy>刘玉</cp:lastModifiedBy>
  <cp:lastPrinted>2021-01-27T14:56:00Z</cp:lastPrinted>
  <dcterms:modified xsi:type="dcterms:W3CDTF">2023-08-07T15:55:38Z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EAB830ACD36C4F929A2E3BA163DCE30F</vt:lpwstr>
  </property>
</Properties>
</file>