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72"/>
          <w:szCs w:val="72"/>
        </w:rPr>
      </w:pPr>
      <w:bookmarkStart w:id="1" w:name="_GoBack"/>
      <w:bookmarkEnd w:id="1"/>
      <w:r>
        <w:rPr>
          <w:rFonts w:hint="eastAsia"/>
          <w:b/>
          <w:bCs/>
          <w:sz w:val="72"/>
          <w:szCs w:val="72"/>
        </w:rPr>
        <w:t xml:space="preserve">               </w:t>
      </w:r>
    </w:p>
    <w:p>
      <w:pPr>
        <w:jc w:val="center"/>
        <w:rPr>
          <w:b/>
          <w:bCs/>
          <w:sz w:val="72"/>
          <w:szCs w:val="72"/>
        </w:rPr>
      </w:pPr>
      <w:r>
        <w:rPr>
          <w:rFonts w:hint="eastAsia"/>
          <w:b/>
          <w:bCs/>
          <w:sz w:val="72"/>
          <w:szCs w:val="72"/>
        </w:rPr>
        <w:t xml:space="preserve">              DB13</w:t>
      </w:r>
    </w:p>
    <w:p>
      <w:pPr>
        <w:ind w:firstLine="641" w:firstLineChars="100"/>
        <w:rPr>
          <w:b/>
          <w:bCs/>
          <w:spacing w:val="160"/>
          <w:sz w:val="32"/>
          <w:szCs w:val="32"/>
        </w:rPr>
      </w:pPr>
    </w:p>
    <w:p>
      <w:pPr>
        <w:ind w:firstLine="641" w:firstLineChars="100"/>
        <w:rPr>
          <w:b/>
          <w:bCs/>
          <w:spacing w:val="160"/>
          <w:sz w:val="32"/>
          <w:szCs w:val="32"/>
        </w:rPr>
      </w:pPr>
      <w:r>
        <w:rPr>
          <w:rFonts w:hint="eastAsia"/>
          <w:b/>
          <w:bCs/>
          <w:spacing w:val="160"/>
          <w:sz w:val="32"/>
          <w:szCs w:val="32"/>
        </w:rPr>
        <w:t>河 北 省 地 方 标 准</w:t>
      </w:r>
    </w:p>
    <w:p>
      <w:pPr>
        <w:jc w:val="center"/>
        <w:rPr>
          <w:b/>
          <w:bCs/>
          <w:sz w:val="36"/>
          <w:szCs w:val="36"/>
        </w:rPr>
      </w:pPr>
    </w:p>
    <w:p>
      <w:pPr>
        <w:jc w:val="center"/>
        <w:rPr>
          <w:b/>
          <w:bCs/>
          <w:sz w:val="36"/>
          <w:szCs w:val="36"/>
        </w:rPr>
      </w:pPr>
    </w:p>
    <w:p>
      <w:pPr>
        <w:jc w:val="center"/>
        <w:rPr>
          <w:b/>
          <w:bCs/>
          <w:sz w:val="36"/>
          <w:szCs w:val="36"/>
        </w:rPr>
      </w:pPr>
    </w:p>
    <w:p>
      <w:pPr>
        <w:jc w:val="center"/>
        <w:rPr>
          <w:b/>
          <w:bCs/>
          <w:spacing w:val="30"/>
          <w:sz w:val="48"/>
          <w:szCs w:val="48"/>
        </w:rPr>
      </w:pPr>
    </w:p>
    <w:p>
      <w:pPr>
        <w:jc w:val="center"/>
        <w:rPr>
          <w:b/>
          <w:bCs/>
          <w:spacing w:val="30"/>
          <w:sz w:val="44"/>
          <w:szCs w:val="44"/>
        </w:rPr>
      </w:pPr>
      <w:r>
        <w:rPr>
          <w:rFonts w:hint="eastAsia"/>
          <w:b/>
          <w:bCs/>
          <w:spacing w:val="30"/>
          <w:sz w:val="44"/>
          <w:szCs w:val="44"/>
        </w:rPr>
        <w:t>展览展示工程企业评价规范</w:t>
      </w:r>
    </w:p>
    <w:p>
      <w:pPr>
        <w:ind w:firstLine="600" w:firstLineChars="200"/>
        <w:rPr>
          <w:spacing w:val="30"/>
          <w:sz w:val="24"/>
          <w:szCs w:val="24"/>
        </w:rPr>
      </w:pPr>
      <w:r>
        <w:rPr>
          <w:rFonts w:hint="eastAsia"/>
          <w:spacing w:val="30"/>
          <w:sz w:val="24"/>
          <w:szCs w:val="24"/>
        </w:rPr>
        <w:t xml:space="preserve">Rating Standard For Exhibition Engineering Enteprises </w:t>
      </w:r>
    </w:p>
    <w:p>
      <w:pPr>
        <w:jc w:val="center"/>
        <w:rPr>
          <w:b/>
          <w:bCs/>
          <w:sz w:val="24"/>
          <w:szCs w:val="24"/>
        </w:rPr>
      </w:pPr>
    </w:p>
    <w:p>
      <w:pPr>
        <w:jc w:val="center"/>
        <w:rPr>
          <w:b/>
          <w:bCs/>
          <w:sz w:val="24"/>
          <w:szCs w:val="24"/>
        </w:rPr>
      </w:pPr>
      <w:r>
        <w:rPr>
          <w:rFonts w:hint="eastAsia"/>
          <w:b/>
          <w:bCs/>
          <w:sz w:val="24"/>
          <w:szCs w:val="24"/>
        </w:rPr>
        <w:t xml:space="preserve"> </w:t>
      </w:r>
    </w:p>
    <w:p>
      <w:pPr>
        <w:jc w:val="center"/>
        <w:rPr>
          <w:b/>
          <w:bCs/>
          <w:sz w:val="36"/>
          <w:szCs w:val="36"/>
        </w:rPr>
      </w:pPr>
    </w:p>
    <w:p>
      <w:pPr>
        <w:jc w:val="center"/>
        <w:rPr>
          <w:b/>
          <w:bCs/>
          <w:sz w:val="36"/>
          <w:szCs w:val="36"/>
        </w:rPr>
      </w:pPr>
    </w:p>
    <w:p>
      <w:pPr>
        <w:jc w:val="center"/>
        <w:rPr>
          <w:b/>
          <w:bCs/>
          <w:sz w:val="36"/>
          <w:szCs w:val="36"/>
        </w:rPr>
      </w:pPr>
    </w:p>
    <w:p>
      <w:pPr>
        <w:jc w:val="center"/>
        <w:rPr>
          <w:b/>
          <w:bCs/>
          <w:sz w:val="36"/>
          <w:szCs w:val="36"/>
        </w:rPr>
      </w:pPr>
    </w:p>
    <w:p>
      <w:pPr>
        <w:jc w:val="center"/>
        <w:rPr>
          <w:b/>
          <w:bCs/>
          <w:sz w:val="36"/>
          <w:szCs w:val="36"/>
        </w:rPr>
      </w:pPr>
    </w:p>
    <w:p>
      <w:pPr>
        <w:jc w:val="left"/>
        <w:rPr>
          <w:sz w:val="28"/>
          <w:szCs w:val="28"/>
        </w:rPr>
      </w:pPr>
    </w:p>
    <w:p>
      <w:pPr>
        <w:jc w:val="left"/>
        <w:rPr>
          <w:sz w:val="28"/>
          <w:szCs w:val="28"/>
        </w:rPr>
      </w:pPr>
    </w:p>
    <w:p>
      <w:pPr>
        <w:jc w:val="left"/>
        <w:rPr>
          <w:sz w:val="28"/>
          <w:szCs w:val="28"/>
        </w:rPr>
      </w:pPr>
    </w:p>
    <w:p>
      <w:pPr>
        <w:jc w:val="left"/>
        <w:rPr>
          <w:sz w:val="24"/>
          <w:szCs w:val="24"/>
        </w:rPr>
      </w:pPr>
    </w:p>
    <w:p>
      <w:pPr>
        <w:jc w:val="left"/>
        <w:rPr>
          <w:sz w:val="24"/>
          <w:szCs w:val="24"/>
        </w:rPr>
      </w:pPr>
      <w:r>
        <w:rPr>
          <w:rFonts w:hint="eastAsia"/>
          <w:sz w:val="24"/>
          <w:szCs w:val="24"/>
        </w:rPr>
        <w:t>2</w:t>
      </w:r>
      <w:r>
        <w:rPr>
          <w:sz w:val="24"/>
          <w:szCs w:val="24"/>
        </w:rPr>
        <w:t>023</w:t>
      </w:r>
      <w:r>
        <w:rPr>
          <w:rFonts w:hint="eastAsia"/>
          <w:sz w:val="24"/>
          <w:szCs w:val="24"/>
        </w:rPr>
        <w:t>-XX</w:t>
      </w:r>
      <w:r>
        <w:rPr>
          <w:sz w:val="24"/>
          <w:szCs w:val="24"/>
        </w:rPr>
        <w:t>-XX</w:t>
      </w:r>
      <w:r>
        <w:rPr>
          <w:rFonts w:hint="eastAsia"/>
          <w:sz w:val="24"/>
          <w:szCs w:val="24"/>
        </w:rPr>
        <w:t xml:space="preserve">发布 </w:t>
      </w:r>
      <w:r>
        <w:rPr>
          <w:sz w:val="24"/>
          <w:szCs w:val="24"/>
        </w:rPr>
        <w:t xml:space="preserve">                          </w:t>
      </w:r>
      <w:r>
        <w:rPr>
          <w:rFonts w:hint="eastAsia"/>
          <w:sz w:val="24"/>
          <w:szCs w:val="24"/>
        </w:rPr>
        <w:t xml:space="preserve">    </w:t>
      </w:r>
      <w:r>
        <w:rPr>
          <w:sz w:val="24"/>
          <w:szCs w:val="24"/>
        </w:rPr>
        <w:t xml:space="preserve"> 202</w:t>
      </w:r>
      <w:r>
        <w:rPr>
          <w:rFonts w:hint="eastAsia"/>
          <w:sz w:val="24"/>
          <w:szCs w:val="24"/>
        </w:rPr>
        <w:t>3-XX-XX实施</w:t>
      </w:r>
    </w:p>
    <w:p>
      <w:pPr>
        <w:jc w:val="left"/>
        <w:rPr>
          <w:b/>
          <w:bCs/>
          <w:sz w:val="36"/>
          <w:szCs w:val="36"/>
        </w:rPr>
      </w:pPr>
    </w:p>
    <w:p>
      <w:pPr>
        <w:jc w:val="center"/>
        <w:rPr>
          <w:b/>
          <w:bCs/>
          <w:sz w:val="36"/>
          <w:szCs w:val="36"/>
        </w:rPr>
      </w:pPr>
      <w:r>
        <w:rPr>
          <w:rFonts w:hint="eastAsia"/>
          <w:b/>
          <w:bCs/>
          <w:sz w:val="24"/>
          <w:szCs w:val="24"/>
        </w:rPr>
        <w:t xml:space="preserve">河北省市场监督管理局 </w:t>
      </w:r>
      <w:r>
        <w:rPr>
          <w:b/>
          <w:bCs/>
          <w:sz w:val="24"/>
          <w:szCs w:val="24"/>
        </w:rPr>
        <w:t xml:space="preserve">   </w:t>
      </w:r>
      <w:r>
        <w:rPr>
          <w:rFonts w:hint="eastAsia"/>
          <w:b/>
          <w:bCs/>
          <w:sz w:val="24"/>
          <w:szCs w:val="24"/>
        </w:rPr>
        <w:t>发布</w:t>
      </w:r>
    </w:p>
    <w:p>
      <w:pPr>
        <w:widowControl/>
        <w:jc w:val="left"/>
        <w:rPr>
          <w:b/>
          <w:bCs/>
          <w:sz w:val="36"/>
          <w:szCs w:val="36"/>
        </w:rPr>
      </w:pPr>
      <w:r>
        <w:rPr>
          <w:b/>
          <w:bCs/>
          <w:sz w:val="36"/>
          <w:szCs w:val="36"/>
        </w:rPr>
        <w:br w:type="page"/>
      </w:r>
    </w:p>
    <w:p>
      <w:pPr>
        <w:widowControl/>
        <w:jc w:val="right"/>
        <w:rPr>
          <w:sz w:val="28"/>
          <w:szCs w:val="28"/>
        </w:rPr>
      </w:pPr>
    </w:p>
    <w:p>
      <w:pPr>
        <w:widowControl/>
        <w:spacing w:before="312" w:beforeLines="100" w:after="312" w:afterLines="100"/>
        <w:jc w:val="center"/>
        <w:rPr>
          <w:b/>
          <w:bCs/>
          <w:sz w:val="36"/>
          <w:szCs w:val="36"/>
        </w:rPr>
      </w:pPr>
      <w:r>
        <w:rPr>
          <w:rFonts w:hint="eastAsia"/>
          <w:b/>
          <w:bCs/>
          <w:sz w:val="36"/>
          <w:szCs w:val="36"/>
        </w:rPr>
        <w:t xml:space="preserve">前 </w:t>
      </w:r>
      <w:r>
        <w:rPr>
          <w:b/>
          <w:bCs/>
          <w:sz w:val="36"/>
          <w:szCs w:val="36"/>
        </w:rPr>
        <w:t xml:space="preserve">   </w:t>
      </w:r>
      <w:r>
        <w:rPr>
          <w:rFonts w:hint="eastAsia"/>
          <w:b/>
          <w:bCs/>
          <w:sz w:val="36"/>
          <w:szCs w:val="36"/>
        </w:rPr>
        <w:t>言</w:t>
      </w:r>
    </w:p>
    <w:p>
      <w:pPr>
        <w:widowControl/>
        <w:ind w:firstLine="480" w:firstLineChars="200"/>
        <w:jc w:val="left"/>
        <w:rPr>
          <w:sz w:val="24"/>
          <w:szCs w:val="24"/>
        </w:rPr>
      </w:pPr>
      <w:r>
        <w:rPr>
          <w:rFonts w:hint="eastAsia"/>
          <w:sz w:val="24"/>
          <w:szCs w:val="24"/>
        </w:rPr>
        <w:t>本文件按照GB/</w:t>
      </w:r>
      <w:r>
        <w:rPr>
          <w:sz w:val="24"/>
          <w:szCs w:val="24"/>
        </w:rPr>
        <w:t xml:space="preserve">T </w:t>
      </w:r>
      <w:r>
        <w:rPr>
          <w:rFonts w:hint="eastAsia"/>
          <w:sz w:val="24"/>
          <w:szCs w:val="24"/>
        </w:rPr>
        <w:t>1.1--2020《标准化工作导则第1部分：标准化文件的结构和起草规则》的规定起草。</w:t>
      </w:r>
    </w:p>
    <w:p>
      <w:pPr>
        <w:widowControl/>
        <w:ind w:firstLine="480" w:firstLineChars="200"/>
        <w:jc w:val="left"/>
        <w:rPr>
          <w:sz w:val="24"/>
          <w:szCs w:val="24"/>
        </w:rPr>
      </w:pPr>
      <w:r>
        <w:rPr>
          <w:rFonts w:hint="eastAsia"/>
          <w:sz w:val="24"/>
          <w:szCs w:val="24"/>
        </w:rPr>
        <w:t>本文件由河北省商务厅提出，由河北省商务标准化技术委员会（HeB/TC28）归口。</w:t>
      </w:r>
    </w:p>
    <w:p>
      <w:pPr>
        <w:widowControl/>
        <w:ind w:firstLine="480" w:firstLineChars="200"/>
        <w:jc w:val="left"/>
        <w:rPr>
          <w:sz w:val="24"/>
          <w:szCs w:val="24"/>
        </w:rPr>
      </w:pPr>
      <w:r>
        <w:rPr>
          <w:rFonts w:hint="eastAsia"/>
          <w:sz w:val="24"/>
          <w:szCs w:val="24"/>
        </w:rPr>
        <w:t>本文件起草单位：河北省会展业协会、石家庄铁道大学、河北经贸大学、廊坊国际展览集团有限公司、河北汇桓天越会展服务有限公司、河北春秋文化传播有限公司。</w:t>
      </w:r>
    </w:p>
    <w:p>
      <w:pPr>
        <w:widowControl/>
        <w:jc w:val="left"/>
        <w:rPr>
          <w:sz w:val="28"/>
          <w:szCs w:val="28"/>
        </w:rPr>
      </w:pPr>
    </w:p>
    <w:p>
      <w:pPr>
        <w:widowControl/>
        <w:jc w:val="left"/>
        <w:rPr>
          <w:sz w:val="28"/>
          <w:szCs w:val="28"/>
        </w:rPr>
      </w:pPr>
    </w:p>
    <w:p>
      <w:pPr>
        <w:widowControl/>
        <w:jc w:val="left"/>
        <w:rPr>
          <w:sz w:val="28"/>
          <w:szCs w:val="28"/>
        </w:rPr>
      </w:pPr>
    </w:p>
    <w:p>
      <w:pPr>
        <w:widowControl/>
        <w:jc w:val="left"/>
        <w:rPr>
          <w:b/>
          <w:bCs/>
          <w:sz w:val="36"/>
          <w:szCs w:val="36"/>
        </w:rPr>
      </w:pPr>
    </w:p>
    <w:p>
      <w:pPr>
        <w:widowControl/>
        <w:jc w:val="left"/>
        <w:rPr>
          <w:b/>
          <w:bCs/>
          <w:sz w:val="36"/>
          <w:szCs w:val="36"/>
        </w:rPr>
      </w:pPr>
    </w:p>
    <w:p>
      <w:pPr>
        <w:widowControl/>
        <w:jc w:val="left"/>
        <w:rPr>
          <w:b/>
          <w:bCs/>
          <w:sz w:val="36"/>
          <w:szCs w:val="36"/>
        </w:rPr>
      </w:pPr>
    </w:p>
    <w:p>
      <w:pPr>
        <w:widowControl/>
        <w:jc w:val="left"/>
        <w:rPr>
          <w:b/>
          <w:bCs/>
          <w:sz w:val="36"/>
          <w:szCs w:val="36"/>
        </w:rPr>
      </w:pPr>
    </w:p>
    <w:p>
      <w:pPr>
        <w:widowControl/>
        <w:jc w:val="left"/>
        <w:rPr>
          <w:b/>
          <w:bCs/>
          <w:sz w:val="36"/>
          <w:szCs w:val="36"/>
        </w:rPr>
      </w:pPr>
      <w:r>
        <w:rPr>
          <w:b/>
          <w:bCs/>
          <w:sz w:val="36"/>
          <w:szCs w:val="36"/>
        </w:rPr>
        <w:br w:type="page"/>
      </w:r>
    </w:p>
    <w:p>
      <w:pPr>
        <w:widowControl/>
        <w:jc w:val="left"/>
        <w:rPr>
          <w:sz w:val="28"/>
          <w:szCs w:val="28"/>
        </w:rPr>
      </w:pPr>
    </w:p>
    <w:p>
      <w:pPr>
        <w:widowControl/>
        <w:spacing w:before="312" w:beforeLines="100" w:after="312" w:afterLines="100"/>
        <w:jc w:val="center"/>
        <w:rPr>
          <w:b/>
          <w:bCs/>
          <w:sz w:val="36"/>
          <w:szCs w:val="36"/>
        </w:rPr>
      </w:pPr>
      <w:r>
        <w:rPr>
          <w:rFonts w:hint="eastAsia"/>
          <w:b/>
          <w:bCs/>
          <w:sz w:val="36"/>
          <w:szCs w:val="36"/>
        </w:rPr>
        <w:t xml:space="preserve">引 </w:t>
      </w:r>
      <w:r>
        <w:rPr>
          <w:b/>
          <w:bCs/>
          <w:sz w:val="36"/>
          <w:szCs w:val="36"/>
        </w:rPr>
        <w:t xml:space="preserve">   </w:t>
      </w:r>
      <w:r>
        <w:rPr>
          <w:rFonts w:hint="eastAsia"/>
          <w:b/>
          <w:bCs/>
          <w:sz w:val="36"/>
          <w:szCs w:val="36"/>
        </w:rPr>
        <w:t>言</w:t>
      </w:r>
    </w:p>
    <w:p>
      <w:pPr>
        <w:widowControl/>
        <w:ind w:firstLine="480" w:firstLineChars="200"/>
        <w:jc w:val="left"/>
        <w:rPr>
          <w:sz w:val="24"/>
          <w:szCs w:val="24"/>
        </w:rPr>
      </w:pPr>
      <w:r>
        <w:rPr>
          <w:rFonts w:hint="eastAsia"/>
          <w:sz w:val="24"/>
          <w:szCs w:val="24"/>
        </w:rPr>
        <w:t>为进一步规范市场，提高展览展示工程的技术和施工水平，确保展览展示工程的质量和安全，推动行业高质量发展，特制定本规范。</w:t>
      </w:r>
    </w:p>
    <w:p>
      <w:pPr>
        <w:widowControl/>
        <w:ind w:firstLine="480" w:firstLineChars="200"/>
        <w:jc w:val="left"/>
        <w:rPr>
          <w:sz w:val="24"/>
          <w:szCs w:val="24"/>
        </w:rPr>
      </w:pPr>
      <w:r>
        <w:rPr>
          <w:rFonts w:hint="eastAsia"/>
          <w:sz w:val="24"/>
          <w:szCs w:val="24"/>
        </w:rPr>
        <w:t>展览展示工程企业评价规范，是对展览展示企业服务能力的综合评价，可作为展览主办方及参展企业选择承办者、协办者、承包商、服务商的重要依据。</w:t>
      </w:r>
    </w:p>
    <w:p>
      <w:pPr>
        <w:widowControl/>
        <w:jc w:val="left"/>
        <w:rPr>
          <w:b/>
          <w:bCs/>
          <w:sz w:val="36"/>
          <w:szCs w:val="36"/>
        </w:rPr>
      </w:pPr>
    </w:p>
    <w:p>
      <w:pPr>
        <w:widowControl/>
        <w:jc w:val="left"/>
        <w:rPr>
          <w:b/>
          <w:bCs/>
          <w:sz w:val="36"/>
          <w:szCs w:val="36"/>
        </w:rPr>
      </w:pPr>
    </w:p>
    <w:p>
      <w:pPr>
        <w:widowControl/>
        <w:jc w:val="left"/>
        <w:rPr>
          <w:b/>
          <w:bCs/>
          <w:sz w:val="36"/>
          <w:szCs w:val="36"/>
        </w:rPr>
      </w:pPr>
    </w:p>
    <w:p>
      <w:pPr>
        <w:widowControl/>
        <w:jc w:val="left"/>
        <w:rPr>
          <w:b/>
          <w:bCs/>
          <w:sz w:val="36"/>
          <w:szCs w:val="36"/>
        </w:rPr>
      </w:pPr>
    </w:p>
    <w:p>
      <w:pPr>
        <w:widowControl/>
        <w:jc w:val="left"/>
        <w:rPr>
          <w:b/>
          <w:bCs/>
          <w:sz w:val="36"/>
          <w:szCs w:val="36"/>
        </w:rPr>
      </w:pPr>
    </w:p>
    <w:p>
      <w:pPr>
        <w:widowControl/>
        <w:jc w:val="left"/>
        <w:rPr>
          <w:b/>
          <w:bCs/>
          <w:sz w:val="36"/>
          <w:szCs w:val="36"/>
        </w:rPr>
      </w:pPr>
    </w:p>
    <w:p>
      <w:pPr>
        <w:widowControl/>
        <w:jc w:val="left"/>
        <w:rPr>
          <w:b/>
          <w:bCs/>
          <w:sz w:val="36"/>
          <w:szCs w:val="36"/>
        </w:rPr>
      </w:pPr>
      <w:r>
        <w:rPr>
          <w:b/>
          <w:bCs/>
          <w:sz w:val="36"/>
          <w:szCs w:val="36"/>
        </w:rPr>
        <w:br w:type="page"/>
      </w:r>
    </w:p>
    <w:p>
      <w:pPr>
        <w:jc w:val="center"/>
        <w:rPr>
          <w:b/>
          <w:bCs/>
          <w:sz w:val="36"/>
          <w:szCs w:val="36"/>
        </w:rPr>
      </w:pPr>
    </w:p>
    <w:p>
      <w:pPr>
        <w:jc w:val="center"/>
        <w:rPr>
          <w:b/>
          <w:bCs/>
          <w:sz w:val="36"/>
          <w:szCs w:val="36"/>
        </w:rPr>
      </w:pPr>
      <w:r>
        <w:rPr>
          <w:rFonts w:hint="eastAsia"/>
          <w:b/>
          <w:bCs/>
          <w:sz w:val="36"/>
          <w:szCs w:val="36"/>
        </w:rPr>
        <w:t>展览展示工程企业评价规范</w:t>
      </w:r>
    </w:p>
    <w:p>
      <w:pPr>
        <w:spacing w:before="156" w:beforeLines="50" w:after="156" w:afterLines="50" w:line="300" w:lineRule="auto"/>
        <w:rPr>
          <w:b/>
          <w:bCs/>
          <w:sz w:val="24"/>
          <w:szCs w:val="24"/>
        </w:rPr>
      </w:pPr>
      <w:r>
        <w:rPr>
          <w:rFonts w:hint="eastAsia"/>
          <w:b/>
          <w:bCs/>
          <w:sz w:val="24"/>
          <w:szCs w:val="24"/>
        </w:rPr>
        <w:t>1</w:t>
      </w:r>
      <w:r>
        <w:rPr>
          <w:b/>
          <w:bCs/>
          <w:sz w:val="24"/>
          <w:szCs w:val="24"/>
        </w:rPr>
        <w:t xml:space="preserve">  </w:t>
      </w:r>
      <w:r>
        <w:rPr>
          <w:rFonts w:hint="eastAsia"/>
          <w:b/>
          <w:bCs/>
          <w:sz w:val="24"/>
          <w:szCs w:val="24"/>
        </w:rPr>
        <w:t>适用范围</w:t>
      </w:r>
    </w:p>
    <w:p>
      <w:pPr>
        <w:spacing w:line="300" w:lineRule="auto"/>
        <w:ind w:firstLine="480" w:firstLineChars="200"/>
        <w:rPr>
          <w:sz w:val="24"/>
          <w:szCs w:val="24"/>
        </w:rPr>
      </w:pPr>
      <w:r>
        <w:rPr>
          <w:rFonts w:hint="eastAsia"/>
          <w:sz w:val="24"/>
          <w:szCs w:val="24"/>
        </w:rPr>
        <w:t>本文件规定了展览展示工程企业的资质等级、等级评定原则和评估指标的内容。</w:t>
      </w:r>
    </w:p>
    <w:p>
      <w:pPr>
        <w:spacing w:line="300" w:lineRule="auto"/>
        <w:ind w:firstLine="480" w:firstLineChars="200"/>
        <w:rPr>
          <w:sz w:val="24"/>
          <w:szCs w:val="24"/>
        </w:rPr>
      </w:pPr>
      <w:r>
        <w:rPr>
          <w:rFonts w:hint="eastAsia"/>
          <w:sz w:val="24"/>
          <w:szCs w:val="24"/>
        </w:rPr>
        <w:t>本文件适用于对从事展览展示工程活动的企业进行指导及质量评价。</w:t>
      </w:r>
    </w:p>
    <w:p>
      <w:pPr>
        <w:spacing w:before="156" w:beforeLines="50" w:after="156" w:afterLines="50" w:line="300" w:lineRule="auto"/>
        <w:rPr>
          <w:b/>
          <w:bCs/>
          <w:sz w:val="24"/>
          <w:szCs w:val="24"/>
        </w:rPr>
      </w:pPr>
      <w:r>
        <w:rPr>
          <w:rFonts w:hint="eastAsia"/>
          <w:b/>
          <w:bCs/>
          <w:sz w:val="24"/>
          <w:szCs w:val="24"/>
        </w:rPr>
        <w:t>2</w:t>
      </w:r>
      <w:r>
        <w:rPr>
          <w:b/>
          <w:bCs/>
          <w:sz w:val="24"/>
          <w:szCs w:val="24"/>
        </w:rPr>
        <w:t xml:space="preserve">  </w:t>
      </w:r>
      <w:r>
        <w:rPr>
          <w:rFonts w:hint="eastAsia"/>
          <w:b/>
          <w:bCs/>
          <w:sz w:val="24"/>
          <w:szCs w:val="24"/>
        </w:rPr>
        <w:t>规范性引用文件</w:t>
      </w:r>
    </w:p>
    <w:p>
      <w:pPr>
        <w:spacing w:line="300" w:lineRule="auto"/>
        <w:ind w:firstLine="480" w:firstLineChars="200"/>
        <w:rPr>
          <w:sz w:val="24"/>
          <w:szCs w:val="24"/>
        </w:rPr>
      </w:pPr>
      <w:r>
        <w:rPr>
          <w:rFonts w:hint="eastAsia"/>
          <w:sz w:val="24"/>
          <w:szCs w:val="24"/>
        </w:rPr>
        <w:t>下列文件中的内容通过文中的规范性引用而构成文件必不可少的条款。其中，标注日期的引用文件，仅该日期对应的版本适用于本文件；不标注日期的引用文件，其最新版本（包括所有的修改单）适用于本文件。</w:t>
      </w:r>
    </w:p>
    <w:p>
      <w:pPr>
        <w:spacing w:line="300" w:lineRule="auto"/>
        <w:ind w:firstLine="480" w:firstLineChars="200"/>
        <w:rPr>
          <w:sz w:val="24"/>
          <w:szCs w:val="24"/>
        </w:rPr>
      </w:pPr>
      <w:r>
        <w:rPr>
          <w:sz w:val="24"/>
          <w:szCs w:val="24"/>
        </w:rPr>
        <w:t>GB/T26165</w:t>
      </w:r>
      <w:r>
        <w:rPr>
          <w:rFonts w:hint="eastAsia"/>
          <w:sz w:val="24"/>
          <w:szCs w:val="24"/>
        </w:rPr>
        <w:t>—</w:t>
      </w:r>
      <w:r>
        <w:rPr>
          <w:sz w:val="24"/>
          <w:szCs w:val="24"/>
        </w:rPr>
        <w:t xml:space="preserve">2021  </w:t>
      </w:r>
      <w:r>
        <w:rPr>
          <w:rFonts w:hint="eastAsia"/>
          <w:sz w:val="24"/>
          <w:szCs w:val="24"/>
        </w:rPr>
        <w:t>经济贸易展览会 术语</w:t>
      </w:r>
    </w:p>
    <w:p>
      <w:pPr>
        <w:spacing w:line="300" w:lineRule="auto"/>
        <w:ind w:firstLine="480" w:firstLineChars="200"/>
        <w:rPr>
          <w:sz w:val="24"/>
          <w:szCs w:val="24"/>
        </w:rPr>
      </w:pPr>
      <w:r>
        <w:rPr>
          <w:rFonts w:hint="eastAsia"/>
          <w:sz w:val="24"/>
          <w:szCs w:val="24"/>
        </w:rPr>
        <w:t>GB</w:t>
      </w:r>
      <w:r>
        <w:rPr>
          <w:sz w:val="24"/>
          <w:szCs w:val="24"/>
        </w:rPr>
        <w:t>/T33490</w:t>
      </w:r>
      <w:r>
        <w:rPr>
          <w:rFonts w:hint="eastAsia"/>
          <w:sz w:val="24"/>
          <w:szCs w:val="24"/>
        </w:rPr>
        <w:t>—</w:t>
      </w:r>
      <w:r>
        <w:rPr>
          <w:sz w:val="24"/>
          <w:szCs w:val="24"/>
        </w:rPr>
        <w:t xml:space="preserve">2017  </w:t>
      </w:r>
      <w:r>
        <w:rPr>
          <w:rFonts w:hint="eastAsia"/>
          <w:sz w:val="24"/>
          <w:szCs w:val="24"/>
        </w:rPr>
        <w:t>展览展示工程服务基本要求</w:t>
      </w:r>
    </w:p>
    <w:p>
      <w:pPr>
        <w:spacing w:line="300" w:lineRule="auto"/>
        <w:ind w:firstLine="480" w:firstLineChars="200"/>
        <w:rPr>
          <w:sz w:val="24"/>
          <w:szCs w:val="24"/>
        </w:rPr>
      </w:pPr>
      <w:r>
        <w:rPr>
          <w:rFonts w:hint="eastAsia"/>
          <w:sz w:val="24"/>
          <w:szCs w:val="24"/>
        </w:rPr>
        <w:t>GB</w:t>
      </w:r>
      <w:r>
        <w:rPr>
          <w:sz w:val="24"/>
          <w:szCs w:val="24"/>
        </w:rPr>
        <w:t>/T37073</w:t>
      </w:r>
      <w:r>
        <w:rPr>
          <w:rFonts w:hint="eastAsia"/>
          <w:sz w:val="24"/>
          <w:szCs w:val="24"/>
        </w:rPr>
        <w:t>—</w:t>
      </w:r>
      <w:r>
        <w:rPr>
          <w:sz w:val="24"/>
          <w:szCs w:val="24"/>
        </w:rPr>
        <w:t xml:space="preserve">2018  </w:t>
      </w:r>
      <w:r>
        <w:rPr>
          <w:rFonts w:hint="eastAsia"/>
          <w:sz w:val="24"/>
          <w:szCs w:val="24"/>
        </w:rPr>
        <w:t>展览展示工程企业能力评价导则</w:t>
      </w:r>
    </w:p>
    <w:p>
      <w:pPr>
        <w:spacing w:line="300" w:lineRule="auto"/>
        <w:ind w:firstLine="480" w:firstLineChars="200"/>
        <w:rPr>
          <w:sz w:val="24"/>
          <w:szCs w:val="24"/>
        </w:rPr>
      </w:pPr>
      <w:r>
        <w:rPr>
          <w:rFonts w:hint="eastAsia"/>
          <w:sz w:val="24"/>
          <w:szCs w:val="24"/>
        </w:rPr>
        <w:t>G</w:t>
      </w:r>
      <w:r>
        <w:rPr>
          <w:sz w:val="24"/>
          <w:szCs w:val="24"/>
        </w:rPr>
        <w:t>B3095</w:t>
      </w:r>
      <w:r>
        <w:rPr>
          <w:rFonts w:hint="eastAsia"/>
          <w:sz w:val="24"/>
          <w:szCs w:val="24"/>
        </w:rPr>
        <w:t>—</w:t>
      </w:r>
      <w:r>
        <w:rPr>
          <w:sz w:val="24"/>
          <w:szCs w:val="24"/>
        </w:rPr>
        <w:t xml:space="preserve">2012    </w:t>
      </w:r>
      <w:r>
        <w:rPr>
          <w:rFonts w:hint="eastAsia"/>
          <w:sz w:val="24"/>
          <w:szCs w:val="24"/>
        </w:rPr>
        <w:t>环境空气质量标准</w:t>
      </w:r>
    </w:p>
    <w:p>
      <w:pPr>
        <w:spacing w:line="300" w:lineRule="auto"/>
        <w:ind w:firstLine="480" w:firstLineChars="200"/>
        <w:rPr>
          <w:sz w:val="24"/>
          <w:szCs w:val="24"/>
        </w:rPr>
      </w:pPr>
      <w:r>
        <w:rPr>
          <w:rFonts w:hint="eastAsia"/>
          <w:sz w:val="24"/>
          <w:szCs w:val="24"/>
        </w:rPr>
        <w:t>G</w:t>
      </w:r>
      <w:r>
        <w:rPr>
          <w:sz w:val="24"/>
          <w:szCs w:val="24"/>
        </w:rPr>
        <w:t>B50054</w:t>
      </w:r>
      <w:r>
        <w:rPr>
          <w:rFonts w:hint="eastAsia"/>
          <w:sz w:val="24"/>
          <w:szCs w:val="24"/>
        </w:rPr>
        <w:t>—</w:t>
      </w:r>
      <w:r>
        <w:rPr>
          <w:sz w:val="24"/>
          <w:szCs w:val="24"/>
        </w:rPr>
        <w:t xml:space="preserve">2011   </w:t>
      </w:r>
      <w:r>
        <w:rPr>
          <w:rFonts w:hint="eastAsia"/>
          <w:sz w:val="24"/>
          <w:szCs w:val="24"/>
        </w:rPr>
        <w:t>低压配电设计规范</w:t>
      </w:r>
    </w:p>
    <w:p>
      <w:pPr>
        <w:spacing w:line="300" w:lineRule="auto"/>
        <w:ind w:firstLine="480" w:firstLineChars="200"/>
        <w:rPr>
          <w:sz w:val="24"/>
          <w:szCs w:val="24"/>
        </w:rPr>
      </w:pPr>
      <w:r>
        <w:rPr>
          <w:rFonts w:hint="eastAsia"/>
          <w:sz w:val="24"/>
          <w:szCs w:val="24"/>
        </w:rPr>
        <w:t>G</w:t>
      </w:r>
      <w:r>
        <w:rPr>
          <w:sz w:val="24"/>
          <w:szCs w:val="24"/>
        </w:rPr>
        <w:t>B50055</w:t>
      </w:r>
      <w:r>
        <w:rPr>
          <w:rFonts w:hint="eastAsia"/>
          <w:sz w:val="24"/>
          <w:szCs w:val="24"/>
        </w:rPr>
        <w:t>—</w:t>
      </w:r>
      <w:r>
        <w:rPr>
          <w:sz w:val="24"/>
          <w:szCs w:val="24"/>
        </w:rPr>
        <w:t xml:space="preserve">2011   </w:t>
      </w:r>
      <w:r>
        <w:rPr>
          <w:rFonts w:hint="eastAsia"/>
          <w:sz w:val="24"/>
          <w:szCs w:val="24"/>
        </w:rPr>
        <w:t>通用用电设备配电设计规范</w:t>
      </w:r>
    </w:p>
    <w:p>
      <w:pPr>
        <w:spacing w:before="156" w:beforeLines="50" w:after="156" w:afterLines="50" w:line="300" w:lineRule="auto"/>
        <w:rPr>
          <w:b/>
          <w:bCs/>
          <w:sz w:val="24"/>
          <w:szCs w:val="24"/>
        </w:rPr>
      </w:pPr>
      <w:r>
        <w:rPr>
          <w:rFonts w:hint="eastAsia"/>
          <w:b/>
          <w:bCs/>
          <w:sz w:val="24"/>
          <w:szCs w:val="24"/>
        </w:rPr>
        <w:t>3</w:t>
      </w:r>
      <w:r>
        <w:rPr>
          <w:b/>
          <w:bCs/>
          <w:sz w:val="24"/>
          <w:szCs w:val="24"/>
        </w:rPr>
        <w:t xml:space="preserve">  </w:t>
      </w:r>
      <w:r>
        <w:rPr>
          <w:rFonts w:hint="eastAsia"/>
          <w:b/>
          <w:bCs/>
          <w:sz w:val="24"/>
          <w:szCs w:val="24"/>
        </w:rPr>
        <w:t>术语和定义</w:t>
      </w:r>
    </w:p>
    <w:p>
      <w:pPr>
        <w:spacing w:line="300" w:lineRule="auto"/>
        <w:rPr>
          <w:b/>
          <w:bCs/>
          <w:sz w:val="24"/>
          <w:szCs w:val="24"/>
        </w:rPr>
      </w:pPr>
      <w:r>
        <w:rPr>
          <w:rFonts w:hint="eastAsia"/>
          <w:b/>
          <w:bCs/>
          <w:sz w:val="24"/>
          <w:szCs w:val="24"/>
        </w:rPr>
        <w:t>3</w:t>
      </w:r>
      <w:r>
        <w:rPr>
          <w:b/>
          <w:bCs/>
          <w:sz w:val="24"/>
          <w:szCs w:val="24"/>
        </w:rPr>
        <w:t xml:space="preserve">.1 </w:t>
      </w:r>
      <w:r>
        <w:rPr>
          <w:rFonts w:hint="eastAsia"/>
          <w:b/>
          <w:bCs/>
          <w:sz w:val="24"/>
          <w:szCs w:val="24"/>
        </w:rPr>
        <w:t>展览</w:t>
      </w:r>
      <w:r>
        <w:rPr>
          <w:rFonts w:hint="eastAsia"/>
          <w:sz w:val="24"/>
          <w:szCs w:val="24"/>
        </w:rPr>
        <w:t>[</w:t>
      </w:r>
      <w:r>
        <w:rPr>
          <w:rFonts w:hint="eastAsia"/>
          <w:b/>
          <w:bCs/>
          <w:sz w:val="24"/>
          <w:szCs w:val="24"/>
        </w:rPr>
        <w:t>会</w:t>
      </w:r>
      <w:r>
        <w:rPr>
          <w:sz w:val="24"/>
          <w:szCs w:val="24"/>
        </w:rPr>
        <w:t xml:space="preserve">] </w:t>
      </w:r>
      <w:r>
        <w:rPr>
          <w:b/>
          <w:bCs/>
          <w:sz w:val="24"/>
          <w:szCs w:val="24"/>
        </w:rPr>
        <w:t xml:space="preserve">exhibition </w:t>
      </w:r>
      <w:r>
        <w:rPr>
          <w:rFonts w:hint="eastAsia"/>
          <w:b/>
          <w:bCs/>
          <w:sz w:val="24"/>
          <w:szCs w:val="24"/>
        </w:rPr>
        <w:t>fair</w:t>
      </w:r>
    </w:p>
    <w:p>
      <w:pPr>
        <w:spacing w:line="300" w:lineRule="auto"/>
        <w:ind w:firstLine="480" w:firstLineChars="200"/>
        <w:rPr>
          <w:sz w:val="24"/>
          <w:szCs w:val="24"/>
        </w:rPr>
      </w:pPr>
      <w:r>
        <w:rPr>
          <w:rFonts w:hint="eastAsia"/>
          <w:sz w:val="24"/>
          <w:szCs w:val="24"/>
        </w:rPr>
        <w:t>[展览]以产品、技术、服务的展示、展出、参观、贸易、洽谈、信息交流为主的活动。</w:t>
      </w:r>
    </w:p>
    <w:p>
      <w:pPr>
        <w:spacing w:line="300" w:lineRule="auto"/>
        <w:rPr>
          <w:b/>
          <w:bCs/>
          <w:sz w:val="24"/>
          <w:szCs w:val="24"/>
        </w:rPr>
      </w:pPr>
      <w:r>
        <w:rPr>
          <w:rFonts w:hint="eastAsia"/>
          <w:b/>
          <w:bCs/>
          <w:sz w:val="24"/>
          <w:szCs w:val="24"/>
        </w:rPr>
        <w:t>3</w:t>
      </w:r>
      <w:r>
        <w:rPr>
          <w:b/>
          <w:bCs/>
          <w:sz w:val="24"/>
          <w:szCs w:val="24"/>
        </w:rPr>
        <w:t xml:space="preserve">.2 </w:t>
      </w:r>
      <w:r>
        <w:rPr>
          <w:rFonts w:hint="eastAsia"/>
          <w:b/>
          <w:bCs/>
          <w:sz w:val="24"/>
          <w:szCs w:val="24"/>
        </w:rPr>
        <w:t>展示工程</w:t>
      </w:r>
      <w:r>
        <w:rPr>
          <w:b/>
          <w:bCs/>
          <w:sz w:val="24"/>
          <w:szCs w:val="24"/>
        </w:rPr>
        <w:t>exhibition construction project</w:t>
      </w:r>
    </w:p>
    <w:p>
      <w:pPr>
        <w:spacing w:line="300" w:lineRule="auto"/>
        <w:ind w:firstLine="480" w:firstLineChars="200"/>
        <w:rPr>
          <w:sz w:val="24"/>
          <w:szCs w:val="24"/>
        </w:rPr>
      </w:pPr>
      <w:r>
        <w:rPr>
          <w:rFonts w:hint="eastAsia"/>
          <w:sz w:val="24"/>
          <w:szCs w:val="24"/>
        </w:rPr>
        <w:t>在博物馆、规划馆、科技馆、会展场馆等文化展馆和会议中心、活动场地等各类商业及公共场所，以展览展示、陈列、传播为目的的装饰工程项目。</w:t>
      </w:r>
    </w:p>
    <w:p>
      <w:pPr>
        <w:spacing w:line="300" w:lineRule="auto"/>
        <w:rPr>
          <w:sz w:val="21"/>
          <w:szCs w:val="21"/>
        </w:rPr>
      </w:pPr>
      <w:r>
        <w:rPr>
          <w:rFonts w:hint="eastAsia"/>
          <w:sz w:val="21"/>
          <w:szCs w:val="21"/>
        </w:rPr>
        <w:t>注：工程内容包括策划、设计、制作、安装、搭建、拆除、维护、租赁等。</w:t>
      </w:r>
    </w:p>
    <w:p>
      <w:pPr>
        <w:spacing w:line="300" w:lineRule="auto"/>
        <w:rPr>
          <w:b/>
          <w:bCs/>
          <w:sz w:val="24"/>
          <w:szCs w:val="24"/>
        </w:rPr>
      </w:pPr>
      <w:bookmarkStart w:id="0" w:name="_Hlk134181370"/>
      <w:r>
        <w:rPr>
          <w:rFonts w:hint="eastAsia"/>
          <w:b/>
          <w:bCs/>
          <w:sz w:val="24"/>
          <w:szCs w:val="24"/>
        </w:rPr>
        <w:t>3</w:t>
      </w:r>
      <w:r>
        <w:rPr>
          <w:b/>
          <w:bCs/>
          <w:sz w:val="24"/>
          <w:szCs w:val="24"/>
        </w:rPr>
        <w:t xml:space="preserve">.3 </w:t>
      </w:r>
      <w:r>
        <w:rPr>
          <w:rFonts w:hint="eastAsia"/>
          <w:b/>
          <w:bCs/>
          <w:sz w:val="24"/>
          <w:szCs w:val="24"/>
        </w:rPr>
        <w:t>展览展示工程企业</w:t>
      </w:r>
      <w:r>
        <w:rPr>
          <w:b/>
          <w:bCs/>
          <w:sz w:val="24"/>
          <w:szCs w:val="24"/>
        </w:rPr>
        <w:t xml:space="preserve">exhibition construction </w:t>
      </w:r>
      <w:r>
        <w:rPr>
          <w:rFonts w:hint="eastAsia"/>
          <w:b/>
          <w:bCs/>
          <w:sz w:val="24"/>
          <w:szCs w:val="24"/>
        </w:rPr>
        <w:t>enterprise</w:t>
      </w:r>
    </w:p>
    <w:bookmarkEnd w:id="0"/>
    <w:p>
      <w:pPr>
        <w:ind w:firstLine="480" w:firstLineChars="200"/>
        <w:rPr>
          <w:sz w:val="24"/>
          <w:szCs w:val="24"/>
        </w:rPr>
      </w:pPr>
      <w:r>
        <w:rPr>
          <w:rFonts w:hint="eastAsia"/>
          <w:sz w:val="24"/>
          <w:szCs w:val="24"/>
        </w:rPr>
        <w:t>提供展览展示工程服务的企业。</w:t>
      </w:r>
    </w:p>
    <w:p>
      <w:pPr>
        <w:spacing w:line="300" w:lineRule="auto"/>
        <w:rPr>
          <w:b/>
          <w:bCs/>
          <w:sz w:val="24"/>
          <w:szCs w:val="24"/>
        </w:rPr>
      </w:pPr>
      <w:r>
        <w:rPr>
          <w:rFonts w:hint="eastAsia"/>
          <w:b/>
          <w:bCs/>
          <w:sz w:val="24"/>
          <w:szCs w:val="24"/>
        </w:rPr>
        <w:t>3</w:t>
      </w:r>
      <w:r>
        <w:rPr>
          <w:b/>
          <w:bCs/>
          <w:sz w:val="24"/>
          <w:szCs w:val="24"/>
        </w:rPr>
        <w:t xml:space="preserve">.4 </w:t>
      </w:r>
      <w:r>
        <w:rPr>
          <w:rFonts w:hint="eastAsia"/>
          <w:b/>
          <w:bCs/>
          <w:sz w:val="24"/>
          <w:szCs w:val="24"/>
        </w:rPr>
        <w:t>地面承重 floor</w:t>
      </w:r>
      <w:r>
        <w:rPr>
          <w:b/>
          <w:bCs/>
          <w:sz w:val="24"/>
          <w:szCs w:val="24"/>
        </w:rPr>
        <w:t xml:space="preserve"> load; loading capacity</w:t>
      </w:r>
    </w:p>
    <w:p>
      <w:pPr>
        <w:ind w:firstLine="480" w:firstLineChars="200"/>
        <w:rPr>
          <w:sz w:val="24"/>
          <w:szCs w:val="24"/>
        </w:rPr>
      </w:pPr>
      <w:r>
        <w:rPr>
          <w:rFonts w:hint="eastAsia"/>
          <w:sz w:val="24"/>
          <w:szCs w:val="24"/>
        </w:rPr>
        <w:t>地面荷载</w:t>
      </w:r>
    </w:p>
    <w:p>
      <w:pPr>
        <w:spacing w:line="300" w:lineRule="auto"/>
        <w:rPr>
          <w:b/>
          <w:bCs/>
          <w:sz w:val="24"/>
          <w:szCs w:val="24"/>
        </w:rPr>
      </w:pPr>
      <w:r>
        <w:rPr>
          <w:rFonts w:hint="eastAsia"/>
          <w:b/>
          <w:bCs/>
          <w:sz w:val="24"/>
          <w:szCs w:val="24"/>
        </w:rPr>
        <w:t>3</w:t>
      </w:r>
      <w:r>
        <w:rPr>
          <w:b/>
          <w:bCs/>
          <w:sz w:val="24"/>
          <w:szCs w:val="24"/>
        </w:rPr>
        <w:t xml:space="preserve">.5 </w:t>
      </w:r>
      <w:r>
        <w:rPr>
          <w:rFonts w:hint="eastAsia"/>
          <w:b/>
          <w:bCs/>
          <w:sz w:val="24"/>
          <w:szCs w:val="24"/>
        </w:rPr>
        <w:t>主体结构 major</w:t>
      </w:r>
      <w:r>
        <w:rPr>
          <w:b/>
          <w:bCs/>
          <w:sz w:val="24"/>
          <w:szCs w:val="24"/>
        </w:rPr>
        <w:t xml:space="preserve"> </w:t>
      </w:r>
      <w:r>
        <w:rPr>
          <w:rFonts w:hint="eastAsia"/>
          <w:b/>
          <w:bCs/>
          <w:sz w:val="24"/>
          <w:szCs w:val="24"/>
        </w:rPr>
        <w:t>structure</w:t>
      </w:r>
    </w:p>
    <w:p>
      <w:pPr>
        <w:spacing w:line="300" w:lineRule="auto"/>
        <w:ind w:firstLine="480" w:firstLineChars="200"/>
        <w:rPr>
          <w:sz w:val="24"/>
          <w:szCs w:val="24"/>
        </w:rPr>
      </w:pPr>
      <w:r>
        <w:rPr>
          <w:rFonts w:hint="eastAsia"/>
          <w:sz w:val="24"/>
          <w:szCs w:val="24"/>
        </w:rPr>
        <w:t>基于展馆楼（地）面或展览楼层结构梁板等受力构件之上，接受、承担传递展台部分或所有荷载，维持结构整体性、稳定性和安全性的有机联系的系统体系。</w:t>
      </w:r>
    </w:p>
    <w:p>
      <w:pPr>
        <w:spacing w:line="300" w:lineRule="auto"/>
        <w:rPr>
          <w:b/>
          <w:bCs/>
          <w:sz w:val="24"/>
          <w:szCs w:val="24"/>
        </w:rPr>
      </w:pPr>
      <w:r>
        <w:rPr>
          <w:rFonts w:hint="eastAsia"/>
          <w:b/>
          <w:bCs/>
          <w:sz w:val="24"/>
          <w:szCs w:val="24"/>
        </w:rPr>
        <w:t>3</w:t>
      </w:r>
      <w:r>
        <w:rPr>
          <w:b/>
          <w:bCs/>
          <w:sz w:val="24"/>
          <w:szCs w:val="24"/>
        </w:rPr>
        <w:t>.6</w:t>
      </w:r>
      <w:r>
        <w:rPr>
          <w:rFonts w:hint="eastAsia"/>
          <w:b/>
          <w:bCs/>
          <w:sz w:val="24"/>
          <w:szCs w:val="24"/>
        </w:rPr>
        <w:t xml:space="preserve"> 主体结构材料major</w:t>
      </w:r>
      <w:r>
        <w:rPr>
          <w:b/>
          <w:bCs/>
          <w:sz w:val="24"/>
          <w:szCs w:val="24"/>
        </w:rPr>
        <w:t xml:space="preserve"> </w:t>
      </w:r>
      <w:r>
        <w:rPr>
          <w:rFonts w:hint="eastAsia"/>
          <w:b/>
          <w:bCs/>
          <w:sz w:val="24"/>
          <w:szCs w:val="24"/>
        </w:rPr>
        <w:t>structural</w:t>
      </w:r>
      <w:r>
        <w:rPr>
          <w:b/>
          <w:bCs/>
          <w:sz w:val="24"/>
          <w:szCs w:val="24"/>
        </w:rPr>
        <w:t xml:space="preserve"> material </w:t>
      </w:r>
    </w:p>
    <w:p>
      <w:pPr>
        <w:spacing w:line="300" w:lineRule="auto"/>
        <w:ind w:firstLine="480" w:firstLineChars="200"/>
        <w:rPr>
          <w:sz w:val="24"/>
          <w:szCs w:val="24"/>
        </w:rPr>
      </w:pPr>
      <w:r>
        <w:rPr>
          <w:rFonts w:hint="eastAsia"/>
          <w:sz w:val="24"/>
          <w:szCs w:val="24"/>
        </w:rPr>
        <w:t>用于实现主体结构功能的材料。</w:t>
      </w:r>
    </w:p>
    <w:p>
      <w:pPr>
        <w:spacing w:line="300" w:lineRule="auto"/>
        <w:rPr>
          <w:sz w:val="21"/>
          <w:szCs w:val="21"/>
        </w:rPr>
      </w:pPr>
      <w:r>
        <w:rPr>
          <w:rFonts w:hint="eastAsia"/>
          <w:sz w:val="21"/>
          <w:szCs w:val="21"/>
        </w:rPr>
        <w:t>注：常见的主体结构材料如钢材、铝合金型材等金属材料，木材，复合材料，以及其他用于实现主体结构功能的材料。</w:t>
      </w:r>
    </w:p>
    <w:p>
      <w:pPr>
        <w:spacing w:line="300" w:lineRule="auto"/>
        <w:rPr>
          <w:b/>
          <w:bCs/>
          <w:sz w:val="24"/>
          <w:szCs w:val="24"/>
        </w:rPr>
      </w:pPr>
      <w:r>
        <w:rPr>
          <w:rFonts w:hint="eastAsia"/>
          <w:b/>
          <w:bCs/>
          <w:sz w:val="24"/>
          <w:szCs w:val="24"/>
        </w:rPr>
        <w:t>3</w:t>
      </w:r>
      <w:r>
        <w:rPr>
          <w:b/>
          <w:bCs/>
          <w:sz w:val="24"/>
          <w:szCs w:val="24"/>
        </w:rPr>
        <w:t>.7</w:t>
      </w:r>
      <w:r>
        <w:rPr>
          <w:rFonts w:hint="eastAsia"/>
          <w:b/>
          <w:bCs/>
          <w:sz w:val="24"/>
          <w:szCs w:val="24"/>
        </w:rPr>
        <w:t xml:space="preserve"> 专业器材 ex</w:t>
      </w:r>
      <w:r>
        <w:rPr>
          <w:b/>
          <w:bCs/>
          <w:sz w:val="24"/>
          <w:szCs w:val="24"/>
        </w:rPr>
        <w:t>hibition construction system</w:t>
      </w:r>
    </w:p>
    <w:p>
      <w:pPr>
        <w:spacing w:line="300" w:lineRule="auto"/>
        <w:ind w:firstLine="480" w:firstLineChars="200"/>
        <w:rPr>
          <w:sz w:val="24"/>
          <w:szCs w:val="24"/>
        </w:rPr>
      </w:pPr>
      <w:r>
        <w:rPr>
          <w:rFonts w:hint="eastAsia"/>
          <w:sz w:val="24"/>
          <w:szCs w:val="24"/>
        </w:rPr>
        <w:t>具有标准规格、用于展台搭建的模块化、构件化、集成化、系统化、可循环使用的标准化材料、设备和器材。</w:t>
      </w:r>
    </w:p>
    <w:p>
      <w:pPr>
        <w:spacing w:line="300" w:lineRule="auto"/>
        <w:rPr>
          <w:sz w:val="21"/>
          <w:szCs w:val="21"/>
        </w:rPr>
      </w:pPr>
      <w:r>
        <w:rPr>
          <w:rFonts w:hint="eastAsia"/>
          <w:sz w:val="21"/>
          <w:szCs w:val="21"/>
        </w:rPr>
        <w:t>注：常见的展览专业器材如铝、钢、铁等金属材质的框架系统、桁架系统、八通系统；铝、钢、铁、钛锌、玻璃、树脂等材质的板面系统、展柜系统；软膜、布等材质的布饰系统；电箱、插座、照明等电气系统等。</w:t>
      </w:r>
    </w:p>
    <w:p>
      <w:pPr>
        <w:spacing w:line="300" w:lineRule="auto"/>
        <w:rPr>
          <w:b/>
          <w:bCs/>
          <w:sz w:val="24"/>
          <w:szCs w:val="24"/>
        </w:rPr>
      </w:pPr>
      <w:r>
        <w:rPr>
          <w:rFonts w:hint="eastAsia"/>
          <w:b/>
          <w:bCs/>
          <w:sz w:val="24"/>
          <w:szCs w:val="24"/>
        </w:rPr>
        <w:t>3</w:t>
      </w:r>
      <w:r>
        <w:rPr>
          <w:b/>
          <w:bCs/>
          <w:sz w:val="24"/>
          <w:szCs w:val="24"/>
        </w:rPr>
        <w:t>.8</w:t>
      </w:r>
      <w:r>
        <w:rPr>
          <w:rFonts w:hint="eastAsia"/>
          <w:b/>
          <w:bCs/>
          <w:sz w:val="24"/>
          <w:szCs w:val="24"/>
        </w:rPr>
        <w:t xml:space="preserve"> 展览装修材料 e</w:t>
      </w:r>
      <w:r>
        <w:rPr>
          <w:b/>
          <w:bCs/>
          <w:sz w:val="24"/>
          <w:szCs w:val="24"/>
        </w:rPr>
        <w:t>xhibition decoration materials</w:t>
      </w:r>
    </w:p>
    <w:p>
      <w:pPr>
        <w:spacing w:line="300" w:lineRule="auto"/>
        <w:ind w:firstLine="480" w:firstLineChars="200"/>
        <w:rPr>
          <w:sz w:val="24"/>
          <w:szCs w:val="24"/>
        </w:rPr>
      </w:pPr>
      <w:r>
        <w:rPr>
          <w:rFonts w:hint="eastAsia"/>
          <w:sz w:val="24"/>
          <w:szCs w:val="24"/>
        </w:rPr>
        <w:t>用于展览的所有材料。</w:t>
      </w:r>
    </w:p>
    <w:p>
      <w:pPr>
        <w:spacing w:line="300" w:lineRule="auto"/>
        <w:rPr>
          <w:sz w:val="21"/>
          <w:szCs w:val="21"/>
        </w:rPr>
      </w:pPr>
      <w:r>
        <w:rPr>
          <w:rFonts w:hint="eastAsia"/>
          <w:sz w:val="21"/>
          <w:szCs w:val="21"/>
        </w:rPr>
        <w:t>注：常见的展览装修材料如铝型材、桁架、铁艺、钛锌板等金属材料，结构用木、地台用木、展柜用木、装饰用木等木材，铝塑板、亚克力等塑料，安迪板、KT板等泡沫材料，地毯、软膜、广告布等布类材料，各类玻璃材料，纸质材料等。</w:t>
      </w:r>
    </w:p>
    <w:p>
      <w:pPr>
        <w:spacing w:line="300" w:lineRule="auto"/>
        <w:rPr>
          <w:b/>
          <w:bCs/>
          <w:sz w:val="24"/>
          <w:szCs w:val="24"/>
        </w:rPr>
      </w:pPr>
      <w:r>
        <w:rPr>
          <w:rFonts w:hint="eastAsia"/>
          <w:b/>
          <w:bCs/>
          <w:sz w:val="24"/>
          <w:szCs w:val="24"/>
        </w:rPr>
        <w:t>3</w:t>
      </w:r>
      <w:r>
        <w:rPr>
          <w:b/>
          <w:bCs/>
          <w:sz w:val="24"/>
          <w:szCs w:val="24"/>
        </w:rPr>
        <w:t>.9</w:t>
      </w:r>
      <w:r>
        <w:rPr>
          <w:rFonts w:hint="eastAsia"/>
          <w:b/>
          <w:bCs/>
          <w:sz w:val="24"/>
          <w:szCs w:val="24"/>
        </w:rPr>
        <w:t xml:space="preserve"> 可再循环材料 recyclable</w:t>
      </w:r>
      <w:r>
        <w:rPr>
          <w:b/>
          <w:bCs/>
          <w:sz w:val="24"/>
          <w:szCs w:val="24"/>
        </w:rPr>
        <w:t xml:space="preserve"> material</w:t>
      </w:r>
    </w:p>
    <w:p>
      <w:pPr>
        <w:spacing w:line="300" w:lineRule="auto"/>
        <w:ind w:firstLine="480" w:firstLineChars="200"/>
        <w:rPr>
          <w:sz w:val="24"/>
          <w:szCs w:val="24"/>
        </w:rPr>
      </w:pPr>
      <w:r>
        <w:rPr>
          <w:rFonts w:hint="eastAsia"/>
          <w:sz w:val="24"/>
          <w:szCs w:val="24"/>
        </w:rPr>
        <w:t>通过改变物质形态可实现循环利用的回收材料。</w:t>
      </w:r>
    </w:p>
    <w:p>
      <w:pPr>
        <w:spacing w:line="300" w:lineRule="auto"/>
        <w:rPr>
          <w:b/>
          <w:bCs/>
          <w:sz w:val="24"/>
          <w:szCs w:val="24"/>
        </w:rPr>
      </w:pPr>
      <w:r>
        <w:rPr>
          <w:rFonts w:hint="eastAsia"/>
          <w:b/>
          <w:bCs/>
          <w:sz w:val="24"/>
          <w:szCs w:val="24"/>
        </w:rPr>
        <w:t>3</w:t>
      </w:r>
      <w:r>
        <w:rPr>
          <w:b/>
          <w:bCs/>
          <w:sz w:val="24"/>
          <w:szCs w:val="24"/>
        </w:rPr>
        <w:t>.10</w:t>
      </w:r>
      <w:r>
        <w:rPr>
          <w:rFonts w:hint="eastAsia"/>
          <w:b/>
          <w:bCs/>
          <w:sz w:val="24"/>
          <w:szCs w:val="24"/>
        </w:rPr>
        <w:t xml:space="preserve"> 绿色展台 green</w:t>
      </w:r>
      <w:r>
        <w:rPr>
          <w:b/>
          <w:bCs/>
          <w:sz w:val="24"/>
          <w:szCs w:val="24"/>
        </w:rPr>
        <w:t xml:space="preserve"> booth</w:t>
      </w:r>
    </w:p>
    <w:p>
      <w:pPr>
        <w:spacing w:line="300" w:lineRule="auto"/>
        <w:ind w:firstLine="480" w:firstLineChars="200"/>
        <w:rPr>
          <w:sz w:val="24"/>
          <w:szCs w:val="24"/>
        </w:rPr>
      </w:pPr>
      <w:r>
        <w:rPr>
          <w:rFonts w:hint="eastAsia"/>
          <w:sz w:val="24"/>
          <w:szCs w:val="24"/>
        </w:rPr>
        <w:t>以最大限度地节约资源为目标，符合减量化、再使用、再循环的原则和装修简约化、构件标准化、材料环保化的发展趋势，并能在设计、选料、施工、展出、维护、固体废物处理等全过程等体现的展台。</w:t>
      </w:r>
    </w:p>
    <w:p>
      <w:pPr>
        <w:spacing w:before="156" w:beforeLines="50" w:after="156" w:afterLines="50" w:line="300" w:lineRule="auto"/>
        <w:rPr>
          <w:b/>
          <w:bCs/>
          <w:sz w:val="24"/>
          <w:szCs w:val="24"/>
        </w:rPr>
      </w:pPr>
      <w:r>
        <w:rPr>
          <w:rFonts w:hint="eastAsia"/>
          <w:b/>
          <w:bCs/>
          <w:sz w:val="24"/>
          <w:szCs w:val="24"/>
        </w:rPr>
        <w:t>4</w:t>
      </w:r>
      <w:r>
        <w:rPr>
          <w:b/>
          <w:bCs/>
          <w:sz w:val="24"/>
          <w:szCs w:val="24"/>
        </w:rPr>
        <w:t xml:space="preserve">  </w:t>
      </w:r>
      <w:r>
        <w:rPr>
          <w:rFonts w:hint="eastAsia"/>
          <w:b/>
          <w:bCs/>
          <w:sz w:val="24"/>
          <w:szCs w:val="24"/>
        </w:rPr>
        <w:t>评价原则</w:t>
      </w:r>
    </w:p>
    <w:p>
      <w:pPr>
        <w:spacing w:line="300" w:lineRule="auto"/>
        <w:ind w:firstLine="480" w:firstLineChars="200"/>
        <w:rPr>
          <w:sz w:val="24"/>
          <w:szCs w:val="24"/>
        </w:rPr>
      </w:pPr>
      <w:r>
        <w:rPr>
          <w:rFonts w:hint="eastAsia"/>
          <w:sz w:val="24"/>
          <w:szCs w:val="24"/>
        </w:rPr>
        <w:t>4</w:t>
      </w:r>
      <w:r>
        <w:rPr>
          <w:sz w:val="24"/>
          <w:szCs w:val="24"/>
        </w:rPr>
        <w:t>.1</w:t>
      </w:r>
      <w:r>
        <w:rPr>
          <w:rFonts w:hint="eastAsia"/>
          <w:sz w:val="24"/>
          <w:szCs w:val="24"/>
        </w:rPr>
        <w:t>评价工作应当遵循全面性、客观性、适用性的原则。</w:t>
      </w:r>
    </w:p>
    <w:p>
      <w:pPr>
        <w:spacing w:line="300" w:lineRule="auto"/>
        <w:ind w:firstLine="480" w:firstLineChars="200"/>
        <w:rPr>
          <w:sz w:val="24"/>
          <w:szCs w:val="24"/>
        </w:rPr>
      </w:pPr>
      <w:r>
        <w:rPr>
          <w:sz w:val="24"/>
          <w:szCs w:val="24"/>
        </w:rPr>
        <w:t xml:space="preserve">4.2 </w:t>
      </w:r>
      <w:r>
        <w:rPr>
          <w:rFonts w:hint="eastAsia"/>
          <w:sz w:val="24"/>
          <w:szCs w:val="24"/>
        </w:rPr>
        <w:t>评价应全面反映企业从事展览展示工程服务的能力和实际业绩。</w:t>
      </w:r>
    </w:p>
    <w:p>
      <w:pPr>
        <w:spacing w:line="300" w:lineRule="auto"/>
        <w:ind w:firstLine="480" w:firstLineChars="200"/>
        <w:rPr>
          <w:sz w:val="24"/>
          <w:szCs w:val="24"/>
        </w:rPr>
      </w:pPr>
      <w:r>
        <w:rPr>
          <w:rFonts w:hint="eastAsia"/>
          <w:sz w:val="24"/>
          <w:szCs w:val="24"/>
        </w:rPr>
        <w:t>4</w:t>
      </w:r>
      <w:r>
        <w:rPr>
          <w:sz w:val="24"/>
          <w:szCs w:val="24"/>
        </w:rPr>
        <w:t>.3</w:t>
      </w:r>
      <w:r>
        <w:rPr>
          <w:rFonts w:hint="eastAsia"/>
          <w:sz w:val="24"/>
          <w:szCs w:val="24"/>
        </w:rPr>
        <w:t>以企业资信、企业业绩、技术条件、技术装备为主要依据，兼顾创新能力和行业影响力，以客观指标为主要依据。</w:t>
      </w:r>
    </w:p>
    <w:p>
      <w:pPr>
        <w:spacing w:line="300" w:lineRule="auto"/>
        <w:ind w:firstLine="480" w:firstLineChars="200"/>
        <w:rPr>
          <w:sz w:val="24"/>
          <w:szCs w:val="24"/>
        </w:rPr>
      </w:pPr>
      <w:r>
        <w:rPr>
          <w:rFonts w:hint="eastAsia"/>
          <w:sz w:val="24"/>
          <w:szCs w:val="24"/>
        </w:rPr>
        <w:t>4</w:t>
      </w:r>
      <w:r>
        <w:rPr>
          <w:sz w:val="24"/>
          <w:szCs w:val="24"/>
        </w:rPr>
        <w:t>.4</w:t>
      </w:r>
      <w:r>
        <w:rPr>
          <w:rFonts w:hint="eastAsia"/>
          <w:sz w:val="24"/>
          <w:szCs w:val="24"/>
        </w:rPr>
        <w:t>展览展示工程企业资质等级分为“一级、二级、三级”三个等级，由高到低。</w:t>
      </w:r>
    </w:p>
    <w:p>
      <w:pPr>
        <w:spacing w:line="300" w:lineRule="auto"/>
        <w:rPr>
          <w:b/>
          <w:bCs/>
          <w:sz w:val="24"/>
          <w:szCs w:val="24"/>
        </w:rPr>
      </w:pPr>
      <w:r>
        <w:rPr>
          <w:rFonts w:hint="eastAsia"/>
          <w:b/>
          <w:bCs/>
          <w:sz w:val="24"/>
          <w:szCs w:val="24"/>
        </w:rPr>
        <w:t>5</w:t>
      </w:r>
      <w:r>
        <w:rPr>
          <w:b/>
          <w:bCs/>
          <w:sz w:val="24"/>
          <w:szCs w:val="24"/>
        </w:rPr>
        <w:t xml:space="preserve">  </w:t>
      </w:r>
      <w:r>
        <w:rPr>
          <w:rFonts w:hint="eastAsia"/>
          <w:b/>
          <w:bCs/>
          <w:sz w:val="24"/>
          <w:szCs w:val="24"/>
        </w:rPr>
        <w:t>评价等级</w:t>
      </w:r>
    </w:p>
    <w:p>
      <w:pPr>
        <w:spacing w:line="300" w:lineRule="auto"/>
        <w:ind w:firstLine="480" w:firstLineChars="200"/>
        <w:rPr>
          <w:sz w:val="24"/>
          <w:szCs w:val="24"/>
        </w:rPr>
      </w:pPr>
      <w:r>
        <w:rPr>
          <w:rFonts w:hint="eastAsia"/>
          <w:sz w:val="24"/>
          <w:szCs w:val="24"/>
        </w:rPr>
        <w:t>根据河北省展览展示工程企业服务的通用规范，工程企业从高到低依次为分为一级、二级、三级，各等级分值要求为：</w:t>
      </w:r>
    </w:p>
    <w:p>
      <w:pPr>
        <w:spacing w:line="300" w:lineRule="auto"/>
        <w:ind w:firstLine="480" w:firstLineChars="200"/>
        <w:rPr>
          <w:sz w:val="24"/>
          <w:szCs w:val="24"/>
        </w:rPr>
      </w:pPr>
      <w:r>
        <w:rPr>
          <w:rFonts w:hint="eastAsia"/>
          <w:sz w:val="24"/>
          <w:szCs w:val="24"/>
        </w:rPr>
        <w:t>会展展览展示一级企业的评分为不低于85分。</w:t>
      </w:r>
    </w:p>
    <w:p>
      <w:pPr>
        <w:spacing w:line="300" w:lineRule="auto"/>
        <w:ind w:firstLine="480" w:firstLineChars="200"/>
        <w:rPr>
          <w:sz w:val="24"/>
          <w:szCs w:val="24"/>
        </w:rPr>
      </w:pPr>
      <w:r>
        <w:rPr>
          <w:rFonts w:hint="eastAsia"/>
          <w:sz w:val="24"/>
          <w:szCs w:val="24"/>
        </w:rPr>
        <w:t>会展展览展示二级企业的评分为不低于75分。</w:t>
      </w:r>
    </w:p>
    <w:p>
      <w:pPr>
        <w:spacing w:line="300" w:lineRule="auto"/>
        <w:ind w:firstLine="480" w:firstLineChars="200"/>
        <w:rPr>
          <w:sz w:val="24"/>
          <w:szCs w:val="24"/>
        </w:rPr>
      </w:pPr>
      <w:r>
        <w:rPr>
          <w:rFonts w:hint="eastAsia"/>
          <w:sz w:val="24"/>
          <w:szCs w:val="24"/>
        </w:rPr>
        <w:t>会展展览展示三级企业的评分为不低于60分。</w:t>
      </w:r>
    </w:p>
    <w:p>
      <w:pPr>
        <w:spacing w:line="300" w:lineRule="auto"/>
        <w:ind w:firstLine="480" w:firstLineChars="200"/>
        <w:rPr>
          <w:sz w:val="24"/>
          <w:szCs w:val="24"/>
        </w:rPr>
      </w:pPr>
    </w:p>
    <w:p>
      <w:pPr>
        <w:spacing w:line="300" w:lineRule="auto"/>
        <w:rPr>
          <w:b/>
          <w:bCs/>
          <w:sz w:val="24"/>
          <w:szCs w:val="24"/>
        </w:rPr>
      </w:pPr>
      <w:r>
        <w:rPr>
          <w:rFonts w:hint="eastAsia"/>
          <w:b/>
          <w:bCs/>
          <w:sz w:val="24"/>
          <w:szCs w:val="24"/>
        </w:rPr>
        <w:t>6</w:t>
      </w:r>
      <w:r>
        <w:rPr>
          <w:b/>
          <w:bCs/>
          <w:sz w:val="24"/>
          <w:szCs w:val="24"/>
        </w:rPr>
        <w:t xml:space="preserve">  </w:t>
      </w:r>
      <w:r>
        <w:rPr>
          <w:rFonts w:hint="eastAsia"/>
          <w:b/>
          <w:bCs/>
          <w:sz w:val="24"/>
          <w:szCs w:val="24"/>
        </w:rPr>
        <w:t>资质条件</w:t>
      </w:r>
    </w:p>
    <w:p>
      <w:pPr>
        <w:spacing w:line="300" w:lineRule="auto"/>
        <w:ind w:firstLine="480" w:firstLineChars="200"/>
        <w:rPr>
          <w:sz w:val="24"/>
          <w:szCs w:val="24"/>
        </w:rPr>
      </w:pPr>
      <w:r>
        <w:rPr>
          <w:rFonts w:hint="eastAsia"/>
          <w:sz w:val="24"/>
          <w:szCs w:val="24"/>
        </w:rPr>
        <w:t>企业应满足基本申报条件，包括：</w:t>
      </w:r>
    </w:p>
    <w:p>
      <w:pPr>
        <w:pStyle w:val="7"/>
        <w:spacing w:line="300" w:lineRule="auto"/>
        <w:ind w:left="360" w:firstLine="0" w:firstLineChars="0"/>
        <w:rPr>
          <w:sz w:val="24"/>
          <w:szCs w:val="24"/>
        </w:rPr>
      </w:pPr>
      <w:r>
        <w:rPr>
          <w:rFonts w:hint="eastAsia"/>
          <w:sz w:val="24"/>
          <w:szCs w:val="24"/>
        </w:rPr>
        <w:t>a</w:t>
      </w:r>
      <w:r>
        <w:rPr>
          <w:sz w:val="24"/>
          <w:szCs w:val="24"/>
        </w:rPr>
        <w:t>.</w:t>
      </w:r>
      <w:r>
        <w:rPr>
          <w:rFonts w:hint="eastAsia"/>
          <w:sz w:val="24"/>
          <w:szCs w:val="24"/>
        </w:rPr>
        <w:t>具备独立法人资格，成立时间不低于1年；</w:t>
      </w:r>
    </w:p>
    <w:p>
      <w:pPr>
        <w:pStyle w:val="7"/>
        <w:spacing w:line="300" w:lineRule="auto"/>
        <w:ind w:left="360" w:firstLine="0" w:firstLineChars="0"/>
        <w:rPr>
          <w:sz w:val="24"/>
          <w:szCs w:val="24"/>
        </w:rPr>
      </w:pPr>
      <w:r>
        <w:rPr>
          <w:rFonts w:hint="eastAsia"/>
          <w:sz w:val="24"/>
          <w:szCs w:val="24"/>
        </w:rPr>
        <w:t>b</w:t>
      </w:r>
      <w:r>
        <w:rPr>
          <w:sz w:val="24"/>
          <w:szCs w:val="24"/>
        </w:rPr>
        <w:t>.</w:t>
      </w:r>
      <w:r>
        <w:rPr>
          <w:rFonts w:hint="eastAsia"/>
          <w:sz w:val="24"/>
          <w:szCs w:val="24"/>
        </w:rPr>
        <w:t>拥有固定的办公场所，有可应用于展览展示工程制作、存储的固定场地；</w:t>
      </w:r>
    </w:p>
    <w:p>
      <w:pPr>
        <w:pStyle w:val="7"/>
        <w:spacing w:line="300" w:lineRule="auto"/>
        <w:ind w:left="360" w:firstLine="0" w:firstLineChars="0"/>
        <w:rPr>
          <w:sz w:val="24"/>
          <w:szCs w:val="24"/>
        </w:rPr>
      </w:pPr>
      <w:r>
        <w:rPr>
          <w:rFonts w:hint="eastAsia"/>
          <w:sz w:val="24"/>
          <w:szCs w:val="24"/>
        </w:rPr>
        <w:t>c</w:t>
      </w:r>
      <w:r>
        <w:rPr>
          <w:sz w:val="24"/>
          <w:szCs w:val="24"/>
        </w:rPr>
        <w:t>.</w:t>
      </w:r>
      <w:r>
        <w:rPr>
          <w:rFonts w:hint="eastAsia"/>
          <w:sz w:val="24"/>
          <w:szCs w:val="24"/>
        </w:rPr>
        <w:t>具有完善的内部管理制度、安全生产制度、质量监督及保障体系；</w:t>
      </w:r>
    </w:p>
    <w:p>
      <w:pPr>
        <w:pStyle w:val="7"/>
        <w:spacing w:line="300" w:lineRule="auto"/>
        <w:ind w:left="360" w:firstLine="0" w:firstLineChars="0"/>
        <w:rPr>
          <w:sz w:val="24"/>
          <w:szCs w:val="24"/>
        </w:rPr>
      </w:pPr>
      <w:r>
        <w:rPr>
          <w:rFonts w:hint="eastAsia"/>
          <w:sz w:val="24"/>
          <w:szCs w:val="24"/>
        </w:rPr>
        <w:t>d</w:t>
      </w:r>
      <w:r>
        <w:rPr>
          <w:sz w:val="24"/>
          <w:szCs w:val="24"/>
        </w:rPr>
        <w:t>.</w:t>
      </w:r>
      <w:r>
        <w:rPr>
          <w:rFonts w:hint="eastAsia"/>
          <w:sz w:val="24"/>
          <w:szCs w:val="24"/>
        </w:rPr>
        <w:t>具有相应数量、相关专业资质的技术人员；</w:t>
      </w:r>
    </w:p>
    <w:p>
      <w:pPr>
        <w:pStyle w:val="7"/>
        <w:spacing w:line="300" w:lineRule="auto"/>
        <w:ind w:left="360" w:firstLine="0" w:firstLineChars="0"/>
        <w:rPr>
          <w:sz w:val="24"/>
          <w:szCs w:val="24"/>
        </w:rPr>
      </w:pPr>
      <w:r>
        <w:rPr>
          <w:rFonts w:hint="eastAsia"/>
          <w:sz w:val="24"/>
          <w:szCs w:val="24"/>
        </w:rPr>
        <w:t>e</w:t>
      </w:r>
      <w:r>
        <w:rPr>
          <w:sz w:val="24"/>
          <w:szCs w:val="24"/>
        </w:rPr>
        <w:t>.</w:t>
      </w:r>
      <w:r>
        <w:rPr>
          <w:rFonts w:hint="eastAsia"/>
          <w:sz w:val="24"/>
          <w:szCs w:val="24"/>
        </w:rPr>
        <w:t>具有专业的展示策划、设计、制作、搭建、维护、拆除和统筹能力；</w:t>
      </w:r>
    </w:p>
    <w:p>
      <w:pPr>
        <w:pStyle w:val="7"/>
        <w:spacing w:line="300" w:lineRule="auto"/>
        <w:ind w:left="360" w:firstLine="0" w:firstLineChars="0"/>
        <w:rPr>
          <w:sz w:val="24"/>
          <w:szCs w:val="24"/>
        </w:rPr>
      </w:pPr>
      <w:r>
        <w:rPr>
          <w:rFonts w:hint="eastAsia"/>
          <w:sz w:val="24"/>
          <w:szCs w:val="24"/>
        </w:rPr>
        <w:t>f</w:t>
      </w:r>
      <w:r>
        <w:rPr>
          <w:sz w:val="24"/>
          <w:szCs w:val="24"/>
        </w:rPr>
        <w:t>.</w:t>
      </w:r>
      <w:r>
        <w:rPr>
          <w:rFonts w:hint="eastAsia"/>
          <w:sz w:val="24"/>
          <w:szCs w:val="24"/>
        </w:rPr>
        <w:t>近1年内无重大安全质量事故，机构与法定代表人无不良信用记录。</w:t>
      </w:r>
    </w:p>
    <w:p>
      <w:pPr>
        <w:spacing w:line="300" w:lineRule="auto"/>
        <w:rPr>
          <w:b/>
          <w:bCs/>
          <w:sz w:val="24"/>
          <w:szCs w:val="24"/>
        </w:rPr>
      </w:pPr>
    </w:p>
    <w:p>
      <w:pPr>
        <w:spacing w:line="300" w:lineRule="auto"/>
        <w:rPr>
          <w:b/>
          <w:bCs/>
          <w:sz w:val="24"/>
          <w:szCs w:val="24"/>
        </w:rPr>
      </w:pPr>
      <w:r>
        <w:rPr>
          <w:rFonts w:hint="eastAsia"/>
          <w:b/>
          <w:bCs/>
          <w:sz w:val="24"/>
          <w:szCs w:val="24"/>
        </w:rPr>
        <w:t>7</w:t>
      </w:r>
      <w:r>
        <w:rPr>
          <w:b/>
          <w:bCs/>
          <w:sz w:val="24"/>
          <w:szCs w:val="24"/>
        </w:rPr>
        <w:t xml:space="preserve">  </w:t>
      </w:r>
      <w:r>
        <w:rPr>
          <w:rFonts w:hint="eastAsia"/>
          <w:b/>
          <w:bCs/>
          <w:sz w:val="24"/>
          <w:szCs w:val="24"/>
        </w:rPr>
        <w:t>评价指标</w:t>
      </w:r>
    </w:p>
    <w:p>
      <w:pPr>
        <w:spacing w:line="300" w:lineRule="auto"/>
        <w:ind w:firstLine="480" w:firstLineChars="200"/>
        <w:rPr>
          <w:sz w:val="24"/>
          <w:szCs w:val="24"/>
        </w:rPr>
      </w:pPr>
      <w:r>
        <w:rPr>
          <w:rFonts w:hint="eastAsia"/>
          <w:sz w:val="24"/>
          <w:szCs w:val="24"/>
        </w:rPr>
        <w:t>7.1企业资信</w:t>
      </w:r>
    </w:p>
    <w:p>
      <w:pPr>
        <w:spacing w:line="300" w:lineRule="auto"/>
        <w:ind w:firstLine="480"/>
        <w:rPr>
          <w:sz w:val="24"/>
          <w:szCs w:val="24"/>
        </w:rPr>
      </w:pPr>
      <w:r>
        <w:rPr>
          <w:rFonts w:hint="eastAsia"/>
          <w:sz w:val="24"/>
          <w:szCs w:val="24"/>
        </w:rPr>
        <w:t>a.独立法人资格；</w:t>
      </w:r>
    </w:p>
    <w:p>
      <w:pPr>
        <w:spacing w:line="300" w:lineRule="auto"/>
        <w:ind w:firstLine="480"/>
        <w:rPr>
          <w:sz w:val="24"/>
          <w:szCs w:val="24"/>
        </w:rPr>
      </w:pPr>
      <w:r>
        <w:rPr>
          <w:rFonts w:hint="eastAsia"/>
          <w:sz w:val="24"/>
          <w:szCs w:val="24"/>
        </w:rPr>
        <w:t>b.注册资金：3</w:t>
      </w:r>
      <w:r>
        <w:rPr>
          <w:sz w:val="24"/>
          <w:szCs w:val="24"/>
        </w:rPr>
        <w:t>00</w:t>
      </w:r>
      <w:r>
        <w:rPr>
          <w:rFonts w:hint="eastAsia"/>
          <w:sz w:val="24"/>
          <w:szCs w:val="24"/>
        </w:rPr>
        <w:t>万元、100万元、50万元及以上以上。</w:t>
      </w:r>
    </w:p>
    <w:p>
      <w:pPr>
        <w:spacing w:line="300" w:lineRule="auto"/>
        <w:ind w:firstLine="480" w:firstLineChars="200"/>
        <w:rPr>
          <w:sz w:val="24"/>
          <w:szCs w:val="24"/>
        </w:rPr>
      </w:pPr>
      <w:r>
        <w:rPr>
          <w:rFonts w:hint="eastAsia"/>
          <w:sz w:val="24"/>
          <w:szCs w:val="24"/>
        </w:rPr>
        <w:t>7.2企业业绩</w:t>
      </w:r>
    </w:p>
    <w:p>
      <w:pPr>
        <w:spacing w:line="300" w:lineRule="auto"/>
        <w:ind w:firstLine="480"/>
        <w:rPr>
          <w:sz w:val="24"/>
          <w:szCs w:val="24"/>
        </w:rPr>
      </w:pPr>
      <w:r>
        <w:rPr>
          <w:rFonts w:hint="eastAsia"/>
          <w:sz w:val="24"/>
          <w:szCs w:val="24"/>
        </w:rPr>
        <w:t>a.近三年工程造价：500万元、300万元、100万元及以上；</w:t>
      </w:r>
    </w:p>
    <w:p>
      <w:pPr>
        <w:spacing w:line="300" w:lineRule="auto"/>
        <w:ind w:firstLine="480"/>
        <w:rPr>
          <w:sz w:val="24"/>
          <w:szCs w:val="24"/>
        </w:rPr>
      </w:pPr>
      <w:r>
        <w:rPr>
          <w:rFonts w:hint="eastAsia"/>
          <w:sz w:val="24"/>
          <w:szCs w:val="24"/>
        </w:rPr>
        <w:t>b.近三年承揽各类展会施工面积：4000平方米、2500平方米、1000平方米及以上。</w:t>
      </w:r>
    </w:p>
    <w:p>
      <w:pPr>
        <w:spacing w:line="300" w:lineRule="auto"/>
        <w:ind w:firstLine="480" w:firstLineChars="200"/>
        <w:rPr>
          <w:sz w:val="24"/>
          <w:szCs w:val="24"/>
        </w:rPr>
      </w:pPr>
      <w:r>
        <w:rPr>
          <w:rFonts w:hint="eastAsia"/>
          <w:sz w:val="24"/>
          <w:szCs w:val="24"/>
        </w:rPr>
        <w:t>7.3技术条件</w:t>
      </w:r>
    </w:p>
    <w:p>
      <w:pPr>
        <w:spacing w:line="300" w:lineRule="auto"/>
        <w:ind w:firstLine="480" w:firstLineChars="200"/>
        <w:rPr>
          <w:sz w:val="24"/>
          <w:szCs w:val="24"/>
        </w:rPr>
      </w:pPr>
      <w:r>
        <w:rPr>
          <w:rFonts w:hint="eastAsia"/>
          <w:sz w:val="24"/>
          <w:szCs w:val="24"/>
        </w:rPr>
        <w:t>a.企业技术负责人：展览施工经验8年、6年、4年及以上。</w:t>
      </w:r>
    </w:p>
    <w:p>
      <w:pPr>
        <w:spacing w:line="300" w:lineRule="auto"/>
        <w:ind w:firstLine="480" w:firstLineChars="200"/>
        <w:rPr>
          <w:sz w:val="24"/>
          <w:szCs w:val="24"/>
        </w:rPr>
      </w:pPr>
      <w:r>
        <w:rPr>
          <w:rFonts w:hint="eastAsia"/>
          <w:sz w:val="24"/>
          <w:szCs w:val="24"/>
        </w:rPr>
        <w:t>b.专业技术人员：1</w:t>
      </w:r>
      <w:r>
        <w:rPr>
          <w:sz w:val="24"/>
          <w:szCs w:val="24"/>
        </w:rPr>
        <w:t>0</w:t>
      </w:r>
      <w:r>
        <w:rPr>
          <w:rFonts w:hint="eastAsia"/>
          <w:sz w:val="24"/>
          <w:szCs w:val="24"/>
        </w:rPr>
        <w:t>人、8人、5人。</w:t>
      </w:r>
    </w:p>
    <w:p>
      <w:pPr>
        <w:spacing w:line="300" w:lineRule="auto"/>
        <w:ind w:firstLine="480" w:firstLineChars="200"/>
        <w:rPr>
          <w:sz w:val="24"/>
          <w:szCs w:val="24"/>
        </w:rPr>
      </w:pPr>
      <w:r>
        <w:rPr>
          <w:rFonts w:hint="eastAsia"/>
          <w:sz w:val="24"/>
          <w:szCs w:val="24"/>
        </w:rPr>
        <w:t>c.学历及职称：本科以上：80%、60%、40%。</w:t>
      </w:r>
    </w:p>
    <w:p>
      <w:pPr>
        <w:spacing w:line="300" w:lineRule="auto"/>
        <w:ind w:firstLine="480" w:firstLineChars="200"/>
        <w:rPr>
          <w:sz w:val="24"/>
          <w:szCs w:val="24"/>
        </w:rPr>
      </w:pPr>
      <w:r>
        <w:rPr>
          <w:rFonts w:hint="eastAsia"/>
          <w:sz w:val="24"/>
          <w:szCs w:val="24"/>
        </w:rPr>
        <w:t xml:space="preserve">             中级及以上：3人、2人、1人。</w:t>
      </w:r>
    </w:p>
    <w:p>
      <w:pPr>
        <w:spacing w:line="300" w:lineRule="auto"/>
        <w:ind w:firstLine="480" w:firstLineChars="200"/>
        <w:rPr>
          <w:sz w:val="24"/>
          <w:szCs w:val="24"/>
        </w:rPr>
      </w:pPr>
      <w:r>
        <w:rPr>
          <w:rFonts w:hint="eastAsia"/>
          <w:sz w:val="24"/>
          <w:szCs w:val="24"/>
        </w:rPr>
        <w:t>d.获奖或称号：国家级、省部级、市厅级。</w:t>
      </w:r>
    </w:p>
    <w:p>
      <w:pPr>
        <w:spacing w:line="300" w:lineRule="auto"/>
        <w:ind w:firstLine="480"/>
        <w:rPr>
          <w:sz w:val="24"/>
          <w:szCs w:val="24"/>
        </w:rPr>
      </w:pPr>
      <w:r>
        <w:rPr>
          <w:rFonts w:hint="eastAsia"/>
          <w:sz w:val="24"/>
          <w:szCs w:val="24"/>
        </w:rPr>
        <w:t>e.行业培训：3次、2次、1次/年。</w:t>
      </w:r>
    </w:p>
    <w:p>
      <w:pPr>
        <w:spacing w:line="300" w:lineRule="auto"/>
        <w:ind w:firstLine="480" w:firstLineChars="200"/>
        <w:rPr>
          <w:sz w:val="24"/>
          <w:szCs w:val="24"/>
        </w:rPr>
      </w:pPr>
      <w:r>
        <w:rPr>
          <w:rFonts w:hint="eastAsia"/>
          <w:sz w:val="24"/>
          <w:szCs w:val="24"/>
        </w:rPr>
        <w:t>7.4</w:t>
      </w:r>
      <w:r>
        <w:rPr>
          <w:sz w:val="24"/>
          <w:szCs w:val="24"/>
        </w:rPr>
        <w:t>.</w:t>
      </w:r>
      <w:r>
        <w:rPr>
          <w:rFonts w:hint="eastAsia"/>
          <w:sz w:val="24"/>
          <w:szCs w:val="24"/>
        </w:rPr>
        <w:t>技术装备</w:t>
      </w:r>
    </w:p>
    <w:p>
      <w:pPr>
        <w:spacing w:line="300" w:lineRule="auto"/>
        <w:ind w:firstLine="480"/>
        <w:rPr>
          <w:sz w:val="24"/>
          <w:szCs w:val="24"/>
        </w:rPr>
      </w:pPr>
      <w:r>
        <w:rPr>
          <w:rFonts w:hint="eastAsia"/>
          <w:sz w:val="24"/>
          <w:szCs w:val="24"/>
        </w:rPr>
        <w:t>a.办公场所：</w:t>
      </w:r>
      <w:r>
        <w:rPr>
          <w:sz w:val="24"/>
          <w:szCs w:val="24"/>
        </w:rPr>
        <w:t>300</w:t>
      </w:r>
      <w:r>
        <w:rPr>
          <w:rFonts w:hint="eastAsia"/>
          <w:sz w:val="24"/>
          <w:szCs w:val="24"/>
        </w:rPr>
        <w:t>平方米、200平方米、100平方米及以上。</w:t>
      </w:r>
    </w:p>
    <w:p>
      <w:pPr>
        <w:spacing w:line="300" w:lineRule="auto"/>
        <w:ind w:firstLine="480"/>
        <w:rPr>
          <w:sz w:val="24"/>
          <w:szCs w:val="24"/>
        </w:rPr>
      </w:pPr>
      <w:r>
        <w:rPr>
          <w:rFonts w:hint="eastAsia"/>
          <w:sz w:val="24"/>
          <w:szCs w:val="24"/>
        </w:rPr>
        <w:t>b.生产、加工、仓储面积：1</w:t>
      </w:r>
      <w:r>
        <w:rPr>
          <w:sz w:val="24"/>
          <w:szCs w:val="24"/>
        </w:rPr>
        <w:t>000</w:t>
      </w:r>
      <w:r>
        <w:rPr>
          <w:rFonts w:hint="eastAsia"/>
          <w:sz w:val="24"/>
          <w:szCs w:val="24"/>
        </w:rPr>
        <w:t>平方米、500平方米、300平方米及以上。</w:t>
      </w:r>
    </w:p>
    <w:p>
      <w:pPr>
        <w:spacing w:line="300" w:lineRule="auto"/>
        <w:ind w:firstLine="480"/>
        <w:rPr>
          <w:sz w:val="24"/>
          <w:szCs w:val="24"/>
        </w:rPr>
      </w:pPr>
      <w:r>
        <w:rPr>
          <w:rFonts w:hint="eastAsia"/>
          <w:sz w:val="24"/>
          <w:szCs w:val="24"/>
        </w:rPr>
        <w:t>c.设计施工器具：完备、较完备、基本完备。</w:t>
      </w:r>
    </w:p>
    <w:p>
      <w:pPr>
        <w:spacing w:line="300" w:lineRule="auto"/>
        <w:ind w:firstLine="480"/>
        <w:rPr>
          <w:sz w:val="24"/>
          <w:szCs w:val="24"/>
        </w:rPr>
      </w:pPr>
      <w:r>
        <w:rPr>
          <w:rFonts w:hint="eastAsia"/>
          <w:sz w:val="24"/>
          <w:szCs w:val="24"/>
        </w:rPr>
        <w:t>d.质量体系：规范、较规范、基本规范。</w:t>
      </w:r>
    </w:p>
    <w:p>
      <w:pPr>
        <w:spacing w:line="300" w:lineRule="auto"/>
        <w:ind w:firstLine="480"/>
        <w:rPr>
          <w:sz w:val="24"/>
          <w:szCs w:val="24"/>
        </w:rPr>
      </w:pPr>
      <w:r>
        <w:rPr>
          <w:rFonts w:hint="eastAsia"/>
          <w:sz w:val="24"/>
          <w:szCs w:val="24"/>
        </w:rPr>
        <w:t>e.管理制度：完善、较完善、基本完善。</w:t>
      </w:r>
    </w:p>
    <w:p>
      <w:pPr>
        <w:spacing w:line="300" w:lineRule="auto"/>
        <w:rPr>
          <w:b/>
          <w:bCs/>
          <w:sz w:val="24"/>
          <w:szCs w:val="24"/>
        </w:rPr>
      </w:pPr>
      <w:r>
        <w:rPr>
          <w:rFonts w:hint="eastAsia"/>
          <w:b/>
          <w:bCs/>
          <w:sz w:val="24"/>
          <w:szCs w:val="24"/>
        </w:rPr>
        <w:t>8</w:t>
      </w:r>
      <w:r>
        <w:rPr>
          <w:b/>
          <w:bCs/>
          <w:sz w:val="24"/>
          <w:szCs w:val="24"/>
        </w:rPr>
        <w:t xml:space="preserve">  </w:t>
      </w:r>
      <w:r>
        <w:rPr>
          <w:rFonts w:hint="eastAsia"/>
          <w:b/>
          <w:bCs/>
          <w:sz w:val="24"/>
          <w:szCs w:val="24"/>
        </w:rPr>
        <w:t>评价程序</w:t>
      </w:r>
    </w:p>
    <w:p>
      <w:pPr>
        <w:spacing w:line="300" w:lineRule="auto"/>
        <w:ind w:firstLine="240" w:firstLineChars="100"/>
        <w:rPr>
          <w:sz w:val="24"/>
          <w:szCs w:val="24"/>
        </w:rPr>
      </w:pPr>
      <w:r>
        <w:rPr>
          <w:sz w:val="24"/>
          <w:szCs w:val="24"/>
        </w:rPr>
        <w:t>8.1</w:t>
      </w:r>
      <w:r>
        <w:rPr>
          <w:rFonts w:hint="eastAsia"/>
          <w:sz w:val="24"/>
          <w:szCs w:val="24"/>
        </w:rPr>
        <w:t>评价流程：申报—受理—抽查—评审—公示—通过评定—发放证书。</w:t>
      </w:r>
    </w:p>
    <w:p>
      <w:pPr>
        <w:spacing w:line="300" w:lineRule="auto"/>
        <w:ind w:firstLine="240" w:firstLineChars="100"/>
        <w:rPr>
          <w:sz w:val="24"/>
          <w:szCs w:val="24"/>
        </w:rPr>
      </w:pPr>
      <w:r>
        <w:rPr>
          <w:sz w:val="24"/>
          <w:szCs w:val="24"/>
        </w:rPr>
        <w:t>8.2</w:t>
      </w:r>
      <w:r>
        <w:rPr>
          <w:rFonts w:hint="eastAsia"/>
          <w:sz w:val="24"/>
          <w:szCs w:val="24"/>
        </w:rPr>
        <w:t>自愿申报，每年一次。</w:t>
      </w:r>
    </w:p>
    <w:p>
      <w:pPr>
        <w:spacing w:line="300" w:lineRule="auto"/>
        <w:rPr>
          <w:b/>
          <w:bCs/>
          <w:sz w:val="24"/>
          <w:szCs w:val="24"/>
        </w:rPr>
      </w:pPr>
      <w:r>
        <w:rPr>
          <w:rFonts w:hint="eastAsia"/>
          <w:b/>
          <w:bCs/>
          <w:sz w:val="24"/>
          <w:szCs w:val="24"/>
        </w:rPr>
        <w:t xml:space="preserve">9 </w:t>
      </w:r>
      <w:r>
        <w:rPr>
          <w:rFonts w:hint="eastAsia"/>
          <w:sz w:val="24"/>
          <w:szCs w:val="24"/>
        </w:rPr>
        <w:t xml:space="preserve"> </w:t>
      </w:r>
      <w:r>
        <w:rPr>
          <w:rFonts w:hint="eastAsia"/>
          <w:b/>
          <w:bCs/>
          <w:sz w:val="24"/>
          <w:szCs w:val="24"/>
        </w:rPr>
        <w:t>评价机构</w:t>
      </w:r>
    </w:p>
    <w:p>
      <w:pPr>
        <w:widowControl/>
        <w:jc w:val="left"/>
        <w:rPr>
          <w:sz w:val="24"/>
          <w:szCs w:val="24"/>
        </w:rPr>
      </w:pPr>
      <w:r>
        <w:rPr>
          <w:rFonts w:hint="eastAsia"/>
          <w:b/>
          <w:bCs/>
          <w:sz w:val="24"/>
          <w:szCs w:val="24"/>
        </w:rPr>
        <w:t xml:space="preserve">  </w:t>
      </w:r>
      <w:r>
        <w:rPr>
          <w:rFonts w:hint="eastAsia"/>
          <w:sz w:val="24"/>
          <w:szCs w:val="24"/>
        </w:rPr>
        <w:t>9.1评价机构为具有专业队伍和其他条件的第三方机构。</w:t>
      </w:r>
    </w:p>
    <w:p>
      <w:pPr>
        <w:widowControl/>
        <w:jc w:val="left"/>
        <w:rPr>
          <w:sz w:val="24"/>
          <w:szCs w:val="24"/>
        </w:rPr>
      </w:pPr>
      <w:r>
        <w:rPr>
          <w:rFonts w:hint="eastAsia"/>
          <w:sz w:val="24"/>
          <w:szCs w:val="24"/>
        </w:rPr>
        <w:t xml:space="preserve">  9.2评价机构应制定完整的评价细则和管理规范，并在官网公示。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M1NzQyNzA5ZDFhNzYxMGM2NWNlOWU4MWQ0MTQzNjMifQ=="/>
  </w:docVars>
  <w:rsids>
    <w:rsidRoot w:val="001720F8"/>
    <w:rsid w:val="00010036"/>
    <w:rsid w:val="0001452D"/>
    <w:rsid w:val="00032F22"/>
    <w:rsid w:val="00041277"/>
    <w:rsid w:val="00054B81"/>
    <w:rsid w:val="00056C7C"/>
    <w:rsid w:val="0007532C"/>
    <w:rsid w:val="000A2670"/>
    <w:rsid w:val="000B1FB0"/>
    <w:rsid w:val="000F4021"/>
    <w:rsid w:val="00107AE2"/>
    <w:rsid w:val="001212DC"/>
    <w:rsid w:val="001509CE"/>
    <w:rsid w:val="00153AC8"/>
    <w:rsid w:val="001720F8"/>
    <w:rsid w:val="001848EB"/>
    <w:rsid w:val="00187D29"/>
    <w:rsid w:val="001C27A6"/>
    <w:rsid w:val="001D0D8C"/>
    <w:rsid w:val="001D6F5F"/>
    <w:rsid w:val="00204DDD"/>
    <w:rsid w:val="00212963"/>
    <w:rsid w:val="0021496A"/>
    <w:rsid w:val="00223A59"/>
    <w:rsid w:val="00254619"/>
    <w:rsid w:val="00255409"/>
    <w:rsid w:val="00260BAF"/>
    <w:rsid w:val="00266D08"/>
    <w:rsid w:val="00285F25"/>
    <w:rsid w:val="002A5440"/>
    <w:rsid w:val="002E3691"/>
    <w:rsid w:val="00300D18"/>
    <w:rsid w:val="00360854"/>
    <w:rsid w:val="003B153F"/>
    <w:rsid w:val="003C156C"/>
    <w:rsid w:val="004200BE"/>
    <w:rsid w:val="00426AD7"/>
    <w:rsid w:val="004332DE"/>
    <w:rsid w:val="004533C6"/>
    <w:rsid w:val="004675E0"/>
    <w:rsid w:val="0047620E"/>
    <w:rsid w:val="00481C98"/>
    <w:rsid w:val="00482A7E"/>
    <w:rsid w:val="00485155"/>
    <w:rsid w:val="004B15CD"/>
    <w:rsid w:val="004C5582"/>
    <w:rsid w:val="004F05FE"/>
    <w:rsid w:val="00514EB2"/>
    <w:rsid w:val="00516383"/>
    <w:rsid w:val="0052555A"/>
    <w:rsid w:val="00532548"/>
    <w:rsid w:val="00564915"/>
    <w:rsid w:val="005A1EF8"/>
    <w:rsid w:val="005D774F"/>
    <w:rsid w:val="006237A5"/>
    <w:rsid w:val="00624E36"/>
    <w:rsid w:val="0063234C"/>
    <w:rsid w:val="006411C1"/>
    <w:rsid w:val="006432B1"/>
    <w:rsid w:val="00647B00"/>
    <w:rsid w:val="006568E3"/>
    <w:rsid w:val="006741D1"/>
    <w:rsid w:val="00682E7D"/>
    <w:rsid w:val="00691CDF"/>
    <w:rsid w:val="00696B66"/>
    <w:rsid w:val="006A500B"/>
    <w:rsid w:val="006B69E3"/>
    <w:rsid w:val="006F251B"/>
    <w:rsid w:val="007033F6"/>
    <w:rsid w:val="0070461C"/>
    <w:rsid w:val="007078DD"/>
    <w:rsid w:val="00712923"/>
    <w:rsid w:val="007339FF"/>
    <w:rsid w:val="007634BB"/>
    <w:rsid w:val="00777993"/>
    <w:rsid w:val="007872A0"/>
    <w:rsid w:val="007F3584"/>
    <w:rsid w:val="00802077"/>
    <w:rsid w:val="008117D0"/>
    <w:rsid w:val="008152DE"/>
    <w:rsid w:val="008207E1"/>
    <w:rsid w:val="00822166"/>
    <w:rsid w:val="00825A30"/>
    <w:rsid w:val="00847B7B"/>
    <w:rsid w:val="00861A15"/>
    <w:rsid w:val="008B1573"/>
    <w:rsid w:val="008C668D"/>
    <w:rsid w:val="008E7AB4"/>
    <w:rsid w:val="009042BF"/>
    <w:rsid w:val="00915A0F"/>
    <w:rsid w:val="00935B39"/>
    <w:rsid w:val="00937A4C"/>
    <w:rsid w:val="00943146"/>
    <w:rsid w:val="009602F3"/>
    <w:rsid w:val="00974E02"/>
    <w:rsid w:val="00977354"/>
    <w:rsid w:val="009851F0"/>
    <w:rsid w:val="009D2DB6"/>
    <w:rsid w:val="009E56C9"/>
    <w:rsid w:val="00A108DD"/>
    <w:rsid w:val="00A136C9"/>
    <w:rsid w:val="00A260A7"/>
    <w:rsid w:val="00A40FAB"/>
    <w:rsid w:val="00A731A8"/>
    <w:rsid w:val="00A74DC6"/>
    <w:rsid w:val="00AD7245"/>
    <w:rsid w:val="00AF05D9"/>
    <w:rsid w:val="00AF7FC6"/>
    <w:rsid w:val="00B060CF"/>
    <w:rsid w:val="00B316C5"/>
    <w:rsid w:val="00B40F6E"/>
    <w:rsid w:val="00B73685"/>
    <w:rsid w:val="00BB7111"/>
    <w:rsid w:val="00BD3EF1"/>
    <w:rsid w:val="00BD44A5"/>
    <w:rsid w:val="00C537FB"/>
    <w:rsid w:val="00C56448"/>
    <w:rsid w:val="00C737C8"/>
    <w:rsid w:val="00C76F08"/>
    <w:rsid w:val="00C86452"/>
    <w:rsid w:val="00CB372B"/>
    <w:rsid w:val="00CC4D91"/>
    <w:rsid w:val="00CE26B4"/>
    <w:rsid w:val="00CF3F41"/>
    <w:rsid w:val="00D01651"/>
    <w:rsid w:val="00D42575"/>
    <w:rsid w:val="00D542D8"/>
    <w:rsid w:val="00D7130A"/>
    <w:rsid w:val="00D72F26"/>
    <w:rsid w:val="00D84B3E"/>
    <w:rsid w:val="00D92B64"/>
    <w:rsid w:val="00D93864"/>
    <w:rsid w:val="00DC119F"/>
    <w:rsid w:val="00DE2A35"/>
    <w:rsid w:val="00E01A1C"/>
    <w:rsid w:val="00E0265E"/>
    <w:rsid w:val="00E249CB"/>
    <w:rsid w:val="00E62355"/>
    <w:rsid w:val="00E66011"/>
    <w:rsid w:val="00E672A9"/>
    <w:rsid w:val="00E96E1D"/>
    <w:rsid w:val="00EB15F8"/>
    <w:rsid w:val="00EC63C5"/>
    <w:rsid w:val="00F156B9"/>
    <w:rsid w:val="00F24CCA"/>
    <w:rsid w:val="00F35C7A"/>
    <w:rsid w:val="00F42611"/>
    <w:rsid w:val="00F51720"/>
    <w:rsid w:val="00F60A6D"/>
    <w:rsid w:val="00F72BBF"/>
    <w:rsid w:val="00F76487"/>
    <w:rsid w:val="00F90CDD"/>
    <w:rsid w:val="00F96F9A"/>
    <w:rsid w:val="00FB3553"/>
    <w:rsid w:val="00FE4127"/>
    <w:rsid w:val="00FE6E87"/>
    <w:rsid w:val="011253ED"/>
    <w:rsid w:val="05C0366A"/>
    <w:rsid w:val="087A1F0C"/>
    <w:rsid w:val="08E41D65"/>
    <w:rsid w:val="0B1A1A6E"/>
    <w:rsid w:val="0CAA6E21"/>
    <w:rsid w:val="0FAC2EB1"/>
    <w:rsid w:val="104D7C0B"/>
    <w:rsid w:val="108A31F2"/>
    <w:rsid w:val="14B22D17"/>
    <w:rsid w:val="15233C15"/>
    <w:rsid w:val="16027CCE"/>
    <w:rsid w:val="1878106B"/>
    <w:rsid w:val="1A8467EB"/>
    <w:rsid w:val="1C395ACC"/>
    <w:rsid w:val="24A0493A"/>
    <w:rsid w:val="25BF7042"/>
    <w:rsid w:val="27975A2C"/>
    <w:rsid w:val="2C2372FA"/>
    <w:rsid w:val="2EBA4D36"/>
    <w:rsid w:val="30004E27"/>
    <w:rsid w:val="301F34FF"/>
    <w:rsid w:val="31FE5396"/>
    <w:rsid w:val="34F74C60"/>
    <w:rsid w:val="3D37175C"/>
    <w:rsid w:val="3D397CA5"/>
    <w:rsid w:val="40D95004"/>
    <w:rsid w:val="452D1715"/>
    <w:rsid w:val="46A61E2C"/>
    <w:rsid w:val="4840005F"/>
    <w:rsid w:val="4EE94FAC"/>
    <w:rsid w:val="503A4E81"/>
    <w:rsid w:val="51E657D3"/>
    <w:rsid w:val="520619D1"/>
    <w:rsid w:val="540C5DAD"/>
    <w:rsid w:val="56BD287A"/>
    <w:rsid w:val="56CF2CD9"/>
    <w:rsid w:val="5B9A2AA4"/>
    <w:rsid w:val="5E3D49CC"/>
    <w:rsid w:val="61845392"/>
    <w:rsid w:val="63021D41"/>
    <w:rsid w:val="64C73242"/>
    <w:rsid w:val="6B563571"/>
    <w:rsid w:val="6EC922AC"/>
    <w:rsid w:val="723143F0"/>
    <w:rsid w:val="741144D9"/>
    <w:rsid w:val="7C0C5586"/>
    <w:rsid w:val="7CAB4D9F"/>
    <w:rsid w:val="7FA91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宋体"/>
      <w:kern w:val="2"/>
      <w:sz w:val="18"/>
      <w:szCs w:val="18"/>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style>
  <w:style w:type="paragraph" w:styleId="3">
    <w:name w:val="header"/>
    <w:basedOn w:val="1"/>
    <w:link w:val="8"/>
    <w:unhideWhenUsed/>
    <w:qFormat/>
    <w:uiPriority w:val="99"/>
    <w:pPr>
      <w:tabs>
        <w:tab w:val="center" w:pos="4153"/>
        <w:tab w:val="right" w:pos="8306"/>
      </w:tabs>
      <w:snapToGrid w:val="0"/>
      <w:jc w:val="center"/>
    </w:p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 w:type="character" w:customStyle="1" w:styleId="8">
    <w:name w:val="页眉 字符"/>
    <w:basedOn w:val="6"/>
    <w:link w:val="3"/>
    <w:qFormat/>
    <w:uiPriority w:val="99"/>
    <w:rPr>
      <w:kern w:val="2"/>
      <w:sz w:val="18"/>
      <w:szCs w:val="18"/>
    </w:rPr>
  </w:style>
  <w:style w:type="character" w:customStyle="1" w:styleId="9">
    <w:name w:val="页脚 字符"/>
    <w:basedOn w:val="6"/>
    <w:link w:val="2"/>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444</Words>
  <Characters>2532</Characters>
  <Lines>21</Lines>
  <Paragraphs>5</Paragraphs>
  <TotalTime>100</TotalTime>
  <ScaleCrop>false</ScaleCrop>
  <LinksUpToDate>false</LinksUpToDate>
  <CharactersWithSpaces>2971</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2023-07-16T15:59:00Z</dcterms:created>
  <dc:creator>gao tong</dc:creator>
  <cp:lastModifiedBy>刘玉</cp:lastModifiedBy>
  <cp:lastPrinted>2023-05-17T10:21:00Z</cp:lastPrinted>
  <dcterms:modified xsi:type="dcterms:W3CDTF">2023-08-01T09:54:27Z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C85DFD62924D4DDB8892B1479A8E1C02_13</vt:lpwstr>
  </property>
</Properties>
</file>