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ttachedToolbars.bin" ContentType="application/vnd.ms-word.attachedToolbars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32"/>
        <w:framePr/>
      </w:pPr>
      <w:r>
        <w:rPr>
          <w:rFonts w:ascii="Times New Roman"/>
        </w:rPr>
        <w:t>ICS</w:t>
      </w:r>
      <w:r>
        <w:rPr>
          <w:rFonts w:hint="eastAsia" w:ascii="MS Mincho" w:hAnsi="MS Mincho" w:eastAsia="MS Mincho" w:cs="MS Mincho"/>
        </w:rPr>
        <w:t> </w:t>
      </w:r>
      <w:bookmarkStart w:id="0" w:name="ICS"/>
      <w:r>
        <w:fldChar w:fldCharType="begin">
          <w:ffData>
            <w:name w:val="ICS"/>
            <w:enabled/>
            <w:calcOnExit w:val="0"/>
            <w:helpText w:type="text" w:val="请输入正确的ICS号："/>
            <w:textInput>
              <w:default w:val="点击此处添加ICS号"/>
            </w:textInput>
          </w:ffData>
        </w:fldChar>
      </w:r>
      <w:r>
        <w:instrText xml:space="preserve"> FORMTEXT </w:instrText>
      </w:r>
      <w:r>
        <w:fldChar w:fldCharType="separate"/>
      </w:r>
      <w:r>
        <w:t>     </w:t>
      </w:r>
      <w:r>
        <w:fldChar w:fldCharType="end"/>
      </w:r>
      <w:bookmarkEnd w:id="0"/>
    </w:p>
    <w:p>
      <w:pPr>
        <w:pStyle w:val="132"/>
        <w:framePr/>
      </w:pPr>
      <w:bookmarkStart w:id="1" w:name="WXFLH"/>
      <w:r>
        <w:fldChar w:fldCharType="begin">
          <w:ffData>
            <w:name w:val="WXFLH"/>
            <w:enabled/>
            <w:calcOnExit w:val="0"/>
            <w:helpText w:type="text" w:val="请输入中国标准文献分类号："/>
            <w:textInput>
              <w:default w:val="点击此处添加中国标准文献分类号"/>
            </w:textInput>
          </w:ffData>
        </w:fldChar>
      </w:r>
      <w:r>
        <w:instrText xml:space="preserve"> FORMTEXT </w:instrText>
      </w:r>
      <w:r>
        <w:fldChar w:fldCharType="separate"/>
      </w:r>
      <w:r>
        <w:t>     </w:t>
      </w:r>
      <w:r>
        <w:fldChar w:fldCharType="end"/>
      </w:r>
      <w:bookmarkEnd w:id="1"/>
    </w:p>
    <w:tbl>
      <w:tblPr>
        <w:tblStyle w:val="30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132"/>
              <w:framePr/>
            </w:pPr>
            <w:r>
              <mc:AlternateContent>
                <mc:Choice Requires="wps">
                  <w:drawing>
                    <wp:anchor distT="0" distB="0" distL="114300" distR="114300" simplePos="0" relativeHeight="251662336" behindDoc="1" locked="0" layoutInCell="1" allowOverlap="1">
                      <wp:simplePos x="0" y="0"/>
                      <wp:positionH relativeFrom="column">
                        <wp:posOffset>-66675</wp:posOffset>
                      </wp:positionH>
                      <wp:positionV relativeFrom="paragraph">
                        <wp:posOffset>0</wp:posOffset>
                      </wp:positionV>
                      <wp:extent cx="866775" cy="198120"/>
                      <wp:effectExtent l="0" t="0" r="1905" b="0"/>
                      <wp:wrapNone/>
                      <wp:docPr id="4" name="BAH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66775" cy="1981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bodyPr wrap="square" upright="true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BAH" o:spid="_x0000_s1026" o:spt="1" style="position:absolute;left:0pt;margin-left:-5.25pt;margin-top:0pt;height:15.6pt;width:68.25pt;z-index:-251654144;mso-width-relative:page;mso-height-relative:page;" fillcolor="#FFFFFF" filled="t" stroked="f" coordsize="21600,21600" o:gfxdata="UEsFBgAAAAAAAAAAAAAAAAAAAAAAAFBLAwQKAAAAAACHTuJAAAAAAAAAAAAAAAAABAAAAGRycy9Q&#10;SwMEFAAAAAgAh07iQMiuL+zVAAAABwEAAA8AAABkcnMvZG93bnJldi54bWxNj8FuwjAQRO+V+g/W&#10;VuIGdkKJaBqHQyVOpYcCEtclXpKo8TqNHUj/vubU3mY1o5m3xWaynbjS4FvHGpKFAkFcOdNyreF4&#10;2M7XIHxANtg5Jg0/5GFTPj4UmBt340+67kMtYgn7HDU0IfS5lL5qyKJfuJ44ehc3WAzxHGppBrzF&#10;ctvJVKlMWmw5LjTY01tD1dd+tBowezbfH5fl7vA+ZvhST2q7OimtZ0+JegURaAp/YbjjR3QoI9PZ&#10;jWy86DTME7WKUQ3xo7udZlGcNSyTFGRZyP/85S9QSwMEFAAAAAgAh07iQJa2gHKWAQAAHAMAAA4A&#10;AABkcnMvZTJvRG9jLnhtbK1Sy24bMQy8F+g/CLrXso3UcRZeB00Dt4eiDZDkA2SttCtAr5Ky1/77&#10;UrLj9HELugcuKVJDzlCr24N3bK8BbQwtn02mnOmgYmdD3/Lnp82HJWeYZeiki0G3/KiR367fv1uN&#10;qdHzOETXaWAEErAZU8uHnFMjBKpBe4mTmHSgpIngZaYQetGBHAndOzGfThdijNAliEoj0un9KcnX&#10;Fd8YrfIPY1Bn5lpOs+VqodptsWK9kk0PMg1WnceQb5jCSxuo6QXqXmbJdmD/gfJWQcRo8kRFL6Ix&#10;VunKgdjMpn+xeRxk0pULiYPpIhP+P1j1ff8AzHYtv+IsSE8ruvv0tcgyJmwo+5ge4BwhuYXjwYAv&#10;f5qeHaqUx4uU+pCZosPlYnF9/ZEzRanZzXI2r1KL18sJMH/R0bPitBxoU1VAuf+GmRpS6UtJ6YXR&#10;2W5jnasB9NvPDthe0lY39SsT05U/ylwoxSGWa6d0ORGF2IlK8baxO5ICIz2BluPPnQTN2S6B7Qca&#10;K8NOV+hSSiuoTc7Ppez497hCvz7q9S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AaBAAAW0NvbnRlbnRfVHlwZXNdLnhtbFBLAQIUAAoAAAAAAIdO&#10;4kAAAAAAAAAAAAAAAAAGAAAAAAAAAAAAEAAAAPwCAABfcmVscy9QSwECFAAUAAAACACHTuJAihRm&#10;PNEAAACUAQAACwAAAAAAAAABACAAAAAgAwAAX3JlbHMvLnJlbHNQSwECFAAKAAAAAACHTuJAAAAA&#10;AAAAAAAAAAAABAAAAAAAAAAAABAAAAAWAAAAZHJzL1BLAQIUABQAAAAIAIdO4kDIri/s1QAAAAcB&#10;AAAPAAAAAAAAAAEAIAAAADgAAABkcnMvZG93bnJldi54bWxQSwECFAAUAAAACACHTuJAlraAcpYB&#10;AAAcAwAADgAAAAAAAAABACAAAAA6AQAAZHJzL2Uyb0RvYy54bWxQSwUGAAAAAAYABgBZAQAAQgUA&#10;AAAA&#10;">
                      <v:fill on="t" focussize="0,0"/>
                      <v:stroke on="f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fldChar w:fldCharType="begin">
                <w:ffData>
                  <w:name w:val="BAH"/>
                  <w:enabled/>
                  <w:calcOnExit w:val="0"/>
                  <w:textInput/>
                </w:ffData>
              </w:fldChar>
            </w:r>
            <w:bookmarkStart w:id="2" w:name="BAH"/>
            <w:r>
              <w:instrText xml:space="preserve"> FORMTEXT </w:instrText>
            </w:r>
            <w:r>
              <w:fldChar w:fldCharType="separate"/>
            </w:r>
            <w:r>
              <w:t>     </w:t>
            </w:r>
            <w:r>
              <w:fldChar w:fldCharType="end"/>
            </w:r>
            <w:bookmarkEnd w:id="2"/>
          </w:p>
        </w:tc>
      </w:tr>
    </w:tbl>
    <w:p>
      <w:pPr>
        <w:pStyle w:val="125"/>
        <w:framePr/>
      </w:pPr>
      <w:r>
        <w:t>DB</w:t>
      </w:r>
      <w:bookmarkStart w:id="3" w:name="c3"/>
      <w:r>
        <w:fldChar w:fldCharType="begin">
          <w:ffData>
            <w:name w:val="c3"/>
            <w:enabled/>
            <w:calcOnExit w:val="0"/>
            <w:textInput>
              <w:maxLength w:val="2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rFonts w:hint="eastAsia"/>
        </w:rPr>
        <w:t>13</w:t>
      </w:r>
      <w:r>
        <w:fldChar w:fldCharType="end"/>
      </w:r>
      <w:bookmarkEnd w:id="3"/>
    </w:p>
    <w:p>
      <w:pPr>
        <w:pStyle w:val="77"/>
        <w:framePr/>
      </w:pPr>
      <w:bookmarkStart w:id="4" w:name="c4"/>
      <w:r>
        <w:fldChar w:fldCharType="begin">
          <w:ffData>
            <w:name w:val="c4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rFonts w:hint="eastAsia"/>
        </w:rPr>
        <w:t>河北省</w:t>
      </w:r>
      <w:r>
        <w:fldChar w:fldCharType="end"/>
      </w:r>
      <w:bookmarkEnd w:id="4"/>
      <w:r>
        <w:rPr>
          <w:rFonts w:hint="eastAsia"/>
        </w:rPr>
        <w:t>地方标准</w:t>
      </w:r>
    </w:p>
    <w:p>
      <w:pPr>
        <w:pStyle w:val="67"/>
        <w:framePr/>
        <w:rPr>
          <w:rFonts w:hAnsi="黑体"/>
        </w:rPr>
      </w:pPr>
      <w:r>
        <w:rPr>
          <w:rFonts w:ascii="Times New Roman"/>
        </w:rPr>
        <w:t xml:space="preserve">DB </w:t>
      </w:r>
      <w:bookmarkStart w:id="5" w:name="StdNo0"/>
      <w:r>
        <w:rPr>
          <w:rFonts w:hAnsi="黑体"/>
        </w:rPr>
        <w:fldChar w:fldCharType="begin">
          <w:ffData>
            <w:name w:val="StdNo0"/>
            <w:enabled/>
            <w:calcOnExit w:val="0"/>
            <w:textInput>
              <w:default w:val="XX"/>
              <w:maxLength w:val="2"/>
            </w:textInput>
          </w:ffData>
        </w:fldChar>
      </w:r>
      <w:r>
        <w:rPr>
          <w:rFonts w:hAnsi="黑体"/>
        </w:rPr>
        <w:instrText xml:space="preserve"> FORMTEXT </w:instrText>
      </w:r>
      <w:r>
        <w:rPr>
          <w:rFonts w:hAnsi="黑体"/>
        </w:rPr>
        <w:fldChar w:fldCharType="separate"/>
      </w:r>
      <w:r>
        <w:rPr>
          <w:rFonts w:hint="eastAsia" w:hAnsi="黑体"/>
        </w:rPr>
        <w:t>13</w:t>
      </w:r>
      <w:r>
        <w:rPr>
          <w:rFonts w:hAnsi="黑体"/>
        </w:rPr>
        <w:fldChar w:fldCharType="end"/>
      </w:r>
      <w:bookmarkEnd w:id="5"/>
      <w:r>
        <w:rPr>
          <w:rFonts w:hAnsi="黑体"/>
        </w:rPr>
        <w:t xml:space="preserve">/ </w:t>
      </w:r>
      <w:bookmarkStart w:id="6" w:name="StdNo1"/>
      <w:r>
        <w:rPr>
          <w:rFonts w:hAnsi="黑体"/>
        </w:rPr>
        <w:fldChar w:fldCharType="begin">
          <w:ffData>
            <w:name w:val="StdNo1"/>
            <w:enabled/>
            <w:calcOnExit w:val="0"/>
            <w:textInput>
              <w:default w:val="XXXXX"/>
            </w:textInput>
          </w:ffData>
        </w:fldChar>
      </w:r>
      <w:r>
        <w:rPr>
          <w:rFonts w:hAnsi="黑体"/>
        </w:rPr>
        <w:instrText xml:space="preserve"> FORMTEXT </w:instrText>
      </w:r>
      <w:r>
        <w:rPr>
          <w:rFonts w:hAnsi="黑体"/>
        </w:rPr>
        <w:fldChar w:fldCharType="separate"/>
      </w:r>
      <w:r>
        <w:rPr>
          <w:rFonts w:hAnsi="黑体"/>
        </w:rPr>
        <w:t>XXXXX</w:t>
      </w:r>
      <w:r>
        <w:rPr>
          <w:rFonts w:hAnsi="黑体"/>
        </w:rPr>
        <w:fldChar w:fldCharType="end"/>
      </w:r>
      <w:bookmarkEnd w:id="6"/>
      <w:r>
        <w:rPr>
          <w:rFonts w:hAnsi="黑体"/>
        </w:rPr>
        <w:t>—</w:t>
      </w:r>
      <w:bookmarkStart w:id="7" w:name="StdNo2"/>
      <w:r>
        <w:rPr>
          <w:rFonts w:hAnsi="黑体"/>
        </w:rPr>
        <w:fldChar w:fldCharType="begin">
          <w:ffData>
            <w:name w:val="StdNo2"/>
            <w:enabled/>
            <w:calcOnExit w:val="0"/>
            <w:textInput>
              <w:default w:val="XXXX"/>
              <w:maxLength w:val="4"/>
            </w:textInput>
          </w:ffData>
        </w:fldChar>
      </w:r>
      <w:r>
        <w:rPr>
          <w:rFonts w:hAnsi="黑体"/>
        </w:rPr>
        <w:instrText xml:space="preserve"> FORMTEXT </w:instrText>
      </w:r>
      <w:r>
        <w:rPr>
          <w:rFonts w:hAnsi="黑体"/>
        </w:rPr>
        <w:fldChar w:fldCharType="separate"/>
      </w:r>
      <w:r>
        <w:rPr>
          <w:rFonts w:hAnsi="黑体"/>
        </w:rPr>
        <w:t>XXXX</w:t>
      </w:r>
      <w:r>
        <w:rPr>
          <w:rFonts w:hAnsi="黑体"/>
        </w:rPr>
        <w:fldChar w:fldCharType="end"/>
      </w:r>
      <w:bookmarkEnd w:id="7"/>
    </w:p>
    <w:tbl>
      <w:tblPr>
        <w:tblStyle w:val="30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102"/>
              <w:framePr/>
            </w:pPr>
            <w:bookmarkStart w:id="8" w:name="DT"/>
            <w:r>
              <mc:AlternateContent>
                <mc:Choice Requires="wps">
                  <w:drawing>
                    <wp:anchor distT="0" distB="0" distL="114300" distR="114300" simplePos="0" relativeHeight="251659264" behindDoc="1" locked="0" layoutInCell="1" allowOverlap="1">
                      <wp:simplePos x="0" y="0"/>
                      <wp:positionH relativeFrom="column">
                        <wp:posOffset>4734560</wp:posOffset>
                      </wp:positionH>
                      <wp:positionV relativeFrom="paragraph">
                        <wp:posOffset>34290</wp:posOffset>
                      </wp:positionV>
                      <wp:extent cx="1143000" cy="228600"/>
                      <wp:effectExtent l="0" t="0" r="0" b="0"/>
                      <wp:wrapNone/>
                      <wp:docPr id="1" name="DT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bodyPr wrap="square" upright="true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DT" o:spid="_x0000_s1026" o:spt="1" style="position:absolute;left:0pt;margin-left:372.8pt;margin-top:2.7pt;height:18pt;width:90pt;z-index:-251657216;mso-width-relative:page;mso-height-relative:page;" fillcolor="#FFFFFF" filled="t" stroked="f" coordsize="21600,21600" o:gfxdata="UEsFBgAAAAAAAAAAAAAAAAAAAAAAAFBLAwQKAAAAAACHTuJAAAAAAAAAAAAAAAAABAAAAGRycy9Q&#10;SwMEFAAAAAgAh07iQB5g8svWAAAACAEAAA8AAABkcnMvZG93bnJldi54bWxNjzFPwzAUhHck/oP1&#10;kNionZKENo3TAakTMNAisb7Gr0lE/Bxipw3/HneC8XSnu+/K7Wx7cabRd441JAsFgrh2puNGw8dh&#10;97AC4QOywd4xafghD9vq9qbEwrgLv9N5HxoRS9gXqKENYSik9HVLFv3CDcTRO7nRYohybKQZ8RLL&#10;bS+XSuXSYsdxocWBnluqv/aT1YB5ar7fTo+vh5cpx3Uzq132qbS+v0vUBkSgOfyF4Yof0aGKTEc3&#10;sfGi1/CUZnmMashSENFfL6/6qCFNUpBVKf8fqH4BUEsDBBQAAAAIAIdO4kDY1Vq3kAEAABwDAAAO&#10;AAAAZHJzL2Uyb0RvYy54bWytUk1v2zAMvQ/YfxB0X+RkRVEYcXpokF2GtkDbH6DIki1AXyWVOPn3&#10;pZQ03drbMB9oUqSe+B65vD14x/Ya0MbQ8fms4UwHFXsbho6/PG9+3HCGWYZeuhh0x48a+e3q+7fl&#10;lFq9iGN0vQZGIAHbKXV8zDm1QqAatZc4i0kHSpoIXmYKYRA9yInQvROLprkWU4Q+QVQakU7XpyRf&#10;VXxjtMoPxqDOzHWcesvVQrXbYsVqKdsBZBqtOrch/6ELL22gRy9Qa5kl24H9AuWtgojR5JmKXkRj&#10;rNKVA7GZN5/YPI0y6cqFxMF0kQn/H6y63z8Csz3NjrMgPY1o/VxUmRK2lHxKj3COkNxC8WDAlz81&#10;zw5VyeNFSX3ITNHhfH71s2lIcEW5xeLmmnyCER+3E2D+paNnxek40KSqgHL/G/Op9L2kPIbR2X5j&#10;nasBDNs7B2wvaaqb+p3R/ypzoRSHWK6dEMuJKMxOXIq3jf2RFJhoBTqOrzsJmrNdAjuM1FaGna7Q&#10;pZRGUCmc16XM+M+4Qn8s9eoN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FQQAAFtDb250ZW50X1R5cGVzXS54bWxQSwECFAAKAAAAAACHTuJAAAAA&#10;AAAAAAAAAAAABgAAAAAAAAAAABAAAAD3AgAAX3JlbHMvUEsBAhQAFAAAAAgAh07iQIoUZjzRAAAA&#10;lAEAAAsAAAAAAAAAAQAgAAAAGwMAAF9yZWxzLy5yZWxzUEsBAhQACgAAAAAAh07iQAAAAAAAAAAA&#10;AAAAAAQAAAAAAAAAAAAQAAAAFgAAAGRycy9QSwECFAAUAAAACACHTuJAHmDyy9YAAAAIAQAADwAA&#10;AAAAAAABACAAAAA4AAAAZHJzL2Rvd25yZXYueG1sUEsBAhQAFAAAAAgAh07iQNjVWreQAQAAHAMA&#10;AA4AAAAAAAAAAQAgAAAAOwEAAGRycy9lMm9Eb2MueG1sUEsFBgAAAAAGAAYAWQEAAD0FAAAAAA==&#10;">
                      <v:fill on="t" focussize="0,0"/>
                      <v:stroke on="f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fldChar w:fldCharType="begin">
                <w:ffData>
                  <w:name w:val="DT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>     </w:t>
            </w:r>
            <w:r>
              <w:fldChar w:fldCharType="end"/>
            </w:r>
            <w:bookmarkEnd w:id="8"/>
          </w:p>
        </w:tc>
      </w:tr>
    </w:tbl>
    <w:p>
      <w:pPr>
        <w:pStyle w:val="67"/>
        <w:framePr/>
        <w:rPr>
          <w:rFonts w:hAnsi="黑体"/>
        </w:rPr>
      </w:pPr>
    </w:p>
    <w:p>
      <w:pPr>
        <w:pStyle w:val="67"/>
        <w:framePr/>
        <w:rPr>
          <w:rFonts w:hAnsi="黑体"/>
        </w:rPr>
      </w:pPr>
    </w:p>
    <w:p>
      <w:pPr>
        <w:pStyle w:val="49"/>
        <w:framePr/>
      </w:pPr>
      <w:bookmarkStart w:id="9" w:name="StdName"/>
      <w:r>
        <w:fldChar w:fldCharType="begin">
          <w:ffData>
            <w:name w:val="StdName"/>
            <w:enabled/>
            <w:calcOnExit w:val="0"/>
            <w:textInput>
              <w:default w:val="点击此处添加标准名称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rFonts w:hint="eastAsia"/>
        </w:rPr>
        <w:t>沥青基防水卷材单位产品能耗限额等级</w:t>
      </w:r>
    </w:p>
    <w:p>
      <w:pPr>
        <w:pStyle w:val="49"/>
        <w:framePr/>
      </w:pPr>
      <w:r>
        <w:rPr>
          <w:rFonts w:hint="eastAsia"/>
        </w:rPr>
        <w:t>引导性指标</w:t>
      </w:r>
      <w:r>
        <w:fldChar w:fldCharType="end"/>
      </w:r>
      <w:bookmarkEnd w:id="9"/>
    </w:p>
    <w:p>
      <w:pPr>
        <w:pStyle w:val="48"/>
        <w:framePr/>
      </w:pPr>
      <w:bookmarkStart w:id="10" w:name="StdEnglishName"/>
      <w:r>
        <w:fldChar w:fldCharType="begin">
          <w:ffData>
            <w:name w:val="StdEnglishName"/>
            <w:enabled/>
            <w:calcOnExit w:val="0"/>
            <w:textInput>
              <w:default w:val="点击此处添加标准英文译名"/>
            </w:textInput>
          </w:ffData>
        </w:fldChar>
      </w:r>
      <w:r>
        <w:instrText xml:space="preserve"> FORMTEXT </w:instrText>
      </w:r>
      <w:r>
        <w:fldChar w:fldCharType="separate"/>
      </w:r>
      <w:r>
        <w:t>     </w:t>
      </w:r>
      <w:r>
        <w:fldChar w:fldCharType="end"/>
      </w:r>
      <w:bookmarkEnd w:id="10"/>
    </w:p>
    <w:p>
      <w:pPr>
        <w:pStyle w:val="47"/>
        <w:framePr/>
      </w:pPr>
      <w:bookmarkStart w:id="11" w:name="YZBS"/>
      <w:r>
        <w:fldChar w:fldCharType="begin">
          <w:ffData>
            <w:name w:val="YZBS"/>
            <w:enabled/>
            <w:calcOnExit w:val="0"/>
            <w:textInput>
              <w:default w:val="点击此处添加与国际标准一致性程度的标识"/>
            </w:textInput>
          </w:ffData>
        </w:fldChar>
      </w:r>
      <w:r>
        <w:instrText xml:space="preserve"> FORMTEXT </w:instrText>
      </w:r>
      <w:r>
        <w:fldChar w:fldCharType="separate"/>
      </w:r>
      <w:r>
        <w:t>     </w:t>
      </w:r>
      <w:r>
        <w:fldChar w:fldCharType="end"/>
      </w:r>
      <w:bookmarkEnd w:id="11"/>
    </w:p>
    <w:tbl>
      <w:tblPr>
        <w:tblStyle w:val="30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9"/>
              <w:framePr/>
            </w:pPr>
            <w:r>
              <mc:AlternateContent>
                <mc:Choice Requires="wps">
                  <w:drawing>
                    <wp:anchor distT="0" distB="0" distL="114300" distR="114300" simplePos="0" relativeHeight="251661312" behindDoc="1" locked="1" layoutInCell="1" allowOverlap="1">
                      <wp:simplePos x="0" y="0"/>
                      <wp:positionH relativeFrom="column">
                        <wp:posOffset>2200910</wp:posOffset>
                      </wp:positionH>
                      <wp:positionV relativeFrom="paragraph">
                        <wp:posOffset>573405</wp:posOffset>
                      </wp:positionV>
                      <wp:extent cx="1905000" cy="254000"/>
                      <wp:effectExtent l="0" t="0" r="0" b="5080"/>
                      <wp:wrapNone/>
                      <wp:docPr id="3" name="RQ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05000" cy="254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bodyPr wrap="square" upright="true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Q" o:spid="_x0000_s1026" o:spt="1" style="position:absolute;left:0pt;margin-left:173.3pt;margin-top:45.15pt;height:20pt;width:150pt;z-index:-251655168;mso-width-relative:page;mso-height-relative:page;" fillcolor="#FFFFFF" filled="t" stroked="f" coordsize="21600,21600" o:gfxdata="UEsFBgAAAAAAAAAAAAAAAAAAAAAAAFBLAwQKAAAAAACHTuJAAAAAAAAAAAAAAAAABAAAAGRycy9Q&#10;SwMEFAAAAAgAh07iQAWJrpLVAAAACgEAAA8AAABkcnMvZG93bnJldi54bWxNj8FOwzAMhu9Ie4fI&#10;k7ixZHRErDTdAWkn4LANiavXeG1Fk5Qm3crbY3aBo39/+v252EyuE2caYhu8geVCgSBfBdv62sD7&#10;YXv3CCIm9Ba74MnAN0XYlLObAnMbLn5H532qBZf4mKOBJqU+lzJWDTmMi9CT590pDA4Tj0Mt7YAX&#10;LnedvFdKS4et5wsN9vTcUPW5H50B1Cv79XbKXg8vo8Z1Pantw4cy5na+VE8gEk3pD4ZffVaHkp2O&#10;YfQ2is5AttKaUQNrlYFgQF+DI5MZJ7Is5P8Xyh9QSwMEFAAAAAgAh07iQPxlWXuRAQAAHAMAAA4A&#10;AABkcnMvZTJvRG9jLnhtbK1STW/bMAy9F9h/EHRv5KTr0BlxemiRXYatW7sfoMiSLUBfI5U4+fej&#10;lDTd1ltRH2hSpJ74Hrm83XvHdhrQxtDx+azhTAcVexuGjv96Wl/ecIZZhl66GHTHDxr57erDxXJK&#10;rV7EMbpeAyOQgO2UOj7mnFohUI3aS5zFpAMlTQQvM4UwiB7kROjeiUXTfBJThD5BVBqRTu+PSb6q&#10;+MZolb8bgzoz13HqLVcL1W6KFaulbAeQabTq1IZ8Qxde2kCPnqHuZZZsC/YVlLcKIkaTZyp6EY2x&#10;SlcOxGbe/MfmcZRJVy4kDqazTPh+sOrb7gGY7Tt+xVmQnkb080dRZUrYUvIxPcApQnILxb0BX/7U&#10;PNtXJQ9nJfU+M0WH88/NddOQ4Ipyi+uPxScY8XI7AeYvOnpWnI4DTaoKKHdfMR9Ln0vKYxid7dfW&#10;uRrAsLlzwHaSprqu3wn9nzIXSnGI5doRsZyIwuzIpXib2B9IgYlWoOP4eytBc7ZNYIeR2sqw1RW6&#10;lNIIKoXTupQZ/x1X6JelXv0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FQQAAFtDb250ZW50X1R5cGVzXS54bWxQSwECFAAKAAAAAACHTuJAAAAA&#10;AAAAAAAAAAAABgAAAAAAAAAAABAAAAD3AgAAX3JlbHMvUEsBAhQAFAAAAAgAh07iQIoUZjzRAAAA&#10;lAEAAAsAAAAAAAAAAQAgAAAAGwMAAF9yZWxzLy5yZWxzUEsBAhQACgAAAAAAh07iQAAAAAAAAAAA&#10;AAAAAAQAAAAAAAAAAAAQAAAAFgAAAGRycy9QSwECFAAUAAAACACHTuJABYmuktUAAAAKAQAADwAA&#10;AAAAAAABACAAAAA4AAAAZHJzL2Rvd25yZXYueG1sUEsBAhQAFAAAAAgAh07iQPxlWXuRAQAAHAMA&#10;AA4AAAAAAAAAAQAgAAAAOgEAAGRycy9lMm9Eb2MueG1sUEsFBgAAAAAGAAYAWQEAAD0FAAAAAA==&#10;">
                      <v:fill on="t" focussize="0,0"/>
                      <v:stroke on="f"/>
                      <v:imagedata o:title=""/>
                      <o:lock v:ext="edit" aspectratio="f"/>
                      <w10:anchorlock/>
                    </v:rect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60288" behindDoc="1" locked="0" layoutInCell="1" allowOverlap="1">
                      <wp:simplePos x="0" y="0"/>
                      <wp:positionH relativeFrom="column">
                        <wp:posOffset>2454910</wp:posOffset>
                      </wp:positionH>
                      <wp:positionV relativeFrom="paragraph">
                        <wp:posOffset>255905</wp:posOffset>
                      </wp:positionV>
                      <wp:extent cx="1270000" cy="304800"/>
                      <wp:effectExtent l="0" t="0" r="10160" b="0"/>
                      <wp:wrapNone/>
                      <wp:docPr id="2" name="LB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70000" cy="304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bodyPr wrap="square" upright="true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LB" o:spid="_x0000_s1026" o:spt="1" style="position:absolute;left:0pt;margin-left:193.3pt;margin-top:20.15pt;height:24pt;width:100pt;z-index:-251656192;mso-width-relative:page;mso-height-relative:page;" fillcolor="#FFFFFF" filled="t" stroked="f" coordsize="21600,21600" o:gfxdata="UEsFBgAAAAAAAAAAAAAAAAAAAAAAAFBLAwQKAAAAAACHTuJAAAAAAAAAAAAAAAAABAAAAGRycy9Q&#10;SwMEFAAAAAgAh07iQAPhi+XWAAAACQEAAA8AAABkcnMvZG93bnJldi54bWxNj8FOwzAMhu9IvENk&#10;JG4sGd2iUprugLQTcGBD4uo1XlvROKVJt/L2BC7saPvT7+8vN7PrxYnG0Hk2sFwoEMS1tx03Bt73&#10;27scRIjIFnvPZOCbAmyq66sSC+vP/EanXWxECuFQoIE2xqGQMtQtOQwLPxCn29GPDmMax0baEc8p&#10;3PXyXiktHXacPrQ40FNL9educgZQr+zX6zF72T9PGh+aWW3XH8qY25ulegQRaY7/MPzqJ3WoktPB&#10;T2yD6A1kudYJNbBSGYgErP8WBwN5noGsSnnZoPoBUEsDBBQAAAAIAIdO4kDvUYb3kAEAABwDAAAO&#10;AAAAZHJzL2Uyb0RvYy54bWytUk1PGzEQvVfiP1i+E29C1aJVNkiA0gtqkSg/wPHau5b8xYyTTf59&#10;x04aaLkhfLBnPOPneW9mebP3ju00oI2h4/NZw5kOKvY2DB1//r2+vOYMswy9dDHojh808pvVxZfl&#10;lFq9iGN0vQZGIAHbKXV8zDm1QqAatZc4i0kHCpoIXmZyYRA9yInQvROLpvkmpgh9gqg0It3eH4N8&#10;VfGN0Sr/MgZ1Zq7jVFuuO9R9U3axWsp2AJlGq05lyA9U4aUN9OkZ6l5mybZg30F5qyBiNHmmohfR&#10;GKt05UBs5s1/bJ5GmXTlQuJgOsuEnwerfu4egdm+4wvOgvTUoofbosqUsKXgU3qEk4dkFop7A76c&#10;VDzbVyUPZyX1PjNFl/PF94YWZ4piV83Xa7IJRry+ToD5h46eFaPjQJ2qAsrdA+Zj6t+U8hlGZ/u1&#10;da46MGzuHLCdpK6u6zqh/5PmQkkOsTw7IpYbUZgduRRrE/sDKTDRCHQcX7YSNGfbBHYYqawMW12h&#10;Syq1oFI4jUvp8Vu/Qr8O9eoP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FQQAAFtDb250ZW50X1R5cGVzXS54bWxQSwECFAAKAAAAAACHTuJAAAAA&#10;AAAAAAAAAAAABgAAAAAAAAAAABAAAAD3AgAAX3JlbHMvUEsBAhQAFAAAAAgAh07iQIoUZjzRAAAA&#10;lAEAAAsAAAAAAAAAAQAgAAAAGwMAAF9yZWxzLy5yZWxzUEsBAhQACgAAAAAAh07iQAAAAAAAAAAA&#10;AAAAAAQAAAAAAAAAAAAQAAAAFgAAAGRycy9QSwECFAAUAAAACACHTuJAA+GL5dYAAAAJAQAADwAA&#10;AAAAAAABACAAAAA4AAAAZHJzL2Rvd25yZXYueG1sUEsBAhQAFAAAAAgAh07iQO9RhveQAQAAHAMA&#10;AA4AAAAAAAAAAQAgAAAAOwEAAGRycy9lMm9Eb2MueG1sUEsFBgAAAAAGAAYAWQEAAD0FAAAAAA==&#10;">
                      <v:fill on="t" focussize="0,0"/>
                      <v:stroke on="f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fldChar w:fldCharType="begin">
                <w:ffData>
                  <w:name w:val="LB"/>
                  <w:enabled/>
                  <w:calcOnExit w:val="0"/>
                  <w:ddList>
                    <w:result w:val="2"/>
                    <w:listEntry w:val="文稿版次选择"/>
                    <w:listEntry w:val="（工作组讨论稿）"/>
                    <w:listEntry w:val="（征求意见稿）"/>
                    <w:listEntry w:val="（送审讨论稿）"/>
                    <w:listEntry w:val="（送审稿）"/>
                    <w:listEntry w:val="（报批稿）"/>
                  </w:ddList>
                </w:ffData>
              </w:fldChar>
            </w:r>
            <w:bookmarkStart w:id="12" w:name="LB"/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  <w:bookmarkEnd w:id="12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71"/>
              <w:framePr/>
            </w:pPr>
            <w:bookmarkStart w:id="13" w:name="WCRQ"/>
            <w:r>
              <w:fldChar w:fldCharType="begin">
                <w:ffData>
                  <w:name w:val="WCRQ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>     </w:t>
            </w:r>
            <w:r>
              <w:fldChar w:fldCharType="end"/>
            </w:r>
            <w:bookmarkEnd w:id="13"/>
          </w:p>
        </w:tc>
      </w:tr>
    </w:tbl>
    <w:p>
      <w:pPr>
        <w:pStyle w:val="110"/>
        <w:framePr/>
      </w:pPr>
      <w:bookmarkStart w:id="14" w:name="FY"/>
      <w:r>
        <w:rPr>
          <w:rFonts w:ascii="黑体"/>
        </w:rPr>
        <w:fldChar w:fldCharType="begin">
          <w:ffData>
            <w:name w:val="FY"/>
            <w:enabled/>
            <w:calcOnExit w:val="0"/>
            <w:textInput>
              <w:default w:val="XXXX"/>
              <w:maxLength w:val="4"/>
            </w:textInput>
          </w:ffData>
        </w:fldChar>
      </w:r>
      <w:r>
        <w:rPr>
          <w:rFonts w:ascii="黑体"/>
        </w:rPr>
        <w:instrText xml:space="preserve"> FORMTEXT </w:instrText>
      </w:r>
      <w:r>
        <w:rPr>
          <w:rFonts w:ascii="黑体"/>
        </w:rPr>
        <w:fldChar w:fldCharType="separate"/>
      </w:r>
      <w:r>
        <w:rPr>
          <w:rFonts w:ascii="黑体"/>
        </w:rPr>
        <w:t>XXXX</w:t>
      </w:r>
      <w:r>
        <w:rPr>
          <w:rFonts w:ascii="黑体"/>
        </w:rPr>
        <w:fldChar w:fldCharType="end"/>
      </w:r>
      <w:bookmarkEnd w:id="14"/>
      <w:r>
        <w:t xml:space="preserve"> </w:t>
      </w:r>
      <w:r>
        <w:rPr>
          <w:rFonts w:ascii="黑体"/>
        </w:rPr>
        <w:t>-</w:t>
      </w:r>
      <w:r>
        <w:t xml:space="preserve"> </w:t>
      </w:r>
      <w:r>
        <w:rPr>
          <w:rFonts w:ascii="黑体"/>
        </w:rPr>
        <w:fldChar w:fldCharType="begin">
          <w:ffData>
            <w:name w:val="FM"/>
            <w:enabled/>
            <w:calcOnExit w:val="0"/>
            <w:textInput>
              <w:default w:val="XX"/>
              <w:maxLength w:val="2"/>
            </w:textInput>
          </w:ffData>
        </w:fldChar>
      </w:r>
      <w:r>
        <w:rPr>
          <w:rFonts w:ascii="黑体"/>
        </w:rPr>
        <w:instrText xml:space="preserve"> FORMTEXT </w:instrText>
      </w:r>
      <w:r>
        <w:rPr>
          <w:rFonts w:ascii="黑体"/>
        </w:rPr>
        <w:fldChar w:fldCharType="separate"/>
      </w:r>
      <w:r>
        <w:rPr>
          <w:rFonts w:ascii="黑体"/>
        </w:rPr>
        <w:t>XX</w:t>
      </w:r>
      <w:r>
        <w:rPr>
          <w:rFonts w:ascii="黑体"/>
        </w:rPr>
        <w:fldChar w:fldCharType="end"/>
      </w:r>
      <w:r>
        <w:t xml:space="preserve"> </w:t>
      </w:r>
      <w:r>
        <w:rPr>
          <w:rFonts w:ascii="黑体"/>
        </w:rPr>
        <w:t>-</w:t>
      </w:r>
      <w:r>
        <w:t xml:space="preserve"> </w:t>
      </w:r>
      <w:bookmarkStart w:id="15" w:name="FD"/>
      <w:r>
        <w:rPr>
          <w:rFonts w:ascii="黑体"/>
        </w:rPr>
        <w:fldChar w:fldCharType="begin">
          <w:ffData>
            <w:name w:val="FD"/>
            <w:enabled/>
            <w:calcOnExit w:val="0"/>
            <w:textInput>
              <w:default w:val="XX"/>
              <w:maxLength w:val="2"/>
            </w:textInput>
          </w:ffData>
        </w:fldChar>
      </w:r>
      <w:r>
        <w:rPr>
          <w:rFonts w:ascii="黑体"/>
        </w:rPr>
        <w:instrText xml:space="preserve"> FORMTEXT </w:instrText>
      </w:r>
      <w:r>
        <w:rPr>
          <w:rFonts w:ascii="黑体"/>
        </w:rPr>
        <w:fldChar w:fldCharType="separate"/>
      </w:r>
      <w:r>
        <w:rPr>
          <w:rFonts w:ascii="黑体"/>
        </w:rPr>
        <w:t>XX</w:t>
      </w:r>
      <w:r>
        <w:rPr>
          <w:rFonts w:ascii="黑体"/>
        </w:rPr>
        <w:fldChar w:fldCharType="end"/>
      </w:r>
      <w:bookmarkEnd w:id="15"/>
      <w:r>
        <w:rPr>
          <w:rFonts w:hint="eastAsia"/>
        </w:rPr>
        <w:t>发布</w:t>
      </w:r>
      <w:r>
        <mc:AlternateContent>
          <mc:Choice Requires="wps">
            <w:drawing>
              <wp:anchor distT="0" distB="0" distL="114300" distR="114300" simplePos="0" relativeHeight="251663360" behindDoc="0" locked="1" layoutInCell="1" allowOverlap="1">
                <wp:simplePos x="0" y="0"/>
                <wp:positionH relativeFrom="column">
                  <wp:posOffset>-635</wp:posOffset>
                </wp:positionH>
                <wp:positionV relativeFrom="page">
                  <wp:posOffset>9251950</wp:posOffset>
                </wp:positionV>
                <wp:extent cx="6120130" cy="0"/>
                <wp:effectExtent l="0" t="0" r="0" b="0"/>
                <wp:wrapNone/>
                <wp:docPr id="5" name="直线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10" o:spid="_x0000_s1026" o:spt="20" style="position:absolute;left:0pt;margin-left:-0.05pt;margin-top:728.5pt;height:0pt;width:481.9pt;mso-position-vertical-relative:page;z-index:251663360;mso-width-relative:page;mso-height-relative:page;" filled="f" stroked="t" coordsize="21600,21600" o:gfxdata="UEsFBgAAAAAAAAAAAAAAAAAAAAAAAFBLAwQKAAAAAACHTuJAAAAAAAAAAAAAAAAABAAAAGRycy9Q&#10;SwMEFAAAAAgAh07iQCWHazzWAAAACwEAAA8AAABkcnMvZG93bnJldi54bWxNjz1PwzAQhnck/oN1&#10;SCxVa6eFFkKcDkA2lpZWrNfkSCLicxq7H/DrOQYE47336P3IlmfXqSMNofVsIZkYUMSlr1quLWxe&#10;i/EdqBCRK+w8k4VPCrDMLy8yTCt/4hUd17FWYsIhRQtNjH2qdSgbchgmvieW37sfHEY5h1pXA57E&#10;3HV6asxcO2xZEhrs6bGh8mN9cBZCsaV98TUqR+ZtVnua7p9entHa66vEPICKdI5/MPzUl+qQS6ed&#10;P3AVVGdhnAgo8s3tQjYJcD+fLUDtfiWdZ/r/hvwbUEsDBBQAAAAIAIdO4kBINAQVwwEAAIIDAAAO&#10;AAAAZHJzL2Uyb0RvYy54bWytUztuGzEQ7QPkDgT7aCUFNpKFVi6s2I2RCEh8gBE/uwT4A4fRSmfJ&#10;NVKlyXF8jQwpWUrsxjCighoO5/Pem9nF1c5ZtlUJTfAdn02mnCkvgjS+7/j9t5t3HzjDDF6CDV51&#10;fK+QXy3fvlmMsVXzMAQrVWJUxGM7xo4POce2aVAMygFOQlSeHnVIDjJdU9/IBCNVd7aZT6eXzRiS&#10;jCkIhUje1eGRL2t9rZXIX7RGlZntOGHL9Uz13JSzWS6g7RPEwYgjDHgFCgfGU9NTqRVkYN+TeVbK&#10;GZECBp0nIrgmaG2EqhyIzWz6hM3XAaKqXEgcjCeZ8P+VFZ+368SM7PgFZx4cjejhx8+HX7/ZrIoz&#10;Rmwp5tqvE0lVbhjXqTDd6eTKP3Fguyro/iSo2mUmyHk5I1bvSXfx+NacE2PCfKuCY8XouDW+cIUW&#10;tneYqRmFPoYUt/Vs7PjHizkBFUCroi1kMl0k8Oj7movBGnljrC0ZmPrNtU1sC2X49VfmTXX/CStN&#10;VoDDIa4+HdZiUCA/ecnyPpIsnvaXFwhOSc6sonUvVl2gDMa+JJJaW08IzjoWaxPkvspb/TToivG4&#10;lGWT/r7X7POns/wD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FgAAAGRycy9QSwECFAAUAAAACACHTuJAJYdrPNYAAAALAQAADwAAAAAAAAAB&#10;ACAAAAA4AAAAZHJzL2Rvd25yZXYueG1sUEsBAhQAFAAAAAgAh07iQEg0BBXDAQAAggMAAA4AAAAA&#10;AAAAAQAgAAAAOwEAAGRycy9lMm9Eb2MueG1sUEsFBgAAAAAGAAYAWQEAAHAFAAAAAA==&#10;">
                <v:fill on="f" focussize="0,0"/>
                <v:stroke color="#000000" joinstyle="round"/>
                <v:imagedata o:title=""/>
                <o:lock v:ext="edit" aspectratio="f"/>
                <w10:anchorlock/>
              </v:line>
            </w:pict>
          </mc:Fallback>
        </mc:AlternateContent>
      </w:r>
    </w:p>
    <w:p>
      <w:pPr>
        <w:pStyle w:val="133"/>
        <w:framePr/>
      </w:pPr>
      <w:bookmarkStart w:id="16" w:name="SY"/>
      <w:r>
        <w:rPr>
          <w:rFonts w:ascii="黑体"/>
        </w:rPr>
        <w:fldChar w:fldCharType="begin">
          <w:ffData>
            <w:name w:val="SY"/>
            <w:enabled/>
            <w:calcOnExit w:val="0"/>
            <w:textInput>
              <w:default w:val="XXXX"/>
              <w:maxLength w:val="4"/>
            </w:textInput>
          </w:ffData>
        </w:fldChar>
      </w:r>
      <w:r>
        <w:rPr>
          <w:rFonts w:ascii="黑体"/>
        </w:rPr>
        <w:instrText xml:space="preserve"> FORMTEXT </w:instrText>
      </w:r>
      <w:r>
        <w:rPr>
          <w:rFonts w:ascii="黑体"/>
        </w:rPr>
        <w:fldChar w:fldCharType="separate"/>
      </w:r>
      <w:r>
        <w:rPr>
          <w:rFonts w:ascii="黑体"/>
        </w:rPr>
        <w:t>XXXX</w:t>
      </w:r>
      <w:r>
        <w:rPr>
          <w:rFonts w:ascii="黑体"/>
        </w:rPr>
        <w:fldChar w:fldCharType="end"/>
      </w:r>
      <w:bookmarkEnd w:id="16"/>
      <w:r>
        <w:t xml:space="preserve"> </w:t>
      </w:r>
      <w:r>
        <w:rPr>
          <w:rFonts w:ascii="黑体"/>
        </w:rPr>
        <w:t>-</w:t>
      </w:r>
      <w:r>
        <w:t xml:space="preserve"> </w:t>
      </w:r>
      <w:bookmarkStart w:id="17" w:name="SM"/>
      <w:r>
        <w:rPr>
          <w:rFonts w:ascii="黑体"/>
        </w:rPr>
        <w:fldChar w:fldCharType="begin">
          <w:ffData>
            <w:name w:val="SM"/>
            <w:enabled/>
            <w:calcOnExit w:val="0"/>
            <w:textInput>
              <w:default w:val="XX"/>
              <w:maxLength w:val="2"/>
            </w:textInput>
          </w:ffData>
        </w:fldChar>
      </w:r>
      <w:r>
        <w:rPr>
          <w:rFonts w:ascii="黑体"/>
        </w:rPr>
        <w:instrText xml:space="preserve"> FORMTEXT </w:instrText>
      </w:r>
      <w:r>
        <w:rPr>
          <w:rFonts w:ascii="黑体"/>
        </w:rPr>
        <w:fldChar w:fldCharType="separate"/>
      </w:r>
      <w:r>
        <w:rPr>
          <w:rFonts w:ascii="黑体"/>
        </w:rPr>
        <w:t>XX</w:t>
      </w:r>
      <w:r>
        <w:rPr>
          <w:rFonts w:ascii="黑体"/>
        </w:rPr>
        <w:fldChar w:fldCharType="end"/>
      </w:r>
      <w:bookmarkEnd w:id="17"/>
      <w:r>
        <w:t xml:space="preserve"> </w:t>
      </w:r>
      <w:r>
        <w:rPr>
          <w:rFonts w:ascii="黑体"/>
        </w:rPr>
        <w:t>-</w:t>
      </w:r>
      <w:r>
        <w:t xml:space="preserve"> </w:t>
      </w:r>
      <w:bookmarkStart w:id="18" w:name="SD"/>
      <w:r>
        <w:rPr>
          <w:rFonts w:ascii="黑体"/>
        </w:rPr>
        <w:fldChar w:fldCharType="begin">
          <w:ffData>
            <w:name w:val="SD"/>
            <w:enabled/>
            <w:calcOnExit w:val="0"/>
            <w:textInput>
              <w:default w:val="XX"/>
              <w:maxLength w:val="2"/>
            </w:textInput>
          </w:ffData>
        </w:fldChar>
      </w:r>
      <w:r>
        <w:rPr>
          <w:rFonts w:ascii="黑体"/>
        </w:rPr>
        <w:instrText xml:space="preserve"> FORMTEXT </w:instrText>
      </w:r>
      <w:r>
        <w:rPr>
          <w:rFonts w:ascii="黑体"/>
        </w:rPr>
        <w:fldChar w:fldCharType="separate"/>
      </w:r>
      <w:r>
        <w:rPr>
          <w:rFonts w:ascii="黑体"/>
        </w:rPr>
        <w:t>XX</w:t>
      </w:r>
      <w:r>
        <w:rPr>
          <w:rFonts w:ascii="黑体"/>
        </w:rPr>
        <w:fldChar w:fldCharType="end"/>
      </w:r>
      <w:bookmarkEnd w:id="18"/>
      <w:r>
        <w:rPr>
          <w:rFonts w:hint="eastAsia"/>
        </w:rPr>
        <w:t>实施</w:t>
      </w:r>
    </w:p>
    <w:p>
      <w:pPr>
        <w:pStyle w:val="127"/>
        <w:framePr/>
      </w:pPr>
      <w:bookmarkStart w:id="19" w:name="fm"/>
      <w:r>
        <w:fldChar w:fldCharType="begin">
          <w:ffData>
            <w:name w:val="fm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rFonts w:hint="eastAsia"/>
        </w:rPr>
        <w:t>河北</w:t>
      </w:r>
      <w:r>
        <w:t>省市场监督管理局</w:t>
      </w:r>
      <w:r>
        <w:fldChar w:fldCharType="end"/>
      </w:r>
      <w:bookmarkEnd w:id="19"/>
      <w:r>
        <w:rPr>
          <w:rFonts w:hint="eastAsia" w:ascii="MS Mincho" w:hAnsi="MS Mincho" w:eastAsia="MS Mincho" w:cs="MS Mincho"/>
        </w:rPr>
        <w:t>   </w:t>
      </w:r>
      <w:r>
        <w:rPr>
          <w:rStyle w:val="43"/>
          <w:rFonts w:hint="eastAsia"/>
        </w:rPr>
        <w:t>发布</w:t>
      </w:r>
    </w:p>
    <w:p>
      <w:pPr>
        <w:pStyle w:val="22"/>
        <w:sectPr>
          <w:pgSz w:w="11906" w:h="16838"/>
          <w:pgMar w:top="567" w:right="850" w:bottom="1134" w:left="1418" w:header="0" w:footer="0" w:gutter="0"/>
          <w:pgNumType w:start="1"/>
          <w:cols w:space="720" w:num="1"/>
          <w:docGrid w:type="lines" w:linePitch="312" w:charSpace="0"/>
        </w:sectPr>
      </w:pP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-635</wp:posOffset>
                </wp:positionH>
                <wp:positionV relativeFrom="paragraph">
                  <wp:posOffset>2339975</wp:posOffset>
                </wp:positionV>
                <wp:extent cx="6120130" cy="0"/>
                <wp:effectExtent l="0" t="0" r="0" b="0"/>
                <wp:wrapNone/>
                <wp:docPr id="6" name="直线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11" o:spid="_x0000_s1026" o:spt="20" style="position:absolute;left:0pt;margin-left:-0.05pt;margin-top:184.25pt;height:0pt;width:481.9pt;z-index:251664384;mso-width-relative:page;mso-height-relative:page;" filled="f" stroked="t" coordsize="21600,21600" o:gfxdata="UEsFBgAAAAAAAAAAAAAAAAAAAAAAAFBLAwQKAAAAAACHTuJAAAAAAAAAAAAAAAAABAAAAGRycy9Q&#10;SwMEFAAAAAgAh07iQEJB4l/XAAAACQEAAA8AAABkcnMvZG93bnJldi54bWxNj81OwzAQhO9IfQdr&#10;kbhUrZ1GhBLi9FDIjQttEddtvCQR8TqN3R94eoyEBMfZGc18W6wuthcnGn3nWEMyVyCIa2c6bjTs&#10;ttVsCcIHZIO9Y9LwSR5W5eSqwNy4M7/QaRMaEUvY56ihDWHIpfR1Sxb93A3E0Xt3o8UQ5dhIM+I5&#10;ltteLpTKpMWO40KLA61bqj82R6vBV690qL6m9VS9pY2jxeHx+Qm1vrlO1AOIQJfwF4Yf/IgOZWTa&#10;uyMbL3oNsyQGNaTZ8hZE9O+z9A7E/vciy0L+/6D8BlBLAwQUAAAACACHTuJAiQ/ftMQBAACCAwAA&#10;DgAAAGRycy9lMm9Eb2MueG1srVNLjhMxEN0jcQfLe9LpoImglc4sJgwbBJFgDlDxp9uSf3KZdHIW&#10;rsGKDceZa1B2MhmY2SBEFk65Pq/qPVevrg/Osr1KaILveTubc6a8CNL4oed3X25fveEMM3gJNnjV&#10;86NCfr1++WI1xU4twhisVIkRiMduij0fc45d06AYlQOchag8BXVIDjJd09DIBBOhO9ss5vNlM4Uk&#10;YwpCIZJ3cwrydcXXWon8SWtUmdme02y5nqmeu3I26xV0Q4I4GnEeA/5hCgfGU9ML1AYysK/JPINy&#10;RqSAQeeZCK4JWhuhKgdi086fsPk8QlSVC4mD8SIT/j9Y8XG/TczIni858+Doie6/fb//8ZO1bRFn&#10;ithRzo3fpvMN4zYVpgedXPknDuxQBT1eBFWHzAQ5ly2xek26i4dY81gYE+b3KjhWjJ5b4wtX6GD/&#10;ATM1o9SHlOK2nk09f3u1uCI4oFXRFjKZLtLw6Idai8EaeWusLRWYht2NTWwP5fHrr1Ai3D/SSpMN&#10;4HjKq6HTWowK5DsvWT5GksXT/vIyglOSM6to3YtFgNBlMPZvMqm19TRBUfWkY7F2QR6rvNVPD11n&#10;PC9l2aTf77X68dNZ/wJ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WAAAAZHJzL1BLAQIUABQAAAAIAIdO4kBCQeJf1wAAAAkBAAAPAAAAAAAA&#10;AAEAIAAAADgAAABkcnMvZG93bnJldi54bWxQSwECFAAUAAAACACHTuJAiQ/ftMQBAACCAwAADgAA&#10;AAAAAAABACAAAAA8AQAAZHJzL2Uyb0RvYy54bWxQSwUGAAAAAAYABgBZAQAAcg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pStyle w:val="93"/>
      </w:pPr>
      <w:r>
        <w:rPr>
          <w:rFonts w:hint="eastAsia"/>
        </w:rPr>
        <w:t>前</w:t>
      </w:r>
      <w:bookmarkStart w:id="20" w:name="BKQY"/>
      <w:r>
        <w:rPr>
          <w:rFonts w:hint="eastAsia" w:ascii="MS Mincho" w:hAnsi="MS Mincho" w:eastAsia="MS Mincho" w:cs="MS Mincho"/>
        </w:rPr>
        <w:t>  </w:t>
      </w:r>
      <w:r>
        <w:rPr>
          <w:rFonts w:hint="eastAsia"/>
        </w:rPr>
        <w:t>言</w:t>
      </w:r>
      <w:bookmarkEnd w:id="20"/>
    </w:p>
    <w:p>
      <w:pPr>
        <w:pStyle w:val="22"/>
        <w:rPr>
          <w:rFonts w:ascii="Times New Roman"/>
        </w:rPr>
      </w:pPr>
      <w:r>
        <w:rPr>
          <w:rFonts w:ascii="Times New Roman"/>
        </w:rPr>
        <w:t>本</w:t>
      </w:r>
      <w:r>
        <w:rPr>
          <w:rFonts w:hint="eastAsia" w:ascii="Times New Roman"/>
          <w:lang w:eastAsia="zh-CN"/>
        </w:rPr>
        <w:t>文件</w:t>
      </w:r>
      <w:r>
        <w:rPr>
          <w:rFonts w:ascii="Times New Roman"/>
        </w:rPr>
        <w:t>按照GB/ T</w:t>
      </w:r>
      <w:r>
        <w:rPr>
          <w:rFonts w:hint="eastAsia" w:ascii="Times New Roman"/>
        </w:rPr>
        <w:t xml:space="preserve"> </w:t>
      </w:r>
      <w:r>
        <w:rPr>
          <w:rFonts w:ascii="Times New Roman"/>
        </w:rPr>
        <w:t>1.1</w:t>
      </w:r>
      <w:r>
        <w:rPr>
          <w:rFonts w:hint="eastAsia" w:ascii="Times New Roman"/>
        </w:rPr>
        <w:t>—</w:t>
      </w:r>
      <w:r>
        <w:rPr>
          <w:rFonts w:ascii="Times New Roman"/>
        </w:rPr>
        <w:t>2020《标准化工作导则</w:t>
      </w:r>
      <w:r>
        <w:rPr>
          <w:rFonts w:hint="eastAsia" w:ascii="Times New Roman"/>
        </w:rPr>
        <w:t xml:space="preserve"> </w:t>
      </w:r>
      <w:r>
        <w:rPr>
          <w:rFonts w:ascii="Times New Roman"/>
        </w:rPr>
        <w:t>第1部分：标准化</w:t>
      </w:r>
      <w:r>
        <w:rPr>
          <w:rFonts w:hint="eastAsia" w:ascii="Times New Roman"/>
        </w:rPr>
        <w:t>标准</w:t>
      </w:r>
      <w:r>
        <w:rPr>
          <w:rFonts w:ascii="Times New Roman"/>
        </w:rPr>
        <w:t>的结构和起草规则》的规定起草。</w:t>
      </w:r>
    </w:p>
    <w:p>
      <w:pPr>
        <w:pStyle w:val="22"/>
        <w:rPr>
          <w:rFonts w:ascii="Times New Roman"/>
        </w:rPr>
      </w:pPr>
      <w:r>
        <w:rPr>
          <w:rFonts w:ascii="Times New Roman"/>
        </w:rPr>
        <w:t>本</w:t>
      </w:r>
      <w:r>
        <w:rPr>
          <w:rFonts w:hint="eastAsia" w:ascii="Times New Roman"/>
          <w:lang w:eastAsia="zh-CN"/>
        </w:rPr>
        <w:t>文件</w:t>
      </w:r>
      <w:r>
        <w:rPr>
          <w:rFonts w:ascii="Times New Roman"/>
        </w:rPr>
        <w:t>由河北省发展和改革委员会提出</w:t>
      </w:r>
      <w:r>
        <w:rPr>
          <w:rFonts w:hint="eastAsia" w:ascii="Times New Roman"/>
        </w:rPr>
        <w:t>并归口</w:t>
      </w:r>
      <w:r>
        <w:rPr>
          <w:rFonts w:ascii="Times New Roman"/>
        </w:rPr>
        <w:t>。</w:t>
      </w:r>
    </w:p>
    <w:p>
      <w:pPr>
        <w:pStyle w:val="22"/>
        <w:rPr>
          <w:rFonts w:ascii="Times New Roman"/>
        </w:rPr>
      </w:pPr>
      <w:r>
        <w:rPr>
          <w:rFonts w:ascii="Times New Roman"/>
        </w:rPr>
        <w:t>本</w:t>
      </w:r>
      <w:r>
        <w:rPr>
          <w:rFonts w:hint="eastAsia" w:ascii="Times New Roman"/>
          <w:lang w:eastAsia="zh-CN"/>
        </w:rPr>
        <w:t>文件</w:t>
      </w:r>
      <w:r>
        <w:rPr>
          <w:rFonts w:ascii="Times New Roman"/>
        </w:rPr>
        <w:t>起草单位：唐山市节能监察支队、唐山市节能协会。</w:t>
      </w:r>
    </w:p>
    <w:p>
      <w:pPr>
        <w:pStyle w:val="22"/>
        <w:rPr>
          <w:rFonts w:hint="eastAsia" w:ascii="Times New Roman" w:eastAsia="宋体"/>
          <w:lang w:eastAsia="zh-CN"/>
        </w:rPr>
      </w:pPr>
      <w:r>
        <w:rPr>
          <w:rFonts w:ascii="Times New Roman"/>
        </w:rPr>
        <w:t>本</w:t>
      </w:r>
      <w:r>
        <w:rPr>
          <w:rFonts w:hint="eastAsia" w:ascii="Times New Roman"/>
          <w:lang w:eastAsia="zh-CN"/>
        </w:rPr>
        <w:t>文件</w:t>
      </w:r>
      <w:r>
        <w:rPr>
          <w:rFonts w:ascii="Times New Roman"/>
        </w:rPr>
        <w:t>主要起草人：</w:t>
      </w:r>
      <w:r>
        <w:rPr>
          <w:rFonts w:hint="eastAsia" w:ascii="Times New Roman"/>
          <w:lang w:eastAsia="zh-CN"/>
        </w:rPr>
        <w:t>詹铁蕾、王鑫、李淑英。</w:t>
      </w:r>
    </w:p>
    <w:p>
      <w:pPr>
        <w:pStyle w:val="22"/>
        <w:rPr>
          <w:rFonts w:ascii="Times New Roman"/>
        </w:rPr>
      </w:pPr>
    </w:p>
    <w:p>
      <w:pPr>
        <w:pStyle w:val="22"/>
      </w:pPr>
    </w:p>
    <w:p>
      <w:pPr>
        <w:pStyle w:val="22"/>
      </w:pPr>
    </w:p>
    <w:p>
      <w:pPr>
        <w:pStyle w:val="22"/>
        <w:sectPr>
          <w:headerReference r:id="rId3" w:type="default"/>
          <w:footerReference r:id="rId4" w:type="default"/>
          <w:pgSz w:w="11906" w:h="16838"/>
          <w:pgMar w:top="567" w:right="1134" w:bottom="1134" w:left="1418" w:header="1418" w:footer="1134" w:gutter="0"/>
          <w:pgNumType w:fmt="upperRoman" w:start="1"/>
          <w:cols w:space="720" w:num="1"/>
          <w:formProt w:val="0"/>
          <w:docGrid w:type="lines" w:linePitch="312" w:charSpace="0"/>
        </w:sectPr>
      </w:pPr>
    </w:p>
    <w:p>
      <w:pPr>
        <w:spacing w:line="500" w:lineRule="exact"/>
        <w:jc w:val="center"/>
        <w:outlineLvl w:val="0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沥青基防水卷材单位产品能耗限额等级引导性指标</w:t>
      </w:r>
    </w:p>
    <w:p>
      <w:pPr>
        <w:pStyle w:val="5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left="0"/>
        <w:jc w:val="both"/>
        <w:textAlignment w:val="auto"/>
      </w:pPr>
      <w:r>
        <w:rPr>
          <w:rFonts w:hint="eastAsia"/>
        </w:rPr>
        <w:t>范围</w:t>
      </w:r>
    </w:p>
    <w:p>
      <w:pPr>
        <w:ind w:firstLine="420" w:firstLineChars="2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本</w:t>
      </w:r>
      <w:r>
        <w:rPr>
          <w:rFonts w:hint="eastAsia" w:ascii="宋体" w:hAnsi="宋体" w:cs="宋体"/>
          <w:szCs w:val="21"/>
          <w:lang w:eastAsia="zh-CN"/>
        </w:rPr>
        <w:t>文件</w:t>
      </w:r>
      <w:r>
        <w:rPr>
          <w:rFonts w:hint="eastAsia" w:ascii="宋体" w:hAnsi="宋体" w:cs="宋体"/>
          <w:szCs w:val="21"/>
        </w:rPr>
        <w:t>规定了沥青基防水卷材</w:t>
      </w:r>
      <w:r>
        <w:rPr>
          <w:rFonts w:hint="eastAsia" w:ascii="宋体" w:hAnsi="宋体" w:cs="宋体"/>
          <w:szCs w:val="21"/>
          <w:lang w:eastAsia="zh-CN"/>
        </w:rPr>
        <w:t>的</w:t>
      </w:r>
      <w:r>
        <w:rPr>
          <w:rFonts w:hint="eastAsia" w:ascii="宋体" w:hAnsi="宋体" w:cs="宋体"/>
          <w:szCs w:val="21"/>
        </w:rPr>
        <w:t>单位产品能源消耗（以下简称能耗）限额引导性指标</w:t>
      </w:r>
      <w:r>
        <w:rPr>
          <w:rFonts w:hint="eastAsia" w:ascii="宋体" w:hAnsi="宋体" w:cs="宋体"/>
          <w:szCs w:val="21"/>
          <w:lang w:eastAsia="zh-CN"/>
        </w:rPr>
        <w:t>、</w:t>
      </w:r>
      <w:r>
        <w:rPr>
          <w:rFonts w:hint="eastAsia" w:ascii="宋体" w:hAnsi="宋体" w:cs="宋体"/>
          <w:szCs w:val="21"/>
        </w:rPr>
        <w:t>技术要求、统计范围</w:t>
      </w:r>
      <w:r>
        <w:rPr>
          <w:rFonts w:hint="eastAsia" w:ascii="宋体" w:hAnsi="宋体" w:cs="宋体"/>
          <w:szCs w:val="21"/>
          <w:lang w:eastAsia="zh-CN"/>
        </w:rPr>
        <w:t>和</w:t>
      </w:r>
      <w:r>
        <w:rPr>
          <w:rFonts w:hint="eastAsia" w:ascii="宋体" w:hAnsi="宋体" w:cs="宋体"/>
          <w:szCs w:val="21"/>
        </w:rPr>
        <w:t>计算方法</w:t>
      </w:r>
      <w:r>
        <w:rPr>
          <w:rFonts w:hint="eastAsia" w:ascii="宋体" w:hAnsi="宋体" w:cs="宋体"/>
          <w:szCs w:val="21"/>
          <w:lang w:eastAsia="zh-CN"/>
        </w:rPr>
        <w:t>、节能管理与措施</w:t>
      </w:r>
      <w:r>
        <w:rPr>
          <w:rFonts w:hint="eastAsia" w:ascii="宋体" w:hAnsi="宋体" w:cs="宋体"/>
          <w:szCs w:val="21"/>
        </w:rPr>
        <w:t>。</w:t>
      </w:r>
    </w:p>
    <w:p>
      <w:pPr>
        <w:ind w:firstLine="420" w:firstLineChars="2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本</w:t>
      </w:r>
      <w:r>
        <w:rPr>
          <w:rFonts w:hint="eastAsia" w:ascii="宋体" w:hAnsi="宋体" w:cs="宋体"/>
          <w:szCs w:val="21"/>
          <w:lang w:eastAsia="zh-CN"/>
        </w:rPr>
        <w:t>文件</w:t>
      </w:r>
      <w:r>
        <w:rPr>
          <w:rFonts w:hint="eastAsia" w:ascii="宋体" w:hAnsi="宋体" w:cs="宋体"/>
          <w:szCs w:val="21"/>
        </w:rPr>
        <w:t>适用于弹性体（S</w:t>
      </w:r>
      <w:r>
        <w:rPr>
          <w:rFonts w:ascii="宋体" w:hAnsi="宋体" w:cs="宋体"/>
          <w:szCs w:val="21"/>
        </w:rPr>
        <w:t>BS</w:t>
      </w:r>
      <w:r>
        <w:rPr>
          <w:rFonts w:hint="eastAsia" w:ascii="宋体" w:hAnsi="宋体" w:cs="宋体"/>
          <w:szCs w:val="21"/>
        </w:rPr>
        <w:t>）改性沥青防水卷材、塑性体（A</w:t>
      </w:r>
      <w:r>
        <w:rPr>
          <w:rFonts w:ascii="宋体" w:hAnsi="宋体" w:cs="宋体"/>
          <w:szCs w:val="21"/>
        </w:rPr>
        <w:t>PP</w:t>
      </w:r>
      <w:r>
        <w:rPr>
          <w:rFonts w:hint="eastAsia" w:ascii="宋体" w:hAnsi="宋体" w:cs="宋体"/>
          <w:szCs w:val="21"/>
        </w:rPr>
        <w:t>）改性沥青防水卷材和自粘聚合物改性沥青防水卷材生产企业</w:t>
      </w:r>
      <w:r>
        <w:rPr>
          <w:rFonts w:hint="eastAsia" w:ascii="宋体" w:hAnsi="宋体" w:cs="宋体"/>
          <w:szCs w:val="21"/>
          <w:lang w:eastAsia="zh-CN"/>
        </w:rPr>
        <w:t>单位产品</w:t>
      </w:r>
      <w:r>
        <w:rPr>
          <w:rFonts w:hint="eastAsia" w:ascii="宋体" w:hAnsi="宋体" w:cs="宋体"/>
          <w:szCs w:val="21"/>
        </w:rPr>
        <w:t>能耗的计算、考核，以及对新建和改扩建</w:t>
      </w:r>
      <w:r>
        <w:rPr>
          <w:rFonts w:hint="eastAsia" w:ascii="宋体" w:hAnsi="宋体" w:cs="宋体"/>
          <w:szCs w:val="21"/>
          <w:lang w:eastAsia="zh-CN"/>
        </w:rPr>
        <w:t>项目</w:t>
      </w:r>
      <w:r>
        <w:rPr>
          <w:rFonts w:hint="eastAsia" w:ascii="宋体" w:hAnsi="宋体" w:cs="宋体"/>
          <w:szCs w:val="21"/>
        </w:rPr>
        <w:t>的能耗控制。</w:t>
      </w:r>
    </w:p>
    <w:p>
      <w:pPr>
        <w:pStyle w:val="5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left="0"/>
        <w:textAlignment w:val="auto"/>
      </w:pPr>
      <w:r>
        <w:rPr>
          <w:rFonts w:hint="eastAsia"/>
        </w:rPr>
        <w:t>规范性引用文件</w:t>
      </w:r>
    </w:p>
    <w:p>
      <w:pPr>
        <w:ind w:firstLine="420" w:firstLineChars="200"/>
        <w:rPr>
          <w:rFonts w:hAnsi="宋体"/>
        </w:rPr>
      </w:pPr>
      <w:r>
        <w:rPr>
          <w:rFonts w:hint="eastAsia" w:hAnsi="宋体"/>
        </w:rPr>
        <w:t>下列文件对于本</w:t>
      </w:r>
      <w:r>
        <w:rPr>
          <w:rFonts w:hint="eastAsia" w:hAnsi="宋体"/>
          <w:lang w:eastAsia="zh-CN"/>
        </w:rPr>
        <w:t>文件</w:t>
      </w:r>
      <w:r>
        <w:rPr>
          <w:rFonts w:hint="eastAsia" w:hAnsi="宋体"/>
        </w:rPr>
        <w:t>的应用是必不可少的。凡是注日期的引用文件，仅注日期的版本适用于本</w:t>
      </w:r>
      <w:r>
        <w:rPr>
          <w:rFonts w:hint="eastAsia" w:hAnsi="宋体"/>
          <w:lang w:eastAsia="zh-CN"/>
        </w:rPr>
        <w:t>文件</w:t>
      </w:r>
      <w:r>
        <w:rPr>
          <w:rFonts w:hint="eastAsia" w:hAnsi="宋体"/>
        </w:rPr>
        <w:t>。凡是不注日期的引用文件，其最新版本（包括所有的修改单）适用于本</w:t>
      </w:r>
      <w:r>
        <w:rPr>
          <w:rFonts w:hint="eastAsia" w:hAnsi="宋体"/>
          <w:lang w:eastAsia="zh-CN"/>
        </w:rPr>
        <w:t>文件</w:t>
      </w:r>
      <w:r>
        <w:rPr>
          <w:rFonts w:hint="eastAsia" w:hAnsi="宋体"/>
        </w:rPr>
        <w:t>。</w:t>
      </w:r>
    </w:p>
    <w:p>
      <w:pPr>
        <w:ind w:firstLine="420" w:firstLineChars="200"/>
        <w:rPr>
          <w:rFonts w:hint="eastAsia" w:ascii="宋体" w:hAnsi="宋体" w:cs="宋体"/>
          <w:strike w:val="0"/>
          <w:color w:val="auto"/>
          <w:szCs w:val="21"/>
          <w:lang w:val="en-US" w:eastAsia="zh-CN"/>
        </w:rPr>
      </w:pPr>
      <w:r>
        <w:rPr>
          <w:rFonts w:hint="eastAsia" w:ascii="宋体" w:hAnsi="宋体" w:cs="宋体"/>
          <w:strike w:val="0"/>
          <w:color w:val="auto"/>
          <w:szCs w:val="21"/>
          <w:lang w:val="en-US" w:eastAsia="zh-CN"/>
        </w:rPr>
        <w:t>GB/T 2589 综合能耗计算通则</w:t>
      </w:r>
    </w:p>
    <w:p>
      <w:pPr>
        <w:ind w:firstLine="420" w:firstLineChars="200"/>
        <w:rPr>
          <w:rFonts w:hint="default" w:ascii="宋体" w:hAnsi="宋体" w:cs="宋体"/>
          <w:strike w:val="0"/>
          <w:color w:val="auto"/>
          <w:szCs w:val="21"/>
          <w:lang w:val="en-US" w:eastAsia="zh-CN"/>
        </w:rPr>
      </w:pPr>
      <w:r>
        <w:rPr>
          <w:rFonts w:hint="eastAsia" w:ascii="宋体" w:hAnsi="宋体" w:cs="宋体"/>
          <w:strike w:val="0"/>
          <w:color w:val="auto"/>
          <w:szCs w:val="21"/>
          <w:lang w:val="en-US" w:eastAsia="zh-CN"/>
        </w:rPr>
        <w:t>GB/T 12497 三相异步电动机经济运行</w:t>
      </w:r>
    </w:p>
    <w:p>
      <w:pPr>
        <w:ind w:firstLine="420" w:firstLineChars="200"/>
        <w:rPr>
          <w:rFonts w:hint="eastAsia" w:ascii="宋体" w:hAnsi="宋体" w:cs="宋体"/>
          <w:strike w:val="0"/>
          <w:color w:val="auto"/>
          <w:szCs w:val="21"/>
          <w:lang w:val="en-US" w:eastAsia="zh-CN"/>
        </w:rPr>
      </w:pPr>
      <w:r>
        <w:rPr>
          <w:rFonts w:hint="eastAsia" w:ascii="宋体" w:hAnsi="宋体" w:cs="宋体"/>
          <w:strike w:val="0"/>
          <w:color w:val="auto"/>
          <w:szCs w:val="21"/>
          <w:lang w:val="en-US" w:eastAsia="zh-CN"/>
        </w:rPr>
        <w:t>GB/T 12723 单位产品能源消耗限额编制通则</w:t>
      </w:r>
    </w:p>
    <w:p>
      <w:pPr>
        <w:ind w:firstLine="420" w:firstLineChars="200"/>
        <w:rPr>
          <w:rFonts w:hint="default" w:ascii="宋体" w:hAnsi="宋体" w:cs="宋体"/>
          <w:strike w:val="0"/>
          <w:color w:val="auto"/>
          <w:szCs w:val="21"/>
          <w:lang w:val="en-US" w:eastAsia="zh-CN"/>
        </w:rPr>
      </w:pPr>
      <w:r>
        <w:rPr>
          <w:rFonts w:hint="eastAsia" w:ascii="宋体" w:hAnsi="宋体" w:cs="宋体"/>
          <w:strike w:val="0"/>
          <w:color w:val="auto"/>
          <w:szCs w:val="21"/>
          <w:lang w:val="en-US" w:eastAsia="zh-CN"/>
        </w:rPr>
        <w:t>GB/T 13462 电力变压器经济运行</w:t>
      </w:r>
    </w:p>
    <w:p>
      <w:pPr>
        <w:ind w:firstLine="420" w:firstLineChars="200"/>
        <w:rPr>
          <w:rFonts w:hint="default" w:ascii="宋体" w:hAnsi="宋体" w:cs="宋体"/>
          <w:strike w:val="0"/>
          <w:color w:val="auto"/>
          <w:szCs w:val="21"/>
          <w:lang w:val="en-US" w:eastAsia="zh-CN"/>
        </w:rPr>
      </w:pPr>
      <w:r>
        <w:rPr>
          <w:rFonts w:hint="eastAsia" w:ascii="宋体" w:hAnsi="宋体" w:cs="宋体"/>
          <w:strike w:val="0"/>
          <w:color w:val="auto"/>
          <w:szCs w:val="21"/>
          <w:lang w:val="en-US" w:eastAsia="zh-CN"/>
        </w:rPr>
        <w:t>GB/T 13469 离心泵、混流泵与轴流泵系统经济运行</w:t>
      </w:r>
    </w:p>
    <w:p>
      <w:pPr>
        <w:ind w:firstLine="420" w:firstLineChars="200"/>
        <w:rPr>
          <w:rFonts w:hint="eastAsia" w:ascii="宋体" w:hAnsi="宋体" w:cs="宋体"/>
          <w:strike w:val="0"/>
          <w:color w:val="auto"/>
          <w:szCs w:val="21"/>
          <w:lang w:val="en-US" w:eastAsia="zh-CN"/>
        </w:rPr>
      </w:pPr>
      <w:r>
        <w:rPr>
          <w:rFonts w:hint="eastAsia" w:ascii="宋体" w:hAnsi="宋体" w:cs="宋体"/>
          <w:strike w:val="0"/>
          <w:color w:val="auto"/>
          <w:szCs w:val="21"/>
          <w:lang w:val="en-US" w:eastAsia="zh-CN"/>
        </w:rPr>
        <w:t>GB/T 13470 通风机系统经济运行</w:t>
      </w:r>
    </w:p>
    <w:p>
      <w:pPr>
        <w:ind w:firstLine="420" w:firstLineChars="200"/>
        <w:rPr>
          <w:rFonts w:hint="default" w:ascii="宋体" w:hAnsi="宋体" w:cs="宋体"/>
          <w:strike w:val="0"/>
          <w:color w:val="auto"/>
          <w:szCs w:val="21"/>
          <w:lang w:val="en-US" w:eastAsia="zh-CN"/>
        </w:rPr>
      </w:pPr>
      <w:r>
        <w:rPr>
          <w:rFonts w:hint="eastAsia" w:ascii="宋体" w:hAnsi="宋体" w:cs="宋体"/>
          <w:strike w:val="0"/>
          <w:color w:val="auto"/>
          <w:szCs w:val="21"/>
          <w:lang w:val="en-US" w:eastAsia="zh-CN"/>
        </w:rPr>
        <w:t>GB 17167 用能单位能源计量器具配备和管理通则</w:t>
      </w:r>
    </w:p>
    <w:p>
      <w:pPr>
        <w:ind w:firstLine="420" w:firstLineChars="200"/>
        <w:rPr>
          <w:rFonts w:hint="default" w:ascii="宋体" w:hAnsi="宋体" w:cs="宋体"/>
          <w:strike w:val="0"/>
          <w:color w:val="auto"/>
          <w:szCs w:val="21"/>
          <w:lang w:val="en-US" w:eastAsia="zh-CN"/>
        </w:rPr>
      </w:pPr>
      <w:r>
        <w:rPr>
          <w:rFonts w:hint="eastAsia" w:ascii="宋体" w:hAnsi="宋体" w:cs="宋体"/>
          <w:strike w:val="0"/>
          <w:color w:val="auto"/>
          <w:szCs w:val="21"/>
          <w:lang w:val="en-US" w:eastAsia="zh-CN"/>
        </w:rPr>
        <w:t>GB/T 17954 工业锅炉经济运行</w:t>
      </w:r>
    </w:p>
    <w:p>
      <w:pPr>
        <w:ind w:firstLine="420" w:firstLineChars="200"/>
        <w:rPr>
          <w:rFonts w:hint="default" w:ascii="宋体" w:hAnsi="宋体" w:cs="宋体"/>
          <w:strike w:val="0"/>
          <w:color w:val="auto"/>
          <w:szCs w:val="21"/>
          <w:lang w:val="en-US" w:eastAsia="zh-CN"/>
        </w:rPr>
      </w:pPr>
      <w:r>
        <w:rPr>
          <w:rFonts w:hint="eastAsia" w:ascii="宋体" w:hAnsi="宋体" w:cs="宋体"/>
          <w:strike w:val="0"/>
          <w:color w:val="auto"/>
          <w:szCs w:val="21"/>
          <w:lang w:val="en-US" w:eastAsia="zh-CN"/>
        </w:rPr>
        <w:t>GB 18242 弹性体改性沥青防水卷材</w:t>
      </w:r>
    </w:p>
    <w:p>
      <w:pPr>
        <w:ind w:firstLine="420" w:firstLineChars="200"/>
        <w:rPr>
          <w:rFonts w:hint="default" w:ascii="宋体" w:hAnsi="宋体" w:cs="宋体"/>
          <w:strike w:val="0"/>
          <w:color w:val="auto"/>
          <w:szCs w:val="21"/>
          <w:lang w:val="en-US" w:eastAsia="zh-CN"/>
        </w:rPr>
      </w:pPr>
      <w:r>
        <w:rPr>
          <w:rFonts w:hint="eastAsia" w:ascii="宋体" w:hAnsi="宋体" w:cs="宋体"/>
          <w:strike w:val="0"/>
          <w:color w:val="auto"/>
          <w:szCs w:val="21"/>
          <w:lang w:val="en-US" w:eastAsia="zh-CN"/>
        </w:rPr>
        <w:t>GB 18243 塑性体改性沥青防水卷材</w:t>
      </w:r>
    </w:p>
    <w:p>
      <w:pPr>
        <w:ind w:firstLine="420" w:firstLineChars="200"/>
        <w:rPr>
          <w:rFonts w:hint="default" w:ascii="宋体" w:hAnsi="宋体" w:cs="宋体"/>
          <w:strike w:val="0"/>
          <w:color w:val="auto"/>
          <w:szCs w:val="21"/>
          <w:lang w:val="en-US" w:eastAsia="zh-CN"/>
        </w:rPr>
      </w:pPr>
      <w:r>
        <w:rPr>
          <w:rFonts w:hint="eastAsia" w:ascii="宋体" w:hAnsi="宋体" w:cs="宋体"/>
          <w:strike w:val="0"/>
          <w:color w:val="auto"/>
          <w:szCs w:val="21"/>
          <w:lang w:val="en-US" w:eastAsia="zh-CN"/>
        </w:rPr>
        <w:t>GB 18613 电动机能效限定值及能效等级</w:t>
      </w:r>
    </w:p>
    <w:p>
      <w:pPr>
        <w:ind w:firstLine="420" w:firstLineChars="200"/>
        <w:rPr>
          <w:rFonts w:hint="default" w:ascii="宋体" w:hAnsi="宋体" w:cs="宋体"/>
          <w:strike w:val="0"/>
          <w:color w:val="auto"/>
          <w:szCs w:val="21"/>
          <w:lang w:val="en-US" w:eastAsia="zh-CN"/>
        </w:rPr>
      </w:pPr>
      <w:r>
        <w:rPr>
          <w:rFonts w:hint="eastAsia" w:ascii="宋体" w:hAnsi="宋体" w:cs="宋体"/>
          <w:strike w:val="0"/>
          <w:color w:val="auto"/>
          <w:szCs w:val="21"/>
          <w:lang w:val="en-US" w:eastAsia="zh-CN"/>
        </w:rPr>
        <w:t>GB/T 19065 电加热锅炉系统经济运行</w:t>
      </w:r>
    </w:p>
    <w:p>
      <w:pPr>
        <w:ind w:firstLine="420" w:firstLineChars="200"/>
        <w:rPr>
          <w:rFonts w:hint="default" w:ascii="宋体" w:hAnsi="宋体" w:cs="宋体"/>
          <w:strike w:val="0"/>
          <w:color w:val="auto"/>
          <w:szCs w:val="21"/>
          <w:lang w:val="en-US" w:eastAsia="zh-CN"/>
        </w:rPr>
      </w:pPr>
      <w:r>
        <w:rPr>
          <w:rFonts w:hint="eastAsia" w:ascii="宋体" w:hAnsi="宋体" w:cs="宋体"/>
          <w:strike w:val="0"/>
          <w:color w:val="auto"/>
          <w:szCs w:val="21"/>
          <w:lang w:val="en-US" w:eastAsia="zh-CN"/>
        </w:rPr>
        <w:t>GB 19153 容积式空气压缩机能效限定值及能效等级</w:t>
      </w:r>
    </w:p>
    <w:p>
      <w:pPr>
        <w:ind w:firstLine="420" w:firstLineChars="200"/>
        <w:rPr>
          <w:rFonts w:hint="default" w:ascii="宋体" w:hAnsi="宋体" w:cs="宋体"/>
          <w:strike w:val="0"/>
          <w:color w:val="auto"/>
          <w:szCs w:val="21"/>
          <w:lang w:val="en-US" w:eastAsia="zh-CN"/>
        </w:rPr>
      </w:pPr>
      <w:r>
        <w:rPr>
          <w:rFonts w:hint="eastAsia" w:ascii="宋体" w:hAnsi="宋体" w:cs="宋体"/>
          <w:strike w:val="0"/>
          <w:color w:val="auto"/>
          <w:szCs w:val="21"/>
          <w:lang w:val="en-US" w:eastAsia="zh-CN"/>
        </w:rPr>
        <w:t>GB 19761 通风机能效限定值及能效等级</w:t>
      </w:r>
    </w:p>
    <w:p>
      <w:pPr>
        <w:ind w:firstLine="420" w:firstLineChars="200"/>
        <w:rPr>
          <w:rFonts w:hint="default" w:ascii="宋体" w:hAnsi="宋体" w:cs="宋体"/>
          <w:strike w:val="0"/>
          <w:color w:val="auto"/>
          <w:szCs w:val="21"/>
          <w:lang w:val="en-US" w:eastAsia="zh-CN"/>
        </w:rPr>
      </w:pPr>
      <w:r>
        <w:rPr>
          <w:rFonts w:hint="eastAsia" w:ascii="宋体" w:hAnsi="宋体" w:cs="宋体"/>
          <w:strike w:val="0"/>
          <w:color w:val="auto"/>
          <w:szCs w:val="21"/>
          <w:lang w:val="en-US" w:eastAsia="zh-CN"/>
        </w:rPr>
        <w:t>GB 19762 清水离心泵能效限定值及节能评价值</w:t>
      </w:r>
    </w:p>
    <w:p>
      <w:pPr>
        <w:ind w:firstLine="420" w:firstLineChars="200"/>
        <w:rPr>
          <w:rFonts w:hint="default" w:ascii="宋体" w:hAnsi="宋体" w:cs="宋体"/>
          <w:strike w:val="0"/>
          <w:color w:val="auto"/>
          <w:szCs w:val="21"/>
          <w:lang w:val="en-US" w:eastAsia="zh-CN"/>
        </w:rPr>
      </w:pPr>
      <w:r>
        <w:rPr>
          <w:rFonts w:hint="eastAsia" w:ascii="宋体" w:hAnsi="宋体" w:cs="宋体"/>
          <w:strike w:val="0"/>
          <w:color w:val="auto"/>
          <w:szCs w:val="21"/>
          <w:lang w:val="en-US" w:eastAsia="zh-CN"/>
        </w:rPr>
        <w:t>GB 20052 电力变压器能效限定值及能效等级</w:t>
      </w:r>
    </w:p>
    <w:p>
      <w:pPr>
        <w:ind w:firstLine="420" w:firstLineChars="200"/>
        <w:rPr>
          <w:rFonts w:hint="eastAsia" w:ascii="宋体" w:hAnsi="宋体" w:cs="宋体"/>
          <w:strike w:val="0"/>
          <w:color w:val="auto"/>
          <w:szCs w:val="21"/>
          <w:lang w:val="en-US" w:eastAsia="zh-CN"/>
        </w:rPr>
      </w:pPr>
      <w:r>
        <w:rPr>
          <w:rFonts w:hint="eastAsia" w:ascii="宋体" w:hAnsi="宋体" w:cs="宋体"/>
          <w:strike w:val="0"/>
          <w:color w:val="auto"/>
          <w:szCs w:val="21"/>
          <w:lang w:val="en-US" w:eastAsia="zh-CN"/>
        </w:rPr>
        <w:t>GB/T 23331 能源管理体系 要求及使用指南</w:t>
      </w:r>
    </w:p>
    <w:p>
      <w:pPr>
        <w:ind w:firstLine="420" w:firstLineChars="200"/>
        <w:rPr>
          <w:rFonts w:hint="default" w:ascii="宋体" w:hAnsi="宋体" w:cs="宋体"/>
          <w:strike w:val="0"/>
          <w:color w:val="auto"/>
          <w:szCs w:val="21"/>
          <w:lang w:val="en-US" w:eastAsia="zh-CN"/>
        </w:rPr>
      </w:pPr>
      <w:r>
        <w:rPr>
          <w:rFonts w:hint="eastAsia" w:ascii="宋体" w:hAnsi="宋体" w:cs="宋体"/>
          <w:strike w:val="0"/>
          <w:color w:val="auto"/>
          <w:szCs w:val="21"/>
          <w:lang w:val="en-US" w:eastAsia="zh-CN"/>
        </w:rPr>
        <w:t>GB 23441 自粘聚合物改性沥青防水卷材</w:t>
      </w:r>
    </w:p>
    <w:p>
      <w:pPr>
        <w:ind w:firstLine="420" w:firstLineChars="200"/>
        <w:rPr>
          <w:rFonts w:hint="default" w:ascii="宋体" w:hAnsi="宋体" w:cs="宋体"/>
          <w:strike w:val="0"/>
          <w:color w:val="auto"/>
          <w:szCs w:val="21"/>
          <w:lang w:val="en-US" w:eastAsia="zh-CN"/>
        </w:rPr>
      </w:pPr>
      <w:r>
        <w:rPr>
          <w:rFonts w:hint="eastAsia" w:ascii="宋体" w:hAnsi="宋体" w:cs="宋体"/>
          <w:strike w:val="0"/>
          <w:color w:val="auto"/>
          <w:szCs w:val="21"/>
          <w:lang w:val="en-US" w:eastAsia="zh-CN"/>
        </w:rPr>
        <w:t>GB 24500 工业锅炉能效限定值及能效等级</w:t>
      </w:r>
    </w:p>
    <w:p>
      <w:pPr>
        <w:ind w:firstLine="420" w:firstLineChars="200"/>
        <w:rPr>
          <w:rFonts w:hint="eastAsia" w:ascii="宋体" w:hAnsi="宋体" w:cs="宋体"/>
          <w:strike w:val="0"/>
          <w:color w:val="auto"/>
          <w:szCs w:val="21"/>
          <w:lang w:val="en-US" w:eastAsia="zh-CN"/>
        </w:rPr>
      </w:pPr>
      <w:r>
        <w:rPr>
          <w:rFonts w:hint="eastAsia" w:ascii="宋体" w:hAnsi="宋体" w:cs="宋体"/>
          <w:strike w:val="0"/>
          <w:color w:val="auto"/>
          <w:szCs w:val="21"/>
          <w:lang w:val="en-US" w:eastAsia="zh-CN"/>
        </w:rPr>
        <w:t>GB/T 24851 建筑材料行业能源计量器具配备和管理要求</w:t>
      </w:r>
    </w:p>
    <w:p>
      <w:pPr>
        <w:ind w:firstLine="420" w:firstLineChars="200"/>
        <w:rPr>
          <w:rFonts w:hint="default" w:ascii="宋体" w:hAnsi="宋体" w:cs="宋体"/>
          <w:strike w:val="0"/>
          <w:color w:val="auto"/>
          <w:szCs w:val="21"/>
          <w:lang w:val="en-US" w:eastAsia="zh-CN"/>
        </w:rPr>
      </w:pPr>
      <w:r>
        <w:rPr>
          <w:rFonts w:hint="eastAsia" w:ascii="宋体" w:hAnsi="宋体" w:cs="宋体"/>
          <w:strike w:val="0"/>
          <w:color w:val="auto"/>
          <w:szCs w:val="21"/>
          <w:lang w:val="en-US" w:eastAsia="zh-CN"/>
        </w:rPr>
        <w:fldChar w:fldCharType="begin"/>
      </w:r>
      <w:r>
        <w:rPr>
          <w:rFonts w:hint="eastAsia" w:ascii="宋体" w:hAnsi="宋体" w:cs="宋体"/>
          <w:strike w:val="0"/>
          <w:color w:val="auto"/>
          <w:szCs w:val="21"/>
          <w:lang w:val="en-US" w:eastAsia="zh-CN"/>
        </w:rPr>
        <w:instrText xml:space="preserve"> HYPERLINK "javascript:void(0)" </w:instrText>
      </w:r>
      <w:r>
        <w:rPr>
          <w:rFonts w:hint="eastAsia" w:ascii="宋体" w:hAnsi="宋体" w:cs="宋体"/>
          <w:strike w:val="0"/>
          <w:color w:val="auto"/>
          <w:szCs w:val="21"/>
          <w:lang w:val="en-US" w:eastAsia="zh-CN"/>
        </w:rPr>
        <w:fldChar w:fldCharType="separate"/>
      </w:r>
      <w:r>
        <w:rPr>
          <w:rFonts w:hint="default" w:ascii="宋体" w:hAnsi="宋体" w:cs="宋体"/>
          <w:strike w:val="0"/>
          <w:color w:val="auto"/>
          <w:szCs w:val="21"/>
          <w:lang w:val="en-US" w:eastAsia="zh-CN"/>
        </w:rPr>
        <w:t>GB/T 27883</w:t>
      </w:r>
      <w:r>
        <w:rPr>
          <w:rFonts w:hint="default" w:ascii="宋体" w:hAnsi="宋体" w:cs="宋体"/>
          <w:strike w:val="0"/>
          <w:color w:val="auto"/>
          <w:szCs w:val="21"/>
          <w:lang w:val="en-US" w:eastAsia="zh-CN"/>
        </w:rPr>
        <w:fldChar w:fldCharType="end"/>
      </w:r>
      <w:r>
        <w:rPr>
          <w:rFonts w:hint="eastAsia" w:ascii="宋体" w:hAnsi="宋体" w:cs="宋体"/>
          <w:strike w:val="0"/>
          <w:color w:val="auto"/>
          <w:szCs w:val="21"/>
          <w:lang w:val="en-US" w:eastAsia="zh-CN"/>
        </w:rPr>
        <w:t xml:space="preserve"> 容</w:t>
      </w:r>
      <w:r>
        <w:rPr>
          <w:rFonts w:hint="eastAsia" w:hAnsi="宋体" w:cs="宋体"/>
          <w:b w:val="0"/>
          <w:bCs w:val="0"/>
          <w:sz w:val="21"/>
          <w:szCs w:val="21"/>
          <w:lang w:val="en-US" w:eastAsia="zh-CN" w:bidi="ar-SA"/>
        </w:rPr>
        <w:t>积式空气压缩机系统经济运行</w:t>
      </w:r>
    </w:p>
    <w:p>
      <w:pPr>
        <w:ind w:firstLine="420" w:firstLineChars="200"/>
        <w:rPr>
          <w:rFonts w:hint="eastAsia" w:ascii="宋体" w:hAnsi="宋体" w:cs="宋体"/>
          <w:strike w:val="0"/>
          <w:color w:val="auto"/>
          <w:szCs w:val="21"/>
          <w:lang w:val="en-US" w:eastAsia="zh-CN"/>
        </w:rPr>
      </w:pPr>
      <w:r>
        <w:rPr>
          <w:rFonts w:hint="eastAsia" w:ascii="宋体" w:hAnsi="宋体" w:cs="宋体"/>
          <w:strike w:val="0"/>
          <w:color w:val="auto"/>
          <w:szCs w:val="21"/>
          <w:lang w:val="en-US" w:eastAsia="zh-CN"/>
        </w:rPr>
        <w:t>GB 30184</w:t>
      </w:r>
      <w:r>
        <w:rPr>
          <w:rFonts w:ascii="宋体" w:hAnsi="宋体" w:cs="宋体"/>
          <w:szCs w:val="21"/>
        </w:rPr>
        <w:t xml:space="preserve">-2013 </w:t>
      </w:r>
      <w:r>
        <w:rPr>
          <w:rFonts w:hint="eastAsia" w:ascii="宋体" w:hAnsi="宋体" w:cs="宋体"/>
          <w:szCs w:val="21"/>
        </w:rPr>
        <w:t>沥青基防水卷材单位产品能源消耗限额</w:t>
      </w:r>
    </w:p>
    <w:p>
      <w:pPr>
        <w:ind w:firstLine="420" w:firstLineChars="200"/>
        <w:rPr>
          <w:rFonts w:hint="eastAsia" w:ascii="宋体" w:hAnsi="宋体" w:cs="宋体"/>
          <w:szCs w:val="21"/>
          <w:lang w:val="en-US" w:eastAsia="zh-CN"/>
        </w:rPr>
      </w:pPr>
      <w:r>
        <w:rPr>
          <w:rFonts w:hint="eastAsia" w:ascii="宋体" w:hAnsi="宋体" w:cs="宋体"/>
          <w:strike w:val="0"/>
          <w:color w:val="auto"/>
          <w:szCs w:val="21"/>
          <w:lang w:val="en-US" w:eastAsia="zh-CN"/>
        </w:rPr>
        <w:t xml:space="preserve">GB 30254 </w:t>
      </w:r>
      <w:r>
        <w:rPr>
          <w:rFonts w:hint="eastAsia" w:ascii="宋体" w:hAnsi="宋体" w:cs="宋体"/>
          <w:szCs w:val="21"/>
          <w:lang w:val="en-US" w:eastAsia="zh-CN"/>
        </w:rPr>
        <w:t>高压三相笼型异步电动机能效限定值及能效等级</w:t>
      </w:r>
    </w:p>
    <w:p>
      <w:pPr>
        <w:pStyle w:val="5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left="0"/>
        <w:textAlignment w:val="auto"/>
      </w:pPr>
      <w:r>
        <w:rPr>
          <w:rFonts w:hint="eastAsia"/>
        </w:rPr>
        <w:t>术语和定义</w:t>
      </w:r>
    </w:p>
    <w:p>
      <w:pPr>
        <w:pStyle w:val="55"/>
        <w:numPr>
          <w:ilvl w:val="0"/>
          <w:numId w:val="0"/>
        </w:numPr>
        <w:spacing w:before="156" w:beforeLines="50" w:after="156" w:afterLines="50"/>
        <w:ind w:firstLine="420" w:firstLineChars="200"/>
        <w:rPr>
          <w:rFonts w:hint="eastAsia" w:ascii="宋体" w:hAnsi="宋体" w:eastAsia="宋体" w:cs="宋体"/>
          <w:strike w:val="0"/>
          <w:color w:val="auto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宋体"/>
          <w:strike w:val="0"/>
          <w:color w:val="auto"/>
          <w:kern w:val="2"/>
          <w:sz w:val="21"/>
          <w:szCs w:val="21"/>
          <w:lang w:val="en-US" w:eastAsia="zh-CN" w:bidi="ar-SA"/>
        </w:rPr>
        <w:t>GB/T 12723界定的以及下列术语和定义适用于本文件。</w:t>
      </w:r>
    </w:p>
    <w:p>
      <w:pPr>
        <w:pStyle w:val="22"/>
        <w:rPr>
          <w:rFonts w:hint="eastAsia"/>
          <w:lang w:val="en-US" w:eastAsia="zh-CN"/>
        </w:rPr>
      </w:pPr>
    </w:p>
    <w:p>
      <w:pPr>
        <w:pStyle w:val="6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</w:pPr>
      <w:bookmarkStart w:id="21" w:name="_Toc19847_WPSOffice_Level2"/>
    </w:p>
    <w:bookmarkEnd w:id="21"/>
    <w:p>
      <w:pPr>
        <w:pStyle w:val="55"/>
        <w:numPr>
          <w:ilvl w:val="0"/>
          <w:numId w:val="0"/>
        </w:numPr>
        <w:spacing w:before="156" w:beforeLines="50" w:after="156" w:afterLines="50"/>
        <w:ind w:firstLine="421" w:firstLineChars="200"/>
        <w:rPr>
          <w:b/>
          <w:bCs/>
        </w:rPr>
      </w:pPr>
      <w:r>
        <w:rPr>
          <w:rFonts w:hint="eastAsia"/>
          <w:b/>
          <w:bCs/>
        </w:rPr>
        <w:t xml:space="preserve">沥青基防水卷材产品综合能耗 </w:t>
      </w:r>
    </w:p>
    <w:p>
      <w:pPr>
        <w:pStyle w:val="55"/>
        <w:numPr>
          <w:ilvl w:val="0"/>
          <w:numId w:val="0"/>
        </w:numPr>
        <w:spacing w:before="156" w:beforeLines="50" w:after="156" w:afterLines="50"/>
        <w:ind w:firstLine="420" w:firstLineChars="200"/>
        <w:rPr>
          <w:rFonts w:ascii="Times New Roman" w:eastAsia="宋体"/>
          <w:kern w:val="2"/>
          <w:szCs w:val="21"/>
        </w:rPr>
      </w:pPr>
      <w:r>
        <w:rPr>
          <w:rFonts w:hint="eastAsia" w:ascii="Times New Roman" w:eastAsia="宋体"/>
          <w:kern w:val="2"/>
          <w:szCs w:val="21"/>
        </w:rPr>
        <w:t>在报告期内，</w:t>
      </w:r>
      <w:r>
        <w:rPr>
          <w:rFonts w:hint="eastAsia" w:ascii="Times New Roman" w:eastAsia="宋体"/>
          <w:kern w:val="2"/>
          <w:szCs w:val="21"/>
          <w:lang w:eastAsia="zh-CN"/>
        </w:rPr>
        <w:t>沥青基</w:t>
      </w:r>
      <w:r>
        <w:rPr>
          <w:rFonts w:hint="eastAsia" w:ascii="Times New Roman" w:eastAsia="宋体"/>
          <w:kern w:val="2"/>
          <w:szCs w:val="21"/>
        </w:rPr>
        <w:t>防水卷材在生产系统、辅助生产系统和附属生产系统内，用于生产实际消耗的各种能源总量。</w:t>
      </w:r>
    </w:p>
    <w:p>
      <w:pPr>
        <w:pStyle w:val="22"/>
      </w:pPr>
      <w:bookmarkStart w:id="22" w:name="_Hlk102812458"/>
      <w:r>
        <w:rPr>
          <w:rFonts w:hint="eastAsia"/>
        </w:rPr>
        <w:t>[来源：G</w:t>
      </w:r>
      <w:r>
        <w:t>B 30184-2013</w:t>
      </w:r>
      <w:r>
        <w:rPr>
          <w:rFonts w:hint="eastAsia"/>
        </w:rPr>
        <w:t>，3</w:t>
      </w:r>
      <w:r>
        <w:t>.1</w:t>
      </w:r>
      <w:r>
        <w:rPr>
          <w:rFonts w:hint="eastAsia"/>
          <w:lang w:eastAsia="zh-CN"/>
        </w:rPr>
        <w:t>，改写</w:t>
      </w:r>
      <w:r>
        <w:t>]</w:t>
      </w:r>
    </w:p>
    <w:bookmarkEnd w:id="22"/>
    <w:p>
      <w:pPr>
        <w:pStyle w:val="63"/>
        <w:rPr>
          <w:rFonts w:ascii="Times New Roman"/>
          <w:bCs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1" w:firstLineChars="200"/>
        <w:textAlignment w:val="auto"/>
        <w:rPr>
          <w:rFonts w:eastAsia="黑体"/>
          <w:b/>
          <w:szCs w:val="21"/>
        </w:rPr>
      </w:pPr>
      <w:r>
        <w:rPr>
          <w:rFonts w:hint="eastAsia" w:eastAsia="黑体"/>
          <w:b/>
          <w:szCs w:val="21"/>
        </w:rPr>
        <w:t xml:space="preserve">沥青基防水卷材单位产品综合能耗 </w:t>
      </w:r>
    </w:p>
    <w:p>
      <w:pPr>
        <w:ind w:firstLine="420" w:firstLineChars="200"/>
        <w:rPr>
          <w:szCs w:val="21"/>
        </w:rPr>
      </w:pPr>
      <w:r>
        <w:rPr>
          <w:rFonts w:hint="eastAsia"/>
          <w:szCs w:val="21"/>
        </w:rPr>
        <w:t>以单位产量表示的</w:t>
      </w:r>
      <w:r>
        <w:rPr>
          <w:rFonts w:hint="eastAsia"/>
          <w:szCs w:val="21"/>
          <w:lang w:eastAsia="zh-CN"/>
        </w:rPr>
        <w:t>沥青基</w:t>
      </w:r>
      <w:r>
        <w:rPr>
          <w:rFonts w:hint="eastAsia"/>
          <w:szCs w:val="21"/>
        </w:rPr>
        <w:t>防水卷材产品综合能耗。</w:t>
      </w:r>
    </w:p>
    <w:p>
      <w:pPr>
        <w:pStyle w:val="22"/>
      </w:pPr>
      <w:r>
        <w:rPr>
          <w:rFonts w:hint="eastAsia"/>
        </w:rPr>
        <w:t>[来源：G</w:t>
      </w:r>
      <w:r>
        <w:t>B 30184-2013</w:t>
      </w:r>
      <w:r>
        <w:rPr>
          <w:rFonts w:hint="eastAsia"/>
        </w:rPr>
        <w:t>，3</w:t>
      </w:r>
      <w:r>
        <w:t>.2</w:t>
      </w:r>
      <w:r>
        <w:rPr>
          <w:rFonts w:hint="eastAsia"/>
          <w:lang w:eastAsia="zh-CN"/>
        </w:rPr>
        <w:t>，改写</w:t>
      </w:r>
      <w:r>
        <w:t>]</w:t>
      </w:r>
    </w:p>
    <w:p>
      <w:pPr>
        <w:pStyle w:val="5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left="0"/>
        <w:textAlignment w:val="auto"/>
        <w:rPr>
          <w:rFonts w:ascii="Times New Roman"/>
          <w:szCs w:val="21"/>
        </w:rPr>
      </w:pPr>
      <w:r>
        <w:rPr>
          <w:rFonts w:hint="eastAsia" w:ascii="Times New Roman"/>
          <w:szCs w:val="21"/>
        </w:rPr>
        <w:t>能耗限额等级引导性指标</w:t>
      </w:r>
    </w:p>
    <w:p>
      <w:pPr>
        <w:pStyle w:val="2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/>
        <w:ind w:left="0" w:leftChars="0" w:firstLine="0" w:firstLineChars="0"/>
        <w:textAlignment w:val="auto"/>
        <w:outlineLvl w:val="2"/>
        <w:rPr>
          <w:rFonts w:hint="eastAsia" w:ascii="黑体" w:hAnsi="Times New Roman" w:eastAsia="黑体" w:cs="Times New Roman"/>
          <w:sz w:val="21"/>
          <w:szCs w:val="21"/>
          <w:highlight w:val="none"/>
          <w:lang w:val="en-US" w:eastAsia="zh-CN" w:bidi="ar-SA"/>
        </w:rPr>
      </w:pPr>
      <w:r>
        <w:rPr>
          <w:rFonts w:hint="eastAsia" w:ascii="黑体" w:hAnsi="Times New Roman" w:eastAsia="黑体" w:cs="Times New Roman"/>
          <w:sz w:val="21"/>
          <w:szCs w:val="21"/>
          <w:highlight w:val="none"/>
          <w:lang w:val="en-US" w:eastAsia="zh-CN" w:bidi="ar-SA"/>
        </w:rPr>
        <w:t>4.1  能耗限额指标</w:t>
      </w:r>
    </w:p>
    <w:p>
      <w:pPr>
        <w:ind w:firstLine="420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沥青基防水卷材单位产品能耗限额等级引导性指标见表1。</w:t>
      </w:r>
    </w:p>
    <w:p>
      <w:pPr>
        <w:pStyle w:val="90"/>
      </w:pPr>
      <w:bookmarkStart w:id="23" w:name="_Toc29345_WPSOffice_Level2"/>
      <w:r>
        <w:rPr>
          <w:rFonts w:hint="eastAsia"/>
        </w:rPr>
        <w:t>沥青基防水卷材单位产品能耗限额等级</w:t>
      </w:r>
      <w:bookmarkEnd w:id="23"/>
      <w:r>
        <w:rPr>
          <w:rFonts w:hint="eastAsia"/>
        </w:rPr>
        <w:t>引导性指标</w:t>
      </w:r>
    </w:p>
    <w:tbl>
      <w:tblPr>
        <w:tblStyle w:val="30"/>
        <w:tblW w:w="9419" w:type="dxa"/>
        <w:jc w:val="center"/>
        <w:tblLayout w:type="fixed"/>
        <w:tblCellMar>
          <w:top w:w="17" w:type="dxa"/>
          <w:left w:w="57" w:type="dxa"/>
          <w:bottom w:w="17" w:type="dxa"/>
          <w:right w:w="57" w:type="dxa"/>
        </w:tblCellMar>
      </w:tblPr>
      <w:tblGrid>
        <w:gridCol w:w="2382"/>
        <w:gridCol w:w="1762"/>
        <w:gridCol w:w="1701"/>
        <w:gridCol w:w="1701"/>
        <w:gridCol w:w="1873"/>
      </w:tblGrid>
      <w:tr>
        <w:tblPrEx>
          <w:tblCellMar>
            <w:top w:w="17" w:type="dxa"/>
            <w:left w:w="57" w:type="dxa"/>
            <w:bottom w:w="17" w:type="dxa"/>
            <w:right w:w="57" w:type="dxa"/>
          </w:tblCellMar>
        </w:tblPrEx>
        <w:trPr>
          <w:trHeight w:val="436" w:hRule="atLeast"/>
          <w:jc w:val="center"/>
        </w:trPr>
        <w:tc>
          <w:tcPr>
            <w:tcW w:w="414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产品名称</w:t>
            </w:r>
          </w:p>
        </w:tc>
        <w:tc>
          <w:tcPr>
            <w:tcW w:w="5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单位产品能耗[kgce/k(m</w:t>
            </w:r>
            <w:r>
              <w:rPr>
                <w:rFonts w:hint="eastAsia" w:ascii="宋体" w:hAnsi="宋体" w:eastAsia="宋体" w:cs="宋体"/>
                <w:sz w:val="18"/>
                <w:szCs w:val="18"/>
                <w:vertAlign w:val="superscript"/>
              </w:rPr>
              <w:t>2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)]</w:t>
            </w:r>
          </w:p>
        </w:tc>
      </w:tr>
      <w:tr>
        <w:tblPrEx>
          <w:tblCellMar>
            <w:top w:w="17" w:type="dxa"/>
            <w:left w:w="57" w:type="dxa"/>
            <w:bottom w:w="17" w:type="dxa"/>
            <w:right w:w="57" w:type="dxa"/>
          </w:tblCellMar>
        </w:tblPrEx>
        <w:trPr>
          <w:trHeight w:val="436" w:hRule="atLeast"/>
          <w:jc w:val="center"/>
        </w:trPr>
        <w:tc>
          <w:tcPr>
            <w:tcW w:w="414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1级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2级</w:t>
            </w:r>
          </w:p>
        </w:tc>
        <w:tc>
          <w:tcPr>
            <w:tcW w:w="1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3级</w:t>
            </w:r>
          </w:p>
        </w:tc>
      </w:tr>
      <w:tr>
        <w:tblPrEx>
          <w:tblCellMar>
            <w:top w:w="17" w:type="dxa"/>
            <w:left w:w="57" w:type="dxa"/>
            <w:bottom w:w="17" w:type="dxa"/>
            <w:right w:w="57" w:type="dxa"/>
          </w:tblCellMar>
        </w:tblPrEx>
        <w:trPr>
          <w:trHeight w:val="436" w:hRule="atLeast"/>
          <w:jc w:val="center"/>
        </w:trPr>
        <w:tc>
          <w:tcPr>
            <w:tcW w:w="238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沥青基防水卷材</w:t>
            </w:r>
          </w:p>
        </w:tc>
        <w:tc>
          <w:tcPr>
            <w:tcW w:w="1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有胎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≤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110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≤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140</w:t>
            </w:r>
          </w:p>
        </w:tc>
        <w:tc>
          <w:tcPr>
            <w:tcW w:w="1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≤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170</w:t>
            </w:r>
          </w:p>
        </w:tc>
      </w:tr>
      <w:tr>
        <w:tblPrEx>
          <w:tblCellMar>
            <w:top w:w="17" w:type="dxa"/>
            <w:left w:w="57" w:type="dxa"/>
            <w:bottom w:w="17" w:type="dxa"/>
            <w:right w:w="57" w:type="dxa"/>
          </w:tblCellMar>
        </w:tblPrEx>
        <w:trPr>
          <w:trHeight w:val="436" w:hRule="atLeast"/>
          <w:jc w:val="center"/>
        </w:trPr>
        <w:tc>
          <w:tcPr>
            <w:tcW w:w="2382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无胎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≤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65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≤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75</w:t>
            </w:r>
          </w:p>
        </w:tc>
        <w:tc>
          <w:tcPr>
            <w:tcW w:w="1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≤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85</w:t>
            </w:r>
          </w:p>
        </w:tc>
      </w:tr>
      <w:tr>
        <w:tblPrEx>
          <w:tblCellMar>
            <w:top w:w="17" w:type="dxa"/>
            <w:left w:w="57" w:type="dxa"/>
            <w:bottom w:w="17" w:type="dxa"/>
            <w:right w:w="57" w:type="dxa"/>
          </w:tblCellMar>
        </w:tblPrEx>
        <w:trPr>
          <w:trHeight w:val="436" w:hRule="atLeast"/>
          <w:jc w:val="center"/>
        </w:trPr>
        <w:tc>
          <w:tcPr>
            <w:tcW w:w="94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注：有胎产品以3.0mm计算，无胎产品以1.5mm计算。</w:t>
            </w:r>
          </w:p>
        </w:tc>
      </w:tr>
    </w:tbl>
    <w:p>
      <w:pPr>
        <w:pStyle w:val="63"/>
        <w:numPr>
          <w:ilvl w:val="0"/>
          <w:numId w:val="0"/>
        </w:numPr>
        <w:rPr>
          <w:rFonts w:hAnsi="黑体" w:cs="黑体"/>
          <w:b w:val="0"/>
          <w:bCs w:val="0"/>
        </w:rPr>
      </w:pPr>
      <w:r>
        <w:rPr>
          <w:rFonts w:hint="eastAsia" w:hAnsi="黑体" w:cs="黑体"/>
          <w:b w:val="0"/>
          <w:bCs w:val="0"/>
          <w:lang w:val="en-US" w:eastAsia="zh-CN"/>
        </w:rPr>
        <w:t>4.2</w:t>
      </w:r>
      <w:r>
        <w:rPr>
          <w:rFonts w:hAnsi="黑体" w:cs="黑体"/>
          <w:b w:val="0"/>
          <w:bCs w:val="0"/>
        </w:rPr>
        <w:t xml:space="preserve">  </w:t>
      </w:r>
      <w:r>
        <w:rPr>
          <w:rFonts w:hint="eastAsia" w:hAnsi="黑体" w:cs="黑体"/>
          <w:b w:val="0"/>
          <w:bCs w:val="0"/>
        </w:rPr>
        <w:t>技术要求</w:t>
      </w:r>
    </w:p>
    <w:p>
      <w:pPr>
        <w:ind w:firstLine="420" w:firstLineChars="2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  <w:lang w:val="en-US" w:eastAsia="zh-CN"/>
        </w:rPr>
        <w:t>4</w:t>
      </w:r>
      <w:r>
        <w:rPr>
          <w:rFonts w:hint="eastAsia" w:ascii="宋体" w:hAnsi="宋体" w:cs="宋体"/>
          <w:szCs w:val="21"/>
        </w:rPr>
        <w:t>.</w:t>
      </w:r>
      <w:r>
        <w:rPr>
          <w:rFonts w:hint="eastAsia" w:ascii="宋体" w:hAnsi="宋体" w:cs="宋体"/>
          <w:szCs w:val="21"/>
          <w:lang w:val="en-US" w:eastAsia="zh-CN"/>
        </w:rPr>
        <w:t>2.</w:t>
      </w:r>
      <w:r>
        <w:rPr>
          <w:rFonts w:ascii="宋体" w:hAnsi="宋体" w:cs="宋体"/>
          <w:szCs w:val="21"/>
        </w:rPr>
        <w:t>1</w:t>
      </w:r>
      <w:r>
        <w:rPr>
          <w:rFonts w:hint="eastAsia" w:ascii="宋体" w:hAnsi="宋体" w:cs="宋体"/>
          <w:szCs w:val="21"/>
        </w:rPr>
        <w:t xml:space="preserve"> </w:t>
      </w:r>
      <w:r>
        <w:rPr>
          <w:rFonts w:hint="eastAsia" w:ascii="宋体" w:hAnsi="宋体" w:cs="宋体"/>
          <w:szCs w:val="21"/>
          <w:lang w:val="en-US" w:eastAsia="zh-CN"/>
        </w:rPr>
        <w:t xml:space="preserve"> </w:t>
      </w:r>
      <w:r>
        <w:rPr>
          <w:rFonts w:hint="eastAsia" w:ascii="宋体" w:hAnsi="宋体" w:cs="宋体"/>
          <w:szCs w:val="21"/>
        </w:rPr>
        <w:t>现有</w:t>
      </w:r>
      <w:bookmarkStart w:id="24" w:name="_Hlk102814912"/>
      <w:r>
        <w:rPr>
          <w:rFonts w:hint="eastAsia" w:ascii="宋体" w:hAnsi="宋体" w:cs="宋体"/>
          <w:szCs w:val="21"/>
        </w:rPr>
        <w:t>沥青基防水卷材</w:t>
      </w:r>
      <w:bookmarkEnd w:id="24"/>
      <w:r>
        <w:rPr>
          <w:rFonts w:hint="eastAsia" w:ascii="宋体" w:hAnsi="宋体" w:cs="宋体"/>
          <w:szCs w:val="21"/>
        </w:rPr>
        <w:t>生产企业单位产品能耗应符合表1中的3级要求。</w:t>
      </w:r>
    </w:p>
    <w:p>
      <w:pPr>
        <w:ind w:firstLine="420" w:firstLineChars="2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  <w:lang w:val="en-US" w:eastAsia="zh-CN"/>
        </w:rPr>
        <w:t>4</w:t>
      </w:r>
      <w:r>
        <w:rPr>
          <w:rFonts w:hint="eastAsia" w:ascii="宋体" w:hAnsi="宋体" w:cs="宋体"/>
          <w:szCs w:val="21"/>
        </w:rPr>
        <w:t>.</w:t>
      </w:r>
      <w:r>
        <w:rPr>
          <w:rFonts w:hint="eastAsia" w:ascii="宋体" w:hAnsi="宋体" w:cs="宋体"/>
          <w:szCs w:val="21"/>
          <w:lang w:val="en-US" w:eastAsia="zh-CN"/>
        </w:rPr>
        <w:t>2.</w:t>
      </w:r>
      <w:r>
        <w:rPr>
          <w:rFonts w:hint="eastAsia" w:ascii="宋体" w:hAnsi="宋体" w:cs="宋体"/>
          <w:szCs w:val="21"/>
        </w:rPr>
        <w:t xml:space="preserve">2 </w:t>
      </w:r>
      <w:r>
        <w:rPr>
          <w:rFonts w:hint="eastAsia" w:ascii="宋体" w:hAnsi="宋体" w:cs="宋体"/>
          <w:szCs w:val="21"/>
          <w:lang w:val="en-US" w:eastAsia="zh-CN"/>
        </w:rPr>
        <w:t xml:space="preserve"> </w:t>
      </w:r>
      <w:r>
        <w:rPr>
          <w:rFonts w:hint="eastAsia" w:ascii="宋体" w:hAnsi="宋体" w:cs="宋体"/>
          <w:szCs w:val="21"/>
        </w:rPr>
        <w:t>新建或改、扩建沥青基防水卷材</w:t>
      </w:r>
      <w:r>
        <w:rPr>
          <w:rFonts w:hint="eastAsia" w:ascii="宋体" w:hAnsi="宋体" w:cs="宋体"/>
          <w:szCs w:val="21"/>
          <w:lang w:eastAsia="zh-CN"/>
        </w:rPr>
        <w:t>项目</w:t>
      </w:r>
      <w:r>
        <w:rPr>
          <w:rFonts w:hint="eastAsia" w:ascii="宋体" w:hAnsi="宋体" w:cs="宋体"/>
          <w:szCs w:val="21"/>
        </w:rPr>
        <w:t>单位产品能耗应符合表1中的2级要求。</w:t>
      </w:r>
    </w:p>
    <w:p>
      <w:pPr>
        <w:ind w:firstLine="420" w:firstLineChars="2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  <w:lang w:val="en-US" w:eastAsia="zh-CN"/>
        </w:rPr>
        <w:t>4</w:t>
      </w:r>
      <w:r>
        <w:rPr>
          <w:rFonts w:hint="eastAsia" w:ascii="宋体" w:hAnsi="宋体" w:cs="宋体"/>
          <w:szCs w:val="21"/>
        </w:rPr>
        <w:t>.</w:t>
      </w:r>
      <w:r>
        <w:rPr>
          <w:rFonts w:hint="eastAsia" w:ascii="宋体" w:hAnsi="宋体" w:cs="宋体"/>
          <w:szCs w:val="21"/>
          <w:lang w:val="en-US" w:eastAsia="zh-CN"/>
        </w:rPr>
        <w:t>2.</w:t>
      </w:r>
      <w:r>
        <w:rPr>
          <w:rFonts w:hint="eastAsia" w:ascii="宋体" w:hAnsi="宋体" w:cs="宋体"/>
          <w:szCs w:val="21"/>
        </w:rPr>
        <w:t xml:space="preserve">3 </w:t>
      </w:r>
      <w:r>
        <w:rPr>
          <w:rFonts w:hint="eastAsia" w:ascii="宋体" w:hAnsi="宋体" w:cs="宋体"/>
          <w:szCs w:val="21"/>
          <w:lang w:val="en-US" w:eastAsia="zh-CN"/>
        </w:rPr>
        <w:t xml:space="preserve"> </w:t>
      </w:r>
      <w:r>
        <w:rPr>
          <w:rFonts w:hint="eastAsia" w:ascii="宋体" w:hAnsi="宋体" w:cs="宋体"/>
          <w:szCs w:val="21"/>
        </w:rPr>
        <w:t>沥青基防水卷材生产企业</w:t>
      </w:r>
      <w:r>
        <w:rPr>
          <w:rFonts w:hint="eastAsia" w:ascii="宋体" w:hAnsi="宋体" w:cs="宋体"/>
          <w:szCs w:val="21"/>
          <w:lang w:eastAsia="zh-CN"/>
        </w:rPr>
        <w:t>宜</w:t>
      </w:r>
      <w:r>
        <w:rPr>
          <w:rFonts w:hint="eastAsia" w:ascii="宋体" w:hAnsi="宋体" w:cs="宋体"/>
          <w:szCs w:val="21"/>
        </w:rPr>
        <w:t>通过节能技术改造和加强节能管理，使单位产品能耗达到表1中</w:t>
      </w:r>
      <w:r>
        <w:rPr>
          <w:rFonts w:hint="eastAsia" w:ascii="宋体" w:hAnsi="宋体" w:cs="宋体"/>
          <w:szCs w:val="21"/>
          <w:lang w:eastAsia="zh-CN"/>
        </w:rPr>
        <w:t>的</w:t>
      </w:r>
      <w:r>
        <w:rPr>
          <w:rFonts w:hint="eastAsia" w:ascii="宋体" w:hAnsi="宋体" w:cs="宋体"/>
          <w:szCs w:val="21"/>
        </w:rPr>
        <w:t>1级要求。</w:t>
      </w:r>
    </w:p>
    <w:p>
      <w:pPr>
        <w:pStyle w:val="55"/>
        <w:numPr>
          <w:ilvl w:val="0"/>
          <w:numId w:val="0"/>
        </w:numPr>
        <w:ind w:leftChars="0"/>
        <w:outlineLvl w:val="1"/>
        <w:rPr>
          <w:rFonts w:hAnsi="黑体" w:cs="黑体"/>
          <w:b w:val="0"/>
          <w:bCs w:val="0"/>
          <w:szCs w:val="21"/>
        </w:rPr>
      </w:pPr>
      <w:bookmarkStart w:id="25" w:name="_Toc20981"/>
      <w:r>
        <w:rPr>
          <w:rFonts w:hint="eastAsia" w:hAnsi="黑体" w:cs="黑体"/>
          <w:b w:val="0"/>
          <w:bCs w:val="0"/>
          <w:szCs w:val="21"/>
          <w:lang w:val="en-US" w:eastAsia="zh-CN"/>
        </w:rPr>
        <w:t xml:space="preserve">5  </w:t>
      </w:r>
      <w:r>
        <w:rPr>
          <w:rFonts w:hAnsi="黑体" w:cs="黑体"/>
          <w:b w:val="0"/>
          <w:bCs w:val="0"/>
          <w:szCs w:val="21"/>
        </w:rPr>
        <w:t>统计范围和计算方法</w:t>
      </w:r>
      <w:bookmarkEnd w:id="25"/>
    </w:p>
    <w:p>
      <w:pPr>
        <w:pStyle w:val="63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hAnsi="黑体" w:cs="黑体"/>
          <w:b w:val="0"/>
          <w:bCs/>
        </w:rPr>
      </w:pPr>
      <w:bookmarkStart w:id="26" w:name="_Toc12344"/>
      <w:r>
        <w:rPr>
          <w:rFonts w:hint="eastAsia" w:hAnsi="黑体" w:cs="黑体"/>
          <w:bCs/>
          <w:lang w:val="en-US" w:eastAsia="zh-CN"/>
        </w:rPr>
        <w:t>5</w:t>
      </w:r>
      <w:r>
        <w:rPr>
          <w:rFonts w:hAnsi="黑体" w:cs="黑体"/>
          <w:bCs/>
        </w:rPr>
        <w:t>.1</w:t>
      </w:r>
      <w:r>
        <w:rPr>
          <w:rFonts w:hAnsi="黑体" w:cs="黑体"/>
          <w:b/>
        </w:rPr>
        <w:t xml:space="preserve">  </w:t>
      </w:r>
      <w:r>
        <w:rPr>
          <w:rFonts w:hint="eastAsia" w:hAnsi="黑体" w:cs="黑体"/>
          <w:b w:val="0"/>
          <w:bCs/>
        </w:rPr>
        <w:t>统计范围</w:t>
      </w:r>
      <w:bookmarkEnd w:id="26"/>
    </w:p>
    <w:p>
      <w:pPr>
        <w:ind w:firstLine="420" w:firstLineChars="200"/>
        <w:jc w:val="left"/>
      </w:pPr>
      <w:r>
        <w:rPr>
          <w:rFonts w:hint="eastAsia"/>
        </w:rPr>
        <w:t>包括生产系统、</w:t>
      </w:r>
      <w:r>
        <w:rPr>
          <w:rFonts w:hint="eastAsia"/>
          <w:lang w:eastAsia="zh"/>
        </w:rPr>
        <w:t>辅助</w:t>
      </w:r>
      <w:r>
        <w:rPr>
          <w:rFonts w:hint="eastAsia"/>
        </w:rPr>
        <w:t>生产系统和附属生产系统所产生的能耗。生产系统主要包括原材料储存系统、沥青改性系统和卷材成型系统。</w:t>
      </w:r>
      <w:r>
        <w:rPr>
          <w:rFonts w:hint="eastAsia"/>
          <w:lang w:eastAsia="zh"/>
        </w:rPr>
        <w:t>辅助</w:t>
      </w:r>
      <w:bookmarkStart w:id="27" w:name="_GoBack"/>
      <w:bookmarkEnd w:id="27"/>
      <w:r>
        <w:rPr>
          <w:rFonts w:hint="eastAsia"/>
        </w:rPr>
        <w:t>生产系统主要包括供热系统、冷却系统、除尘和烟气处理系统、压缩空气系统等。附属生产系统主要包括</w:t>
      </w:r>
      <w:r>
        <w:rPr>
          <w:rFonts w:hint="eastAsia"/>
          <w:lang w:eastAsia="zh-CN"/>
        </w:rPr>
        <w:t>产品检验</w:t>
      </w:r>
      <w:r>
        <w:rPr>
          <w:rFonts w:hint="eastAsia"/>
        </w:rPr>
        <w:t>、人员</w:t>
      </w:r>
      <w:r>
        <w:rPr>
          <w:rFonts w:hint="eastAsia"/>
          <w:lang w:eastAsia="zh-CN"/>
        </w:rPr>
        <w:t>办公</w:t>
      </w:r>
      <w:r>
        <w:rPr>
          <w:rFonts w:hint="eastAsia"/>
        </w:rPr>
        <w:t>等。不包括用于基建、技改等所产生的能耗。</w:t>
      </w:r>
    </w:p>
    <w:p>
      <w:pPr>
        <w:pStyle w:val="63"/>
        <w:numPr>
          <w:ilvl w:val="0"/>
          <w:numId w:val="0"/>
        </w:numPr>
        <w:rPr>
          <w:rFonts w:hint="default" w:hAnsi="黑体" w:cs="黑体"/>
          <w:bCs/>
          <w:lang w:val="en-US" w:eastAsia="zh-CN"/>
        </w:rPr>
      </w:pPr>
      <w:r>
        <w:rPr>
          <w:rFonts w:hint="eastAsia" w:hAnsi="黑体" w:cs="黑体"/>
          <w:bCs/>
          <w:lang w:val="en-US" w:eastAsia="zh-CN"/>
        </w:rPr>
        <w:t>5.2  统计原则</w:t>
      </w:r>
    </w:p>
    <w:p>
      <w:pPr>
        <w:pStyle w:val="2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leftChars="0" w:firstLine="420" w:firstLineChars="200"/>
        <w:textAlignment w:val="auto"/>
        <w:rPr>
          <w:rFonts w:hint="eastAsia" w:hAnsi="黑体" w:cs="黑体"/>
          <w:bCs/>
          <w:lang w:val="en-US" w:eastAsia="zh-CN"/>
        </w:rPr>
      </w:pPr>
      <w:r>
        <w:rPr>
          <w:rFonts w:hint="eastAsia" w:hAnsi="黑体" w:cs="黑体"/>
          <w:bCs/>
          <w:lang w:val="en-US" w:eastAsia="zh-CN"/>
        </w:rPr>
        <w:t>5.2.1  企业有多套生产装备时，应按生产装备分别统计。</w:t>
      </w:r>
    </w:p>
    <w:p>
      <w:pPr>
        <w:pStyle w:val="2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leftChars="0" w:firstLine="420" w:firstLineChars="200"/>
        <w:textAlignment w:val="auto"/>
        <w:rPr>
          <w:rFonts w:hint="eastAsia" w:ascii="宋体" w:hAnsi="宋体" w:cs="宋体"/>
          <w:szCs w:val="21"/>
        </w:rPr>
      </w:pPr>
      <w:r>
        <w:rPr>
          <w:rFonts w:hint="eastAsia" w:hAnsi="黑体" w:cs="黑体"/>
          <w:bCs/>
          <w:lang w:val="en-US" w:eastAsia="zh-CN"/>
        </w:rPr>
        <w:t xml:space="preserve">5.2.2  </w:t>
      </w:r>
      <w:r>
        <w:rPr>
          <w:rFonts w:hint="eastAsia" w:ascii="宋体" w:hAnsi="宋体" w:cs="宋体"/>
          <w:szCs w:val="21"/>
        </w:rPr>
        <w:t>统计范围内的防水卷材数量应按附录A的规定折算为标准厚度数量。</w:t>
      </w:r>
    </w:p>
    <w:p>
      <w:pPr>
        <w:pStyle w:val="2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leftChars="0" w:firstLine="420" w:firstLineChars="200"/>
        <w:textAlignment w:val="auto"/>
        <w:rPr>
          <w:rFonts w:hint="default" w:ascii="宋体" w:hAnsi="宋体" w:cs="宋体"/>
          <w:szCs w:val="21"/>
          <w:lang w:val="en-US" w:eastAsia="zh-CN"/>
        </w:rPr>
      </w:pPr>
      <w:r>
        <w:rPr>
          <w:rFonts w:hint="eastAsia" w:hAnsi="黑体" w:cs="黑体"/>
          <w:bCs/>
          <w:lang w:val="en-US" w:eastAsia="zh-CN"/>
        </w:rPr>
        <w:t xml:space="preserve">5.2.3  </w:t>
      </w:r>
      <w:r>
        <w:rPr>
          <w:rFonts w:hint="eastAsia" w:ascii="宋体" w:hAnsi="宋体" w:cs="宋体"/>
          <w:szCs w:val="21"/>
        </w:rPr>
        <w:t>统</w:t>
      </w:r>
      <w:r>
        <w:rPr>
          <w:rFonts w:hint="eastAsia" w:hAnsi="黑体" w:cs="黑体"/>
          <w:bCs/>
          <w:lang w:val="en-US" w:eastAsia="zh-CN"/>
        </w:rPr>
        <w:t>计周期为一个完整年度。</w:t>
      </w:r>
    </w:p>
    <w:p>
      <w:pPr>
        <w:pStyle w:val="63"/>
        <w:numPr>
          <w:ilvl w:val="0"/>
          <w:numId w:val="0"/>
        </w:numPr>
        <w:rPr>
          <w:rFonts w:hAnsi="黑体" w:cs="黑体"/>
          <w:b/>
        </w:rPr>
      </w:pPr>
      <w:r>
        <w:rPr>
          <w:rFonts w:hint="eastAsia" w:hAnsi="黑体" w:cs="黑体"/>
          <w:bCs/>
          <w:lang w:val="en-US" w:eastAsia="zh-CN"/>
        </w:rPr>
        <w:t>5</w:t>
      </w:r>
      <w:r>
        <w:rPr>
          <w:rFonts w:hAnsi="黑体" w:cs="黑体"/>
          <w:bCs/>
        </w:rPr>
        <w:t>.</w:t>
      </w:r>
      <w:r>
        <w:rPr>
          <w:rFonts w:hint="eastAsia" w:hAnsi="黑体" w:cs="黑体"/>
          <w:bCs/>
          <w:lang w:val="en-US" w:eastAsia="zh-CN"/>
        </w:rPr>
        <w:t>3</w:t>
      </w:r>
      <w:r>
        <w:rPr>
          <w:rFonts w:hint="eastAsia" w:hAnsi="黑体" w:cs="黑体"/>
          <w:b/>
        </w:rPr>
        <w:t xml:space="preserve"> </w:t>
      </w:r>
      <w:r>
        <w:rPr>
          <w:rFonts w:hAnsi="黑体" w:cs="黑体"/>
          <w:b/>
        </w:rPr>
        <w:t xml:space="preserve"> </w:t>
      </w:r>
      <w:r>
        <w:rPr>
          <w:rFonts w:hint="eastAsia" w:hAnsi="黑体" w:cs="黑体"/>
          <w:b w:val="0"/>
          <w:bCs/>
        </w:rPr>
        <w:t>计算方法</w:t>
      </w:r>
    </w:p>
    <w:p>
      <w:pPr>
        <w:spacing w:before="156" w:beforeLines="50" w:after="156" w:afterLines="50"/>
        <w:rPr>
          <w:rFonts w:hint="eastAsia" w:ascii="黑体" w:hAnsi="黑体" w:eastAsia="黑体" w:cs="黑体"/>
          <w:szCs w:val="21"/>
          <w:lang w:eastAsia="zh-CN"/>
        </w:rPr>
      </w:pPr>
      <w:r>
        <w:rPr>
          <w:rFonts w:hint="eastAsia" w:ascii="黑体" w:hAnsi="黑体" w:eastAsia="黑体" w:cs="黑体"/>
          <w:szCs w:val="21"/>
          <w:lang w:val="en-US" w:eastAsia="zh-CN"/>
        </w:rPr>
        <w:t>5</w:t>
      </w:r>
      <w:r>
        <w:rPr>
          <w:rFonts w:ascii="黑体" w:hAnsi="黑体" w:eastAsia="黑体" w:cs="黑体"/>
          <w:szCs w:val="21"/>
        </w:rPr>
        <w:t>.</w:t>
      </w:r>
      <w:r>
        <w:rPr>
          <w:rFonts w:hint="eastAsia" w:ascii="黑体" w:hAnsi="黑体" w:eastAsia="黑体" w:cs="黑体"/>
          <w:szCs w:val="21"/>
          <w:lang w:val="en-US" w:eastAsia="zh-CN"/>
        </w:rPr>
        <w:t>3</w:t>
      </w:r>
      <w:r>
        <w:rPr>
          <w:rFonts w:ascii="黑体" w:hAnsi="黑体" w:eastAsia="黑体" w:cs="黑体"/>
          <w:szCs w:val="21"/>
        </w:rPr>
        <w:t>.1</w:t>
      </w:r>
      <w:r>
        <w:rPr>
          <w:rFonts w:hint="eastAsia" w:ascii="黑体" w:hAnsi="黑体" w:eastAsia="黑体" w:cs="黑体"/>
          <w:szCs w:val="21"/>
          <w:lang w:val="en-US" w:eastAsia="zh-CN"/>
        </w:rPr>
        <w:t xml:space="preserve">  </w:t>
      </w:r>
      <w:r>
        <w:rPr>
          <w:rFonts w:hint="eastAsia" w:ascii="黑体" w:hAnsi="黑体" w:eastAsia="黑体" w:cs="黑体"/>
          <w:szCs w:val="21"/>
        </w:rPr>
        <w:t>沥青基防水卷材综合能耗</w:t>
      </w:r>
      <w:r>
        <w:rPr>
          <w:rFonts w:hint="eastAsia" w:ascii="黑体" w:hAnsi="黑体" w:eastAsia="黑体" w:cs="黑体"/>
          <w:szCs w:val="21"/>
          <w:lang w:eastAsia="zh-CN"/>
        </w:rPr>
        <w:t>的计算</w:t>
      </w:r>
    </w:p>
    <w:p>
      <w:pPr>
        <w:spacing w:before="156" w:beforeLines="50" w:after="156" w:afterLines="50"/>
        <w:ind w:firstLine="420" w:firstLineChars="2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沥青基防水卷材综合能耗</w:t>
      </w:r>
      <w:r>
        <w:rPr>
          <w:rFonts w:hint="eastAsia" w:ascii="宋体" w:hAnsi="宋体" w:cs="宋体"/>
          <w:szCs w:val="21"/>
          <w:lang w:eastAsia="zh-CN"/>
        </w:rPr>
        <w:t>应</w:t>
      </w:r>
      <w:r>
        <w:rPr>
          <w:rFonts w:hint="eastAsia" w:ascii="宋体" w:hAnsi="宋体" w:cs="宋体"/>
          <w:szCs w:val="21"/>
        </w:rPr>
        <w:t>按式（1）计算：</w:t>
      </w:r>
    </w:p>
    <w:p>
      <w:pPr>
        <w:ind w:firstLine="420" w:firstLineChars="200"/>
        <w:jc w:val="right"/>
        <w:rPr>
          <w:rFonts w:hAnsi="Cambria Math" w:cs="宋体"/>
          <w:szCs w:val="21"/>
        </w:rPr>
      </w:pPr>
      <m:oMathPara>
        <m:oMath>
          <m:sSub>
            <m:sSubPr>
              <m:ctrlPr>
                <w:rPr>
                  <w:rFonts w:ascii="Cambria Math" w:hAnsi="Cambria Math" w:cs="宋体"/>
                  <w:i/>
                  <w:szCs w:val="21"/>
                </w:rPr>
              </m:ctrlPr>
            </m:sSubPr>
            <m:e>
              <m:r>
                <m:rPr/>
                <w:rPr>
                  <w:rFonts w:ascii="Cambria Math" w:hAnsi="Cambria Math" w:cs="宋体"/>
                  <w:szCs w:val="21"/>
                </w:rPr>
                <m:t>E</m:t>
              </m:r>
              <m:ctrlPr>
                <w:rPr>
                  <w:rFonts w:ascii="Cambria Math" w:hAnsi="Cambria Math" w:cs="宋体"/>
                  <w:i/>
                  <w:szCs w:val="21"/>
                </w:rPr>
              </m:ctrlPr>
            </m:e>
            <m:sub>
              <m:r>
                <m:rPr>
                  <m:sty m:val="p"/>
                </m:rPr>
                <w:rPr>
                  <w:rFonts w:hint="default" w:ascii="Cambria Math" w:hAnsi="Cambria Math" w:cs="宋体"/>
                  <w:szCs w:val="21"/>
                </w:rPr>
                <m:t>ZN</m:t>
              </m:r>
              <m:ctrlPr>
                <w:rPr>
                  <w:rFonts w:ascii="Cambria Math" w:hAnsi="Cambria Math" w:cs="宋体"/>
                  <w:i/>
                  <w:szCs w:val="21"/>
                </w:rPr>
              </m:ctrlPr>
            </m:sub>
          </m:sSub>
          <m:r>
            <m:rPr/>
            <w:rPr>
              <w:rFonts w:ascii="Cambria Math" w:hAnsi="Cambria Math" w:cs="宋体"/>
              <w:szCs w:val="21"/>
            </w:rPr>
            <m:t>=</m:t>
          </m:r>
          <m:nary>
            <m:naryPr>
              <m:chr m:val="∑"/>
              <m:limLoc m:val="undOvr"/>
              <m:ctrlPr>
                <w:rPr>
                  <w:rFonts w:ascii="Cambria Math" w:hAnsi="Cambria Math" w:cs="宋体"/>
                  <w:i/>
                  <w:szCs w:val="21"/>
                </w:rPr>
              </m:ctrlPr>
            </m:naryPr>
            <m:sub>
              <m:r>
                <m:rPr/>
                <w:rPr>
                  <w:rFonts w:ascii="Cambria Math" w:hAnsi="Cambria Math" w:cs="宋体"/>
                  <w:szCs w:val="21"/>
                </w:rPr>
                <m:t>i=1</m:t>
              </m:r>
              <m:ctrlPr>
                <w:rPr>
                  <w:rFonts w:ascii="Cambria Math" w:hAnsi="Cambria Math" w:cs="宋体"/>
                  <w:i/>
                  <w:szCs w:val="21"/>
                </w:rPr>
              </m:ctrlPr>
            </m:sub>
            <m:sup>
              <m:r>
                <m:rPr/>
                <w:rPr>
                  <w:rFonts w:ascii="Cambria Math" w:hAnsi="Cambria Math" w:cs="宋体"/>
                  <w:szCs w:val="21"/>
                </w:rPr>
                <m:t>n</m:t>
              </m:r>
              <m:ctrlPr>
                <w:rPr>
                  <w:rFonts w:ascii="Cambria Math" w:hAnsi="Cambria Math" w:cs="宋体"/>
                  <w:i/>
                  <w:szCs w:val="21"/>
                </w:rPr>
              </m:ctrlPr>
            </m:sup>
            <m:e>
              <m:d>
                <m:dPr>
                  <m:ctrlPr>
                    <w:rPr>
                      <w:rFonts w:ascii="Cambria Math" w:hAnsi="Cambria Math" w:cs="宋体"/>
                      <w:i/>
                      <w:szCs w:val="21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="宋体"/>
                          <w:i/>
                          <w:szCs w:val="21"/>
                        </w:rPr>
                      </m:ctrlPr>
                    </m:sSubPr>
                    <m:e>
                      <m:r>
                        <m:rPr/>
                        <w:rPr>
                          <w:rFonts w:ascii="Cambria Math" w:hAnsi="Cambria Math" w:cs="宋体"/>
                          <w:szCs w:val="21"/>
                        </w:rPr>
                        <m:t>E</m:t>
                      </m:r>
                      <m:ctrlPr>
                        <w:rPr>
                          <w:rFonts w:ascii="Cambria Math" w:hAnsi="Cambria Math" w:cs="宋体"/>
                          <w:i/>
                          <w:szCs w:val="21"/>
                        </w:rPr>
                      </m:ctrlPr>
                    </m:e>
                    <m:sub>
                      <m:r>
                        <m:rPr/>
                        <w:rPr>
                          <w:rFonts w:ascii="Cambria Math" w:hAnsi="Cambria Math" w:cs="宋体"/>
                          <w:szCs w:val="21"/>
                        </w:rPr>
                        <m:t>i</m:t>
                      </m:r>
                      <m:ctrlPr>
                        <w:rPr>
                          <w:rFonts w:ascii="Cambria Math" w:hAnsi="Cambria Math" w:cs="宋体"/>
                          <w:i/>
                          <w:szCs w:val="21"/>
                        </w:rPr>
                      </m:ctrlPr>
                    </m:sub>
                  </m:sSub>
                  <m:r>
                    <m:rPr/>
                    <w:rPr>
                      <w:rFonts w:ascii="Cambria Math" w:hAnsi="Cambria Math" w:cs="宋体"/>
                      <w:szCs w:val="21"/>
                    </w:rPr>
                    <m:t>×</m:t>
                  </m:r>
                  <m:sSub>
                    <m:sSubPr>
                      <m:ctrlPr>
                        <w:rPr>
                          <w:rFonts w:ascii="Cambria Math" w:hAnsi="Cambria Math" w:cs="宋体"/>
                          <w:i/>
                          <w:szCs w:val="21"/>
                        </w:rPr>
                      </m:ctrlPr>
                    </m:sSubPr>
                    <m:e>
                      <m:r>
                        <m:rPr/>
                        <w:rPr>
                          <w:rFonts w:ascii="Cambria Math" w:hAnsi="Cambria Math" w:cs="宋体"/>
                          <w:szCs w:val="21"/>
                        </w:rPr>
                        <m:t>k</m:t>
                      </m:r>
                      <m:ctrlPr>
                        <w:rPr>
                          <w:rFonts w:ascii="Cambria Math" w:hAnsi="Cambria Math" w:cs="宋体"/>
                          <w:i/>
                          <w:szCs w:val="21"/>
                        </w:rPr>
                      </m:ctrlPr>
                    </m:e>
                    <m:sub>
                      <m:r>
                        <m:rPr/>
                        <w:rPr>
                          <w:rFonts w:ascii="Cambria Math" w:hAnsi="Cambria Math" w:cs="宋体"/>
                          <w:szCs w:val="21"/>
                        </w:rPr>
                        <m:t>i</m:t>
                      </m:r>
                      <m:ctrlPr>
                        <w:rPr>
                          <w:rFonts w:ascii="Cambria Math" w:hAnsi="Cambria Math" w:cs="宋体"/>
                          <w:i/>
                          <w:szCs w:val="21"/>
                        </w:rPr>
                      </m:ctrlPr>
                    </m:sub>
                  </m:sSub>
                  <m:ctrlPr>
                    <w:rPr>
                      <w:rFonts w:ascii="Cambria Math" w:hAnsi="Cambria Math" w:cs="宋体"/>
                      <w:i/>
                      <w:szCs w:val="21"/>
                    </w:rPr>
                  </m:ctrlPr>
                </m:e>
              </m:d>
              <m:ctrlPr>
                <w:rPr>
                  <w:rFonts w:ascii="Cambria Math" w:hAnsi="Cambria Math" w:cs="宋体"/>
                  <w:i/>
                  <w:szCs w:val="21"/>
                </w:rPr>
              </m:ctrlPr>
            </m:e>
          </m:nary>
          <m:r>
            <m:rPr>
              <m:sty m:val="p"/>
            </m:rPr>
            <w:rPr>
              <w:rFonts w:ascii="Cambria Math" w:hAnsi="Cambria Math" w:cs="宋体"/>
              <w:szCs w:val="21"/>
            </w:rPr>
            <w:br w:type="textWrapping"/>
          </m:r>
        </m:oMath>
      </m:oMathPara>
      <w:r>
        <w:rPr>
          <w:rFonts w:hAnsi="Cambria Math" w:cs="宋体"/>
          <w:szCs w:val="21"/>
        </w:rPr>
        <w:t>………………………</w:t>
      </w:r>
      <w:r>
        <w:rPr>
          <w:rFonts w:hint="eastAsia" w:hAnsi="Cambria Math" w:cs="宋体"/>
          <w:szCs w:val="21"/>
        </w:rPr>
        <w:t>（1）</w:t>
      </w:r>
    </w:p>
    <w:p>
      <w:pPr>
        <w:ind w:firstLine="420" w:firstLineChars="200"/>
        <w:jc w:val="right"/>
        <w:rPr>
          <w:rFonts w:hAnsi="Cambria Math" w:cs="宋体"/>
          <w:szCs w:val="21"/>
        </w:rPr>
      </w:pPr>
    </w:p>
    <w:p>
      <w:pPr>
        <w:ind w:firstLine="420" w:firstLineChars="2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式中：</w:t>
      </w:r>
    </w:p>
    <w:tbl>
      <w:tblPr>
        <w:tblStyle w:val="31"/>
        <w:tblpPr w:leftFromText="180" w:rightFromText="180" w:vertAnchor="text" w:horzAnchor="page" w:tblpX="1808" w:tblpY="101"/>
        <w:tblOverlap w:val="never"/>
        <w:tblW w:w="4863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1"/>
        <w:gridCol w:w="829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440" w:type="pct"/>
          </w:tcPr>
          <w:p>
            <w:pPr>
              <w:rPr>
                <w:rFonts w:ascii="Cambria Math" w:hAnsi="Cambria Math" w:cs="宋体"/>
                <w:i/>
                <w:szCs w:val="21"/>
              </w:rPr>
            </w:pPr>
            <w:r>
              <w:rPr>
                <w:rFonts w:ascii="Cambria Math" w:hAnsi="Cambria Math" w:cs="宋体"/>
                <w:i/>
                <w:szCs w:val="21"/>
              </w:rPr>
              <w:t>E</w:t>
            </w:r>
            <w:r>
              <w:rPr>
                <w:rFonts w:ascii="Cambria Math" w:hAnsi="Cambria Math" w:cs="宋体"/>
                <w:i w:val="0"/>
                <w:iCs/>
                <w:szCs w:val="21"/>
                <w:vertAlign w:val="subscript"/>
              </w:rPr>
              <w:t>ZN</w:t>
            </w:r>
            <w:r>
              <w:rPr>
                <w:rFonts w:hint="eastAsia" w:ascii="宋体" w:hAnsi="宋体" w:cs="宋体"/>
                <w:szCs w:val="21"/>
              </w:rPr>
              <w:t xml:space="preserve">  </w:t>
            </w:r>
          </w:p>
        </w:tc>
        <w:tc>
          <w:tcPr>
            <w:tcW w:w="4559" w:type="pct"/>
          </w:tcPr>
          <w:p>
            <w:pPr>
              <w:rPr>
                <w:rFonts w:ascii="Cambria Math" w:hAnsi="Cambria Math" w:cs="宋体"/>
                <w:i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——统计报告期内沥青基防水卷材综合能耗，单位为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吨</w:t>
            </w:r>
            <w:r>
              <w:rPr>
                <w:rFonts w:hint="eastAsia" w:ascii="宋体" w:hAnsi="宋体" w:cs="宋体"/>
                <w:szCs w:val="21"/>
              </w:rPr>
              <w:t>标准煤（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t</w:t>
            </w:r>
            <w:r>
              <w:rPr>
                <w:rFonts w:ascii="宋体" w:hAnsi="宋体" w:cs="宋体"/>
                <w:szCs w:val="21"/>
              </w:rPr>
              <w:t>ce</w:t>
            </w:r>
            <w:r>
              <w:rPr>
                <w:rFonts w:hint="eastAsia" w:ascii="宋体" w:hAnsi="宋体" w:cs="宋体"/>
                <w:szCs w:val="21"/>
              </w:rPr>
              <w:t>）；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440" w:type="pct"/>
          </w:tcPr>
          <w:p>
            <w:pPr>
              <w:rPr>
                <w:rFonts w:ascii="Cambria Math" w:hAnsi="Cambria Math" w:cs="宋体"/>
                <w:i/>
                <w:szCs w:val="21"/>
              </w:rPr>
            </w:pPr>
            <m:oMath>
              <m:sSub>
                <m:sSubPr>
                  <m:ctrlPr>
                    <w:rPr>
                      <w:rFonts w:ascii="Cambria Math" w:hAnsi="Cambria Math" w:cs="宋体"/>
                      <w:i/>
                      <w:szCs w:val="21"/>
                    </w:rPr>
                  </m:ctrlPr>
                </m:sSubPr>
                <m:e>
                  <m:r>
                    <m:rPr/>
                    <w:rPr>
                      <w:rFonts w:ascii="Cambria Math" w:hAnsi="Cambria Math" w:cs="宋体"/>
                      <w:szCs w:val="21"/>
                    </w:rPr>
                    <m:t>E</m:t>
                  </m:r>
                  <m:ctrlPr>
                    <w:rPr>
                      <w:rFonts w:ascii="Cambria Math" w:hAnsi="Cambria Math" w:cs="宋体"/>
                      <w:i/>
                      <w:szCs w:val="21"/>
                    </w:rPr>
                  </m:ctrlPr>
                </m:e>
                <m:sub>
                  <m:r>
                    <m:rPr/>
                    <w:rPr>
                      <w:rFonts w:ascii="Cambria Math" w:hAnsi="Cambria Math" w:cs="宋体"/>
                      <w:szCs w:val="21"/>
                    </w:rPr>
                    <m:t>i</m:t>
                  </m:r>
                  <m:ctrlPr>
                    <w:rPr>
                      <w:rFonts w:ascii="Cambria Math" w:hAnsi="Cambria Math" w:cs="宋体"/>
                      <w:i/>
                      <w:szCs w:val="21"/>
                    </w:rPr>
                  </m:ctrlPr>
                </m:sub>
              </m:sSub>
            </m:oMath>
            <w:r>
              <w:rPr>
                <w:rFonts w:hint="eastAsia" w:ascii="宋体" w:hAnsi="Cambria Math" w:cs="宋体"/>
                <w:szCs w:val="21"/>
              </w:rPr>
              <w:t xml:space="preserve"> </w:t>
            </w:r>
          </w:p>
        </w:tc>
        <w:tc>
          <w:tcPr>
            <w:tcW w:w="4559" w:type="pct"/>
          </w:tcPr>
          <w:p>
            <w:pPr>
              <w:rPr>
                <w:rFonts w:ascii="Cambria Math" w:hAnsi="Cambria Math" w:cs="宋体"/>
                <w:i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——统计报告期内沥青基防水卷材生产消耗的第i种能源实物量，单位为实物量单位；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3" w:hRule="atLeast"/>
        </w:trPr>
        <w:tc>
          <w:tcPr>
            <w:tcW w:w="440" w:type="pct"/>
          </w:tcPr>
          <w:p>
            <w:pPr>
              <w:rPr>
                <w:rFonts w:ascii="Cambria Math" w:hAnsi="Cambria Math" w:cs="宋体"/>
                <w:i/>
                <w:szCs w:val="21"/>
              </w:rPr>
            </w:pPr>
            <m:oMath>
              <m:sSub>
                <m:sSubPr>
                  <m:ctrlPr>
                    <w:rPr>
                      <w:rFonts w:ascii="Cambria Math" w:hAnsi="Cambria Math" w:cs="宋体"/>
                      <w:i/>
                      <w:szCs w:val="21"/>
                    </w:rPr>
                  </m:ctrlPr>
                </m:sSubPr>
                <m:e>
                  <m:r>
                    <m:rPr/>
                    <w:rPr>
                      <w:rFonts w:ascii="Cambria Math" w:hAnsi="Cambria Math" w:cs="宋体"/>
                      <w:szCs w:val="21"/>
                    </w:rPr>
                    <m:t>k</m:t>
                  </m:r>
                  <m:ctrlPr>
                    <w:rPr>
                      <w:rFonts w:ascii="Cambria Math" w:hAnsi="Cambria Math" w:cs="宋体"/>
                      <w:i/>
                      <w:szCs w:val="21"/>
                    </w:rPr>
                  </m:ctrlPr>
                </m:e>
                <m:sub>
                  <m:r>
                    <m:rPr/>
                    <w:rPr>
                      <w:rFonts w:ascii="Cambria Math" w:hAnsi="Cambria Math" w:cs="宋体"/>
                      <w:szCs w:val="21"/>
                    </w:rPr>
                    <m:t>i</m:t>
                  </m:r>
                  <m:ctrlPr>
                    <w:rPr>
                      <w:rFonts w:ascii="Cambria Math" w:hAnsi="Cambria Math" w:cs="宋体"/>
                      <w:i/>
                      <w:szCs w:val="21"/>
                    </w:rPr>
                  </m:ctrlPr>
                </m:sub>
              </m:sSub>
            </m:oMath>
            <w:r>
              <w:rPr>
                <w:rFonts w:hint="eastAsia" w:ascii="宋体" w:hAnsi="Cambria Math" w:cs="宋体"/>
                <w:szCs w:val="21"/>
              </w:rPr>
              <w:t xml:space="preserve"> </w:t>
            </w:r>
          </w:p>
        </w:tc>
        <w:tc>
          <w:tcPr>
            <w:tcW w:w="4559" w:type="pct"/>
          </w:tcPr>
          <w:p>
            <w:pPr>
              <w:ind w:left="420" w:hanging="420" w:hangingChars="200"/>
              <w:rPr>
                <w:rFonts w:ascii="Cambria Math" w:hAnsi="Cambria Math" w:cs="宋体"/>
                <w:i/>
                <w:szCs w:val="21"/>
              </w:rPr>
            </w:pPr>
            <w:r>
              <w:rPr>
                <w:rFonts w:hint="eastAsia" w:ascii="宋体" w:hAnsi="Cambria Math" w:cs="宋体"/>
                <w:szCs w:val="21"/>
              </w:rPr>
              <w:t>——</w:t>
            </w:r>
            <w:r>
              <w:rPr>
                <w:rFonts w:hint="eastAsia" w:ascii="宋体" w:hAnsi="宋体" w:cs="宋体"/>
                <w:szCs w:val="21"/>
              </w:rPr>
              <w:t>第i种能源的折标准煤系数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，</w:t>
            </w:r>
            <w:r>
              <w:rPr>
                <w:rFonts w:hint="eastAsia" w:ascii="宋体" w:hAnsi="宋体"/>
                <w:color w:val="000000"/>
                <w:szCs w:val="21"/>
              </w:rPr>
              <w:t>应</w:t>
            </w:r>
            <w:r>
              <w:rPr>
                <w:rFonts w:ascii="宋体" w:hAnsi="宋体"/>
                <w:color w:val="000000"/>
                <w:szCs w:val="21"/>
              </w:rPr>
              <w:t>根据实测</w:t>
            </w:r>
            <w:r>
              <w:rPr>
                <w:rFonts w:hint="eastAsia" w:ascii="宋体" w:hAnsi="宋体"/>
                <w:color w:val="000000"/>
                <w:szCs w:val="21"/>
              </w:rPr>
              <w:t>发热量</w:t>
            </w:r>
            <w:r>
              <w:rPr>
                <w:rFonts w:ascii="宋体" w:hAnsi="宋体"/>
                <w:color w:val="000000"/>
                <w:szCs w:val="21"/>
              </w:rPr>
              <w:t>计算，无</w:t>
            </w:r>
            <w:r>
              <w:rPr>
                <w:rFonts w:hint="eastAsia" w:ascii="宋体" w:hAnsi="宋体"/>
                <w:color w:val="000000"/>
                <w:szCs w:val="21"/>
              </w:rPr>
              <w:t>实测</w:t>
            </w:r>
            <w:r>
              <w:rPr>
                <w:rFonts w:ascii="宋体" w:hAnsi="宋体"/>
                <w:color w:val="000000"/>
                <w:szCs w:val="21"/>
              </w:rPr>
              <w:t>数据时，</w:t>
            </w:r>
            <w:r>
              <w:rPr>
                <w:rFonts w:hint="eastAsia" w:ascii="宋体" w:hAnsi="宋体" w:cs="宋体"/>
                <w:color w:val="auto"/>
                <w:szCs w:val="21"/>
              </w:rPr>
              <w:t>参照GB/T</w:t>
            </w:r>
            <w:r>
              <w:rPr>
                <w:rFonts w:ascii="宋体" w:hAnsi="宋体" w:cs="宋体"/>
                <w:color w:val="auto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szCs w:val="21"/>
              </w:rPr>
              <w:t>2589附录</w:t>
            </w:r>
            <w:r>
              <w:rPr>
                <w:rFonts w:hint="eastAsia" w:ascii="宋体" w:hAnsi="宋体" w:cs="宋体"/>
                <w:szCs w:val="21"/>
              </w:rPr>
              <w:t>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3" w:hRule="atLeast"/>
        </w:trPr>
        <w:tc>
          <w:tcPr>
            <w:tcW w:w="440" w:type="pct"/>
          </w:tcPr>
          <w:p>
            <w:pPr>
              <w:rPr>
                <w:rFonts w:ascii="Cambria Math" w:hAnsi="Cambria Math" w:cs="宋体"/>
                <w:i/>
                <w:szCs w:val="21"/>
              </w:rPr>
            </w:pPr>
            <w:r>
              <w:rPr>
                <w:rFonts w:hint="eastAsia" w:ascii="Cambria Math" w:hAnsi="Cambria Math" w:cs="宋体"/>
                <w:i/>
                <w:szCs w:val="21"/>
              </w:rPr>
              <w:t>n</w:t>
            </w:r>
            <w:r>
              <w:rPr>
                <w:rFonts w:hint="eastAsia" w:ascii="宋体" w:hAnsi="宋体" w:cs="宋体"/>
                <w:szCs w:val="21"/>
              </w:rPr>
              <w:t xml:space="preserve"> </w:t>
            </w:r>
          </w:p>
        </w:tc>
        <w:tc>
          <w:tcPr>
            <w:tcW w:w="4559" w:type="pct"/>
          </w:tcPr>
          <w:p>
            <w:pPr>
              <w:rPr>
                <w:rFonts w:ascii="Cambria Math" w:hAnsi="Cambria Math" w:cs="宋体"/>
                <w:i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——投入的能源种类数。</w:t>
            </w:r>
          </w:p>
        </w:tc>
      </w:tr>
    </w:tbl>
    <w:p>
      <w:pPr>
        <w:spacing w:before="156" w:beforeLines="50" w:after="156" w:afterLines="50"/>
        <w:rPr>
          <w:rFonts w:hint="eastAsia" w:ascii="黑体" w:hAnsi="黑体" w:eastAsia="黑体" w:cs="宋体"/>
          <w:b w:val="0"/>
          <w:bCs w:val="0"/>
          <w:szCs w:val="21"/>
          <w:lang w:eastAsia="zh-CN"/>
        </w:rPr>
      </w:pPr>
      <w:r>
        <w:rPr>
          <w:rFonts w:hint="eastAsia" w:ascii="黑体" w:hAnsi="黑体" w:eastAsia="黑体" w:cs="宋体"/>
          <w:b w:val="0"/>
          <w:bCs w:val="0"/>
          <w:szCs w:val="21"/>
          <w:lang w:val="en-US" w:eastAsia="zh-CN"/>
        </w:rPr>
        <w:t>5</w:t>
      </w:r>
      <w:r>
        <w:rPr>
          <w:rFonts w:hint="eastAsia" w:ascii="黑体" w:hAnsi="黑体" w:eastAsia="黑体" w:cs="宋体"/>
          <w:b w:val="0"/>
          <w:bCs w:val="0"/>
          <w:szCs w:val="21"/>
        </w:rPr>
        <w:t>.</w:t>
      </w:r>
      <w:r>
        <w:rPr>
          <w:rFonts w:hint="eastAsia" w:ascii="黑体" w:hAnsi="黑体" w:eastAsia="黑体" w:cs="宋体"/>
          <w:b w:val="0"/>
          <w:bCs w:val="0"/>
          <w:szCs w:val="21"/>
          <w:lang w:val="en-US" w:eastAsia="zh-CN"/>
        </w:rPr>
        <w:t>3</w:t>
      </w:r>
      <w:r>
        <w:rPr>
          <w:rFonts w:hint="eastAsia" w:ascii="黑体" w:hAnsi="黑体" w:eastAsia="黑体" w:cs="宋体"/>
          <w:b w:val="0"/>
          <w:bCs w:val="0"/>
          <w:szCs w:val="21"/>
        </w:rPr>
        <w:t>.2</w:t>
      </w:r>
      <w:r>
        <w:rPr>
          <w:rFonts w:hint="eastAsia" w:ascii="黑体" w:hAnsi="黑体" w:eastAsia="黑体" w:cs="宋体"/>
          <w:b w:val="0"/>
          <w:bCs w:val="0"/>
          <w:szCs w:val="21"/>
          <w:lang w:val="en-US" w:eastAsia="zh-CN"/>
        </w:rPr>
        <w:t xml:space="preserve">  </w:t>
      </w:r>
      <w:r>
        <w:rPr>
          <w:rFonts w:hint="eastAsia" w:ascii="黑体" w:hAnsi="黑体" w:eastAsia="黑体" w:cs="宋体"/>
          <w:b w:val="0"/>
          <w:bCs w:val="0"/>
          <w:szCs w:val="21"/>
        </w:rPr>
        <w:t>单位产品综合能耗</w:t>
      </w:r>
      <w:r>
        <w:rPr>
          <w:rFonts w:hint="eastAsia" w:ascii="黑体" w:hAnsi="黑体" w:eastAsia="黑体" w:cs="宋体"/>
          <w:b w:val="0"/>
          <w:bCs w:val="0"/>
          <w:szCs w:val="21"/>
          <w:lang w:eastAsia="zh-CN"/>
        </w:rPr>
        <w:t>的计算</w:t>
      </w:r>
    </w:p>
    <w:p>
      <w:pPr>
        <w:ind w:firstLine="420" w:firstLineChars="2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单位产品能耗</w:t>
      </w:r>
      <w:r>
        <w:rPr>
          <w:rFonts w:hint="eastAsia" w:ascii="宋体" w:hAnsi="宋体" w:cs="宋体"/>
          <w:szCs w:val="21"/>
          <w:lang w:eastAsia="zh-CN"/>
        </w:rPr>
        <w:t>应</w:t>
      </w:r>
      <w:r>
        <w:rPr>
          <w:rFonts w:hint="eastAsia" w:ascii="宋体" w:hAnsi="宋体" w:cs="宋体"/>
          <w:szCs w:val="21"/>
        </w:rPr>
        <w:t>按式（</w:t>
      </w:r>
      <w:r>
        <w:rPr>
          <w:rFonts w:ascii="宋体" w:hAnsi="宋体" w:cs="宋体"/>
          <w:szCs w:val="21"/>
        </w:rPr>
        <w:t>2</w:t>
      </w:r>
      <w:r>
        <w:rPr>
          <w:rFonts w:hint="eastAsia" w:ascii="宋体" w:hAnsi="宋体" w:cs="宋体"/>
          <w:szCs w:val="21"/>
        </w:rPr>
        <w:t>）计算：</w:t>
      </w:r>
    </w:p>
    <w:p>
      <w:pPr>
        <w:ind w:firstLine="420" w:firstLineChars="200"/>
        <w:jc w:val="right"/>
        <w:rPr>
          <w:rFonts w:ascii="宋体" w:hAnsi="宋体" w:cs="宋体"/>
          <w:szCs w:val="21"/>
        </w:rPr>
      </w:pPr>
      <m:oMath>
        <m:sSub>
          <m:sSubPr>
            <m:ctrlPr>
              <w:rPr>
                <w:rFonts w:ascii="Cambria Math" w:hAnsi="Cambria Math" w:cs="宋体"/>
                <w:i/>
                <w:szCs w:val="21"/>
              </w:rPr>
            </m:ctrlPr>
          </m:sSubPr>
          <m:e>
            <m:r>
              <m:rPr/>
              <w:rPr>
                <w:rFonts w:hint="default" w:ascii="Cambria Math" w:hAnsi="Cambria Math" w:cs="宋体"/>
                <w:szCs w:val="21"/>
                <w:lang w:val="en-US" w:eastAsia="zh-CN"/>
              </w:rPr>
              <m:t>e</m:t>
            </m:r>
            <m:ctrlPr>
              <w:rPr>
                <w:rFonts w:ascii="Cambria Math" w:hAnsi="Cambria Math" w:cs="宋体"/>
                <w:i/>
                <w:szCs w:val="21"/>
              </w:rPr>
            </m:ctrlPr>
          </m:e>
          <m:sub>
            <m:r>
              <m:rPr>
                <m:sty m:val="p"/>
              </m:rPr>
              <w:rPr>
                <w:rFonts w:hint="default" w:ascii="Cambria Math" w:hAnsi="Cambria Math" w:cs="宋体"/>
                <w:szCs w:val="21"/>
              </w:rPr>
              <m:t>DN</m:t>
            </m:r>
            <m:ctrlPr>
              <w:rPr>
                <w:rFonts w:ascii="Cambria Math" w:hAnsi="Cambria Math" w:cs="宋体"/>
                <w:i/>
                <w:szCs w:val="21"/>
              </w:rPr>
            </m:ctrlPr>
          </m:sub>
        </m:sSub>
        <m:r>
          <m:rPr/>
          <w:rPr>
            <w:rFonts w:ascii="Cambria Math" w:hAnsi="Cambria Math" w:cs="宋体"/>
            <w:szCs w:val="21"/>
          </w:rPr>
          <m:t>=</m:t>
        </m:r>
        <m:f>
          <m:fPr>
            <m:ctrlPr>
              <w:rPr>
                <w:rFonts w:ascii="Cambria Math" w:hAnsi="Cambria Math" w:cs="宋体"/>
                <w:i/>
                <w:szCs w:val="21"/>
              </w:rPr>
            </m:ctrlPr>
          </m:fPr>
          <m:num>
            <m:sSub>
              <m:sSubPr>
                <m:ctrlPr>
                  <w:rPr>
                    <w:rFonts w:ascii="Cambria Math" w:hAnsi="Cambria Math" w:cs="宋体"/>
                    <w:i/>
                    <w:szCs w:val="21"/>
                  </w:rPr>
                </m:ctrlPr>
              </m:sSubPr>
              <m:e>
                <m:r>
                  <m:rPr/>
                  <w:rPr>
                    <w:rFonts w:ascii="Cambria Math" w:hAnsi="Cambria Math" w:cs="宋体"/>
                    <w:szCs w:val="21"/>
                  </w:rPr>
                  <m:t>E</m:t>
                </m:r>
                <m:ctrlPr>
                  <w:rPr>
                    <w:rFonts w:ascii="Cambria Math" w:hAnsi="Cambria Math" w:cs="宋体"/>
                    <w:i/>
                    <w:szCs w:val="21"/>
                  </w:rPr>
                </m:ctrlPr>
              </m:e>
              <m:sub>
                <m:r>
                  <m:rPr/>
                  <w:rPr>
                    <w:rFonts w:ascii="Cambria Math" w:hAnsi="Cambria Math" w:cs="宋体"/>
                    <w:szCs w:val="21"/>
                  </w:rPr>
                  <m:t>ZN</m:t>
                </m:r>
                <m:ctrlPr>
                  <w:rPr>
                    <w:rFonts w:ascii="Cambria Math" w:hAnsi="Cambria Math" w:cs="宋体"/>
                    <w:i/>
                    <w:szCs w:val="21"/>
                  </w:rPr>
                </m:ctrlPr>
              </m:sub>
            </m:sSub>
            <m:ctrlPr>
              <w:rPr>
                <w:rFonts w:ascii="Cambria Math" w:hAnsi="Cambria Math" w:cs="宋体"/>
                <w:i/>
                <w:szCs w:val="21"/>
              </w:rPr>
            </m:ctrlPr>
          </m:num>
          <m:den>
            <m:r>
              <m:rPr/>
              <w:rPr>
                <w:rFonts w:ascii="Cambria Math" w:hAnsi="Cambria Math" w:cs="宋体"/>
                <w:szCs w:val="21"/>
              </w:rPr>
              <m:t>P</m:t>
            </m:r>
            <m:ctrlPr>
              <w:rPr>
                <w:rFonts w:ascii="Cambria Math" w:hAnsi="Cambria Math" w:cs="宋体"/>
                <w:i/>
                <w:szCs w:val="21"/>
              </w:rPr>
            </m:ctrlPr>
          </m:den>
        </m:f>
        <m:r>
          <m:rPr/>
          <w:rPr>
            <w:rFonts w:hint="eastAsia" w:ascii="Cambria Math" w:hAnsi="Cambria Math" w:cs="宋体"/>
            <w:szCs w:val="21"/>
            <w:lang w:val="en-US" w:eastAsia="zh-CN"/>
          </w:rPr>
          <m:t>×</m:t>
        </m:r>
        <m:r>
          <m:rPr/>
          <w:rPr>
            <w:rFonts w:hint="default" w:ascii="Cambria Math" w:hAnsi="Cambria Math" w:cs="宋体"/>
            <w:szCs w:val="21"/>
            <w:lang w:val="en-US" w:eastAsia="zh-CN"/>
          </w:rPr>
          <m:t>1000</m:t>
        </m:r>
      </m:oMath>
      <w:r>
        <w:rPr>
          <w:rFonts w:hint="eastAsia" w:hAnsi="Cambria Math" w:cs="宋体"/>
          <w:szCs w:val="21"/>
        </w:rPr>
        <w:t xml:space="preserve">                 </w:t>
      </w:r>
      <w:r>
        <w:rPr>
          <w:rFonts w:hAnsi="Cambria Math" w:cs="宋体"/>
          <w:szCs w:val="21"/>
        </w:rPr>
        <w:t>…………………………</w:t>
      </w:r>
      <w:r>
        <w:rPr>
          <w:rFonts w:hint="eastAsia" w:hAnsi="Cambria Math" w:cs="宋体"/>
          <w:szCs w:val="21"/>
        </w:rPr>
        <w:t>（</w:t>
      </w:r>
      <w:r>
        <w:rPr>
          <w:rFonts w:hAnsi="Cambria Math" w:cs="宋体"/>
          <w:szCs w:val="21"/>
        </w:rPr>
        <w:t>2</w:t>
      </w:r>
      <w:r>
        <w:rPr>
          <w:rFonts w:hint="eastAsia" w:hAnsi="Cambria Math" w:cs="宋体"/>
          <w:szCs w:val="21"/>
        </w:rPr>
        <w:t>）</w:t>
      </w:r>
    </w:p>
    <w:p>
      <w:pPr>
        <w:ind w:firstLine="420" w:firstLineChars="2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式中：</w:t>
      </w:r>
    </w:p>
    <w:tbl>
      <w:tblPr>
        <w:tblStyle w:val="31"/>
        <w:tblpPr w:leftFromText="180" w:rightFromText="180" w:vertAnchor="text" w:horzAnchor="page" w:tblpX="1808" w:tblpY="101"/>
        <w:tblOverlap w:val="never"/>
        <w:tblW w:w="4863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1"/>
        <w:gridCol w:w="829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440" w:type="pct"/>
          </w:tcPr>
          <w:p>
            <w:pPr>
              <w:rPr>
                <w:rFonts w:ascii="Cambria Math" w:hAnsi="Cambria Math" w:cs="宋体"/>
                <w:i/>
                <w:szCs w:val="21"/>
              </w:rPr>
            </w:pPr>
            <w:r>
              <w:rPr>
                <w:rFonts w:hint="eastAsia" w:ascii="Cambria Math" w:hAnsi="Cambria Math" w:cs="宋体"/>
                <w:i/>
                <w:szCs w:val="21"/>
                <w:lang w:val="en-US" w:eastAsia="zh-CN"/>
              </w:rPr>
              <w:t>e</w:t>
            </w:r>
            <w:r>
              <w:rPr>
                <w:rFonts w:ascii="Cambria Math" w:hAnsi="Cambria Math" w:cs="宋体"/>
                <w:i w:val="0"/>
                <w:iCs/>
                <w:szCs w:val="21"/>
                <w:vertAlign w:val="subscript"/>
              </w:rPr>
              <w:t>DN</w:t>
            </w:r>
            <w:r>
              <w:rPr>
                <w:rFonts w:hint="eastAsia" w:ascii="宋体" w:hAnsi="宋体" w:cs="宋体"/>
                <w:szCs w:val="21"/>
              </w:rPr>
              <w:t xml:space="preserve">  </w:t>
            </w:r>
          </w:p>
        </w:tc>
        <w:tc>
          <w:tcPr>
            <w:tcW w:w="4559" w:type="pct"/>
          </w:tcPr>
          <w:p>
            <w:pPr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</w:rPr>
              <w:t>——单位产品综合能耗，单位为千克标准煤每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千</w:t>
            </w:r>
            <w:r>
              <w:rPr>
                <w:rFonts w:hint="eastAsia" w:ascii="宋体" w:hAnsi="宋体" w:cs="宋体"/>
                <w:szCs w:val="21"/>
              </w:rPr>
              <w:t>平方米[</w:t>
            </w:r>
            <w:r>
              <w:rPr>
                <w:rFonts w:ascii="宋体" w:hAnsi="宋体" w:cs="宋体"/>
                <w:szCs w:val="21"/>
              </w:rPr>
              <w:t>kgce</w:t>
            </w:r>
            <w:r>
              <w:rPr>
                <w:rFonts w:hint="eastAsia" w:ascii="宋体" w:hAnsi="宋体" w:cs="宋体"/>
                <w:szCs w:val="21"/>
              </w:rPr>
              <w:t>/k</w:t>
            </w:r>
            <w:r>
              <w:rPr>
                <w:rFonts w:ascii="宋体" w:hAnsi="宋体" w:cs="宋体"/>
                <w:szCs w:val="21"/>
              </w:rPr>
              <w:t>(</w:t>
            </w:r>
            <w:r>
              <w:rPr>
                <w:rFonts w:hint="eastAsia" w:ascii="宋体" w:hAnsi="宋体" w:cs="宋体"/>
                <w:szCs w:val="21"/>
              </w:rPr>
              <w:t>m</w:t>
            </w:r>
            <w:r>
              <w:rPr>
                <w:rFonts w:hint="eastAsia" w:ascii="宋体" w:hAnsi="宋体" w:cs="宋体"/>
                <w:szCs w:val="21"/>
                <w:vertAlign w:val="superscript"/>
              </w:rPr>
              <w:t>2</w:t>
            </w:r>
            <w:r>
              <w:rPr>
                <w:rFonts w:hint="eastAsia" w:ascii="宋体" w:hAnsi="宋体" w:cs="宋体"/>
                <w:szCs w:val="21"/>
              </w:rPr>
              <w:t>)</w:t>
            </w:r>
            <w:r>
              <w:rPr>
                <w:rFonts w:ascii="宋体" w:hAnsi="宋体" w:cs="宋体"/>
                <w:szCs w:val="21"/>
              </w:rPr>
              <w:t>]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440" w:type="pct"/>
          </w:tcPr>
          <w:p>
            <w:pPr>
              <w:rPr>
                <w:rFonts w:ascii="Cambria Math" w:hAnsi="Cambria Math" w:cs="宋体"/>
                <w:i/>
                <w:szCs w:val="21"/>
              </w:rPr>
            </w:pPr>
            <m:oMath>
              <m:r>
                <m:rPr/>
                <w:rPr>
                  <w:rFonts w:ascii="Cambria Math" w:hAnsi="Cambria Math" w:cs="宋体"/>
                  <w:szCs w:val="21"/>
                </w:rPr>
                <m:t>P</m:t>
              </m:r>
            </m:oMath>
            <w:r>
              <w:rPr>
                <w:rFonts w:hint="eastAsia" w:ascii="宋体" w:hAnsi="Cambria Math" w:cs="宋体"/>
                <w:szCs w:val="21"/>
              </w:rPr>
              <w:t xml:space="preserve"> </w:t>
            </w:r>
          </w:p>
        </w:tc>
        <w:tc>
          <w:tcPr>
            <w:tcW w:w="4559" w:type="pct"/>
          </w:tcPr>
          <w:p>
            <w:pPr>
              <w:ind w:left="420" w:hanging="420" w:hangingChars="200"/>
              <w:jc w:val="both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——统计期内，符合GB</w:t>
            </w:r>
            <w:r>
              <w:rPr>
                <w:rFonts w:ascii="宋体" w:hAnsi="宋体" w:cs="宋体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szCs w:val="21"/>
              </w:rPr>
              <w:t>18242、GB</w:t>
            </w:r>
            <w:r>
              <w:rPr>
                <w:rFonts w:ascii="宋体" w:hAnsi="宋体" w:cs="宋体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szCs w:val="21"/>
              </w:rPr>
              <w:t>18243和 GB</w:t>
            </w:r>
            <w:r>
              <w:rPr>
                <w:rFonts w:ascii="宋体" w:hAnsi="宋体" w:cs="宋体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szCs w:val="21"/>
              </w:rPr>
              <w:t>23441等相关标准的产品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按照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附录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A</w:t>
            </w:r>
            <w:r>
              <w:rPr>
                <w:rFonts w:hint="eastAsia" w:ascii="宋体" w:hAnsi="宋体" w:cs="宋体"/>
                <w:szCs w:val="21"/>
              </w:rPr>
              <w:t>折算后的产量,单位为千平方米[k</w:t>
            </w:r>
            <w:r>
              <w:rPr>
                <w:rFonts w:ascii="宋体" w:hAnsi="宋体" w:cs="宋体"/>
                <w:szCs w:val="21"/>
              </w:rPr>
              <w:t>(</w:t>
            </w:r>
            <w:r>
              <w:rPr>
                <w:rFonts w:hint="eastAsia" w:ascii="宋体" w:hAnsi="宋体" w:cs="宋体"/>
                <w:szCs w:val="21"/>
              </w:rPr>
              <w:t>m</w:t>
            </w:r>
            <w:r>
              <w:rPr>
                <w:rFonts w:hint="eastAsia" w:ascii="宋体" w:hAnsi="宋体" w:cs="宋体"/>
                <w:szCs w:val="21"/>
                <w:vertAlign w:val="superscript"/>
              </w:rPr>
              <w:t>2</w:t>
            </w:r>
            <w:r>
              <w:rPr>
                <w:rFonts w:hint="eastAsia" w:ascii="宋体" w:hAnsi="宋体" w:cs="宋体"/>
                <w:szCs w:val="21"/>
              </w:rPr>
              <w:t>)</w:t>
            </w:r>
            <w:r>
              <w:rPr>
                <w:rFonts w:ascii="宋体" w:hAnsi="宋体" w:cs="宋体"/>
                <w:szCs w:val="21"/>
              </w:rPr>
              <w:t>]</w:t>
            </w:r>
            <w:r>
              <w:rPr>
                <w:rFonts w:hint="eastAsia" w:ascii="宋体" w:hAnsi="宋体" w:cs="宋体"/>
                <w:szCs w:val="21"/>
              </w:rPr>
              <w:t>。</w:t>
            </w:r>
          </w:p>
        </w:tc>
      </w:tr>
    </w:tbl>
    <w:p>
      <w:pPr>
        <w:pStyle w:val="2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313" w:beforeLines="100" w:after="313" w:afterLines="100"/>
        <w:ind w:left="0" w:leftChars="0" w:firstLine="0" w:firstLineChars="0"/>
        <w:textAlignment w:val="auto"/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zh-CN" w:bidi="ar-SA"/>
        </w:rPr>
        <w:t>6  节能管理与措施</w:t>
      </w:r>
    </w:p>
    <w:p>
      <w:pPr>
        <w:pStyle w:val="2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/>
        <w:ind w:left="0" w:leftChars="0" w:firstLine="0" w:firstLineChars="0"/>
        <w:textAlignment w:val="auto"/>
        <w:rPr>
          <w:rFonts w:hint="default" w:ascii="黑体" w:hAnsi="黑体" w:eastAsia="黑体" w:cs="黑体"/>
          <w:b w:val="0"/>
          <w:bCs w:val="0"/>
          <w:sz w:val="21"/>
          <w:szCs w:val="21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zh-CN" w:bidi="ar-SA"/>
        </w:rPr>
        <w:t>6.1  基础管理措施</w:t>
      </w:r>
    </w:p>
    <w:p>
      <w:pPr>
        <w:pStyle w:val="2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leftChars="0" w:firstLine="420" w:firstLineChars="200"/>
        <w:textAlignment w:val="auto"/>
        <w:rPr>
          <w:rFonts w:hint="eastAsia" w:hAnsi="Times New Roman" w:cs="Times New Roman"/>
          <w:lang w:val="en-US" w:eastAsia="zh-CN"/>
        </w:rPr>
      </w:pPr>
      <w:r>
        <w:rPr>
          <w:rFonts w:hint="eastAsia" w:hAnsi="Times New Roman" w:cs="Times New Roman"/>
          <w:lang w:val="en-US" w:eastAsia="zh-CN"/>
        </w:rPr>
        <w:t>6.1.1  企业应按照GB/T 23331规定的要求建立能源管理体系。</w:t>
      </w:r>
    </w:p>
    <w:p>
      <w:pPr>
        <w:pStyle w:val="2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leftChars="0" w:firstLine="420" w:firstLineChars="200"/>
        <w:textAlignment w:val="auto"/>
        <w:rPr>
          <w:rFonts w:hint="eastAsia" w:hAnsi="Times New Roman" w:cs="Times New Roman"/>
          <w:lang w:val="en-US" w:eastAsia="zh-CN"/>
        </w:rPr>
      </w:pPr>
      <w:r>
        <w:rPr>
          <w:rFonts w:hint="eastAsia" w:hAnsi="Times New Roman" w:cs="Times New Roman"/>
          <w:lang w:val="en-US" w:eastAsia="zh-CN"/>
        </w:rPr>
        <w:t xml:space="preserve">6.1.2  </w:t>
      </w:r>
      <w:r>
        <w:rPr>
          <w:rFonts w:hint="eastAsia" w:ascii="宋体" w:hAnsi="宋体" w:cs="宋体"/>
          <w:color w:val="auto"/>
          <w:szCs w:val="21"/>
          <w:highlight w:val="none"/>
          <w:lang w:val="en-US" w:eastAsia="zh-CN"/>
        </w:rPr>
        <w:t>企业应建立用能责任考核制度</w:t>
      </w:r>
      <w:r>
        <w:rPr>
          <w:rFonts w:hint="eastAsia" w:hAnsi="宋体" w:cs="宋体"/>
          <w:color w:val="auto"/>
          <w:szCs w:val="21"/>
          <w:highlight w:val="none"/>
          <w:lang w:val="en-US" w:eastAsia="zh-CN"/>
        </w:rPr>
        <w:t>，</w:t>
      </w:r>
      <w:r>
        <w:rPr>
          <w:rFonts w:hint="eastAsia" w:ascii="宋体" w:hAnsi="宋体" w:cs="宋体"/>
          <w:color w:val="auto"/>
          <w:szCs w:val="21"/>
          <w:highlight w:val="none"/>
          <w:lang w:val="en-US" w:eastAsia="zh-CN"/>
        </w:rPr>
        <w:t>制定能耗定额考核指标，对能耗指标分级考核，落实到班组</w:t>
      </w:r>
      <w:r>
        <w:rPr>
          <w:rFonts w:hint="eastAsia" w:hAnsi="Times New Roman" w:cs="Times New Roman"/>
          <w:lang w:val="en-US" w:eastAsia="zh-CN"/>
        </w:rPr>
        <w:t>。</w:t>
      </w:r>
    </w:p>
    <w:p>
      <w:pPr>
        <w:pStyle w:val="2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leftChars="0" w:firstLine="420" w:firstLineChars="200"/>
        <w:textAlignment w:val="auto"/>
        <w:rPr>
          <w:rFonts w:hint="eastAsia" w:hAnsi="Times New Roman" w:cs="Times New Roman"/>
          <w:lang w:val="en-US" w:eastAsia="zh-CN"/>
        </w:rPr>
      </w:pPr>
      <w:r>
        <w:rPr>
          <w:rFonts w:hint="eastAsia" w:hAnsi="Times New Roman" w:cs="Times New Roman"/>
          <w:lang w:val="en-US" w:eastAsia="zh-CN"/>
        </w:rPr>
        <w:t>6.1.3  企业应根</w:t>
      </w:r>
      <w:r>
        <w:rPr>
          <w:rFonts w:hint="eastAsia" w:hAnsi="Times New Roman" w:cs="Times New Roman"/>
          <w:highlight w:val="none"/>
          <w:lang w:val="en-US" w:eastAsia="zh-CN"/>
        </w:rPr>
        <w:t>据</w:t>
      </w:r>
      <w:r>
        <w:rPr>
          <w:rFonts w:hint="eastAsia" w:cs="Times New Roman"/>
          <w:highlight w:val="none"/>
          <w:lang w:val="en-US" w:eastAsia="zh-CN"/>
        </w:rPr>
        <w:t>GB 17167和</w:t>
      </w:r>
      <w:r>
        <w:rPr>
          <w:rFonts w:hint="eastAsia" w:hAnsi="Times New Roman" w:cs="Times New Roman"/>
          <w:highlight w:val="none"/>
          <w:lang w:val="en-US" w:eastAsia="zh-CN"/>
        </w:rPr>
        <w:t xml:space="preserve">GB/T </w:t>
      </w:r>
      <w:r>
        <w:rPr>
          <w:rFonts w:hint="eastAsia" w:hAnsi="Times New Roman" w:cs="Times New Roman"/>
          <w:lang w:val="en-US" w:eastAsia="zh-CN"/>
        </w:rPr>
        <w:t>24851的要求配备能源计量器具并建立能源计量管理制度</w:t>
      </w:r>
      <w:r>
        <w:rPr>
          <w:rFonts w:hint="eastAsia" w:cs="Times New Roman"/>
          <w:lang w:val="en-US" w:eastAsia="zh-CN"/>
        </w:rPr>
        <w:t>，</w:t>
      </w:r>
      <w:r>
        <w:rPr>
          <w:rFonts w:hint="eastAsia" w:ascii="宋体" w:hAnsi="宋体" w:cs="宋体"/>
          <w:color w:val="auto"/>
          <w:szCs w:val="21"/>
          <w:highlight w:val="none"/>
          <w:lang w:val="en-US" w:eastAsia="zh-CN"/>
        </w:rPr>
        <w:t>定期维护和检定（校准）计量器具，指定专人负责数据记录整理汇总</w:t>
      </w:r>
      <w:r>
        <w:rPr>
          <w:rFonts w:hint="eastAsia" w:hAnsi="宋体" w:cs="宋体"/>
          <w:color w:val="auto"/>
          <w:szCs w:val="21"/>
          <w:highlight w:val="none"/>
          <w:lang w:val="en-US" w:eastAsia="zh-CN"/>
        </w:rPr>
        <w:t>，</w:t>
      </w:r>
      <w:r>
        <w:rPr>
          <w:rFonts w:hint="eastAsia" w:ascii="宋体" w:hAnsi="宋体" w:cs="宋体"/>
          <w:color w:val="auto"/>
          <w:szCs w:val="21"/>
          <w:highlight w:val="none"/>
          <w:lang w:val="en-US" w:eastAsia="zh-CN"/>
        </w:rPr>
        <w:t>能源计量数据应真实、准确、完整以及可溯源。</w:t>
      </w:r>
    </w:p>
    <w:p>
      <w:pPr>
        <w:pStyle w:val="2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/>
        <w:ind w:left="0" w:leftChars="0" w:firstLine="0" w:firstLineChars="0"/>
        <w:textAlignment w:val="auto"/>
        <w:rPr>
          <w:rFonts w:hint="default" w:ascii="黑体" w:hAnsi="黑体" w:eastAsia="黑体" w:cs="黑体"/>
          <w:b w:val="0"/>
          <w:bCs w:val="0"/>
          <w:sz w:val="21"/>
          <w:szCs w:val="21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zh-CN" w:bidi="ar-SA"/>
        </w:rPr>
        <w:t>6.2  技术管理措施</w:t>
      </w:r>
    </w:p>
    <w:p>
      <w:pPr>
        <w:pStyle w:val="2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/>
        <w:ind w:left="0" w:leftChars="0" w:firstLine="0" w:firstLineChars="0"/>
        <w:textAlignment w:val="auto"/>
        <w:rPr>
          <w:rFonts w:hint="default" w:ascii="黑体" w:hAnsi="黑体" w:eastAsia="黑体" w:cs="黑体"/>
          <w:b w:val="0"/>
          <w:bCs w:val="0"/>
          <w:sz w:val="21"/>
          <w:szCs w:val="21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zh-CN" w:bidi="ar-SA"/>
        </w:rPr>
        <w:t>6.2.1  耗能设备</w:t>
      </w:r>
    </w:p>
    <w:p>
      <w:pPr>
        <w:pStyle w:val="2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leftChars="0" w:firstLine="420" w:firstLineChars="200"/>
        <w:textAlignment w:val="auto"/>
        <w:rPr>
          <w:rFonts w:hint="eastAsia" w:hAnsi="宋体" w:cs="宋体"/>
          <w:b w:val="0"/>
          <w:bCs w:val="0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 w:bidi="ar-SA"/>
        </w:rPr>
        <w:t>6.2.1.1  企业</w:t>
      </w:r>
      <w:r>
        <w:rPr>
          <w:rFonts w:hint="eastAsia" w:hAnsi="宋体" w:cs="宋体"/>
          <w:b w:val="0"/>
          <w:bCs w:val="0"/>
          <w:sz w:val="21"/>
          <w:szCs w:val="21"/>
          <w:lang w:val="en-US" w:eastAsia="zh-CN" w:bidi="ar-SA"/>
        </w:rPr>
        <w:t>所用的电动机、电力变压器、水泵、通风机、工业锅炉、电加热锅炉、容积式空气压缩等通用耗能设备应达到GB/T 12497、GB/T 13462、GB/T 13469、GB/T 13470、GB/T 17954、GB/T 19065和</w:t>
      </w:r>
      <w:r>
        <w:rPr>
          <w:rFonts w:hint="eastAsia" w:hAnsi="宋体" w:cs="宋体"/>
          <w:b w:val="0"/>
          <w:bCs w:val="0"/>
          <w:sz w:val="21"/>
          <w:szCs w:val="21"/>
          <w:lang w:val="en-US" w:eastAsia="zh-CN" w:bidi="ar-SA"/>
        </w:rPr>
        <w:fldChar w:fldCharType="begin"/>
      </w:r>
      <w:r>
        <w:rPr>
          <w:rFonts w:hint="eastAsia" w:hAnsi="宋体" w:cs="宋体"/>
          <w:b w:val="0"/>
          <w:bCs w:val="0"/>
          <w:sz w:val="21"/>
          <w:szCs w:val="21"/>
          <w:lang w:val="en-US" w:eastAsia="zh-CN" w:bidi="ar-SA"/>
        </w:rPr>
        <w:instrText xml:space="preserve"> HYPERLINK "javascript:void(0)" </w:instrText>
      </w:r>
      <w:r>
        <w:rPr>
          <w:rFonts w:hint="eastAsia" w:hAnsi="宋体" w:cs="宋体"/>
          <w:b w:val="0"/>
          <w:bCs w:val="0"/>
          <w:sz w:val="21"/>
          <w:szCs w:val="21"/>
          <w:lang w:val="en-US" w:eastAsia="zh-CN" w:bidi="ar-SA"/>
        </w:rPr>
        <w:fldChar w:fldCharType="separate"/>
      </w:r>
      <w:r>
        <w:rPr>
          <w:rFonts w:hint="default" w:hAnsi="宋体" w:cs="宋体"/>
          <w:b w:val="0"/>
          <w:bCs w:val="0"/>
          <w:sz w:val="21"/>
          <w:szCs w:val="21"/>
          <w:lang w:val="en-US" w:eastAsia="zh-CN" w:bidi="ar-SA"/>
        </w:rPr>
        <w:t>GB/T 27883</w:t>
      </w:r>
      <w:r>
        <w:rPr>
          <w:rFonts w:hint="default" w:hAnsi="宋体" w:cs="宋体"/>
          <w:b w:val="0"/>
          <w:bCs w:val="0"/>
          <w:sz w:val="21"/>
          <w:szCs w:val="21"/>
          <w:lang w:val="en-US" w:eastAsia="zh-CN" w:bidi="ar-SA"/>
        </w:rPr>
        <w:fldChar w:fldCharType="end"/>
      </w:r>
      <w:r>
        <w:rPr>
          <w:rFonts w:hint="eastAsia" w:hAnsi="宋体" w:cs="宋体"/>
          <w:b w:val="0"/>
          <w:bCs w:val="0"/>
          <w:sz w:val="21"/>
          <w:szCs w:val="21"/>
          <w:lang w:val="en-US" w:eastAsia="zh-CN" w:bidi="ar-SA"/>
        </w:rPr>
        <w:t>等相关的</w:t>
      </w:r>
      <w:r>
        <w:rPr>
          <w:rFonts w:hint="eastAsia" w:hAnsi="宋体" w:cs="宋体"/>
          <w:szCs w:val="21"/>
          <w:lang w:val="en-US" w:eastAsia="zh-CN"/>
        </w:rPr>
        <w:t>耗能设备</w:t>
      </w:r>
      <w:r>
        <w:rPr>
          <w:rFonts w:hint="eastAsia" w:hAnsi="宋体" w:cs="宋体"/>
          <w:b w:val="0"/>
          <w:bCs w:val="0"/>
          <w:sz w:val="21"/>
          <w:szCs w:val="21"/>
          <w:lang w:val="en-US" w:eastAsia="zh-CN" w:bidi="ar-SA"/>
        </w:rPr>
        <w:t>经济运行标准要求。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ind w:firstLine="420" w:firstLineChars="200"/>
        <w:textAlignment w:val="auto"/>
        <w:rPr>
          <w:rFonts w:hint="eastAsia" w:ascii="宋体" w:hAnsi="宋体" w:cs="宋体"/>
          <w:color w:val="auto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1"/>
          <w:szCs w:val="21"/>
          <w:lang w:val="en-US" w:eastAsia="zh-CN" w:bidi="ar-SA"/>
        </w:rPr>
        <w:t xml:space="preserve">6.2.1.2 </w:t>
      </w:r>
      <w:r>
        <w:rPr>
          <w:rFonts w:hint="eastAsia" w:hAnsi="宋体" w:cs="宋体"/>
          <w:b w:val="0"/>
          <w:bCs w:val="0"/>
          <w:sz w:val="21"/>
          <w:szCs w:val="21"/>
          <w:lang w:val="en-US" w:eastAsia="zh-CN" w:bidi="ar-SA"/>
        </w:rPr>
        <w:t xml:space="preserve"> 新建及改扩建项目所用的电动机、容积式空气压缩机、通风机、离心清水泵、电力变压器、工业锅炉等通用耗能设备应达到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 w:bidi="ar-SA"/>
        </w:rPr>
        <w:t>GB 18613、GB 19153、GB 19761、GB 19762、GB 20052、</w:t>
      </w:r>
      <w:r>
        <w:rPr>
          <w:rFonts w:hint="eastAsia" w:ascii="宋体" w:hAnsi="宋体" w:cs="宋体"/>
          <w:szCs w:val="21"/>
        </w:rPr>
        <w:t>GB 24500</w:t>
      </w:r>
      <w:r>
        <w:rPr>
          <w:rFonts w:hint="eastAsia" w:hAnsi="宋体" w:cs="宋体"/>
          <w:szCs w:val="21"/>
          <w:lang w:eastAsia="zh-CN"/>
        </w:rPr>
        <w:t>、</w:t>
      </w:r>
      <w:r>
        <w:rPr>
          <w:rFonts w:hint="eastAsia" w:ascii="宋体" w:hAnsi="宋体" w:cs="宋体"/>
          <w:szCs w:val="21"/>
          <w:lang w:val="en-US" w:eastAsia="zh-CN"/>
        </w:rPr>
        <w:t>GB 30254</w:t>
      </w:r>
      <w:r>
        <w:rPr>
          <w:rFonts w:hint="eastAsia" w:hAnsi="宋体" w:cs="宋体"/>
          <w:szCs w:val="21"/>
          <w:lang w:val="en-US" w:eastAsia="zh-CN"/>
        </w:rPr>
        <w:t>等相应耗能设备能效标准中</w:t>
      </w:r>
      <w:r>
        <w:rPr>
          <w:rFonts w:hint="eastAsia" w:ascii="宋体" w:hAnsi="宋体" w:cs="宋体"/>
          <w:color w:val="auto"/>
          <w:szCs w:val="21"/>
          <w:highlight w:val="none"/>
          <w:lang w:val="en-US" w:eastAsia="zh-CN"/>
        </w:rPr>
        <w:t>节能评价值或2级能效等级以上要求。</w:t>
      </w:r>
    </w:p>
    <w:p>
      <w:pPr>
        <w:pStyle w:val="2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/>
        <w:ind w:left="0" w:leftChars="0" w:firstLine="0" w:firstLineChars="0"/>
        <w:textAlignment w:val="auto"/>
        <w:rPr>
          <w:rFonts w:hint="default" w:ascii="黑体" w:hAnsi="黑体" w:eastAsia="黑体" w:cs="黑体"/>
          <w:b w:val="0"/>
          <w:bCs w:val="0"/>
          <w:sz w:val="21"/>
          <w:szCs w:val="21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zh-CN" w:bidi="ar-SA"/>
        </w:rPr>
        <w:t>6.2.2  生产过程</w:t>
      </w:r>
    </w:p>
    <w:p>
      <w:pPr>
        <w:pStyle w:val="2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leftChars="0" w:firstLine="420" w:firstLineChars="200"/>
        <w:textAlignment w:val="auto"/>
        <w:rPr>
          <w:rFonts w:hint="eastAsia" w:hAnsi="宋体" w:cs="宋体"/>
          <w:b w:val="0"/>
          <w:bCs w:val="0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kern w:val="2"/>
          <w:sz w:val="21"/>
          <w:szCs w:val="21"/>
          <w:lang w:val="en-US" w:eastAsia="zh-CN" w:bidi="ar-SA"/>
        </w:rPr>
        <w:t>6.2.2.1</w:t>
      </w:r>
      <w:r>
        <w:rPr>
          <w:rFonts w:hint="eastAsia" w:hAnsi="宋体" w:cs="宋体"/>
          <w:b w:val="0"/>
          <w:bCs w:val="0"/>
          <w:kern w:val="2"/>
          <w:sz w:val="21"/>
          <w:szCs w:val="21"/>
          <w:lang w:val="en-US" w:eastAsia="zh-CN" w:bidi="ar-SA"/>
        </w:rPr>
        <w:t xml:space="preserve">  企业在生产过程中，应正常、连续和稳定运行，提高系统运转率。</w:t>
      </w:r>
    </w:p>
    <w:p>
      <w:pPr>
        <w:pStyle w:val="2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leftChars="0" w:firstLine="420" w:firstLineChars="200"/>
        <w:textAlignment w:val="auto"/>
        <w:rPr>
          <w:rFonts w:hint="eastAsia" w:hAnsi="宋体" w:cs="宋体"/>
          <w:b w:val="0"/>
          <w:bCs w:val="0"/>
          <w:kern w:val="2"/>
          <w:sz w:val="21"/>
          <w:szCs w:val="21"/>
          <w:lang w:val="en-US" w:eastAsia="zh-CN" w:bidi="ar-SA"/>
        </w:rPr>
      </w:pPr>
      <w:r>
        <w:rPr>
          <w:rFonts w:hint="eastAsia" w:hAnsi="宋体" w:cs="宋体"/>
          <w:b w:val="0"/>
          <w:bCs w:val="0"/>
          <w:kern w:val="2"/>
          <w:sz w:val="21"/>
          <w:szCs w:val="21"/>
          <w:lang w:val="en-US" w:eastAsia="zh-CN" w:bidi="ar-SA"/>
        </w:rPr>
        <w:t>6.2.2.2  企业在生产过程中，应改进防水卷材的半成品制备和防水卷材的成型技术，采用余热利用技术。</w:t>
      </w:r>
    </w:p>
    <w:p>
      <w:pPr>
        <w:pStyle w:val="2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leftChars="0" w:firstLine="0" w:firstLineChars="0"/>
        <w:textAlignment w:val="auto"/>
        <w:rPr>
          <w:rFonts w:hint="eastAsia" w:hAnsi="宋体" w:cs="宋体"/>
          <w:b w:val="0"/>
          <w:bCs w:val="0"/>
          <w:kern w:val="2"/>
          <w:sz w:val="21"/>
          <w:szCs w:val="21"/>
          <w:lang w:val="en-US" w:eastAsia="zh-CN" w:bidi="ar-SA"/>
        </w:rPr>
      </w:pPr>
    </w:p>
    <w:p>
      <w:pPr>
        <w:pStyle w:val="2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leftChars="0" w:firstLine="0" w:firstLineChars="0"/>
        <w:textAlignment w:val="auto"/>
        <w:rPr>
          <w:rFonts w:hint="eastAsia" w:hAnsi="宋体" w:cs="宋体"/>
          <w:b w:val="0"/>
          <w:bCs w:val="0"/>
          <w:kern w:val="2"/>
          <w:sz w:val="21"/>
          <w:szCs w:val="21"/>
          <w:lang w:val="en-US" w:eastAsia="zh-CN" w:bidi="ar-SA"/>
        </w:rPr>
      </w:pPr>
    </w:p>
    <w:p>
      <w:pPr>
        <w:pStyle w:val="2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leftChars="0" w:firstLine="0" w:firstLineChars="0"/>
        <w:textAlignment w:val="auto"/>
        <w:rPr>
          <w:rFonts w:hint="eastAsia" w:hAnsi="宋体" w:cs="宋体"/>
          <w:b w:val="0"/>
          <w:bCs w:val="0"/>
          <w:kern w:val="2"/>
          <w:sz w:val="21"/>
          <w:szCs w:val="21"/>
          <w:lang w:val="en-US" w:eastAsia="zh-CN" w:bidi="ar-SA"/>
        </w:rPr>
      </w:pPr>
    </w:p>
    <w:p>
      <w:pPr>
        <w:pStyle w:val="2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leftChars="0" w:firstLine="0" w:firstLineChars="0"/>
        <w:textAlignment w:val="auto"/>
        <w:rPr>
          <w:rFonts w:hint="eastAsia" w:hAnsi="宋体" w:cs="宋体"/>
          <w:b w:val="0"/>
          <w:bCs w:val="0"/>
          <w:kern w:val="2"/>
          <w:sz w:val="21"/>
          <w:szCs w:val="21"/>
          <w:lang w:val="en-US" w:eastAsia="zh-CN" w:bidi="ar-SA"/>
        </w:rPr>
      </w:pPr>
    </w:p>
    <w:p>
      <w:pPr>
        <w:pStyle w:val="2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leftChars="0" w:firstLine="0" w:firstLineChars="0"/>
        <w:textAlignment w:val="auto"/>
        <w:rPr>
          <w:rFonts w:hint="eastAsia" w:hAnsi="宋体" w:cs="宋体"/>
          <w:b w:val="0"/>
          <w:bCs w:val="0"/>
          <w:kern w:val="2"/>
          <w:sz w:val="21"/>
          <w:szCs w:val="21"/>
          <w:lang w:val="en-US" w:eastAsia="zh-CN" w:bidi="ar-SA"/>
        </w:rPr>
      </w:pPr>
    </w:p>
    <w:p>
      <w:pPr>
        <w:pStyle w:val="2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leftChars="0" w:firstLine="0" w:firstLineChars="0"/>
        <w:textAlignment w:val="auto"/>
        <w:rPr>
          <w:rFonts w:hint="default" w:hAnsi="宋体" w:cs="宋体"/>
          <w:b w:val="0"/>
          <w:bCs w:val="0"/>
          <w:kern w:val="2"/>
          <w:sz w:val="21"/>
          <w:szCs w:val="21"/>
          <w:lang w:val="en-US" w:eastAsia="zh-CN" w:bidi="ar-SA"/>
        </w:rPr>
      </w:pPr>
    </w:p>
    <w:p>
      <w:pPr>
        <w:pStyle w:val="2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leftChars="0" w:firstLine="0" w:firstLineChars="0"/>
        <w:textAlignment w:val="auto"/>
        <w:rPr>
          <w:rFonts w:hint="default" w:hAnsi="宋体" w:cs="宋体"/>
          <w:b w:val="0"/>
          <w:bCs w:val="0"/>
          <w:kern w:val="2"/>
          <w:sz w:val="21"/>
          <w:szCs w:val="21"/>
          <w:lang w:val="en-US" w:eastAsia="zh-CN" w:bidi="ar-SA"/>
        </w:rPr>
      </w:pPr>
    </w:p>
    <w:p>
      <w:pPr>
        <w:pStyle w:val="2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leftChars="0" w:firstLine="0" w:firstLineChars="0"/>
        <w:textAlignment w:val="auto"/>
        <w:rPr>
          <w:rFonts w:hint="default" w:hAnsi="宋体" w:cs="宋体"/>
          <w:b w:val="0"/>
          <w:bCs w:val="0"/>
          <w:kern w:val="2"/>
          <w:sz w:val="21"/>
          <w:szCs w:val="21"/>
          <w:lang w:val="en-US" w:eastAsia="zh-CN" w:bidi="ar-SA"/>
        </w:rPr>
      </w:pPr>
    </w:p>
    <w:p>
      <w:pPr>
        <w:pStyle w:val="2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leftChars="0" w:firstLine="0" w:firstLineChars="0"/>
        <w:textAlignment w:val="auto"/>
        <w:rPr>
          <w:rFonts w:hint="default" w:hAnsi="宋体" w:cs="宋体"/>
          <w:b w:val="0"/>
          <w:bCs w:val="0"/>
          <w:kern w:val="2"/>
          <w:sz w:val="21"/>
          <w:szCs w:val="21"/>
          <w:lang w:val="en-US" w:eastAsia="zh-CN" w:bidi="ar-SA"/>
        </w:rPr>
      </w:pPr>
    </w:p>
    <w:p>
      <w:pPr>
        <w:pStyle w:val="2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leftChars="0" w:firstLine="0" w:firstLineChars="0"/>
        <w:textAlignment w:val="auto"/>
        <w:rPr>
          <w:rFonts w:hint="default" w:hAnsi="宋体" w:cs="宋体"/>
          <w:b w:val="0"/>
          <w:bCs w:val="0"/>
          <w:kern w:val="2"/>
          <w:sz w:val="21"/>
          <w:szCs w:val="21"/>
          <w:lang w:val="en-US" w:eastAsia="zh-CN" w:bidi="ar-SA"/>
        </w:rPr>
      </w:pPr>
    </w:p>
    <w:p>
      <w:pPr>
        <w:pStyle w:val="2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leftChars="0" w:firstLine="0" w:firstLineChars="0"/>
        <w:textAlignment w:val="auto"/>
        <w:rPr>
          <w:rFonts w:hint="default" w:hAnsi="宋体" w:cs="宋体"/>
          <w:b w:val="0"/>
          <w:bCs w:val="0"/>
          <w:kern w:val="2"/>
          <w:sz w:val="21"/>
          <w:szCs w:val="21"/>
          <w:lang w:val="en-US" w:eastAsia="zh-CN" w:bidi="ar-SA"/>
        </w:rPr>
      </w:pPr>
    </w:p>
    <w:p>
      <w:pPr>
        <w:pStyle w:val="2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leftChars="0" w:firstLine="0" w:firstLineChars="0"/>
        <w:textAlignment w:val="auto"/>
        <w:rPr>
          <w:rFonts w:hint="default" w:hAnsi="宋体" w:cs="宋体"/>
          <w:b w:val="0"/>
          <w:bCs w:val="0"/>
          <w:kern w:val="2"/>
          <w:sz w:val="21"/>
          <w:szCs w:val="21"/>
          <w:lang w:val="en-US" w:eastAsia="zh-CN" w:bidi="ar-SA"/>
        </w:rPr>
      </w:pPr>
    </w:p>
    <w:p>
      <w:pPr>
        <w:pStyle w:val="2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leftChars="0" w:firstLine="0" w:firstLineChars="0"/>
        <w:textAlignment w:val="auto"/>
        <w:rPr>
          <w:rFonts w:hint="default" w:hAnsi="宋体" w:cs="宋体"/>
          <w:b w:val="0"/>
          <w:bCs w:val="0"/>
          <w:kern w:val="2"/>
          <w:sz w:val="21"/>
          <w:szCs w:val="21"/>
          <w:lang w:val="en-US" w:eastAsia="zh-CN" w:bidi="ar-SA"/>
        </w:rPr>
      </w:pPr>
    </w:p>
    <w:p>
      <w:pPr>
        <w:pStyle w:val="2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leftChars="0" w:firstLine="0" w:firstLineChars="0"/>
        <w:textAlignment w:val="auto"/>
        <w:rPr>
          <w:rFonts w:hint="default" w:hAnsi="宋体" w:cs="宋体"/>
          <w:b w:val="0"/>
          <w:bCs w:val="0"/>
          <w:kern w:val="2"/>
          <w:sz w:val="21"/>
          <w:szCs w:val="21"/>
          <w:lang w:val="en-US" w:eastAsia="zh-CN" w:bidi="ar-SA"/>
        </w:rPr>
      </w:pPr>
    </w:p>
    <w:p>
      <w:pPr>
        <w:pStyle w:val="2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leftChars="0" w:firstLine="0" w:firstLineChars="0"/>
        <w:textAlignment w:val="auto"/>
        <w:rPr>
          <w:rFonts w:hint="default" w:hAnsi="宋体" w:cs="宋体"/>
          <w:b w:val="0"/>
          <w:bCs w:val="0"/>
          <w:kern w:val="2"/>
          <w:sz w:val="21"/>
          <w:szCs w:val="21"/>
          <w:lang w:val="en-US" w:eastAsia="zh-CN" w:bidi="ar-SA"/>
        </w:rPr>
      </w:pPr>
    </w:p>
    <w:p>
      <w:pPr>
        <w:pStyle w:val="2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leftChars="0" w:firstLine="0" w:firstLineChars="0"/>
        <w:textAlignment w:val="auto"/>
        <w:rPr>
          <w:rFonts w:hint="default" w:hAnsi="宋体" w:cs="宋体"/>
          <w:b w:val="0"/>
          <w:bCs w:val="0"/>
          <w:kern w:val="2"/>
          <w:sz w:val="21"/>
          <w:szCs w:val="21"/>
          <w:lang w:val="en-US" w:eastAsia="zh-CN" w:bidi="ar-SA"/>
        </w:rPr>
      </w:pPr>
    </w:p>
    <w:p>
      <w:pPr>
        <w:pStyle w:val="2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leftChars="0" w:firstLine="0" w:firstLineChars="0"/>
        <w:textAlignment w:val="auto"/>
        <w:rPr>
          <w:rFonts w:hint="default" w:hAnsi="宋体" w:cs="宋体"/>
          <w:b w:val="0"/>
          <w:bCs w:val="0"/>
          <w:kern w:val="2"/>
          <w:sz w:val="21"/>
          <w:szCs w:val="21"/>
          <w:lang w:val="en-US" w:eastAsia="zh-CN" w:bidi="ar-SA"/>
        </w:rPr>
      </w:pPr>
    </w:p>
    <w:p>
      <w:pPr>
        <w:pStyle w:val="2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leftChars="0" w:firstLine="0" w:firstLineChars="0"/>
        <w:textAlignment w:val="auto"/>
        <w:rPr>
          <w:rFonts w:hint="default" w:hAnsi="宋体" w:cs="宋体"/>
          <w:b w:val="0"/>
          <w:bCs w:val="0"/>
          <w:kern w:val="2"/>
          <w:sz w:val="21"/>
          <w:szCs w:val="21"/>
          <w:lang w:val="en-US" w:eastAsia="zh-CN" w:bidi="ar-SA"/>
        </w:rPr>
      </w:pPr>
    </w:p>
    <w:p>
      <w:pPr>
        <w:pStyle w:val="2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leftChars="0" w:firstLine="0" w:firstLineChars="0"/>
        <w:textAlignment w:val="auto"/>
        <w:rPr>
          <w:rFonts w:hint="default" w:hAnsi="宋体" w:cs="宋体"/>
          <w:b w:val="0"/>
          <w:bCs w:val="0"/>
          <w:kern w:val="2"/>
          <w:sz w:val="21"/>
          <w:szCs w:val="21"/>
          <w:lang w:val="en-US" w:eastAsia="zh-CN" w:bidi="ar-SA"/>
        </w:rPr>
      </w:pPr>
    </w:p>
    <w:p>
      <w:pPr>
        <w:pStyle w:val="2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leftChars="0" w:firstLine="0" w:firstLineChars="0"/>
        <w:textAlignment w:val="auto"/>
        <w:rPr>
          <w:rFonts w:hint="default" w:hAnsi="宋体" w:cs="宋体"/>
          <w:b w:val="0"/>
          <w:bCs w:val="0"/>
          <w:kern w:val="2"/>
          <w:sz w:val="21"/>
          <w:szCs w:val="21"/>
          <w:lang w:val="en-US" w:eastAsia="zh-CN" w:bidi="ar-SA"/>
        </w:rPr>
      </w:pPr>
    </w:p>
    <w:p>
      <w:pPr>
        <w:pStyle w:val="2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leftChars="0" w:firstLine="0" w:firstLineChars="0"/>
        <w:textAlignment w:val="auto"/>
        <w:rPr>
          <w:rFonts w:hint="default" w:hAnsi="宋体" w:cs="宋体"/>
          <w:b w:val="0"/>
          <w:bCs w:val="0"/>
          <w:kern w:val="2"/>
          <w:sz w:val="21"/>
          <w:szCs w:val="21"/>
          <w:lang w:val="en-US" w:eastAsia="zh-CN" w:bidi="ar-SA"/>
        </w:rPr>
      </w:pPr>
    </w:p>
    <w:p>
      <w:pPr>
        <w:pStyle w:val="2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leftChars="0" w:firstLine="0" w:firstLineChars="0"/>
        <w:textAlignment w:val="auto"/>
        <w:rPr>
          <w:rFonts w:hint="default" w:hAnsi="宋体" w:cs="宋体"/>
          <w:b w:val="0"/>
          <w:bCs w:val="0"/>
          <w:kern w:val="2"/>
          <w:sz w:val="21"/>
          <w:szCs w:val="21"/>
          <w:lang w:val="en-US" w:eastAsia="zh-CN" w:bidi="ar-SA"/>
        </w:rPr>
      </w:pPr>
    </w:p>
    <w:p>
      <w:pPr>
        <w:pStyle w:val="2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leftChars="0" w:firstLine="0" w:firstLineChars="0"/>
        <w:textAlignment w:val="auto"/>
        <w:rPr>
          <w:rFonts w:hint="default" w:hAnsi="宋体" w:cs="宋体"/>
          <w:b w:val="0"/>
          <w:bCs w:val="0"/>
          <w:kern w:val="2"/>
          <w:sz w:val="21"/>
          <w:szCs w:val="21"/>
          <w:lang w:val="en-US" w:eastAsia="zh-CN" w:bidi="ar-SA"/>
        </w:rPr>
      </w:pPr>
    </w:p>
    <w:p>
      <w:pPr>
        <w:pStyle w:val="2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leftChars="0" w:firstLine="0" w:firstLineChars="0"/>
        <w:textAlignment w:val="auto"/>
        <w:rPr>
          <w:rFonts w:hint="default" w:hAnsi="宋体" w:cs="宋体"/>
          <w:b w:val="0"/>
          <w:bCs w:val="0"/>
          <w:kern w:val="2"/>
          <w:sz w:val="21"/>
          <w:szCs w:val="21"/>
          <w:lang w:val="en-US" w:eastAsia="zh-CN" w:bidi="ar-SA"/>
        </w:rPr>
      </w:pPr>
    </w:p>
    <w:p>
      <w:pPr>
        <w:pStyle w:val="2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leftChars="0" w:firstLine="0" w:firstLineChars="0"/>
        <w:textAlignment w:val="auto"/>
        <w:rPr>
          <w:rFonts w:hint="default" w:hAnsi="宋体" w:cs="宋体"/>
          <w:b w:val="0"/>
          <w:bCs w:val="0"/>
          <w:kern w:val="2"/>
          <w:sz w:val="21"/>
          <w:szCs w:val="21"/>
          <w:lang w:val="en-US" w:eastAsia="zh-CN" w:bidi="ar-SA"/>
        </w:rPr>
      </w:pPr>
    </w:p>
    <w:p>
      <w:pPr>
        <w:pStyle w:val="2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leftChars="0" w:firstLine="0" w:firstLineChars="0"/>
        <w:textAlignment w:val="auto"/>
        <w:rPr>
          <w:rFonts w:hint="default" w:hAnsi="宋体" w:cs="宋体"/>
          <w:b w:val="0"/>
          <w:bCs w:val="0"/>
          <w:kern w:val="2"/>
          <w:sz w:val="21"/>
          <w:szCs w:val="21"/>
          <w:lang w:val="en-US" w:eastAsia="zh-CN" w:bidi="ar-SA"/>
        </w:rPr>
      </w:pPr>
    </w:p>
    <w:p>
      <w:pPr>
        <w:pStyle w:val="2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leftChars="0" w:firstLine="0" w:firstLineChars="0"/>
        <w:textAlignment w:val="auto"/>
        <w:rPr>
          <w:rFonts w:hint="default" w:hAnsi="宋体" w:cs="宋体"/>
          <w:b w:val="0"/>
          <w:bCs w:val="0"/>
          <w:kern w:val="2"/>
          <w:sz w:val="21"/>
          <w:szCs w:val="21"/>
          <w:lang w:val="en-US" w:eastAsia="zh-CN" w:bidi="ar-SA"/>
        </w:rPr>
      </w:pPr>
    </w:p>
    <w:p>
      <w:pPr>
        <w:pStyle w:val="2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leftChars="0" w:firstLine="0" w:firstLineChars="0"/>
        <w:textAlignment w:val="auto"/>
        <w:rPr>
          <w:rFonts w:hint="default" w:hAnsi="宋体" w:cs="宋体"/>
          <w:b w:val="0"/>
          <w:bCs w:val="0"/>
          <w:kern w:val="2"/>
          <w:sz w:val="21"/>
          <w:szCs w:val="21"/>
          <w:lang w:val="en-US" w:eastAsia="zh-CN" w:bidi="ar-SA"/>
        </w:rPr>
      </w:pPr>
    </w:p>
    <w:p>
      <w:pPr>
        <w:pStyle w:val="2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leftChars="0" w:firstLine="0" w:firstLineChars="0"/>
        <w:textAlignment w:val="auto"/>
        <w:rPr>
          <w:rFonts w:hint="default" w:hAnsi="宋体" w:cs="宋体"/>
          <w:b w:val="0"/>
          <w:bCs w:val="0"/>
          <w:kern w:val="2"/>
          <w:sz w:val="21"/>
          <w:szCs w:val="21"/>
          <w:lang w:val="en-US" w:eastAsia="zh-CN" w:bidi="ar-SA"/>
        </w:rPr>
      </w:pPr>
    </w:p>
    <w:p>
      <w:pPr>
        <w:pStyle w:val="2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leftChars="0" w:firstLine="0" w:firstLineChars="0"/>
        <w:textAlignment w:val="auto"/>
        <w:rPr>
          <w:rFonts w:hint="default" w:hAnsi="宋体" w:cs="宋体"/>
          <w:b w:val="0"/>
          <w:bCs w:val="0"/>
          <w:kern w:val="2"/>
          <w:sz w:val="21"/>
          <w:szCs w:val="21"/>
          <w:lang w:val="en-US" w:eastAsia="zh-CN" w:bidi="ar-SA"/>
        </w:rPr>
      </w:pPr>
    </w:p>
    <w:p>
      <w:pPr>
        <w:pStyle w:val="2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leftChars="0" w:firstLine="0" w:firstLineChars="0"/>
        <w:textAlignment w:val="auto"/>
        <w:rPr>
          <w:rFonts w:hint="default" w:hAnsi="宋体" w:cs="宋体"/>
          <w:b w:val="0"/>
          <w:bCs w:val="0"/>
          <w:kern w:val="2"/>
          <w:sz w:val="21"/>
          <w:szCs w:val="21"/>
          <w:lang w:val="en-US" w:eastAsia="zh-CN" w:bidi="ar-SA"/>
        </w:rPr>
      </w:pPr>
    </w:p>
    <w:p>
      <w:pPr>
        <w:pStyle w:val="2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leftChars="0" w:firstLine="0" w:firstLineChars="0"/>
        <w:textAlignment w:val="auto"/>
        <w:rPr>
          <w:rFonts w:hint="default" w:hAnsi="宋体" w:cs="宋体"/>
          <w:b w:val="0"/>
          <w:bCs w:val="0"/>
          <w:kern w:val="2"/>
          <w:sz w:val="21"/>
          <w:szCs w:val="21"/>
          <w:lang w:val="en-US" w:eastAsia="zh-CN" w:bidi="ar-SA"/>
        </w:rPr>
      </w:pPr>
    </w:p>
    <w:p>
      <w:pPr>
        <w:pStyle w:val="2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jc w:val="center"/>
        <w:textAlignment w:val="auto"/>
        <w:rPr>
          <w:rFonts w:hint="eastAsia" w:hAnsi="宋体" w:eastAsia="黑体" w:cs="宋体"/>
          <w:kern w:val="2"/>
          <w:szCs w:val="21"/>
          <w:lang w:val="en-US" w:eastAsia="zh-CN"/>
        </w:rPr>
      </w:pPr>
      <w:r>
        <w:rPr>
          <w:rFonts w:hint="eastAsia" w:hAnsi="宋体" w:eastAsia="黑体" w:cs="宋体"/>
          <w:kern w:val="2"/>
          <w:szCs w:val="21"/>
          <w:lang w:eastAsia="zh-CN"/>
        </w:rPr>
        <w:t>附录</w:t>
      </w:r>
      <w:r>
        <w:rPr>
          <w:rFonts w:hint="eastAsia" w:hAnsi="宋体" w:eastAsia="黑体" w:cs="宋体"/>
          <w:kern w:val="2"/>
          <w:szCs w:val="21"/>
          <w:lang w:val="en-US" w:eastAsia="zh-CN"/>
        </w:rPr>
        <w:t>A</w:t>
      </w:r>
    </w:p>
    <w:p>
      <w:pPr>
        <w:pStyle w:val="2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jc w:val="center"/>
        <w:textAlignment w:val="auto"/>
        <w:rPr>
          <w:rFonts w:hint="eastAsia" w:hAnsi="宋体" w:eastAsia="黑体" w:cs="宋体"/>
          <w:kern w:val="2"/>
          <w:szCs w:val="21"/>
          <w:lang w:val="en-US" w:eastAsia="zh-CN"/>
        </w:rPr>
      </w:pPr>
      <w:r>
        <w:rPr>
          <w:rFonts w:hint="eastAsia" w:hAnsi="宋体" w:eastAsia="黑体" w:cs="宋体"/>
          <w:kern w:val="2"/>
          <w:szCs w:val="21"/>
          <w:lang w:val="en-US" w:eastAsia="zh-CN"/>
        </w:rPr>
        <w:t>（资料性附录）</w:t>
      </w:r>
    </w:p>
    <w:p>
      <w:pPr>
        <w:pStyle w:val="22"/>
        <w:spacing w:before="156" w:beforeLines="50" w:after="156" w:afterLines="50"/>
        <w:jc w:val="left"/>
        <w:rPr>
          <w:rFonts w:hint="eastAsia" w:ascii="宋体" w:hAnsi="宋体" w:eastAsia="宋体" w:cs="宋体"/>
          <w:kern w:val="2"/>
          <w:szCs w:val="21"/>
          <w:lang w:val="en-US" w:eastAsia="zh-CN"/>
        </w:rPr>
      </w:pPr>
      <w:r>
        <w:rPr>
          <w:rFonts w:hint="eastAsia" w:ascii="宋体" w:hAnsi="宋体" w:eastAsia="宋体" w:cs="宋体"/>
          <w:kern w:val="2"/>
          <w:szCs w:val="21"/>
        </w:rPr>
        <w:t>卷材不同厚度折算成标准厚度参考系数</w:t>
      </w:r>
      <w:r>
        <w:rPr>
          <w:rFonts w:hint="eastAsia" w:ascii="宋体" w:hAnsi="宋体" w:eastAsia="宋体" w:cs="宋体"/>
          <w:kern w:val="2"/>
          <w:szCs w:val="21"/>
          <w:lang w:eastAsia="zh-CN"/>
        </w:rPr>
        <w:t>见表</w:t>
      </w:r>
      <w:r>
        <w:rPr>
          <w:rFonts w:hint="eastAsia" w:ascii="宋体" w:hAnsi="宋体" w:eastAsia="宋体" w:cs="宋体"/>
          <w:kern w:val="2"/>
          <w:szCs w:val="21"/>
          <w:lang w:val="en-US" w:eastAsia="zh-CN"/>
        </w:rPr>
        <w:t>A.1</w:t>
      </w:r>
      <w:r>
        <w:rPr>
          <w:rFonts w:hint="eastAsia" w:hAnsi="宋体" w:cs="宋体"/>
          <w:kern w:val="2"/>
          <w:szCs w:val="21"/>
          <w:lang w:val="en-US" w:eastAsia="zh-CN"/>
        </w:rPr>
        <w:t>。</w:t>
      </w:r>
    </w:p>
    <w:p>
      <w:pPr>
        <w:pStyle w:val="22"/>
        <w:spacing w:before="156" w:beforeLines="50" w:after="156" w:afterLines="50"/>
        <w:jc w:val="center"/>
        <w:rPr>
          <w:rFonts w:hint="default" w:hAnsi="宋体" w:eastAsia="黑体" w:cs="宋体"/>
          <w:kern w:val="2"/>
          <w:szCs w:val="21"/>
          <w:lang w:val="en-US" w:eastAsia="zh-CN"/>
        </w:rPr>
      </w:pPr>
      <w:r>
        <w:rPr>
          <w:rFonts w:hint="eastAsia" w:hAnsi="宋体" w:eastAsia="黑体" w:cs="宋体"/>
          <w:kern w:val="2"/>
          <w:szCs w:val="21"/>
          <w:lang w:val="en-US" w:eastAsia="zh-CN"/>
        </w:rPr>
        <w:t>表A.1  卷材不同厚度折算成标准厚度参考系数</w:t>
      </w:r>
    </w:p>
    <w:tbl>
      <w:tblPr>
        <w:tblStyle w:val="30"/>
        <w:tblW w:w="9372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639"/>
        <w:gridCol w:w="930"/>
        <w:gridCol w:w="1530"/>
        <w:gridCol w:w="1515"/>
        <w:gridCol w:w="3758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7" w:hRule="exact"/>
          <w:jc w:val="center"/>
        </w:trPr>
        <w:tc>
          <w:tcPr>
            <w:tcW w:w="9372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43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  <w:t>弹性体（SBS）改性沥青防水卷材、塑性体（APP）改性沥青防水卷材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7" w:hRule="exact"/>
          <w:jc w:val="center"/>
        </w:trPr>
        <w:tc>
          <w:tcPr>
            <w:tcW w:w="1639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43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  <w:t>标准产品规格</w:t>
            </w:r>
          </w:p>
        </w:tc>
        <w:tc>
          <w:tcPr>
            <w:tcW w:w="3975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43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  <w:t>折算产品规格</w:t>
            </w:r>
          </w:p>
        </w:tc>
        <w:tc>
          <w:tcPr>
            <w:tcW w:w="375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43"/>
              <w:tabs>
                <w:tab w:val="left" w:leader="underscore" w:pos="3210"/>
              </w:tabs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  <w:t>折算系数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7" w:hRule="exact"/>
          <w:jc w:val="center"/>
        </w:trPr>
        <w:tc>
          <w:tcPr>
            <w:tcW w:w="1639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43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  <w:t>胎体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43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  <w:t>厚度/mm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43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  <w:t>上表面材料</w:t>
            </w:r>
          </w:p>
        </w:tc>
        <w:tc>
          <w:tcPr>
            <w:tcW w:w="375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7" w:hRule="exact"/>
          <w:jc w:val="center"/>
        </w:trPr>
        <w:tc>
          <w:tcPr>
            <w:tcW w:w="1639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43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  <w:t>以3.0 mm计</w:t>
            </w:r>
          </w:p>
        </w:tc>
        <w:tc>
          <w:tcPr>
            <w:tcW w:w="930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43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  <w:t>PY、G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43"/>
              <w:spacing w:before="80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  <w:t>3.0</w:t>
            </w:r>
          </w:p>
        </w:tc>
        <w:tc>
          <w:tcPr>
            <w:tcW w:w="1515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43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  <w:t>PE、S、M</w:t>
            </w:r>
          </w:p>
        </w:tc>
        <w:tc>
          <w:tcPr>
            <w:tcW w:w="375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43"/>
              <w:tabs>
                <w:tab w:val="left" w:leader="underscore" w:pos="3570"/>
                <w:tab w:val="left" w:leader="underscore" w:pos="7605"/>
              </w:tabs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  <w:t>1.00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7" w:hRule="exact"/>
          <w:jc w:val="center"/>
        </w:trPr>
        <w:tc>
          <w:tcPr>
            <w:tcW w:w="1639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30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43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  <w:t>4.0</w:t>
            </w:r>
          </w:p>
        </w:tc>
        <w:tc>
          <w:tcPr>
            <w:tcW w:w="1515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75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43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  <w:t>1.33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7" w:hRule="exact"/>
          <w:jc w:val="center"/>
        </w:trPr>
        <w:tc>
          <w:tcPr>
            <w:tcW w:w="1639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30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43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  <w:t>5.0</w:t>
            </w:r>
          </w:p>
        </w:tc>
        <w:tc>
          <w:tcPr>
            <w:tcW w:w="1515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75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43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  <w:t>1.67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7" w:hRule="exact"/>
          <w:jc w:val="center"/>
        </w:trPr>
        <w:tc>
          <w:tcPr>
            <w:tcW w:w="9372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43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  <w:t>自粘聚合物改性沥青防水卷材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7" w:hRule="exact"/>
          <w:jc w:val="center"/>
        </w:trPr>
        <w:tc>
          <w:tcPr>
            <w:tcW w:w="1639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43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  <w:t>标准产品规格</w:t>
            </w:r>
          </w:p>
        </w:tc>
        <w:tc>
          <w:tcPr>
            <w:tcW w:w="3975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43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  <w:t>折算产品规格</w:t>
            </w:r>
          </w:p>
        </w:tc>
        <w:tc>
          <w:tcPr>
            <w:tcW w:w="375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43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  <w:t>折算系数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7" w:hRule="exact"/>
          <w:jc w:val="center"/>
        </w:trPr>
        <w:tc>
          <w:tcPr>
            <w:tcW w:w="1639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43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  <w:t>胎体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43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  <w:t>厚度/mm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43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  <w:t>上表面材料</w:t>
            </w:r>
          </w:p>
        </w:tc>
        <w:tc>
          <w:tcPr>
            <w:tcW w:w="375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7" w:hRule="exact"/>
          <w:jc w:val="center"/>
        </w:trPr>
        <w:tc>
          <w:tcPr>
            <w:tcW w:w="1639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43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  <w:t>以1.5 mm计</w:t>
            </w:r>
          </w:p>
        </w:tc>
        <w:tc>
          <w:tcPr>
            <w:tcW w:w="930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43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  <w:t>N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43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  <w:t>1.2</w:t>
            </w:r>
          </w:p>
        </w:tc>
        <w:tc>
          <w:tcPr>
            <w:tcW w:w="1515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43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  <w:t>PE、PET、D</w:t>
            </w:r>
          </w:p>
        </w:tc>
        <w:tc>
          <w:tcPr>
            <w:tcW w:w="375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43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  <w:t>0.80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7" w:hRule="exact"/>
          <w:jc w:val="center"/>
        </w:trPr>
        <w:tc>
          <w:tcPr>
            <w:tcW w:w="1639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30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43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  <w:t>1.5</w:t>
            </w:r>
          </w:p>
        </w:tc>
        <w:tc>
          <w:tcPr>
            <w:tcW w:w="1515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75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43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  <w:t>1.00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7" w:hRule="exact"/>
          <w:jc w:val="center"/>
        </w:trPr>
        <w:tc>
          <w:tcPr>
            <w:tcW w:w="1639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30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43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  <w:t>2.0</w:t>
            </w:r>
          </w:p>
        </w:tc>
        <w:tc>
          <w:tcPr>
            <w:tcW w:w="1515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75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43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  <w:t>1.33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7" w:hRule="exact"/>
          <w:jc w:val="center"/>
        </w:trPr>
        <w:tc>
          <w:tcPr>
            <w:tcW w:w="1639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43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  <w:t>以3.0 mm计</w:t>
            </w:r>
          </w:p>
        </w:tc>
        <w:tc>
          <w:tcPr>
            <w:tcW w:w="930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43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  <w:t>PY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43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  <w:t>2.0</w:t>
            </w:r>
          </w:p>
        </w:tc>
        <w:tc>
          <w:tcPr>
            <w:tcW w:w="1515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43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  <w:t>PE、S、D</w:t>
            </w:r>
          </w:p>
        </w:tc>
        <w:tc>
          <w:tcPr>
            <w:tcW w:w="375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43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  <w:t>0.67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7" w:hRule="exact"/>
          <w:jc w:val="center"/>
        </w:trPr>
        <w:tc>
          <w:tcPr>
            <w:tcW w:w="1639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30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43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  <w:t>3.0</w:t>
            </w:r>
          </w:p>
        </w:tc>
        <w:tc>
          <w:tcPr>
            <w:tcW w:w="1515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75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43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  <w:t>1.00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7" w:hRule="exact"/>
          <w:jc w:val="center"/>
        </w:trPr>
        <w:tc>
          <w:tcPr>
            <w:tcW w:w="1639" w:type="dxa"/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30" w:type="dxa"/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43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  <w:t>4.0</w:t>
            </w:r>
          </w:p>
        </w:tc>
        <w:tc>
          <w:tcPr>
            <w:tcW w:w="1515" w:type="dxa"/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43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  <w:t>1.33</w:t>
            </w:r>
          </w:p>
        </w:tc>
      </w:tr>
    </w:tbl>
    <w:p>
      <w:pPr>
        <w:pStyle w:val="22"/>
        <w:rPr>
          <w:rFonts w:hAnsi="宋体" w:cs="宋体"/>
          <w:kern w:val="2"/>
          <w:szCs w:val="21"/>
        </w:rPr>
      </w:pPr>
    </w:p>
    <w:p>
      <w:pPr>
        <w:pStyle w:val="22"/>
        <w:rPr>
          <w:rFonts w:hAnsi="宋体" w:cs="宋体"/>
          <w:kern w:val="2"/>
          <w:szCs w:val="21"/>
        </w:rPr>
      </w:pPr>
    </w:p>
    <w:p>
      <w:pPr>
        <w:pStyle w:val="22"/>
        <w:rPr>
          <w:rFonts w:hAnsi="宋体" w:cs="宋体"/>
          <w:kern w:val="2"/>
          <w:szCs w:val="21"/>
        </w:rPr>
      </w:pPr>
    </w:p>
    <w:p>
      <w:pPr>
        <w:pStyle w:val="72"/>
        <w:framePr/>
      </w:pPr>
      <w:r>
        <w:t>_________________________________</w:t>
      </w:r>
    </w:p>
    <w:sectPr>
      <w:pgSz w:w="11906" w:h="16838"/>
      <w:pgMar w:top="567" w:right="1134" w:bottom="1134" w:left="1418" w:header="1418" w:footer="1134" w:gutter="0"/>
      <w:pgNumType w:start="1"/>
      <w:cols w:space="720" w:num="1"/>
      <w:formProt w:val="0"/>
      <w:docGrid w:type="lines" w:linePitch="312" w:charSpace="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roman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MingLiU">
    <w:altName w:val="方正书宋_GBK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Batang">
    <w:altName w:val="方正书宋_GBK"/>
    <w:panose1 w:val="02030600000101010101"/>
    <w:charset w:val="81"/>
    <w:family w:val="roman"/>
    <w:pitch w:val="default"/>
    <w:sig w:usb0="00000000" w:usb1="00000000" w:usb2="00000030" w:usb3="00000000" w:csb0="4008009F" w:csb1="DFD70000"/>
  </w:font>
  <w:font w:name="MS Mincho">
    <w:altName w:val="方正书宋_GBK"/>
    <w:panose1 w:val="02020609040205080304"/>
    <w:charset w:val="80"/>
    <w:family w:val="modern"/>
    <w:pitch w:val="default"/>
    <w:sig w:usb0="00000000" w:usb1="00000000" w:usb2="00000012" w:usb3="00000000" w:csb0="4002009F" w:csb1="DFD70000"/>
  </w:font>
  <w:font w:name="Cambria Math">
    <w:altName w:val="DejaVu Math TeX Gyre"/>
    <w:panose1 w:val="02040503050406030204"/>
    <w:charset w:val="00"/>
    <w:family w:val="roman"/>
    <w:pitch w:val="default"/>
    <w:sig w:usb0="00000000" w:usb1="00000000" w:usb2="00000000" w:usb3="00000000" w:csb0="2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4"/>
    </w:pPr>
    <w:r>
      <w:fldChar w:fldCharType="begin"/>
    </w:r>
    <w:r>
      <w:instrText xml:space="preserve"> PAGE  \* MERGEFORMAT </w:instrText>
    </w:r>
    <w:r>
      <w:fldChar w:fldCharType="separate"/>
    </w:r>
    <w:r>
      <w:t>3</w:t>
    </w:r>
    <w: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1"/>
    </w:pPr>
    <w:r>
      <w:t>DB13/ XXXXX—XXXX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9102AD"/>
    <w:multiLevelType w:val="multilevel"/>
    <w:tmpl w:val="079102AD"/>
    <w:lvl w:ilvl="0" w:tentative="0">
      <w:start w:val="1"/>
      <w:numFmt w:val="decimal"/>
      <w:pStyle w:val="95"/>
      <w:suff w:val="nothing"/>
      <w:lvlText w:val="注%1："/>
      <w:lvlJc w:val="left"/>
      <w:pPr>
        <w:ind w:left="811" w:hanging="448"/>
      </w:pPr>
      <w:rPr>
        <w:rFonts w:hint="eastAsia" w:ascii="黑体" w:eastAsia="黑体"/>
        <w:b w:val="0"/>
        <w:i w:val="0"/>
        <w:sz w:val="18"/>
        <w:lang w:val="en-US"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992" w:hanging="629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992" w:hanging="629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992" w:hanging="629"/>
      </w:pPr>
      <w:rPr>
        <w:rFonts w:hint="eastAsia"/>
      </w:rPr>
    </w:lvl>
  </w:abstractNum>
  <w:abstractNum w:abstractNumId="1">
    <w:nsid w:val="093C6778"/>
    <w:multiLevelType w:val="multilevel"/>
    <w:tmpl w:val="093C6778"/>
    <w:lvl w:ilvl="0" w:tentative="0">
      <w:start w:val="1"/>
      <w:numFmt w:val="decimal"/>
      <w:pStyle w:val="45"/>
      <w:suff w:val="nothing"/>
      <w:lvlText w:val="示例%1："/>
      <w:lvlJc w:val="left"/>
      <w:pPr>
        <w:ind w:left="0" w:firstLine="397"/>
      </w:pPr>
      <w:rPr>
        <w:rFonts w:hint="eastAsia" w:ascii="黑体" w:eastAsia="黑体"/>
        <w:sz w:val="18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0AE367E9"/>
    <w:multiLevelType w:val="multilevel"/>
    <w:tmpl w:val="0AE367E9"/>
    <w:lvl w:ilvl="0" w:tentative="0">
      <w:start w:val="1"/>
      <w:numFmt w:val="none"/>
      <w:pStyle w:val="56"/>
      <w:suff w:val="nothing"/>
      <w:lvlText w:val="%1示例："/>
      <w:lvlJc w:val="left"/>
      <w:pPr>
        <w:ind w:left="0" w:firstLine="363"/>
      </w:pPr>
      <w:rPr>
        <w:rFonts w:hint="eastAsia" w:ascii="黑体" w:eastAsia="黑体"/>
        <w:b w:val="0"/>
        <w:i w:val="0"/>
        <w:sz w:val="18"/>
        <w:szCs w:val="18"/>
      </w:rPr>
    </w:lvl>
    <w:lvl w:ilvl="1" w:tentative="0">
      <w:start w:val="1"/>
      <w:numFmt w:val="lowerLetter"/>
      <w:lvlText w:val="%2)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363"/>
        </w:tabs>
        <w:ind w:left="0" w:firstLine="363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363"/>
        </w:tabs>
        <w:ind w:left="0" w:firstLine="363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63"/>
        </w:tabs>
        <w:ind w:left="0" w:firstLine="363"/>
      </w:pPr>
      <w:rPr>
        <w:rFonts w:hint="eastAsia"/>
      </w:rPr>
    </w:lvl>
  </w:abstractNum>
  <w:abstractNum w:abstractNumId="3">
    <w:nsid w:val="0D983844"/>
    <w:multiLevelType w:val="multilevel"/>
    <w:tmpl w:val="0D983844"/>
    <w:lvl w:ilvl="0" w:tentative="0">
      <w:start w:val="1"/>
      <w:numFmt w:val="decimal"/>
      <w:pStyle w:val="68"/>
      <w:suff w:val="nothing"/>
      <w:lvlText w:val="图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1" w:tentative="0">
      <w:start w:val="1"/>
      <w:numFmt w:val="decimal"/>
      <w:suff w:val="nothing"/>
      <w:lvlText w:val="%1%2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2" w:tentative="0">
      <w:start w:val="1"/>
      <w:numFmt w:val="decimal"/>
      <w:suff w:val="nothing"/>
      <w:lvlText w:val="%1%2.%3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%2.%3.%4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%2.%3.%4.%5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4">
    <w:nsid w:val="0DDE2B46"/>
    <w:multiLevelType w:val="multilevel"/>
    <w:tmpl w:val="0DDE2B46"/>
    <w:lvl w:ilvl="0" w:tentative="0">
      <w:start w:val="1"/>
      <w:numFmt w:val="lowerLetter"/>
      <w:pStyle w:val="130"/>
      <w:suff w:val="nothing"/>
      <w:lvlText w:val="%1   "/>
      <w:lvlJc w:val="left"/>
      <w:pPr>
        <w:ind w:left="544" w:hanging="181"/>
      </w:pPr>
      <w:rPr>
        <w:rFonts w:hint="eastAsia" w:ascii="宋体" w:eastAsia="宋体"/>
        <w:b w:val="0"/>
        <w:i w:val="0"/>
        <w:sz w:val="18"/>
        <w:vertAlign w:val="superscript"/>
      </w:rPr>
    </w:lvl>
    <w:lvl w:ilvl="1" w:tentative="0">
      <w:start w:val="1"/>
      <w:numFmt w:val="lowerLetter"/>
      <w:lvlText w:val="%2"/>
      <w:lvlJc w:val="left"/>
      <w:pPr>
        <w:tabs>
          <w:tab w:val="left" w:pos="57"/>
        </w:tabs>
        <w:ind w:left="363" w:hanging="363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57"/>
        </w:tabs>
        <w:ind w:left="363" w:hanging="363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57"/>
        </w:tabs>
        <w:ind w:left="363" w:hanging="363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57"/>
        </w:tabs>
        <w:ind w:left="363" w:hanging="363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57"/>
        </w:tabs>
        <w:ind w:left="363" w:hanging="363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57"/>
        </w:tabs>
        <w:ind w:left="363" w:hanging="363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57"/>
        </w:tabs>
        <w:ind w:left="363" w:hanging="363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57"/>
        </w:tabs>
        <w:ind w:left="363" w:hanging="363"/>
      </w:pPr>
      <w:rPr>
        <w:rFonts w:hint="eastAsia"/>
      </w:rPr>
    </w:lvl>
  </w:abstractNum>
  <w:abstractNum w:abstractNumId="5">
    <w:nsid w:val="1DBF583A"/>
    <w:multiLevelType w:val="multilevel"/>
    <w:tmpl w:val="1DBF583A"/>
    <w:lvl w:ilvl="0" w:tentative="0">
      <w:start w:val="1"/>
      <w:numFmt w:val="decimal"/>
      <w:pStyle w:val="88"/>
      <w:suff w:val="nothing"/>
      <w:lvlText w:val="注%1："/>
      <w:lvlJc w:val="left"/>
      <w:pPr>
        <w:ind w:left="811" w:hanging="448"/>
      </w:pPr>
      <w:rPr>
        <w:rFonts w:hint="eastAsia" w:ascii="黑体" w:eastAsia="黑体"/>
        <w:b w:val="0"/>
        <w:i w:val="0"/>
        <w:sz w:val="18"/>
        <w:szCs w:val="18"/>
        <w:vertAlign w:val="baseline"/>
      </w:rPr>
    </w:lvl>
    <w:lvl w:ilvl="1" w:tentative="0">
      <w:start w:val="1"/>
      <w:numFmt w:val="lowerLetter"/>
      <w:lvlText w:val="%2)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2" w:tentative="0">
      <w:start w:val="1"/>
      <w:numFmt w:val="lowerRoman"/>
      <w:lvlText w:val="%3."/>
      <w:lvlJc w:val="righ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3" w:tentative="0">
      <w:start w:val="1"/>
      <w:numFmt w:val="decimal"/>
      <w:lvlText w:val="%4.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4" w:tentative="0">
      <w:start w:val="1"/>
      <w:numFmt w:val="lowerLetter"/>
      <w:lvlText w:val="%5)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5" w:tentative="0">
      <w:start w:val="1"/>
      <w:numFmt w:val="lowerRoman"/>
      <w:lvlText w:val="%6."/>
      <w:lvlJc w:val="righ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6" w:tentative="0">
      <w:start w:val="1"/>
      <w:numFmt w:val="decimal"/>
      <w:lvlText w:val="%7.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7" w:tentative="0">
      <w:start w:val="1"/>
      <w:numFmt w:val="lowerLetter"/>
      <w:lvlText w:val="%8)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8" w:tentative="0">
      <w:start w:val="1"/>
      <w:numFmt w:val="lowerRoman"/>
      <w:lvlText w:val="%9."/>
      <w:lvlJc w:val="righ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</w:abstractNum>
  <w:abstractNum w:abstractNumId="6">
    <w:nsid w:val="1FC91163"/>
    <w:multiLevelType w:val="multilevel"/>
    <w:tmpl w:val="1FC91163"/>
    <w:lvl w:ilvl="0" w:tentative="0">
      <w:start w:val="1"/>
      <w:numFmt w:val="decimal"/>
      <w:pStyle w:val="55"/>
      <w:suff w:val="nothing"/>
      <w:lvlText w:val="%1　"/>
      <w:lvlJc w:val="left"/>
      <w:pPr>
        <w:ind w:left="284" w:firstLine="0"/>
      </w:pPr>
      <w:rPr>
        <w:rFonts w:hint="eastAsia" w:ascii="黑体" w:hAnsi="Times New Roman" w:eastAsia="黑体"/>
        <w:b/>
        <w:bCs w:val="0"/>
        <w:i w:val="0"/>
        <w:sz w:val="21"/>
        <w:szCs w:val="21"/>
      </w:rPr>
    </w:lvl>
    <w:lvl w:ilvl="1" w:tentative="0">
      <w:start w:val="1"/>
      <w:numFmt w:val="decimal"/>
      <w:pStyle w:val="63"/>
      <w:suff w:val="nothing"/>
      <w:lvlText w:val="%1.%2　"/>
      <w:lvlJc w:val="left"/>
      <w:pPr>
        <w:ind w:left="0" w:firstLine="0"/>
      </w:pPr>
      <w:rPr>
        <w:rFonts w:hint="eastAsia" w:ascii="黑体" w:hAnsi="Times New Roman" w:eastAsia="黑体" w:cs="Times New Roman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21"/>
        <w:szCs w:val="21"/>
        <w:u w:val="none"/>
        <w:vertAlign w:val="baseline"/>
      </w:rPr>
    </w:lvl>
    <w:lvl w:ilvl="2" w:tentative="0">
      <w:start w:val="1"/>
      <w:numFmt w:val="decimal"/>
      <w:pStyle w:val="62"/>
      <w:suff w:val="nothing"/>
      <w:lvlText w:val="%1.%2.%3　"/>
      <w:lvlJc w:val="left"/>
      <w:pPr>
        <w:ind w:left="567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pStyle w:val="60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pStyle w:val="59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7">
    <w:nsid w:val="22827D5B"/>
    <w:multiLevelType w:val="multilevel"/>
    <w:tmpl w:val="22827D5B"/>
    <w:lvl w:ilvl="0" w:tentative="0">
      <w:start w:val="1"/>
      <w:numFmt w:val="none"/>
      <w:pStyle w:val="94"/>
      <w:suff w:val="nothing"/>
      <w:lvlText w:val="%1注："/>
      <w:lvlJc w:val="left"/>
      <w:pPr>
        <w:ind w:left="726" w:hanging="363"/>
      </w:pPr>
      <w:rPr>
        <w:rFonts w:hint="eastAsia" w:ascii="黑体" w:hAnsi="Times New Roman" w:eastAsia="黑体"/>
        <w:b w:val="0"/>
        <w:i w:val="0"/>
        <w:sz w:val="18"/>
      </w:rPr>
    </w:lvl>
    <w:lvl w:ilvl="1" w:tentative="0">
      <w:start w:val="1"/>
      <w:numFmt w:val="lowerLetter"/>
      <w:lvlText w:val="%2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1140"/>
        </w:tabs>
        <w:ind w:left="726" w:hanging="363"/>
      </w:pPr>
      <w:rPr>
        <w:rFonts w:hint="eastAsia"/>
      </w:rPr>
    </w:lvl>
  </w:abstractNum>
  <w:abstractNum w:abstractNumId="8">
    <w:nsid w:val="2A8F7113"/>
    <w:multiLevelType w:val="multilevel"/>
    <w:tmpl w:val="2A8F7113"/>
    <w:lvl w:ilvl="0" w:tentative="0">
      <w:start w:val="1"/>
      <w:numFmt w:val="upperLetter"/>
      <w:pStyle w:val="104"/>
      <w:suff w:val="space"/>
      <w:lvlText w:val="%1"/>
      <w:lvlJc w:val="left"/>
      <w:pPr>
        <w:ind w:left="623" w:hanging="425"/>
      </w:pPr>
      <w:rPr>
        <w:rFonts w:hint="eastAsia"/>
      </w:rPr>
    </w:lvl>
    <w:lvl w:ilvl="1" w:tentative="0">
      <w:start w:val="1"/>
      <w:numFmt w:val="decimal"/>
      <w:pStyle w:val="87"/>
      <w:suff w:val="nothing"/>
      <w:lvlText w:val="图%1.%2　"/>
      <w:lvlJc w:val="left"/>
      <w:pPr>
        <w:ind w:left="1190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1616"/>
        </w:tabs>
        <w:ind w:left="1616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2914"/>
        </w:tabs>
        <w:ind w:left="2182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3699"/>
        </w:tabs>
        <w:ind w:left="2749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4484"/>
        </w:tabs>
        <w:ind w:left="3458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5269"/>
        </w:tabs>
        <w:ind w:left="4025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6054"/>
        </w:tabs>
        <w:ind w:left="4592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6840"/>
        </w:tabs>
        <w:ind w:left="5300" w:hanging="1700"/>
      </w:pPr>
      <w:rPr>
        <w:rFonts w:hint="eastAsia"/>
      </w:rPr>
    </w:lvl>
  </w:abstractNum>
  <w:abstractNum w:abstractNumId="9">
    <w:nsid w:val="2C5917C3"/>
    <w:multiLevelType w:val="multilevel"/>
    <w:tmpl w:val="2C5917C3"/>
    <w:lvl w:ilvl="0" w:tentative="0">
      <w:start w:val="1"/>
      <w:numFmt w:val="none"/>
      <w:pStyle w:val="96"/>
      <w:suff w:val="nothing"/>
      <w:lvlText w:val="%1——"/>
      <w:lvlJc w:val="left"/>
      <w:pPr>
        <w:ind w:left="833" w:hanging="408"/>
      </w:pPr>
      <w:rPr>
        <w:rFonts w:hint="eastAsia"/>
      </w:rPr>
    </w:lvl>
    <w:lvl w:ilvl="1" w:tentative="0">
      <w:start w:val="1"/>
      <w:numFmt w:val="bullet"/>
      <w:pStyle w:val="100"/>
      <w:lvlText w:val=""/>
      <w:lvlJc w:val="left"/>
      <w:pPr>
        <w:tabs>
          <w:tab w:val="left" w:pos="760"/>
        </w:tabs>
        <w:ind w:left="1264" w:hanging="413"/>
      </w:pPr>
      <w:rPr>
        <w:rFonts w:hint="default" w:ascii="Symbol" w:hAnsi="Symbol"/>
        <w:color w:val="auto"/>
      </w:rPr>
    </w:lvl>
    <w:lvl w:ilvl="2" w:tentative="0">
      <w:start w:val="1"/>
      <w:numFmt w:val="bullet"/>
      <w:pStyle w:val="99"/>
      <w:lvlText w:val=""/>
      <w:lvlJc w:val="left"/>
      <w:pPr>
        <w:tabs>
          <w:tab w:val="left" w:pos="1678"/>
        </w:tabs>
        <w:ind w:left="1678" w:hanging="414"/>
      </w:pPr>
      <w:rPr>
        <w:rFonts w:hint="default" w:ascii="Symbol" w:hAnsi="Symbol"/>
        <w:color w:val="auto"/>
      </w:rPr>
    </w:lvl>
    <w:lvl w:ilvl="3" w:tentative="0">
      <w:start w:val="1"/>
      <w:numFmt w:val="decimal"/>
      <w:lvlText w:val="%4."/>
      <w:lvlJc w:val="left"/>
      <w:pPr>
        <w:tabs>
          <w:tab w:val="left" w:pos="2071"/>
        </w:tabs>
        <w:ind w:left="1884" w:hanging="528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2383"/>
        </w:tabs>
        <w:ind w:left="2196" w:hanging="528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2695"/>
        </w:tabs>
        <w:ind w:left="2508" w:hanging="528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3007"/>
        </w:tabs>
        <w:ind w:left="2820" w:hanging="528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3319"/>
        </w:tabs>
        <w:ind w:left="3132" w:hanging="528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631"/>
        </w:tabs>
        <w:ind w:left="3444" w:hanging="528"/>
      </w:pPr>
      <w:rPr>
        <w:rFonts w:hint="eastAsia"/>
      </w:rPr>
    </w:lvl>
  </w:abstractNum>
  <w:abstractNum w:abstractNumId="10">
    <w:nsid w:val="3D733618"/>
    <w:multiLevelType w:val="multilevel"/>
    <w:tmpl w:val="3D733618"/>
    <w:lvl w:ilvl="0" w:tentative="0">
      <w:start w:val="1"/>
      <w:numFmt w:val="decimal"/>
      <w:pStyle w:val="23"/>
      <w:lvlText w:val="%1)"/>
      <w:lvlJc w:val="left"/>
      <w:pPr>
        <w:tabs>
          <w:tab w:val="left" w:pos="0"/>
        </w:tabs>
        <w:ind w:left="720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504"/>
        </w:tabs>
        <w:ind w:left="544" w:hanging="544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532"/>
        </w:tabs>
        <w:ind w:left="544" w:hanging="544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560"/>
        </w:tabs>
        <w:ind w:left="544" w:hanging="544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588"/>
        </w:tabs>
        <w:ind w:left="544" w:hanging="544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616"/>
        </w:tabs>
        <w:ind w:left="544" w:hanging="544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644"/>
        </w:tabs>
        <w:ind w:left="544" w:hanging="544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672"/>
        </w:tabs>
        <w:ind w:left="544" w:hanging="544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700"/>
        </w:tabs>
        <w:ind w:left="544" w:hanging="544"/>
      </w:pPr>
      <w:rPr>
        <w:rFonts w:hint="eastAsia"/>
      </w:rPr>
    </w:lvl>
  </w:abstractNum>
  <w:abstractNum w:abstractNumId="11">
    <w:nsid w:val="44C50F90"/>
    <w:multiLevelType w:val="multilevel"/>
    <w:tmpl w:val="44C50F90"/>
    <w:lvl w:ilvl="0" w:tentative="0">
      <w:start w:val="1"/>
      <w:numFmt w:val="lowerLetter"/>
      <w:pStyle w:val="70"/>
      <w:lvlText w:val="%1)"/>
      <w:lvlJc w:val="left"/>
      <w:pPr>
        <w:tabs>
          <w:tab w:val="left" w:pos="840"/>
        </w:tabs>
        <w:ind w:left="839" w:hanging="419"/>
      </w:pPr>
      <w:rPr>
        <w:rFonts w:hint="eastAsia" w:ascii="宋体" w:eastAsia="宋体"/>
        <w:b w:val="0"/>
        <w:i w:val="0"/>
        <w:sz w:val="21"/>
        <w:szCs w:val="21"/>
      </w:rPr>
    </w:lvl>
    <w:lvl w:ilvl="1" w:tentative="0">
      <w:start w:val="1"/>
      <w:numFmt w:val="decimal"/>
      <w:pStyle w:val="89"/>
      <w:lvlText w:val="%2)"/>
      <w:lvlJc w:val="left"/>
      <w:pPr>
        <w:tabs>
          <w:tab w:val="left" w:pos="1260"/>
        </w:tabs>
        <w:ind w:left="1259" w:hanging="419"/>
      </w:pPr>
      <w:rPr>
        <w:rFonts w:hint="eastAsia"/>
      </w:rPr>
    </w:lvl>
    <w:lvl w:ilvl="2" w:tentative="0">
      <w:start w:val="1"/>
      <w:numFmt w:val="decimal"/>
      <w:lvlText w:val="(%3)"/>
      <w:lvlJc w:val="left"/>
      <w:pPr>
        <w:tabs>
          <w:tab w:val="left" w:pos="0"/>
        </w:tabs>
        <w:ind w:left="1679" w:hanging="420"/>
      </w:pPr>
      <w:rPr>
        <w:rFonts w:hint="eastAsia" w:ascii="宋体" w:eastAsia="宋体"/>
        <w:b w:val="0"/>
        <w:i w:val="0"/>
        <w:sz w:val="21"/>
        <w:szCs w:val="21"/>
      </w:r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099" w:hanging="419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19" w:hanging="419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39" w:hanging="419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59" w:hanging="419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79" w:hanging="419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199" w:hanging="419"/>
      </w:pPr>
      <w:rPr>
        <w:rFonts w:hint="eastAsia"/>
      </w:rPr>
    </w:lvl>
  </w:abstractNum>
  <w:abstractNum w:abstractNumId="12">
    <w:nsid w:val="4B733A5F"/>
    <w:multiLevelType w:val="multilevel"/>
    <w:tmpl w:val="4B733A5F"/>
    <w:lvl w:ilvl="0" w:tentative="0">
      <w:start w:val="1"/>
      <w:numFmt w:val="decimal"/>
      <w:pStyle w:val="54"/>
      <w:suff w:val="nothing"/>
      <w:lvlText w:val="示例%1："/>
      <w:lvlJc w:val="left"/>
      <w:pPr>
        <w:ind w:left="0" w:firstLine="363"/>
      </w:pPr>
      <w:rPr>
        <w:rFonts w:hint="eastAsia" w:ascii="黑体" w:hAnsi="Times New Roman" w:eastAsia="黑体"/>
        <w:b w:val="0"/>
        <w:i w:val="0"/>
        <w:sz w:val="18"/>
        <w:szCs w:val="18"/>
        <w:vertAlign w:val="baseline"/>
      </w:rPr>
    </w:lvl>
    <w:lvl w:ilvl="1" w:tentative="0">
      <w:start w:val="1"/>
      <w:numFmt w:val="none"/>
      <w:suff w:val="space"/>
      <w:lvlText w:val=""/>
      <w:lvlJc w:val="left"/>
      <w:pPr>
        <w:ind w:left="0" w:firstLine="0"/>
      </w:pPr>
      <w:rPr>
        <w:rFonts w:hint="eastAsia"/>
        <w:vertAlign w:val="baseline"/>
      </w:rPr>
    </w:lvl>
    <w:lvl w:ilvl="2" w:tentative="0">
      <w:start w:val="1"/>
      <w:numFmt w:val="decimal"/>
      <w:suff w:val="space"/>
      <w:lvlText w:val="2.2.%3"/>
      <w:lvlJc w:val="left"/>
      <w:pPr>
        <w:ind w:left="0" w:firstLine="0"/>
      </w:pPr>
      <w:rPr>
        <w:rFonts w:hint="eastAsia"/>
        <w:vertAlign w:val="baseline"/>
      </w:r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992" w:hanging="629"/>
      </w:pPr>
      <w:rPr>
        <w:rFonts w:hint="eastAsia"/>
        <w:vertAlign w:val="baseline"/>
      </w:rPr>
    </w:lvl>
  </w:abstractNum>
  <w:abstractNum w:abstractNumId="13">
    <w:nsid w:val="60B55DC2"/>
    <w:multiLevelType w:val="multilevel"/>
    <w:tmpl w:val="60B55DC2"/>
    <w:lvl w:ilvl="0" w:tentative="0">
      <w:start w:val="1"/>
      <w:numFmt w:val="upperLetter"/>
      <w:pStyle w:val="84"/>
      <w:lvlText w:val="%1"/>
      <w:lvlJc w:val="left"/>
      <w:pPr>
        <w:tabs>
          <w:tab w:val="left" w:pos="0"/>
        </w:tabs>
        <w:ind w:left="0" w:hanging="425"/>
      </w:pPr>
      <w:rPr>
        <w:rFonts w:hint="eastAsia"/>
      </w:rPr>
    </w:lvl>
    <w:lvl w:ilvl="1" w:tentative="0">
      <w:start w:val="1"/>
      <w:numFmt w:val="decimal"/>
      <w:pStyle w:val="108"/>
      <w:suff w:val="nothing"/>
      <w:lvlText w:val="表%1.%2　"/>
      <w:lvlJc w:val="left"/>
      <w:pPr>
        <w:ind w:left="567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993"/>
        </w:tabs>
        <w:ind w:left="993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2291"/>
        </w:tabs>
        <w:ind w:left="1559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3076"/>
        </w:tabs>
        <w:ind w:left="2126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861"/>
        </w:tabs>
        <w:ind w:left="2835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646"/>
        </w:tabs>
        <w:ind w:left="3402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543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6217"/>
        </w:tabs>
        <w:ind w:left="4677" w:hanging="1700"/>
      </w:pPr>
      <w:rPr>
        <w:rFonts w:hint="eastAsia"/>
      </w:rPr>
    </w:lvl>
  </w:abstractNum>
  <w:abstractNum w:abstractNumId="14">
    <w:nsid w:val="646260FA"/>
    <w:multiLevelType w:val="multilevel"/>
    <w:tmpl w:val="646260FA"/>
    <w:lvl w:ilvl="0" w:tentative="0">
      <w:start w:val="1"/>
      <w:numFmt w:val="decimal"/>
      <w:pStyle w:val="90"/>
      <w:suff w:val="nothing"/>
      <w:lvlText w:val="表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1" w:tentative="0">
      <w:start w:val="1"/>
      <w:numFmt w:val="decimal"/>
      <w:lvlText w:val="%1.%2"/>
      <w:lvlJc w:val="left"/>
      <w:pPr>
        <w:tabs>
          <w:tab w:val="left" w:pos="992"/>
        </w:tabs>
        <w:ind w:left="992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15">
    <w:nsid w:val="657D3FBC"/>
    <w:multiLevelType w:val="multilevel"/>
    <w:tmpl w:val="657D3FBC"/>
    <w:lvl w:ilvl="0" w:tentative="0">
      <w:start w:val="1"/>
      <w:numFmt w:val="upperLetter"/>
      <w:pStyle w:val="107"/>
      <w:suff w:val="nothing"/>
      <w:lvlText w:val="附　录　%1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pacing w:val="0"/>
        <w:w w:val="100"/>
        <w:sz w:val="21"/>
      </w:rPr>
    </w:lvl>
    <w:lvl w:ilvl="1" w:tentative="0">
      <w:start w:val="1"/>
      <w:numFmt w:val="decimal"/>
      <w:pStyle w:val="121"/>
      <w:suff w:val="nothing"/>
      <w:lvlText w:val="%1.%2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napToGrid/>
        <w:spacing w:val="0"/>
        <w:w w:val="100"/>
        <w:kern w:val="21"/>
        <w:sz w:val="21"/>
      </w:rPr>
    </w:lvl>
    <w:lvl w:ilvl="2" w:tentative="0">
      <w:start w:val="1"/>
      <w:numFmt w:val="decimal"/>
      <w:pStyle w:val="122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pStyle w:val="82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pStyle w:val="111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pStyle w:val="114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pStyle w:val="117"/>
      <w:suff w:val="nothing"/>
      <w:lvlText w:val="%1.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16">
    <w:nsid w:val="6D6C07CD"/>
    <w:multiLevelType w:val="multilevel"/>
    <w:tmpl w:val="6D6C07CD"/>
    <w:lvl w:ilvl="0" w:tentative="0">
      <w:start w:val="1"/>
      <w:numFmt w:val="lowerLetter"/>
      <w:pStyle w:val="78"/>
      <w:lvlText w:val="%1)"/>
      <w:lvlJc w:val="left"/>
      <w:pPr>
        <w:tabs>
          <w:tab w:val="left" w:pos="839"/>
        </w:tabs>
        <w:ind w:left="839" w:hanging="419"/>
      </w:pPr>
      <w:rPr>
        <w:rFonts w:hint="eastAsia" w:ascii="宋体" w:eastAsia="宋体"/>
        <w:b w:val="0"/>
        <w:i w:val="0"/>
        <w:sz w:val="21"/>
      </w:rPr>
    </w:lvl>
    <w:lvl w:ilvl="1" w:tentative="0">
      <w:start w:val="1"/>
      <w:numFmt w:val="decimal"/>
      <w:pStyle w:val="113"/>
      <w:lvlText w:val="%2)"/>
      <w:lvlJc w:val="left"/>
      <w:pPr>
        <w:tabs>
          <w:tab w:val="left" w:pos="840"/>
        </w:tabs>
        <w:ind w:left="839" w:hanging="419"/>
      </w:pPr>
      <w:rPr>
        <w:rFonts w:hint="eastAsia" w:ascii="宋体" w:eastAsia="宋体"/>
        <w:b w:val="0"/>
        <w:i w:val="0"/>
        <w:sz w:val="21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59" w:hanging="419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79" w:hanging="419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099" w:hanging="419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19" w:hanging="419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39" w:hanging="419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59" w:hanging="419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79" w:hanging="419"/>
      </w:pPr>
      <w:rPr>
        <w:rFonts w:hint="eastAsia"/>
      </w:rPr>
    </w:lvl>
  </w:abstractNum>
  <w:abstractNum w:abstractNumId="17">
    <w:nsid w:val="6DBF04F4"/>
    <w:multiLevelType w:val="multilevel"/>
    <w:tmpl w:val="6DBF04F4"/>
    <w:lvl w:ilvl="0" w:tentative="0">
      <w:start w:val="1"/>
      <w:numFmt w:val="none"/>
      <w:pStyle w:val="66"/>
      <w:suff w:val="nothing"/>
      <w:lvlText w:val="%1注："/>
      <w:lvlJc w:val="left"/>
      <w:pPr>
        <w:ind w:left="726" w:hanging="363"/>
      </w:pPr>
      <w:rPr>
        <w:rFonts w:hint="eastAsia" w:ascii="黑体" w:hAnsi="Times New Roman" w:eastAsia="黑体"/>
        <w:b w:val="0"/>
        <w:i w:val="0"/>
        <w:sz w:val="18"/>
      </w:rPr>
    </w:lvl>
    <w:lvl w:ilvl="1" w:tentative="0">
      <w:start w:val="1"/>
      <w:numFmt w:val="lowerLetter"/>
      <w:lvlText w:val="%2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1140"/>
        </w:tabs>
        <w:ind w:left="726" w:hanging="363"/>
      </w:pPr>
      <w:rPr>
        <w:rFonts w:hint="eastAsia"/>
      </w:rPr>
    </w:lvl>
  </w:abstractNum>
  <w:num w:numId="1">
    <w:abstractNumId w:val="10"/>
  </w:num>
  <w:num w:numId="2">
    <w:abstractNumId w:val="1"/>
  </w:num>
  <w:num w:numId="3">
    <w:abstractNumId w:val="12"/>
  </w:num>
  <w:num w:numId="4">
    <w:abstractNumId w:val="6"/>
  </w:num>
  <w:num w:numId="5">
    <w:abstractNumId w:val="2"/>
  </w:num>
  <w:num w:numId="6">
    <w:abstractNumId w:val="17"/>
  </w:num>
  <w:num w:numId="7">
    <w:abstractNumId w:val="3"/>
  </w:num>
  <w:num w:numId="8">
    <w:abstractNumId w:val="11"/>
  </w:num>
  <w:num w:numId="9">
    <w:abstractNumId w:val="16"/>
  </w:num>
  <w:num w:numId="10">
    <w:abstractNumId w:val="15"/>
  </w:num>
  <w:num w:numId="11">
    <w:abstractNumId w:val="13"/>
  </w:num>
  <w:num w:numId="12">
    <w:abstractNumId w:val="8"/>
  </w:num>
  <w:num w:numId="13">
    <w:abstractNumId w:val="5"/>
  </w:num>
  <w:num w:numId="14">
    <w:abstractNumId w:val="14"/>
  </w:num>
  <w:num w:numId="15">
    <w:abstractNumId w:val="7"/>
  </w:num>
  <w:num w:numId="16">
    <w:abstractNumId w:val="0"/>
  </w:num>
  <w:num w:numId="17">
    <w:abstractNumId w:val="9"/>
  </w:num>
  <w:num w:numId="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Full" w:cryptAlgorithmClass="hash" w:cryptAlgorithmType="typeAny" w:cryptAlgorithmSid="4" w:cryptSpinCount="0" w:hash="dHDD2ilT8YY0Ho0lFM8WZaEvGMA=" w:salt="KpZrC+WIqtV/eZcq/f29Qw=="/>
  <w:defaultTabStop w:val="420"/>
  <w:drawingGridHorizontalSpacing w:val="105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djNzZmYTczZTk3ZTRhOWQzNWJjMDQ2NGJlZWM3NGUifQ=="/>
  </w:docVars>
  <w:rsids>
    <w:rsidRoot w:val="00035925"/>
    <w:rsid w:val="00000244"/>
    <w:rsid w:val="0000185F"/>
    <w:rsid w:val="0000586F"/>
    <w:rsid w:val="00013D86"/>
    <w:rsid w:val="00013E02"/>
    <w:rsid w:val="0002143C"/>
    <w:rsid w:val="00025A65"/>
    <w:rsid w:val="00026C31"/>
    <w:rsid w:val="00027280"/>
    <w:rsid w:val="000320A7"/>
    <w:rsid w:val="00035925"/>
    <w:rsid w:val="00067CDF"/>
    <w:rsid w:val="00071206"/>
    <w:rsid w:val="00074FBE"/>
    <w:rsid w:val="00083A09"/>
    <w:rsid w:val="00086450"/>
    <w:rsid w:val="0009005E"/>
    <w:rsid w:val="00092857"/>
    <w:rsid w:val="000A20A9"/>
    <w:rsid w:val="000A48B1"/>
    <w:rsid w:val="000B3143"/>
    <w:rsid w:val="000C6B05"/>
    <w:rsid w:val="000C6DD6"/>
    <w:rsid w:val="000C73D4"/>
    <w:rsid w:val="000D2CF3"/>
    <w:rsid w:val="000D3D4C"/>
    <w:rsid w:val="000D4F51"/>
    <w:rsid w:val="000D718B"/>
    <w:rsid w:val="000E0C46"/>
    <w:rsid w:val="000F030C"/>
    <w:rsid w:val="000F129C"/>
    <w:rsid w:val="001056DE"/>
    <w:rsid w:val="001124C0"/>
    <w:rsid w:val="00114873"/>
    <w:rsid w:val="0013175F"/>
    <w:rsid w:val="0014150F"/>
    <w:rsid w:val="001512B4"/>
    <w:rsid w:val="001620A5"/>
    <w:rsid w:val="00164E53"/>
    <w:rsid w:val="0016699D"/>
    <w:rsid w:val="001711A8"/>
    <w:rsid w:val="00175159"/>
    <w:rsid w:val="00176208"/>
    <w:rsid w:val="0018211B"/>
    <w:rsid w:val="001840D3"/>
    <w:rsid w:val="001900F8"/>
    <w:rsid w:val="00191258"/>
    <w:rsid w:val="00192680"/>
    <w:rsid w:val="00193037"/>
    <w:rsid w:val="00193A2C"/>
    <w:rsid w:val="001976B1"/>
    <w:rsid w:val="001A288E"/>
    <w:rsid w:val="001A4E8F"/>
    <w:rsid w:val="001B6DC2"/>
    <w:rsid w:val="001C149C"/>
    <w:rsid w:val="001C21AC"/>
    <w:rsid w:val="001C47BA"/>
    <w:rsid w:val="001C59EA"/>
    <w:rsid w:val="001D406C"/>
    <w:rsid w:val="001D41EE"/>
    <w:rsid w:val="001E0380"/>
    <w:rsid w:val="001E13B1"/>
    <w:rsid w:val="001F3A19"/>
    <w:rsid w:val="00234467"/>
    <w:rsid w:val="00237D8D"/>
    <w:rsid w:val="00241DA2"/>
    <w:rsid w:val="00247FEE"/>
    <w:rsid w:val="00250E7D"/>
    <w:rsid w:val="002565D5"/>
    <w:rsid w:val="002622C0"/>
    <w:rsid w:val="002778AE"/>
    <w:rsid w:val="0028269A"/>
    <w:rsid w:val="00283590"/>
    <w:rsid w:val="00286973"/>
    <w:rsid w:val="00290104"/>
    <w:rsid w:val="00294E70"/>
    <w:rsid w:val="002A1924"/>
    <w:rsid w:val="002A7420"/>
    <w:rsid w:val="002B0F12"/>
    <w:rsid w:val="002B1308"/>
    <w:rsid w:val="002B1DC6"/>
    <w:rsid w:val="002B4554"/>
    <w:rsid w:val="002C72D8"/>
    <w:rsid w:val="002D0C02"/>
    <w:rsid w:val="002D11FA"/>
    <w:rsid w:val="002E0DDF"/>
    <w:rsid w:val="002E2906"/>
    <w:rsid w:val="002E363B"/>
    <w:rsid w:val="002E5635"/>
    <w:rsid w:val="002E64C3"/>
    <w:rsid w:val="002E6A2C"/>
    <w:rsid w:val="002F1D8C"/>
    <w:rsid w:val="002F21DA"/>
    <w:rsid w:val="00301F39"/>
    <w:rsid w:val="00307EDF"/>
    <w:rsid w:val="00325926"/>
    <w:rsid w:val="00327A8A"/>
    <w:rsid w:val="00336610"/>
    <w:rsid w:val="00343F73"/>
    <w:rsid w:val="00345060"/>
    <w:rsid w:val="0035323B"/>
    <w:rsid w:val="003609D2"/>
    <w:rsid w:val="0036214C"/>
    <w:rsid w:val="00363F22"/>
    <w:rsid w:val="00375564"/>
    <w:rsid w:val="00383191"/>
    <w:rsid w:val="00386DED"/>
    <w:rsid w:val="003912E7"/>
    <w:rsid w:val="00393947"/>
    <w:rsid w:val="003A2275"/>
    <w:rsid w:val="003A6A4F"/>
    <w:rsid w:val="003A7088"/>
    <w:rsid w:val="003B00DF"/>
    <w:rsid w:val="003B1275"/>
    <w:rsid w:val="003B1778"/>
    <w:rsid w:val="003C11CB"/>
    <w:rsid w:val="003C75F3"/>
    <w:rsid w:val="003C78A3"/>
    <w:rsid w:val="003E1867"/>
    <w:rsid w:val="003E5729"/>
    <w:rsid w:val="003F4EE0"/>
    <w:rsid w:val="00402153"/>
    <w:rsid w:val="00402FC1"/>
    <w:rsid w:val="00425082"/>
    <w:rsid w:val="00431DEB"/>
    <w:rsid w:val="00446B29"/>
    <w:rsid w:val="00453F9A"/>
    <w:rsid w:val="00471E91"/>
    <w:rsid w:val="004725AB"/>
    <w:rsid w:val="00474675"/>
    <w:rsid w:val="0047470C"/>
    <w:rsid w:val="004A35F9"/>
    <w:rsid w:val="004B24C1"/>
    <w:rsid w:val="004C292F"/>
    <w:rsid w:val="004E6BD4"/>
    <w:rsid w:val="00510280"/>
    <w:rsid w:val="00513010"/>
    <w:rsid w:val="00513D73"/>
    <w:rsid w:val="00514A43"/>
    <w:rsid w:val="005174E5"/>
    <w:rsid w:val="00522393"/>
    <w:rsid w:val="00522620"/>
    <w:rsid w:val="00525656"/>
    <w:rsid w:val="00534C02"/>
    <w:rsid w:val="0054264B"/>
    <w:rsid w:val="00543786"/>
    <w:rsid w:val="00551D57"/>
    <w:rsid w:val="005533D7"/>
    <w:rsid w:val="00565BCF"/>
    <w:rsid w:val="005703DE"/>
    <w:rsid w:val="0058464E"/>
    <w:rsid w:val="00593B48"/>
    <w:rsid w:val="005A01CB"/>
    <w:rsid w:val="005A58FF"/>
    <w:rsid w:val="005A5EAF"/>
    <w:rsid w:val="005A64C0"/>
    <w:rsid w:val="005B3C11"/>
    <w:rsid w:val="005C1C28"/>
    <w:rsid w:val="005C6DB5"/>
    <w:rsid w:val="005E19E7"/>
    <w:rsid w:val="005F0D35"/>
    <w:rsid w:val="0061716C"/>
    <w:rsid w:val="006243A1"/>
    <w:rsid w:val="00631988"/>
    <w:rsid w:val="00632E56"/>
    <w:rsid w:val="00635CBA"/>
    <w:rsid w:val="0064338B"/>
    <w:rsid w:val="00646542"/>
    <w:rsid w:val="006504F4"/>
    <w:rsid w:val="00654BC9"/>
    <w:rsid w:val="006552FD"/>
    <w:rsid w:val="00663AF3"/>
    <w:rsid w:val="00666B6C"/>
    <w:rsid w:val="00675A7A"/>
    <w:rsid w:val="00682682"/>
    <w:rsid w:val="00682702"/>
    <w:rsid w:val="00682CAE"/>
    <w:rsid w:val="00692368"/>
    <w:rsid w:val="006A2EBC"/>
    <w:rsid w:val="006A5EA0"/>
    <w:rsid w:val="006A783B"/>
    <w:rsid w:val="006A7B33"/>
    <w:rsid w:val="006B4E13"/>
    <w:rsid w:val="006B75DD"/>
    <w:rsid w:val="006C67E0"/>
    <w:rsid w:val="006C7ABA"/>
    <w:rsid w:val="006D0D60"/>
    <w:rsid w:val="006D1122"/>
    <w:rsid w:val="006D3C00"/>
    <w:rsid w:val="006D6CF4"/>
    <w:rsid w:val="006E3675"/>
    <w:rsid w:val="006E4A7F"/>
    <w:rsid w:val="006F0456"/>
    <w:rsid w:val="00704DF6"/>
    <w:rsid w:val="0070651C"/>
    <w:rsid w:val="007132A3"/>
    <w:rsid w:val="00716421"/>
    <w:rsid w:val="00724EFB"/>
    <w:rsid w:val="007419C3"/>
    <w:rsid w:val="00744F22"/>
    <w:rsid w:val="007467A7"/>
    <w:rsid w:val="007469DD"/>
    <w:rsid w:val="0074741B"/>
    <w:rsid w:val="0074759E"/>
    <w:rsid w:val="007478EA"/>
    <w:rsid w:val="0075415C"/>
    <w:rsid w:val="00761471"/>
    <w:rsid w:val="00763502"/>
    <w:rsid w:val="007913AB"/>
    <w:rsid w:val="007914F7"/>
    <w:rsid w:val="007B1625"/>
    <w:rsid w:val="007B706E"/>
    <w:rsid w:val="007B71EB"/>
    <w:rsid w:val="007C6205"/>
    <w:rsid w:val="007C686A"/>
    <w:rsid w:val="007C728E"/>
    <w:rsid w:val="007D2C53"/>
    <w:rsid w:val="007D3D60"/>
    <w:rsid w:val="007E1980"/>
    <w:rsid w:val="007E4B76"/>
    <w:rsid w:val="007E5EA8"/>
    <w:rsid w:val="007F0CF1"/>
    <w:rsid w:val="007F12A5"/>
    <w:rsid w:val="007F4CF1"/>
    <w:rsid w:val="007F758D"/>
    <w:rsid w:val="007F7D52"/>
    <w:rsid w:val="0080654C"/>
    <w:rsid w:val="008071C6"/>
    <w:rsid w:val="00817A00"/>
    <w:rsid w:val="00835DB3"/>
    <w:rsid w:val="0083617B"/>
    <w:rsid w:val="008371BD"/>
    <w:rsid w:val="008504A8"/>
    <w:rsid w:val="008505C0"/>
    <w:rsid w:val="0085282E"/>
    <w:rsid w:val="0087198C"/>
    <w:rsid w:val="00872C1F"/>
    <w:rsid w:val="00873B42"/>
    <w:rsid w:val="008856D8"/>
    <w:rsid w:val="00892E82"/>
    <w:rsid w:val="008C1B58"/>
    <w:rsid w:val="008C39AE"/>
    <w:rsid w:val="008C590D"/>
    <w:rsid w:val="008E031B"/>
    <w:rsid w:val="008E4F6A"/>
    <w:rsid w:val="008E7029"/>
    <w:rsid w:val="008E7EF6"/>
    <w:rsid w:val="008F1F98"/>
    <w:rsid w:val="008F6758"/>
    <w:rsid w:val="009040DD"/>
    <w:rsid w:val="00905B47"/>
    <w:rsid w:val="0091331C"/>
    <w:rsid w:val="009279DE"/>
    <w:rsid w:val="00930116"/>
    <w:rsid w:val="0094212C"/>
    <w:rsid w:val="00954689"/>
    <w:rsid w:val="009617C9"/>
    <w:rsid w:val="00961C93"/>
    <w:rsid w:val="00965324"/>
    <w:rsid w:val="0097091E"/>
    <w:rsid w:val="009760D3"/>
    <w:rsid w:val="00977132"/>
    <w:rsid w:val="00981A4B"/>
    <w:rsid w:val="00982501"/>
    <w:rsid w:val="009877D3"/>
    <w:rsid w:val="00994E8F"/>
    <w:rsid w:val="009951DC"/>
    <w:rsid w:val="009959BB"/>
    <w:rsid w:val="00997158"/>
    <w:rsid w:val="009A3A7C"/>
    <w:rsid w:val="009B2ADB"/>
    <w:rsid w:val="009B603A"/>
    <w:rsid w:val="009C2D0E"/>
    <w:rsid w:val="009C3DAC"/>
    <w:rsid w:val="009C42E0"/>
    <w:rsid w:val="009C5453"/>
    <w:rsid w:val="009D5362"/>
    <w:rsid w:val="009E1415"/>
    <w:rsid w:val="009E6116"/>
    <w:rsid w:val="00A02E43"/>
    <w:rsid w:val="00A065F9"/>
    <w:rsid w:val="00A07F34"/>
    <w:rsid w:val="00A12C52"/>
    <w:rsid w:val="00A217C9"/>
    <w:rsid w:val="00A22154"/>
    <w:rsid w:val="00A25C38"/>
    <w:rsid w:val="00A367D8"/>
    <w:rsid w:val="00A36BBE"/>
    <w:rsid w:val="00A4307A"/>
    <w:rsid w:val="00A47EBB"/>
    <w:rsid w:val="00A51CDD"/>
    <w:rsid w:val="00A6730D"/>
    <w:rsid w:val="00A71625"/>
    <w:rsid w:val="00A71B9B"/>
    <w:rsid w:val="00A751C7"/>
    <w:rsid w:val="00A87844"/>
    <w:rsid w:val="00AA038C"/>
    <w:rsid w:val="00AA7A09"/>
    <w:rsid w:val="00AB3B50"/>
    <w:rsid w:val="00AC05B1"/>
    <w:rsid w:val="00AD356C"/>
    <w:rsid w:val="00AD5C5A"/>
    <w:rsid w:val="00AD7CB0"/>
    <w:rsid w:val="00AE2914"/>
    <w:rsid w:val="00AE6D15"/>
    <w:rsid w:val="00AF346B"/>
    <w:rsid w:val="00B04182"/>
    <w:rsid w:val="00B07AE3"/>
    <w:rsid w:val="00B11430"/>
    <w:rsid w:val="00B353EB"/>
    <w:rsid w:val="00B439C4"/>
    <w:rsid w:val="00B4535E"/>
    <w:rsid w:val="00B52A8C"/>
    <w:rsid w:val="00B636A8"/>
    <w:rsid w:val="00B665C6"/>
    <w:rsid w:val="00B66CA5"/>
    <w:rsid w:val="00B805AF"/>
    <w:rsid w:val="00B869EC"/>
    <w:rsid w:val="00B92BF1"/>
    <w:rsid w:val="00B9397A"/>
    <w:rsid w:val="00B9633D"/>
    <w:rsid w:val="00BA0B75"/>
    <w:rsid w:val="00BA2EBE"/>
    <w:rsid w:val="00BB0F28"/>
    <w:rsid w:val="00BB458A"/>
    <w:rsid w:val="00BC02D2"/>
    <w:rsid w:val="00BD00D3"/>
    <w:rsid w:val="00BD1659"/>
    <w:rsid w:val="00BD3AA9"/>
    <w:rsid w:val="00BD4A18"/>
    <w:rsid w:val="00BD6DB2"/>
    <w:rsid w:val="00BE11CF"/>
    <w:rsid w:val="00BE21AB"/>
    <w:rsid w:val="00BE55CB"/>
    <w:rsid w:val="00BF617A"/>
    <w:rsid w:val="00BF6FCE"/>
    <w:rsid w:val="00C0379D"/>
    <w:rsid w:val="00C03931"/>
    <w:rsid w:val="00C05FE3"/>
    <w:rsid w:val="00C2136D"/>
    <w:rsid w:val="00C214EE"/>
    <w:rsid w:val="00C2314B"/>
    <w:rsid w:val="00C24971"/>
    <w:rsid w:val="00C26BE5"/>
    <w:rsid w:val="00C26E4D"/>
    <w:rsid w:val="00C27909"/>
    <w:rsid w:val="00C27B03"/>
    <w:rsid w:val="00C314E1"/>
    <w:rsid w:val="00C34397"/>
    <w:rsid w:val="00C3788B"/>
    <w:rsid w:val="00C4095D"/>
    <w:rsid w:val="00C601D2"/>
    <w:rsid w:val="00C65BCC"/>
    <w:rsid w:val="00C66970"/>
    <w:rsid w:val="00C8691C"/>
    <w:rsid w:val="00C950FD"/>
    <w:rsid w:val="00CA168A"/>
    <w:rsid w:val="00CA357E"/>
    <w:rsid w:val="00CA44F9"/>
    <w:rsid w:val="00CA4A69"/>
    <w:rsid w:val="00CC3E0C"/>
    <w:rsid w:val="00CC58D3"/>
    <w:rsid w:val="00CC784D"/>
    <w:rsid w:val="00CF1EC1"/>
    <w:rsid w:val="00D0337B"/>
    <w:rsid w:val="00D079B2"/>
    <w:rsid w:val="00D114E9"/>
    <w:rsid w:val="00D429C6"/>
    <w:rsid w:val="00D47748"/>
    <w:rsid w:val="00D54CC3"/>
    <w:rsid w:val="00D6041A"/>
    <w:rsid w:val="00D633EB"/>
    <w:rsid w:val="00D82FF7"/>
    <w:rsid w:val="00D847FE"/>
    <w:rsid w:val="00D964EA"/>
    <w:rsid w:val="00D966D0"/>
    <w:rsid w:val="00DA0C59"/>
    <w:rsid w:val="00DA3991"/>
    <w:rsid w:val="00DB0990"/>
    <w:rsid w:val="00DB7E6C"/>
    <w:rsid w:val="00DC49D1"/>
    <w:rsid w:val="00DD5A29"/>
    <w:rsid w:val="00DD5D9D"/>
    <w:rsid w:val="00DE35CB"/>
    <w:rsid w:val="00DF21E9"/>
    <w:rsid w:val="00E00F14"/>
    <w:rsid w:val="00E06386"/>
    <w:rsid w:val="00E07382"/>
    <w:rsid w:val="00E24EB4"/>
    <w:rsid w:val="00E320ED"/>
    <w:rsid w:val="00E33AFB"/>
    <w:rsid w:val="00E34218"/>
    <w:rsid w:val="00E46282"/>
    <w:rsid w:val="00E5216E"/>
    <w:rsid w:val="00E82344"/>
    <w:rsid w:val="00E84C82"/>
    <w:rsid w:val="00E84D64"/>
    <w:rsid w:val="00E84EE7"/>
    <w:rsid w:val="00E87408"/>
    <w:rsid w:val="00E914C4"/>
    <w:rsid w:val="00E934F5"/>
    <w:rsid w:val="00E96961"/>
    <w:rsid w:val="00EA5451"/>
    <w:rsid w:val="00EA72EC"/>
    <w:rsid w:val="00EB11CB"/>
    <w:rsid w:val="00EB275A"/>
    <w:rsid w:val="00EB786A"/>
    <w:rsid w:val="00EC1578"/>
    <w:rsid w:val="00EC1C72"/>
    <w:rsid w:val="00EC21D8"/>
    <w:rsid w:val="00EC3CC9"/>
    <w:rsid w:val="00EC680A"/>
    <w:rsid w:val="00EE2BED"/>
    <w:rsid w:val="00EE374B"/>
    <w:rsid w:val="00F11BB5"/>
    <w:rsid w:val="00F1417B"/>
    <w:rsid w:val="00F178CE"/>
    <w:rsid w:val="00F34B99"/>
    <w:rsid w:val="00F52DAB"/>
    <w:rsid w:val="00F543F0"/>
    <w:rsid w:val="00F55CA2"/>
    <w:rsid w:val="00F81D29"/>
    <w:rsid w:val="00F91C4D"/>
    <w:rsid w:val="00F9206A"/>
    <w:rsid w:val="00F92FD9"/>
    <w:rsid w:val="00FA6684"/>
    <w:rsid w:val="00FA731E"/>
    <w:rsid w:val="00FB2B38"/>
    <w:rsid w:val="00FC6358"/>
    <w:rsid w:val="00FD01CF"/>
    <w:rsid w:val="00FD320D"/>
    <w:rsid w:val="00FE0D1C"/>
    <w:rsid w:val="00FE23DE"/>
    <w:rsid w:val="015B18AD"/>
    <w:rsid w:val="06F169B3"/>
    <w:rsid w:val="07B154BC"/>
    <w:rsid w:val="091F188A"/>
    <w:rsid w:val="09643403"/>
    <w:rsid w:val="0A6071C9"/>
    <w:rsid w:val="0CDA66BF"/>
    <w:rsid w:val="0DE23892"/>
    <w:rsid w:val="0E0D033E"/>
    <w:rsid w:val="11863A28"/>
    <w:rsid w:val="128A3766"/>
    <w:rsid w:val="12ED5CBA"/>
    <w:rsid w:val="14F8053A"/>
    <w:rsid w:val="16C9373B"/>
    <w:rsid w:val="16E232F5"/>
    <w:rsid w:val="16EE4B35"/>
    <w:rsid w:val="173B2939"/>
    <w:rsid w:val="18CE119F"/>
    <w:rsid w:val="18E83C2E"/>
    <w:rsid w:val="1CF30371"/>
    <w:rsid w:val="1DFE76B6"/>
    <w:rsid w:val="1F1A28E1"/>
    <w:rsid w:val="1F405703"/>
    <w:rsid w:val="205C7FDB"/>
    <w:rsid w:val="21106AB1"/>
    <w:rsid w:val="21586142"/>
    <w:rsid w:val="23321540"/>
    <w:rsid w:val="24EC3738"/>
    <w:rsid w:val="27BA0FDB"/>
    <w:rsid w:val="27F427FC"/>
    <w:rsid w:val="2A565E23"/>
    <w:rsid w:val="2A9669CD"/>
    <w:rsid w:val="2B925479"/>
    <w:rsid w:val="2DEE6AA5"/>
    <w:rsid w:val="2FC246E3"/>
    <w:rsid w:val="31F5460B"/>
    <w:rsid w:val="333227D9"/>
    <w:rsid w:val="338C1E9E"/>
    <w:rsid w:val="33995D77"/>
    <w:rsid w:val="35B77D36"/>
    <w:rsid w:val="36483BD9"/>
    <w:rsid w:val="36AF3103"/>
    <w:rsid w:val="3767333E"/>
    <w:rsid w:val="37A34A15"/>
    <w:rsid w:val="3A4E3B38"/>
    <w:rsid w:val="3A5C2E39"/>
    <w:rsid w:val="3A6C3EF9"/>
    <w:rsid w:val="3C20631F"/>
    <w:rsid w:val="3DB66B25"/>
    <w:rsid w:val="3FFB4BB1"/>
    <w:rsid w:val="41F320F5"/>
    <w:rsid w:val="42D30F05"/>
    <w:rsid w:val="444A5C07"/>
    <w:rsid w:val="44842076"/>
    <w:rsid w:val="45487598"/>
    <w:rsid w:val="45D30F13"/>
    <w:rsid w:val="467D0C9E"/>
    <w:rsid w:val="473A33FE"/>
    <w:rsid w:val="47AF7E60"/>
    <w:rsid w:val="48A00AFD"/>
    <w:rsid w:val="4BCA0639"/>
    <w:rsid w:val="4C6B4A07"/>
    <w:rsid w:val="4E9E1BBC"/>
    <w:rsid w:val="51076016"/>
    <w:rsid w:val="51AC2CCB"/>
    <w:rsid w:val="520D5766"/>
    <w:rsid w:val="524E660E"/>
    <w:rsid w:val="556B731E"/>
    <w:rsid w:val="561F5757"/>
    <w:rsid w:val="58306425"/>
    <w:rsid w:val="5ADC59C5"/>
    <w:rsid w:val="5AF24437"/>
    <w:rsid w:val="5B27024F"/>
    <w:rsid w:val="5D2075E4"/>
    <w:rsid w:val="5D331ED7"/>
    <w:rsid w:val="5D437797"/>
    <w:rsid w:val="5E3E6996"/>
    <w:rsid w:val="5FE42BE6"/>
    <w:rsid w:val="638A0F9A"/>
    <w:rsid w:val="63EF7FB8"/>
    <w:rsid w:val="641F10BB"/>
    <w:rsid w:val="659629FA"/>
    <w:rsid w:val="65E200E4"/>
    <w:rsid w:val="679B2951"/>
    <w:rsid w:val="685770C2"/>
    <w:rsid w:val="68955405"/>
    <w:rsid w:val="693D17C6"/>
    <w:rsid w:val="69FA5E67"/>
    <w:rsid w:val="6AC57867"/>
    <w:rsid w:val="6C7309A5"/>
    <w:rsid w:val="6D934EE1"/>
    <w:rsid w:val="6D9521EC"/>
    <w:rsid w:val="6DFD73A7"/>
    <w:rsid w:val="6E6B4E3F"/>
    <w:rsid w:val="6F3C0998"/>
    <w:rsid w:val="6F52535E"/>
    <w:rsid w:val="6FD64B03"/>
    <w:rsid w:val="6FFF3E6F"/>
    <w:rsid w:val="70672DD4"/>
    <w:rsid w:val="711C0290"/>
    <w:rsid w:val="716D3697"/>
    <w:rsid w:val="71CB15BC"/>
    <w:rsid w:val="74F1736A"/>
    <w:rsid w:val="77FFD9DC"/>
    <w:rsid w:val="7842203E"/>
    <w:rsid w:val="78874250"/>
    <w:rsid w:val="79203986"/>
    <w:rsid w:val="7B516021"/>
    <w:rsid w:val="7BFBEA18"/>
    <w:rsid w:val="7C1C093F"/>
    <w:rsid w:val="7C672114"/>
    <w:rsid w:val="9E7EF633"/>
    <w:rsid w:val="B7FD0CBD"/>
    <w:rsid w:val="BBFE901B"/>
    <w:rsid w:val="BFBD83D1"/>
    <w:rsid w:val="CBF798FA"/>
    <w:rsid w:val="FDEFE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qFormat="1" w:unhideWhenUsed="0" w:uiPriority="0" w:semiHidden="0" w:name="index 1"/>
    <w:lsdException w:qFormat="1" w:unhideWhenUsed="0" w:uiPriority="0" w:semiHidden="0" w:name="index 2"/>
    <w:lsdException w:qFormat="1" w:unhideWhenUsed="0" w:uiPriority="0" w:semiHidden="0" w:name="index 3"/>
    <w:lsdException w:qFormat="1" w:unhideWhenUsed="0" w:uiPriority="0" w:semiHidden="0" w:name="index 4"/>
    <w:lsdException w:qFormat="1" w:unhideWhenUsed="0" w:uiPriority="0" w:semiHidden="0" w:name="index 5"/>
    <w:lsdException w:qFormat="1" w:unhideWhenUsed="0" w:uiPriority="0" w:semiHidden="0" w:name="index 6"/>
    <w:lsdException w:qFormat="1" w:unhideWhenUsed="0" w:uiPriority="0" w:semiHidden="0" w:name="index 7"/>
    <w:lsdException w:qFormat="1" w:unhideWhenUsed="0" w:uiPriority="0" w:semiHidden="0" w:name="index 8"/>
    <w:lsdException w:qFormat="1" w:unhideWhenUsed="0" w:uiPriority="0" w:semiHidden="0" w:name="index 9"/>
    <w:lsdException w:qFormat="1" w:unhideWhenUsed="0" w:uiPriority="0" w:name="toc 1"/>
    <w:lsdException w:qFormat="1" w:unhideWhenUsed="0" w:uiPriority="0" w:name="toc 2"/>
    <w:lsdException w:qFormat="1" w:unhideWhenUsed="0" w:uiPriority="0" w:name="toc 3"/>
    <w:lsdException w:qFormat="1" w:unhideWhenUsed="0" w:uiPriority="0" w:name="toc 4"/>
    <w:lsdException w:qFormat="1" w:unhideWhenUsed="0" w:uiPriority="0" w:name="toc 5"/>
    <w:lsdException w:qFormat="1" w:unhideWhenUsed="0" w:uiPriority="0" w:name="toc 6"/>
    <w:lsdException w:qFormat="1" w:unhideWhenUsed="0" w:uiPriority="0" w:name="toc 7"/>
    <w:lsdException w:qFormat="1" w:unhideWhenUsed="0" w:uiPriority="0" w:name="toc 8"/>
    <w:lsdException w:qFormat="1" w:unhideWhenUsed="0" w:uiPriority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qFormat="1"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qFormat="1" w:unhideWhenUsed="0" w:uiPriority="0" w:name="endnote reference"/>
    <w:lsdException w:qFormat="1" w:unhideWhenUsed="0" w:uiPriority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42"/>
    <w:qFormat/>
    <w:uiPriority w:val="99"/>
    <w:pPr>
      <w:keepNext/>
      <w:keepLines/>
      <w:spacing w:before="260" w:after="260" w:line="413" w:lineRule="auto"/>
      <w:outlineLvl w:val="1"/>
    </w:pPr>
    <w:rPr>
      <w:rFonts w:hint="eastAsia" w:ascii="Arial" w:hAnsi="Arial" w:eastAsia="黑体"/>
      <w:b/>
      <w:sz w:val="32"/>
    </w:rPr>
  </w:style>
  <w:style w:type="character" w:default="1" w:styleId="32">
    <w:name w:val="Default Paragraph Font"/>
    <w:semiHidden/>
    <w:unhideWhenUsed/>
    <w:qFormat/>
    <w:uiPriority w:val="1"/>
  </w:style>
  <w:style w:type="table" w:default="1" w:styleId="3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oc 7"/>
    <w:basedOn w:val="1"/>
    <w:next w:val="1"/>
    <w:semiHidden/>
    <w:qFormat/>
    <w:uiPriority w:val="0"/>
    <w:pPr>
      <w:tabs>
        <w:tab w:val="right" w:leader="dot" w:pos="9241"/>
      </w:tabs>
      <w:ind w:firstLine="500" w:firstLineChars="500"/>
      <w:jc w:val="left"/>
    </w:pPr>
    <w:rPr>
      <w:rFonts w:ascii="宋体"/>
      <w:szCs w:val="21"/>
    </w:rPr>
  </w:style>
  <w:style w:type="paragraph" w:styleId="4">
    <w:name w:val="index 8"/>
    <w:basedOn w:val="1"/>
    <w:next w:val="1"/>
    <w:qFormat/>
    <w:uiPriority w:val="0"/>
    <w:pPr>
      <w:ind w:left="1680" w:hanging="210"/>
      <w:jc w:val="left"/>
    </w:pPr>
    <w:rPr>
      <w:rFonts w:ascii="Calibri" w:hAnsi="Calibri"/>
      <w:sz w:val="20"/>
      <w:szCs w:val="20"/>
    </w:rPr>
  </w:style>
  <w:style w:type="paragraph" w:styleId="5">
    <w:name w:val="caption"/>
    <w:basedOn w:val="1"/>
    <w:next w:val="1"/>
    <w:qFormat/>
    <w:uiPriority w:val="0"/>
    <w:pPr>
      <w:spacing w:before="152" w:after="160"/>
    </w:pPr>
    <w:rPr>
      <w:rFonts w:ascii="Arial" w:hAnsi="Arial" w:eastAsia="黑体" w:cs="Arial"/>
      <w:sz w:val="20"/>
      <w:szCs w:val="20"/>
    </w:rPr>
  </w:style>
  <w:style w:type="paragraph" w:styleId="6">
    <w:name w:val="index 5"/>
    <w:basedOn w:val="1"/>
    <w:next w:val="1"/>
    <w:qFormat/>
    <w:uiPriority w:val="0"/>
    <w:pPr>
      <w:ind w:left="1050" w:hanging="210"/>
      <w:jc w:val="left"/>
    </w:pPr>
    <w:rPr>
      <w:rFonts w:ascii="Calibri" w:hAnsi="Calibri"/>
      <w:sz w:val="20"/>
      <w:szCs w:val="20"/>
    </w:rPr>
  </w:style>
  <w:style w:type="paragraph" w:styleId="7">
    <w:name w:val="Document Map"/>
    <w:basedOn w:val="1"/>
    <w:semiHidden/>
    <w:qFormat/>
    <w:uiPriority w:val="0"/>
    <w:pPr>
      <w:shd w:val="clear" w:color="auto" w:fill="000080"/>
    </w:pPr>
  </w:style>
  <w:style w:type="paragraph" w:styleId="8">
    <w:name w:val="index 6"/>
    <w:basedOn w:val="1"/>
    <w:next w:val="1"/>
    <w:qFormat/>
    <w:uiPriority w:val="0"/>
    <w:pPr>
      <w:ind w:left="1260" w:hanging="210"/>
      <w:jc w:val="left"/>
    </w:pPr>
    <w:rPr>
      <w:rFonts w:ascii="Calibri" w:hAnsi="Calibri"/>
      <w:sz w:val="20"/>
      <w:szCs w:val="20"/>
    </w:rPr>
  </w:style>
  <w:style w:type="paragraph" w:styleId="9">
    <w:name w:val="Body Text"/>
    <w:basedOn w:val="1"/>
    <w:link w:val="137"/>
    <w:unhideWhenUsed/>
    <w:qFormat/>
    <w:uiPriority w:val="99"/>
    <w:pPr>
      <w:shd w:val="clear" w:color="auto" w:fill="FFFFFF"/>
      <w:spacing w:line="322" w:lineRule="exact"/>
      <w:ind w:hanging="740"/>
    </w:pPr>
    <w:rPr>
      <w:rFonts w:hint="eastAsia" w:ascii="MingLiU" w:hAnsi="MingLiU" w:eastAsia="MingLiU"/>
      <w:spacing w:val="6"/>
      <w:sz w:val="19"/>
    </w:rPr>
  </w:style>
  <w:style w:type="paragraph" w:styleId="10">
    <w:name w:val="index 4"/>
    <w:basedOn w:val="1"/>
    <w:next w:val="1"/>
    <w:qFormat/>
    <w:uiPriority w:val="0"/>
    <w:pPr>
      <w:ind w:left="840" w:hanging="210"/>
      <w:jc w:val="left"/>
    </w:pPr>
    <w:rPr>
      <w:rFonts w:ascii="Calibri" w:hAnsi="Calibri"/>
      <w:sz w:val="20"/>
      <w:szCs w:val="20"/>
    </w:rPr>
  </w:style>
  <w:style w:type="paragraph" w:styleId="11">
    <w:name w:val="toc 5"/>
    <w:basedOn w:val="1"/>
    <w:next w:val="1"/>
    <w:semiHidden/>
    <w:qFormat/>
    <w:uiPriority w:val="0"/>
    <w:pPr>
      <w:tabs>
        <w:tab w:val="right" w:leader="dot" w:pos="9241"/>
      </w:tabs>
      <w:ind w:firstLine="300" w:firstLineChars="300"/>
      <w:jc w:val="left"/>
    </w:pPr>
    <w:rPr>
      <w:rFonts w:ascii="宋体"/>
      <w:szCs w:val="21"/>
    </w:rPr>
  </w:style>
  <w:style w:type="paragraph" w:styleId="12">
    <w:name w:val="toc 3"/>
    <w:basedOn w:val="1"/>
    <w:next w:val="1"/>
    <w:semiHidden/>
    <w:qFormat/>
    <w:uiPriority w:val="0"/>
    <w:pPr>
      <w:tabs>
        <w:tab w:val="right" w:leader="dot" w:pos="9241"/>
      </w:tabs>
      <w:ind w:firstLine="100" w:firstLineChars="100"/>
      <w:jc w:val="left"/>
    </w:pPr>
    <w:rPr>
      <w:rFonts w:ascii="宋体"/>
      <w:szCs w:val="21"/>
    </w:rPr>
  </w:style>
  <w:style w:type="paragraph" w:styleId="13">
    <w:name w:val="toc 8"/>
    <w:basedOn w:val="1"/>
    <w:next w:val="1"/>
    <w:semiHidden/>
    <w:qFormat/>
    <w:uiPriority w:val="0"/>
    <w:pPr>
      <w:tabs>
        <w:tab w:val="right" w:leader="dot" w:pos="9241"/>
      </w:tabs>
      <w:ind w:firstLine="607" w:firstLineChars="600"/>
      <w:jc w:val="left"/>
    </w:pPr>
    <w:rPr>
      <w:rFonts w:ascii="宋体"/>
      <w:szCs w:val="21"/>
    </w:rPr>
  </w:style>
  <w:style w:type="paragraph" w:styleId="14">
    <w:name w:val="index 3"/>
    <w:basedOn w:val="1"/>
    <w:next w:val="1"/>
    <w:qFormat/>
    <w:uiPriority w:val="0"/>
    <w:pPr>
      <w:ind w:left="630" w:hanging="210"/>
      <w:jc w:val="left"/>
    </w:pPr>
    <w:rPr>
      <w:rFonts w:ascii="Calibri" w:hAnsi="Calibri"/>
      <w:sz w:val="20"/>
      <w:szCs w:val="20"/>
    </w:rPr>
  </w:style>
  <w:style w:type="paragraph" w:styleId="15">
    <w:name w:val="endnote text"/>
    <w:basedOn w:val="1"/>
    <w:semiHidden/>
    <w:qFormat/>
    <w:uiPriority w:val="0"/>
    <w:pPr>
      <w:snapToGrid w:val="0"/>
      <w:jc w:val="left"/>
    </w:pPr>
  </w:style>
  <w:style w:type="paragraph" w:styleId="16">
    <w:name w:val="footer"/>
    <w:basedOn w:val="1"/>
    <w:qFormat/>
    <w:uiPriority w:val="0"/>
    <w:pPr>
      <w:snapToGrid w:val="0"/>
      <w:ind w:right="210" w:rightChars="100"/>
      <w:jc w:val="right"/>
    </w:pPr>
    <w:rPr>
      <w:sz w:val="18"/>
      <w:szCs w:val="18"/>
    </w:rPr>
  </w:style>
  <w:style w:type="paragraph" w:styleId="17">
    <w:name w:val="header"/>
    <w:basedOn w:val="1"/>
    <w:qFormat/>
    <w:uiPriority w:val="0"/>
    <w:pPr>
      <w:snapToGrid w:val="0"/>
      <w:jc w:val="left"/>
    </w:pPr>
    <w:rPr>
      <w:sz w:val="18"/>
      <w:szCs w:val="18"/>
    </w:rPr>
  </w:style>
  <w:style w:type="paragraph" w:styleId="18">
    <w:name w:val="toc 1"/>
    <w:basedOn w:val="1"/>
    <w:next w:val="1"/>
    <w:semiHidden/>
    <w:qFormat/>
    <w:uiPriority w:val="0"/>
    <w:pPr>
      <w:tabs>
        <w:tab w:val="right" w:leader="dot" w:pos="9242"/>
      </w:tabs>
      <w:spacing w:before="25" w:beforeLines="25" w:after="25" w:afterLines="25"/>
      <w:jc w:val="left"/>
    </w:pPr>
    <w:rPr>
      <w:rFonts w:ascii="宋体"/>
      <w:szCs w:val="21"/>
    </w:rPr>
  </w:style>
  <w:style w:type="paragraph" w:styleId="19">
    <w:name w:val="toc 4"/>
    <w:basedOn w:val="1"/>
    <w:next w:val="1"/>
    <w:semiHidden/>
    <w:qFormat/>
    <w:uiPriority w:val="0"/>
    <w:pPr>
      <w:tabs>
        <w:tab w:val="right" w:leader="dot" w:pos="9241"/>
      </w:tabs>
      <w:ind w:firstLine="200" w:firstLineChars="200"/>
      <w:jc w:val="left"/>
    </w:pPr>
    <w:rPr>
      <w:rFonts w:ascii="宋体"/>
      <w:szCs w:val="21"/>
    </w:rPr>
  </w:style>
  <w:style w:type="paragraph" w:styleId="20">
    <w:name w:val="index heading"/>
    <w:basedOn w:val="1"/>
    <w:next w:val="21"/>
    <w:qFormat/>
    <w:uiPriority w:val="0"/>
    <w:pPr>
      <w:spacing w:before="120" w:after="120"/>
      <w:jc w:val="center"/>
    </w:pPr>
    <w:rPr>
      <w:rFonts w:ascii="Calibri" w:hAnsi="Calibri"/>
      <w:b/>
      <w:bCs/>
      <w:iCs/>
      <w:szCs w:val="20"/>
    </w:rPr>
  </w:style>
  <w:style w:type="paragraph" w:styleId="21">
    <w:name w:val="index 1"/>
    <w:basedOn w:val="1"/>
    <w:next w:val="22"/>
    <w:qFormat/>
    <w:uiPriority w:val="0"/>
    <w:pPr>
      <w:tabs>
        <w:tab w:val="right" w:leader="dot" w:pos="9299"/>
      </w:tabs>
      <w:jc w:val="left"/>
    </w:pPr>
    <w:rPr>
      <w:rFonts w:ascii="宋体"/>
      <w:szCs w:val="21"/>
    </w:rPr>
  </w:style>
  <w:style w:type="paragraph" w:customStyle="1" w:styleId="22">
    <w:name w:val="段"/>
    <w:link w:val="39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styleId="23">
    <w:name w:val="footnote text"/>
    <w:basedOn w:val="1"/>
    <w:qFormat/>
    <w:uiPriority w:val="0"/>
    <w:pPr>
      <w:numPr>
        <w:ilvl w:val="0"/>
        <w:numId w:val="1"/>
      </w:numPr>
      <w:snapToGrid w:val="0"/>
      <w:jc w:val="left"/>
    </w:pPr>
    <w:rPr>
      <w:rFonts w:ascii="宋体"/>
      <w:sz w:val="18"/>
      <w:szCs w:val="18"/>
    </w:rPr>
  </w:style>
  <w:style w:type="paragraph" w:styleId="24">
    <w:name w:val="toc 6"/>
    <w:basedOn w:val="1"/>
    <w:next w:val="1"/>
    <w:semiHidden/>
    <w:qFormat/>
    <w:uiPriority w:val="0"/>
    <w:pPr>
      <w:tabs>
        <w:tab w:val="right" w:leader="dot" w:pos="9241"/>
      </w:tabs>
      <w:ind w:firstLine="400" w:firstLineChars="400"/>
      <w:jc w:val="left"/>
    </w:pPr>
    <w:rPr>
      <w:rFonts w:ascii="宋体"/>
      <w:szCs w:val="21"/>
    </w:rPr>
  </w:style>
  <w:style w:type="paragraph" w:styleId="25">
    <w:name w:val="index 7"/>
    <w:basedOn w:val="1"/>
    <w:next w:val="1"/>
    <w:qFormat/>
    <w:uiPriority w:val="0"/>
    <w:pPr>
      <w:ind w:left="1470" w:hanging="210"/>
      <w:jc w:val="left"/>
    </w:pPr>
    <w:rPr>
      <w:rFonts w:ascii="Calibri" w:hAnsi="Calibri"/>
      <w:sz w:val="20"/>
      <w:szCs w:val="20"/>
    </w:rPr>
  </w:style>
  <w:style w:type="paragraph" w:styleId="26">
    <w:name w:val="index 9"/>
    <w:basedOn w:val="1"/>
    <w:next w:val="1"/>
    <w:qFormat/>
    <w:uiPriority w:val="0"/>
    <w:pPr>
      <w:ind w:left="1890" w:hanging="210"/>
      <w:jc w:val="left"/>
    </w:pPr>
    <w:rPr>
      <w:rFonts w:ascii="Calibri" w:hAnsi="Calibri"/>
      <w:sz w:val="20"/>
      <w:szCs w:val="20"/>
    </w:rPr>
  </w:style>
  <w:style w:type="paragraph" w:styleId="27">
    <w:name w:val="toc 2"/>
    <w:basedOn w:val="1"/>
    <w:next w:val="1"/>
    <w:semiHidden/>
    <w:qFormat/>
    <w:uiPriority w:val="0"/>
    <w:pPr>
      <w:tabs>
        <w:tab w:val="right" w:leader="dot" w:pos="9242"/>
      </w:tabs>
    </w:pPr>
    <w:rPr>
      <w:rFonts w:ascii="宋体"/>
      <w:szCs w:val="21"/>
    </w:rPr>
  </w:style>
  <w:style w:type="paragraph" w:styleId="28">
    <w:name w:val="toc 9"/>
    <w:basedOn w:val="1"/>
    <w:next w:val="1"/>
    <w:semiHidden/>
    <w:qFormat/>
    <w:uiPriority w:val="0"/>
    <w:pPr>
      <w:ind w:left="1470"/>
      <w:jc w:val="left"/>
    </w:pPr>
    <w:rPr>
      <w:sz w:val="20"/>
      <w:szCs w:val="20"/>
    </w:rPr>
  </w:style>
  <w:style w:type="paragraph" w:styleId="29">
    <w:name w:val="index 2"/>
    <w:basedOn w:val="1"/>
    <w:next w:val="1"/>
    <w:qFormat/>
    <w:uiPriority w:val="0"/>
    <w:pPr>
      <w:ind w:left="420" w:hanging="210"/>
      <w:jc w:val="left"/>
    </w:pPr>
    <w:rPr>
      <w:rFonts w:ascii="Calibri" w:hAnsi="Calibri"/>
      <w:sz w:val="20"/>
      <w:szCs w:val="20"/>
    </w:rPr>
  </w:style>
  <w:style w:type="table" w:styleId="31">
    <w:name w:val="Table Grid"/>
    <w:basedOn w:val="30"/>
    <w:qFormat/>
    <w:uiPriority w:val="0"/>
    <w:rPr>
      <w:rFonts w:ascii="宋体"/>
      <w:sz w:val="18"/>
      <w:szCs w:val="18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33">
    <w:name w:val="endnote reference"/>
    <w:basedOn w:val="32"/>
    <w:semiHidden/>
    <w:qFormat/>
    <w:uiPriority w:val="0"/>
    <w:rPr>
      <w:vertAlign w:val="superscript"/>
    </w:rPr>
  </w:style>
  <w:style w:type="character" w:styleId="34">
    <w:name w:val="page number"/>
    <w:basedOn w:val="32"/>
    <w:qFormat/>
    <w:uiPriority w:val="0"/>
    <w:rPr>
      <w:rFonts w:ascii="Times New Roman" w:hAnsi="Times New Roman" w:eastAsia="宋体"/>
      <w:sz w:val="18"/>
    </w:rPr>
  </w:style>
  <w:style w:type="character" w:styleId="35">
    <w:name w:val="FollowedHyperlink"/>
    <w:basedOn w:val="32"/>
    <w:qFormat/>
    <w:uiPriority w:val="0"/>
    <w:rPr>
      <w:color w:val="800080"/>
      <w:u w:val="single"/>
    </w:rPr>
  </w:style>
  <w:style w:type="character" w:styleId="36">
    <w:name w:val="Hyperlink"/>
    <w:basedOn w:val="32"/>
    <w:qFormat/>
    <w:uiPriority w:val="0"/>
    <w:rPr>
      <w:color w:val="0000FF"/>
      <w:spacing w:val="0"/>
      <w:w w:val="100"/>
      <w:szCs w:val="21"/>
      <w:u w:val="single"/>
    </w:rPr>
  </w:style>
  <w:style w:type="character" w:styleId="37">
    <w:name w:val="footnote reference"/>
    <w:basedOn w:val="32"/>
    <w:semiHidden/>
    <w:qFormat/>
    <w:uiPriority w:val="0"/>
    <w:rPr>
      <w:vertAlign w:val="superscript"/>
    </w:rPr>
  </w:style>
  <w:style w:type="character" w:customStyle="1" w:styleId="38">
    <w:name w:val="附录公式 Char"/>
    <w:basedOn w:val="39"/>
    <w:link w:val="40"/>
    <w:qFormat/>
    <w:uiPriority w:val="0"/>
    <w:rPr>
      <w:rFonts w:ascii="宋体"/>
      <w:sz w:val="21"/>
      <w:lang w:val="en-US" w:eastAsia="zh-CN" w:bidi="ar-SA"/>
    </w:rPr>
  </w:style>
  <w:style w:type="character" w:customStyle="1" w:styleId="39">
    <w:name w:val="段 Char"/>
    <w:basedOn w:val="32"/>
    <w:link w:val="22"/>
    <w:qFormat/>
    <w:uiPriority w:val="0"/>
    <w:rPr>
      <w:rFonts w:ascii="宋体"/>
      <w:sz w:val="21"/>
      <w:lang w:val="en-US" w:eastAsia="zh-CN" w:bidi="ar-SA"/>
    </w:rPr>
  </w:style>
  <w:style w:type="paragraph" w:customStyle="1" w:styleId="40">
    <w:name w:val="附录公式"/>
    <w:basedOn w:val="22"/>
    <w:next w:val="22"/>
    <w:link w:val="38"/>
    <w:qFormat/>
    <w:uiPriority w:val="0"/>
  </w:style>
  <w:style w:type="character" w:customStyle="1" w:styleId="41">
    <w:name w:val="段 Char Char"/>
    <w:basedOn w:val="32"/>
    <w:qFormat/>
    <w:uiPriority w:val="0"/>
    <w:rPr>
      <w:rFonts w:ascii="宋体" w:eastAsia="宋体"/>
      <w:sz w:val="21"/>
      <w:lang w:val="en-US" w:eastAsia="zh-CN" w:bidi="ar-SA"/>
    </w:rPr>
  </w:style>
  <w:style w:type="character" w:customStyle="1" w:styleId="42">
    <w:name w:val="标题 2 字符"/>
    <w:basedOn w:val="32"/>
    <w:link w:val="2"/>
    <w:qFormat/>
    <w:uiPriority w:val="99"/>
    <w:rPr>
      <w:rFonts w:ascii="Arial" w:hAnsi="Arial" w:eastAsia="黑体"/>
      <w:b/>
      <w:kern w:val="2"/>
      <w:sz w:val="32"/>
      <w:szCs w:val="24"/>
    </w:rPr>
  </w:style>
  <w:style w:type="character" w:customStyle="1" w:styleId="43">
    <w:name w:val="发布"/>
    <w:basedOn w:val="32"/>
    <w:qFormat/>
    <w:uiPriority w:val="0"/>
    <w:rPr>
      <w:rFonts w:ascii="黑体" w:eastAsia="黑体"/>
      <w:spacing w:val="85"/>
      <w:w w:val="100"/>
      <w:position w:val="3"/>
      <w:sz w:val="28"/>
      <w:szCs w:val="28"/>
    </w:rPr>
  </w:style>
  <w:style w:type="character" w:customStyle="1" w:styleId="44">
    <w:name w:val="首示例 Char"/>
    <w:basedOn w:val="32"/>
    <w:link w:val="45"/>
    <w:qFormat/>
    <w:uiPriority w:val="0"/>
    <w:rPr>
      <w:rFonts w:ascii="宋体" w:hAnsi="宋体"/>
      <w:kern w:val="2"/>
      <w:sz w:val="18"/>
      <w:szCs w:val="18"/>
    </w:rPr>
  </w:style>
  <w:style w:type="paragraph" w:customStyle="1" w:styleId="45">
    <w:name w:val="首示例"/>
    <w:next w:val="22"/>
    <w:link w:val="44"/>
    <w:qFormat/>
    <w:uiPriority w:val="0"/>
    <w:pPr>
      <w:numPr>
        <w:ilvl w:val="0"/>
        <w:numId w:val="2"/>
      </w:numPr>
      <w:tabs>
        <w:tab w:val="left" w:pos="360"/>
      </w:tabs>
      <w:ind w:firstLine="0"/>
    </w:pPr>
    <w:rPr>
      <w:rFonts w:ascii="宋体" w:hAnsi="宋体" w:eastAsia="宋体" w:cs="Times New Roman"/>
      <w:kern w:val="2"/>
      <w:sz w:val="18"/>
      <w:szCs w:val="18"/>
      <w:lang w:val="en-US" w:eastAsia="zh-CN" w:bidi="ar-SA"/>
    </w:rPr>
  </w:style>
  <w:style w:type="paragraph" w:customStyle="1" w:styleId="46">
    <w:name w:val="封面一致性程度标识2"/>
    <w:basedOn w:val="47"/>
    <w:qFormat/>
    <w:uiPriority w:val="0"/>
    <w:pPr>
      <w:framePr w:y="4469"/>
    </w:pPr>
  </w:style>
  <w:style w:type="paragraph" w:customStyle="1" w:styleId="47">
    <w:name w:val="封面一致性程度标识"/>
    <w:basedOn w:val="48"/>
    <w:qFormat/>
    <w:uiPriority w:val="0"/>
    <w:pPr>
      <w:framePr/>
      <w:spacing w:before="440"/>
    </w:pPr>
    <w:rPr>
      <w:rFonts w:ascii="宋体" w:eastAsia="宋体"/>
    </w:rPr>
  </w:style>
  <w:style w:type="paragraph" w:customStyle="1" w:styleId="48">
    <w:name w:val="封面标准英文名称"/>
    <w:basedOn w:val="49"/>
    <w:qFormat/>
    <w:uiPriority w:val="0"/>
    <w:pPr>
      <w:framePr/>
      <w:spacing w:before="370" w:line="400" w:lineRule="exact"/>
    </w:pPr>
    <w:rPr>
      <w:rFonts w:ascii="Times New Roman"/>
      <w:sz w:val="28"/>
      <w:szCs w:val="28"/>
    </w:rPr>
  </w:style>
  <w:style w:type="paragraph" w:customStyle="1" w:styleId="49">
    <w:name w:val="封面标准名称"/>
    <w:qFormat/>
    <w:uiPriority w:val="0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sz w:val="52"/>
      <w:lang w:val="en-US" w:eastAsia="zh-CN" w:bidi="ar-SA"/>
    </w:rPr>
  </w:style>
  <w:style w:type="paragraph" w:customStyle="1" w:styleId="50">
    <w:name w:val="标准书眉_偶数页"/>
    <w:basedOn w:val="51"/>
    <w:next w:val="1"/>
    <w:qFormat/>
    <w:uiPriority w:val="0"/>
    <w:pPr>
      <w:tabs>
        <w:tab w:val="center" w:pos="4154"/>
        <w:tab w:val="right" w:pos="8306"/>
      </w:tabs>
      <w:jc w:val="left"/>
    </w:pPr>
  </w:style>
  <w:style w:type="paragraph" w:customStyle="1" w:styleId="51">
    <w:name w:val="标准书眉_奇数页"/>
    <w:next w:val="1"/>
    <w:qFormat/>
    <w:uiPriority w:val="0"/>
    <w:pPr>
      <w:tabs>
        <w:tab w:val="center" w:pos="4154"/>
        <w:tab w:val="right" w:pos="8306"/>
      </w:tabs>
      <w:spacing w:after="220"/>
      <w:jc w:val="right"/>
    </w:pPr>
    <w:rPr>
      <w:rFonts w:ascii="黑体" w:hAnsi="Times New Roman" w:eastAsia="黑体" w:cs="Times New Roman"/>
      <w:sz w:val="21"/>
      <w:szCs w:val="21"/>
      <w:lang w:val="en-US" w:eastAsia="zh-CN" w:bidi="ar-SA"/>
    </w:rPr>
  </w:style>
  <w:style w:type="paragraph" w:customStyle="1" w:styleId="52">
    <w:name w:val="目次、索引正文"/>
    <w:qFormat/>
    <w:uiPriority w:val="0"/>
    <w:pPr>
      <w:spacing w:line="320" w:lineRule="exact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53">
    <w:name w:val="附录公式编号制表符"/>
    <w:basedOn w:val="1"/>
    <w:next w:val="22"/>
    <w:qFormat/>
    <w:uiPriority w:val="0"/>
    <w:pPr>
      <w:widowControl/>
      <w:tabs>
        <w:tab w:val="center" w:pos="4201"/>
        <w:tab w:val="right" w:leader="dot" w:pos="9298"/>
      </w:tabs>
      <w:autoSpaceDE w:val="0"/>
      <w:autoSpaceDN w:val="0"/>
    </w:pPr>
    <w:rPr>
      <w:rFonts w:ascii="宋体"/>
      <w:kern w:val="0"/>
      <w:szCs w:val="20"/>
    </w:rPr>
  </w:style>
  <w:style w:type="paragraph" w:customStyle="1" w:styleId="54">
    <w:name w:val="示例×："/>
    <w:basedOn w:val="55"/>
    <w:qFormat/>
    <w:uiPriority w:val="0"/>
    <w:pPr>
      <w:numPr>
        <w:numId w:val="3"/>
      </w:numPr>
      <w:spacing w:before="0" w:beforeLines="0" w:after="0" w:afterLines="0"/>
      <w:outlineLvl w:val="9"/>
    </w:pPr>
    <w:rPr>
      <w:rFonts w:ascii="宋体" w:eastAsia="宋体"/>
      <w:sz w:val="18"/>
      <w:szCs w:val="18"/>
    </w:rPr>
  </w:style>
  <w:style w:type="paragraph" w:customStyle="1" w:styleId="55">
    <w:name w:val="章标题"/>
    <w:next w:val="22"/>
    <w:qFormat/>
    <w:uiPriority w:val="0"/>
    <w:pPr>
      <w:numPr>
        <w:ilvl w:val="0"/>
        <w:numId w:val="4"/>
      </w:numPr>
      <w:spacing w:before="312" w:beforeLines="100" w:after="312" w:afterLines="100"/>
      <w:jc w:val="both"/>
      <w:outlineLvl w:val="1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56">
    <w:name w:val="示例"/>
    <w:next w:val="57"/>
    <w:qFormat/>
    <w:uiPriority w:val="0"/>
    <w:pPr>
      <w:widowControl w:val="0"/>
      <w:numPr>
        <w:ilvl w:val="0"/>
        <w:numId w:val="5"/>
      </w:numPr>
      <w:jc w:val="both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57">
    <w:name w:val="示例内容"/>
    <w:qFormat/>
    <w:uiPriority w:val="0"/>
    <w:pPr>
      <w:ind w:firstLine="200" w:firstLineChars="200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58">
    <w:name w:val="五级无"/>
    <w:basedOn w:val="59"/>
    <w:qFormat/>
    <w:uiPriority w:val="0"/>
    <w:pPr>
      <w:spacing w:before="0" w:beforeLines="0" w:after="0" w:afterLines="0"/>
    </w:pPr>
    <w:rPr>
      <w:rFonts w:ascii="宋体" w:eastAsia="宋体"/>
    </w:rPr>
  </w:style>
  <w:style w:type="paragraph" w:customStyle="1" w:styleId="59">
    <w:name w:val="五级条标题"/>
    <w:basedOn w:val="60"/>
    <w:next w:val="22"/>
    <w:qFormat/>
    <w:uiPriority w:val="0"/>
    <w:pPr>
      <w:numPr>
        <w:ilvl w:val="5"/>
      </w:numPr>
      <w:outlineLvl w:val="6"/>
    </w:pPr>
  </w:style>
  <w:style w:type="paragraph" w:customStyle="1" w:styleId="60">
    <w:name w:val="四级条标题"/>
    <w:basedOn w:val="61"/>
    <w:next w:val="22"/>
    <w:qFormat/>
    <w:uiPriority w:val="0"/>
    <w:pPr>
      <w:numPr>
        <w:ilvl w:val="4"/>
        <w:numId w:val="4"/>
      </w:numPr>
      <w:outlineLvl w:val="5"/>
    </w:pPr>
  </w:style>
  <w:style w:type="paragraph" w:customStyle="1" w:styleId="61">
    <w:name w:val="三级条标题"/>
    <w:basedOn w:val="62"/>
    <w:next w:val="22"/>
    <w:qFormat/>
    <w:uiPriority w:val="0"/>
    <w:pPr>
      <w:numPr>
        <w:ilvl w:val="0"/>
        <w:numId w:val="0"/>
      </w:numPr>
      <w:outlineLvl w:val="4"/>
    </w:pPr>
  </w:style>
  <w:style w:type="paragraph" w:customStyle="1" w:styleId="62">
    <w:name w:val="二级条标题"/>
    <w:basedOn w:val="63"/>
    <w:next w:val="22"/>
    <w:qFormat/>
    <w:uiPriority w:val="0"/>
    <w:pPr>
      <w:numPr>
        <w:ilvl w:val="2"/>
      </w:numPr>
      <w:spacing w:before="50" w:after="50"/>
      <w:outlineLvl w:val="3"/>
    </w:pPr>
  </w:style>
  <w:style w:type="paragraph" w:customStyle="1" w:styleId="63">
    <w:name w:val="一级条标题"/>
    <w:next w:val="22"/>
    <w:qFormat/>
    <w:uiPriority w:val="0"/>
    <w:pPr>
      <w:numPr>
        <w:ilvl w:val="1"/>
        <w:numId w:val="4"/>
      </w:numPr>
      <w:spacing w:before="156" w:beforeLines="50" w:after="156" w:afterLines="50"/>
      <w:outlineLvl w:val="2"/>
    </w:pPr>
    <w:rPr>
      <w:rFonts w:ascii="黑体" w:hAnsi="Times New Roman" w:eastAsia="黑体" w:cs="Times New Roman"/>
      <w:sz w:val="21"/>
      <w:szCs w:val="21"/>
      <w:lang w:val="en-US" w:eastAsia="zh-CN" w:bidi="ar-SA"/>
    </w:rPr>
  </w:style>
  <w:style w:type="paragraph" w:customStyle="1" w:styleId="64">
    <w:name w:val="目次、标准名称标题"/>
    <w:basedOn w:val="1"/>
    <w:next w:val="22"/>
    <w:qFormat/>
    <w:uiPriority w:val="0"/>
    <w:pPr>
      <w:keepNext/>
      <w:pageBreakBefore/>
      <w:widowControl/>
      <w:shd w:val="clear" w:color="FFFFFF" w:fill="FFFFFF"/>
      <w:spacing w:before="640" w:after="560" w:line="460" w:lineRule="exact"/>
      <w:jc w:val="center"/>
      <w:outlineLvl w:val="0"/>
    </w:pPr>
    <w:rPr>
      <w:rFonts w:ascii="黑体" w:eastAsia="黑体"/>
      <w:kern w:val="0"/>
      <w:sz w:val="32"/>
      <w:szCs w:val="20"/>
    </w:rPr>
  </w:style>
  <w:style w:type="paragraph" w:customStyle="1" w:styleId="65">
    <w:name w:val="列项说明"/>
    <w:basedOn w:val="1"/>
    <w:qFormat/>
    <w:uiPriority w:val="0"/>
    <w:pPr>
      <w:adjustRightInd w:val="0"/>
      <w:spacing w:line="320" w:lineRule="exact"/>
      <w:ind w:left="400" w:leftChars="200" w:hanging="200" w:hangingChars="200"/>
      <w:jc w:val="left"/>
      <w:textAlignment w:val="baseline"/>
    </w:pPr>
    <w:rPr>
      <w:rFonts w:ascii="宋体"/>
      <w:kern w:val="0"/>
      <w:szCs w:val="20"/>
    </w:rPr>
  </w:style>
  <w:style w:type="paragraph" w:customStyle="1" w:styleId="66">
    <w:name w:val="注："/>
    <w:next w:val="22"/>
    <w:qFormat/>
    <w:uiPriority w:val="0"/>
    <w:pPr>
      <w:widowControl w:val="0"/>
      <w:numPr>
        <w:ilvl w:val="0"/>
        <w:numId w:val="6"/>
      </w:numPr>
      <w:autoSpaceDE w:val="0"/>
      <w:autoSpaceDN w:val="0"/>
      <w:jc w:val="both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67">
    <w:name w:val="封面标准号2"/>
    <w:qFormat/>
    <w:uiPriority w:val="0"/>
    <w:pPr>
      <w:framePr w:w="9140" w:h="1242" w:hRule="exact" w:hSpace="284" w:wrap="around" w:vAnchor="page" w:hAnchor="page" w:x="1645" w:y="2910" w:anchorLock="1"/>
      <w:spacing w:before="357" w:line="280" w:lineRule="exact"/>
      <w:jc w:val="right"/>
    </w:pPr>
    <w:rPr>
      <w:rFonts w:ascii="黑体" w:hAnsi="Times New Roman" w:eastAsia="黑体" w:cs="Times New Roman"/>
      <w:sz w:val="28"/>
      <w:szCs w:val="28"/>
      <w:lang w:val="en-US" w:eastAsia="zh-CN" w:bidi="ar-SA"/>
    </w:rPr>
  </w:style>
  <w:style w:type="paragraph" w:customStyle="1" w:styleId="68">
    <w:name w:val="正文图标题"/>
    <w:next w:val="22"/>
    <w:qFormat/>
    <w:uiPriority w:val="0"/>
    <w:pPr>
      <w:numPr>
        <w:ilvl w:val="0"/>
        <w:numId w:val="7"/>
      </w:numPr>
      <w:spacing w:before="156" w:beforeLines="50" w:after="156" w:afterLines="50"/>
      <w:jc w:val="center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69">
    <w:name w:val="封面标准文稿类别"/>
    <w:basedOn w:val="47"/>
    <w:qFormat/>
    <w:uiPriority w:val="0"/>
    <w:pPr>
      <w:framePr/>
      <w:spacing w:after="160" w:line="240" w:lineRule="auto"/>
    </w:pPr>
    <w:rPr>
      <w:sz w:val="24"/>
    </w:rPr>
  </w:style>
  <w:style w:type="paragraph" w:customStyle="1" w:styleId="70">
    <w:name w:val="字母编号列项（一级）"/>
    <w:qFormat/>
    <w:uiPriority w:val="0"/>
    <w:pPr>
      <w:numPr>
        <w:ilvl w:val="0"/>
        <w:numId w:val="8"/>
      </w:numPr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71">
    <w:name w:val="封面标准文稿编辑信息"/>
    <w:basedOn w:val="69"/>
    <w:qFormat/>
    <w:uiPriority w:val="0"/>
    <w:pPr>
      <w:framePr/>
      <w:spacing w:before="180" w:line="180" w:lineRule="exact"/>
    </w:pPr>
    <w:rPr>
      <w:sz w:val="21"/>
    </w:rPr>
  </w:style>
  <w:style w:type="paragraph" w:customStyle="1" w:styleId="72">
    <w:name w:val="终结线"/>
    <w:basedOn w:val="1"/>
    <w:qFormat/>
    <w:uiPriority w:val="0"/>
    <w:pPr>
      <w:framePr w:hSpace="181" w:vSpace="181" w:wrap="around" w:vAnchor="text" w:hAnchor="margin" w:xAlign="center" w:y="285"/>
    </w:pPr>
  </w:style>
  <w:style w:type="paragraph" w:customStyle="1" w:styleId="73">
    <w:name w:val="附录标题"/>
    <w:basedOn w:val="22"/>
    <w:next w:val="22"/>
    <w:qFormat/>
    <w:uiPriority w:val="0"/>
    <w:pPr>
      <w:ind w:firstLine="0" w:firstLineChars="0"/>
      <w:jc w:val="center"/>
    </w:pPr>
    <w:rPr>
      <w:rFonts w:ascii="黑体" w:eastAsia="黑体"/>
    </w:rPr>
  </w:style>
  <w:style w:type="paragraph" w:customStyle="1" w:styleId="74">
    <w:name w:val="标准书脚_奇数页"/>
    <w:qFormat/>
    <w:uiPriority w:val="0"/>
    <w:pPr>
      <w:spacing w:before="120"/>
      <w:ind w:right="198"/>
      <w:jc w:val="right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75">
    <w:name w:val="封面标准号1"/>
    <w:qFormat/>
    <w:uiPriority w:val="0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rFonts w:ascii="Times New Roman" w:hAnsi="Times New Roman" w:eastAsia="宋体" w:cs="Times New Roman"/>
      <w:sz w:val="28"/>
      <w:lang w:val="en-US" w:eastAsia="zh-CN" w:bidi="ar-SA"/>
    </w:rPr>
  </w:style>
  <w:style w:type="paragraph" w:customStyle="1" w:styleId="76">
    <w:name w:val="标准书眉一"/>
    <w:qFormat/>
    <w:uiPriority w:val="0"/>
    <w:pPr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77">
    <w:name w:val="其他标准称谓"/>
    <w:next w:val="1"/>
    <w:qFormat/>
    <w:uiPriority w:val="0"/>
    <w:pPr>
      <w:framePr w:hSpace="181" w:vSpace="181" w:wrap="around" w:vAnchor="page" w:hAnchor="page" w:x="1419" w:y="2286" w:anchorLock="1"/>
      <w:spacing w:line="0" w:lineRule="atLeast"/>
      <w:jc w:val="distribute"/>
    </w:pPr>
    <w:rPr>
      <w:rFonts w:ascii="黑体" w:hAnsi="宋体" w:eastAsia="黑体" w:cs="Times New Roman"/>
      <w:spacing w:val="-40"/>
      <w:sz w:val="48"/>
      <w:szCs w:val="52"/>
      <w:lang w:val="en-US" w:eastAsia="zh-CN" w:bidi="ar-SA"/>
    </w:rPr>
  </w:style>
  <w:style w:type="paragraph" w:customStyle="1" w:styleId="78">
    <w:name w:val="附录字母编号列项（一级）"/>
    <w:qFormat/>
    <w:uiPriority w:val="0"/>
    <w:pPr>
      <w:numPr>
        <w:ilvl w:val="0"/>
        <w:numId w:val="9"/>
      </w:numPr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79">
    <w:name w:val="标准标志"/>
    <w:next w:val="1"/>
    <w:qFormat/>
    <w:uiPriority w:val="0"/>
    <w:pPr>
      <w:framePr w:w="2546" w:h="1389" w:hRule="exact" w:hSpace="181" w:vSpace="181" w:wrap="around" w:vAnchor="margin" w:hAnchor="margin" w:x="6522" w:y="398" w:anchorLock="1"/>
      <w:shd w:val="solid" w:color="FFFFFF" w:fill="FFFFFF"/>
      <w:spacing w:line="0" w:lineRule="atLeast"/>
      <w:jc w:val="right"/>
    </w:pPr>
    <w:rPr>
      <w:rFonts w:ascii="Times New Roman" w:hAnsi="Times New Roman" w:eastAsia="宋体" w:cs="Times New Roman"/>
      <w:b/>
      <w:w w:val="170"/>
      <w:sz w:val="96"/>
      <w:szCs w:val="96"/>
      <w:lang w:val="en-US" w:eastAsia="zh-CN" w:bidi="ar-SA"/>
    </w:rPr>
  </w:style>
  <w:style w:type="paragraph" w:customStyle="1" w:styleId="80">
    <w:name w:val="发布日期"/>
    <w:qFormat/>
    <w:uiPriority w:val="0"/>
    <w:pPr>
      <w:framePr w:w="3997" w:h="471" w:hRule="exact" w:vSpace="181" w:wrap="around" w:vAnchor="margin" w:hAnchor="page" w:x="7089" w:y="14097" w:anchorLock="1"/>
    </w:pPr>
    <w:rPr>
      <w:rFonts w:ascii="Times New Roman" w:hAnsi="Times New Roman" w:eastAsia="黑体" w:cs="Times New Roman"/>
      <w:sz w:val="28"/>
      <w:lang w:val="en-US" w:eastAsia="zh-CN" w:bidi="ar-SA"/>
    </w:rPr>
  </w:style>
  <w:style w:type="paragraph" w:customStyle="1" w:styleId="81">
    <w:name w:val="二级无"/>
    <w:basedOn w:val="62"/>
    <w:qFormat/>
    <w:uiPriority w:val="0"/>
    <w:pPr>
      <w:spacing w:before="0" w:beforeLines="0" w:after="0" w:afterLines="0"/>
      <w:ind w:left="0"/>
    </w:pPr>
    <w:rPr>
      <w:rFonts w:ascii="宋体" w:eastAsia="宋体"/>
    </w:rPr>
  </w:style>
  <w:style w:type="paragraph" w:customStyle="1" w:styleId="82">
    <w:name w:val="附录二级条标题"/>
    <w:basedOn w:val="1"/>
    <w:next w:val="22"/>
    <w:qFormat/>
    <w:uiPriority w:val="0"/>
    <w:pPr>
      <w:widowControl/>
      <w:numPr>
        <w:ilvl w:val="3"/>
        <w:numId w:val="10"/>
      </w:numPr>
      <w:tabs>
        <w:tab w:val="left" w:pos="360"/>
      </w:tabs>
      <w:wordWrap w:val="0"/>
      <w:overflowPunct w:val="0"/>
      <w:autoSpaceDE w:val="0"/>
      <w:autoSpaceDN w:val="0"/>
      <w:spacing w:before="50" w:beforeLines="50" w:after="50" w:afterLines="50"/>
      <w:textAlignment w:val="baseline"/>
      <w:outlineLvl w:val="3"/>
    </w:pPr>
    <w:rPr>
      <w:rFonts w:ascii="黑体" w:eastAsia="黑体"/>
      <w:kern w:val="21"/>
      <w:szCs w:val="20"/>
    </w:rPr>
  </w:style>
  <w:style w:type="paragraph" w:customStyle="1" w:styleId="83">
    <w:name w:val="编号列项（三级）"/>
    <w:qFormat/>
    <w:uiPriority w:val="0"/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84">
    <w:name w:val="附录表标号"/>
    <w:basedOn w:val="1"/>
    <w:next w:val="22"/>
    <w:qFormat/>
    <w:uiPriority w:val="0"/>
    <w:pPr>
      <w:numPr>
        <w:ilvl w:val="0"/>
        <w:numId w:val="11"/>
      </w:numPr>
      <w:tabs>
        <w:tab w:val="clear" w:pos="0"/>
      </w:tabs>
      <w:spacing w:line="14" w:lineRule="exact"/>
      <w:ind w:left="811" w:hanging="448"/>
      <w:jc w:val="center"/>
      <w:outlineLvl w:val="0"/>
    </w:pPr>
    <w:rPr>
      <w:color w:val="FFFFFF"/>
    </w:rPr>
  </w:style>
  <w:style w:type="paragraph" w:customStyle="1" w:styleId="85">
    <w:name w:val="标准称谓"/>
    <w:next w:val="1"/>
    <w:qFormat/>
    <w:uiPriority w:val="0"/>
    <w:pPr>
      <w:framePr w:w="9639" w:h="624" w:hRule="exact" w:hSpace="181" w:vSpace="181" w:wrap="around" w:vAnchor="page" w:hAnchor="page" w:x="1419" w:y="2286" w:anchorLock="1"/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宋体" w:hAnsi="Times New Roman" w:eastAsia="宋体" w:cs="Times New Roman"/>
      <w:b/>
      <w:bCs/>
      <w:spacing w:val="20"/>
      <w:w w:val="148"/>
      <w:sz w:val="48"/>
      <w:lang w:val="en-US" w:eastAsia="zh-CN" w:bidi="ar-SA"/>
    </w:rPr>
  </w:style>
  <w:style w:type="paragraph" w:customStyle="1" w:styleId="86">
    <w:name w:val="封面标准文稿类别2"/>
    <w:basedOn w:val="69"/>
    <w:qFormat/>
    <w:uiPriority w:val="0"/>
    <w:pPr>
      <w:framePr w:y="4469"/>
    </w:pPr>
  </w:style>
  <w:style w:type="paragraph" w:customStyle="1" w:styleId="87">
    <w:name w:val="附录图标题"/>
    <w:basedOn w:val="1"/>
    <w:next w:val="22"/>
    <w:qFormat/>
    <w:uiPriority w:val="0"/>
    <w:pPr>
      <w:numPr>
        <w:ilvl w:val="1"/>
        <w:numId w:val="12"/>
      </w:numPr>
      <w:tabs>
        <w:tab w:val="left" w:pos="363"/>
      </w:tabs>
      <w:spacing w:before="50" w:beforeLines="50" w:after="50" w:afterLines="50"/>
      <w:ind w:left="0" w:firstLine="0"/>
      <w:jc w:val="center"/>
    </w:pPr>
    <w:rPr>
      <w:rFonts w:ascii="黑体" w:eastAsia="黑体"/>
      <w:szCs w:val="21"/>
    </w:rPr>
  </w:style>
  <w:style w:type="paragraph" w:customStyle="1" w:styleId="88">
    <w:name w:val="注×：（正文）"/>
    <w:qFormat/>
    <w:uiPriority w:val="0"/>
    <w:pPr>
      <w:numPr>
        <w:ilvl w:val="0"/>
        <w:numId w:val="13"/>
      </w:numPr>
      <w:jc w:val="both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89">
    <w:name w:val="数字编号列项（二级）"/>
    <w:qFormat/>
    <w:uiPriority w:val="0"/>
    <w:pPr>
      <w:numPr>
        <w:ilvl w:val="1"/>
        <w:numId w:val="8"/>
      </w:numPr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90">
    <w:name w:val="正文表标题"/>
    <w:next w:val="22"/>
    <w:qFormat/>
    <w:uiPriority w:val="0"/>
    <w:pPr>
      <w:numPr>
        <w:ilvl w:val="0"/>
        <w:numId w:val="14"/>
      </w:numPr>
      <w:tabs>
        <w:tab w:val="left" w:pos="360"/>
      </w:tabs>
      <w:spacing w:before="156" w:beforeLines="50" w:after="156" w:afterLines="50"/>
      <w:jc w:val="center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91">
    <w:name w:val="参考文献、索引标题"/>
    <w:basedOn w:val="1"/>
    <w:next w:val="22"/>
    <w:qFormat/>
    <w:uiPriority w:val="0"/>
    <w:pPr>
      <w:keepNext/>
      <w:pageBreakBefore/>
      <w:widowControl/>
      <w:shd w:val="clear" w:color="FFFFFF" w:fill="FFFFFF"/>
      <w:spacing w:before="640" w:after="20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92">
    <w:name w:val="实施日期"/>
    <w:basedOn w:val="80"/>
    <w:qFormat/>
    <w:uiPriority w:val="0"/>
    <w:pPr>
      <w:framePr w:vAnchor="page" w:hAnchor="text"/>
      <w:jc w:val="right"/>
    </w:pPr>
  </w:style>
  <w:style w:type="paragraph" w:customStyle="1" w:styleId="93">
    <w:name w:val="前言、引言标题"/>
    <w:next w:val="22"/>
    <w:qFormat/>
    <w:uiPriority w:val="0"/>
    <w:pPr>
      <w:keepNext/>
      <w:pageBreakBefore/>
      <w:shd w:val="clear" w:color="FFFFFF" w:fill="FFFFFF"/>
      <w:spacing w:before="640" w:after="560"/>
      <w:jc w:val="center"/>
      <w:outlineLvl w:val="0"/>
    </w:pPr>
    <w:rPr>
      <w:rFonts w:ascii="黑体" w:hAnsi="Times New Roman" w:eastAsia="黑体" w:cs="Times New Roman"/>
      <w:sz w:val="32"/>
      <w:lang w:val="en-US" w:eastAsia="zh-CN" w:bidi="ar-SA"/>
    </w:rPr>
  </w:style>
  <w:style w:type="paragraph" w:customStyle="1" w:styleId="94">
    <w:name w:val="注：（正文）"/>
    <w:basedOn w:val="66"/>
    <w:next w:val="22"/>
    <w:qFormat/>
    <w:uiPriority w:val="0"/>
    <w:pPr>
      <w:numPr>
        <w:ilvl w:val="0"/>
        <w:numId w:val="15"/>
      </w:numPr>
    </w:pPr>
  </w:style>
  <w:style w:type="paragraph" w:customStyle="1" w:styleId="95">
    <w:name w:val="注×："/>
    <w:qFormat/>
    <w:uiPriority w:val="0"/>
    <w:pPr>
      <w:widowControl w:val="0"/>
      <w:numPr>
        <w:ilvl w:val="0"/>
        <w:numId w:val="16"/>
      </w:numPr>
      <w:autoSpaceDE w:val="0"/>
      <w:autoSpaceDN w:val="0"/>
      <w:jc w:val="both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96">
    <w:name w:val="列项——（一级）"/>
    <w:qFormat/>
    <w:uiPriority w:val="0"/>
    <w:pPr>
      <w:widowControl w:val="0"/>
      <w:numPr>
        <w:ilvl w:val="0"/>
        <w:numId w:val="17"/>
      </w:numPr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97">
    <w:name w:val="标准书脚_偶数页"/>
    <w:qFormat/>
    <w:uiPriority w:val="0"/>
    <w:pPr>
      <w:spacing w:before="120"/>
      <w:ind w:left="221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98">
    <w:name w:val="附录二级无"/>
    <w:basedOn w:val="82"/>
    <w:qFormat/>
    <w:uiPriority w:val="0"/>
    <w:pPr>
      <w:tabs>
        <w:tab w:val="clear" w:pos="360"/>
      </w:tabs>
      <w:spacing w:before="0" w:beforeLines="0" w:after="0" w:afterLines="0"/>
    </w:pPr>
    <w:rPr>
      <w:rFonts w:ascii="宋体" w:eastAsia="宋体"/>
      <w:szCs w:val="21"/>
    </w:rPr>
  </w:style>
  <w:style w:type="paragraph" w:customStyle="1" w:styleId="99">
    <w:name w:val="列项◆（三级）"/>
    <w:basedOn w:val="1"/>
    <w:qFormat/>
    <w:uiPriority w:val="0"/>
    <w:pPr>
      <w:numPr>
        <w:ilvl w:val="2"/>
        <w:numId w:val="17"/>
      </w:numPr>
    </w:pPr>
    <w:rPr>
      <w:rFonts w:ascii="宋体"/>
      <w:szCs w:val="21"/>
    </w:rPr>
  </w:style>
  <w:style w:type="paragraph" w:customStyle="1" w:styleId="100">
    <w:name w:val="列项●（二级）"/>
    <w:qFormat/>
    <w:uiPriority w:val="0"/>
    <w:pPr>
      <w:numPr>
        <w:ilvl w:val="1"/>
        <w:numId w:val="17"/>
      </w:numPr>
      <w:tabs>
        <w:tab w:val="left" w:pos="840"/>
      </w:tabs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01">
    <w:name w:val="参考文献"/>
    <w:basedOn w:val="1"/>
    <w:next w:val="22"/>
    <w:qFormat/>
    <w:uiPriority w:val="0"/>
    <w:pPr>
      <w:keepNext/>
      <w:pageBreakBefore/>
      <w:widowControl/>
      <w:shd w:val="clear" w:color="FFFFFF" w:fill="FFFFFF"/>
      <w:spacing w:before="640" w:after="20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102">
    <w:name w:val="封面标准代替信息"/>
    <w:qFormat/>
    <w:uiPriority w:val="0"/>
    <w:pPr>
      <w:framePr w:w="9140" w:h="1242" w:hRule="exact" w:hSpace="284" w:wrap="around" w:vAnchor="page" w:hAnchor="page" w:x="1645" w:y="2910" w:anchorLock="1"/>
      <w:spacing w:before="57" w:line="280" w:lineRule="exact"/>
      <w:jc w:val="right"/>
    </w:pPr>
    <w:rPr>
      <w:rFonts w:ascii="宋体" w:hAnsi="Times New Roman" w:eastAsia="宋体" w:cs="Times New Roman"/>
      <w:sz w:val="21"/>
      <w:szCs w:val="21"/>
      <w:lang w:val="en-US" w:eastAsia="zh-CN" w:bidi="ar-SA"/>
    </w:rPr>
  </w:style>
  <w:style w:type="paragraph" w:customStyle="1" w:styleId="103">
    <w:name w:val="发布部门"/>
    <w:next w:val="22"/>
    <w:qFormat/>
    <w:uiPriority w:val="0"/>
    <w:pPr>
      <w:framePr w:w="7938" w:h="1134" w:hRule="exact" w:hSpace="125" w:vSpace="181" w:wrap="around" w:vAnchor="page" w:hAnchor="page" w:x="2150" w:y="14630" w:anchorLock="1"/>
      <w:jc w:val="center"/>
    </w:pPr>
    <w:rPr>
      <w:rFonts w:ascii="宋体" w:hAnsi="Times New Roman" w:eastAsia="宋体" w:cs="Times New Roman"/>
      <w:b/>
      <w:spacing w:val="20"/>
      <w:w w:val="135"/>
      <w:sz w:val="28"/>
      <w:lang w:val="en-US" w:eastAsia="zh-CN" w:bidi="ar-SA"/>
    </w:rPr>
  </w:style>
  <w:style w:type="paragraph" w:customStyle="1" w:styleId="104">
    <w:name w:val="附录图标号"/>
    <w:basedOn w:val="1"/>
    <w:qFormat/>
    <w:uiPriority w:val="0"/>
    <w:pPr>
      <w:keepNext/>
      <w:pageBreakBefore/>
      <w:widowControl/>
      <w:numPr>
        <w:ilvl w:val="0"/>
        <w:numId w:val="12"/>
      </w:numPr>
      <w:spacing w:line="14" w:lineRule="exact"/>
      <w:ind w:left="0" w:firstLine="363"/>
      <w:jc w:val="center"/>
      <w:outlineLvl w:val="0"/>
    </w:pPr>
    <w:rPr>
      <w:color w:val="FFFFFF"/>
    </w:rPr>
  </w:style>
  <w:style w:type="paragraph" w:customStyle="1" w:styleId="105">
    <w:name w:val="封面正文"/>
    <w:qFormat/>
    <w:uiPriority w:val="0"/>
    <w:pPr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106">
    <w:name w:val="正文公式编号制表符"/>
    <w:basedOn w:val="22"/>
    <w:next w:val="22"/>
    <w:qFormat/>
    <w:uiPriority w:val="0"/>
    <w:pPr>
      <w:ind w:firstLine="0" w:firstLineChars="0"/>
    </w:pPr>
  </w:style>
  <w:style w:type="paragraph" w:customStyle="1" w:styleId="107">
    <w:name w:val="附录标识"/>
    <w:basedOn w:val="1"/>
    <w:next w:val="22"/>
    <w:qFormat/>
    <w:uiPriority w:val="0"/>
    <w:pPr>
      <w:keepNext/>
      <w:widowControl/>
      <w:numPr>
        <w:ilvl w:val="0"/>
        <w:numId w:val="10"/>
      </w:numPr>
      <w:shd w:val="clear" w:color="FFFFFF" w:fill="FFFFFF"/>
      <w:tabs>
        <w:tab w:val="left" w:pos="360"/>
        <w:tab w:val="left" w:pos="6405"/>
      </w:tabs>
      <w:spacing w:before="640" w:after="28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108">
    <w:name w:val="附录表标题"/>
    <w:basedOn w:val="1"/>
    <w:next w:val="22"/>
    <w:qFormat/>
    <w:uiPriority w:val="0"/>
    <w:pPr>
      <w:numPr>
        <w:ilvl w:val="1"/>
        <w:numId w:val="11"/>
      </w:numPr>
      <w:tabs>
        <w:tab w:val="left" w:pos="180"/>
      </w:tabs>
      <w:spacing w:before="50" w:beforeLines="50" w:after="50" w:afterLines="50"/>
      <w:ind w:left="0" w:firstLine="0"/>
      <w:jc w:val="center"/>
    </w:pPr>
    <w:rPr>
      <w:rFonts w:ascii="黑体" w:eastAsia="黑体"/>
      <w:szCs w:val="21"/>
    </w:rPr>
  </w:style>
  <w:style w:type="paragraph" w:customStyle="1" w:styleId="109">
    <w:name w:val="条文脚注"/>
    <w:basedOn w:val="23"/>
    <w:qFormat/>
    <w:uiPriority w:val="0"/>
    <w:pPr>
      <w:numPr>
        <w:numId w:val="0"/>
      </w:numPr>
      <w:jc w:val="both"/>
    </w:pPr>
  </w:style>
  <w:style w:type="paragraph" w:customStyle="1" w:styleId="110">
    <w:name w:val="其他发布日期"/>
    <w:basedOn w:val="80"/>
    <w:qFormat/>
    <w:uiPriority w:val="0"/>
    <w:pPr>
      <w:framePr w:vAnchor="page" w:hAnchor="text" w:x="1419"/>
    </w:pPr>
  </w:style>
  <w:style w:type="paragraph" w:customStyle="1" w:styleId="111">
    <w:name w:val="附录三级条标题"/>
    <w:basedOn w:val="82"/>
    <w:next w:val="22"/>
    <w:qFormat/>
    <w:uiPriority w:val="0"/>
    <w:pPr>
      <w:numPr>
        <w:ilvl w:val="4"/>
      </w:numPr>
      <w:outlineLvl w:val="4"/>
    </w:pPr>
  </w:style>
  <w:style w:type="paragraph" w:customStyle="1" w:styleId="112">
    <w:name w:val="附录三级无"/>
    <w:basedOn w:val="111"/>
    <w:qFormat/>
    <w:uiPriority w:val="0"/>
    <w:pPr>
      <w:tabs>
        <w:tab w:val="clear" w:pos="360"/>
      </w:tabs>
      <w:spacing w:before="0" w:beforeLines="0" w:after="0" w:afterLines="0"/>
    </w:pPr>
    <w:rPr>
      <w:rFonts w:ascii="宋体" w:eastAsia="宋体"/>
      <w:szCs w:val="21"/>
    </w:rPr>
  </w:style>
  <w:style w:type="paragraph" w:customStyle="1" w:styleId="113">
    <w:name w:val="附录数字编号列项（二级）"/>
    <w:qFormat/>
    <w:uiPriority w:val="0"/>
    <w:pPr>
      <w:numPr>
        <w:ilvl w:val="1"/>
        <w:numId w:val="9"/>
      </w:numPr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14">
    <w:name w:val="附录四级条标题"/>
    <w:basedOn w:val="111"/>
    <w:next w:val="22"/>
    <w:qFormat/>
    <w:uiPriority w:val="0"/>
    <w:pPr>
      <w:numPr>
        <w:ilvl w:val="5"/>
      </w:numPr>
      <w:outlineLvl w:val="5"/>
    </w:pPr>
  </w:style>
  <w:style w:type="paragraph" w:customStyle="1" w:styleId="115">
    <w:name w:val="附录四级无"/>
    <w:basedOn w:val="114"/>
    <w:qFormat/>
    <w:uiPriority w:val="0"/>
    <w:pPr>
      <w:tabs>
        <w:tab w:val="clear" w:pos="360"/>
      </w:tabs>
      <w:spacing w:before="0" w:beforeLines="0" w:after="0" w:afterLines="0"/>
    </w:pPr>
    <w:rPr>
      <w:rFonts w:ascii="宋体" w:eastAsia="宋体"/>
      <w:szCs w:val="21"/>
    </w:rPr>
  </w:style>
  <w:style w:type="paragraph" w:customStyle="1" w:styleId="116">
    <w:name w:val="图标脚注说明"/>
    <w:basedOn w:val="22"/>
    <w:qFormat/>
    <w:uiPriority w:val="0"/>
    <w:pPr>
      <w:ind w:left="840" w:hanging="420" w:firstLineChars="0"/>
    </w:pPr>
    <w:rPr>
      <w:sz w:val="18"/>
      <w:szCs w:val="18"/>
    </w:rPr>
  </w:style>
  <w:style w:type="paragraph" w:customStyle="1" w:styleId="117">
    <w:name w:val="附录五级条标题"/>
    <w:basedOn w:val="114"/>
    <w:next w:val="22"/>
    <w:qFormat/>
    <w:uiPriority w:val="0"/>
    <w:pPr>
      <w:numPr>
        <w:ilvl w:val="6"/>
      </w:numPr>
      <w:outlineLvl w:val="6"/>
    </w:pPr>
  </w:style>
  <w:style w:type="paragraph" w:customStyle="1" w:styleId="118">
    <w:name w:val="示例后文字"/>
    <w:basedOn w:val="22"/>
    <w:next w:val="22"/>
    <w:qFormat/>
    <w:uiPriority w:val="0"/>
    <w:pPr>
      <w:ind w:firstLine="360"/>
    </w:pPr>
    <w:rPr>
      <w:sz w:val="18"/>
    </w:rPr>
  </w:style>
  <w:style w:type="paragraph" w:customStyle="1" w:styleId="119">
    <w:name w:val="附录五级无"/>
    <w:basedOn w:val="117"/>
    <w:qFormat/>
    <w:uiPriority w:val="0"/>
    <w:pPr>
      <w:tabs>
        <w:tab w:val="clear" w:pos="360"/>
      </w:tabs>
      <w:spacing w:before="0" w:beforeLines="0" w:after="0" w:afterLines="0"/>
    </w:pPr>
    <w:rPr>
      <w:rFonts w:ascii="宋体" w:eastAsia="宋体"/>
      <w:szCs w:val="21"/>
    </w:rPr>
  </w:style>
  <w:style w:type="paragraph" w:customStyle="1" w:styleId="120">
    <w:name w:val="一级无"/>
    <w:basedOn w:val="63"/>
    <w:qFormat/>
    <w:uiPriority w:val="0"/>
    <w:pPr>
      <w:spacing w:before="0" w:beforeLines="0" w:after="0" w:afterLines="0"/>
    </w:pPr>
    <w:rPr>
      <w:rFonts w:ascii="宋体" w:eastAsia="宋体"/>
    </w:rPr>
  </w:style>
  <w:style w:type="paragraph" w:customStyle="1" w:styleId="121">
    <w:name w:val="附录章标题"/>
    <w:next w:val="22"/>
    <w:qFormat/>
    <w:uiPriority w:val="0"/>
    <w:pPr>
      <w:numPr>
        <w:ilvl w:val="1"/>
        <w:numId w:val="10"/>
      </w:numPr>
      <w:tabs>
        <w:tab w:val="left" w:pos="360"/>
      </w:tabs>
      <w:wordWrap w:val="0"/>
      <w:overflowPunct w:val="0"/>
      <w:autoSpaceDE w:val="0"/>
      <w:spacing w:before="100" w:beforeLines="100" w:after="100" w:afterLines="100"/>
      <w:jc w:val="both"/>
      <w:textAlignment w:val="baseline"/>
      <w:outlineLvl w:val="1"/>
    </w:pPr>
    <w:rPr>
      <w:rFonts w:ascii="黑体" w:hAnsi="Times New Roman" w:eastAsia="黑体" w:cs="Times New Roman"/>
      <w:kern w:val="21"/>
      <w:sz w:val="21"/>
      <w:lang w:val="en-US" w:eastAsia="zh-CN" w:bidi="ar-SA"/>
    </w:rPr>
  </w:style>
  <w:style w:type="paragraph" w:customStyle="1" w:styleId="122">
    <w:name w:val="附录一级条标题"/>
    <w:basedOn w:val="121"/>
    <w:next w:val="22"/>
    <w:qFormat/>
    <w:uiPriority w:val="0"/>
    <w:pPr>
      <w:numPr>
        <w:ilvl w:val="2"/>
      </w:numPr>
      <w:autoSpaceDN w:val="0"/>
      <w:spacing w:before="50" w:beforeLines="50" w:after="50" w:afterLines="50"/>
      <w:outlineLvl w:val="2"/>
    </w:pPr>
  </w:style>
  <w:style w:type="paragraph" w:customStyle="1" w:styleId="123">
    <w:name w:val="附录一级无"/>
    <w:basedOn w:val="122"/>
    <w:qFormat/>
    <w:uiPriority w:val="0"/>
    <w:pPr>
      <w:tabs>
        <w:tab w:val="clear" w:pos="360"/>
      </w:tabs>
      <w:spacing w:before="0" w:beforeLines="0" w:after="0" w:afterLines="0"/>
    </w:pPr>
    <w:rPr>
      <w:rFonts w:ascii="宋体" w:eastAsia="宋体"/>
      <w:szCs w:val="21"/>
    </w:rPr>
  </w:style>
  <w:style w:type="paragraph" w:customStyle="1" w:styleId="124">
    <w:name w:val="列项说明数字编号"/>
    <w:qFormat/>
    <w:uiPriority w:val="0"/>
    <w:pPr>
      <w:ind w:left="600" w:leftChars="400" w:hanging="200" w:hangingChars="200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25">
    <w:name w:val="其他标准标志"/>
    <w:basedOn w:val="79"/>
    <w:qFormat/>
    <w:uiPriority w:val="0"/>
    <w:pPr>
      <w:framePr w:w="6101" w:vAnchor="page" w:hAnchor="page" w:x="4673" w:y="942"/>
    </w:pPr>
    <w:rPr>
      <w:w w:val="130"/>
    </w:rPr>
  </w:style>
  <w:style w:type="paragraph" w:customStyle="1" w:styleId="126">
    <w:name w:val="封面标准英文名称2"/>
    <w:basedOn w:val="48"/>
    <w:qFormat/>
    <w:uiPriority w:val="0"/>
    <w:pPr>
      <w:framePr w:y="4469"/>
    </w:pPr>
  </w:style>
  <w:style w:type="paragraph" w:customStyle="1" w:styleId="127">
    <w:name w:val="其他发布部门"/>
    <w:basedOn w:val="103"/>
    <w:qFormat/>
    <w:uiPriority w:val="0"/>
    <w:pPr>
      <w:framePr w:y="15310"/>
      <w:spacing w:line="0" w:lineRule="atLeast"/>
    </w:pPr>
    <w:rPr>
      <w:rFonts w:ascii="黑体" w:eastAsia="黑体"/>
      <w:b w:val="0"/>
    </w:rPr>
  </w:style>
  <w:style w:type="paragraph" w:customStyle="1" w:styleId="128">
    <w:name w:val="三级无"/>
    <w:basedOn w:val="61"/>
    <w:qFormat/>
    <w:uiPriority w:val="0"/>
    <w:pPr>
      <w:spacing w:before="0" w:beforeLines="0" w:after="0" w:afterLines="0"/>
    </w:pPr>
    <w:rPr>
      <w:rFonts w:ascii="宋体" w:eastAsia="宋体"/>
    </w:rPr>
  </w:style>
  <w:style w:type="paragraph" w:customStyle="1" w:styleId="129">
    <w:name w:val="四级无"/>
    <w:basedOn w:val="60"/>
    <w:qFormat/>
    <w:uiPriority w:val="0"/>
    <w:pPr>
      <w:spacing w:before="0" w:beforeLines="0" w:after="0" w:afterLines="0"/>
    </w:pPr>
    <w:rPr>
      <w:rFonts w:ascii="宋体" w:eastAsia="宋体"/>
    </w:rPr>
  </w:style>
  <w:style w:type="paragraph" w:customStyle="1" w:styleId="130">
    <w:name w:val="图表脚注说明"/>
    <w:basedOn w:val="1"/>
    <w:qFormat/>
    <w:uiPriority w:val="0"/>
    <w:pPr>
      <w:numPr>
        <w:ilvl w:val="0"/>
        <w:numId w:val="18"/>
      </w:numPr>
    </w:pPr>
    <w:rPr>
      <w:rFonts w:ascii="宋体"/>
      <w:sz w:val="18"/>
      <w:szCs w:val="18"/>
    </w:rPr>
  </w:style>
  <w:style w:type="paragraph" w:customStyle="1" w:styleId="131">
    <w:name w:val="图的脚注"/>
    <w:next w:val="22"/>
    <w:qFormat/>
    <w:uiPriority w:val="0"/>
    <w:pPr>
      <w:widowControl w:val="0"/>
      <w:ind w:left="840" w:leftChars="200" w:hanging="420" w:hangingChars="200"/>
      <w:jc w:val="both"/>
    </w:pPr>
    <w:rPr>
      <w:rFonts w:ascii="宋体" w:hAnsi="Times New Roman" w:eastAsia="宋体" w:cs="Times New Roman"/>
      <w:sz w:val="18"/>
      <w:lang w:val="en-US" w:eastAsia="zh-CN" w:bidi="ar-SA"/>
    </w:rPr>
  </w:style>
  <w:style w:type="paragraph" w:customStyle="1" w:styleId="132">
    <w:name w:val="文献分类号"/>
    <w:qFormat/>
    <w:uiPriority w:val="0"/>
    <w:pPr>
      <w:framePr w:hSpace="180" w:vSpace="180" w:wrap="around" w:vAnchor="margin" w:hAnchor="margin" w:y="1" w:anchorLock="1"/>
      <w:widowControl w:val="0"/>
      <w:textAlignment w:val="center"/>
    </w:pPr>
    <w:rPr>
      <w:rFonts w:ascii="黑体" w:hAnsi="Times New Roman" w:eastAsia="黑体" w:cs="Times New Roman"/>
      <w:sz w:val="21"/>
      <w:szCs w:val="21"/>
      <w:lang w:val="en-US" w:eastAsia="zh-CN" w:bidi="ar-SA"/>
    </w:rPr>
  </w:style>
  <w:style w:type="paragraph" w:customStyle="1" w:styleId="133">
    <w:name w:val="其他实施日期"/>
    <w:basedOn w:val="92"/>
    <w:qFormat/>
    <w:uiPriority w:val="0"/>
    <w:pPr>
      <w:framePr/>
    </w:pPr>
  </w:style>
  <w:style w:type="paragraph" w:customStyle="1" w:styleId="134">
    <w:name w:val="封面标准名称2"/>
    <w:basedOn w:val="49"/>
    <w:qFormat/>
    <w:uiPriority w:val="0"/>
    <w:pPr>
      <w:framePr w:y="4469"/>
      <w:spacing w:before="630" w:beforeLines="630"/>
    </w:pPr>
  </w:style>
  <w:style w:type="paragraph" w:customStyle="1" w:styleId="135">
    <w:name w:val="封面标准文稿编辑信息2"/>
    <w:basedOn w:val="71"/>
    <w:qFormat/>
    <w:uiPriority w:val="0"/>
    <w:pPr>
      <w:framePr w:y="4469"/>
    </w:pPr>
  </w:style>
  <w:style w:type="character" w:customStyle="1" w:styleId="136">
    <w:name w:val="Body text + 8.5 pt"/>
    <w:basedOn w:val="137"/>
    <w:unhideWhenUsed/>
    <w:qFormat/>
    <w:uiPriority w:val="99"/>
    <w:rPr>
      <w:rFonts w:hint="eastAsia" w:ascii="MingLiU" w:hAnsi="MingLiU" w:eastAsia="MingLiU"/>
      <w:spacing w:val="7"/>
      <w:sz w:val="17"/>
      <w:szCs w:val="24"/>
    </w:rPr>
  </w:style>
  <w:style w:type="character" w:customStyle="1" w:styleId="137">
    <w:name w:val="正文文本 字符"/>
    <w:basedOn w:val="32"/>
    <w:link w:val="9"/>
    <w:unhideWhenUsed/>
    <w:qFormat/>
    <w:uiPriority w:val="99"/>
    <w:rPr>
      <w:rFonts w:hint="eastAsia" w:ascii="MingLiU" w:hAnsi="MingLiU" w:eastAsia="MingLiU"/>
      <w:spacing w:val="6"/>
      <w:sz w:val="19"/>
      <w:szCs w:val="24"/>
    </w:rPr>
  </w:style>
  <w:style w:type="character" w:customStyle="1" w:styleId="138">
    <w:name w:val="Body text + Batang"/>
    <w:basedOn w:val="137"/>
    <w:unhideWhenUsed/>
    <w:qFormat/>
    <w:uiPriority w:val="99"/>
    <w:rPr>
      <w:rFonts w:hint="eastAsia" w:ascii="Batang" w:hAnsi="Batang" w:eastAsia="Batang"/>
      <w:i/>
      <w:spacing w:val="4"/>
      <w:sz w:val="14"/>
      <w:szCs w:val="24"/>
      <w:lang w:val="en-US" w:eastAsia="en-US"/>
    </w:rPr>
  </w:style>
  <w:style w:type="paragraph" w:customStyle="1" w:styleId="139">
    <w:name w:val="Body text (9)"/>
    <w:link w:val="140"/>
    <w:unhideWhenUsed/>
    <w:qFormat/>
    <w:uiPriority w:val="99"/>
    <w:pPr>
      <w:shd w:val="clear" w:color="auto" w:fill="FFFFFF"/>
      <w:spacing w:line="240" w:lineRule="atLeast"/>
    </w:pPr>
    <w:rPr>
      <w:rFonts w:hint="eastAsia" w:ascii="Batang" w:hAnsi="Batang" w:eastAsia="Batang" w:cs="Times New Roman"/>
      <w:i/>
      <w:spacing w:val="10"/>
      <w:sz w:val="19"/>
      <w:szCs w:val="24"/>
      <w:lang w:val="en-US" w:eastAsia="en-US" w:bidi="ar-SA"/>
    </w:rPr>
  </w:style>
  <w:style w:type="character" w:customStyle="1" w:styleId="140">
    <w:name w:val="Body text (9)_"/>
    <w:basedOn w:val="32"/>
    <w:link w:val="139"/>
    <w:unhideWhenUsed/>
    <w:qFormat/>
    <w:uiPriority w:val="99"/>
    <w:rPr>
      <w:rFonts w:hint="eastAsia" w:ascii="Batang" w:hAnsi="Batang" w:eastAsia="Batang"/>
      <w:i/>
      <w:spacing w:val="10"/>
      <w:sz w:val="19"/>
      <w:szCs w:val="24"/>
      <w:lang w:val="en-US" w:eastAsia="en-US"/>
    </w:rPr>
  </w:style>
  <w:style w:type="character" w:customStyle="1" w:styleId="141">
    <w:name w:val="Body text (9) + Spacing 1 pt"/>
    <w:basedOn w:val="140"/>
    <w:unhideWhenUsed/>
    <w:qFormat/>
    <w:uiPriority w:val="99"/>
    <w:rPr>
      <w:rFonts w:hint="eastAsia" w:ascii="Batang" w:hAnsi="Batang" w:eastAsia="Batang"/>
      <w:spacing w:val="33"/>
      <w:sz w:val="19"/>
      <w:szCs w:val="24"/>
      <w:lang w:val="en-US" w:eastAsia="en-US"/>
    </w:rPr>
  </w:style>
  <w:style w:type="character" w:customStyle="1" w:styleId="142">
    <w:name w:val="Other|1_"/>
    <w:basedOn w:val="32"/>
    <w:link w:val="143"/>
    <w:qFormat/>
    <w:uiPriority w:val="0"/>
    <w:rPr>
      <w:rFonts w:ascii="宋体" w:hAnsi="宋体" w:cs="宋体"/>
      <w:sz w:val="30"/>
      <w:szCs w:val="30"/>
    </w:rPr>
  </w:style>
  <w:style w:type="paragraph" w:customStyle="1" w:styleId="143">
    <w:name w:val="Other|1"/>
    <w:basedOn w:val="1"/>
    <w:link w:val="142"/>
    <w:qFormat/>
    <w:uiPriority w:val="0"/>
    <w:pPr>
      <w:jc w:val="center"/>
    </w:pPr>
    <w:rPr>
      <w:rFonts w:ascii="宋体" w:hAnsi="宋体" w:cs="宋体"/>
      <w:kern w:val="0"/>
      <w:sz w:val="30"/>
      <w:szCs w:val="30"/>
    </w:rPr>
  </w:style>
  <w:style w:type="table" w:customStyle="1" w:styleId="14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microsoft.com/office/2006/relationships/keyMapCustomizations" Target="customizations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zle</Company>
  <Pages>7</Pages>
  <Words>2402</Words>
  <Characters>3034</Characters>
  <Lines>18</Lines>
  <Paragraphs>5</Paragraphs>
  <TotalTime>7</TotalTime>
  <ScaleCrop>false</ScaleCrop>
  <LinksUpToDate>false</LinksUpToDate>
  <CharactersWithSpaces>3203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2010-01-29T06:47:00Z</dcterms:created>
  <dc:creator>CNIS</dc:creator>
  <cp:lastModifiedBy>uos</cp:lastModifiedBy>
  <cp:lastPrinted>2023-06-02T15:59:00Z</cp:lastPrinted>
  <dcterms:modified xsi:type="dcterms:W3CDTF">2023-06-07T12:22:36Z</dcterms:modified>
  <dc:title>标准名称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3CFA02643E884AB3BFDFC7005AAB76E0_13</vt:lpwstr>
  </property>
  <property fmtid="{D5CDD505-2E9C-101B-9397-08002B2CF9AE}" pid="4" name="commondata">
    <vt:lpwstr>eyJoZGlkIjoiMzJjMThiMTMxMGM4YzRiZGJhMmZmNDcyNTYzNjYxNjQifQ==</vt:lpwstr>
  </property>
</Properties>
</file>