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b/>
          <w:sz w:val="36"/>
          <w:szCs w:val="36"/>
        </w:rPr>
      </w:pPr>
    </w:p>
    <w:p>
      <w:pPr>
        <w:jc w:val="center"/>
        <w:rPr>
          <w:rFonts w:ascii="Times New Roman" w:hAnsi="Times New Roman"/>
          <w:b/>
          <w:sz w:val="36"/>
          <w:szCs w:val="36"/>
        </w:rPr>
      </w:pPr>
    </w:p>
    <w:p>
      <w:pPr>
        <w:spacing w:line="480" w:lineRule="auto"/>
        <w:jc w:val="center"/>
        <w:rPr>
          <w:rFonts w:ascii="Times New Roman" w:hAnsi="Times New Roman"/>
          <w:b/>
          <w:spacing w:val="-20"/>
          <w:sz w:val="48"/>
          <w:szCs w:val="48"/>
        </w:rPr>
      </w:pPr>
      <w:bookmarkStart w:id="14" w:name="_GoBack"/>
      <w:bookmarkEnd w:id="14"/>
      <w:r>
        <w:rPr>
          <w:rFonts w:hint="eastAsia" w:ascii="Times New Roman" w:hAnsi="Times New Roman"/>
          <w:b/>
          <w:spacing w:val="-20"/>
          <w:sz w:val="48"/>
          <w:szCs w:val="48"/>
        </w:rPr>
        <w:t>公路钢渣沥青混合料应用技术规范</w:t>
      </w:r>
    </w:p>
    <w:p>
      <w:pPr>
        <w:spacing w:line="480" w:lineRule="auto"/>
        <w:jc w:val="center"/>
        <w:rPr>
          <w:rFonts w:ascii="Times New Roman" w:hAnsi="Times New Roman"/>
          <w:b/>
          <w:sz w:val="52"/>
          <w:szCs w:val="52"/>
        </w:rPr>
      </w:pPr>
      <w:r>
        <w:rPr>
          <w:rFonts w:ascii="Times New Roman" w:hAnsi="Times New Roman"/>
          <w:b/>
          <w:sz w:val="52"/>
          <w:szCs w:val="52"/>
        </w:rPr>
        <w:t>编制说明</w:t>
      </w:r>
    </w:p>
    <w:p>
      <w:pPr>
        <w:spacing w:before="156" w:after="156"/>
        <w:jc w:val="center"/>
        <w:rPr>
          <w:rStyle w:val="14"/>
          <w:rFonts w:hint="default" w:ascii="Times New Roman" w:hAnsi="Times New Roman"/>
          <w:sz w:val="72"/>
          <w:szCs w:val="72"/>
        </w:rPr>
      </w:pPr>
    </w:p>
    <w:p>
      <w:pPr>
        <w:spacing w:before="156" w:after="156"/>
        <w:jc w:val="center"/>
        <w:rPr>
          <w:rStyle w:val="14"/>
          <w:rFonts w:hint="default" w:ascii="Times New Roman" w:hAnsi="Times New Roman"/>
          <w:sz w:val="72"/>
          <w:szCs w:val="72"/>
        </w:rPr>
      </w:pPr>
    </w:p>
    <w:p>
      <w:pPr>
        <w:spacing w:before="156" w:after="156"/>
        <w:jc w:val="center"/>
        <w:rPr>
          <w:rStyle w:val="14"/>
          <w:rFonts w:hint="default" w:ascii="Times New Roman" w:hAnsi="Times New Roman"/>
          <w:sz w:val="72"/>
          <w:szCs w:val="72"/>
        </w:rPr>
      </w:pPr>
    </w:p>
    <w:p>
      <w:pPr>
        <w:spacing w:before="156" w:after="156"/>
        <w:jc w:val="center"/>
        <w:rPr>
          <w:rStyle w:val="14"/>
          <w:rFonts w:hint="default" w:ascii="Times New Roman" w:hAnsi="Times New Roman"/>
          <w:sz w:val="72"/>
          <w:szCs w:val="72"/>
        </w:rPr>
      </w:pPr>
    </w:p>
    <w:p>
      <w:pPr>
        <w:spacing w:before="156" w:after="156"/>
        <w:jc w:val="center"/>
        <w:rPr>
          <w:rStyle w:val="14"/>
          <w:rFonts w:hint="default" w:ascii="Times New Roman" w:hAnsi="Times New Roman"/>
          <w:sz w:val="72"/>
          <w:szCs w:val="72"/>
        </w:rPr>
      </w:pPr>
    </w:p>
    <w:p>
      <w:pPr>
        <w:tabs>
          <w:tab w:val="left" w:pos="2748"/>
          <w:tab w:val="center" w:pos="4153"/>
        </w:tabs>
        <w:spacing w:before="156" w:after="156"/>
        <w:jc w:val="center"/>
        <w:rPr>
          <w:rStyle w:val="14"/>
          <w:rFonts w:hint="default" w:ascii="Times New Roman" w:hAnsi="Times New Roman"/>
          <w:sz w:val="56"/>
          <w:szCs w:val="56"/>
        </w:rPr>
      </w:pPr>
    </w:p>
    <w:p>
      <w:pPr>
        <w:tabs>
          <w:tab w:val="left" w:pos="2748"/>
          <w:tab w:val="center" w:pos="4153"/>
        </w:tabs>
        <w:spacing w:before="156" w:after="156"/>
        <w:jc w:val="center"/>
        <w:rPr>
          <w:rStyle w:val="14"/>
          <w:rFonts w:hint="default" w:ascii="Times New Roman" w:hAnsi="Times New Roman"/>
          <w:b/>
          <w:sz w:val="32"/>
          <w:szCs w:val="44"/>
        </w:rPr>
      </w:pPr>
      <w:r>
        <w:rPr>
          <w:rStyle w:val="14"/>
          <w:rFonts w:hint="default" w:ascii="Times New Roman" w:hAnsi="Times New Roman"/>
          <w:b/>
          <w:sz w:val="32"/>
          <w:szCs w:val="44"/>
        </w:rPr>
        <w:t>《</w:t>
      </w:r>
      <w:r>
        <w:rPr>
          <w:rStyle w:val="14"/>
          <w:rFonts w:ascii="Times New Roman" w:hAnsi="Times New Roman"/>
          <w:b/>
          <w:sz w:val="32"/>
          <w:szCs w:val="44"/>
        </w:rPr>
        <w:t>公路钢渣沥青混合料应用技术规范</w:t>
      </w:r>
      <w:r>
        <w:rPr>
          <w:rStyle w:val="14"/>
          <w:rFonts w:hint="default" w:ascii="Times New Roman" w:hAnsi="Times New Roman"/>
          <w:b/>
          <w:sz w:val="32"/>
          <w:szCs w:val="44"/>
        </w:rPr>
        <w:t>》编写组</w:t>
      </w:r>
    </w:p>
    <w:p>
      <w:pPr>
        <w:tabs>
          <w:tab w:val="left" w:pos="2748"/>
          <w:tab w:val="center" w:pos="4153"/>
        </w:tabs>
        <w:spacing w:before="156" w:after="156"/>
        <w:jc w:val="center"/>
        <w:rPr>
          <w:rStyle w:val="14"/>
          <w:rFonts w:hint="default" w:ascii="Times New Roman" w:hAnsi="Times New Roman"/>
          <w:b/>
          <w:sz w:val="36"/>
        </w:rPr>
      </w:pPr>
      <w:r>
        <w:rPr>
          <w:rStyle w:val="14"/>
          <w:rFonts w:hint="default" w:ascii="Times New Roman" w:hAnsi="Times New Roman"/>
          <w:b/>
          <w:sz w:val="36"/>
        </w:rPr>
        <w:t>2022年7月</w:t>
      </w:r>
    </w:p>
    <w:p/>
    <w:p/>
    <w:p>
      <w:pPr>
        <w:widowControl/>
        <w:spacing w:line="240" w:lineRule="auto"/>
        <w:jc w:val="left"/>
      </w:pPr>
      <w:r>
        <w:br w:type="page"/>
      </w:r>
    </w:p>
    <w:sdt>
      <w:sdtPr>
        <w:rPr>
          <w:rFonts w:ascii="等线" w:hAnsi="等线" w:eastAsia="宋体" w:cs="Times New Roman"/>
          <w:b/>
          <w:bCs/>
          <w:color w:val="auto"/>
          <w:kern w:val="2"/>
          <w:sz w:val="24"/>
          <w:szCs w:val="22"/>
          <w:lang w:val="zh-CN"/>
        </w:rPr>
        <w:id w:val="1828092893"/>
        <w:docPartObj>
          <w:docPartGallery w:val="Table of Contents"/>
          <w:docPartUnique/>
        </w:docPartObj>
      </w:sdtPr>
      <w:sdtEndPr>
        <w:rPr>
          <w:rFonts w:ascii="Times New Roman" w:hAnsi="Times New Roman" w:eastAsia="宋体" w:cs="Times New Roman"/>
          <w:b/>
          <w:bCs/>
          <w:color w:val="auto"/>
          <w:kern w:val="2"/>
          <w:sz w:val="28"/>
          <w:szCs w:val="24"/>
          <w:lang w:val="zh-CN"/>
        </w:rPr>
      </w:sdtEndPr>
      <w:sdtContent>
        <w:p>
          <w:pPr>
            <w:pStyle w:val="17"/>
            <w:jc w:val="center"/>
            <w:rPr>
              <w:rFonts w:ascii="Times New Roman" w:hAnsi="Times New Roman" w:eastAsia="宋体" w:cs="Times New Roman"/>
              <w:b/>
              <w:bCs/>
              <w:color w:val="auto"/>
              <w:sz w:val="36"/>
              <w:szCs w:val="36"/>
              <w:lang w:val="zh-CN"/>
            </w:rPr>
          </w:pPr>
          <w:r>
            <w:rPr>
              <w:rFonts w:ascii="Times New Roman" w:hAnsi="Times New Roman" w:eastAsia="宋体" w:cs="Times New Roman"/>
              <w:b/>
              <w:bCs/>
              <w:color w:val="auto"/>
              <w:sz w:val="36"/>
              <w:szCs w:val="36"/>
              <w:lang w:val="zh-CN"/>
            </w:rPr>
            <w:t>目录</w:t>
          </w:r>
        </w:p>
        <w:p>
          <w:pPr>
            <w:rPr>
              <w:lang w:val="zh-CN"/>
            </w:rPr>
          </w:pPr>
        </w:p>
        <w:p>
          <w:pPr>
            <w:pStyle w:val="6"/>
            <w:tabs>
              <w:tab w:val="right" w:leader="dot" w:pos="8302"/>
            </w:tabs>
            <w:rPr>
              <w:rFonts w:ascii="Times New Roman" w:hAnsi="Times New Roman"/>
              <w:sz w:val="28"/>
              <w:szCs w:val="24"/>
            </w:rPr>
          </w:pPr>
          <w:r>
            <w:rPr>
              <w:rFonts w:ascii="Times New Roman" w:hAnsi="Times New Roman"/>
              <w:sz w:val="28"/>
              <w:szCs w:val="24"/>
            </w:rPr>
            <w:fldChar w:fldCharType="begin"/>
          </w:r>
          <w:r>
            <w:rPr>
              <w:rFonts w:ascii="Times New Roman" w:hAnsi="Times New Roman"/>
              <w:sz w:val="28"/>
              <w:szCs w:val="24"/>
            </w:rPr>
            <w:instrText xml:space="preserve"> TOC \o "1-3" \h \z \u </w:instrText>
          </w:r>
          <w:r>
            <w:rPr>
              <w:rFonts w:ascii="Times New Roman" w:hAnsi="Times New Roman"/>
              <w:sz w:val="28"/>
              <w:szCs w:val="24"/>
            </w:rPr>
            <w:fldChar w:fldCharType="separate"/>
          </w:r>
          <w:r>
            <w:fldChar w:fldCharType="begin"/>
          </w:r>
          <w:r>
            <w:instrText xml:space="preserve"> HYPERLINK \l "_Toc92656345" </w:instrText>
          </w:r>
          <w:r>
            <w:fldChar w:fldCharType="separate"/>
          </w:r>
          <w:r>
            <w:rPr>
              <w:rStyle w:val="10"/>
              <w:rFonts w:ascii="Times New Roman" w:hAnsi="Times New Roman"/>
              <w:b/>
              <w:color w:val="auto"/>
              <w:sz w:val="28"/>
              <w:szCs w:val="24"/>
            </w:rPr>
            <w:t>1 工作简况</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_Toc92656345 \h </w:instrText>
          </w:r>
          <w:r>
            <w:rPr>
              <w:rFonts w:ascii="Times New Roman" w:hAnsi="Times New Roman"/>
              <w:sz w:val="28"/>
              <w:szCs w:val="24"/>
            </w:rPr>
            <w:fldChar w:fldCharType="separate"/>
          </w:r>
          <w:r>
            <w:rPr>
              <w:rFonts w:ascii="Times New Roman" w:hAnsi="Times New Roman"/>
              <w:sz w:val="28"/>
              <w:szCs w:val="24"/>
            </w:rPr>
            <w:t>1</w:t>
          </w:r>
          <w:r>
            <w:rPr>
              <w:rFonts w:ascii="Times New Roman" w:hAnsi="Times New Roman"/>
              <w:sz w:val="28"/>
              <w:szCs w:val="24"/>
            </w:rPr>
            <w:fldChar w:fldCharType="end"/>
          </w:r>
          <w:r>
            <w:rPr>
              <w:rFonts w:ascii="Times New Roman" w:hAnsi="Times New Roman"/>
              <w:sz w:val="28"/>
              <w:szCs w:val="24"/>
            </w:rPr>
            <w:fldChar w:fldCharType="end"/>
          </w:r>
        </w:p>
        <w:p>
          <w:pPr>
            <w:pStyle w:val="7"/>
            <w:tabs>
              <w:tab w:val="right" w:leader="dot" w:pos="8302"/>
            </w:tabs>
            <w:ind w:left="480"/>
            <w:rPr>
              <w:rFonts w:ascii="Times New Roman" w:hAnsi="Times New Roman"/>
              <w:sz w:val="28"/>
              <w:szCs w:val="24"/>
            </w:rPr>
          </w:pPr>
          <w:r>
            <w:fldChar w:fldCharType="begin"/>
          </w:r>
          <w:r>
            <w:instrText xml:space="preserve"> HYPERLINK \l "_Toc92656346" </w:instrText>
          </w:r>
          <w:r>
            <w:fldChar w:fldCharType="separate"/>
          </w:r>
          <w:r>
            <w:rPr>
              <w:rStyle w:val="10"/>
              <w:rFonts w:ascii="Times New Roman" w:hAnsi="Times New Roman"/>
              <w:color w:val="auto"/>
              <w:sz w:val="28"/>
              <w:szCs w:val="24"/>
            </w:rPr>
            <w:t>1.1任务来源</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_Toc92656346 \h </w:instrText>
          </w:r>
          <w:r>
            <w:rPr>
              <w:rFonts w:ascii="Times New Roman" w:hAnsi="Times New Roman"/>
              <w:sz w:val="28"/>
              <w:szCs w:val="24"/>
            </w:rPr>
            <w:fldChar w:fldCharType="separate"/>
          </w:r>
          <w:r>
            <w:rPr>
              <w:rFonts w:ascii="Times New Roman" w:hAnsi="Times New Roman"/>
              <w:sz w:val="28"/>
              <w:szCs w:val="24"/>
            </w:rPr>
            <w:t>1</w:t>
          </w:r>
          <w:r>
            <w:rPr>
              <w:rFonts w:ascii="Times New Roman" w:hAnsi="Times New Roman"/>
              <w:sz w:val="28"/>
              <w:szCs w:val="24"/>
            </w:rPr>
            <w:fldChar w:fldCharType="end"/>
          </w:r>
          <w:r>
            <w:rPr>
              <w:rFonts w:ascii="Times New Roman" w:hAnsi="Times New Roman"/>
              <w:sz w:val="28"/>
              <w:szCs w:val="24"/>
            </w:rPr>
            <w:fldChar w:fldCharType="end"/>
          </w:r>
        </w:p>
        <w:p>
          <w:pPr>
            <w:pStyle w:val="7"/>
            <w:tabs>
              <w:tab w:val="right" w:leader="dot" w:pos="8302"/>
            </w:tabs>
            <w:ind w:left="480"/>
            <w:rPr>
              <w:rFonts w:ascii="Times New Roman" w:hAnsi="Times New Roman"/>
              <w:sz w:val="28"/>
              <w:szCs w:val="24"/>
            </w:rPr>
          </w:pPr>
          <w:r>
            <w:fldChar w:fldCharType="begin"/>
          </w:r>
          <w:r>
            <w:instrText xml:space="preserve"> HYPERLINK \l "_Toc92656347" </w:instrText>
          </w:r>
          <w:r>
            <w:fldChar w:fldCharType="separate"/>
          </w:r>
          <w:r>
            <w:rPr>
              <w:rStyle w:val="10"/>
              <w:rFonts w:ascii="Times New Roman" w:hAnsi="Times New Roman"/>
              <w:color w:val="auto"/>
              <w:sz w:val="28"/>
              <w:szCs w:val="24"/>
            </w:rPr>
            <w:t>1.2项目背景</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_Toc92656347 \h </w:instrText>
          </w:r>
          <w:r>
            <w:rPr>
              <w:rFonts w:ascii="Times New Roman" w:hAnsi="Times New Roman"/>
              <w:sz w:val="28"/>
              <w:szCs w:val="24"/>
            </w:rPr>
            <w:fldChar w:fldCharType="separate"/>
          </w:r>
          <w:r>
            <w:rPr>
              <w:rFonts w:ascii="Times New Roman" w:hAnsi="Times New Roman"/>
              <w:sz w:val="28"/>
              <w:szCs w:val="24"/>
            </w:rPr>
            <w:t>1</w:t>
          </w:r>
          <w:r>
            <w:rPr>
              <w:rFonts w:ascii="Times New Roman" w:hAnsi="Times New Roman"/>
              <w:sz w:val="28"/>
              <w:szCs w:val="24"/>
            </w:rPr>
            <w:fldChar w:fldCharType="end"/>
          </w:r>
          <w:r>
            <w:rPr>
              <w:rFonts w:ascii="Times New Roman" w:hAnsi="Times New Roman"/>
              <w:sz w:val="28"/>
              <w:szCs w:val="24"/>
            </w:rPr>
            <w:fldChar w:fldCharType="end"/>
          </w:r>
        </w:p>
        <w:p>
          <w:pPr>
            <w:pStyle w:val="6"/>
            <w:tabs>
              <w:tab w:val="right" w:leader="dot" w:pos="8302"/>
            </w:tabs>
            <w:rPr>
              <w:rFonts w:ascii="Times New Roman" w:hAnsi="Times New Roman"/>
              <w:sz w:val="28"/>
              <w:szCs w:val="24"/>
            </w:rPr>
          </w:pPr>
          <w:r>
            <w:fldChar w:fldCharType="begin"/>
          </w:r>
          <w:r>
            <w:instrText xml:space="preserve"> HYPERLINK \l "_Toc92656348" </w:instrText>
          </w:r>
          <w:r>
            <w:fldChar w:fldCharType="separate"/>
          </w:r>
          <w:r>
            <w:rPr>
              <w:rStyle w:val="10"/>
              <w:rFonts w:ascii="Times New Roman" w:hAnsi="Times New Roman"/>
              <w:b/>
              <w:color w:val="auto"/>
              <w:sz w:val="28"/>
              <w:szCs w:val="24"/>
            </w:rPr>
            <w:t>2 标准编制原则和主要内容</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_Toc92656348 \h </w:instrText>
          </w:r>
          <w:r>
            <w:rPr>
              <w:rFonts w:ascii="Times New Roman" w:hAnsi="Times New Roman"/>
              <w:sz w:val="28"/>
              <w:szCs w:val="24"/>
            </w:rPr>
            <w:fldChar w:fldCharType="separate"/>
          </w:r>
          <w:r>
            <w:rPr>
              <w:rFonts w:ascii="Times New Roman" w:hAnsi="Times New Roman"/>
              <w:sz w:val="28"/>
              <w:szCs w:val="24"/>
            </w:rPr>
            <w:t>3</w:t>
          </w:r>
          <w:r>
            <w:rPr>
              <w:rFonts w:ascii="Times New Roman" w:hAnsi="Times New Roman"/>
              <w:sz w:val="28"/>
              <w:szCs w:val="24"/>
            </w:rPr>
            <w:fldChar w:fldCharType="end"/>
          </w:r>
          <w:r>
            <w:rPr>
              <w:rFonts w:ascii="Times New Roman" w:hAnsi="Times New Roman"/>
              <w:sz w:val="28"/>
              <w:szCs w:val="24"/>
            </w:rPr>
            <w:fldChar w:fldCharType="end"/>
          </w:r>
        </w:p>
        <w:p>
          <w:pPr>
            <w:pStyle w:val="7"/>
            <w:tabs>
              <w:tab w:val="right" w:leader="dot" w:pos="8302"/>
            </w:tabs>
            <w:ind w:left="480"/>
            <w:rPr>
              <w:rFonts w:ascii="Times New Roman" w:hAnsi="Times New Roman"/>
              <w:sz w:val="28"/>
              <w:szCs w:val="24"/>
            </w:rPr>
          </w:pPr>
          <w:r>
            <w:fldChar w:fldCharType="begin"/>
          </w:r>
          <w:r>
            <w:instrText xml:space="preserve"> HYPERLINK \l "_Toc92656349" </w:instrText>
          </w:r>
          <w:r>
            <w:fldChar w:fldCharType="separate"/>
          </w:r>
          <w:r>
            <w:rPr>
              <w:rStyle w:val="10"/>
              <w:rFonts w:ascii="Times New Roman" w:hAnsi="Times New Roman"/>
              <w:color w:val="auto"/>
              <w:sz w:val="28"/>
              <w:szCs w:val="24"/>
            </w:rPr>
            <w:t>2.1标准编制原则</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_Toc92656349 \h </w:instrText>
          </w:r>
          <w:r>
            <w:rPr>
              <w:rFonts w:ascii="Times New Roman" w:hAnsi="Times New Roman"/>
              <w:sz w:val="28"/>
              <w:szCs w:val="24"/>
            </w:rPr>
            <w:fldChar w:fldCharType="separate"/>
          </w:r>
          <w:r>
            <w:rPr>
              <w:rFonts w:ascii="Times New Roman" w:hAnsi="Times New Roman"/>
              <w:sz w:val="28"/>
              <w:szCs w:val="24"/>
            </w:rPr>
            <w:t>3</w:t>
          </w:r>
          <w:r>
            <w:rPr>
              <w:rFonts w:ascii="Times New Roman" w:hAnsi="Times New Roman"/>
              <w:sz w:val="28"/>
              <w:szCs w:val="24"/>
            </w:rPr>
            <w:fldChar w:fldCharType="end"/>
          </w:r>
          <w:r>
            <w:rPr>
              <w:rFonts w:ascii="Times New Roman" w:hAnsi="Times New Roman"/>
              <w:sz w:val="28"/>
              <w:szCs w:val="24"/>
            </w:rPr>
            <w:fldChar w:fldCharType="end"/>
          </w:r>
        </w:p>
        <w:p>
          <w:pPr>
            <w:pStyle w:val="7"/>
            <w:tabs>
              <w:tab w:val="right" w:leader="dot" w:pos="8302"/>
            </w:tabs>
            <w:ind w:left="480"/>
            <w:rPr>
              <w:rFonts w:ascii="Times New Roman" w:hAnsi="Times New Roman"/>
              <w:sz w:val="28"/>
              <w:szCs w:val="24"/>
            </w:rPr>
          </w:pPr>
          <w:r>
            <w:fldChar w:fldCharType="begin"/>
          </w:r>
          <w:r>
            <w:instrText xml:space="preserve"> HYPERLINK \l "_Toc92656350" </w:instrText>
          </w:r>
          <w:r>
            <w:fldChar w:fldCharType="separate"/>
          </w:r>
          <w:r>
            <w:rPr>
              <w:rStyle w:val="10"/>
              <w:rFonts w:ascii="Times New Roman" w:hAnsi="Times New Roman"/>
              <w:color w:val="auto"/>
              <w:sz w:val="28"/>
              <w:szCs w:val="24"/>
            </w:rPr>
            <w:t>2.2标准主要内容及确定依据</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_Toc92656350 \h </w:instrText>
          </w:r>
          <w:r>
            <w:rPr>
              <w:rFonts w:ascii="Times New Roman" w:hAnsi="Times New Roman"/>
              <w:sz w:val="28"/>
              <w:szCs w:val="24"/>
            </w:rPr>
            <w:fldChar w:fldCharType="separate"/>
          </w:r>
          <w:r>
            <w:rPr>
              <w:rFonts w:ascii="Times New Roman" w:hAnsi="Times New Roman"/>
              <w:sz w:val="28"/>
              <w:szCs w:val="24"/>
            </w:rPr>
            <w:t>4</w:t>
          </w:r>
          <w:r>
            <w:rPr>
              <w:rFonts w:ascii="Times New Roman" w:hAnsi="Times New Roman"/>
              <w:sz w:val="28"/>
              <w:szCs w:val="24"/>
            </w:rPr>
            <w:fldChar w:fldCharType="end"/>
          </w:r>
          <w:r>
            <w:rPr>
              <w:rFonts w:ascii="Times New Roman" w:hAnsi="Times New Roman"/>
              <w:sz w:val="28"/>
              <w:szCs w:val="24"/>
            </w:rPr>
            <w:fldChar w:fldCharType="end"/>
          </w:r>
        </w:p>
        <w:p>
          <w:pPr>
            <w:pStyle w:val="6"/>
            <w:tabs>
              <w:tab w:val="right" w:leader="dot" w:pos="8302"/>
            </w:tabs>
            <w:rPr>
              <w:rFonts w:ascii="Times New Roman" w:hAnsi="Times New Roman"/>
              <w:sz w:val="28"/>
              <w:szCs w:val="24"/>
            </w:rPr>
          </w:pPr>
          <w:r>
            <w:fldChar w:fldCharType="begin"/>
          </w:r>
          <w:r>
            <w:instrText xml:space="preserve"> HYPERLINK \l "_Toc92656351" </w:instrText>
          </w:r>
          <w:r>
            <w:fldChar w:fldCharType="separate"/>
          </w:r>
          <w:r>
            <w:rPr>
              <w:rStyle w:val="10"/>
              <w:rFonts w:ascii="Times New Roman" w:hAnsi="Times New Roman"/>
              <w:b/>
              <w:color w:val="auto"/>
              <w:sz w:val="28"/>
              <w:szCs w:val="24"/>
            </w:rPr>
            <w:t>3 标准征求意见情况及重大意见分歧的处理情况和依据</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_Toc92656351 \h </w:instrText>
          </w:r>
          <w:r>
            <w:rPr>
              <w:rFonts w:ascii="Times New Roman" w:hAnsi="Times New Roman"/>
              <w:sz w:val="28"/>
              <w:szCs w:val="24"/>
            </w:rPr>
            <w:fldChar w:fldCharType="separate"/>
          </w:r>
          <w:r>
            <w:rPr>
              <w:rFonts w:ascii="Times New Roman" w:hAnsi="Times New Roman"/>
              <w:sz w:val="28"/>
              <w:szCs w:val="24"/>
            </w:rPr>
            <w:t>4</w:t>
          </w:r>
          <w:r>
            <w:rPr>
              <w:rFonts w:ascii="Times New Roman" w:hAnsi="Times New Roman"/>
              <w:sz w:val="28"/>
              <w:szCs w:val="24"/>
            </w:rPr>
            <w:fldChar w:fldCharType="end"/>
          </w:r>
          <w:r>
            <w:rPr>
              <w:rFonts w:ascii="Times New Roman" w:hAnsi="Times New Roman"/>
              <w:sz w:val="28"/>
              <w:szCs w:val="24"/>
            </w:rPr>
            <w:fldChar w:fldCharType="end"/>
          </w:r>
        </w:p>
        <w:p>
          <w:pPr>
            <w:pStyle w:val="6"/>
            <w:tabs>
              <w:tab w:val="right" w:leader="dot" w:pos="8302"/>
            </w:tabs>
            <w:rPr>
              <w:rFonts w:ascii="Times New Roman" w:hAnsi="Times New Roman"/>
              <w:sz w:val="28"/>
              <w:szCs w:val="24"/>
            </w:rPr>
          </w:pPr>
          <w:r>
            <w:fldChar w:fldCharType="begin"/>
          </w:r>
          <w:r>
            <w:instrText xml:space="preserve"> HYPERLINK \l "_Toc92656352" </w:instrText>
          </w:r>
          <w:r>
            <w:fldChar w:fldCharType="separate"/>
          </w:r>
          <w:r>
            <w:rPr>
              <w:rStyle w:val="10"/>
              <w:rFonts w:ascii="Times New Roman" w:hAnsi="Times New Roman"/>
              <w:b/>
              <w:color w:val="auto"/>
              <w:sz w:val="28"/>
              <w:szCs w:val="24"/>
            </w:rPr>
            <w:t>4 标准与现行法律法规政策标准的关系</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_Toc92656352 \h </w:instrText>
          </w:r>
          <w:r>
            <w:rPr>
              <w:rFonts w:ascii="Times New Roman" w:hAnsi="Times New Roman"/>
              <w:sz w:val="28"/>
              <w:szCs w:val="24"/>
            </w:rPr>
            <w:fldChar w:fldCharType="separate"/>
          </w:r>
          <w:r>
            <w:rPr>
              <w:rFonts w:ascii="Times New Roman" w:hAnsi="Times New Roman"/>
              <w:sz w:val="28"/>
              <w:szCs w:val="24"/>
            </w:rPr>
            <w:t>5</w:t>
          </w:r>
          <w:r>
            <w:rPr>
              <w:rFonts w:ascii="Times New Roman" w:hAnsi="Times New Roman"/>
              <w:sz w:val="28"/>
              <w:szCs w:val="24"/>
            </w:rPr>
            <w:fldChar w:fldCharType="end"/>
          </w:r>
          <w:r>
            <w:rPr>
              <w:rFonts w:ascii="Times New Roman" w:hAnsi="Times New Roman"/>
              <w:sz w:val="28"/>
              <w:szCs w:val="24"/>
            </w:rPr>
            <w:fldChar w:fldCharType="end"/>
          </w:r>
        </w:p>
        <w:p>
          <w:pPr>
            <w:pStyle w:val="6"/>
            <w:tabs>
              <w:tab w:val="right" w:leader="dot" w:pos="8302"/>
            </w:tabs>
            <w:rPr>
              <w:rFonts w:ascii="Times New Roman" w:hAnsi="Times New Roman"/>
              <w:sz w:val="28"/>
              <w:szCs w:val="24"/>
            </w:rPr>
          </w:pPr>
          <w:r>
            <w:fldChar w:fldCharType="begin"/>
          </w:r>
          <w:r>
            <w:instrText xml:space="preserve"> HYPERLINK \l "_Toc92656353" </w:instrText>
          </w:r>
          <w:r>
            <w:fldChar w:fldCharType="separate"/>
          </w:r>
          <w:r>
            <w:rPr>
              <w:rStyle w:val="10"/>
              <w:rFonts w:ascii="Times New Roman" w:hAnsi="Times New Roman"/>
              <w:b/>
              <w:color w:val="auto"/>
              <w:sz w:val="28"/>
              <w:szCs w:val="24"/>
            </w:rPr>
            <w:t>5 标准的预期经济效益</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_Toc92656353 \h </w:instrText>
          </w:r>
          <w:r>
            <w:rPr>
              <w:rFonts w:ascii="Times New Roman" w:hAnsi="Times New Roman"/>
              <w:sz w:val="28"/>
              <w:szCs w:val="24"/>
            </w:rPr>
            <w:fldChar w:fldCharType="separate"/>
          </w:r>
          <w:r>
            <w:rPr>
              <w:rFonts w:ascii="Times New Roman" w:hAnsi="Times New Roman"/>
              <w:sz w:val="28"/>
              <w:szCs w:val="24"/>
            </w:rPr>
            <w:t>6</w:t>
          </w:r>
          <w:r>
            <w:rPr>
              <w:rFonts w:ascii="Times New Roman" w:hAnsi="Times New Roman"/>
              <w:sz w:val="28"/>
              <w:szCs w:val="24"/>
            </w:rPr>
            <w:fldChar w:fldCharType="end"/>
          </w:r>
          <w:r>
            <w:rPr>
              <w:rFonts w:ascii="Times New Roman" w:hAnsi="Times New Roman"/>
              <w:sz w:val="28"/>
              <w:szCs w:val="24"/>
            </w:rPr>
            <w:fldChar w:fldCharType="end"/>
          </w:r>
        </w:p>
        <w:p>
          <w:pPr>
            <w:pStyle w:val="6"/>
            <w:tabs>
              <w:tab w:val="right" w:leader="dot" w:pos="8302"/>
            </w:tabs>
            <w:rPr>
              <w:rFonts w:ascii="Times New Roman" w:hAnsi="Times New Roman"/>
              <w:sz w:val="28"/>
              <w:szCs w:val="24"/>
            </w:rPr>
          </w:pPr>
          <w:r>
            <w:fldChar w:fldCharType="begin"/>
          </w:r>
          <w:r>
            <w:instrText xml:space="preserve"> HYPERLINK \l "_Toc92656354" </w:instrText>
          </w:r>
          <w:r>
            <w:fldChar w:fldCharType="separate"/>
          </w:r>
          <w:r>
            <w:rPr>
              <w:rStyle w:val="10"/>
              <w:rFonts w:ascii="Times New Roman" w:hAnsi="Times New Roman"/>
              <w:b/>
              <w:color w:val="auto"/>
              <w:sz w:val="28"/>
              <w:szCs w:val="24"/>
            </w:rPr>
            <w:t>6 标准贯彻实施的意见和建议</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_Toc92656354 \h </w:instrText>
          </w:r>
          <w:r>
            <w:rPr>
              <w:rFonts w:ascii="Times New Roman" w:hAnsi="Times New Roman"/>
              <w:sz w:val="28"/>
              <w:szCs w:val="24"/>
            </w:rPr>
            <w:fldChar w:fldCharType="separate"/>
          </w:r>
          <w:r>
            <w:rPr>
              <w:rFonts w:ascii="Times New Roman" w:hAnsi="Times New Roman"/>
              <w:sz w:val="28"/>
              <w:szCs w:val="24"/>
            </w:rPr>
            <w:t>6</w:t>
          </w:r>
          <w:r>
            <w:rPr>
              <w:rFonts w:ascii="Times New Roman" w:hAnsi="Times New Roman"/>
              <w:sz w:val="28"/>
              <w:szCs w:val="24"/>
            </w:rPr>
            <w:fldChar w:fldCharType="end"/>
          </w:r>
          <w:r>
            <w:rPr>
              <w:rFonts w:ascii="Times New Roman" w:hAnsi="Times New Roman"/>
              <w:sz w:val="28"/>
              <w:szCs w:val="24"/>
            </w:rPr>
            <w:fldChar w:fldCharType="end"/>
          </w:r>
        </w:p>
        <w:p>
          <w:pPr>
            <w:pStyle w:val="6"/>
            <w:tabs>
              <w:tab w:val="right" w:leader="dot" w:pos="8302"/>
            </w:tabs>
            <w:rPr>
              <w:rFonts w:ascii="Times New Roman" w:hAnsi="Times New Roman"/>
              <w:sz w:val="28"/>
              <w:szCs w:val="24"/>
            </w:rPr>
          </w:pPr>
          <w:r>
            <w:fldChar w:fldCharType="begin"/>
          </w:r>
          <w:r>
            <w:instrText xml:space="preserve"> HYPERLINK \l "_Toc92656355" </w:instrText>
          </w:r>
          <w:r>
            <w:fldChar w:fldCharType="separate"/>
          </w:r>
          <w:r>
            <w:rPr>
              <w:rStyle w:val="10"/>
              <w:rFonts w:ascii="Times New Roman" w:hAnsi="Times New Roman"/>
              <w:b/>
              <w:color w:val="auto"/>
              <w:sz w:val="28"/>
              <w:szCs w:val="24"/>
            </w:rPr>
            <w:t>7 其他应予说明的事项</w:t>
          </w:r>
          <w:r>
            <w:rPr>
              <w:rFonts w:ascii="Times New Roman" w:hAnsi="Times New Roman"/>
              <w:sz w:val="28"/>
              <w:szCs w:val="24"/>
            </w:rPr>
            <w:tab/>
          </w:r>
          <w:r>
            <w:rPr>
              <w:rFonts w:ascii="Times New Roman" w:hAnsi="Times New Roman"/>
              <w:sz w:val="28"/>
              <w:szCs w:val="24"/>
            </w:rPr>
            <w:fldChar w:fldCharType="begin"/>
          </w:r>
          <w:r>
            <w:rPr>
              <w:rFonts w:ascii="Times New Roman" w:hAnsi="Times New Roman"/>
              <w:sz w:val="28"/>
              <w:szCs w:val="24"/>
            </w:rPr>
            <w:instrText xml:space="preserve"> PAGEREF _Toc92656355 \h </w:instrText>
          </w:r>
          <w:r>
            <w:rPr>
              <w:rFonts w:ascii="Times New Roman" w:hAnsi="Times New Roman"/>
              <w:sz w:val="28"/>
              <w:szCs w:val="24"/>
            </w:rPr>
            <w:fldChar w:fldCharType="separate"/>
          </w:r>
          <w:r>
            <w:rPr>
              <w:rFonts w:ascii="Times New Roman" w:hAnsi="Times New Roman"/>
              <w:sz w:val="28"/>
              <w:szCs w:val="24"/>
            </w:rPr>
            <w:t>6</w:t>
          </w:r>
          <w:r>
            <w:rPr>
              <w:rFonts w:ascii="Times New Roman" w:hAnsi="Times New Roman"/>
              <w:sz w:val="28"/>
              <w:szCs w:val="24"/>
            </w:rPr>
            <w:fldChar w:fldCharType="end"/>
          </w:r>
          <w:r>
            <w:rPr>
              <w:rFonts w:ascii="Times New Roman" w:hAnsi="Times New Roman"/>
              <w:sz w:val="28"/>
              <w:szCs w:val="24"/>
            </w:rPr>
            <w:fldChar w:fldCharType="end"/>
          </w:r>
        </w:p>
        <w:p>
          <w:pPr>
            <w:rPr>
              <w:rFonts w:ascii="Times New Roman" w:hAnsi="Times New Roman"/>
              <w:sz w:val="28"/>
              <w:szCs w:val="24"/>
            </w:rPr>
          </w:pPr>
          <w:r>
            <w:rPr>
              <w:rFonts w:ascii="Times New Roman" w:hAnsi="Times New Roman"/>
              <w:b/>
              <w:bCs/>
              <w:sz w:val="28"/>
              <w:szCs w:val="24"/>
              <w:lang w:val="zh-CN"/>
            </w:rPr>
            <w:fldChar w:fldCharType="end"/>
          </w:r>
        </w:p>
      </w:sdtContent>
    </w:sdt>
    <w:p>
      <w:pPr>
        <w:widowControl/>
        <w:spacing w:line="240" w:lineRule="auto"/>
        <w:jc w:val="left"/>
      </w:pPr>
    </w:p>
    <w:p>
      <w:pPr>
        <w:pStyle w:val="2"/>
        <w:spacing w:before="163" w:beforeLines="50" w:after="163" w:afterLines="50" w:line="360" w:lineRule="auto"/>
        <w:sectPr>
          <w:footerReference r:id="rId5" w:type="default"/>
          <w:pgSz w:w="11906" w:h="16838"/>
          <w:pgMar w:top="1440" w:right="1797" w:bottom="1440" w:left="1797" w:header="851" w:footer="992" w:gutter="0"/>
          <w:pgNumType w:start="1"/>
          <w:cols w:space="425" w:num="1"/>
          <w:docGrid w:type="lines" w:linePitch="326" w:charSpace="0"/>
        </w:sectPr>
      </w:pPr>
      <w:r>
        <w:br w:type="page"/>
      </w:r>
      <w:bookmarkStart w:id="0" w:name="_Toc3966"/>
      <w:bookmarkStart w:id="1" w:name="_Toc92656345"/>
    </w:p>
    <w:p>
      <w:pPr>
        <w:pStyle w:val="2"/>
        <w:spacing w:before="163" w:beforeLines="50" w:after="163" w:afterLines="50" w:line="360" w:lineRule="auto"/>
        <w:rPr>
          <w:rFonts w:ascii="Times New Roman" w:hAnsi="Times New Roman" w:eastAsia="宋体"/>
          <w:b/>
          <w:bCs w:val="0"/>
          <w:sz w:val="36"/>
          <w:szCs w:val="48"/>
        </w:rPr>
      </w:pPr>
      <w:r>
        <w:rPr>
          <w:rFonts w:ascii="Times New Roman" w:hAnsi="Times New Roman" w:eastAsia="宋体"/>
          <w:b/>
          <w:bCs w:val="0"/>
          <w:sz w:val="36"/>
          <w:szCs w:val="48"/>
        </w:rPr>
        <w:t>1 工作简况</w:t>
      </w:r>
      <w:bookmarkEnd w:id="0"/>
      <w:bookmarkEnd w:id="1"/>
    </w:p>
    <w:p>
      <w:pPr>
        <w:pStyle w:val="3"/>
        <w:spacing w:before="163" w:beforeLines="50" w:after="163" w:afterLines="50" w:line="360" w:lineRule="auto"/>
        <w:rPr>
          <w:rFonts w:ascii="Times New Roman" w:hAnsi="Times New Roman" w:eastAsia="宋体" w:cs="Times New Roman"/>
          <w:sz w:val="36"/>
          <w:szCs w:val="36"/>
        </w:rPr>
      </w:pPr>
      <w:bookmarkStart w:id="2" w:name="_Toc92656346"/>
      <w:bookmarkStart w:id="3" w:name="_Toc11492"/>
      <w:r>
        <w:rPr>
          <w:rFonts w:ascii="Times New Roman" w:hAnsi="Times New Roman" w:eastAsia="宋体" w:cs="Times New Roman"/>
          <w:sz w:val="36"/>
          <w:szCs w:val="36"/>
        </w:rPr>
        <w:t>1.1任务来源</w:t>
      </w:r>
      <w:bookmarkEnd w:id="2"/>
      <w:bookmarkEnd w:id="3"/>
    </w:p>
    <w:p>
      <w:pPr>
        <w:spacing w:before="163" w:beforeLines="50" w:after="163" w:afterLines="50"/>
        <w:ind w:firstLine="560" w:firstLineChars="200"/>
        <w:rPr>
          <w:rFonts w:ascii="Times New Roman" w:hAnsi="Times New Roman"/>
          <w:sz w:val="28"/>
          <w:szCs w:val="24"/>
        </w:rPr>
      </w:pPr>
      <w:r>
        <w:rPr>
          <w:rFonts w:hint="eastAsia" w:ascii="Times New Roman" w:hAnsi="Times New Roman"/>
          <w:sz w:val="28"/>
          <w:szCs w:val="24"/>
        </w:rPr>
        <w:t>根据《河北省市场监督管理局关于下达2</w:t>
      </w:r>
      <w:r>
        <w:rPr>
          <w:rFonts w:ascii="Times New Roman" w:hAnsi="Times New Roman"/>
          <w:sz w:val="28"/>
          <w:szCs w:val="24"/>
        </w:rPr>
        <w:t>021</w:t>
      </w:r>
      <w:r>
        <w:rPr>
          <w:rFonts w:hint="eastAsia" w:ascii="Times New Roman" w:hAnsi="Times New Roman"/>
          <w:sz w:val="28"/>
          <w:szCs w:val="24"/>
        </w:rPr>
        <w:t>年河北省地方标准制修订项目计划（第二批）的通知》(冀市监函〔</w:t>
      </w:r>
      <w:r>
        <w:rPr>
          <w:rFonts w:ascii="Times New Roman" w:hAnsi="Times New Roman"/>
          <w:sz w:val="28"/>
          <w:szCs w:val="24"/>
        </w:rPr>
        <w:t>2021</w:t>
      </w:r>
      <w:r>
        <w:rPr>
          <w:rFonts w:hint="eastAsia" w:ascii="Times New Roman" w:hAnsi="Times New Roman"/>
          <w:sz w:val="28"/>
          <w:szCs w:val="24"/>
        </w:rPr>
        <w:t>〕</w:t>
      </w:r>
      <w:r>
        <w:rPr>
          <w:rFonts w:ascii="Times New Roman" w:hAnsi="Times New Roman"/>
          <w:sz w:val="28"/>
          <w:szCs w:val="24"/>
        </w:rPr>
        <w:t>448</w:t>
      </w:r>
      <w:r>
        <w:rPr>
          <w:rFonts w:hint="eastAsia" w:ascii="Times New Roman" w:hAnsi="Times New Roman"/>
          <w:sz w:val="28"/>
          <w:szCs w:val="24"/>
        </w:rPr>
        <w:t>号</w:t>
      </w:r>
      <w:r>
        <w:rPr>
          <w:rFonts w:ascii="Times New Roman" w:hAnsi="Times New Roman"/>
          <w:sz w:val="28"/>
          <w:szCs w:val="24"/>
        </w:rPr>
        <w:t>)</w:t>
      </w:r>
      <w:r>
        <w:rPr>
          <w:rFonts w:hint="eastAsia" w:ascii="Times New Roman" w:hAnsi="Times New Roman"/>
          <w:sz w:val="28"/>
          <w:szCs w:val="24"/>
        </w:rPr>
        <w:t>，</w:t>
      </w:r>
      <w:r>
        <w:rPr>
          <w:rFonts w:ascii="Times New Roman" w:hAnsi="Times New Roman"/>
          <w:sz w:val="28"/>
          <w:szCs w:val="24"/>
        </w:rPr>
        <w:t>由</w:t>
      </w:r>
      <w:r>
        <w:rPr>
          <w:rFonts w:hint="eastAsia" w:ascii="Times New Roman" w:hAnsi="Times New Roman"/>
          <w:sz w:val="28"/>
          <w:szCs w:val="24"/>
        </w:rPr>
        <w:t>唐山市公路养护管理中心</w:t>
      </w:r>
      <w:r>
        <w:rPr>
          <w:rFonts w:ascii="Times New Roman" w:hAnsi="Times New Roman"/>
          <w:sz w:val="28"/>
          <w:szCs w:val="24"/>
        </w:rPr>
        <w:t>负责组织实施</w:t>
      </w:r>
      <w:r>
        <w:rPr>
          <w:rFonts w:hint="eastAsia" w:ascii="Times New Roman" w:hAnsi="Times New Roman"/>
          <w:sz w:val="28"/>
          <w:szCs w:val="24"/>
        </w:rPr>
        <w:t>《公路钢渣沥青混合料应用技术规范》</w:t>
      </w:r>
      <w:r>
        <w:rPr>
          <w:rFonts w:ascii="Times New Roman" w:hAnsi="Times New Roman"/>
          <w:sz w:val="28"/>
          <w:szCs w:val="24"/>
        </w:rPr>
        <w:t>的制订工作</w:t>
      </w:r>
      <w:r>
        <w:rPr>
          <w:rFonts w:hint="eastAsia" w:ascii="Times New Roman" w:hAnsi="Times New Roman"/>
          <w:sz w:val="28"/>
          <w:szCs w:val="24"/>
        </w:rPr>
        <w:t>，</w:t>
      </w:r>
      <w:r>
        <w:rPr>
          <w:rFonts w:ascii="Times New Roman" w:hAnsi="Times New Roman"/>
          <w:sz w:val="28"/>
          <w:szCs w:val="24"/>
        </w:rPr>
        <w:t>参编单位有</w:t>
      </w:r>
      <w:r>
        <w:rPr>
          <w:rFonts w:hint="eastAsia" w:ascii="Times New Roman" w:hAnsi="Times New Roman"/>
          <w:sz w:val="28"/>
          <w:szCs w:val="24"/>
        </w:rPr>
        <w:t>唐山公路建设总公司。</w:t>
      </w:r>
    </w:p>
    <w:p>
      <w:pPr>
        <w:pStyle w:val="3"/>
        <w:spacing w:before="163" w:beforeLines="50" w:after="163" w:afterLines="50" w:line="360" w:lineRule="auto"/>
        <w:rPr>
          <w:rFonts w:ascii="Times New Roman" w:hAnsi="Times New Roman" w:eastAsia="宋体" w:cs="Times New Roman"/>
          <w:sz w:val="36"/>
          <w:szCs w:val="36"/>
        </w:rPr>
      </w:pPr>
      <w:bookmarkStart w:id="4" w:name="_Toc8147"/>
      <w:bookmarkStart w:id="5" w:name="_Toc92656347"/>
      <w:r>
        <w:rPr>
          <w:rFonts w:ascii="Times New Roman" w:hAnsi="Times New Roman" w:eastAsia="宋体" w:cs="Times New Roman"/>
          <w:sz w:val="36"/>
          <w:szCs w:val="36"/>
        </w:rPr>
        <w:t>1.2</w:t>
      </w:r>
      <w:bookmarkEnd w:id="4"/>
      <w:r>
        <w:rPr>
          <w:rFonts w:hint="eastAsia" w:ascii="Times New Roman" w:hAnsi="Times New Roman" w:eastAsia="宋体" w:cs="Times New Roman"/>
          <w:sz w:val="36"/>
          <w:szCs w:val="36"/>
        </w:rPr>
        <w:t>项目背景</w:t>
      </w:r>
      <w:bookmarkEnd w:id="5"/>
    </w:p>
    <w:p>
      <w:pPr>
        <w:spacing w:before="163" w:beforeLines="50" w:after="163" w:afterLines="50"/>
        <w:ind w:firstLine="562" w:firstLineChars="200"/>
        <w:rPr>
          <w:rFonts w:ascii="Times New Roman" w:hAnsi="Times New Roman"/>
          <w:b/>
          <w:sz w:val="28"/>
          <w:szCs w:val="28"/>
        </w:rPr>
      </w:pPr>
      <w:r>
        <w:rPr>
          <w:rFonts w:ascii="Times New Roman" w:hAnsi="Times New Roman"/>
          <w:b/>
          <w:sz w:val="28"/>
          <w:szCs w:val="28"/>
        </w:rPr>
        <w:t>1.2.1</w:t>
      </w:r>
      <w:r>
        <w:rPr>
          <w:rFonts w:hint="eastAsia" w:ascii="Times New Roman" w:hAnsi="Times New Roman"/>
          <w:b/>
          <w:sz w:val="28"/>
          <w:szCs w:val="28"/>
        </w:rPr>
        <w:t>研究背景</w:t>
      </w:r>
    </w:p>
    <w:p>
      <w:pPr>
        <w:spacing w:before="163" w:beforeLines="50" w:after="163" w:afterLines="50"/>
        <w:ind w:firstLine="560" w:firstLineChars="200"/>
        <w:rPr>
          <w:rFonts w:ascii="Times New Roman" w:hAnsi="Times New Roman"/>
          <w:sz w:val="28"/>
          <w:szCs w:val="24"/>
        </w:rPr>
      </w:pPr>
      <w:r>
        <w:rPr>
          <w:rFonts w:hint="eastAsia" w:ascii="Times New Roman" w:hAnsi="Times New Roman"/>
          <w:sz w:val="28"/>
          <w:szCs w:val="24"/>
        </w:rPr>
        <w:t>近年来，我国钢铁工业快速发展，钢渣产量大幅增加。京津冀是我国重化工业集中的区域，也是钢渣高度集中的产地。大量钢渣堆存，不仅占用土地资源，还给生态环境带来了较大安全隐患。研究表明，钢渣是一种未能充分利用的工业废渣。</w:t>
      </w:r>
      <w:r>
        <w:rPr>
          <w:rFonts w:ascii="Times New Roman" w:hAnsi="Times New Roman"/>
          <w:sz w:val="28"/>
          <w:szCs w:val="24"/>
        </w:rPr>
        <w:t>2019 年发改委发布《关于推进大宗固体废弃物综合利用产业集聚发展的通知》，该通知明确提出积极推动钢渣尾渣深度研究、分级利用、优质优用和规模化利用。推广技术先进、能耗低、耗渣大、附加值高的产品，全面实现钢渣“零排放”</w:t>
      </w:r>
      <w:r>
        <w:rPr>
          <w:rFonts w:hint="eastAsia" w:ascii="Times New Roman" w:hAnsi="Times New Roman"/>
          <w:sz w:val="28"/>
          <w:szCs w:val="24"/>
        </w:rPr>
        <w:t>；2</w:t>
      </w:r>
      <w:r>
        <w:rPr>
          <w:rFonts w:ascii="Times New Roman" w:hAnsi="Times New Roman"/>
          <w:sz w:val="28"/>
          <w:szCs w:val="24"/>
        </w:rPr>
        <w:t>021</w:t>
      </w:r>
      <w:r>
        <w:rPr>
          <w:rFonts w:hint="eastAsia" w:ascii="Times New Roman" w:hAnsi="Times New Roman"/>
          <w:sz w:val="28"/>
          <w:szCs w:val="24"/>
        </w:rPr>
        <w:t>年，国务院印发的《</w:t>
      </w:r>
      <w:r>
        <w:rPr>
          <w:rFonts w:ascii="Times New Roman" w:hAnsi="Times New Roman"/>
          <w:sz w:val="28"/>
          <w:szCs w:val="24"/>
        </w:rPr>
        <w:t>2030年前碳达峰行动方案》</w:t>
      </w:r>
      <w:r>
        <w:rPr>
          <w:rFonts w:hint="eastAsia" w:ascii="Times New Roman" w:hAnsi="Times New Roman"/>
          <w:sz w:val="28"/>
          <w:szCs w:val="24"/>
        </w:rPr>
        <w:t>中也鼓励河北钢铁企业在钢渣回收再利用技术上进行任务探索。</w:t>
      </w:r>
    </w:p>
    <w:p>
      <w:pPr>
        <w:spacing w:before="163" w:beforeLines="50" w:after="163" w:afterLines="50"/>
        <w:ind w:firstLine="560" w:firstLineChars="200"/>
        <w:rPr>
          <w:rFonts w:ascii="Times New Roman" w:hAnsi="Times New Roman"/>
          <w:sz w:val="28"/>
          <w:szCs w:val="24"/>
        </w:rPr>
      </w:pPr>
      <w:r>
        <w:rPr>
          <w:rFonts w:hint="eastAsia" w:ascii="Times New Roman" w:hAnsi="Times New Roman"/>
          <w:sz w:val="28"/>
          <w:szCs w:val="24"/>
        </w:rPr>
        <w:t>消纳于路用材料是钢渣资源化利用的</w:t>
      </w:r>
      <w:r>
        <w:rPr>
          <w:rFonts w:hint="eastAsia" w:ascii="Times New Roman" w:hAnsi="Times New Roman"/>
          <w:sz w:val="28"/>
          <w:szCs w:val="24"/>
          <w:lang w:eastAsia="zh"/>
        </w:rPr>
        <w:t>重要途径</w:t>
      </w:r>
      <w:r>
        <w:rPr>
          <w:rFonts w:hint="eastAsia" w:ascii="Times New Roman" w:hAnsi="Times New Roman"/>
          <w:sz w:val="28"/>
          <w:szCs w:val="24"/>
        </w:rPr>
        <w:t>之一，钢渣沥青混凝土技术应用研究符合我国钢渣资源化利用的倡导。钢渣作为一种优良的路用材料，其优点已被国内外研究和实践所证实，但目前钢渣类路用材料仍然存在一些问题，如钢渣体积不稳定、钢渣技术指标和适用范围不明确、钢渣集料加工过程中材料利用不充分、钢渣沥青混凝土水损害破坏机理等等。因此，迫切需要规范钢渣的物化性能、钢渣沥青混凝土设计方法，规范钢渣沥青混凝土技术施工和管理要求，保证钢渣使用过程中面临的问题得到有效解决。</w:t>
      </w:r>
    </w:p>
    <w:p>
      <w:pPr>
        <w:spacing w:before="163" w:beforeLines="50" w:after="163" w:afterLines="50"/>
        <w:ind w:firstLine="560" w:firstLineChars="200"/>
        <w:rPr>
          <w:rFonts w:ascii="Times New Roman" w:hAnsi="Times New Roman"/>
          <w:color w:val="000000" w:themeColor="text1"/>
          <w:sz w:val="28"/>
          <w:szCs w:val="28"/>
          <w14:textFill>
            <w14:solidFill>
              <w14:schemeClr w14:val="tx1"/>
            </w14:solidFill>
          </w14:textFill>
        </w:rPr>
      </w:pPr>
      <w:r>
        <w:rPr>
          <w:rFonts w:hint="eastAsia" w:ascii="Times New Roman" w:hAnsi="Times New Roman"/>
          <w:color w:val="000000" w:themeColor="text1"/>
          <w:sz w:val="28"/>
          <w:szCs w:val="28"/>
          <w14:textFill>
            <w14:solidFill>
              <w14:schemeClr w14:val="tx1"/>
            </w14:solidFill>
          </w14:textFill>
        </w:rPr>
        <w:t>本规程主要内容围绕适用于河北省公路工程沥青路面钢渣沥青混凝土的应用技术这一核心主题，结合对河北省地理环境特点和经济发展现状，因地制宜形成了可操作性强、具有指导意义的路面钢渣沥青混凝土应用技术规程。</w:t>
      </w:r>
    </w:p>
    <w:p>
      <w:pPr>
        <w:spacing w:before="163" w:beforeLines="50" w:after="163" w:afterLines="50"/>
        <w:ind w:firstLine="562" w:firstLineChars="200"/>
        <w:rPr>
          <w:rFonts w:ascii="Times New Roman" w:hAnsi="Times New Roman"/>
          <w:b/>
          <w:sz w:val="28"/>
          <w:szCs w:val="28"/>
        </w:rPr>
      </w:pPr>
      <w:r>
        <w:rPr>
          <w:rFonts w:ascii="Times New Roman" w:hAnsi="Times New Roman"/>
          <w:b/>
          <w:sz w:val="28"/>
          <w:szCs w:val="28"/>
        </w:rPr>
        <w:t>1.2.2主要工作</w:t>
      </w:r>
      <w:r>
        <w:rPr>
          <w:rFonts w:hint="eastAsia" w:ascii="Times New Roman" w:hAnsi="Times New Roman"/>
          <w:b/>
          <w:sz w:val="28"/>
          <w:szCs w:val="28"/>
        </w:rPr>
        <w:t>过程</w:t>
      </w:r>
    </w:p>
    <w:p>
      <w:pPr>
        <w:spacing w:before="163" w:beforeLines="50" w:after="163" w:afterLines="50"/>
        <w:ind w:firstLine="560" w:firstLineChars="200"/>
        <w:rPr>
          <w:rFonts w:ascii="Times New Roman" w:hAnsi="Times New Roman"/>
          <w:sz w:val="28"/>
          <w:szCs w:val="28"/>
        </w:rPr>
      </w:pPr>
      <w:r>
        <w:rPr>
          <w:rFonts w:ascii="Times New Roman" w:hAnsi="Times New Roman"/>
          <w:sz w:val="28"/>
          <w:szCs w:val="28"/>
        </w:rPr>
        <w:t>（1）2021.08：</w:t>
      </w:r>
      <w:r>
        <w:rPr>
          <w:rFonts w:hint="eastAsia" w:ascii="Times New Roman" w:hAnsi="Times New Roman"/>
          <w:sz w:val="28"/>
          <w:szCs w:val="28"/>
        </w:rPr>
        <w:t>标准编写组成立，</w:t>
      </w:r>
      <w:r>
        <w:rPr>
          <w:rFonts w:ascii="Times New Roman" w:hAnsi="Times New Roman"/>
          <w:sz w:val="28"/>
          <w:szCs w:val="28"/>
        </w:rPr>
        <w:t>制定研究工作大纲；</w:t>
      </w:r>
    </w:p>
    <w:p>
      <w:pPr>
        <w:spacing w:before="163" w:beforeLines="50" w:after="163" w:afterLines="50"/>
        <w:ind w:firstLine="560" w:firstLineChars="200"/>
        <w:rPr>
          <w:rFonts w:ascii="Times New Roman" w:hAnsi="Times New Roman"/>
          <w:sz w:val="28"/>
          <w:szCs w:val="28"/>
        </w:rPr>
      </w:pPr>
      <w:r>
        <w:rPr>
          <w:rFonts w:ascii="Times New Roman" w:hAnsi="Times New Roman"/>
          <w:sz w:val="28"/>
          <w:szCs w:val="28"/>
        </w:rPr>
        <w:t>（2）2021.09：查阅资料和文献，进行钢渣路用现状研究和分析；</w:t>
      </w:r>
    </w:p>
    <w:p>
      <w:pPr>
        <w:spacing w:before="163" w:beforeLines="50" w:after="163" w:afterLines="50"/>
        <w:ind w:firstLine="560" w:firstLineChars="200"/>
        <w:rPr>
          <w:rFonts w:ascii="Times New Roman" w:hAnsi="Times New Roman"/>
          <w:sz w:val="28"/>
          <w:szCs w:val="28"/>
        </w:rPr>
      </w:pPr>
      <w:r>
        <w:rPr>
          <w:rFonts w:ascii="Times New Roman" w:hAnsi="Times New Roman"/>
          <w:sz w:val="28"/>
          <w:szCs w:val="28"/>
        </w:rPr>
        <w:t>（3）2021.10-11：开展钢渣试验性能和钢渣沥青凝土技术研究，并开展实际应用情况调研；</w:t>
      </w:r>
    </w:p>
    <w:p>
      <w:pPr>
        <w:spacing w:before="163" w:beforeLines="50" w:after="163" w:afterLines="50"/>
        <w:ind w:firstLine="560" w:firstLineChars="200"/>
        <w:rPr>
          <w:rFonts w:ascii="Times New Roman" w:hAnsi="Times New Roman"/>
          <w:sz w:val="28"/>
          <w:szCs w:val="28"/>
        </w:rPr>
      </w:pPr>
      <w:r>
        <w:rPr>
          <w:rFonts w:ascii="Times New Roman" w:hAnsi="Times New Roman"/>
          <w:sz w:val="28"/>
          <w:szCs w:val="28"/>
        </w:rPr>
        <w:t>（4）2021.12</w:t>
      </w:r>
      <w:r>
        <w:rPr>
          <w:rFonts w:hint="eastAsia" w:ascii="Times New Roman" w:hAnsi="Times New Roman"/>
          <w:sz w:val="28"/>
          <w:szCs w:val="28"/>
        </w:rPr>
        <w:t>-</w:t>
      </w:r>
      <w:r>
        <w:rPr>
          <w:rFonts w:ascii="Times New Roman" w:hAnsi="Times New Roman"/>
          <w:sz w:val="28"/>
          <w:szCs w:val="28"/>
        </w:rPr>
        <w:t>2022.2：编制形成《河北省</w:t>
      </w:r>
      <w:r>
        <w:rPr>
          <w:rFonts w:hint="eastAsia" w:ascii="Times New Roman" w:hAnsi="Times New Roman"/>
          <w:sz w:val="28"/>
          <w:szCs w:val="28"/>
        </w:rPr>
        <w:t>路用</w:t>
      </w:r>
      <w:r>
        <w:rPr>
          <w:rFonts w:ascii="Times New Roman" w:hAnsi="Times New Roman"/>
          <w:sz w:val="28"/>
          <w:szCs w:val="28"/>
        </w:rPr>
        <w:t>钢渣沥青混凝土技术应用规程》</w:t>
      </w:r>
      <w:r>
        <w:rPr>
          <w:rFonts w:hint="eastAsia" w:ascii="Times New Roman" w:hAnsi="Times New Roman"/>
          <w:sz w:val="28"/>
          <w:szCs w:val="28"/>
        </w:rPr>
        <w:t>初稿。</w:t>
      </w:r>
    </w:p>
    <w:p>
      <w:pPr>
        <w:spacing w:before="163" w:beforeLines="50" w:after="163" w:afterLines="50"/>
        <w:ind w:firstLine="560" w:firstLineChars="200"/>
        <w:rPr>
          <w:rFonts w:ascii="Times New Roman" w:hAnsi="Times New Roman"/>
          <w:sz w:val="28"/>
          <w:szCs w:val="28"/>
        </w:rPr>
      </w:pPr>
      <w:r>
        <w:rPr>
          <w:rFonts w:ascii="Times New Roman" w:hAnsi="Times New Roman"/>
          <w:sz w:val="28"/>
          <w:szCs w:val="28"/>
        </w:rPr>
        <w:t>（5）2022.3</w:t>
      </w:r>
      <w:r>
        <w:rPr>
          <w:rFonts w:hint="eastAsia" w:ascii="Times New Roman" w:hAnsi="Times New Roman"/>
          <w:sz w:val="28"/>
          <w:szCs w:val="28"/>
        </w:rPr>
        <w:t>-</w:t>
      </w:r>
      <w:r>
        <w:rPr>
          <w:rFonts w:ascii="Times New Roman" w:hAnsi="Times New Roman"/>
          <w:sz w:val="28"/>
          <w:szCs w:val="28"/>
        </w:rPr>
        <w:t>2022.6：</w:t>
      </w:r>
      <w:r>
        <w:rPr>
          <w:rFonts w:hint="eastAsia" w:ascii="Times New Roman" w:hAnsi="Times New Roman"/>
          <w:sz w:val="28"/>
          <w:szCs w:val="28"/>
        </w:rPr>
        <w:t>征求专家意见，修改完善</w:t>
      </w:r>
      <w:r>
        <w:rPr>
          <w:rFonts w:ascii="Times New Roman" w:hAnsi="Times New Roman"/>
          <w:sz w:val="28"/>
          <w:szCs w:val="28"/>
        </w:rPr>
        <w:t>形成《河北省</w:t>
      </w:r>
      <w:r>
        <w:rPr>
          <w:rFonts w:hint="eastAsia" w:ascii="Times New Roman" w:hAnsi="Times New Roman"/>
          <w:sz w:val="28"/>
          <w:szCs w:val="28"/>
        </w:rPr>
        <w:t>路用</w:t>
      </w:r>
      <w:r>
        <w:rPr>
          <w:rFonts w:ascii="Times New Roman" w:hAnsi="Times New Roman"/>
          <w:sz w:val="28"/>
          <w:szCs w:val="28"/>
        </w:rPr>
        <w:t>钢渣沥青混凝土技术应用规程》（</w:t>
      </w:r>
      <w:r>
        <w:rPr>
          <w:rFonts w:hint="eastAsia" w:ascii="Times New Roman" w:hAnsi="Times New Roman"/>
          <w:sz w:val="28"/>
          <w:szCs w:val="28"/>
        </w:rPr>
        <w:t>征求意见稿</w:t>
      </w:r>
      <w:r>
        <w:rPr>
          <w:rFonts w:ascii="Times New Roman" w:hAnsi="Times New Roman"/>
          <w:sz w:val="28"/>
          <w:szCs w:val="28"/>
        </w:rPr>
        <w:t>）；</w:t>
      </w:r>
    </w:p>
    <w:p>
      <w:pPr>
        <w:spacing w:before="163" w:beforeLines="50" w:after="163" w:afterLines="50"/>
        <w:ind w:firstLine="560" w:firstLineChars="200"/>
        <w:rPr>
          <w:rFonts w:ascii="Times New Roman" w:hAnsi="Times New Roman"/>
          <w:sz w:val="28"/>
          <w:szCs w:val="28"/>
        </w:rPr>
      </w:pPr>
    </w:p>
    <w:p>
      <w:pPr>
        <w:spacing w:before="163" w:beforeLines="50" w:after="163" w:afterLines="50"/>
        <w:ind w:firstLine="560" w:firstLineChars="200"/>
        <w:rPr>
          <w:rFonts w:ascii="Times New Roman" w:hAnsi="Times New Roman"/>
          <w:sz w:val="28"/>
          <w:szCs w:val="28"/>
        </w:rPr>
      </w:pPr>
      <w:r>
        <w:rPr>
          <w:rFonts w:ascii="Times New Roman" w:hAnsi="Times New Roman"/>
          <w:sz w:val="28"/>
          <w:szCs w:val="28"/>
        </w:rPr>
        <w:t>（6）2022.7</w:t>
      </w:r>
      <w:r>
        <w:rPr>
          <w:rFonts w:hint="eastAsia" w:ascii="Times New Roman" w:hAnsi="Times New Roman"/>
          <w:sz w:val="28"/>
          <w:szCs w:val="28"/>
        </w:rPr>
        <w:t>-</w:t>
      </w:r>
      <w:r>
        <w:rPr>
          <w:rFonts w:ascii="Times New Roman" w:hAnsi="Times New Roman"/>
          <w:sz w:val="28"/>
          <w:szCs w:val="28"/>
        </w:rPr>
        <w:t>8：</w:t>
      </w:r>
      <w:r>
        <w:rPr>
          <w:rFonts w:hint="eastAsia" w:ascii="Times New Roman" w:hAnsi="Times New Roman"/>
          <w:sz w:val="28"/>
          <w:szCs w:val="28"/>
        </w:rPr>
        <w:t>编写组根据专家意见对规程进行修改完善，</w:t>
      </w:r>
      <w:r>
        <w:rPr>
          <w:rFonts w:ascii="Times New Roman" w:hAnsi="Times New Roman"/>
          <w:sz w:val="28"/>
          <w:szCs w:val="28"/>
        </w:rPr>
        <w:t>形成《河北省</w:t>
      </w:r>
      <w:r>
        <w:rPr>
          <w:rFonts w:hint="eastAsia" w:ascii="Times New Roman" w:hAnsi="Times New Roman"/>
          <w:sz w:val="28"/>
          <w:szCs w:val="28"/>
        </w:rPr>
        <w:t>路用</w:t>
      </w:r>
      <w:r>
        <w:rPr>
          <w:rFonts w:ascii="Times New Roman" w:hAnsi="Times New Roman"/>
          <w:sz w:val="28"/>
          <w:szCs w:val="28"/>
        </w:rPr>
        <w:t>钢渣沥青混凝土技术应用规程》</w:t>
      </w:r>
      <w:r>
        <w:rPr>
          <w:rFonts w:hint="eastAsia" w:ascii="Times New Roman" w:hAnsi="Times New Roman"/>
          <w:sz w:val="28"/>
          <w:szCs w:val="28"/>
        </w:rPr>
        <w:t>（送审稿）；</w:t>
      </w:r>
    </w:p>
    <w:p>
      <w:pPr>
        <w:spacing w:before="163" w:beforeLines="50" w:after="163" w:afterLines="50"/>
        <w:ind w:firstLine="560" w:firstLineChars="200"/>
        <w:rPr>
          <w:rFonts w:ascii="Times New Roman" w:hAnsi="Times New Roman"/>
          <w:sz w:val="28"/>
          <w:szCs w:val="28"/>
        </w:rPr>
      </w:pPr>
      <w:r>
        <w:rPr>
          <w:rFonts w:hint="eastAsia" w:ascii="Times New Roman" w:hAnsi="Times New Roman"/>
          <w:sz w:val="28"/>
          <w:szCs w:val="28"/>
        </w:rPr>
        <w:t>（</w:t>
      </w:r>
      <w:r>
        <w:rPr>
          <w:rFonts w:ascii="Times New Roman" w:hAnsi="Times New Roman"/>
          <w:sz w:val="28"/>
          <w:szCs w:val="28"/>
        </w:rPr>
        <w:t>7</w:t>
      </w:r>
      <w:r>
        <w:rPr>
          <w:rFonts w:hint="eastAsia" w:ascii="Times New Roman" w:hAnsi="Times New Roman"/>
          <w:sz w:val="28"/>
          <w:szCs w:val="28"/>
        </w:rPr>
        <w:t>）2</w:t>
      </w:r>
      <w:r>
        <w:rPr>
          <w:rFonts w:ascii="Times New Roman" w:hAnsi="Times New Roman"/>
          <w:sz w:val="28"/>
          <w:szCs w:val="28"/>
        </w:rPr>
        <w:t>022.10</w:t>
      </w:r>
      <w:r>
        <w:rPr>
          <w:rFonts w:hint="eastAsia" w:ascii="Times New Roman" w:hAnsi="Times New Roman"/>
          <w:sz w:val="28"/>
          <w:szCs w:val="28"/>
        </w:rPr>
        <w:t>：准备项目验收，结题评审。</w:t>
      </w:r>
    </w:p>
    <w:p>
      <w:pPr>
        <w:pStyle w:val="2"/>
        <w:spacing w:before="163" w:beforeLines="50" w:after="163" w:afterLines="50" w:line="360" w:lineRule="auto"/>
        <w:rPr>
          <w:rFonts w:ascii="Times New Roman" w:hAnsi="Times New Roman" w:eastAsia="宋体"/>
          <w:b/>
          <w:bCs w:val="0"/>
          <w:sz w:val="36"/>
          <w:szCs w:val="48"/>
        </w:rPr>
      </w:pPr>
      <w:bookmarkStart w:id="6" w:name="_Toc92656348"/>
      <w:r>
        <w:rPr>
          <w:rFonts w:ascii="Times New Roman" w:hAnsi="Times New Roman" w:eastAsia="宋体"/>
          <w:b/>
          <w:bCs w:val="0"/>
          <w:sz w:val="36"/>
          <w:szCs w:val="48"/>
        </w:rPr>
        <w:t xml:space="preserve">2 </w:t>
      </w:r>
      <w:r>
        <w:rPr>
          <w:rFonts w:hint="eastAsia" w:ascii="Times New Roman" w:hAnsi="Times New Roman" w:eastAsia="宋体"/>
          <w:b/>
          <w:bCs w:val="0"/>
          <w:sz w:val="36"/>
          <w:szCs w:val="48"/>
        </w:rPr>
        <w:t>标准编制原则和主要内容</w:t>
      </w:r>
      <w:bookmarkEnd w:id="6"/>
    </w:p>
    <w:p>
      <w:pPr>
        <w:pStyle w:val="3"/>
        <w:spacing w:before="163" w:beforeLines="50" w:after="163" w:afterLines="50" w:line="360" w:lineRule="auto"/>
        <w:rPr>
          <w:rFonts w:ascii="Times New Roman" w:hAnsi="Times New Roman" w:eastAsia="宋体" w:cs="Times New Roman"/>
          <w:sz w:val="36"/>
          <w:szCs w:val="36"/>
        </w:rPr>
      </w:pPr>
      <w:bookmarkStart w:id="7" w:name="_Toc92656349"/>
      <w:r>
        <w:rPr>
          <w:rFonts w:ascii="Times New Roman" w:hAnsi="Times New Roman" w:eastAsia="宋体" w:cs="Times New Roman"/>
          <w:sz w:val="36"/>
          <w:szCs w:val="36"/>
        </w:rPr>
        <w:t>2.1</w:t>
      </w:r>
      <w:r>
        <w:rPr>
          <w:rFonts w:hint="eastAsia" w:ascii="Times New Roman" w:hAnsi="Times New Roman" w:eastAsia="宋体" w:cs="Times New Roman"/>
          <w:sz w:val="36"/>
          <w:szCs w:val="36"/>
        </w:rPr>
        <w:t>标准编制原则</w:t>
      </w:r>
      <w:bookmarkEnd w:id="7"/>
    </w:p>
    <w:p>
      <w:pPr>
        <w:spacing w:before="163" w:beforeLines="50" w:after="163" w:afterLines="50"/>
        <w:ind w:firstLine="560" w:firstLineChars="200"/>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1）与相关法律法规要协调一致。本规范的编制要遵照国家</w:t>
      </w:r>
      <w:r>
        <w:rPr>
          <w:rFonts w:hint="eastAsia" w:ascii="Times New Roman" w:hAnsi="Times New Roman"/>
          <w:color w:val="000000" w:themeColor="text1"/>
          <w:sz w:val="28"/>
          <w:szCs w:val="28"/>
          <w14:textFill>
            <w14:solidFill>
              <w14:schemeClr w14:val="tx1"/>
            </w14:solidFill>
          </w14:textFill>
        </w:rPr>
        <w:t>交通运输</w:t>
      </w:r>
      <w:r>
        <w:rPr>
          <w:rFonts w:ascii="Times New Roman" w:hAnsi="Times New Roman"/>
          <w:color w:val="000000" w:themeColor="text1"/>
          <w:sz w:val="28"/>
          <w:szCs w:val="28"/>
          <w14:textFill>
            <w14:solidFill>
              <w14:schemeClr w14:val="tx1"/>
            </w14:solidFill>
          </w14:textFill>
        </w:rPr>
        <w:t>相关法律、法规；注重与现行相关标准、规范之间的协调一致、互相补充；处理好与现行相关规范的关系</w:t>
      </w:r>
      <w:r>
        <w:rPr>
          <w:rFonts w:hint="eastAsia" w:ascii="Times New Roman" w:hAnsi="Times New Roman"/>
          <w:color w:val="000000" w:themeColor="text1"/>
          <w:sz w:val="28"/>
          <w:szCs w:val="28"/>
          <w14:textFill>
            <w14:solidFill>
              <w14:schemeClr w14:val="tx1"/>
            </w14:solidFill>
          </w14:textFill>
        </w:rPr>
        <w:t>，厘清</w:t>
      </w:r>
      <w:r>
        <w:rPr>
          <w:rFonts w:ascii="Times New Roman" w:hAnsi="Times New Roman"/>
          <w:color w:val="000000" w:themeColor="text1"/>
          <w:sz w:val="28"/>
          <w:szCs w:val="28"/>
          <w14:textFill>
            <w14:solidFill>
              <w14:schemeClr w14:val="tx1"/>
            </w14:solidFill>
          </w14:textFill>
        </w:rPr>
        <w:t>主从，在国家法律法规和</w:t>
      </w:r>
      <w:r>
        <w:rPr>
          <w:rFonts w:hint="eastAsia" w:ascii="Times New Roman" w:hAnsi="Times New Roman"/>
          <w:color w:val="000000" w:themeColor="text1"/>
          <w:sz w:val="28"/>
          <w:szCs w:val="28"/>
          <w14:textFill>
            <w14:solidFill>
              <w14:schemeClr w14:val="tx1"/>
            </w14:solidFill>
          </w14:textFill>
        </w:rPr>
        <w:t>交通运输部行业</w:t>
      </w:r>
      <w:r>
        <w:rPr>
          <w:rFonts w:ascii="Times New Roman" w:hAnsi="Times New Roman"/>
          <w:color w:val="000000" w:themeColor="text1"/>
          <w:sz w:val="28"/>
          <w:szCs w:val="28"/>
          <w14:textFill>
            <w14:solidFill>
              <w14:schemeClr w14:val="tx1"/>
            </w14:solidFill>
          </w14:textFill>
        </w:rPr>
        <w:t>标准规范的指导下开展制订工作。</w:t>
      </w:r>
    </w:p>
    <w:p>
      <w:pPr>
        <w:spacing w:before="163" w:beforeLines="50" w:after="163" w:afterLines="50"/>
        <w:ind w:firstLine="560" w:firstLineChars="200"/>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2）内容要科学、合理、具备可操作性。掌握国内外先进标准的动态，积极参考近年来国内外关于本规范方面的最新研究成果、成熟工艺和先进技术，合理安排章节和条款内容；广泛征求主管部门、建设单位、设计单位、施工单位、养护单位以及相关</w:t>
      </w:r>
      <w:r>
        <w:rPr>
          <w:rFonts w:hint="eastAsia" w:ascii="Times New Roman" w:hAnsi="Times New Roman"/>
          <w:color w:val="000000" w:themeColor="text1"/>
          <w:sz w:val="28"/>
          <w:szCs w:val="28"/>
          <w14:textFill>
            <w14:solidFill>
              <w14:schemeClr w14:val="tx1"/>
            </w14:solidFill>
          </w14:textFill>
        </w:rPr>
        <w:t>供应商</w:t>
      </w:r>
      <w:r>
        <w:rPr>
          <w:rFonts w:ascii="Times New Roman" w:hAnsi="Times New Roman"/>
          <w:color w:val="000000" w:themeColor="text1"/>
          <w:sz w:val="28"/>
          <w:szCs w:val="28"/>
          <w14:textFill>
            <w14:solidFill>
              <w14:schemeClr w14:val="tx1"/>
            </w14:solidFill>
          </w14:textFill>
        </w:rPr>
        <w:t>的意见，结合各级公路建设的经济投入，确保技术内容经济合理且在工程实施过程中具有较强的可操作性。</w:t>
      </w:r>
    </w:p>
    <w:p>
      <w:pPr>
        <w:spacing w:before="163" w:beforeLines="50" w:after="163" w:afterLines="50"/>
        <w:ind w:firstLine="560" w:firstLineChars="200"/>
        <w:rPr>
          <w:rFonts w:ascii="Times New Roman" w:hAnsi="Times New Roman"/>
          <w:color w:val="000000" w:themeColor="text1"/>
          <w:sz w:val="28"/>
          <w:szCs w:val="28"/>
          <w14:textFill>
            <w14:solidFill>
              <w14:schemeClr w14:val="tx1"/>
            </w14:solidFill>
          </w14:textFill>
        </w:rPr>
      </w:pPr>
      <w:r>
        <w:rPr>
          <w:rFonts w:ascii="Times New Roman" w:hAnsi="Times New Roman"/>
          <w:color w:val="000000" w:themeColor="text1"/>
          <w:sz w:val="28"/>
          <w:szCs w:val="28"/>
          <w14:textFill>
            <w14:solidFill>
              <w14:schemeClr w14:val="tx1"/>
            </w14:solidFill>
          </w14:textFill>
        </w:rPr>
        <w:t>3）编制工作开展要立足全面、突出重点、有的放矢。</w:t>
      </w:r>
      <w:r>
        <w:rPr>
          <w:rFonts w:hint="eastAsia" w:ascii="Times New Roman" w:hAnsi="Times New Roman"/>
          <w:color w:val="000000" w:themeColor="text1"/>
          <w:sz w:val="28"/>
          <w:szCs w:val="28"/>
          <w14:textFill>
            <w14:solidFill>
              <w14:schemeClr w14:val="tx1"/>
            </w14:solidFill>
          </w14:textFill>
        </w:rPr>
        <w:t>结合河北省乃至京津冀区域已有工程实践经验及相关工程的质量跟踪数据，通过实体工程铺筑进行现场验证，广泛征询行业内专家意见，并总结吸收经验。针对河北省地理环境特点和经济发展现状开展标准制订工作，力求使该标准针对性和指导性强、技术先进、措施具体，有效推动和规范京津冀区域钢渣路用技术的发展和应用。</w:t>
      </w:r>
    </w:p>
    <w:p>
      <w:pPr>
        <w:pStyle w:val="3"/>
        <w:spacing w:before="163" w:beforeLines="50" w:after="163" w:afterLines="50" w:line="360" w:lineRule="auto"/>
        <w:rPr>
          <w:rFonts w:ascii="Times New Roman" w:hAnsi="Times New Roman" w:eastAsia="宋体" w:cs="Times New Roman"/>
          <w:sz w:val="36"/>
          <w:szCs w:val="36"/>
        </w:rPr>
      </w:pPr>
      <w:bookmarkStart w:id="8" w:name="_Toc92656350"/>
      <w:r>
        <w:rPr>
          <w:rFonts w:ascii="Times New Roman" w:hAnsi="Times New Roman" w:eastAsia="宋体" w:cs="Times New Roman"/>
          <w:sz w:val="36"/>
          <w:szCs w:val="36"/>
        </w:rPr>
        <w:t>2.2</w:t>
      </w:r>
      <w:r>
        <w:rPr>
          <w:rFonts w:hint="eastAsia" w:ascii="Times New Roman" w:hAnsi="Times New Roman" w:eastAsia="宋体" w:cs="Times New Roman"/>
          <w:sz w:val="36"/>
          <w:szCs w:val="36"/>
        </w:rPr>
        <w:t>标准主要内容及确定依据</w:t>
      </w:r>
      <w:bookmarkEnd w:id="8"/>
    </w:p>
    <w:p>
      <w:pPr>
        <w:spacing w:before="163" w:beforeLines="50" w:after="163" w:afterLines="50"/>
        <w:ind w:firstLine="560" w:firstLineChars="200"/>
        <w:rPr>
          <w:rFonts w:ascii="Times New Roman" w:hAnsi="Times New Roman"/>
          <w:sz w:val="28"/>
          <w:szCs w:val="24"/>
        </w:rPr>
      </w:pPr>
      <w:r>
        <w:rPr>
          <w:rFonts w:ascii="Times New Roman" w:hAnsi="Times New Roman"/>
          <w:sz w:val="28"/>
          <w:szCs w:val="24"/>
        </w:rPr>
        <w:t>1</w:t>
      </w:r>
      <w:r>
        <w:rPr>
          <w:rFonts w:hint="eastAsia" w:ascii="Times New Roman" w:hAnsi="Times New Roman"/>
          <w:sz w:val="28"/>
          <w:szCs w:val="24"/>
        </w:rPr>
        <w:t>）明确了适用于河北省公路工程沥青路面钢渣沥青混凝土原材料要求。</w:t>
      </w:r>
    </w:p>
    <w:p>
      <w:pPr>
        <w:spacing w:before="163" w:beforeLines="50" w:after="163" w:afterLines="50"/>
        <w:ind w:firstLine="560" w:firstLineChars="200"/>
        <w:rPr>
          <w:rFonts w:ascii="Times New Roman" w:hAnsi="Times New Roman"/>
          <w:sz w:val="28"/>
          <w:szCs w:val="24"/>
        </w:rPr>
      </w:pPr>
      <w:r>
        <w:rPr>
          <w:rFonts w:ascii="Times New Roman" w:hAnsi="Times New Roman"/>
          <w:sz w:val="28"/>
          <w:szCs w:val="24"/>
        </w:rPr>
        <w:t>2</w:t>
      </w:r>
      <w:r>
        <w:rPr>
          <w:rFonts w:hint="eastAsia" w:ascii="Times New Roman" w:hAnsi="Times New Roman"/>
          <w:sz w:val="28"/>
          <w:szCs w:val="24"/>
        </w:rPr>
        <w:t>） 明确了适用于河北省公路工程沥青路面钢渣沥青混凝土配合比设计要求。</w:t>
      </w:r>
    </w:p>
    <w:p>
      <w:pPr>
        <w:spacing w:before="163" w:beforeLines="50" w:after="163" w:afterLines="50"/>
        <w:ind w:firstLine="560" w:firstLineChars="200"/>
        <w:rPr>
          <w:rFonts w:ascii="Times New Roman" w:hAnsi="Times New Roman"/>
          <w:sz w:val="28"/>
          <w:szCs w:val="24"/>
        </w:rPr>
      </w:pPr>
      <w:r>
        <w:rPr>
          <w:rFonts w:ascii="Times New Roman" w:hAnsi="Times New Roman"/>
          <w:sz w:val="28"/>
          <w:szCs w:val="24"/>
        </w:rPr>
        <w:t>3</w:t>
      </w:r>
      <w:r>
        <w:rPr>
          <w:rFonts w:hint="eastAsia" w:ascii="Times New Roman" w:hAnsi="Times New Roman"/>
          <w:sz w:val="28"/>
          <w:szCs w:val="24"/>
        </w:rPr>
        <w:t>）明确了适用于河北省公路工程沥青路面钢渣沥青混凝土路面施工技术要求。</w:t>
      </w:r>
    </w:p>
    <w:p>
      <w:pPr>
        <w:spacing w:before="163" w:beforeLines="50" w:after="163" w:afterLines="50"/>
        <w:ind w:firstLine="560" w:firstLineChars="200"/>
        <w:rPr>
          <w:rFonts w:ascii="Times New Roman" w:hAnsi="Times New Roman"/>
          <w:sz w:val="28"/>
          <w:szCs w:val="24"/>
        </w:rPr>
      </w:pPr>
      <w:r>
        <w:rPr>
          <w:rFonts w:ascii="Times New Roman" w:hAnsi="Times New Roman"/>
          <w:sz w:val="28"/>
          <w:szCs w:val="24"/>
        </w:rPr>
        <w:t>4</w:t>
      </w:r>
      <w:r>
        <w:rPr>
          <w:rFonts w:hint="eastAsia" w:ascii="Times New Roman" w:hAnsi="Times New Roman"/>
          <w:sz w:val="28"/>
          <w:szCs w:val="24"/>
        </w:rPr>
        <w:t>）明确了适用于河北省公路工程沥青路面钢渣沥青混凝土施工质量管理与检测要求。</w:t>
      </w:r>
    </w:p>
    <w:p>
      <w:pPr>
        <w:pStyle w:val="2"/>
        <w:spacing w:before="163" w:beforeLines="50" w:after="163" w:afterLines="50" w:line="360" w:lineRule="auto"/>
        <w:rPr>
          <w:rFonts w:ascii="Times New Roman" w:hAnsi="Times New Roman" w:eastAsia="宋体"/>
          <w:b/>
          <w:bCs w:val="0"/>
          <w:sz w:val="36"/>
          <w:szCs w:val="48"/>
        </w:rPr>
      </w:pPr>
      <w:bookmarkStart w:id="9" w:name="_Toc92656351"/>
      <w:r>
        <w:rPr>
          <w:rFonts w:ascii="Times New Roman" w:hAnsi="Times New Roman" w:eastAsia="宋体"/>
          <w:b/>
          <w:bCs w:val="0"/>
          <w:sz w:val="36"/>
          <w:szCs w:val="48"/>
        </w:rPr>
        <w:t xml:space="preserve">3 </w:t>
      </w:r>
      <w:r>
        <w:rPr>
          <w:rFonts w:hint="eastAsia" w:ascii="Times New Roman" w:hAnsi="Times New Roman" w:eastAsia="宋体"/>
          <w:b/>
          <w:bCs w:val="0"/>
          <w:sz w:val="36"/>
          <w:szCs w:val="48"/>
        </w:rPr>
        <w:t>标准征求意见情况及重大意见分歧的处理情况和依据</w:t>
      </w:r>
      <w:bookmarkEnd w:id="9"/>
    </w:p>
    <w:p>
      <w:pPr>
        <w:spacing w:before="163" w:beforeLines="50" w:after="163" w:afterLines="50"/>
        <w:ind w:firstLine="560" w:firstLineChars="200"/>
        <w:rPr>
          <w:rFonts w:ascii="Times New Roman" w:hAnsi="Times New Roman"/>
          <w:sz w:val="28"/>
          <w:szCs w:val="24"/>
        </w:rPr>
      </w:pPr>
      <w:r>
        <w:rPr>
          <w:rFonts w:hint="eastAsia" w:ascii="Times New Roman" w:hAnsi="Times New Roman"/>
          <w:sz w:val="28"/>
          <w:szCs w:val="24"/>
        </w:rPr>
        <w:t>标准起草单位以往已经开展了大量钢渣路用技术研究研究工作，拥有针对河北省钢渣混凝土应用标准编写的研究工作基础。此次在国家法律法规政策、交通运输部行业规范基础上，以国道山深线（</w:t>
      </w:r>
      <w:r>
        <w:rPr>
          <w:rFonts w:ascii="Times New Roman" w:hAnsi="Times New Roman"/>
          <w:sz w:val="28"/>
          <w:szCs w:val="24"/>
        </w:rPr>
        <w:t>G205）唐秦界至卑家界垫段大中修工程作为研究依托项目和必要的试验条件及场地</w:t>
      </w:r>
      <w:r>
        <w:rPr>
          <w:rFonts w:hint="eastAsia" w:ascii="Times New Roman" w:hAnsi="Times New Roman"/>
          <w:sz w:val="28"/>
          <w:szCs w:val="24"/>
        </w:rPr>
        <w:t>，结合河北省乃至京津冀区域已有工程实践经验及相关工程的质量跟踪数据，进行了大量数据收集和调研工作，并在研究过程中通过了实体工程</w:t>
      </w:r>
      <w:r>
        <w:rPr>
          <w:rFonts w:ascii="Times New Roman" w:hAnsi="Times New Roman"/>
          <w:sz w:val="28"/>
          <w:szCs w:val="24"/>
        </w:rPr>
        <w:t>铺筑进行现场验证</w:t>
      </w:r>
      <w:r>
        <w:rPr>
          <w:rFonts w:hint="eastAsia" w:ascii="Times New Roman" w:hAnsi="Times New Roman"/>
          <w:sz w:val="28"/>
          <w:szCs w:val="24"/>
        </w:rPr>
        <w:t>。通过编写组分工，分章节起草，最终确定了适用于河北省公路工程沥青路面钢渣沥青混凝土原材料、配合比设计、路面施工、施工质量管理与检测等技术要求。并广泛征询行业内专家意见，几经修改成稿。</w:t>
      </w:r>
    </w:p>
    <w:p>
      <w:pPr>
        <w:spacing w:before="163" w:beforeLines="50" w:after="163" w:afterLines="50"/>
        <w:ind w:firstLine="560" w:firstLineChars="200"/>
        <w:rPr>
          <w:rFonts w:ascii="Times New Roman" w:hAnsi="Times New Roman"/>
          <w:sz w:val="28"/>
          <w:szCs w:val="24"/>
        </w:rPr>
      </w:pPr>
      <w:r>
        <w:rPr>
          <w:rFonts w:hint="eastAsia" w:ascii="Times New Roman" w:hAnsi="Times New Roman"/>
          <w:sz w:val="28"/>
          <w:szCs w:val="24"/>
        </w:rPr>
        <w:t>本标准中《附录》参考了</w:t>
      </w:r>
      <w:r>
        <w:rPr>
          <w:rFonts w:ascii="Times New Roman"/>
          <w:sz w:val="28"/>
          <w:szCs w:val="24"/>
        </w:rPr>
        <w:t>《公路工程无机结合料稳定材料试验规程（JTG E51-2009）》</w:t>
      </w:r>
      <w:r>
        <w:rPr>
          <w:rFonts w:hint="eastAsia" w:ascii="Times New Roman"/>
          <w:sz w:val="28"/>
          <w:szCs w:val="24"/>
        </w:rPr>
        <w:t>和《公路工程集料试验规程（</w:t>
      </w:r>
      <w:r>
        <w:rPr>
          <w:rFonts w:ascii="Times New Roman"/>
          <w:sz w:val="28"/>
          <w:szCs w:val="24"/>
        </w:rPr>
        <w:t>JTG E42-2005）</w:t>
      </w:r>
      <w:r>
        <w:rPr>
          <w:rFonts w:hint="eastAsia" w:ascii="Times New Roman"/>
          <w:sz w:val="28"/>
          <w:szCs w:val="24"/>
        </w:rPr>
        <w:t>》。</w:t>
      </w:r>
    </w:p>
    <w:p>
      <w:pPr>
        <w:pStyle w:val="2"/>
        <w:spacing w:before="163" w:beforeLines="50" w:after="163" w:afterLines="50" w:line="360" w:lineRule="auto"/>
        <w:rPr>
          <w:rFonts w:ascii="Times New Roman" w:hAnsi="Times New Roman" w:eastAsia="宋体"/>
          <w:b/>
          <w:bCs w:val="0"/>
          <w:sz w:val="36"/>
          <w:szCs w:val="48"/>
        </w:rPr>
      </w:pPr>
      <w:bookmarkStart w:id="10" w:name="_Toc92656352"/>
      <w:r>
        <w:rPr>
          <w:rFonts w:ascii="Times New Roman" w:hAnsi="Times New Roman" w:eastAsia="宋体"/>
          <w:b/>
          <w:bCs w:val="0"/>
          <w:sz w:val="36"/>
          <w:szCs w:val="48"/>
        </w:rPr>
        <w:t xml:space="preserve">4 </w:t>
      </w:r>
      <w:r>
        <w:rPr>
          <w:rFonts w:hint="eastAsia" w:ascii="Times New Roman" w:hAnsi="Times New Roman" w:eastAsia="宋体"/>
          <w:b/>
          <w:bCs w:val="0"/>
          <w:sz w:val="36"/>
          <w:szCs w:val="48"/>
        </w:rPr>
        <w:t>标准与现行法律法规政策标准的关系</w:t>
      </w:r>
      <w:bookmarkEnd w:id="10"/>
    </w:p>
    <w:p>
      <w:pPr>
        <w:spacing w:before="163" w:beforeLines="50" w:after="163" w:afterLines="50"/>
        <w:ind w:firstLine="560" w:firstLineChars="200"/>
        <w:rPr>
          <w:rFonts w:ascii="Times New Roman" w:hAnsi="Times New Roman"/>
          <w:sz w:val="28"/>
          <w:szCs w:val="24"/>
        </w:rPr>
      </w:pPr>
      <w:r>
        <w:rPr>
          <w:rFonts w:hint="eastAsia" w:ascii="Times New Roman" w:hAnsi="Times New Roman"/>
          <w:sz w:val="28"/>
          <w:szCs w:val="24"/>
        </w:rPr>
        <w:t>本标准与现行的法律、法规无冲突和违背。</w:t>
      </w:r>
    </w:p>
    <w:p>
      <w:pPr>
        <w:spacing w:before="163" w:beforeLines="50" w:after="163" w:afterLines="50"/>
        <w:ind w:firstLine="560" w:firstLineChars="200"/>
        <w:rPr>
          <w:sz w:val="28"/>
          <w:szCs w:val="24"/>
        </w:rPr>
      </w:pPr>
      <w:r>
        <w:rPr>
          <w:rFonts w:hint="eastAsia" w:ascii="Times New Roman" w:hAnsi="Times New Roman"/>
          <w:sz w:val="28"/>
          <w:szCs w:val="24"/>
        </w:rPr>
        <w:t>本标准在制定的过程中，重点参考或引用了《钢渣稳定性检测方法（</w:t>
      </w:r>
      <w:r>
        <w:rPr>
          <w:rFonts w:ascii="Times New Roman" w:hAnsi="Times New Roman"/>
          <w:sz w:val="28"/>
          <w:szCs w:val="24"/>
        </w:rPr>
        <w:t>GBT24175）</w:t>
      </w:r>
      <w:r>
        <w:rPr>
          <w:rFonts w:hint="eastAsia" w:ascii="Times New Roman" w:hAnsi="Times New Roman"/>
          <w:sz w:val="28"/>
          <w:szCs w:val="24"/>
        </w:rPr>
        <w:t>》、《耐磨沥青路面用钢渣（</w:t>
      </w:r>
      <w:r>
        <w:rPr>
          <w:rFonts w:ascii="Times New Roman" w:hAnsi="Times New Roman"/>
          <w:sz w:val="28"/>
          <w:szCs w:val="24"/>
        </w:rPr>
        <w:t>GBT 24765）</w:t>
      </w:r>
      <w:r>
        <w:rPr>
          <w:rFonts w:hint="eastAsia" w:ascii="Times New Roman" w:hAnsi="Times New Roman"/>
          <w:sz w:val="28"/>
          <w:szCs w:val="24"/>
        </w:rPr>
        <w:t>》、《</w:t>
      </w:r>
      <w:r>
        <w:rPr>
          <w:rFonts w:ascii="Times New Roman" w:hAnsi="Times New Roman"/>
          <w:sz w:val="28"/>
          <w:szCs w:val="24"/>
        </w:rPr>
        <w:t>透水沥青路面用钢渣</w:t>
      </w:r>
      <w:r>
        <w:rPr>
          <w:rFonts w:hint="eastAsia" w:ascii="Times New Roman" w:hAnsi="Times New Roman"/>
          <w:sz w:val="28"/>
          <w:szCs w:val="24"/>
        </w:rPr>
        <w:t>（</w:t>
      </w:r>
      <w:r>
        <w:rPr>
          <w:rFonts w:ascii="Times New Roman" w:hAnsi="Times New Roman"/>
          <w:sz w:val="28"/>
          <w:szCs w:val="24"/>
        </w:rPr>
        <w:t>GBT 24766</w:t>
      </w:r>
      <w:r>
        <w:rPr>
          <w:rFonts w:hint="eastAsia" w:ascii="Times New Roman" w:hAnsi="Times New Roman"/>
          <w:sz w:val="28"/>
          <w:szCs w:val="24"/>
        </w:rPr>
        <w:t>）》、《</w:t>
      </w:r>
      <w:r>
        <w:rPr>
          <w:rFonts w:ascii="Times New Roman" w:hAnsi="Times New Roman"/>
          <w:sz w:val="28"/>
          <w:szCs w:val="24"/>
        </w:rPr>
        <w:t>道路用钢渣</w:t>
      </w:r>
      <w:r>
        <w:rPr>
          <w:rFonts w:hint="eastAsia" w:ascii="Times New Roman" w:hAnsi="Times New Roman"/>
          <w:sz w:val="28"/>
          <w:szCs w:val="24"/>
        </w:rPr>
        <w:t>（</w:t>
      </w:r>
      <w:r>
        <w:rPr>
          <w:rFonts w:ascii="Times New Roman" w:hAnsi="Times New Roman"/>
          <w:sz w:val="28"/>
          <w:szCs w:val="24"/>
        </w:rPr>
        <w:t>GBT 25824</w:t>
      </w:r>
      <w:r>
        <w:rPr>
          <w:rFonts w:hint="eastAsia" w:ascii="Times New Roman" w:hAnsi="Times New Roman"/>
          <w:sz w:val="28"/>
          <w:szCs w:val="24"/>
        </w:rPr>
        <w:t>）》 、</w:t>
      </w:r>
      <w:r>
        <w:rPr>
          <w:rFonts w:ascii="Times New Roman" w:hAnsi="Times New Roman"/>
          <w:sz w:val="28"/>
          <w:szCs w:val="24"/>
        </w:rPr>
        <w:t xml:space="preserve"> </w:t>
      </w:r>
      <w:r>
        <w:rPr>
          <w:rFonts w:hint="eastAsia" w:ascii="Times New Roman" w:hAnsi="Times New Roman"/>
          <w:sz w:val="28"/>
          <w:szCs w:val="24"/>
        </w:rPr>
        <w:t>《</w:t>
      </w:r>
      <w:r>
        <w:rPr>
          <w:rFonts w:ascii="Times New Roman" w:hAnsi="Times New Roman"/>
          <w:sz w:val="28"/>
          <w:szCs w:val="24"/>
        </w:rPr>
        <w:t>钢渣应用技术要求</w:t>
      </w:r>
      <w:r>
        <w:rPr>
          <w:rFonts w:hint="eastAsia" w:ascii="Times New Roman" w:hAnsi="Times New Roman"/>
          <w:sz w:val="28"/>
          <w:szCs w:val="24"/>
        </w:rPr>
        <w:t>（</w:t>
      </w:r>
      <w:r>
        <w:rPr>
          <w:rFonts w:ascii="Times New Roman" w:hAnsi="Times New Roman"/>
          <w:sz w:val="28"/>
          <w:szCs w:val="24"/>
        </w:rPr>
        <w:t>GBT 32546</w:t>
      </w:r>
      <w:r>
        <w:rPr>
          <w:rFonts w:hint="eastAsia" w:ascii="Times New Roman" w:hAnsi="Times New Roman"/>
          <w:sz w:val="28"/>
          <w:szCs w:val="24"/>
        </w:rPr>
        <w:t>）》、《</w:t>
      </w:r>
      <w:r>
        <w:rPr>
          <w:rFonts w:ascii="Times New Roman" w:hAnsi="Times New Roman"/>
          <w:sz w:val="28"/>
          <w:szCs w:val="24"/>
        </w:rPr>
        <w:t>钢铁渣粉混凝土应用技术规程</w:t>
      </w:r>
      <w:r>
        <w:rPr>
          <w:rFonts w:hint="eastAsia" w:ascii="Times New Roman" w:hAnsi="Times New Roman"/>
          <w:sz w:val="28"/>
          <w:szCs w:val="24"/>
        </w:rPr>
        <w:t>（</w:t>
      </w:r>
      <w:r>
        <w:rPr>
          <w:rFonts w:ascii="Times New Roman" w:hAnsi="Times New Roman"/>
          <w:sz w:val="28"/>
          <w:szCs w:val="24"/>
        </w:rPr>
        <w:t>GB/T50912</w:t>
      </w:r>
      <w:r>
        <w:rPr>
          <w:rFonts w:hint="eastAsia" w:ascii="Times New Roman" w:hAnsi="Times New Roman"/>
          <w:sz w:val="28"/>
          <w:szCs w:val="24"/>
        </w:rPr>
        <w:t>）》、《</w:t>
      </w:r>
      <w:r>
        <w:rPr>
          <w:rFonts w:ascii="Times New Roman" w:hAnsi="Times New Roman"/>
          <w:sz w:val="28"/>
          <w:szCs w:val="24"/>
        </w:rPr>
        <w:t>矿物掺合料应用技术规程</w:t>
      </w:r>
      <w:r>
        <w:rPr>
          <w:rFonts w:hint="eastAsia" w:ascii="Times New Roman" w:hAnsi="Times New Roman"/>
          <w:sz w:val="28"/>
          <w:szCs w:val="24"/>
        </w:rPr>
        <w:t>（</w:t>
      </w:r>
      <w:r>
        <w:rPr>
          <w:rFonts w:ascii="Times New Roman" w:hAnsi="Times New Roman"/>
          <w:sz w:val="28"/>
          <w:szCs w:val="24"/>
        </w:rPr>
        <w:t>GB/T51003</w:t>
      </w:r>
      <w:r>
        <w:rPr>
          <w:rFonts w:hint="eastAsia" w:ascii="Times New Roman" w:hAnsi="Times New Roman"/>
          <w:sz w:val="28"/>
          <w:szCs w:val="24"/>
        </w:rPr>
        <w:t>）》、《</w:t>
      </w:r>
      <w:r>
        <w:rPr>
          <w:rFonts w:ascii="Times New Roman" w:hAnsi="Times New Roman"/>
          <w:sz w:val="28"/>
          <w:szCs w:val="24"/>
        </w:rPr>
        <w:t>混凝土外加剂应用技术规程</w:t>
      </w:r>
      <w:r>
        <w:rPr>
          <w:rFonts w:hint="eastAsia" w:ascii="Times New Roman" w:hAnsi="Times New Roman"/>
          <w:sz w:val="28"/>
          <w:szCs w:val="24"/>
        </w:rPr>
        <w:t>（</w:t>
      </w:r>
      <w:r>
        <w:rPr>
          <w:rFonts w:ascii="Times New Roman" w:hAnsi="Times New Roman"/>
          <w:sz w:val="28"/>
          <w:szCs w:val="24"/>
        </w:rPr>
        <w:t>GB50119</w:t>
      </w:r>
      <w:r>
        <w:rPr>
          <w:rFonts w:hint="eastAsia" w:ascii="Times New Roman" w:hAnsi="Times New Roman"/>
          <w:sz w:val="28"/>
          <w:szCs w:val="24"/>
        </w:rPr>
        <w:t>）》等国家标准规范，以及《</w:t>
      </w:r>
      <w:r>
        <w:rPr>
          <w:rFonts w:ascii="Times New Roman" w:hAnsi="Times New Roman"/>
          <w:sz w:val="28"/>
          <w:szCs w:val="24"/>
        </w:rPr>
        <w:t>钢渣集料混合料路面基层施工技术规程</w:t>
      </w:r>
      <w:r>
        <w:rPr>
          <w:rFonts w:hint="eastAsia" w:ascii="Times New Roman" w:hAnsi="Times New Roman"/>
          <w:sz w:val="28"/>
          <w:szCs w:val="24"/>
        </w:rPr>
        <w:t>（</w:t>
      </w:r>
      <w:r>
        <w:rPr>
          <w:rFonts w:ascii="Times New Roman" w:hAnsi="Times New Roman"/>
          <w:sz w:val="28"/>
          <w:szCs w:val="24"/>
        </w:rPr>
        <w:t>YB∕T4184</w:t>
      </w:r>
      <w:r>
        <w:rPr>
          <w:rFonts w:hint="eastAsia" w:ascii="Times New Roman" w:hAnsi="Times New Roman"/>
          <w:sz w:val="28"/>
          <w:szCs w:val="24"/>
        </w:rPr>
        <w:t xml:space="preserve">）》、《 </w:t>
      </w:r>
      <w:r>
        <w:rPr>
          <w:rFonts w:ascii="Times New Roman" w:hAnsi="Times New Roman"/>
          <w:sz w:val="28"/>
          <w:szCs w:val="24"/>
        </w:rPr>
        <w:t>钢铁渣及处理利用术语</w:t>
      </w:r>
      <w:r>
        <w:rPr>
          <w:rFonts w:hint="eastAsia" w:ascii="Times New Roman" w:hAnsi="Times New Roman"/>
          <w:sz w:val="28"/>
          <w:szCs w:val="24"/>
        </w:rPr>
        <w:t>（</w:t>
      </w:r>
      <w:r>
        <w:rPr>
          <w:rFonts w:ascii="Times New Roman" w:hAnsi="Times New Roman"/>
          <w:sz w:val="28"/>
          <w:szCs w:val="24"/>
        </w:rPr>
        <w:t>YB/T804</w:t>
      </w:r>
      <w:r>
        <w:rPr>
          <w:rFonts w:hint="eastAsia" w:ascii="Times New Roman" w:hAnsi="Times New Roman"/>
          <w:sz w:val="28"/>
          <w:szCs w:val="24"/>
        </w:rPr>
        <w:t>）》、《</w:t>
      </w:r>
      <w:r>
        <w:rPr>
          <w:rFonts w:ascii="Times New Roman" w:hAnsi="Times New Roman"/>
          <w:sz w:val="28"/>
          <w:szCs w:val="24"/>
        </w:rPr>
        <w:t>工程回填用钢渣</w:t>
      </w:r>
      <w:r>
        <w:rPr>
          <w:rFonts w:hint="eastAsia" w:ascii="Times New Roman" w:hAnsi="Times New Roman"/>
          <w:sz w:val="28"/>
          <w:szCs w:val="24"/>
        </w:rPr>
        <w:t>（</w:t>
      </w:r>
      <w:r>
        <w:rPr>
          <w:rFonts w:ascii="Times New Roman" w:hAnsi="Times New Roman"/>
          <w:sz w:val="28"/>
          <w:szCs w:val="24"/>
        </w:rPr>
        <w:t>YB/T801</w:t>
      </w:r>
      <w:r>
        <w:rPr>
          <w:rFonts w:hint="eastAsia" w:ascii="Times New Roman" w:hAnsi="Times New Roman"/>
          <w:sz w:val="28"/>
          <w:szCs w:val="24"/>
        </w:rPr>
        <w:t>）》、《</w:t>
      </w:r>
      <w:r>
        <w:rPr>
          <w:rFonts w:ascii="Times New Roman" w:hAnsi="Times New Roman"/>
          <w:sz w:val="28"/>
          <w:szCs w:val="24"/>
        </w:rPr>
        <w:t>冶金炉料用钢渣</w:t>
      </w:r>
      <w:r>
        <w:rPr>
          <w:rFonts w:hint="eastAsia" w:ascii="Times New Roman" w:hAnsi="Times New Roman"/>
          <w:sz w:val="28"/>
          <w:szCs w:val="24"/>
        </w:rPr>
        <w:t>（</w:t>
      </w:r>
      <w:r>
        <w:rPr>
          <w:rFonts w:ascii="Times New Roman" w:hAnsi="Times New Roman"/>
          <w:sz w:val="28"/>
          <w:szCs w:val="24"/>
        </w:rPr>
        <w:t>YB/T802</w:t>
      </w:r>
      <w:r>
        <w:rPr>
          <w:rFonts w:hint="eastAsia" w:ascii="Times New Roman" w:hAnsi="Times New Roman"/>
          <w:sz w:val="28"/>
          <w:szCs w:val="24"/>
        </w:rPr>
        <w:t>）》、《</w:t>
      </w:r>
      <w:r>
        <w:rPr>
          <w:rFonts w:ascii="Times New Roman" w:hAnsi="Times New Roman"/>
          <w:sz w:val="28"/>
          <w:szCs w:val="24"/>
        </w:rPr>
        <w:t>公路工程沥青及沥青混合料试验规程</w:t>
      </w:r>
      <w:r>
        <w:rPr>
          <w:rFonts w:hint="eastAsia" w:ascii="Times New Roman" w:hAnsi="Times New Roman"/>
          <w:sz w:val="28"/>
          <w:szCs w:val="24"/>
        </w:rPr>
        <w:t>（</w:t>
      </w:r>
      <w:r>
        <w:rPr>
          <w:rFonts w:ascii="Times New Roman" w:hAnsi="Times New Roman"/>
          <w:sz w:val="28"/>
          <w:szCs w:val="24"/>
        </w:rPr>
        <w:t>JTG E 20</w:t>
      </w:r>
      <w:r>
        <w:rPr>
          <w:rFonts w:hint="eastAsia" w:ascii="Times New Roman" w:hAnsi="Times New Roman"/>
          <w:sz w:val="28"/>
          <w:szCs w:val="24"/>
        </w:rPr>
        <w:t>）》、《</w:t>
      </w:r>
      <w:r>
        <w:rPr>
          <w:rFonts w:ascii="Times New Roman" w:hAnsi="Times New Roman"/>
          <w:sz w:val="28"/>
          <w:szCs w:val="24"/>
        </w:rPr>
        <w:t>公路工程集料试验规程</w:t>
      </w:r>
      <w:r>
        <w:rPr>
          <w:rFonts w:hint="eastAsia" w:ascii="Times New Roman" w:hAnsi="Times New Roman"/>
          <w:sz w:val="28"/>
          <w:szCs w:val="24"/>
        </w:rPr>
        <w:t>（</w:t>
      </w:r>
      <w:r>
        <w:rPr>
          <w:rFonts w:ascii="Times New Roman" w:hAnsi="Times New Roman"/>
          <w:sz w:val="28"/>
          <w:szCs w:val="24"/>
        </w:rPr>
        <w:t>JTG E 42</w:t>
      </w:r>
      <w:r>
        <w:rPr>
          <w:rFonts w:hint="eastAsia" w:ascii="Times New Roman" w:hAnsi="Times New Roman"/>
          <w:sz w:val="28"/>
          <w:szCs w:val="24"/>
        </w:rPr>
        <w:t xml:space="preserve">）》、《 </w:t>
      </w:r>
      <w:r>
        <w:rPr>
          <w:rFonts w:ascii="Times New Roman" w:hAnsi="Times New Roman"/>
          <w:sz w:val="28"/>
          <w:szCs w:val="24"/>
        </w:rPr>
        <w:t>公路沥青路面设计规程</w:t>
      </w:r>
      <w:r>
        <w:rPr>
          <w:rFonts w:hint="eastAsia" w:ascii="Times New Roman" w:hAnsi="Times New Roman"/>
          <w:sz w:val="28"/>
          <w:szCs w:val="24"/>
        </w:rPr>
        <w:t>（</w:t>
      </w:r>
      <w:r>
        <w:rPr>
          <w:rFonts w:ascii="Times New Roman" w:hAnsi="Times New Roman"/>
          <w:sz w:val="28"/>
          <w:szCs w:val="24"/>
        </w:rPr>
        <w:t>JTG D50</w:t>
      </w:r>
      <w:r>
        <w:rPr>
          <w:rFonts w:hint="eastAsia" w:ascii="Times New Roman" w:hAnsi="Times New Roman"/>
          <w:sz w:val="28"/>
          <w:szCs w:val="24"/>
        </w:rPr>
        <w:t>）》、《</w:t>
      </w:r>
      <w:r>
        <w:rPr>
          <w:rFonts w:ascii="Times New Roman" w:hAnsi="Times New Roman"/>
          <w:sz w:val="28"/>
          <w:szCs w:val="24"/>
        </w:rPr>
        <w:t>公路沥青路面施工技术规程</w:t>
      </w:r>
      <w:r>
        <w:rPr>
          <w:rFonts w:hint="eastAsia" w:ascii="Times New Roman" w:hAnsi="Times New Roman"/>
          <w:sz w:val="28"/>
          <w:szCs w:val="24"/>
        </w:rPr>
        <w:t>（</w:t>
      </w:r>
      <w:r>
        <w:rPr>
          <w:rFonts w:ascii="Times New Roman" w:hAnsi="Times New Roman"/>
          <w:sz w:val="28"/>
          <w:szCs w:val="24"/>
        </w:rPr>
        <w:t>JTG F40</w:t>
      </w:r>
      <w:r>
        <w:rPr>
          <w:rFonts w:hint="eastAsia" w:ascii="Times New Roman" w:hAnsi="Times New Roman"/>
          <w:sz w:val="28"/>
          <w:szCs w:val="24"/>
        </w:rPr>
        <w:t>）》 、《</w:t>
      </w:r>
      <w:r>
        <w:rPr>
          <w:rFonts w:ascii="Times New Roman" w:hAnsi="Times New Roman"/>
          <w:sz w:val="28"/>
          <w:szCs w:val="24"/>
        </w:rPr>
        <w:t>公路工程质量检验评定标准</w:t>
      </w:r>
      <w:r>
        <w:rPr>
          <w:rFonts w:hint="eastAsia" w:ascii="Times New Roman" w:hAnsi="Times New Roman"/>
          <w:sz w:val="28"/>
          <w:szCs w:val="24"/>
        </w:rPr>
        <w:t>（</w:t>
      </w:r>
      <w:r>
        <w:rPr>
          <w:rFonts w:ascii="Times New Roman" w:hAnsi="Times New Roman"/>
          <w:sz w:val="28"/>
          <w:szCs w:val="24"/>
        </w:rPr>
        <w:t>JTG F80/1</w:t>
      </w:r>
      <w:r>
        <w:rPr>
          <w:rFonts w:hint="eastAsia" w:ascii="Times New Roman" w:hAnsi="Times New Roman"/>
          <w:sz w:val="28"/>
          <w:szCs w:val="24"/>
        </w:rPr>
        <w:t>）》 《</w:t>
      </w:r>
      <w:r>
        <w:rPr>
          <w:rFonts w:ascii="Times New Roman" w:hAnsi="Times New Roman"/>
          <w:sz w:val="28"/>
          <w:szCs w:val="24"/>
        </w:rPr>
        <w:t>路面基层用钢渣混凝土通用技术要求</w:t>
      </w:r>
      <w:r>
        <w:rPr>
          <w:rFonts w:hint="eastAsia" w:ascii="Times New Roman" w:hAnsi="Times New Roman"/>
          <w:sz w:val="28"/>
          <w:szCs w:val="24"/>
        </w:rPr>
        <w:t>（</w:t>
      </w:r>
      <w:r>
        <w:rPr>
          <w:rFonts w:ascii="Times New Roman" w:hAnsi="Times New Roman"/>
          <w:sz w:val="28"/>
          <w:szCs w:val="24"/>
        </w:rPr>
        <w:t>DB 13/T 2490</w:t>
      </w:r>
      <w:r>
        <w:rPr>
          <w:rFonts w:hint="eastAsia" w:ascii="Times New Roman" w:hAnsi="Times New Roman"/>
          <w:sz w:val="28"/>
          <w:szCs w:val="24"/>
        </w:rPr>
        <w:t>）》等行业、地方标准规范。</w:t>
      </w:r>
      <w:r>
        <w:rPr>
          <w:rFonts w:ascii="Times New Roman" w:hAnsi="Times New Roman"/>
          <w:sz w:val="28"/>
          <w:szCs w:val="24"/>
        </w:rPr>
        <w:t>部分条款明确的具体要求高于其要求。</w:t>
      </w:r>
    </w:p>
    <w:p>
      <w:pPr>
        <w:pStyle w:val="2"/>
        <w:spacing w:before="163" w:beforeLines="50" w:after="163" w:afterLines="50" w:line="360" w:lineRule="auto"/>
        <w:rPr>
          <w:rFonts w:ascii="Times New Roman" w:hAnsi="Times New Roman" w:eastAsia="宋体"/>
          <w:b/>
          <w:bCs w:val="0"/>
          <w:sz w:val="36"/>
          <w:szCs w:val="48"/>
        </w:rPr>
      </w:pPr>
      <w:bookmarkStart w:id="11" w:name="_Toc92656353"/>
      <w:r>
        <w:rPr>
          <w:rFonts w:ascii="Times New Roman" w:hAnsi="Times New Roman" w:eastAsia="宋体"/>
          <w:b/>
          <w:bCs w:val="0"/>
          <w:sz w:val="36"/>
          <w:szCs w:val="48"/>
        </w:rPr>
        <w:t xml:space="preserve">5 </w:t>
      </w:r>
      <w:r>
        <w:rPr>
          <w:rFonts w:hint="eastAsia" w:ascii="Times New Roman" w:hAnsi="Times New Roman" w:eastAsia="宋体"/>
          <w:b/>
          <w:bCs w:val="0"/>
          <w:sz w:val="36"/>
          <w:szCs w:val="48"/>
        </w:rPr>
        <w:t>标准的预期经济效益</w:t>
      </w:r>
      <w:bookmarkEnd w:id="11"/>
    </w:p>
    <w:p>
      <w:pPr>
        <w:spacing w:before="163" w:beforeLines="50" w:after="163" w:afterLines="50"/>
        <w:ind w:firstLine="560" w:firstLineChars="200"/>
        <w:rPr>
          <w:rFonts w:ascii="Times New Roman" w:hAnsi="Times New Roman"/>
          <w:sz w:val="28"/>
          <w:szCs w:val="24"/>
        </w:rPr>
      </w:pPr>
      <w:r>
        <w:rPr>
          <w:rFonts w:hint="eastAsia" w:ascii="Times New Roman" w:hAnsi="Times New Roman"/>
          <w:sz w:val="28"/>
          <w:szCs w:val="24"/>
        </w:rPr>
        <w:t>本标准规定了</w:t>
      </w:r>
      <w:r>
        <w:rPr>
          <w:rFonts w:ascii="Times New Roman"/>
          <w:sz w:val="28"/>
          <w:szCs w:val="24"/>
        </w:rPr>
        <w:t>适用于河北省公路工程沥青路面钢渣沥青混凝土技术应用工程</w:t>
      </w:r>
      <w:r>
        <w:rPr>
          <w:rFonts w:hint="eastAsia" w:ascii="Times New Roman"/>
          <w:sz w:val="28"/>
          <w:szCs w:val="24"/>
        </w:rPr>
        <w:t>，探索钢渣应用于各等级公路沥青路面面层表面层结构的应用技术。钢渣作为一种</w:t>
      </w:r>
      <w:r>
        <w:rPr>
          <w:rFonts w:hint="eastAsia" w:ascii="Times New Roman" w:hAnsi="Times New Roman"/>
          <w:sz w:val="28"/>
          <w:szCs w:val="24"/>
        </w:rPr>
        <w:t>新兴的环保型的道路建筑材料，有效降低了开山取石的需求量，既能够有效保护自然资源，还减少了大量的原材料运输，对节能减排贡献明显。本标准通过分析钢渣混合料路用的社会、经济和环境效益，</w:t>
      </w:r>
      <w:r>
        <w:rPr>
          <w:rFonts w:hint="eastAsia" w:ascii="Times New Roman"/>
          <w:sz w:val="28"/>
          <w:szCs w:val="24"/>
        </w:rPr>
        <w:t>探索</w:t>
      </w:r>
      <w:r>
        <w:rPr>
          <w:rFonts w:hint="eastAsia" w:ascii="Times New Roman" w:hAnsi="Times New Roman"/>
          <w:sz w:val="28"/>
          <w:szCs w:val="24"/>
        </w:rPr>
        <w:t>实现钢渣丰富的京津冀地区的钢渣资源化利用手段，提供钢渣在公路建设中的应用路径，希望进一步缓解环境污染的大难题，同时有助于节约工程建设成本，使得钢渣的利用在真正意义上实现变废为宝，实现区域内资源循环利用，对带动整个地区公路建设绿色发展具有重要意义。</w:t>
      </w:r>
    </w:p>
    <w:p>
      <w:pPr>
        <w:pStyle w:val="2"/>
        <w:spacing w:before="163" w:beforeLines="50" w:after="163" w:afterLines="50" w:line="360" w:lineRule="auto"/>
        <w:rPr>
          <w:rFonts w:ascii="Times New Roman" w:hAnsi="Times New Roman" w:eastAsia="宋体"/>
          <w:b/>
          <w:bCs w:val="0"/>
          <w:sz w:val="36"/>
          <w:szCs w:val="48"/>
        </w:rPr>
      </w:pPr>
      <w:bookmarkStart w:id="12" w:name="_Toc92656354"/>
      <w:r>
        <w:rPr>
          <w:rFonts w:ascii="Times New Roman" w:hAnsi="Times New Roman" w:eastAsia="宋体"/>
          <w:b/>
          <w:bCs w:val="0"/>
          <w:sz w:val="36"/>
          <w:szCs w:val="48"/>
        </w:rPr>
        <w:t xml:space="preserve">6 </w:t>
      </w:r>
      <w:r>
        <w:rPr>
          <w:rFonts w:hint="eastAsia" w:ascii="Times New Roman" w:hAnsi="Times New Roman" w:eastAsia="宋体"/>
          <w:b/>
          <w:bCs w:val="0"/>
          <w:sz w:val="36"/>
          <w:szCs w:val="48"/>
        </w:rPr>
        <w:t>标准贯彻实施的意见和建议</w:t>
      </w:r>
      <w:bookmarkEnd w:id="12"/>
    </w:p>
    <w:p>
      <w:pPr>
        <w:spacing w:before="163" w:beforeLines="50" w:after="163" w:afterLines="50"/>
        <w:ind w:firstLine="560" w:firstLineChars="200"/>
        <w:rPr>
          <w:rFonts w:ascii="Times New Roman" w:hAnsi="Times New Roman"/>
          <w:sz w:val="28"/>
          <w:szCs w:val="24"/>
        </w:rPr>
      </w:pPr>
      <w:r>
        <w:rPr>
          <w:rFonts w:ascii="Times New Roman" w:hAnsi="Times New Roman"/>
          <w:sz w:val="28"/>
          <w:szCs w:val="24"/>
        </w:rPr>
        <w:t>本标准由县级以上人民政府</w:t>
      </w:r>
      <w:r>
        <w:rPr>
          <w:rFonts w:hint="eastAsia" w:ascii="Times New Roman" w:hAnsi="Times New Roman"/>
          <w:sz w:val="28"/>
          <w:szCs w:val="24"/>
        </w:rPr>
        <w:t>交通运输</w:t>
      </w:r>
      <w:r>
        <w:rPr>
          <w:rFonts w:ascii="Times New Roman" w:hAnsi="Times New Roman"/>
          <w:sz w:val="28"/>
          <w:szCs w:val="24"/>
        </w:rPr>
        <w:t>主管部门负责实施。</w:t>
      </w:r>
    </w:p>
    <w:p>
      <w:pPr>
        <w:spacing w:before="163" w:beforeLines="50" w:after="163" w:afterLines="50"/>
        <w:ind w:firstLine="560" w:firstLineChars="200"/>
        <w:rPr>
          <w:rFonts w:ascii="Times New Roman" w:hAnsi="Times New Roman"/>
          <w:sz w:val="28"/>
          <w:szCs w:val="24"/>
        </w:rPr>
      </w:pPr>
      <w:r>
        <w:rPr>
          <w:rFonts w:ascii="Times New Roman" w:hAnsi="Times New Roman"/>
          <w:sz w:val="28"/>
          <w:szCs w:val="24"/>
        </w:rPr>
        <w:t>本标准为</w:t>
      </w:r>
      <w:r>
        <w:rPr>
          <w:rFonts w:hint="eastAsia" w:ascii="Times New Roman" w:hAnsi="Times New Roman"/>
          <w:sz w:val="28"/>
          <w:szCs w:val="24"/>
        </w:rPr>
        <w:t>河北省钢渣沥青混凝土相关应用规程的</w:t>
      </w:r>
      <w:r>
        <w:rPr>
          <w:rFonts w:ascii="Times New Roman" w:hAnsi="Times New Roman"/>
          <w:sz w:val="28"/>
          <w:szCs w:val="24"/>
        </w:rPr>
        <w:t>首次制定，随着</w:t>
      </w:r>
      <w:r>
        <w:rPr>
          <w:rFonts w:hint="eastAsia" w:ascii="Times New Roman" w:hAnsi="Times New Roman"/>
          <w:sz w:val="28"/>
          <w:szCs w:val="24"/>
        </w:rPr>
        <w:t>路面面层工程技术</w:t>
      </w:r>
      <w:r>
        <w:rPr>
          <w:rFonts w:ascii="Times New Roman" w:hAnsi="Times New Roman"/>
          <w:sz w:val="28"/>
          <w:szCs w:val="24"/>
        </w:rPr>
        <w:t>要求的不断提高，</w:t>
      </w:r>
      <w:r>
        <w:rPr>
          <w:rFonts w:hint="eastAsia" w:ascii="Times New Roman" w:hAnsi="Times New Roman"/>
          <w:sz w:val="28"/>
          <w:szCs w:val="24"/>
        </w:rPr>
        <w:t>钢渣沥青混凝土使用</w:t>
      </w:r>
      <w:r>
        <w:rPr>
          <w:rFonts w:ascii="Times New Roman" w:hAnsi="Times New Roman"/>
          <w:sz w:val="28"/>
          <w:szCs w:val="24"/>
        </w:rPr>
        <w:t>的不断深入，本标准在实际应用过程中也需要不断丰富和完善，适时进行修订。</w:t>
      </w:r>
    </w:p>
    <w:p>
      <w:pPr>
        <w:pStyle w:val="2"/>
        <w:spacing w:before="163" w:beforeLines="50" w:after="163" w:afterLines="50" w:line="360" w:lineRule="auto"/>
        <w:rPr>
          <w:rFonts w:ascii="Times New Roman" w:hAnsi="Times New Roman" w:eastAsia="宋体"/>
          <w:b/>
          <w:bCs w:val="0"/>
          <w:sz w:val="36"/>
          <w:szCs w:val="48"/>
        </w:rPr>
      </w:pPr>
      <w:bookmarkStart w:id="13" w:name="_Toc92656355"/>
      <w:r>
        <w:rPr>
          <w:rFonts w:ascii="Times New Roman" w:hAnsi="Times New Roman" w:eastAsia="宋体"/>
          <w:b/>
          <w:bCs w:val="0"/>
          <w:sz w:val="36"/>
          <w:szCs w:val="48"/>
        </w:rPr>
        <w:t xml:space="preserve">7 </w:t>
      </w:r>
      <w:r>
        <w:rPr>
          <w:rFonts w:hint="eastAsia" w:ascii="Times New Roman" w:hAnsi="Times New Roman" w:eastAsia="宋体"/>
          <w:b/>
          <w:bCs w:val="0"/>
          <w:sz w:val="36"/>
          <w:szCs w:val="48"/>
        </w:rPr>
        <w:t>其他应予说明的事项</w:t>
      </w:r>
      <w:bookmarkEnd w:id="13"/>
    </w:p>
    <w:p>
      <w:pPr>
        <w:spacing w:before="163" w:beforeLines="50" w:after="163" w:afterLines="50"/>
        <w:ind w:firstLine="560" w:firstLineChars="200"/>
      </w:pPr>
      <w:r>
        <w:rPr>
          <w:rFonts w:hint="eastAsia" w:ascii="Times New Roman" w:hAnsi="Times New Roman"/>
          <w:sz w:val="28"/>
          <w:szCs w:val="24"/>
        </w:rPr>
        <w:t>无。</w:t>
      </w:r>
    </w:p>
    <w:sectPr>
      <w:pgSz w:w="11906" w:h="16838"/>
      <w:pgMar w:top="1440" w:right="1797" w:bottom="1440" w:left="1797" w:header="851" w:footer="992" w:gutter="0"/>
      <w:pgNumType w:start="1"/>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等线 Light">
    <w:altName w:val="汉仪中宋简"/>
    <w:panose1 w:val="02010600030101010101"/>
    <w:charset w:val="86"/>
    <w:family w:val="auto"/>
    <w:pitch w:val="default"/>
    <w:sig w:usb0="00000000" w:usb1="00000000" w:usb2="00000016" w:usb3="00000000" w:csb0="0004000F" w:csb1="0000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书宋_GBK">
    <w:panose1 w:val="02000000000000000000"/>
    <w:charset w:val="86"/>
    <w:family w:val="auto"/>
    <w:pitch w:val="default"/>
    <w:sig w:usb0="00000001" w:usb1="08000000" w:usb2="00000000" w:usb3="00000000" w:csb0="00040000" w:csb1="00000000"/>
  </w:font>
  <w:font w:name="等线 Light">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3629679"/>
      <w:docPartObj>
        <w:docPartGallery w:val="AutoText"/>
      </w:docPartObj>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D3A"/>
    <w:rsid w:val="00010CE9"/>
    <w:rsid w:val="000110DC"/>
    <w:rsid w:val="00014174"/>
    <w:rsid w:val="00027950"/>
    <w:rsid w:val="000444C1"/>
    <w:rsid w:val="0005253E"/>
    <w:rsid w:val="000530EA"/>
    <w:rsid w:val="00054A11"/>
    <w:rsid w:val="000614E7"/>
    <w:rsid w:val="0006180F"/>
    <w:rsid w:val="00066FCC"/>
    <w:rsid w:val="000959DB"/>
    <w:rsid w:val="000A0FB2"/>
    <w:rsid w:val="000B4947"/>
    <w:rsid w:val="000C0B35"/>
    <w:rsid w:val="000C346D"/>
    <w:rsid w:val="000D58AF"/>
    <w:rsid w:val="000D77AC"/>
    <w:rsid w:val="000E5B01"/>
    <w:rsid w:val="000F2291"/>
    <w:rsid w:val="001002CA"/>
    <w:rsid w:val="0010204E"/>
    <w:rsid w:val="001023F5"/>
    <w:rsid w:val="00111DC5"/>
    <w:rsid w:val="001346FA"/>
    <w:rsid w:val="00141FF5"/>
    <w:rsid w:val="00145E3E"/>
    <w:rsid w:val="00153455"/>
    <w:rsid w:val="00155E6C"/>
    <w:rsid w:val="00162EF4"/>
    <w:rsid w:val="001644EE"/>
    <w:rsid w:val="00176684"/>
    <w:rsid w:val="00176D20"/>
    <w:rsid w:val="0018551A"/>
    <w:rsid w:val="001A1820"/>
    <w:rsid w:val="001A4EF5"/>
    <w:rsid w:val="001A5C29"/>
    <w:rsid w:val="001D68AA"/>
    <w:rsid w:val="00221F17"/>
    <w:rsid w:val="002239BD"/>
    <w:rsid w:val="00237834"/>
    <w:rsid w:val="00261346"/>
    <w:rsid w:val="00272F19"/>
    <w:rsid w:val="00293B6E"/>
    <w:rsid w:val="002A443C"/>
    <w:rsid w:val="002C67FA"/>
    <w:rsid w:val="002E5E9D"/>
    <w:rsid w:val="002F36DB"/>
    <w:rsid w:val="00331839"/>
    <w:rsid w:val="003342E1"/>
    <w:rsid w:val="00377E20"/>
    <w:rsid w:val="003877F2"/>
    <w:rsid w:val="003A0F52"/>
    <w:rsid w:val="003A183E"/>
    <w:rsid w:val="003A58E1"/>
    <w:rsid w:val="003C2B26"/>
    <w:rsid w:val="003C3D3A"/>
    <w:rsid w:val="003C6EEB"/>
    <w:rsid w:val="003D655F"/>
    <w:rsid w:val="004017D2"/>
    <w:rsid w:val="00403D82"/>
    <w:rsid w:val="0040779C"/>
    <w:rsid w:val="00413A05"/>
    <w:rsid w:val="004441A2"/>
    <w:rsid w:val="004451EC"/>
    <w:rsid w:val="004500E8"/>
    <w:rsid w:val="004507C1"/>
    <w:rsid w:val="0045088F"/>
    <w:rsid w:val="00450C6E"/>
    <w:rsid w:val="00452CCA"/>
    <w:rsid w:val="00462AC2"/>
    <w:rsid w:val="0046790D"/>
    <w:rsid w:val="00467DA2"/>
    <w:rsid w:val="004702B8"/>
    <w:rsid w:val="00482BC9"/>
    <w:rsid w:val="00491132"/>
    <w:rsid w:val="004B1400"/>
    <w:rsid w:val="004B14F4"/>
    <w:rsid w:val="004B375F"/>
    <w:rsid w:val="004C02C2"/>
    <w:rsid w:val="004C0C2B"/>
    <w:rsid w:val="004D76BC"/>
    <w:rsid w:val="004E4451"/>
    <w:rsid w:val="005033E0"/>
    <w:rsid w:val="00505BDF"/>
    <w:rsid w:val="00511632"/>
    <w:rsid w:val="00513E68"/>
    <w:rsid w:val="00532344"/>
    <w:rsid w:val="0053491B"/>
    <w:rsid w:val="005357E2"/>
    <w:rsid w:val="005632CA"/>
    <w:rsid w:val="005827DF"/>
    <w:rsid w:val="005A2C69"/>
    <w:rsid w:val="005A3490"/>
    <w:rsid w:val="005A48BC"/>
    <w:rsid w:val="005A5B6C"/>
    <w:rsid w:val="005B3728"/>
    <w:rsid w:val="005C618F"/>
    <w:rsid w:val="005D4969"/>
    <w:rsid w:val="005E2278"/>
    <w:rsid w:val="005E52D7"/>
    <w:rsid w:val="005F2E52"/>
    <w:rsid w:val="005F3E9B"/>
    <w:rsid w:val="005F70AC"/>
    <w:rsid w:val="00610246"/>
    <w:rsid w:val="00627256"/>
    <w:rsid w:val="0063264E"/>
    <w:rsid w:val="006359D6"/>
    <w:rsid w:val="006604C6"/>
    <w:rsid w:val="006657B2"/>
    <w:rsid w:val="00665944"/>
    <w:rsid w:val="00676817"/>
    <w:rsid w:val="00685634"/>
    <w:rsid w:val="006873F4"/>
    <w:rsid w:val="00695AA4"/>
    <w:rsid w:val="006A1BFE"/>
    <w:rsid w:val="006D2100"/>
    <w:rsid w:val="006F40DF"/>
    <w:rsid w:val="00703CCE"/>
    <w:rsid w:val="00723693"/>
    <w:rsid w:val="00750A92"/>
    <w:rsid w:val="007523CD"/>
    <w:rsid w:val="00754D5A"/>
    <w:rsid w:val="0075624C"/>
    <w:rsid w:val="007602F9"/>
    <w:rsid w:val="007733B7"/>
    <w:rsid w:val="00780112"/>
    <w:rsid w:val="0078232A"/>
    <w:rsid w:val="007A017F"/>
    <w:rsid w:val="007A32FD"/>
    <w:rsid w:val="007A43A8"/>
    <w:rsid w:val="007A62A8"/>
    <w:rsid w:val="007C749A"/>
    <w:rsid w:val="007D00BE"/>
    <w:rsid w:val="007E2A02"/>
    <w:rsid w:val="007E2D84"/>
    <w:rsid w:val="007F113D"/>
    <w:rsid w:val="0081071C"/>
    <w:rsid w:val="0083609C"/>
    <w:rsid w:val="0084094A"/>
    <w:rsid w:val="00843146"/>
    <w:rsid w:val="0084554B"/>
    <w:rsid w:val="00853319"/>
    <w:rsid w:val="0087044D"/>
    <w:rsid w:val="00874CD7"/>
    <w:rsid w:val="00881A21"/>
    <w:rsid w:val="00882816"/>
    <w:rsid w:val="008B0D6D"/>
    <w:rsid w:val="008B6C6D"/>
    <w:rsid w:val="008C434A"/>
    <w:rsid w:val="008E07D5"/>
    <w:rsid w:val="008F65A9"/>
    <w:rsid w:val="00910541"/>
    <w:rsid w:val="00912B8A"/>
    <w:rsid w:val="00916B88"/>
    <w:rsid w:val="009174F3"/>
    <w:rsid w:val="00954082"/>
    <w:rsid w:val="009663BB"/>
    <w:rsid w:val="009676E2"/>
    <w:rsid w:val="009807F9"/>
    <w:rsid w:val="00990BF2"/>
    <w:rsid w:val="009A4550"/>
    <w:rsid w:val="009A4FC1"/>
    <w:rsid w:val="009B22F5"/>
    <w:rsid w:val="009B2316"/>
    <w:rsid w:val="009C0C3B"/>
    <w:rsid w:val="009C183C"/>
    <w:rsid w:val="009C3043"/>
    <w:rsid w:val="009C75E3"/>
    <w:rsid w:val="009C76F4"/>
    <w:rsid w:val="00A042EF"/>
    <w:rsid w:val="00A22C64"/>
    <w:rsid w:val="00A30FE2"/>
    <w:rsid w:val="00A35C00"/>
    <w:rsid w:val="00A46A20"/>
    <w:rsid w:val="00A51BD7"/>
    <w:rsid w:val="00A85A81"/>
    <w:rsid w:val="00AA3C4B"/>
    <w:rsid w:val="00AA3CD5"/>
    <w:rsid w:val="00AA477F"/>
    <w:rsid w:val="00AB1909"/>
    <w:rsid w:val="00AB30FB"/>
    <w:rsid w:val="00AB78BE"/>
    <w:rsid w:val="00AC5E34"/>
    <w:rsid w:val="00AE3594"/>
    <w:rsid w:val="00AF0EFB"/>
    <w:rsid w:val="00B116F4"/>
    <w:rsid w:val="00B51964"/>
    <w:rsid w:val="00B62BC9"/>
    <w:rsid w:val="00B642B0"/>
    <w:rsid w:val="00B652E4"/>
    <w:rsid w:val="00B7449B"/>
    <w:rsid w:val="00B81535"/>
    <w:rsid w:val="00B81A2A"/>
    <w:rsid w:val="00B8274B"/>
    <w:rsid w:val="00B84AE0"/>
    <w:rsid w:val="00B87EE8"/>
    <w:rsid w:val="00B87F6E"/>
    <w:rsid w:val="00BA7943"/>
    <w:rsid w:val="00BC0E76"/>
    <w:rsid w:val="00BC0EE1"/>
    <w:rsid w:val="00BC3A2C"/>
    <w:rsid w:val="00BE64A0"/>
    <w:rsid w:val="00C0272D"/>
    <w:rsid w:val="00C0350F"/>
    <w:rsid w:val="00C20957"/>
    <w:rsid w:val="00C27C00"/>
    <w:rsid w:val="00C3036B"/>
    <w:rsid w:val="00C34846"/>
    <w:rsid w:val="00C43467"/>
    <w:rsid w:val="00C5121F"/>
    <w:rsid w:val="00C5128D"/>
    <w:rsid w:val="00C63048"/>
    <w:rsid w:val="00C65CA9"/>
    <w:rsid w:val="00C822BB"/>
    <w:rsid w:val="00CA3FF7"/>
    <w:rsid w:val="00CB1178"/>
    <w:rsid w:val="00CB79E0"/>
    <w:rsid w:val="00CC0428"/>
    <w:rsid w:val="00CE1664"/>
    <w:rsid w:val="00CF4578"/>
    <w:rsid w:val="00CF568B"/>
    <w:rsid w:val="00D508DC"/>
    <w:rsid w:val="00D61DCB"/>
    <w:rsid w:val="00D7435B"/>
    <w:rsid w:val="00D833B5"/>
    <w:rsid w:val="00D9327D"/>
    <w:rsid w:val="00D95E28"/>
    <w:rsid w:val="00DB12E8"/>
    <w:rsid w:val="00DE54EA"/>
    <w:rsid w:val="00DE5AAA"/>
    <w:rsid w:val="00DE6D0C"/>
    <w:rsid w:val="00DF13E6"/>
    <w:rsid w:val="00DF4AFA"/>
    <w:rsid w:val="00E05B4A"/>
    <w:rsid w:val="00E25AEE"/>
    <w:rsid w:val="00E30B9D"/>
    <w:rsid w:val="00E403D9"/>
    <w:rsid w:val="00E417FC"/>
    <w:rsid w:val="00E439E2"/>
    <w:rsid w:val="00E43F49"/>
    <w:rsid w:val="00E44C69"/>
    <w:rsid w:val="00E571B5"/>
    <w:rsid w:val="00E57F74"/>
    <w:rsid w:val="00E674FF"/>
    <w:rsid w:val="00E80BF0"/>
    <w:rsid w:val="00E82251"/>
    <w:rsid w:val="00E839E6"/>
    <w:rsid w:val="00E90EE7"/>
    <w:rsid w:val="00EA083D"/>
    <w:rsid w:val="00EA73BF"/>
    <w:rsid w:val="00EE3071"/>
    <w:rsid w:val="00EE4B8C"/>
    <w:rsid w:val="00EE6438"/>
    <w:rsid w:val="00EE7D31"/>
    <w:rsid w:val="00EF4827"/>
    <w:rsid w:val="00EF4F46"/>
    <w:rsid w:val="00EF6F0E"/>
    <w:rsid w:val="00F11DD2"/>
    <w:rsid w:val="00F11F6D"/>
    <w:rsid w:val="00F24729"/>
    <w:rsid w:val="00F274A1"/>
    <w:rsid w:val="00F279BE"/>
    <w:rsid w:val="00F35424"/>
    <w:rsid w:val="00F37E2C"/>
    <w:rsid w:val="00F4284E"/>
    <w:rsid w:val="00F51FAC"/>
    <w:rsid w:val="00F70527"/>
    <w:rsid w:val="00F816E7"/>
    <w:rsid w:val="00F9313E"/>
    <w:rsid w:val="00FA17B8"/>
    <w:rsid w:val="00FA1ECD"/>
    <w:rsid w:val="00FB2D7B"/>
    <w:rsid w:val="00FB7E51"/>
    <w:rsid w:val="00FC19EA"/>
    <w:rsid w:val="00FC57FF"/>
    <w:rsid w:val="00FE1EF0"/>
    <w:rsid w:val="00FE7443"/>
    <w:rsid w:val="00FF4B14"/>
    <w:rsid w:val="FEFAE1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等线" w:hAnsi="等线" w:eastAsia="宋体" w:cs="Times New Roman"/>
      <w:kern w:val="2"/>
      <w:sz w:val="24"/>
      <w:szCs w:val="22"/>
      <w:lang w:val="en-US" w:eastAsia="zh-CN" w:bidi="ar-SA"/>
    </w:rPr>
  </w:style>
  <w:style w:type="paragraph" w:styleId="2">
    <w:name w:val="heading 1"/>
    <w:basedOn w:val="1"/>
    <w:next w:val="1"/>
    <w:link w:val="11"/>
    <w:qFormat/>
    <w:uiPriority w:val="0"/>
    <w:pPr>
      <w:keepNext/>
      <w:keepLines/>
      <w:spacing w:line="240" w:lineRule="auto"/>
      <w:outlineLvl w:val="0"/>
    </w:pPr>
    <w:rPr>
      <w:rFonts w:eastAsia="黑体"/>
      <w:bCs/>
      <w:kern w:val="44"/>
      <w:sz w:val="32"/>
      <w:szCs w:val="44"/>
    </w:rPr>
  </w:style>
  <w:style w:type="paragraph" w:styleId="3">
    <w:name w:val="heading 2"/>
    <w:basedOn w:val="1"/>
    <w:next w:val="1"/>
    <w:link w:val="15"/>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3"/>
    <w:unhideWhenUsed/>
    <w:qFormat/>
    <w:uiPriority w:val="99"/>
    <w:pPr>
      <w:tabs>
        <w:tab w:val="center" w:pos="4153"/>
        <w:tab w:val="right" w:pos="8306"/>
      </w:tabs>
      <w:snapToGrid w:val="0"/>
      <w:spacing w:line="240" w:lineRule="auto"/>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6">
    <w:name w:val="toc 1"/>
    <w:basedOn w:val="1"/>
    <w:next w:val="1"/>
    <w:unhideWhenUsed/>
    <w:uiPriority w:val="39"/>
  </w:style>
  <w:style w:type="paragraph" w:styleId="7">
    <w:name w:val="toc 2"/>
    <w:basedOn w:val="1"/>
    <w:next w:val="1"/>
    <w:unhideWhenUsed/>
    <w:uiPriority w:val="39"/>
    <w:pPr>
      <w:ind w:left="420" w:leftChars="200"/>
    </w:pPr>
  </w:style>
  <w:style w:type="character" w:styleId="10">
    <w:name w:val="Hyperlink"/>
    <w:basedOn w:val="9"/>
    <w:unhideWhenUsed/>
    <w:uiPriority w:val="99"/>
    <w:rPr>
      <w:color w:val="0563C1" w:themeColor="hyperlink"/>
      <w:u w:val="single"/>
      <w14:textFill>
        <w14:solidFill>
          <w14:schemeClr w14:val="hlink"/>
        </w14:solidFill>
      </w14:textFill>
    </w:rPr>
  </w:style>
  <w:style w:type="character" w:customStyle="1" w:styleId="11">
    <w:name w:val="标题 1 字符"/>
    <w:basedOn w:val="9"/>
    <w:link w:val="2"/>
    <w:qFormat/>
    <w:uiPriority w:val="0"/>
    <w:rPr>
      <w:rFonts w:ascii="等线" w:hAnsi="等线" w:eastAsia="黑体" w:cs="Times New Roman"/>
      <w:bCs/>
      <w:kern w:val="44"/>
      <w:sz w:val="32"/>
      <w:szCs w:val="44"/>
    </w:rPr>
  </w:style>
  <w:style w:type="character" w:customStyle="1" w:styleId="12">
    <w:name w:val="页眉 字符"/>
    <w:basedOn w:val="9"/>
    <w:link w:val="5"/>
    <w:uiPriority w:val="99"/>
    <w:rPr>
      <w:rFonts w:ascii="等线" w:hAnsi="等线" w:eastAsia="宋体" w:cs="Times New Roman"/>
      <w:sz w:val="18"/>
      <w:szCs w:val="18"/>
    </w:rPr>
  </w:style>
  <w:style w:type="character" w:customStyle="1" w:styleId="13">
    <w:name w:val="页脚 字符"/>
    <w:basedOn w:val="9"/>
    <w:link w:val="4"/>
    <w:uiPriority w:val="99"/>
    <w:rPr>
      <w:rFonts w:ascii="等线" w:hAnsi="等线" w:eastAsia="宋体" w:cs="Times New Roman"/>
      <w:sz w:val="18"/>
      <w:szCs w:val="18"/>
    </w:rPr>
  </w:style>
  <w:style w:type="character" w:customStyle="1" w:styleId="14">
    <w:name w:val="fontstyle01"/>
    <w:basedOn w:val="9"/>
    <w:qFormat/>
    <w:uiPriority w:val="0"/>
    <w:rPr>
      <w:rFonts w:hint="eastAsia" w:ascii="宋体" w:hAnsi="宋体" w:eastAsia="宋体"/>
      <w:color w:val="000000"/>
      <w:sz w:val="48"/>
      <w:szCs w:val="48"/>
    </w:rPr>
  </w:style>
  <w:style w:type="character" w:customStyle="1" w:styleId="15">
    <w:name w:val="标题 2 字符"/>
    <w:basedOn w:val="9"/>
    <w:link w:val="3"/>
    <w:semiHidden/>
    <w:uiPriority w:val="9"/>
    <w:rPr>
      <w:rFonts w:asciiTheme="majorHAnsi" w:hAnsiTheme="majorHAnsi" w:eastAsiaTheme="majorEastAsia" w:cstheme="majorBidi"/>
      <w:b/>
      <w:bCs/>
      <w:sz w:val="32"/>
      <w:szCs w:val="32"/>
    </w:rPr>
  </w:style>
  <w:style w:type="paragraph" w:customStyle="1" w:styleId="16">
    <w:name w:val="Default"/>
    <w:qFormat/>
    <w:uiPriority w:val="0"/>
    <w:pPr>
      <w:widowControl w:val="0"/>
      <w:autoSpaceDE w:val="0"/>
      <w:autoSpaceDN w:val="0"/>
      <w:adjustRightInd w:val="0"/>
    </w:pPr>
    <w:rPr>
      <w:rFonts w:ascii="微软雅黑" w:eastAsia="微软雅黑" w:cs="微软雅黑" w:hAnsiTheme="minorHAnsi"/>
      <w:color w:val="000000"/>
      <w:kern w:val="0"/>
      <w:sz w:val="24"/>
      <w:szCs w:val="24"/>
      <w:lang w:val="en-US" w:eastAsia="zh-CN" w:bidi="ar-SA"/>
    </w:rPr>
  </w:style>
  <w:style w:type="paragraph" w:customStyle="1" w:styleId="17">
    <w:name w:val="TOC Heading"/>
    <w:basedOn w:val="2"/>
    <w:next w:val="1"/>
    <w:unhideWhenUsed/>
    <w:qFormat/>
    <w:uiPriority w:val="39"/>
    <w:pPr>
      <w:widowControl/>
      <w:spacing w:before="240" w:line="259" w:lineRule="auto"/>
      <w:jc w:val="left"/>
      <w:outlineLvl w:val="9"/>
    </w:pPr>
    <w:rPr>
      <w:rFonts w:asciiTheme="majorHAnsi" w:hAnsiTheme="majorHAnsi" w:eastAsiaTheme="majorEastAsia" w:cstheme="majorBidi"/>
      <w:bCs w:val="0"/>
      <w:color w:val="2F5597" w:themeColor="accent1" w:themeShade="BF"/>
      <w:kern w:val="0"/>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593</Words>
  <Characters>3382</Characters>
  <Lines>28</Lines>
  <Paragraphs>7</Paragraphs>
  <TotalTime>57</TotalTime>
  <ScaleCrop>false</ScaleCrop>
  <LinksUpToDate>false</LinksUpToDate>
  <CharactersWithSpaces>3968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2022-01-09T21:15:00Z</dcterms:created>
  <dc:creator>gmy</dc:creator>
  <cp:lastModifiedBy>uos</cp:lastModifiedBy>
  <cp:lastPrinted>2022-06-17T10:01:00Z</cp:lastPrinted>
  <dcterms:modified xsi:type="dcterms:W3CDTF">2023-06-02T07:51:33Z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