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9"/>
        <w:sectPr>
          <w:headerReference r:id="rId4" w:type="first"/>
          <w:headerReference r:id="rId3" w:type="default"/>
          <w:footerReference r:id="rId5" w:type="default"/>
          <w:footerReference r:id="rId6" w:type="even"/>
          <w:pgSz w:w="11907" w:h="16839"/>
          <w:pgMar w:top="567" w:right="851" w:bottom="1361" w:left="1418" w:header="0" w:footer="0" w:gutter="0"/>
          <w:pgNumType w:start="1"/>
          <w:cols w:space="720" w:num="1"/>
          <w:titlePg/>
          <w:docGrid w:type="lines" w:linePitch="312" w:charSpace="0"/>
        </w:sectPr>
      </w:pPr>
      <w:bookmarkStart w:id="32" w:name="_GoBack"/>
      <w:bookmarkEnd w:id="32"/>
      <w:bookmarkStart w:id="0" w:name="SectionMark0"/>
      <w:r>
        <mc:AlternateContent>
          <mc:Choice Requires="wps">
            <w:drawing>
              <wp:anchor distT="0" distB="0" distL="114300" distR="114300" simplePos="0" relativeHeight="251667456" behindDoc="0" locked="1" layoutInCell="1" allowOverlap="1">
                <wp:simplePos x="0" y="0"/>
                <wp:positionH relativeFrom="margin">
                  <wp:posOffset>-66675</wp:posOffset>
                </wp:positionH>
                <wp:positionV relativeFrom="margin">
                  <wp:posOffset>8477250</wp:posOffset>
                </wp:positionV>
                <wp:extent cx="6120130" cy="834390"/>
                <wp:effectExtent l="0" t="0" r="0" b="0"/>
                <wp:wrapNone/>
                <wp:docPr id="12" name="fmFrame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834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pacing w:val="2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ascii="黑体" w:hAnsi="黑体" w:eastAsia="黑体" w:cs="黑体"/>
                                <w:spacing w:val="2"/>
                                <w:sz w:val="28"/>
                                <w:szCs w:val="28"/>
                              </w:rPr>
                              <w:t>河北省市场监督管理</w:t>
                            </w:r>
                            <w:r>
                              <w:rPr>
                                <w:rFonts w:ascii="黑体" w:hAnsi="黑体" w:eastAsia="黑体" w:cs="黑体"/>
                                <w:spacing w:val="1"/>
                                <w:sz w:val="28"/>
                                <w:szCs w:val="28"/>
                              </w:rPr>
                              <w:t>局    发 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7" o:spid="_x0000_s1026" o:spt="202" type="#_x0000_t202" style="position:absolute;left:0pt;margin-left:-5.25pt;margin-top:667.5pt;height:65.7pt;width:481.9pt;mso-position-horizontal-relative:margin;mso-position-vertical-relative:margin;z-index:251667456;mso-width-relative:page;mso-height-relative:page;" fillcolor="#FFFFFF" filled="t" stroked="f" coordsize="21600,21600" o:gfxdata="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bNR8Y2wAAAA0BAAAPAAAAAAAA&#10;AAEAIAAAACIAAABkcnMvZG93bnJldi54bWxQSwECFAAUAAAACACHTuJAZaVbGQ8CAAAsBAAADgAA&#10;AAAAAAABACAAAAAqAQAAZHJzL2Uyb0RvYy54bWxQSwUGAAAAAAYABgBZAQAAq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spacing w:val="2"/>
                          <w:sz w:val="28"/>
                          <w:szCs w:val="28"/>
                        </w:rPr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ascii="黑体" w:hAnsi="黑体" w:eastAsia="黑体" w:cs="黑体"/>
                          <w:spacing w:val="2"/>
                          <w:sz w:val="28"/>
                          <w:szCs w:val="28"/>
                        </w:rPr>
                        <w:t>河北省市场监督管理</w:t>
                      </w:r>
                      <w:r>
                        <w:rPr>
                          <w:rFonts w:ascii="黑体" w:hAnsi="黑体" w:eastAsia="黑体" w:cs="黑体"/>
                          <w:spacing w:val="1"/>
                          <w:sz w:val="28"/>
                          <w:szCs w:val="28"/>
                        </w:rPr>
                        <w:t>局    发 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8464550</wp:posOffset>
                </wp:positionV>
                <wp:extent cx="6121400" cy="0"/>
                <wp:effectExtent l="0" t="0" r="0" b="0"/>
                <wp:wrapNone/>
                <wp:docPr id="11" name="Lin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8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1" o:spid="_x0000_s1026" o:spt="20" style="position:absolute;left:0pt;margin-left:0pt;margin-top:666.5pt;height:0pt;width:482pt;z-index:251666432;mso-width-relative:page;mso-height-relative:page;" filled="f" stroked="t" coordsize="21600,21600" o:gfxdata="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RFA18tYAAAAKAQAADwAAAAAAAAABACAAAAAiAAAAZHJzL2Rv&#10;d25yZXYueG1sUEsBAhQAFAAAAAgAh07iQPYX9NDKAQAAogMAAA4AAAAAAAAAAQAgAAAAJQEAAGRy&#10;cy9lMm9Eb2MueG1sUEsFBgAAAAAGAAYAWQEAAGEFAAAAAA==&#10;">
                <v:fill on="f" focussize="0,0"/>
                <v:stroke weight="1pt" color="#08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2272665</wp:posOffset>
                </wp:positionV>
                <wp:extent cx="6121400" cy="0"/>
                <wp:effectExtent l="0" t="0" r="0" b="0"/>
                <wp:wrapNone/>
                <wp:docPr id="10" name="Lin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8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0" o:spid="_x0000_s1026" o:spt="20" style="position:absolute;left:0pt;margin-left:0pt;margin-top:178.95pt;height:0pt;width:482pt;z-index:251665408;mso-width-relative:page;mso-height-relative:page;" filled="f" stroked="t" coordsize="21600,21600" o:gfxdata="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Tvstu1wAAAAgBAAAPAAAAAAAAAAEAIAAAACIAAABkcnMvZG93&#10;bnJldi54bWxQSwECFAAUAAAACACHTuJAl6OI1MgBAACiAwAADgAAAAAAAAABACAAAAAmAQAAZHJz&#10;L2Uyb0RvYy54bWxQSwUGAAAAAAYABgBZAQAAYAUAAAAA&#10;">
                <v:fill on="f" focussize="0,0"/>
                <v:stroke weight="1pt" color="#08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margin">
                  <wp:posOffset>4000500</wp:posOffset>
                </wp:positionH>
                <wp:positionV relativeFrom="margin">
                  <wp:posOffset>8122920</wp:posOffset>
                </wp:positionV>
                <wp:extent cx="2019300" cy="312420"/>
                <wp:effectExtent l="0" t="0" r="0" b="0"/>
                <wp:wrapNone/>
                <wp:docPr id="9" name="fmFrame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38"/>
                              <w:rPr>
                                <w:rFonts w:ascii="黑体" w:hAnsi="黑体" w:cs="黑体"/>
                              </w:rPr>
                            </w:pPr>
                            <w:r>
                              <w:rPr>
                                <w:rFonts w:hint="eastAsia" w:ascii="黑体" w:hAnsi="黑体" w:cs="黑体"/>
                              </w:rPr>
                              <w:t>2023-××-××实施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6" o:spid="_x0000_s1026" o:spt="202" type="#_x0000_t202" style="position:absolute;left:0pt;margin-left:315pt;margin-top:639.6pt;height:24.6pt;width:159pt;mso-position-horizontal-relative:margin;mso-position-vertical-relative:margin;z-index:251664384;mso-width-relative:page;mso-height-relative:page;" fillcolor="#FFFFFF" filled="t" stroked="f" coordsize="21600,21600" o:gfxdata="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K1dmztoAAAANAQAADwAAAAAAAAAB&#10;ACAAAAAiAAAAZHJzL2Rvd25yZXYueG1sUEsBAhQAFAAAAAgAh07iQEDywvIOAgAAKwQAAA4AAAAA&#10;AAAAAQAgAAAAKQEAAGRycy9lMm9Eb2MueG1sUEsFBgAAAAAGAAYAWQEAAKk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38"/>
                        <w:rPr>
                          <w:rFonts w:ascii="黑体" w:hAnsi="黑体" w:cs="黑体"/>
                        </w:rPr>
                      </w:pPr>
                      <w:r>
                        <w:rPr>
                          <w:rFonts w:hint="eastAsia" w:ascii="黑体" w:hAnsi="黑体" w:cs="黑体"/>
                        </w:rPr>
                        <w:t>2023-××-××实施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8122920</wp:posOffset>
                </wp:positionV>
                <wp:extent cx="2019300" cy="312420"/>
                <wp:effectExtent l="0" t="0" r="0" b="0"/>
                <wp:wrapNone/>
                <wp:docPr id="8" name="fmFrame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10"/>
                              <w:rPr>
                                <w:rFonts w:ascii="黑体" w:hAnsi="黑体" w:cs="黑体"/>
                              </w:rPr>
                            </w:pPr>
                            <w:r>
                              <w:rPr>
                                <w:rFonts w:hint="eastAsia" w:ascii="黑体" w:hAnsi="黑体" w:cs="黑体"/>
                              </w:rPr>
                              <w:t>2023-××-××发布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5" o:spid="_x0000_s1026" o:spt="202" type="#_x0000_t202" style="position:absolute;left:0pt;margin-left:0pt;margin-top:639.6pt;height:24.6pt;width:159pt;mso-position-horizontal-relative:margin;mso-position-vertical-relative:margin;z-index:251664384;mso-width-relative:page;mso-height-relative:page;" fillcolor="#FFFFFF" filled="t" stroked="f" coordsize="21600,21600" o:gfxdata="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cL4p3YAAAACgEAAA8AAAAAAAAAAQAg&#10;AAAAIgAAAGRycy9kb3ducmV2LnhtbFBLAQIUABQAAAAIAIdO4kC+EIU1DgIAACsEAAAOAAAAAAAA&#10;AAEAIAAAACcBAABkcnMvZTJvRG9jLnhtbFBLBQYAAAAABgAGAFkBAACn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10"/>
                        <w:rPr>
                          <w:rFonts w:ascii="黑体" w:hAnsi="黑体" w:cs="黑体"/>
                        </w:rPr>
                      </w:pPr>
                      <w:r>
                        <w:rPr>
                          <w:rFonts w:hint="eastAsia" w:ascii="黑体" w:hAnsi="黑体" w:cs="黑体"/>
                        </w:rPr>
                        <w:t>2023-××-××发布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margin">
                  <wp:posOffset>-70485</wp:posOffset>
                </wp:positionH>
                <wp:positionV relativeFrom="margin">
                  <wp:posOffset>2769870</wp:posOffset>
                </wp:positionV>
                <wp:extent cx="6379845" cy="1301115"/>
                <wp:effectExtent l="0" t="0" r="1905" b="0"/>
                <wp:wrapNone/>
                <wp:docPr id="7" name="fmFrame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9845" cy="1301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14"/>
                              <w:rPr>
                                <w:rFonts w:hAnsi="黑体" w:cs="黑体"/>
                                <w:bCs/>
                                <w:spacing w:val="40"/>
                              </w:rPr>
                            </w:pPr>
                            <w:r>
                              <w:rPr>
                                <w:rFonts w:hAnsi="黑体" w:cs="黑体"/>
                                <w:spacing w:val="-4"/>
                                <w:szCs w:val="52"/>
                              </w:rPr>
                              <w:t>节水型</w:t>
                            </w:r>
                            <w:r>
                              <w:rPr>
                                <w:rFonts w:hAnsi="黑体" w:cs="黑体"/>
                                <w:spacing w:val="-3"/>
                                <w:szCs w:val="52"/>
                              </w:rPr>
                              <w:t>单</w:t>
                            </w:r>
                            <w:r>
                              <w:rPr>
                                <w:rFonts w:hAnsi="黑体" w:cs="黑体"/>
                                <w:spacing w:val="-2"/>
                                <w:szCs w:val="52"/>
                              </w:rPr>
                              <w:t>位评价导则</w:t>
                            </w:r>
                            <w:r>
                              <w:rPr>
                                <w:rFonts w:hint="eastAsia" w:hAnsi="黑体" w:cs="黑体"/>
                                <w:bCs/>
                                <w:spacing w:val="40"/>
                                <w:szCs w:val="52"/>
                              </w:rPr>
                              <w:t xml:space="preserve"> </w:t>
                            </w:r>
                            <w:r>
                              <w:rPr>
                                <w:rFonts w:hAnsi="黑体" w:cs="黑体"/>
                                <w:spacing w:val="-32"/>
                                <w:szCs w:val="52"/>
                              </w:rPr>
                              <w:t>第</w:t>
                            </w:r>
                            <w:r>
                              <w:rPr>
                                <w:rFonts w:hAnsi="黑体" w:cs="黑体"/>
                                <w:spacing w:val="-30"/>
                                <w:szCs w:val="52"/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黑体" w:cs="黑体"/>
                                <w:spacing w:val="-30"/>
                                <w:szCs w:val="52"/>
                              </w:rPr>
                              <w:t>8</w:t>
                            </w:r>
                            <w:r>
                              <w:rPr>
                                <w:rFonts w:hAnsi="黑体" w:cs="黑体"/>
                                <w:spacing w:val="-30"/>
                                <w:szCs w:val="52"/>
                              </w:rPr>
                              <w:t>部分：</w:t>
                            </w:r>
                            <w:r>
                              <w:rPr>
                                <w:rFonts w:hint="eastAsia" w:hAnsi="黑体" w:cs="黑体"/>
                                <w:spacing w:val="-30"/>
                                <w:szCs w:val="52"/>
                              </w:rPr>
                              <w:t>公园</w:t>
                            </w:r>
                          </w:p>
                          <w:p>
                            <w:pPr>
                              <w:pStyle w:val="46"/>
                              <w:snapToGrid w:val="0"/>
                              <w:spacing w:before="312" w:beforeLines="100" w:line="240" w:lineRule="auto"/>
                              <w:ind w:firstLine="0"/>
                              <w:jc w:val="center"/>
                              <w:rPr>
                                <w:rFonts w:ascii="黑体" w:hAnsi="黑体" w:eastAsia="黑体" w:cs="黑体"/>
                                <w:bCs/>
                                <w:color w:val="auto"/>
                                <w:sz w:val="32"/>
                                <w:szCs w:val="32"/>
                                <w:lang w:val="en-GB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color w:val="auto"/>
                                <w:sz w:val="32"/>
                                <w:szCs w:val="32"/>
                                <w:lang w:val="en-GB"/>
                              </w:rPr>
                              <w:t>（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color w:val="auto"/>
                                <w:sz w:val="32"/>
                                <w:szCs w:val="32"/>
                                <w:lang w:val="en-US" w:eastAsia="zh-CN"/>
                              </w:rPr>
                              <w:t>网上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color w:val="auto"/>
                                <w:sz w:val="32"/>
                                <w:szCs w:val="32"/>
                                <w:lang w:val="en-GB"/>
                              </w:rPr>
                              <w:t>征求意见稿）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4" o:spid="_x0000_s1026" o:spt="202" type="#_x0000_t202" style="position:absolute;left:0pt;margin-left:-5.55pt;margin-top:218.1pt;height:102.45pt;width:502.35pt;mso-position-horizontal-relative:margin;mso-position-vertical-relative:margin;z-index:251663360;mso-width-relative:page;mso-height-relative:page;" fillcolor="#FFFFFF" filled="t" stroked="f" coordsize="21600,21600" o:gfxdata="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HaKhO2QAAAAsBAAAPAAAAAAAA&#10;AAEAIAAAACIAAABkcnMvZG93bnJldi54bWxQSwECFAAUAAAACACHTuJANAMP3RECAAAsBAAADgAA&#10;AAAAAAABACAAAAAoAQAAZHJzL2Uyb0RvYy54bWxQSwUGAAAAAAYABgBZAQAAq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14"/>
                        <w:rPr>
                          <w:rFonts w:hAnsi="黑体" w:cs="黑体"/>
                          <w:bCs/>
                          <w:spacing w:val="40"/>
                        </w:rPr>
                      </w:pPr>
                      <w:r>
                        <w:rPr>
                          <w:rFonts w:hAnsi="黑体" w:cs="黑体"/>
                          <w:spacing w:val="-4"/>
                          <w:szCs w:val="52"/>
                        </w:rPr>
                        <w:t>节水型</w:t>
                      </w:r>
                      <w:r>
                        <w:rPr>
                          <w:rFonts w:hAnsi="黑体" w:cs="黑体"/>
                          <w:spacing w:val="-3"/>
                          <w:szCs w:val="52"/>
                        </w:rPr>
                        <w:t>单</w:t>
                      </w:r>
                      <w:r>
                        <w:rPr>
                          <w:rFonts w:hAnsi="黑体" w:cs="黑体"/>
                          <w:spacing w:val="-2"/>
                          <w:szCs w:val="52"/>
                        </w:rPr>
                        <w:t>位评价导则</w:t>
                      </w:r>
                      <w:r>
                        <w:rPr>
                          <w:rFonts w:hint="eastAsia" w:hAnsi="黑体" w:cs="黑体"/>
                          <w:bCs/>
                          <w:spacing w:val="40"/>
                          <w:szCs w:val="52"/>
                        </w:rPr>
                        <w:t xml:space="preserve"> </w:t>
                      </w:r>
                      <w:r>
                        <w:rPr>
                          <w:rFonts w:hAnsi="黑体" w:cs="黑体"/>
                          <w:spacing w:val="-32"/>
                          <w:szCs w:val="52"/>
                        </w:rPr>
                        <w:t>第</w:t>
                      </w:r>
                      <w:r>
                        <w:rPr>
                          <w:rFonts w:hAnsi="黑体" w:cs="黑体"/>
                          <w:spacing w:val="-30"/>
                          <w:szCs w:val="52"/>
                        </w:rPr>
                        <w:t xml:space="preserve"> </w:t>
                      </w:r>
                      <w:r>
                        <w:rPr>
                          <w:rFonts w:hint="eastAsia" w:hAnsi="黑体" w:cs="黑体"/>
                          <w:spacing w:val="-30"/>
                          <w:szCs w:val="52"/>
                        </w:rPr>
                        <w:t>8</w:t>
                      </w:r>
                      <w:r>
                        <w:rPr>
                          <w:rFonts w:hAnsi="黑体" w:cs="黑体"/>
                          <w:spacing w:val="-30"/>
                          <w:szCs w:val="52"/>
                        </w:rPr>
                        <w:t>部分：</w:t>
                      </w:r>
                      <w:r>
                        <w:rPr>
                          <w:rFonts w:hint="eastAsia" w:hAnsi="黑体" w:cs="黑体"/>
                          <w:spacing w:val="-30"/>
                          <w:szCs w:val="52"/>
                        </w:rPr>
                        <w:t>公园</w:t>
                      </w:r>
                    </w:p>
                    <w:p>
                      <w:pPr>
                        <w:pStyle w:val="46"/>
                        <w:snapToGrid w:val="0"/>
                        <w:spacing w:before="312" w:beforeLines="100" w:line="240" w:lineRule="auto"/>
                        <w:ind w:firstLine="0"/>
                        <w:jc w:val="center"/>
                        <w:rPr>
                          <w:rFonts w:ascii="黑体" w:hAnsi="黑体" w:eastAsia="黑体" w:cs="黑体"/>
                          <w:bCs/>
                          <w:color w:val="auto"/>
                          <w:sz w:val="32"/>
                          <w:szCs w:val="32"/>
                          <w:lang w:val="en-GB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Cs/>
                          <w:color w:val="auto"/>
                          <w:sz w:val="32"/>
                          <w:szCs w:val="32"/>
                          <w:lang w:val="en-GB"/>
                        </w:rPr>
                        <w:t>（</w:t>
                      </w:r>
                      <w:r>
                        <w:rPr>
                          <w:rFonts w:hint="eastAsia" w:ascii="黑体" w:hAnsi="黑体" w:eastAsia="黑体" w:cs="黑体"/>
                          <w:bCs/>
                          <w:color w:val="auto"/>
                          <w:sz w:val="32"/>
                          <w:szCs w:val="32"/>
                          <w:lang w:val="en-US" w:eastAsia="zh-CN"/>
                        </w:rPr>
                        <w:t>网上</w:t>
                      </w:r>
                      <w:r>
                        <w:rPr>
                          <w:rFonts w:hint="eastAsia" w:ascii="黑体" w:hAnsi="黑体" w:eastAsia="黑体" w:cs="黑体"/>
                          <w:bCs/>
                          <w:color w:val="auto"/>
                          <w:sz w:val="32"/>
                          <w:szCs w:val="32"/>
                          <w:lang w:val="en-GB"/>
                        </w:rPr>
                        <w:t>征求意见稿）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1401445</wp:posOffset>
                </wp:positionV>
                <wp:extent cx="6003290" cy="860425"/>
                <wp:effectExtent l="0" t="0" r="0" b="0"/>
                <wp:wrapNone/>
                <wp:docPr id="6" name="fmFram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3290" cy="860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11"/>
                              <w:rPr>
                                <w:rFonts w:ascii="黑体" w:hAnsi="黑体" w:eastAsia="黑体" w:cs="黑体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Cs w:val="28"/>
                              </w:rPr>
                              <w:t xml:space="preserve">  DB13/T ×××—2023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3" o:spid="_x0000_s1026" o:spt="202" type="#_x0000_t202" style="position:absolute;left:0pt;margin-left:0pt;margin-top:110.35pt;height:67.75pt;width:472.7pt;mso-position-horizontal-relative:margin;mso-position-vertical-relative:margin;z-index:251662336;mso-width-relative:page;mso-height-relative:page;" fillcolor="#FFFFFF" filled="t" stroked="f" coordsize="21600,21600" o:gfxdata="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KKJerNgAAAAIAQAADwAAAAAAAAAB&#10;ACAAAAAiAAAAZHJzL2Rvd25yZXYueG1sUEsBAhQAFAAAAAgAh07iQI5Mj5oQAgAAKwQAAA4AAAAA&#10;AAAAAQAgAAAAJwEAAGRycy9lMm9Eb2MueG1sUEsFBgAAAAAGAAYAWQEAAKk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11"/>
                        <w:rPr>
                          <w:rFonts w:ascii="黑体" w:hAnsi="黑体" w:eastAsia="黑体" w:cs="黑体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Cs w:val="28"/>
                        </w:rPr>
                        <w:t xml:space="preserve">  DB13/T ×××—2023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1" layoutInCell="1" allowOverlap="1">
                <wp:simplePos x="0" y="0"/>
                <wp:positionH relativeFrom="margin">
                  <wp:posOffset>2549525</wp:posOffset>
                </wp:positionH>
                <wp:positionV relativeFrom="margin">
                  <wp:posOffset>107315</wp:posOffset>
                </wp:positionV>
                <wp:extent cx="3175000" cy="720090"/>
                <wp:effectExtent l="0" t="0" r="0" b="0"/>
                <wp:wrapNone/>
                <wp:docPr id="5" name="fmFrame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94"/>
                            </w:pPr>
                            <w:r>
                              <w:rPr>
                                <w:rFonts w:eastAsia="Times New Roman"/>
                                <w:szCs w:val="96"/>
                              </w:rPr>
                              <w:drawing>
                                <wp:inline distT="0" distB="0" distL="0" distR="0">
                                  <wp:extent cx="795655" cy="398145"/>
                                  <wp:effectExtent l="0" t="0" r="0" b="0"/>
                                  <wp:docPr id="13" name="IM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IM 1"/>
                                          <pic:cNvPicPr>
                                            <a:picLocks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95655" cy="398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>13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8" o:spid="_x0000_s1026" o:spt="202" type="#_x0000_t202" style="position:absolute;left:0pt;margin-left:200.75pt;margin-top:8.45pt;height:56.7pt;width:250pt;mso-position-horizontal-relative:margin;mso-position-vertical-relative:margin;z-index:251661312;mso-width-relative:page;mso-height-relative:page;" fillcolor="#FFFFFF" filled="t" stroked="f" coordsize="21600,21600" o:gfxdata="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JWTs82AAAAAoBAAAPAAAAAAAAAAEA&#10;IAAAACIAAABkcnMvZG93bnJldi54bWxQSwECFAAUAAAACACHTuJAeYsS7Q8CAAArBAAADgAAAAAA&#10;AAABACAAAAAnAQAAZHJzL2Uyb0RvYy54bWxQSwUGAAAAAAYABgBZAQAAqA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94"/>
                      </w:pPr>
                      <w:r>
                        <w:rPr>
                          <w:rFonts w:eastAsia="Times New Roman"/>
                          <w:szCs w:val="96"/>
                        </w:rPr>
                        <w:drawing>
                          <wp:inline distT="0" distB="0" distL="0" distR="0">
                            <wp:extent cx="795655" cy="398145"/>
                            <wp:effectExtent l="0" t="0" r="0" b="0"/>
                            <wp:docPr id="13" name="IM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IM 1"/>
                                    <pic:cNvPicPr>
                                      <a:picLocks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95655" cy="398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>13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1010920</wp:posOffset>
                </wp:positionV>
                <wp:extent cx="6120130" cy="391160"/>
                <wp:effectExtent l="0" t="0" r="0" b="0"/>
                <wp:wrapNone/>
                <wp:docPr id="4" name="fmFram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35"/>
                            </w:pPr>
                            <w:r>
                              <w:rPr>
                                <w:rFonts w:hint="eastAsia"/>
                                <w:sz w:val="48"/>
                                <w:szCs w:val="48"/>
                              </w:rPr>
                              <w:t>河北省地方标准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2" o:spid="_x0000_s1026" o:spt="202" type="#_x0000_t202" style="position:absolute;left:0pt;margin-left:0pt;margin-top:79.6pt;height:30.8pt;width:481.9pt;mso-position-horizontal-relative:margin;mso-position-vertical-relative:margin;z-index:251660288;mso-width-relative:page;mso-height-relative:page;" fillcolor="#FFFFFF" filled="t" stroked="f" coordsize="21600,21600" o:gfxdata="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Rg5HBdcAAAAIAQAADwAAAAAAAAABACAA&#10;AAAiAAAAZHJzL2Rvd25yZXYueG1sUEsBAhQAFAAAAAgAh07iQOPv4sEOAgAAKwQAAA4AAAAAAAAA&#10;AQAgAAAAJgEAAGRycy9lMm9Eb2MueG1sUEsFBgAAAAAGAAYAWQEAAKY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35"/>
                      </w:pPr>
                      <w:r>
                        <w:rPr>
                          <w:rFonts w:hint="eastAsia"/>
                          <w:sz w:val="48"/>
                          <w:szCs w:val="48"/>
                        </w:rPr>
                        <w:t>河北省地方标准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0</wp:posOffset>
                </wp:positionV>
                <wp:extent cx="2540000" cy="657860"/>
                <wp:effectExtent l="0" t="0" r="0" b="0"/>
                <wp:wrapNone/>
                <wp:docPr id="3" name="fmFram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0" cy="657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44"/>
                            </w:pPr>
                            <w:r>
                              <w:t>ICS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××</w:t>
                            </w:r>
                            <w:r>
                              <w:rPr>
                                <w:rFonts w:ascii="黑体"/>
                              </w:rPr>
                              <w:t>.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×××</w:t>
                            </w:r>
                            <w:r>
                              <w:rPr>
                                <w:rFonts w:ascii="黑体"/>
                              </w:rPr>
                              <w:t>.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××</w:t>
                            </w:r>
                          </w:p>
                          <w:p>
                            <w:pPr>
                              <w:pStyle w:val="144"/>
                            </w:pPr>
                            <w:r>
                              <w:rPr>
                                <w:rFonts w:hint="eastAsia"/>
                              </w:rPr>
                              <w:t xml:space="preserve">R </w:t>
                            </w:r>
                            <w:r>
                              <w:rPr>
                                <w:rFonts w:ascii="黑体"/>
                              </w:rPr>
                              <w:t>0</w:t>
                            </w:r>
                            <w:r>
                              <w:rPr>
                                <w:rFonts w:hint="eastAsia" w:ascii="黑体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1" o:spid="_x0000_s1026" o:spt="202" type="#_x0000_t202" style="position:absolute;left:0pt;margin-left:0pt;margin-top:0pt;height:51.8pt;width:200pt;mso-position-horizontal-relative:margin;mso-position-vertical-relative:margin;z-index:251659264;mso-width-relative:page;mso-height-relative:page;" fillcolor="#FFFFFF" filled="t" stroked="f" coordsize="21600,21600" o:gfxdata="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zL4NMAAAAFAQAADwAAAAAAAAABACAAAAAi&#10;AAAAZHJzL2Rvd25yZXYueG1sUEsBAhQAFAAAAAgAh07iQHvtPnwPAgAAKwQAAA4AAAAAAAAAAQAg&#10;AAAAIgEAAGRycy9lMm9Eb2MueG1sUEsFBgAAAAAGAAYAWQEAAKM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44"/>
                      </w:pPr>
                      <w:r>
                        <w:t>ICS</w:t>
                      </w:r>
                      <w:r>
                        <w:rPr>
                          <w:rFonts w:hint="eastAsia" w:ascii="黑体" w:hAnsi="黑体"/>
                        </w:rPr>
                        <w:t>××</w:t>
                      </w:r>
                      <w:r>
                        <w:rPr>
                          <w:rFonts w:ascii="黑体"/>
                        </w:rPr>
                        <w:t>.</w:t>
                      </w:r>
                      <w:r>
                        <w:rPr>
                          <w:rFonts w:hint="eastAsia" w:ascii="黑体" w:hAnsi="黑体"/>
                        </w:rPr>
                        <w:t>×××</w:t>
                      </w:r>
                      <w:r>
                        <w:rPr>
                          <w:rFonts w:ascii="黑体"/>
                        </w:rPr>
                        <w:t>.</w:t>
                      </w:r>
                      <w:r>
                        <w:rPr>
                          <w:rFonts w:hint="eastAsia" w:ascii="黑体" w:hAnsi="黑体"/>
                        </w:rPr>
                        <w:t>××</w:t>
                      </w:r>
                    </w:p>
                    <w:p>
                      <w:pPr>
                        <w:pStyle w:val="144"/>
                      </w:pPr>
                      <w:r>
                        <w:rPr>
                          <w:rFonts w:hint="eastAsia"/>
                        </w:rPr>
                        <w:t xml:space="preserve">R </w:t>
                      </w:r>
                      <w:r>
                        <w:rPr>
                          <w:rFonts w:ascii="黑体"/>
                        </w:rPr>
                        <w:t>0</w:t>
                      </w:r>
                      <w:r>
                        <w:rPr>
                          <w:rFonts w:hint="eastAsia" w:ascii="黑体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bookmarkEnd w:id="0"/>
    <w:p>
      <w:pPr>
        <w:pStyle w:val="133"/>
        <w:spacing w:line="420" w:lineRule="exact"/>
        <w:outlineLvl w:val="9"/>
      </w:pPr>
      <w:bookmarkStart w:id="1" w:name="SectionMark2"/>
      <w:r>
        <w:rPr>
          <w:rFonts w:ascii="Times New Roman"/>
        </w:rPr>
        <w:t>目    次</w:t>
      </w: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TOC \o "1-1" \h \z \u </w:instrText>
      </w:r>
      <w:r>
        <w:rPr>
          <w:rFonts w:ascii="Times New Roman"/>
        </w:rPr>
        <w:fldChar w:fldCharType="separate"/>
      </w:r>
    </w:p>
    <w:p>
      <w:pPr>
        <w:pStyle w:val="19"/>
        <w:rPr>
          <w:rFonts w:hAnsi="宋体" w:cstheme="minorBidi"/>
          <w:kern w:val="2"/>
          <w:szCs w:val="22"/>
        </w:rPr>
      </w:pPr>
      <w:r>
        <w:fldChar w:fldCharType="begin"/>
      </w:r>
      <w:r>
        <w:instrText xml:space="preserve"> HYPERLINK \l "_Toc128836120" </w:instrText>
      </w:r>
      <w:r>
        <w:fldChar w:fldCharType="separate"/>
      </w:r>
      <w:r>
        <w:rPr>
          <w:rStyle w:val="83"/>
          <w:rFonts w:ascii="宋体" w:hAnsi="宋体"/>
        </w:rPr>
        <w:t>1  范围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_Toc128836120 \h </w:instrText>
      </w:r>
      <w:r>
        <w:rPr>
          <w:rFonts w:hAnsi="宋体"/>
        </w:rPr>
        <w:fldChar w:fldCharType="separate"/>
      </w:r>
      <w:r>
        <w:rPr>
          <w:rFonts w:hAnsi="宋体"/>
        </w:rPr>
        <w:t>1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9"/>
        <w:rPr>
          <w:rFonts w:hAnsi="宋体" w:cstheme="minorBidi"/>
          <w:kern w:val="2"/>
          <w:szCs w:val="22"/>
        </w:rPr>
      </w:pPr>
      <w:r>
        <w:fldChar w:fldCharType="begin"/>
      </w:r>
      <w:r>
        <w:instrText xml:space="preserve"> HYPERLINK \l "_Toc128836121" </w:instrText>
      </w:r>
      <w:r>
        <w:fldChar w:fldCharType="separate"/>
      </w:r>
      <w:r>
        <w:rPr>
          <w:rStyle w:val="83"/>
          <w:rFonts w:ascii="宋体" w:hAnsi="宋体"/>
        </w:rPr>
        <w:t>2  规范性引用文件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_Toc128836121 \h </w:instrText>
      </w:r>
      <w:r>
        <w:rPr>
          <w:rFonts w:hAnsi="宋体"/>
        </w:rPr>
        <w:fldChar w:fldCharType="separate"/>
      </w:r>
      <w:r>
        <w:rPr>
          <w:rFonts w:hAnsi="宋体"/>
        </w:rPr>
        <w:t>1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9"/>
        <w:rPr>
          <w:rFonts w:hAnsi="宋体" w:cstheme="minorBidi"/>
          <w:kern w:val="2"/>
          <w:szCs w:val="22"/>
        </w:rPr>
      </w:pPr>
      <w:r>
        <w:fldChar w:fldCharType="begin"/>
      </w:r>
      <w:r>
        <w:instrText xml:space="preserve"> HYPERLINK \l "_Toc128836122" </w:instrText>
      </w:r>
      <w:r>
        <w:fldChar w:fldCharType="separate"/>
      </w:r>
      <w:r>
        <w:rPr>
          <w:rStyle w:val="83"/>
          <w:rFonts w:ascii="宋体" w:hAnsi="宋体"/>
        </w:rPr>
        <w:t>3  术语和定义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_Toc128836122 \h </w:instrText>
      </w:r>
      <w:r>
        <w:rPr>
          <w:rFonts w:hAnsi="宋体"/>
        </w:rPr>
        <w:fldChar w:fldCharType="separate"/>
      </w:r>
      <w:r>
        <w:rPr>
          <w:rFonts w:hAnsi="宋体"/>
        </w:rPr>
        <w:t>1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9"/>
        <w:rPr>
          <w:rFonts w:hAnsi="宋体" w:cstheme="minorBidi"/>
          <w:kern w:val="2"/>
          <w:szCs w:val="22"/>
        </w:rPr>
      </w:pPr>
      <w:r>
        <w:fldChar w:fldCharType="begin"/>
      </w:r>
      <w:r>
        <w:instrText xml:space="preserve"> HYPERLINK \l "_Toc128836123" </w:instrText>
      </w:r>
      <w:r>
        <w:fldChar w:fldCharType="separate"/>
      </w:r>
      <w:r>
        <w:rPr>
          <w:rStyle w:val="83"/>
          <w:rFonts w:ascii="宋体" w:hAnsi="宋体"/>
        </w:rPr>
        <w:t>4  总体要求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_Toc128836123 \h </w:instrText>
      </w:r>
      <w:r>
        <w:rPr>
          <w:rFonts w:hAnsi="宋体"/>
        </w:rPr>
        <w:fldChar w:fldCharType="separate"/>
      </w:r>
      <w:r>
        <w:rPr>
          <w:rFonts w:hAnsi="宋体"/>
        </w:rPr>
        <w:t>1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9"/>
        <w:rPr>
          <w:rFonts w:hAnsi="宋体" w:cstheme="minorBidi"/>
          <w:kern w:val="2"/>
          <w:szCs w:val="22"/>
        </w:rPr>
      </w:pPr>
      <w:r>
        <w:fldChar w:fldCharType="begin"/>
      </w:r>
      <w:r>
        <w:instrText xml:space="preserve"> HYPERLINK \l "_Toc128836124" </w:instrText>
      </w:r>
      <w:r>
        <w:fldChar w:fldCharType="separate"/>
      </w:r>
      <w:r>
        <w:rPr>
          <w:rStyle w:val="83"/>
          <w:rFonts w:ascii="宋体" w:hAnsi="宋体"/>
        </w:rPr>
        <w:t>5  评价指标体系和内容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_Toc128836124 \h </w:instrText>
      </w:r>
      <w:r>
        <w:rPr>
          <w:rFonts w:hAnsi="宋体"/>
        </w:rPr>
        <w:fldChar w:fldCharType="separate"/>
      </w:r>
      <w:r>
        <w:rPr>
          <w:rFonts w:hAnsi="宋体"/>
        </w:rPr>
        <w:t>1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9"/>
        <w:rPr>
          <w:rFonts w:hAnsi="宋体" w:cstheme="minorBidi"/>
          <w:kern w:val="2"/>
          <w:szCs w:val="22"/>
        </w:rPr>
      </w:pPr>
      <w:r>
        <w:fldChar w:fldCharType="begin"/>
      </w:r>
      <w:r>
        <w:instrText xml:space="preserve"> HYPERLINK \l "_Toc128836125" </w:instrText>
      </w:r>
      <w:r>
        <w:fldChar w:fldCharType="separate"/>
      </w:r>
      <w:r>
        <w:rPr>
          <w:rStyle w:val="83"/>
          <w:rFonts w:ascii="宋体" w:hAnsi="宋体"/>
        </w:rPr>
        <w:t>6  评价方法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_Toc128836125 \h </w:instrText>
      </w:r>
      <w:r>
        <w:rPr>
          <w:rFonts w:hAnsi="宋体"/>
        </w:rPr>
        <w:fldChar w:fldCharType="separate"/>
      </w:r>
      <w:r>
        <w:rPr>
          <w:rFonts w:hAnsi="宋体"/>
        </w:rPr>
        <w:t>4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9"/>
        <w:rPr>
          <w:rFonts w:asciiTheme="minorHAnsi" w:hAnsiTheme="minorHAnsi" w:eastAsiaTheme="minorEastAsia" w:cstheme="minorBidi"/>
          <w:bCs/>
          <w:kern w:val="2"/>
          <w:szCs w:val="22"/>
        </w:rPr>
      </w:pPr>
      <w:r>
        <w:rPr>
          <w:rStyle w:val="83"/>
          <w:rFonts w:hint="eastAsia" w:ascii="宋体" w:hAnsi="宋体"/>
          <w:bCs/>
        </w:rPr>
        <w:t>附录A</w:t>
      </w:r>
      <w:r>
        <w:rPr>
          <w:rStyle w:val="83"/>
          <w:rFonts w:ascii="宋体" w:hAnsi="宋体"/>
          <w:bCs/>
        </w:rPr>
        <w:t xml:space="preserve"> </w:t>
      </w:r>
      <w:r>
        <w:rPr>
          <w:rStyle w:val="83"/>
          <w:rFonts w:hint="eastAsia" w:ascii="宋体" w:hAnsi="宋体"/>
          <w:bCs/>
        </w:rPr>
        <w:t>（资料性）</w:t>
      </w:r>
      <w:r>
        <w:fldChar w:fldCharType="begin"/>
      </w:r>
      <w:r>
        <w:instrText xml:space="preserve"> HYPERLINK \l "_Toc128836128" </w:instrText>
      </w:r>
      <w:r>
        <w:fldChar w:fldCharType="separate"/>
      </w:r>
      <w:r>
        <w:rPr>
          <w:rStyle w:val="83"/>
          <w:rFonts w:ascii="宋体" w:hAnsi="宋体"/>
          <w:bCs/>
        </w:rPr>
        <w:t>节水型公园评价技术指标的计算方法</w:t>
      </w:r>
      <w:r>
        <w:rPr>
          <w:rFonts w:hAnsi="宋体"/>
          <w:bCs/>
        </w:rPr>
        <w:tab/>
      </w:r>
      <w:r>
        <w:rPr>
          <w:rFonts w:hAnsi="宋体"/>
          <w:bCs/>
        </w:rPr>
        <w:fldChar w:fldCharType="begin"/>
      </w:r>
      <w:r>
        <w:rPr>
          <w:rFonts w:hAnsi="宋体"/>
          <w:bCs/>
        </w:rPr>
        <w:instrText xml:space="preserve"> PAGEREF _Toc128836128 \h </w:instrText>
      </w:r>
      <w:r>
        <w:rPr>
          <w:rFonts w:hAnsi="宋体"/>
          <w:bCs/>
        </w:rPr>
        <w:fldChar w:fldCharType="separate"/>
      </w:r>
      <w:r>
        <w:rPr>
          <w:rFonts w:hAnsi="宋体"/>
          <w:bCs/>
        </w:rPr>
        <w:t>5</w:t>
      </w:r>
      <w:r>
        <w:rPr>
          <w:rFonts w:hAnsi="宋体"/>
          <w:bCs/>
        </w:rPr>
        <w:fldChar w:fldCharType="end"/>
      </w:r>
      <w:r>
        <w:rPr>
          <w:rFonts w:hAnsi="宋体"/>
          <w:bCs/>
        </w:rPr>
        <w:fldChar w:fldCharType="end"/>
      </w:r>
    </w:p>
    <w:p>
      <w:pPr>
        <w:pStyle w:val="133"/>
        <w:spacing w:line="420" w:lineRule="exact"/>
        <w:rPr>
          <w:rFonts w:ascii="Times New Roman"/>
        </w:rPr>
      </w:pPr>
      <w:r>
        <w:rPr>
          <w:rFonts w:ascii="Times New Roman"/>
        </w:rPr>
        <w:fldChar w:fldCharType="end"/>
      </w:r>
    </w:p>
    <w:p>
      <w:pPr>
        <w:pStyle w:val="103"/>
        <w:ind w:firstLine="420"/>
      </w:pPr>
    </w:p>
    <w:p>
      <w:pPr>
        <w:pStyle w:val="103"/>
        <w:ind w:firstLine="420"/>
      </w:pPr>
    </w:p>
    <w:p>
      <w:pPr>
        <w:pStyle w:val="103"/>
        <w:ind w:firstLine="420"/>
      </w:pPr>
    </w:p>
    <w:p>
      <w:pPr>
        <w:pStyle w:val="103"/>
        <w:ind w:firstLine="420"/>
      </w:pPr>
    </w:p>
    <w:p>
      <w:pPr>
        <w:pStyle w:val="103"/>
        <w:ind w:firstLine="420"/>
      </w:pPr>
    </w:p>
    <w:p>
      <w:pPr>
        <w:pStyle w:val="103"/>
        <w:ind w:firstLine="420"/>
      </w:pPr>
    </w:p>
    <w:p>
      <w:pPr>
        <w:pStyle w:val="103"/>
        <w:ind w:firstLine="420"/>
      </w:pPr>
    </w:p>
    <w:p>
      <w:pPr>
        <w:pStyle w:val="103"/>
        <w:ind w:firstLine="420"/>
      </w:pPr>
    </w:p>
    <w:p>
      <w:pPr>
        <w:pStyle w:val="103"/>
        <w:ind w:firstLine="420"/>
      </w:pPr>
    </w:p>
    <w:p>
      <w:pPr>
        <w:pStyle w:val="103"/>
        <w:ind w:firstLine="420"/>
      </w:pPr>
    </w:p>
    <w:p>
      <w:pPr>
        <w:pStyle w:val="103"/>
        <w:ind w:firstLine="420"/>
      </w:pPr>
    </w:p>
    <w:p>
      <w:pPr>
        <w:pStyle w:val="103"/>
        <w:ind w:firstLine="420"/>
      </w:pPr>
    </w:p>
    <w:p>
      <w:pPr>
        <w:pStyle w:val="103"/>
        <w:ind w:firstLine="420"/>
      </w:pPr>
    </w:p>
    <w:p>
      <w:pPr>
        <w:pStyle w:val="103"/>
        <w:ind w:firstLine="420"/>
      </w:pPr>
    </w:p>
    <w:p>
      <w:pPr>
        <w:pStyle w:val="103"/>
        <w:ind w:firstLine="420"/>
      </w:pPr>
    </w:p>
    <w:p>
      <w:pPr>
        <w:pStyle w:val="103"/>
        <w:ind w:firstLine="420"/>
      </w:pPr>
    </w:p>
    <w:p>
      <w:pPr>
        <w:pStyle w:val="103"/>
        <w:ind w:firstLine="420"/>
      </w:pPr>
    </w:p>
    <w:p>
      <w:pPr>
        <w:tabs>
          <w:tab w:val="left" w:pos="7621"/>
        </w:tabs>
        <w:spacing w:before="101" w:line="225" w:lineRule="auto"/>
        <w:ind w:left="4115"/>
        <w:rPr>
          <w:rFonts w:ascii="黑体" w:hAnsi="黑体" w:eastAsia="黑体" w:cs="黑体"/>
          <w:spacing w:val="7"/>
          <w:sz w:val="31"/>
          <w:szCs w:val="31"/>
        </w:rPr>
      </w:pPr>
    </w:p>
    <w:p>
      <w:pPr>
        <w:tabs>
          <w:tab w:val="left" w:pos="7621"/>
        </w:tabs>
        <w:spacing w:before="101" w:line="225" w:lineRule="auto"/>
        <w:ind w:left="4115"/>
        <w:rPr>
          <w:rFonts w:ascii="黑体" w:hAnsi="黑体" w:eastAsia="黑体" w:cs="黑体"/>
          <w:spacing w:val="7"/>
          <w:sz w:val="31"/>
          <w:szCs w:val="31"/>
        </w:rPr>
      </w:pPr>
    </w:p>
    <w:p>
      <w:pPr>
        <w:tabs>
          <w:tab w:val="left" w:pos="7621"/>
        </w:tabs>
        <w:spacing w:before="101" w:line="225" w:lineRule="auto"/>
        <w:ind w:left="4115"/>
        <w:rPr>
          <w:rFonts w:ascii="黑体" w:hAnsi="黑体" w:eastAsia="黑体" w:cs="黑体"/>
          <w:spacing w:val="7"/>
          <w:sz w:val="31"/>
          <w:szCs w:val="31"/>
        </w:rPr>
      </w:pPr>
    </w:p>
    <w:p>
      <w:pPr>
        <w:tabs>
          <w:tab w:val="left" w:pos="7621"/>
        </w:tabs>
        <w:spacing w:before="101" w:line="225" w:lineRule="auto"/>
        <w:ind w:left="4115"/>
        <w:rPr>
          <w:rFonts w:ascii="黑体" w:hAnsi="黑体" w:eastAsia="黑体" w:cs="黑体"/>
          <w:spacing w:val="7"/>
          <w:sz w:val="31"/>
          <w:szCs w:val="31"/>
        </w:rPr>
      </w:pPr>
    </w:p>
    <w:p>
      <w:pPr>
        <w:tabs>
          <w:tab w:val="left" w:pos="7621"/>
        </w:tabs>
        <w:spacing w:before="101" w:line="225" w:lineRule="auto"/>
        <w:ind w:left="4115"/>
        <w:rPr>
          <w:rFonts w:ascii="黑体" w:hAnsi="黑体" w:eastAsia="黑体" w:cs="黑体"/>
          <w:spacing w:val="7"/>
          <w:sz w:val="31"/>
          <w:szCs w:val="31"/>
        </w:rPr>
      </w:pPr>
      <w:r>
        <w:rPr>
          <w:rFonts w:hint="eastAsia" w:ascii="黑体" w:hAnsi="黑体" w:eastAsia="黑体" w:cs="黑体"/>
          <w:spacing w:val="7"/>
          <w:sz w:val="31"/>
          <w:szCs w:val="31"/>
        </w:rPr>
        <w:tab/>
      </w:r>
    </w:p>
    <w:p>
      <w:pPr>
        <w:spacing w:before="101" w:line="225" w:lineRule="auto"/>
        <w:ind w:left="411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前    言</w:t>
      </w:r>
    </w:p>
    <w:p>
      <w:pPr>
        <w:spacing w:line="313" w:lineRule="auto"/>
        <w:rPr>
          <w:rFonts w:ascii="Arial"/>
        </w:rPr>
      </w:pPr>
    </w:p>
    <w:p>
      <w:pPr>
        <w:spacing w:before="68"/>
        <w:ind w:left="6" w:right="112" w:firstLine="415"/>
        <w:rPr>
          <w:rFonts w:ascii="宋体" w:hAnsi="宋体" w:cs="宋体"/>
          <w:szCs w:val="21"/>
        </w:rPr>
      </w:pPr>
      <w:r>
        <w:rPr>
          <w:rFonts w:ascii="宋体" w:hAnsi="宋体" w:cs="宋体"/>
          <w:spacing w:val="-6"/>
          <w:szCs w:val="21"/>
        </w:rPr>
        <w:t>本文件按照</w:t>
      </w:r>
      <w:r>
        <w:rPr>
          <w:rFonts w:ascii="宋体" w:hAnsi="宋体" w:cs="宋体"/>
          <w:spacing w:val="-3"/>
          <w:szCs w:val="21"/>
        </w:rPr>
        <w:t>GB</w:t>
      </w:r>
      <w:r>
        <w:rPr>
          <w:rFonts w:ascii="宋体" w:hAnsi="宋体" w:cs="宋体"/>
          <w:spacing w:val="-6"/>
          <w:szCs w:val="21"/>
        </w:rPr>
        <w:t>/</w:t>
      </w:r>
      <w:r>
        <w:rPr>
          <w:rFonts w:ascii="宋体" w:hAnsi="宋体" w:cs="宋体"/>
          <w:spacing w:val="-3"/>
          <w:szCs w:val="21"/>
        </w:rPr>
        <w:t>T</w:t>
      </w:r>
      <w:r>
        <w:rPr>
          <w:rFonts w:ascii="宋体" w:hAnsi="宋体" w:cs="宋体"/>
          <w:spacing w:val="-6"/>
          <w:szCs w:val="21"/>
        </w:rPr>
        <w:t xml:space="preserve"> 1</w:t>
      </w:r>
      <w:r>
        <w:rPr>
          <w:rFonts w:ascii="宋体" w:hAnsi="宋体" w:cs="宋体"/>
          <w:spacing w:val="-5"/>
          <w:szCs w:val="21"/>
        </w:rPr>
        <w:t>.</w:t>
      </w:r>
      <w:r>
        <w:rPr>
          <w:rFonts w:ascii="宋体" w:hAnsi="宋体" w:cs="宋体"/>
          <w:spacing w:val="-3"/>
          <w:szCs w:val="21"/>
        </w:rPr>
        <w:t>1—2020 《标准化工作导则  第1部分：标准化文件的结构和起草规则》的规</w:t>
      </w:r>
      <w:r>
        <w:rPr>
          <w:rFonts w:ascii="宋体" w:hAnsi="宋体" w:cs="宋体"/>
          <w:szCs w:val="21"/>
        </w:rPr>
        <w:t xml:space="preserve"> </w:t>
      </w:r>
      <w:r>
        <w:rPr>
          <w:rFonts w:ascii="宋体" w:hAnsi="宋体" w:cs="宋体"/>
          <w:spacing w:val="-4"/>
          <w:szCs w:val="21"/>
        </w:rPr>
        <w:t>定</w:t>
      </w:r>
      <w:r>
        <w:rPr>
          <w:rFonts w:ascii="宋体" w:hAnsi="宋体" w:cs="宋体"/>
          <w:spacing w:val="-2"/>
          <w:szCs w:val="21"/>
        </w:rPr>
        <w:t>起草。</w:t>
      </w:r>
    </w:p>
    <w:p>
      <w:pPr>
        <w:ind w:left="417"/>
        <w:rPr>
          <w:rFonts w:ascii="宋体" w:hAnsi="宋体" w:cs="宋体"/>
          <w:szCs w:val="21"/>
        </w:rPr>
      </w:pPr>
      <w:r>
        <w:rPr>
          <w:rFonts w:ascii="宋体" w:hAnsi="宋体" w:cs="宋体"/>
          <w:spacing w:val="-3"/>
          <w:szCs w:val="21"/>
        </w:rPr>
        <w:t>DB</w:t>
      </w:r>
      <w:r>
        <w:rPr>
          <w:rFonts w:ascii="宋体" w:hAnsi="宋体" w:cs="宋体"/>
          <w:spacing w:val="-6"/>
          <w:szCs w:val="21"/>
        </w:rPr>
        <w:t>13/</w:t>
      </w:r>
      <w:r>
        <w:rPr>
          <w:rFonts w:ascii="宋体" w:hAnsi="宋体" w:cs="宋体"/>
          <w:spacing w:val="-3"/>
          <w:szCs w:val="21"/>
        </w:rPr>
        <w:t>T 5652《节水型单位评价导则》为系列标准， 目前已确定的部分包括：</w:t>
      </w:r>
    </w:p>
    <w:p>
      <w:pPr>
        <w:spacing w:before="22"/>
        <w:ind w:left="420"/>
        <w:rPr>
          <w:rFonts w:ascii="宋体" w:hAnsi="宋体" w:cs="宋体"/>
          <w:szCs w:val="21"/>
        </w:rPr>
      </w:pPr>
      <w:r>
        <w:rPr>
          <w:rFonts w:ascii="宋体" w:hAnsi="宋体" w:cs="宋体"/>
          <w:spacing w:val="-10"/>
          <w:szCs w:val="21"/>
        </w:rPr>
        <w:t>——第1部分： 通则</w:t>
      </w:r>
      <w:r>
        <w:rPr>
          <w:rFonts w:ascii="宋体" w:hAnsi="宋体" w:cs="宋体"/>
          <w:spacing w:val="-9"/>
          <w:szCs w:val="21"/>
        </w:rPr>
        <w:t>；</w:t>
      </w:r>
    </w:p>
    <w:p>
      <w:pPr>
        <w:spacing w:before="19"/>
        <w:ind w:left="420"/>
        <w:rPr>
          <w:rFonts w:ascii="宋体" w:hAnsi="宋体" w:cs="宋体"/>
          <w:szCs w:val="21"/>
        </w:rPr>
      </w:pPr>
      <w:r>
        <w:rPr>
          <w:rFonts w:ascii="宋体" w:hAnsi="宋体" w:cs="宋体"/>
          <w:spacing w:val="-9"/>
          <w:szCs w:val="21"/>
        </w:rPr>
        <w:t>——第2部分： 高速公路服务区</w:t>
      </w:r>
      <w:r>
        <w:rPr>
          <w:rFonts w:ascii="宋体" w:hAnsi="宋体" w:cs="宋体"/>
          <w:spacing w:val="-7"/>
          <w:szCs w:val="21"/>
        </w:rPr>
        <w:t>；</w:t>
      </w:r>
    </w:p>
    <w:p>
      <w:pPr>
        <w:ind w:left="420"/>
        <w:rPr>
          <w:rFonts w:ascii="宋体" w:hAnsi="宋体" w:cs="宋体"/>
          <w:szCs w:val="21"/>
        </w:rPr>
      </w:pPr>
      <w:r>
        <w:rPr>
          <w:rFonts w:ascii="宋体" w:hAnsi="宋体" w:cs="宋体"/>
          <w:spacing w:val="-10"/>
          <w:szCs w:val="21"/>
        </w:rPr>
        <w:t>——第3部分： 宾馆</w:t>
      </w:r>
      <w:r>
        <w:rPr>
          <w:rFonts w:ascii="宋体" w:hAnsi="宋体" w:cs="宋体"/>
          <w:spacing w:val="-9"/>
          <w:szCs w:val="21"/>
        </w:rPr>
        <w:t>；</w:t>
      </w:r>
    </w:p>
    <w:p>
      <w:pPr>
        <w:spacing w:before="20"/>
        <w:ind w:left="420"/>
        <w:rPr>
          <w:rFonts w:ascii="宋体" w:hAnsi="宋体" w:cs="宋体"/>
          <w:szCs w:val="21"/>
        </w:rPr>
      </w:pPr>
      <w:r>
        <w:rPr>
          <w:rFonts w:ascii="宋体" w:hAnsi="宋体" w:cs="宋体"/>
          <w:spacing w:val="-10"/>
          <w:szCs w:val="21"/>
        </w:rPr>
        <w:t>——第4部分： 医院</w:t>
      </w:r>
      <w:r>
        <w:rPr>
          <w:rFonts w:ascii="宋体" w:hAnsi="宋体" w:cs="宋体"/>
          <w:spacing w:val="-9"/>
          <w:szCs w:val="21"/>
        </w:rPr>
        <w:t>；</w:t>
      </w:r>
    </w:p>
    <w:p>
      <w:pPr>
        <w:spacing w:before="1"/>
        <w:ind w:left="420"/>
        <w:rPr>
          <w:rFonts w:ascii="宋体" w:hAnsi="宋体" w:cs="宋体"/>
          <w:szCs w:val="21"/>
        </w:rPr>
      </w:pPr>
      <w:r>
        <w:rPr>
          <w:rFonts w:ascii="宋体" w:hAnsi="宋体" w:cs="宋体"/>
          <w:spacing w:val="-10"/>
          <w:szCs w:val="21"/>
        </w:rPr>
        <w:t>——第5部分： 车站</w:t>
      </w:r>
      <w:r>
        <w:rPr>
          <w:rFonts w:ascii="宋体" w:hAnsi="宋体" w:cs="宋体"/>
          <w:spacing w:val="-9"/>
          <w:szCs w:val="21"/>
        </w:rPr>
        <w:t>；</w:t>
      </w:r>
    </w:p>
    <w:p>
      <w:pPr>
        <w:spacing w:before="20"/>
        <w:ind w:left="420"/>
        <w:rPr>
          <w:rFonts w:ascii="宋体" w:hAnsi="宋体" w:cs="宋体"/>
          <w:szCs w:val="21"/>
        </w:rPr>
      </w:pPr>
      <w:r>
        <w:rPr>
          <w:rFonts w:ascii="宋体" w:hAnsi="宋体" w:cs="宋体"/>
          <w:spacing w:val="-10"/>
          <w:szCs w:val="21"/>
        </w:rPr>
        <w:t>——第6部分： 商场</w:t>
      </w:r>
      <w:r>
        <w:rPr>
          <w:rFonts w:ascii="宋体" w:hAnsi="宋体" w:cs="宋体"/>
          <w:spacing w:val="-9"/>
          <w:szCs w:val="21"/>
        </w:rPr>
        <w:t>；</w:t>
      </w:r>
    </w:p>
    <w:p>
      <w:pPr>
        <w:spacing w:before="22"/>
        <w:ind w:left="420"/>
        <w:rPr>
          <w:rFonts w:ascii="宋体" w:hAnsi="宋体" w:cs="宋体"/>
          <w:szCs w:val="21"/>
        </w:rPr>
      </w:pPr>
      <w:r>
        <w:rPr>
          <w:rFonts w:ascii="宋体" w:hAnsi="宋体" w:cs="宋体"/>
          <w:spacing w:val="-13"/>
          <w:szCs w:val="21"/>
        </w:rPr>
        <w:t>—</w:t>
      </w:r>
      <w:r>
        <w:rPr>
          <w:rFonts w:ascii="宋体" w:hAnsi="宋体" w:cs="宋体"/>
          <w:spacing w:val="-8"/>
          <w:szCs w:val="21"/>
        </w:rPr>
        <w:t>—第7部分： 洗浴中心；</w:t>
      </w:r>
    </w:p>
    <w:p>
      <w:pPr>
        <w:spacing w:before="20"/>
        <w:ind w:left="420"/>
        <w:rPr>
          <w:rFonts w:ascii="宋体" w:hAnsi="宋体" w:cs="宋体"/>
          <w:szCs w:val="21"/>
        </w:rPr>
      </w:pPr>
      <w:r>
        <w:rPr>
          <w:rFonts w:ascii="宋体" w:hAnsi="宋体" w:cs="宋体"/>
          <w:spacing w:val="-10"/>
          <w:szCs w:val="21"/>
        </w:rPr>
        <w:t>——第</w:t>
      </w:r>
      <w:r>
        <w:rPr>
          <w:rFonts w:hint="eastAsia" w:ascii="宋体" w:hAnsi="宋体" w:cs="宋体"/>
          <w:spacing w:val="-10"/>
          <w:szCs w:val="21"/>
        </w:rPr>
        <w:t>8</w:t>
      </w:r>
      <w:r>
        <w:rPr>
          <w:rFonts w:ascii="宋体" w:hAnsi="宋体" w:cs="宋体"/>
          <w:spacing w:val="-10"/>
          <w:szCs w:val="21"/>
        </w:rPr>
        <w:t>部分： 公园</w:t>
      </w:r>
      <w:r>
        <w:rPr>
          <w:rFonts w:ascii="宋体" w:hAnsi="宋体" w:cs="宋体"/>
          <w:spacing w:val="-9"/>
          <w:szCs w:val="21"/>
        </w:rPr>
        <w:t>。</w:t>
      </w:r>
    </w:p>
    <w:p>
      <w:pPr>
        <w:spacing w:before="20"/>
        <w:ind w:left="422"/>
        <w:rPr>
          <w:rFonts w:ascii="宋体" w:hAnsi="宋体" w:cs="宋体"/>
          <w:szCs w:val="21"/>
        </w:rPr>
      </w:pPr>
      <w:r>
        <w:rPr>
          <w:rFonts w:ascii="宋体" w:hAnsi="宋体" w:cs="宋体"/>
          <w:spacing w:val="-1"/>
          <w:szCs w:val="21"/>
        </w:rPr>
        <w:t>本文件为</w:t>
      </w:r>
      <w:r>
        <w:rPr>
          <w:rFonts w:ascii="宋体" w:hAnsi="宋体" w:cs="宋体"/>
          <w:szCs w:val="21"/>
        </w:rPr>
        <w:t>DB</w:t>
      </w:r>
      <w:r>
        <w:rPr>
          <w:rFonts w:ascii="宋体" w:hAnsi="宋体" w:cs="宋体"/>
          <w:spacing w:val="-1"/>
          <w:szCs w:val="21"/>
        </w:rPr>
        <w:t>13/</w:t>
      </w:r>
      <w:r>
        <w:rPr>
          <w:rFonts w:ascii="宋体" w:hAnsi="宋体" w:cs="宋体"/>
          <w:szCs w:val="21"/>
        </w:rPr>
        <w:t>T 5652的第</w:t>
      </w:r>
      <w:r>
        <w:rPr>
          <w:rFonts w:hint="eastAsia" w:ascii="宋体" w:hAnsi="宋体" w:cs="宋体"/>
          <w:szCs w:val="21"/>
        </w:rPr>
        <w:t>8</w:t>
      </w:r>
      <w:r>
        <w:rPr>
          <w:rFonts w:ascii="宋体" w:hAnsi="宋体" w:cs="宋体"/>
          <w:szCs w:val="21"/>
        </w:rPr>
        <w:t>部分。</w:t>
      </w:r>
    </w:p>
    <w:p>
      <w:pPr>
        <w:spacing w:before="1"/>
        <w:ind w:left="422"/>
        <w:rPr>
          <w:rFonts w:ascii="宋体" w:hAnsi="宋体" w:cs="宋体"/>
          <w:szCs w:val="21"/>
        </w:rPr>
      </w:pPr>
      <w:r>
        <w:rPr>
          <w:rFonts w:ascii="宋体" w:hAnsi="宋体" w:cs="宋体"/>
          <w:spacing w:val="-2"/>
          <w:szCs w:val="21"/>
        </w:rPr>
        <w:t>本文件由</w:t>
      </w:r>
      <w:r>
        <w:rPr>
          <w:rFonts w:ascii="宋体" w:hAnsi="宋体" w:cs="宋体"/>
          <w:spacing w:val="-1"/>
          <w:szCs w:val="21"/>
        </w:rPr>
        <w:t>河北省水利厅提出并归口。</w:t>
      </w:r>
    </w:p>
    <w:p>
      <w:pPr>
        <w:ind w:left="6" w:right="113" w:firstLine="414"/>
        <w:rPr>
          <w:rFonts w:ascii="宋体" w:hAnsi="宋体" w:cs="宋体"/>
          <w:spacing w:val="-6"/>
          <w:szCs w:val="21"/>
        </w:rPr>
      </w:pPr>
      <w:r>
        <w:rPr>
          <w:rFonts w:ascii="宋体" w:hAnsi="宋体" w:cs="宋体"/>
          <w:spacing w:val="-6"/>
          <w:szCs w:val="21"/>
        </w:rPr>
        <w:t>本文件起草单位：</w:t>
      </w:r>
      <w:r>
        <w:rPr>
          <w:rFonts w:hint="eastAsia" w:ascii="宋体" w:hAnsi="宋体" w:cs="宋体"/>
          <w:spacing w:val="-6"/>
          <w:szCs w:val="21"/>
        </w:rPr>
        <w:t>××××××   ××××××。</w:t>
      </w:r>
    </w:p>
    <w:p>
      <w:pPr>
        <w:ind w:left="6" w:right="113" w:firstLine="414"/>
        <w:rPr>
          <w:rFonts w:ascii="宋体" w:hAnsi="宋体" w:cs="宋体"/>
          <w:spacing w:val="-6"/>
          <w:szCs w:val="21"/>
        </w:rPr>
      </w:pPr>
      <w:r>
        <w:rPr>
          <w:rFonts w:ascii="宋体" w:hAnsi="宋体" w:cs="宋体"/>
          <w:spacing w:val="-6"/>
          <w:szCs w:val="21"/>
        </w:rPr>
        <w:t xml:space="preserve">本文件主要起草人： </w:t>
      </w:r>
      <w:r>
        <w:rPr>
          <w:rFonts w:hint="eastAsia" w:ascii="宋体" w:hAnsi="宋体" w:cs="宋体"/>
          <w:spacing w:val="-6"/>
          <w:szCs w:val="21"/>
        </w:rPr>
        <w:t>××× ××× ××× ××× ××× ××× ××× ××× ××× ××× ××× ×××</w:t>
      </w:r>
      <w:r>
        <w:rPr>
          <w:rFonts w:ascii="宋体" w:hAnsi="宋体" w:cs="宋体"/>
          <w:spacing w:val="-6"/>
          <w:szCs w:val="21"/>
        </w:rPr>
        <w:t>。</w:t>
      </w:r>
    </w:p>
    <w:p>
      <w:pPr>
        <w:spacing w:before="68" w:line="239" w:lineRule="auto"/>
        <w:ind w:left="6" w:right="112" w:firstLine="415"/>
        <w:sectPr>
          <w:headerReference r:id="rId7" w:type="default"/>
          <w:pgSz w:w="11907" w:h="16841"/>
          <w:pgMar w:top="1659" w:right="1301" w:bottom="1309" w:left="1425" w:header="1448" w:footer="1130" w:gutter="0"/>
          <w:pgNumType w:fmt="upperRoman" w:start="1"/>
          <w:cols w:space="720" w:num="1"/>
        </w:sectPr>
      </w:pPr>
    </w:p>
    <w:bookmarkEnd w:id="1"/>
    <w:p>
      <w:pPr>
        <w:spacing w:before="360" w:after="120" w:line="440" w:lineRule="exact"/>
        <w:jc w:val="center"/>
        <w:rPr>
          <w:rFonts w:ascii="黑体" w:eastAsia="黑体"/>
          <w:sz w:val="32"/>
          <w:szCs w:val="28"/>
        </w:rPr>
      </w:pPr>
      <w:bookmarkStart w:id="2" w:name="SectionMark4"/>
      <w:r>
        <w:rPr>
          <w:rFonts w:hint="eastAsia" w:ascii="黑体" w:eastAsia="黑体"/>
          <w:sz w:val="32"/>
          <w:szCs w:val="28"/>
        </w:rPr>
        <w:t>节水型单位</w:t>
      </w:r>
      <w:r>
        <w:rPr>
          <w:rFonts w:ascii="黑体" w:eastAsia="黑体"/>
          <w:sz w:val="32"/>
          <w:szCs w:val="28"/>
        </w:rPr>
        <w:t>评价</w:t>
      </w:r>
      <w:r>
        <w:rPr>
          <w:rFonts w:hint="eastAsia" w:ascii="黑体" w:eastAsia="黑体"/>
          <w:sz w:val="32"/>
          <w:szCs w:val="28"/>
        </w:rPr>
        <w:t>导则 第8部分</w:t>
      </w:r>
      <w:r>
        <w:rPr>
          <w:rFonts w:ascii="黑体" w:eastAsia="黑体"/>
          <w:sz w:val="32"/>
          <w:szCs w:val="28"/>
        </w:rPr>
        <w:t>：</w:t>
      </w:r>
      <w:r>
        <w:rPr>
          <w:rFonts w:hint="eastAsia" w:ascii="黑体" w:eastAsia="黑体"/>
          <w:sz w:val="32"/>
          <w:szCs w:val="28"/>
        </w:rPr>
        <w:t>公园</w:t>
      </w:r>
    </w:p>
    <w:p>
      <w:pPr>
        <w:pStyle w:val="3"/>
        <w:spacing w:before="156" w:beforeLines="50" w:after="156" w:afterLines="50" w:line="440" w:lineRule="exact"/>
        <w:rPr>
          <w:rFonts w:ascii="黑体" w:eastAsia="黑体"/>
          <w:b w:val="0"/>
          <w:kern w:val="0"/>
          <w:sz w:val="21"/>
          <w:szCs w:val="24"/>
        </w:rPr>
      </w:pPr>
      <w:bookmarkStart w:id="3" w:name="_Toc158083342"/>
      <w:bookmarkStart w:id="4" w:name="_Toc112836102"/>
      <w:bookmarkStart w:id="5" w:name="_Toc128836120"/>
      <w:r>
        <w:rPr>
          <w:rFonts w:hint="eastAsia" w:ascii="黑体" w:eastAsia="黑体"/>
          <w:b w:val="0"/>
          <w:kern w:val="0"/>
          <w:sz w:val="21"/>
          <w:szCs w:val="24"/>
        </w:rPr>
        <w:t>1  范围</w:t>
      </w:r>
      <w:bookmarkEnd w:id="3"/>
      <w:bookmarkEnd w:id="4"/>
      <w:bookmarkEnd w:id="5"/>
    </w:p>
    <w:p>
      <w:pPr>
        <w:ind w:firstLine="420" w:firstLineChars="200"/>
        <w:rPr>
          <w:rFonts w:ascii="宋体" w:hAnsi="宋体" w:cs="宋体"/>
        </w:rPr>
      </w:pPr>
      <w:bookmarkStart w:id="6" w:name="_Toc158083343"/>
      <w:r>
        <w:rPr>
          <w:rFonts w:hint="eastAsia" w:ascii="宋体" w:hAnsi="宋体" w:cs="宋体"/>
        </w:rPr>
        <w:t>本文件规定了节水型公园评价的总体要求、评价指标体系及评分细则、评价方法。</w:t>
      </w:r>
    </w:p>
    <w:p>
      <w:pPr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本文件适用于城市公园的节水评价工作，包括综合公园、专类公园、社区公园、游园等，其他类型公园可参照执行。</w:t>
      </w:r>
    </w:p>
    <w:p>
      <w:pPr>
        <w:pStyle w:val="3"/>
        <w:spacing w:before="156" w:beforeLines="50" w:after="156" w:afterLines="50" w:line="440" w:lineRule="exact"/>
        <w:rPr>
          <w:rFonts w:ascii="黑体" w:eastAsia="黑体"/>
          <w:b w:val="0"/>
          <w:kern w:val="0"/>
          <w:sz w:val="21"/>
          <w:szCs w:val="24"/>
        </w:rPr>
      </w:pPr>
      <w:bookmarkStart w:id="7" w:name="_Toc128836121"/>
      <w:bookmarkStart w:id="8" w:name="_Toc112836103"/>
      <w:r>
        <w:rPr>
          <w:rFonts w:hint="eastAsia" w:ascii="黑体" w:eastAsia="黑体"/>
          <w:b w:val="0"/>
          <w:kern w:val="0"/>
          <w:sz w:val="21"/>
          <w:szCs w:val="24"/>
        </w:rPr>
        <w:t>2  规范性引用文件</w:t>
      </w:r>
      <w:bookmarkEnd w:id="6"/>
      <w:bookmarkEnd w:id="7"/>
      <w:bookmarkEnd w:id="8"/>
    </w:p>
    <w:p>
      <w:pPr>
        <w:ind w:firstLine="420" w:firstLineChars="200"/>
      </w:pPr>
      <w:r>
        <w:rPr>
          <w:rFonts w:hint="eastAsia"/>
          <w:szCs w:val="21"/>
        </w:rPr>
        <w:t>下列文件中</w:t>
      </w:r>
      <w:r>
        <w:rPr>
          <w:szCs w:val="21"/>
        </w:rPr>
        <w:t>的内容通过文中的规范性引用而构成本文件必不可少的条款。其中</w:t>
      </w:r>
      <w:r>
        <w:rPr>
          <w:rFonts w:hint="eastAsia"/>
          <w:szCs w:val="21"/>
        </w:rPr>
        <w:t>，</w:t>
      </w:r>
      <w:r>
        <w:rPr>
          <w:szCs w:val="21"/>
        </w:rPr>
        <w:t>注日期的引用文件，仅</w:t>
      </w:r>
      <w:r>
        <w:rPr>
          <w:rFonts w:hint="eastAsia"/>
          <w:szCs w:val="21"/>
        </w:rPr>
        <w:t>该日期对应的版本适用于本文件</w:t>
      </w:r>
      <w:r>
        <w:rPr>
          <w:szCs w:val="21"/>
        </w:rPr>
        <w:t>；</w:t>
      </w:r>
      <w:r>
        <w:rPr>
          <w:rFonts w:hint="eastAsia"/>
          <w:szCs w:val="21"/>
        </w:rPr>
        <w:t>不注日期的引用文件，其最新版本（包括所有的修改单）适用于本文件。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GB/T 12452</w:t>
      </w:r>
      <w:r>
        <w:rPr>
          <w:rFonts w:ascii="宋体" w:hAnsi="宋体"/>
        </w:rPr>
        <w:t xml:space="preserve">  </w:t>
      </w:r>
      <w:r>
        <w:rPr>
          <w:rFonts w:hint="eastAsia" w:ascii="宋体" w:hAnsi="宋体"/>
        </w:rPr>
        <w:t>水平衡</w:t>
      </w:r>
      <w:r>
        <w:rPr>
          <w:rFonts w:ascii="宋体" w:hAnsi="宋体"/>
        </w:rPr>
        <w:t>测试通则</w:t>
      </w:r>
    </w:p>
    <w:p>
      <w:pPr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GB/T 18870  节水型产品通用技术条件</w:t>
      </w:r>
    </w:p>
    <w:p>
      <w:pPr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GB/T 21534  节约用水 术语</w:t>
      </w:r>
    </w:p>
    <w:p>
      <w:pPr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GB/T 24789  用水单位水计量器具配备和管理通则</w:t>
      </w:r>
    </w:p>
    <w:p>
      <w:pPr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GB/T 31436  节水型卫生洁具</w:t>
      </w:r>
    </w:p>
    <w:p>
      <w:pPr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  <w:szCs w:val="21"/>
        </w:rPr>
        <w:t>GB/T 38802</w:t>
      </w:r>
      <w:r>
        <w:rPr>
          <w:rFonts w:ascii="宋体" w:hAnsi="宋体" w:cs="宋体"/>
        </w:rPr>
        <w:t xml:space="preserve">  </w:t>
      </w:r>
      <w:r>
        <w:rPr>
          <w:rFonts w:hint="eastAsia" w:ascii="宋体" w:hAnsi="宋体" w:cs="宋体"/>
        </w:rPr>
        <w:t>游泳场所节水管理规范</w:t>
      </w:r>
    </w:p>
    <w:p>
      <w:pPr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GB</w:t>
      </w:r>
      <w:r>
        <w:rPr>
          <w:rFonts w:ascii="宋体" w:hAnsi="宋体" w:cs="宋体"/>
        </w:rPr>
        <w:t xml:space="preserve"> </w:t>
      </w:r>
      <w:r>
        <w:rPr>
          <w:rFonts w:hint="eastAsia" w:ascii="宋体" w:hAnsi="宋体" w:cs="宋体"/>
        </w:rPr>
        <w:t>51192  公园设计规范</w:t>
      </w:r>
    </w:p>
    <w:p>
      <w:pPr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DB13/T 5450.2  生活与服务业用水定额 第2部分：服务业</w:t>
      </w:r>
    </w:p>
    <w:p>
      <w:pPr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DB13/T 5652.1  节水型单位评价导则 第1部分： 通则</w:t>
      </w:r>
    </w:p>
    <w:p>
      <w:pPr>
        <w:pStyle w:val="3"/>
        <w:spacing w:before="156" w:beforeLines="50" w:after="156" w:afterLines="50" w:line="440" w:lineRule="exact"/>
        <w:rPr>
          <w:rFonts w:ascii="黑体" w:eastAsia="黑体"/>
          <w:b w:val="0"/>
          <w:kern w:val="0"/>
          <w:sz w:val="21"/>
          <w:szCs w:val="24"/>
        </w:rPr>
      </w:pPr>
      <w:bookmarkStart w:id="9" w:name="_Toc128836122"/>
      <w:bookmarkStart w:id="10" w:name="_Toc112836104"/>
      <w:r>
        <w:rPr>
          <w:rFonts w:hint="eastAsia" w:ascii="黑体" w:eastAsia="黑体"/>
          <w:b w:val="0"/>
          <w:kern w:val="0"/>
          <w:sz w:val="21"/>
          <w:szCs w:val="24"/>
        </w:rPr>
        <w:t>3  术语和定义</w:t>
      </w:r>
      <w:bookmarkEnd w:id="9"/>
      <w:bookmarkEnd w:id="10"/>
    </w:p>
    <w:p>
      <w:pPr>
        <w:ind w:left="363"/>
        <w:rPr>
          <w:rFonts w:ascii="宋体" w:hAnsi="宋体" w:cs="宋体"/>
        </w:rPr>
      </w:pPr>
      <w:r>
        <w:rPr>
          <w:rFonts w:hint="eastAsia" w:ascii="宋体" w:hAnsi="宋体" w:cs="宋体"/>
        </w:rPr>
        <w:t>GB/T 21534、GB 51192、DB13/T 5652.1界定的术语和定义适用于本文件。</w:t>
      </w:r>
    </w:p>
    <w:p>
      <w:pPr>
        <w:pStyle w:val="3"/>
        <w:spacing w:before="156" w:beforeLines="50" w:after="156" w:afterLines="50" w:line="460" w:lineRule="exact"/>
        <w:rPr>
          <w:rFonts w:ascii="黑体" w:eastAsia="黑体"/>
          <w:b w:val="0"/>
          <w:kern w:val="0"/>
          <w:sz w:val="21"/>
          <w:szCs w:val="24"/>
        </w:rPr>
      </w:pPr>
      <w:bookmarkStart w:id="11" w:name="_Toc112836105"/>
      <w:bookmarkStart w:id="12" w:name="_Toc109900069"/>
      <w:bookmarkStart w:id="13" w:name="_Toc128836123"/>
      <w:r>
        <w:rPr>
          <w:rFonts w:hint="eastAsia" w:ascii="黑体" w:eastAsia="黑体"/>
          <w:b w:val="0"/>
          <w:kern w:val="0"/>
          <w:sz w:val="21"/>
          <w:szCs w:val="24"/>
        </w:rPr>
        <w:t>4  总体要求</w:t>
      </w:r>
      <w:bookmarkEnd w:id="11"/>
      <w:bookmarkEnd w:id="12"/>
      <w:bookmarkEnd w:id="13"/>
    </w:p>
    <w:p>
      <w:r>
        <w:rPr>
          <w:rFonts w:hint="eastAsia" w:ascii="黑体" w:eastAsia="黑体"/>
        </w:rPr>
        <w:t>4.1</w:t>
      </w:r>
      <w:r>
        <w:rPr>
          <w:rFonts w:hint="eastAsia" w:ascii="黑体" w:eastAsia="黑体"/>
          <w:b/>
          <w:bCs/>
        </w:rPr>
        <w:t xml:space="preserve"> </w:t>
      </w:r>
      <w:r>
        <w:rPr>
          <w:rFonts w:hint="eastAsia" w:ascii="黑体" w:eastAsia="黑体"/>
        </w:rPr>
        <w:t xml:space="preserve"> </w:t>
      </w:r>
      <w:r>
        <w:rPr>
          <w:rFonts w:ascii="宋体" w:hAnsi="宋体" w:cs="宋体"/>
          <w:spacing w:val="-4"/>
          <w:szCs w:val="21"/>
        </w:rPr>
        <w:t>公园节水评价应满足</w:t>
      </w:r>
      <w:r>
        <w:rPr>
          <w:rFonts w:hint="eastAsia" w:ascii="宋体" w:hAnsi="宋体" w:cs="宋体"/>
        </w:rPr>
        <w:t>DB13/T 5652.1</w:t>
      </w:r>
      <w:r>
        <w:rPr>
          <w:rFonts w:ascii="宋体" w:hAnsi="宋体" w:cs="宋体"/>
          <w:spacing w:val="-2"/>
          <w:szCs w:val="21"/>
        </w:rPr>
        <w:t>中的</w:t>
      </w:r>
      <w:r>
        <w:rPr>
          <w:rFonts w:hint="eastAsia" w:ascii="宋体" w:hAnsi="宋体" w:cs="宋体"/>
          <w:spacing w:val="-2"/>
          <w:szCs w:val="21"/>
        </w:rPr>
        <w:t>总体</w:t>
      </w:r>
      <w:r>
        <w:rPr>
          <w:rFonts w:ascii="宋体" w:hAnsi="宋体" w:cs="宋体"/>
          <w:spacing w:val="-2"/>
          <w:szCs w:val="21"/>
        </w:rPr>
        <w:t>要求</w:t>
      </w:r>
      <w:r>
        <w:rPr>
          <w:rFonts w:hint="eastAsia"/>
        </w:rPr>
        <w:t>。</w:t>
      </w:r>
    </w:p>
    <w:p>
      <w:pPr>
        <w:pStyle w:val="3"/>
        <w:spacing w:before="156" w:beforeLines="50" w:after="156" w:afterLines="50" w:line="460" w:lineRule="exact"/>
        <w:rPr>
          <w:rFonts w:ascii="黑体" w:eastAsia="黑体"/>
          <w:b w:val="0"/>
          <w:kern w:val="0"/>
          <w:sz w:val="21"/>
          <w:szCs w:val="24"/>
        </w:rPr>
      </w:pPr>
      <w:bookmarkStart w:id="14" w:name="_Toc128836124"/>
      <w:bookmarkStart w:id="15" w:name="_Toc112836106"/>
      <w:r>
        <w:rPr>
          <w:rFonts w:ascii="黑体" w:eastAsia="黑体"/>
          <w:b w:val="0"/>
          <w:kern w:val="0"/>
          <w:sz w:val="21"/>
          <w:szCs w:val="24"/>
        </w:rPr>
        <w:t>5</w:t>
      </w:r>
      <w:r>
        <w:rPr>
          <w:rFonts w:hint="eastAsia" w:ascii="黑体" w:eastAsia="黑体"/>
          <w:b w:val="0"/>
          <w:kern w:val="0"/>
          <w:sz w:val="21"/>
          <w:szCs w:val="24"/>
        </w:rPr>
        <w:t xml:space="preserve">  评价指标体系和内容</w:t>
      </w:r>
      <w:bookmarkEnd w:id="14"/>
      <w:bookmarkEnd w:id="15"/>
    </w:p>
    <w:bookmarkEnd w:id="2"/>
    <w:p>
      <w:pPr>
        <w:widowControl/>
        <w:jc w:val="left"/>
        <w:rPr>
          <w:rFonts w:ascii="宋体" w:hAnsi="宋体" w:cs="宋体"/>
          <w:szCs w:val="21"/>
        </w:rPr>
      </w:pPr>
      <w:bookmarkStart w:id="16" w:name="SectionMark5"/>
      <w:r>
        <w:rPr>
          <w:rFonts w:hint="eastAsia" w:ascii="宋体" w:hAnsi="宋体" w:cs="宋体"/>
          <w:szCs w:val="21"/>
        </w:rPr>
        <w:t>5.1  节水型公园评价指标体系包括</w:t>
      </w:r>
      <w:r>
        <w:rPr>
          <w:rFonts w:hint="eastAsia" w:ascii="宋体" w:hAnsi="宋体" w:cs="宋体"/>
          <w:kern w:val="0"/>
          <w:szCs w:val="21"/>
          <w:lang w:bidi="ar"/>
        </w:rPr>
        <w:t xml:space="preserve">基本条件、管理指标、技术指标及鼓励性指标。 </w:t>
      </w:r>
    </w:p>
    <w:p>
      <w:pPr>
        <w:widowControl/>
        <w:jc w:val="left"/>
        <w:rPr>
          <w:rFonts w:ascii="宋体" w:hAnsi="宋体" w:cs="宋体"/>
          <w:kern w:val="0"/>
          <w:szCs w:val="21"/>
          <w:lang w:bidi="ar"/>
        </w:rPr>
      </w:pPr>
      <w:r>
        <w:rPr>
          <w:rFonts w:hint="eastAsia" w:ascii="宋体" w:hAnsi="宋体" w:cs="宋体"/>
          <w:szCs w:val="21"/>
        </w:rPr>
        <w:t xml:space="preserve">5.2  </w:t>
      </w:r>
      <w:r>
        <w:rPr>
          <w:rFonts w:hint="eastAsia" w:ascii="宋体" w:hAnsi="宋体" w:cs="宋体"/>
          <w:kern w:val="0"/>
          <w:szCs w:val="21"/>
          <w:lang w:bidi="ar"/>
        </w:rPr>
        <w:t>基本条件应符合 DB13/T 5652.1 中的基本条件。</w:t>
      </w:r>
    </w:p>
    <w:p>
      <w:pPr>
        <w:widowControl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5.3  </w:t>
      </w:r>
      <w:r>
        <w:rPr>
          <w:rFonts w:hint="eastAsia" w:ascii="宋体" w:hAnsi="宋体" w:cs="宋体"/>
          <w:kern w:val="0"/>
          <w:szCs w:val="21"/>
          <w:lang w:bidi="ar"/>
        </w:rPr>
        <w:t xml:space="preserve">管理指标包括公园的管理机构、管理制度、设施（设备）管理、水计量管理、水平衡测试、节水技术改造、非常规水利用、节水宣传等。总分 50 分，具体评分细则和分值见表 1。 </w:t>
      </w:r>
    </w:p>
    <w:p>
      <w:pPr>
        <w:widowControl/>
        <w:jc w:val="left"/>
        <w:rPr>
          <w:rFonts w:ascii="宋体" w:hAnsi="宋体" w:cs="宋体"/>
          <w:kern w:val="0"/>
          <w:szCs w:val="21"/>
          <w:lang w:bidi="ar"/>
        </w:rPr>
      </w:pPr>
      <w:r>
        <w:rPr>
          <w:rFonts w:hint="eastAsia" w:ascii="宋体" w:hAnsi="宋体" w:cs="宋体"/>
          <w:szCs w:val="21"/>
        </w:rPr>
        <w:t xml:space="preserve">5.4  </w:t>
      </w:r>
      <w:bookmarkStart w:id="17" w:name="_Toc99720430"/>
      <w:bookmarkStart w:id="18" w:name="_Toc99721403"/>
      <w:bookmarkStart w:id="19" w:name="_Toc99720187"/>
      <w:bookmarkStart w:id="20" w:name="_Toc104561544"/>
      <w:r>
        <w:rPr>
          <w:rFonts w:hint="eastAsia" w:ascii="宋体" w:hAnsi="宋体" w:cs="宋体"/>
          <w:kern w:val="0"/>
          <w:szCs w:val="21"/>
          <w:lang w:bidi="ar"/>
        </w:rPr>
        <w:t>技术指标包括公园的年用水总量、单位绿化灌溉面积年用水量、水计量器具配备率、节水器具普及率、用水器具漏失率等。总分 50 分，具体评分细则和分值见表 2。技术指标使用附录 A 的方法计算。</w:t>
      </w:r>
    </w:p>
    <w:p>
      <w:pPr>
        <w:spacing w:before="24" w:line="219" w:lineRule="auto"/>
        <w:rPr>
          <w:rFonts w:ascii="宋体" w:hAnsi="宋体" w:cs="宋体"/>
          <w:spacing w:val="-1"/>
          <w:szCs w:val="21"/>
        </w:rPr>
      </w:pPr>
      <w:r>
        <w:rPr>
          <w:rFonts w:hint="eastAsia" w:ascii="宋体" w:hAnsi="宋体" w:cs="宋体"/>
          <w:szCs w:val="21"/>
        </w:rPr>
        <w:t xml:space="preserve">5.5  </w:t>
      </w:r>
      <w:r>
        <w:rPr>
          <w:rFonts w:hint="eastAsia" w:ascii="宋体" w:hAnsi="宋体" w:cs="宋体"/>
          <w:spacing w:val="-2"/>
          <w:szCs w:val="21"/>
        </w:rPr>
        <w:t>鼓励性指标</w:t>
      </w:r>
      <w:r>
        <w:rPr>
          <w:rFonts w:hint="eastAsia" w:ascii="宋体" w:hAnsi="宋体" w:cs="宋体"/>
          <w:spacing w:val="-1"/>
          <w:szCs w:val="21"/>
        </w:rPr>
        <w:t>宜包括节水管理创新、节水技术创新等。</w:t>
      </w:r>
      <w:r>
        <w:rPr>
          <w:rFonts w:hint="eastAsia" w:ascii="宋体" w:hAnsi="宋体" w:cs="宋体"/>
          <w:kern w:val="0"/>
          <w:szCs w:val="21"/>
          <w:lang w:bidi="ar"/>
        </w:rPr>
        <w:t xml:space="preserve">总分 </w:t>
      </w:r>
      <w:r>
        <w:rPr>
          <w:rFonts w:ascii="宋体" w:hAnsi="宋体" w:cs="宋体"/>
          <w:kern w:val="0"/>
          <w:szCs w:val="21"/>
          <w:lang w:bidi="ar"/>
        </w:rPr>
        <w:t>10</w:t>
      </w:r>
      <w:r>
        <w:rPr>
          <w:rFonts w:hint="eastAsia" w:ascii="宋体" w:hAnsi="宋体" w:cs="宋体"/>
          <w:kern w:val="0"/>
          <w:szCs w:val="21"/>
          <w:lang w:bidi="ar"/>
        </w:rPr>
        <w:t xml:space="preserve"> 分，具体评分细则和分值见</w:t>
      </w:r>
      <w:r>
        <w:rPr>
          <w:rFonts w:hint="eastAsia" w:ascii="宋体" w:hAnsi="宋体" w:cs="宋体"/>
          <w:spacing w:val="-1"/>
          <w:szCs w:val="21"/>
        </w:rPr>
        <w:t xml:space="preserve">表 </w:t>
      </w:r>
      <w:r>
        <w:rPr>
          <w:rFonts w:ascii="宋体" w:hAnsi="宋体" w:cs="宋体"/>
          <w:spacing w:val="-1"/>
          <w:szCs w:val="21"/>
        </w:rPr>
        <w:t>3</w:t>
      </w:r>
      <w:r>
        <w:rPr>
          <w:rFonts w:hint="eastAsia" w:ascii="宋体" w:hAnsi="宋体" w:cs="宋体"/>
          <w:spacing w:val="-1"/>
          <w:szCs w:val="21"/>
        </w:rPr>
        <w:t>。</w:t>
      </w:r>
    </w:p>
    <w:p>
      <w:pPr>
        <w:pStyle w:val="2"/>
        <w:rPr>
          <w:rFonts w:ascii="宋体" w:hAnsi="宋体" w:cs="宋体"/>
          <w:color w:val="auto"/>
          <w:spacing w:val="-1"/>
          <w:szCs w:val="21"/>
        </w:rPr>
      </w:pPr>
    </w:p>
    <w:p>
      <w:pPr>
        <w:pStyle w:val="2"/>
        <w:wordWrap/>
        <w:rPr>
          <w:rFonts w:ascii="宋体" w:hAnsi="宋体" w:cs="宋体"/>
          <w:color w:val="auto"/>
          <w:spacing w:val="-1"/>
          <w:szCs w:val="21"/>
        </w:rPr>
      </w:pPr>
    </w:p>
    <w:p>
      <w:pPr>
        <w:spacing w:before="156" w:beforeLines="50" w:after="156" w:afterLines="50" w:line="400" w:lineRule="exact"/>
        <w:jc w:val="center"/>
        <w:outlineLvl w:val="1"/>
        <w:rPr>
          <w:rFonts w:ascii="黑体" w:hAnsi="黑体" w:eastAsia="黑体"/>
          <w:b/>
          <w:szCs w:val="21"/>
        </w:rPr>
      </w:pPr>
      <w:r>
        <w:rPr>
          <w:rFonts w:hint="eastAsia" w:ascii="宋体" w:hAnsi="宋体" w:cs="宋体"/>
          <w:kern w:val="0"/>
          <w:szCs w:val="21"/>
          <w:lang w:bidi="ar"/>
        </w:rPr>
        <w:t xml:space="preserve"> </w:t>
      </w:r>
      <w:bookmarkEnd w:id="16"/>
      <w:bookmarkEnd w:id="17"/>
      <w:bookmarkEnd w:id="18"/>
      <w:bookmarkEnd w:id="19"/>
      <w:bookmarkEnd w:id="20"/>
      <w:r>
        <w:rPr>
          <w:rFonts w:hint="eastAsia" w:ascii="黑体" w:hAnsi="黑体" w:eastAsia="黑体"/>
          <w:b/>
          <w:szCs w:val="21"/>
        </w:rPr>
        <w:t>表1</w:t>
      </w:r>
      <w:r>
        <w:rPr>
          <w:rFonts w:ascii="黑体" w:hAnsi="黑体" w:eastAsia="黑体"/>
          <w:b/>
          <w:szCs w:val="21"/>
        </w:rPr>
        <w:t xml:space="preserve">  </w:t>
      </w:r>
      <w:r>
        <w:rPr>
          <w:rFonts w:hint="eastAsia" w:ascii="黑体" w:hAnsi="黑体" w:eastAsia="黑体"/>
          <w:b/>
          <w:szCs w:val="21"/>
        </w:rPr>
        <w:t>管理指标</w:t>
      </w:r>
      <w:r>
        <w:rPr>
          <w:rFonts w:ascii="黑体" w:hAnsi="黑体" w:eastAsia="黑体"/>
          <w:b/>
          <w:szCs w:val="21"/>
        </w:rPr>
        <w:t>和</w:t>
      </w:r>
      <w:r>
        <w:rPr>
          <w:rFonts w:hint="eastAsia" w:ascii="黑体" w:hAnsi="黑体" w:eastAsia="黑体"/>
          <w:b/>
          <w:szCs w:val="21"/>
        </w:rPr>
        <w:t>评分细则</w:t>
      </w:r>
    </w:p>
    <w:tbl>
      <w:tblPr>
        <w:tblStyle w:val="7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1428"/>
        <w:gridCol w:w="6818"/>
        <w:gridCol w:w="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</w:trPr>
        <w:tc>
          <w:tcPr>
            <w:tcW w:w="0" w:type="auto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bidi="ar"/>
              </w:rPr>
              <w:t>评价指标类别</w:t>
            </w:r>
          </w:p>
        </w:tc>
        <w:tc>
          <w:tcPr>
            <w:tcW w:w="3562" w:type="pct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bidi="ar"/>
              </w:rPr>
              <w:t>评分细则</w:t>
            </w:r>
          </w:p>
        </w:tc>
        <w:tc>
          <w:tcPr>
            <w:tcW w:w="361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bidi="ar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0" w:type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管理机构</w:t>
            </w:r>
          </w:p>
        </w:tc>
        <w:tc>
          <w:tcPr>
            <w:tcW w:w="3562" w:type="pct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①节水管理机构健全，主管领导、主管部门和管理人员明确，得</w:t>
            </w:r>
            <w:r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分。</w:t>
            </w:r>
          </w:p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②各级节水管理人员职责明确，得</w:t>
            </w:r>
            <w:r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分。</w:t>
            </w:r>
          </w:p>
        </w:tc>
        <w:tc>
          <w:tcPr>
            <w:tcW w:w="361" w:type="pct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0" w:type="auto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管理制度</w:t>
            </w:r>
          </w:p>
        </w:tc>
        <w:tc>
          <w:tcPr>
            <w:tcW w:w="3562" w:type="pct"/>
            <w:tcBorders>
              <w:top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①有科学合理的用水计量、用水统计、用水设施（设备）管理及维护等节约用水管理制度，得2分，少一项扣0.5分，扣完为止。</w:t>
            </w:r>
          </w:p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②有节水规划和年度节水实施计划，得2分。</w:t>
            </w:r>
          </w:p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③有节水目标责任和考核制度、奖惩制度，明确目标责任、考核和奖惩办法，得1分。</w:t>
            </w:r>
          </w:p>
        </w:tc>
        <w:tc>
          <w:tcPr>
            <w:tcW w:w="361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2" w:hRule="atLeast"/>
        </w:trPr>
        <w:tc>
          <w:tcPr>
            <w:tcW w:w="0" w:type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设施（设备）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管理</w:t>
            </w:r>
          </w:p>
        </w:tc>
        <w:tc>
          <w:tcPr>
            <w:tcW w:w="3562" w:type="pct"/>
          </w:tcPr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①有详细的供水管网图、排水管网图，得1分。</w:t>
            </w:r>
          </w:p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②有详细的计量网络图和水计量器具（设备）一览表（包括器具名称、规格、安装使用位置、计量对象等），得1分。</w:t>
            </w:r>
          </w:p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③定期对设施（设备、管道等）进行检修，且记录完整，得1分；记录不完整的，得1分。无检修记录的，不得分。</w:t>
            </w:r>
          </w:p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④用水设施（设备、管道等）无跑冒滴漏，得1分。发现一处，扣0.2分，扣完为止。</w:t>
            </w:r>
          </w:p>
        </w:tc>
        <w:tc>
          <w:tcPr>
            <w:tcW w:w="361" w:type="pct"/>
            <w:noWrap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0" w:type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水计量管理</w:t>
            </w:r>
          </w:p>
        </w:tc>
        <w:tc>
          <w:tcPr>
            <w:tcW w:w="3562" w:type="pct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①水计量器具配备符合</w:t>
            </w:r>
            <w:r>
              <w:rPr>
                <w:rFonts w:hint="eastAsia" w:ascii="宋体" w:hAnsi="宋体" w:cs="宋体"/>
                <w:sz w:val="18"/>
                <w:szCs w:val="18"/>
              </w:rPr>
              <w:t>GB/T 24789的规定，得2分；</w:t>
            </w:r>
          </w:p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②有上一年度分月分级分类取用水台账，并定期根据用水定额和用水计划进行用水量分析，得</w:t>
            </w:r>
            <w:r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分。台账不完整扣1分，未进行统计分析扣1分。</w:t>
            </w:r>
          </w:p>
        </w:tc>
        <w:tc>
          <w:tcPr>
            <w:tcW w:w="361" w:type="pct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0" w:type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水平衡测试</w:t>
            </w:r>
          </w:p>
        </w:tc>
        <w:tc>
          <w:tcPr>
            <w:tcW w:w="3562" w:type="pct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按照</w:t>
            </w:r>
            <w:r>
              <w:rPr>
                <w:rFonts w:hint="eastAsia" w:ascii="宋体" w:hAnsi="宋体" w:cs="宋体"/>
                <w:sz w:val="18"/>
                <w:szCs w:val="16"/>
              </w:rPr>
              <w:t>GB/T 12452和地方相关规定开展水平衡测试，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得3分。无需开展水平衡测试的，计缺项。</w:t>
            </w:r>
          </w:p>
        </w:tc>
        <w:tc>
          <w:tcPr>
            <w:tcW w:w="361" w:type="pct"/>
            <w:noWrap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3" w:hRule="atLeast"/>
        </w:trPr>
        <w:tc>
          <w:tcPr>
            <w:tcW w:w="0" w:type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节水技术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改造</w:t>
            </w:r>
          </w:p>
        </w:tc>
        <w:tc>
          <w:tcPr>
            <w:tcW w:w="3562" w:type="pct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①按照节水政策法规及标准要求，对主要用水设施（设备、管道等）实施节水设施建设和节水技术改造，得</w:t>
            </w:r>
            <w:r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分。</w:t>
            </w:r>
          </w:p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②新（改、扩）建公园时配套建设节水设施，节水设施与主体工程同时设计、同时施工、同时投入使用，得</w:t>
            </w:r>
            <w:r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分。</w:t>
            </w:r>
          </w:p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③绿化应选用耐旱型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 w:bidi="ar"/>
              </w:rPr>
              <w:t>植物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，采用喷灌、微灌等高效节水灌溉方式，得</w:t>
            </w:r>
            <w:r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分。发现一处未实施，扣0.5分，扣完为止。</w:t>
            </w:r>
          </w:p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④未使用地下水和市政自来水建造非亲水性景观，得</w:t>
            </w:r>
            <w:r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分。否则，不得分。</w:t>
            </w:r>
          </w:p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⑤游泳场所按照GB/T 38802等的相关规定配备完善的节水和循环用水技术、工艺和设备，得</w:t>
            </w:r>
            <w:r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分。如无游泳场所，计缺项。</w:t>
            </w:r>
          </w:p>
          <w:p>
            <w:pPr>
              <w:widowControl/>
              <w:textAlignment w:val="center"/>
              <w:rPr>
                <w:rFonts w:ascii="宋体" w:hAnsi="宋体" w:cs="宋体"/>
                <w:kern w:val="0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⑥景观用水采取有效的水质控制措施，且循环重复利用，得2分。</w:t>
            </w:r>
          </w:p>
        </w:tc>
        <w:tc>
          <w:tcPr>
            <w:tcW w:w="361" w:type="pct"/>
            <w:noWrap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</w:trPr>
        <w:tc>
          <w:tcPr>
            <w:tcW w:w="619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394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非常规</w:t>
            </w:r>
            <w:r>
              <w:rPr>
                <w:rFonts w:ascii="宋体" w:hAnsi="宋体"/>
                <w:kern w:val="0"/>
                <w:sz w:val="18"/>
                <w:szCs w:val="18"/>
                <w:lang w:bidi="ar"/>
              </w:rPr>
              <w:t>水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利用</w:t>
            </w:r>
          </w:p>
        </w:tc>
        <w:tc>
          <w:tcPr>
            <w:tcW w:w="6657" w:type="dxa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①再生水管网覆盖范围内的公园灌溉及景观用水优先使用再生水的，计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分。无再生水利用条件的，计缺项。</w:t>
            </w:r>
          </w:p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②人工水体和喷泉水景水源优先采用天然河湖、雨水、再生水等作为水源，得2分。</w:t>
            </w:r>
          </w:p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③在水资源紧缺地区，利用雨水、再生水等补给湿地的，得2分。发现利用自来水、地下水补给湿地的，不得分。</w:t>
            </w:r>
          </w:p>
          <w:p>
            <w:pPr>
              <w:widowControl/>
              <w:textAlignment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④按照GB 51192等相关规定设置雨水控制利用设施，优先采用植被浅沟、下沉式绿地、雨水塘等地表生态设施，每建设一项得0.5分，满分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分。</w:t>
            </w:r>
          </w:p>
        </w:tc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</w:t>
            </w:r>
          </w:p>
        </w:tc>
      </w:tr>
    </w:tbl>
    <w:p>
      <w:pPr>
        <w:widowControl/>
        <w:adjustRightInd w:val="0"/>
        <w:snapToGrid w:val="0"/>
        <w:jc w:val="center"/>
        <w:textAlignment w:val="center"/>
        <w:rPr>
          <w:rFonts w:ascii="宋体" w:hAnsi="宋体"/>
          <w:kern w:val="0"/>
          <w:sz w:val="18"/>
          <w:szCs w:val="18"/>
          <w:lang w:bidi="ar"/>
        </w:rPr>
      </w:pPr>
    </w:p>
    <w:p>
      <w:pPr>
        <w:pStyle w:val="2"/>
        <w:wordWrap/>
        <w:rPr>
          <w:color w:val="auto"/>
          <w:lang w:bidi="ar"/>
        </w:rPr>
      </w:pPr>
    </w:p>
    <w:p>
      <w:pPr>
        <w:spacing w:before="156" w:beforeLines="50" w:after="156" w:afterLines="50" w:line="400" w:lineRule="exact"/>
        <w:jc w:val="center"/>
        <w:outlineLvl w:val="1"/>
        <w:rPr>
          <w:rFonts w:ascii="黑体" w:hAnsi="黑体" w:eastAsia="黑体"/>
          <w:b/>
          <w:szCs w:val="21"/>
        </w:rPr>
      </w:pPr>
      <w:r>
        <w:rPr>
          <w:rFonts w:hint="eastAsia" w:ascii="黑体" w:hAnsi="黑体" w:eastAsia="黑体"/>
          <w:b/>
          <w:szCs w:val="21"/>
        </w:rPr>
        <w:t>表1</w:t>
      </w:r>
      <w:r>
        <w:rPr>
          <w:rFonts w:ascii="黑体" w:hAnsi="黑体" w:eastAsia="黑体"/>
          <w:b/>
          <w:szCs w:val="21"/>
        </w:rPr>
        <w:t xml:space="preserve">  </w:t>
      </w:r>
      <w:r>
        <w:rPr>
          <w:rFonts w:hint="eastAsia" w:ascii="黑体" w:hAnsi="黑体" w:eastAsia="黑体"/>
          <w:b/>
          <w:szCs w:val="21"/>
        </w:rPr>
        <w:t>管理指标</w:t>
      </w:r>
      <w:r>
        <w:rPr>
          <w:rFonts w:ascii="黑体" w:hAnsi="黑体" w:eastAsia="黑体"/>
          <w:b/>
          <w:szCs w:val="21"/>
        </w:rPr>
        <w:t>和</w:t>
      </w:r>
      <w:r>
        <w:rPr>
          <w:rFonts w:hint="eastAsia" w:ascii="黑体" w:hAnsi="黑体" w:eastAsia="黑体"/>
          <w:b/>
          <w:szCs w:val="21"/>
        </w:rPr>
        <w:t>评分细则（续）</w:t>
      </w:r>
    </w:p>
    <w:tbl>
      <w:tblPr>
        <w:tblStyle w:val="7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1412"/>
        <w:gridCol w:w="6845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59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4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bidi="ar"/>
              </w:rPr>
              <w:t>评价指标类别</w:t>
            </w:r>
          </w:p>
        </w:tc>
        <w:tc>
          <w:tcPr>
            <w:tcW w:w="684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bidi="ar"/>
              </w:rPr>
              <w:t>评分细则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bidi="ar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59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412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节水宣传</w:t>
            </w:r>
          </w:p>
        </w:tc>
        <w:tc>
          <w:tcPr>
            <w:tcW w:w="6845" w:type="dxa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①有年度节水宣传计划，得1分。</w:t>
            </w:r>
          </w:p>
          <w:p>
            <w:pPr>
              <w:widowControl/>
              <w:textAlignment w:val="center"/>
              <w:rPr>
                <w:rFonts w:ascii="宋体" w:hAnsi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②制定并实施节水行为规范，得1分。</w:t>
            </w:r>
          </w:p>
          <w:p>
            <w:pPr>
              <w:widowControl/>
              <w:textAlignment w:val="center"/>
              <w:rPr>
                <w:rFonts w:ascii="宋体" w:hAnsi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③在相关宣传周（日）开展形式多样的节水宣传主题活动，得分2分。</w:t>
            </w:r>
          </w:p>
          <w:p>
            <w:pPr>
              <w:widowControl/>
              <w:textAlignment w:val="center"/>
              <w:rPr>
                <w:rFonts w:ascii="宋体" w:hAnsi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④在卫生间、景观绿化等主要用水场所和水龙头、便器等主要用水设施的醒目位置张贴节水标语和标识，得2分。少1处扣0.5分，扣完为止。</w:t>
            </w:r>
          </w:p>
          <w:p>
            <w:pPr>
              <w:widowControl/>
              <w:textAlignment w:val="center"/>
              <w:rPr>
                <w:rFonts w:ascii="宋体" w:hAnsi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⑤经常性开展节约用水培训，并积极参与节水志愿服务活动，每开展一项得1分，满分2分。</w:t>
            </w:r>
          </w:p>
          <w:p>
            <w:pPr>
              <w:widowControl/>
              <w:textAlignment w:val="center"/>
              <w:rPr>
                <w:rFonts w:ascii="宋体" w:hAnsi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 xml:space="preserve">⑥在公园醒目位置设置固定节水宣传栏和节水宣传标语，得 1 分。 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bidi="ar"/>
              </w:rPr>
              <w:t>⑦利用电子显示屏或音响等设施滚动播放节水视频、音频等资料，得 1 分。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5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小计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50</w:t>
            </w:r>
          </w:p>
        </w:tc>
      </w:tr>
    </w:tbl>
    <w:p>
      <w:pPr>
        <w:spacing w:before="156" w:beforeLines="50" w:after="156" w:afterLines="50" w:line="400" w:lineRule="exact"/>
        <w:jc w:val="center"/>
        <w:outlineLvl w:val="1"/>
        <w:rPr>
          <w:rFonts w:ascii="黑体" w:hAnsi="黑体" w:eastAsia="黑体"/>
          <w:b/>
          <w:szCs w:val="21"/>
        </w:rPr>
      </w:pPr>
      <w:r>
        <w:rPr>
          <w:rFonts w:hint="eastAsia" w:ascii="黑体" w:hAnsi="黑体" w:eastAsia="黑体"/>
          <w:b/>
          <w:szCs w:val="21"/>
        </w:rPr>
        <w:t>表2</w:t>
      </w:r>
      <w:r>
        <w:rPr>
          <w:rFonts w:ascii="黑体" w:hAnsi="黑体" w:eastAsia="黑体"/>
          <w:b/>
          <w:szCs w:val="21"/>
        </w:rPr>
        <w:t xml:space="preserve">  </w:t>
      </w:r>
      <w:r>
        <w:rPr>
          <w:rFonts w:hint="eastAsia" w:ascii="黑体" w:hAnsi="黑体" w:eastAsia="黑体"/>
          <w:b/>
          <w:szCs w:val="21"/>
        </w:rPr>
        <w:t>技术指标和评分</w:t>
      </w:r>
      <w:r>
        <w:rPr>
          <w:rFonts w:ascii="黑体" w:hAnsi="黑体" w:eastAsia="黑体"/>
          <w:b/>
          <w:szCs w:val="21"/>
        </w:rPr>
        <w:t>细则</w:t>
      </w:r>
    </w:p>
    <w:tbl>
      <w:tblPr>
        <w:tblStyle w:val="7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1412"/>
        <w:gridCol w:w="6845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58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37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bidi="ar"/>
              </w:rPr>
              <w:t>评价指标类别</w:t>
            </w:r>
          </w:p>
        </w:tc>
        <w:tc>
          <w:tcPr>
            <w:tcW w:w="668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bidi="ar"/>
              </w:rPr>
              <w:t>评分细则</w:t>
            </w:r>
          </w:p>
        </w:tc>
        <w:tc>
          <w:tcPr>
            <w:tcW w:w="70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bidi="ar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37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年用水总量</w:t>
            </w:r>
          </w:p>
        </w:tc>
        <w:tc>
          <w:tcPr>
            <w:tcW w:w="6683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年用水总量≤</w:t>
            </w:r>
            <w:r>
              <w:rPr>
                <w:rFonts w:hint="eastAsia" w:ascii="宋体" w:hAnsi="宋体" w:cs="宋体"/>
                <w:sz w:val="18"/>
                <w:szCs w:val="18"/>
              </w:rPr>
              <w:t>年度用水计划总量，得10分；年度用水计划总量＜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年用水总量≤</w:t>
            </w:r>
            <w:r>
              <w:rPr>
                <w:rFonts w:hint="eastAsia" w:ascii="宋体" w:hAnsi="宋体" w:cs="宋体"/>
                <w:sz w:val="18"/>
                <w:szCs w:val="18"/>
              </w:rPr>
              <w:t>按公园用水定额核算的年度用水总量，按比例赋分；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年用水总量</w:t>
            </w:r>
            <w:r>
              <w:rPr>
                <w:rFonts w:hint="eastAsia" w:ascii="宋体" w:hAnsi="宋体" w:cs="宋体"/>
                <w:sz w:val="18"/>
                <w:szCs w:val="18"/>
              </w:rPr>
              <w:t>＞按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公园用水定额核算的年度用水总量</w:t>
            </w:r>
            <w:r>
              <w:rPr>
                <w:rFonts w:hint="eastAsia" w:ascii="宋体" w:hAnsi="宋体" w:cs="宋体"/>
                <w:sz w:val="18"/>
                <w:szCs w:val="18"/>
              </w:rPr>
              <w:t>，不得分。</w:t>
            </w:r>
          </w:p>
        </w:tc>
        <w:tc>
          <w:tcPr>
            <w:tcW w:w="70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3" w:hRule="atLeast"/>
          <w:jc w:val="center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379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单位绿化灌溉面积年用水量</w:t>
            </w:r>
          </w:p>
        </w:tc>
        <w:tc>
          <w:tcPr>
            <w:tcW w:w="6683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符合DB13/T 5450.2的相关规定。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公园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单位绿化灌溉面积年用水量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≤</w:t>
            </w:r>
            <w:r>
              <w:rPr>
                <w:rFonts w:hint="eastAsia" w:ascii="宋体" w:hAnsi="宋体" w:cs="宋体"/>
                <w:sz w:val="18"/>
                <w:szCs w:val="18"/>
              </w:rPr>
              <w:t>通用值，得6分；每减少0.</w:t>
            </w:r>
            <w:r>
              <w:rPr>
                <w:rFonts w:ascii="宋体" w:hAnsi="宋体" w:cs="宋体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sz w:val="18"/>
                <w:szCs w:val="18"/>
              </w:rPr>
              <w:t>1 m</w:t>
            </w:r>
            <w:r>
              <w:rPr>
                <w:rFonts w:hint="eastAsia" w:ascii="宋体" w:hAnsi="宋体" w:cs="宋体"/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ascii="宋体" w:hAnsi="宋体" w:cs="宋体"/>
                <w:sz w:val="18"/>
                <w:szCs w:val="18"/>
              </w:rPr>
              <w:t>/（m</w:t>
            </w:r>
            <w:r>
              <w:rPr>
                <w:rFonts w:hint="eastAsia" w:ascii="宋体" w:hAnsi="宋体" w:cs="宋体"/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•a）</w:t>
            </w:r>
            <w:r>
              <w:rPr>
                <w:rFonts w:hint="eastAsia" w:ascii="宋体" w:hAnsi="宋体" w:cs="宋体"/>
                <w:sz w:val="18"/>
                <w:szCs w:val="18"/>
                <w:vertAlign w:val="superscript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，加2分，最高得4分；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公园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单位绿化灌溉面积年用水量＞通用值，不得分。</w:t>
            </w:r>
          </w:p>
        </w:tc>
        <w:tc>
          <w:tcPr>
            <w:tcW w:w="70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379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水计量器具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配备率</w:t>
            </w:r>
          </w:p>
        </w:tc>
        <w:tc>
          <w:tcPr>
            <w:tcW w:w="6683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符合GB/T 24789的相关规定。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一级水计量器具配备率达到 100%，得 4分；二级水计量器具配备率≥95%，得 3分；主要用水设备（用水系统）水计量器具配备率≥85%，得 3 分。</w:t>
            </w:r>
          </w:p>
        </w:tc>
        <w:tc>
          <w:tcPr>
            <w:tcW w:w="70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379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节水器具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普及率</w:t>
            </w:r>
          </w:p>
        </w:tc>
        <w:tc>
          <w:tcPr>
            <w:tcW w:w="6683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节水</w:t>
            </w:r>
            <w:r>
              <w:rPr>
                <w:rFonts w:ascii="宋体" w:hAnsi="宋体"/>
                <w:kern w:val="0"/>
                <w:sz w:val="18"/>
                <w:szCs w:val="18"/>
              </w:rPr>
              <w:t>器具配备符合GB/T 31436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等相关</w:t>
            </w:r>
            <w:r>
              <w:rPr>
                <w:rFonts w:ascii="宋体" w:hAnsi="宋体"/>
                <w:kern w:val="0"/>
                <w:sz w:val="18"/>
                <w:szCs w:val="18"/>
              </w:rPr>
              <w:t>规定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/>
                <w:kern w:val="0"/>
                <w:sz w:val="18"/>
                <w:szCs w:val="18"/>
              </w:rPr>
              <w:t>节水器具普及率达到100%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，得</w:t>
            </w:r>
            <w:r>
              <w:rPr>
                <w:rFonts w:ascii="宋体" w:hAnsi="宋体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分。</w:t>
            </w:r>
            <w:r>
              <w:rPr>
                <w:rFonts w:hint="eastAsia" w:ascii="宋体" w:hAnsi="宋体"/>
                <w:sz w:val="18"/>
                <w:szCs w:val="18"/>
              </w:rPr>
              <w:t>每低1</w:t>
            </w:r>
            <w:r>
              <w:rPr>
                <w:rFonts w:ascii="宋体" w:hAnsi="宋体"/>
                <w:sz w:val="18"/>
                <w:szCs w:val="18"/>
              </w:rPr>
              <w:t>%扣</w:t>
            </w:r>
            <w:r>
              <w:rPr>
                <w:rFonts w:hint="eastAsia" w:ascii="宋体" w:hAnsi="宋体"/>
                <w:sz w:val="18"/>
                <w:szCs w:val="18"/>
              </w:rPr>
              <w:t>0.5分，扣完为止。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用水器具水效等级全部为1级，得5分；用水器具水效等级全部为2级，得3分；用水器具水效等级全部为3级，不得分。其他情形按比例赋分。</w:t>
            </w:r>
          </w:p>
        </w:tc>
        <w:tc>
          <w:tcPr>
            <w:tcW w:w="70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379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用水器具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漏失率</w:t>
            </w:r>
          </w:p>
        </w:tc>
        <w:tc>
          <w:tcPr>
            <w:tcW w:w="6683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用水器具漏失率≤2%，得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分，每高0.5% 扣</w:t>
            </w:r>
            <w:r>
              <w:rPr>
                <w:rFonts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分，直至扣完。</w:t>
            </w:r>
          </w:p>
        </w:tc>
        <w:tc>
          <w:tcPr>
            <w:tcW w:w="70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1</w:t>
            </w:r>
            <w:r>
              <w:rPr>
                <w:kern w:val="0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4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小计</w:t>
            </w:r>
          </w:p>
        </w:tc>
        <w:tc>
          <w:tcPr>
            <w:tcW w:w="70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50</w:t>
            </w:r>
          </w:p>
        </w:tc>
      </w:tr>
    </w:tbl>
    <w:p>
      <w:pPr>
        <w:spacing w:before="156" w:beforeLines="50" w:after="156" w:afterLines="50" w:line="400" w:lineRule="exact"/>
        <w:jc w:val="center"/>
        <w:outlineLvl w:val="1"/>
        <w:rPr>
          <w:rFonts w:ascii="黑体" w:hAnsi="黑体" w:eastAsia="黑体"/>
        </w:rPr>
      </w:pPr>
      <w:r>
        <w:rPr>
          <w:rFonts w:hint="eastAsia" w:ascii="黑体" w:hAnsi="黑体" w:eastAsia="黑体"/>
          <w:b/>
          <w:szCs w:val="21"/>
        </w:rPr>
        <w:t>表3</w:t>
      </w:r>
      <w:r>
        <w:rPr>
          <w:rFonts w:ascii="黑体" w:hAnsi="黑体" w:eastAsia="黑体"/>
          <w:b/>
          <w:szCs w:val="21"/>
        </w:rPr>
        <w:t xml:space="preserve">  </w:t>
      </w:r>
      <w:r>
        <w:rPr>
          <w:rFonts w:hint="eastAsia" w:ascii="黑体" w:hAnsi="黑体" w:eastAsia="黑体"/>
          <w:b/>
          <w:szCs w:val="21"/>
        </w:rPr>
        <w:t>鼓励性指标和评分</w:t>
      </w:r>
      <w:r>
        <w:rPr>
          <w:rFonts w:ascii="黑体" w:hAnsi="黑体" w:eastAsia="黑体"/>
          <w:b/>
          <w:szCs w:val="21"/>
        </w:rPr>
        <w:t>细则</w:t>
      </w:r>
    </w:p>
    <w:tbl>
      <w:tblPr>
        <w:tblStyle w:val="7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1425"/>
        <w:gridCol w:w="6600"/>
        <w:gridCol w:w="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76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2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kern w:val="0"/>
                <w:sz w:val="18"/>
                <w:szCs w:val="18"/>
              </w:rPr>
              <w:t>评价指标类别</w:t>
            </w:r>
          </w:p>
        </w:tc>
        <w:tc>
          <w:tcPr>
            <w:tcW w:w="660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kern w:val="0"/>
                <w:sz w:val="18"/>
                <w:szCs w:val="18"/>
                <w:lang w:bidi="ar"/>
              </w:rPr>
              <w:t>评分细则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6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节水管理创新</w:t>
            </w:r>
          </w:p>
        </w:tc>
        <w:tc>
          <w:tcPr>
            <w:tcW w:w="66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建设用水实时监控平台，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配套</w:t>
            </w:r>
            <w:r>
              <w:rPr>
                <w:rFonts w:ascii="宋体" w:hAnsi="宋体"/>
                <w:kern w:val="0"/>
                <w:sz w:val="18"/>
                <w:szCs w:val="18"/>
              </w:rPr>
              <w:t>安装远程智能水表，实施用水精细化管理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。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6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节水技术创新</w:t>
            </w:r>
          </w:p>
        </w:tc>
        <w:tc>
          <w:tcPr>
            <w:tcW w:w="66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节水耐旱植物种植比例≥70%，得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分；每高5</w:t>
            </w:r>
            <w:r>
              <w:rPr>
                <w:rFonts w:ascii="宋体" w:hAnsi="宋体"/>
                <w:kern w:val="0"/>
                <w:sz w:val="18"/>
                <w:szCs w:val="18"/>
              </w:rPr>
              <w:t>%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，加1分，最多加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分；每低5</w:t>
            </w:r>
            <w:r>
              <w:rPr>
                <w:rFonts w:ascii="宋体" w:hAnsi="宋体"/>
                <w:kern w:val="0"/>
                <w:sz w:val="18"/>
                <w:szCs w:val="18"/>
              </w:rPr>
              <w:t>%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，扣1分，扣完为止。</w:t>
            </w:r>
          </w:p>
          <w:p>
            <w:pPr>
              <w:widowControl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在水处理、水再生、雨水回收中采用的新技术、新措施等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得4分。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9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kern w:val="0"/>
                <w:sz w:val="18"/>
                <w:szCs w:val="18"/>
              </w:rPr>
              <w:t>小计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b/>
                <w:kern w:val="0"/>
                <w:sz w:val="18"/>
                <w:szCs w:val="18"/>
              </w:rPr>
              <w:t>0</w:t>
            </w:r>
          </w:p>
        </w:tc>
      </w:tr>
    </w:tbl>
    <w:p>
      <w:pPr>
        <w:pStyle w:val="3"/>
        <w:spacing w:before="156" w:beforeLines="50" w:after="156" w:afterLines="50" w:line="460" w:lineRule="exact"/>
        <w:rPr>
          <w:rFonts w:ascii="黑体" w:eastAsia="黑体"/>
          <w:b w:val="0"/>
          <w:kern w:val="0"/>
          <w:sz w:val="21"/>
          <w:szCs w:val="24"/>
        </w:rPr>
      </w:pPr>
      <w:bookmarkStart w:id="21" w:name="_Toc128836125"/>
      <w:r>
        <w:rPr>
          <w:rFonts w:ascii="黑体" w:eastAsia="黑体"/>
          <w:b w:val="0"/>
          <w:kern w:val="0"/>
          <w:sz w:val="21"/>
          <w:szCs w:val="24"/>
        </w:rPr>
        <w:t>6  评价方法</w:t>
      </w:r>
      <w:bookmarkEnd w:id="21"/>
      <w:r>
        <w:rPr>
          <w:rFonts w:ascii="黑体" w:eastAsia="黑体"/>
          <w:b w:val="0"/>
          <w:kern w:val="0"/>
          <w:sz w:val="21"/>
          <w:szCs w:val="24"/>
        </w:rPr>
        <w:t xml:space="preserve"> </w:t>
      </w:r>
    </w:p>
    <w:p>
      <w:pPr>
        <w:ind w:firstLine="404" w:firstLineChars="200"/>
        <w:rPr>
          <w:rFonts w:ascii="宋体" w:hAnsi="宋体" w:cs="宋体"/>
          <w:spacing w:val="-4"/>
          <w:szCs w:val="21"/>
        </w:rPr>
      </w:pPr>
      <w:r>
        <w:rPr>
          <w:rFonts w:hint="eastAsia" w:ascii="宋体" w:hAnsi="宋体" w:cs="宋体"/>
          <w:spacing w:val="-4"/>
          <w:szCs w:val="21"/>
        </w:rPr>
        <w:t>应符合DB13/T 5652.1中的评价方法。</w:t>
      </w:r>
    </w:p>
    <w:p>
      <w:pPr>
        <w:jc w:val="center"/>
        <w:rPr>
          <w:rFonts w:eastAsia="黑体"/>
          <w:b/>
          <w:szCs w:val="21"/>
        </w:rPr>
        <w:sectPr>
          <w:footerReference r:id="rId8" w:type="default"/>
          <w:pgSz w:w="11907" w:h="16839"/>
          <w:pgMar w:top="1418" w:right="1134" w:bottom="1134" w:left="1418" w:header="1418" w:footer="851" w:gutter="0"/>
          <w:pgNumType w:start="1"/>
          <w:cols w:space="720" w:num="1"/>
          <w:docGrid w:type="lines" w:linePitch="312" w:charSpace="0"/>
        </w:sectPr>
      </w:pPr>
    </w:p>
    <w:p>
      <w:pPr>
        <w:jc w:val="center"/>
        <w:outlineLvl w:val="0"/>
        <w:rPr>
          <w:rFonts w:eastAsia="黑体"/>
          <w:b/>
          <w:szCs w:val="21"/>
        </w:rPr>
      </w:pPr>
      <w:bookmarkStart w:id="22" w:name="_Toc128836126"/>
      <w:bookmarkStart w:id="23" w:name="_Toc128602375"/>
      <w:r>
        <w:rPr>
          <w:rFonts w:hint="eastAsia" w:eastAsia="黑体"/>
          <w:b/>
          <w:szCs w:val="21"/>
        </w:rPr>
        <w:t xml:space="preserve">附 </w:t>
      </w:r>
      <w:r>
        <w:rPr>
          <w:rFonts w:eastAsia="黑体"/>
          <w:b/>
          <w:szCs w:val="21"/>
        </w:rPr>
        <w:t xml:space="preserve"> </w:t>
      </w:r>
      <w:r>
        <w:rPr>
          <w:rFonts w:hint="eastAsia" w:eastAsia="黑体"/>
          <w:b/>
          <w:szCs w:val="21"/>
        </w:rPr>
        <w:t xml:space="preserve">录 </w:t>
      </w:r>
      <w:r>
        <w:rPr>
          <w:rFonts w:eastAsia="黑体"/>
          <w:b/>
          <w:szCs w:val="21"/>
        </w:rPr>
        <w:t xml:space="preserve"> </w:t>
      </w:r>
      <w:r>
        <w:rPr>
          <w:rFonts w:hint="eastAsia" w:eastAsia="黑体"/>
          <w:b/>
          <w:szCs w:val="21"/>
        </w:rPr>
        <w:t>A</w:t>
      </w:r>
      <w:bookmarkEnd w:id="22"/>
    </w:p>
    <w:p>
      <w:pPr>
        <w:jc w:val="center"/>
        <w:outlineLvl w:val="0"/>
        <w:rPr>
          <w:rFonts w:eastAsia="黑体"/>
          <w:b/>
          <w:szCs w:val="21"/>
        </w:rPr>
      </w:pPr>
      <w:bookmarkStart w:id="24" w:name="_Toc128836127"/>
      <w:bookmarkStart w:id="25" w:name="_Toc128602617"/>
      <w:r>
        <w:rPr>
          <w:rFonts w:hint="eastAsia" w:eastAsia="黑体"/>
          <w:b/>
          <w:szCs w:val="21"/>
        </w:rPr>
        <w:t>（资料性）</w:t>
      </w:r>
      <w:bookmarkEnd w:id="24"/>
      <w:bookmarkEnd w:id="25"/>
    </w:p>
    <w:p>
      <w:pPr>
        <w:jc w:val="center"/>
        <w:outlineLvl w:val="0"/>
        <w:rPr>
          <w:rFonts w:eastAsia="黑体"/>
          <w:b/>
          <w:szCs w:val="21"/>
        </w:rPr>
      </w:pPr>
      <w:bookmarkStart w:id="26" w:name="_Toc128836128"/>
      <w:bookmarkStart w:id="27" w:name="_Toc128602618"/>
      <w:r>
        <w:rPr>
          <w:rFonts w:hint="eastAsia" w:eastAsia="黑体"/>
          <w:b/>
          <w:szCs w:val="21"/>
        </w:rPr>
        <w:t>节水型公园评价技术指标的计算方法</w:t>
      </w:r>
      <w:bookmarkEnd w:id="23"/>
      <w:bookmarkEnd w:id="26"/>
      <w:bookmarkEnd w:id="27"/>
    </w:p>
    <w:p>
      <w:pPr>
        <w:keepNext/>
        <w:keepLines/>
        <w:spacing w:before="156" w:beforeLines="50" w:after="156" w:afterLines="50" w:line="460" w:lineRule="exact"/>
        <w:rPr>
          <w:rFonts w:ascii="黑体" w:eastAsia="黑体"/>
          <w:b/>
          <w:kern w:val="0"/>
          <w:szCs w:val="24"/>
        </w:rPr>
      </w:pPr>
      <w:r>
        <w:rPr>
          <w:rFonts w:ascii="黑体" w:eastAsia="黑体"/>
          <w:b/>
          <w:kern w:val="0"/>
          <w:szCs w:val="24"/>
        </w:rPr>
        <w:t xml:space="preserve">A.1  </w:t>
      </w:r>
      <w:r>
        <w:rPr>
          <w:rFonts w:hint="eastAsia" w:ascii="黑体" w:eastAsia="黑体"/>
          <w:b/>
          <w:kern w:val="0"/>
          <w:szCs w:val="24"/>
        </w:rPr>
        <w:t>单位绿化灌溉面积年用水量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400" w:lineRule="exact"/>
        <w:ind w:firstLine="420" w:firstLineChars="200"/>
        <w:jc w:val="lef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单位绿化灌溉面积年用水量</w:t>
      </w:r>
      <w:r>
        <w:rPr>
          <w:rFonts w:ascii="宋体" w:hAnsi="宋体"/>
          <w:kern w:val="0"/>
          <w:szCs w:val="21"/>
        </w:rPr>
        <w:t>按式（A.1）计算：</w:t>
      </w:r>
    </w:p>
    <w:p>
      <w:pPr>
        <w:spacing w:before="312" w:beforeLines="100" w:after="312" w:afterLines="100" w:line="360" w:lineRule="auto"/>
        <w:jc w:val="right"/>
        <w:rPr>
          <w:rFonts w:ascii="Cambria Math" w:hAnsi="Cambria Math"/>
          <w:szCs w:val="21"/>
        </w:rPr>
      </w:pPr>
      <m:oMath>
        <m:r>
          <m:rPr>
            <m:sty m:val="p"/>
          </m:rPr>
          <w:rPr>
            <w:rFonts w:hint="eastAsia" w:ascii="Cambria Math" w:hAnsi="Cambria Math"/>
            <w:szCs w:val="21"/>
          </w:rPr>
          <m:t>单位绿化灌溉面积年用水量</m:t>
        </m:r>
        <m:r>
          <m:rPr>
            <m:sty m:val="p"/>
          </m:rPr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/>
                <w:szCs w:val="21"/>
              </w:rPr>
              <m:t>绿化灌溉年用水量</m:t>
            </m:r>
            <m:ctrlPr>
              <w:rPr>
                <w:rFonts w:ascii="Cambria Math" w:hAnsi="Cambria Math"/>
                <w:szCs w:val="21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/>
                <w:szCs w:val="21"/>
              </w:rPr>
              <m:t>绿化面积</m:t>
            </m:r>
            <m:ctrlPr>
              <w:rPr>
                <w:rFonts w:ascii="Cambria Math" w:hAnsi="Cambria Math"/>
                <w:szCs w:val="21"/>
              </w:rPr>
            </m:ctrlPr>
          </m:den>
        </m:f>
        <m:r>
          <m:rPr/>
          <w:rPr>
            <w:rFonts w:ascii="Cambria Math" w:hAnsi="Cambria Math"/>
            <w:szCs w:val="21"/>
          </w:rPr>
          <m:t>×100%</m:t>
        </m:r>
      </m:oMath>
      <w:r>
        <w:rPr>
          <w:rFonts w:hint="eastAsia" w:ascii="Cambria Math" w:hAnsi="Cambria Math"/>
          <w:szCs w:val="21"/>
        </w:rPr>
        <w:t>……………………………（</w:t>
      </w:r>
      <w:r>
        <w:rPr>
          <w:rFonts w:hint="eastAsia" w:ascii="宋体" w:hAnsi="宋体" w:cs="宋体"/>
          <w:szCs w:val="21"/>
        </w:rPr>
        <w:t>A.1</w:t>
      </w:r>
      <w:r>
        <w:rPr>
          <w:rFonts w:hint="eastAsia" w:ascii="Cambria Math" w:hAnsi="Cambria Math"/>
          <w:szCs w:val="21"/>
        </w:rPr>
        <w:t>）</w:t>
      </w:r>
    </w:p>
    <w:p>
      <w:pPr>
        <w:keepNext/>
        <w:keepLines/>
        <w:tabs>
          <w:tab w:val="left" w:pos="5460"/>
        </w:tabs>
        <w:spacing w:before="156" w:beforeLines="50" w:after="156" w:afterLines="50" w:line="460" w:lineRule="exact"/>
        <w:rPr>
          <w:rFonts w:ascii="黑体" w:eastAsia="黑体"/>
          <w:b/>
          <w:kern w:val="0"/>
          <w:szCs w:val="24"/>
        </w:rPr>
      </w:pPr>
      <w:bookmarkStart w:id="28" w:name="_Toc121926583"/>
      <w:bookmarkStart w:id="29" w:name="_Toc6716"/>
      <w:bookmarkStart w:id="30" w:name="_Toc120697316"/>
      <w:bookmarkStart w:id="31" w:name="_Toc117693401"/>
      <w:r>
        <w:rPr>
          <w:rFonts w:ascii="黑体" w:eastAsia="黑体"/>
          <w:b/>
          <w:kern w:val="0"/>
          <w:szCs w:val="24"/>
        </w:rPr>
        <w:t xml:space="preserve">A.2  </w:t>
      </w:r>
      <w:r>
        <w:rPr>
          <w:rFonts w:hint="eastAsia" w:ascii="黑体" w:eastAsia="黑体"/>
          <w:b/>
          <w:kern w:val="0"/>
          <w:szCs w:val="24"/>
        </w:rPr>
        <w:t>用水器具漏失</w:t>
      </w:r>
      <w:r>
        <w:rPr>
          <w:rFonts w:ascii="黑体" w:eastAsia="黑体"/>
          <w:b/>
          <w:kern w:val="0"/>
          <w:szCs w:val="24"/>
        </w:rPr>
        <w:t>率</w:t>
      </w:r>
      <w:bookmarkEnd w:id="28"/>
      <w:bookmarkEnd w:id="29"/>
      <w:bookmarkEnd w:id="30"/>
      <w:bookmarkEnd w:id="31"/>
      <w:r>
        <w:rPr>
          <w:rFonts w:ascii="黑体" w:eastAsia="黑体"/>
          <w:b/>
          <w:kern w:val="0"/>
          <w:szCs w:val="24"/>
        </w:rPr>
        <w:tab/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400" w:lineRule="exact"/>
        <w:ind w:firstLine="420" w:firstLineChars="200"/>
        <w:jc w:val="lef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用水器具漏失</w:t>
      </w:r>
      <w:r>
        <w:rPr>
          <w:rFonts w:ascii="宋体" w:hAnsi="宋体"/>
          <w:kern w:val="0"/>
          <w:szCs w:val="21"/>
        </w:rPr>
        <w:t>率按式（A.</w:t>
      </w:r>
      <w:r>
        <w:rPr>
          <w:rFonts w:hint="eastAsia" w:ascii="宋体" w:hAnsi="宋体"/>
          <w:kern w:val="0"/>
          <w:szCs w:val="21"/>
        </w:rPr>
        <w:t>2</w:t>
      </w:r>
      <w:r>
        <w:rPr>
          <w:rFonts w:ascii="宋体" w:hAnsi="宋体"/>
          <w:kern w:val="0"/>
          <w:szCs w:val="21"/>
        </w:rPr>
        <w:t>）计算：</w:t>
      </w:r>
    </w:p>
    <w:p>
      <w:pPr>
        <w:spacing w:before="312" w:beforeLines="100" w:after="312" w:afterLines="100" w:line="360" w:lineRule="auto"/>
        <w:jc w:val="right"/>
        <w:rPr>
          <w:rFonts w:ascii="宋体" w:hAnsi="宋体"/>
          <w:bCs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 xml:space="preserve">  </m:t>
        </m:r>
        <m:r>
          <m:rPr>
            <m:sty m:val="p"/>
          </m:rPr>
          <w:rPr>
            <w:rFonts w:hint="eastAsia" w:ascii="Cambria Math" w:hAnsi="Cambria Math"/>
            <w:szCs w:val="21"/>
          </w:rPr>
          <m:t>用水器具漏失率</m:t>
        </m:r>
        <m:r>
          <m:rPr/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bCs/>
                <w:iCs/>
                <w:szCs w:val="21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/>
                <w:szCs w:val="21"/>
              </w:rPr>
              <m:t>漏失件数</m:t>
            </m:r>
            <m:ctrlPr>
              <w:rPr>
                <w:rFonts w:ascii="Cambria Math" w:hAnsi="Cambria Math"/>
                <w:bCs/>
                <w:iCs/>
                <w:szCs w:val="21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/>
                <w:szCs w:val="21"/>
              </w:rPr>
              <m:t>总件数</m:t>
            </m:r>
            <m:ctrlPr>
              <w:rPr>
                <w:rFonts w:ascii="Cambria Math" w:hAnsi="Cambria Math"/>
                <w:bCs/>
                <w:iCs/>
                <w:szCs w:val="21"/>
              </w:rPr>
            </m:ctrlPr>
          </m:den>
        </m:f>
        <m:r>
          <m:rPr/>
          <w:rPr>
            <w:rFonts w:ascii="Cambria Math" w:hAnsi="Cambria Math"/>
            <w:szCs w:val="21"/>
          </w:rPr>
          <m:t>×100%</m:t>
        </m:r>
      </m:oMath>
      <w:r>
        <w:rPr>
          <w:rFonts w:hint="eastAsia" w:ascii="宋体" w:hAnsi="宋体"/>
          <w:bCs/>
          <w:szCs w:val="21"/>
        </w:rPr>
        <w:t>…………………………………（A.</w:t>
      </w:r>
      <w:r>
        <w:rPr>
          <w:rFonts w:ascii="宋体" w:hAnsi="宋体"/>
          <w:bCs/>
          <w:szCs w:val="21"/>
        </w:rPr>
        <w:t>2</w:t>
      </w:r>
      <w:r>
        <w:rPr>
          <w:rFonts w:hint="eastAsia" w:ascii="宋体" w:hAnsi="宋体"/>
          <w:bCs/>
          <w:szCs w:val="21"/>
        </w:rPr>
        <w:t>）</w:t>
      </w:r>
    </w:p>
    <w:p>
      <w:pPr>
        <w:pStyle w:val="2"/>
      </w:pPr>
    </w:p>
    <w:p>
      <w:pPr>
        <w:pStyle w:val="2"/>
        <w:rPr>
          <w:rFonts w:ascii="宋体" w:hAnsi="宋体"/>
          <w:bCs/>
          <w:szCs w:val="21"/>
        </w:rPr>
      </w:pPr>
    </w:p>
    <w:p>
      <w:pPr>
        <w:spacing w:line="400" w:lineRule="exact"/>
        <w:jc w:val="center"/>
        <w:rPr>
          <w:szCs w:val="21"/>
        </w:rPr>
        <w:sectPr>
          <w:footerReference r:id="rId9" w:type="default"/>
          <w:pgSz w:w="11907" w:h="16839"/>
          <w:pgMar w:top="1418" w:right="1134" w:bottom="1134" w:left="1418" w:header="1418" w:footer="851" w:gutter="0"/>
          <w:cols w:space="720" w:num="1"/>
          <w:docGrid w:type="lines" w:linePitch="312" w:charSpace="0"/>
        </w:sectPr>
      </w:pPr>
      <w:r>
        <w:rPr>
          <w:rFonts w:hint="eastAsia"/>
          <w:szCs w:val="21"/>
        </w:rPr>
        <w:t>_</w:t>
      </w:r>
      <w:r>
        <w:rPr>
          <w:szCs w:val="21"/>
        </w:rPr>
        <w:t>__________________________</w:t>
      </w:r>
    </w:p>
    <w:p>
      <w:pPr>
        <w:pStyle w:val="103"/>
        <w:spacing w:before="156" w:after="156"/>
        <w:ind w:firstLine="0" w:firstLineChars="0"/>
        <w:rPr>
          <w:rFonts w:ascii="Times New Roman"/>
        </w:rPr>
      </w:pPr>
    </w:p>
    <w:p>
      <w:pPr>
        <w:spacing w:line="440" w:lineRule="exact"/>
        <w:jc w:val="center"/>
      </w:pPr>
    </w:p>
    <w:p>
      <w:pPr>
        <w:spacing w:line="440" w:lineRule="exact"/>
        <w:jc w:val="center"/>
        <w:rPr>
          <w:szCs w:val="21"/>
        </w:rPr>
      </w:pPr>
    </w:p>
    <w:p>
      <w:pPr>
        <w:autoSpaceDE w:val="0"/>
        <w:autoSpaceDN w:val="0"/>
        <w:adjustRightInd w:val="0"/>
        <w:spacing w:line="440" w:lineRule="exact"/>
        <w:jc w:val="left"/>
      </w:pPr>
    </w:p>
    <w:sectPr>
      <w:headerReference r:id="rId10" w:type="default"/>
      <w:footerReference r:id="rId11" w:type="default"/>
      <w:pgSz w:w="11907" w:h="16839"/>
      <w:pgMar w:top="1418" w:right="1134" w:bottom="1134" w:left="1418" w:header="1418" w:footer="851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891FA65-7106-4097-8E12-0AEE13C1F3C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8C861B8-FC82-4A1F-9C1D-2E76A2D0CB6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0CECDE5F-76F3-4661-84CC-6C06AD65CD6B}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  <w:embedRegular r:id="rId4" w:fontKey="{652E54C9-7685-4B48-9D84-A6E350FFD91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7"/>
      <w:jc w:val="center"/>
      <w:rPr>
        <w:rStyle w:val="78"/>
      </w:rPr>
    </w:pPr>
    <w:r>
      <w:rPr>
        <w:rStyle w:val="78"/>
      </w:rPr>
      <w:fldChar w:fldCharType="begin"/>
    </w:r>
    <w:r>
      <w:rPr>
        <w:rStyle w:val="78"/>
      </w:rPr>
      <w:instrText xml:space="preserve">PAGE  </w:instrText>
    </w:r>
    <w:r>
      <w:rPr>
        <w:rStyle w:val="78"/>
      </w:rPr>
      <w:fldChar w:fldCharType="separate"/>
    </w:r>
    <w:r>
      <w:rPr>
        <w:rStyle w:val="78"/>
      </w:rPr>
      <w:t>1</w:t>
    </w:r>
    <w:r>
      <w:rPr>
        <w:rStyle w:val="7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9"/>
      <w:framePr w:wrap="around" w:vAnchor="text" w:hAnchor="margin" w:xAlign="right" w:y="1"/>
      <w:rPr>
        <w:rStyle w:val="78"/>
      </w:rPr>
    </w:pPr>
    <w:r>
      <w:rPr>
        <w:rStyle w:val="78"/>
      </w:rPr>
      <w:fldChar w:fldCharType="begin"/>
    </w:r>
    <w:r>
      <w:rPr>
        <w:rStyle w:val="78"/>
      </w:rPr>
      <w:instrText xml:space="preserve">PAGE  </w:instrText>
    </w:r>
    <w:r>
      <w:rPr>
        <w:rStyle w:val="78"/>
      </w:rPr>
      <w:fldChar w:fldCharType="separate"/>
    </w:r>
    <w:r>
      <w:rPr>
        <w:rStyle w:val="78"/>
      </w:rPr>
      <w:t>2</w:t>
    </w:r>
    <w:r>
      <w:rPr>
        <w:rStyle w:val="78"/>
      </w:rPr>
      <w:fldChar w:fldCharType="end"/>
    </w:r>
  </w:p>
  <w:p>
    <w:pPr>
      <w:pStyle w:val="4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7"/>
      <w:jc w:val="center"/>
      <w:rPr>
        <w:rStyle w:val="78"/>
      </w:rPr>
    </w:pPr>
    <w:r>
      <w:rPr>
        <w:rStyle w:val="78"/>
      </w:rPr>
      <w:fldChar w:fldCharType="begin"/>
    </w:r>
    <w:r>
      <w:rPr>
        <w:rStyle w:val="78"/>
      </w:rPr>
      <w:instrText xml:space="preserve">PAGE  </w:instrText>
    </w:r>
    <w:r>
      <w:rPr>
        <w:rStyle w:val="78"/>
      </w:rPr>
      <w:fldChar w:fldCharType="separate"/>
    </w:r>
    <w:r>
      <w:rPr>
        <w:rStyle w:val="78"/>
      </w:rPr>
      <w:t>4</w:t>
    </w:r>
    <w:r>
      <w:rPr>
        <w:rStyle w:val="78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7"/>
      <w:jc w:val="center"/>
      <w:rPr>
        <w:rStyle w:val="78"/>
      </w:rPr>
    </w:pPr>
    <w:r>
      <w:rPr>
        <w:rStyle w:val="78"/>
      </w:rPr>
      <w:fldChar w:fldCharType="begin"/>
    </w:r>
    <w:r>
      <w:rPr>
        <w:rStyle w:val="78"/>
      </w:rPr>
      <w:instrText xml:space="preserve">PAGE  </w:instrText>
    </w:r>
    <w:r>
      <w:rPr>
        <w:rStyle w:val="78"/>
      </w:rPr>
      <w:fldChar w:fldCharType="separate"/>
    </w:r>
    <w:r>
      <w:rPr>
        <w:rStyle w:val="78"/>
      </w:rPr>
      <w:t>6</w:t>
    </w:r>
    <w:r>
      <w:rPr>
        <w:rStyle w:val="78"/>
      </w:rP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7"/>
      <w:jc w:val="center"/>
      <w:rPr>
        <w:rStyle w:val="7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8"/>
    </w:pPr>
    <w:r>
      <w:t>DB13/T ××××—××××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0"/>
    </w:pPr>
    <w:r>
      <w:t xml:space="preserve">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8"/>
      <w:wordWrap w:val="0"/>
      <w:rPr>
        <w:rFonts w:ascii="黑体" w:hAnsi="黑体" w:eastAsia="黑体" w:cs="黑体"/>
      </w:rPr>
    </w:pPr>
    <w:r>
      <w:rPr>
        <w:rFonts w:hint="eastAsia" w:ascii="黑体" w:hAnsi="黑体" w:eastAsia="黑体" w:cs="黑体"/>
      </w:rPr>
      <w:t>DB13/T   —2023</w:t>
    </w:r>
  </w:p>
  <w:p>
    <w:pPr>
      <w:pStyle w:val="51"/>
      <w:pBdr>
        <w:bottom w:val="none" w:color="auto" w:sz="0" w:space="1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8"/>
      <w:wordWrap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37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55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43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35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66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42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22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33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39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10">
    <w:nsid w:val="0AE367E9"/>
    <w:multiLevelType w:val="multilevel"/>
    <w:tmpl w:val="0AE367E9"/>
    <w:lvl w:ilvl="0" w:tentative="0">
      <w:start w:val="1"/>
      <w:numFmt w:val="none"/>
      <w:pStyle w:val="139"/>
      <w:lvlText w:val="%1示例"/>
      <w:lvlJc w:val="left"/>
      <w:pPr>
        <w:tabs>
          <w:tab w:val="left" w:pos="1120"/>
        </w:tabs>
        <w:ind w:left="0" w:firstLine="400"/>
      </w:pPr>
      <w:rPr>
        <w:rFonts w:hint="eastAsia" w:ascii="宋体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407E65F9"/>
    <w:multiLevelType w:val="multilevel"/>
    <w:tmpl w:val="407E65F9"/>
    <w:lvl w:ilvl="0" w:tentative="0">
      <w:start w:val="1"/>
      <w:numFmt w:val="none"/>
      <w:pStyle w:val="26"/>
      <w:lvlText w:val="%1●　"/>
      <w:lvlJc w:val="left"/>
      <w:pPr>
        <w:tabs>
          <w:tab w:val="left" w:pos="560"/>
        </w:tabs>
        <w:ind w:left="517" w:hanging="317"/>
      </w:pPr>
      <w:rPr>
        <w:rFonts w:hint="eastAsia" w:ascii="宋体" w:hAnsi="Times New Roman" w:eastAsia="宋体"/>
        <w:b w:val="0"/>
        <w:i w:val="0"/>
        <w:sz w:val="13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2">
    <w:nsid w:val="46806F7D"/>
    <w:multiLevelType w:val="multilevel"/>
    <w:tmpl w:val="46806F7D"/>
    <w:lvl w:ilvl="0" w:tentative="0">
      <w:start w:val="1"/>
      <w:numFmt w:val="none"/>
      <w:pStyle w:val="127"/>
      <w:lvlText w:val="图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46D22D8F"/>
    <w:multiLevelType w:val="multilevel"/>
    <w:tmpl w:val="46D22D8F"/>
    <w:lvl w:ilvl="0" w:tentative="0">
      <w:start w:val="1"/>
      <w:numFmt w:val="none"/>
      <w:pStyle w:val="151"/>
      <w:lvlText w:val="%1◆　"/>
      <w:lvlJc w:val="left"/>
      <w:pPr>
        <w:tabs>
          <w:tab w:val="left" w:pos="960"/>
        </w:tabs>
        <w:ind w:left="917" w:hanging="317"/>
      </w:pPr>
      <w:rPr>
        <w:rFonts w:hint="eastAsia" w:ascii="宋体" w:hAnsi="Times New Roman" w:eastAsia="宋体"/>
        <w:b w:val="0"/>
        <w:i w:val="0"/>
        <w:position w:val="4"/>
        <w:sz w:val="1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496E4D7B"/>
    <w:multiLevelType w:val="multilevel"/>
    <w:tmpl w:val="496E4D7B"/>
    <w:lvl w:ilvl="0" w:tentative="0">
      <w:start w:val="1"/>
      <w:numFmt w:val="none"/>
      <w:pStyle w:val="149"/>
      <w:lvlText w:val="%1注"/>
      <w:lvlJc w:val="left"/>
      <w:pPr>
        <w:tabs>
          <w:tab w:val="left" w:pos="900"/>
        </w:tabs>
        <w:ind w:left="900" w:hanging="500"/>
      </w:pPr>
      <w:rPr>
        <w:rFonts w:hint="eastAsia" w:ascii="宋体" w:hAnsi="Times New Roman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>
    <w:nsid w:val="4F302902"/>
    <w:multiLevelType w:val="multilevel"/>
    <w:tmpl w:val="4F302902"/>
    <w:lvl w:ilvl="0" w:tentative="0">
      <w:start w:val="1"/>
      <w:numFmt w:val="none"/>
      <w:pStyle w:val="121"/>
      <w:lvlText w:val="表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">
    <w:nsid w:val="557C2AF5"/>
    <w:multiLevelType w:val="multilevel"/>
    <w:tmpl w:val="557C2AF5"/>
    <w:lvl w:ilvl="0" w:tentative="0">
      <w:start w:val="1"/>
      <w:numFmt w:val="decimal"/>
      <w:pStyle w:val="147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7">
    <w:nsid w:val="6350366A"/>
    <w:multiLevelType w:val="multilevel"/>
    <w:tmpl w:val="6350366A"/>
    <w:lvl w:ilvl="0" w:tentative="0">
      <w:start w:val="1"/>
      <w:numFmt w:val="none"/>
      <w:pStyle w:val="132"/>
      <w:lvlText w:val="%1●　"/>
      <w:lvlJc w:val="left"/>
      <w:pPr>
        <w:tabs>
          <w:tab w:val="left" w:pos="760"/>
        </w:tabs>
        <w:ind w:left="717" w:hanging="317"/>
      </w:pPr>
      <w:rPr>
        <w:rFonts w:hint="eastAsia" w:ascii="宋体" w:hAnsi="Times New Roman" w:eastAsia="宋体"/>
        <w:b w:val="0"/>
        <w:i w:val="0"/>
        <w:position w:val="4"/>
        <w:sz w:val="13"/>
      </w:rPr>
    </w:lvl>
    <w:lvl w:ilvl="1" w:tentative="0">
      <w:start w:val="1"/>
      <w:numFmt w:val="lowerLetter"/>
      <w:lvlText w:val="%2)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8">
    <w:nsid w:val="646260FA"/>
    <w:multiLevelType w:val="multilevel"/>
    <w:tmpl w:val="646260FA"/>
    <w:lvl w:ilvl="0" w:tentative="0">
      <w:start w:val="1"/>
      <w:numFmt w:val="decimal"/>
      <w:pStyle w:val="146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9">
    <w:nsid w:val="657D3FBC"/>
    <w:multiLevelType w:val="multilevel"/>
    <w:tmpl w:val="657D3FBC"/>
    <w:lvl w:ilvl="0" w:tentative="0">
      <w:start w:val="1"/>
      <w:numFmt w:val="upperLetter"/>
      <w:pStyle w:val="120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4"/>
        <w:szCs w:val="24"/>
      </w:rPr>
    </w:lvl>
    <w:lvl w:ilvl="1" w:tentative="0">
      <w:start w:val="1"/>
      <w:numFmt w:val="decimal"/>
      <w:pStyle w:val="122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28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0">
    <w:nsid w:val="6CEA2025"/>
    <w:multiLevelType w:val="multilevel"/>
    <w:tmpl w:val="6CEA2025"/>
    <w:lvl w:ilvl="0" w:tentative="0">
      <w:start w:val="1"/>
      <w:numFmt w:val="none"/>
      <w:pStyle w:val="101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05"/>
      <w:suff w:val="nothing"/>
      <w:lvlText w:val="%1%2　"/>
      <w:lvlJc w:val="left"/>
      <w:pPr>
        <w:ind w:left="315" w:firstLine="0"/>
      </w:pPr>
      <w:rPr>
        <w:rFonts w:hint="eastAsia" w:ascii="黑体" w:hAnsi="Times New Roman" w:eastAsia="黑体"/>
        <w:b w:val="0"/>
        <w:i w:val="0"/>
        <w:sz w:val="24"/>
        <w:szCs w:val="24"/>
      </w:rPr>
    </w:lvl>
    <w:lvl w:ilvl="2" w:tentative="0">
      <w:start w:val="1"/>
      <w:numFmt w:val="decimal"/>
      <w:pStyle w:val="106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pStyle w:val="107"/>
      <w:suff w:val="nothing"/>
      <w:lvlText w:val="%1%2.%3.%4　"/>
      <w:lvlJc w:val="left"/>
      <w:pPr>
        <w:ind w:left="840" w:firstLine="0"/>
      </w:pPr>
      <w:rPr>
        <w:rFonts w:hint="default" w:ascii="Times New Roman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pStyle w:val="137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41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45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1">
    <w:nsid w:val="6DBF04F4"/>
    <w:multiLevelType w:val="multilevel"/>
    <w:tmpl w:val="6DBF04F4"/>
    <w:lvl w:ilvl="0" w:tentative="0">
      <w:start w:val="1"/>
      <w:numFmt w:val="none"/>
      <w:pStyle w:val="148"/>
      <w:lvlText w:val="%1注："/>
      <w:lvlJc w:val="left"/>
      <w:pPr>
        <w:tabs>
          <w:tab w:val="left" w:pos="1140"/>
        </w:tabs>
        <w:ind w:left="840" w:hanging="420"/>
      </w:pPr>
      <w:rPr>
        <w:rFonts w:hint="eastAsia" w:ascii="宋体" w:hAnsi="Times New Roman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2">
    <w:nsid w:val="76933334"/>
    <w:multiLevelType w:val="multilevel"/>
    <w:tmpl w:val="76933334"/>
    <w:lvl w:ilvl="0" w:tentative="0">
      <w:start w:val="1"/>
      <w:numFmt w:val="none"/>
      <w:pStyle w:val="131"/>
      <w:lvlText w:val="%1——"/>
      <w:lvlJc w:val="left"/>
      <w:pPr>
        <w:tabs>
          <w:tab w:val="left" w:pos="11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8"/>
  </w:num>
  <w:num w:numId="2">
    <w:abstractNumId w:val="6"/>
  </w:num>
  <w:num w:numId="3">
    <w:abstractNumId w:val="11"/>
  </w:num>
  <w:num w:numId="4">
    <w:abstractNumId w:val="7"/>
  </w:num>
  <w:num w:numId="5">
    <w:abstractNumId w:val="3"/>
  </w:num>
  <w:num w:numId="6">
    <w:abstractNumId w:val="0"/>
  </w:num>
  <w:num w:numId="7">
    <w:abstractNumId w:val="9"/>
  </w:num>
  <w:num w:numId="8">
    <w:abstractNumId w:val="5"/>
  </w:num>
  <w:num w:numId="9">
    <w:abstractNumId w:val="2"/>
  </w:num>
  <w:num w:numId="10">
    <w:abstractNumId w:val="1"/>
  </w:num>
  <w:num w:numId="11">
    <w:abstractNumId w:val="4"/>
  </w:num>
  <w:num w:numId="12">
    <w:abstractNumId w:val="20"/>
  </w:num>
  <w:num w:numId="13">
    <w:abstractNumId w:val="19"/>
  </w:num>
  <w:num w:numId="14">
    <w:abstractNumId w:val="15"/>
  </w:num>
  <w:num w:numId="15">
    <w:abstractNumId w:val="12"/>
  </w:num>
  <w:num w:numId="16">
    <w:abstractNumId w:val="22"/>
  </w:num>
  <w:num w:numId="17">
    <w:abstractNumId w:val="17"/>
  </w:num>
  <w:num w:numId="18">
    <w:abstractNumId w:val="10"/>
  </w:num>
  <w:num w:numId="19">
    <w:abstractNumId w:val="18"/>
  </w:num>
  <w:num w:numId="20">
    <w:abstractNumId w:val="16"/>
  </w:num>
  <w:num w:numId="21">
    <w:abstractNumId w:val="21"/>
  </w:num>
  <w:num w:numId="22">
    <w:abstractNumId w:val="14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k4OWE1OGI3ODA1Mzc0ZjA0MGFmNzI0ZTBjMjIzMmIifQ=="/>
  </w:docVars>
  <w:rsids>
    <w:rsidRoot w:val="00350028"/>
    <w:rsid w:val="000015D9"/>
    <w:rsid w:val="000022D9"/>
    <w:rsid w:val="00003317"/>
    <w:rsid w:val="00004FBE"/>
    <w:rsid w:val="00005FCB"/>
    <w:rsid w:val="00006EF1"/>
    <w:rsid w:val="00007928"/>
    <w:rsid w:val="000079F4"/>
    <w:rsid w:val="00007D6F"/>
    <w:rsid w:val="0001019C"/>
    <w:rsid w:val="0001210B"/>
    <w:rsid w:val="0001321C"/>
    <w:rsid w:val="00016FC0"/>
    <w:rsid w:val="00017D75"/>
    <w:rsid w:val="0002272D"/>
    <w:rsid w:val="00023F62"/>
    <w:rsid w:val="000245AB"/>
    <w:rsid w:val="00024AF2"/>
    <w:rsid w:val="00024BF4"/>
    <w:rsid w:val="000257D0"/>
    <w:rsid w:val="000305A5"/>
    <w:rsid w:val="0003430B"/>
    <w:rsid w:val="000362DA"/>
    <w:rsid w:val="000369E1"/>
    <w:rsid w:val="0004098A"/>
    <w:rsid w:val="000411E8"/>
    <w:rsid w:val="000440BF"/>
    <w:rsid w:val="00044AD6"/>
    <w:rsid w:val="00051FCB"/>
    <w:rsid w:val="0005217D"/>
    <w:rsid w:val="0005363E"/>
    <w:rsid w:val="00053A50"/>
    <w:rsid w:val="0005458E"/>
    <w:rsid w:val="00054892"/>
    <w:rsid w:val="00054940"/>
    <w:rsid w:val="00055552"/>
    <w:rsid w:val="00055AE5"/>
    <w:rsid w:val="000566F4"/>
    <w:rsid w:val="00057F91"/>
    <w:rsid w:val="00062346"/>
    <w:rsid w:val="00062394"/>
    <w:rsid w:val="00062A2C"/>
    <w:rsid w:val="0006398E"/>
    <w:rsid w:val="00065730"/>
    <w:rsid w:val="0006590C"/>
    <w:rsid w:val="000660F7"/>
    <w:rsid w:val="000667E4"/>
    <w:rsid w:val="00066821"/>
    <w:rsid w:val="00067507"/>
    <w:rsid w:val="00070A9D"/>
    <w:rsid w:val="000724AF"/>
    <w:rsid w:val="000724EC"/>
    <w:rsid w:val="00072F09"/>
    <w:rsid w:val="00075651"/>
    <w:rsid w:val="00075E08"/>
    <w:rsid w:val="0007616C"/>
    <w:rsid w:val="00077628"/>
    <w:rsid w:val="0007762F"/>
    <w:rsid w:val="000776F5"/>
    <w:rsid w:val="00077728"/>
    <w:rsid w:val="000778E8"/>
    <w:rsid w:val="00080156"/>
    <w:rsid w:val="00083AD7"/>
    <w:rsid w:val="00083DDE"/>
    <w:rsid w:val="000853DC"/>
    <w:rsid w:val="00087910"/>
    <w:rsid w:val="00087FBD"/>
    <w:rsid w:val="0009025A"/>
    <w:rsid w:val="00093357"/>
    <w:rsid w:val="000936E8"/>
    <w:rsid w:val="000939AB"/>
    <w:rsid w:val="00093A9C"/>
    <w:rsid w:val="00094C10"/>
    <w:rsid w:val="000961F6"/>
    <w:rsid w:val="000973D7"/>
    <w:rsid w:val="00097F3F"/>
    <w:rsid w:val="000A01F7"/>
    <w:rsid w:val="000A03F5"/>
    <w:rsid w:val="000A05BC"/>
    <w:rsid w:val="000A222C"/>
    <w:rsid w:val="000A3644"/>
    <w:rsid w:val="000A3766"/>
    <w:rsid w:val="000A5C19"/>
    <w:rsid w:val="000A6AB6"/>
    <w:rsid w:val="000B011D"/>
    <w:rsid w:val="000B0327"/>
    <w:rsid w:val="000B04FC"/>
    <w:rsid w:val="000B14EA"/>
    <w:rsid w:val="000B2735"/>
    <w:rsid w:val="000B2D09"/>
    <w:rsid w:val="000B2FE9"/>
    <w:rsid w:val="000B77AA"/>
    <w:rsid w:val="000C13F9"/>
    <w:rsid w:val="000C15EE"/>
    <w:rsid w:val="000C22C3"/>
    <w:rsid w:val="000C5017"/>
    <w:rsid w:val="000C51AA"/>
    <w:rsid w:val="000C51F0"/>
    <w:rsid w:val="000C5CB1"/>
    <w:rsid w:val="000C6D2F"/>
    <w:rsid w:val="000C7648"/>
    <w:rsid w:val="000D051A"/>
    <w:rsid w:val="000D06CB"/>
    <w:rsid w:val="000D0ABF"/>
    <w:rsid w:val="000D1709"/>
    <w:rsid w:val="000D37F4"/>
    <w:rsid w:val="000D451C"/>
    <w:rsid w:val="000D51EA"/>
    <w:rsid w:val="000D56E2"/>
    <w:rsid w:val="000D5882"/>
    <w:rsid w:val="000D7176"/>
    <w:rsid w:val="000E0FD7"/>
    <w:rsid w:val="000E1046"/>
    <w:rsid w:val="000E10B3"/>
    <w:rsid w:val="000E13F4"/>
    <w:rsid w:val="000E224D"/>
    <w:rsid w:val="000E2E37"/>
    <w:rsid w:val="000E4B5D"/>
    <w:rsid w:val="000E6AC4"/>
    <w:rsid w:val="000F0066"/>
    <w:rsid w:val="000F0228"/>
    <w:rsid w:val="000F0BE8"/>
    <w:rsid w:val="000F1333"/>
    <w:rsid w:val="000F1F58"/>
    <w:rsid w:val="000F3758"/>
    <w:rsid w:val="000F4D36"/>
    <w:rsid w:val="000F5F8F"/>
    <w:rsid w:val="000F6509"/>
    <w:rsid w:val="001003F3"/>
    <w:rsid w:val="0010083C"/>
    <w:rsid w:val="001015E5"/>
    <w:rsid w:val="00101FD2"/>
    <w:rsid w:val="001026DB"/>
    <w:rsid w:val="00103A9D"/>
    <w:rsid w:val="00103C0C"/>
    <w:rsid w:val="00104921"/>
    <w:rsid w:val="00104C81"/>
    <w:rsid w:val="00106676"/>
    <w:rsid w:val="00106767"/>
    <w:rsid w:val="0011029A"/>
    <w:rsid w:val="00110340"/>
    <w:rsid w:val="00111F76"/>
    <w:rsid w:val="0011254C"/>
    <w:rsid w:val="001148C6"/>
    <w:rsid w:val="0011621C"/>
    <w:rsid w:val="0012053D"/>
    <w:rsid w:val="00121704"/>
    <w:rsid w:val="00121BA4"/>
    <w:rsid w:val="00123222"/>
    <w:rsid w:val="00123B7F"/>
    <w:rsid w:val="00124214"/>
    <w:rsid w:val="00124225"/>
    <w:rsid w:val="00124BA3"/>
    <w:rsid w:val="00127097"/>
    <w:rsid w:val="0013286B"/>
    <w:rsid w:val="00133BB0"/>
    <w:rsid w:val="001352EA"/>
    <w:rsid w:val="001361EB"/>
    <w:rsid w:val="00136D8C"/>
    <w:rsid w:val="00140AE5"/>
    <w:rsid w:val="001429E9"/>
    <w:rsid w:val="001439BF"/>
    <w:rsid w:val="00143AAE"/>
    <w:rsid w:val="00145C6B"/>
    <w:rsid w:val="00147CBE"/>
    <w:rsid w:val="001525B4"/>
    <w:rsid w:val="001536CD"/>
    <w:rsid w:val="001542A6"/>
    <w:rsid w:val="00155F51"/>
    <w:rsid w:val="001562D0"/>
    <w:rsid w:val="001571DC"/>
    <w:rsid w:val="00157CDA"/>
    <w:rsid w:val="00157E75"/>
    <w:rsid w:val="00157F5B"/>
    <w:rsid w:val="00160488"/>
    <w:rsid w:val="00161051"/>
    <w:rsid w:val="00161334"/>
    <w:rsid w:val="00164E04"/>
    <w:rsid w:val="001663C8"/>
    <w:rsid w:val="00173EE9"/>
    <w:rsid w:val="00174E33"/>
    <w:rsid w:val="00174ECF"/>
    <w:rsid w:val="00175179"/>
    <w:rsid w:val="00175A5A"/>
    <w:rsid w:val="001767BD"/>
    <w:rsid w:val="0018176A"/>
    <w:rsid w:val="001817F6"/>
    <w:rsid w:val="00183DB7"/>
    <w:rsid w:val="00185508"/>
    <w:rsid w:val="001866E1"/>
    <w:rsid w:val="001922F9"/>
    <w:rsid w:val="0019385C"/>
    <w:rsid w:val="00193F1B"/>
    <w:rsid w:val="00193FA1"/>
    <w:rsid w:val="00194561"/>
    <w:rsid w:val="00194CDF"/>
    <w:rsid w:val="00194E11"/>
    <w:rsid w:val="00195016"/>
    <w:rsid w:val="001967CC"/>
    <w:rsid w:val="001A030B"/>
    <w:rsid w:val="001A1FE9"/>
    <w:rsid w:val="001A2400"/>
    <w:rsid w:val="001A255D"/>
    <w:rsid w:val="001A3765"/>
    <w:rsid w:val="001B05AA"/>
    <w:rsid w:val="001B0643"/>
    <w:rsid w:val="001B245B"/>
    <w:rsid w:val="001B3FA0"/>
    <w:rsid w:val="001B425B"/>
    <w:rsid w:val="001B431B"/>
    <w:rsid w:val="001B4813"/>
    <w:rsid w:val="001B53BE"/>
    <w:rsid w:val="001B5F3A"/>
    <w:rsid w:val="001B67B8"/>
    <w:rsid w:val="001C0985"/>
    <w:rsid w:val="001C24C0"/>
    <w:rsid w:val="001C2DA0"/>
    <w:rsid w:val="001C3427"/>
    <w:rsid w:val="001C3BD4"/>
    <w:rsid w:val="001C44C0"/>
    <w:rsid w:val="001C75F2"/>
    <w:rsid w:val="001D0E65"/>
    <w:rsid w:val="001D1B10"/>
    <w:rsid w:val="001D2EAA"/>
    <w:rsid w:val="001D34BF"/>
    <w:rsid w:val="001D4053"/>
    <w:rsid w:val="001D4510"/>
    <w:rsid w:val="001D51BF"/>
    <w:rsid w:val="001D5561"/>
    <w:rsid w:val="001D59AA"/>
    <w:rsid w:val="001E1562"/>
    <w:rsid w:val="001E3E6E"/>
    <w:rsid w:val="001E4DCC"/>
    <w:rsid w:val="001E56DC"/>
    <w:rsid w:val="001E59EE"/>
    <w:rsid w:val="001E5D73"/>
    <w:rsid w:val="001E75F9"/>
    <w:rsid w:val="001E7B09"/>
    <w:rsid w:val="001F0484"/>
    <w:rsid w:val="001F0578"/>
    <w:rsid w:val="001F3F3C"/>
    <w:rsid w:val="001F50E3"/>
    <w:rsid w:val="001F5E12"/>
    <w:rsid w:val="002002C5"/>
    <w:rsid w:val="00200391"/>
    <w:rsid w:val="00202AE7"/>
    <w:rsid w:val="00202CE2"/>
    <w:rsid w:val="0020575E"/>
    <w:rsid w:val="002065E9"/>
    <w:rsid w:val="00207E83"/>
    <w:rsid w:val="002115D6"/>
    <w:rsid w:val="00212530"/>
    <w:rsid w:val="00213879"/>
    <w:rsid w:val="00214899"/>
    <w:rsid w:val="00215F01"/>
    <w:rsid w:val="002160EF"/>
    <w:rsid w:val="00216738"/>
    <w:rsid w:val="00216E4E"/>
    <w:rsid w:val="0022092A"/>
    <w:rsid w:val="00221320"/>
    <w:rsid w:val="00221335"/>
    <w:rsid w:val="00221C08"/>
    <w:rsid w:val="00222099"/>
    <w:rsid w:val="002246DA"/>
    <w:rsid w:val="00226F64"/>
    <w:rsid w:val="00232834"/>
    <w:rsid w:val="00232C62"/>
    <w:rsid w:val="00232F90"/>
    <w:rsid w:val="002345C5"/>
    <w:rsid w:val="00237D0E"/>
    <w:rsid w:val="00240E50"/>
    <w:rsid w:val="00241321"/>
    <w:rsid w:val="0024138F"/>
    <w:rsid w:val="00241703"/>
    <w:rsid w:val="00244D2C"/>
    <w:rsid w:val="00247469"/>
    <w:rsid w:val="00247F1F"/>
    <w:rsid w:val="0025081E"/>
    <w:rsid w:val="00251849"/>
    <w:rsid w:val="00251B24"/>
    <w:rsid w:val="00252810"/>
    <w:rsid w:val="00253A8C"/>
    <w:rsid w:val="00256766"/>
    <w:rsid w:val="002572EC"/>
    <w:rsid w:val="00257321"/>
    <w:rsid w:val="00260C28"/>
    <w:rsid w:val="00261A5A"/>
    <w:rsid w:val="00261FC8"/>
    <w:rsid w:val="002625C4"/>
    <w:rsid w:val="00262DEA"/>
    <w:rsid w:val="00262EC7"/>
    <w:rsid w:val="00264007"/>
    <w:rsid w:val="0026423B"/>
    <w:rsid w:val="00265298"/>
    <w:rsid w:val="00265C2C"/>
    <w:rsid w:val="00273E98"/>
    <w:rsid w:val="00274B45"/>
    <w:rsid w:val="00274B8F"/>
    <w:rsid w:val="00275B08"/>
    <w:rsid w:val="002764DE"/>
    <w:rsid w:val="00276EB7"/>
    <w:rsid w:val="00276F1C"/>
    <w:rsid w:val="00277160"/>
    <w:rsid w:val="0028036F"/>
    <w:rsid w:val="002805A8"/>
    <w:rsid w:val="002806AC"/>
    <w:rsid w:val="0028095C"/>
    <w:rsid w:val="002825B8"/>
    <w:rsid w:val="002835B0"/>
    <w:rsid w:val="00284BA7"/>
    <w:rsid w:val="002851E1"/>
    <w:rsid w:val="00285CE8"/>
    <w:rsid w:val="00286617"/>
    <w:rsid w:val="00286D47"/>
    <w:rsid w:val="00286F40"/>
    <w:rsid w:val="00287483"/>
    <w:rsid w:val="00290E5F"/>
    <w:rsid w:val="0029194E"/>
    <w:rsid w:val="00292024"/>
    <w:rsid w:val="0029256E"/>
    <w:rsid w:val="00293EEA"/>
    <w:rsid w:val="002951E8"/>
    <w:rsid w:val="00296EB3"/>
    <w:rsid w:val="00297C1C"/>
    <w:rsid w:val="002A11F1"/>
    <w:rsid w:val="002A12CF"/>
    <w:rsid w:val="002A1836"/>
    <w:rsid w:val="002A1CE0"/>
    <w:rsid w:val="002A26F1"/>
    <w:rsid w:val="002A2CF1"/>
    <w:rsid w:val="002A4E3B"/>
    <w:rsid w:val="002B1561"/>
    <w:rsid w:val="002B19ED"/>
    <w:rsid w:val="002B1B33"/>
    <w:rsid w:val="002B2C7B"/>
    <w:rsid w:val="002B4FC3"/>
    <w:rsid w:val="002B6CD4"/>
    <w:rsid w:val="002B6FC1"/>
    <w:rsid w:val="002C007D"/>
    <w:rsid w:val="002C6E49"/>
    <w:rsid w:val="002C750B"/>
    <w:rsid w:val="002D193F"/>
    <w:rsid w:val="002D44BA"/>
    <w:rsid w:val="002D6DA0"/>
    <w:rsid w:val="002E00A3"/>
    <w:rsid w:val="002E1E3D"/>
    <w:rsid w:val="002E56EC"/>
    <w:rsid w:val="002E643C"/>
    <w:rsid w:val="002E677B"/>
    <w:rsid w:val="002F255B"/>
    <w:rsid w:val="002F3CE0"/>
    <w:rsid w:val="002F4655"/>
    <w:rsid w:val="002F5063"/>
    <w:rsid w:val="002F6A5C"/>
    <w:rsid w:val="00300CA4"/>
    <w:rsid w:val="00301A32"/>
    <w:rsid w:val="00302264"/>
    <w:rsid w:val="00302A17"/>
    <w:rsid w:val="0030520B"/>
    <w:rsid w:val="0030674A"/>
    <w:rsid w:val="003068E0"/>
    <w:rsid w:val="00312559"/>
    <w:rsid w:val="00312C94"/>
    <w:rsid w:val="003138E3"/>
    <w:rsid w:val="0031602E"/>
    <w:rsid w:val="003166FD"/>
    <w:rsid w:val="00320AB1"/>
    <w:rsid w:val="00322356"/>
    <w:rsid w:val="00323ABF"/>
    <w:rsid w:val="00323FCD"/>
    <w:rsid w:val="00327655"/>
    <w:rsid w:val="00330298"/>
    <w:rsid w:val="003306CC"/>
    <w:rsid w:val="00330759"/>
    <w:rsid w:val="00330F65"/>
    <w:rsid w:val="00332F44"/>
    <w:rsid w:val="00333067"/>
    <w:rsid w:val="003346CE"/>
    <w:rsid w:val="003359CB"/>
    <w:rsid w:val="00335ADD"/>
    <w:rsid w:val="00337F74"/>
    <w:rsid w:val="003419FA"/>
    <w:rsid w:val="0034321E"/>
    <w:rsid w:val="00343B7E"/>
    <w:rsid w:val="003457CE"/>
    <w:rsid w:val="0034691A"/>
    <w:rsid w:val="00346F21"/>
    <w:rsid w:val="003478A4"/>
    <w:rsid w:val="00347D90"/>
    <w:rsid w:val="00350028"/>
    <w:rsid w:val="0035014C"/>
    <w:rsid w:val="00351DFC"/>
    <w:rsid w:val="003520A0"/>
    <w:rsid w:val="00352B38"/>
    <w:rsid w:val="00355063"/>
    <w:rsid w:val="003554F2"/>
    <w:rsid w:val="003618A0"/>
    <w:rsid w:val="00362265"/>
    <w:rsid w:val="003623E7"/>
    <w:rsid w:val="00363216"/>
    <w:rsid w:val="00364B87"/>
    <w:rsid w:val="00365E88"/>
    <w:rsid w:val="0036680B"/>
    <w:rsid w:val="00367AB2"/>
    <w:rsid w:val="00370482"/>
    <w:rsid w:val="0037151B"/>
    <w:rsid w:val="0037197F"/>
    <w:rsid w:val="0037359C"/>
    <w:rsid w:val="0037490D"/>
    <w:rsid w:val="00376665"/>
    <w:rsid w:val="003776C7"/>
    <w:rsid w:val="00377814"/>
    <w:rsid w:val="0038117E"/>
    <w:rsid w:val="00381852"/>
    <w:rsid w:val="00382CD8"/>
    <w:rsid w:val="0038372C"/>
    <w:rsid w:val="00383D32"/>
    <w:rsid w:val="00386D17"/>
    <w:rsid w:val="00393D6B"/>
    <w:rsid w:val="003940AB"/>
    <w:rsid w:val="00394B88"/>
    <w:rsid w:val="003958C2"/>
    <w:rsid w:val="00396F86"/>
    <w:rsid w:val="00397998"/>
    <w:rsid w:val="003A2575"/>
    <w:rsid w:val="003A59C9"/>
    <w:rsid w:val="003A74E7"/>
    <w:rsid w:val="003B1205"/>
    <w:rsid w:val="003B2446"/>
    <w:rsid w:val="003B485A"/>
    <w:rsid w:val="003B4A48"/>
    <w:rsid w:val="003B68AA"/>
    <w:rsid w:val="003B7A57"/>
    <w:rsid w:val="003C1F77"/>
    <w:rsid w:val="003C21D5"/>
    <w:rsid w:val="003C2B28"/>
    <w:rsid w:val="003C41C8"/>
    <w:rsid w:val="003C4547"/>
    <w:rsid w:val="003C4D27"/>
    <w:rsid w:val="003C514D"/>
    <w:rsid w:val="003C525B"/>
    <w:rsid w:val="003C5A7A"/>
    <w:rsid w:val="003C6F59"/>
    <w:rsid w:val="003C702D"/>
    <w:rsid w:val="003D03D3"/>
    <w:rsid w:val="003D0683"/>
    <w:rsid w:val="003D6112"/>
    <w:rsid w:val="003E0329"/>
    <w:rsid w:val="003E0346"/>
    <w:rsid w:val="003E26E4"/>
    <w:rsid w:val="003E5240"/>
    <w:rsid w:val="003E598E"/>
    <w:rsid w:val="003E5A47"/>
    <w:rsid w:val="003E6438"/>
    <w:rsid w:val="003E75A4"/>
    <w:rsid w:val="003E7FA9"/>
    <w:rsid w:val="003F01E5"/>
    <w:rsid w:val="003F01EA"/>
    <w:rsid w:val="003F0476"/>
    <w:rsid w:val="003F07E6"/>
    <w:rsid w:val="003F0D16"/>
    <w:rsid w:val="003F0EA8"/>
    <w:rsid w:val="003F129D"/>
    <w:rsid w:val="003F211B"/>
    <w:rsid w:val="003F5586"/>
    <w:rsid w:val="003F6821"/>
    <w:rsid w:val="004006BB"/>
    <w:rsid w:val="004006E5"/>
    <w:rsid w:val="00401EDA"/>
    <w:rsid w:val="004032C3"/>
    <w:rsid w:val="004038D7"/>
    <w:rsid w:val="00404BBB"/>
    <w:rsid w:val="00405831"/>
    <w:rsid w:val="00405BA7"/>
    <w:rsid w:val="004109E4"/>
    <w:rsid w:val="004128C2"/>
    <w:rsid w:val="00412F82"/>
    <w:rsid w:val="0041340A"/>
    <w:rsid w:val="00413A3C"/>
    <w:rsid w:val="00413B15"/>
    <w:rsid w:val="00413CBF"/>
    <w:rsid w:val="00413D49"/>
    <w:rsid w:val="00414A34"/>
    <w:rsid w:val="00421360"/>
    <w:rsid w:val="00421B91"/>
    <w:rsid w:val="00421C7A"/>
    <w:rsid w:val="00421E32"/>
    <w:rsid w:val="004222D7"/>
    <w:rsid w:val="0042382C"/>
    <w:rsid w:val="00423B83"/>
    <w:rsid w:val="00424048"/>
    <w:rsid w:val="004241E1"/>
    <w:rsid w:val="00425F8F"/>
    <w:rsid w:val="004302EF"/>
    <w:rsid w:val="00430336"/>
    <w:rsid w:val="00430DC2"/>
    <w:rsid w:val="00431A37"/>
    <w:rsid w:val="00431DCA"/>
    <w:rsid w:val="0043338F"/>
    <w:rsid w:val="004353AD"/>
    <w:rsid w:val="00440BA6"/>
    <w:rsid w:val="00440E3E"/>
    <w:rsid w:val="0044167C"/>
    <w:rsid w:val="00441CA2"/>
    <w:rsid w:val="00443F5A"/>
    <w:rsid w:val="0044491C"/>
    <w:rsid w:val="0044596E"/>
    <w:rsid w:val="00447976"/>
    <w:rsid w:val="00450167"/>
    <w:rsid w:val="00450C4B"/>
    <w:rsid w:val="00452112"/>
    <w:rsid w:val="00453AD5"/>
    <w:rsid w:val="00453C5B"/>
    <w:rsid w:val="00453E54"/>
    <w:rsid w:val="00454DFC"/>
    <w:rsid w:val="0045592C"/>
    <w:rsid w:val="00455D48"/>
    <w:rsid w:val="004562F2"/>
    <w:rsid w:val="00460711"/>
    <w:rsid w:val="00460932"/>
    <w:rsid w:val="00463A2A"/>
    <w:rsid w:val="0046417E"/>
    <w:rsid w:val="004649E8"/>
    <w:rsid w:val="00464A5B"/>
    <w:rsid w:val="0046643D"/>
    <w:rsid w:val="004675F1"/>
    <w:rsid w:val="004713A7"/>
    <w:rsid w:val="004720AD"/>
    <w:rsid w:val="004743F4"/>
    <w:rsid w:val="00474607"/>
    <w:rsid w:val="00476C52"/>
    <w:rsid w:val="00480E68"/>
    <w:rsid w:val="004818C2"/>
    <w:rsid w:val="00481C07"/>
    <w:rsid w:val="004835A1"/>
    <w:rsid w:val="00485F8C"/>
    <w:rsid w:val="00486132"/>
    <w:rsid w:val="00486212"/>
    <w:rsid w:val="00494BA6"/>
    <w:rsid w:val="00495236"/>
    <w:rsid w:val="0049595D"/>
    <w:rsid w:val="0049702B"/>
    <w:rsid w:val="004974E7"/>
    <w:rsid w:val="004A164F"/>
    <w:rsid w:val="004A1F10"/>
    <w:rsid w:val="004A2965"/>
    <w:rsid w:val="004A2EC7"/>
    <w:rsid w:val="004A37F2"/>
    <w:rsid w:val="004A4FC3"/>
    <w:rsid w:val="004A5111"/>
    <w:rsid w:val="004A68B2"/>
    <w:rsid w:val="004B4661"/>
    <w:rsid w:val="004B4A5C"/>
    <w:rsid w:val="004B7CB8"/>
    <w:rsid w:val="004C0A9C"/>
    <w:rsid w:val="004C2DAE"/>
    <w:rsid w:val="004C395A"/>
    <w:rsid w:val="004C7E66"/>
    <w:rsid w:val="004D0B77"/>
    <w:rsid w:val="004D2053"/>
    <w:rsid w:val="004D476E"/>
    <w:rsid w:val="004D518C"/>
    <w:rsid w:val="004D5CC8"/>
    <w:rsid w:val="004D60CD"/>
    <w:rsid w:val="004D69B5"/>
    <w:rsid w:val="004D6C62"/>
    <w:rsid w:val="004D6E80"/>
    <w:rsid w:val="004D720A"/>
    <w:rsid w:val="004D7BC6"/>
    <w:rsid w:val="004E07BE"/>
    <w:rsid w:val="004E2CBF"/>
    <w:rsid w:val="004E2FF6"/>
    <w:rsid w:val="004E452A"/>
    <w:rsid w:val="004E7A9F"/>
    <w:rsid w:val="004E7F99"/>
    <w:rsid w:val="004F0625"/>
    <w:rsid w:val="004F0A89"/>
    <w:rsid w:val="004F2D9F"/>
    <w:rsid w:val="004F355E"/>
    <w:rsid w:val="004F464F"/>
    <w:rsid w:val="004F47AC"/>
    <w:rsid w:val="004F5B43"/>
    <w:rsid w:val="004F6AF8"/>
    <w:rsid w:val="00500715"/>
    <w:rsid w:val="00500A2E"/>
    <w:rsid w:val="00503421"/>
    <w:rsid w:val="005039E7"/>
    <w:rsid w:val="0050588D"/>
    <w:rsid w:val="00507BB6"/>
    <w:rsid w:val="0051367B"/>
    <w:rsid w:val="00514272"/>
    <w:rsid w:val="00515225"/>
    <w:rsid w:val="005160F4"/>
    <w:rsid w:val="00516ACF"/>
    <w:rsid w:val="00516EAF"/>
    <w:rsid w:val="005178F0"/>
    <w:rsid w:val="00517DDA"/>
    <w:rsid w:val="0052003E"/>
    <w:rsid w:val="00523894"/>
    <w:rsid w:val="00523B67"/>
    <w:rsid w:val="005245D0"/>
    <w:rsid w:val="00526EDF"/>
    <w:rsid w:val="00527E8A"/>
    <w:rsid w:val="00527F15"/>
    <w:rsid w:val="00530449"/>
    <w:rsid w:val="00531ECD"/>
    <w:rsid w:val="00532236"/>
    <w:rsid w:val="00533C1D"/>
    <w:rsid w:val="00534027"/>
    <w:rsid w:val="00535B7E"/>
    <w:rsid w:val="00537062"/>
    <w:rsid w:val="0053706C"/>
    <w:rsid w:val="00537208"/>
    <w:rsid w:val="00537E01"/>
    <w:rsid w:val="00541C8C"/>
    <w:rsid w:val="00543B48"/>
    <w:rsid w:val="00543F5D"/>
    <w:rsid w:val="00544AE3"/>
    <w:rsid w:val="005466AE"/>
    <w:rsid w:val="0055418B"/>
    <w:rsid w:val="00554614"/>
    <w:rsid w:val="00554B2A"/>
    <w:rsid w:val="0055538B"/>
    <w:rsid w:val="005562BF"/>
    <w:rsid w:val="00556669"/>
    <w:rsid w:val="00557027"/>
    <w:rsid w:val="00561873"/>
    <w:rsid w:val="00561CE7"/>
    <w:rsid w:val="005626D0"/>
    <w:rsid w:val="00563E6E"/>
    <w:rsid w:val="00565989"/>
    <w:rsid w:val="005668BB"/>
    <w:rsid w:val="00570EC6"/>
    <w:rsid w:val="00571AEF"/>
    <w:rsid w:val="005725D2"/>
    <w:rsid w:val="00573250"/>
    <w:rsid w:val="00573A6B"/>
    <w:rsid w:val="00575D4B"/>
    <w:rsid w:val="00580D31"/>
    <w:rsid w:val="00581918"/>
    <w:rsid w:val="005827D9"/>
    <w:rsid w:val="005835D8"/>
    <w:rsid w:val="00585D48"/>
    <w:rsid w:val="00585D7C"/>
    <w:rsid w:val="00585F87"/>
    <w:rsid w:val="00592C70"/>
    <w:rsid w:val="00592DBB"/>
    <w:rsid w:val="00592E95"/>
    <w:rsid w:val="00597A3A"/>
    <w:rsid w:val="005A0700"/>
    <w:rsid w:val="005A0F05"/>
    <w:rsid w:val="005A242F"/>
    <w:rsid w:val="005A257E"/>
    <w:rsid w:val="005A3EC9"/>
    <w:rsid w:val="005A522E"/>
    <w:rsid w:val="005B207D"/>
    <w:rsid w:val="005B46F9"/>
    <w:rsid w:val="005B4B6A"/>
    <w:rsid w:val="005B4DBF"/>
    <w:rsid w:val="005B6821"/>
    <w:rsid w:val="005B6C8C"/>
    <w:rsid w:val="005B7039"/>
    <w:rsid w:val="005C0187"/>
    <w:rsid w:val="005C06B8"/>
    <w:rsid w:val="005C1D3A"/>
    <w:rsid w:val="005C52CC"/>
    <w:rsid w:val="005C6761"/>
    <w:rsid w:val="005C68E8"/>
    <w:rsid w:val="005C6E41"/>
    <w:rsid w:val="005D0225"/>
    <w:rsid w:val="005D0499"/>
    <w:rsid w:val="005D14C0"/>
    <w:rsid w:val="005D2571"/>
    <w:rsid w:val="005D2C41"/>
    <w:rsid w:val="005D398A"/>
    <w:rsid w:val="005D3AC5"/>
    <w:rsid w:val="005D3E1D"/>
    <w:rsid w:val="005D4C2E"/>
    <w:rsid w:val="005D4FD4"/>
    <w:rsid w:val="005D576A"/>
    <w:rsid w:val="005D689C"/>
    <w:rsid w:val="005D7CAB"/>
    <w:rsid w:val="005E01E8"/>
    <w:rsid w:val="005E11F8"/>
    <w:rsid w:val="005E1607"/>
    <w:rsid w:val="005E1ECF"/>
    <w:rsid w:val="005E20A2"/>
    <w:rsid w:val="005E38A2"/>
    <w:rsid w:val="005E5362"/>
    <w:rsid w:val="005E5879"/>
    <w:rsid w:val="005E6239"/>
    <w:rsid w:val="005E7B35"/>
    <w:rsid w:val="005F0E19"/>
    <w:rsid w:val="005F0FD4"/>
    <w:rsid w:val="005F1176"/>
    <w:rsid w:val="005F216B"/>
    <w:rsid w:val="005F3B52"/>
    <w:rsid w:val="005F67FB"/>
    <w:rsid w:val="005F76E9"/>
    <w:rsid w:val="005F7984"/>
    <w:rsid w:val="00602069"/>
    <w:rsid w:val="00605BAF"/>
    <w:rsid w:val="0060684D"/>
    <w:rsid w:val="00606945"/>
    <w:rsid w:val="00607871"/>
    <w:rsid w:val="00612590"/>
    <w:rsid w:val="0061496E"/>
    <w:rsid w:val="00617894"/>
    <w:rsid w:val="0062014F"/>
    <w:rsid w:val="00620332"/>
    <w:rsid w:val="00621204"/>
    <w:rsid w:val="00621362"/>
    <w:rsid w:val="00621E19"/>
    <w:rsid w:val="00623650"/>
    <w:rsid w:val="00623741"/>
    <w:rsid w:val="00624D9D"/>
    <w:rsid w:val="006252A5"/>
    <w:rsid w:val="00625C4C"/>
    <w:rsid w:val="0062706F"/>
    <w:rsid w:val="00627AFE"/>
    <w:rsid w:val="006314B9"/>
    <w:rsid w:val="00632957"/>
    <w:rsid w:val="00634908"/>
    <w:rsid w:val="00636699"/>
    <w:rsid w:val="00637A3E"/>
    <w:rsid w:val="00637D0B"/>
    <w:rsid w:val="00637EEA"/>
    <w:rsid w:val="00642A27"/>
    <w:rsid w:val="00643BAB"/>
    <w:rsid w:val="00644492"/>
    <w:rsid w:val="006459D3"/>
    <w:rsid w:val="0064759F"/>
    <w:rsid w:val="00647BB1"/>
    <w:rsid w:val="00650299"/>
    <w:rsid w:val="0065094A"/>
    <w:rsid w:val="00650C0F"/>
    <w:rsid w:val="006510C0"/>
    <w:rsid w:val="00651A0D"/>
    <w:rsid w:val="00653CF0"/>
    <w:rsid w:val="00654268"/>
    <w:rsid w:val="006553FD"/>
    <w:rsid w:val="0066128C"/>
    <w:rsid w:val="006626CC"/>
    <w:rsid w:val="00662A4D"/>
    <w:rsid w:val="00662C14"/>
    <w:rsid w:val="00663099"/>
    <w:rsid w:val="00665BF4"/>
    <w:rsid w:val="00665DEE"/>
    <w:rsid w:val="00667BA0"/>
    <w:rsid w:val="00670633"/>
    <w:rsid w:val="00672033"/>
    <w:rsid w:val="00672116"/>
    <w:rsid w:val="00672F18"/>
    <w:rsid w:val="00673A44"/>
    <w:rsid w:val="006742D2"/>
    <w:rsid w:val="00674656"/>
    <w:rsid w:val="006749A3"/>
    <w:rsid w:val="0067513D"/>
    <w:rsid w:val="006754AB"/>
    <w:rsid w:val="006756F9"/>
    <w:rsid w:val="006768DE"/>
    <w:rsid w:val="00677740"/>
    <w:rsid w:val="006809AC"/>
    <w:rsid w:val="00682A06"/>
    <w:rsid w:val="00684B62"/>
    <w:rsid w:val="00684E44"/>
    <w:rsid w:val="00685DC1"/>
    <w:rsid w:val="00687256"/>
    <w:rsid w:val="00690197"/>
    <w:rsid w:val="00691472"/>
    <w:rsid w:val="00691A12"/>
    <w:rsid w:val="00692DAF"/>
    <w:rsid w:val="0069375A"/>
    <w:rsid w:val="00694294"/>
    <w:rsid w:val="006945F8"/>
    <w:rsid w:val="0069606A"/>
    <w:rsid w:val="006A04BA"/>
    <w:rsid w:val="006A05F8"/>
    <w:rsid w:val="006A4211"/>
    <w:rsid w:val="006A4889"/>
    <w:rsid w:val="006A609B"/>
    <w:rsid w:val="006A642D"/>
    <w:rsid w:val="006A779E"/>
    <w:rsid w:val="006A7CF3"/>
    <w:rsid w:val="006B0B8A"/>
    <w:rsid w:val="006B22CB"/>
    <w:rsid w:val="006B2EE1"/>
    <w:rsid w:val="006B470E"/>
    <w:rsid w:val="006B5A64"/>
    <w:rsid w:val="006B6DDF"/>
    <w:rsid w:val="006B7259"/>
    <w:rsid w:val="006C02AE"/>
    <w:rsid w:val="006C161D"/>
    <w:rsid w:val="006C1A71"/>
    <w:rsid w:val="006C1C27"/>
    <w:rsid w:val="006C20E4"/>
    <w:rsid w:val="006C292A"/>
    <w:rsid w:val="006C3564"/>
    <w:rsid w:val="006C3565"/>
    <w:rsid w:val="006C36B2"/>
    <w:rsid w:val="006C3C44"/>
    <w:rsid w:val="006C3E0D"/>
    <w:rsid w:val="006C5A7C"/>
    <w:rsid w:val="006D02EF"/>
    <w:rsid w:val="006D2939"/>
    <w:rsid w:val="006D29D7"/>
    <w:rsid w:val="006D3757"/>
    <w:rsid w:val="006D4B7D"/>
    <w:rsid w:val="006D7DA8"/>
    <w:rsid w:val="006E11BD"/>
    <w:rsid w:val="006E5B68"/>
    <w:rsid w:val="006E672D"/>
    <w:rsid w:val="006E7931"/>
    <w:rsid w:val="006F00CB"/>
    <w:rsid w:val="006F29F1"/>
    <w:rsid w:val="006F3362"/>
    <w:rsid w:val="006F41D9"/>
    <w:rsid w:val="006F4654"/>
    <w:rsid w:val="006F605E"/>
    <w:rsid w:val="006F6341"/>
    <w:rsid w:val="007027CE"/>
    <w:rsid w:val="00703DAD"/>
    <w:rsid w:val="00705F18"/>
    <w:rsid w:val="007060F0"/>
    <w:rsid w:val="00707D47"/>
    <w:rsid w:val="00707FFA"/>
    <w:rsid w:val="00710828"/>
    <w:rsid w:val="007109EA"/>
    <w:rsid w:val="00710B26"/>
    <w:rsid w:val="00710DB7"/>
    <w:rsid w:val="00712E6D"/>
    <w:rsid w:val="007133D2"/>
    <w:rsid w:val="00716AD9"/>
    <w:rsid w:val="00716E94"/>
    <w:rsid w:val="00716FB5"/>
    <w:rsid w:val="0072155C"/>
    <w:rsid w:val="0072196F"/>
    <w:rsid w:val="0072443E"/>
    <w:rsid w:val="00724D43"/>
    <w:rsid w:val="00726ECF"/>
    <w:rsid w:val="00732CCC"/>
    <w:rsid w:val="00732EF6"/>
    <w:rsid w:val="0073309A"/>
    <w:rsid w:val="00733746"/>
    <w:rsid w:val="00733B71"/>
    <w:rsid w:val="007417EF"/>
    <w:rsid w:val="0074240E"/>
    <w:rsid w:val="00742E9C"/>
    <w:rsid w:val="00743FD7"/>
    <w:rsid w:val="007468FE"/>
    <w:rsid w:val="00746A72"/>
    <w:rsid w:val="00747C67"/>
    <w:rsid w:val="007509EE"/>
    <w:rsid w:val="00750AE8"/>
    <w:rsid w:val="007519DF"/>
    <w:rsid w:val="007531E4"/>
    <w:rsid w:val="00753A54"/>
    <w:rsid w:val="00753FE2"/>
    <w:rsid w:val="007545ED"/>
    <w:rsid w:val="00754989"/>
    <w:rsid w:val="007554FA"/>
    <w:rsid w:val="00755E11"/>
    <w:rsid w:val="00755EB2"/>
    <w:rsid w:val="00756456"/>
    <w:rsid w:val="007629B4"/>
    <w:rsid w:val="00762ED1"/>
    <w:rsid w:val="00766248"/>
    <w:rsid w:val="007700E5"/>
    <w:rsid w:val="00770F3F"/>
    <w:rsid w:val="007729BC"/>
    <w:rsid w:val="00777701"/>
    <w:rsid w:val="00777DC9"/>
    <w:rsid w:val="0078030E"/>
    <w:rsid w:val="007806BD"/>
    <w:rsid w:val="007809DB"/>
    <w:rsid w:val="007811EA"/>
    <w:rsid w:val="0078138F"/>
    <w:rsid w:val="00781CCC"/>
    <w:rsid w:val="00783973"/>
    <w:rsid w:val="00785054"/>
    <w:rsid w:val="007870A4"/>
    <w:rsid w:val="00790677"/>
    <w:rsid w:val="00791BE2"/>
    <w:rsid w:val="00794567"/>
    <w:rsid w:val="00796C08"/>
    <w:rsid w:val="007974AC"/>
    <w:rsid w:val="007A01B9"/>
    <w:rsid w:val="007A1116"/>
    <w:rsid w:val="007A3986"/>
    <w:rsid w:val="007A4199"/>
    <w:rsid w:val="007A4212"/>
    <w:rsid w:val="007A439E"/>
    <w:rsid w:val="007A46A0"/>
    <w:rsid w:val="007A4BC4"/>
    <w:rsid w:val="007A580C"/>
    <w:rsid w:val="007A7872"/>
    <w:rsid w:val="007B01FE"/>
    <w:rsid w:val="007B1325"/>
    <w:rsid w:val="007B217E"/>
    <w:rsid w:val="007B4054"/>
    <w:rsid w:val="007B5232"/>
    <w:rsid w:val="007B5E22"/>
    <w:rsid w:val="007B6F2D"/>
    <w:rsid w:val="007B761F"/>
    <w:rsid w:val="007B7B09"/>
    <w:rsid w:val="007B7E97"/>
    <w:rsid w:val="007C0C2F"/>
    <w:rsid w:val="007C64B1"/>
    <w:rsid w:val="007D125F"/>
    <w:rsid w:val="007D12A7"/>
    <w:rsid w:val="007D22D9"/>
    <w:rsid w:val="007D246C"/>
    <w:rsid w:val="007D3F46"/>
    <w:rsid w:val="007D423F"/>
    <w:rsid w:val="007D4812"/>
    <w:rsid w:val="007D7748"/>
    <w:rsid w:val="007D788D"/>
    <w:rsid w:val="007D7C4C"/>
    <w:rsid w:val="007E185F"/>
    <w:rsid w:val="007E29B9"/>
    <w:rsid w:val="007E2E64"/>
    <w:rsid w:val="007E3ECB"/>
    <w:rsid w:val="007E5C53"/>
    <w:rsid w:val="007F19E8"/>
    <w:rsid w:val="007F1FE4"/>
    <w:rsid w:val="007F37B7"/>
    <w:rsid w:val="007F429C"/>
    <w:rsid w:val="007F53DC"/>
    <w:rsid w:val="007F5924"/>
    <w:rsid w:val="007F7380"/>
    <w:rsid w:val="007F753B"/>
    <w:rsid w:val="007F7AE7"/>
    <w:rsid w:val="007F7FD4"/>
    <w:rsid w:val="008000C7"/>
    <w:rsid w:val="0080119E"/>
    <w:rsid w:val="00802B8E"/>
    <w:rsid w:val="00803138"/>
    <w:rsid w:val="0080447B"/>
    <w:rsid w:val="0080478E"/>
    <w:rsid w:val="008053A2"/>
    <w:rsid w:val="00805E72"/>
    <w:rsid w:val="008066B2"/>
    <w:rsid w:val="00806CEC"/>
    <w:rsid w:val="008079E3"/>
    <w:rsid w:val="008132CD"/>
    <w:rsid w:val="00814CC3"/>
    <w:rsid w:val="00814E17"/>
    <w:rsid w:val="00817CFA"/>
    <w:rsid w:val="00820604"/>
    <w:rsid w:val="00822605"/>
    <w:rsid w:val="00823E28"/>
    <w:rsid w:val="008240C3"/>
    <w:rsid w:val="00825C1D"/>
    <w:rsid w:val="00825C1F"/>
    <w:rsid w:val="008268A0"/>
    <w:rsid w:val="008268B3"/>
    <w:rsid w:val="00831510"/>
    <w:rsid w:val="00831EF4"/>
    <w:rsid w:val="00832AF0"/>
    <w:rsid w:val="00833C52"/>
    <w:rsid w:val="00840804"/>
    <w:rsid w:val="008416C4"/>
    <w:rsid w:val="008417F0"/>
    <w:rsid w:val="00841C83"/>
    <w:rsid w:val="008432C9"/>
    <w:rsid w:val="0084381B"/>
    <w:rsid w:val="00843F4C"/>
    <w:rsid w:val="00843F51"/>
    <w:rsid w:val="008451AC"/>
    <w:rsid w:val="00845C44"/>
    <w:rsid w:val="00845F7B"/>
    <w:rsid w:val="00850950"/>
    <w:rsid w:val="008519D4"/>
    <w:rsid w:val="00853900"/>
    <w:rsid w:val="008555DA"/>
    <w:rsid w:val="008558AF"/>
    <w:rsid w:val="00856A78"/>
    <w:rsid w:val="00856FED"/>
    <w:rsid w:val="0085785A"/>
    <w:rsid w:val="00861182"/>
    <w:rsid w:val="00861857"/>
    <w:rsid w:val="008629F4"/>
    <w:rsid w:val="00864A4E"/>
    <w:rsid w:val="00865259"/>
    <w:rsid w:val="0086794D"/>
    <w:rsid w:val="00867DF9"/>
    <w:rsid w:val="008700F3"/>
    <w:rsid w:val="0087126E"/>
    <w:rsid w:val="00873098"/>
    <w:rsid w:val="008764BC"/>
    <w:rsid w:val="0087736D"/>
    <w:rsid w:val="00880E76"/>
    <w:rsid w:val="00881EC8"/>
    <w:rsid w:val="008834C9"/>
    <w:rsid w:val="00883511"/>
    <w:rsid w:val="00884455"/>
    <w:rsid w:val="00885643"/>
    <w:rsid w:val="0088596E"/>
    <w:rsid w:val="00886A6F"/>
    <w:rsid w:val="008901B8"/>
    <w:rsid w:val="008903AE"/>
    <w:rsid w:val="00890831"/>
    <w:rsid w:val="00891045"/>
    <w:rsid w:val="00891110"/>
    <w:rsid w:val="00891553"/>
    <w:rsid w:val="00891788"/>
    <w:rsid w:val="008923B4"/>
    <w:rsid w:val="008924F8"/>
    <w:rsid w:val="008927DE"/>
    <w:rsid w:val="008948B5"/>
    <w:rsid w:val="00895C93"/>
    <w:rsid w:val="00896622"/>
    <w:rsid w:val="00896866"/>
    <w:rsid w:val="00896ADD"/>
    <w:rsid w:val="008A1B6E"/>
    <w:rsid w:val="008A2169"/>
    <w:rsid w:val="008A41A5"/>
    <w:rsid w:val="008A47AD"/>
    <w:rsid w:val="008A527D"/>
    <w:rsid w:val="008A5729"/>
    <w:rsid w:val="008A6362"/>
    <w:rsid w:val="008A76D9"/>
    <w:rsid w:val="008A7819"/>
    <w:rsid w:val="008B18C1"/>
    <w:rsid w:val="008B1DE1"/>
    <w:rsid w:val="008B23F8"/>
    <w:rsid w:val="008B4E64"/>
    <w:rsid w:val="008B5DB4"/>
    <w:rsid w:val="008B63C6"/>
    <w:rsid w:val="008B6A26"/>
    <w:rsid w:val="008C02F3"/>
    <w:rsid w:val="008C07CF"/>
    <w:rsid w:val="008C083F"/>
    <w:rsid w:val="008C181D"/>
    <w:rsid w:val="008C25C7"/>
    <w:rsid w:val="008C34C4"/>
    <w:rsid w:val="008C41EA"/>
    <w:rsid w:val="008C4F76"/>
    <w:rsid w:val="008C564F"/>
    <w:rsid w:val="008C62BF"/>
    <w:rsid w:val="008C679B"/>
    <w:rsid w:val="008D02D8"/>
    <w:rsid w:val="008D2A29"/>
    <w:rsid w:val="008D34A4"/>
    <w:rsid w:val="008D4B0A"/>
    <w:rsid w:val="008D4D47"/>
    <w:rsid w:val="008D4FA1"/>
    <w:rsid w:val="008D5C04"/>
    <w:rsid w:val="008D5E7C"/>
    <w:rsid w:val="008D6485"/>
    <w:rsid w:val="008D6546"/>
    <w:rsid w:val="008D6838"/>
    <w:rsid w:val="008D6B05"/>
    <w:rsid w:val="008E3A31"/>
    <w:rsid w:val="008E4549"/>
    <w:rsid w:val="008E6CCD"/>
    <w:rsid w:val="008F1DAC"/>
    <w:rsid w:val="008F310A"/>
    <w:rsid w:val="008F3D22"/>
    <w:rsid w:val="008F4473"/>
    <w:rsid w:val="008F4740"/>
    <w:rsid w:val="008F5064"/>
    <w:rsid w:val="008F5755"/>
    <w:rsid w:val="008F58D4"/>
    <w:rsid w:val="008F5B3F"/>
    <w:rsid w:val="008F5C4D"/>
    <w:rsid w:val="008F6EB1"/>
    <w:rsid w:val="00900CB8"/>
    <w:rsid w:val="00900E0D"/>
    <w:rsid w:val="0090206F"/>
    <w:rsid w:val="009055D9"/>
    <w:rsid w:val="00906091"/>
    <w:rsid w:val="00906123"/>
    <w:rsid w:val="00906A84"/>
    <w:rsid w:val="00911804"/>
    <w:rsid w:val="00913F13"/>
    <w:rsid w:val="00915949"/>
    <w:rsid w:val="00916626"/>
    <w:rsid w:val="00916C88"/>
    <w:rsid w:val="00917680"/>
    <w:rsid w:val="009203A4"/>
    <w:rsid w:val="00920BBB"/>
    <w:rsid w:val="009219A4"/>
    <w:rsid w:val="00924491"/>
    <w:rsid w:val="009259CA"/>
    <w:rsid w:val="009260BC"/>
    <w:rsid w:val="00926ED0"/>
    <w:rsid w:val="0092791E"/>
    <w:rsid w:val="0093371C"/>
    <w:rsid w:val="00934A54"/>
    <w:rsid w:val="00936857"/>
    <w:rsid w:val="00942CAF"/>
    <w:rsid w:val="009456C8"/>
    <w:rsid w:val="009502E2"/>
    <w:rsid w:val="00950AEA"/>
    <w:rsid w:val="009516A2"/>
    <w:rsid w:val="00951EED"/>
    <w:rsid w:val="00952257"/>
    <w:rsid w:val="0095446A"/>
    <w:rsid w:val="00955079"/>
    <w:rsid w:val="0095538B"/>
    <w:rsid w:val="00956449"/>
    <w:rsid w:val="00956A94"/>
    <w:rsid w:val="00960516"/>
    <w:rsid w:val="009613E2"/>
    <w:rsid w:val="00961853"/>
    <w:rsid w:val="00963CCF"/>
    <w:rsid w:val="00963F14"/>
    <w:rsid w:val="009655C5"/>
    <w:rsid w:val="0096564B"/>
    <w:rsid w:val="009714DB"/>
    <w:rsid w:val="00974A2C"/>
    <w:rsid w:val="00975378"/>
    <w:rsid w:val="00975954"/>
    <w:rsid w:val="00976099"/>
    <w:rsid w:val="00977919"/>
    <w:rsid w:val="00980B29"/>
    <w:rsid w:val="00981CE0"/>
    <w:rsid w:val="009847D3"/>
    <w:rsid w:val="00985EC7"/>
    <w:rsid w:val="00987F99"/>
    <w:rsid w:val="00993748"/>
    <w:rsid w:val="00995362"/>
    <w:rsid w:val="00995F9A"/>
    <w:rsid w:val="00996A87"/>
    <w:rsid w:val="00997ADF"/>
    <w:rsid w:val="009A023C"/>
    <w:rsid w:val="009A2120"/>
    <w:rsid w:val="009A31C6"/>
    <w:rsid w:val="009A47A9"/>
    <w:rsid w:val="009A6366"/>
    <w:rsid w:val="009A709E"/>
    <w:rsid w:val="009A70C6"/>
    <w:rsid w:val="009A75EC"/>
    <w:rsid w:val="009A763B"/>
    <w:rsid w:val="009A7964"/>
    <w:rsid w:val="009B0C57"/>
    <w:rsid w:val="009B0F24"/>
    <w:rsid w:val="009B1B1D"/>
    <w:rsid w:val="009B3FCD"/>
    <w:rsid w:val="009B438F"/>
    <w:rsid w:val="009B4557"/>
    <w:rsid w:val="009B6211"/>
    <w:rsid w:val="009B7113"/>
    <w:rsid w:val="009B7936"/>
    <w:rsid w:val="009C02E8"/>
    <w:rsid w:val="009C2872"/>
    <w:rsid w:val="009C3ACC"/>
    <w:rsid w:val="009C4B75"/>
    <w:rsid w:val="009C5003"/>
    <w:rsid w:val="009C52F6"/>
    <w:rsid w:val="009C55D0"/>
    <w:rsid w:val="009C65CC"/>
    <w:rsid w:val="009C6622"/>
    <w:rsid w:val="009D1225"/>
    <w:rsid w:val="009D209B"/>
    <w:rsid w:val="009D298C"/>
    <w:rsid w:val="009D29DE"/>
    <w:rsid w:val="009D31C7"/>
    <w:rsid w:val="009D4D74"/>
    <w:rsid w:val="009D5A5C"/>
    <w:rsid w:val="009D66AB"/>
    <w:rsid w:val="009D7089"/>
    <w:rsid w:val="009D782A"/>
    <w:rsid w:val="009E41E0"/>
    <w:rsid w:val="009E45F9"/>
    <w:rsid w:val="009E4656"/>
    <w:rsid w:val="009E4932"/>
    <w:rsid w:val="009E4E0C"/>
    <w:rsid w:val="009E5AF6"/>
    <w:rsid w:val="009E5E7C"/>
    <w:rsid w:val="009E7A08"/>
    <w:rsid w:val="009F0FCE"/>
    <w:rsid w:val="009F16E3"/>
    <w:rsid w:val="009F1FF7"/>
    <w:rsid w:val="009F39CE"/>
    <w:rsid w:val="009F4F7A"/>
    <w:rsid w:val="009F5668"/>
    <w:rsid w:val="00A02C1D"/>
    <w:rsid w:val="00A03069"/>
    <w:rsid w:val="00A03568"/>
    <w:rsid w:val="00A03A25"/>
    <w:rsid w:val="00A04B86"/>
    <w:rsid w:val="00A0757F"/>
    <w:rsid w:val="00A110D0"/>
    <w:rsid w:val="00A11E34"/>
    <w:rsid w:val="00A12888"/>
    <w:rsid w:val="00A12B24"/>
    <w:rsid w:val="00A12EC2"/>
    <w:rsid w:val="00A14A33"/>
    <w:rsid w:val="00A14E0E"/>
    <w:rsid w:val="00A16649"/>
    <w:rsid w:val="00A203A8"/>
    <w:rsid w:val="00A213F1"/>
    <w:rsid w:val="00A21E38"/>
    <w:rsid w:val="00A237A6"/>
    <w:rsid w:val="00A23AA4"/>
    <w:rsid w:val="00A23C3E"/>
    <w:rsid w:val="00A250D6"/>
    <w:rsid w:val="00A2753E"/>
    <w:rsid w:val="00A32899"/>
    <w:rsid w:val="00A33BC6"/>
    <w:rsid w:val="00A35A2E"/>
    <w:rsid w:val="00A37C9C"/>
    <w:rsid w:val="00A41681"/>
    <w:rsid w:val="00A41D0D"/>
    <w:rsid w:val="00A41F1A"/>
    <w:rsid w:val="00A41FE9"/>
    <w:rsid w:val="00A4543C"/>
    <w:rsid w:val="00A45D64"/>
    <w:rsid w:val="00A5094A"/>
    <w:rsid w:val="00A51F35"/>
    <w:rsid w:val="00A5493A"/>
    <w:rsid w:val="00A566AA"/>
    <w:rsid w:val="00A57A4A"/>
    <w:rsid w:val="00A60D03"/>
    <w:rsid w:val="00A6220C"/>
    <w:rsid w:val="00A64FF7"/>
    <w:rsid w:val="00A662D2"/>
    <w:rsid w:val="00A703F6"/>
    <w:rsid w:val="00A71DDA"/>
    <w:rsid w:val="00A74B3A"/>
    <w:rsid w:val="00A85259"/>
    <w:rsid w:val="00A87B1A"/>
    <w:rsid w:val="00A90931"/>
    <w:rsid w:val="00A9155A"/>
    <w:rsid w:val="00A93B50"/>
    <w:rsid w:val="00A9458F"/>
    <w:rsid w:val="00A959FC"/>
    <w:rsid w:val="00A97954"/>
    <w:rsid w:val="00A97D04"/>
    <w:rsid w:val="00AA124E"/>
    <w:rsid w:val="00AA2518"/>
    <w:rsid w:val="00AA5063"/>
    <w:rsid w:val="00AA6796"/>
    <w:rsid w:val="00AB1280"/>
    <w:rsid w:val="00AB1351"/>
    <w:rsid w:val="00AB269B"/>
    <w:rsid w:val="00AB4C65"/>
    <w:rsid w:val="00AB54B6"/>
    <w:rsid w:val="00AB55C5"/>
    <w:rsid w:val="00AB7609"/>
    <w:rsid w:val="00AB76D3"/>
    <w:rsid w:val="00AC1391"/>
    <w:rsid w:val="00AC2902"/>
    <w:rsid w:val="00AC3C15"/>
    <w:rsid w:val="00AC461B"/>
    <w:rsid w:val="00AC7726"/>
    <w:rsid w:val="00AC7DBD"/>
    <w:rsid w:val="00AD2357"/>
    <w:rsid w:val="00AD258D"/>
    <w:rsid w:val="00AD4085"/>
    <w:rsid w:val="00AD4657"/>
    <w:rsid w:val="00AD5244"/>
    <w:rsid w:val="00AD5D39"/>
    <w:rsid w:val="00AD6550"/>
    <w:rsid w:val="00AD66CA"/>
    <w:rsid w:val="00AD6A15"/>
    <w:rsid w:val="00AD7585"/>
    <w:rsid w:val="00AE041B"/>
    <w:rsid w:val="00AE0D13"/>
    <w:rsid w:val="00AE7058"/>
    <w:rsid w:val="00AE71D1"/>
    <w:rsid w:val="00AF088D"/>
    <w:rsid w:val="00AF1AE3"/>
    <w:rsid w:val="00AF21C3"/>
    <w:rsid w:val="00AF26DE"/>
    <w:rsid w:val="00AF29B5"/>
    <w:rsid w:val="00AF2D9F"/>
    <w:rsid w:val="00AF307A"/>
    <w:rsid w:val="00AF395B"/>
    <w:rsid w:val="00AF3EE7"/>
    <w:rsid w:val="00AF4734"/>
    <w:rsid w:val="00AF5349"/>
    <w:rsid w:val="00AF5451"/>
    <w:rsid w:val="00AF7B95"/>
    <w:rsid w:val="00AF7D4A"/>
    <w:rsid w:val="00B01667"/>
    <w:rsid w:val="00B03A88"/>
    <w:rsid w:val="00B03C36"/>
    <w:rsid w:val="00B073F3"/>
    <w:rsid w:val="00B0788E"/>
    <w:rsid w:val="00B1185B"/>
    <w:rsid w:val="00B12109"/>
    <w:rsid w:val="00B129FA"/>
    <w:rsid w:val="00B13598"/>
    <w:rsid w:val="00B13CDD"/>
    <w:rsid w:val="00B14811"/>
    <w:rsid w:val="00B14BBC"/>
    <w:rsid w:val="00B17294"/>
    <w:rsid w:val="00B17FBA"/>
    <w:rsid w:val="00B223FA"/>
    <w:rsid w:val="00B238BA"/>
    <w:rsid w:val="00B25AA9"/>
    <w:rsid w:val="00B26C13"/>
    <w:rsid w:val="00B275AE"/>
    <w:rsid w:val="00B30093"/>
    <w:rsid w:val="00B31369"/>
    <w:rsid w:val="00B31950"/>
    <w:rsid w:val="00B33608"/>
    <w:rsid w:val="00B34561"/>
    <w:rsid w:val="00B352D5"/>
    <w:rsid w:val="00B3675F"/>
    <w:rsid w:val="00B37A7B"/>
    <w:rsid w:val="00B37E4E"/>
    <w:rsid w:val="00B42D1F"/>
    <w:rsid w:val="00B4395A"/>
    <w:rsid w:val="00B44288"/>
    <w:rsid w:val="00B44B3E"/>
    <w:rsid w:val="00B45BE5"/>
    <w:rsid w:val="00B46277"/>
    <w:rsid w:val="00B46E1C"/>
    <w:rsid w:val="00B4741E"/>
    <w:rsid w:val="00B4782A"/>
    <w:rsid w:val="00B503EB"/>
    <w:rsid w:val="00B529A7"/>
    <w:rsid w:val="00B52E73"/>
    <w:rsid w:val="00B5601B"/>
    <w:rsid w:val="00B569F8"/>
    <w:rsid w:val="00B56BD0"/>
    <w:rsid w:val="00B573DD"/>
    <w:rsid w:val="00B60E4E"/>
    <w:rsid w:val="00B61EBC"/>
    <w:rsid w:val="00B6685E"/>
    <w:rsid w:val="00B674F7"/>
    <w:rsid w:val="00B67FEF"/>
    <w:rsid w:val="00B711BE"/>
    <w:rsid w:val="00B717CA"/>
    <w:rsid w:val="00B71CD1"/>
    <w:rsid w:val="00B73536"/>
    <w:rsid w:val="00B73CAE"/>
    <w:rsid w:val="00B74FF3"/>
    <w:rsid w:val="00B75948"/>
    <w:rsid w:val="00B76317"/>
    <w:rsid w:val="00B76839"/>
    <w:rsid w:val="00B77874"/>
    <w:rsid w:val="00B77BBB"/>
    <w:rsid w:val="00B8023D"/>
    <w:rsid w:val="00B81B84"/>
    <w:rsid w:val="00B84AE1"/>
    <w:rsid w:val="00B86247"/>
    <w:rsid w:val="00B90721"/>
    <w:rsid w:val="00B91253"/>
    <w:rsid w:val="00B92300"/>
    <w:rsid w:val="00B9255F"/>
    <w:rsid w:val="00B92643"/>
    <w:rsid w:val="00B92927"/>
    <w:rsid w:val="00B9297E"/>
    <w:rsid w:val="00B92AE2"/>
    <w:rsid w:val="00B931CF"/>
    <w:rsid w:val="00B93AD2"/>
    <w:rsid w:val="00B94348"/>
    <w:rsid w:val="00BA08C6"/>
    <w:rsid w:val="00BA0D25"/>
    <w:rsid w:val="00BA13A1"/>
    <w:rsid w:val="00BA1AD5"/>
    <w:rsid w:val="00BA3115"/>
    <w:rsid w:val="00BA3B89"/>
    <w:rsid w:val="00BA5012"/>
    <w:rsid w:val="00BA64C4"/>
    <w:rsid w:val="00BA6E48"/>
    <w:rsid w:val="00BB2205"/>
    <w:rsid w:val="00BB242E"/>
    <w:rsid w:val="00BB293B"/>
    <w:rsid w:val="00BB2D49"/>
    <w:rsid w:val="00BB4CDB"/>
    <w:rsid w:val="00BB51BA"/>
    <w:rsid w:val="00BB6B29"/>
    <w:rsid w:val="00BB7078"/>
    <w:rsid w:val="00BB71B4"/>
    <w:rsid w:val="00BC06EC"/>
    <w:rsid w:val="00BC28F7"/>
    <w:rsid w:val="00BC2CC3"/>
    <w:rsid w:val="00BC579A"/>
    <w:rsid w:val="00BC58D3"/>
    <w:rsid w:val="00BC7F5D"/>
    <w:rsid w:val="00BD09D6"/>
    <w:rsid w:val="00BD0A55"/>
    <w:rsid w:val="00BD1467"/>
    <w:rsid w:val="00BD4E30"/>
    <w:rsid w:val="00BD4F4D"/>
    <w:rsid w:val="00BD562F"/>
    <w:rsid w:val="00BD7D6D"/>
    <w:rsid w:val="00BE1263"/>
    <w:rsid w:val="00BE1A94"/>
    <w:rsid w:val="00BE1E54"/>
    <w:rsid w:val="00BE262A"/>
    <w:rsid w:val="00BE5E1C"/>
    <w:rsid w:val="00BE741E"/>
    <w:rsid w:val="00BE786B"/>
    <w:rsid w:val="00BE7FCA"/>
    <w:rsid w:val="00BF0847"/>
    <w:rsid w:val="00BF10F2"/>
    <w:rsid w:val="00BF147D"/>
    <w:rsid w:val="00BF3D70"/>
    <w:rsid w:val="00BF407D"/>
    <w:rsid w:val="00BF6624"/>
    <w:rsid w:val="00C00B4C"/>
    <w:rsid w:val="00C04953"/>
    <w:rsid w:val="00C04C65"/>
    <w:rsid w:val="00C04D4B"/>
    <w:rsid w:val="00C05463"/>
    <w:rsid w:val="00C05CD3"/>
    <w:rsid w:val="00C10178"/>
    <w:rsid w:val="00C14B77"/>
    <w:rsid w:val="00C14EB3"/>
    <w:rsid w:val="00C157E9"/>
    <w:rsid w:val="00C17271"/>
    <w:rsid w:val="00C1762D"/>
    <w:rsid w:val="00C209F7"/>
    <w:rsid w:val="00C226B0"/>
    <w:rsid w:val="00C22AB3"/>
    <w:rsid w:val="00C330A2"/>
    <w:rsid w:val="00C34589"/>
    <w:rsid w:val="00C35433"/>
    <w:rsid w:val="00C37E40"/>
    <w:rsid w:val="00C409F2"/>
    <w:rsid w:val="00C41687"/>
    <w:rsid w:val="00C4229D"/>
    <w:rsid w:val="00C43A84"/>
    <w:rsid w:val="00C44447"/>
    <w:rsid w:val="00C44DA7"/>
    <w:rsid w:val="00C44F55"/>
    <w:rsid w:val="00C4554B"/>
    <w:rsid w:val="00C45733"/>
    <w:rsid w:val="00C457BC"/>
    <w:rsid w:val="00C45CE0"/>
    <w:rsid w:val="00C527B6"/>
    <w:rsid w:val="00C53256"/>
    <w:rsid w:val="00C53587"/>
    <w:rsid w:val="00C53BBF"/>
    <w:rsid w:val="00C61759"/>
    <w:rsid w:val="00C61CDB"/>
    <w:rsid w:val="00C61F69"/>
    <w:rsid w:val="00C622A7"/>
    <w:rsid w:val="00C624AF"/>
    <w:rsid w:val="00C62C0D"/>
    <w:rsid w:val="00C632BA"/>
    <w:rsid w:val="00C63B3C"/>
    <w:rsid w:val="00C63F48"/>
    <w:rsid w:val="00C65456"/>
    <w:rsid w:val="00C661B5"/>
    <w:rsid w:val="00C66CCB"/>
    <w:rsid w:val="00C7124E"/>
    <w:rsid w:val="00C72680"/>
    <w:rsid w:val="00C7273C"/>
    <w:rsid w:val="00C7349D"/>
    <w:rsid w:val="00C73D56"/>
    <w:rsid w:val="00C82056"/>
    <w:rsid w:val="00C8320E"/>
    <w:rsid w:val="00C83F36"/>
    <w:rsid w:val="00C844F2"/>
    <w:rsid w:val="00C8482F"/>
    <w:rsid w:val="00C85D63"/>
    <w:rsid w:val="00C86741"/>
    <w:rsid w:val="00C903B0"/>
    <w:rsid w:val="00C90E16"/>
    <w:rsid w:val="00C9277D"/>
    <w:rsid w:val="00C92C14"/>
    <w:rsid w:val="00C95D98"/>
    <w:rsid w:val="00C960DC"/>
    <w:rsid w:val="00C962AF"/>
    <w:rsid w:val="00C96C8C"/>
    <w:rsid w:val="00C96E31"/>
    <w:rsid w:val="00C96E37"/>
    <w:rsid w:val="00CA2BEE"/>
    <w:rsid w:val="00CA621E"/>
    <w:rsid w:val="00CA644C"/>
    <w:rsid w:val="00CA64F3"/>
    <w:rsid w:val="00CA76BE"/>
    <w:rsid w:val="00CB0FF4"/>
    <w:rsid w:val="00CB208D"/>
    <w:rsid w:val="00CB3511"/>
    <w:rsid w:val="00CB438C"/>
    <w:rsid w:val="00CB4E6E"/>
    <w:rsid w:val="00CB69DE"/>
    <w:rsid w:val="00CB7193"/>
    <w:rsid w:val="00CC02F1"/>
    <w:rsid w:val="00CC16C4"/>
    <w:rsid w:val="00CC1927"/>
    <w:rsid w:val="00CC3948"/>
    <w:rsid w:val="00CC46E0"/>
    <w:rsid w:val="00CC4A87"/>
    <w:rsid w:val="00CC4F9D"/>
    <w:rsid w:val="00CC5449"/>
    <w:rsid w:val="00CC5A61"/>
    <w:rsid w:val="00CC5C56"/>
    <w:rsid w:val="00CC611E"/>
    <w:rsid w:val="00CD0248"/>
    <w:rsid w:val="00CD320E"/>
    <w:rsid w:val="00CD6085"/>
    <w:rsid w:val="00CE47C0"/>
    <w:rsid w:val="00CE4AC0"/>
    <w:rsid w:val="00CE5219"/>
    <w:rsid w:val="00CE6EDE"/>
    <w:rsid w:val="00CE7DDA"/>
    <w:rsid w:val="00CF02CB"/>
    <w:rsid w:val="00CF0762"/>
    <w:rsid w:val="00CF44F8"/>
    <w:rsid w:val="00CF5397"/>
    <w:rsid w:val="00CF5A81"/>
    <w:rsid w:val="00CF5D4D"/>
    <w:rsid w:val="00CF608F"/>
    <w:rsid w:val="00D038BB"/>
    <w:rsid w:val="00D0649C"/>
    <w:rsid w:val="00D10A92"/>
    <w:rsid w:val="00D10B13"/>
    <w:rsid w:val="00D10DB1"/>
    <w:rsid w:val="00D10FB8"/>
    <w:rsid w:val="00D159C4"/>
    <w:rsid w:val="00D15E91"/>
    <w:rsid w:val="00D16067"/>
    <w:rsid w:val="00D2177B"/>
    <w:rsid w:val="00D22687"/>
    <w:rsid w:val="00D23670"/>
    <w:rsid w:val="00D237DB"/>
    <w:rsid w:val="00D23EC1"/>
    <w:rsid w:val="00D2430D"/>
    <w:rsid w:val="00D24EA6"/>
    <w:rsid w:val="00D252E2"/>
    <w:rsid w:val="00D267EF"/>
    <w:rsid w:val="00D26B7F"/>
    <w:rsid w:val="00D30881"/>
    <w:rsid w:val="00D34158"/>
    <w:rsid w:val="00D352BD"/>
    <w:rsid w:val="00D360C7"/>
    <w:rsid w:val="00D37C6F"/>
    <w:rsid w:val="00D4137B"/>
    <w:rsid w:val="00D41800"/>
    <w:rsid w:val="00D44F3C"/>
    <w:rsid w:val="00D50E74"/>
    <w:rsid w:val="00D51406"/>
    <w:rsid w:val="00D5143E"/>
    <w:rsid w:val="00D52C75"/>
    <w:rsid w:val="00D535EB"/>
    <w:rsid w:val="00D53D17"/>
    <w:rsid w:val="00D545E2"/>
    <w:rsid w:val="00D5464D"/>
    <w:rsid w:val="00D54ED6"/>
    <w:rsid w:val="00D554E8"/>
    <w:rsid w:val="00D600B2"/>
    <w:rsid w:val="00D60D6C"/>
    <w:rsid w:val="00D6102F"/>
    <w:rsid w:val="00D629B5"/>
    <w:rsid w:val="00D65502"/>
    <w:rsid w:val="00D6659F"/>
    <w:rsid w:val="00D71C40"/>
    <w:rsid w:val="00D72CB8"/>
    <w:rsid w:val="00D72F7D"/>
    <w:rsid w:val="00D7315B"/>
    <w:rsid w:val="00D73A13"/>
    <w:rsid w:val="00D7412E"/>
    <w:rsid w:val="00D7469F"/>
    <w:rsid w:val="00D768C1"/>
    <w:rsid w:val="00D771E7"/>
    <w:rsid w:val="00D82F8E"/>
    <w:rsid w:val="00D84F15"/>
    <w:rsid w:val="00D8761E"/>
    <w:rsid w:val="00D952C5"/>
    <w:rsid w:val="00D963CF"/>
    <w:rsid w:val="00D968C6"/>
    <w:rsid w:val="00D96949"/>
    <w:rsid w:val="00D9780A"/>
    <w:rsid w:val="00DA0203"/>
    <w:rsid w:val="00DA183C"/>
    <w:rsid w:val="00DA1F1E"/>
    <w:rsid w:val="00DA37A0"/>
    <w:rsid w:val="00DA3DFE"/>
    <w:rsid w:val="00DA4E4E"/>
    <w:rsid w:val="00DA5A55"/>
    <w:rsid w:val="00DA720C"/>
    <w:rsid w:val="00DB0DE4"/>
    <w:rsid w:val="00DB12BB"/>
    <w:rsid w:val="00DB2BDC"/>
    <w:rsid w:val="00DB2C91"/>
    <w:rsid w:val="00DB4016"/>
    <w:rsid w:val="00DB430C"/>
    <w:rsid w:val="00DB4590"/>
    <w:rsid w:val="00DB6949"/>
    <w:rsid w:val="00DB6F95"/>
    <w:rsid w:val="00DB7081"/>
    <w:rsid w:val="00DC0469"/>
    <w:rsid w:val="00DC2BEA"/>
    <w:rsid w:val="00DC37E6"/>
    <w:rsid w:val="00DC3953"/>
    <w:rsid w:val="00DC3C0F"/>
    <w:rsid w:val="00DC54BF"/>
    <w:rsid w:val="00DC5B31"/>
    <w:rsid w:val="00DC5CEA"/>
    <w:rsid w:val="00DC7182"/>
    <w:rsid w:val="00DD0013"/>
    <w:rsid w:val="00DD3435"/>
    <w:rsid w:val="00DD34A7"/>
    <w:rsid w:val="00DD44E5"/>
    <w:rsid w:val="00DD5279"/>
    <w:rsid w:val="00DD5315"/>
    <w:rsid w:val="00DE3C5E"/>
    <w:rsid w:val="00DE4FAD"/>
    <w:rsid w:val="00DE6892"/>
    <w:rsid w:val="00DF1C07"/>
    <w:rsid w:val="00DF2142"/>
    <w:rsid w:val="00DF43C3"/>
    <w:rsid w:val="00DF55DF"/>
    <w:rsid w:val="00DF5F32"/>
    <w:rsid w:val="00DF7289"/>
    <w:rsid w:val="00E02437"/>
    <w:rsid w:val="00E03C7A"/>
    <w:rsid w:val="00E040EE"/>
    <w:rsid w:val="00E04457"/>
    <w:rsid w:val="00E06D45"/>
    <w:rsid w:val="00E0743C"/>
    <w:rsid w:val="00E07924"/>
    <w:rsid w:val="00E10B03"/>
    <w:rsid w:val="00E10C63"/>
    <w:rsid w:val="00E126B9"/>
    <w:rsid w:val="00E12FAC"/>
    <w:rsid w:val="00E16901"/>
    <w:rsid w:val="00E16AAA"/>
    <w:rsid w:val="00E21987"/>
    <w:rsid w:val="00E21C6C"/>
    <w:rsid w:val="00E24030"/>
    <w:rsid w:val="00E24A98"/>
    <w:rsid w:val="00E24B9F"/>
    <w:rsid w:val="00E25439"/>
    <w:rsid w:val="00E25677"/>
    <w:rsid w:val="00E27726"/>
    <w:rsid w:val="00E328A0"/>
    <w:rsid w:val="00E32EAF"/>
    <w:rsid w:val="00E33115"/>
    <w:rsid w:val="00E344FE"/>
    <w:rsid w:val="00E347BE"/>
    <w:rsid w:val="00E34BE6"/>
    <w:rsid w:val="00E37496"/>
    <w:rsid w:val="00E40E09"/>
    <w:rsid w:val="00E423EB"/>
    <w:rsid w:val="00E430BF"/>
    <w:rsid w:val="00E43D65"/>
    <w:rsid w:val="00E44B02"/>
    <w:rsid w:val="00E44E97"/>
    <w:rsid w:val="00E4563A"/>
    <w:rsid w:val="00E45940"/>
    <w:rsid w:val="00E46208"/>
    <w:rsid w:val="00E46849"/>
    <w:rsid w:val="00E46B3C"/>
    <w:rsid w:val="00E52319"/>
    <w:rsid w:val="00E529FB"/>
    <w:rsid w:val="00E54F8E"/>
    <w:rsid w:val="00E55797"/>
    <w:rsid w:val="00E62988"/>
    <w:rsid w:val="00E64217"/>
    <w:rsid w:val="00E64437"/>
    <w:rsid w:val="00E64AFC"/>
    <w:rsid w:val="00E6511A"/>
    <w:rsid w:val="00E65E40"/>
    <w:rsid w:val="00E661FF"/>
    <w:rsid w:val="00E66F49"/>
    <w:rsid w:val="00E67F93"/>
    <w:rsid w:val="00E70D7F"/>
    <w:rsid w:val="00E74996"/>
    <w:rsid w:val="00E75AD6"/>
    <w:rsid w:val="00E75F70"/>
    <w:rsid w:val="00E76E01"/>
    <w:rsid w:val="00E81409"/>
    <w:rsid w:val="00E82617"/>
    <w:rsid w:val="00E832F7"/>
    <w:rsid w:val="00E83C74"/>
    <w:rsid w:val="00E83EF8"/>
    <w:rsid w:val="00E87411"/>
    <w:rsid w:val="00E922B3"/>
    <w:rsid w:val="00E923A0"/>
    <w:rsid w:val="00E93E1F"/>
    <w:rsid w:val="00E94840"/>
    <w:rsid w:val="00E954FF"/>
    <w:rsid w:val="00E95C48"/>
    <w:rsid w:val="00E963DD"/>
    <w:rsid w:val="00E96722"/>
    <w:rsid w:val="00EA1EB1"/>
    <w:rsid w:val="00EA2926"/>
    <w:rsid w:val="00EA3FDB"/>
    <w:rsid w:val="00EA4ABB"/>
    <w:rsid w:val="00EA6764"/>
    <w:rsid w:val="00EA68FD"/>
    <w:rsid w:val="00EA703C"/>
    <w:rsid w:val="00EA7072"/>
    <w:rsid w:val="00EB1B7F"/>
    <w:rsid w:val="00EB2190"/>
    <w:rsid w:val="00EB27E3"/>
    <w:rsid w:val="00EB4C8A"/>
    <w:rsid w:val="00EB4D0C"/>
    <w:rsid w:val="00EB4D5C"/>
    <w:rsid w:val="00EB5328"/>
    <w:rsid w:val="00EB7122"/>
    <w:rsid w:val="00EC0DCB"/>
    <w:rsid w:val="00EC19CD"/>
    <w:rsid w:val="00EC1D42"/>
    <w:rsid w:val="00EC1DC0"/>
    <w:rsid w:val="00EC48BF"/>
    <w:rsid w:val="00EC4923"/>
    <w:rsid w:val="00EC4FD9"/>
    <w:rsid w:val="00EC5131"/>
    <w:rsid w:val="00ED024C"/>
    <w:rsid w:val="00ED0EE5"/>
    <w:rsid w:val="00ED12FD"/>
    <w:rsid w:val="00ED3EA6"/>
    <w:rsid w:val="00ED475D"/>
    <w:rsid w:val="00ED4EDA"/>
    <w:rsid w:val="00ED6299"/>
    <w:rsid w:val="00ED6979"/>
    <w:rsid w:val="00ED6BAF"/>
    <w:rsid w:val="00EE109B"/>
    <w:rsid w:val="00EE6436"/>
    <w:rsid w:val="00EE7E47"/>
    <w:rsid w:val="00EE7F5E"/>
    <w:rsid w:val="00EF0909"/>
    <w:rsid w:val="00EF0A07"/>
    <w:rsid w:val="00EF0E5C"/>
    <w:rsid w:val="00EF4A6D"/>
    <w:rsid w:val="00EF4B47"/>
    <w:rsid w:val="00EF711A"/>
    <w:rsid w:val="00F00EB1"/>
    <w:rsid w:val="00F01F45"/>
    <w:rsid w:val="00F024A6"/>
    <w:rsid w:val="00F0293D"/>
    <w:rsid w:val="00F03046"/>
    <w:rsid w:val="00F05063"/>
    <w:rsid w:val="00F05154"/>
    <w:rsid w:val="00F0520F"/>
    <w:rsid w:val="00F0562B"/>
    <w:rsid w:val="00F06A8E"/>
    <w:rsid w:val="00F11541"/>
    <w:rsid w:val="00F12CFA"/>
    <w:rsid w:val="00F1406D"/>
    <w:rsid w:val="00F163A3"/>
    <w:rsid w:val="00F163E7"/>
    <w:rsid w:val="00F2026F"/>
    <w:rsid w:val="00F20E9D"/>
    <w:rsid w:val="00F20F86"/>
    <w:rsid w:val="00F20FD2"/>
    <w:rsid w:val="00F2387A"/>
    <w:rsid w:val="00F245B2"/>
    <w:rsid w:val="00F24FF3"/>
    <w:rsid w:val="00F26252"/>
    <w:rsid w:val="00F268BF"/>
    <w:rsid w:val="00F26A51"/>
    <w:rsid w:val="00F26ABF"/>
    <w:rsid w:val="00F27ED8"/>
    <w:rsid w:val="00F3185B"/>
    <w:rsid w:val="00F35989"/>
    <w:rsid w:val="00F403A4"/>
    <w:rsid w:val="00F40D1E"/>
    <w:rsid w:val="00F41EF5"/>
    <w:rsid w:val="00F42390"/>
    <w:rsid w:val="00F4278D"/>
    <w:rsid w:val="00F441F4"/>
    <w:rsid w:val="00F45EAF"/>
    <w:rsid w:val="00F45EF8"/>
    <w:rsid w:val="00F514CF"/>
    <w:rsid w:val="00F51B2C"/>
    <w:rsid w:val="00F51FE5"/>
    <w:rsid w:val="00F522B7"/>
    <w:rsid w:val="00F53341"/>
    <w:rsid w:val="00F53824"/>
    <w:rsid w:val="00F566D5"/>
    <w:rsid w:val="00F575FE"/>
    <w:rsid w:val="00F579E5"/>
    <w:rsid w:val="00F626FA"/>
    <w:rsid w:val="00F628B5"/>
    <w:rsid w:val="00F6595C"/>
    <w:rsid w:val="00F67001"/>
    <w:rsid w:val="00F671E4"/>
    <w:rsid w:val="00F71777"/>
    <w:rsid w:val="00F71FA1"/>
    <w:rsid w:val="00F76675"/>
    <w:rsid w:val="00F77473"/>
    <w:rsid w:val="00F824FE"/>
    <w:rsid w:val="00F83013"/>
    <w:rsid w:val="00F832F7"/>
    <w:rsid w:val="00F83407"/>
    <w:rsid w:val="00F85106"/>
    <w:rsid w:val="00F8517E"/>
    <w:rsid w:val="00F86AA0"/>
    <w:rsid w:val="00F86C99"/>
    <w:rsid w:val="00F90F59"/>
    <w:rsid w:val="00F916FB"/>
    <w:rsid w:val="00F92901"/>
    <w:rsid w:val="00F94757"/>
    <w:rsid w:val="00F95256"/>
    <w:rsid w:val="00F95BD9"/>
    <w:rsid w:val="00FA072D"/>
    <w:rsid w:val="00FA1179"/>
    <w:rsid w:val="00FA1487"/>
    <w:rsid w:val="00FA154B"/>
    <w:rsid w:val="00FA18F7"/>
    <w:rsid w:val="00FA20E3"/>
    <w:rsid w:val="00FA221F"/>
    <w:rsid w:val="00FA398C"/>
    <w:rsid w:val="00FA42CB"/>
    <w:rsid w:val="00FA42F2"/>
    <w:rsid w:val="00FA64BD"/>
    <w:rsid w:val="00FA6D20"/>
    <w:rsid w:val="00FA6D95"/>
    <w:rsid w:val="00FA7861"/>
    <w:rsid w:val="00FA7DEB"/>
    <w:rsid w:val="00FB0ACC"/>
    <w:rsid w:val="00FB258F"/>
    <w:rsid w:val="00FB5ADD"/>
    <w:rsid w:val="00FB7152"/>
    <w:rsid w:val="00FB7897"/>
    <w:rsid w:val="00FC0C26"/>
    <w:rsid w:val="00FC491C"/>
    <w:rsid w:val="00FC6049"/>
    <w:rsid w:val="00FD1A36"/>
    <w:rsid w:val="00FD1B68"/>
    <w:rsid w:val="00FD1BB5"/>
    <w:rsid w:val="00FD3721"/>
    <w:rsid w:val="00FD403F"/>
    <w:rsid w:val="00FD49C3"/>
    <w:rsid w:val="00FD63E4"/>
    <w:rsid w:val="00FD7B03"/>
    <w:rsid w:val="00FE0076"/>
    <w:rsid w:val="00FE10E4"/>
    <w:rsid w:val="00FE2450"/>
    <w:rsid w:val="00FE2773"/>
    <w:rsid w:val="00FE392D"/>
    <w:rsid w:val="00FE5D3C"/>
    <w:rsid w:val="00FE5E2B"/>
    <w:rsid w:val="00FF0B88"/>
    <w:rsid w:val="00FF0CCA"/>
    <w:rsid w:val="00FF28EB"/>
    <w:rsid w:val="00FF3D61"/>
    <w:rsid w:val="00FF41CB"/>
    <w:rsid w:val="00FF434E"/>
    <w:rsid w:val="00FF5E71"/>
    <w:rsid w:val="02D653C9"/>
    <w:rsid w:val="03247659"/>
    <w:rsid w:val="041A14B3"/>
    <w:rsid w:val="047F3CF0"/>
    <w:rsid w:val="049B719B"/>
    <w:rsid w:val="0501495F"/>
    <w:rsid w:val="06012430"/>
    <w:rsid w:val="06123DD0"/>
    <w:rsid w:val="06CD0945"/>
    <w:rsid w:val="070E7A21"/>
    <w:rsid w:val="08007AC9"/>
    <w:rsid w:val="08090D34"/>
    <w:rsid w:val="090C58D8"/>
    <w:rsid w:val="09C15C02"/>
    <w:rsid w:val="0B2D79F3"/>
    <w:rsid w:val="0CD77201"/>
    <w:rsid w:val="0DAE2941"/>
    <w:rsid w:val="0DC10F82"/>
    <w:rsid w:val="0E01135A"/>
    <w:rsid w:val="0EE505E5"/>
    <w:rsid w:val="0FED7751"/>
    <w:rsid w:val="10115298"/>
    <w:rsid w:val="10A319D4"/>
    <w:rsid w:val="13F174EC"/>
    <w:rsid w:val="140B63F8"/>
    <w:rsid w:val="141F1342"/>
    <w:rsid w:val="146941AB"/>
    <w:rsid w:val="15FC39E6"/>
    <w:rsid w:val="177B1AE6"/>
    <w:rsid w:val="18E81697"/>
    <w:rsid w:val="1A5227A7"/>
    <w:rsid w:val="1B0E4803"/>
    <w:rsid w:val="1C4F02E3"/>
    <w:rsid w:val="1C555374"/>
    <w:rsid w:val="1DC6338F"/>
    <w:rsid w:val="1EBA2EF4"/>
    <w:rsid w:val="1FE72C1E"/>
    <w:rsid w:val="20BF719A"/>
    <w:rsid w:val="21286E09"/>
    <w:rsid w:val="214D1730"/>
    <w:rsid w:val="21BF054D"/>
    <w:rsid w:val="239161EE"/>
    <w:rsid w:val="2412150E"/>
    <w:rsid w:val="244425AC"/>
    <w:rsid w:val="26092FC2"/>
    <w:rsid w:val="262C38E5"/>
    <w:rsid w:val="26BC2A89"/>
    <w:rsid w:val="27722363"/>
    <w:rsid w:val="27B542F8"/>
    <w:rsid w:val="28102FC1"/>
    <w:rsid w:val="2A68414C"/>
    <w:rsid w:val="2C435B60"/>
    <w:rsid w:val="2E297C99"/>
    <w:rsid w:val="2E731311"/>
    <w:rsid w:val="2EB14CED"/>
    <w:rsid w:val="306D0DFF"/>
    <w:rsid w:val="31501FB2"/>
    <w:rsid w:val="31E954B4"/>
    <w:rsid w:val="32FD1428"/>
    <w:rsid w:val="33673F64"/>
    <w:rsid w:val="33CC093E"/>
    <w:rsid w:val="35F05EE1"/>
    <w:rsid w:val="368251F6"/>
    <w:rsid w:val="39CF563E"/>
    <w:rsid w:val="3A4E20D5"/>
    <w:rsid w:val="3B2C4D66"/>
    <w:rsid w:val="3BAC7BF6"/>
    <w:rsid w:val="3C7B1DEF"/>
    <w:rsid w:val="3C8D359E"/>
    <w:rsid w:val="3E2A34A4"/>
    <w:rsid w:val="3E36341A"/>
    <w:rsid w:val="3F982A2B"/>
    <w:rsid w:val="41145071"/>
    <w:rsid w:val="41706217"/>
    <w:rsid w:val="41F4634D"/>
    <w:rsid w:val="43A533DA"/>
    <w:rsid w:val="440B4C78"/>
    <w:rsid w:val="445A46AE"/>
    <w:rsid w:val="44813E64"/>
    <w:rsid w:val="457241AA"/>
    <w:rsid w:val="45987B16"/>
    <w:rsid w:val="4629621E"/>
    <w:rsid w:val="475A2C17"/>
    <w:rsid w:val="4796353D"/>
    <w:rsid w:val="4884400B"/>
    <w:rsid w:val="48E56510"/>
    <w:rsid w:val="4948693F"/>
    <w:rsid w:val="4AD920CA"/>
    <w:rsid w:val="4BAC1E72"/>
    <w:rsid w:val="4FDA72A6"/>
    <w:rsid w:val="51122BCA"/>
    <w:rsid w:val="51B63B64"/>
    <w:rsid w:val="52C13C7D"/>
    <w:rsid w:val="54722FC1"/>
    <w:rsid w:val="563459FC"/>
    <w:rsid w:val="574748E6"/>
    <w:rsid w:val="58E16D90"/>
    <w:rsid w:val="59366498"/>
    <w:rsid w:val="599B3347"/>
    <w:rsid w:val="5FEB2206"/>
    <w:rsid w:val="617D503E"/>
    <w:rsid w:val="62165C60"/>
    <w:rsid w:val="628E51DF"/>
    <w:rsid w:val="63107FC1"/>
    <w:rsid w:val="63743E77"/>
    <w:rsid w:val="661C0DC4"/>
    <w:rsid w:val="66DD4876"/>
    <w:rsid w:val="66F615DD"/>
    <w:rsid w:val="685D6C62"/>
    <w:rsid w:val="68865FCB"/>
    <w:rsid w:val="69493580"/>
    <w:rsid w:val="699D1AAC"/>
    <w:rsid w:val="6C2B5456"/>
    <w:rsid w:val="6CB8570D"/>
    <w:rsid w:val="6CC17318"/>
    <w:rsid w:val="6CCC4958"/>
    <w:rsid w:val="6D375C6B"/>
    <w:rsid w:val="6DDD3989"/>
    <w:rsid w:val="6E1B09FD"/>
    <w:rsid w:val="74856C75"/>
    <w:rsid w:val="75614CC9"/>
    <w:rsid w:val="75CD3A4F"/>
    <w:rsid w:val="76A16BD6"/>
    <w:rsid w:val="776D37DC"/>
    <w:rsid w:val="7966728B"/>
    <w:rsid w:val="7AE612FD"/>
    <w:rsid w:val="7CDF225D"/>
    <w:rsid w:val="7FE10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name="index 1"/>
    <w:lsdException w:qFormat="1" w:unhideWhenUsed="0" w:uiPriority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qFormat="1" w:unhideWhenUsed="0" w:uiPriority="0" w:semiHidden="0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99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90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7">
    <w:name w:val="heading 5"/>
    <w:basedOn w:val="1"/>
    <w:next w:val="1"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8">
    <w:name w:val="heading 6"/>
    <w:basedOn w:val="1"/>
    <w:next w:val="1"/>
    <w:link w:val="91"/>
    <w:qFormat/>
    <w:uiPriority w:val="0"/>
    <w:pPr>
      <w:keepNext/>
      <w:keepLines/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9">
    <w:name w:val="heading 7"/>
    <w:basedOn w:val="1"/>
    <w:next w:val="1"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10">
    <w:name w:val="heading 8"/>
    <w:basedOn w:val="1"/>
    <w:next w:val="1"/>
    <w:qFormat/>
    <w:uiPriority w:val="0"/>
    <w:pPr>
      <w:keepNext/>
      <w:keepLines/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qFormat/>
    <w:uiPriority w:val="0"/>
    <w:pPr>
      <w:keepNext/>
      <w:keepLines/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76">
    <w:name w:val="Default Paragraph Font"/>
    <w:semiHidden/>
    <w:unhideWhenUsed/>
    <w:qFormat/>
    <w:uiPriority w:val="1"/>
  </w:style>
  <w:style w:type="table" w:default="1" w:styleId="7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ordWrap w:val="0"/>
      <w:spacing w:line="480" w:lineRule="exact"/>
      <w:jc w:val="right"/>
    </w:pPr>
    <w:rPr>
      <w:color w:val="000000"/>
      <w:position w:val="-10"/>
      <w:sz w:val="18"/>
    </w:rPr>
  </w:style>
  <w:style w:type="paragraph" w:styleId="12">
    <w:name w:val="List 3"/>
    <w:basedOn w:val="1"/>
    <w:qFormat/>
    <w:uiPriority w:val="0"/>
    <w:pPr>
      <w:ind w:left="100" w:leftChars="400" w:hanging="200" w:hangingChars="200"/>
    </w:pPr>
    <w:rPr>
      <w:szCs w:val="24"/>
    </w:rPr>
  </w:style>
  <w:style w:type="paragraph" w:styleId="13">
    <w:name w:val="toc 7"/>
    <w:basedOn w:val="14"/>
    <w:next w:val="1"/>
    <w:semiHidden/>
    <w:qFormat/>
    <w:uiPriority w:val="0"/>
    <w:pPr>
      <w:tabs>
        <w:tab w:val="right" w:leader="dot" w:pos="9345"/>
      </w:tabs>
    </w:pPr>
  </w:style>
  <w:style w:type="paragraph" w:styleId="14">
    <w:name w:val="toc 6"/>
    <w:basedOn w:val="15"/>
    <w:next w:val="1"/>
    <w:semiHidden/>
    <w:qFormat/>
    <w:uiPriority w:val="0"/>
    <w:pPr>
      <w:tabs>
        <w:tab w:val="right" w:leader="dot" w:pos="9345"/>
      </w:tabs>
    </w:pPr>
  </w:style>
  <w:style w:type="paragraph" w:styleId="15">
    <w:name w:val="toc 5"/>
    <w:basedOn w:val="16"/>
    <w:next w:val="1"/>
    <w:semiHidden/>
    <w:qFormat/>
    <w:uiPriority w:val="0"/>
    <w:pPr>
      <w:tabs>
        <w:tab w:val="right" w:leader="dot" w:pos="9345"/>
      </w:tabs>
    </w:pPr>
  </w:style>
  <w:style w:type="paragraph" w:styleId="16">
    <w:name w:val="toc 4"/>
    <w:basedOn w:val="17"/>
    <w:next w:val="1"/>
    <w:semiHidden/>
    <w:qFormat/>
    <w:uiPriority w:val="0"/>
    <w:pPr>
      <w:tabs>
        <w:tab w:val="right" w:leader="dot" w:pos="9345"/>
      </w:tabs>
    </w:pPr>
  </w:style>
  <w:style w:type="paragraph" w:styleId="17">
    <w:name w:val="toc 3"/>
    <w:basedOn w:val="18"/>
    <w:next w:val="1"/>
    <w:semiHidden/>
    <w:qFormat/>
    <w:uiPriority w:val="0"/>
    <w:pPr>
      <w:tabs>
        <w:tab w:val="right" w:leader="dot" w:pos="9345"/>
      </w:tabs>
    </w:pPr>
  </w:style>
  <w:style w:type="paragraph" w:styleId="18">
    <w:name w:val="toc 2"/>
    <w:basedOn w:val="19"/>
    <w:next w:val="1"/>
    <w:semiHidden/>
    <w:qFormat/>
    <w:uiPriority w:val="0"/>
    <w:pPr>
      <w:tabs>
        <w:tab w:val="right" w:leader="dot" w:pos="9345"/>
      </w:tabs>
    </w:pPr>
    <w:rPr>
      <w:color w:val="000000"/>
    </w:rPr>
  </w:style>
  <w:style w:type="paragraph" w:styleId="19">
    <w:name w:val="toc 1"/>
    <w:next w:val="1"/>
    <w:qFormat/>
    <w:uiPriority w:val="39"/>
    <w:pPr>
      <w:tabs>
        <w:tab w:val="right" w:leader="dot" w:pos="9345"/>
      </w:tabs>
      <w:spacing w:line="4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20">
    <w:name w:val="List Number 2"/>
    <w:basedOn w:val="1"/>
    <w:qFormat/>
    <w:uiPriority w:val="0"/>
    <w:pPr>
      <w:numPr>
        <w:ilvl w:val="0"/>
        <w:numId w:val="1"/>
      </w:numPr>
      <w:tabs>
        <w:tab w:val="left" w:pos="780"/>
        <w:tab w:val="clear" w:pos="360"/>
      </w:tabs>
      <w:ind w:left="780" w:leftChars="200"/>
    </w:pPr>
    <w:rPr>
      <w:szCs w:val="24"/>
    </w:rPr>
  </w:style>
  <w:style w:type="paragraph" w:styleId="21">
    <w:name w:val="Note Heading"/>
    <w:basedOn w:val="1"/>
    <w:next w:val="1"/>
    <w:qFormat/>
    <w:uiPriority w:val="0"/>
    <w:pPr>
      <w:jc w:val="center"/>
    </w:pPr>
    <w:rPr>
      <w:szCs w:val="24"/>
    </w:rPr>
  </w:style>
  <w:style w:type="paragraph" w:styleId="22">
    <w:name w:val="List Bullet 4"/>
    <w:basedOn w:val="1"/>
    <w:qFormat/>
    <w:uiPriority w:val="0"/>
    <w:pPr>
      <w:numPr>
        <w:ilvl w:val="0"/>
        <w:numId w:val="2"/>
      </w:numPr>
      <w:tabs>
        <w:tab w:val="left" w:pos="1620"/>
        <w:tab w:val="clear" w:pos="1200"/>
      </w:tabs>
      <w:ind w:left="1620" w:leftChars="600"/>
    </w:pPr>
    <w:rPr>
      <w:szCs w:val="24"/>
    </w:rPr>
  </w:style>
  <w:style w:type="paragraph" w:styleId="23">
    <w:name w:val="E-mail Signature"/>
    <w:basedOn w:val="1"/>
    <w:qFormat/>
    <w:uiPriority w:val="0"/>
    <w:rPr>
      <w:szCs w:val="24"/>
    </w:rPr>
  </w:style>
  <w:style w:type="paragraph" w:styleId="24">
    <w:name w:val="List Number"/>
    <w:basedOn w:val="1"/>
    <w:qFormat/>
    <w:uiPriority w:val="0"/>
    <w:rPr>
      <w:szCs w:val="24"/>
    </w:rPr>
  </w:style>
  <w:style w:type="paragraph" w:styleId="25">
    <w:name w:val="Normal Indent"/>
    <w:basedOn w:val="1"/>
    <w:qFormat/>
    <w:uiPriority w:val="0"/>
    <w:pPr>
      <w:ind w:firstLine="420" w:firstLineChars="200"/>
    </w:pPr>
    <w:rPr>
      <w:szCs w:val="24"/>
    </w:rPr>
  </w:style>
  <w:style w:type="paragraph" w:styleId="26">
    <w:name w:val="List Bullet"/>
    <w:basedOn w:val="1"/>
    <w:qFormat/>
    <w:uiPriority w:val="0"/>
    <w:pPr>
      <w:numPr>
        <w:ilvl w:val="0"/>
        <w:numId w:val="3"/>
      </w:numPr>
    </w:pPr>
    <w:rPr>
      <w:szCs w:val="24"/>
    </w:rPr>
  </w:style>
  <w:style w:type="paragraph" w:styleId="27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snapToGrid w:val="0"/>
      <w:ind w:left="100" w:leftChars="1400"/>
    </w:pPr>
    <w:rPr>
      <w:rFonts w:ascii="Arial" w:hAnsi="Arial" w:cs="Arial"/>
      <w:sz w:val="24"/>
      <w:szCs w:val="24"/>
    </w:rPr>
  </w:style>
  <w:style w:type="paragraph" w:styleId="28">
    <w:name w:val="Document Map"/>
    <w:basedOn w:val="1"/>
    <w:semiHidden/>
    <w:qFormat/>
    <w:uiPriority w:val="0"/>
    <w:pPr>
      <w:shd w:val="clear" w:color="auto" w:fill="000080"/>
    </w:pPr>
  </w:style>
  <w:style w:type="paragraph" w:styleId="29">
    <w:name w:val="annotation text"/>
    <w:basedOn w:val="1"/>
    <w:semiHidden/>
    <w:qFormat/>
    <w:uiPriority w:val="0"/>
    <w:pPr>
      <w:jc w:val="left"/>
    </w:pPr>
    <w:rPr>
      <w:szCs w:val="24"/>
    </w:rPr>
  </w:style>
  <w:style w:type="paragraph" w:styleId="30">
    <w:name w:val="Salutation"/>
    <w:basedOn w:val="1"/>
    <w:next w:val="1"/>
    <w:qFormat/>
    <w:uiPriority w:val="0"/>
    <w:rPr>
      <w:szCs w:val="24"/>
    </w:rPr>
  </w:style>
  <w:style w:type="paragraph" w:styleId="31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32">
    <w:name w:val="Closing"/>
    <w:basedOn w:val="1"/>
    <w:qFormat/>
    <w:uiPriority w:val="0"/>
    <w:pPr>
      <w:ind w:left="100" w:leftChars="2100"/>
    </w:pPr>
    <w:rPr>
      <w:szCs w:val="24"/>
    </w:rPr>
  </w:style>
  <w:style w:type="paragraph" w:styleId="33">
    <w:name w:val="List Bullet 3"/>
    <w:basedOn w:val="1"/>
    <w:qFormat/>
    <w:uiPriority w:val="0"/>
    <w:pPr>
      <w:numPr>
        <w:ilvl w:val="0"/>
        <w:numId w:val="4"/>
      </w:numPr>
      <w:tabs>
        <w:tab w:val="left" w:pos="1200"/>
        <w:tab w:val="clear" w:pos="780"/>
      </w:tabs>
      <w:ind w:left="1200" w:leftChars="400"/>
    </w:pPr>
    <w:rPr>
      <w:szCs w:val="24"/>
    </w:rPr>
  </w:style>
  <w:style w:type="paragraph" w:styleId="34">
    <w:name w:val="Body Text Indent"/>
    <w:basedOn w:val="1"/>
    <w:qFormat/>
    <w:uiPriority w:val="0"/>
    <w:pPr>
      <w:spacing w:after="120"/>
      <w:ind w:left="420" w:leftChars="200"/>
    </w:pPr>
  </w:style>
  <w:style w:type="paragraph" w:styleId="35">
    <w:name w:val="List Number 3"/>
    <w:basedOn w:val="1"/>
    <w:qFormat/>
    <w:uiPriority w:val="0"/>
    <w:pPr>
      <w:numPr>
        <w:ilvl w:val="0"/>
        <w:numId w:val="5"/>
      </w:numPr>
      <w:tabs>
        <w:tab w:val="left" w:pos="1200"/>
        <w:tab w:val="clear" w:pos="780"/>
      </w:tabs>
      <w:ind w:left="1200" w:leftChars="400"/>
    </w:pPr>
    <w:rPr>
      <w:szCs w:val="24"/>
    </w:rPr>
  </w:style>
  <w:style w:type="paragraph" w:styleId="36">
    <w:name w:val="List 2"/>
    <w:basedOn w:val="1"/>
    <w:qFormat/>
    <w:uiPriority w:val="0"/>
    <w:pPr>
      <w:ind w:left="100" w:leftChars="200" w:hanging="200" w:hangingChars="200"/>
    </w:pPr>
    <w:rPr>
      <w:szCs w:val="24"/>
    </w:rPr>
  </w:style>
  <w:style w:type="paragraph" w:styleId="37">
    <w:name w:val="List Continue"/>
    <w:basedOn w:val="1"/>
    <w:qFormat/>
    <w:uiPriority w:val="0"/>
    <w:pPr>
      <w:numPr>
        <w:ilvl w:val="0"/>
        <w:numId w:val="6"/>
      </w:numPr>
      <w:tabs>
        <w:tab w:val="clear" w:pos="2040"/>
      </w:tabs>
      <w:spacing w:after="120"/>
      <w:ind w:left="420" w:leftChars="200" w:firstLine="0"/>
    </w:pPr>
    <w:rPr>
      <w:szCs w:val="24"/>
    </w:rPr>
  </w:style>
  <w:style w:type="paragraph" w:styleId="38">
    <w:name w:val="Block Text"/>
    <w:basedOn w:val="1"/>
    <w:qFormat/>
    <w:uiPriority w:val="0"/>
    <w:pPr>
      <w:spacing w:after="120"/>
      <w:ind w:left="1440" w:leftChars="700" w:right="1440" w:rightChars="700"/>
    </w:pPr>
    <w:rPr>
      <w:szCs w:val="24"/>
    </w:rPr>
  </w:style>
  <w:style w:type="paragraph" w:styleId="39">
    <w:name w:val="List Bullet 2"/>
    <w:basedOn w:val="1"/>
    <w:qFormat/>
    <w:uiPriority w:val="0"/>
    <w:pPr>
      <w:numPr>
        <w:ilvl w:val="0"/>
        <w:numId w:val="7"/>
      </w:numPr>
      <w:tabs>
        <w:tab w:val="left" w:pos="780"/>
        <w:tab w:val="clear" w:pos="360"/>
      </w:tabs>
      <w:ind w:left="780" w:leftChars="200"/>
    </w:pPr>
    <w:rPr>
      <w:szCs w:val="24"/>
    </w:rPr>
  </w:style>
  <w:style w:type="paragraph" w:styleId="40">
    <w:name w:val="HTML Address"/>
    <w:basedOn w:val="1"/>
    <w:qFormat/>
    <w:uiPriority w:val="0"/>
    <w:rPr>
      <w:i/>
      <w:iCs/>
    </w:rPr>
  </w:style>
  <w:style w:type="paragraph" w:styleId="41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2">
    <w:name w:val="List Bullet 5"/>
    <w:basedOn w:val="1"/>
    <w:qFormat/>
    <w:uiPriority w:val="0"/>
    <w:pPr>
      <w:numPr>
        <w:ilvl w:val="0"/>
        <w:numId w:val="8"/>
      </w:numPr>
      <w:tabs>
        <w:tab w:val="left" w:pos="2040"/>
        <w:tab w:val="clear" w:pos="1620"/>
      </w:tabs>
      <w:ind w:left="2040" w:leftChars="800"/>
    </w:pPr>
    <w:rPr>
      <w:szCs w:val="24"/>
    </w:rPr>
  </w:style>
  <w:style w:type="paragraph" w:styleId="43">
    <w:name w:val="List Number 4"/>
    <w:basedOn w:val="1"/>
    <w:qFormat/>
    <w:uiPriority w:val="0"/>
    <w:pPr>
      <w:numPr>
        <w:ilvl w:val="0"/>
        <w:numId w:val="9"/>
      </w:numPr>
      <w:tabs>
        <w:tab w:val="left" w:pos="1620"/>
        <w:tab w:val="clear" w:pos="1200"/>
      </w:tabs>
      <w:ind w:left="1620" w:leftChars="600"/>
    </w:pPr>
    <w:rPr>
      <w:szCs w:val="24"/>
    </w:rPr>
  </w:style>
  <w:style w:type="paragraph" w:styleId="44">
    <w:name w:val="toc 8"/>
    <w:basedOn w:val="13"/>
    <w:next w:val="1"/>
    <w:semiHidden/>
    <w:qFormat/>
    <w:uiPriority w:val="0"/>
  </w:style>
  <w:style w:type="paragraph" w:styleId="45">
    <w:name w:val="Date"/>
    <w:basedOn w:val="1"/>
    <w:next w:val="1"/>
    <w:qFormat/>
    <w:uiPriority w:val="0"/>
    <w:pPr>
      <w:ind w:left="100" w:leftChars="2500"/>
    </w:pPr>
    <w:rPr>
      <w:b/>
      <w:color w:val="0000FF"/>
      <w:szCs w:val="21"/>
    </w:rPr>
  </w:style>
  <w:style w:type="paragraph" w:styleId="46">
    <w:name w:val="Body Text Indent 2"/>
    <w:basedOn w:val="1"/>
    <w:link w:val="92"/>
    <w:qFormat/>
    <w:uiPriority w:val="0"/>
    <w:pPr>
      <w:spacing w:line="360" w:lineRule="auto"/>
      <w:ind w:firstLine="480"/>
    </w:pPr>
    <w:rPr>
      <w:color w:val="FF0000"/>
      <w:kern w:val="0"/>
      <w:sz w:val="24"/>
    </w:rPr>
  </w:style>
  <w:style w:type="paragraph" w:styleId="47">
    <w:name w:val="List Continue 5"/>
    <w:basedOn w:val="1"/>
    <w:qFormat/>
    <w:uiPriority w:val="0"/>
    <w:pPr>
      <w:spacing w:after="120"/>
      <w:ind w:left="2100" w:leftChars="1000"/>
    </w:pPr>
    <w:rPr>
      <w:szCs w:val="24"/>
    </w:rPr>
  </w:style>
  <w:style w:type="paragraph" w:styleId="48">
    <w:name w:val="Balloon Text"/>
    <w:basedOn w:val="1"/>
    <w:semiHidden/>
    <w:qFormat/>
    <w:uiPriority w:val="0"/>
    <w:rPr>
      <w:sz w:val="18"/>
      <w:szCs w:val="18"/>
    </w:rPr>
  </w:style>
  <w:style w:type="paragraph" w:styleId="4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50">
    <w:name w:val="envelope return"/>
    <w:basedOn w:val="1"/>
    <w:qFormat/>
    <w:uiPriority w:val="0"/>
    <w:pPr>
      <w:snapToGrid w:val="0"/>
    </w:pPr>
    <w:rPr>
      <w:rFonts w:ascii="Arial" w:hAnsi="Arial" w:cs="Arial"/>
      <w:szCs w:val="24"/>
    </w:rPr>
  </w:style>
  <w:style w:type="paragraph" w:styleId="5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2">
    <w:name w:val="Signature"/>
    <w:basedOn w:val="1"/>
    <w:qFormat/>
    <w:uiPriority w:val="0"/>
    <w:pPr>
      <w:ind w:left="100" w:leftChars="2100"/>
    </w:pPr>
    <w:rPr>
      <w:szCs w:val="24"/>
    </w:rPr>
  </w:style>
  <w:style w:type="paragraph" w:styleId="53">
    <w:name w:val="List Continue 4"/>
    <w:basedOn w:val="1"/>
    <w:qFormat/>
    <w:uiPriority w:val="0"/>
    <w:pPr>
      <w:spacing w:after="120"/>
      <w:ind w:left="1680" w:leftChars="800"/>
    </w:pPr>
    <w:rPr>
      <w:szCs w:val="24"/>
    </w:rPr>
  </w:style>
  <w:style w:type="paragraph" w:styleId="54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paragraph" w:styleId="55">
    <w:name w:val="List Number 5"/>
    <w:basedOn w:val="1"/>
    <w:qFormat/>
    <w:uiPriority w:val="0"/>
    <w:pPr>
      <w:numPr>
        <w:ilvl w:val="0"/>
        <w:numId w:val="10"/>
      </w:numPr>
      <w:tabs>
        <w:tab w:val="left" w:pos="2040"/>
        <w:tab w:val="clear" w:pos="1620"/>
      </w:tabs>
      <w:ind w:left="2040" w:leftChars="800"/>
    </w:pPr>
    <w:rPr>
      <w:szCs w:val="24"/>
    </w:rPr>
  </w:style>
  <w:style w:type="paragraph" w:styleId="56">
    <w:name w:val="List"/>
    <w:basedOn w:val="1"/>
    <w:qFormat/>
    <w:uiPriority w:val="0"/>
    <w:pPr>
      <w:ind w:left="200" w:hanging="200" w:hangingChars="200"/>
    </w:pPr>
    <w:rPr>
      <w:szCs w:val="24"/>
    </w:rPr>
  </w:style>
  <w:style w:type="paragraph" w:styleId="57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58">
    <w:name w:val="List 5"/>
    <w:basedOn w:val="1"/>
    <w:qFormat/>
    <w:uiPriority w:val="0"/>
    <w:pPr>
      <w:ind w:left="100" w:leftChars="800" w:hanging="200" w:hangingChars="200"/>
    </w:pPr>
    <w:rPr>
      <w:szCs w:val="24"/>
    </w:rPr>
  </w:style>
  <w:style w:type="paragraph" w:styleId="59">
    <w:name w:val="Body Text Indent 3"/>
    <w:basedOn w:val="1"/>
    <w:qFormat/>
    <w:uiPriority w:val="0"/>
    <w:pPr>
      <w:spacing w:line="360" w:lineRule="auto"/>
    </w:pPr>
    <w:rPr>
      <w:rFonts w:ascii="宋体" w:hAnsi="宋体"/>
      <w:szCs w:val="24"/>
    </w:rPr>
  </w:style>
  <w:style w:type="paragraph" w:styleId="60">
    <w:name w:val="toc 9"/>
    <w:basedOn w:val="44"/>
    <w:next w:val="1"/>
    <w:semiHidden/>
    <w:qFormat/>
    <w:uiPriority w:val="0"/>
  </w:style>
  <w:style w:type="paragraph" w:styleId="61">
    <w:name w:val="Body Text 2"/>
    <w:basedOn w:val="1"/>
    <w:qFormat/>
    <w:uiPriority w:val="0"/>
    <w:pPr>
      <w:spacing w:after="120" w:line="480" w:lineRule="auto"/>
    </w:pPr>
    <w:rPr>
      <w:szCs w:val="24"/>
    </w:rPr>
  </w:style>
  <w:style w:type="paragraph" w:styleId="62">
    <w:name w:val="List 4"/>
    <w:basedOn w:val="1"/>
    <w:qFormat/>
    <w:uiPriority w:val="0"/>
    <w:pPr>
      <w:ind w:left="100" w:leftChars="600" w:hanging="200" w:hangingChars="200"/>
    </w:pPr>
    <w:rPr>
      <w:szCs w:val="24"/>
    </w:rPr>
  </w:style>
  <w:style w:type="paragraph" w:styleId="63">
    <w:name w:val="List Continue 2"/>
    <w:basedOn w:val="1"/>
    <w:qFormat/>
    <w:uiPriority w:val="0"/>
    <w:pPr>
      <w:spacing w:after="120"/>
      <w:ind w:left="840" w:leftChars="400"/>
    </w:pPr>
    <w:rPr>
      <w:szCs w:val="24"/>
    </w:rPr>
  </w:style>
  <w:style w:type="paragraph" w:styleId="64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cs="Arial"/>
      <w:sz w:val="24"/>
      <w:szCs w:val="24"/>
    </w:rPr>
  </w:style>
  <w:style w:type="paragraph" w:styleId="65">
    <w:name w:val="HTML Preformatted"/>
    <w:basedOn w:val="1"/>
    <w:qFormat/>
    <w:uiPriority w:val="0"/>
    <w:rPr>
      <w:rFonts w:ascii="Courier New" w:hAnsi="Courier New" w:cs="Courier New"/>
      <w:sz w:val="20"/>
    </w:rPr>
  </w:style>
  <w:style w:type="paragraph" w:styleId="66">
    <w:name w:val="Normal (Web)"/>
    <w:basedOn w:val="1"/>
    <w:qFormat/>
    <w:uiPriority w:val="99"/>
    <w:pPr>
      <w:numPr>
        <w:ilvl w:val="0"/>
        <w:numId w:val="11"/>
      </w:numPr>
      <w:tabs>
        <w:tab w:val="clear" w:pos="2040"/>
      </w:tabs>
      <w:ind w:left="0" w:firstLine="0"/>
    </w:pPr>
    <w:rPr>
      <w:sz w:val="24"/>
      <w:szCs w:val="24"/>
    </w:rPr>
  </w:style>
  <w:style w:type="paragraph" w:styleId="67">
    <w:name w:val="List Continue 3"/>
    <w:basedOn w:val="1"/>
    <w:qFormat/>
    <w:uiPriority w:val="0"/>
    <w:pPr>
      <w:spacing w:after="120"/>
      <w:ind w:left="1260" w:leftChars="600"/>
    </w:pPr>
    <w:rPr>
      <w:szCs w:val="24"/>
    </w:rPr>
  </w:style>
  <w:style w:type="paragraph" w:styleId="68">
    <w:name w:val="index 1"/>
    <w:basedOn w:val="1"/>
    <w:next w:val="1"/>
    <w:semiHidden/>
    <w:qFormat/>
    <w:uiPriority w:val="0"/>
    <w:rPr>
      <w:szCs w:val="24"/>
    </w:rPr>
  </w:style>
  <w:style w:type="paragraph" w:styleId="69">
    <w:name w:val="index 2"/>
    <w:basedOn w:val="1"/>
    <w:next w:val="1"/>
    <w:semiHidden/>
    <w:qFormat/>
    <w:uiPriority w:val="0"/>
    <w:pPr>
      <w:ind w:left="200" w:leftChars="200"/>
    </w:pPr>
    <w:rPr>
      <w:szCs w:val="24"/>
    </w:rPr>
  </w:style>
  <w:style w:type="paragraph" w:styleId="70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71">
    <w:name w:val="annotation subject"/>
    <w:basedOn w:val="29"/>
    <w:next w:val="29"/>
    <w:semiHidden/>
    <w:qFormat/>
    <w:uiPriority w:val="0"/>
    <w:rPr>
      <w:b/>
      <w:bCs/>
    </w:rPr>
  </w:style>
  <w:style w:type="paragraph" w:styleId="72">
    <w:name w:val="Body Text First Indent"/>
    <w:basedOn w:val="2"/>
    <w:qFormat/>
    <w:uiPriority w:val="0"/>
    <w:pPr>
      <w:wordWrap/>
      <w:spacing w:after="120" w:line="240" w:lineRule="auto"/>
      <w:ind w:firstLine="420" w:firstLineChars="100"/>
      <w:jc w:val="both"/>
    </w:pPr>
    <w:rPr>
      <w:color w:val="auto"/>
      <w:position w:val="0"/>
      <w:sz w:val="21"/>
      <w:szCs w:val="24"/>
    </w:rPr>
  </w:style>
  <w:style w:type="paragraph" w:styleId="73">
    <w:name w:val="Body Text First Indent 2"/>
    <w:basedOn w:val="34"/>
    <w:qFormat/>
    <w:uiPriority w:val="0"/>
    <w:pPr>
      <w:ind w:firstLine="420" w:firstLineChars="200"/>
    </w:pPr>
    <w:rPr>
      <w:szCs w:val="24"/>
    </w:rPr>
  </w:style>
  <w:style w:type="table" w:styleId="75">
    <w:name w:val="Table Grid"/>
    <w:basedOn w:val="7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7">
    <w:name w:val="Strong"/>
    <w:qFormat/>
    <w:uiPriority w:val="0"/>
    <w:rPr>
      <w:rFonts w:ascii="仿宋_GB2312" w:eastAsia="仿宋_GB2312"/>
      <w:b/>
      <w:bCs/>
      <w:sz w:val="28"/>
      <w:szCs w:val="28"/>
      <w:lang w:val="en-US" w:eastAsia="zh-CN" w:bidi="ar-SA"/>
    </w:rPr>
  </w:style>
  <w:style w:type="character" w:styleId="78">
    <w:name w:val="page number"/>
    <w:qFormat/>
    <w:uiPriority w:val="0"/>
    <w:rPr>
      <w:rFonts w:ascii="Times New Roman" w:hAnsi="Times New Roman" w:eastAsia="宋体"/>
      <w:sz w:val="18"/>
    </w:rPr>
  </w:style>
  <w:style w:type="character" w:styleId="79">
    <w:name w:val="HTML Definition"/>
    <w:qFormat/>
    <w:uiPriority w:val="0"/>
    <w:rPr>
      <w:i/>
      <w:iCs/>
    </w:rPr>
  </w:style>
  <w:style w:type="character" w:styleId="80">
    <w:name w:val="HTML Typewriter"/>
    <w:qFormat/>
    <w:uiPriority w:val="0"/>
    <w:rPr>
      <w:rFonts w:ascii="Courier New" w:hAnsi="Courier New"/>
      <w:sz w:val="20"/>
      <w:szCs w:val="20"/>
    </w:rPr>
  </w:style>
  <w:style w:type="character" w:styleId="81">
    <w:name w:val="HTML Acronym"/>
    <w:qFormat/>
    <w:uiPriority w:val="0"/>
  </w:style>
  <w:style w:type="character" w:styleId="82">
    <w:name w:val="HTML Variable"/>
    <w:qFormat/>
    <w:uiPriority w:val="0"/>
    <w:rPr>
      <w:i/>
      <w:iCs/>
    </w:rPr>
  </w:style>
  <w:style w:type="character" w:styleId="83">
    <w:name w:val="Hyperlink"/>
    <w:qFormat/>
    <w:uiPriority w:val="99"/>
    <w:rPr>
      <w:rFonts w:ascii="Times New Roman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character" w:styleId="84">
    <w:name w:val="HTML Code"/>
    <w:qFormat/>
    <w:uiPriority w:val="0"/>
    <w:rPr>
      <w:rFonts w:ascii="Courier New" w:hAnsi="Courier New"/>
      <w:sz w:val="20"/>
      <w:szCs w:val="20"/>
    </w:rPr>
  </w:style>
  <w:style w:type="character" w:styleId="85">
    <w:name w:val="annotation reference"/>
    <w:qFormat/>
    <w:uiPriority w:val="0"/>
    <w:rPr>
      <w:sz w:val="21"/>
      <w:szCs w:val="21"/>
    </w:rPr>
  </w:style>
  <w:style w:type="character" w:styleId="86">
    <w:name w:val="HTML Cite"/>
    <w:qFormat/>
    <w:uiPriority w:val="0"/>
    <w:rPr>
      <w:i/>
      <w:iCs/>
    </w:rPr>
  </w:style>
  <w:style w:type="character" w:styleId="87">
    <w:name w:val="footnote reference"/>
    <w:semiHidden/>
    <w:qFormat/>
    <w:uiPriority w:val="0"/>
    <w:rPr>
      <w:vertAlign w:val="superscript"/>
    </w:rPr>
  </w:style>
  <w:style w:type="character" w:styleId="88">
    <w:name w:val="HTML Keyboard"/>
    <w:qFormat/>
    <w:uiPriority w:val="0"/>
    <w:rPr>
      <w:rFonts w:ascii="Courier New" w:hAnsi="Courier New"/>
      <w:sz w:val="20"/>
      <w:szCs w:val="20"/>
    </w:rPr>
  </w:style>
  <w:style w:type="character" w:styleId="89">
    <w:name w:val="HTML Sample"/>
    <w:qFormat/>
    <w:uiPriority w:val="0"/>
    <w:rPr>
      <w:rFonts w:ascii="Courier New" w:hAnsi="Courier New"/>
    </w:rPr>
  </w:style>
  <w:style w:type="character" w:customStyle="1" w:styleId="90">
    <w:name w:val="标题 2 字符"/>
    <w:link w:val="4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customStyle="1" w:styleId="91">
    <w:name w:val="标题 6 字符"/>
    <w:link w:val="8"/>
    <w:qFormat/>
    <w:uiPriority w:val="0"/>
    <w:rPr>
      <w:rFonts w:ascii="Arial" w:hAnsi="Arial" w:eastAsia="黑体"/>
      <w:b/>
      <w:bCs/>
      <w:kern w:val="2"/>
      <w:sz w:val="24"/>
      <w:lang w:val="en-US" w:eastAsia="zh-CN" w:bidi="ar-SA"/>
    </w:rPr>
  </w:style>
  <w:style w:type="character" w:customStyle="1" w:styleId="92">
    <w:name w:val="正文文本缩进 2 字符"/>
    <w:link w:val="46"/>
    <w:qFormat/>
    <w:uiPriority w:val="0"/>
    <w:rPr>
      <w:rFonts w:eastAsia="宋体"/>
      <w:color w:val="FF0000"/>
      <w:sz w:val="24"/>
      <w:lang w:val="en-US" w:eastAsia="zh-CN" w:bidi="ar-SA"/>
    </w:rPr>
  </w:style>
  <w:style w:type="paragraph" w:customStyle="1" w:styleId="93">
    <w:name w:val="Char Char Char1 Char"/>
    <w:basedOn w:val="1"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94">
    <w:name w:val="标准标志"/>
    <w:next w:val="1"/>
    <w:qFormat/>
    <w:uiPriority w:val="0"/>
    <w:pPr>
      <w:framePr w:w="2268" w:h="1392" w:hRule="exact" w:wrap="around" w:vAnchor="margin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95">
    <w:name w:val="标准称谓"/>
    <w:next w:val="1"/>
    <w:qFormat/>
    <w:uiPriority w:val="0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52"/>
      <w:lang w:val="en-US" w:eastAsia="zh-CN" w:bidi="ar-SA"/>
    </w:rPr>
  </w:style>
  <w:style w:type="paragraph" w:customStyle="1" w:styleId="96">
    <w:name w:val="标准书脚_偶数页"/>
    <w:qFormat/>
    <w:uiPriority w:val="0"/>
    <w:pPr>
      <w:spacing w:before="120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97">
    <w:name w:val="标准书脚_奇数页"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98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99">
    <w:name w:val="标准书眉_偶数页"/>
    <w:basedOn w:val="98"/>
    <w:next w:val="1"/>
    <w:qFormat/>
    <w:uiPriority w:val="0"/>
    <w:pPr>
      <w:jc w:val="left"/>
    </w:pPr>
  </w:style>
  <w:style w:type="paragraph" w:customStyle="1" w:styleId="100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01">
    <w:name w:val="前言、引言标题"/>
    <w:next w:val="1"/>
    <w:qFormat/>
    <w:uiPriority w:val="0"/>
    <w:pPr>
      <w:numPr>
        <w:ilvl w:val="0"/>
        <w:numId w:val="12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02">
    <w:name w:val="参考文献、索引标题"/>
    <w:basedOn w:val="101"/>
    <w:next w:val="1"/>
    <w:qFormat/>
    <w:uiPriority w:val="0"/>
    <w:pPr>
      <w:numPr>
        <w:numId w:val="0"/>
      </w:numPr>
      <w:spacing w:after="200"/>
    </w:pPr>
    <w:rPr>
      <w:sz w:val="21"/>
    </w:rPr>
  </w:style>
  <w:style w:type="paragraph" w:customStyle="1" w:styleId="103">
    <w:name w:val="段"/>
    <w:link w:val="104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04">
    <w:name w:val="段 Char"/>
    <w:link w:val="103"/>
    <w:qFormat/>
    <w:uiPriority w:val="0"/>
    <w:rPr>
      <w:rFonts w:ascii="宋体"/>
      <w:sz w:val="21"/>
      <w:lang w:val="en-US" w:eastAsia="zh-CN" w:bidi="ar-SA"/>
    </w:rPr>
  </w:style>
  <w:style w:type="paragraph" w:customStyle="1" w:styleId="105">
    <w:name w:val="章标题"/>
    <w:next w:val="103"/>
    <w:qFormat/>
    <w:uiPriority w:val="0"/>
    <w:pPr>
      <w:numPr>
        <w:ilvl w:val="1"/>
        <w:numId w:val="12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06">
    <w:name w:val="一级条标题"/>
    <w:next w:val="103"/>
    <w:qFormat/>
    <w:uiPriority w:val="0"/>
    <w:pPr>
      <w:numPr>
        <w:ilvl w:val="2"/>
        <w:numId w:val="12"/>
      </w:numPr>
      <w:outlineLvl w:val="2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07">
    <w:name w:val="二级条标题"/>
    <w:basedOn w:val="106"/>
    <w:next w:val="103"/>
    <w:qFormat/>
    <w:uiPriority w:val="0"/>
    <w:pPr>
      <w:numPr>
        <w:ilvl w:val="3"/>
      </w:numPr>
      <w:outlineLvl w:val="3"/>
    </w:pPr>
  </w:style>
  <w:style w:type="character" w:customStyle="1" w:styleId="108">
    <w:name w:val="发布"/>
    <w:qFormat/>
    <w:uiPriority w:val="0"/>
    <w:rPr>
      <w:rFonts w:ascii="黑体" w:eastAsia="黑体"/>
      <w:spacing w:val="22"/>
      <w:w w:val="100"/>
      <w:position w:val="3"/>
      <w:sz w:val="28"/>
    </w:rPr>
  </w:style>
  <w:style w:type="paragraph" w:customStyle="1" w:styleId="109">
    <w:name w:val="发布部门"/>
    <w:next w:val="103"/>
    <w:qFormat/>
    <w:uiPriority w:val="0"/>
    <w:pPr>
      <w:framePr w:w="7433" w:h="585" w:hRule="exact" w:hSpace="180" w:vSpace="180" w:wrap="around" w:vAnchor="margin" w:hAnchor="margin" w:xAlign="center" w:y="14401" w:anchorLock="1"/>
      <w:jc w:val="center"/>
    </w:pPr>
    <w:rPr>
      <w:rFonts w:ascii="宋体" w:hAnsi="Times New Roman" w:eastAsia="宋体" w:cs="Times New Roman"/>
      <w:b/>
      <w:spacing w:val="20"/>
      <w:w w:val="135"/>
      <w:sz w:val="36"/>
      <w:lang w:val="en-US" w:eastAsia="zh-CN" w:bidi="ar-SA"/>
    </w:rPr>
  </w:style>
  <w:style w:type="paragraph" w:customStyle="1" w:styleId="110">
    <w:name w:val="发布日期"/>
    <w:qFormat/>
    <w:uiPriority w:val="0"/>
    <w:pPr>
      <w:framePr w:w="4000" w:h="473" w:hRule="exact" w:hSpace="180" w:vSpace="180" w:wrap="around" w:vAnchor="margin" w:hAnchor="margin" w:y="13511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11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12">
    <w:name w:val="封面标准号2"/>
    <w:basedOn w:val="111"/>
    <w:qFormat/>
    <w:uiPriority w:val="0"/>
    <w:pPr>
      <w:framePr w:w="9138" w:h="1244" w:hRule="exact" w:wrap="auto" w:vAnchor="page" w:hAnchor="margin" w:y="2908"/>
      <w:adjustRightInd w:val="0"/>
      <w:spacing w:before="357" w:line="280" w:lineRule="exact"/>
    </w:pPr>
  </w:style>
  <w:style w:type="paragraph" w:customStyle="1" w:styleId="113">
    <w:name w:val="封面标准代替信息"/>
    <w:basedOn w:val="112"/>
    <w:qFormat/>
    <w:uiPriority w:val="0"/>
    <w:pPr>
      <w:spacing w:before="57"/>
    </w:pPr>
    <w:rPr>
      <w:rFonts w:ascii="宋体"/>
      <w:sz w:val="21"/>
    </w:rPr>
  </w:style>
  <w:style w:type="paragraph" w:customStyle="1" w:styleId="114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15">
    <w:name w:val="封面标准文稿编辑信息"/>
    <w:qFormat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6">
    <w:name w:val="封面标准文稿类别"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117">
    <w:name w:val="封面标准英文名称"/>
    <w:qFormat/>
    <w:uiPriority w:val="0"/>
    <w:pPr>
      <w:widowControl w:val="0"/>
      <w:spacing w:before="370" w:line="40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18">
    <w:name w:val="封面一致性程度标识"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8"/>
      <w:lang w:val="en-US" w:eastAsia="zh-CN" w:bidi="ar-SA"/>
    </w:rPr>
  </w:style>
  <w:style w:type="paragraph" w:customStyle="1" w:styleId="119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20">
    <w:name w:val="附录标识"/>
    <w:basedOn w:val="101"/>
    <w:qFormat/>
    <w:uiPriority w:val="0"/>
    <w:pPr>
      <w:numPr>
        <w:ilvl w:val="0"/>
        <w:numId w:val="13"/>
      </w:numPr>
      <w:tabs>
        <w:tab w:val="left" w:pos="6405"/>
      </w:tabs>
      <w:spacing w:after="200"/>
    </w:pPr>
    <w:rPr>
      <w:sz w:val="21"/>
    </w:rPr>
  </w:style>
  <w:style w:type="paragraph" w:customStyle="1" w:styleId="121">
    <w:name w:val="附录表标题"/>
    <w:next w:val="103"/>
    <w:qFormat/>
    <w:uiPriority w:val="0"/>
    <w:pPr>
      <w:numPr>
        <w:ilvl w:val="0"/>
        <w:numId w:val="14"/>
      </w:numPr>
      <w:jc w:val="center"/>
      <w:textAlignment w:val="baseline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22">
    <w:name w:val="附录章标题"/>
    <w:next w:val="103"/>
    <w:qFormat/>
    <w:uiPriority w:val="0"/>
    <w:pPr>
      <w:numPr>
        <w:ilvl w:val="1"/>
        <w:numId w:val="13"/>
      </w:numPr>
      <w:wordWrap w:val="0"/>
      <w:overflowPunct w:val="0"/>
      <w:autoSpaceDE w:val="0"/>
      <w:spacing w:before="50" w:beforeLines="50" w:after="50" w:afterLines="5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23">
    <w:name w:val="附录一级条标题"/>
    <w:basedOn w:val="122"/>
    <w:next w:val="103"/>
    <w:qFormat/>
    <w:uiPriority w:val="0"/>
    <w:pPr>
      <w:numPr>
        <w:ilvl w:val="0"/>
        <w:numId w:val="0"/>
      </w:numPr>
      <w:autoSpaceDN w:val="0"/>
      <w:spacing w:before="0" w:beforeLines="0" w:after="0" w:afterLines="0"/>
      <w:outlineLvl w:val="2"/>
    </w:pPr>
  </w:style>
  <w:style w:type="paragraph" w:customStyle="1" w:styleId="124">
    <w:name w:val="附录二级条标题"/>
    <w:basedOn w:val="123"/>
    <w:next w:val="103"/>
    <w:qFormat/>
    <w:uiPriority w:val="0"/>
    <w:pPr>
      <w:outlineLvl w:val="3"/>
    </w:pPr>
  </w:style>
  <w:style w:type="paragraph" w:customStyle="1" w:styleId="125">
    <w:name w:val="附录三级条标题"/>
    <w:basedOn w:val="124"/>
    <w:next w:val="103"/>
    <w:qFormat/>
    <w:uiPriority w:val="0"/>
    <w:pPr>
      <w:outlineLvl w:val="4"/>
    </w:pPr>
  </w:style>
  <w:style w:type="paragraph" w:customStyle="1" w:styleId="126">
    <w:name w:val="附录四级条标题"/>
    <w:basedOn w:val="125"/>
    <w:next w:val="103"/>
    <w:qFormat/>
    <w:uiPriority w:val="0"/>
    <w:pPr>
      <w:outlineLvl w:val="5"/>
    </w:pPr>
  </w:style>
  <w:style w:type="paragraph" w:customStyle="1" w:styleId="127">
    <w:name w:val="附录图标题"/>
    <w:next w:val="103"/>
    <w:qFormat/>
    <w:uiPriority w:val="0"/>
    <w:pPr>
      <w:numPr>
        <w:ilvl w:val="0"/>
        <w:numId w:val="15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28">
    <w:name w:val="附录五级条标题"/>
    <w:basedOn w:val="126"/>
    <w:next w:val="103"/>
    <w:qFormat/>
    <w:uiPriority w:val="0"/>
    <w:pPr>
      <w:numPr>
        <w:ilvl w:val="6"/>
        <w:numId w:val="13"/>
      </w:numPr>
      <w:outlineLvl w:val="6"/>
    </w:pPr>
  </w:style>
  <w:style w:type="character" w:customStyle="1" w:styleId="129">
    <w:name w:val="个人答复风格"/>
    <w:qFormat/>
    <w:uiPriority w:val="0"/>
    <w:rPr>
      <w:rFonts w:ascii="Arial" w:hAnsi="Arial" w:eastAsia="宋体" w:cs="Arial"/>
      <w:color w:val="auto"/>
      <w:sz w:val="20"/>
    </w:rPr>
  </w:style>
  <w:style w:type="character" w:customStyle="1" w:styleId="130">
    <w:name w:val="个人撰写风格"/>
    <w:qFormat/>
    <w:uiPriority w:val="0"/>
    <w:rPr>
      <w:rFonts w:ascii="Arial" w:hAnsi="Arial" w:eastAsia="宋体" w:cs="Arial"/>
      <w:color w:val="auto"/>
      <w:sz w:val="20"/>
    </w:rPr>
  </w:style>
  <w:style w:type="paragraph" w:customStyle="1" w:styleId="131">
    <w:name w:val="列项——（一级）"/>
    <w:qFormat/>
    <w:uiPriority w:val="0"/>
    <w:pPr>
      <w:widowControl w:val="0"/>
      <w:numPr>
        <w:ilvl w:val="0"/>
        <w:numId w:val="16"/>
      </w:numPr>
      <w:tabs>
        <w:tab w:val="left" w:pos="854"/>
        <w:tab w:val="clear" w:pos="1140"/>
      </w:tabs>
      <w:ind w:left="200" w:leftChars="2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2">
    <w:name w:val="列项●（二级）"/>
    <w:qFormat/>
    <w:uiPriority w:val="0"/>
    <w:pPr>
      <w:numPr>
        <w:ilvl w:val="0"/>
        <w:numId w:val="17"/>
      </w:numPr>
      <w:tabs>
        <w:tab w:val="left" w:pos="840"/>
      </w:tabs>
      <w:ind w:left="600" w:leftChars="4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3">
    <w:name w:val="目次、标准名称标题"/>
    <w:basedOn w:val="101"/>
    <w:next w:val="103"/>
    <w:qFormat/>
    <w:uiPriority w:val="0"/>
    <w:pPr>
      <w:numPr>
        <w:numId w:val="0"/>
      </w:numPr>
      <w:spacing w:line="460" w:lineRule="exact"/>
    </w:pPr>
  </w:style>
  <w:style w:type="paragraph" w:customStyle="1" w:styleId="134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5">
    <w:name w:val="其他标准称谓"/>
    <w:qFormat/>
    <w:uiPriority w:val="0"/>
    <w:pPr>
      <w:spacing w:line="0" w:lineRule="atLeast"/>
      <w:jc w:val="distribute"/>
    </w:pPr>
    <w:rPr>
      <w:rFonts w:ascii="黑体" w:hAnsi="宋体" w:eastAsia="黑体" w:cs="Times New Roman"/>
      <w:sz w:val="52"/>
      <w:lang w:val="en-US" w:eastAsia="zh-CN" w:bidi="ar-SA"/>
    </w:rPr>
  </w:style>
  <w:style w:type="paragraph" w:customStyle="1" w:styleId="136">
    <w:name w:val="其他发布部门"/>
    <w:basedOn w:val="109"/>
    <w:qFormat/>
    <w:uiPriority w:val="0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137">
    <w:name w:val="三级条标题"/>
    <w:basedOn w:val="107"/>
    <w:next w:val="103"/>
    <w:qFormat/>
    <w:uiPriority w:val="0"/>
    <w:pPr>
      <w:numPr>
        <w:ilvl w:val="4"/>
      </w:numPr>
      <w:outlineLvl w:val="4"/>
    </w:pPr>
  </w:style>
  <w:style w:type="paragraph" w:customStyle="1" w:styleId="138">
    <w:name w:val="实施日期"/>
    <w:basedOn w:val="110"/>
    <w:qFormat/>
    <w:uiPriority w:val="0"/>
    <w:pPr>
      <w:framePr w:hSpace="0" w:wrap="around" w:xAlign="right"/>
      <w:jc w:val="right"/>
    </w:pPr>
  </w:style>
  <w:style w:type="paragraph" w:customStyle="1" w:styleId="139">
    <w:name w:val="示例"/>
    <w:next w:val="103"/>
    <w:qFormat/>
    <w:uiPriority w:val="0"/>
    <w:pPr>
      <w:numPr>
        <w:ilvl w:val="0"/>
        <w:numId w:val="18"/>
      </w:numPr>
      <w:tabs>
        <w:tab w:val="left" w:pos="816"/>
        <w:tab w:val="clear" w:pos="1120"/>
      </w:tabs>
      <w:ind w:firstLine="419" w:firstLineChars="233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40">
    <w:name w:val="数字编号列项（二级）"/>
    <w:qFormat/>
    <w:uiPriority w:val="0"/>
    <w:pPr>
      <w:ind w:left="1260" w:leftChars="4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41">
    <w:name w:val="四级条标题"/>
    <w:basedOn w:val="137"/>
    <w:next w:val="103"/>
    <w:qFormat/>
    <w:uiPriority w:val="0"/>
    <w:pPr>
      <w:numPr>
        <w:ilvl w:val="5"/>
      </w:numPr>
      <w:outlineLvl w:val="5"/>
    </w:pPr>
  </w:style>
  <w:style w:type="paragraph" w:customStyle="1" w:styleId="142">
    <w:name w:val="条文脚注"/>
    <w:basedOn w:val="57"/>
    <w:qFormat/>
    <w:uiPriority w:val="0"/>
    <w:pPr>
      <w:ind w:left="780" w:leftChars="200" w:hanging="360" w:hangingChars="200"/>
      <w:jc w:val="both"/>
    </w:pPr>
    <w:rPr>
      <w:rFonts w:ascii="宋体"/>
    </w:rPr>
  </w:style>
  <w:style w:type="paragraph" w:customStyle="1" w:styleId="143">
    <w:name w:val="图表脚注"/>
    <w:next w:val="103"/>
    <w:qFormat/>
    <w:uiPriority w:val="0"/>
    <w:pPr>
      <w:ind w:left="300" w:leftChars="200" w:hanging="100" w:hangingChars="1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44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45">
    <w:name w:val="五级条标题"/>
    <w:basedOn w:val="141"/>
    <w:next w:val="103"/>
    <w:qFormat/>
    <w:uiPriority w:val="0"/>
    <w:pPr>
      <w:numPr>
        <w:ilvl w:val="6"/>
      </w:numPr>
      <w:outlineLvl w:val="6"/>
    </w:pPr>
  </w:style>
  <w:style w:type="paragraph" w:customStyle="1" w:styleId="146">
    <w:name w:val="正文表标题"/>
    <w:next w:val="103"/>
    <w:qFormat/>
    <w:uiPriority w:val="0"/>
    <w:pPr>
      <w:numPr>
        <w:ilvl w:val="0"/>
        <w:numId w:val="19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47">
    <w:name w:val="正文图标题"/>
    <w:next w:val="103"/>
    <w:qFormat/>
    <w:uiPriority w:val="0"/>
    <w:pPr>
      <w:numPr>
        <w:ilvl w:val="0"/>
        <w:numId w:val="20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48">
    <w:name w:val="注："/>
    <w:next w:val="103"/>
    <w:qFormat/>
    <w:uiPriority w:val="0"/>
    <w:pPr>
      <w:widowControl w:val="0"/>
      <w:numPr>
        <w:ilvl w:val="0"/>
        <w:numId w:val="21"/>
      </w:numPr>
      <w:tabs>
        <w:tab w:val="clear" w:pos="1140"/>
      </w:tabs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49">
    <w:name w:val="注×："/>
    <w:qFormat/>
    <w:uiPriority w:val="0"/>
    <w:pPr>
      <w:widowControl w:val="0"/>
      <w:numPr>
        <w:ilvl w:val="0"/>
        <w:numId w:val="22"/>
      </w:numPr>
      <w:tabs>
        <w:tab w:val="left" w:pos="630"/>
        <w:tab w:val="clear" w:pos="900"/>
      </w:tabs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50">
    <w:name w:val="字母编号列项（一级）"/>
    <w:qFormat/>
    <w:uiPriority w:val="0"/>
    <w:pPr>
      <w:ind w:left="84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51">
    <w:name w:val="列项◆（三级）"/>
    <w:qFormat/>
    <w:uiPriority w:val="0"/>
    <w:pPr>
      <w:numPr>
        <w:ilvl w:val="0"/>
        <w:numId w:val="23"/>
      </w:numPr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52">
    <w:name w:val="编号列项（三级）"/>
    <w:qFormat/>
    <w:uiPriority w:val="0"/>
    <w:pPr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53">
    <w:name w:val="Char Char Char Char Char Char Char Char Char Char Char Char Char Char Char Char Char Char Char"/>
    <w:basedOn w:val="1"/>
    <w:qFormat/>
    <w:uiPriority w:val="0"/>
    <w:pPr>
      <w:tabs>
        <w:tab w:val="left" w:pos="6083"/>
      </w:tabs>
      <w:snapToGrid w:val="0"/>
      <w:spacing w:line="360" w:lineRule="auto"/>
      <w:ind w:firstLine="200" w:firstLineChars="200"/>
    </w:pPr>
    <w:rPr>
      <w:rFonts w:ascii="仿宋_GB2312" w:eastAsia="仿宋_GB2312"/>
      <w:kern w:val="0"/>
      <w:sz w:val="28"/>
      <w:szCs w:val="28"/>
    </w:rPr>
  </w:style>
  <w:style w:type="paragraph" w:customStyle="1" w:styleId="1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55">
    <w:name w:val="已访问的超链接1"/>
    <w:qFormat/>
    <w:uiPriority w:val="0"/>
    <w:rPr>
      <w:rFonts w:ascii="仿宋_GB2312" w:eastAsia="仿宋_GB2312"/>
      <w:color w:val="800080"/>
      <w:sz w:val="28"/>
      <w:szCs w:val="28"/>
      <w:u w:val="single"/>
      <w:lang w:val="en-US" w:eastAsia="zh-CN" w:bidi="ar-SA"/>
    </w:rPr>
  </w:style>
  <w:style w:type="paragraph" w:customStyle="1" w:styleId="156">
    <w:name w:val="xl24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Arial Unicode MS" w:hAnsi="Arial Unicode MS" w:eastAsia="Arial Unicode MS" w:cs="Arial Unicode MS"/>
      <w:kern w:val="0"/>
      <w:szCs w:val="21"/>
    </w:rPr>
  </w:style>
  <w:style w:type="character" w:customStyle="1" w:styleId="157">
    <w:name w:val="图名 Char Char Char Char Char Char Char Char Char Char"/>
    <w:qFormat/>
    <w:uiPriority w:val="0"/>
    <w:rPr>
      <w:rFonts w:ascii="黑体" w:hAnsi="Arial" w:eastAsia="黑体" w:cs="Arial"/>
    </w:rPr>
  </w:style>
  <w:style w:type="character" w:customStyle="1" w:styleId="158">
    <w:name w:val="样式 宋体 小四 Char"/>
    <w:qFormat/>
    <w:uiPriority w:val="0"/>
    <w:rPr>
      <w:rFonts w:ascii="宋体" w:hAnsi="宋体" w:eastAsia="宋体"/>
      <w:kern w:val="2"/>
      <w:sz w:val="24"/>
      <w:szCs w:val="24"/>
      <w:lang w:val="en-US" w:eastAsia="zh-CN" w:bidi="ar-SA"/>
    </w:rPr>
  </w:style>
  <w:style w:type="paragraph" w:customStyle="1" w:styleId="159">
    <w:name w:val="1"/>
    <w:basedOn w:val="1"/>
    <w:next w:val="46"/>
    <w:qFormat/>
    <w:uiPriority w:val="0"/>
    <w:pPr>
      <w:spacing w:before="60" w:line="400" w:lineRule="exact"/>
      <w:ind w:firstLine="420" w:firstLineChars="200"/>
    </w:pPr>
    <w:rPr>
      <w:rFonts w:ascii="宋体" w:hAnsi="宋体"/>
      <w:kern w:val="0"/>
      <w:szCs w:val="24"/>
    </w:rPr>
  </w:style>
  <w:style w:type="character" w:customStyle="1" w:styleId="160">
    <w:name w:val="biaozhun"/>
    <w:qFormat/>
    <w:uiPriority w:val="0"/>
    <w:rPr>
      <w:rFonts w:ascii="仿宋_GB2312" w:eastAsia="仿宋_GB2312"/>
      <w:sz w:val="28"/>
      <w:szCs w:val="28"/>
      <w:lang w:val="en-US" w:eastAsia="zh-CN" w:bidi="ar-SA"/>
    </w:rPr>
  </w:style>
  <w:style w:type="character" w:customStyle="1" w:styleId="161">
    <w:name w:val="gb"/>
    <w:qFormat/>
    <w:uiPriority w:val="0"/>
    <w:rPr>
      <w:rFonts w:ascii="仿宋_GB2312" w:eastAsia="仿宋_GB2312"/>
      <w:sz w:val="28"/>
      <w:szCs w:val="28"/>
      <w:lang w:val="en-US" w:eastAsia="zh-CN" w:bidi="ar-SA"/>
    </w:rPr>
  </w:style>
  <w:style w:type="paragraph" w:customStyle="1" w:styleId="162">
    <w:name w:val="小注"/>
    <w:basedOn w:val="46"/>
    <w:qFormat/>
    <w:uiPriority w:val="0"/>
    <w:pPr>
      <w:spacing w:before="60" w:line="240" w:lineRule="auto"/>
      <w:ind w:firstLine="360"/>
    </w:pPr>
    <w:rPr>
      <w:rFonts w:ascii="Arial" w:hAnsi="Arial" w:cs="Arial"/>
      <w:color w:val="auto"/>
      <w:sz w:val="18"/>
      <w:szCs w:val="18"/>
    </w:rPr>
  </w:style>
  <w:style w:type="paragraph" w:customStyle="1" w:styleId="163">
    <w:name w:val="第3级标题"/>
    <w:basedOn w:val="1"/>
    <w:next w:val="1"/>
    <w:qFormat/>
    <w:uiPriority w:val="0"/>
    <w:pPr>
      <w:spacing w:before="156" w:line="360" w:lineRule="auto"/>
    </w:pPr>
    <w:rPr>
      <w:rFonts w:ascii="黑体" w:eastAsia="黑体"/>
      <w:szCs w:val="24"/>
    </w:rPr>
  </w:style>
  <w:style w:type="paragraph" w:customStyle="1" w:styleId="164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165">
    <w:name w:val="表内文字"/>
    <w:basedOn w:val="1"/>
    <w:qFormat/>
    <w:uiPriority w:val="0"/>
    <w:pPr>
      <w:autoSpaceDE w:val="0"/>
      <w:autoSpaceDN w:val="0"/>
      <w:adjustRightInd w:val="0"/>
      <w:snapToGrid w:val="0"/>
      <w:jc w:val="center"/>
    </w:pPr>
    <w:rPr>
      <w:sz w:val="18"/>
      <w:szCs w:val="18"/>
    </w:rPr>
  </w:style>
  <w:style w:type="paragraph" w:customStyle="1" w:styleId="166">
    <w:name w:val="表注"/>
    <w:next w:val="2"/>
    <w:qFormat/>
    <w:uiPriority w:val="0"/>
    <w:pPr>
      <w:ind w:firstLine="362"/>
    </w:pPr>
    <w:rPr>
      <w:rFonts w:ascii="Arial" w:hAnsi="Arial" w:eastAsia="宋体" w:cs="Arial"/>
      <w:color w:val="000000"/>
      <w:sz w:val="18"/>
      <w:szCs w:val="18"/>
      <w:lang w:val="en-US" w:eastAsia="zh-CN" w:bidi="ar-SA"/>
    </w:rPr>
  </w:style>
  <w:style w:type="paragraph" w:customStyle="1" w:styleId="167">
    <w:name w:val="Char Char Char1 Char1"/>
    <w:basedOn w:val="1"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168">
    <w:name w:val="公式说明"/>
    <w:basedOn w:val="103"/>
    <w:qFormat/>
    <w:uiPriority w:val="0"/>
    <w:pPr>
      <w:tabs>
        <w:tab w:val="center" w:pos="4201"/>
        <w:tab w:val="right" w:leader="dot" w:pos="9298"/>
      </w:tabs>
      <w:ind w:firstLine="420"/>
    </w:pPr>
  </w:style>
  <w:style w:type="paragraph" w:customStyle="1" w:styleId="169">
    <w:name w:val="公式编号"/>
    <w:basedOn w:val="1"/>
    <w:qFormat/>
    <w:uiPriority w:val="0"/>
    <w:pPr>
      <w:jc w:val="right"/>
    </w:pPr>
    <w:rPr>
      <w:rFonts w:cs="宋体"/>
      <w:kern w:val="0"/>
      <w:szCs w:val="21"/>
    </w:rPr>
  </w:style>
  <w:style w:type="paragraph" w:customStyle="1" w:styleId="170">
    <w:name w:val="表中文字"/>
    <w:basedOn w:val="1"/>
    <w:qFormat/>
    <w:uiPriority w:val="0"/>
    <w:pPr>
      <w:tabs>
        <w:tab w:val="left" w:pos="6195"/>
      </w:tabs>
      <w:autoSpaceDE w:val="0"/>
      <w:autoSpaceDN w:val="0"/>
      <w:adjustRightInd w:val="0"/>
      <w:jc w:val="center"/>
    </w:pPr>
    <w:rPr>
      <w:position w:val="-10"/>
      <w:sz w:val="18"/>
      <w:szCs w:val="18"/>
    </w:rPr>
  </w:style>
  <w:style w:type="paragraph" w:customStyle="1" w:styleId="171">
    <w:name w:val="7表名"/>
    <w:basedOn w:val="1"/>
    <w:next w:val="1"/>
    <w:qFormat/>
    <w:uiPriority w:val="0"/>
    <w:pPr>
      <w:spacing w:line="360" w:lineRule="auto"/>
      <w:jc w:val="center"/>
      <w:outlineLvl w:val="4"/>
    </w:pPr>
    <w:rPr>
      <w:rFonts w:ascii="黑体" w:eastAsia="黑体"/>
      <w:szCs w:val="21"/>
    </w:rPr>
  </w:style>
  <w:style w:type="character" w:styleId="172">
    <w:name w:val="Placeholder Text"/>
    <w:semiHidden/>
    <w:qFormat/>
    <w:uiPriority w:val="99"/>
    <w:rPr>
      <w:color w:val="808080"/>
    </w:rPr>
  </w:style>
  <w:style w:type="character" w:customStyle="1" w:styleId="173">
    <w:name w:val="font3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74">
    <w:name w:val="font5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5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76">
    <w:name w:val="font1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styleId="177">
    <w:name w:val="List Paragraph"/>
    <w:basedOn w:val="1"/>
    <w:qFormat/>
    <w:uiPriority w:val="34"/>
    <w:pPr>
      <w:ind w:firstLine="420" w:firstLineChars="200"/>
    </w:pPr>
  </w:style>
  <w:style w:type="paragraph" w:customStyle="1" w:styleId="178">
    <w:name w:val="修订1"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table" w:customStyle="1" w:styleId="17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80">
    <w:name w:val="Revision1"/>
    <w:unhideWhenUsed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81">
    <w:name w:val="ql-align-justify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82">
    <w:name w:val="ql-bold-700"/>
    <w:basedOn w:val="76"/>
    <w:qFormat/>
    <w:uiPriority w:val="0"/>
  </w:style>
  <w:style w:type="paragraph" w:customStyle="1" w:styleId="183">
    <w:name w:val="修订2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TDS2\tds2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1BC3E3-B54D-48C2-9870-00261A99CE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tds2</Template>
  <Company>CNIS</Company>
  <Pages>9</Pages>
  <Words>2982</Words>
  <Characters>3285</Characters>
  <Lines>30</Lines>
  <Paragraphs>8</Paragraphs>
  <TotalTime>396</TotalTime>
  <ScaleCrop>false</ScaleCrop>
  <LinksUpToDate>false</LinksUpToDate>
  <CharactersWithSpaces>3463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2023-02-28T15:28:00Z</dcterms:created>
  <dc:creator>CSH</dc:creator>
  <cp:lastModifiedBy>缘a妙不可言</cp:lastModifiedBy>
  <cp:lastPrinted>2021-09-15T07:21:00Z</cp:lastPrinted>
  <dcterms:modified xsi:type="dcterms:W3CDTF">2023-04-12T02:36:28Z</dcterms:modified>
  <dc:title> 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  <property fmtid="{D5CDD505-2E9C-101B-9397-08002B2CF9AE}" pid="3" name="KSOProductBuildVer">
    <vt:lpwstr>2052-11.1.0.13703</vt:lpwstr>
  </property>
  <property fmtid="{D5CDD505-2E9C-101B-9397-08002B2CF9AE}" pid="4" name="ICV">
    <vt:lpwstr>67DD730387E345C0AE048777EEE5599B</vt:lpwstr>
  </property>
</Properties>
</file>