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7"/>
        <w:rPr>
          <w:color w:val="auto"/>
          <w:highlight w:val="none"/>
        </w:rPr>
        <w:sectPr>
          <w:headerReference r:id="rId4" w:type="first"/>
          <w:headerReference r:id="rId3" w:type="default"/>
          <w:footerReference r:id="rId5" w:type="default"/>
          <w:footerReference r:id="rId6" w:type="even"/>
          <w:pgSz w:w="11907" w:h="16839"/>
          <w:pgMar w:top="567" w:right="851" w:bottom="1361" w:left="1418" w:header="0" w:footer="0" w:gutter="0"/>
          <w:pgNumType w:start="1"/>
          <w:cols w:space="425" w:num="1"/>
          <w:titlePg/>
          <w:docGrid w:type="lines" w:linePitch="312" w:charSpace="0"/>
        </w:sectPr>
      </w:pPr>
      <w:bookmarkStart w:id="0" w:name="SectionMark0"/>
      <w:r>
        <w:rPr>
          <w:color w:val="auto"/>
          <w:highlight w:val="none"/>
        </w:rPr>
        <mc:AlternateContent>
          <mc:Choice Requires="wps">
            <w:drawing>
              <wp:anchor distT="0" distB="0" distL="114300" distR="114300" simplePos="0" relativeHeight="251667456" behindDoc="0" locked="1" layoutInCell="1" allowOverlap="1">
                <wp:simplePos x="0" y="0"/>
                <wp:positionH relativeFrom="margin">
                  <wp:posOffset>0</wp:posOffset>
                </wp:positionH>
                <wp:positionV relativeFrom="margin">
                  <wp:posOffset>8576945</wp:posOffset>
                </wp:positionV>
                <wp:extent cx="6120130" cy="660400"/>
                <wp:effectExtent l="0" t="2540" r="0" b="3810"/>
                <wp:wrapNone/>
                <wp:docPr id="11" name="fmFrame7"/>
                <wp:cNvGraphicFramePr/>
                <a:graphic xmlns:a="http://schemas.openxmlformats.org/drawingml/2006/main">
                  <a:graphicData uri="http://schemas.microsoft.com/office/word/2010/wordprocessingShape">
                    <wps:wsp>
                      <wps:cNvSpPr txBox="1">
                        <a:spLocks noChangeArrowheads="1"/>
                      </wps:cNvSpPr>
                      <wps:spPr bwMode="auto">
                        <a:xfrm>
                          <a:off x="0" y="0"/>
                          <a:ext cx="6120130" cy="660400"/>
                        </a:xfrm>
                        <a:prstGeom prst="rect">
                          <a:avLst/>
                        </a:prstGeom>
                        <a:solidFill>
                          <a:srgbClr val="FFFFFF"/>
                        </a:solidFill>
                        <a:ln>
                          <a:noFill/>
                        </a:ln>
                      </wps:spPr>
                      <wps:txbx>
                        <w:txbxContent>
                          <w:p>
                            <w:pPr>
                              <w:pStyle w:val="134"/>
                              <w:ind w:firstLine="2124" w:firstLineChars="450"/>
                              <w:jc w:val="both"/>
                              <w:rPr>
                                <w:spacing w:val="50"/>
                                <w:sz w:val="32"/>
                                <w:szCs w:val="32"/>
                              </w:rPr>
                            </w:pPr>
                            <w:r>
                              <w:rPr>
                                <w:rFonts w:hint="eastAsia"/>
                                <w:sz w:val="32"/>
                                <w:szCs w:val="32"/>
                              </w:rPr>
                              <w:t xml:space="preserve">河北省市场监督管理局  </w:t>
                            </w:r>
                            <w:r>
                              <w:rPr>
                                <w:rFonts w:hint="eastAsia"/>
                                <w:spacing w:val="0"/>
                                <w:sz w:val="32"/>
                                <w:szCs w:val="32"/>
                              </w:rPr>
                              <w:t>发 布</w:t>
                            </w:r>
                          </w:p>
                        </w:txbxContent>
                      </wps:txbx>
                      <wps:bodyPr rot="0" vert="horz" wrap="square" lIns="0" tIns="0" rIns="0" bIns="0" anchor="t" anchorCtr="0" upright="1">
                        <a:noAutofit/>
                      </wps:bodyPr>
                    </wps:wsp>
                  </a:graphicData>
                </a:graphic>
              </wp:anchor>
            </w:drawing>
          </mc:Choice>
          <mc:Fallback>
            <w:pict>
              <v:shape id="fmFrame7" o:spid="_x0000_s1026" o:spt="202" type="#_x0000_t202" style="position:absolute;left:0pt;margin-left:0pt;margin-top:675.35pt;height:52pt;width:481.9pt;mso-position-horizontal-relative:margin;mso-position-vertical-relative:margin;z-index:251667456;mso-width-relative:page;mso-height-relative:page;" fillcolor="#FFFFFF" filled="t" stroked="f" coordsize="21600,21600" o:gfxdata="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W7VCzZAAAACgEAAA8AAAAAAAAAAQAg&#10;AAAAIgAAAGRycy9kb3ducmV2LnhtbFBLAQIUABQAAAAIAIdO4kAGtqBmDQIAACwEAAAOAAAAAAAA&#10;AAEAIAAAACgBAABkcnMvZTJvRG9jLnhtbFBLBQYAAAAABgAGAFkBAACnBQAAAAA=&#10;">
                <v:fill on="t" focussize="0,0"/>
                <v:stroke on="f"/>
                <v:imagedata o:title=""/>
                <o:lock v:ext="edit" aspectratio="f"/>
                <v:textbox inset="0mm,0mm,0mm,0mm">
                  <w:txbxContent>
                    <w:p>
                      <w:pPr>
                        <w:pStyle w:val="134"/>
                        <w:ind w:firstLine="2124" w:firstLineChars="450"/>
                        <w:jc w:val="both"/>
                        <w:rPr>
                          <w:spacing w:val="50"/>
                          <w:sz w:val="32"/>
                          <w:szCs w:val="32"/>
                        </w:rPr>
                      </w:pPr>
                      <w:r>
                        <w:rPr>
                          <w:rFonts w:hint="eastAsia"/>
                          <w:sz w:val="32"/>
                          <w:szCs w:val="32"/>
                        </w:rPr>
                        <w:t xml:space="preserve">河北省市场监督管理局  </w:t>
                      </w:r>
                      <w:r>
                        <w:rPr>
                          <w:rFonts w:hint="eastAsia"/>
                          <w:spacing w:val="0"/>
                          <w:sz w:val="32"/>
                          <w:szCs w:val="32"/>
                        </w:rPr>
                        <w:t>发 布</w:t>
                      </w:r>
                    </w:p>
                  </w:txbxContent>
                </v:textbox>
                <w10:anchorlock/>
              </v:shape>
            </w:pict>
          </mc:Fallback>
        </mc:AlternateContent>
      </w:r>
      <w:r>
        <w:rPr>
          <w:color w:val="auto"/>
          <w:highlight w:val="none"/>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8465185</wp:posOffset>
                </wp:positionV>
                <wp:extent cx="6121400" cy="0"/>
                <wp:effectExtent l="14605" t="14605" r="7620" b="13970"/>
                <wp:wrapNone/>
                <wp:docPr id="10" name="Line 11"/>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w:pict>
              <v:line id="Line 11" o:spid="_x0000_s1026" o:spt="20" style="position:absolute;left:0pt;margin-left:0pt;margin-top:666.55pt;height:0pt;width:482pt;z-index:251666432;mso-width-relative:page;mso-height-relative:page;" filled="f" stroked="t" coordsize="21600,21600" o:gfxdata="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4tX6jXAAAACgEAAA8AAAAAAAAAAQAgAAAAIgAAAGRycy9k&#10;b3ducmV2LnhtbFBLAQIUABQAAAAIAIdO4kCyu4SUygEAAKIDAAAOAAAAAAAAAAEAIAAAACYBAABk&#10;cnMvZTJvRG9jLnhtbFBLBQYAAAAABgAGAFkBAABiBQAAAAA=&#10;">
                <v:fill on="f" focussize="0,0"/>
                <v:stroke weight="1pt" color="#080000" joinstyle="round"/>
                <v:imagedata o:title=""/>
                <o:lock v:ext="edit" aspectratio="f"/>
              </v:line>
            </w:pict>
          </mc:Fallback>
        </mc:AlternateContent>
      </w:r>
      <w:r>
        <w:rPr>
          <w:color w:val="auto"/>
          <w:highlight w:val="none"/>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2273300</wp:posOffset>
                </wp:positionV>
                <wp:extent cx="6121400" cy="0"/>
                <wp:effectExtent l="14605" t="13970" r="7620" b="14605"/>
                <wp:wrapNone/>
                <wp:docPr id="9" name="Line 10"/>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w:pict>
              <v:line id="Line 10" o:spid="_x0000_s1026" o:spt="20" style="position:absolute;left:0pt;margin-left:0pt;margin-top:179pt;height:0pt;width:482pt;z-index:251665408;mso-width-relative:page;mso-height-relative:page;" filled="f" stroked="t" coordsize="21600,21600" o:gfxdata="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O54MdYAAAAIAQAADwAAAAAAAAABACAAAAAiAAAAZHJzL2Rv&#10;d25yZXYueG1sUEsBAhQAFAAAAAgAh07iQP2dZi7KAQAAoQMAAA4AAAAAAAAAAQAgAAAAJQEAAGRy&#10;cy9lMm9Eb2MueG1sUEsFBgAAAAAGAAYAWQEAAGEFAAAAAA==&#10;">
                <v:fill on="f" focussize="0,0"/>
                <v:stroke weight="1pt" color="#080000" joinstyle="round"/>
                <v:imagedata o:title=""/>
                <o:lock v:ext="edit" aspectratio="f"/>
              </v:line>
            </w:pict>
          </mc:Fallback>
        </mc:AlternateContent>
      </w:r>
      <w:r>
        <w:rPr>
          <w:color w:val="auto"/>
          <w:highlight w:val="none"/>
        </w:rPr>
        <mc:AlternateContent>
          <mc:Choice Requires="wps">
            <w:drawing>
              <wp:anchor distT="0" distB="0" distL="114300" distR="114300" simplePos="0" relativeHeight="251664384" behindDoc="0" locked="1" layoutInCell="1" allowOverlap="1">
                <wp:simplePos x="0" y="0"/>
                <wp:positionH relativeFrom="margin">
                  <wp:posOffset>4000500</wp:posOffset>
                </wp:positionH>
                <wp:positionV relativeFrom="margin">
                  <wp:posOffset>8122920</wp:posOffset>
                </wp:positionV>
                <wp:extent cx="2019300" cy="312420"/>
                <wp:effectExtent l="0" t="0" r="4445" b="0"/>
                <wp:wrapNone/>
                <wp:docPr id="8" name="fmFrame6"/>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pPr>
                              <w:pStyle w:val="136"/>
                            </w:pPr>
                            <w:r>
                              <w:rPr>
                                <w:rFonts w:hint="eastAsia"/>
                              </w:rPr>
                              <w:t>20</w:t>
                            </w:r>
                            <w:r>
                              <w:t>23</w:t>
                            </w:r>
                            <w:r>
                              <w:rPr>
                                <w:rFonts w:hint="eastAsia"/>
                              </w:rPr>
                              <w:t>-××-××实施</w:t>
                            </w:r>
                          </w:p>
                        </w:txbxContent>
                      </wps:txbx>
                      <wps:bodyPr rot="0" vert="horz" wrap="square" lIns="0" tIns="0" rIns="0" bIns="0" anchor="t" anchorCtr="0" upright="1">
                        <a:noAutofit/>
                      </wps:bodyPr>
                    </wps:wsp>
                  </a:graphicData>
                </a:graphic>
              </wp:anchor>
            </w:drawing>
          </mc:Choice>
          <mc:Fallback>
            <w:pict>
              <v:shape id="fmFrame6" o:spid="_x0000_s1026" o:spt="202" type="#_x0000_t202" style="position:absolute;left:0pt;margin-left:315pt;margin-top:639.6pt;height:24.6pt;width:159pt;mso-position-horizontal-relative:margin;mso-position-vertical-relative:margin;z-index:251664384;mso-width-relative:page;mso-height-relative:page;" fillcolor="#FFFFFF" filled="t" stroked="f" coordsize="21600,21600" o:gfxdata="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1dmztoAAAANAQAADwAAAAAAAAAB&#10;ACAAAAAiAAAAZHJzL2Rvd25yZXYueG1sUEsBAhQAFAAAAAgAh07iQDLOYOEOAgAAKwQAAA4AAAAA&#10;AAAAAQAgAAAAKQEAAGRycy9lMm9Eb2MueG1sUEsFBgAAAAAGAAYAWQEAAKkFAAAAAA==&#10;">
                <v:fill on="t" focussize="0,0"/>
                <v:stroke on="f"/>
                <v:imagedata o:title=""/>
                <o:lock v:ext="edit" aspectratio="f"/>
                <v:textbox inset="0mm,0mm,0mm,0mm">
                  <w:txbxContent>
                    <w:p>
                      <w:pPr>
                        <w:pStyle w:val="136"/>
                      </w:pPr>
                      <w:r>
                        <w:rPr>
                          <w:rFonts w:hint="eastAsia"/>
                        </w:rPr>
                        <w:t>20</w:t>
                      </w:r>
                      <w:r>
                        <w:t>23</w:t>
                      </w:r>
                      <w:r>
                        <w:rPr>
                          <w:rFonts w:hint="eastAsia"/>
                        </w:rPr>
                        <w:t>-××-××实施</w:t>
                      </w:r>
                    </w:p>
                  </w:txbxContent>
                </v:textbox>
                <w10:anchorlock/>
              </v:shape>
            </w:pict>
          </mc:Fallback>
        </mc:AlternateContent>
      </w:r>
      <w:r>
        <w:rPr>
          <w:color w:val="auto"/>
          <w:highlight w:val="none"/>
        </w:rPr>
        <mc:AlternateContent>
          <mc:Choice Requires="wps">
            <w:drawing>
              <wp:anchor distT="0" distB="0" distL="114300" distR="114300" simplePos="0" relativeHeight="251664384" behindDoc="0" locked="1" layoutInCell="1" allowOverlap="1">
                <wp:simplePos x="0" y="0"/>
                <wp:positionH relativeFrom="margin">
                  <wp:posOffset>0</wp:posOffset>
                </wp:positionH>
                <wp:positionV relativeFrom="margin">
                  <wp:posOffset>8122920</wp:posOffset>
                </wp:positionV>
                <wp:extent cx="2019300" cy="312420"/>
                <wp:effectExtent l="0" t="0" r="4445" b="0"/>
                <wp:wrapNone/>
                <wp:docPr id="7" name="fmFrame5"/>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pPr>
                              <w:pStyle w:val="108"/>
                            </w:pPr>
                            <w:r>
                              <w:rPr>
                                <w:rFonts w:hint="eastAsia"/>
                              </w:rPr>
                              <w:t>20</w:t>
                            </w:r>
                            <w:r>
                              <w:t>23</w:t>
                            </w:r>
                            <w:r>
                              <w:rPr>
                                <w:rFonts w:hint="eastAsia"/>
                              </w:rPr>
                              <w:t>-××-××发布</w:t>
                            </w:r>
                          </w:p>
                        </w:txbxContent>
                      </wps:txbx>
                      <wps:bodyPr rot="0" vert="horz" wrap="square" lIns="0" tIns="0" rIns="0" bIns="0" anchor="t" anchorCtr="0" upright="1">
                        <a:noAutofit/>
                      </wps:bodyPr>
                    </wps:wsp>
                  </a:graphicData>
                </a:graphic>
              </wp:anchor>
            </w:drawing>
          </mc:Choice>
          <mc:Fallback>
            <w:pict>
              <v:shape id="fmFrame5" o:spid="_x0000_s1026" o:spt="202" type="#_x0000_t202" style="position:absolute;left:0pt;margin-left:0pt;margin-top:639.6pt;height:24.6pt;width:159pt;mso-position-horizontal-relative:margin;mso-position-vertical-relative:margin;z-index:251664384;mso-width-relative:page;mso-height-relative:page;" fillcolor="#FFFFFF" filled="t" stroked="f" coordsize="21600,21600" o:gfxdata="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cL4p3YAAAACgEAAA8AAAAAAAAAAQAg&#10;AAAAIgAAAGRycy9kb3ducmV2LnhtbFBLAQIUABQAAAAIAIdO4kBwRvrSDgIAACsEAAAOAAAAAAAA&#10;AAEAIAAAACcBAABkcnMvZTJvRG9jLnhtbFBLBQYAAAAABgAGAFkBAACnBQAAAAA=&#10;">
                <v:fill on="t" focussize="0,0"/>
                <v:stroke on="f"/>
                <v:imagedata o:title=""/>
                <o:lock v:ext="edit" aspectratio="f"/>
                <v:textbox inset="0mm,0mm,0mm,0mm">
                  <w:txbxContent>
                    <w:p>
                      <w:pPr>
                        <w:pStyle w:val="108"/>
                      </w:pPr>
                      <w:r>
                        <w:rPr>
                          <w:rFonts w:hint="eastAsia"/>
                        </w:rPr>
                        <w:t>20</w:t>
                      </w:r>
                      <w:r>
                        <w:t>23</w:t>
                      </w:r>
                      <w:r>
                        <w:rPr>
                          <w:rFonts w:hint="eastAsia"/>
                        </w:rPr>
                        <w:t>-××-××发布</w:t>
                      </w:r>
                    </w:p>
                  </w:txbxContent>
                </v:textbox>
                <w10:anchorlock/>
              </v:shape>
            </w:pict>
          </mc:Fallback>
        </mc:AlternateContent>
      </w:r>
      <w:r>
        <w:rPr>
          <w:color w:val="auto"/>
          <w:highlight w:val="none"/>
        </w:rPr>
        <mc:AlternateContent>
          <mc:Choice Requires="wps">
            <w:drawing>
              <wp:anchor distT="0" distB="0" distL="114300" distR="114300" simplePos="0" relativeHeight="251663360" behindDoc="0" locked="1" layoutInCell="1" allowOverlap="1">
                <wp:simplePos x="0" y="0"/>
                <wp:positionH relativeFrom="margin">
                  <wp:posOffset>-62230</wp:posOffset>
                </wp:positionH>
                <wp:positionV relativeFrom="margin">
                  <wp:posOffset>2770505</wp:posOffset>
                </wp:positionV>
                <wp:extent cx="6186805" cy="1511300"/>
                <wp:effectExtent l="0" t="0" r="4445" b="0"/>
                <wp:wrapNone/>
                <wp:docPr id="6" name="fmFrame4"/>
                <wp:cNvGraphicFramePr/>
                <a:graphic xmlns:a="http://schemas.openxmlformats.org/drawingml/2006/main">
                  <a:graphicData uri="http://schemas.microsoft.com/office/word/2010/wordprocessingShape">
                    <wps:wsp>
                      <wps:cNvSpPr txBox="1">
                        <a:spLocks noChangeArrowheads="1"/>
                      </wps:cNvSpPr>
                      <wps:spPr bwMode="auto">
                        <a:xfrm>
                          <a:off x="0" y="0"/>
                          <a:ext cx="6186805" cy="1511300"/>
                        </a:xfrm>
                        <a:prstGeom prst="rect">
                          <a:avLst/>
                        </a:prstGeom>
                        <a:solidFill>
                          <a:srgbClr val="FFFFFF"/>
                        </a:solidFill>
                        <a:ln>
                          <a:noFill/>
                        </a:ln>
                      </wps:spPr>
                      <wps:txbx>
                        <w:txbxContent>
                          <w:p>
                            <w:pPr>
                              <w:pStyle w:val="112"/>
                              <w:rPr>
                                <w:b/>
                                <w:spacing w:val="40"/>
                                <w:szCs w:val="52"/>
                              </w:rPr>
                            </w:pPr>
                            <w:r>
                              <w:rPr>
                                <w:rFonts w:hint="eastAsia"/>
                                <w:b/>
                                <w:spacing w:val="40"/>
                                <w:szCs w:val="52"/>
                              </w:rPr>
                              <w:t>节水型</w:t>
                            </w:r>
                            <w:r>
                              <w:rPr>
                                <w:b/>
                                <w:spacing w:val="40"/>
                                <w:szCs w:val="52"/>
                              </w:rPr>
                              <w:t>单位评价</w:t>
                            </w:r>
                            <w:r>
                              <w:rPr>
                                <w:rFonts w:hint="eastAsia"/>
                                <w:b/>
                                <w:spacing w:val="40"/>
                                <w:szCs w:val="52"/>
                              </w:rPr>
                              <w:t xml:space="preserve">导则 </w:t>
                            </w:r>
                          </w:p>
                          <w:p>
                            <w:pPr>
                              <w:pStyle w:val="112"/>
                              <w:rPr>
                                <w:rFonts w:ascii="Times New Roman" w:eastAsia="华文仿宋"/>
                                <w:b/>
                                <w:sz w:val="32"/>
                                <w:szCs w:val="32"/>
                                <w:lang w:val="en-GB"/>
                              </w:rPr>
                            </w:pPr>
                            <w:r>
                              <w:rPr>
                                <w:rFonts w:hint="eastAsia"/>
                                <w:b/>
                                <w:spacing w:val="40"/>
                                <w:szCs w:val="52"/>
                              </w:rPr>
                              <w:t>第5部分</w:t>
                            </w:r>
                            <w:r>
                              <w:rPr>
                                <w:b/>
                                <w:spacing w:val="40"/>
                                <w:szCs w:val="52"/>
                              </w:rPr>
                              <w:t>：</w:t>
                            </w:r>
                            <w:r>
                              <w:rPr>
                                <w:rFonts w:hint="eastAsia"/>
                                <w:b/>
                                <w:spacing w:val="40"/>
                                <w:szCs w:val="52"/>
                              </w:rPr>
                              <w:t>车站</w:t>
                            </w:r>
                          </w:p>
                          <w:p>
                            <w:pPr>
                              <w:pStyle w:val="46"/>
                              <w:snapToGrid w:val="0"/>
                              <w:spacing w:before="312" w:beforeLines="100" w:line="240" w:lineRule="auto"/>
                              <w:ind w:firstLine="0"/>
                              <w:jc w:val="center"/>
                              <w:rPr>
                                <w:rFonts w:eastAsia="华文仿宋"/>
                                <w:b/>
                                <w:color w:val="auto"/>
                                <w:sz w:val="32"/>
                                <w:szCs w:val="32"/>
                                <w:lang w:val="en-GB"/>
                              </w:rPr>
                            </w:pPr>
                            <w:r>
                              <w:rPr>
                                <w:rFonts w:eastAsia="华文仿宋"/>
                                <w:b/>
                                <w:color w:val="auto"/>
                                <w:sz w:val="32"/>
                                <w:szCs w:val="32"/>
                                <w:lang w:val="en-GB"/>
                              </w:rPr>
                              <w:t>(</w:t>
                            </w:r>
                            <w:r>
                              <w:rPr>
                                <w:rFonts w:hint="eastAsia" w:eastAsia="华文仿宋"/>
                                <w:b/>
                                <w:color w:val="auto"/>
                                <w:sz w:val="32"/>
                                <w:szCs w:val="32"/>
                                <w:lang w:val="en-US" w:eastAsia="zh-CN"/>
                              </w:rPr>
                              <w:t>网上</w:t>
                            </w:r>
                            <w:r>
                              <w:rPr>
                                <w:rFonts w:hint="eastAsia" w:eastAsia="华文仿宋"/>
                                <w:b/>
                                <w:color w:val="auto"/>
                                <w:sz w:val="32"/>
                                <w:szCs w:val="32"/>
                              </w:rPr>
                              <w:t>征求意见稿</w:t>
                            </w:r>
                            <w:r>
                              <w:rPr>
                                <w:rFonts w:eastAsia="华文仿宋"/>
                                <w:b/>
                                <w:color w:val="auto"/>
                                <w:sz w:val="32"/>
                                <w:szCs w:val="32"/>
                                <w:lang w:val="en-GB"/>
                              </w:rPr>
                              <w:t>)</w:t>
                            </w:r>
                          </w:p>
                          <w:p>
                            <w:pPr>
                              <w:pStyle w:val="46"/>
                              <w:snapToGrid w:val="0"/>
                              <w:spacing w:before="312" w:beforeLines="100" w:line="240" w:lineRule="auto"/>
                              <w:ind w:firstLine="0"/>
                              <w:jc w:val="center"/>
                              <w:rPr>
                                <w:u w:val="single"/>
                              </w:rPr>
                            </w:pPr>
                          </w:p>
                        </w:txbxContent>
                      </wps:txbx>
                      <wps:bodyPr rot="0" vert="horz" wrap="square" lIns="0" tIns="0" rIns="0" bIns="0" anchor="t" anchorCtr="0" upright="1">
                        <a:noAutofit/>
                      </wps:bodyPr>
                    </wps:wsp>
                  </a:graphicData>
                </a:graphic>
              </wp:anchor>
            </w:drawing>
          </mc:Choice>
          <mc:Fallback>
            <w:pict>
              <v:shape id="fmFrame4" o:spid="_x0000_s1026" o:spt="202" type="#_x0000_t202" style="position:absolute;left:0pt;margin-left:-4.9pt;margin-top:218.15pt;height:119pt;width:487.15pt;mso-position-horizontal-relative:margin;mso-position-vertical-relative:margin;z-index:251663360;mso-width-relative:page;mso-height-relative:page;" fillcolor="#FFFFFF" filled="t" stroked="f" coordsize="21600,21600" o:gfxdata="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X2Ks42gAAAAoBAAAPAAAAAAAA&#10;AAEAIAAAACIAAABkcnMvZG93bnJldi54bWxQSwECFAAUAAAACACHTuJAe3HqRBACAAAsBAAADgAA&#10;AAAAAAABACAAAAApAQAAZHJzL2Uyb0RvYy54bWxQSwUGAAAAAAYABgBZAQAAqwUAAAAA&#10;">
                <v:fill on="t" focussize="0,0"/>
                <v:stroke on="f"/>
                <v:imagedata o:title=""/>
                <o:lock v:ext="edit" aspectratio="f"/>
                <v:textbox inset="0mm,0mm,0mm,0mm">
                  <w:txbxContent>
                    <w:p>
                      <w:pPr>
                        <w:pStyle w:val="112"/>
                        <w:rPr>
                          <w:b/>
                          <w:spacing w:val="40"/>
                          <w:szCs w:val="52"/>
                        </w:rPr>
                      </w:pPr>
                      <w:r>
                        <w:rPr>
                          <w:rFonts w:hint="eastAsia"/>
                          <w:b/>
                          <w:spacing w:val="40"/>
                          <w:szCs w:val="52"/>
                        </w:rPr>
                        <w:t>节水型</w:t>
                      </w:r>
                      <w:r>
                        <w:rPr>
                          <w:b/>
                          <w:spacing w:val="40"/>
                          <w:szCs w:val="52"/>
                        </w:rPr>
                        <w:t>单位评价</w:t>
                      </w:r>
                      <w:r>
                        <w:rPr>
                          <w:rFonts w:hint="eastAsia"/>
                          <w:b/>
                          <w:spacing w:val="40"/>
                          <w:szCs w:val="52"/>
                        </w:rPr>
                        <w:t xml:space="preserve">导则 </w:t>
                      </w:r>
                    </w:p>
                    <w:p>
                      <w:pPr>
                        <w:pStyle w:val="112"/>
                        <w:rPr>
                          <w:rFonts w:ascii="Times New Roman" w:eastAsia="华文仿宋"/>
                          <w:b/>
                          <w:sz w:val="32"/>
                          <w:szCs w:val="32"/>
                          <w:lang w:val="en-GB"/>
                        </w:rPr>
                      </w:pPr>
                      <w:r>
                        <w:rPr>
                          <w:rFonts w:hint="eastAsia"/>
                          <w:b/>
                          <w:spacing w:val="40"/>
                          <w:szCs w:val="52"/>
                        </w:rPr>
                        <w:t>第5部分</w:t>
                      </w:r>
                      <w:r>
                        <w:rPr>
                          <w:b/>
                          <w:spacing w:val="40"/>
                          <w:szCs w:val="52"/>
                        </w:rPr>
                        <w:t>：</w:t>
                      </w:r>
                      <w:r>
                        <w:rPr>
                          <w:rFonts w:hint="eastAsia"/>
                          <w:b/>
                          <w:spacing w:val="40"/>
                          <w:szCs w:val="52"/>
                        </w:rPr>
                        <w:t>车站</w:t>
                      </w:r>
                    </w:p>
                    <w:p>
                      <w:pPr>
                        <w:pStyle w:val="46"/>
                        <w:snapToGrid w:val="0"/>
                        <w:spacing w:before="312" w:beforeLines="100" w:line="240" w:lineRule="auto"/>
                        <w:ind w:firstLine="0"/>
                        <w:jc w:val="center"/>
                        <w:rPr>
                          <w:rFonts w:eastAsia="华文仿宋"/>
                          <w:b/>
                          <w:color w:val="auto"/>
                          <w:sz w:val="32"/>
                          <w:szCs w:val="32"/>
                          <w:lang w:val="en-GB"/>
                        </w:rPr>
                      </w:pPr>
                      <w:r>
                        <w:rPr>
                          <w:rFonts w:eastAsia="华文仿宋"/>
                          <w:b/>
                          <w:color w:val="auto"/>
                          <w:sz w:val="32"/>
                          <w:szCs w:val="32"/>
                          <w:lang w:val="en-GB"/>
                        </w:rPr>
                        <w:t>(</w:t>
                      </w:r>
                      <w:r>
                        <w:rPr>
                          <w:rFonts w:hint="eastAsia" w:eastAsia="华文仿宋"/>
                          <w:b/>
                          <w:color w:val="auto"/>
                          <w:sz w:val="32"/>
                          <w:szCs w:val="32"/>
                          <w:lang w:val="en-US" w:eastAsia="zh-CN"/>
                        </w:rPr>
                        <w:t>网上</w:t>
                      </w:r>
                      <w:r>
                        <w:rPr>
                          <w:rFonts w:hint="eastAsia" w:eastAsia="华文仿宋"/>
                          <w:b/>
                          <w:color w:val="auto"/>
                          <w:sz w:val="32"/>
                          <w:szCs w:val="32"/>
                        </w:rPr>
                        <w:t>征求意见稿</w:t>
                      </w:r>
                      <w:r>
                        <w:rPr>
                          <w:rFonts w:eastAsia="华文仿宋"/>
                          <w:b/>
                          <w:color w:val="auto"/>
                          <w:sz w:val="32"/>
                          <w:szCs w:val="32"/>
                          <w:lang w:val="en-GB"/>
                        </w:rPr>
                        <w:t>)</w:t>
                      </w:r>
                    </w:p>
                    <w:p>
                      <w:pPr>
                        <w:pStyle w:val="46"/>
                        <w:snapToGrid w:val="0"/>
                        <w:spacing w:before="312" w:beforeLines="100" w:line="240" w:lineRule="auto"/>
                        <w:ind w:firstLine="0"/>
                        <w:jc w:val="center"/>
                        <w:rPr>
                          <w:u w:val="single"/>
                        </w:rPr>
                      </w:pPr>
                    </w:p>
                  </w:txbxContent>
                </v:textbox>
                <w10:anchorlock/>
              </v:shape>
            </w:pict>
          </mc:Fallback>
        </mc:AlternateContent>
      </w:r>
      <w:r>
        <w:rPr>
          <w:color w:val="auto"/>
          <w:highlight w:val="none"/>
        </w:rP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1401445</wp:posOffset>
                </wp:positionV>
                <wp:extent cx="5802630" cy="860425"/>
                <wp:effectExtent l="0" t="0" r="2540" b="0"/>
                <wp:wrapNone/>
                <wp:docPr id="5" name="fmFrame3"/>
                <wp:cNvGraphicFramePr/>
                <a:graphic xmlns:a="http://schemas.openxmlformats.org/drawingml/2006/main">
                  <a:graphicData uri="http://schemas.microsoft.com/office/word/2010/wordprocessingShape">
                    <wps:wsp>
                      <wps:cNvSpPr txBox="1">
                        <a:spLocks noChangeArrowheads="1"/>
                      </wps:cNvSpPr>
                      <wps:spPr bwMode="auto">
                        <a:xfrm>
                          <a:off x="0" y="0"/>
                          <a:ext cx="5802630" cy="860425"/>
                        </a:xfrm>
                        <a:prstGeom prst="rect">
                          <a:avLst/>
                        </a:prstGeom>
                        <a:solidFill>
                          <a:srgbClr val="FFFFFF"/>
                        </a:solidFill>
                        <a:ln>
                          <a:noFill/>
                        </a:ln>
                      </wps:spPr>
                      <wps:txbx>
                        <w:txbxContent>
                          <w:p>
                            <w:pPr>
                              <w:pStyle w:val="109"/>
                            </w:pPr>
                            <w:r>
                              <w:t>DB</w:t>
                            </w:r>
                            <w:r>
                              <w:rPr>
                                <w:rFonts w:hint="eastAsia"/>
                                <w:szCs w:val="24"/>
                              </w:rPr>
                              <w:t>13</w:t>
                            </w:r>
                            <w:r>
                              <w:rPr>
                                <w:rFonts w:ascii="黑体"/>
                              </w:rPr>
                              <w:t>/</w:t>
                            </w:r>
                            <w:r>
                              <w:t xml:space="preserve">T </w:t>
                            </w:r>
                            <w:r>
                              <w:rPr>
                                <w:rFonts w:hint="eastAsia"/>
                                <w:sz w:val="24"/>
                                <w:szCs w:val="24"/>
                              </w:rPr>
                              <w:t>×××</w:t>
                            </w:r>
                            <w:r>
                              <w:t>—</w:t>
                            </w:r>
                            <w:r>
                              <w:rPr>
                                <w:rFonts w:hint="eastAsia"/>
                              </w:rPr>
                              <w:t>20</w:t>
                            </w:r>
                            <w:r>
                              <w:t>2</w:t>
                            </w:r>
                            <w:r>
                              <w:rPr>
                                <w:rFonts w:hint="eastAsia"/>
                              </w:rPr>
                              <w:t>3</w:t>
                            </w:r>
                          </w:p>
                        </w:txbxContent>
                      </wps:txbx>
                      <wps:bodyPr rot="0" vert="horz" wrap="square" lIns="0" tIns="0" rIns="0" bIns="0" anchor="t" anchorCtr="0" upright="1">
                        <a:noAutofit/>
                      </wps:bodyPr>
                    </wps:wsp>
                  </a:graphicData>
                </a:graphic>
              </wp:anchor>
            </w:drawing>
          </mc:Choice>
          <mc:Fallback>
            <w:pict>
              <v:shape id="fmFrame3" o:spid="_x0000_s1026" o:spt="202" type="#_x0000_t202" style="position:absolute;left:0pt;margin-left:0pt;margin-top:110.35pt;height:67.75pt;width:456.9pt;mso-position-horizontal-relative:margin;mso-position-vertical-relative:margin;z-index:251662336;mso-width-relative:page;mso-height-relative:page;" fillcolor="#FFFFFF" filled="t" stroked="f" coordsize="21600,21600" o:gfxdata="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QGk+9gAAAAIAQAADwAAAAAAAAAB&#10;ACAAAAAiAAAAZHJzL2Rvd25yZXYueG1sUEsBAhQAFAAAAAgAh07iQCLHNgYQAgAAKwQAAA4AAAAA&#10;AAAAAQAgAAAAJwEAAGRycy9lMm9Eb2MueG1sUEsFBgAAAAAGAAYAWQEAAKkFAAAAAA==&#10;">
                <v:fill on="t" focussize="0,0"/>
                <v:stroke on="f"/>
                <v:imagedata o:title=""/>
                <o:lock v:ext="edit" aspectratio="f"/>
                <v:textbox inset="0mm,0mm,0mm,0mm">
                  <w:txbxContent>
                    <w:p>
                      <w:pPr>
                        <w:pStyle w:val="109"/>
                      </w:pPr>
                      <w:r>
                        <w:t>DB</w:t>
                      </w:r>
                      <w:r>
                        <w:rPr>
                          <w:rFonts w:hint="eastAsia"/>
                          <w:szCs w:val="24"/>
                        </w:rPr>
                        <w:t>13</w:t>
                      </w:r>
                      <w:r>
                        <w:rPr>
                          <w:rFonts w:ascii="黑体"/>
                        </w:rPr>
                        <w:t>/</w:t>
                      </w:r>
                      <w:r>
                        <w:t xml:space="preserve">T </w:t>
                      </w:r>
                      <w:r>
                        <w:rPr>
                          <w:rFonts w:hint="eastAsia"/>
                          <w:sz w:val="24"/>
                          <w:szCs w:val="24"/>
                        </w:rPr>
                        <w:t>×××</w:t>
                      </w:r>
                      <w:r>
                        <w:t>—</w:t>
                      </w:r>
                      <w:r>
                        <w:rPr>
                          <w:rFonts w:hint="eastAsia"/>
                        </w:rPr>
                        <w:t>20</w:t>
                      </w:r>
                      <w:r>
                        <w:t>2</w:t>
                      </w:r>
                      <w:r>
                        <w:rPr>
                          <w:rFonts w:hint="eastAsia"/>
                        </w:rPr>
                        <w:t>3</w:t>
                      </w:r>
                    </w:p>
                  </w:txbxContent>
                </v:textbox>
                <w10:anchorlock/>
              </v:shape>
            </w:pict>
          </mc:Fallback>
        </mc:AlternateContent>
      </w:r>
      <w:r>
        <w:rPr>
          <w:color w:val="auto"/>
          <w:highlight w:val="none"/>
        </w:rPr>
        <mc:AlternateContent>
          <mc:Choice Requires="wps">
            <w:drawing>
              <wp:anchor distT="0" distB="0" distL="114300" distR="114300" simplePos="0" relativeHeight="251661312" behindDoc="0" locked="1" layoutInCell="1" allowOverlap="1">
                <wp:simplePos x="0" y="0"/>
                <wp:positionH relativeFrom="margin">
                  <wp:posOffset>2549525</wp:posOffset>
                </wp:positionH>
                <wp:positionV relativeFrom="margin">
                  <wp:posOffset>107315</wp:posOffset>
                </wp:positionV>
                <wp:extent cx="3175000" cy="720090"/>
                <wp:effectExtent l="1905" t="635" r="4445" b="3175"/>
                <wp:wrapNone/>
                <wp:docPr id="4" name="fmFrame8"/>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wps:spPr>
                      <wps:txbx>
                        <w:txbxContent>
                          <w:p>
                            <w:pPr>
                              <w:pStyle w:val="93"/>
                            </w:pPr>
                            <w:r>
                              <w:t>DB13</w:t>
                            </w:r>
                          </w:p>
                        </w:txbxContent>
                      </wps:txbx>
                      <wps:bodyPr rot="0" vert="horz" wrap="square" lIns="0" tIns="0" rIns="0" bIns="0" anchor="t" anchorCtr="0" upright="1">
                        <a:noAutofit/>
                      </wps:bodyPr>
                    </wps:wsp>
                  </a:graphicData>
                </a:graphic>
              </wp:anchor>
            </w:drawing>
          </mc:Choice>
          <mc:Fallback>
            <w:pict>
              <v:shape id="fmFrame8" o:spid="_x0000_s1026" o:spt="202" type="#_x0000_t202" style="position:absolute;left:0pt;margin-left:200.75pt;margin-top:8.45pt;height:56.7pt;width:250pt;mso-position-horizontal-relative:margin;mso-position-vertical-relative:margin;z-index:251661312;mso-width-relative:page;mso-height-relative:page;" fillcolor="#FFFFFF" filled="t" stroked="f" coordsize="21600,21600" o:gfxdata="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JWTs82AAAAAoBAAAPAAAAAAAAAAEA&#10;IAAAACIAAABkcnMvZG93bnJldi54bWxQSwECFAAUAAAACACHTuJAC7ew/g8CAAArBAAADgAAAAAA&#10;AAABACAAAAAnAQAAZHJzL2Uyb0RvYy54bWxQSwUGAAAAAAYABgBZAQAAqAUAAAAA&#10;">
                <v:fill on="t" focussize="0,0"/>
                <v:stroke on="f"/>
                <v:imagedata o:title=""/>
                <o:lock v:ext="edit" aspectratio="f"/>
                <v:textbox inset="0mm,0mm,0mm,0mm">
                  <w:txbxContent>
                    <w:p>
                      <w:pPr>
                        <w:pStyle w:val="93"/>
                      </w:pPr>
                      <w:r>
                        <w:t>DB13</w:t>
                      </w:r>
                    </w:p>
                  </w:txbxContent>
                </v:textbox>
                <w10:anchorlock/>
              </v:shape>
            </w:pict>
          </mc:Fallback>
        </mc:AlternateContent>
      </w:r>
      <w:r>
        <w:rPr>
          <w:color w:val="auto"/>
          <w:highlight w:val="none"/>
        </w:rP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1010920</wp:posOffset>
                </wp:positionV>
                <wp:extent cx="6120130" cy="391160"/>
                <wp:effectExtent l="0" t="0" r="0" b="0"/>
                <wp:wrapNone/>
                <wp:docPr id="3" name="fmFrame2"/>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wps:spPr>
                      <wps:txbx>
                        <w:txbxContent>
                          <w:p>
                            <w:pPr>
                              <w:pStyle w:val="133"/>
                            </w:pPr>
                            <w:r>
                              <w:rPr>
                                <w:rFonts w:hint="eastAsia"/>
                              </w:rPr>
                              <w:t>河北省地方标准</w:t>
                            </w:r>
                          </w:p>
                        </w:txbxContent>
                      </wps:txbx>
                      <wps:bodyPr rot="0" vert="horz" wrap="square" lIns="0" tIns="0" rIns="0" bIns="0" anchor="t" anchorCtr="0" upright="1">
                        <a:noAutofit/>
                      </wps:bodyPr>
                    </wps:wsp>
                  </a:graphicData>
                </a:graphic>
              </wp:anchor>
            </w:drawing>
          </mc:Choice>
          <mc:Fallback>
            <w:pict>
              <v:shape id="fmFrame2" o:spid="_x0000_s1026" o:spt="202" type="#_x0000_t202" style="position:absolute;left:0pt;margin-left:0pt;margin-top:79.6pt;height:30.8pt;width:481.9pt;mso-position-horizontal-relative:margin;mso-position-vertical-relative:margin;z-index:251660288;mso-width-relative:page;mso-height-relative:page;" fillcolor="#FFFFFF" filled="t"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g5HBdcAAAAIAQAADwAAAAAAAAABACAA&#10;AAAiAAAAZHJzL2Rvd25yZXYueG1sUEsBAhQAFAAAAAgAh07iQL1ajLsOAgAAKwQAAA4AAAAAAAAA&#10;AQAgAAAAJgEAAGRycy9lMm9Eb2MueG1sUEsFBgAAAAAGAAYAWQEAAKYFAAAAAA==&#10;">
                <v:fill on="t" focussize="0,0"/>
                <v:stroke on="f"/>
                <v:imagedata o:title=""/>
                <o:lock v:ext="edit" aspectratio="f"/>
                <v:textbox inset="0mm,0mm,0mm,0mm">
                  <w:txbxContent>
                    <w:p>
                      <w:pPr>
                        <w:pStyle w:val="133"/>
                      </w:pPr>
                      <w:r>
                        <w:rPr>
                          <w:rFonts w:hint="eastAsia"/>
                        </w:rPr>
                        <w:t>河北省地方标准</w:t>
                      </w:r>
                    </w:p>
                  </w:txbxContent>
                </v:textbox>
                <w10:anchorlock/>
              </v:shape>
            </w:pict>
          </mc:Fallback>
        </mc:AlternateContent>
      </w:r>
      <w:r>
        <w:rPr>
          <w:color w:val="auto"/>
          <w:highlight w:val="none"/>
        </w:rP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0</wp:posOffset>
                </wp:positionV>
                <wp:extent cx="2540000" cy="657860"/>
                <wp:effectExtent l="0" t="0" r="0" b="1270"/>
                <wp:wrapNone/>
                <wp:docPr id="2" name="fmFrame1"/>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solidFill>
                          <a:srgbClr val="FFFFFF"/>
                        </a:solidFill>
                        <a:ln>
                          <a:noFill/>
                        </a:ln>
                      </wps:spPr>
                      <wps:txbx>
                        <w:txbxContent>
                          <w:p>
                            <w:pPr>
                              <w:pStyle w:val="142"/>
                            </w:pPr>
                            <w:r>
                              <w:t>ICS</w:t>
                            </w:r>
                            <w:r>
                              <w:rPr>
                                <w:rFonts w:hint="eastAsia" w:ascii="黑体" w:hAnsi="黑体"/>
                              </w:rPr>
                              <w:t>××</w:t>
                            </w:r>
                            <w:r>
                              <w:rPr>
                                <w:rFonts w:ascii="黑体"/>
                              </w:rPr>
                              <w:t>.</w:t>
                            </w:r>
                            <w:r>
                              <w:rPr>
                                <w:rFonts w:hint="eastAsia" w:ascii="黑体" w:hAnsi="黑体"/>
                              </w:rPr>
                              <w:t>×××</w:t>
                            </w:r>
                            <w:r>
                              <w:rPr>
                                <w:rFonts w:ascii="黑体"/>
                              </w:rPr>
                              <w:t>.</w:t>
                            </w:r>
                            <w:r>
                              <w:rPr>
                                <w:rFonts w:hint="eastAsia" w:ascii="黑体" w:hAnsi="黑体"/>
                              </w:rPr>
                              <w:t>××</w:t>
                            </w:r>
                          </w:p>
                          <w:p>
                            <w:pPr>
                              <w:pStyle w:val="142"/>
                            </w:pPr>
                            <w:r>
                              <w:rPr>
                                <w:rFonts w:hint="eastAsia"/>
                              </w:rPr>
                              <w:t xml:space="preserve">R </w:t>
                            </w:r>
                            <w:r>
                              <w:rPr>
                                <w:rFonts w:ascii="黑体"/>
                              </w:rPr>
                              <w:t>0</w:t>
                            </w:r>
                            <w:r>
                              <w:rPr>
                                <w:rFonts w:hint="eastAsia" w:ascii="黑体"/>
                              </w:rPr>
                              <w:t>1</w:t>
                            </w:r>
                          </w:p>
                        </w:txbxContent>
                      </wps:txbx>
                      <wps:bodyPr rot="0" vert="horz" wrap="square" lIns="0" tIns="0" rIns="0" bIns="0" anchor="t" anchorCtr="0" upright="1">
                        <a:noAutofit/>
                      </wps:bodyPr>
                    </wps:wsp>
                  </a:graphicData>
                </a:graphic>
              </wp:anchor>
            </w:drawing>
          </mc:Choice>
          <mc:Fallback>
            <w:pict>
              <v:shape id="fmFrame1" o:spid="_x0000_s1026" o:spt="202" type="#_x0000_t202" style="position:absolute;left:0pt;margin-left:0pt;margin-top:0pt;height:51.8pt;width:200pt;mso-position-horizontal-relative:margin;mso-position-vertical-relative:margin;z-index:251659264;mso-width-relative:page;mso-height-relative:page;" fillcolor="#FFFFFF" filled="t" stroked="f" coordsize="21600,21600" o:gfxdata="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ezL4NMAAAAFAQAADwAAAAAAAAABACAAAAAi&#10;AAAAZHJzL2Rvd25yZXYueG1sUEsBAhQAFAAAAAgAh07iQAnRnG8PAgAAKwQAAA4AAAAAAAAAAQAg&#10;AAAAIgEAAGRycy9lMm9Eb2MueG1sUEsFBgAAAAAGAAYAWQEAAKMFAAAAAA==&#10;">
                <v:fill on="t" focussize="0,0"/>
                <v:stroke on="f"/>
                <v:imagedata o:title=""/>
                <o:lock v:ext="edit" aspectratio="f"/>
                <v:textbox inset="0mm,0mm,0mm,0mm">
                  <w:txbxContent>
                    <w:p>
                      <w:pPr>
                        <w:pStyle w:val="142"/>
                      </w:pPr>
                      <w:r>
                        <w:t>ICS</w:t>
                      </w:r>
                      <w:r>
                        <w:rPr>
                          <w:rFonts w:hint="eastAsia" w:ascii="黑体" w:hAnsi="黑体"/>
                        </w:rPr>
                        <w:t>××</w:t>
                      </w:r>
                      <w:r>
                        <w:rPr>
                          <w:rFonts w:ascii="黑体"/>
                        </w:rPr>
                        <w:t>.</w:t>
                      </w:r>
                      <w:r>
                        <w:rPr>
                          <w:rFonts w:hint="eastAsia" w:ascii="黑体" w:hAnsi="黑体"/>
                        </w:rPr>
                        <w:t>×××</w:t>
                      </w:r>
                      <w:r>
                        <w:rPr>
                          <w:rFonts w:ascii="黑体"/>
                        </w:rPr>
                        <w:t>.</w:t>
                      </w:r>
                      <w:r>
                        <w:rPr>
                          <w:rFonts w:hint="eastAsia" w:ascii="黑体" w:hAnsi="黑体"/>
                        </w:rPr>
                        <w:t>××</w:t>
                      </w:r>
                    </w:p>
                    <w:p>
                      <w:pPr>
                        <w:pStyle w:val="142"/>
                      </w:pPr>
                      <w:r>
                        <w:rPr>
                          <w:rFonts w:hint="eastAsia"/>
                        </w:rPr>
                        <w:t xml:space="preserve">R </w:t>
                      </w:r>
                      <w:r>
                        <w:rPr>
                          <w:rFonts w:ascii="黑体"/>
                        </w:rPr>
                        <w:t>0</w:t>
                      </w:r>
                      <w:r>
                        <w:rPr>
                          <w:rFonts w:hint="eastAsia" w:ascii="黑体"/>
                        </w:rPr>
                        <w:t>1</w:t>
                      </w:r>
                    </w:p>
                  </w:txbxContent>
                </v:textbox>
                <w10:anchorlock/>
              </v:shape>
            </w:pict>
          </mc:Fallback>
        </mc:AlternateContent>
      </w:r>
    </w:p>
    <w:bookmarkEnd w:id="0"/>
    <w:p>
      <w:pPr>
        <w:pStyle w:val="2"/>
        <w:spacing w:before="640" w:after="560" w:line="240" w:lineRule="auto"/>
        <w:jc w:val="center"/>
        <w:rPr>
          <w:rFonts w:ascii="黑体" w:eastAsia="黑体"/>
          <w:b w:val="0"/>
          <w:color w:val="auto"/>
          <w:sz w:val="32"/>
          <w:szCs w:val="32"/>
          <w:highlight w:val="none"/>
        </w:rPr>
      </w:pPr>
      <w:bookmarkStart w:id="1" w:name="_Toc91371747"/>
      <w:bookmarkStart w:id="2" w:name="SectionMark2"/>
      <w:r>
        <w:rPr>
          <w:rFonts w:hint="eastAsia" w:ascii="黑体" w:eastAsia="黑体"/>
          <w:b w:val="0"/>
          <w:color w:val="auto"/>
          <w:sz w:val="32"/>
          <w:szCs w:val="32"/>
          <w:highlight w:val="none"/>
        </w:rPr>
        <w:t>前    言</w:t>
      </w:r>
      <w:bookmarkEnd w:id="1"/>
    </w:p>
    <w:p>
      <w:pPr>
        <w:ind w:firstLine="420" w:firstLineChars="200"/>
        <w:rPr>
          <w:bCs/>
          <w:color w:val="auto"/>
          <w:szCs w:val="21"/>
          <w:highlight w:val="none"/>
        </w:rPr>
      </w:pPr>
      <w:r>
        <w:rPr>
          <w:rFonts w:hint="eastAsia"/>
          <w:bCs/>
          <w:color w:val="auto"/>
          <w:szCs w:val="21"/>
          <w:highlight w:val="none"/>
        </w:rPr>
        <w:t>本文件按照GB/T 1.1</w:t>
      </w:r>
      <w:r>
        <w:rPr>
          <w:rFonts w:hint="eastAsia"/>
          <w:color w:val="auto"/>
          <w:szCs w:val="21"/>
          <w:highlight w:val="none"/>
        </w:rPr>
        <w:t>—20</w:t>
      </w:r>
      <w:r>
        <w:rPr>
          <w:color w:val="auto"/>
          <w:szCs w:val="21"/>
          <w:highlight w:val="none"/>
        </w:rPr>
        <w:t>20</w:t>
      </w:r>
      <w:r>
        <w:rPr>
          <w:rFonts w:hint="eastAsia"/>
          <w:color w:val="auto"/>
          <w:szCs w:val="21"/>
          <w:highlight w:val="none"/>
        </w:rPr>
        <w:t>《标准化</w:t>
      </w:r>
      <w:r>
        <w:rPr>
          <w:color w:val="auto"/>
          <w:szCs w:val="21"/>
          <w:highlight w:val="none"/>
        </w:rPr>
        <w:t>工作导则</w:t>
      </w:r>
      <w:r>
        <w:rPr>
          <w:rFonts w:hint="eastAsia"/>
          <w:color w:val="auto"/>
          <w:szCs w:val="21"/>
          <w:highlight w:val="none"/>
        </w:rPr>
        <w:t xml:space="preserve">  第1部分</w:t>
      </w:r>
      <w:r>
        <w:rPr>
          <w:color w:val="auto"/>
          <w:szCs w:val="21"/>
          <w:highlight w:val="none"/>
        </w:rPr>
        <w:t>：标准化文件的结构和起草规划</w:t>
      </w:r>
      <w:r>
        <w:rPr>
          <w:rFonts w:hint="eastAsia"/>
          <w:color w:val="auto"/>
          <w:szCs w:val="21"/>
          <w:highlight w:val="none"/>
        </w:rPr>
        <w:t>》的</w:t>
      </w:r>
      <w:r>
        <w:rPr>
          <w:color w:val="auto"/>
          <w:szCs w:val="21"/>
          <w:highlight w:val="none"/>
        </w:rPr>
        <w:t>规定</w:t>
      </w:r>
      <w:r>
        <w:rPr>
          <w:rFonts w:hint="eastAsia"/>
          <w:bCs/>
          <w:color w:val="auto"/>
          <w:szCs w:val="21"/>
          <w:highlight w:val="none"/>
        </w:rPr>
        <w:t>起草。</w:t>
      </w:r>
    </w:p>
    <w:p>
      <w:pPr>
        <w:ind w:firstLine="420" w:firstLineChars="200"/>
        <w:rPr>
          <w:bCs/>
          <w:color w:val="auto"/>
          <w:szCs w:val="21"/>
          <w:highlight w:val="none"/>
        </w:rPr>
      </w:pPr>
      <w:r>
        <w:rPr>
          <w:rFonts w:hint="eastAsia"/>
          <w:bCs/>
          <w:color w:val="auto"/>
          <w:szCs w:val="21"/>
          <w:highlight w:val="none"/>
        </w:rPr>
        <w:t>DB13/T 5652《节水型单位评价导则》为系列标准，目前已确定的部分包括：</w:t>
      </w:r>
    </w:p>
    <w:p>
      <w:pPr>
        <w:ind w:firstLine="420" w:firstLineChars="200"/>
        <w:rPr>
          <w:bCs/>
          <w:color w:val="auto"/>
          <w:szCs w:val="21"/>
          <w:highlight w:val="none"/>
        </w:rPr>
      </w:pPr>
      <w:r>
        <w:rPr>
          <w:rFonts w:hint="eastAsia"/>
          <w:bCs/>
          <w:color w:val="auto"/>
          <w:szCs w:val="21"/>
          <w:highlight w:val="none"/>
        </w:rPr>
        <w:t>——第1部分：通则；</w:t>
      </w:r>
    </w:p>
    <w:p>
      <w:pPr>
        <w:ind w:firstLine="420" w:firstLineChars="200"/>
        <w:rPr>
          <w:bCs/>
          <w:color w:val="auto"/>
          <w:szCs w:val="21"/>
          <w:highlight w:val="none"/>
        </w:rPr>
      </w:pPr>
      <w:r>
        <w:rPr>
          <w:rFonts w:hint="eastAsia"/>
          <w:bCs/>
          <w:color w:val="auto"/>
          <w:szCs w:val="21"/>
          <w:highlight w:val="none"/>
        </w:rPr>
        <w:t>——第2部分：高速公路服务区；</w:t>
      </w:r>
    </w:p>
    <w:p>
      <w:pPr>
        <w:ind w:firstLine="420" w:firstLineChars="200"/>
        <w:rPr>
          <w:bCs/>
          <w:color w:val="auto"/>
          <w:szCs w:val="21"/>
          <w:highlight w:val="none"/>
        </w:rPr>
      </w:pPr>
      <w:r>
        <w:rPr>
          <w:rFonts w:hint="eastAsia"/>
          <w:bCs/>
          <w:color w:val="auto"/>
          <w:szCs w:val="21"/>
          <w:highlight w:val="none"/>
        </w:rPr>
        <w:t>——第3部分：宾馆；</w:t>
      </w:r>
    </w:p>
    <w:p>
      <w:pPr>
        <w:ind w:firstLine="420" w:firstLineChars="200"/>
        <w:rPr>
          <w:bCs/>
          <w:color w:val="auto"/>
          <w:szCs w:val="21"/>
          <w:highlight w:val="none"/>
        </w:rPr>
      </w:pPr>
      <w:r>
        <w:rPr>
          <w:rFonts w:hint="eastAsia"/>
          <w:bCs/>
          <w:color w:val="auto"/>
          <w:szCs w:val="21"/>
          <w:highlight w:val="none"/>
        </w:rPr>
        <w:t>——第4部分：医院；</w:t>
      </w:r>
    </w:p>
    <w:p>
      <w:pPr>
        <w:ind w:firstLine="420" w:firstLineChars="200"/>
        <w:rPr>
          <w:bCs/>
          <w:color w:val="auto"/>
          <w:szCs w:val="21"/>
          <w:highlight w:val="none"/>
        </w:rPr>
      </w:pPr>
      <w:r>
        <w:rPr>
          <w:rFonts w:hint="eastAsia"/>
          <w:bCs/>
          <w:color w:val="auto"/>
          <w:szCs w:val="21"/>
          <w:highlight w:val="none"/>
        </w:rPr>
        <w:t>——第5部分：车站；</w:t>
      </w:r>
    </w:p>
    <w:p>
      <w:pPr>
        <w:ind w:firstLine="420" w:firstLineChars="200"/>
        <w:rPr>
          <w:bCs/>
          <w:color w:val="auto"/>
          <w:szCs w:val="21"/>
          <w:highlight w:val="none"/>
        </w:rPr>
      </w:pPr>
      <w:r>
        <w:rPr>
          <w:rFonts w:hint="eastAsia"/>
          <w:bCs/>
          <w:color w:val="auto"/>
          <w:szCs w:val="21"/>
          <w:highlight w:val="none"/>
        </w:rPr>
        <w:t>——第6部分：商场；</w:t>
      </w:r>
    </w:p>
    <w:p>
      <w:pPr>
        <w:ind w:firstLine="420" w:firstLineChars="200"/>
        <w:rPr>
          <w:bCs/>
          <w:color w:val="auto"/>
          <w:szCs w:val="21"/>
          <w:highlight w:val="none"/>
        </w:rPr>
      </w:pPr>
      <w:r>
        <w:rPr>
          <w:rFonts w:hint="eastAsia"/>
          <w:bCs/>
          <w:color w:val="auto"/>
          <w:szCs w:val="21"/>
          <w:highlight w:val="none"/>
        </w:rPr>
        <w:t>——第7部分：洗浴中心；</w:t>
      </w:r>
    </w:p>
    <w:p>
      <w:pPr>
        <w:ind w:firstLine="420" w:firstLineChars="200"/>
        <w:rPr>
          <w:bCs/>
          <w:color w:val="auto"/>
          <w:szCs w:val="21"/>
          <w:highlight w:val="none"/>
        </w:rPr>
      </w:pPr>
      <w:r>
        <w:rPr>
          <w:rFonts w:hint="eastAsia"/>
          <w:bCs/>
          <w:color w:val="auto"/>
          <w:szCs w:val="21"/>
          <w:highlight w:val="none"/>
        </w:rPr>
        <w:t>——第8部分：公园。</w:t>
      </w:r>
    </w:p>
    <w:p>
      <w:pPr>
        <w:ind w:firstLine="420" w:firstLineChars="200"/>
        <w:rPr>
          <w:bCs/>
          <w:color w:val="auto"/>
          <w:szCs w:val="21"/>
          <w:highlight w:val="none"/>
        </w:rPr>
      </w:pPr>
      <w:r>
        <w:rPr>
          <w:rFonts w:hint="eastAsia"/>
          <w:bCs/>
          <w:color w:val="auto"/>
          <w:szCs w:val="21"/>
          <w:highlight w:val="none"/>
        </w:rPr>
        <w:t>本文件为DB13/T 5652的第5部分。</w:t>
      </w:r>
    </w:p>
    <w:p>
      <w:pPr>
        <w:ind w:firstLine="420" w:firstLineChars="200"/>
        <w:rPr>
          <w:bCs/>
          <w:color w:val="auto"/>
          <w:szCs w:val="21"/>
          <w:highlight w:val="none"/>
        </w:rPr>
      </w:pPr>
      <w:r>
        <w:rPr>
          <w:bCs/>
          <w:color w:val="auto"/>
          <w:szCs w:val="21"/>
          <w:highlight w:val="none"/>
        </w:rPr>
        <w:t>本</w:t>
      </w:r>
      <w:r>
        <w:rPr>
          <w:rFonts w:hint="eastAsia"/>
          <w:bCs/>
          <w:color w:val="auto"/>
          <w:szCs w:val="21"/>
          <w:highlight w:val="none"/>
        </w:rPr>
        <w:t>文件</w:t>
      </w:r>
      <w:r>
        <w:rPr>
          <w:bCs/>
          <w:color w:val="auto"/>
          <w:szCs w:val="21"/>
          <w:highlight w:val="none"/>
        </w:rPr>
        <w:t>由</w:t>
      </w:r>
      <w:r>
        <w:rPr>
          <w:color w:val="auto"/>
          <w:kern w:val="0"/>
          <w:szCs w:val="21"/>
          <w:highlight w:val="none"/>
        </w:rPr>
        <w:t>河北省水利厅提出并归口。</w:t>
      </w:r>
    </w:p>
    <w:p>
      <w:pPr>
        <w:ind w:firstLine="420" w:firstLineChars="200"/>
        <w:rPr>
          <w:color w:val="auto"/>
          <w:kern w:val="0"/>
          <w:szCs w:val="21"/>
          <w:highlight w:val="none"/>
        </w:rPr>
      </w:pPr>
      <w:r>
        <w:rPr>
          <w:color w:val="auto"/>
          <w:kern w:val="0"/>
          <w:szCs w:val="21"/>
          <w:highlight w:val="none"/>
        </w:rPr>
        <w:t>本</w:t>
      </w:r>
      <w:r>
        <w:rPr>
          <w:rFonts w:hint="eastAsia"/>
          <w:color w:val="auto"/>
          <w:kern w:val="0"/>
          <w:szCs w:val="21"/>
          <w:highlight w:val="none"/>
        </w:rPr>
        <w:t>文件</w:t>
      </w:r>
      <w:r>
        <w:rPr>
          <w:color w:val="auto"/>
          <w:kern w:val="0"/>
          <w:szCs w:val="21"/>
          <w:highlight w:val="none"/>
        </w:rPr>
        <w:t>起草单位：</w:t>
      </w:r>
      <w:r>
        <w:rPr>
          <w:rFonts w:hint="eastAsia" w:hAnsi="宋体"/>
          <w:color w:val="auto"/>
          <w:szCs w:val="21"/>
          <w:highlight w:val="none"/>
        </w:rPr>
        <w:t>××××××</w:t>
      </w:r>
      <w:r>
        <w:rPr>
          <w:rFonts w:hint="eastAsia"/>
          <w:color w:val="auto"/>
          <w:szCs w:val="21"/>
          <w:highlight w:val="none"/>
        </w:rPr>
        <w:t xml:space="preserve"> </w:t>
      </w:r>
      <w:r>
        <w:rPr>
          <w:rFonts w:hint="eastAsia" w:hAnsi="宋体"/>
          <w:color w:val="auto"/>
          <w:szCs w:val="21"/>
          <w:highlight w:val="none"/>
        </w:rPr>
        <w:t>××××××</w:t>
      </w:r>
    </w:p>
    <w:p>
      <w:pPr>
        <w:pStyle w:val="102"/>
        <w:ind w:firstLine="420"/>
        <w:rPr>
          <w:rFonts w:ascii="Times New Roman"/>
          <w:color w:val="auto"/>
          <w:highlight w:val="none"/>
        </w:rPr>
      </w:pPr>
      <w:r>
        <w:rPr>
          <w:rFonts w:ascii="Times New Roman"/>
          <w:bCs/>
          <w:color w:val="auto"/>
          <w:szCs w:val="21"/>
          <w:highlight w:val="none"/>
        </w:rPr>
        <w:t>本</w:t>
      </w:r>
      <w:r>
        <w:rPr>
          <w:rFonts w:hint="eastAsia" w:ascii="Times New Roman"/>
          <w:bCs/>
          <w:color w:val="auto"/>
          <w:szCs w:val="21"/>
          <w:highlight w:val="none"/>
        </w:rPr>
        <w:t>文件</w:t>
      </w:r>
      <w:r>
        <w:rPr>
          <w:rFonts w:ascii="Times New Roman"/>
          <w:color w:val="auto"/>
          <w:szCs w:val="21"/>
          <w:highlight w:val="none"/>
        </w:rPr>
        <w:t>主要起草人：</w:t>
      </w:r>
      <w:r>
        <w:rPr>
          <w:rFonts w:hint="eastAsia" w:hAnsi="宋体"/>
          <w:color w:val="auto"/>
          <w:szCs w:val="21"/>
          <w:highlight w:val="none"/>
        </w:rPr>
        <w:t>×××</w:t>
      </w:r>
      <w:r>
        <w:rPr>
          <w:rFonts w:hint="eastAsia" w:ascii="Times New Roman"/>
          <w:color w:val="auto"/>
          <w:szCs w:val="21"/>
          <w:highlight w:val="none"/>
        </w:rPr>
        <w:t xml:space="preserve"> </w:t>
      </w:r>
      <w:r>
        <w:rPr>
          <w:rFonts w:hint="eastAsia" w:hAnsi="宋体"/>
          <w:color w:val="auto"/>
          <w:szCs w:val="21"/>
          <w:highlight w:val="none"/>
        </w:rPr>
        <w:t>×××</w:t>
      </w:r>
      <w:r>
        <w:rPr>
          <w:rFonts w:hint="eastAsia" w:ascii="Times New Roman"/>
          <w:color w:val="auto"/>
          <w:szCs w:val="21"/>
          <w:highlight w:val="none"/>
        </w:rPr>
        <w:t xml:space="preserve"> </w:t>
      </w:r>
      <w:r>
        <w:rPr>
          <w:rFonts w:hint="eastAsia" w:hAnsi="宋体"/>
          <w:color w:val="auto"/>
          <w:szCs w:val="21"/>
          <w:highlight w:val="none"/>
        </w:rPr>
        <w:t>×××</w:t>
      </w:r>
      <w:r>
        <w:rPr>
          <w:rFonts w:hint="eastAsia" w:ascii="Times New Roman"/>
          <w:color w:val="auto"/>
          <w:szCs w:val="21"/>
          <w:highlight w:val="none"/>
        </w:rPr>
        <w:t xml:space="preserve"> </w:t>
      </w:r>
      <w:r>
        <w:rPr>
          <w:rFonts w:hint="eastAsia" w:hAnsi="宋体"/>
          <w:color w:val="auto"/>
          <w:szCs w:val="21"/>
          <w:highlight w:val="none"/>
        </w:rPr>
        <w:t>×××</w:t>
      </w:r>
      <w:r>
        <w:rPr>
          <w:rFonts w:hint="eastAsia" w:ascii="Times New Roman"/>
          <w:color w:val="auto"/>
          <w:szCs w:val="21"/>
          <w:highlight w:val="none"/>
        </w:rPr>
        <w:t xml:space="preserve"> </w:t>
      </w:r>
      <w:r>
        <w:rPr>
          <w:rFonts w:hint="eastAsia" w:hAnsi="宋体"/>
          <w:color w:val="auto"/>
          <w:szCs w:val="21"/>
          <w:highlight w:val="none"/>
        </w:rPr>
        <w:t>×××</w:t>
      </w:r>
      <w:r>
        <w:rPr>
          <w:rFonts w:hint="eastAsia" w:ascii="Times New Roman"/>
          <w:color w:val="auto"/>
          <w:szCs w:val="21"/>
          <w:highlight w:val="none"/>
        </w:rPr>
        <w:t xml:space="preserve"> </w:t>
      </w:r>
      <w:r>
        <w:rPr>
          <w:rFonts w:hint="eastAsia" w:hAnsi="宋体"/>
          <w:color w:val="auto"/>
          <w:szCs w:val="21"/>
          <w:highlight w:val="none"/>
        </w:rPr>
        <w:t>×××</w:t>
      </w:r>
      <w:r>
        <w:rPr>
          <w:rFonts w:hint="eastAsia" w:ascii="Times New Roman"/>
          <w:color w:val="auto"/>
          <w:szCs w:val="21"/>
          <w:highlight w:val="none"/>
        </w:rPr>
        <w:t xml:space="preserve"> </w:t>
      </w:r>
      <w:r>
        <w:rPr>
          <w:rFonts w:hint="eastAsia" w:hAnsi="宋体"/>
          <w:color w:val="auto"/>
          <w:szCs w:val="21"/>
          <w:highlight w:val="none"/>
        </w:rPr>
        <w:t>×××</w:t>
      </w:r>
      <w:r>
        <w:rPr>
          <w:rFonts w:hint="eastAsia" w:ascii="Times New Roman"/>
          <w:color w:val="auto"/>
          <w:szCs w:val="21"/>
          <w:highlight w:val="none"/>
        </w:rPr>
        <w:t xml:space="preserve"> </w:t>
      </w:r>
      <w:r>
        <w:rPr>
          <w:rFonts w:hint="eastAsia" w:hAnsi="宋体"/>
          <w:color w:val="auto"/>
          <w:szCs w:val="21"/>
          <w:highlight w:val="none"/>
        </w:rPr>
        <w:t>×××</w:t>
      </w:r>
      <w:r>
        <w:rPr>
          <w:rFonts w:hint="eastAsia" w:ascii="Times New Roman"/>
          <w:color w:val="auto"/>
          <w:szCs w:val="21"/>
          <w:highlight w:val="none"/>
        </w:rPr>
        <w:t xml:space="preserve"> </w:t>
      </w:r>
      <w:r>
        <w:rPr>
          <w:rFonts w:hint="eastAsia" w:hAnsi="宋体"/>
          <w:color w:val="auto"/>
          <w:szCs w:val="21"/>
          <w:highlight w:val="none"/>
        </w:rPr>
        <w:t>×××</w:t>
      </w:r>
      <w:r>
        <w:rPr>
          <w:rFonts w:hint="eastAsia" w:ascii="Times New Roman"/>
          <w:color w:val="auto"/>
          <w:szCs w:val="21"/>
          <w:highlight w:val="none"/>
        </w:rPr>
        <w:t xml:space="preserve"> </w:t>
      </w:r>
      <w:r>
        <w:rPr>
          <w:rFonts w:hint="eastAsia" w:hAnsi="宋体"/>
          <w:color w:val="auto"/>
          <w:szCs w:val="21"/>
          <w:highlight w:val="none"/>
        </w:rPr>
        <w:t>×××</w:t>
      </w:r>
      <w:r>
        <w:rPr>
          <w:rFonts w:hint="eastAsia" w:ascii="Times New Roman"/>
          <w:color w:val="auto"/>
          <w:szCs w:val="21"/>
          <w:highlight w:val="none"/>
        </w:rPr>
        <w:t xml:space="preserve"> </w:t>
      </w:r>
      <w:r>
        <w:rPr>
          <w:rFonts w:hint="eastAsia" w:hAnsi="宋体"/>
          <w:color w:val="auto"/>
          <w:szCs w:val="21"/>
          <w:highlight w:val="none"/>
        </w:rPr>
        <w:t>×××</w:t>
      </w:r>
      <w:r>
        <w:rPr>
          <w:rFonts w:hint="eastAsia" w:ascii="Times New Roman"/>
          <w:color w:val="auto"/>
          <w:szCs w:val="21"/>
          <w:highlight w:val="none"/>
        </w:rPr>
        <w:t xml:space="preserve"> </w:t>
      </w:r>
      <w:r>
        <w:rPr>
          <w:rFonts w:hint="eastAsia" w:hAnsi="宋体"/>
          <w:color w:val="auto"/>
          <w:szCs w:val="21"/>
          <w:highlight w:val="none"/>
        </w:rPr>
        <w:t>×××</w:t>
      </w:r>
    </w:p>
    <w:p>
      <w:pPr>
        <w:pStyle w:val="102"/>
        <w:ind w:firstLine="420"/>
        <w:rPr>
          <w:rFonts w:ascii="Times New Roman"/>
          <w:color w:val="auto"/>
          <w:highlight w:val="none"/>
        </w:rPr>
        <w:sectPr>
          <w:headerReference r:id="rId7" w:type="default"/>
          <w:footerReference r:id="rId8" w:type="default"/>
          <w:pgSz w:w="11907" w:h="16839"/>
          <w:pgMar w:top="1418" w:right="1134" w:bottom="1134" w:left="1418" w:header="1418" w:footer="851" w:gutter="0"/>
          <w:pgNumType w:fmt="upperRoman"/>
          <w:cols w:space="425" w:num="1"/>
          <w:docGrid w:type="lines" w:linePitch="312" w:charSpace="0"/>
        </w:sectPr>
      </w:pPr>
    </w:p>
    <w:bookmarkEnd w:id="2"/>
    <w:p>
      <w:pPr>
        <w:spacing w:before="360" w:after="120" w:line="440" w:lineRule="exact"/>
        <w:jc w:val="center"/>
        <w:rPr>
          <w:rFonts w:ascii="黑体" w:eastAsia="黑体"/>
          <w:color w:val="auto"/>
          <w:sz w:val="28"/>
          <w:szCs w:val="28"/>
          <w:highlight w:val="none"/>
        </w:rPr>
      </w:pPr>
      <w:bookmarkStart w:id="3" w:name="SectionMark4"/>
      <w:r>
        <w:rPr>
          <w:rFonts w:hint="eastAsia" w:ascii="黑体" w:eastAsia="黑体"/>
          <w:color w:val="auto"/>
          <w:sz w:val="28"/>
          <w:szCs w:val="28"/>
          <w:highlight w:val="none"/>
        </w:rPr>
        <w:t>节水型单位评价导则 第5部分：车站</w:t>
      </w:r>
    </w:p>
    <w:p>
      <w:pPr>
        <w:pStyle w:val="2"/>
        <w:spacing w:before="156" w:beforeLines="50" w:after="156" w:afterLines="50" w:line="460" w:lineRule="exact"/>
        <w:rPr>
          <w:rFonts w:ascii="黑体" w:eastAsia="黑体"/>
          <w:b w:val="0"/>
          <w:bCs w:val="0"/>
          <w:color w:val="auto"/>
          <w:kern w:val="0"/>
          <w:sz w:val="24"/>
          <w:szCs w:val="24"/>
          <w:highlight w:val="none"/>
        </w:rPr>
      </w:pPr>
      <w:bookmarkStart w:id="4" w:name="_Toc91371748"/>
      <w:bookmarkStart w:id="5" w:name="_Toc158083342"/>
      <w:r>
        <w:rPr>
          <w:rFonts w:hint="eastAsia" w:ascii="黑体" w:eastAsia="黑体"/>
          <w:b w:val="0"/>
          <w:bCs w:val="0"/>
          <w:color w:val="auto"/>
          <w:kern w:val="0"/>
          <w:sz w:val="24"/>
          <w:szCs w:val="24"/>
          <w:highlight w:val="none"/>
        </w:rPr>
        <w:t>1  范围</w:t>
      </w:r>
      <w:bookmarkEnd w:id="4"/>
      <w:bookmarkEnd w:id="5"/>
    </w:p>
    <w:p>
      <w:pPr>
        <w:spacing w:line="400" w:lineRule="exact"/>
        <w:ind w:firstLine="420" w:firstLineChars="200"/>
        <w:rPr>
          <w:color w:val="auto"/>
          <w:highlight w:val="none"/>
        </w:rPr>
      </w:pPr>
      <w:bookmarkStart w:id="6" w:name="_Toc158083343"/>
      <w:r>
        <w:rPr>
          <w:rFonts w:hint="eastAsia"/>
          <w:color w:val="auto"/>
          <w:highlight w:val="none"/>
        </w:rPr>
        <w:t>本文件规定了节水型车站评价的总体要求、评价指标体系及评分细则、评价方法。</w:t>
      </w:r>
    </w:p>
    <w:p>
      <w:pPr>
        <w:spacing w:line="400" w:lineRule="exact"/>
        <w:ind w:firstLine="420" w:firstLineChars="200"/>
        <w:rPr>
          <w:color w:val="auto"/>
          <w:highlight w:val="none"/>
        </w:rPr>
      </w:pPr>
      <w:r>
        <w:rPr>
          <w:rFonts w:hint="eastAsia"/>
          <w:color w:val="auto"/>
          <w:highlight w:val="none"/>
        </w:rPr>
        <w:t>本标准适用于各类道路客运车站（</w:t>
      </w:r>
      <w:r>
        <w:rPr>
          <w:rFonts w:hint="eastAsia"/>
          <w:color w:val="FF0000"/>
          <w:highlight w:val="none"/>
          <w:lang w:val="en-US" w:eastAsia="zh-CN"/>
        </w:rPr>
        <w:t>不</w:t>
      </w:r>
      <w:r>
        <w:rPr>
          <w:rFonts w:hint="eastAsia"/>
          <w:color w:val="FF0000"/>
          <w:highlight w:val="none"/>
        </w:rPr>
        <w:t>含市内公交车站</w:t>
      </w:r>
      <w:r>
        <w:rPr>
          <w:rFonts w:hint="eastAsia"/>
          <w:color w:val="auto"/>
          <w:highlight w:val="none"/>
        </w:rPr>
        <w:t>）、铁路交通旅客车站</w:t>
      </w:r>
      <w:r>
        <w:rPr>
          <w:rFonts w:hint="eastAsia"/>
          <w:color w:val="FF0000"/>
          <w:highlight w:val="none"/>
          <w:lang w:eastAsia="zh-CN"/>
        </w:rPr>
        <w:t>（</w:t>
      </w:r>
      <w:r>
        <w:rPr>
          <w:rFonts w:hint="eastAsia"/>
          <w:color w:val="FF0000"/>
          <w:highlight w:val="none"/>
          <w:lang w:val="en-US" w:eastAsia="zh-CN"/>
        </w:rPr>
        <w:t>不含地铁站</w:t>
      </w:r>
      <w:r>
        <w:rPr>
          <w:rFonts w:hint="eastAsia"/>
          <w:color w:val="FF0000"/>
          <w:highlight w:val="none"/>
          <w:lang w:eastAsia="zh-CN"/>
        </w:rPr>
        <w:t>）</w:t>
      </w:r>
      <w:r>
        <w:rPr>
          <w:rFonts w:hint="eastAsia"/>
          <w:color w:val="auto"/>
          <w:highlight w:val="none"/>
        </w:rPr>
        <w:t>的节水评价工作，货运站、客货运站等可参照执行。</w:t>
      </w:r>
    </w:p>
    <w:p>
      <w:pPr>
        <w:pStyle w:val="2"/>
        <w:spacing w:before="156" w:beforeLines="50" w:after="156" w:afterLines="50" w:line="460" w:lineRule="exact"/>
        <w:rPr>
          <w:rFonts w:ascii="黑体" w:eastAsia="黑体"/>
          <w:b w:val="0"/>
          <w:bCs w:val="0"/>
          <w:color w:val="auto"/>
          <w:kern w:val="0"/>
          <w:sz w:val="24"/>
          <w:szCs w:val="24"/>
          <w:highlight w:val="none"/>
        </w:rPr>
      </w:pPr>
      <w:bookmarkStart w:id="7" w:name="_Toc91371749"/>
      <w:r>
        <w:rPr>
          <w:rFonts w:hint="eastAsia" w:ascii="黑体" w:eastAsia="黑体"/>
          <w:b w:val="0"/>
          <w:bCs w:val="0"/>
          <w:color w:val="auto"/>
          <w:kern w:val="0"/>
          <w:sz w:val="24"/>
          <w:szCs w:val="24"/>
          <w:highlight w:val="none"/>
        </w:rPr>
        <w:t>2  规范性引用文件</w:t>
      </w:r>
      <w:bookmarkEnd w:id="6"/>
      <w:bookmarkEnd w:id="7"/>
    </w:p>
    <w:p>
      <w:pPr>
        <w:spacing w:line="400" w:lineRule="exact"/>
        <w:ind w:firstLine="420" w:firstLineChars="200"/>
        <w:rPr>
          <w:color w:val="auto"/>
          <w:highlight w:val="none"/>
        </w:rPr>
      </w:pPr>
      <w:r>
        <w:rPr>
          <w:rFonts w:hint="eastAsia"/>
          <w:color w:val="auto"/>
          <w:szCs w:val="21"/>
          <w:highlight w:val="none"/>
        </w:rPr>
        <w:t>下列文件中</w:t>
      </w:r>
      <w:r>
        <w:rPr>
          <w:color w:val="auto"/>
          <w:szCs w:val="21"/>
          <w:highlight w:val="none"/>
        </w:rPr>
        <w:t>的内容通过</w:t>
      </w:r>
      <w:r>
        <w:rPr>
          <w:rFonts w:hint="eastAsia"/>
          <w:color w:val="auto"/>
          <w:szCs w:val="21"/>
          <w:highlight w:val="none"/>
        </w:rPr>
        <w:t>文中</w:t>
      </w:r>
      <w:r>
        <w:rPr>
          <w:color w:val="auto"/>
          <w:szCs w:val="21"/>
          <w:highlight w:val="none"/>
        </w:rPr>
        <w:t>的</w:t>
      </w:r>
      <w:r>
        <w:rPr>
          <w:rFonts w:hint="eastAsia"/>
          <w:color w:val="auto"/>
          <w:szCs w:val="21"/>
          <w:highlight w:val="none"/>
        </w:rPr>
        <w:t>规范性</w:t>
      </w:r>
      <w:r>
        <w:rPr>
          <w:color w:val="auto"/>
          <w:szCs w:val="21"/>
          <w:highlight w:val="none"/>
        </w:rPr>
        <w:t>引用而构成本文件必不可少的条款。其中</w:t>
      </w:r>
      <w:r>
        <w:rPr>
          <w:rFonts w:hint="eastAsia"/>
          <w:color w:val="auto"/>
          <w:szCs w:val="21"/>
          <w:highlight w:val="none"/>
        </w:rPr>
        <w:t>，注日期的引用文件，仅该日期</w:t>
      </w:r>
      <w:r>
        <w:rPr>
          <w:color w:val="auto"/>
          <w:szCs w:val="21"/>
          <w:highlight w:val="none"/>
        </w:rPr>
        <w:t>对应的版本适用于本文件；</w:t>
      </w:r>
      <w:r>
        <w:rPr>
          <w:rFonts w:hint="eastAsia"/>
          <w:color w:val="auto"/>
          <w:szCs w:val="21"/>
          <w:highlight w:val="none"/>
        </w:rPr>
        <w:t>不</w:t>
      </w:r>
      <w:r>
        <w:rPr>
          <w:color w:val="auto"/>
          <w:szCs w:val="21"/>
          <w:highlight w:val="none"/>
        </w:rPr>
        <w:t>注</w:t>
      </w:r>
      <w:r>
        <w:rPr>
          <w:rFonts w:hint="eastAsia"/>
          <w:color w:val="auto"/>
          <w:szCs w:val="21"/>
          <w:highlight w:val="none"/>
        </w:rPr>
        <w:t>日期</w:t>
      </w:r>
      <w:r>
        <w:rPr>
          <w:color w:val="auto"/>
          <w:szCs w:val="21"/>
          <w:highlight w:val="none"/>
        </w:rPr>
        <w:t>的引用文件，其最新版本</w:t>
      </w:r>
      <w:r>
        <w:rPr>
          <w:rFonts w:hint="eastAsia"/>
          <w:color w:val="auto"/>
          <w:szCs w:val="21"/>
          <w:highlight w:val="none"/>
        </w:rPr>
        <w:t>（包括所有的修改单）适用于本文件。</w:t>
      </w:r>
    </w:p>
    <w:p>
      <w:pPr>
        <w:spacing w:line="400" w:lineRule="exact"/>
        <w:ind w:firstLine="420" w:firstLineChars="200"/>
        <w:rPr>
          <w:rFonts w:ascii="宋体" w:hAnsi="宋体" w:cs="宋体"/>
          <w:color w:val="auto"/>
          <w:highlight w:val="none"/>
        </w:rPr>
      </w:pPr>
      <w:bookmarkStart w:id="8" w:name="_Hlk122887783"/>
      <w:r>
        <w:rPr>
          <w:rFonts w:hint="eastAsia" w:ascii="宋体" w:hAnsi="宋体" w:cs="宋体"/>
          <w:color w:val="auto"/>
          <w:highlight w:val="none"/>
        </w:rPr>
        <w:t>GB/T 8226  道路运输术语</w:t>
      </w:r>
    </w:p>
    <w:p>
      <w:pPr>
        <w:spacing w:line="400" w:lineRule="exact"/>
        <w:ind w:firstLine="420" w:firstLineChars="2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GB/T 12452</w:t>
      </w:r>
      <w:r>
        <w:rPr>
          <w:rFonts w:asciiTheme="minorEastAsia" w:hAnsiTheme="minorEastAsia" w:eastAsiaTheme="minorEastAsia"/>
          <w:color w:val="auto"/>
          <w:highlight w:val="none"/>
        </w:rPr>
        <w:t xml:space="preserve">  </w:t>
      </w:r>
      <w:r>
        <w:rPr>
          <w:rFonts w:hint="eastAsia" w:asciiTheme="minorEastAsia" w:hAnsiTheme="minorEastAsia" w:eastAsiaTheme="minorEastAsia"/>
          <w:color w:val="auto"/>
          <w:highlight w:val="none"/>
        </w:rPr>
        <w:t>水平衡</w:t>
      </w:r>
      <w:r>
        <w:rPr>
          <w:rFonts w:asciiTheme="minorEastAsia" w:hAnsiTheme="minorEastAsia" w:eastAsiaTheme="minorEastAsia"/>
          <w:color w:val="auto"/>
          <w:highlight w:val="none"/>
        </w:rPr>
        <w:t>测试通则</w:t>
      </w:r>
    </w:p>
    <w:p>
      <w:pPr>
        <w:spacing w:line="400" w:lineRule="exact"/>
        <w:ind w:firstLine="420" w:firstLineChars="2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G</w:t>
      </w:r>
      <w:r>
        <w:rPr>
          <w:rFonts w:asciiTheme="minorEastAsia" w:hAnsiTheme="minorEastAsia" w:eastAsiaTheme="minorEastAsia"/>
          <w:color w:val="auto"/>
          <w:highlight w:val="none"/>
        </w:rPr>
        <w:t>B/T 21534  节约用水</w:t>
      </w:r>
      <w:r>
        <w:rPr>
          <w:rFonts w:hint="eastAsia" w:asciiTheme="minorEastAsia" w:hAnsiTheme="minorEastAsia" w:eastAsiaTheme="minorEastAsia"/>
          <w:color w:val="auto"/>
          <w:highlight w:val="none"/>
        </w:rPr>
        <w:t xml:space="preserve"> </w:t>
      </w:r>
      <w:r>
        <w:rPr>
          <w:rFonts w:asciiTheme="minorEastAsia" w:hAnsiTheme="minorEastAsia" w:eastAsiaTheme="minorEastAsia"/>
          <w:color w:val="auto"/>
          <w:highlight w:val="none"/>
        </w:rPr>
        <w:t>术语</w:t>
      </w:r>
    </w:p>
    <w:p>
      <w:pPr>
        <w:spacing w:line="400" w:lineRule="exact"/>
        <w:ind w:firstLine="420" w:firstLineChars="2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GB</w:t>
      </w:r>
      <w:r>
        <w:rPr>
          <w:rFonts w:asciiTheme="minorEastAsia" w:hAnsiTheme="minorEastAsia" w:eastAsiaTheme="minorEastAsia"/>
          <w:color w:val="auto"/>
          <w:highlight w:val="none"/>
        </w:rPr>
        <w:t xml:space="preserve">/T </w:t>
      </w:r>
      <w:r>
        <w:rPr>
          <w:rFonts w:hint="eastAsia" w:asciiTheme="minorEastAsia" w:hAnsiTheme="minorEastAsia" w:eastAsiaTheme="minorEastAsia"/>
          <w:color w:val="auto"/>
          <w:highlight w:val="none"/>
        </w:rPr>
        <w:t>24789  用水单位水计量器具配备和管理通则</w:t>
      </w:r>
    </w:p>
    <w:p>
      <w:pPr>
        <w:spacing w:line="400" w:lineRule="exact"/>
        <w:ind w:firstLine="420" w:firstLineChars="2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GB/T 31436  节水型卫生洁具</w:t>
      </w:r>
    </w:p>
    <w:p>
      <w:pPr>
        <w:spacing w:line="400" w:lineRule="exact"/>
        <w:ind w:firstLine="420" w:firstLineChars="200"/>
        <w:rPr>
          <w:rFonts w:ascii="宋体" w:hAnsi="宋体" w:cs="宋体"/>
          <w:color w:val="auto"/>
          <w:highlight w:val="none"/>
        </w:rPr>
      </w:pPr>
      <w:r>
        <w:rPr>
          <w:rFonts w:hint="eastAsia" w:ascii="宋体" w:hAnsi="宋体" w:cs="宋体"/>
          <w:color w:val="auto"/>
          <w:highlight w:val="none"/>
        </w:rPr>
        <w:t>GB 50091  铁路车站及枢纽设计规范</w:t>
      </w:r>
    </w:p>
    <w:p>
      <w:pPr>
        <w:spacing w:line="400" w:lineRule="exact"/>
        <w:ind w:firstLine="420" w:firstLineChars="200"/>
        <w:rPr>
          <w:rFonts w:ascii="宋体" w:hAnsi="宋体" w:cs="宋体"/>
          <w:color w:val="auto"/>
          <w:highlight w:val="none"/>
        </w:rPr>
      </w:pPr>
      <w:r>
        <w:rPr>
          <w:rFonts w:hint="eastAsia" w:ascii="宋体" w:hAnsi="宋体" w:cs="宋体"/>
          <w:color w:val="auto"/>
          <w:highlight w:val="none"/>
        </w:rPr>
        <w:t>GB 50226  铁路旅客车站建筑设计规范</w:t>
      </w:r>
    </w:p>
    <w:p>
      <w:pPr>
        <w:spacing w:line="400" w:lineRule="exact"/>
        <w:ind w:firstLine="420" w:firstLineChars="200"/>
        <w:rPr>
          <w:color w:val="auto"/>
          <w:highlight w:val="none"/>
        </w:rPr>
      </w:pPr>
      <w:r>
        <w:rPr>
          <w:rFonts w:hint="eastAsia" w:ascii="宋体" w:hAnsi="宋体" w:cs="宋体"/>
          <w:color w:val="auto"/>
          <w:highlight w:val="none"/>
        </w:rPr>
        <w:t>GB/T 50262  铁</w:t>
      </w:r>
      <w:r>
        <w:rPr>
          <w:color w:val="auto"/>
          <w:highlight w:val="none"/>
        </w:rPr>
        <w:t>路工程基本术语标准</w:t>
      </w:r>
    </w:p>
    <w:p>
      <w:pPr>
        <w:spacing w:line="400" w:lineRule="exact"/>
        <w:ind w:firstLine="420" w:firstLineChars="2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G</w:t>
      </w:r>
      <w:r>
        <w:rPr>
          <w:rFonts w:asciiTheme="minorEastAsia" w:hAnsiTheme="minorEastAsia" w:eastAsiaTheme="minorEastAsia"/>
          <w:color w:val="auto"/>
          <w:highlight w:val="none"/>
        </w:rPr>
        <w:t>B 50400  建筑与小区雨水控制及利用工程技术规范</w:t>
      </w:r>
    </w:p>
    <w:bookmarkEnd w:id="8"/>
    <w:p>
      <w:pPr>
        <w:spacing w:line="400" w:lineRule="exact"/>
        <w:ind w:firstLine="420" w:firstLineChars="2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DB13/T 5450.2  生活与服务业用水定额 第2部分：服务业</w:t>
      </w:r>
    </w:p>
    <w:p>
      <w:pPr>
        <w:spacing w:line="400" w:lineRule="exact"/>
        <w:ind w:firstLine="420" w:firstLineChars="2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DB13/T 5652.1  节水型单位评价导则 第1部分：通则</w:t>
      </w:r>
    </w:p>
    <w:p>
      <w:pPr>
        <w:pStyle w:val="2"/>
        <w:spacing w:before="156" w:beforeLines="50" w:after="156" w:afterLines="50" w:line="460" w:lineRule="exact"/>
        <w:rPr>
          <w:rFonts w:ascii="黑体" w:eastAsia="黑体"/>
          <w:b w:val="0"/>
          <w:bCs w:val="0"/>
          <w:color w:val="auto"/>
          <w:kern w:val="0"/>
          <w:sz w:val="24"/>
          <w:szCs w:val="24"/>
          <w:highlight w:val="none"/>
        </w:rPr>
      </w:pPr>
      <w:bookmarkStart w:id="9" w:name="_Toc91371750"/>
      <w:r>
        <w:rPr>
          <w:rFonts w:ascii="黑体" w:eastAsia="黑体"/>
          <w:b w:val="0"/>
          <w:bCs w:val="0"/>
          <w:color w:val="auto"/>
          <w:kern w:val="0"/>
          <w:sz w:val="24"/>
          <w:szCs w:val="24"/>
          <w:highlight w:val="none"/>
        </w:rPr>
        <w:t>3  术语和定义</w:t>
      </w:r>
      <w:bookmarkEnd w:id="9"/>
    </w:p>
    <w:p>
      <w:pPr>
        <w:autoSpaceDE w:val="0"/>
        <w:autoSpaceDN w:val="0"/>
        <w:adjustRightInd w:val="0"/>
        <w:spacing w:line="400" w:lineRule="exact"/>
        <w:ind w:firstLine="420" w:firstLineChars="200"/>
        <w:jc w:val="left"/>
        <w:rPr>
          <w:color w:val="auto"/>
          <w:highlight w:val="none"/>
        </w:rPr>
      </w:pPr>
      <w:r>
        <w:rPr>
          <w:rFonts w:hint="eastAsia" w:asciiTheme="minorEastAsia" w:hAnsiTheme="minorEastAsia" w:eastAsiaTheme="minorEastAsia" w:cstheme="minorEastAsia"/>
          <w:color w:val="auto"/>
          <w:highlight w:val="none"/>
        </w:rPr>
        <w:t>GB/T 8226、GB/T 21534、GB 50091、GB/T 50262、DB13/T 5652.1</w:t>
      </w:r>
      <w:r>
        <w:rPr>
          <w:rFonts w:hint="eastAsia"/>
          <w:color w:val="auto"/>
          <w:highlight w:val="none"/>
        </w:rPr>
        <w:t>界定的以及下列术语和定义适用于本文件。</w:t>
      </w:r>
    </w:p>
    <w:p>
      <w:pPr>
        <w:autoSpaceDE w:val="0"/>
        <w:autoSpaceDN w:val="0"/>
        <w:adjustRightInd w:val="0"/>
        <w:spacing w:line="400" w:lineRule="exact"/>
        <w:jc w:val="left"/>
        <w:rPr>
          <w:rFonts w:ascii="黑体" w:eastAsia="黑体"/>
          <w:color w:val="auto"/>
          <w:highlight w:val="none"/>
        </w:rPr>
      </w:pPr>
      <w:r>
        <w:rPr>
          <w:rFonts w:ascii="黑体" w:eastAsia="黑体"/>
          <w:color w:val="auto"/>
          <w:highlight w:val="none"/>
        </w:rPr>
        <w:t>3.1</w:t>
      </w:r>
    </w:p>
    <w:p>
      <w:pPr>
        <w:widowControl/>
        <w:spacing w:line="400" w:lineRule="exact"/>
        <w:ind w:right="165" w:firstLine="413" w:firstLineChars="196"/>
        <w:jc w:val="left"/>
        <w:rPr>
          <w:rFonts w:ascii="Verdana" w:hAnsi="Verdana" w:cs="宋体"/>
          <w:b/>
          <w:color w:val="auto"/>
          <w:kern w:val="0"/>
          <w:sz w:val="28"/>
          <w:szCs w:val="28"/>
          <w:highlight w:val="none"/>
        </w:rPr>
      </w:pPr>
      <w:r>
        <w:rPr>
          <w:rFonts w:hint="eastAsia"/>
          <w:b/>
          <w:color w:val="auto"/>
          <w:highlight w:val="none"/>
        </w:rPr>
        <w:t xml:space="preserve">车站 </w:t>
      </w:r>
      <w:r>
        <w:rPr>
          <w:b/>
          <w:color w:val="auto"/>
          <w:highlight w:val="none"/>
        </w:rPr>
        <w:t xml:space="preserve"> </w:t>
      </w:r>
      <w:r>
        <w:rPr>
          <w:rFonts w:hint="eastAsia"/>
          <w:b/>
          <w:color w:val="auto"/>
          <w:highlight w:val="none"/>
        </w:rPr>
        <w:t>station</w:t>
      </w:r>
    </w:p>
    <w:p>
      <w:pPr>
        <w:autoSpaceDE w:val="0"/>
        <w:autoSpaceDN w:val="0"/>
        <w:adjustRightInd w:val="0"/>
        <w:spacing w:line="400" w:lineRule="exact"/>
        <w:ind w:firstLine="420" w:firstLineChars="200"/>
        <w:jc w:val="left"/>
        <w:rPr>
          <w:color w:val="auto"/>
          <w:highlight w:val="none"/>
        </w:rPr>
      </w:pPr>
      <w:r>
        <w:rPr>
          <w:color w:val="auto"/>
          <w:highlight w:val="none"/>
        </w:rPr>
        <w:t>承担旅客乘降、</w:t>
      </w:r>
      <w:r>
        <w:rPr>
          <w:color w:val="auto"/>
          <w:highlight w:val="none"/>
        </w:rPr>
        <w:fldChar w:fldCharType="begin"/>
      </w:r>
      <w:r>
        <w:rPr>
          <w:color w:val="auto"/>
          <w:highlight w:val="none"/>
        </w:rPr>
        <w:instrText xml:space="preserve"> HYPERLINK "https://baike.baidu.com/item/%E8%B4%A7%E7%89%A9?fromModule=lemma_inlink" \t "_blank" </w:instrText>
      </w:r>
      <w:r>
        <w:rPr>
          <w:color w:val="auto"/>
          <w:highlight w:val="none"/>
        </w:rPr>
        <w:fldChar w:fldCharType="separate"/>
      </w:r>
      <w:r>
        <w:rPr>
          <w:color w:val="auto"/>
          <w:highlight w:val="none"/>
        </w:rPr>
        <w:t>货物</w:t>
      </w:r>
      <w:r>
        <w:rPr>
          <w:color w:val="auto"/>
          <w:highlight w:val="none"/>
        </w:rPr>
        <w:fldChar w:fldCharType="end"/>
      </w:r>
      <w:r>
        <w:rPr>
          <w:color w:val="auto"/>
          <w:highlight w:val="none"/>
        </w:rPr>
        <w:t>承运、</w:t>
      </w:r>
      <w:r>
        <w:rPr>
          <w:color w:val="auto"/>
          <w:highlight w:val="none"/>
        </w:rPr>
        <w:fldChar w:fldCharType="begin"/>
      </w:r>
      <w:r>
        <w:rPr>
          <w:color w:val="auto"/>
          <w:highlight w:val="none"/>
        </w:rPr>
        <w:instrText xml:space="preserve"> HYPERLINK "https://baike.baidu.com/item/%E5%88%97%E8%BD%A6?fromModule=lemma_inlink" \t "_blank" </w:instrText>
      </w:r>
      <w:r>
        <w:rPr>
          <w:color w:val="auto"/>
          <w:highlight w:val="none"/>
        </w:rPr>
        <w:fldChar w:fldCharType="separate"/>
      </w:r>
      <w:r>
        <w:rPr>
          <w:color w:val="auto"/>
          <w:highlight w:val="none"/>
        </w:rPr>
        <w:t>列车</w:t>
      </w:r>
      <w:r>
        <w:rPr>
          <w:color w:val="auto"/>
          <w:highlight w:val="none"/>
        </w:rPr>
        <w:fldChar w:fldCharType="end"/>
      </w:r>
      <w:r>
        <w:rPr>
          <w:color w:val="auto"/>
          <w:highlight w:val="none"/>
        </w:rPr>
        <w:t>到发及解编、机车和乘务组的整备和换乘、列检和</w:t>
      </w:r>
      <w:r>
        <w:rPr>
          <w:color w:val="auto"/>
          <w:highlight w:val="none"/>
        </w:rPr>
        <w:fldChar w:fldCharType="begin"/>
      </w:r>
      <w:r>
        <w:rPr>
          <w:color w:val="auto"/>
          <w:highlight w:val="none"/>
        </w:rPr>
        <w:instrText xml:space="preserve"> HYPERLINK "https://baike.baidu.com/item/%E8%B4%A7%E7%89%A9?fromModule=lemma_inlink" \t "_blank" </w:instrText>
      </w:r>
      <w:r>
        <w:rPr>
          <w:color w:val="auto"/>
          <w:highlight w:val="none"/>
        </w:rPr>
        <w:fldChar w:fldCharType="separate"/>
      </w:r>
      <w:r>
        <w:rPr>
          <w:color w:val="auto"/>
          <w:highlight w:val="none"/>
        </w:rPr>
        <w:t>货物</w:t>
      </w:r>
      <w:r>
        <w:rPr>
          <w:color w:val="auto"/>
          <w:highlight w:val="none"/>
        </w:rPr>
        <w:fldChar w:fldCharType="end"/>
      </w:r>
      <w:r>
        <w:rPr>
          <w:color w:val="auto"/>
          <w:highlight w:val="none"/>
        </w:rPr>
        <w:t>检查等相关服务的单位</w:t>
      </w:r>
      <w:r>
        <w:rPr>
          <w:rFonts w:hint="eastAsia"/>
          <w:color w:val="auto"/>
          <w:highlight w:val="none"/>
        </w:rPr>
        <w:t>。</w:t>
      </w:r>
    </w:p>
    <w:p>
      <w:pPr>
        <w:ind w:firstLine="361" w:firstLineChars="200"/>
        <w:rPr>
          <w:color w:val="auto"/>
          <w:highlight w:val="none"/>
        </w:rPr>
      </w:pPr>
      <w:r>
        <w:rPr>
          <w:rFonts w:hint="eastAsia"/>
          <w:b/>
          <w:bCs/>
          <w:color w:val="auto"/>
          <w:sz w:val="18"/>
          <w:szCs w:val="18"/>
          <w:highlight w:val="none"/>
        </w:rPr>
        <w:t>注</w:t>
      </w:r>
      <w:r>
        <w:rPr>
          <w:rFonts w:hint="eastAsia"/>
          <w:color w:val="auto"/>
          <w:sz w:val="18"/>
          <w:highlight w:val="none"/>
        </w:rPr>
        <w:t>:本标准涉及的各类道路、铁路交通车站主要指汽车客运站</w:t>
      </w:r>
      <w:r>
        <w:rPr>
          <w:rFonts w:hint="eastAsia"/>
          <w:color w:val="FF0000"/>
          <w:sz w:val="18"/>
          <w:highlight w:val="none"/>
        </w:rPr>
        <w:t>（</w:t>
      </w:r>
      <w:r>
        <w:rPr>
          <w:rFonts w:hint="eastAsia"/>
          <w:color w:val="FF0000"/>
          <w:sz w:val="18"/>
          <w:highlight w:val="none"/>
          <w:lang w:val="en-US" w:eastAsia="zh-CN"/>
        </w:rPr>
        <w:t>不</w:t>
      </w:r>
      <w:r>
        <w:rPr>
          <w:rFonts w:hint="eastAsia"/>
          <w:color w:val="FF0000"/>
          <w:sz w:val="18"/>
          <w:highlight w:val="none"/>
        </w:rPr>
        <w:t>含市内公交车站）</w:t>
      </w:r>
      <w:r>
        <w:rPr>
          <w:rFonts w:hint="eastAsia"/>
          <w:color w:val="auto"/>
          <w:sz w:val="18"/>
          <w:highlight w:val="none"/>
        </w:rPr>
        <w:t>和铁路旅客车站</w:t>
      </w:r>
      <w:r>
        <w:rPr>
          <w:rFonts w:hint="eastAsia"/>
          <w:color w:val="FF0000"/>
          <w:sz w:val="18"/>
          <w:highlight w:val="none"/>
        </w:rPr>
        <w:t>（</w:t>
      </w:r>
      <w:r>
        <w:rPr>
          <w:rFonts w:hint="eastAsia"/>
          <w:color w:val="FF0000"/>
          <w:sz w:val="18"/>
          <w:highlight w:val="none"/>
          <w:lang w:val="en-US" w:eastAsia="zh-CN"/>
        </w:rPr>
        <w:t>不</w:t>
      </w:r>
      <w:r>
        <w:rPr>
          <w:rFonts w:hint="eastAsia"/>
          <w:color w:val="FF0000"/>
          <w:sz w:val="18"/>
          <w:highlight w:val="none"/>
        </w:rPr>
        <w:t>含</w:t>
      </w:r>
      <w:r>
        <w:rPr>
          <w:rFonts w:hint="eastAsia"/>
          <w:color w:val="FF0000"/>
          <w:sz w:val="18"/>
          <w:highlight w:val="none"/>
          <w:lang w:val="en-US" w:eastAsia="zh-CN"/>
        </w:rPr>
        <w:t>地铁站</w:t>
      </w:r>
      <w:r>
        <w:rPr>
          <w:rFonts w:hint="eastAsia"/>
          <w:color w:val="FF0000"/>
          <w:sz w:val="18"/>
          <w:highlight w:val="none"/>
        </w:rPr>
        <w:t>）</w:t>
      </w:r>
      <w:r>
        <w:rPr>
          <w:rFonts w:hint="eastAsia"/>
          <w:color w:val="auto"/>
          <w:sz w:val="18"/>
          <w:highlight w:val="none"/>
        </w:rPr>
        <w:t>。</w:t>
      </w:r>
    </w:p>
    <w:p>
      <w:pPr>
        <w:autoSpaceDE w:val="0"/>
        <w:autoSpaceDN w:val="0"/>
        <w:adjustRightInd w:val="0"/>
        <w:spacing w:line="400" w:lineRule="exact"/>
        <w:jc w:val="left"/>
        <w:rPr>
          <w:rFonts w:ascii="黑体" w:eastAsia="黑体"/>
          <w:color w:val="auto"/>
          <w:highlight w:val="none"/>
        </w:rPr>
      </w:pPr>
      <w:r>
        <w:rPr>
          <w:rFonts w:ascii="黑体" w:eastAsia="黑体"/>
          <w:color w:val="auto"/>
          <w:highlight w:val="none"/>
        </w:rPr>
        <w:t>3.</w:t>
      </w:r>
      <w:r>
        <w:rPr>
          <w:rFonts w:hint="eastAsia" w:ascii="黑体" w:eastAsia="黑体"/>
          <w:color w:val="auto"/>
          <w:highlight w:val="none"/>
        </w:rPr>
        <w:t>2</w:t>
      </w:r>
    </w:p>
    <w:p>
      <w:pPr>
        <w:widowControl/>
        <w:spacing w:line="400" w:lineRule="exact"/>
        <w:ind w:right="165" w:firstLine="413" w:firstLineChars="196"/>
        <w:jc w:val="left"/>
        <w:rPr>
          <w:rFonts w:ascii="Verdana" w:hAnsi="Verdana" w:cs="宋体"/>
          <w:b/>
          <w:color w:val="auto"/>
          <w:kern w:val="0"/>
          <w:sz w:val="28"/>
          <w:szCs w:val="28"/>
          <w:highlight w:val="none"/>
        </w:rPr>
      </w:pPr>
      <w:r>
        <w:rPr>
          <w:rFonts w:hint="eastAsia"/>
          <w:b/>
          <w:color w:val="auto"/>
          <w:highlight w:val="none"/>
        </w:rPr>
        <w:t xml:space="preserve">汽车客运车站 </w:t>
      </w:r>
      <w:r>
        <w:rPr>
          <w:b/>
          <w:color w:val="auto"/>
          <w:highlight w:val="none"/>
        </w:rPr>
        <w:t xml:space="preserve"> </w:t>
      </w:r>
      <w:r>
        <w:rPr>
          <w:rFonts w:hint="eastAsia"/>
          <w:b/>
          <w:color w:val="auto"/>
          <w:highlight w:val="none"/>
        </w:rPr>
        <w:t>bus station</w:t>
      </w:r>
    </w:p>
    <w:p>
      <w:pPr>
        <w:autoSpaceDE w:val="0"/>
        <w:autoSpaceDN w:val="0"/>
        <w:adjustRightInd w:val="0"/>
        <w:spacing w:line="400" w:lineRule="exact"/>
        <w:ind w:firstLine="420" w:firstLineChars="200"/>
        <w:jc w:val="left"/>
        <w:rPr>
          <w:color w:val="auto"/>
          <w:highlight w:val="none"/>
        </w:rPr>
      </w:pPr>
      <w:r>
        <w:rPr>
          <w:rFonts w:hint="eastAsia"/>
          <w:color w:val="auto"/>
          <w:highlight w:val="none"/>
        </w:rPr>
        <w:t>接待旅客，办理客运业务，组织旅客运输，为旅客运输提供站务服务的场所。</w:t>
      </w:r>
    </w:p>
    <w:p>
      <w:pPr>
        <w:autoSpaceDE w:val="0"/>
        <w:autoSpaceDN w:val="0"/>
        <w:adjustRightInd w:val="0"/>
        <w:spacing w:line="400" w:lineRule="exact"/>
        <w:jc w:val="left"/>
        <w:rPr>
          <w:rFonts w:ascii="黑体" w:eastAsia="黑体"/>
          <w:color w:val="auto"/>
          <w:highlight w:val="none"/>
        </w:rPr>
      </w:pPr>
      <w:r>
        <w:rPr>
          <w:rFonts w:ascii="黑体" w:eastAsia="黑体"/>
          <w:color w:val="auto"/>
          <w:highlight w:val="none"/>
        </w:rPr>
        <w:t>3.</w:t>
      </w:r>
      <w:r>
        <w:rPr>
          <w:rFonts w:hint="eastAsia" w:ascii="黑体" w:eastAsia="黑体"/>
          <w:color w:val="auto"/>
          <w:highlight w:val="none"/>
        </w:rPr>
        <w:t>3</w:t>
      </w:r>
    </w:p>
    <w:p>
      <w:pPr>
        <w:widowControl/>
        <w:spacing w:line="400" w:lineRule="exact"/>
        <w:ind w:right="165" w:firstLine="413" w:firstLineChars="196"/>
        <w:jc w:val="left"/>
        <w:rPr>
          <w:rFonts w:ascii="Verdana" w:hAnsi="Verdana" w:cs="宋体"/>
          <w:b/>
          <w:color w:val="auto"/>
          <w:kern w:val="0"/>
          <w:sz w:val="28"/>
          <w:szCs w:val="28"/>
          <w:highlight w:val="none"/>
        </w:rPr>
      </w:pPr>
      <w:r>
        <w:rPr>
          <w:rFonts w:hint="eastAsia"/>
          <w:b/>
          <w:color w:val="auto"/>
          <w:highlight w:val="none"/>
        </w:rPr>
        <w:t xml:space="preserve">铁路旅客车站 </w:t>
      </w:r>
      <w:r>
        <w:rPr>
          <w:b/>
          <w:color w:val="auto"/>
          <w:highlight w:val="none"/>
        </w:rPr>
        <w:t xml:space="preserve"> </w:t>
      </w:r>
      <w:r>
        <w:rPr>
          <w:rFonts w:hint="eastAsia"/>
          <w:b/>
          <w:color w:val="auto"/>
          <w:highlight w:val="none"/>
        </w:rPr>
        <w:t>train station</w:t>
      </w:r>
    </w:p>
    <w:p>
      <w:pPr>
        <w:autoSpaceDE w:val="0"/>
        <w:autoSpaceDN w:val="0"/>
        <w:adjustRightInd w:val="0"/>
        <w:spacing w:line="400" w:lineRule="exact"/>
        <w:ind w:firstLine="420" w:firstLineChars="200"/>
        <w:jc w:val="left"/>
        <w:rPr>
          <w:color w:val="auto"/>
          <w:highlight w:val="none"/>
        </w:rPr>
      </w:pPr>
      <w:r>
        <w:rPr>
          <w:rFonts w:hint="eastAsia"/>
          <w:color w:val="auto"/>
          <w:highlight w:val="none"/>
        </w:rPr>
        <w:t>为旅客办理客运业务，设有旅客乘降设施，并有车站广场、站房、站场客运建筑三部分组成整体的车站。</w:t>
      </w:r>
    </w:p>
    <w:p>
      <w:pPr>
        <w:pStyle w:val="2"/>
        <w:spacing w:before="156" w:beforeLines="50" w:after="156" w:afterLines="50" w:line="460" w:lineRule="exact"/>
        <w:rPr>
          <w:rFonts w:ascii="黑体" w:eastAsia="黑体"/>
          <w:b w:val="0"/>
          <w:bCs w:val="0"/>
          <w:color w:val="auto"/>
          <w:kern w:val="0"/>
          <w:sz w:val="24"/>
          <w:szCs w:val="24"/>
          <w:highlight w:val="none"/>
        </w:rPr>
      </w:pPr>
      <w:bookmarkStart w:id="10" w:name="_Toc109900069"/>
      <w:bookmarkStart w:id="11" w:name="_Toc91371751"/>
      <w:r>
        <w:rPr>
          <w:rFonts w:ascii="黑体" w:eastAsia="黑体"/>
          <w:b w:val="0"/>
          <w:bCs w:val="0"/>
          <w:color w:val="auto"/>
          <w:kern w:val="0"/>
          <w:sz w:val="24"/>
          <w:szCs w:val="24"/>
          <w:highlight w:val="none"/>
        </w:rPr>
        <w:t>4  总体要求</w:t>
      </w:r>
      <w:bookmarkEnd w:id="10"/>
    </w:p>
    <w:p>
      <w:pPr>
        <w:widowControl/>
        <w:jc w:val="left"/>
        <w:outlineLvl w:val="1"/>
        <w:rPr>
          <w:color w:val="auto"/>
          <w:highlight w:val="none"/>
        </w:rPr>
      </w:pPr>
      <w:r>
        <w:rPr>
          <w:rFonts w:hint="eastAsia" w:ascii="黑体" w:eastAsia="黑体"/>
          <w:b/>
          <w:bCs/>
          <w:color w:val="auto"/>
          <w:highlight w:val="none"/>
        </w:rPr>
        <w:t xml:space="preserve">4.1 </w:t>
      </w:r>
      <w:r>
        <w:rPr>
          <w:rFonts w:hint="eastAsia" w:ascii="黑体" w:eastAsia="黑体"/>
          <w:color w:val="auto"/>
          <w:highlight w:val="none"/>
        </w:rPr>
        <w:t xml:space="preserve"> </w:t>
      </w:r>
      <w:r>
        <w:rPr>
          <w:rFonts w:hint="eastAsia" w:ascii="宋体" w:hAnsi="宋体" w:cs="宋体"/>
          <w:color w:val="auto"/>
          <w:kern w:val="0"/>
          <w:szCs w:val="21"/>
          <w:highlight w:val="none"/>
          <w:lang w:bidi="ar"/>
        </w:rPr>
        <w:t>应符合</w:t>
      </w:r>
      <w:r>
        <w:rPr>
          <w:color w:val="auto"/>
          <w:kern w:val="0"/>
          <w:szCs w:val="21"/>
          <w:highlight w:val="none"/>
          <w:lang w:bidi="ar"/>
        </w:rPr>
        <w:t xml:space="preserve"> DB13/T </w:t>
      </w:r>
      <w:r>
        <w:rPr>
          <w:rFonts w:hint="eastAsia"/>
          <w:color w:val="auto"/>
          <w:kern w:val="0"/>
          <w:szCs w:val="21"/>
          <w:highlight w:val="none"/>
          <w:lang w:bidi="ar"/>
        </w:rPr>
        <w:t>5652.</w:t>
      </w:r>
      <w:r>
        <w:rPr>
          <w:color w:val="auto"/>
          <w:kern w:val="0"/>
          <w:szCs w:val="21"/>
          <w:highlight w:val="none"/>
          <w:lang w:bidi="ar"/>
        </w:rPr>
        <w:t xml:space="preserve">1 </w:t>
      </w:r>
      <w:r>
        <w:rPr>
          <w:rFonts w:hint="eastAsia" w:ascii="宋体" w:hAnsi="宋体" w:cs="宋体"/>
          <w:color w:val="auto"/>
          <w:kern w:val="0"/>
          <w:szCs w:val="21"/>
          <w:highlight w:val="none"/>
          <w:lang w:bidi="ar"/>
        </w:rPr>
        <w:t>中的总体要求</w:t>
      </w:r>
      <w:r>
        <w:rPr>
          <w:rFonts w:hint="eastAsia"/>
          <w:color w:val="auto"/>
          <w:highlight w:val="none"/>
        </w:rPr>
        <w:t>。</w:t>
      </w:r>
    </w:p>
    <w:p>
      <w:pPr>
        <w:spacing w:line="400" w:lineRule="exact"/>
        <w:outlineLvl w:val="1"/>
        <w:rPr>
          <w:color w:val="auto"/>
          <w:highlight w:val="none"/>
        </w:rPr>
      </w:pPr>
      <w:r>
        <w:rPr>
          <w:rFonts w:hint="eastAsia" w:ascii="黑体" w:eastAsia="黑体"/>
          <w:b/>
          <w:bCs/>
          <w:color w:val="auto"/>
          <w:highlight w:val="none"/>
        </w:rPr>
        <w:t>4.</w:t>
      </w:r>
      <w:r>
        <w:rPr>
          <w:rFonts w:ascii="黑体" w:eastAsia="黑体"/>
          <w:b/>
          <w:bCs/>
          <w:color w:val="auto"/>
          <w:highlight w:val="none"/>
        </w:rPr>
        <w:t>2</w:t>
      </w:r>
      <w:r>
        <w:rPr>
          <w:rFonts w:hint="eastAsia" w:ascii="黑体" w:eastAsia="黑体"/>
          <w:b/>
          <w:bCs/>
          <w:color w:val="auto"/>
          <w:highlight w:val="none"/>
        </w:rPr>
        <w:t xml:space="preserve"> </w:t>
      </w:r>
      <w:r>
        <w:rPr>
          <w:rFonts w:hint="eastAsia" w:ascii="黑体" w:eastAsia="黑体"/>
          <w:color w:val="auto"/>
          <w:highlight w:val="none"/>
        </w:rPr>
        <w:t xml:space="preserve"> </w:t>
      </w:r>
      <w:r>
        <w:rPr>
          <w:rFonts w:hint="eastAsia"/>
          <w:color w:val="auto"/>
          <w:highlight w:val="none"/>
        </w:rPr>
        <w:t>应以单个车站整体作为评价对象。</w:t>
      </w:r>
    </w:p>
    <w:p>
      <w:pPr>
        <w:pStyle w:val="2"/>
        <w:spacing w:before="156" w:beforeLines="50" w:after="156" w:afterLines="50" w:line="460" w:lineRule="exact"/>
        <w:rPr>
          <w:rFonts w:ascii="黑体" w:eastAsia="黑体"/>
          <w:b w:val="0"/>
          <w:bCs w:val="0"/>
          <w:color w:val="auto"/>
          <w:kern w:val="0"/>
          <w:sz w:val="24"/>
          <w:szCs w:val="24"/>
          <w:highlight w:val="none"/>
        </w:rPr>
      </w:pPr>
      <w:r>
        <w:rPr>
          <w:rFonts w:ascii="黑体" w:eastAsia="黑体"/>
          <w:b w:val="0"/>
          <w:bCs w:val="0"/>
          <w:color w:val="auto"/>
          <w:kern w:val="0"/>
          <w:sz w:val="24"/>
          <w:szCs w:val="24"/>
          <w:highlight w:val="none"/>
        </w:rPr>
        <w:t>5  评价指标体系及评分细则</w:t>
      </w:r>
    </w:p>
    <w:p>
      <w:pPr>
        <w:spacing w:line="400" w:lineRule="exact"/>
        <w:outlineLvl w:val="1"/>
        <w:rPr>
          <w:color w:val="auto"/>
          <w:highlight w:val="none"/>
        </w:rPr>
      </w:pPr>
      <w:r>
        <w:rPr>
          <w:rFonts w:ascii="黑体" w:eastAsia="黑体"/>
          <w:b/>
          <w:bCs/>
          <w:color w:val="auto"/>
          <w:highlight w:val="none"/>
        </w:rPr>
        <w:t>5</w:t>
      </w:r>
      <w:r>
        <w:rPr>
          <w:rFonts w:hint="eastAsia" w:ascii="黑体" w:eastAsia="黑体"/>
          <w:b/>
          <w:bCs/>
          <w:color w:val="auto"/>
          <w:highlight w:val="none"/>
        </w:rPr>
        <w:t>.1</w:t>
      </w:r>
      <w:r>
        <w:rPr>
          <w:rFonts w:hint="eastAsia" w:ascii="黑体" w:eastAsia="黑体"/>
          <w:color w:val="auto"/>
          <w:highlight w:val="none"/>
        </w:rPr>
        <w:t xml:space="preserve">  </w:t>
      </w:r>
      <w:r>
        <w:rPr>
          <w:rFonts w:hint="eastAsia"/>
          <w:color w:val="auto"/>
          <w:highlight w:val="none"/>
        </w:rPr>
        <w:t>节水型车站</w:t>
      </w:r>
      <w:r>
        <w:rPr>
          <w:color w:val="auto"/>
          <w:highlight w:val="none"/>
        </w:rPr>
        <w:t>评价指标</w:t>
      </w:r>
      <w:r>
        <w:rPr>
          <w:rFonts w:hint="eastAsia"/>
          <w:color w:val="auto"/>
          <w:highlight w:val="none"/>
        </w:rPr>
        <w:t>体系</w:t>
      </w:r>
      <w:r>
        <w:rPr>
          <w:color w:val="auto"/>
          <w:highlight w:val="none"/>
        </w:rPr>
        <w:t>包括</w:t>
      </w:r>
      <w:r>
        <w:rPr>
          <w:rFonts w:hint="eastAsia"/>
          <w:color w:val="auto"/>
          <w:highlight w:val="none"/>
        </w:rPr>
        <w:t>基本条件、</w:t>
      </w:r>
      <w:r>
        <w:rPr>
          <w:color w:val="auto"/>
          <w:highlight w:val="none"/>
        </w:rPr>
        <w:t>管理指标、技术指标及鼓励性指标。</w:t>
      </w:r>
    </w:p>
    <w:p>
      <w:pPr>
        <w:spacing w:line="400" w:lineRule="exact"/>
        <w:outlineLvl w:val="1"/>
        <w:rPr>
          <w:rFonts w:ascii="黑体" w:eastAsia="黑体"/>
          <w:color w:val="auto"/>
          <w:highlight w:val="none"/>
        </w:rPr>
      </w:pPr>
      <w:r>
        <w:rPr>
          <w:rFonts w:ascii="黑体" w:eastAsia="黑体"/>
          <w:b/>
          <w:bCs/>
          <w:color w:val="auto"/>
          <w:highlight w:val="none"/>
        </w:rPr>
        <w:t>5</w:t>
      </w:r>
      <w:r>
        <w:rPr>
          <w:rFonts w:hint="eastAsia" w:ascii="黑体" w:eastAsia="黑体"/>
          <w:b/>
          <w:bCs/>
          <w:color w:val="auto"/>
          <w:highlight w:val="none"/>
        </w:rPr>
        <w:t>.</w:t>
      </w:r>
      <w:r>
        <w:rPr>
          <w:rFonts w:ascii="黑体" w:eastAsia="黑体"/>
          <w:b/>
          <w:bCs/>
          <w:color w:val="auto"/>
          <w:highlight w:val="none"/>
        </w:rPr>
        <w:t>2</w:t>
      </w:r>
      <w:r>
        <w:rPr>
          <w:rFonts w:hint="eastAsia" w:ascii="黑体" w:eastAsia="黑体"/>
          <w:color w:val="auto"/>
          <w:highlight w:val="none"/>
        </w:rPr>
        <w:t xml:space="preserve">  </w:t>
      </w:r>
      <w:r>
        <w:rPr>
          <w:rFonts w:hint="eastAsia"/>
          <w:color w:val="auto"/>
          <w:highlight w:val="none"/>
        </w:rPr>
        <w:t>基本条件</w:t>
      </w:r>
      <w:r>
        <w:rPr>
          <w:rFonts w:hint="eastAsia" w:asciiTheme="minorEastAsia" w:hAnsiTheme="minorEastAsia" w:eastAsiaTheme="minorEastAsia"/>
          <w:color w:val="auto"/>
          <w:highlight w:val="none"/>
        </w:rPr>
        <w:t>应符合D</w:t>
      </w:r>
      <w:r>
        <w:rPr>
          <w:rFonts w:asciiTheme="minorEastAsia" w:hAnsiTheme="minorEastAsia" w:eastAsiaTheme="minorEastAsia"/>
          <w:color w:val="auto"/>
          <w:highlight w:val="none"/>
        </w:rPr>
        <w:t xml:space="preserve">B13/T </w:t>
      </w:r>
      <w:r>
        <w:rPr>
          <w:rFonts w:hint="eastAsia" w:asciiTheme="minorEastAsia" w:hAnsiTheme="minorEastAsia" w:eastAsiaTheme="minorEastAsia"/>
          <w:color w:val="auto"/>
          <w:highlight w:val="none"/>
        </w:rPr>
        <w:t>5652.1中的</w:t>
      </w:r>
      <w:r>
        <w:rPr>
          <w:rFonts w:hint="eastAsia"/>
          <w:color w:val="auto"/>
          <w:highlight w:val="none"/>
        </w:rPr>
        <w:t>基本条件。</w:t>
      </w:r>
    </w:p>
    <w:p>
      <w:pPr>
        <w:spacing w:line="400" w:lineRule="exact"/>
        <w:outlineLvl w:val="1"/>
        <w:rPr>
          <w:color w:val="auto"/>
          <w:highlight w:val="none"/>
        </w:rPr>
      </w:pPr>
      <w:r>
        <w:rPr>
          <w:rFonts w:ascii="黑体" w:eastAsia="黑体"/>
          <w:b/>
          <w:bCs/>
          <w:color w:val="auto"/>
          <w:highlight w:val="none"/>
        </w:rPr>
        <w:t>5</w:t>
      </w:r>
      <w:r>
        <w:rPr>
          <w:rFonts w:hint="eastAsia" w:ascii="黑体" w:eastAsia="黑体"/>
          <w:b/>
          <w:bCs/>
          <w:color w:val="auto"/>
          <w:highlight w:val="none"/>
        </w:rPr>
        <w:t>.</w:t>
      </w:r>
      <w:r>
        <w:rPr>
          <w:rFonts w:ascii="黑体" w:eastAsia="黑体"/>
          <w:b/>
          <w:bCs/>
          <w:color w:val="auto"/>
          <w:highlight w:val="none"/>
        </w:rPr>
        <w:t>3</w:t>
      </w:r>
      <w:r>
        <w:rPr>
          <w:rFonts w:hint="eastAsia" w:ascii="黑体" w:eastAsia="黑体"/>
          <w:color w:val="auto"/>
          <w:highlight w:val="none"/>
        </w:rPr>
        <w:t xml:space="preserve">  </w:t>
      </w:r>
      <w:r>
        <w:rPr>
          <w:rFonts w:hint="eastAsia"/>
          <w:color w:val="auto"/>
          <w:highlight w:val="none"/>
        </w:rPr>
        <w:t>管理指标包括车站</w:t>
      </w:r>
      <w:r>
        <w:rPr>
          <w:rFonts w:hint="eastAsia" w:asciiTheme="minorEastAsia" w:hAnsiTheme="minorEastAsia" w:eastAsiaTheme="minorEastAsia"/>
          <w:color w:val="auto"/>
          <w:highlight w:val="none"/>
        </w:rPr>
        <w:t>的管理机构、管理制度、设施（设备）管理、水计量管理、水平衡测试、节水技术改造、非常规</w:t>
      </w:r>
      <w:r>
        <w:rPr>
          <w:rFonts w:asciiTheme="minorEastAsia" w:hAnsiTheme="minorEastAsia" w:eastAsiaTheme="minorEastAsia"/>
          <w:color w:val="auto"/>
          <w:highlight w:val="none"/>
        </w:rPr>
        <w:t>水</w:t>
      </w:r>
      <w:r>
        <w:rPr>
          <w:rFonts w:hint="eastAsia" w:asciiTheme="minorEastAsia" w:hAnsiTheme="minorEastAsia" w:eastAsiaTheme="minorEastAsia"/>
          <w:color w:val="auto"/>
          <w:highlight w:val="none"/>
        </w:rPr>
        <w:t>利用</w:t>
      </w:r>
      <w:r>
        <w:rPr>
          <w:rFonts w:asciiTheme="minorEastAsia" w:hAnsiTheme="minorEastAsia" w:eastAsiaTheme="minorEastAsia"/>
          <w:color w:val="auto"/>
          <w:highlight w:val="none"/>
        </w:rPr>
        <w:t>、</w:t>
      </w:r>
      <w:r>
        <w:rPr>
          <w:rFonts w:hint="eastAsia" w:asciiTheme="minorEastAsia" w:hAnsiTheme="minorEastAsia" w:eastAsiaTheme="minorEastAsia"/>
          <w:color w:val="auto"/>
          <w:highlight w:val="none"/>
        </w:rPr>
        <w:t>节水宣传等。总分</w:t>
      </w:r>
      <w:r>
        <w:rPr>
          <w:rFonts w:asciiTheme="minorEastAsia" w:hAnsiTheme="minorEastAsia" w:eastAsiaTheme="minorEastAsia"/>
          <w:color w:val="auto"/>
          <w:highlight w:val="none"/>
        </w:rPr>
        <w:t>50</w:t>
      </w:r>
      <w:r>
        <w:rPr>
          <w:rFonts w:hint="eastAsia" w:asciiTheme="minorEastAsia" w:hAnsiTheme="minorEastAsia" w:eastAsiaTheme="minorEastAsia"/>
          <w:color w:val="auto"/>
          <w:highlight w:val="none"/>
        </w:rPr>
        <w:t>分，具体评分细则和</w:t>
      </w:r>
      <w:r>
        <w:rPr>
          <w:rFonts w:asciiTheme="minorEastAsia" w:hAnsiTheme="minorEastAsia" w:eastAsiaTheme="minorEastAsia"/>
          <w:color w:val="auto"/>
          <w:highlight w:val="none"/>
        </w:rPr>
        <w:t>分值</w:t>
      </w:r>
      <w:r>
        <w:rPr>
          <w:rFonts w:hint="eastAsia" w:asciiTheme="minorEastAsia" w:hAnsiTheme="minorEastAsia" w:eastAsiaTheme="minorEastAsia"/>
          <w:color w:val="auto"/>
          <w:highlight w:val="none"/>
        </w:rPr>
        <w:t>见表1。</w:t>
      </w:r>
    </w:p>
    <w:p>
      <w:pPr>
        <w:spacing w:line="400" w:lineRule="exact"/>
        <w:rPr>
          <w:rFonts w:asciiTheme="minorEastAsia" w:hAnsiTheme="minorEastAsia" w:eastAsiaTheme="minorEastAsia"/>
          <w:color w:val="auto"/>
          <w:highlight w:val="none"/>
        </w:rPr>
      </w:pPr>
      <w:r>
        <w:rPr>
          <w:rFonts w:ascii="黑体" w:eastAsia="黑体"/>
          <w:b/>
          <w:bCs/>
          <w:color w:val="auto"/>
          <w:highlight w:val="none"/>
        </w:rPr>
        <w:t>5</w:t>
      </w:r>
      <w:r>
        <w:rPr>
          <w:rFonts w:hint="eastAsia" w:ascii="黑体" w:eastAsia="黑体"/>
          <w:b/>
          <w:bCs/>
          <w:color w:val="auto"/>
          <w:highlight w:val="none"/>
        </w:rPr>
        <w:t>.</w:t>
      </w:r>
      <w:r>
        <w:rPr>
          <w:rFonts w:ascii="黑体" w:eastAsia="黑体"/>
          <w:b/>
          <w:bCs/>
          <w:color w:val="auto"/>
          <w:highlight w:val="none"/>
        </w:rPr>
        <w:t>4</w:t>
      </w:r>
      <w:r>
        <w:rPr>
          <w:rFonts w:hint="eastAsia" w:ascii="黑体" w:eastAsia="黑体"/>
          <w:color w:val="auto"/>
          <w:highlight w:val="none"/>
        </w:rPr>
        <w:t xml:space="preserve">  </w:t>
      </w:r>
      <w:r>
        <w:rPr>
          <w:rFonts w:hint="eastAsia"/>
          <w:color w:val="auto"/>
          <w:highlight w:val="none"/>
        </w:rPr>
        <w:t>技术</w:t>
      </w:r>
      <w:r>
        <w:rPr>
          <w:rFonts w:hint="eastAsia" w:asciiTheme="minorEastAsia" w:hAnsiTheme="minorEastAsia" w:eastAsiaTheme="minorEastAsia"/>
          <w:color w:val="auto"/>
          <w:highlight w:val="none"/>
        </w:rPr>
        <w:t>指标包括车站的年用水</w:t>
      </w:r>
      <w:r>
        <w:rPr>
          <w:rFonts w:asciiTheme="minorEastAsia" w:hAnsiTheme="minorEastAsia" w:eastAsiaTheme="minorEastAsia"/>
          <w:color w:val="auto"/>
          <w:highlight w:val="none"/>
        </w:rPr>
        <w:t>总量</w:t>
      </w:r>
      <w:r>
        <w:rPr>
          <w:rFonts w:hint="eastAsia" w:asciiTheme="minorEastAsia" w:hAnsiTheme="minorEastAsia" w:eastAsiaTheme="minorEastAsia"/>
          <w:color w:val="auto"/>
          <w:highlight w:val="none"/>
        </w:rPr>
        <w:t>、单位车辆补水量、单位车辆清洗用水量、车站运输辅助活动</w:t>
      </w:r>
      <w:r>
        <w:rPr>
          <w:rFonts w:hint="eastAsia" w:asciiTheme="minorEastAsia" w:hAnsiTheme="minorEastAsia" w:eastAsiaTheme="minorEastAsia"/>
          <w:strike/>
          <w:dstrike w:val="0"/>
          <w:color w:val="auto"/>
          <w:highlight w:val="none"/>
        </w:rPr>
        <w:t>单位人次</w:t>
      </w:r>
      <w:r>
        <w:rPr>
          <w:rFonts w:hint="eastAsia" w:asciiTheme="minorEastAsia" w:hAnsiTheme="minorEastAsia" w:eastAsiaTheme="minorEastAsia"/>
          <w:color w:val="auto"/>
          <w:highlight w:val="none"/>
        </w:rPr>
        <w:t>用水量</w:t>
      </w:r>
      <w:r>
        <w:rPr>
          <w:rFonts w:hint="eastAsia" w:asciiTheme="minorEastAsia" w:hAnsiTheme="minorEastAsia" w:eastAsiaTheme="minorEastAsia"/>
          <w:color w:val="FF0000"/>
          <w:highlight w:val="none"/>
          <w:lang w:eastAsia="zh-CN"/>
        </w:rPr>
        <w:t>（</w:t>
      </w:r>
      <w:r>
        <w:rPr>
          <w:rFonts w:hint="eastAsia" w:asciiTheme="minorEastAsia" w:hAnsiTheme="minorEastAsia" w:eastAsiaTheme="minorEastAsia"/>
          <w:color w:val="FF0000"/>
          <w:highlight w:val="none"/>
          <w:lang w:val="en-US" w:eastAsia="zh-CN"/>
        </w:rPr>
        <w:t>不含高速服务区用水量</w:t>
      </w:r>
      <w:r>
        <w:rPr>
          <w:rFonts w:hint="eastAsia" w:asciiTheme="minorEastAsia" w:hAnsiTheme="minorEastAsia" w:eastAsiaTheme="minorEastAsia"/>
          <w:color w:val="FF0000"/>
          <w:highlight w:val="none"/>
          <w:lang w:eastAsia="zh-CN"/>
        </w:rPr>
        <w:t>）</w:t>
      </w:r>
      <w:r>
        <w:rPr>
          <w:rFonts w:hint="eastAsia" w:asciiTheme="minorEastAsia" w:hAnsiTheme="minorEastAsia" w:eastAsiaTheme="minorEastAsia"/>
          <w:color w:val="auto"/>
          <w:highlight w:val="none"/>
        </w:rPr>
        <w:t>、水计量器具配备率、节水</w:t>
      </w:r>
      <w:r>
        <w:rPr>
          <w:rFonts w:asciiTheme="minorEastAsia" w:hAnsiTheme="minorEastAsia" w:eastAsiaTheme="minorEastAsia"/>
          <w:color w:val="auto"/>
          <w:highlight w:val="none"/>
        </w:rPr>
        <w:t>器具普及率</w:t>
      </w:r>
      <w:r>
        <w:rPr>
          <w:rFonts w:hint="eastAsia" w:asciiTheme="minorEastAsia" w:hAnsiTheme="minorEastAsia" w:eastAsiaTheme="minorEastAsia"/>
          <w:color w:val="auto"/>
          <w:highlight w:val="none"/>
        </w:rPr>
        <w:t>、中央</w:t>
      </w:r>
      <w:r>
        <w:rPr>
          <w:rFonts w:asciiTheme="minorEastAsia" w:hAnsiTheme="minorEastAsia" w:eastAsiaTheme="minorEastAsia"/>
          <w:color w:val="auto"/>
          <w:highlight w:val="none"/>
        </w:rPr>
        <w:t>空调冷却补水率</w:t>
      </w:r>
      <w:r>
        <w:rPr>
          <w:rFonts w:hint="eastAsia" w:asciiTheme="minorEastAsia" w:hAnsiTheme="minorEastAsia" w:eastAsiaTheme="minorEastAsia"/>
          <w:color w:val="auto"/>
          <w:highlight w:val="none"/>
        </w:rPr>
        <w:t>、蒸汽冷凝水回用率等。总分</w:t>
      </w:r>
      <w:r>
        <w:rPr>
          <w:rFonts w:asciiTheme="minorEastAsia" w:hAnsiTheme="minorEastAsia" w:eastAsiaTheme="minorEastAsia"/>
          <w:color w:val="auto"/>
          <w:highlight w:val="none"/>
        </w:rPr>
        <w:t>50</w:t>
      </w:r>
      <w:r>
        <w:rPr>
          <w:rFonts w:hint="eastAsia" w:asciiTheme="minorEastAsia" w:hAnsiTheme="minorEastAsia" w:eastAsiaTheme="minorEastAsia"/>
          <w:color w:val="auto"/>
          <w:highlight w:val="none"/>
        </w:rPr>
        <w:t>分，道路</w:t>
      </w:r>
      <w:r>
        <w:rPr>
          <w:rFonts w:hint="eastAsia"/>
          <w:color w:val="auto"/>
          <w:highlight w:val="none"/>
        </w:rPr>
        <w:t>交通汽车客运车站</w:t>
      </w:r>
      <w:r>
        <w:rPr>
          <w:rFonts w:hint="eastAsia" w:asciiTheme="minorEastAsia" w:hAnsiTheme="minorEastAsia" w:eastAsiaTheme="minorEastAsia"/>
          <w:color w:val="auto"/>
          <w:highlight w:val="none"/>
        </w:rPr>
        <w:t>、</w:t>
      </w:r>
      <w:r>
        <w:rPr>
          <w:rFonts w:hint="eastAsia"/>
          <w:color w:val="auto"/>
          <w:highlight w:val="none"/>
        </w:rPr>
        <w:t>铁路交通旅客车站</w:t>
      </w:r>
      <w:r>
        <w:rPr>
          <w:rFonts w:hint="eastAsia" w:asciiTheme="minorEastAsia" w:hAnsiTheme="minorEastAsia" w:eastAsiaTheme="minorEastAsia"/>
          <w:color w:val="auto"/>
          <w:highlight w:val="none"/>
        </w:rPr>
        <w:t>具体评分细则和分值分别见表2和表3。技术指标使用附录A的方法计算。</w:t>
      </w:r>
    </w:p>
    <w:p>
      <w:pPr>
        <w:spacing w:line="400" w:lineRule="exact"/>
        <w:rPr>
          <w:rFonts w:asciiTheme="minorEastAsia" w:hAnsiTheme="minorEastAsia" w:eastAsiaTheme="minorEastAsia"/>
          <w:b/>
          <w:color w:val="auto"/>
          <w:szCs w:val="21"/>
          <w:highlight w:val="none"/>
        </w:rPr>
      </w:pPr>
      <w:r>
        <w:rPr>
          <w:rFonts w:ascii="黑体" w:eastAsia="黑体"/>
          <w:b/>
          <w:bCs/>
          <w:color w:val="auto"/>
          <w:highlight w:val="none"/>
        </w:rPr>
        <w:t>5</w:t>
      </w:r>
      <w:r>
        <w:rPr>
          <w:rFonts w:hint="eastAsia" w:ascii="黑体" w:eastAsia="黑体"/>
          <w:b/>
          <w:bCs/>
          <w:color w:val="auto"/>
          <w:highlight w:val="none"/>
        </w:rPr>
        <w:t>.</w:t>
      </w:r>
      <w:r>
        <w:rPr>
          <w:rFonts w:ascii="黑体" w:eastAsia="黑体"/>
          <w:b/>
          <w:bCs/>
          <w:color w:val="auto"/>
          <w:highlight w:val="none"/>
        </w:rPr>
        <w:t>5</w:t>
      </w:r>
      <w:r>
        <w:rPr>
          <w:rFonts w:hint="eastAsia" w:ascii="黑体" w:eastAsia="黑体"/>
          <w:b/>
          <w:bCs/>
          <w:color w:val="auto"/>
          <w:highlight w:val="none"/>
        </w:rPr>
        <w:t xml:space="preserve"> </w:t>
      </w:r>
      <w:r>
        <w:rPr>
          <w:rFonts w:hint="eastAsia" w:ascii="黑体" w:eastAsia="黑体"/>
          <w:color w:val="auto"/>
          <w:highlight w:val="none"/>
        </w:rPr>
        <w:t xml:space="preserve"> </w:t>
      </w:r>
      <w:r>
        <w:rPr>
          <w:rFonts w:hint="eastAsia" w:asciiTheme="minorEastAsia" w:hAnsiTheme="minorEastAsia" w:eastAsiaTheme="minorEastAsia"/>
          <w:color w:val="auto"/>
          <w:highlight w:val="none"/>
        </w:rPr>
        <w:t>鼓励性指标包括节水管理创新、节水技术创新等。总分1</w:t>
      </w:r>
      <w:r>
        <w:rPr>
          <w:rFonts w:asciiTheme="minorEastAsia" w:hAnsiTheme="minorEastAsia" w:eastAsiaTheme="minorEastAsia"/>
          <w:color w:val="auto"/>
          <w:highlight w:val="none"/>
        </w:rPr>
        <w:t>0</w:t>
      </w:r>
      <w:r>
        <w:rPr>
          <w:rFonts w:hint="eastAsia" w:asciiTheme="minorEastAsia" w:hAnsiTheme="minorEastAsia" w:eastAsiaTheme="minorEastAsia"/>
          <w:color w:val="auto"/>
          <w:highlight w:val="none"/>
        </w:rPr>
        <w:t>分，具体评分细则和分值见表</w:t>
      </w:r>
      <w:r>
        <w:rPr>
          <w:rFonts w:asciiTheme="minorEastAsia" w:hAnsiTheme="minorEastAsia" w:eastAsiaTheme="minorEastAsia"/>
          <w:color w:val="auto"/>
          <w:highlight w:val="none"/>
        </w:rPr>
        <w:t>4</w:t>
      </w:r>
      <w:r>
        <w:rPr>
          <w:rFonts w:hint="eastAsia" w:asciiTheme="minorEastAsia" w:hAnsiTheme="minorEastAsia" w:eastAsiaTheme="minorEastAsia"/>
          <w:color w:val="auto"/>
          <w:highlight w:val="none"/>
        </w:rPr>
        <w:t>。</w:t>
      </w:r>
    </w:p>
    <w:p>
      <w:pPr>
        <w:spacing w:before="156" w:beforeLines="50" w:after="156" w:afterLines="50" w:line="400" w:lineRule="exact"/>
        <w:jc w:val="center"/>
        <w:outlineLvl w:val="1"/>
        <w:rPr>
          <w:rFonts w:ascii="黑体" w:hAnsi="黑体" w:eastAsia="黑体"/>
          <w:b/>
          <w:color w:val="auto"/>
          <w:szCs w:val="21"/>
          <w:highlight w:val="none"/>
        </w:rPr>
      </w:pPr>
      <w:r>
        <w:rPr>
          <w:rFonts w:hint="eastAsia" w:ascii="黑体" w:hAnsi="黑体" w:eastAsia="黑体"/>
          <w:b/>
          <w:color w:val="auto"/>
          <w:szCs w:val="21"/>
          <w:highlight w:val="none"/>
        </w:rPr>
        <w:t>表1  管理指标和评分细则</w:t>
      </w:r>
    </w:p>
    <w:tbl>
      <w:tblPr>
        <w:tblStyle w:val="7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3"/>
        <w:gridCol w:w="1454"/>
        <w:gridCol w:w="6496"/>
        <w:gridCol w:w="10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blHeader/>
        </w:trPr>
        <w:tc>
          <w:tcPr>
            <w:tcW w:w="30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序号</w:t>
            </w:r>
          </w:p>
        </w:tc>
        <w:tc>
          <w:tcPr>
            <w:tcW w:w="75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评价指标类别</w:t>
            </w:r>
          </w:p>
        </w:tc>
        <w:tc>
          <w:tcPr>
            <w:tcW w:w="3393" w:type="pct"/>
            <w:shd w:val="clear" w:color="auto" w:fill="auto"/>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评分细则</w:t>
            </w:r>
          </w:p>
        </w:tc>
        <w:tc>
          <w:tcPr>
            <w:tcW w:w="537"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30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1</w:t>
            </w:r>
          </w:p>
        </w:tc>
        <w:tc>
          <w:tcPr>
            <w:tcW w:w="75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管理机构</w:t>
            </w:r>
          </w:p>
        </w:tc>
        <w:tc>
          <w:tcPr>
            <w:tcW w:w="3393" w:type="pct"/>
            <w:shd w:val="clear" w:color="auto" w:fill="auto"/>
            <w:vAlign w:val="center"/>
          </w:tcPr>
          <w:p>
            <w:pPr>
              <w:widowControl/>
              <w:textAlignment w:val="center"/>
              <w:rPr>
                <w:rFonts w:hint="eastAsia" w:ascii="宋体" w:hAnsi="宋体" w:eastAsia="宋体" w:cs="宋体"/>
                <w:color w:val="auto"/>
                <w:kern w:val="0"/>
                <w:sz w:val="18"/>
                <w:szCs w:val="18"/>
                <w:highlight w:val="none"/>
                <w:lang w:eastAsia="zh-CN" w:bidi="ar"/>
              </w:rPr>
            </w:pPr>
            <w:r>
              <w:rPr>
                <w:rFonts w:hint="eastAsia" w:ascii="宋体" w:hAnsi="宋体" w:cs="宋体"/>
                <w:color w:val="auto"/>
                <w:kern w:val="0"/>
                <w:sz w:val="18"/>
                <w:szCs w:val="18"/>
                <w:highlight w:val="none"/>
                <w:lang w:bidi="ar"/>
              </w:rPr>
              <w:t>①节水管理组织机构健全，主管领导、主管部门和管理人员明确，得2分</w:t>
            </w:r>
            <w:r>
              <w:rPr>
                <w:rFonts w:hint="eastAsia" w:ascii="宋体" w:hAnsi="宋体" w:cs="宋体"/>
                <w:color w:val="auto"/>
                <w:kern w:val="0"/>
                <w:sz w:val="18"/>
                <w:szCs w:val="18"/>
                <w:highlight w:val="none"/>
                <w:lang w:eastAsia="zh-CN" w:bidi="ar"/>
              </w:rPr>
              <w:t>。</w:t>
            </w:r>
          </w:p>
          <w:p>
            <w:pPr>
              <w:widowControl/>
              <w:textAlignment w:val="center"/>
              <w:rPr>
                <w:rFonts w:hint="eastAsia" w:ascii="宋体" w:hAnsi="宋体" w:eastAsia="宋体" w:cs="宋体"/>
                <w:color w:val="auto"/>
                <w:kern w:val="0"/>
                <w:sz w:val="18"/>
                <w:szCs w:val="18"/>
                <w:highlight w:val="none"/>
                <w:lang w:eastAsia="zh-CN" w:bidi="ar"/>
              </w:rPr>
            </w:pPr>
            <w:r>
              <w:rPr>
                <w:rFonts w:hint="eastAsia" w:ascii="宋体" w:hAnsi="宋体" w:cs="宋体"/>
                <w:color w:val="auto"/>
                <w:kern w:val="0"/>
                <w:sz w:val="18"/>
                <w:szCs w:val="18"/>
                <w:highlight w:val="none"/>
                <w:lang w:bidi="ar"/>
              </w:rPr>
              <w:t>②各级节水管理人员职责明确，得2分</w:t>
            </w:r>
            <w:r>
              <w:rPr>
                <w:rFonts w:hint="eastAsia" w:ascii="宋体" w:hAnsi="宋体" w:cs="宋体"/>
                <w:color w:val="auto"/>
                <w:kern w:val="0"/>
                <w:sz w:val="18"/>
                <w:szCs w:val="18"/>
                <w:highlight w:val="none"/>
                <w:lang w:eastAsia="zh-CN" w:bidi="ar"/>
              </w:rPr>
              <w:t>。</w:t>
            </w:r>
          </w:p>
        </w:tc>
        <w:tc>
          <w:tcPr>
            <w:tcW w:w="537"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30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2</w:t>
            </w:r>
          </w:p>
        </w:tc>
        <w:tc>
          <w:tcPr>
            <w:tcW w:w="75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管理制度</w:t>
            </w:r>
          </w:p>
        </w:tc>
        <w:tc>
          <w:tcPr>
            <w:tcW w:w="3393" w:type="pct"/>
            <w:shd w:val="clear" w:color="auto" w:fill="auto"/>
            <w:vAlign w:val="center"/>
          </w:tcPr>
          <w:p>
            <w:pPr>
              <w:widowControl/>
              <w:textAlignment w:val="top"/>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①有科学合理的用水计量、用水统计、用水设施（设备）管理及维护等节约用水管理制度，得1.5分，少一项扣0.5分，扣完为止。</w:t>
            </w:r>
          </w:p>
          <w:p>
            <w:pPr>
              <w:widowControl/>
              <w:textAlignment w:val="top"/>
              <w:rPr>
                <w:rFonts w:hint="eastAsia" w:ascii="宋体" w:hAnsi="宋体" w:eastAsia="宋体" w:cs="宋体"/>
                <w:color w:val="auto"/>
                <w:kern w:val="0"/>
                <w:sz w:val="18"/>
                <w:szCs w:val="18"/>
                <w:highlight w:val="none"/>
                <w:lang w:eastAsia="zh-CN" w:bidi="ar"/>
              </w:rPr>
            </w:pPr>
            <w:r>
              <w:rPr>
                <w:rFonts w:hint="eastAsia" w:ascii="宋体" w:hAnsi="宋体" w:cs="宋体"/>
                <w:color w:val="auto"/>
                <w:kern w:val="0"/>
                <w:sz w:val="18"/>
                <w:szCs w:val="18"/>
                <w:highlight w:val="none"/>
                <w:lang w:bidi="ar"/>
              </w:rPr>
              <w:t>②有节水规划和年度节水实施计划，得1分。</w:t>
            </w:r>
            <w:bookmarkStart w:id="13" w:name="_GoBack"/>
            <w:bookmarkEnd w:id="13"/>
          </w:p>
          <w:p>
            <w:pPr>
              <w:widowControl/>
              <w:textAlignment w:val="top"/>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③有节水目标责任和考核制度、奖惩制度，明确目标责任、考核和奖惩办法，得1.5分。</w:t>
            </w:r>
          </w:p>
        </w:tc>
        <w:tc>
          <w:tcPr>
            <w:tcW w:w="537" w:type="pct"/>
            <w:shd w:val="clear" w:color="auto" w:fill="auto"/>
            <w:noWrap/>
            <w:vAlign w:val="center"/>
          </w:tcPr>
          <w:p>
            <w:pPr>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30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3</w:t>
            </w:r>
          </w:p>
        </w:tc>
        <w:tc>
          <w:tcPr>
            <w:tcW w:w="75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设施（设备）管理</w:t>
            </w:r>
          </w:p>
        </w:tc>
        <w:tc>
          <w:tcPr>
            <w:tcW w:w="3393" w:type="pct"/>
            <w:shd w:val="clear" w:color="auto" w:fill="auto"/>
            <w:vAlign w:val="center"/>
          </w:tcPr>
          <w:p>
            <w:pPr>
              <w:widowControl/>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①有详细的供水管网图、排水管网图，得2分。</w:t>
            </w:r>
          </w:p>
          <w:p>
            <w:pPr>
              <w:widowControl/>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②有详细的计量网络图和水计量器具一览表</w:t>
            </w:r>
            <w:r>
              <w:rPr>
                <w:rFonts w:hint="eastAsia" w:ascii="宋体" w:hAnsi="宋体" w:cs="宋体"/>
                <w:color w:val="auto"/>
                <w:kern w:val="0"/>
                <w:sz w:val="18"/>
                <w:szCs w:val="18"/>
                <w:highlight w:val="none"/>
              </w:rPr>
              <w:t>（包括器具名称、规格、安装使用位置、计量对象等）</w:t>
            </w:r>
            <w:r>
              <w:rPr>
                <w:rFonts w:hint="eastAsia" w:ascii="宋体" w:hAnsi="宋体" w:cs="宋体"/>
                <w:color w:val="auto"/>
                <w:kern w:val="0"/>
                <w:sz w:val="18"/>
                <w:szCs w:val="18"/>
                <w:highlight w:val="none"/>
                <w:lang w:bidi="ar"/>
              </w:rPr>
              <w:t>，得2分。</w:t>
            </w:r>
          </w:p>
          <w:p>
            <w:pP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③定期对设施（设备、管道等）进行检修，且记录完整，得2分，记录不完整的，得1分；无检修记录的，不得分。</w:t>
            </w:r>
          </w:p>
          <w:p>
            <w:pPr>
              <w:widowControl/>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④新（改、扩）建车站时应配套建设节水设施，节水设施与主体工程同时设计、同时施工、同时投入使用，得1分。</w:t>
            </w:r>
          </w:p>
        </w:tc>
        <w:tc>
          <w:tcPr>
            <w:tcW w:w="537"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30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4</w:t>
            </w:r>
          </w:p>
        </w:tc>
        <w:tc>
          <w:tcPr>
            <w:tcW w:w="75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水计量管理</w:t>
            </w:r>
          </w:p>
        </w:tc>
        <w:tc>
          <w:tcPr>
            <w:tcW w:w="3393" w:type="pct"/>
            <w:shd w:val="clear" w:color="auto" w:fill="auto"/>
            <w:vAlign w:val="center"/>
          </w:tcPr>
          <w:p>
            <w:pPr>
              <w:widowControl/>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①在供热系统、空调系统、车辆补水、车辆清洗等特殊部位用水的补水及用水管道上加装水量计量设施，对补水量或用水量进行计量，得2分，少一项扣0.5分；如无上述管道，计缺项。</w:t>
            </w:r>
          </w:p>
          <w:p>
            <w:pP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②有上一年度分月分级分类取用水台账，并定期根据用水定额和用水计划进行用水量分析，得3分。台账不完整扣1分，未进行统计分析扣1分。</w:t>
            </w:r>
          </w:p>
        </w:tc>
        <w:tc>
          <w:tcPr>
            <w:tcW w:w="537" w:type="pct"/>
            <w:shd w:val="clear" w:color="auto" w:fill="auto"/>
            <w:noWrap/>
            <w:vAlign w:val="center"/>
          </w:tcPr>
          <w:p>
            <w:pPr>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30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5</w:t>
            </w:r>
          </w:p>
        </w:tc>
        <w:tc>
          <w:tcPr>
            <w:tcW w:w="75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水平衡测试</w:t>
            </w:r>
          </w:p>
        </w:tc>
        <w:tc>
          <w:tcPr>
            <w:tcW w:w="3393" w:type="pct"/>
            <w:shd w:val="clear" w:color="auto" w:fill="auto"/>
            <w:vAlign w:val="center"/>
          </w:tcPr>
          <w:p>
            <w:pPr>
              <w:widowControl/>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按照</w:t>
            </w:r>
            <w:r>
              <w:rPr>
                <w:rFonts w:hint="eastAsia" w:ascii="宋体" w:hAnsi="宋体" w:cs="宋体"/>
                <w:color w:val="auto"/>
                <w:sz w:val="18"/>
                <w:szCs w:val="16"/>
                <w:highlight w:val="none"/>
              </w:rPr>
              <w:t>GB/T 12452和地方相关规定开展水平衡测试，</w:t>
            </w:r>
            <w:r>
              <w:rPr>
                <w:rFonts w:hint="eastAsia" w:ascii="宋体" w:hAnsi="宋体" w:cs="宋体"/>
                <w:color w:val="auto"/>
                <w:kern w:val="0"/>
                <w:sz w:val="18"/>
                <w:szCs w:val="18"/>
                <w:highlight w:val="none"/>
                <w:lang w:bidi="ar"/>
              </w:rPr>
              <w:t>得5分。无需开展水平衡测试的，计缺项。</w:t>
            </w:r>
          </w:p>
        </w:tc>
        <w:tc>
          <w:tcPr>
            <w:tcW w:w="537" w:type="pct"/>
            <w:shd w:val="clear" w:color="auto" w:fill="auto"/>
            <w:noWrap/>
            <w:vAlign w:val="center"/>
          </w:tcPr>
          <w:p>
            <w:pPr>
              <w:adjustRightInd w:val="0"/>
              <w:snapToGrid w:val="0"/>
              <w:jc w:val="center"/>
              <w:textAlignment w:val="center"/>
              <w:rPr>
                <w:rFonts w:hint="eastAsia" w:ascii="宋体" w:hAnsi="宋体" w:eastAsia="宋体" w:cs="宋体"/>
                <w:color w:val="auto"/>
                <w:kern w:val="0"/>
                <w:sz w:val="18"/>
                <w:szCs w:val="18"/>
                <w:highlight w:val="none"/>
                <w:lang w:eastAsia="zh-CN" w:bidi="ar"/>
              </w:rPr>
            </w:pPr>
            <w:r>
              <w:rPr>
                <w:rFonts w:hint="eastAsia" w:ascii="宋体" w:hAnsi="宋体" w:cs="宋体"/>
                <w:color w:val="auto"/>
                <w:kern w:val="0"/>
                <w:sz w:val="18"/>
                <w:szCs w:val="18"/>
                <w:highlight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6" w:hRule="atLeast"/>
        </w:trPr>
        <w:tc>
          <w:tcPr>
            <w:tcW w:w="30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6</w:t>
            </w:r>
          </w:p>
        </w:tc>
        <w:tc>
          <w:tcPr>
            <w:tcW w:w="75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节水技术</w:t>
            </w:r>
          </w:p>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改造</w:t>
            </w:r>
          </w:p>
        </w:tc>
        <w:tc>
          <w:tcPr>
            <w:tcW w:w="3393" w:type="pct"/>
            <w:shd w:val="clear" w:color="auto" w:fill="auto"/>
            <w:vAlign w:val="center"/>
          </w:tcPr>
          <w:p>
            <w:pPr>
              <w:widowControl/>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①按照节水政策法规及标准要求，对主要用水设施（设备、管道等）等实施节水设施建设和节水技术改造，得2分。</w:t>
            </w:r>
          </w:p>
          <w:p>
            <w:pPr>
              <w:widowControl/>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②上水装置设有感应开关、水满自停等智能装置，每实施一项得1分，满分2分。如无上水装置，计缺项。</w:t>
            </w:r>
          </w:p>
          <w:p>
            <w:pPr>
              <w:widowControl/>
              <w:textAlignment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lang w:bidi="ar"/>
              </w:rPr>
              <w:t>③用水设施（设备、管道等）无跑冒滴漏，得2分。发现一处，扣0.5分，扣完为止。</w:t>
            </w:r>
          </w:p>
          <w:p>
            <w:pPr>
              <w:widowControl/>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④绿化灌溉采用喷灌、微喷灌和滴灌等高效节水灌溉方式，浇洒方式应符合GB 50555的要求，</w:t>
            </w:r>
            <w:r>
              <w:rPr>
                <w:rFonts w:hint="eastAsia" w:ascii="宋体" w:hAnsi="宋体" w:cs="宋体"/>
                <w:color w:val="auto"/>
                <w:kern w:val="0"/>
                <w:sz w:val="18"/>
                <w:szCs w:val="18"/>
                <w:highlight w:val="none"/>
              </w:rPr>
              <w:t>得1分。如无绿化，计缺项。</w:t>
            </w:r>
          </w:p>
          <w:p>
            <w:pPr>
              <w:widowControl/>
              <w:textAlignment w:val="center"/>
              <w:rPr>
                <w:rFonts w:hint="default" w:ascii="宋体" w:hAnsi="宋体" w:eastAsia="宋体" w:cs="宋体"/>
                <w:color w:val="auto"/>
                <w:kern w:val="0"/>
                <w:sz w:val="18"/>
                <w:szCs w:val="18"/>
                <w:highlight w:val="none"/>
                <w:lang w:val="en-US" w:eastAsia="zh-CN" w:bidi="ar"/>
              </w:rPr>
            </w:pPr>
            <w:r>
              <w:rPr>
                <w:rFonts w:hint="eastAsia" w:ascii="宋体" w:hAnsi="宋体" w:cs="宋体"/>
                <w:color w:val="auto"/>
                <w:kern w:val="0"/>
                <w:sz w:val="18"/>
                <w:szCs w:val="18"/>
                <w:highlight w:val="none"/>
                <w:lang w:bidi="ar"/>
              </w:rPr>
              <w:t>⑤</w:t>
            </w:r>
            <w:r>
              <w:rPr>
                <w:rFonts w:hint="eastAsia" w:ascii="宋体" w:hAnsi="宋体" w:cs="宋体"/>
                <w:color w:val="FF0000"/>
                <w:kern w:val="0"/>
                <w:sz w:val="18"/>
                <w:szCs w:val="18"/>
                <w:highlight w:val="none"/>
                <w:lang w:val="en-US" w:eastAsia="zh-CN" w:bidi="ar"/>
              </w:rPr>
              <w:t>采用清扫车（喷水）清扫场地，得1分。</w:t>
            </w:r>
          </w:p>
        </w:tc>
        <w:tc>
          <w:tcPr>
            <w:tcW w:w="537" w:type="pct"/>
            <w:shd w:val="clear" w:color="auto" w:fill="auto"/>
            <w:noWrap/>
            <w:vAlign w:val="center"/>
          </w:tcPr>
          <w:p>
            <w:pPr>
              <w:widowControl/>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30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7</w:t>
            </w:r>
          </w:p>
        </w:tc>
        <w:tc>
          <w:tcPr>
            <w:tcW w:w="75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非常规水利用</w:t>
            </w:r>
          </w:p>
        </w:tc>
        <w:tc>
          <w:tcPr>
            <w:tcW w:w="3393" w:type="pct"/>
            <w:shd w:val="clear" w:color="auto" w:fill="auto"/>
            <w:vAlign w:val="center"/>
          </w:tcPr>
          <w:p>
            <w:pPr>
              <w:widowControl/>
              <w:textAlignment w:val="center"/>
              <w:rPr>
                <w:rFonts w:hint="eastAsia" w:ascii="宋体" w:hAnsi="宋体" w:cs="宋体"/>
                <w:color w:val="FF0000"/>
                <w:kern w:val="0"/>
                <w:sz w:val="18"/>
                <w:szCs w:val="18"/>
                <w:highlight w:val="none"/>
                <w:lang w:bidi="ar"/>
              </w:rPr>
            </w:pPr>
            <w:r>
              <w:rPr>
                <w:rFonts w:hint="eastAsia" w:ascii="宋体" w:hAnsi="宋体" w:cs="宋体"/>
                <w:color w:val="FF0000"/>
                <w:kern w:val="0"/>
                <w:sz w:val="18"/>
                <w:szCs w:val="18"/>
                <w:highlight w:val="none"/>
                <w:lang w:bidi="ar"/>
              </w:rPr>
              <w:t>①污废水无法排入市政管网的应配套建设污水处理回用设施，得1分</w:t>
            </w:r>
            <w:r>
              <w:rPr>
                <w:rFonts w:hint="eastAsia" w:ascii="宋体" w:hAnsi="宋体" w:cs="宋体"/>
                <w:color w:val="FF0000"/>
                <w:kern w:val="0"/>
                <w:sz w:val="18"/>
                <w:szCs w:val="18"/>
                <w:highlight w:val="none"/>
                <w:lang w:eastAsia="zh-CN" w:bidi="ar"/>
              </w:rPr>
              <w:t>，</w:t>
            </w:r>
            <w:r>
              <w:rPr>
                <w:rFonts w:hint="eastAsia" w:ascii="宋体" w:hAnsi="宋体" w:cs="宋体"/>
                <w:color w:val="FF0000"/>
                <w:kern w:val="0"/>
                <w:sz w:val="18"/>
                <w:szCs w:val="18"/>
                <w:highlight w:val="none"/>
                <w:lang w:bidi="ar"/>
              </w:rPr>
              <w:t>污废水排入市政管网的，计缺项。</w:t>
            </w:r>
          </w:p>
          <w:p>
            <w:pPr>
              <w:widowControl/>
              <w:textAlignment w:val="center"/>
              <w:rPr>
                <w:rFonts w:ascii="宋体" w:hAnsi="宋体" w:cs="宋体"/>
                <w:color w:val="FF0000"/>
                <w:kern w:val="0"/>
                <w:sz w:val="18"/>
                <w:szCs w:val="18"/>
                <w:highlight w:val="none"/>
                <w:lang w:bidi="ar"/>
              </w:rPr>
            </w:pPr>
            <w:r>
              <w:rPr>
                <w:rFonts w:hint="eastAsia" w:ascii="宋体" w:hAnsi="宋体" w:cs="宋体"/>
                <w:color w:val="FF0000"/>
                <w:kern w:val="0"/>
                <w:sz w:val="18"/>
                <w:szCs w:val="18"/>
                <w:highlight w:val="none"/>
                <w:lang w:val="en-US" w:eastAsia="zh-CN" w:bidi="ar"/>
              </w:rPr>
              <w:t>②</w:t>
            </w:r>
            <w:r>
              <w:rPr>
                <w:rFonts w:hint="eastAsia" w:ascii="宋体" w:hAnsi="宋体" w:cs="宋体"/>
                <w:color w:val="FF0000"/>
                <w:kern w:val="0"/>
                <w:sz w:val="18"/>
                <w:szCs w:val="18"/>
                <w:highlight w:val="none"/>
                <w:lang w:bidi="ar"/>
              </w:rPr>
              <w:t>再生水回用于冲厕、绿化、洗车、消防、站前广场冲洗、站台冲洗，每建设一项，得</w:t>
            </w:r>
            <w:r>
              <w:rPr>
                <w:rFonts w:ascii="宋体" w:hAnsi="宋体" w:cs="宋体"/>
                <w:color w:val="FF0000"/>
                <w:kern w:val="0"/>
                <w:sz w:val="18"/>
                <w:szCs w:val="18"/>
                <w:highlight w:val="none"/>
                <w:lang w:bidi="ar"/>
              </w:rPr>
              <w:t>0.5</w:t>
            </w:r>
            <w:r>
              <w:rPr>
                <w:rFonts w:hint="eastAsia" w:ascii="宋体" w:hAnsi="宋体" w:cs="宋体"/>
                <w:color w:val="FF0000"/>
                <w:kern w:val="0"/>
                <w:sz w:val="18"/>
                <w:szCs w:val="18"/>
                <w:highlight w:val="none"/>
                <w:lang w:bidi="ar"/>
              </w:rPr>
              <w:t>分。满分4分。</w:t>
            </w:r>
          </w:p>
          <w:p>
            <w:pPr>
              <w:pStyle w:val="180"/>
              <w:widowControl/>
              <w:numPr>
                <w:ilvl w:val="255"/>
                <w:numId w:val="0"/>
              </w:numP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③按照GB 50400等相关规定设置雨水控制及利用设施，得1分。</w:t>
            </w:r>
          </w:p>
          <w:p>
            <w:pPr>
              <w:widowControl/>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④</w:t>
            </w:r>
            <w:r>
              <w:rPr>
                <w:rFonts w:hint="eastAsia" w:ascii="宋体" w:hAnsi="宋体" w:cs="宋体"/>
                <w:color w:val="auto"/>
                <w:kern w:val="0"/>
                <w:sz w:val="18"/>
                <w:szCs w:val="18"/>
                <w:highlight w:val="none"/>
              </w:rPr>
              <w:t>建设直饮水尾水、冷凝水、建筑灰水等水处理回收利用设施并有效利用，每建设一项得0.5分，满分</w:t>
            </w:r>
            <w:r>
              <w:rPr>
                <w:rFonts w:hint="eastAsia" w:ascii="宋体" w:hAnsi="宋体" w:cs="宋体"/>
                <w:color w:val="auto"/>
                <w:kern w:val="0"/>
                <w:sz w:val="18"/>
                <w:szCs w:val="18"/>
                <w:highlight w:val="none"/>
                <w:lang w:bidi="ar"/>
              </w:rPr>
              <w:t>1.5分。如无上述用水环节，计缺项。</w:t>
            </w:r>
          </w:p>
          <w:p>
            <w:pPr>
              <w:widowControl/>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⑤采用循环用水清洗车辆、卧具，</w:t>
            </w:r>
            <w:r>
              <w:rPr>
                <w:rFonts w:hint="eastAsia" w:ascii="宋体" w:hAnsi="宋体" w:cs="宋体"/>
                <w:color w:val="auto"/>
                <w:kern w:val="0"/>
                <w:sz w:val="18"/>
                <w:szCs w:val="18"/>
                <w:highlight w:val="none"/>
              </w:rPr>
              <w:t>每建设一项得0.5分，</w:t>
            </w:r>
            <w:r>
              <w:rPr>
                <w:rFonts w:hint="eastAsia" w:ascii="宋体" w:hAnsi="宋体" w:cs="宋体"/>
                <w:color w:val="auto"/>
                <w:kern w:val="0"/>
                <w:sz w:val="18"/>
                <w:szCs w:val="18"/>
                <w:highlight w:val="none"/>
                <w:lang w:bidi="ar"/>
              </w:rPr>
              <w:t>满分1分。</w:t>
            </w:r>
          </w:p>
          <w:p>
            <w:pPr>
              <w:widowControl/>
              <w:textAlignment w:val="center"/>
              <w:rPr>
                <w:rFonts w:hint="eastAsia" w:ascii="宋体" w:hAnsi="宋体" w:eastAsia="宋体" w:cs="宋体"/>
                <w:color w:val="auto"/>
                <w:kern w:val="0"/>
                <w:sz w:val="18"/>
                <w:szCs w:val="18"/>
                <w:highlight w:val="none"/>
                <w:lang w:eastAsia="zh-CN" w:bidi="ar"/>
              </w:rPr>
            </w:pPr>
            <w:r>
              <w:rPr>
                <w:rFonts w:hint="eastAsia" w:ascii="宋体" w:hAnsi="宋体" w:cs="宋体"/>
                <w:color w:val="auto"/>
                <w:kern w:val="0"/>
                <w:sz w:val="18"/>
                <w:szCs w:val="18"/>
                <w:highlight w:val="none"/>
                <w:lang w:val="en-US" w:eastAsia="zh-CN" w:bidi="ar"/>
              </w:rPr>
              <w:t>⑥</w:t>
            </w:r>
            <w:r>
              <w:rPr>
                <w:rFonts w:hint="eastAsia" w:ascii="宋体" w:hAnsi="宋体" w:cs="宋体"/>
                <w:color w:val="auto"/>
                <w:kern w:val="0"/>
                <w:sz w:val="18"/>
                <w:szCs w:val="18"/>
                <w:highlight w:val="none"/>
                <w:lang w:bidi="ar"/>
              </w:rPr>
              <w:t>利用淡化海水等其他非常规水源的，得0.5分</w:t>
            </w:r>
            <w:r>
              <w:rPr>
                <w:rFonts w:hint="eastAsia" w:ascii="宋体" w:hAnsi="宋体" w:cs="宋体"/>
                <w:color w:val="auto"/>
                <w:kern w:val="0"/>
                <w:sz w:val="18"/>
                <w:szCs w:val="18"/>
                <w:highlight w:val="none"/>
                <w:lang w:eastAsia="zh-CN" w:bidi="ar"/>
              </w:rPr>
              <w:t>，</w:t>
            </w:r>
            <w:r>
              <w:rPr>
                <w:rFonts w:hint="eastAsia" w:ascii="宋体" w:hAnsi="宋体" w:cs="宋体"/>
                <w:color w:val="FF0000"/>
                <w:kern w:val="0"/>
                <w:sz w:val="18"/>
                <w:szCs w:val="18"/>
                <w:highlight w:val="none"/>
                <w:lang w:val="en-US" w:eastAsia="zh-CN" w:bidi="ar"/>
              </w:rPr>
              <w:t>不涉及海水利用的，计缺项。</w:t>
            </w:r>
          </w:p>
        </w:tc>
        <w:tc>
          <w:tcPr>
            <w:tcW w:w="537" w:type="pct"/>
            <w:shd w:val="clear" w:color="auto" w:fill="auto"/>
            <w:noWrap/>
            <w:vAlign w:val="center"/>
          </w:tcPr>
          <w:p>
            <w:pPr>
              <w:jc w:val="center"/>
              <w:textAlignment w:val="center"/>
              <w:rPr>
                <w:rFonts w:hint="eastAsia" w:ascii="宋体" w:hAnsi="宋体" w:eastAsia="宋体" w:cs="宋体"/>
                <w:color w:val="auto"/>
                <w:kern w:val="0"/>
                <w:sz w:val="18"/>
                <w:szCs w:val="18"/>
                <w:highlight w:val="none"/>
                <w:lang w:eastAsia="zh-CN" w:bidi="ar"/>
              </w:rPr>
            </w:pPr>
            <w:r>
              <w:rPr>
                <w:rFonts w:hint="eastAsia" w:ascii="宋体" w:hAnsi="宋体" w:cs="宋体"/>
                <w:color w:val="auto"/>
                <w:kern w:val="0"/>
                <w:sz w:val="18"/>
                <w:szCs w:val="18"/>
                <w:highlight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trPr>
        <w:tc>
          <w:tcPr>
            <w:tcW w:w="30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8</w:t>
            </w:r>
          </w:p>
        </w:tc>
        <w:tc>
          <w:tcPr>
            <w:tcW w:w="759" w:type="pct"/>
            <w:shd w:val="clear" w:color="auto" w:fill="auto"/>
            <w:noWrap/>
            <w:vAlign w:val="center"/>
          </w:tcPr>
          <w:p>
            <w:pPr>
              <w:widowControl/>
              <w:adjustRightInd w:val="0"/>
              <w:snapToGrid w:val="0"/>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节水宣传</w:t>
            </w:r>
          </w:p>
        </w:tc>
        <w:tc>
          <w:tcPr>
            <w:tcW w:w="3393" w:type="pct"/>
            <w:shd w:val="clear" w:color="auto" w:fill="auto"/>
            <w:vAlign w:val="center"/>
          </w:tcPr>
          <w:p>
            <w:pPr>
              <w:widowControl/>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①有年度节水宣传计划，得1分。</w:t>
            </w:r>
          </w:p>
          <w:p>
            <w:pPr>
              <w:widowControl/>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②制定并实施节水行为规范，得1分。</w:t>
            </w:r>
          </w:p>
          <w:p>
            <w:pPr>
              <w:widowControl/>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③在相关宣传周（日）开展形式多样的节水宣传主题活动，每开展一次得1分，满分3分。</w:t>
            </w:r>
          </w:p>
          <w:p>
            <w:pPr>
              <w:widowControl/>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④建设节水专车/专列、节水主题车站，每建设1项得0.5分，满分1分。</w:t>
            </w:r>
          </w:p>
          <w:p>
            <w:pP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⑤在卫生间、开水间等主要用水场所和水龙头、便器等主要用水设施的醒目位置张贴节水标语和标识，得2分，少1处扣0.5分，扣完为止。</w:t>
            </w:r>
          </w:p>
          <w:p>
            <w:pP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⑥经常性开展节约用水培训，并积极参与节水志愿服务活动，得2分。少一项扣</w:t>
            </w:r>
            <w:r>
              <w:rPr>
                <w:rFonts w:ascii="宋体" w:hAnsi="宋体" w:cs="宋体"/>
                <w:color w:val="auto"/>
                <w:kern w:val="0"/>
                <w:sz w:val="18"/>
                <w:szCs w:val="18"/>
                <w:highlight w:val="none"/>
                <w:lang w:bidi="ar"/>
              </w:rPr>
              <w:t>1</w:t>
            </w:r>
            <w:r>
              <w:rPr>
                <w:rFonts w:hint="eastAsia" w:ascii="宋体" w:hAnsi="宋体" w:cs="宋体"/>
                <w:color w:val="auto"/>
                <w:kern w:val="0"/>
                <w:sz w:val="18"/>
                <w:szCs w:val="18"/>
                <w:highlight w:val="none"/>
                <w:lang w:bidi="ar"/>
              </w:rPr>
              <w:t>分，扣完为止。</w:t>
            </w:r>
          </w:p>
        </w:tc>
        <w:tc>
          <w:tcPr>
            <w:tcW w:w="537" w:type="pct"/>
            <w:shd w:val="clear" w:color="auto" w:fill="auto"/>
            <w:noWrap/>
            <w:vAlign w:val="center"/>
          </w:tcPr>
          <w:p>
            <w:pPr>
              <w:jc w:val="center"/>
              <w:textAlignment w:val="center"/>
              <w:rPr>
                <w:rFonts w:ascii="宋体" w:hAnsi="宋体" w:cs="宋体"/>
                <w:color w:val="auto"/>
                <w:kern w:val="0"/>
                <w:sz w:val="18"/>
                <w:szCs w:val="18"/>
                <w:highlight w:val="none"/>
                <w:lang w:bidi="ar"/>
              </w:rPr>
            </w:pPr>
            <w:r>
              <w:rPr>
                <w:rFonts w:hint="eastAsia" w:ascii="宋体" w:hAnsi="宋体" w:cs="宋体"/>
                <w:color w:val="auto"/>
                <w:kern w:val="0"/>
                <w:sz w:val="18"/>
                <w:szCs w:val="18"/>
                <w:highlight w:val="none"/>
                <w:lang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4462" w:type="pct"/>
            <w:gridSpan w:val="3"/>
            <w:shd w:val="clear" w:color="auto" w:fill="auto"/>
            <w:noWrap/>
            <w:vAlign w:val="center"/>
          </w:tcPr>
          <w:p>
            <w:pPr>
              <w:widowControl/>
              <w:adjustRightInd w:val="0"/>
              <w:snapToGrid w:val="0"/>
              <w:jc w:val="center"/>
              <w:textAlignment w:val="center"/>
              <w:rPr>
                <w:rFonts w:ascii="宋体" w:hAnsi="宋体" w:cs="宋体"/>
                <w:b/>
                <w:color w:val="auto"/>
                <w:kern w:val="0"/>
                <w:sz w:val="18"/>
                <w:szCs w:val="18"/>
                <w:highlight w:val="none"/>
                <w:lang w:bidi="ar"/>
              </w:rPr>
            </w:pPr>
            <w:r>
              <w:rPr>
                <w:rFonts w:hint="eastAsia" w:ascii="宋体" w:hAnsi="宋体" w:cs="宋体"/>
                <w:bCs/>
                <w:color w:val="auto"/>
                <w:kern w:val="0"/>
                <w:sz w:val="18"/>
                <w:szCs w:val="18"/>
                <w:highlight w:val="none"/>
                <w:lang w:bidi="ar"/>
              </w:rPr>
              <w:t>小计</w:t>
            </w:r>
          </w:p>
        </w:tc>
        <w:tc>
          <w:tcPr>
            <w:tcW w:w="537" w:type="pct"/>
            <w:shd w:val="clear" w:color="auto" w:fill="auto"/>
            <w:noWrap/>
            <w:vAlign w:val="center"/>
          </w:tcPr>
          <w:p>
            <w:pPr>
              <w:jc w:val="center"/>
              <w:textAlignment w:val="center"/>
              <w:rPr>
                <w:rFonts w:ascii="宋体" w:hAnsi="宋体" w:cs="宋体"/>
                <w:b/>
                <w:color w:val="auto"/>
                <w:kern w:val="0"/>
                <w:sz w:val="18"/>
                <w:szCs w:val="18"/>
                <w:highlight w:val="none"/>
                <w:lang w:bidi="ar"/>
              </w:rPr>
            </w:pPr>
            <w:r>
              <w:rPr>
                <w:rFonts w:hint="eastAsia" w:ascii="宋体" w:hAnsi="宋体" w:cs="宋体"/>
                <w:bCs/>
                <w:color w:val="auto"/>
                <w:kern w:val="0"/>
                <w:sz w:val="18"/>
                <w:szCs w:val="18"/>
                <w:highlight w:val="none"/>
                <w:lang w:bidi="ar"/>
              </w:rPr>
              <w:t>50</w:t>
            </w:r>
          </w:p>
        </w:tc>
      </w:tr>
    </w:tbl>
    <w:p>
      <w:pPr>
        <w:spacing w:before="156" w:beforeLines="50" w:after="156" w:afterLines="50" w:line="400" w:lineRule="exact"/>
        <w:jc w:val="center"/>
        <w:outlineLvl w:val="1"/>
        <w:rPr>
          <w:rFonts w:ascii="黑体" w:hAnsi="黑体" w:eastAsia="黑体"/>
          <w:b/>
          <w:color w:val="auto"/>
          <w:szCs w:val="21"/>
          <w:highlight w:val="none"/>
        </w:rPr>
      </w:pPr>
      <w:r>
        <w:rPr>
          <w:rFonts w:hint="eastAsia" w:ascii="黑体" w:hAnsi="黑体" w:eastAsia="黑体"/>
          <w:b/>
          <w:color w:val="auto"/>
          <w:szCs w:val="21"/>
          <w:highlight w:val="none"/>
        </w:rPr>
        <w:t>表2  技术指标和评分细则（道路交通汽车客运车站）</w:t>
      </w:r>
    </w:p>
    <w:tbl>
      <w:tblPr>
        <w:tblStyle w:val="7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3"/>
        <w:gridCol w:w="1888"/>
        <w:gridCol w:w="6058"/>
        <w:gridCol w:w="1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blHeader/>
          <w:jc w:val="center"/>
        </w:trPr>
        <w:tc>
          <w:tcPr>
            <w:tcW w:w="305"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序号</w:t>
            </w:r>
          </w:p>
        </w:tc>
        <w:tc>
          <w:tcPr>
            <w:tcW w:w="986"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评价指标类别</w:t>
            </w:r>
          </w:p>
        </w:tc>
        <w:tc>
          <w:tcPr>
            <w:tcW w:w="3163"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评分细则</w:t>
            </w:r>
          </w:p>
        </w:tc>
        <w:tc>
          <w:tcPr>
            <w:tcW w:w="544"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305"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1</w:t>
            </w:r>
          </w:p>
        </w:tc>
        <w:tc>
          <w:tcPr>
            <w:tcW w:w="986"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年用水总量</w:t>
            </w:r>
          </w:p>
        </w:tc>
        <w:tc>
          <w:tcPr>
            <w:tcW w:w="3163" w:type="pct"/>
            <w:shd w:val="clear" w:color="auto" w:fill="auto"/>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年用水总量≤</w:t>
            </w:r>
            <w:r>
              <w:rPr>
                <w:rFonts w:hint="eastAsia" w:ascii="宋体" w:hAnsi="宋体" w:cs="宋体"/>
                <w:color w:val="auto"/>
                <w:sz w:val="18"/>
                <w:szCs w:val="18"/>
                <w:highlight w:val="none"/>
              </w:rPr>
              <w:t>年度计划用水指标，得15分；年度计划用水指标＜</w:t>
            </w:r>
            <w:r>
              <w:rPr>
                <w:rFonts w:hint="eastAsia" w:ascii="宋体" w:hAnsi="宋体" w:cs="宋体"/>
                <w:color w:val="auto"/>
                <w:kern w:val="0"/>
                <w:sz w:val="18"/>
                <w:szCs w:val="18"/>
                <w:highlight w:val="none"/>
              </w:rPr>
              <w:t>年用水总量≤</w:t>
            </w:r>
            <w:r>
              <w:rPr>
                <w:rFonts w:hint="eastAsia" w:ascii="宋体" w:hAnsi="宋体" w:cs="宋体"/>
                <w:color w:val="auto"/>
                <w:sz w:val="18"/>
                <w:szCs w:val="18"/>
                <w:highlight w:val="none"/>
              </w:rPr>
              <w:t>按车站用水定额核算的年度用水总量，按比例赋分；</w:t>
            </w:r>
            <w:r>
              <w:rPr>
                <w:rFonts w:hint="eastAsia" w:ascii="宋体" w:hAnsi="宋体" w:cs="宋体"/>
                <w:color w:val="auto"/>
                <w:kern w:val="0"/>
                <w:sz w:val="18"/>
                <w:szCs w:val="18"/>
                <w:highlight w:val="none"/>
              </w:rPr>
              <w:t>年用水总量</w:t>
            </w:r>
            <w:r>
              <w:rPr>
                <w:rFonts w:hint="eastAsia" w:ascii="宋体" w:hAnsi="宋体" w:cs="宋体"/>
                <w:color w:val="auto"/>
                <w:sz w:val="18"/>
                <w:szCs w:val="18"/>
                <w:highlight w:val="none"/>
              </w:rPr>
              <w:t>＞按</w:t>
            </w:r>
            <w:r>
              <w:rPr>
                <w:rFonts w:hint="eastAsia" w:ascii="宋体" w:hAnsi="宋体" w:cs="宋体"/>
                <w:color w:val="auto"/>
                <w:kern w:val="0"/>
                <w:sz w:val="18"/>
                <w:szCs w:val="18"/>
                <w:highlight w:val="none"/>
              </w:rPr>
              <w:t>车站用水定额核算的年度用水总量</w:t>
            </w:r>
            <w:r>
              <w:rPr>
                <w:rFonts w:hint="eastAsia" w:ascii="宋体" w:hAnsi="宋体" w:cs="宋体"/>
                <w:color w:val="auto"/>
                <w:sz w:val="18"/>
                <w:szCs w:val="18"/>
                <w:highlight w:val="none"/>
              </w:rPr>
              <w:t>，不得分。</w:t>
            </w:r>
          </w:p>
        </w:tc>
        <w:tc>
          <w:tcPr>
            <w:tcW w:w="544"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sz w:val="18"/>
                <w:szCs w:val="18"/>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305"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2</w:t>
            </w:r>
          </w:p>
        </w:tc>
        <w:tc>
          <w:tcPr>
            <w:tcW w:w="986"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单位车辆</w:t>
            </w:r>
          </w:p>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补水量</w:t>
            </w:r>
          </w:p>
        </w:tc>
        <w:tc>
          <w:tcPr>
            <w:tcW w:w="3163" w:type="pct"/>
            <w:shd w:val="clear" w:color="auto" w:fill="auto"/>
            <w:vAlign w:val="center"/>
          </w:tcPr>
          <w:p>
            <w:pPr>
              <w:widowControl/>
              <w:jc w:val="left"/>
              <w:rPr>
                <w:rFonts w:ascii="宋体" w:hAnsi="宋体" w:cs="宋体"/>
                <w:color w:val="auto"/>
                <w:kern w:val="0"/>
                <w:sz w:val="18"/>
                <w:szCs w:val="18"/>
                <w:highlight w:val="none"/>
              </w:rPr>
            </w:pPr>
            <w:r>
              <w:rPr>
                <w:rFonts w:hint="eastAsia" w:ascii="宋体" w:hAnsi="宋体" w:cs="宋体"/>
                <w:color w:val="auto"/>
                <w:sz w:val="18"/>
                <w:szCs w:val="18"/>
                <w:highlight w:val="none"/>
              </w:rPr>
              <w:t>符合DB13/T 5450.2的相关规定。车站大中型客车单位车辆补水量</w:t>
            </w:r>
            <w:r>
              <w:rPr>
                <w:rFonts w:hint="eastAsia" w:ascii="宋体" w:hAnsi="宋体" w:cs="宋体"/>
                <w:color w:val="auto"/>
                <w:kern w:val="0"/>
                <w:sz w:val="18"/>
                <w:szCs w:val="18"/>
                <w:highlight w:val="none"/>
              </w:rPr>
              <w:t>≤</w:t>
            </w:r>
            <w:r>
              <w:rPr>
                <w:rFonts w:hint="eastAsia" w:ascii="宋体" w:hAnsi="宋体" w:cs="宋体"/>
                <w:color w:val="auto"/>
                <w:sz w:val="18"/>
                <w:szCs w:val="18"/>
                <w:highlight w:val="none"/>
              </w:rPr>
              <w:t>通用值，得5分，否则不得分。如无车辆补水，计缺项。</w:t>
            </w:r>
          </w:p>
        </w:tc>
        <w:tc>
          <w:tcPr>
            <w:tcW w:w="544"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sz w:val="18"/>
                <w:szCs w:val="18"/>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305"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3</w:t>
            </w:r>
          </w:p>
        </w:tc>
        <w:tc>
          <w:tcPr>
            <w:tcW w:w="986"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道路运输辅助活动</w:t>
            </w:r>
          </w:p>
          <w:p>
            <w:pPr>
              <w:widowControl/>
              <w:jc w:val="center"/>
              <w:rPr>
                <w:rFonts w:ascii="宋体" w:hAnsi="宋体" w:cs="宋体"/>
                <w:color w:val="auto"/>
                <w:kern w:val="0"/>
                <w:sz w:val="18"/>
                <w:szCs w:val="18"/>
                <w:highlight w:val="none"/>
              </w:rPr>
            </w:pPr>
            <w:r>
              <w:rPr>
                <w:rFonts w:hint="eastAsia" w:ascii="宋体" w:hAnsi="宋体" w:cs="宋体"/>
                <w:strike/>
                <w:dstrike w:val="0"/>
                <w:color w:val="FF0000"/>
                <w:kern w:val="0"/>
                <w:sz w:val="18"/>
                <w:szCs w:val="18"/>
                <w:highlight w:val="none"/>
              </w:rPr>
              <w:t>单位人次</w:t>
            </w:r>
            <w:r>
              <w:rPr>
                <w:rFonts w:hint="eastAsia" w:ascii="宋体" w:hAnsi="宋体" w:cs="宋体"/>
                <w:color w:val="auto"/>
                <w:kern w:val="0"/>
                <w:sz w:val="18"/>
                <w:szCs w:val="18"/>
                <w:highlight w:val="none"/>
              </w:rPr>
              <w:t>用水量</w:t>
            </w:r>
          </w:p>
        </w:tc>
        <w:tc>
          <w:tcPr>
            <w:tcW w:w="3163" w:type="pct"/>
            <w:shd w:val="clear" w:color="auto" w:fill="auto"/>
            <w:vAlign w:val="center"/>
          </w:tcPr>
          <w:p>
            <w:pPr>
              <w:widowControl/>
              <w:jc w:val="left"/>
              <w:rPr>
                <w:rFonts w:hint="eastAsia" w:ascii="宋体" w:hAnsi="宋体" w:eastAsia="宋体" w:cs="宋体"/>
                <w:color w:val="auto"/>
                <w:sz w:val="18"/>
                <w:szCs w:val="18"/>
                <w:highlight w:val="none"/>
                <w:lang w:eastAsia="zh-CN"/>
              </w:rPr>
            </w:pPr>
            <w:r>
              <w:rPr>
                <w:rFonts w:hint="eastAsia" w:ascii="宋体" w:hAnsi="宋体" w:cs="宋体"/>
                <w:color w:val="auto"/>
                <w:sz w:val="18"/>
                <w:szCs w:val="18"/>
                <w:highlight w:val="none"/>
              </w:rPr>
              <w:t>符合DB13/T 5450.2的相关规定。</w:t>
            </w:r>
            <w:r>
              <w:rPr>
                <w:rFonts w:hint="eastAsia" w:ascii="宋体" w:hAnsi="宋体" w:cs="宋体"/>
                <w:color w:val="auto"/>
                <w:kern w:val="0"/>
                <w:sz w:val="18"/>
                <w:szCs w:val="18"/>
                <w:highlight w:val="none"/>
              </w:rPr>
              <w:t>新（改、扩）建车站的道路运输辅助活动单位人次用水量≤</w:t>
            </w:r>
            <w:r>
              <w:rPr>
                <w:rFonts w:hint="eastAsia" w:ascii="宋体" w:hAnsi="宋体" w:cs="宋体"/>
                <w:color w:val="auto"/>
                <w:sz w:val="18"/>
                <w:szCs w:val="18"/>
                <w:highlight w:val="none"/>
              </w:rPr>
              <w:t>0.9×先进值，得10分；</w:t>
            </w:r>
            <w:r>
              <w:rPr>
                <w:rFonts w:hint="eastAsia" w:ascii="宋体" w:hAnsi="宋体" w:cs="宋体"/>
                <w:color w:val="auto"/>
                <w:kern w:val="0"/>
                <w:sz w:val="18"/>
                <w:szCs w:val="18"/>
                <w:highlight w:val="none"/>
              </w:rPr>
              <w:t>道路运输辅助活动单位人次用水量</w:t>
            </w:r>
            <w:r>
              <w:rPr>
                <w:rFonts w:hint="eastAsia" w:ascii="宋体" w:hAnsi="宋体" w:cs="宋体"/>
                <w:color w:val="auto"/>
                <w:kern w:val="0"/>
                <w:sz w:val="18"/>
                <w:szCs w:val="18"/>
                <w:highlight w:val="none"/>
                <w:lang w:val="en-US" w:eastAsia="zh-CN"/>
              </w:rPr>
              <w:t>=</w:t>
            </w:r>
            <w:r>
              <w:rPr>
                <w:rFonts w:hint="eastAsia" w:ascii="宋体" w:hAnsi="宋体" w:cs="宋体"/>
                <w:color w:val="auto"/>
                <w:sz w:val="18"/>
                <w:szCs w:val="18"/>
                <w:highlight w:val="none"/>
              </w:rPr>
              <w:t>先进值，得8分</w:t>
            </w:r>
            <w:r>
              <w:rPr>
                <w:rFonts w:hint="eastAsia" w:ascii="宋体" w:hAnsi="宋体" w:cs="宋体"/>
                <w:color w:val="auto"/>
                <w:sz w:val="18"/>
                <w:szCs w:val="18"/>
                <w:highlight w:val="none"/>
                <w:lang w:eastAsia="zh-CN"/>
              </w:rPr>
              <w:t>；</w:t>
            </w:r>
            <w:r>
              <w:rPr>
                <w:rFonts w:hint="eastAsia" w:ascii="宋体" w:hAnsi="宋体" w:cs="宋体"/>
                <w:color w:val="auto"/>
                <w:sz w:val="18"/>
                <w:szCs w:val="18"/>
                <w:highlight w:val="none"/>
              </w:rPr>
              <w:t>0.9×先进值＜</w:t>
            </w:r>
            <w:r>
              <w:rPr>
                <w:rFonts w:hint="eastAsia" w:ascii="宋体" w:hAnsi="宋体" w:cs="宋体"/>
                <w:color w:val="auto"/>
                <w:kern w:val="0"/>
                <w:sz w:val="18"/>
                <w:szCs w:val="18"/>
                <w:highlight w:val="none"/>
              </w:rPr>
              <w:t>道路运输辅助活动单位人次用水量</w:t>
            </w:r>
            <w:r>
              <w:rPr>
                <w:rFonts w:hint="eastAsia" w:ascii="宋体" w:hAnsi="宋体" w:cs="宋体"/>
                <w:color w:val="auto"/>
                <w:sz w:val="18"/>
                <w:szCs w:val="18"/>
                <w:highlight w:val="none"/>
              </w:rPr>
              <w:t>＜先进值，按比例赋分</w:t>
            </w:r>
            <w:r>
              <w:rPr>
                <w:rFonts w:hint="eastAsia" w:ascii="宋体" w:hAnsi="宋体" w:cs="宋体"/>
                <w:color w:val="auto"/>
                <w:sz w:val="18"/>
                <w:szCs w:val="18"/>
                <w:highlight w:val="none"/>
                <w:lang w:eastAsia="zh-CN"/>
              </w:rPr>
              <w:t>；</w:t>
            </w:r>
            <w:r>
              <w:rPr>
                <w:rFonts w:hint="eastAsia" w:ascii="宋体" w:hAnsi="宋体" w:cs="宋体"/>
                <w:color w:val="auto"/>
                <w:kern w:val="0"/>
                <w:sz w:val="18"/>
                <w:szCs w:val="18"/>
                <w:highlight w:val="none"/>
              </w:rPr>
              <w:t>道路运输辅助活动单位人次用水量</w:t>
            </w:r>
            <w:r>
              <w:rPr>
                <w:rFonts w:hint="eastAsia" w:ascii="微软雅黑" w:hAnsi="微软雅黑" w:eastAsia="微软雅黑" w:cs="微软雅黑"/>
                <w:color w:val="auto"/>
                <w:kern w:val="0"/>
                <w:sz w:val="18"/>
                <w:szCs w:val="18"/>
                <w:highlight w:val="none"/>
              </w:rPr>
              <w:t>&gt;</w:t>
            </w:r>
            <w:r>
              <w:rPr>
                <w:rFonts w:hint="eastAsia" w:ascii="宋体" w:hAnsi="宋体" w:cs="宋体"/>
                <w:color w:val="auto"/>
                <w:sz w:val="18"/>
                <w:szCs w:val="18"/>
                <w:highlight w:val="none"/>
              </w:rPr>
              <w:t>先进值，不得分</w:t>
            </w:r>
            <w:r>
              <w:rPr>
                <w:rFonts w:hint="eastAsia" w:ascii="宋体" w:hAnsi="宋体" w:cs="宋体"/>
                <w:color w:val="auto"/>
                <w:sz w:val="18"/>
                <w:szCs w:val="18"/>
                <w:highlight w:val="none"/>
                <w:lang w:eastAsia="zh-CN"/>
              </w:rPr>
              <w:t>。</w:t>
            </w:r>
          </w:p>
          <w:p>
            <w:pPr>
              <w:widowControl/>
              <w:jc w:val="left"/>
              <w:rPr>
                <w:rFonts w:hint="eastAsia" w:ascii="宋体" w:hAnsi="宋体" w:eastAsia="宋体" w:cs="宋体"/>
                <w:color w:val="auto"/>
                <w:sz w:val="18"/>
                <w:szCs w:val="18"/>
                <w:highlight w:val="none"/>
                <w:lang w:eastAsia="zh-CN"/>
              </w:rPr>
            </w:pPr>
            <w:r>
              <w:rPr>
                <w:rFonts w:hint="eastAsia" w:ascii="宋体" w:hAnsi="宋体" w:cs="宋体"/>
                <w:color w:val="auto"/>
                <w:sz w:val="18"/>
                <w:szCs w:val="18"/>
                <w:highlight w:val="none"/>
              </w:rPr>
              <w:t>已建车站的</w:t>
            </w:r>
            <w:r>
              <w:rPr>
                <w:rFonts w:hint="eastAsia" w:ascii="宋体" w:hAnsi="宋体" w:cs="宋体"/>
                <w:color w:val="auto"/>
                <w:kern w:val="0"/>
                <w:sz w:val="18"/>
                <w:szCs w:val="18"/>
                <w:highlight w:val="none"/>
              </w:rPr>
              <w:t>道路运输辅助活动单位人次用水量≤</w:t>
            </w:r>
            <w:r>
              <w:rPr>
                <w:rFonts w:hint="eastAsia" w:ascii="宋体" w:hAnsi="宋体" w:cs="宋体"/>
                <w:color w:val="auto"/>
                <w:sz w:val="18"/>
                <w:szCs w:val="18"/>
                <w:highlight w:val="none"/>
              </w:rPr>
              <w:t>先进值，得10分；</w:t>
            </w:r>
            <w:r>
              <w:rPr>
                <w:rFonts w:hint="eastAsia" w:ascii="宋体" w:hAnsi="宋体" w:cs="宋体"/>
                <w:color w:val="auto"/>
                <w:kern w:val="0"/>
                <w:sz w:val="18"/>
                <w:szCs w:val="18"/>
                <w:highlight w:val="none"/>
              </w:rPr>
              <w:t>道路运输辅助活动单位人次用水量</w:t>
            </w:r>
            <w:r>
              <w:rPr>
                <w:rFonts w:hint="eastAsia" w:ascii="宋体" w:hAnsi="宋体" w:cs="宋体"/>
                <w:color w:val="auto"/>
                <w:kern w:val="0"/>
                <w:sz w:val="18"/>
                <w:szCs w:val="18"/>
                <w:highlight w:val="none"/>
                <w:lang w:val="en-US" w:eastAsia="zh-CN"/>
              </w:rPr>
              <w:t>=</w:t>
            </w:r>
            <w:r>
              <w:rPr>
                <w:rFonts w:hint="eastAsia" w:ascii="宋体" w:hAnsi="宋体" w:cs="宋体"/>
                <w:color w:val="auto"/>
                <w:sz w:val="18"/>
                <w:szCs w:val="18"/>
                <w:highlight w:val="none"/>
              </w:rPr>
              <w:t>通用值，得2分；先进值＜</w:t>
            </w:r>
            <w:r>
              <w:rPr>
                <w:rFonts w:hint="eastAsia" w:ascii="宋体" w:hAnsi="宋体" w:cs="宋体"/>
                <w:color w:val="auto"/>
                <w:kern w:val="0"/>
                <w:sz w:val="18"/>
                <w:szCs w:val="18"/>
                <w:highlight w:val="none"/>
              </w:rPr>
              <w:t>道路运输辅助活动单位人次用水量</w:t>
            </w:r>
            <w:r>
              <w:rPr>
                <w:rFonts w:hint="eastAsia" w:ascii="宋体" w:hAnsi="宋体" w:cs="宋体"/>
                <w:color w:val="auto"/>
                <w:sz w:val="18"/>
                <w:szCs w:val="18"/>
                <w:highlight w:val="none"/>
              </w:rPr>
              <w:t>＜通用值，按比例赋分。</w:t>
            </w:r>
            <w:r>
              <w:rPr>
                <w:rFonts w:hint="eastAsia" w:ascii="宋体" w:hAnsi="宋体" w:cs="宋体"/>
                <w:color w:val="auto"/>
                <w:kern w:val="0"/>
                <w:sz w:val="18"/>
                <w:szCs w:val="18"/>
                <w:highlight w:val="none"/>
              </w:rPr>
              <w:t>道路运输辅助活动单位人次用水量</w:t>
            </w:r>
            <w:r>
              <w:rPr>
                <w:rFonts w:hint="eastAsia" w:ascii="微软雅黑" w:hAnsi="微软雅黑" w:eastAsia="微软雅黑" w:cs="微软雅黑"/>
                <w:color w:val="auto"/>
                <w:kern w:val="0"/>
                <w:sz w:val="18"/>
                <w:szCs w:val="18"/>
                <w:highlight w:val="none"/>
              </w:rPr>
              <w:t>&gt;</w:t>
            </w:r>
            <w:r>
              <w:rPr>
                <w:rFonts w:hint="eastAsia" w:ascii="宋体" w:hAnsi="宋体" w:cs="宋体"/>
                <w:color w:val="auto"/>
                <w:sz w:val="18"/>
                <w:szCs w:val="18"/>
                <w:highlight w:val="none"/>
              </w:rPr>
              <w:t>通用值，不得分</w:t>
            </w:r>
            <w:r>
              <w:rPr>
                <w:rFonts w:hint="eastAsia" w:ascii="宋体" w:hAnsi="宋体" w:cs="宋体"/>
                <w:color w:val="auto"/>
                <w:sz w:val="18"/>
                <w:szCs w:val="18"/>
                <w:highlight w:val="none"/>
                <w:lang w:eastAsia="zh-CN"/>
              </w:rPr>
              <w:t>。</w:t>
            </w:r>
          </w:p>
        </w:tc>
        <w:tc>
          <w:tcPr>
            <w:tcW w:w="544" w:type="pct"/>
            <w:shd w:val="clear" w:color="auto" w:fill="auto"/>
            <w:vAlign w:val="center"/>
          </w:tcPr>
          <w:p>
            <w:pPr>
              <w:widowControl/>
              <w:jc w:val="center"/>
              <w:rPr>
                <w:rFonts w:ascii="宋体" w:hAnsi="宋体" w:cs="宋体"/>
                <w:color w:val="auto"/>
                <w:sz w:val="18"/>
                <w:szCs w:val="18"/>
                <w:highlight w:val="none"/>
              </w:rPr>
            </w:pPr>
            <w:r>
              <w:rPr>
                <w:rFonts w:hint="eastAsia" w:ascii="宋体" w:hAnsi="宋体" w:cs="宋体"/>
                <w:color w:val="auto"/>
                <w:sz w:val="18"/>
                <w:szCs w:val="18"/>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305"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4</w:t>
            </w:r>
          </w:p>
        </w:tc>
        <w:tc>
          <w:tcPr>
            <w:tcW w:w="986"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水计量器具配备率</w:t>
            </w:r>
          </w:p>
        </w:tc>
        <w:tc>
          <w:tcPr>
            <w:tcW w:w="3163" w:type="pct"/>
            <w:shd w:val="clear" w:color="auto" w:fill="auto"/>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符合GB/T 24789的相关规定。</w:t>
            </w:r>
            <w:r>
              <w:rPr>
                <w:rFonts w:hint="eastAsia" w:ascii="宋体" w:hAnsi="宋体" w:cs="宋体"/>
                <w:color w:val="auto"/>
                <w:sz w:val="18"/>
                <w:szCs w:val="18"/>
                <w:highlight w:val="none"/>
              </w:rPr>
              <w:t>①</w:t>
            </w:r>
            <w:r>
              <w:rPr>
                <w:rFonts w:hint="eastAsia" w:ascii="宋体" w:hAnsi="宋体" w:cs="宋体"/>
                <w:color w:val="auto"/>
                <w:sz w:val="18"/>
                <w:szCs w:val="21"/>
                <w:highlight w:val="none"/>
              </w:rPr>
              <w:t>用水单位（一级）</w:t>
            </w:r>
            <w:r>
              <w:rPr>
                <w:rFonts w:hint="eastAsia" w:ascii="宋体" w:hAnsi="宋体" w:cs="宋体"/>
                <w:color w:val="auto"/>
                <w:sz w:val="18"/>
                <w:szCs w:val="18"/>
                <w:highlight w:val="none"/>
              </w:rPr>
              <w:t>水计量器具配备率达到100%，得2分。②</w:t>
            </w:r>
            <w:r>
              <w:rPr>
                <w:rFonts w:hint="eastAsia" w:ascii="宋体" w:hAnsi="宋体" w:cs="宋体"/>
                <w:color w:val="auto"/>
                <w:sz w:val="18"/>
                <w:szCs w:val="21"/>
                <w:highlight w:val="none"/>
              </w:rPr>
              <w:t>建筑/功能区域（二级）</w:t>
            </w:r>
            <w:r>
              <w:rPr>
                <w:rFonts w:hint="eastAsia" w:ascii="宋体" w:hAnsi="宋体" w:cs="宋体"/>
                <w:color w:val="auto"/>
                <w:sz w:val="18"/>
                <w:szCs w:val="18"/>
                <w:highlight w:val="none"/>
              </w:rPr>
              <w:t>水计量器具配备率既有建筑≥95%，得4分，否则不得分；新建建筑达到100%，得4分，95%</w:t>
            </w:r>
            <w:r>
              <w:rPr>
                <w:rFonts w:hint="eastAsia" w:ascii="宋体" w:hAnsi="宋体" w:cs="宋体"/>
                <w:color w:val="auto"/>
                <w:kern w:val="0"/>
                <w:sz w:val="18"/>
                <w:szCs w:val="18"/>
                <w:highlight w:val="none"/>
              </w:rPr>
              <w:t>≤新建</w:t>
            </w:r>
            <w:r>
              <w:rPr>
                <w:rFonts w:hint="eastAsia" w:ascii="宋体" w:hAnsi="宋体" w:cs="宋体"/>
                <w:color w:val="auto"/>
                <w:sz w:val="18"/>
                <w:szCs w:val="21"/>
                <w:highlight w:val="none"/>
              </w:rPr>
              <w:t>建筑/功能区域（二级）</w:t>
            </w:r>
            <w:r>
              <w:rPr>
                <w:rFonts w:hint="eastAsia" w:ascii="宋体" w:hAnsi="宋体" w:cs="宋体"/>
                <w:color w:val="auto"/>
                <w:sz w:val="18"/>
                <w:szCs w:val="18"/>
                <w:highlight w:val="none"/>
              </w:rPr>
              <w:t>水计量器具配备率</w:t>
            </w:r>
            <w:r>
              <w:rPr>
                <w:rFonts w:hint="eastAsia" w:ascii="宋体" w:hAnsi="宋体" w:cs="宋体"/>
                <w:color w:val="auto"/>
                <w:kern w:val="0"/>
                <w:sz w:val="18"/>
                <w:szCs w:val="18"/>
                <w:highlight w:val="none"/>
              </w:rPr>
              <w:t>＜</w:t>
            </w:r>
            <w:r>
              <w:rPr>
                <w:rFonts w:hint="eastAsia" w:ascii="宋体" w:hAnsi="宋体" w:cs="宋体"/>
                <w:color w:val="auto"/>
                <w:sz w:val="18"/>
                <w:szCs w:val="18"/>
                <w:highlight w:val="none"/>
              </w:rPr>
              <w:t>100%，按比例赋分；新建</w:t>
            </w:r>
            <w:r>
              <w:rPr>
                <w:rFonts w:hint="eastAsia" w:ascii="宋体" w:hAnsi="宋体" w:cs="宋体"/>
                <w:color w:val="auto"/>
                <w:sz w:val="18"/>
                <w:szCs w:val="21"/>
                <w:highlight w:val="none"/>
              </w:rPr>
              <w:t>建筑/功能区域（二级）</w:t>
            </w:r>
            <w:r>
              <w:rPr>
                <w:rFonts w:hint="eastAsia" w:ascii="宋体" w:hAnsi="宋体" w:cs="宋体"/>
                <w:color w:val="auto"/>
                <w:sz w:val="18"/>
                <w:szCs w:val="18"/>
                <w:highlight w:val="none"/>
              </w:rPr>
              <w:t>水计量器具配备率＜95%，不得分。如无</w:t>
            </w:r>
            <w:r>
              <w:rPr>
                <w:rFonts w:hint="eastAsia" w:ascii="宋体" w:hAnsi="宋体" w:cs="宋体"/>
                <w:color w:val="auto"/>
                <w:sz w:val="18"/>
                <w:szCs w:val="21"/>
                <w:highlight w:val="none"/>
              </w:rPr>
              <w:t>建筑/功能区域（二级）</w:t>
            </w:r>
            <w:r>
              <w:rPr>
                <w:rFonts w:hint="eastAsia" w:ascii="宋体" w:hAnsi="宋体" w:cs="宋体"/>
                <w:color w:val="auto"/>
                <w:sz w:val="18"/>
                <w:szCs w:val="18"/>
                <w:highlight w:val="none"/>
              </w:rPr>
              <w:t>计量单位，计缺项。③主要用水设备（用水系统）（三级）水计量器具配备率既有建筑≥85%，得4分，否则不得分；新建建筑达到100%，得4分，85%</w:t>
            </w:r>
            <w:r>
              <w:rPr>
                <w:rFonts w:hint="eastAsia" w:ascii="宋体" w:hAnsi="宋体" w:cs="宋体"/>
                <w:color w:val="auto"/>
                <w:kern w:val="0"/>
                <w:sz w:val="18"/>
                <w:szCs w:val="18"/>
                <w:highlight w:val="none"/>
              </w:rPr>
              <w:t>≤新建建筑</w:t>
            </w:r>
            <w:r>
              <w:rPr>
                <w:rFonts w:hint="eastAsia" w:ascii="宋体" w:hAnsi="宋体" w:cs="宋体"/>
                <w:color w:val="auto"/>
                <w:sz w:val="18"/>
                <w:szCs w:val="18"/>
                <w:highlight w:val="none"/>
              </w:rPr>
              <w:t>主要用水设备（用水系统）（三级）水计量器具配备率</w:t>
            </w:r>
            <w:r>
              <w:rPr>
                <w:rFonts w:hint="eastAsia" w:ascii="宋体" w:hAnsi="宋体" w:cs="宋体"/>
                <w:color w:val="auto"/>
                <w:kern w:val="0"/>
                <w:sz w:val="18"/>
                <w:szCs w:val="18"/>
                <w:highlight w:val="none"/>
              </w:rPr>
              <w:t>＜</w:t>
            </w:r>
            <w:r>
              <w:rPr>
                <w:rFonts w:hint="eastAsia" w:ascii="宋体" w:hAnsi="宋体" w:cs="宋体"/>
                <w:color w:val="auto"/>
                <w:sz w:val="18"/>
                <w:szCs w:val="18"/>
                <w:highlight w:val="none"/>
              </w:rPr>
              <w:t>100%，按比例赋分，</w:t>
            </w:r>
            <w:r>
              <w:rPr>
                <w:rFonts w:hint="eastAsia" w:ascii="宋体" w:hAnsi="宋体" w:cs="宋体"/>
                <w:color w:val="auto"/>
                <w:kern w:val="0"/>
                <w:sz w:val="18"/>
                <w:szCs w:val="18"/>
                <w:highlight w:val="none"/>
              </w:rPr>
              <w:t>新建建筑</w:t>
            </w:r>
            <w:r>
              <w:rPr>
                <w:rFonts w:hint="eastAsia" w:ascii="宋体" w:hAnsi="宋体" w:cs="宋体"/>
                <w:color w:val="auto"/>
                <w:sz w:val="18"/>
                <w:szCs w:val="18"/>
                <w:highlight w:val="none"/>
              </w:rPr>
              <w:t>主要用水设备（用水系统）（三级）水计量器具配备率</w:t>
            </w:r>
            <w:r>
              <w:rPr>
                <w:rFonts w:hint="eastAsia" w:ascii="宋体" w:hAnsi="宋体" w:cs="宋体"/>
                <w:color w:val="auto"/>
                <w:kern w:val="0"/>
                <w:sz w:val="18"/>
                <w:szCs w:val="18"/>
                <w:highlight w:val="none"/>
              </w:rPr>
              <w:t>＜</w:t>
            </w:r>
            <w:r>
              <w:rPr>
                <w:rFonts w:hint="eastAsia" w:ascii="宋体" w:hAnsi="宋体" w:cs="宋体"/>
                <w:color w:val="auto"/>
                <w:sz w:val="18"/>
                <w:szCs w:val="18"/>
                <w:highlight w:val="none"/>
              </w:rPr>
              <w:t>85%，不得分</w:t>
            </w:r>
            <w:r>
              <w:rPr>
                <w:rFonts w:hint="eastAsia" w:ascii="宋体" w:hAnsi="宋体" w:cs="宋体"/>
                <w:color w:val="auto"/>
                <w:kern w:val="0"/>
                <w:sz w:val="18"/>
                <w:szCs w:val="18"/>
                <w:highlight w:val="none"/>
                <w:lang w:bidi="ar"/>
              </w:rPr>
              <w:t>。</w:t>
            </w:r>
            <w:r>
              <w:rPr>
                <w:rFonts w:hint="eastAsia" w:ascii="宋体" w:hAnsi="宋体" w:cs="宋体"/>
                <w:color w:val="auto"/>
                <w:sz w:val="18"/>
                <w:szCs w:val="18"/>
                <w:highlight w:val="none"/>
              </w:rPr>
              <w:t>如无主要用水设备（用水系统）（三级）计量单位，计缺项。</w:t>
            </w:r>
          </w:p>
        </w:tc>
        <w:tc>
          <w:tcPr>
            <w:tcW w:w="544"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sz w:val="18"/>
                <w:szCs w:val="18"/>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305"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5</w:t>
            </w:r>
          </w:p>
        </w:tc>
        <w:tc>
          <w:tcPr>
            <w:tcW w:w="986"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节水器具普及率</w:t>
            </w:r>
          </w:p>
        </w:tc>
        <w:tc>
          <w:tcPr>
            <w:tcW w:w="3163" w:type="pct"/>
            <w:shd w:val="clear" w:color="auto" w:fill="auto"/>
            <w:vAlign w:val="center"/>
          </w:tcPr>
          <w:p>
            <w:pPr>
              <w:widowControl/>
              <w:jc w:val="left"/>
              <w:rPr>
                <w:rFonts w:ascii="宋体" w:hAnsi="宋体" w:cs="宋体"/>
                <w:color w:val="auto"/>
                <w:sz w:val="18"/>
                <w:szCs w:val="18"/>
                <w:highlight w:val="none"/>
              </w:rPr>
            </w:pPr>
            <w:r>
              <w:rPr>
                <w:rFonts w:hint="eastAsia" w:ascii="宋体" w:hAnsi="宋体" w:cs="宋体"/>
                <w:color w:val="auto"/>
                <w:kern w:val="0"/>
                <w:sz w:val="18"/>
                <w:szCs w:val="18"/>
                <w:highlight w:val="none"/>
              </w:rPr>
              <w:t>节水型器具配备</w:t>
            </w:r>
            <w:r>
              <w:rPr>
                <w:rFonts w:hint="eastAsia" w:ascii="宋体" w:hAnsi="宋体" w:cs="宋体"/>
                <w:color w:val="auto"/>
                <w:sz w:val="18"/>
                <w:szCs w:val="18"/>
                <w:highlight w:val="none"/>
              </w:rPr>
              <w:t>符合GB/T 31436等相关规定，节水器具普及率达到100%，</w:t>
            </w:r>
            <w:r>
              <w:rPr>
                <w:rFonts w:hint="eastAsia" w:ascii="宋体" w:hAnsi="宋体" w:cs="宋体"/>
                <w:color w:val="auto"/>
                <w:kern w:val="0"/>
                <w:sz w:val="18"/>
                <w:szCs w:val="18"/>
                <w:highlight w:val="none"/>
              </w:rPr>
              <w:t>得5分，</w:t>
            </w:r>
            <w:r>
              <w:rPr>
                <w:rFonts w:hint="eastAsia" w:ascii="宋体" w:hAnsi="宋体" w:cs="宋体"/>
                <w:color w:val="auto"/>
                <w:sz w:val="18"/>
                <w:szCs w:val="18"/>
                <w:highlight w:val="none"/>
              </w:rPr>
              <w:t>每</w:t>
            </w:r>
            <w:r>
              <w:rPr>
                <w:rFonts w:hint="eastAsia" w:ascii="宋体" w:hAnsi="宋体" w:cs="宋体"/>
                <w:color w:val="FF0000"/>
                <w:sz w:val="18"/>
                <w:szCs w:val="18"/>
                <w:highlight w:val="none"/>
                <w:lang w:val="en-US" w:eastAsia="zh-CN"/>
              </w:rPr>
              <w:t>减少</w:t>
            </w:r>
            <w:r>
              <w:rPr>
                <w:rFonts w:hint="eastAsia" w:ascii="宋体" w:hAnsi="宋体" w:cs="宋体"/>
                <w:color w:val="auto"/>
                <w:sz w:val="18"/>
                <w:szCs w:val="18"/>
                <w:highlight w:val="none"/>
              </w:rPr>
              <w:t>1%扣0.5分，扣完为止。</w:t>
            </w:r>
          </w:p>
          <w:p>
            <w:pPr>
              <w:widowControl/>
              <w:jc w:val="left"/>
              <w:rPr>
                <w:rFonts w:ascii="宋体" w:hAnsi="宋体" w:cs="宋体"/>
                <w:color w:val="auto"/>
                <w:sz w:val="18"/>
                <w:szCs w:val="18"/>
                <w:highlight w:val="none"/>
              </w:rPr>
            </w:pPr>
            <w:r>
              <w:rPr>
                <w:rFonts w:hint="eastAsia" w:ascii="宋体" w:hAnsi="宋体" w:cs="宋体"/>
                <w:color w:val="auto"/>
                <w:kern w:val="0"/>
                <w:sz w:val="18"/>
                <w:szCs w:val="18"/>
                <w:highlight w:val="none"/>
              </w:rPr>
              <w:t>用水器具水效等级全部为1级，得5分；用水器具水效等级全部</w:t>
            </w:r>
            <w:r>
              <w:rPr>
                <w:rFonts w:hint="eastAsia" w:ascii="宋体" w:hAnsi="宋体" w:cs="宋体"/>
                <w:color w:val="FF0000"/>
                <w:kern w:val="0"/>
                <w:sz w:val="18"/>
                <w:szCs w:val="18"/>
                <w:highlight w:val="none"/>
                <w:lang w:val="en-US" w:eastAsia="zh-CN"/>
              </w:rPr>
              <w:t>高于或等于</w:t>
            </w:r>
            <w:r>
              <w:rPr>
                <w:rFonts w:hint="eastAsia" w:ascii="宋体" w:hAnsi="宋体" w:cs="宋体"/>
                <w:color w:val="auto"/>
                <w:kern w:val="0"/>
                <w:sz w:val="18"/>
                <w:szCs w:val="18"/>
                <w:highlight w:val="none"/>
              </w:rPr>
              <w:t>2级，得3分；用水器具水效等级全部为3级，不得分。其他情形按比例赋分。</w:t>
            </w:r>
          </w:p>
        </w:tc>
        <w:tc>
          <w:tcPr>
            <w:tcW w:w="544"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sz w:val="18"/>
                <w:szCs w:val="18"/>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4455" w:type="pct"/>
            <w:gridSpan w:val="3"/>
            <w:shd w:val="clear" w:color="auto" w:fill="auto"/>
            <w:vAlign w:val="center"/>
          </w:tcPr>
          <w:p>
            <w:pPr>
              <w:widowControl/>
              <w:jc w:val="center"/>
              <w:rPr>
                <w:rFonts w:ascii="宋体" w:hAnsi="宋体" w:cs="宋体"/>
                <w:b/>
                <w:color w:val="auto"/>
                <w:sz w:val="18"/>
                <w:szCs w:val="18"/>
                <w:highlight w:val="none"/>
              </w:rPr>
            </w:pPr>
            <w:r>
              <w:rPr>
                <w:rFonts w:hint="eastAsia" w:ascii="宋体" w:hAnsi="宋体" w:cs="宋体"/>
                <w:bCs/>
                <w:color w:val="auto"/>
                <w:sz w:val="18"/>
                <w:szCs w:val="18"/>
                <w:highlight w:val="none"/>
              </w:rPr>
              <w:t>小计</w:t>
            </w:r>
          </w:p>
        </w:tc>
        <w:tc>
          <w:tcPr>
            <w:tcW w:w="544" w:type="pct"/>
            <w:shd w:val="clear" w:color="auto" w:fill="auto"/>
            <w:vAlign w:val="center"/>
          </w:tcPr>
          <w:p>
            <w:pPr>
              <w:widowControl/>
              <w:jc w:val="center"/>
              <w:rPr>
                <w:rFonts w:ascii="宋体" w:hAnsi="宋体" w:cs="宋体"/>
                <w:b/>
                <w:color w:val="auto"/>
                <w:sz w:val="18"/>
                <w:szCs w:val="18"/>
                <w:highlight w:val="none"/>
              </w:rPr>
            </w:pPr>
            <w:r>
              <w:rPr>
                <w:rFonts w:hint="eastAsia" w:ascii="宋体" w:hAnsi="宋体" w:cs="宋体"/>
                <w:bCs/>
                <w:color w:val="auto"/>
                <w:sz w:val="18"/>
                <w:szCs w:val="18"/>
                <w:highlight w:val="none"/>
              </w:rPr>
              <w:t>50</w:t>
            </w:r>
          </w:p>
        </w:tc>
      </w:tr>
    </w:tbl>
    <w:p>
      <w:pPr>
        <w:spacing w:before="156" w:beforeLines="50" w:after="156" w:afterLines="50" w:line="400" w:lineRule="exact"/>
        <w:jc w:val="center"/>
        <w:outlineLvl w:val="1"/>
        <w:rPr>
          <w:rFonts w:ascii="黑体" w:hAnsi="黑体" w:eastAsia="黑体"/>
          <w:b/>
          <w:color w:val="auto"/>
          <w:szCs w:val="21"/>
          <w:highlight w:val="none"/>
        </w:rPr>
      </w:pPr>
      <w:r>
        <w:rPr>
          <w:rFonts w:hint="eastAsia" w:ascii="黑体" w:hAnsi="黑体" w:eastAsia="黑体"/>
          <w:b/>
          <w:color w:val="auto"/>
          <w:szCs w:val="21"/>
          <w:highlight w:val="none"/>
        </w:rPr>
        <w:t>表3  技术指标和评分细则（铁路交通旅客车站）</w:t>
      </w:r>
    </w:p>
    <w:tbl>
      <w:tblPr>
        <w:tblStyle w:val="7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7"/>
        <w:gridCol w:w="1894"/>
        <w:gridCol w:w="6320"/>
        <w:gridCol w:w="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blHeader/>
          <w:jc w:val="center"/>
        </w:trPr>
        <w:tc>
          <w:tcPr>
            <w:tcW w:w="307"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序号</w:t>
            </w:r>
          </w:p>
        </w:tc>
        <w:tc>
          <w:tcPr>
            <w:tcW w:w="989"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评价指标类别</w:t>
            </w:r>
          </w:p>
        </w:tc>
        <w:tc>
          <w:tcPr>
            <w:tcW w:w="3300"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评分细则</w:t>
            </w:r>
          </w:p>
        </w:tc>
        <w:tc>
          <w:tcPr>
            <w:tcW w:w="402"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307"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1</w:t>
            </w:r>
          </w:p>
        </w:tc>
        <w:tc>
          <w:tcPr>
            <w:tcW w:w="989"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年用水总量</w:t>
            </w:r>
          </w:p>
        </w:tc>
        <w:tc>
          <w:tcPr>
            <w:tcW w:w="3300" w:type="pct"/>
            <w:shd w:val="clear" w:color="auto" w:fill="auto"/>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年用水总量≤</w:t>
            </w:r>
            <w:r>
              <w:rPr>
                <w:rFonts w:hint="eastAsia" w:ascii="宋体" w:hAnsi="宋体" w:cs="宋体"/>
                <w:color w:val="auto"/>
                <w:sz w:val="18"/>
                <w:szCs w:val="18"/>
                <w:highlight w:val="none"/>
              </w:rPr>
              <w:t>年度计划用水指标，得10分；年度计划用水指标＜</w:t>
            </w:r>
            <w:r>
              <w:rPr>
                <w:rFonts w:hint="eastAsia" w:ascii="宋体" w:hAnsi="宋体" w:cs="宋体"/>
                <w:color w:val="auto"/>
                <w:kern w:val="0"/>
                <w:sz w:val="18"/>
                <w:szCs w:val="18"/>
                <w:highlight w:val="none"/>
              </w:rPr>
              <w:t>年用水总量≤</w:t>
            </w:r>
            <w:r>
              <w:rPr>
                <w:rFonts w:hint="eastAsia" w:ascii="宋体" w:hAnsi="宋体" w:cs="宋体"/>
                <w:color w:val="auto"/>
                <w:sz w:val="18"/>
                <w:szCs w:val="18"/>
                <w:highlight w:val="none"/>
              </w:rPr>
              <w:t>按车站用水定额核算的年度用水总量，按比例赋分；</w:t>
            </w:r>
            <w:r>
              <w:rPr>
                <w:rFonts w:hint="eastAsia" w:ascii="宋体" w:hAnsi="宋体" w:cs="宋体"/>
                <w:color w:val="auto"/>
                <w:kern w:val="0"/>
                <w:sz w:val="18"/>
                <w:szCs w:val="18"/>
                <w:highlight w:val="none"/>
              </w:rPr>
              <w:t>年用水总量</w:t>
            </w:r>
            <w:r>
              <w:rPr>
                <w:rFonts w:hint="eastAsia" w:ascii="宋体" w:hAnsi="宋体" w:cs="宋体"/>
                <w:color w:val="auto"/>
                <w:sz w:val="18"/>
                <w:szCs w:val="18"/>
                <w:highlight w:val="none"/>
              </w:rPr>
              <w:t>＞按</w:t>
            </w:r>
            <w:r>
              <w:rPr>
                <w:rFonts w:hint="eastAsia" w:ascii="宋体" w:hAnsi="宋体" w:cs="宋体"/>
                <w:color w:val="auto"/>
                <w:kern w:val="0"/>
                <w:sz w:val="18"/>
                <w:szCs w:val="18"/>
                <w:highlight w:val="none"/>
              </w:rPr>
              <w:t>车站用水定额核算的年度用水总量</w:t>
            </w:r>
            <w:r>
              <w:rPr>
                <w:rFonts w:hint="eastAsia" w:ascii="宋体" w:hAnsi="宋体" w:cs="宋体"/>
                <w:color w:val="auto"/>
                <w:sz w:val="18"/>
                <w:szCs w:val="18"/>
                <w:highlight w:val="none"/>
              </w:rPr>
              <w:t>，不得分。</w:t>
            </w:r>
          </w:p>
        </w:tc>
        <w:tc>
          <w:tcPr>
            <w:tcW w:w="402"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sz w:val="18"/>
                <w:szCs w:val="18"/>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307"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2</w:t>
            </w:r>
          </w:p>
        </w:tc>
        <w:tc>
          <w:tcPr>
            <w:tcW w:w="989"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列车单位车厢</w:t>
            </w:r>
          </w:p>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补水量</w:t>
            </w:r>
          </w:p>
        </w:tc>
        <w:tc>
          <w:tcPr>
            <w:tcW w:w="3300" w:type="pct"/>
            <w:shd w:val="clear" w:color="auto" w:fill="auto"/>
            <w:vAlign w:val="center"/>
          </w:tcPr>
          <w:p>
            <w:pPr>
              <w:widowControl/>
              <w:jc w:val="left"/>
              <w:rPr>
                <w:rFonts w:ascii="宋体" w:hAnsi="宋体" w:cs="宋体"/>
                <w:color w:val="auto"/>
                <w:kern w:val="0"/>
                <w:sz w:val="18"/>
                <w:szCs w:val="18"/>
                <w:highlight w:val="none"/>
              </w:rPr>
            </w:pPr>
            <w:r>
              <w:rPr>
                <w:rFonts w:hint="eastAsia" w:ascii="宋体" w:hAnsi="宋体" w:cs="宋体"/>
                <w:color w:val="auto"/>
                <w:sz w:val="18"/>
                <w:szCs w:val="18"/>
                <w:highlight w:val="none"/>
              </w:rPr>
              <w:t>符合DB13/T 5450.2的相关规定。列车单位车厢补水量</w:t>
            </w:r>
            <w:r>
              <w:rPr>
                <w:rFonts w:hint="eastAsia" w:ascii="宋体" w:hAnsi="宋体" w:cs="宋体"/>
                <w:color w:val="auto"/>
                <w:kern w:val="0"/>
                <w:sz w:val="18"/>
                <w:szCs w:val="18"/>
                <w:highlight w:val="none"/>
              </w:rPr>
              <w:t>≤</w:t>
            </w:r>
            <w:r>
              <w:rPr>
                <w:rFonts w:hint="eastAsia" w:ascii="宋体" w:hAnsi="宋体" w:cs="宋体"/>
                <w:color w:val="auto"/>
                <w:sz w:val="18"/>
                <w:szCs w:val="18"/>
                <w:highlight w:val="none"/>
              </w:rPr>
              <w:t>通用值，得2分；否则不得分。如无列车补水，计缺项。</w:t>
            </w:r>
          </w:p>
        </w:tc>
        <w:tc>
          <w:tcPr>
            <w:tcW w:w="402"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sz w:val="18"/>
                <w:szCs w:val="18"/>
                <w:highlight w:val="none"/>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307"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3</w:t>
            </w:r>
          </w:p>
        </w:tc>
        <w:tc>
          <w:tcPr>
            <w:tcW w:w="989"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单位编组列车清洗</w:t>
            </w:r>
          </w:p>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用水量</w:t>
            </w:r>
          </w:p>
        </w:tc>
        <w:tc>
          <w:tcPr>
            <w:tcW w:w="3300" w:type="pct"/>
            <w:shd w:val="clear" w:color="auto" w:fill="auto"/>
            <w:vAlign w:val="center"/>
          </w:tcPr>
          <w:p>
            <w:pPr>
              <w:widowControl/>
              <w:jc w:val="left"/>
              <w:rPr>
                <w:rFonts w:ascii="宋体" w:hAnsi="宋体" w:cs="宋体"/>
                <w:color w:val="auto"/>
                <w:kern w:val="0"/>
                <w:sz w:val="18"/>
                <w:szCs w:val="18"/>
                <w:highlight w:val="none"/>
              </w:rPr>
            </w:pPr>
            <w:r>
              <w:rPr>
                <w:rFonts w:hint="eastAsia" w:ascii="宋体" w:hAnsi="宋体" w:cs="宋体"/>
                <w:color w:val="auto"/>
                <w:sz w:val="18"/>
                <w:szCs w:val="18"/>
                <w:highlight w:val="none"/>
              </w:rPr>
              <w:t>符合DB13/T 5450.2的相关规定。单位编组</w:t>
            </w:r>
            <w:r>
              <w:rPr>
                <w:rFonts w:hint="eastAsia" w:ascii="宋体" w:hAnsi="宋体" w:cs="宋体"/>
                <w:color w:val="auto"/>
                <w:sz w:val="18"/>
                <w:szCs w:val="18"/>
                <w:highlight w:val="none"/>
                <w:lang w:val="en-US" w:eastAsia="zh-CN"/>
              </w:rPr>
              <w:t>列车</w:t>
            </w:r>
            <w:r>
              <w:rPr>
                <w:rFonts w:hint="eastAsia" w:ascii="宋体" w:hAnsi="宋体" w:cs="宋体"/>
                <w:color w:val="auto"/>
                <w:sz w:val="18"/>
                <w:szCs w:val="18"/>
                <w:highlight w:val="none"/>
              </w:rPr>
              <w:t>清洗用水量</w:t>
            </w:r>
            <w:r>
              <w:rPr>
                <w:rFonts w:hint="eastAsia" w:ascii="宋体" w:hAnsi="宋体" w:cs="宋体"/>
                <w:color w:val="auto"/>
                <w:kern w:val="0"/>
                <w:sz w:val="18"/>
                <w:szCs w:val="18"/>
                <w:highlight w:val="none"/>
              </w:rPr>
              <w:t>≤</w:t>
            </w:r>
            <w:r>
              <w:rPr>
                <w:rFonts w:hint="eastAsia" w:ascii="宋体" w:hAnsi="宋体" w:cs="宋体"/>
                <w:color w:val="auto"/>
                <w:sz w:val="18"/>
                <w:szCs w:val="18"/>
                <w:highlight w:val="none"/>
              </w:rPr>
              <w:t>0.9×先进值，得3分；先进值</w:t>
            </w:r>
            <w:r>
              <w:rPr>
                <w:rFonts w:hint="eastAsia" w:ascii="宋体" w:hAnsi="宋体" w:cs="宋体"/>
                <w:color w:val="auto"/>
                <w:kern w:val="0"/>
                <w:sz w:val="18"/>
                <w:szCs w:val="18"/>
                <w:highlight w:val="none"/>
              </w:rPr>
              <w:t>≤</w:t>
            </w:r>
            <w:r>
              <w:rPr>
                <w:rFonts w:hint="eastAsia" w:ascii="宋体" w:hAnsi="宋体" w:cs="宋体"/>
                <w:color w:val="auto"/>
                <w:sz w:val="18"/>
                <w:szCs w:val="18"/>
                <w:highlight w:val="none"/>
              </w:rPr>
              <w:t>单位编组</w:t>
            </w:r>
            <w:r>
              <w:rPr>
                <w:rFonts w:hint="eastAsia" w:ascii="宋体" w:hAnsi="宋体" w:cs="宋体"/>
                <w:color w:val="auto"/>
                <w:sz w:val="18"/>
                <w:szCs w:val="18"/>
                <w:highlight w:val="none"/>
                <w:lang w:val="en-US" w:eastAsia="zh-CN"/>
              </w:rPr>
              <w:t>列车</w:t>
            </w:r>
            <w:r>
              <w:rPr>
                <w:rFonts w:hint="eastAsia" w:ascii="宋体" w:hAnsi="宋体" w:cs="宋体"/>
                <w:color w:val="auto"/>
                <w:sz w:val="18"/>
                <w:szCs w:val="18"/>
                <w:highlight w:val="none"/>
              </w:rPr>
              <w:t>清洗用水量</w:t>
            </w:r>
            <w:r>
              <w:rPr>
                <w:rFonts w:hint="eastAsia" w:ascii="宋体" w:hAnsi="宋体" w:cs="宋体"/>
                <w:color w:val="auto"/>
                <w:kern w:val="0"/>
                <w:sz w:val="18"/>
                <w:szCs w:val="18"/>
                <w:highlight w:val="none"/>
              </w:rPr>
              <w:t>≤</w:t>
            </w:r>
            <w:r>
              <w:rPr>
                <w:rFonts w:hint="eastAsia" w:ascii="宋体" w:hAnsi="宋体" w:cs="宋体"/>
                <w:color w:val="auto"/>
                <w:sz w:val="18"/>
                <w:szCs w:val="18"/>
                <w:highlight w:val="none"/>
              </w:rPr>
              <w:t>通用值，得1分</w:t>
            </w:r>
            <w:r>
              <w:rPr>
                <w:rFonts w:hint="eastAsia" w:ascii="宋体" w:hAnsi="宋体" w:cs="宋体"/>
                <w:color w:val="auto"/>
                <w:sz w:val="18"/>
                <w:szCs w:val="18"/>
                <w:highlight w:val="none"/>
                <w:lang w:eastAsia="zh-CN"/>
              </w:rPr>
              <w:t>；</w:t>
            </w:r>
            <w:r>
              <w:rPr>
                <w:rFonts w:hint="eastAsia" w:ascii="宋体" w:hAnsi="宋体" w:cs="宋体"/>
                <w:color w:val="auto"/>
                <w:sz w:val="18"/>
                <w:szCs w:val="18"/>
                <w:highlight w:val="none"/>
              </w:rPr>
              <w:t>0.9×先进值＜单位编组</w:t>
            </w:r>
            <w:r>
              <w:rPr>
                <w:rFonts w:hint="eastAsia" w:ascii="宋体" w:hAnsi="宋体" w:cs="宋体"/>
                <w:color w:val="auto"/>
                <w:sz w:val="18"/>
                <w:szCs w:val="18"/>
                <w:highlight w:val="none"/>
                <w:lang w:val="en-US" w:eastAsia="zh-CN"/>
              </w:rPr>
              <w:t>列车</w:t>
            </w:r>
            <w:r>
              <w:rPr>
                <w:rFonts w:hint="eastAsia" w:ascii="宋体" w:hAnsi="宋体" w:cs="宋体"/>
                <w:color w:val="auto"/>
                <w:sz w:val="18"/>
                <w:szCs w:val="18"/>
                <w:highlight w:val="none"/>
              </w:rPr>
              <w:t>清洗用水量＜先进值，按比例赋分；单位编组</w:t>
            </w:r>
            <w:r>
              <w:rPr>
                <w:rFonts w:hint="eastAsia" w:ascii="宋体" w:hAnsi="宋体" w:cs="宋体"/>
                <w:color w:val="auto"/>
                <w:sz w:val="18"/>
                <w:szCs w:val="18"/>
                <w:highlight w:val="none"/>
                <w:lang w:val="en-US" w:eastAsia="zh-CN"/>
              </w:rPr>
              <w:t>列车</w:t>
            </w:r>
            <w:r>
              <w:rPr>
                <w:rFonts w:hint="eastAsia" w:ascii="宋体" w:hAnsi="宋体" w:cs="宋体"/>
                <w:color w:val="auto"/>
                <w:sz w:val="18"/>
                <w:szCs w:val="18"/>
                <w:highlight w:val="none"/>
              </w:rPr>
              <w:t>清洗用水量</w:t>
            </w:r>
            <w:r>
              <w:rPr>
                <w:rFonts w:hint="eastAsia" w:ascii="微软雅黑" w:hAnsi="微软雅黑" w:eastAsia="微软雅黑" w:cs="微软雅黑"/>
                <w:color w:val="auto"/>
                <w:kern w:val="0"/>
                <w:sz w:val="18"/>
                <w:szCs w:val="18"/>
                <w:highlight w:val="none"/>
              </w:rPr>
              <w:t>&gt;</w:t>
            </w:r>
            <w:r>
              <w:rPr>
                <w:rFonts w:hint="eastAsia" w:ascii="宋体" w:hAnsi="宋体" w:cs="宋体"/>
                <w:color w:val="auto"/>
                <w:sz w:val="18"/>
                <w:szCs w:val="18"/>
                <w:highlight w:val="none"/>
              </w:rPr>
              <w:t>通用值，</w:t>
            </w:r>
            <w:r>
              <w:rPr>
                <w:rFonts w:hint="eastAsia" w:ascii="宋体" w:hAnsi="宋体" w:cs="宋体"/>
                <w:color w:val="auto"/>
                <w:sz w:val="18"/>
                <w:szCs w:val="18"/>
                <w:highlight w:val="none"/>
                <w:lang w:val="en-US" w:eastAsia="zh-CN"/>
              </w:rPr>
              <w:t>不得分</w:t>
            </w:r>
            <w:r>
              <w:rPr>
                <w:rFonts w:hint="eastAsia" w:ascii="宋体" w:hAnsi="宋体" w:cs="宋体"/>
                <w:color w:val="auto"/>
                <w:sz w:val="18"/>
                <w:szCs w:val="18"/>
                <w:highlight w:val="none"/>
                <w:lang w:eastAsia="zh-CN"/>
              </w:rPr>
              <w:t>。</w:t>
            </w:r>
          </w:p>
        </w:tc>
        <w:tc>
          <w:tcPr>
            <w:tcW w:w="402"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sz w:val="18"/>
                <w:szCs w:val="18"/>
                <w:highlight w:val="none"/>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307"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4</w:t>
            </w:r>
          </w:p>
        </w:tc>
        <w:tc>
          <w:tcPr>
            <w:tcW w:w="989"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铁路运输辅助活动</w:t>
            </w:r>
          </w:p>
          <w:p>
            <w:pPr>
              <w:widowControl/>
              <w:jc w:val="center"/>
              <w:rPr>
                <w:rFonts w:ascii="宋体" w:hAnsi="宋体" w:cs="宋体"/>
                <w:color w:val="auto"/>
                <w:kern w:val="0"/>
                <w:sz w:val="18"/>
                <w:szCs w:val="18"/>
                <w:highlight w:val="none"/>
              </w:rPr>
            </w:pPr>
            <w:r>
              <w:rPr>
                <w:rFonts w:hint="eastAsia" w:ascii="宋体" w:hAnsi="宋体" w:cs="宋体"/>
                <w:strike/>
                <w:dstrike w:val="0"/>
                <w:color w:val="FF0000"/>
                <w:kern w:val="0"/>
                <w:sz w:val="18"/>
                <w:szCs w:val="18"/>
                <w:highlight w:val="none"/>
              </w:rPr>
              <w:t>单位人次</w:t>
            </w:r>
            <w:r>
              <w:rPr>
                <w:rFonts w:hint="eastAsia" w:ascii="宋体" w:hAnsi="宋体" w:cs="宋体"/>
                <w:color w:val="auto"/>
                <w:kern w:val="0"/>
                <w:sz w:val="18"/>
                <w:szCs w:val="18"/>
                <w:highlight w:val="none"/>
              </w:rPr>
              <w:t>用水量</w:t>
            </w:r>
          </w:p>
        </w:tc>
        <w:tc>
          <w:tcPr>
            <w:tcW w:w="3300" w:type="pct"/>
            <w:shd w:val="clear" w:color="auto" w:fill="auto"/>
            <w:vAlign w:val="center"/>
          </w:tcPr>
          <w:p>
            <w:pPr>
              <w:widowControl/>
              <w:jc w:val="left"/>
              <w:rPr>
                <w:rFonts w:ascii="宋体" w:hAnsi="宋体" w:cs="宋体"/>
                <w:color w:val="auto"/>
                <w:sz w:val="18"/>
                <w:szCs w:val="18"/>
                <w:highlight w:val="none"/>
              </w:rPr>
            </w:pPr>
            <w:r>
              <w:rPr>
                <w:rFonts w:hint="eastAsia" w:ascii="宋体" w:hAnsi="宋体" w:cs="宋体"/>
                <w:color w:val="auto"/>
                <w:sz w:val="18"/>
                <w:szCs w:val="18"/>
                <w:highlight w:val="none"/>
              </w:rPr>
              <w:t>符合DB13/T 5450.2的相关规定。</w:t>
            </w:r>
            <w:r>
              <w:rPr>
                <w:rFonts w:hint="eastAsia" w:ascii="宋体" w:hAnsi="宋体" w:cs="宋体"/>
                <w:color w:val="auto"/>
                <w:kern w:val="0"/>
                <w:sz w:val="18"/>
                <w:szCs w:val="18"/>
                <w:highlight w:val="none"/>
              </w:rPr>
              <w:t>新（改、扩）建车站的铁路运输辅助活动单位人次用水量≤</w:t>
            </w:r>
            <w:r>
              <w:rPr>
                <w:rFonts w:hint="eastAsia" w:ascii="宋体" w:hAnsi="宋体" w:cs="宋体"/>
                <w:color w:val="auto"/>
                <w:sz w:val="18"/>
                <w:szCs w:val="18"/>
                <w:highlight w:val="none"/>
              </w:rPr>
              <w:t>0.9×先进值，得5分；</w:t>
            </w:r>
            <w:r>
              <w:rPr>
                <w:rFonts w:hint="eastAsia" w:ascii="宋体" w:hAnsi="宋体" w:cs="宋体"/>
                <w:color w:val="auto"/>
                <w:kern w:val="0"/>
                <w:sz w:val="18"/>
                <w:szCs w:val="18"/>
                <w:highlight w:val="none"/>
              </w:rPr>
              <w:t>铁路运输辅助活动单位人次用水量</w:t>
            </w:r>
            <w:r>
              <w:rPr>
                <w:rFonts w:hint="eastAsia" w:ascii="宋体" w:hAnsi="宋体" w:cs="宋体"/>
                <w:color w:val="auto"/>
                <w:kern w:val="0"/>
                <w:sz w:val="18"/>
                <w:szCs w:val="18"/>
                <w:highlight w:val="none"/>
                <w:lang w:val="en-US" w:eastAsia="zh-CN"/>
              </w:rPr>
              <w:t>=</w:t>
            </w:r>
            <w:r>
              <w:rPr>
                <w:rFonts w:hint="eastAsia" w:ascii="宋体" w:hAnsi="宋体" w:cs="宋体"/>
                <w:color w:val="auto"/>
                <w:sz w:val="18"/>
                <w:szCs w:val="18"/>
                <w:highlight w:val="none"/>
              </w:rPr>
              <w:t>先进值，得</w:t>
            </w:r>
            <w:r>
              <w:rPr>
                <w:rFonts w:hint="eastAsia" w:ascii="宋体" w:hAnsi="宋体" w:cs="宋体"/>
                <w:color w:val="auto"/>
                <w:sz w:val="18"/>
                <w:szCs w:val="18"/>
                <w:highlight w:val="none"/>
                <w:lang w:val="en-US" w:eastAsia="zh-CN"/>
              </w:rPr>
              <w:t>3</w:t>
            </w:r>
            <w:r>
              <w:rPr>
                <w:rFonts w:hint="eastAsia" w:ascii="宋体" w:hAnsi="宋体" w:cs="宋体"/>
                <w:color w:val="auto"/>
                <w:sz w:val="18"/>
                <w:szCs w:val="18"/>
                <w:highlight w:val="none"/>
              </w:rPr>
              <w:t>分；0.9×先进值＜</w:t>
            </w:r>
            <w:r>
              <w:rPr>
                <w:rFonts w:hint="eastAsia" w:ascii="宋体" w:hAnsi="宋体" w:cs="宋体"/>
                <w:color w:val="auto"/>
                <w:kern w:val="0"/>
                <w:sz w:val="18"/>
                <w:szCs w:val="18"/>
                <w:highlight w:val="none"/>
              </w:rPr>
              <w:t>铁路运输辅助活动单位人次用水量</w:t>
            </w:r>
            <w:r>
              <w:rPr>
                <w:rFonts w:hint="eastAsia" w:ascii="宋体" w:hAnsi="宋体" w:cs="宋体"/>
                <w:color w:val="auto"/>
                <w:sz w:val="18"/>
                <w:szCs w:val="18"/>
                <w:highlight w:val="none"/>
              </w:rPr>
              <w:t>＜先进值，按比例赋分</w:t>
            </w:r>
            <w:r>
              <w:rPr>
                <w:rFonts w:hint="eastAsia" w:ascii="宋体" w:hAnsi="宋体" w:cs="宋体"/>
                <w:color w:val="auto"/>
                <w:sz w:val="18"/>
                <w:szCs w:val="18"/>
                <w:highlight w:val="none"/>
                <w:lang w:eastAsia="zh-CN"/>
              </w:rPr>
              <w:t>；</w:t>
            </w:r>
            <w:r>
              <w:rPr>
                <w:rFonts w:hint="eastAsia" w:ascii="宋体" w:hAnsi="宋体" w:cs="宋体"/>
                <w:color w:val="auto"/>
                <w:kern w:val="0"/>
                <w:sz w:val="18"/>
                <w:szCs w:val="18"/>
                <w:highlight w:val="none"/>
                <w:lang w:val="en-US" w:eastAsia="zh-CN"/>
              </w:rPr>
              <w:t>铁路</w:t>
            </w:r>
            <w:r>
              <w:rPr>
                <w:rFonts w:hint="eastAsia" w:ascii="宋体" w:hAnsi="宋体" w:cs="宋体"/>
                <w:color w:val="auto"/>
                <w:kern w:val="0"/>
                <w:sz w:val="18"/>
                <w:szCs w:val="18"/>
                <w:highlight w:val="none"/>
              </w:rPr>
              <w:t>运输辅助活动单位人次用水量</w:t>
            </w:r>
            <w:r>
              <w:rPr>
                <w:rFonts w:hint="eastAsia" w:ascii="微软雅黑" w:hAnsi="微软雅黑" w:eastAsia="微软雅黑" w:cs="微软雅黑"/>
                <w:color w:val="auto"/>
                <w:kern w:val="0"/>
                <w:sz w:val="18"/>
                <w:szCs w:val="18"/>
                <w:highlight w:val="none"/>
              </w:rPr>
              <w:t>&gt;</w:t>
            </w:r>
            <w:r>
              <w:rPr>
                <w:rFonts w:hint="eastAsia" w:ascii="宋体" w:hAnsi="宋体" w:cs="宋体"/>
                <w:color w:val="auto"/>
                <w:sz w:val="18"/>
                <w:szCs w:val="18"/>
                <w:highlight w:val="none"/>
              </w:rPr>
              <w:t>先进值，不得分；</w:t>
            </w:r>
          </w:p>
          <w:p>
            <w:pPr>
              <w:widowControl/>
              <w:jc w:val="left"/>
              <w:rPr>
                <w:rFonts w:ascii="宋体" w:hAnsi="宋体" w:cs="宋体"/>
                <w:color w:val="auto"/>
                <w:sz w:val="18"/>
                <w:szCs w:val="18"/>
                <w:highlight w:val="none"/>
              </w:rPr>
            </w:pPr>
            <w:r>
              <w:rPr>
                <w:rFonts w:hint="eastAsia" w:ascii="宋体" w:hAnsi="宋体" w:cs="宋体"/>
                <w:color w:val="auto"/>
                <w:sz w:val="18"/>
                <w:szCs w:val="18"/>
                <w:highlight w:val="none"/>
              </w:rPr>
              <w:t>已建车站的</w:t>
            </w:r>
            <w:r>
              <w:rPr>
                <w:rFonts w:hint="eastAsia" w:ascii="宋体" w:hAnsi="宋体" w:cs="宋体"/>
                <w:color w:val="auto"/>
                <w:kern w:val="0"/>
                <w:sz w:val="18"/>
                <w:szCs w:val="18"/>
                <w:highlight w:val="none"/>
                <w:lang w:val="en-US" w:eastAsia="zh-CN"/>
              </w:rPr>
              <w:t>铁路</w:t>
            </w:r>
            <w:r>
              <w:rPr>
                <w:rFonts w:hint="eastAsia" w:ascii="宋体" w:hAnsi="宋体" w:cs="宋体"/>
                <w:color w:val="auto"/>
                <w:kern w:val="0"/>
                <w:sz w:val="18"/>
                <w:szCs w:val="18"/>
                <w:highlight w:val="none"/>
              </w:rPr>
              <w:t>运输辅助活动单位人次用水量≤</w:t>
            </w:r>
            <w:r>
              <w:rPr>
                <w:rFonts w:hint="eastAsia" w:ascii="宋体" w:hAnsi="宋体" w:cs="宋体"/>
                <w:color w:val="auto"/>
                <w:sz w:val="18"/>
                <w:szCs w:val="18"/>
                <w:highlight w:val="none"/>
              </w:rPr>
              <w:t>先进值，得</w:t>
            </w:r>
            <w:r>
              <w:rPr>
                <w:rFonts w:hint="eastAsia" w:ascii="宋体" w:hAnsi="宋体" w:cs="宋体"/>
                <w:color w:val="auto"/>
                <w:sz w:val="18"/>
                <w:szCs w:val="18"/>
                <w:highlight w:val="none"/>
                <w:lang w:val="en-US" w:eastAsia="zh-CN"/>
              </w:rPr>
              <w:t>5</w:t>
            </w:r>
            <w:r>
              <w:rPr>
                <w:rFonts w:hint="eastAsia" w:ascii="宋体" w:hAnsi="宋体" w:cs="宋体"/>
                <w:color w:val="auto"/>
                <w:sz w:val="18"/>
                <w:szCs w:val="18"/>
                <w:highlight w:val="none"/>
              </w:rPr>
              <w:t>分；</w:t>
            </w:r>
            <w:r>
              <w:rPr>
                <w:rFonts w:hint="eastAsia" w:ascii="宋体" w:hAnsi="宋体" w:cs="宋体"/>
                <w:color w:val="auto"/>
                <w:kern w:val="0"/>
                <w:sz w:val="18"/>
                <w:szCs w:val="18"/>
                <w:highlight w:val="none"/>
                <w:lang w:val="en-US" w:eastAsia="zh-CN"/>
              </w:rPr>
              <w:t>铁路</w:t>
            </w:r>
            <w:r>
              <w:rPr>
                <w:rFonts w:hint="eastAsia" w:ascii="宋体" w:hAnsi="宋体" w:cs="宋体"/>
                <w:color w:val="auto"/>
                <w:kern w:val="0"/>
                <w:sz w:val="18"/>
                <w:szCs w:val="18"/>
                <w:highlight w:val="none"/>
              </w:rPr>
              <w:t>运输辅助活动单位人次用水量</w:t>
            </w:r>
            <w:r>
              <w:rPr>
                <w:rFonts w:hint="eastAsia" w:ascii="宋体" w:hAnsi="宋体" w:cs="宋体"/>
                <w:color w:val="auto"/>
                <w:kern w:val="0"/>
                <w:sz w:val="18"/>
                <w:szCs w:val="18"/>
                <w:highlight w:val="none"/>
                <w:lang w:val="en-US" w:eastAsia="zh-CN"/>
              </w:rPr>
              <w:t>=</w:t>
            </w:r>
            <w:r>
              <w:rPr>
                <w:rFonts w:hint="eastAsia" w:ascii="宋体" w:hAnsi="宋体" w:cs="宋体"/>
                <w:color w:val="auto"/>
                <w:sz w:val="18"/>
                <w:szCs w:val="18"/>
                <w:highlight w:val="none"/>
              </w:rPr>
              <w:t>通用值，得2分；先进值＜</w:t>
            </w:r>
            <w:r>
              <w:rPr>
                <w:rFonts w:hint="eastAsia" w:ascii="宋体" w:hAnsi="宋体" w:cs="宋体"/>
                <w:color w:val="auto"/>
                <w:kern w:val="0"/>
                <w:sz w:val="18"/>
                <w:szCs w:val="18"/>
                <w:highlight w:val="none"/>
                <w:lang w:val="en-US" w:eastAsia="zh-CN"/>
              </w:rPr>
              <w:t>铁路</w:t>
            </w:r>
            <w:r>
              <w:rPr>
                <w:rFonts w:hint="eastAsia" w:ascii="宋体" w:hAnsi="宋体" w:cs="宋体"/>
                <w:color w:val="auto"/>
                <w:kern w:val="0"/>
                <w:sz w:val="18"/>
                <w:szCs w:val="18"/>
                <w:highlight w:val="none"/>
              </w:rPr>
              <w:t>运输辅助活动单位人次用水量</w:t>
            </w:r>
            <w:r>
              <w:rPr>
                <w:rFonts w:hint="eastAsia" w:ascii="宋体" w:hAnsi="宋体" w:cs="宋体"/>
                <w:color w:val="auto"/>
                <w:sz w:val="18"/>
                <w:szCs w:val="18"/>
                <w:highlight w:val="none"/>
              </w:rPr>
              <w:t>＜通用值，按比例赋分</w:t>
            </w:r>
            <w:r>
              <w:rPr>
                <w:rFonts w:hint="eastAsia" w:ascii="宋体" w:hAnsi="宋体" w:cs="宋体"/>
                <w:color w:val="auto"/>
                <w:sz w:val="18"/>
                <w:szCs w:val="18"/>
                <w:highlight w:val="none"/>
                <w:lang w:eastAsia="zh-CN"/>
              </w:rPr>
              <w:t>；</w:t>
            </w:r>
            <w:r>
              <w:rPr>
                <w:rFonts w:hint="eastAsia" w:ascii="宋体" w:hAnsi="宋体" w:cs="宋体"/>
                <w:color w:val="auto"/>
                <w:kern w:val="0"/>
                <w:sz w:val="18"/>
                <w:szCs w:val="18"/>
                <w:highlight w:val="none"/>
                <w:lang w:val="en-US" w:eastAsia="zh-CN"/>
              </w:rPr>
              <w:t>铁路</w:t>
            </w:r>
            <w:r>
              <w:rPr>
                <w:rFonts w:hint="eastAsia" w:ascii="宋体" w:hAnsi="宋体" w:cs="宋体"/>
                <w:color w:val="auto"/>
                <w:kern w:val="0"/>
                <w:sz w:val="18"/>
                <w:szCs w:val="18"/>
                <w:highlight w:val="none"/>
              </w:rPr>
              <w:t>运输辅助活动单位人次用水量</w:t>
            </w:r>
            <w:r>
              <w:rPr>
                <w:rFonts w:hint="eastAsia" w:ascii="微软雅黑" w:hAnsi="微软雅黑" w:eastAsia="微软雅黑" w:cs="微软雅黑"/>
                <w:color w:val="auto"/>
                <w:kern w:val="0"/>
                <w:sz w:val="18"/>
                <w:szCs w:val="18"/>
                <w:highlight w:val="none"/>
              </w:rPr>
              <w:t>&gt;</w:t>
            </w:r>
            <w:r>
              <w:rPr>
                <w:rFonts w:hint="eastAsia" w:ascii="宋体" w:hAnsi="宋体" w:cs="宋体"/>
                <w:color w:val="auto"/>
                <w:sz w:val="18"/>
                <w:szCs w:val="18"/>
                <w:highlight w:val="none"/>
              </w:rPr>
              <w:t>通用值，不得分。</w:t>
            </w:r>
          </w:p>
        </w:tc>
        <w:tc>
          <w:tcPr>
            <w:tcW w:w="402" w:type="pct"/>
            <w:shd w:val="clear" w:color="auto" w:fill="auto"/>
            <w:vAlign w:val="center"/>
          </w:tcPr>
          <w:p>
            <w:pPr>
              <w:widowControl/>
              <w:jc w:val="center"/>
              <w:rPr>
                <w:rFonts w:ascii="宋体" w:hAnsi="宋体" w:cs="宋体"/>
                <w:color w:val="auto"/>
                <w:sz w:val="18"/>
                <w:szCs w:val="18"/>
                <w:highlight w:val="none"/>
              </w:rPr>
            </w:pPr>
            <w:r>
              <w:rPr>
                <w:rFonts w:hint="eastAsia" w:ascii="宋体" w:hAnsi="宋体" w:cs="宋体"/>
                <w:color w:val="auto"/>
                <w:sz w:val="18"/>
                <w:szCs w:val="18"/>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307"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5</w:t>
            </w:r>
          </w:p>
        </w:tc>
        <w:tc>
          <w:tcPr>
            <w:tcW w:w="989"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水计量器具配备率</w:t>
            </w:r>
          </w:p>
        </w:tc>
        <w:tc>
          <w:tcPr>
            <w:tcW w:w="3300" w:type="pct"/>
            <w:shd w:val="clear" w:color="auto" w:fill="auto"/>
            <w:vAlign w:val="center"/>
          </w:tcPr>
          <w:p>
            <w:pPr>
              <w:widowControl/>
              <w:jc w:val="left"/>
              <w:rPr>
                <w:rFonts w:ascii="宋体" w:hAnsi="宋体" w:cs="宋体"/>
                <w:color w:val="auto"/>
                <w:kern w:val="0"/>
                <w:sz w:val="18"/>
                <w:szCs w:val="18"/>
                <w:highlight w:val="none"/>
              </w:rPr>
            </w:pPr>
            <w:r>
              <w:rPr>
                <w:rFonts w:hint="eastAsia" w:ascii="宋体" w:hAnsi="宋体" w:cs="宋体"/>
                <w:color w:val="auto"/>
                <w:sz w:val="18"/>
                <w:szCs w:val="18"/>
                <w:highlight w:val="none"/>
              </w:rPr>
              <w:t>符合GB/T 24789的相关规定。①</w:t>
            </w:r>
            <w:r>
              <w:rPr>
                <w:rFonts w:hint="eastAsia" w:ascii="宋体" w:hAnsi="宋体" w:cs="宋体"/>
                <w:color w:val="auto"/>
                <w:sz w:val="18"/>
                <w:szCs w:val="21"/>
                <w:highlight w:val="none"/>
              </w:rPr>
              <w:t>用水单位（一级）</w:t>
            </w:r>
            <w:r>
              <w:rPr>
                <w:rFonts w:hint="eastAsia" w:ascii="宋体" w:hAnsi="宋体" w:cs="宋体"/>
                <w:color w:val="auto"/>
                <w:sz w:val="18"/>
                <w:szCs w:val="18"/>
                <w:highlight w:val="none"/>
              </w:rPr>
              <w:t>水计量器具配备率达到100%，得2分。②</w:t>
            </w:r>
            <w:r>
              <w:rPr>
                <w:rFonts w:hint="eastAsia" w:ascii="宋体" w:hAnsi="宋体" w:cs="宋体"/>
                <w:color w:val="auto"/>
                <w:sz w:val="18"/>
                <w:szCs w:val="21"/>
                <w:highlight w:val="none"/>
              </w:rPr>
              <w:t>建筑/功能区域（二级）</w:t>
            </w:r>
            <w:r>
              <w:rPr>
                <w:rFonts w:hint="eastAsia" w:ascii="宋体" w:hAnsi="宋体" w:cs="宋体"/>
                <w:color w:val="auto"/>
                <w:sz w:val="18"/>
                <w:szCs w:val="18"/>
                <w:highlight w:val="none"/>
              </w:rPr>
              <w:t>水计量器具配备率既有建筑≥95%，得4分，否则不得分；新建建筑达到100%，得4分，95%</w:t>
            </w:r>
            <w:r>
              <w:rPr>
                <w:rFonts w:hint="eastAsia" w:ascii="宋体" w:hAnsi="宋体" w:cs="宋体"/>
                <w:color w:val="auto"/>
                <w:kern w:val="0"/>
                <w:sz w:val="18"/>
                <w:szCs w:val="18"/>
                <w:highlight w:val="none"/>
              </w:rPr>
              <w:t>≤新建</w:t>
            </w:r>
            <w:r>
              <w:rPr>
                <w:rFonts w:hint="eastAsia" w:ascii="宋体" w:hAnsi="宋体" w:cs="宋体"/>
                <w:color w:val="auto"/>
                <w:sz w:val="18"/>
                <w:szCs w:val="21"/>
                <w:highlight w:val="none"/>
              </w:rPr>
              <w:t>建筑/功能区域（二级）</w:t>
            </w:r>
            <w:r>
              <w:rPr>
                <w:rFonts w:hint="eastAsia" w:ascii="宋体" w:hAnsi="宋体" w:cs="宋体"/>
                <w:color w:val="auto"/>
                <w:sz w:val="18"/>
                <w:szCs w:val="18"/>
                <w:highlight w:val="none"/>
              </w:rPr>
              <w:t>水计量器具配备率</w:t>
            </w:r>
            <w:r>
              <w:rPr>
                <w:rFonts w:hint="eastAsia" w:ascii="宋体" w:hAnsi="宋体" w:cs="宋体"/>
                <w:color w:val="auto"/>
                <w:kern w:val="0"/>
                <w:sz w:val="18"/>
                <w:szCs w:val="18"/>
                <w:highlight w:val="none"/>
              </w:rPr>
              <w:t>＜</w:t>
            </w:r>
            <w:r>
              <w:rPr>
                <w:rFonts w:hint="eastAsia" w:ascii="宋体" w:hAnsi="宋体" w:cs="宋体"/>
                <w:color w:val="auto"/>
                <w:sz w:val="18"/>
                <w:szCs w:val="18"/>
                <w:highlight w:val="none"/>
              </w:rPr>
              <w:t>100%，按比例赋分；新建</w:t>
            </w:r>
            <w:r>
              <w:rPr>
                <w:rFonts w:hint="eastAsia" w:ascii="宋体" w:hAnsi="宋体" w:cs="宋体"/>
                <w:color w:val="auto"/>
                <w:sz w:val="18"/>
                <w:szCs w:val="21"/>
                <w:highlight w:val="none"/>
              </w:rPr>
              <w:t>建筑/功能区域（二级）</w:t>
            </w:r>
            <w:r>
              <w:rPr>
                <w:rFonts w:hint="eastAsia" w:ascii="宋体" w:hAnsi="宋体" w:cs="宋体"/>
                <w:color w:val="auto"/>
                <w:sz w:val="18"/>
                <w:szCs w:val="18"/>
                <w:highlight w:val="none"/>
              </w:rPr>
              <w:t>水计量器具配备率＜95%，不得分。如无</w:t>
            </w:r>
            <w:r>
              <w:rPr>
                <w:rFonts w:hint="eastAsia" w:ascii="宋体" w:hAnsi="宋体" w:cs="宋体"/>
                <w:color w:val="auto"/>
                <w:sz w:val="18"/>
                <w:szCs w:val="21"/>
                <w:highlight w:val="none"/>
              </w:rPr>
              <w:t>建筑/功能区域（二级）</w:t>
            </w:r>
            <w:r>
              <w:rPr>
                <w:rFonts w:hint="eastAsia" w:ascii="宋体" w:hAnsi="宋体" w:cs="宋体"/>
                <w:color w:val="auto"/>
                <w:sz w:val="18"/>
                <w:szCs w:val="18"/>
                <w:highlight w:val="none"/>
              </w:rPr>
              <w:t>计量单位，计缺项。③主要用水设备（用水系统）（三级）水计量器具配备率既有建筑≥85%，得4分，否则不得分；新建建筑达到100%，得4分，85%</w:t>
            </w:r>
            <w:r>
              <w:rPr>
                <w:rFonts w:hint="eastAsia" w:ascii="宋体" w:hAnsi="宋体" w:cs="宋体"/>
                <w:color w:val="auto"/>
                <w:kern w:val="0"/>
                <w:sz w:val="18"/>
                <w:szCs w:val="18"/>
                <w:highlight w:val="none"/>
              </w:rPr>
              <w:t>≤新建建筑</w:t>
            </w:r>
            <w:r>
              <w:rPr>
                <w:rFonts w:hint="eastAsia" w:ascii="宋体" w:hAnsi="宋体" w:cs="宋体"/>
                <w:color w:val="auto"/>
                <w:sz w:val="18"/>
                <w:szCs w:val="18"/>
                <w:highlight w:val="none"/>
              </w:rPr>
              <w:t>主要用水设备（用水系统）（三级）水计量器具配备率</w:t>
            </w:r>
            <w:r>
              <w:rPr>
                <w:rFonts w:hint="eastAsia" w:ascii="宋体" w:hAnsi="宋体" w:cs="宋体"/>
                <w:color w:val="auto"/>
                <w:kern w:val="0"/>
                <w:sz w:val="18"/>
                <w:szCs w:val="18"/>
                <w:highlight w:val="none"/>
              </w:rPr>
              <w:t>＜</w:t>
            </w:r>
            <w:r>
              <w:rPr>
                <w:rFonts w:hint="eastAsia" w:ascii="宋体" w:hAnsi="宋体" w:cs="宋体"/>
                <w:color w:val="auto"/>
                <w:sz w:val="18"/>
                <w:szCs w:val="18"/>
                <w:highlight w:val="none"/>
              </w:rPr>
              <w:t>100%，按比例赋分，</w:t>
            </w:r>
            <w:r>
              <w:rPr>
                <w:rFonts w:hint="eastAsia" w:ascii="宋体" w:hAnsi="宋体" w:cs="宋体"/>
                <w:color w:val="auto"/>
                <w:kern w:val="0"/>
                <w:sz w:val="18"/>
                <w:szCs w:val="18"/>
                <w:highlight w:val="none"/>
              </w:rPr>
              <w:t>新建建筑</w:t>
            </w:r>
            <w:r>
              <w:rPr>
                <w:rFonts w:hint="eastAsia" w:ascii="宋体" w:hAnsi="宋体" w:cs="宋体"/>
                <w:color w:val="auto"/>
                <w:sz w:val="18"/>
                <w:szCs w:val="18"/>
                <w:highlight w:val="none"/>
              </w:rPr>
              <w:t>主要用水设备（用水系统）（三级）水计量器具配备率</w:t>
            </w:r>
            <w:r>
              <w:rPr>
                <w:rFonts w:hint="eastAsia" w:ascii="宋体" w:hAnsi="宋体" w:cs="宋体"/>
                <w:color w:val="auto"/>
                <w:kern w:val="0"/>
                <w:sz w:val="18"/>
                <w:szCs w:val="18"/>
                <w:highlight w:val="none"/>
              </w:rPr>
              <w:t>＜</w:t>
            </w:r>
            <w:r>
              <w:rPr>
                <w:rFonts w:hint="eastAsia" w:ascii="宋体" w:hAnsi="宋体" w:cs="宋体"/>
                <w:color w:val="auto"/>
                <w:sz w:val="18"/>
                <w:szCs w:val="18"/>
                <w:highlight w:val="none"/>
              </w:rPr>
              <w:t>85%，不得分</w:t>
            </w:r>
            <w:r>
              <w:rPr>
                <w:rFonts w:hint="eastAsia" w:ascii="宋体" w:hAnsi="宋体" w:cs="宋体"/>
                <w:color w:val="auto"/>
                <w:kern w:val="0"/>
                <w:sz w:val="18"/>
                <w:szCs w:val="18"/>
                <w:highlight w:val="none"/>
                <w:lang w:bidi="ar"/>
              </w:rPr>
              <w:t>。</w:t>
            </w:r>
            <w:r>
              <w:rPr>
                <w:rFonts w:hint="eastAsia" w:ascii="宋体" w:hAnsi="宋体" w:cs="宋体"/>
                <w:color w:val="auto"/>
                <w:sz w:val="18"/>
                <w:szCs w:val="18"/>
                <w:highlight w:val="none"/>
              </w:rPr>
              <w:t>如无主要用水设备（用水系统）（三级）计量单位，计缺项。</w:t>
            </w:r>
          </w:p>
        </w:tc>
        <w:tc>
          <w:tcPr>
            <w:tcW w:w="402"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sz w:val="18"/>
                <w:szCs w:val="18"/>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307"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6</w:t>
            </w:r>
          </w:p>
        </w:tc>
        <w:tc>
          <w:tcPr>
            <w:tcW w:w="989"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节水器具普及率</w:t>
            </w:r>
          </w:p>
        </w:tc>
        <w:tc>
          <w:tcPr>
            <w:tcW w:w="3300" w:type="pct"/>
            <w:shd w:val="clear" w:color="auto" w:fill="auto"/>
            <w:vAlign w:val="center"/>
          </w:tcPr>
          <w:p>
            <w:pPr>
              <w:widowControl/>
              <w:jc w:val="left"/>
              <w:rPr>
                <w:rFonts w:ascii="宋体" w:hAnsi="宋体" w:cs="宋体"/>
                <w:color w:val="auto"/>
                <w:sz w:val="18"/>
                <w:szCs w:val="18"/>
                <w:highlight w:val="none"/>
              </w:rPr>
            </w:pPr>
            <w:r>
              <w:rPr>
                <w:rFonts w:hint="eastAsia" w:ascii="宋体" w:hAnsi="宋体" w:cs="宋体"/>
                <w:color w:val="auto"/>
                <w:kern w:val="0"/>
                <w:sz w:val="18"/>
                <w:szCs w:val="18"/>
                <w:highlight w:val="none"/>
              </w:rPr>
              <w:t>节水型器具配备</w:t>
            </w:r>
            <w:r>
              <w:rPr>
                <w:rFonts w:hint="eastAsia" w:ascii="宋体" w:hAnsi="宋体" w:cs="宋体"/>
                <w:color w:val="auto"/>
                <w:sz w:val="18"/>
                <w:szCs w:val="18"/>
                <w:highlight w:val="none"/>
              </w:rPr>
              <w:t>符合GB/T 31436等相关规定，节水器具普及率达到100%，</w:t>
            </w:r>
            <w:r>
              <w:rPr>
                <w:rFonts w:hint="eastAsia" w:ascii="宋体" w:hAnsi="宋体" w:cs="宋体"/>
                <w:color w:val="auto"/>
                <w:kern w:val="0"/>
                <w:sz w:val="18"/>
                <w:szCs w:val="18"/>
                <w:highlight w:val="none"/>
              </w:rPr>
              <w:t>得5分，</w:t>
            </w:r>
            <w:r>
              <w:rPr>
                <w:rFonts w:hint="eastAsia" w:ascii="宋体" w:hAnsi="宋体" w:cs="宋体"/>
                <w:color w:val="auto"/>
                <w:sz w:val="18"/>
                <w:szCs w:val="18"/>
                <w:highlight w:val="none"/>
              </w:rPr>
              <w:t>每</w:t>
            </w:r>
            <w:r>
              <w:rPr>
                <w:rFonts w:hint="eastAsia" w:ascii="宋体" w:hAnsi="宋体" w:cs="宋体"/>
                <w:color w:val="FF0000"/>
                <w:sz w:val="18"/>
                <w:szCs w:val="18"/>
                <w:highlight w:val="none"/>
                <w:lang w:val="en-US" w:eastAsia="zh-CN"/>
              </w:rPr>
              <w:t>减少</w:t>
            </w:r>
            <w:r>
              <w:rPr>
                <w:rFonts w:hint="eastAsia" w:ascii="宋体" w:hAnsi="宋体" w:cs="宋体"/>
                <w:color w:val="auto"/>
                <w:sz w:val="18"/>
                <w:szCs w:val="18"/>
                <w:highlight w:val="none"/>
              </w:rPr>
              <w:t>1%扣0.5分，扣完为止。</w:t>
            </w:r>
          </w:p>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用水器具水效等级全部为1级，得5分；用水器具水效等级全部</w:t>
            </w:r>
            <w:r>
              <w:rPr>
                <w:rFonts w:hint="eastAsia" w:ascii="宋体" w:hAnsi="宋体" w:cs="宋体"/>
                <w:color w:val="FF0000"/>
                <w:kern w:val="0"/>
                <w:sz w:val="18"/>
                <w:szCs w:val="18"/>
                <w:highlight w:val="none"/>
                <w:lang w:val="en-US" w:eastAsia="zh-CN"/>
              </w:rPr>
              <w:t>高于或等于</w:t>
            </w:r>
            <w:r>
              <w:rPr>
                <w:rFonts w:hint="eastAsia" w:ascii="宋体" w:hAnsi="宋体" w:cs="宋体"/>
                <w:color w:val="auto"/>
                <w:kern w:val="0"/>
                <w:sz w:val="18"/>
                <w:szCs w:val="18"/>
                <w:highlight w:val="none"/>
              </w:rPr>
              <w:t>2级，得3分；用水器具水效等级全部为3级，不得分。其他情形按比例赋分。</w:t>
            </w:r>
          </w:p>
        </w:tc>
        <w:tc>
          <w:tcPr>
            <w:tcW w:w="402"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sz w:val="18"/>
                <w:szCs w:val="18"/>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07"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7</w:t>
            </w:r>
          </w:p>
        </w:tc>
        <w:tc>
          <w:tcPr>
            <w:tcW w:w="989"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中央空调冷却补水率</w:t>
            </w:r>
          </w:p>
        </w:tc>
        <w:tc>
          <w:tcPr>
            <w:tcW w:w="3300" w:type="pct"/>
            <w:shd w:val="clear" w:color="auto" w:fill="auto"/>
            <w:vAlign w:val="center"/>
          </w:tcPr>
          <w:p>
            <w:pPr>
              <w:widowControl/>
              <w:jc w:val="left"/>
              <w:rPr>
                <w:rFonts w:ascii="宋体" w:hAnsi="宋体" w:cs="宋体"/>
                <w:color w:val="auto"/>
                <w:kern w:val="0"/>
                <w:sz w:val="18"/>
                <w:szCs w:val="18"/>
                <w:highlight w:val="none"/>
              </w:rPr>
            </w:pPr>
            <w:r>
              <w:rPr>
                <w:rFonts w:hint="eastAsia" w:ascii="宋体" w:hAnsi="宋体" w:cs="宋体"/>
                <w:color w:val="auto"/>
                <w:sz w:val="18"/>
                <w:szCs w:val="18"/>
                <w:highlight w:val="none"/>
              </w:rPr>
              <w:t>中央空调冷却水应循环利用，中央空调冷却补水率应≤1.6%，</w:t>
            </w:r>
            <w:r>
              <w:rPr>
                <w:rFonts w:hint="eastAsia" w:ascii="宋体" w:hAnsi="宋体" w:cs="宋体"/>
                <w:color w:val="auto"/>
                <w:kern w:val="0"/>
                <w:sz w:val="18"/>
                <w:szCs w:val="18"/>
                <w:highlight w:val="none"/>
              </w:rPr>
              <w:t>得2分，</w:t>
            </w:r>
            <w:r>
              <w:rPr>
                <w:rFonts w:hint="eastAsia" w:ascii="宋体" w:hAnsi="宋体" w:cs="宋体"/>
                <w:color w:val="auto"/>
                <w:sz w:val="18"/>
                <w:szCs w:val="18"/>
                <w:highlight w:val="none"/>
              </w:rPr>
              <w:t>否则不得分。</w:t>
            </w:r>
            <w:r>
              <w:rPr>
                <w:rFonts w:hint="eastAsia" w:ascii="宋体" w:hAnsi="宋体" w:cs="宋体"/>
                <w:color w:val="auto"/>
                <w:kern w:val="0"/>
                <w:sz w:val="18"/>
                <w:szCs w:val="18"/>
                <w:highlight w:val="none"/>
              </w:rPr>
              <w:t>中央空调冷却补水率≤1.0%，得5分；</w:t>
            </w:r>
            <w:r>
              <w:rPr>
                <w:rFonts w:hint="eastAsia" w:ascii="宋体" w:hAnsi="宋体" w:cs="宋体"/>
                <w:color w:val="auto"/>
                <w:sz w:val="18"/>
                <w:szCs w:val="18"/>
                <w:highlight w:val="none"/>
              </w:rPr>
              <w:t>1.0%＜</w:t>
            </w:r>
            <w:r>
              <w:rPr>
                <w:rFonts w:hint="eastAsia" w:ascii="宋体" w:hAnsi="宋体" w:cs="宋体"/>
                <w:color w:val="auto"/>
                <w:kern w:val="0"/>
                <w:sz w:val="18"/>
                <w:szCs w:val="18"/>
                <w:highlight w:val="none"/>
              </w:rPr>
              <w:t>中央空调冷却补水率</w:t>
            </w:r>
            <w:r>
              <w:rPr>
                <w:rFonts w:hint="eastAsia" w:ascii="宋体" w:hAnsi="宋体" w:cs="宋体"/>
                <w:color w:val="auto"/>
                <w:sz w:val="18"/>
                <w:szCs w:val="18"/>
                <w:highlight w:val="none"/>
              </w:rPr>
              <w:t>＜1.6%，按比例赋分</w:t>
            </w:r>
            <w:r>
              <w:rPr>
                <w:rFonts w:hint="eastAsia" w:ascii="宋体" w:hAnsi="宋体" w:cs="宋体"/>
                <w:color w:val="auto"/>
                <w:kern w:val="0"/>
                <w:sz w:val="18"/>
                <w:szCs w:val="18"/>
                <w:highlight w:val="none"/>
              </w:rPr>
              <w:t>。</w:t>
            </w:r>
            <w:r>
              <w:rPr>
                <w:rFonts w:hint="eastAsia" w:ascii="宋体" w:hAnsi="宋体" w:cs="宋体"/>
                <w:color w:val="auto"/>
                <w:sz w:val="18"/>
                <w:szCs w:val="18"/>
                <w:highlight w:val="none"/>
              </w:rPr>
              <w:t>中央空调采用风冷方式直接得分。如无中央空调，计缺项。</w:t>
            </w:r>
          </w:p>
        </w:tc>
        <w:tc>
          <w:tcPr>
            <w:tcW w:w="402"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sz w:val="18"/>
                <w:szCs w:val="18"/>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307"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8</w:t>
            </w:r>
          </w:p>
        </w:tc>
        <w:tc>
          <w:tcPr>
            <w:tcW w:w="989"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蒸汽冷凝水回用率</w:t>
            </w:r>
          </w:p>
        </w:tc>
        <w:tc>
          <w:tcPr>
            <w:tcW w:w="3300" w:type="pct"/>
            <w:shd w:val="clear" w:color="auto" w:fill="auto"/>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蒸汽</w:t>
            </w:r>
            <w:r>
              <w:rPr>
                <w:rFonts w:hint="eastAsia" w:ascii="宋体" w:hAnsi="宋体" w:cs="宋体"/>
                <w:color w:val="auto"/>
                <w:sz w:val="18"/>
                <w:szCs w:val="18"/>
                <w:highlight w:val="none"/>
              </w:rPr>
              <w:t>冷凝水回用率应≥50%，得5分，每低2%扣1分，扣完为止。如无</w:t>
            </w:r>
            <w:r>
              <w:rPr>
                <w:rFonts w:hint="eastAsia" w:ascii="宋体" w:hAnsi="宋体" w:cs="宋体"/>
                <w:color w:val="auto"/>
                <w:kern w:val="0"/>
                <w:sz w:val="18"/>
                <w:szCs w:val="18"/>
                <w:highlight w:val="none"/>
              </w:rPr>
              <w:t>冷凝水</w:t>
            </w:r>
            <w:r>
              <w:rPr>
                <w:rFonts w:hint="eastAsia" w:ascii="宋体" w:hAnsi="宋体" w:cs="宋体"/>
                <w:color w:val="auto"/>
                <w:sz w:val="18"/>
                <w:szCs w:val="18"/>
                <w:highlight w:val="none"/>
              </w:rPr>
              <w:t>，计缺项。</w:t>
            </w:r>
          </w:p>
        </w:tc>
        <w:tc>
          <w:tcPr>
            <w:tcW w:w="402"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sz w:val="18"/>
                <w:szCs w:val="18"/>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4597" w:type="pct"/>
            <w:gridSpan w:val="3"/>
            <w:shd w:val="clear" w:color="auto" w:fill="auto"/>
            <w:vAlign w:val="center"/>
          </w:tcPr>
          <w:p>
            <w:pPr>
              <w:widowControl/>
              <w:jc w:val="center"/>
              <w:rPr>
                <w:rFonts w:ascii="宋体" w:hAnsi="宋体" w:cs="宋体"/>
                <w:b/>
                <w:color w:val="auto"/>
                <w:sz w:val="18"/>
                <w:szCs w:val="18"/>
                <w:highlight w:val="none"/>
              </w:rPr>
            </w:pPr>
            <w:r>
              <w:rPr>
                <w:rFonts w:hint="eastAsia" w:ascii="宋体" w:hAnsi="宋体" w:cs="宋体"/>
                <w:bCs/>
                <w:color w:val="auto"/>
                <w:sz w:val="18"/>
                <w:szCs w:val="18"/>
                <w:highlight w:val="none"/>
              </w:rPr>
              <w:t>小计</w:t>
            </w:r>
          </w:p>
        </w:tc>
        <w:tc>
          <w:tcPr>
            <w:tcW w:w="402" w:type="pct"/>
            <w:shd w:val="clear" w:color="auto" w:fill="auto"/>
            <w:vAlign w:val="center"/>
          </w:tcPr>
          <w:p>
            <w:pPr>
              <w:widowControl/>
              <w:jc w:val="center"/>
              <w:rPr>
                <w:rFonts w:ascii="宋体" w:hAnsi="宋体" w:cs="宋体"/>
                <w:b/>
                <w:color w:val="auto"/>
                <w:sz w:val="18"/>
                <w:szCs w:val="18"/>
                <w:highlight w:val="none"/>
              </w:rPr>
            </w:pPr>
            <w:r>
              <w:rPr>
                <w:rFonts w:hint="eastAsia" w:ascii="宋体" w:hAnsi="宋体" w:cs="宋体"/>
                <w:bCs/>
                <w:color w:val="auto"/>
                <w:sz w:val="18"/>
                <w:szCs w:val="18"/>
                <w:highlight w:val="none"/>
              </w:rPr>
              <w:t>50</w:t>
            </w:r>
          </w:p>
        </w:tc>
      </w:tr>
    </w:tbl>
    <w:p>
      <w:pPr>
        <w:spacing w:before="156" w:beforeLines="50" w:after="156" w:afterLines="50" w:line="400" w:lineRule="exact"/>
        <w:jc w:val="center"/>
        <w:outlineLvl w:val="1"/>
        <w:rPr>
          <w:rFonts w:ascii="黑体" w:hAnsi="黑体" w:eastAsia="黑体"/>
          <w:b/>
          <w:color w:val="auto"/>
          <w:szCs w:val="21"/>
          <w:highlight w:val="none"/>
        </w:rPr>
      </w:pPr>
      <w:r>
        <w:rPr>
          <w:rFonts w:hint="eastAsia" w:ascii="黑体" w:hAnsi="黑体" w:eastAsia="黑体"/>
          <w:b/>
          <w:color w:val="auto"/>
          <w:szCs w:val="21"/>
          <w:highlight w:val="none"/>
        </w:rPr>
        <w:t>表4  鼓励性指标和评分细则</w:t>
      </w:r>
    </w:p>
    <w:tbl>
      <w:tblPr>
        <w:tblStyle w:val="7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1834"/>
        <w:gridCol w:w="6189"/>
        <w:gridCol w:w="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405"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bCs/>
                <w:color w:val="auto"/>
                <w:kern w:val="0"/>
                <w:sz w:val="18"/>
                <w:szCs w:val="18"/>
                <w:highlight w:val="none"/>
              </w:rPr>
              <w:t>序号</w:t>
            </w:r>
          </w:p>
        </w:tc>
        <w:tc>
          <w:tcPr>
            <w:tcW w:w="958" w:type="pct"/>
            <w:shd w:val="clear" w:color="auto" w:fill="auto"/>
            <w:vAlign w:val="center"/>
          </w:tcPr>
          <w:p>
            <w:pPr>
              <w:widowControl/>
              <w:jc w:val="center"/>
              <w:rPr>
                <w:rFonts w:ascii="宋体" w:hAnsi="宋体" w:cs="宋体"/>
                <w:color w:val="auto"/>
                <w:spacing w:val="-20"/>
                <w:kern w:val="0"/>
                <w:sz w:val="18"/>
                <w:szCs w:val="18"/>
                <w:highlight w:val="none"/>
              </w:rPr>
            </w:pPr>
            <w:r>
              <w:rPr>
                <w:rFonts w:hint="eastAsia" w:ascii="宋体" w:hAnsi="宋体" w:cs="宋体"/>
                <w:bCs/>
                <w:color w:val="auto"/>
                <w:kern w:val="0"/>
                <w:sz w:val="18"/>
                <w:szCs w:val="18"/>
                <w:highlight w:val="none"/>
              </w:rPr>
              <w:t>评价指标类别</w:t>
            </w:r>
          </w:p>
        </w:tc>
        <w:tc>
          <w:tcPr>
            <w:tcW w:w="3233"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bCs/>
                <w:color w:val="auto"/>
                <w:kern w:val="0"/>
                <w:sz w:val="18"/>
                <w:szCs w:val="18"/>
                <w:highlight w:val="none"/>
              </w:rPr>
              <w:t>评价内容</w:t>
            </w:r>
          </w:p>
        </w:tc>
        <w:tc>
          <w:tcPr>
            <w:tcW w:w="404"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bCs/>
                <w:color w:val="auto"/>
                <w:kern w:val="0"/>
                <w:sz w:val="18"/>
                <w:szCs w:val="18"/>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405"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1</w:t>
            </w:r>
          </w:p>
        </w:tc>
        <w:tc>
          <w:tcPr>
            <w:tcW w:w="958"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节水管理创新</w:t>
            </w:r>
          </w:p>
        </w:tc>
        <w:tc>
          <w:tcPr>
            <w:tcW w:w="3233" w:type="pct"/>
            <w:shd w:val="clear" w:color="auto" w:fill="auto"/>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建设用水实时监控平台，配套安装远程智能水表，实施用水精细化管理；或采用合同节水管理方式；或其他取得显著成效的节水管理创新工作。得5分。</w:t>
            </w:r>
          </w:p>
        </w:tc>
        <w:tc>
          <w:tcPr>
            <w:tcW w:w="404"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405"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2</w:t>
            </w:r>
          </w:p>
        </w:tc>
        <w:tc>
          <w:tcPr>
            <w:tcW w:w="958"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节水技术创新</w:t>
            </w:r>
          </w:p>
        </w:tc>
        <w:tc>
          <w:tcPr>
            <w:tcW w:w="3233" w:type="pct"/>
            <w:shd w:val="clear" w:color="auto" w:fill="auto"/>
            <w:vAlign w:val="center"/>
          </w:tcPr>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车站自主开展节水技术、产品的创新和研发，得2分。</w:t>
            </w:r>
          </w:p>
          <w:p>
            <w:pPr>
              <w:widowControl/>
              <w:jc w:val="left"/>
              <w:rPr>
                <w:rFonts w:ascii="宋体" w:hAnsi="宋体" w:cs="宋体"/>
                <w:color w:val="auto"/>
                <w:kern w:val="0"/>
                <w:sz w:val="18"/>
                <w:szCs w:val="18"/>
                <w:highlight w:val="none"/>
              </w:rPr>
            </w:pPr>
            <w:r>
              <w:rPr>
                <w:rFonts w:hint="eastAsia" w:ascii="宋体" w:hAnsi="宋体" w:cs="宋体"/>
                <w:color w:val="auto"/>
                <w:kern w:val="0"/>
                <w:sz w:val="18"/>
                <w:szCs w:val="18"/>
                <w:highlight w:val="none"/>
              </w:rPr>
              <w:t>对节水新技术、新产品等进行应用及推广，得3分。</w:t>
            </w:r>
          </w:p>
        </w:tc>
        <w:tc>
          <w:tcPr>
            <w:tcW w:w="404" w:type="pct"/>
            <w:shd w:val="clear" w:color="auto" w:fill="auto"/>
            <w:vAlign w:val="center"/>
          </w:tcPr>
          <w:p>
            <w:pPr>
              <w:widowControl/>
              <w:jc w:val="center"/>
              <w:rPr>
                <w:rFonts w:ascii="宋体" w:hAnsi="宋体" w:cs="宋体"/>
                <w:color w:val="auto"/>
                <w:kern w:val="0"/>
                <w:sz w:val="18"/>
                <w:szCs w:val="18"/>
                <w:highlight w:val="none"/>
              </w:rPr>
            </w:pPr>
            <w:r>
              <w:rPr>
                <w:rFonts w:hint="eastAsia" w:ascii="宋体" w:hAnsi="宋体" w:cs="宋体"/>
                <w:color w:val="auto"/>
                <w:kern w:val="0"/>
                <w:sz w:val="18"/>
                <w:szCs w:val="18"/>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4596" w:type="pct"/>
            <w:gridSpan w:val="3"/>
            <w:shd w:val="clear" w:color="auto" w:fill="auto"/>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小计</w:t>
            </w:r>
          </w:p>
        </w:tc>
        <w:tc>
          <w:tcPr>
            <w:tcW w:w="404" w:type="pct"/>
            <w:shd w:val="clear" w:color="auto" w:fill="auto"/>
            <w:vAlign w:val="center"/>
          </w:tcPr>
          <w:p>
            <w:pPr>
              <w:widowControl/>
              <w:jc w:val="center"/>
              <w:rPr>
                <w:rFonts w:ascii="宋体" w:hAnsi="宋体" w:cs="宋体"/>
                <w:bCs/>
                <w:color w:val="auto"/>
                <w:kern w:val="0"/>
                <w:sz w:val="18"/>
                <w:szCs w:val="18"/>
                <w:highlight w:val="none"/>
              </w:rPr>
            </w:pPr>
            <w:r>
              <w:rPr>
                <w:rFonts w:hint="eastAsia" w:ascii="宋体" w:hAnsi="宋体" w:cs="宋体"/>
                <w:bCs/>
                <w:color w:val="auto"/>
                <w:kern w:val="0"/>
                <w:sz w:val="18"/>
                <w:szCs w:val="18"/>
                <w:highlight w:val="none"/>
              </w:rPr>
              <w:t>10</w:t>
            </w:r>
          </w:p>
        </w:tc>
      </w:tr>
      <w:bookmarkEnd w:id="3"/>
      <w:bookmarkEnd w:id="11"/>
    </w:tbl>
    <w:p>
      <w:pPr>
        <w:pStyle w:val="2"/>
        <w:spacing w:before="156" w:beforeLines="50" w:after="156" w:afterLines="50" w:line="460" w:lineRule="exact"/>
        <w:rPr>
          <w:rFonts w:ascii="黑体" w:eastAsia="黑体"/>
          <w:b w:val="0"/>
          <w:bCs w:val="0"/>
          <w:color w:val="auto"/>
          <w:kern w:val="0"/>
          <w:sz w:val="24"/>
          <w:szCs w:val="24"/>
          <w:highlight w:val="none"/>
        </w:rPr>
      </w:pPr>
      <w:bookmarkStart w:id="12" w:name="SectionMark5"/>
      <w:r>
        <w:rPr>
          <w:rFonts w:ascii="黑体" w:eastAsia="黑体"/>
          <w:b w:val="0"/>
          <w:bCs w:val="0"/>
          <w:color w:val="auto"/>
          <w:kern w:val="0"/>
          <w:sz w:val="24"/>
          <w:szCs w:val="24"/>
          <w:highlight w:val="none"/>
        </w:rPr>
        <w:t>6  评价方法</w:t>
      </w:r>
    </w:p>
    <w:p>
      <w:pPr>
        <w:spacing w:line="360" w:lineRule="auto"/>
        <w:ind w:firstLine="420" w:firstLineChars="200"/>
        <w:jc w:val="left"/>
        <w:rPr>
          <w:rFonts w:eastAsiaTheme="minorEastAsia"/>
          <w:color w:val="auto"/>
          <w:highlight w:val="none"/>
        </w:rPr>
      </w:pPr>
      <w:r>
        <w:rPr>
          <w:rFonts w:hint="eastAsia"/>
          <w:color w:val="auto"/>
          <w:highlight w:val="none"/>
        </w:rPr>
        <w:t>应符合</w:t>
      </w:r>
      <w:r>
        <w:rPr>
          <w:rFonts w:hint="eastAsia" w:asciiTheme="minorEastAsia" w:hAnsiTheme="minorEastAsia" w:eastAsiaTheme="minorEastAsia"/>
          <w:color w:val="auto"/>
          <w:highlight w:val="none"/>
        </w:rPr>
        <w:t>D</w:t>
      </w:r>
      <w:r>
        <w:rPr>
          <w:rFonts w:asciiTheme="minorEastAsia" w:hAnsiTheme="minorEastAsia" w:eastAsiaTheme="minorEastAsia"/>
          <w:color w:val="auto"/>
          <w:highlight w:val="none"/>
        </w:rPr>
        <w:t xml:space="preserve">B13/T </w:t>
      </w:r>
      <w:r>
        <w:rPr>
          <w:rFonts w:hint="eastAsia" w:asciiTheme="minorEastAsia" w:hAnsiTheme="minorEastAsia" w:eastAsiaTheme="minorEastAsia"/>
          <w:color w:val="auto"/>
          <w:highlight w:val="none"/>
        </w:rPr>
        <w:t>5652.1中的评价方法。</w:t>
      </w:r>
    </w:p>
    <w:p>
      <w:pPr>
        <w:spacing w:line="360" w:lineRule="auto"/>
        <w:jc w:val="center"/>
        <w:rPr>
          <w:color w:val="auto"/>
          <w:highlight w:val="none"/>
        </w:rPr>
      </w:pPr>
    </w:p>
    <w:p>
      <w:pPr>
        <w:spacing w:line="360" w:lineRule="auto"/>
        <w:jc w:val="center"/>
        <w:rPr>
          <w:rFonts w:eastAsia="黑体"/>
          <w:b/>
          <w:color w:val="auto"/>
          <w:szCs w:val="21"/>
          <w:highlight w:val="none"/>
        </w:rPr>
      </w:pPr>
      <w:r>
        <w:rPr>
          <w:color w:val="auto"/>
          <w:highlight w:val="none"/>
        </w:rPr>
        <w:br w:type="page"/>
      </w:r>
      <w:bookmarkEnd w:id="12"/>
      <w:r>
        <w:rPr>
          <w:rFonts w:eastAsia="黑体"/>
          <w:b/>
          <w:color w:val="auto"/>
          <w:szCs w:val="21"/>
          <w:highlight w:val="none"/>
        </w:rPr>
        <w:t>附 录 A</w:t>
      </w:r>
    </w:p>
    <w:p>
      <w:pPr>
        <w:autoSpaceDE w:val="0"/>
        <w:autoSpaceDN w:val="0"/>
        <w:adjustRightInd w:val="0"/>
        <w:spacing w:line="500" w:lineRule="exact"/>
        <w:jc w:val="center"/>
        <w:rPr>
          <w:rFonts w:eastAsia="黑体"/>
          <w:b/>
          <w:color w:val="auto"/>
          <w:szCs w:val="21"/>
          <w:highlight w:val="none"/>
        </w:rPr>
      </w:pPr>
      <w:r>
        <w:rPr>
          <w:rFonts w:eastAsia="黑体"/>
          <w:b/>
          <w:color w:val="auto"/>
          <w:szCs w:val="21"/>
          <w:highlight w:val="none"/>
        </w:rPr>
        <w:t>（</w:t>
      </w:r>
      <w:r>
        <w:rPr>
          <w:rFonts w:hint="eastAsia" w:eastAsia="黑体"/>
          <w:b/>
          <w:color w:val="auto"/>
          <w:szCs w:val="21"/>
          <w:highlight w:val="none"/>
        </w:rPr>
        <w:t>资料性</w:t>
      </w:r>
      <w:r>
        <w:rPr>
          <w:rFonts w:eastAsia="黑体"/>
          <w:b/>
          <w:color w:val="auto"/>
          <w:szCs w:val="21"/>
          <w:highlight w:val="none"/>
        </w:rPr>
        <w:t>）</w:t>
      </w:r>
    </w:p>
    <w:p>
      <w:pPr>
        <w:autoSpaceDE w:val="0"/>
        <w:autoSpaceDN w:val="0"/>
        <w:adjustRightInd w:val="0"/>
        <w:spacing w:line="500" w:lineRule="exact"/>
        <w:jc w:val="center"/>
        <w:rPr>
          <w:rFonts w:eastAsia="黑体"/>
          <w:b/>
          <w:color w:val="auto"/>
          <w:szCs w:val="21"/>
          <w:highlight w:val="none"/>
        </w:rPr>
      </w:pPr>
      <w:r>
        <w:rPr>
          <w:rFonts w:hint="eastAsia" w:eastAsia="黑体"/>
          <w:b/>
          <w:color w:val="auto"/>
          <w:szCs w:val="21"/>
          <w:highlight w:val="none"/>
        </w:rPr>
        <w:t>节水型车站评价技术指标的计算方法</w:t>
      </w:r>
    </w:p>
    <w:p>
      <w:pPr>
        <w:autoSpaceDE w:val="0"/>
        <w:autoSpaceDN w:val="0"/>
        <w:adjustRightInd w:val="0"/>
        <w:spacing w:line="460" w:lineRule="exact"/>
        <w:rPr>
          <w:b/>
          <w:color w:val="auto"/>
          <w:highlight w:val="none"/>
        </w:rPr>
      </w:pPr>
      <w:r>
        <w:rPr>
          <w:rFonts w:ascii="黑体" w:eastAsia="黑体"/>
          <w:b/>
          <w:color w:val="auto"/>
          <w:highlight w:val="none"/>
        </w:rPr>
        <w:t>A</w:t>
      </w:r>
      <w:r>
        <w:rPr>
          <w:rFonts w:hint="eastAsia" w:ascii="黑体" w:eastAsia="黑体"/>
          <w:b/>
          <w:color w:val="auto"/>
          <w:highlight w:val="none"/>
        </w:rPr>
        <w:t>.1</w:t>
      </w:r>
      <w:r>
        <w:rPr>
          <w:rFonts w:hint="eastAsia"/>
          <w:b/>
          <w:color w:val="auto"/>
          <w:highlight w:val="none"/>
        </w:rPr>
        <w:t xml:space="preserve">  道路交通汽车客运车站单位车辆补水量</w:t>
      </w:r>
    </w:p>
    <w:p>
      <w:pPr>
        <w:spacing w:line="400" w:lineRule="exact"/>
        <w:ind w:firstLine="420" w:firstLineChars="200"/>
        <w:jc w:val="left"/>
        <w:rPr>
          <w:bCs/>
          <w:color w:val="auto"/>
          <w:highlight w:val="none"/>
        </w:rPr>
      </w:pPr>
      <w:r>
        <w:rPr>
          <w:rFonts w:hint="eastAsia"/>
          <w:bCs/>
          <w:color w:val="auto"/>
          <w:highlight w:val="none"/>
        </w:rPr>
        <w:t>道路交通汽车客运车站（客运站）单位车辆补水量按式（A</w:t>
      </w:r>
      <w:r>
        <w:rPr>
          <w:bCs/>
          <w:color w:val="auto"/>
          <w:highlight w:val="none"/>
        </w:rPr>
        <w:t>.</w:t>
      </w:r>
      <w:r>
        <w:rPr>
          <w:rFonts w:hint="eastAsia"/>
          <w:bCs/>
          <w:color w:val="auto"/>
          <w:highlight w:val="none"/>
        </w:rPr>
        <w:t>1）计算：</w:t>
      </w:r>
    </w:p>
    <w:p>
      <w:pPr>
        <w:spacing w:line="360" w:lineRule="auto"/>
        <w:ind w:firstLine="3255" w:firstLineChars="155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V</m:t>
            </m:r>
            <m:ctrlPr>
              <w:rPr>
                <w:rFonts w:ascii="Cambria Math" w:hAnsi="Cambria Math"/>
                <w:bCs/>
                <w:color w:val="auto"/>
                <w:szCs w:val="21"/>
                <w:highlight w:val="none"/>
              </w:rPr>
            </m:ctrlPr>
          </m:e>
          <m:sub>
            <m:r>
              <m:rPr/>
              <w:rPr>
                <w:rFonts w:ascii="Cambria Math" w:hAnsi="Cambria Math"/>
                <w:color w:val="auto"/>
                <w:szCs w:val="21"/>
                <w:highlight w:val="none"/>
              </w:rPr>
              <m:t>g</m:t>
            </m:r>
            <m:ctrlPr>
              <w:rPr>
                <w:rFonts w:ascii="Cambria Math" w:hAnsi="Cambria Math"/>
                <w:bCs/>
                <w:color w:val="auto"/>
                <w:szCs w:val="21"/>
                <w:highlight w:val="none"/>
              </w:rPr>
            </m:ctrlPr>
          </m:sub>
        </m:sSub>
        <m:r>
          <m:rPr/>
          <w:rPr>
            <w:rFonts w:ascii="Cambria Math" w:hAnsi="Cambria Math"/>
            <w:color w:val="auto"/>
            <w:szCs w:val="21"/>
            <w:highlight w:val="none"/>
          </w:rPr>
          <m:t>=</m:t>
        </m:r>
        <m:f>
          <m:fPr>
            <m:ctrlPr>
              <w:rPr>
                <w:rFonts w:ascii="Cambria Math" w:hAnsi="Cambria Math"/>
                <w:i/>
                <w:color w:val="auto"/>
                <w:szCs w:val="21"/>
                <w:highlight w:val="none"/>
              </w:rPr>
            </m:ctrlPr>
          </m:fPr>
          <m:num>
            <m:sSub>
              <m:sSubPr>
                <m:ctrlPr>
                  <w:rPr>
                    <w:rFonts w:ascii="Cambria Math" w:hAnsi="Cambria Math"/>
                    <w:bCs/>
                    <w:i/>
                    <w:color w:val="auto"/>
                    <w:szCs w:val="21"/>
                    <w:highlight w:val="none"/>
                  </w:rPr>
                </m:ctrlPr>
              </m:sSubPr>
              <m:e>
                <m:r>
                  <m:rPr/>
                  <w:rPr>
                    <w:rFonts w:ascii="Cambria Math" w:hAnsi="Cambria Math"/>
                    <w:color w:val="auto"/>
                    <w:szCs w:val="21"/>
                    <w:highlight w:val="none"/>
                  </w:rPr>
                  <m:t>W</m:t>
                </m:r>
                <m:ctrlPr>
                  <w:rPr>
                    <w:rFonts w:ascii="Cambria Math" w:hAnsi="Cambria Math"/>
                    <w:bCs/>
                    <w:i/>
                    <w:color w:val="auto"/>
                    <w:szCs w:val="21"/>
                    <w:highlight w:val="none"/>
                  </w:rPr>
                </m:ctrlPr>
              </m:e>
              <m:sub>
                <m:r>
                  <m:rPr/>
                  <w:rPr>
                    <w:rFonts w:ascii="Cambria Math" w:hAnsi="Cambria Math"/>
                    <w:color w:val="auto"/>
                    <w:szCs w:val="21"/>
                    <w:highlight w:val="none"/>
                  </w:rPr>
                  <m:t>g</m:t>
                </m:r>
                <m:ctrlPr>
                  <w:rPr>
                    <w:rFonts w:ascii="Cambria Math" w:hAnsi="Cambria Math"/>
                    <w:bCs/>
                    <w:i/>
                    <w:color w:val="auto"/>
                    <w:szCs w:val="21"/>
                    <w:highlight w:val="none"/>
                  </w:rPr>
                </m:ctrlPr>
              </m:sub>
            </m:sSub>
            <m:ctrlPr>
              <w:rPr>
                <w:rFonts w:ascii="Cambria Math" w:hAnsi="Cambria Math"/>
                <w:i/>
                <w:color w:val="auto"/>
                <w:szCs w:val="21"/>
                <w:highlight w:val="none"/>
              </w:rPr>
            </m:ctrlPr>
          </m:num>
          <m:den>
            <m:sSub>
              <m:sSubPr>
                <m:ctrlPr>
                  <w:rPr>
                    <w:rFonts w:ascii="Cambria Math" w:hAnsi="Cambria Math"/>
                    <w:bCs/>
                    <w:i/>
                    <w:color w:val="auto"/>
                    <w:szCs w:val="21"/>
                    <w:highlight w:val="none"/>
                  </w:rPr>
                </m:ctrlPr>
              </m:sSubPr>
              <m:e>
                <m:r>
                  <m:rPr/>
                  <w:rPr>
                    <w:rFonts w:ascii="Cambria Math" w:hAnsi="Cambria Math"/>
                    <w:color w:val="auto"/>
                    <w:szCs w:val="21"/>
                    <w:highlight w:val="none"/>
                  </w:rPr>
                  <m:t>Q</m:t>
                </m:r>
                <m:ctrlPr>
                  <w:rPr>
                    <w:rFonts w:ascii="Cambria Math" w:hAnsi="Cambria Math"/>
                    <w:bCs/>
                    <w:i/>
                    <w:color w:val="auto"/>
                    <w:szCs w:val="21"/>
                    <w:highlight w:val="none"/>
                  </w:rPr>
                </m:ctrlPr>
              </m:e>
              <m:sub>
                <m:r>
                  <m:rPr/>
                  <w:rPr>
                    <w:rFonts w:ascii="Cambria Math" w:hAnsi="Cambria Math"/>
                    <w:color w:val="auto"/>
                    <w:szCs w:val="21"/>
                    <w:highlight w:val="none"/>
                  </w:rPr>
                  <m:t>g</m:t>
                </m:r>
                <m:ctrlPr>
                  <w:rPr>
                    <w:rFonts w:ascii="Cambria Math" w:hAnsi="Cambria Math"/>
                    <w:bCs/>
                    <w:i/>
                    <w:color w:val="auto"/>
                    <w:szCs w:val="21"/>
                    <w:highlight w:val="none"/>
                  </w:rPr>
                </m:ctrlPr>
              </m:sub>
            </m:sSub>
            <m:r>
              <m:rPr/>
              <w:rPr>
                <w:rFonts w:ascii="Cambria Math" w:hAnsi="Cambria Math"/>
                <w:color w:val="auto"/>
                <w:szCs w:val="21"/>
                <w:highlight w:val="none"/>
              </w:rPr>
              <m:t>×</m:t>
            </m:r>
            <m:sSub>
              <m:sSubPr>
                <m:ctrlPr>
                  <w:rPr>
                    <w:rFonts w:ascii="Cambria Math" w:hAnsi="Cambria Math"/>
                    <w:bCs/>
                    <w:i/>
                    <w:color w:val="auto"/>
                    <w:szCs w:val="21"/>
                    <w:highlight w:val="none"/>
                  </w:rPr>
                </m:ctrlPr>
              </m:sSubPr>
              <m:e>
                <m:r>
                  <m:rPr/>
                  <w:rPr>
                    <w:rFonts w:ascii="Cambria Math" w:hAnsi="Cambria Math"/>
                    <w:color w:val="auto"/>
                    <w:szCs w:val="21"/>
                    <w:highlight w:val="none"/>
                  </w:rPr>
                  <m:t>R</m:t>
                </m:r>
                <m:ctrlPr>
                  <w:rPr>
                    <w:rFonts w:ascii="Cambria Math" w:hAnsi="Cambria Math"/>
                    <w:bCs/>
                    <w:i/>
                    <w:color w:val="auto"/>
                    <w:szCs w:val="21"/>
                    <w:highlight w:val="none"/>
                  </w:rPr>
                </m:ctrlPr>
              </m:e>
              <m:sub>
                <m:r>
                  <m:rPr/>
                  <w:rPr>
                    <w:rFonts w:ascii="Cambria Math" w:hAnsi="Cambria Math"/>
                    <w:color w:val="auto"/>
                    <w:szCs w:val="21"/>
                    <w:highlight w:val="none"/>
                  </w:rPr>
                  <m:t>s</m:t>
                </m:r>
                <m:ctrlPr>
                  <w:rPr>
                    <w:rFonts w:ascii="Cambria Math" w:hAnsi="Cambria Math"/>
                    <w:bCs/>
                    <w:i/>
                    <w:color w:val="auto"/>
                    <w:szCs w:val="21"/>
                    <w:highlight w:val="none"/>
                  </w:rPr>
                </m:ctrlPr>
              </m:sub>
            </m:sSub>
            <m:ctrlPr>
              <w:rPr>
                <w:rFonts w:ascii="Cambria Math" w:hAnsi="Cambria Math"/>
                <w:i/>
                <w:color w:val="auto"/>
                <w:szCs w:val="21"/>
                <w:highlight w:val="none"/>
              </w:rPr>
            </m:ctrlPr>
          </m:den>
        </m:f>
      </m:oMath>
      <w:r>
        <w:rPr>
          <w:rFonts w:hint="eastAsia"/>
          <w:bCs/>
          <w:color w:val="auto"/>
          <w:szCs w:val="21"/>
          <w:highlight w:val="none"/>
        </w:rPr>
        <w:t>…………………………………………………（A.1）</w:t>
      </w:r>
    </w:p>
    <w:p>
      <w:pPr>
        <w:spacing w:line="400" w:lineRule="exact"/>
        <w:ind w:firstLine="420" w:firstLineChars="200"/>
        <w:jc w:val="left"/>
        <w:rPr>
          <w:bCs/>
          <w:color w:val="auto"/>
          <w:szCs w:val="21"/>
          <w:highlight w:val="none"/>
        </w:rPr>
      </w:pPr>
      <w:r>
        <w:rPr>
          <w:rFonts w:hint="eastAsia"/>
          <w:bCs/>
          <w:color w:val="auto"/>
          <w:szCs w:val="21"/>
          <w:highlight w:val="none"/>
        </w:rPr>
        <w:t>式中</w:t>
      </w:r>
      <w:r>
        <w:rPr>
          <w:bCs/>
          <w:color w:val="auto"/>
          <w:szCs w:val="21"/>
          <w:highlight w:val="none"/>
        </w:rPr>
        <w:t>：</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V</m:t>
            </m:r>
            <m:ctrlPr>
              <w:rPr>
                <w:rFonts w:ascii="Cambria Math" w:hAnsi="Cambria Math"/>
                <w:bCs/>
                <w:color w:val="auto"/>
                <w:szCs w:val="21"/>
                <w:highlight w:val="none"/>
              </w:rPr>
            </m:ctrlPr>
          </m:e>
          <m:sub>
            <m:r>
              <m:rPr/>
              <w:rPr>
                <w:rFonts w:ascii="Cambria Math" w:hAnsi="Cambria Math"/>
                <w:color w:val="auto"/>
                <w:szCs w:val="21"/>
                <w:highlight w:val="none"/>
              </w:rPr>
              <m:t>g</m:t>
            </m:r>
            <m:ctrlPr>
              <w:rPr>
                <w:rFonts w:ascii="Cambria Math" w:hAnsi="Cambria Math"/>
                <w:bCs/>
                <w:color w:val="auto"/>
                <w:szCs w:val="21"/>
                <w:highlight w:val="none"/>
              </w:rPr>
            </m:ctrlPr>
          </m:sub>
        </m:sSub>
      </m:oMath>
      <w:r>
        <w:rPr>
          <w:rFonts w:hint="eastAsia"/>
          <w:bCs/>
          <w:color w:val="auto"/>
          <w:szCs w:val="21"/>
          <w:highlight w:val="none"/>
        </w:rPr>
        <w:t>——</w:t>
      </w:r>
      <w:r>
        <w:rPr>
          <w:rFonts w:hint="eastAsia"/>
          <w:bCs/>
          <w:color w:val="auto"/>
          <w:highlight w:val="none"/>
        </w:rPr>
        <w:t>汽车客运</w:t>
      </w:r>
      <w:r>
        <w:rPr>
          <w:rFonts w:hint="eastAsia"/>
          <w:bCs/>
          <w:color w:val="auto"/>
          <w:szCs w:val="21"/>
          <w:highlight w:val="none"/>
        </w:rPr>
        <w:t>车站单位车辆补水</w:t>
      </w:r>
      <w:r>
        <w:rPr>
          <w:bCs/>
          <w:color w:val="auto"/>
          <w:szCs w:val="21"/>
          <w:highlight w:val="none"/>
        </w:rPr>
        <w:t>量</w:t>
      </w:r>
      <w:r>
        <w:rPr>
          <w:rFonts w:hint="eastAsia"/>
          <w:bCs/>
          <w:color w:val="auto"/>
          <w:szCs w:val="21"/>
          <w:highlight w:val="none"/>
        </w:rPr>
        <w:t>（m</w:t>
      </w:r>
      <w:r>
        <w:rPr>
          <w:rFonts w:hint="eastAsia"/>
          <w:bCs/>
          <w:color w:val="auto"/>
          <w:szCs w:val="21"/>
          <w:highlight w:val="none"/>
          <w:vertAlign w:val="superscript"/>
        </w:rPr>
        <w:t>3</w:t>
      </w:r>
      <w:r>
        <w:rPr>
          <w:rFonts w:hint="eastAsia"/>
          <w:bCs/>
          <w:color w:val="auto"/>
          <w:szCs w:val="21"/>
          <w:highlight w:val="none"/>
        </w:rPr>
        <w:t>/（辆</w:t>
      </w:r>
      <w:r>
        <w:rPr>
          <w:rFonts w:hint="eastAsia" w:ascii="宋体" w:hAnsi="宋体"/>
          <w:bCs/>
          <w:color w:val="auto"/>
          <w:szCs w:val="21"/>
          <w:highlight w:val="none"/>
        </w:rPr>
        <w:t>·次</w:t>
      </w:r>
      <w:r>
        <w:rPr>
          <w:rFonts w:hint="eastAsia"/>
          <w:bCs/>
          <w:color w:val="auto"/>
          <w:szCs w:val="21"/>
          <w:highlight w:val="none"/>
        </w:rPr>
        <w:t>））；</w:t>
      </w:r>
    </w:p>
    <w:p>
      <w:pPr>
        <w:ind w:left="420" w:leftChars="200"/>
        <w:jc w:val="left"/>
        <w:rPr>
          <w:bCs/>
          <w:color w:val="auto"/>
          <w:szCs w:val="21"/>
          <w:highlight w:val="none"/>
        </w:rPr>
      </w:pPr>
      <m:oMath>
        <m:sSub>
          <m:sSubPr>
            <m:ctrlPr>
              <w:rPr>
                <w:rFonts w:ascii="Cambria Math" w:hAnsi="Cambria Math"/>
                <w:bCs/>
                <w:i/>
                <w:color w:val="auto"/>
                <w:szCs w:val="21"/>
                <w:highlight w:val="none"/>
              </w:rPr>
            </m:ctrlPr>
          </m:sSubPr>
          <m:e>
            <m:r>
              <m:rPr/>
              <w:rPr>
                <w:rFonts w:ascii="Cambria Math" w:hAnsi="Cambria Math"/>
                <w:color w:val="auto"/>
                <w:szCs w:val="21"/>
                <w:highlight w:val="none"/>
              </w:rPr>
              <m:t>W</m:t>
            </m:r>
            <m:ctrlPr>
              <w:rPr>
                <w:rFonts w:ascii="Cambria Math" w:hAnsi="Cambria Math"/>
                <w:bCs/>
                <w:i/>
                <w:color w:val="auto"/>
                <w:szCs w:val="21"/>
                <w:highlight w:val="none"/>
              </w:rPr>
            </m:ctrlPr>
          </m:e>
          <m:sub>
            <m:r>
              <m:rPr/>
              <w:rPr>
                <w:rFonts w:ascii="Cambria Math" w:hAnsi="Cambria Math"/>
                <w:color w:val="auto"/>
                <w:szCs w:val="21"/>
                <w:highlight w:val="none"/>
              </w:rPr>
              <m:t>g</m:t>
            </m:r>
            <m:ctrlPr>
              <w:rPr>
                <w:rFonts w:ascii="Cambria Math" w:hAnsi="Cambria Math"/>
                <w:bCs/>
                <w:i/>
                <w:color w:val="auto"/>
                <w:szCs w:val="21"/>
                <w:highlight w:val="none"/>
              </w:rPr>
            </m:ctrlPr>
          </m:sub>
        </m:sSub>
      </m:oMath>
      <w:r>
        <w:rPr>
          <w:rFonts w:hint="eastAsia"/>
          <w:bCs/>
          <w:color w:val="auto"/>
          <w:szCs w:val="21"/>
          <w:highlight w:val="none"/>
        </w:rPr>
        <w:t>——</w:t>
      </w:r>
      <w:r>
        <w:rPr>
          <w:rFonts w:hint="eastAsia"/>
          <w:bCs/>
          <w:color w:val="auto"/>
          <w:highlight w:val="none"/>
        </w:rPr>
        <w:t>汽车客运</w:t>
      </w:r>
      <w:r>
        <w:rPr>
          <w:rFonts w:hint="eastAsia"/>
          <w:bCs/>
          <w:color w:val="auto"/>
          <w:szCs w:val="21"/>
          <w:highlight w:val="none"/>
        </w:rPr>
        <w:t>车站车辆年补水</w:t>
      </w:r>
      <w:r>
        <w:rPr>
          <w:bCs/>
          <w:color w:val="auto"/>
          <w:szCs w:val="21"/>
          <w:highlight w:val="none"/>
        </w:rPr>
        <w:t>量</w:t>
      </w:r>
      <w:r>
        <w:rPr>
          <w:rFonts w:hint="eastAsia"/>
          <w:bCs/>
          <w:color w:val="auto"/>
          <w:szCs w:val="21"/>
          <w:highlight w:val="none"/>
        </w:rPr>
        <w:t>，包括大中型客车补水量</w:t>
      </w:r>
      <w:r>
        <w:rPr>
          <w:bCs/>
          <w:color w:val="auto"/>
          <w:szCs w:val="21"/>
          <w:highlight w:val="none"/>
        </w:rPr>
        <w:t>（</w:t>
      </w:r>
      <w:r>
        <w:rPr>
          <w:rFonts w:hint="eastAsia"/>
          <w:bCs/>
          <w:color w:val="auto"/>
          <w:szCs w:val="21"/>
          <w:highlight w:val="none"/>
        </w:rPr>
        <w:t>m</w:t>
      </w:r>
      <w:r>
        <w:rPr>
          <w:rFonts w:hint="eastAsia"/>
          <w:bCs/>
          <w:color w:val="auto"/>
          <w:szCs w:val="21"/>
          <w:highlight w:val="none"/>
          <w:vertAlign w:val="superscript"/>
        </w:rPr>
        <w:t>3</w:t>
      </w:r>
      <w:r>
        <w:rPr>
          <w:bCs/>
          <w:color w:val="auto"/>
          <w:szCs w:val="21"/>
          <w:highlight w:val="none"/>
        </w:rPr>
        <w:t>/</w:t>
      </w:r>
      <w:r>
        <w:rPr>
          <w:rFonts w:hint="eastAsia"/>
          <w:bCs/>
          <w:color w:val="auto"/>
          <w:szCs w:val="21"/>
          <w:highlight w:val="none"/>
        </w:rPr>
        <w:t>a）；</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Q</m:t>
            </m:r>
            <m:ctrlPr>
              <w:rPr>
                <w:rFonts w:ascii="Cambria Math" w:hAnsi="Cambria Math"/>
                <w:bCs/>
                <w:color w:val="auto"/>
                <w:szCs w:val="21"/>
                <w:highlight w:val="none"/>
              </w:rPr>
            </m:ctrlPr>
          </m:e>
          <m:sub>
            <m:r>
              <m:rPr/>
              <w:rPr>
                <w:rFonts w:ascii="Cambria Math" w:hAnsi="Cambria Math"/>
                <w:color w:val="auto"/>
                <w:szCs w:val="21"/>
                <w:highlight w:val="none"/>
              </w:rPr>
              <m:t>b</m:t>
            </m:r>
            <m:ctrlPr>
              <w:rPr>
                <w:rFonts w:ascii="Cambria Math" w:hAnsi="Cambria Math"/>
                <w:bCs/>
                <w:color w:val="auto"/>
                <w:szCs w:val="21"/>
                <w:highlight w:val="none"/>
              </w:rPr>
            </m:ctrlPr>
          </m:sub>
        </m:sSub>
      </m:oMath>
      <w:r>
        <w:rPr>
          <w:rFonts w:hint="eastAsia"/>
          <w:bCs/>
          <w:color w:val="auto"/>
          <w:szCs w:val="21"/>
          <w:highlight w:val="none"/>
        </w:rPr>
        <w:t>——</w:t>
      </w:r>
      <w:r>
        <w:rPr>
          <w:rFonts w:hint="eastAsia"/>
          <w:bCs/>
          <w:color w:val="auto"/>
          <w:highlight w:val="none"/>
        </w:rPr>
        <w:t>汽车客运</w:t>
      </w:r>
      <w:r>
        <w:rPr>
          <w:rFonts w:hint="eastAsia"/>
          <w:bCs/>
          <w:color w:val="auto"/>
          <w:szCs w:val="21"/>
          <w:highlight w:val="none"/>
        </w:rPr>
        <w:t>车站年经停补水车辆数</w:t>
      </w:r>
      <w:r>
        <w:rPr>
          <w:bCs/>
          <w:color w:val="auto"/>
          <w:szCs w:val="21"/>
          <w:highlight w:val="none"/>
        </w:rPr>
        <w:t>（</w:t>
      </w:r>
      <w:r>
        <w:rPr>
          <w:rFonts w:hint="eastAsia"/>
          <w:bCs/>
          <w:color w:val="auto"/>
          <w:szCs w:val="21"/>
          <w:highlight w:val="none"/>
        </w:rPr>
        <w:t>辆</w:t>
      </w:r>
      <w:r>
        <w:rPr>
          <w:bCs/>
          <w:color w:val="auto"/>
          <w:szCs w:val="21"/>
          <w:highlight w:val="none"/>
        </w:rPr>
        <w:t>）</w:t>
      </w:r>
      <w:r>
        <w:rPr>
          <w:rFonts w:hint="eastAsia"/>
          <w:bCs/>
          <w:color w:val="auto"/>
          <w:szCs w:val="21"/>
          <w:highlight w:val="none"/>
        </w:rPr>
        <w:t>；</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R</m:t>
            </m:r>
            <m:ctrlPr>
              <w:rPr>
                <w:rFonts w:ascii="Cambria Math" w:hAnsi="Cambria Math"/>
                <w:bCs/>
                <w:color w:val="auto"/>
                <w:szCs w:val="21"/>
                <w:highlight w:val="none"/>
              </w:rPr>
            </m:ctrlPr>
          </m:e>
          <m:sub>
            <m:r>
              <m:rPr>
                <m:sty m:val="p"/>
              </m:rPr>
              <w:rPr>
                <w:rFonts w:hint="eastAsia" w:ascii="Cambria Math" w:hAnsi="Cambria Math"/>
                <w:color w:val="auto"/>
                <w:szCs w:val="21"/>
                <w:highlight w:val="none"/>
              </w:rPr>
              <m:t>s</m:t>
            </m:r>
            <m:ctrlPr>
              <w:rPr>
                <w:rFonts w:ascii="Cambria Math" w:hAnsi="Cambria Math"/>
                <w:bCs/>
                <w:color w:val="auto"/>
                <w:szCs w:val="21"/>
                <w:highlight w:val="none"/>
              </w:rPr>
            </m:ctrlPr>
          </m:sub>
        </m:sSub>
      </m:oMath>
      <w:r>
        <w:rPr>
          <w:rFonts w:hint="eastAsia"/>
          <w:bCs/>
          <w:color w:val="auto"/>
          <w:szCs w:val="21"/>
          <w:highlight w:val="none"/>
        </w:rPr>
        <w:t>——</w:t>
      </w:r>
      <w:r>
        <w:rPr>
          <w:rFonts w:hint="eastAsia"/>
          <w:bCs/>
          <w:color w:val="auto"/>
          <w:highlight w:val="none"/>
        </w:rPr>
        <w:t>汽车客运</w:t>
      </w:r>
      <w:r>
        <w:rPr>
          <w:rFonts w:hint="eastAsia"/>
          <w:bCs/>
          <w:color w:val="auto"/>
          <w:szCs w:val="21"/>
          <w:highlight w:val="none"/>
        </w:rPr>
        <w:t>车站年经停车辆补水次数</w:t>
      </w:r>
      <w:r>
        <w:rPr>
          <w:bCs/>
          <w:color w:val="auto"/>
          <w:szCs w:val="21"/>
          <w:highlight w:val="none"/>
        </w:rPr>
        <w:t>（</w:t>
      </w:r>
      <w:r>
        <w:rPr>
          <w:rFonts w:hint="eastAsia"/>
          <w:bCs/>
          <w:color w:val="auto"/>
          <w:szCs w:val="21"/>
          <w:highlight w:val="none"/>
        </w:rPr>
        <w:t>次/a</w:t>
      </w:r>
      <w:r>
        <w:rPr>
          <w:bCs/>
          <w:color w:val="auto"/>
          <w:szCs w:val="21"/>
          <w:highlight w:val="none"/>
        </w:rPr>
        <w:t>）</w:t>
      </w:r>
      <w:r>
        <w:rPr>
          <w:rFonts w:hint="eastAsia"/>
          <w:bCs/>
          <w:color w:val="auto"/>
          <w:szCs w:val="21"/>
          <w:highlight w:val="none"/>
        </w:rPr>
        <w:t>。</w:t>
      </w:r>
    </w:p>
    <w:p>
      <w:pPr>
        <w:autoSpaceDE w:val="0"/>
        <w:autoSpaceDN w:val="0"/>
        <w:adjustRightInd w:val="0"/>
        <w:spacing w:line="460" w:lineRule="exact"/>
        <w:rPr>
          <w:b/>
          <w:color w:val="auto"/>
          <w:highlight w:val="none"/>
        </w:rPr>
      </w:pPr>
      <w:r>
        <w:rPr>
          <w:rFonts w:ascii="黑体" w:eastAsia="黑体"/>
          <w:b/>
          <w:color w:val="auto"/>
          <w:highlight w:val="none"/>
        </w:rPr>
        <w:t>A</w:t>
      </w:r>
      <w:r>
        <w:rPr>
          <w:rFonts w:hint="eastAsia" w:ascii="黑体" w:eastAsia="黑体"/>
          <w:b/>
          <w:color w:val="auto"/>
          <w:highlight w:val="none"/>
        </w:rPr>
        <w:t>.2</w:t>
      </w:r>
      <w:r>
        <w:rPr>
          <w:rFonts w:hint="eastAsia"/>
          <w:b/>
          <w:color w:val="auto"/>
          <w:highlight w:val="none"/>
        </w:rPr>
        <w:t xml:space="preserve">  铁路交通</w:t>
      </w:r>
      <w:r>
        <w:rPr>
          <w:rFonts w:hint="eastAsia"/>
          <w:b/>
          <w:color w:val="auto"/>
          <w:highlight w:val="none"/>
          <w:lang w:val="en-US" w:eastAsia="zh-CN"/>
        </w:rPr>
        <w:t>旅客</w:t>
      </w:r>
      <w:r>
        <w:rPr>
          <w:rFonts w:hint="eastAsia"/>
          <w:b/>
          <w:color w:val="auto"/>
          <w:highlight w:val="none"/>
        </w:rPr>
        <w:t>车站列车单位车厢补水量</w:t>
      </w:r>
    </w:p>
    <w:p>
      <w:pPr>
        <w:spacing w:line="400" w:lineRule="exact"/>
        <w:ind w:firstLine="420" w:firstLineChars="200"/>
        <w:jc w:val="left"/>
        <w:rPr>
          <w:bCs/>
          <w:color w:val="auto"/>
          <w:highlight w:val="none"/>
        </w:rPr>
      </w:pPr>
      <w:r>
        <w:rPr>
          <w:rFonts w:hint="eastAsia"/>
          <w:bCs/>
          <w:color w:val="auto"/>
          <w:highlight w:val="none"/>
        </w:rPr>
        <w:t>铁路交通旅客车站（火车站）列车单位车厢补水量按式（A</w:t>
      </w:r>
      <w:r>
        <w:rPr>
          <w:bCs/>
          <w:color w:val="auto"/>
          <w:highlight w:val="none"/>
        </w:rPr>
        <w:t>.</w:t>
      </w:r>
      <w:r>
        <w:rPr>
          <w:rFonts w:hint="eastAsia"/>
          <w:bCs/>
          <w:color w:val="auto"/>
          <w:highlight w:val="none"/>
        </w:rPr>
        <w:t>2）计算：</w:t>
      </w:r>
    </w:p>
    <w:p>
      <w:pPr>
        <w:spacing w:line="360" w:lineRule="auto"/>
        <w:ind w:firstLine="3255" w:firstLineChars="1550"/>
        <w:jc w:val="righ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V</m:t>
            </m:r>
            <m:ctrlPr>
              <w:rPr>
                <w:rFonts w:ascii="Cambria Math" w:hAnsi="Cambria Math"/>
                <w:bCs/>
                <w:color w:val="auto"/>
                <w:szCs w:val="21"/>
                <w:highlight w:val="none"/>
              </w:rPr>
            </m:ctrlPr>
          </m:e>
          <m:sub>
            <m:r>
              <m:rPr/>
              <w:rPr>
                <w:rFonts w:ascii="Cambria Math" w:hAnsi="Cambria Math"/>
                <w:color w:val="auto"/>
                <w:szCs w:val="21"/>
                <w:highlight w:val="none"/>
              </w:rPr>
              <m:t>t</m:t>
            </m:r>
            <m:ctrlPr>
              <w:rPr>
                <w:rFonts w:ascii="Cambria Math" w:hAnsi="Cambria Math"/>
                <w:bCs/>
                <w:color w:val="auto"/>
                <w:szCs w:val="21"/>
                <w:highlight w:val="none"/>
              </w:rPr>
            </m:ctrlPr>
          </m:sub>
        </m:sSub>
        <m:r>
          <m:rPr/>
          <w:rPr>
            <w:rFonts w:ascii="Cambria Math" w:hAnsi="Cambria Math"/>
            <w:color w:val="auto"/>
            <w:szCs w:val="21"/>
            <w:highlight w:val="none"/>
          </w:rPr>
          <m:t>=</m:t>
        </m:r>
        <m:f>
          <m:fPr>
            <m:ctrlPr>
              <w:rPr>
                <w:rFonts w:ascii="Cambria Math" w:hAnsi="Cambria Math"/>
                <w:i/>
                <w:color w:val="auto"/>
                <w:szCs w:val="21"/>
                <w:highlight w:val="none"/>
              </w:rPr>
            </m:ctrlPr>
          </m:fPr>
          <m:num>
            <m:sSub>
              <m:sSubPr>
                <m:ctrlPr>
                  <w:rPr>
                    <w:rFonts w:ascii="Cambria Math" w:hAnsi="Cambria Math"/>
                    <w:bCs/>
                    <w:i/>
                    <w:color w:val="auto"/>
                    <w:szCs w:val="21"/>
                    <w:highlight w:val="none"/>
                  </w:rPr>
                </m:ctrlPr>
              </m:sSubPr>
              <m:e>
                <m:r>
                  <m:rPr/>
                  <w:rPr>
                    <w:rFonts w:ascii="Cambria Math" w:hAnsi="Cambria Math"/>
                    <w:color w:val="auto"/>
                    <w:szCs w:val="21"/>
                    <w:highlight w:val="none"/>
                  </w:rPr>
                  <m:t>W</m:t>
                </m:r>
                <m:ctrlPr>
                  <w:rPr>
                    <w:rFonts w:ascii="Cambria Math" w:hAnsi="Cambria Math"/>
                    <w:bCs/>
                    <w:i/>
                    <w:color w:val="auto"/>
                    <w:szCs w:val="21"/>
                    <w:highlight w:val="none"/>
                  </w:rPr>
                </m:ctrlPr>
              </m:e>
              <m:sub>
                <m:r>
                  <m:rPr/>
                  <w:rPr>
                    <w:rFonts w:ascii="Cambria Math" w:hAnsi="Cambria Math"/>
                    <w:color w:val="auto"/>
                    <w:szCs w:val="21"/>
                    <w:highlight w:val="none"/>
                  </w:rPr>
                  <m:t>t</m:t>
                </m:r>
                <m:ctrlPr>
                  <w:rPr>
                    <w:rFonts w:ascii="Cambria Math" w:hAnsi="Cambria Math"/>
                    <w:bCs/>
                    <w:i/>
                    <w:color w:val="auto"/>
                    <w:szCs w:val="21"/>
                    <w:highlight w:val="none"/>
                  </w:rPr>
                </m:ctrlPr>
              </m:sub>
            </m:sSub>
            <m:ctrlPr>
              <w:rPr>
                <w:rFonts w:ascii="Cambria Math" w:hAnsi="Cambria Math"/>
                <w:i/>
                <w:color w:val="auto"/>
                <w:szCs w:val="21"/>
                <w:highlight w:val="none"/>
              </w:rPr>
            </m:ctrlPr>
          </m:num>
          <m:den>
            <m:sSub>
              <m:sSubPr>
                <m:ctrlPr>
                  <w:rPr>
                    <w:rFonts w:ascii="Cambria Math" w:hAnsi="Cambria Math"/>
                    <w:bCs/>
                    <w:i/>
                    <w:color w:val="auto"/>
                    <w:szCs w:val="21"/>
                    <w:highlight w:val="none"/>
                  </w:rPr>
                </m:ctrlPr>
              </m:sSubPr>
              <m:e>
                <m:r>
                  <m:rPr/>
                  <w:rPr>
                    <w:rFonts w:ascii="Cambria Math" w:hAnsi="Cambria Math"/>
                    <w:color w:val="auto"/>
                    <w:szCs w:val="21"/>
                    <w:highlight w:val="none"/>
                  </w:rPr>
                  <m:t>Q</m:t>
                </m:r>
                <m:ctrlPr>
                  <w:rPr>
                    <w:rFonts w:ascii="Cambria Math" w:hAnsi="Cambria Math"/>
                    <w:bCs/>
                    <w:i/>
                    <w:color w:val="auto"/>
                    <w:szCs w:val="21"/>
                    <w:highlight w:val="none"/>
                  </w:rPr>
                </m:ctrlPr>
              </m:e>
              <m:sub>
                <m:r>
                  <m:rPr/>
                  <w:rPr>
                    <w:rFonts w:ascii="Cambria Math" w:hAnsi="Cambria Math"/>
                    <w:color w:val="auto"/>
                    <w:szCs w:val="21"/>
                    <w:highlight w:val="none"/>
                  </w:rPr>
                  <m:t>t</m:t>
                </m:r>
                <m:ctrlPr>
                  <w:rPr>
                    <w:rFonts w:ascii="Cambria Math" w:hAnsi="Cambria Math"/>
                    <w:bCs/>
                    <w:i/>
                    <w:color w:val="auto"/>
                    <w:szCs w:val="21"/>
                    <w:highlight w:val="none"/>
                  </w:rPr>
                </m:ctrlPr>
              </m:sub>
            </m:sSub>
            <m:r>
              <m:rPr/>
              <w:rPr>
                <w:rFonts w:ascii="Cambria Math" w:hAnsi="Cambria Math"/>
                <w:color w:val="auto"/>
                <w:szCs w:val="21"/>
                <w:highlight w:val="none"/>
              </w:rPr>
              <m:t>×</m:t>
            </m:r>
            <m:sSub>
              <m:sSubPr>
                <m:ctrlPr>
                  <w:rPr>
                    <w:rFonts w:ascii="Cambria Math" w:hAnsi="Cambria Math"/>
                    <w:bCs/>
                    <w:i/>
                    <w:color w:val="auto"/>
                    <w:szCs w:val="21"/>
                    <w:highlight w:val="none"/>
                  </w:rPr>
                </m:ctrlPr>
              </m:sSubPr>
              <m:e>
                <m:r>
                  <m:rPr/>
                  <w:rPr>
                    <w:rFonts w:ascii="Cambria Math" w:hAnsi="Cambria Math"/>
                    <w:color w:val="auto"/>
                    <w:szCs w:val="21"/>
                    <w:highlight w:val="none"/>
                  </w:rPr>
                  <m:t>R</m:t>
                </m:r>
                <m:ctrlPr>
                  <w:rPr>
                    <w:rFonts w:ascii="Cambria Math" w:hAnsi="Cambria Math"/>
                    <w:bCs/>
                    <w:i/>
                    <w:color w:val="auto"/>
                    <w:szCs w:val="21"/>
                    <w:highlight w:val="none"/>
                  </w:rPr>
                </m:ctrlPr>
              </m:e>
              <m:sub>
                <m:r>
                  <m:rPr/>
                  <w:rPr>
                    <w:rFonts w:ascii="Cambria Math" w:hAnsi="Cambria Math"/>
                    <w:color w:val="auto"/>
                    <w:szCs w:val="21"/>
                    <w:highlight w:val="none"/>
                  </w:rPr>
                  <m:t>t</m:t>
                </m:r>
                <m:ctrlPr>
                  <w:rPr>
                    <w:rFonts w:ascii="Cambria Math" w:hAnsi="Cambria Math"/>
                    <w:bCs/>
                    <w:i/>
                    <w:color w:val="auto"/>
                    <w:szCs w:val="21"/>
                    <w:highlight w:val="none"/>
                  </w:rPr>
                </m:ctrlPr>
              </m:sub>
            </m:sSub>
            <m:ctrlPr>
              <w:rPr>
                <w:rFonts w:ascii="Cambria Math" w:hAnsi="Cambria Math"/>
                <w:i/>
                <w:color w:val="auto"/>
                <w:szCs w:val="21"/>
                <w:highlight w:val="none"/>
              </w:rPr>
            </m:ctrlPr>
          </m:den>
        </m:f>
      </m:oMath>
      <w:r>
        <w:rPr>
          <w:rFonts w:hint="eastAsia"/>
          <w:bCs/>
          <w:color w:val="auto"/>
          <w:szCs w:val="21"/>
          <w:highlight w:val="none"/>
        </w:rPr>
        <w:t>…………………………………………（A.2）</w:t>
      </w:r>
    </w:p>
    <w:p>
      <w:pPr>
        <w:spacing w:line="400" w:lineRule="exact"/>
        <w:ind w:firstLine="420" w:firstLineChars="200"/>
        <w:jc w:val="left"/>
        <w:rPr>
          <w:bCs/>
          <w:color w:val="auto"/>
          <w:szCs w:val="21"/>
          <w:highlight w:val="none"/>
        </w:rPr>
      </w:pPr>
      <w:r>
        <w:rPr>
          <w:rFonts w:hint="eastAsia"/>
          <w:bCs/>
          <w:color w:val="auto"/>
          <w:szCs w:val="21"/>
          <w:highlight w:val="none"/>
        </w:rPr>
        <w:t>式中</w:t>
      </w:r>
      <w:r>
        <w:rPr>
          <w:bCs/>
          <w:color w:val="auto"/>
          <w:szCs w:val="21"/>
          <w:highlight w:val="none"/>
        </w:rPr>
        <w:t>：</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V</m:t>
            </m:r>
            <m:ctrlPr>
              <w:rPr>
                <w:rFonts w:ascii="Cambria Math" w:hAnsi="Cambria Math"/>
                <w:bCs/>
                <w:color w:val="auto"/>
                <w:szCs w:val="21"/>
                <w:highlight w:val="none"/>
              </w:rPr>
            </m:ctrlPr>
          </m:e>
          <m:sub>
            <m:r>
              <m:rPr/>
              <w:rPr>
                <w:rFonts w:ascii="Cambria Math" w:hAnsi="Cambria Math"/>
                <w:color w:val="auto"/>
                <w:szCs w:val="21"/>
                <w:highlight w:val="none"/>
              </w:rPr>
              <m:t>t</m:t>
            </m:r>
            <m:ctrlPr>
              <w:rPr>
                <w:rFonts w:ascii="Cambria Math" w:hAnsi="Cambria Math"/>
                <w:bCs/>
                <w:color w:val="auto"/>
                <w:szCs w:val="21"/>
                <w:highlight w:val="none"/>
              </w:rPr>
            </m:ctrlPr>
          </m:sub>
        </m:sSub>
      </m:oMath>
      <w:r>
        <w:rPr>
          <w:rFonts w:hint="eastAsia"/>
          <w:bCs/>
          <w:color w:val="auto"/>
          <w:szCs w:val="21"/>
          <w:highlight w:val="none"/>
        </w:rPr>
        <w:t>——列车单位车厢次补水</w:t>
      </w:r>
      <w:r>
        <w:rPr>
          <w:bCs/>
          <w:color w:val="auto"/>
          <w:szCs w:val="21"/>
          <w:highlight w:val="none"/>
        </w:rPr>
        <w:t>量</w:t>
      </w:r>
      <w:r>
        <w:rPr>
          <w:rFonts w:hint="eastAsia"/>
          <w:bCs/>
          <w:color w:val="auto"/>
          <w:szCs w:val="21"/>
          <w:highlight w:val="none"/>
        </w:rPr>
        <w:t>（m</w:t>
      </w:r>
      <w:r>
        <w:rPr>
          <w:rFonts w:hint="eastAsia"/>
          <w:bCs/>
          <w:color w:val="auto"/>
          <w:szCs w:val="21"/>
          <w:highlight w:val="none"/>
          <w:vertAlign w:val="superscript"/>
        </w:rPr>
        <w:t>3</w:t>
      </w:r>
      <w:r>
        <w:rPr>
          <w:rFonts w:hint="eastAsia"/>
          <w:bCs/>
          <w:color w:val="auto"/>
          <w:szCs w:val="21"/>
          <w:highlight w:val="none"/>
        </w:rPr>
        <w:t>/（节</w:t>
      </w:r>
      <w:r>
        <w:rPr>
          <w:rFonts w:hint="eastAsia" w:ascii="宋体" w:hAnsi="宋体"/>
          <w:bCs/>
          <w:color w:val="auto"/>
          <w:szCs w:val="21"/>
          <w:highlight w:val="none"/>
        </w:rPr>
        <w:t>·</w:t>
      </w:r>
      <w:r>
        <w:rPr>
          <w:rFonts w:hint="eastAsia"/>
          <w:bCs/>
          <w:color w:val="auto"/>
          <w:szCs w:val="21"/>
          <w:highlight w:val="none"/>
        </w:rPr>
        <w:t>次））；</w:t>
      </w:r>
    </w:p>
    <w:p>
      <w:pPr>
        <w:ind w:left="420" w:leftChars="200"/>
        <w:jc w:val="left"/>
        <w:rPr>
          <w:bCs/>
          <w:color w:val="auto"/>
          <w:szCs w:val="21"/>
          <w:highlight w:val="none"/>
        </w:rPr>
      </w:pPr>
      <m:oMath>
        <m:sSub>
          <m:sSubPr>
            <m:ctrlPr>
              <w:rPr>
                <w:rFonts w:ascii="Cambria Math" w:hAnsi="Cambria Math"/>
                <w:bCs/>
                <w:i/>
                <w:color w:val="auto"/>
                <w:szCs w:val="21"/>
                <w:highlight w:val="none"/>
              </w:rPr>
            </m:ctrlPr>
          </m:sSubPr>
          <m:e>
            <m:r>
              <m:rPr/>
              <w:rPr>
                <w:rFonts w:ascii="Cambria Math" w:hAnsi="Cambria Math"/>
                <w:color w:val="auto"/>
                <w:szCs w:val="21"/>
                <w:highlight w:val="none"/>
              </w:rPr>
              <m:t>W</m:t>
            </m:r>
            <m:ctrlPr>
              <w:rPr>
                <w:rFonts w:ascii="Cambria Math" w:hAnsi="Cambria Math"/>
                <w:bCs/>
                <w:i/>
                <w:color w:val="auto"/>
                <w:szCs w:val="21"/>
                <w:highlight w:val="none"/>
              </w:rPr>
            </m:ctrlPr>
          </m:e>
          <m:sub>
            <m:r>
              <m:rPr/>
              <w:rPr>
                <w:rFonts w:ascii="Cambria Math" w:hAnsi="Cambria Math"/>
                <w:color w:val="auto"/>
                <w:szCs w:val="21"/>
                <w:highlight w:val="none"/>
              </w:rPr>
              <m:t>t</m:t>
            </m:r>
            <m:ctrlPr>
              <w:rPr>
                <w:rFonts w:ascii="Cambria Math" w:hAnsi="Cambria Math"/>
                <w:bCs/>
                <w:i/>
                <w:color w:val="auto"/>
                <w:szCs w:val="21"/>
                <w:highlight w:val="none"/>
              </w:rPr>
            </m:ctrlPr>
          </m:sub>
        </m:sSub>
      </m:oMath>
      <w:r>
        <w:rPr>
          <w:rFonts w:hint="eastAsia"/>
          <w:bCs/>
          <w:color w:val="auto"/>
          <w:szCs w:val="21"/>
          <w:highlight w:val="none"/>
        </w:rPr>
        <w:t>——车站年补水总</w:t>
      </w:r>
      <w:r>
        <w:rPr>
          <w:bCs/>
          <w:color w:val="auto"/>
          <w:szCs w:val="21"/>
          <w:highlight w:val="none"/>
        </w:rPr>
        <w:t>量</w:t>
      </w:r>
      <w:r>
        <w:rPr>
          <w:rFonts w:hint="eastAsia"/>
          <w:bCs/>
          <w:color w:val="auto"/>
          <w:szCs w:val="21"/>
          <w:highlight w:val="none"/>
        </w:rPr>
        <w:t>，包括铁路交通车站普通列车、动车、高铁等火车补水量</w:t>
      </w:r>
      <w:r>
        <w:rPr>
          <w:bCs/>
          <w:color w:val="auto"/>
          <w:szCs w:val="21"/>
          <w:highlight w:val="none"/>
        </w:rPr>
        <w:t>（</w:t>
      </w:r>
      <w:r>
        <w:rPr>
          <w:rFonts w:hint="eastAsia"/>
          <w:bCs/>
          <w:color w:val="auto"/>
          <w:szCs w:val="21"/>
          <w:highlight w:val="none"/>
        </w:rPr>
        <w:t>m</w:t>
      </w:r>
      <w:r>
        <w:rPr>
          <w:rFonts w:hint="eastAsia"/>
          <w:bCs/>
          <w:color w:val="auto"/>
          <w:szCs w:val="21"/>
          <w:highlight w:val="none"/>
          <w:vertAlign w:val="superscript"/>
        </w:rPr>
        <w:t>3</w:t>
      </w:r>
      <w:r>
        <w:rPr>
          <w:bCs/>
          <w:color w:val="auto"/>
          <w:szCs w:val="21"/>
          <w:highlight w:val="none"/>
        </w:rPr>
        <w:t>/</w:t>
      </w:r>
      <w:r>
        <w:rPr>
          <w:rFonts w:hint="eastAsia"/>
          <w:bCs/>
          <w:color w:val="auto"/>
          <w:szCs w:val="21"/>
          <w:highlight w:val="none"/>
        </w:rPr>
        <w:t>a</w:t>
      </w:r>
      <w:r>
        <w:rPr>
          <w:bCs/>
          <w:color w:val="auto"/>
          <w:szCs w:val="21"/>
          <w:highlight w:val="none"/>
        </w:rPr>
        <w:t>）</w:t>
      </w:r>
      <w:r>
        <w:rPr>
          <w:rFonts w:hint="eastAsia"/>
          <w:bCs/>
          <w:color w:val="auto"/>
          <w:szCs w:val="21"/>
          <w:highlight w:val="none"/>
        </w:rPr>
        <w:t>；</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Q</m:t>
            </m:r>
            <m:ctrlPr>
              <w:rPr>
                <w:rFonts w:ascii="Cambria Math" w:hAnsi="Cambria Math"/>
                <w:bCs/>
                <w:color w:val="auto"/>
                <w:szCs w:val="21"/>
                <w:highlight w:val="none"/>
              </w:rPr>
            </m:ctrlPr>
          </m:e>
          <m:sub>
            <m:r>
              <m:rPr/>
              <w:rPr>
                <w:rFonts w:ascii="Cambria Math" w:hAnsi="Cambria Math"/>
                <w:color w:val="auto"/>
                <w:szCs w:val="21"/>
                <w:highlight w:val="none"/>
              </w:rPr>
              <m:t>t</m:t>
            </m:r>
            <m:ctrlPr>
              <w:rPr>
                <w:rFonts w:ascii="Cambria Math" w:hAnsi="Cambria Math"/>
                <w:bCs/>
                <w:color w:val="auto"/>
                <w:szCs w:val="21"/>
                <w:highlight w:val="none"/>
              </w:rPr>
            </m:ctrlPr>
          </m:sub>
        </m:sSub>
      </m:oMath>
      <w:r>
        <w:rPr>
          <w:rFonts w:hint="eastAsia"/>
          <w:bCs/>
          <w:color w:val="auto"/>
          <w:szCs w:val="21"/>
          <w:highlight w:val="none"/>
        </w:rPr>
        <w:t>——车站年经停列车补水车厢数（节）；</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R</m:t>
            </m:r>
            <m:ctrlPr>
              <w:rPr>
                <w:rFonts w:ascii="Cambria Math" w:hAnsi="Cambria Math"/>
                <w:bCs/>
                <w:color w:val="auto"/>
                <w:szCs w:val="21"/>
                <w:highlight w:val="none"/>
              </w:rPr>
            </m:ctrlPr>
          </m:e>
          <m:sub>
            <m:r>
              <m:rPr/>
              <w:rPr>
                <w:rFonts w:ascii="Cambria Math" w:hAnsi="Cambria Math"/>
                <w:color w:val="auto"/>
                <w:szCs w:val="21"/>
                <w:highlight w:val="none"/>
              </w:rPr>
              <m:t>t</m:t>
            </m:r>
            <m:ctrlPr>
              <w:rPr>
                <w:rFonts w:ascii="Cambria Math" w:hAnsi="Cambria Math"/>
                <w:bCs/>
                <w:color w:val="auto"/>
                <w:szCs w:val="21"/>
                <w:highlight w:val="none"/>
              </w:rPr>
            </m:ctrlPr>
          </m:sub>
        </m:sSub>
      </m:oMath>
      <w:r>
        <w:rPr>
          <w:rFonts w:hint="eastAsia"/>
          <w:bCs/>
          <w:color w:val="auto"/>
          <w:szCs w:val="21"/>
          <w:highlight w:val="none"/>
        </w:rPr>
        <w:t>——车站年经停列车补水次数（次/a）。</w:t>
      </w:r>
    </w:p>
    <w:p>
      <w:pPr>
        <w:spacing w:line="400" w:lineRule="exact"/>
        <w:jc w:val="left"/>
        <w:rPr>
          <w:b/>
          <w:color w:val="auto"/>
          <w:highlight w:val="none"/>
        </w:rPr>
      </w:pPr>
      <w:r>
        <w:rPr>
          <w:rFonts w:ascii="黑体" w:eastAsia="黑体"/>
          <w:b/>
          <w:color w:val="auto"/>
          <w:highlight w:val="none"/>
        </w:rPr>
        <w:t>A</w:t>
      </w:r>
      <w:r>
        <w:rPr>
          <w:rFonts w:hint="eastAsia" w:ascii="黑体" w:eastAsia="黑体"/>
          <w:b/>
          <w:color w:val="auto"/>
          <w:highlight w:val="none"/>
        </w:rPr>
        <w:t>.3</w:t>
      </w:r>
      <w:r>
        <w:rPr>
          <w:rFonts w:hint="eastAsia"/>
          <w:b/>
          <w:color w:val="auto"/>
          <w:highlight w:val="none"/>
        </w:rPr>
        <w:t xml:space="preserve">  铁路交通车站单位编组列车清洗用水量</w:t>
      </w:r>
    </w:p>
    <w:p>
      <w:pPr>
        <w:spacing w:line="400" w:lineRule="exact"/>
        <w:ind w:firstLine="420" w:firstLineChars="200"/>
        <w:jc w:val="left"/>
        <w:rPr>
          <w:bCs/>
          <w:color w:val="auto"/>
          <w:highlight w:val="none"/>
        </w:rPr>
      </w:pPr>
      <w:r>
        <w:rPr>
          <w:rFonts w:hint="eastAsia"/>
          <w:bCs/>
          <w:color w:val="auto"/>
          <w:highlight w:val="none"/>
        </w:rPr>
        <w:t>铁路交通车站（火车站）单位编组列车清洗用水量按式（A</w:t>
      </w:r>
      <w:r>
        <w:rPr>
          <w:bCs/>
          <w:color w:val="auto"/>
          <w:highlight w:val="none"/>
        </w:rPr>
        <w:t>.</w:t>
      </w:r>
      <w:r>
        <w:rPr>
          <w:rFonts w:hint="eastAsia"/>
          <w:bCs/>
          <w:color w:val="auto"/>
          <w:highlight w:val="none"/>
        </w:rPr>
        <w:t>3）计算：</w:t>
      </w:r>
    </w:p>
    <w:p>
      <w:pPr>
        <w:spacing w:line="360" w:lineRule="auto"/>
        <w:ind w:firstLine="3255" w:firstLineChars="1550"/>
        <w:jc w:val="righ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V</m:t>
            </m:r>
            <m:ctrlPr>
              <w:rPr>
                <w:rFonts w:ascii="Cambria Math" w:hAnsi="Cambria Math"/>
                <w:bCs/>
                <w:color w:val="auto"/>
                <w:szCs w:val="21"/>
                <w:highlight w:val="none"/>
              </w:rPr>
            </m:ctrlPr>
          </m:e>
          <m:sub>
            <m:r>
              <m:rPr/>
              <w:rPr>
                <w:rFonts w:ascii="Cambria Math" w:hAnsi="Cambria Math"/>
                <w:color w:val="auto"/>
                <w:szCs w:val="21"/>
                <w:highlight w:val="none"/>
              </w:rPr>
              <m:t>d</m:t>
            </m:r>
            <m:ctrlPr>
              <w:rPr>
                <w:rFonts w:ascii="Cambria Math" w:hAnsi="Cambria Math"/>
                <w:bCs/>
                <w:color w:val="auto"/>
                <w:szCs w:val="21"/>
                <w:highlight w:val="none"/>
              </w:rPr>
            </m:ctrlPr>
          </m:sub>
        </m:sSub>
        <m:r>
          <m:rPr/>
          <w:rPr>
            <w:rFonts w:ascii="Cambria Math" w:hAnsi="Cambria Math"/>
            <w:color w:val="auto"/>
            <w:szCs w:val="21"/>
            <w:highlight w:val="none"/>
          </w:rPr>
          <m:t>=</m:t>
        </m:r>
        <m:f>
          <m:fPr>
            <m:ctrlPr>
              <w:rPr>
                <w:rFonts w:ascii="Cambria Math" w:hAnsi="Cambria Math"/>
                <w:i/>
                <w:color w:val="auto"/>
                <w:szCs w:val="21"/>
                <w:highlight w:val="none"/>
              </w:rPr>
            </m:ctrlPr>
          </m:fPr>
          <m:num>
            <m:sSub>
              <m:sSubPr>
                <m:ctrlPr>
                  <w:rPr>
                    <w:rFonts w:ascii="Cambria Math" w:hAnsi="Cambria Math"/>
                    <w:bCs/>
                    <w:i/>
                    <w:color w:val="auto"/>
                    <w:szCs w:val="21"/>
                    <w:highlight w:val="none"/>
                  </w:rPr>
                </m:ctrlPr>
              </m:sSubPr>
              <m:e>
                <m:r>
                  <m:rPr/>
                  <w:rPr>
                    <w:rFonts w:ascii="Cambria Math" w:hAnsi="Cambria Math"/>
                    <w:color w:val="auto"/>
                    <w:szCs w:val="21"/>
                    <w:highlight w:val="none"/>
                  </w:rPr>
                  <m:t>W</m:t>
                </m:r>
                <m:ctrlPr>
                  <w:rPr>
                    <w:rFonts w:ascii="Cambria Math" w:hAnsi="Cambria Math"/>
                    <w:bCs/>
                    <w:i/>
                    <w:color w:val="auto"/>
                    <w:szCs w:val="21"/>
                    <w:highlight w:val="none"/>
                  </w:rPr>
                </m:ctrlPr>
              </m:e>
              <m:sub>
                <m:r>
                  <m:rPr/>
                  <w:rPr>
                    <w:rFonts w:ascii="Cambria Math" w:hAnsi="Cambria Math"/>
                    <w:color w:val="auto"/>
                    <w:szCs w:val="21"/>
                    <w:highlight w:val="none"/>
                  </w:rPr>
                  <m:t>d</m:t>
                </m:r>
                <m:ctrlPr>
                  <w:rPr>
                    <w:rFonts w:ascii="Cambria Math" w:hAnsi="Cambria Math"/>
                    <w:bCs/>
                    <w:i/>
                    <w:color w:val="auto"/>
                    <w:szCs w:val="21"/>
                    <w:highlight w:val="none"/>
                  </w:rPr>
                </m:ctrlPr>
              </m:sub>
            </m:sSub>
            <m:ctrlPr>
              <w:rPr>
                <w:rFonts w:ascii="Cambria Math" w:hAnsi="Cambria Math"/>
                <w:i/>
                <w:color w:val="auto"/>
                <w:szCs w:val="21"/>
                <w:highlight w:val="none"/>
              </w:rPr>
            </m:ctrlPr>
          </m:num>
          <m:den>
            <m:sSub>
              <m:sSubPr>
                <m:ctrlPr>
                  <w:rPr>
                    <w:rFonts w:ascii="Cambria Math" w:hAnsi="Cambria Math"/>
                    <w:bCs/>
                    <w:i/>
                    <w:color w:val="auto"/>
                    <w:szCs w:val="21"/>
                    <w:highlight w:val="none"/>
                  </w:rPr>
                </m:ctrlPr>
              </m:sSubPr>
              <m:e>
                <m:r>
                  <m:rPr/>
                  <w:rPr>
                    <w:rFonts w:ascii="Cambria Math" w:hAnsi="Cambria Math"/>
                    <w:color w:val="auto"/>
                    <w:szCs w:val="21"/>
                    <w:highlight w:val="none"/>
                  </w:rPr>
                  <m:t>Q</m:t>
                </m:r>
                <m:ctrlPr>
                  <w:rPr>
                    <w:rFonts w:ascii="Cambria Math" w:hAnsi="Cambria Math"/>
                    <w:bCs/>
                    <w:i/>
                    <w:color w:val="auto"/>
                    <w:szCs w:val="21"/>
                    <w:highlight w:val="none"/>
                  </w:rPr>
                </m:ctrlPr>
              </m:e>
              <m:sub>
                <m:r>
                  <m:rPr/>
                  <w:rPr>
                    <w:rFonts w:ascii="Cambria Math" w:hAnsi="Cambria Math"/>
                    <w:color w:val="auto"/>
                    <w:szCs w:val="21"/>
                    <w:highlight w:val="none"/>
                  </w:rPr>
                  <m:t>d</m:t>
                </m:r>
                <m:ctrlPr>
                  <w:rPr>
                    <w:rFonts w:ascii="Cambria Math" w:hAnsi="Cambria Math"/>
                    <w:bCs/>
                    <w:i/>
                    <w:color w:val="auto"/>
                    <w:szCs w:val="21"/>
                    <w:highlight w:val="none"/>
                  </w:rPr>
                </m:ctrlPr>
              </m:sub>
            </m:sSub>
            <m:ctrlPr>
              <w:rPr>
                <w:rFonts w:ascii="Cambria Math" w:hAnsi="Cambria Math"/>
                <w:i/>
                <w:color w:val="auto"/>
                <w:szCs w:val="21"/>
                <w:highlight w:val="none"/>
              </w:rPr>
            </m:ctrlPr>
          </m:den>
        </m:f>
      </m:oMath>
      <w:r>
        <w:rPr>
          <w:rFonts w:hint="eastAsia"/>
          <w:bCs/>
          <w:color w:val="auto"/>
          <w:szCs w:val="21"/>
          <w:highlight w:val="none"/>
        </w:rPr>
        <w:t>…………………………………………（A.</w:t>
      </w:r>
      <w:r>
        <w:rPr>
          <w:bCs/>
          <w:color w:val="auto"/>
          <w:szCs w:val="21"/>
          <w:highlight w:val="none"/>
        </w:rPr>
        <w:t>3</w:t>
      </w:r>
      <w:r>
        <w:rPr>
          <w:rFonts w:hint="eastAsia"/>
          <w:bCs/>
          <w:color w:val="auto"/>
          <w:szCs w:val="21"/>
          <w:highlight w:val="none"/>
        </w:rPr>
        <w:t>）</w:t>
      </w:r>
    </w:p>
    <w:p>
      <w:pPr>
        <w:spacing w:line="400" w:lineRule="exact"/>
        <w:ind w:firstLine="420" w:firstLineChars="200"/>
        <w:jc w:val="left"/>
        <w:rPr>
          <w:bCs/>
          <w:color w:val="auto"/>
          <w:szCs w:val="21"/>
          <w:highlight w:val="none"/>
        </w:rPr>
      </w:pPr>
      <w:r>
        <w:rPr>
          <w:rFonts w:hint="eastAsia"/>
          <w:bCs/>
          <w:color w:val="auto"/>
          <w:szCs w:val="21"/>
          <w:highlight w:val="none"/>
        </w:rPr>
        <w:t>式中</w:t>
      </w:r>
      <w:r>
        <w:rPr>
          <w:bCs/>
          <w:color w:val="auto"/>
          <w:szCs w:val="21"/>
          <w:highlight w:val="none"/>
        </w:rPr>
        <w:t>：</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V</m:t>
            </m:r>
            <m:ctrlPr>
              <w:rPr>
                <w:rFonts w:ascii="Cambria Math" w:hAnsi="Cambria Math"/>
                <w:bCs/>
                <w:color w:val="auto"/>
                <w:szCs w:val="21"/>
                <w:highlight w:val="none"/>
              </w:rPr>
            </m:ctrlPr>
          </m:e>
          <m:sub>
            <m:r>
              <m:rPr/>
              <w:rPr>
                <w:rFonts w:ascii="Cambria Math" w:hAnsi="Cambria Math"/>
                <w:color w:val="auto"/>
                <w:szCs w:val="21"/>
                <w:highlight w:val="none"/>
              </w:rPr>
              <m:t>d</m:t>
            </m:r>
            <m:ctrlPr>
              <w:rPr>
                <w:rFonts w:ascii="Cambria Math" w:hAnsi="Cambria Math"/>
                <w:bCs/>
                <w:color w:val="auto"/>
                <w:szCs w:val="21"/>
                <w:highlight w:val="none"/>
              </w:rPr>
            </m:ctrlPr>
          </m:sub>
        </m:sSub>
      </m:oMath>
      <w:r>
        <w:rPr>
          <w:rFonts w:hint="eastAsia"/>
          <w:bCs/>
          <w:color w:val="auto"/>
          <w:szCs w:val="21"/>
          <w:highlight w:val="none"/>
        </w:rPr>
        <w:t>——车站单位编组列车清洗</w:t>
      </w:r>
      <w:r>
        <w:rPr>
          <w:bCs/>
          <w:color w:val="auto"/>
          <w:szCs w:val="21"/>
          <w:highlight w:val="none"/>
        </w:rPr>
        <w:t>用水量</w:t>
      </w:r>
      <w:r>
        <w:rPr>
          <w:rFonts w:hint="eastAsia"/>
          <w:bCs/>
          <w:color w:val="auto"/>
          <w:szCs w:val="21"/>
          <w:highlight w:val="none"/>
        </w:rPr>
        <w:t>（m</w:t>
      </w:r>
      <w:r>
        <w:rPr>
          <w:rFonts w:hint="eastAsia"/>
          <w:bCs/>
          <w:color w:val="auto"/>
          <w:szCs w:val="21"/>
          <w:highlight w:val="none"/>
          <w:vertAlign w:val="superscript"/>
        </w:rPr>
        <w:t>3</w:t>
      </w:r>
      <w:r>
        <w:rPr>
          <w:rFonts w:hint="eastAsia"/>
          <w:bCs/>
          <w:color w:val="auto"/>
          <w:szCs w:val="21"/>
          <w:highlight w:val="none"/>
        </w:rPr>
        <w:t>/（编组</w:t>
      </w:r>
      <w:r>
        <w:rPr>
          <w:rFonts w:hint="eastAsia" w:ascii="宋体" w:hAnsi="宋体"/>
          <w:bCs/>
          <w:color w:val="auto"/>
          <w:szCs w:val="21"/>
          <w:highlight w:val="none"/>
        </w:rPr>
        <w:t>·次</w:t>
      </w:r>
      <w:r>
        <w:rPr>
          <w:rFonts w:hint="eastAsia"/>
          <w:bCs/>
          <w:color w:val="auto"/>
          <w:szCs w:val="21"/>
          <w:highlight w:val="none"/>
        </w:rPr>
        <w:t>））；</w:t>
      </w:r>
    </w:p>
    <w:p>
      <w:pPr>
        <w:ind w:left="420" w:leftChars="200"/>
        <w:jc w:val="left"/>
        <w:rPr>
          <w:bCs/>
          <w:color w:val="auto"/>
          <w:szCs w:val="21"/>
          <w:highlight w:val="none"/>
        </w:rPr>
      </w:pPr>
      <m:oMath>
        <m:sSub>
          <m:sSubPr>
            <m:ctrlPr>
              <w:rPr>
                <w:rFonts w:ascii="Cambria Math" w:hAnsi="Cambria Math"/>
                <w:bCs/>
                <w:i/>
                <w:color w:val="auto"/>
                <w:szCs w:val="21"/>
                <w:highlight w:val="none"/>
              </w:rPr>
            </m:ctrlPr>
          </m:sSubPr>
          <m:e>
            <m:r>
              <m:rPr/>
              <w:rPr>
                <w:rFonts w:ascii="Cambria Math" w:hAnsi="Cambria Math"/>
                <w:color w:val="auto"/>
                <w:szCs w:val="21"/>
                <w:highlight w:val="none"/>
              </w:rPr>
              <m:t>W</m:t>
            </m:r>
            <m:ctrlPr>
              <w:rPr>
                <w:rFonts w:ascii="Cambria Math" w:hAnsi="Cambria Math"/>
                <w:bCs/>
                <w:i/>
                <w:color w:val="auto"/>
                <w:szCs w:val="21"/>
                <w:highlight w:val="none"/>
              </w:rPr>
            </m:ctrlPr>
          </m:e>
          <m:sub>
            <m:r>
              <m:rPr/>
              <w:rPr>
                <w:rFonts w:ascii="Cambria Math" w:hAnsi="Cambria Math"/>
                <w:color w:val="auto"/>
                <w:szCs w:val="21"/>
                <w:highlight w:val="none"/>
              </w:rPr>
              <m:t>d</m:t>
            </m:r>
            <m:ctrlPr>
              <w:rPr>
                <w:rFonts w:ascii="Cambria Math" w:hAnsi="Cambria Math"/>
                <w:bCs/>
                <w:i/>
                <w:color w:val="auto"/>
                <w:szCs w:val="21"/>
                <w:highlight w:val="none"/>
              </w:rPr>
            </m:ctrlPr>
          </m:sub>
        </m:sSub>
      </m:oMath>
      <w:r>
        <w:rPr>
          <w:rFonts w:hint="eastAsia"/>
          <w:bCs/>
          <w:color w:val="auto"/>
          <w:szCs w:val="21"/>
          <w:highlight w:val="none"/>
        </w:rPr>
        <w:t>——车站年编组列车清洗</w:t>
      </w:r>
      <w:r>
        <w:rPr>
          <w:bCs/>
          <w:color w:val="auto"/>
          <w:szCs w:val="21"/>
          <w:highlight w:val="none"/>
        </w:rPr>
        <w:t>用水量（</w:t>
      </w:r>
      <w:r>
        <w:rPr>
          <w:rFonts w:hint="eastAsia"/>
          <w:bCs/>
          <w:color w:val="auto"/>
          <w:szCs w:val="21"/>
          <w:highlight w:val="none"/>
        </w:rPr>
        <w:t>m</w:t>
      </w:r>
      <w:r>
        <w:rPr>
          <w:rFonts w:hint="eastAsia"/>
          <w:bCs/>
          <w:color w:val="auto"/>
          <w:szCs w:val="21"/>
          <w:highlight w:val="none"/>
          <w:vertAlign w:val="superscript"/>
        </w:rPr>
        <w:t>3</w:t>
      </w:r>
      <w:r>
        <w:rPr>
          <w:bCs/>
          <w:color w:val="auto"/>
          <w:szCs w:val="21"/>
          <w:highlight w:val="none"/>
        </w:rPr>
        <w:t>/</w:t>
      </w:r>
      <w:r>
        <w:rPr>
          <w:rFonts w:hint="eastAsia"/>
          <w:bCs/>
          <w:color w:val="auto"/>
          <w:szCs w:val="21"/>
          <w:highlight w:val="none"/>
        </w:rPr>
        <w:t>a</w:t>
      </w:r>
      <w:r>
        <w:rPr>
          <w:bCs/>
          <w:color w:val="auto"/>
          <w:szCs w:val="21"/>
          <w:highlight w:val="none"/>
        </w:rPr>
        <w:t>）</w:t>
      </w:r>
      <w:r>
        <w:rPr>
          <w:rFonts w:hint="eastAsia"/>
          <w:bCs/>
          <w:color w:val="auto"/>
          <w:szCs w:val="21"/>
          <w:highlight w:val="none"/>
        </w:rPr>
        <w:t>；</w:t>
      </w:r>
    </w:p>
    <w:p>
      <w:pPr>
        <w:spacing w:line="400" w:lineRule="exact"/>
        <w:ind w:left="420" w:left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Q</m:t>
            </m:r>
            <m:ctrlPr>
              <w:rPr>
                <w:rFonts w:ascii="Cambria Math" w:hAnsi="Cambria Math"/>
                <w:bCs/>
                <w:color w:val="auto"/>
                <w:szCs w:val="21"/>
                <w:highlight w:val="none"/>
              </w:rPr>
            </m:ctrlPr>
          </m:e>
          <m:sub>
            <m:r>
              <m:rPr/>
              <w:rPr>
                <w:rFonts w:ascii="Cambria Math" w:hAnsi="Cambria Math"/>
                <w:color w:val="auto"/>
                <w:szCs w:val="21"/>
                <w:highlight w:val="none"/>
              </w:rPr>
              <m:t>d</m:t>
            </m:r>
            <m:ctrlPr>
              <w:rPr>
                <w:rFonts w:ascii="Cambria Math" w:hAnsi="Cambria Math"/>
                <w:bCs/>
                <w:color w:val="auto"/>
                <w:szCs w:val="21"/>
                <w:highlight w:val="none"/>
              </w:rPr>
            </m:ctrlPr>
          </m:sub>
        </m:sSub>
      </m:oMath>
      <w:r>
        <w:rPr>
          <w:rFonts w:hint="eastAsia"/>
          <w:bCs/>
          <w:color w:val="auto"/>
          <w:szCs w:val="21"/>
          <w:highlight w:val="none"/>
        </w:rPr>
        <w:t>——车站年清洗列车数量，包括终始发列车和停靠列车清洗次数</w:t>
      </w:r>
      <w:r>
        <w:rPr>
          <w:bCs/>
          <w:color w:val="auto"/>
          <w:szCs w:val="21"/>
          <w:highlight w:val="none"/>
        </w:rPr>
        <w:t>（</w:t>
      </w:r>
      <w:r>
        <w:rPr>
          <w:rFonts w:hint="eastAsia"/>
          <w:bCs/>
          <w:color w:val="auto"/>
          <w:szCs w:val="21"/>
          <w:highlight w:val="none"/>
        </w:rPr>
        <w:t>编组</w:t>
      </w:r>
      <w:r>
        <w:rPr>
          <w:rFonts w:hint="eastAsia" w:ascii="宋体" w:hAnsi="宋体"/>
          <w:bCs/>
          <w:color w:val="auto"/>
          <w:szCs w:val="21"/>
          <w:highlight w:val="none"/>
        </w:rPr>
        <w:t>·次</w:t>
      </w:r>
      <w:r>
        <w:rPr>
          <w:bCs/>
          <w:color w:val="auto"/>
          <w:szCs w:val="21"/>
          <w:highlight w:val="none"/>
        </w:rPr>
        <w:t>/</w:t>
      </w:r>
      <w:r>
        <w:rPr>
          <w:rFonts w:hint="eastAsia" w:ascii="宋体" w:hAnsi="宋体"/>
          <w:bCs/>
          <w:color w:val="auto"/>
          <w:szCs w:val="21"/>
          <w:highlight w:val="none"/>
        </w:rPr>
        <w:t>年</w:t>
      </w:r>
      <w:r>
        <w:rPr>
          <w:bCs/>
          <w:color w:val="auto"/>
          <w:szCs w:val="21"/>
          <w:highlight w:val="none"/>
        </w:rPr>
        <w:t>）</w:t>
      </w:r>
      <w:r>
        <w:rPr>
          <w:rFonts w:hint="eastAsia"/>
          <w:bCs/>
          <w:color w:val="auto"/>
          <w:szCs w:val="21"/>
          <w:highlight w:val="none"/>
        </w:rPr>
        <w:t>。</w:t>
      </w:r>
    </w:p>
    <w:p>
      <w:pPr>
        <w:spacing w:line="400" w:lineRule="exact"/>
        <w:jc w:val="left"/>
        <w:rPr>
          <w:b/>
          <w:color w:val="auto"/>
          <w:highlight w:val="none"/>
        </w:rPr>
      </w:pPr>
      <w:r>
        <w:rPr>
          <w:rFonts w:ascii="黑体" w:eastAsia="黑体"/>
          <w:b/>
          <w:color w:val="auto"/>
          <w:highlight w:val="none"/>
        </w:rPr>
        <w:t>A</w:t>
      </w:r>
      <w:r>
        <w:rPr>
          <w:rFonts w:hint="eastAsia" w:ascii="黑体" w:eastAsia="黑体"/>
          <w:b/>
          <w:color w:val="auto"/>
          <w:highlight w:val="none"/>
        </w:rPr>
        <w:t>.4</w:t>
      </w:r>
      <w:r>
        <w:rPr>
          <w:rFonts w:hint="eastAsia"/>
          <w:b/>
          <w:color w:val="auto"/>
          <w:highlight w:val="none"/>
        </w:rPr>
        <w:t xml:space="preserve">  道路运输辅助活动用水量</w:t>
      </w:r>
    </w:p>
    <w:p>
      <w:pPr>
        <w:spacing w:line="400" w:lineRule="exact"/>
        <w:ind w:firstLine="420" w:firstLineChars="200"/>
        <w:jc w:val="left"/>
        <w:rPr>
          <w:bCs/>
          <w:color w:val="auto"/>
          <w:highlight w:val="none"/>
        </w:rPr>
      </w:pPr>
      <w:r>
        <w:rPr>
          <w:rFonts w:hint="eastAsia"/>
          <w:bCs/>
          <w:color w:val="auto"/>
          <w:highlight w:val="none"/>
        </w:rPr>
        <w:t>道路运输辅助活动单位人次用水量按式（A</w:t>
      </w:r>
      <w:r>
        <w:rPr>
          <w:bCs/>
          <w:color w:val="auto"/>
          <w:highlight w:val="none"/>
        </w:rPr>
        <w:t>.</w:t>
      </w:r>
      <w:r>
        <w:rPr>
          <w:rFonts w:hint="eastAsia"/>
          <w:bCs/>
          <w:color w:val="auto"/>
          <w:highlight w:val="none"/>
        </w:rPr>
        <w:t>4）计算：</w:t>
      </w:r>
    </w:p>
    <w:p>
      <w:pPr>
        <w:spacing w:line="360" w:lineRule="auto"/>
        <w:ind w:firstLine="3255" w:firstLineChars="1550"/>
        <w:jc w:val="righ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V</m:t>
            </m:r>
            <m:ctrlPr>
              <w:rPr>
                <w:rFonts w:ascii="Cambria Math" w:hAnsi="Cambria Math"/>
                <w:bCs/>
                <w:color w:val="auto"/>
                <w:szCs w:val="21"/>
                <w:highlight w:val="none"/>
              </w:rPr>
            </m:ctrlPr>
          </m:e>
          <m:sub>
            <m:r>
              <m:rPr/>
              <w:rPr>
                <w:rFonts w:ascii="Cambria Math" w:hAnsi="Cambria Math"/>
                <w:color w:val="auto"/>
                <w:szCs w:val="21"/>
                <w:highlight w:val="none"/>
              </w:rPr>
              <m:t>u</m:t>
            </m:r>
            <m:ctrlPr>
              <w:rPr>
                <w:rFonts w:ascii="Cambria Math" w:hAnsi="Cambria Math"/>
                <w:bCs/>
                <w:color w:val="auto"/>
                <w:szCs w:val="21"/>
                <w:highlight w:val="none"/>
              </w:rPr>
            </m:ctrlPr>
          </m:sub>
        </m:sSub>
        <m:r>
          <m:rPr/>
          <w:rPr>
            <w:rFonts w:ascii="Cambria Math" w:hAnsi="Cambria Math"/>
            <w:color w:val="auto"/>
            <w:szCs w:val="21"/>
            <w:highlight w:val="none"/>
          </w:rPr>
          <m:t>=</m:t>
        </m:r>
        <m:f>
          <m:fPr>
            <m:ctrlPr>
              <w:rPr>
                <w:rFonts w:ascii="Cambria Math" w:hAnsi="Cambria Math"/>
                <w:i/>
                <w:color w:val="auto"/>
                <w:szCs w:val="21"/>
                <w:highlight w:val="none"/>
              </w:rPr>
            </m:ctrlPr>
          </m:fPr>
          <m:num>
            <m:sSub>
              <m:sSubPr>
                <m:ctrlPr>
                  <w:rPr>
                    <w:rFonts w:ascii="Cambria Math" w:hAnsi="Cambria Math"/>
                    <w:bCs/>
                    <w:i/>
                    <w:color w:val="auto"/>
                    <w:szCs w:val="21"/>
                    <w:highlight w:val="none"/>
                  </w:rPr>
                </m:ctrlPr>
              </m:sSubPr>
              <m:e>
                <m:r>
                  <m:rPr/>
                  <w:rPr>
                    <w:rFonts w:ascii="Cambria Math" w:hAnsi="Cambria Math"/>
                    <w:color w:val="auto"/>
                    <w:szCs w:val="21"/>
                    <w:highlight w:val="none"/>
                  </w:rPr>
                  <m:t>W</m:t>
                </m:r>
                <m:ctrlPr>
                  <w:rPr>
                    <w:rFonts w:ascii="Cambria Math" w:hAnsi="Cambria Math"/>
                    <w:bCs/>
                    <w:i/>
                    <w:color w:val="auto"/>
                    <w:szCs w:val="21"/>
                    <w:highlight w:val="none"/>
                  </w:rPr>
                </m:ctrlPr>
              </m:e>
              <m:sub>
                <m:r>
                  <m:rPr/>
                  <w:rPr>
                    <w:rFonts w:ascii="Cambria Math" w:hAnsi="Cambria Math"/>
                    <w:color w:val="auto"/>
                    <w:szCs w:val="21"/>
                    <w:highlight w:val="none"/>
                  </w:rPr>
                  <m:t>u</m:t>
                </m:r>
                <m:ctrlPr>
                  <w:rPr>
                    <w:rFonts w:ascii="Cambria Math" w:hAnsi="Cambria Math"/>
                    <w:bCs/>
                    <w:i/>
                    <w:color w:val="auto"/>
                    <w:szCs w:val="21"/>
                    <w:highlight w:val="none"/>
                  </w:rPr>
                </m:ctrlPr>
              </m:sub>
            </m:sSub>
            <m:ctrlPr>
              <w:rPr>
                <w:rFonts w:ascii="Cambria Math" w:hAnsi="Cambria Math"/>
                <w:i/>
                <w:color w:val="auto"/>
                <w:szCs w:val="21"/>
                <w:highlight w:val="none"/>
              </w:rPr>
            </m:ctrlPr>
          </m:num>
          <m:den>
            <m:sSub>
              <m:sSubPr>
                <m:ctrlPr>
                  <w:rPr>
                    <w:rFonts w:ascii="Cambria Math" w:hAnsi="Cambria Math"/>
                    <w:bCs/>
                    <w:i/>
                    <w:color w:val="auto"/>
                    <w:szCs w:val="21"/>
                    <w:highlight w:val="none"/>
                  </w:rPr>
                </m:ctrlPr>
              </m:sSubPr>
              <m:e>
                <m:r>
                  <m:rPr/>
                  <w:rPr>
                    <w:rFonts w:ascii="Cambria Math" w:hAnsi="Cambria Math"/>
                    <w:color w:val="auto"/>
                    <w:szCs w:val="21"/>
                    <w:highlight w:val="none"/>
                  </w:rPr>
                  <m:t>Q</m:t>
                </m:r>
                <m:ctrlPr>
                  <w:rPr>
                    <w:rFonts w:ascii="Cambria Math" w:hAnsi="Cambria Math"/>
                    <w:bCs/>
                    <w:i/>
                    <w:color w:val="auto"/>
                    <w:szCs w:val="21"/>
                    <w:highlight w:val="none"/>
                  </w:rPr>
                </m:ctrlPr>
              </m:e>
              <m:sub>
                <m:r>
                  <m:rPr/>
                  <w:rPr>
                    <w:rFonts w:ascii="Cambria Math" w:hAnsi="Cambria Math"/>
                    <w:color w:val="auto"/>
                    <w:szCs w:val="21"/>
                    <w:highlight w:val="none"/>
                  </w:rPr>
                  <m:t>b</m:t>
                </m:r>
                <m:ctrlPr>
                  <w:rPr>
                    <w:rFonts w:ascii="Cambria Math" w:hAnsi="Cambria Math"/>
                    <w:bCs/>
                    <w:i/>
                    <w:color w:val="auto"/>
                    <w:szCs w:val="21"/>
                    <w:highlight w:val="none"/>
                  </w:rPr>
                </m:ctrlPr>
              </m:sub>
            </m:sSub>
            <m:r>
              <m:rPr/>
              <w:rPr>
                <w:rFonts w:ascii="Cambria Math" w:hAnsi="Cambria Math"/>
                <w:color w:val="auto"/>
                <w:szCs w:val="21"/>
                <w:highlight w:val="none"/>
              </w:rPr>
              <m:t>+</m:t>
            </m:r>
            <m:sSub>
              <m:sSubPr>
                <m:ctrlPr>
                  <w:rPr>
                    <w:rFonts w:ascii="Cambria Math" w:hAnsi="Cambria Math"/>
                    <w:i/>
                    <w:color w:val="auto"/>
                    <w:szCs w:val="21"/>
                    <w:highlight w:val="none"/>
                  </w:rPr>
                </m:ctrlPr>
              </m:sSubPr>
              <m:e>
                <m:r>
                  <m:rPr/>
                  <w:rPr>
                    <w:rFonts w:ascii="Cambria Math" w:hAnsi="Cambria Math"/>
                    <w:color w:val="auto"/>
                    <w:szCs w:val="21"/>
                    <w:highlight w:val="none"/>
                  </w:rPr>
                  <m:t>Q</m:t>
                </m:r>
                <m:ctrlPr>
                  <w:rPr>
                    <w:rFonts w:ascii="Cambria Math" w:hAnsi="Cambria Math"/>
                    <w:i/>
                    <w:color w:val="auto"/>
                    <w:szCs w:val="21"/>
                    <w:highlight w:val="none"/>
                  </w:rPr>
                </m:ctrlPr>
              </m:e>
              <m:sub>
                <m:r>
                  <m:rPr/>
                  <w:rPr>
                    <w:rFonts w:ascii="Cambria Math" w:hAnsi="Cambria Math"/>
                    <w:color w:val="auto"/>
                    <w:szCs w:val="21"/>
                    <w:highlight w:val="none"/>
                  </w:rPr>
                  <m:t>s</m:t>
                </m:r>
                <m:ctrlPr>
                  <w:rPr>
                    <w:rFonts w:ascii="Cambria Math" w:hAnsi="Cambria Math"/>
                    <w:i/>
                    <w:color w:val="auto"/>
                    <w:szCs w:val="21"/>
                    <w:highlight w:val="none"/>
                  </w:rPr>
                </m:ctrlPr>
              </m:sub>
            </m:sSub>
            <m:ctrlPr>
              <w:rPr>
                <w:rFonts w:ascii="Cambria Math" w:hAnsi="Cambria Math"/>
                <w:i/>
                <w:color w:val="auto"/>
                <w:szCs w:val="21"/>
                <w:highlight w:val="none"/>
              </w:rPr>
            </m:ctrlPr>
          </m:den>
        </m:f>
      </m:oMath>
      <w:r>
        <w:rPr>
          <w:rFonts w:hint="eastAsia"/>
          <w:bCs/>
          <w:color w:val="auto"/>
          <w:szCs w:val="21"/>
          <w:highlight w:val="none"/>
        </w:rPr>
        <w:t>…………………………………………（A.4）</w:t>
      </w:r>
    </w:p>
    <w:p>
      <w:pPr>
        <w:spacing w:line="400" w:lineRule="exact"/>
        <w:ind w:firstLine="420" w:firstLineChars="200"/>
        <w:jc w:val="left"/>
        <w:rPr>
          <w:bCs/>
          <w:color w:val="auto"/>
          <w:szCs w:val="21"/>
          <w:highlight w:val="none"/>
        </w:rPr>
      </w:pPr>
      <w:r>
        <w:rPr>
          <w:rFonts w:hint="eastAsia"/>
          <w:bCs/>
          <w:color w:val="auto"/>
          <w:szCs w:val="21"/>
          <w:highlight w:val="none"/>
        </w:rPr>
        <w:t>式中</w:t>
      </w:r>
      <w:r>
        <w:rPr>
          <w:bCs/>
          <w:color w:val="auto"/>
          <w:szCs w:val="21"/>
          <w:highlight w:val="none"/>
        </w:rPr>
        <w:t>：</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V</m:t>
            </m:r>
            <m:ctrlPr>
              <w:rPr>
                <w:rFonts w:ascii="Cambria Math" w:hAnsi="Cambria Math"/>
                <w:bCs/>
                <w:color w:val="auto"/>
                <w:szCs w:val="21"/>
                <w:highlight w:val="none"/>
              </w:rPr>
            </m:ctrlPr>
          </m:e>
          <m:sub>
            <m:r>
              <m:rPr/>
              <w:rPr>
                <w:rFonts w:ascii="Cambria Math" w:hAnsi="Cambria Math"/>
                <w:color w:val="auto"/>
                <w:szCs w:val="21"/>
                <w:highlight w:val="none"/>
              </w:rPr>
              <m:t>u</m:t>
            </m:r>
            <m:ctrlPr>
              <w:rPr>
                <w:rFonts w:ascii="Cambria Math" w:hAnsi="Cambria Math"/>
                <w:bCs/>
                <w:color w:val="auto"/>
                <w:szCs w:val="21"/>
                <w:highlight w:val="none"/>
              </w:rPr>
            </m:ctrlPr>
          </m:sub>
        </m:sSub>
      </m:oMath>
      <w:r>
        <w:rPr>
          <w:rFonts w:hint="eastAsia"/>
          <w:bCs/>
          <w:color w:val="auto"/>
          <w:szCs w:val="21"/>
          <w:highlight w:val="none"/>
        </w:rPr>
        <w:t>——道路</w:t>
      </w:r>
      <w:r>
        <w:rPr>
          <w:rFonts w:hint="eastAsia"/>
          <w:bCs/>
          <w:color w:val="auto"/>
          <w:highlight w:val="none"/>
        </w:rPr>
        <w:t>运输辅助活动单位</w:t>
      </w:r>
      <w:r>
        <w:rPr>
          <w:rFonts w:hint="eastAsia"/>
          <w:bCs/>
          <w:color w:val="auto"/>
          <w:szCs w:val="21"/>
          <w:highlight w:val="none"/>
        </w:rPr>
        <w:t>人次</w:t>
      </w:r>
      <w:r>
        <w:rPr>
          <w:bCs/>
          <w:color w:val="auto"/>
          <w:szCs w:val="21"/>
          <w:highlight w:val="none"/>
        </w:rPr>
        <w:t>用水量</w:t>
      </w:r>
      <w:r>
        <w:rPr>
          <w:rFonts w:hint="eastAsia"/>
          <w:bCs/>
          <w:color w:val="auto"/>
          <w:szCs w:val="21"/>
          <w:highlight w:val="none"/>
        </w:rPr>
        <w:t>（m</w:t>
      </w:r>
      <w:r>
        <w:rPr>
          <w:rFonts w:hint="eastAsia"/>
          <w:bCs/>
          <w:color w:val="auto"/>
          <w:szCs w:val="21"/>
          <w:highlight w:val="none"/>
          <w:vertAlign w:val="superscript"/>
        </w:rPr>
        <w:t>3</w:t>
      </w:r>
      <w:r>
        <w:rPr>
          <w:rFonts w:hint="eastAsia"/>
          <w:bCs/>
          <w:color w:val="auto"/>
          <w:szCs w:val="21"/>
          <w:highlight w:val="none"/>
        </w:rPr>
        <w:t>/（人</w:t>
      </w:r>
      <w:r>
        <w:rPr>
          <w:rFonts w:hint="eastAsia" w:ascii="宋体" w:hAnsi="宋体"/>
          <w:bCs/>
          <w:color w:val="auto"/>
          <w:szCs w:val="21"/>
          <w:highlight w:val="none"/>
        </w:rPr>
        <w:t>·</w:t>
      </w:r>
      <w:r>
        <w:rPr>
          <w:rFonts w:hint="eastAsia"/>
          <w:bCs/>
          <w:color w:val="auto"/>
          <w:szCs w:val="21"/>
          <w:highlight w:val="none"/>
        </w:rPr>
        <w:t>次））；</w:t>
      </w:r>
    </w:p>
    <w:p>
      <w:pPr>
        <w:ind w:left="1155" w:leftChars="200" w:hanging="735" w:hangingChars="350"/>
        <w:jc w:val="left"/>
        <w:rPr>
          <w:rFonts w:asciiTheme="minorEastAsia" w:hAnsiTheme="minorEastAsia" w:eastAsiaTheme="minorEastAsia"/>
          <w:bCs/>
          <w:color w:val="auto"/>
          <w:szCs w:val="21"/>
          <w:highlight w:val="none"/>
        </w:rPr>
      </w:pPr>
      <m:oMath>
        <m:sSub>
          <m:sSubPr>
            <m:ctrlPr>
              <w:rPr>
                <w:rFonts w:ascii="Cambria Math" w:hAnsi="Cambria Math"/>
                <w:bCs/>
                <w:i/>
                <w:color w:val="auto"/>
                <w:szCs w:val="21"/>
                <w:highlight w:val="none"/>
              </w:rPr>
            </m:ctrlPr>
          </m:sSubPr>
          <m:e>
            <m:r>
              <m:rPr/>
              <w:rPr>
                <w:rFonts w:ascii="Cambria Math" w:hAnsi="Cambria Math"/>
                <w:color w:val="auto"/>
                <w:szCs w:val="21"/>
                <w:highlight w:val="none"/>
              </w:rPr>
              <m:t>W</m:t>
            </m:r>
            <m:ctrlPr>
              <w:rPr>
                <w:rFonts w:ascii="Cambria Math" w:hAnsi="Cambria Math"/>
                <w:bCs/>
                <w:i/>
                <w:color w:val="auto"/>
                <w:szCs w:val="21"/>
                <w:highlight w:val="none"/>
              </w:rPr>
            </m:ctrlPr>
          </m:e>
          <m:sub>
            <m:r>
              <m:rPr/>
              <w:rPr>
                <w:rFonts w:ascii="Cambria Math" w:hAnsi="Cambria Math"/>
                <w:color w:val="auto"/>
                <w:szCs w:val="21"/>
                <w:highlight w:val="none"/>
              </w:rPr>
              <m:t>u</m:t>
            </m:r>
            <m:ctrlPr>
              <w:rPr>
                <w:rFonts w:ascii="Cambria Math" w:hAnsi="Cambria Math"/>
                <w:bCs/>
                <w:i/>
                <w:color w:val="auto"/>
                <w:szCs w:val="21"/>
                <w:highlight w:val="none"/>
              </w:rPr>
            </m:ctrlPr>
          </m:sub>
        </m:sSub>
      </m:oMath>
      <w:r>
        <w:rPr>
          <w:rFonts w:hint="eastAsia"/>
          <w:bCs/>
          <w:color w:val="auto"/>
          <w:szCs w:val="21"/>
          <w:highlight w:val="none"/>
        </w:rPr>
        <w:t>——</w:t>
      </w:r>
      <w:r>
        <w:rPr>
          <w:rFonts w:hint="eastAsia" w:asciiTheme="minorEastAsia" w:hAnsiTheme="minorEastAsia" w:eastAsiaTheme="minorEastAsia"/>
          <w:bCs/>
          <w:color w:val="auto"/>
          <w:szCs w:val="21"/>
          <w:highlight w:val="none"/>
        </w:rPr>
        <w:t>道路运输辅助活动年用水量（客运站辅助生活服务取自任何常规水资源并被第一次利用的水量的总和，包括车站日常管理服务（司乘人员、到发旅客）用水、辅助生产（供热、空调、场地浇洒、消防、设备清洗等）用水和附属生产（餐饮、商店、绿化浇洒、洗衣房等）用水等与车站运输服务相关的用水量（m</w:t>
      </w:r>
      <w:r>
        <w:rPr>
          <w:rFonts w:hint="eastAsia" w:asciiTheme="minorEastAsia" w:hAnsiTheme="minorEastAsia" w:eastAsiaTheme="minorEastAsia"/>
          <w:bCs/>
          <w:color w:val="auto"/>
          <w:szCs w:val="21"/>
          <w:highlight w:val="none"/>
          <w:vertAlign w:val="superscript"/>
        </w:rPr>
        <w:t>3</w:t>
      </w:r>
      <w:r>
        <w:rPr>
          <w:rFonts w:hint="eastAsia" w:asciiTheme="minorEastAsia" w:hAnsiTheme="minorEastAsia" w:eastAsiaTheme="minorEastAsia"/>
          <w:bCs/>
          <w:color w:val="auto"/>
          <w:szCs w:val="21"/>
          <w:highlight w:val="none"/>
        </w:rPr>
        <w:t>/（人·次）），不包括外租办公区、宾馆等用水量）；</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Q</m:t>
            </m:r>
            <m:ctrlPr>
              <w:rPr>
                <w:rFonts w:ascii="Cambria Math" w:hAnsi="Cambria Math"/>
                <w:bCs/>
                <w:color w:val="auto"/>
                <w:szCs w:val="21"/>
                <w:highlight w:val="none"/>
              </w:rPr>
            </m:ctrlPr>
          </m:e>
          <m:sub>
            <m:r>
              <m:rPr/>
              <w:rPr>
                <w:rFonts w:ascii="Cambria Math" w:hAnsi="Cambria Math"/>
                <w:color w:val="auto"/>
                <w:szCs w:val="21"/>
                <w:highlight w:val="none"/>
              </w:rPr>
              <m:t>b</m:t>
            </m:r>
            <m:ctrlPr>
              <w:rPr>
                <w:rFonts w:ascii="Cambria Math" w:hAnsi="Cambria Math"/>
                <w:bCs/>
                <w:color w:val="auto"/>
                <w:szCs w:val="21"/>
                <w:highlight w:val="none"/>
              </w:rPr>
            </m:ctrlPr>
          </m:sub>
        </m:sSub>
      </m:oMath>
      <w:r>
        <w:rPr>
          <w:rFonts w:hint="eastAsia"/>
          <w:bCs/>
          <w:color w:val="auto"/>
          <w:szCs w:val="21"/>
          <w:highlight w:val="none"/>
        </w:rPr>
        <w:t>——客运站职工人数，包括在编在岗职工和工作时间超过半年的非在编人员</w:t>
      </w:r>
      <w:r>
        <w:rPr>
          <w:bCs/>
          <w:color w:val="auto"/>
          <w:szCs w:val="21"/>
          <w:highlight w:val="none"/>
        </w:rPr>
        <w:t>（</w:t>
      </w:r>
      <w:r>
        <w:rPr>
          <w:rFonts w:hint="eastAsia"/>
          <w:bCs/>
          <w:color w:val="auto"/>
          <w:szCs w:val="21"/>
          <w:highlight w:val="none"/>
        </w:rPr>
        <w:t>人</w:t>
      </w:r>
      <w:r>
        <w:rPr>
          <w:bCs/>
          <w:color w:val="auto"/>
          <w:szCs w:val="21"/>
          <w:highlight w:val="none"/>
        </w:rPr>
        <w:t>）</w:t>
      </w:r>
      <w:r>
        <w:rPr>
          <w:rFonts w:hint="eastAsia"/>
          <w:bCs/>
          <w:color w:val="auto"/>
          <w:szCs w:val="21"/>
          <w:highlight w:val="none"/>
        </w:rPr>
        <w:t>；</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Q</m:t>
            </m:r>
            <m:ctrlPr>
              <w:rPr>
                <w:rFonts w:ascii="Cambria Math" w:hAnsi="Cambria Math"/>
                <w:bCs/>
                <w:color w:val="auto"/>
                <w:szCs w:val="21"/>
                <w:highlight w:val="none"/>
              </w:rPr>
            </m:ctrlPr>
          </m:e>
          <m:sub>
            <m:r>
              <m:rPr>
                <m:sty m:val="p"/>
              </m:rPr>
              <w:rPr>
                <w:rFonts w:hint="eastAsia" w:ascii="Cambria Math" w:hAnsi="Cambria Math"/>
                <w:color w:val="auto"/>
                <w:szCs w:val="21"/>
                <w:highlight w:val="none"/>
              </w:rPr>
              <m:t>s</m:t>
            </m:r>
            <m:ctrlPr>
              <w:rPr>
                <w:rFonts w:ascii="Cambria Math" w:hAnsi="Cambria Math"/>
                <w:bCs/>
                <w:color w:val="auto"/>
                <w:szCs w:val="21"/>
                <w:highlight w:val="none"/>
              </w:rPr>
            </m:ctrlPr>
          </m:sub>
        </m:sSub>
      </m:oMath>
      <w:r>
        <w:rPr>
          <w:rFonts w:hint="eastAsia"/>
          <w:bCs/>
          <w:color w:val="auto"/>
          <w:szCs w:val="21"/>
          <w:highlight w:val="none"/>
        </w:rPr>
        <w:t>——车站客运量</w:t>
      </w:r>
      <w:r>
        <w:rPr>
          <w:bCs/>
          <w:color w:val="auto"/>
          <w:szCs w:val="21"/>
          <w:highlight w:val="none"/>
        </w:rPr>
        <w:t>（</w:t>
      </w:r>
      <w:r>
        <w:rPr>
          <w:rFonts w:hint="eastAsia"/>
          <w:bCs/>
          <w:color w:val="auto"/>
          <w:szCs w:val="21"/>
          <w:highlight w:val="none"/>
        </w:rPr>
        <w:t>人</w:t>
      </w:r>
      <w:r>
        <w:rPr>
          <w:bCs/>
          <w:color w:val="auto"/>
          <w:szCs w:val="21"/>
          <w:highlight w:val="none"/>
        </w:rPr>
        <w:t>）</w:t>
      </w:r>
      <w:r>
        <w:rPr>
          <w:rFonts w:hint="eastAsia"/>
          <w:bCs/>
          <w:color w:val="auto"/>
          <w:szCs w:val="21"/>
          <w:highlight w:val="none"/>
        </w:rPr>
        <w:t>。</w:t>
      </w:r>
    </w:p>
    <w:p>
      <w:pPr>
        <w:spacing w:line="400" w:lineRule="exact"/>
        <w:jc w:val="left"/>
        <w:rPr>
          <w:b/>
          <w:color w:val="auto"/>
          <w:highlight w:val="none"/>
        </w:rPr>
      </w:pPr>
      <w:r>
        <w:rPr>
          <w:rFonts w:ascii="黑体" w:eastAsia="黑体"/>
          <w:b/>
          <w:color w:val="auto"/>
          <w:highlight w:val="none"/>
        </w:rPr>
        <w:t>A</w:t>
      </w:r>
      <w:r>
        <w:rPr>
          <w:rFonts w:hint="eastAsia" w:ascii="黑体" w:eastAsia="黑体"/>
          <w:b/>
          <w:color w:val="auto"/>
          <w:highlight w:val="none"/>
        </w:rPr>
        <w:t>.5</w:t>
      </w:r>
      <w:r>
        <w:rPr>
          <w:rFonts w:hint="eastAsia"/>
          <w:b/>
          <w:color w:val="auto"/>
          <w:highlight w:val="none"/>
        </w:rPr>
        <w:t xml:space="preserve">  铁路运输辅助活动用水量</w:t>
      </w:r>
    </w:p>
    <w:p>
      <w:pPr>
        <w:spacing w:line="400" w:lineRule="exact"/>
        <w:ind w:firstLine="420" w:firstLineChars="200"/>
        <w:jc w:val="left"/>
        <w:rPr>
          <w:bCs/>
          <w:color w:val="auto"/>
          <w:highlight w:val="none"/>
        </w:rPr>
      </w:pPr>
      <w:r>
        <w:rPr>
          <w:rFonts w:hint="eastAsia"/>
          <w:bCs/>
          <w:color w:val="auto"/>
          <w:highlight w:val="none"/>
        </w:rPr>
        <w:t>铁路运输辅助活动单位人次用水量按式（A</w:t>
      </w:r>
      <w:r>
        <w:rPr>
          <w:bCs/>
          <w:color w:val="auto"/>
          <w:highlight w:val="none"/>
        </w:rPr>
        <w:t>.</w:t>
      </w:r>
      <w:r>
        <w:rPr>
          <w:rFonts w:hint="eastAsia"/>
          <w:bCs/>
          <w:color w:val="auto"/>
          <w:highlight w:val="none"/>
        </w:rPr>
        <w:t>5）计算：</w:t>
      </w:r>
    </w:p>
    <w:p>
      <w:pPr>
        <w:spacing w:line="360" w:lineRule="auto"/>
        <w:ind w:firstLine="3255" w:firstLineChars="1550"/>
        <w:jc w:val="righ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V</m:t>
            </m:r>
            <m:ctrlPr>
              <w:rPr>
                <w:rFonts w:ascii="Cambria Math" w:hAnsi="Cambria Math"/>
                <w:bCs/>
                <w:color w:val="auto"/>
                <w:szCs w:val="21"/>
                <w:highlight w:val="none"/>
              </w:rPr>
            </m:ctrlPr>
          </m:e>
          <m:sub>
            <m:r>
              <m:rPr/>
              <w:rPr>
                <w:rFonts w:ascii="Cambria Math" w:hAnsi="Cambria Math"/>
                <w:color w:val="auto"/>
                <w:szCs w:val="21"/>
                <w:highlight w:val="none"/>
              </w:rPr>
              <m:t>u</m:t>
            </m:r>
            <m:ctrlPr>
              <w:rPr>
                <w:rFonts w:ascii="Cambria Math" w:hAnsi="Cambria Math"/>
                <w:bCs/>
                <w:color w:val="auto"/>
                <w:szCs w:val="21"/>
                <w:highlight w:val="none"/>
              </w:rPr>
            </m:ctrlPr>
          </m:sub>
        </m:sSub>
        <m:r>
          <m:rPr/>
          <w:rPr>
            <w:rFonts w:ascii="Cambria Math" w:hAnsi="Cambria Math"/>
            <w:color w:val="auto"/>
            <w:szCs w:val="21"/>
            <w:highlight w:val="none"/>
          </w:rPr>
          <m:t>=</m:t>
        </m:r>
        <m:f>
          <m:fPr>
            <m:ctrlPr>
              <w:rPr>
                <w:rFonts w:ascii="Cambria Math" w:hAnsi="Cambria Math"/>
                <w:i/>
                <w:color w:val="auto"/>
                <w:szCs w:val="21"/>
                <w:highlight w:val="none"/>
              </w:rPr>
            </m:ctrlPr>
          </m:fPr>
          <m:num>
            <m:sSub>
              <m:sSubPr>
                <m:ctrlPr>
                  <w:rPr>
                    <w:rFonts w:ascii="Cambria Math" w:hAnsi="Cambria Math"/>
                    <w:bCs/>
                    <w:i/>
                    <w:color w:val="auto"/>
                    <w:szCs w:val="21"/>
                    <w:highlight w:val="none"/>
                  </w:rPr>
                </m:ctrlPr>
              </m:sSubPr>
              <m:e>
                <m:r>
                  <m:rPr/>
                  <w:rPr>
                    <w:rFonts w:ascii="Cambria Math" w:hAnsi="Cambria Math"/>
                    <w:color w:val="auto"/>
                    <w:szCs w:val="21"/>
                    <w:highlight w:val="none"/>
                  </w:rPr>
                  <m:t>W</m:t>
                </m:r>
                <m:ctrlPr>
                  <w:rPr>
                    <w:rFonts w:ascii="Cambria Math" w:hAnsi="Cambria Math"/>
                    <w:bCs/>
                    <w:i/>
                    <w:color w:val="auto"/>
                    <w:szCs w:val="21"/>
                    <w:highlight w:val="none"/>
                  </w:rPr>
                </m:ctrlPr>
              </m:e>
              <m:sub>
                <m:r>
                  <m:rPr/>
                  <w:rPr>
                    <w:rFonts w:ascii="Cambria Math" w:hAnsi="Cambria Math"/>
                    <w:color w:val="auto"/>
                    <w:szCs w:val="21"/>
                    <w:highlight w:val="none"/>
                  </w:rPr>
                  <m:t>u</m:t>
                </m:r>
                <m:ctrlPr>
                  <w:rPr>
                    <w:rFonts w:ascii="Cambria Math" w:hAnsi="Cambria Math"/>
                    <w:bCs/>
                    <w:i/>
                    <w:color w:val="auto"/>
                    <w:szCs w:val="21"/>
                    <w:highlight w:val="none"/>
                  </w:rPr>
                </m:ctrlPr>
              </m:sub>
            </m:sSub>
            <m:ctrlPr>
              <w:rPr>
                <w:rFonts w:ascii="Cambria Math" w:hAnsi="Cambria Math"/>
                <w:i/>
                <w:color w:val="auto"/>
                <w:szCs w:val="21"/>
                <w:highlight w:val="none"/>
              </w:rPr>
            </m:ctrlPr>
          </m:num>
          <m:den>
            <m:sSub>
              <m:sSubPr>
                <m:ctrlPr>
                  <w:rPr>
                    <w:rFonts w:ascii="Cambria Math" w:hAnsi="Cambria Math"/>
                    <w:bCs/>
                    <w:i/>
                    <w:color w:val="auto"/>
                    <w:szCs w:val="21"/>
                    <w:highlight w:val="none"/>
                  </w:rPr>
                </m:ctrlPr>
              </m:sSubPr>
              <m:e>
                <m:r>
                  <m:rPr/>
                  <w:rPr>
                    <w:rFonts w:ascii="Cambria Math" w:hAnsi="Cambria Math"/>
                    <w:color w:val="auto"/>
                    <w:szCs w:val="21"/>
                    <w:highlight w:val="none"/>
                  </w:rPr>
                  <m:t>Q</m:t>
                </m:r>
                <m:ctrlPr>
                  <w:rPr>
                    <w:rFonts w:ascii="Cambria Math" w:hAnsi="Cambria Math"/>
                    <w:bCs/>
                    <w:i/>
                    <w:color w:val="auto"/>
                    <w:szCs w:val="21"/>
                    <w:highlight w:val="none"/>
                  </w:rPr>
                </m:ctrlPr>
              </m:e>
              <m:sub>
                <m:r>
                  <m:rPr/>
                  <w:rPr>
                    <w:rFonts w:ascii="Cambria Math" w:hAnsi="Cambria Math"/>
                    <w:color w:val="auto"/>
                    <w:szCs w:val="21"/>
                    <w:highlight w:val="none"/>
                  </w:rPr>
                  <m:t>b</m:t>
                </m:r>
                <m:ctrlPr>
                  <w:rPr>
                    <w:rFonts w:ascii="Cambria Math" w:hAnsi="Cambria Math"/>
                    <w:bCs/>
                    <w:i/>
                    <w:color w:val="auto"/>
                    <w:szCs w:val="21"/>
                    <w:highlight w:val="none"/>
                  </w:rPr>
                </m:ctrlPr>
              </m:sub>
            </m:sSub>
            <m:r>
              <m:rPr/>
              <w:rPr>
                <w:rFonts w:ascii="Cambria Math" w:hAnsi="Cambria Math"/>
                <w:color w:val="auto"/>
                <w:szCs w:val="21"/>
                <w:highlight w:val="none"/>
              </w:rPr>
              <m:t>+</m:t>
            </m:r>
            <m:sSub>
              <m:sSubPr>
                <m:ctrlPr>
                  <w:rPr>
                    <w:rFonts w:ascii="Cambria Math" w:hAnsi="Cambria Math"/>
                    <w:i/>
                    <w:color w:val="auto"/>
                    <w:szCs w:val="21"/>
                    <w:highlight w:val="none"/>
                  </w:rPr>
                </m:ctrlPr>
              </m:sSubPr>
              <m:e>
                <m:r>
                  <m:rPr/>
                  <w:rPr>
                    <w:rFonts w:ascii="Cambria Math" w:hAnsi="Cambria Math"/>
                    <w:color w:val="auto"/>
                    <w:szCs w:val="21"/>
                    <w:highlight w:val="none"/>
                  </w:rPr>
                  <m:t>Q</m:t>
                </m:r>
                <m:ctrlPr>
                  <w:rPr>
                    <w:rFonts w:ascii="Cambria Math" w:hAnsi="Cambria Math"/>
                    <w:i/>
                    <w:color w:val="auto"/>
                    <w:szCs w:val="21"/>
                    <w:highlight w:val="none"/>
                  </w:rPr>
                </m:ctrlPr>
              </m:e>
              <m:sub>
                <m:r>
                  <m:rPr/>
                  <w:rPr>
                    <w:rFonts w:ascii="Cambria Math" w:hAnsi="Cambria Math"/>
                    <w:color w:val="auto"/>
                    <w:szCs w:val="21"/>
                    <w:highlight w:val="none"/>
                  </w:rPr>
                  <m:t>s</m:t>
                </m:r>
                <m:ctrlPr>
                  <w:rPr>
                    <w:rFonts w:ascii="Cambria Math" w:hAnsi="Cambria Math"/>
                    <w:i/>
                    <w:color w:val="auto"/>
                    <w:szCs w:val="21"/>
                    <w:highlight w:val="none"/>
                  </w:rPr>
                </m:ctrlPr>
              </m:sub>
            </m:sSub>
            <m:ctrlPr>
              <w:rPr>
                <w:rFonts w:ascii="Cambria Math" w:hAnsi="Cambria Math"/>
                <w:i/>
                <w:color w:val="auto"/>
                <w:szCs w:val="21"/>
                <w:highlight w:val="none"/>
              </w:rPr>
            </m:ctrlPr>
          </m:den>
        </m:f>
      </m:oMath>
      <w:r>
        <w:rPr>
          <w:rFonts w:hint="eastAsia"/>
          <w:bCs/>
          <w:color w:val="auto"/>
          <w:szCs w:val="21"/>
          <w:highlight w:val="none"/>
        </w:rPr>
        <w:t>…………………………………………（A.5）</w:t>
      </w:r>
    </w:p>
    <w:p>
      <w:pPr>
        <w:spacing w:line="400" w:lineRule="exact"/>
        <w:ind w:firstLine="420" w:firstLineChars="200"/>
        <w:jc w:val="left"/>
        <w:rPr>
          <w:bCs/>
          <w:color w:val="auto"/>
          <w:szCs w:val="21"/>
          <w:highlight w:val="none"/>
        </w:rPr>
      </w:pPr>
      <w:r>
        <w:rPr>
          <w:rFonts w:hint="eastAsia"/>
          <w:bCs/>
          <w:color w:val="auto"/>
          <w:szCs w:val="21"/>
          <w:highlight w:val="none"/>
        </w:rPr>
        <w:t>式中</w:t>
      </w:r>
      <w:r>
        <w:rPr>
          <w:bCs/>
          <w:color w:val="auto"/>
          <w:szCs w:val="21"/>
          <w:highlight w:val="none"/>
        </w:rPr>
        <w:t>：</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V</m:t>
            </m:r>
            <m:ctrlPr>
              <w:rPr>
                <w:rFonts w:ascii="Cambria Math" w:hAnsi="Cambria Math"/>
                <w:bCs/>
                <w:color w:val="auto"/>
                <w:szCs w:val="21"/>
                <w:highlight w:val="none"/>
              </w:rPr>
            </m:ctrlPr>
          </m:e>
          <m:sub>
            <m:r>
              <m:rPr/>
              <w:rPr>
                <w:rFonts w:ascii="Cambria Math" w:hAnsi="Cambria Math"/>
                <w:color w:val="auto"/>
                <w:szCs w:val="21"/>
                <w:highlight w:val="none"/>
              </w:rPr>
              <m:t>u</m:t>
            </m:r>
            <m:ctrlPr>
              <w:rPr>
                <w:rFonts w:ascii="Cambria Math" w:hAnsi="Cambria Math"/>
                <w:bCs/>
                <w:color w:val="auto"/>
                <w:szCs w:val="21"/>
                <w:highlight w:val="none"/>
              </w:rPr>
            </m:ctrlPr>
          </m:sub>
        </m:sSub>
      </m:oMath>
      <w:r>
        <w:rPr>
          <w:rFonts w:hint="eastAsia"/>
          <w:bCs/>
          <w:color w:val="auto"/>
          <w:szCs w:val="21"/>
          <w:highlight w:val="none"/>
        </w:rPr>
        <w:t>——铁路</w:t>
      </w:r>
      <w:r>
        <w:rPr>
          <w:rFonts w:hint="eastAsia"/>
          <w:bCs/>
          <w:color w:val="auto"/>
          <w:highlight w:val="none"/>
        </w:rPr>
        <w:t>运输辅助活动单位</w:t>
      </w:r>
      <w:r>
        <w:rPr>
          <w:rFonts w:hint="eastAsia"/>
          <w:bCs/>
          <w:color w:val="auto"/>
          <w:szCs w:val="21"/>
          <w:highlight w:val="none"/>
        </w:rPr>
        <w:t>人次</w:t>
      </w:r>
      <w:r>
        <w:rPr>
          <w:bCs/>
          <w:color w:val="auto"/>
          <w:szCs w:val="21"/>
          <w:highlight w:val="none"/>
        </w:rPr>
        <w:t>用水量</w:t>
      </w:r>
      <w:r>
        <w:rPr>
          <w:rFonts w:hint="eastAsia"/>
          <w:bCs/>
          <w:color w:val="auto"/>
          <w:szCs w:val="21"/>
          <w:highlight w:val="none"/>
        </w:rPr>
        <w:t>（m</w:t>
      </w:r>
      <w:r>
        <w:rPr>
          <w:rFonts w:hint="eastAsia"/>
          <w:bCs/>
          <w:color w:val="auto"/>
          <w:szCs w:val="21"/>
          <w:highlight w:val="none"/>
          <w:vertAlign w:val="superscript"/>
        </w:rPr>
        <w:t>3</w:t>
      </w:r>
      <w:r>
        <w:rPr>
          <w:rFonts w:hint="eastAsia"/>
          <w:bCs/>
          <w:color w:val="auto"/>
          <w:szCs w:val="21"/>
          <w:highlight w:val="none"/>
        </w:rPr>
        <w:t>/（人</w:t>
      </w:r>
      <w:r>
        <w:rPr>
          <w:rFonts w:hint="eastAsia" w:ascii="宋体" w:hAnsi="宋体"/>
          <w:bCs/>
          <w:color w:val="auto"/>
          <w:szCs w:val="21"/>
          <w:highlight w:val="none"/>
        </w:rPr>
        <w:t>·</w:t>
      </w:r>
      <w:r>
        <w:rPr>
          <w:rFonts w:hint="eastAsia"/>
          <w:bCs/>
          <w:color w:val="auto"/>
          <w:szCs w:val="21"/>
          <w:highlight w:val="none"/>
        </w:rPr>
        <w:t>次））；</w:t>
      </w:r>
    </w:p>
    <w:p>
      <w:pPr>
        <w:ind w:left="1155" w:leftChars="200" w:hanging="735" w:hangingChars="350"/>
        <w:jc w:val="left"/>
        <w:rPr>
          <w:bCs/>
          <w:color w:val="auto"/>
          <w:szCs w:val="21"/>
          <w:highlight w:val="none"/>
        </w:rPr>
      </w:pPr>
      <m:oMath>
        <m:sSub>
          <m:sSubPr>
            <m:ctrlPr>
              <w:rPr>
                <w:rFonts w:ascii="Cambria Math" w:hAnsi="Cambria Math"/>
                <w:bCs/>
                <w:i/>
                <w:color w:val="auto"/>
                <w:szCs w:val="21"/>
                <w:highlight w:val="none"/>
              </w:rPr>
            </m:ctrlPr>
          </m:sSubPr>
          <m:e>
            <m:r>
              <m:rPr/>
              <w:rPr>
                <w:rFonts w:ascii="Cambria Math" w:hAnsi="Cambria Math"/>
                <w:color w:val="auto"/>
                <w:szCs w:val="21"/>
                <w:highlight w:val="none"/>
              </w:rPr>
              <m:t>W</m:t>
            </m:r>
            <m:ctrlPr>
              <w:rPr>
                <w:rFonts w:ascii="Cambria Math" w:hAnsi="Cambria Math"/>
                <w:bCs/>
                <w:i/>
                <w:color w:val="auto"/>
                <w:szCs w:val="21"/>
                <w:highlight w:val="none"/>
              </w:rPr>
            </m:ctrlPr>
          </m:e>
          <m:sub>
            <m:r>
              <m:rPr/>
              <w:rPr>
                <w:rFonts w:ascii="Cambria Math" w:hAnsi="Cambria Math"/>
                <w:color w:val="auto"/>
                <w:szCs w:val="21"/>
                <w:highlight w:val="none"/>
              </w:rPr>
              <m:t>u</m:t>
            </m:r>
            <m:ctrlPr>
              <w:rPr>
                <w:rFonts w:ascii="Cambria Math" w:hAnsi="Cambria Math"/>
                <w:bCs/>
                <w:i/>
                <w:color w:val="auto"/>
                <w:szCs w:val="21"/>
                <w:highlight w:val="none"/>
              </w:rPr>
            </m:ctrlPr>
          </m:sub>
        </m:sSub>
      </m:oMath>
      <w:r>
        <w:rPr>
          <w:rFonts w:hint="eastAsia"/>
          <w:bCs/>
          <w:color w:val="auto"/>
          <w:szCs w:val="21"/>
          <w:highlight w:val="none"/>
        </w:rPr>
        <w:t>——铁路</w:t>
      </w:r>
      <w:r>
        <w:rPr>
          <w:rFonts w:hint="eastAsia"/>
          <w:bCs/>
          <w:color w:val="auto"/>
          <w:highlight w:val="none"/>
        </w:rPr>
        <w:t>运输辅助活动</w:t>
      </w:r>
      <w:r>
        <w:rPr>
          <w:rFonts w:hint="eastAsia"/>
          <w:bCs/>
          <w:color w:val="auto"/>
          <w:szCs w:val="21"/>
          <w:highlight w:val="none"/>
        </w:rPr>
        <w:t>年</w:t>
      </w:r>
      <w:r>
        <w:rPr>
          <w:bCs/>
          <w:color w:val="auto"/>
          <w:szCs w:val="21"/>
          <w:highlight w:val="none"/>
        </w:rPr>
        <w:t>用水量</w:t>
      </w:r>
      <w:r>
        <w:rPr>
          <w:rFonts w:hint="eastAsia"/>
          <w:bCs/>
          <w:color w:val="auto"/>
          <w:szCs w:val="21"/>
          <w:highlight w:val="none"/>
        </w:rPr>
        <w:t>（火车站辅助生活服务</w:t>
      </w:r>
      <w:r>
        <w:rPr>
          <w:bCs/>
          <w:color w:val="auto"/>
          <w:szCs w:val="21"/>
          <w:highlight w:val="none"/>
        </w:rPr>
        <w:t>取自</w:t>
      </w:r>
      <w:r>
        <w:rPr>
          <w:rFonts w:hint="eastAsia"/>
          <w:bCs/>
          <w:color w:val="auto"/>
          <w:szCs w:val="21"/>
          <w:highlight w:val="none"/>
        </w:rPr>
        <w:t>任何常规</w:t>
      </w:r>
      <w:r>
        <w:rPr>
          <w:bCs/>
          <w:color w:val="auto"/>
          <w:szCs w:val="21"/>
          <w:highlight w:val="none"/>
        </w:rPr>
        <w:t>水资源并被第一次利用的</w:t>
      </w:r>
      <w:r>
        <w:rPr>
          <w:rFonts w:hint="eastAsia"/>
          <w:bCs/>
          <w:color w:val="auto"/>
          <w:szCs w:val="21"/>
          <w:highlight w:val="none"/>
        </w:rPr>
        <w:t>水量</w:t>
      </w:r>
      <w:r>
        <w:rPr>
          <w:bCs/>
          <w:color w:val="auto"/>
          <w:szCs w:val="21"/>
          <w:highlight w:val="none"/>
        </w:rPr>
        <w:t>的总和，</w:t>
      </w:r>
      <w:r>
        <w:rPr>
          <w:rFonts w:hint="eastAsia"/>
          <w:bCs/>
          <w:color w:val="auto"/>
          <w:szCs w:val="21"/>
          <w:highlight w:val="none"/>
        </w:rPr>
        <w:t>包括车站日常管理服务</w:t>
      </w:r>
      <w:r>
        <w:rPr>
          <w:color w:val="auto"/>
          <w:highlight w:val="none"/>
        </w:rPr>
        <w:t>（站务人员、</w:t>
      </w:r>
      <w:r>
        <w:rPr>
          <w:rFonts w:hint="eastAsia"/>
          <w:color w:val="auto"/>
          <w:highlight w:val="none"/>
        </w:rPr>
        <w:t>乘务</w:t>
      </w:r>
      <w:r>
        <w:rPr>
          <w:color w:val="auto"/>
          <w:highlight w:val="none"/>
        </w:rPr>
        <w:t>人员、</w:t>
      </w:r>
      <w:r>
        <w:rPr>
          <w:rFonts w:hint="eastAsia"/>
          <w:color w:val="auto"/>
          <w:highlight w:val="none"/>
        </w:rPr>
        <w:t>到发</w:t>
      </w:r>
      <w:r>
        <w:rPr>
          <w:color w:val="auto"/>
          <w:highlight w:val="none"/>
        </w:rPr>
        <w:t>旅客）用水、辅助生产（供热、空调、场地浇洒、消防</w:t>
      </w:r>
      <w:r>
        <w:rPr>
          <w:rFonts w:hint="eastAsia"/>
          <w:color w:val="auto"/>
          <w:highlight w:val="none"/>
        </w:rPr>
        <w:t>、设备清洗、卧具洗涤</w:t>
      </w:r>
      <w:r>
        <w:rPr>
          <w:color w:val="auto"/>
          <w:highlight w:val="none"/>
        </w:rPr>
        <w:t>等）用水和附属生产（餐饮</w:t>
      </w:r>
      <w:r>
        <w:rPr>
          <w:rFonts w:hint="eastAsia"/>
          <w:color w:val="auto"/>
          <w:highlight w:val="none"/>
        </w:rPr>
        <w:t>、商店、</w:t>
      </w:r>
      <w:r>
        <w:rPr>
          <w:color w:val="auto"/>
          <w:highlight w:val="none"/>
        </w:rPr>
        <w:t>绿化浇洒等）用水</w:t>
      </w:r>
      <w:r>
        <w:rPr>
          <w:bCs/>
          <w:color w:val="auto"/>
          <w:szCs w:val="21"/>
          <w:highlight w:val="none"/>
        </w:rPr>
        <w:t>等与</w:t>
      </w:r>
      <w:r>
        <w:rPr>
          <w:rFonts w:hint="eastAsia"/>
          <w:bCs/>
          <w:color w:val="auto"/>
          <w:szCs w:val="21"/>
          <w:highlight w:val="none"/>
        </w:rPr>
        <w:t>车站运输</w:t>
      </w:r>
      <w:r>
        <w:rPr>
          <w:bCs/>
          <w:color w:val="auto"/>
          <w:szCs w:val="21"/>
          <w:highlight w:val="none"/>
        </w:rPr>
        <w:t>服务相关的用水量（</w:t>
      </w:r>
      <w:r>
        <w:rPr>
          <w:rFonts w:hint="eastAsia"/>
          <w:bCs/>
          <w:color w:val="auto"/>
          <w:szCs w:val="21"/>
          <w:highlight w:val="none"/>
        </w:rPr>
        <w:t>m</w:t>
      </w:r>
      <w:r>
        <w:rPr>
          <w:rFonts w:hint="eastAsia"/>
          <w:bCs/>
          <w:color w:val="auto"/>
          <w:szCs w:val="21"/>
          <w:highlight w:val="none"/>
          <w:vertAlign w:val="superscript"/>
        </w:rPr>
        <w:t>3</w:t>
      </w:r>
      <w:r>
        <w:rPr>
          <w:bCs/>
          <w:color w:val="auto"/>
          <w:szCs w:val="21"/>
          <w:highlight w:val="none"/>
        </w:rPr>
        <w:t>/</w:t>
      </w:r>
      <w:r>
        <w:rPr>
          <w:rFonts w:hint="eastAsia"/>
          <w:bCs/>
          <w:color w:val="auto"/>
          <w:szCs w:val="21"/>
          <w:highlight w:val="none"/>
        </w:rPr>
        <w:t>（人</w:t>
      </w:r>
      <w:r>
        <w:rPr>
          <w:rFonts w:hint="eastAsia" w:ascii="宋体" w:hAnsi="宋体"/>
          <w:bCs/>
          <w:color w:val="auto"/>
          <w:szCs w:val="21"/>
          <w:highlight w:val="none"/>
        </w:rPr>
        <w:t>·</w:t>
      </w:r>
      <w:r>
        <w:rPr>
          <w:rFonts w:hint="eastAsia"/>
          <w:bCs/>
          <w:color w:val="auto"/>
          <w:szCs w:val="21"/>
          <w:highlight w:val="none"/>
        </w:rPr>
        <w:t>次）</w:t>
      </w:r>
      <w:r>
        <w:rPr>
          <w:bCs/>
          <w:color w:val="auto"/>
          <w:szCs w:val="21"/>
          <w:highlight w:val="none"/>
        </w:rPr>
        <w:t>），不包括外租办公区、</w:t>
      </w:r>
      <w:r>
        <w:rPr>
          <w:rFonts w:hint="eastAsia"/>
          <w:bCs/>
          <w:color w:val="auto"/>
          <w:szCs w:val="21"/>
          <w:highlight w:val="none"/>
        </w:rPr>
        <w:t>宾馆</w:t>
      </w:r>
      <w:r>
        <w:rPr>
          <w:bCs/>
          <w:color w:val="auto"/>
          <w:szCs w:val="21"/>
          <w:highlight w:val="none"/>
        </w:rPr>
        <w:t>等用水量</w:t>
      </w:r>
      <w:r>
        <w:rPr>
          <w:rFonts w:hint="eastAsia"/>
          <w:bCs/>
          <w:color w:val="auto"/>
          <w:szCs w:val="21"/>
          <w:highlight w:val="none"/>
        </w:rPr>
        <w:t>）；</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Q</m:t>
            </m:r>
            <m:ctrlPr>
              <w:rPr>
                <w:rFonts w:ascii="Cambria Math" w:hAnsi="Cambria Math"/>
                <w:bCs/>
                <w:color w:val="auto"/>
                <w:szCs w:val="21"/>
                <w:highlight w:val="none"/>
              </w:rPr>
            </m:ctrlPr>
          </m:e>
          <m:sub>
            <m:r>
              <m:rPr/>
              <w:rPr>
                <w:rFonts w:ascii="Cambria Math" w:hAnsi="Cambria Math"/>
                <w:color w:val="auto"/>
                <w:szCs w:val="21"/>
                <w:highlight w:val="none"/>
              </w:rPr>
              <m:t>b</m:t>
            </m:r>
            <m:ctrlPr>
              <w:rPr>
                <w:rFonts w:ascii="Cambria Math" w:hAnsi="Cambria Math"/>
                <w:bCs/>
                <w:color w:val="auto"/>
                <w:szCs w:val="21"/>
                <w:highlight w:val="none"/>
              </w:rPr>
            </m:ctrlPr>
          </m:sub>
        </m:sSub>
      </m:oMath>
      <w:r>
        <w:rPr>
          <w:rFonts w:hint="eastAsia"/>
          <w:bCs/>
          <w:color w:val="auto"/>
          <w:szCs w:val="21"/>
          <w:highlight w:val="none"/>
        </w:rPr>
        <w:t>——火车站职工人数，包括在编在岗职工和工作时间超过半年的非在编人员</w:t>
      </w:r>
      <w:r>
        <w:rPr>
          <w:bCs/>
          <w:color w:val="auto"/>
          <w:szCs w:val="21"/>
          <w:highlight w:val="none"/>
        </w:rPr>
        <w:t>（</w:t>
      </w:r>
      <w:r>
        <w:rPr>
          <w:rFonts w:hint="eastAsia"/>
          <w:bCs/>
          <w:color w:val="auto"/>
          <w:szCs w:val="21"/>
          <w:highlight w:val="none"/>
        </w:rPr>
        <w:t>人</w:t>
      </w:r>
      <w:r>
        <w:rPr>
          <w:bCs/>
          <w:color w:val="auto"/>
          <w:szCs w:val="21"/>
          <w:highlight w:val="none"/>
        </w:rPr>
        <w:t>）</w:t>
      </w:r>
      <w:r>
        <w:rPr>
          <w:rFonts w:hint="eastAsia"/>
          <w:bCs/>
          <w:color w:val="auto"/>
          <w:szCs w:val="21"/>
          <w:highlight w:val="none"/>
        </w:rPr>
        <w:t>；</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Q</m:t>
            </m:r>
            <m:ctrlPr>
              <w:rPr>
                <w:rFonts w:ascii="Cambria Math" w:hAnsi="Cambria Math"/>
                <w:bCs/>
                <w:color w:val="auto"/>
                <w:szCs w:val="21"/>
                <w:highlight w:val="none"/>
              </w:rPr>
            </m:ctrlPr>
          </m:e>
          <m:sub>
            <m:r>
              <m:rPr>
                <m:sty m:val="p"/>
              </m:rPr>
              <w:rPr>
                <w:rFonts w:hint="eastAsia" w:ascii="Cambria Math" w:hAnsi="Cambria Math"/>
                <w:color w:val="auto"/>
                <w:szCs w:val="21"/>
                <w:highlight w:val="none"/>
              </w:rPr>
              <m:t>s</m:t>
            </m:r>
            <m:ctrlPr>
              <w:rPr>
                <w:rFonts w:ascii="Cambria Math" w:hAnsi="Cambria Math"/>
                <w:bCs/>
                <w:color w:val="auto"/>
                <w:szCs w:val="21"/>
                <w:highlight w:val="none"/>
              </w:rPr>
            </m:ctrlPr>
          </m:sub>
        </m:sSub>
      </m:oMath>
      <w:r>
        <w:rPr>
          <w:rFonts w:hint="eastAsia"/>
          <w:bCs/>
          <w:color w:val="auto"/>
          <w:szCs w:val="21"/>
          <w:highlight w:val="none"/>
        </w:rPr>
        <w:t>——车站客运量</w:t>
      </w:r>
      <w:r>
        <w:rPr>
          <w:bCs/>
          <w:color w:val="auto"/>
          <w:szCs w:val="21"/>
          <w:highlight w:val="none"/>
        </w:rPr>
        <w:t>（</w:t>
      </w:r>
      <w:r>
        <w:rPr>
          <w:rFonts w:hint="eastAsia"/>
          <w:bCs/>
          <w:color w:val="auto"/>
          <w:szCs w:val="21"/>
          <w:highlight w:val="none"/>
        </w:rPr>
        <w:t>人</w:t>
      </w:r>
      <w:r>
        <w:rPr>
          <w:bCs/>
          <w:color w:val="auto"/>
          <w:szCs w:val="21"/>
          <w:highlight w:val="none"/>
        </w:rPr>
        <w:t>）</w:t>
      </w:r>
      <w:r>
        <w:rPr>
          <w:rFonts w:hint="eastAsia"/>
          <w:bCs/>
          <w:color w:val="auto"/>
          <w:szCs w:val="21"/>
          <w:highlight w:val="none"/>
        </w:rPr>
        <w:t>。</w:t>
      </w:r>
    </w:p>
    <w:p>
      <w:pPr>
        <w:spacing w:line="400" w:lineRule="exact"/>
        <w:jc w:val="left"/>
        <w:rPr>
          <w:rFonts w:ascii="黑体" w:eastAsia="黑体"/>
          <w:b/>
          <w:color w:val="auto"/>
          <w:highlight w:val="none"/>
        </w:rPr>
      </w:pPr>
      <w:r>
        <w:rPr>
          <w:rFonts w:ascii="黑体" w:eastAsia="黑体"/>
          <w:b/>
          <w:color w:val="auto"/>
          <w:highlight w:val="none"/>
        </w:rPr>
        <w:t>A.</w:t>
      </w:r>
      <w:r>
        <w:rPr>
          <w:rFonts w:hint="eastAsia" w:ascii="黑体" w:eastAsia="黑体"/>
          <w:b/>
          <w:color w:val="auto"/>
          <w:highlight w:val="none"/>
        </w:rPr>
        <w:t>6</w:t>
      </w:r>
      <w:r>
        <w:rPr>
          <w:rFonts w:ascii="黑体" w:eastAsia="黑体"/>
          <w:b/>
          <w:color w:val="auto"/>
          <w:highlight w:val="none"/>
        </w:rPr>
        <w:t xml:space="preserve">  水计量器具配备率</w:t>
      </w:r>
    </w:p>
    <w:p>
      <w:pPr>
        <w:pStyle w:val="102"/>
        <w:tabs>
          <w:tab w:val="center" w:pos="4201"/>
          <w:tab w:val="right" w:leader="dot" w:pos="9298"/>
        </w:tabs>
        <w:spacing w:line="400" w:lineRule="exact"/>
        <w:ind w:firstLine="420"/>
        <w:jc w:val="left"/>
        <w:rPr>
          <w:rFonts w:ascii="Times New Roman" w:eastAsiaTheme="minorEastAsia"/>
          <w:color w:val="auto"/>
          <w:szCs w:val="21"/>
          <w:highlight w:val="none"/>
        </w:rPr>
      </w:pPr>
      <w:r>
        <w:rPr>
          <w:rFonts w:ascii="Times New Roman" w:eastAsiaTheme="minorEastAsia"/>
          <w:color w:val="auto"/>
          <w:szCs w:val="21"/>
          <w:highlight w:val="none"/>
        </w:rPr>
        <w:t>水计量器具配备率按式（A.</w:t>
      </w:r>
      <w:r>
        <w:rPr>
          <w:rFonts w:hint="eastAsia" w:ascii="Times New Roman" w:eastAsiaTheme="minorEastAsia"/>
          <w:color w:val="auto"/>
          <w:szCs w:val="21"/>
          <w:highlight w:val="none"/>
        </w:rPr>
        <w:t>6</w:t>
      </w:r>
      <w:r>
        <w:rPr>
          <w:rFonts w:ascii="Times New Roman" w:eastAsiaTheme="minorEastAsia"/>
          <w:color w:val="auto"/>
          <w:szCs w:val="21"/>
          <w:highlight w:val="none"/>
        </w:rPr>
        <w:t>）计算：</w:t>
      </w:r>
    </w:p>
    <w:p>
      <w:pPr>
        <w:spacing w:line="360" w:lineRule="auto"/>
        <w:ind w:firstLine="3780" w:firstLineChars="1800"/>
        <w:jc w:val="righ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R</m:t>
            </m:r>
            <m:ctrlPr>
              <w:rPr>
                <w:rFonts w:ascii="Cambria Math" w:hAnsi="Cambria Math"/>
                <w:bCs/>
                <w:color w:val="auto"/>
                <w:szCs w:val="21"/>
                <w:highlight w:val="none"/>
              </w:rPr>
            </m:ctrlPr>
          </m:e>
          <m:sub>
            <m:r>
              <m:rPr/>
              <w:rPr>
                <w:rFonts w:ascii="Cambria Math" w:hAnsi="Cambria Math"/>
                <w:color w:val="auto"/>
                <w:szCs w:val="21"/>
                <w:highlight w:val="none"/>
              </w:rPr>
              <m:t>p</m:t>
            </m:r>
            <m:ctrlPr>
              <w:rPr>
                <w:rFonts w:ascii="Cambria Math" w:hAnsi="Cambria Math"/>
                <w:bCs/>
                <w:color w:val="auto"/>
                <w:szCs w:val="21"/>
                <w:highlight w:val="none"/>
              </w:rPr>
            </m:ctrlPr>
          </m:sub>
        </m:sSub>
        <m:r>
          <m:rPr/>
          <w:rPr>
            <w:rFonts w:ascii="Cambria Math" w:hAnsi="Cambria Math"/>
            <w:color w:val="auto"/>
            <w:szCs w:val="21"/>
            <w:highlight w:val="none"/>
          </w:rPr>
          <m:t>=</m:t>
        </m:r>
        <m:f>
          <m:fPr>
            <m:ctrlPr>
              <w:rPr>
                <w:rFonts w:ascii="Cambria Math" w:hAnsi="Cambria Math"/>
                <w:bCs/>
                <w:color w:val="auto"/>
                <w:szCs w:val="21"/>
                <w:highlight w:val="none"/>
              </w:rPr>
            </m:ctrlPr>
          </m:fPr>
          <m:num>
            <m:sSub>
              <m:sSubPr>
                <m:ctrlPr>
                  <w:rPr>
                    <w:rFonts w:ascii="Cambria Math" w:hAnsi="Cambria Math"/>
                    <w:bCs/>
                    <w:i/>
                    <w:color w:val="auto"/>
                    <w:szCs w:val="21"/>
                    <w:highlight w:val="none"/>
                  </w:rPr>
                </m:ctrlPr>
              </m:sSubPr>
              <m:e>
                <m:r>
                  <m:rPr/>
                  <w:rPr>
                    <w:rFonts w:ascii="Cambria Math" w:hAnsi="Cambria Math"/>
                    <w:color w:val="auto"/>
                    <w:szCs w:val="21"/>
                    <w:highlight w:val="none"/>
                  </w:rPr>
                  <m:t>N</m:t>
                </m:r>
                <m:ctrlPr>
                  <w:rPr>
                    <w:rFonts w:ascii="Cambria Math" w:hAnsi="Cambria Math"/>
                    <w:bCs/>
                    <w:i/>
                    <w:color w:val="auto"/>
                    <w:szCs w:val="21"/>
                    <w:highlight w:val="none"/>
                  </w:rPr>
                </m:ctrlPr>
              </m:e>
              <m:sub>
                <m:r>
                  <m:rPr/>
                  <w:rPr>
                    <w:rFonts w:ascii="Cambria Math" w:hAnsi="Cambria Math"/>
                    <w:color w:val="auto"/>
                    <w:szCs w:val="21"/>
                    <w:highlight w:val="none"/>
                  </w:rPr>
                  <m:t>s</m:t>
                </m:r>
                <m:ctrlPr>
                  <w:rPr>
                    <w:rFonts w:ascii="Cambria Math" w:hAnsi="Cambria Math"/>
                    <w:bCs/>
                    <w:i/>
                    <w:color w:val="auto"/>
                    <w:szCs w:val="21"/>
                    <w:highlight w:val="none"/>
                  </w:rPr>
                </m:ctrlPr>
              </m:sub>
            </m:sSub>
            <m:ctrlPr>
              <w:rPr>
                <w:rFonts w:ascii="Cambria Math" w:hAnsi="Cambria Math"/>
                <w:bCs/>
                <w:color w:val="auto"/>
                <w:szCs w:val="21"/>
                <w:highlight w:val="none"/>
              </w:rPr>
            </m:ctrlPr>
          </m:num>
          <m:den>
            <m:sSub>
              <m:sSubPr>
                <m:ctrlPr>
                  <w:rPr>
                    <w:rFonts w:ascii="Cambria Math" w:hAnsi="Cambria Math"/>
                    <w:bCs/>
                    <w:i/>
                    <w:color w:val="auto"/>
                    <w:szCs w:val="21"/>
                    <w:highlight w:val="none"/>
                  </w:rPr>
                </m:ctrlPr>
              </m:sSubPr>
              <m:e>
                <m:r>
                  <m:rPr/>
                  <w:rPr>
                    <w:rFonts w:ascii="Cambria Math" w:hAnsi="Cambria Math"/>
                    <w:color w:val="auto"/>
                    <w:szCs w:val="21"/>
                    <w:highlight w:val="none"/>
                  </w:rPr>
                  <m:t>N</m:t>
                </m:r>
                <m:ctrlPr>
                  <w:rPr>
                    <w:rFonts w:ascii="Cambria Math" w:hAnsi="Cambria Math"/>
                    <w:bCs/>
                    <w:i/>
                    <w:color w:val="auto"/>
                    <w:szCs w:val="21"/>
                    <w:highlight w:val="none"/>
                  </w:rPr>
                </m:ctrlPr>
              </m:e>
              <m:sub>
                <m:r>
                  <m:rPr/>
                  <w:rPr>
                    <w:rFonts w:ascii="Cambria Math" w:hAnsi="Cambria Math"/>
                    <w:color w:val="auto"/>
                    <w:szCs w:val="21"/>
                    <w:highlight w:val="none"/>
                  </w:rPr>
                  <m:t>I</m:t>
                </m:r>
                <m:ctrlPr>
                  <w:rPr>
                    <w:rFonts w:ascii="Cambria Math" w:hAnsi="Cambria Math"/>
                    <w:bCs/>
                    <w:i/>
                    <w:color w:val="auto"/>
                    <w:szCs w:val="21"/>
                    <w:highlight w:val="none"/>
                  </w:rPr>
                </m:ctrlPr>
              </m:sub>
            </m:sSub>
            <m:ctrlPr>
              <w:rPr>
                <w:rFonts w:ascii="Cambria Math" w:hAnsi="Cambria Math"/>
                <w:bCs/>
                <w:color w:val="auto"/>
                <w:szCs w:val="21"/>
                <w:highlight w:val="none"/>
              </w:rPr>
            </m:ctrlPr>
          </m:den>
        </m:f>
        <m:r>
          <m:rPr/>
          <w:rPr>
            <w:rFonts w:ascii="Cambria Math" w:hAnsi="Cambria Math"/>
            <w:color w:val="auto"/>
            <w:szCs w:val="21"/>
            <w:highlight w:val="none"/>
          </w:rPr>
          <m:t>×100</m:t>
        </m:r>
      </m:oMath>
      <w:r>
        <w:rPr>
          <w:rFonts w:hint="eastAsia"/>
          <w:bCs/>
          <w:color w:val="auto"/>
          <w:szCs w:val="21"/>
          <w:highlight w:val="none"/>
        </w:rPr>
        <w:t>………………………………………（A.6）</w:t>
      </w:r>
    </w:p>
    <w:p>
      <w:pPr>
        <w:spacing w:line="400" w:lineRule="exact"/>
        <w:ind w:firstLine="420" w:firstLineChars="200"/>
        <w:jc w:val="left"/>
        <w:rPr>
          <w:bCs/>
          <w:color w:val="auto"/>
          <w:szCs w:val="21"/>
          <w:highlight w:val="none"/>
        </w:rPr>
      </w:pPr>
      <w:r>
        <w:rPr>
          <w:rFonts w:hint="eastAsia"/>
          <w:bCs/>
          <w:color w:val="auto"/>
          <w:szCs w:val="21"/>
          <w:highlight w:val="none"/>
        </w:rPr>
        <w:t>式中：</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R</m:t>
            </m:r>
            <m:ctrlPr>
              <w:rPr>
                <w:rFonts w:ascii="Cambria Math" w:hAnsi="Cambria Math"/>
                <w:bCs/>
                <w:color w:val="auto"/>
                <w:szCs w:val="21"/>
                <w:highlight w:val="none"/>
              </w:rPr>
            </m:ctrlPr>
          </m:e>
          <m:sub>
            <m:r>
              <m:rPr/>
              <w:rPr>
                <w:rFonts w:ascii="Cambria Math" w:hAnsi="Cambria Math"/>
                <w:color w:val="auto"/>
                <w:szCs w:val="21"/>
                <w:highlight w:val="none"/>
              </w:rPr>
              <m:t>p</m:t>
            </m:r>
            <m:ctrlPr>
              <w:rPr>
                <w:rFonts w:ascii="Cambria Math" w:hAnsi="Cambria Math"/>
                <w:bCs/>
                <w:color w:val="auto"/>
                <w:szCs w:val="21"/>
                <w:highlight w:val="none"/>
              </w:rPr>
            </m:ctrlPr>
          </m:sub>
        </m:sSub>
      </m:oMath>
      <w:r>
        <w:rPr>
          <w:rFonts w:hint="eastAsia"/>
          <w:bCs/>
          <w:color w:val="auto"/>
          <w:szCs w:val="21"/>
          <w:highlight w:val="none"/>
        </w:rPr>
        <w:t>——水计量</w:t>
      </w:r>
      <w:r>
        <w:rPr>
          <w:bCs/>
          <w:color w:val="auto"/>
          <w:szCs w:val="21"/>
          <w:highlight w:val="none"/>
        </w:rPr>
        <w:t>器具</w:t>
      </w:r>
      <w:r>
        <w:rPr>
          <w:rFonts w:hint="eastAsia"/>
          <w:bCs/>
          <w:color w:val="auto"/>
          <w:szCs w:val="21"/>
          <w:highlight w:val="none"/>
        </w:rPr>
        <w:t>配备率</w:t>
      </w:r>
      <w:r>
        <w:rPr>
          <w:bCs/>
          <w:color w:val="auto"/>
          <w:szCs w:val="21"/>
          <w:highlight w:val="none"/>
        </w:rPr>
        <w:t>（</w:t>
      </w:r>
      <w:r>
        <w:rPr>
          <w:rFonts w:hint="eastAsia"/>
          <w:bCs/>
          <w:color w:val="auto"/>
          <w:szCs w:val="21"/>
          <w:highlight w:val="none"/>
        </w:rPr>
        <w:t>%</w:t>
      </w:r>
      <w:r>
        <w:rPr>
          <w:bCs/>
          <w:color w:val="auto"/>
          <w:szCs w:val="21"/>
          <w:highlight w:val="none"/>
        </w:rPr>
        <w:t>）</w:t>
      </w:r>
      <w:r>
        <w:rPr>
          <w:rFonts w:hint="eastAsia"/>
          <w:bCs/>
          <w:color w:val="auto"/>
          <w:szCs w:val="21"/>
          <w:highlight w:val="none"/>
        </w:rPr>
        <w:t>；</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N</m:t>
            </m:r>
            <m:ctrlPr>
              <w:rPr>
                <w:rFonts w:ascii="Cambria Math" w:hAnsi="Cambria Math"/>
                <w:bCs/>
                <w:color w:val="auto"/>
                <w:szCs w:val="21"/>
                <w:highlight w:val="none"/>
              </w:rPr>
            </m:ctrlPr>
          </m:e>
          <m:sub>
            <m:r>
              <m:rPr/>
              <w:rPr>
                <w:rFonts w:ascii="Cambria Math" w:hAnsi="Cambria Math"/>
                <w:color w:val="auto"/>
                <w:szCs w:val="21"/>
                <w:highlight w:val="none"/>
              </w:rPr>
              <m:t>s</m:t>
            </m:r>
            <m:ctrlPr>
              <w:rPr>
                <w:rFonts w:ascii="Cambria Math" w:hAnsi="Cambria Math"/>
                <w:bCs/>
                <w:color w:val="auto"/>
                <w:szCs w:val="21"/>
                <w:highlight w:val="none"/>
              </w:rPr>
            </m:ctrlPr>
          </m:sub>
        </m:sSub>
      </m:oMath>
      <w:r>
        <w:rPr>
          <w:rFonts w:hint="eastAsia"/>
          <w:bCs/>
          <w:color w:val="auto"/>
          <w:szCs w:val="21"/>
          <w:highlight w:val="none"/>
        </w:rPr>
        <w:t>——某</w:t>
      </w:r>
      <w:r>
        <w:rPr>
          <w:bCs/>
          <w:color w:val="auto"/>
          <w:szCs w:val="21"/>
          <w:highlight w:val="none"/>
        </w:rPr>
        <w:t>计量</w:t>
      </w:r>
      <w:r>
        <w:rPr>
          <w:rFonts w:hint="eastAsia"/>
          <w:bCs/>
          <w:color w:val="auto"/>
          <w:szCs w:val="21"/>
          <w:highlight w:val="none"/>
        </w:rPr>
        <w:t>层次</w:t>
      </w:r>
      <w:r>
        <w:rPr>
          <w:bCs/>
          <w:color w:val="auto"/>
          <w:szCs w:val="21"/>
          <w:highlight w:val="none"/>
        </w:rPr>
        <w:t>实际</w:t>
      </w:r>
      <w:r>
        <w:rPr>
          <w:rFonts w:hint="eastAsia"/>
          <w:bCs/>
          <w:color w:val="auto"/>
          <w:szCs w:val="21"/>
          <w:highlight w:val="none"/>
        </w:rPr>
        <w:t>安装</w:t>
      </w:r>
      <w:r>
        <w:rPr>
          <w:bCs/>
          <w:color w:val="auto"/>
          <w:szCs w:val="21"/>
          <w:highlight w:val="none"/>
        </w:rPr>
        <w:t>配备的水计量器具</w:t>
      </w:r>
      <w:r>
        <w:rPr>
          <w:rFonts w:hint="eastAsia"/>
          <w:bCs/>
          <w:color w:val="auto"/>
          <w:szCs w:val="21"/>
          <w:highlight w:val="none"/>
        </w:rPr>
        <w:t>数量</w:t>
      </w:r>
      <w:r>
        <w:rPr>
          <w:bCs/>
          <w:color w:val="auto"/>
          <w:szCs w:val="21"/>
          <w:highlight w:val="none"/>
        </w:rPr>
        <w:t>（</w:t>
      </w:r>
      <w:r>
        <w:rPr>
          <w:rFonts w:hint="eastAsia"/>
          <w:bCs/>
          <w:color w:val="auto"/>
          <w:szCs w:val="21"/>
          <w:highlight w:val="none"/>
        </w:rPr>
        <w:t>件</w:t>
      </w:r>
      <w:r>
        <w:rPr>
          <w:bCs/>
          <w:color w:val="auto"/>
          <w:szCs w:val="21"/>
          <w:highlight w:val="none"/>
        </w:rPr>
        <w:t>）</w:t>
      </w:r>
      <w:r>
        <w:rPr>
          <w:rFonts w:hint="eastAsia"/>
          <w:bCs/>
          <w:color w:val="auto"/>
          <w:szCs w:val="21"/>
          <w:highlight w:val="none"/>
        </w:rPr>
        <w:t>；</w:t>
      </w:r>
    </w:p>
    <w:p>
      <w:pPr>
        <w:spacing w:line="400" w:lineRule="exact"/>
        <w:ind w:firstLine="420" w:firstLineChars="200"/>
        <w:jc w:val="left"/>
        <w:rPr>
          <w:color w:val="auto"/>
          <w:szCs w:val="21"/>
          <w:highlight w:val="none"/>
        </w:rPr>
      </w:pPr>
      <m:oMath>
        <m:sSub>
          <m:sSubPr>
            <m:ctrlPr>
              <w:rPr>
                <w:rFonts w:ascii="Cambria Math" w:hAnsi="Cambria Math"/>
                <w:bCs/>
                <w:i/>
                <w:color w:val="auto"/>
                <w:szCs w:val="21"/>
                <w:highlight w:val="none"/>
              </w:rPr>
            </m:ctrlPr>
          </m:sSubPr>
          <m:e>
            <m:r>
              <m:rPr/>
              <w:rPr>
                <w:rFonts w:ascii="Cambria Math" w:hAnsi="Cambria Math"/>
                <w:color w:val="auto"/>
                <w:szCs w:val="21"/>
                <w:highlight w:val="none"/>
              </w:rPr>
              <m:t>N</m:t>
            </m:r>
            <m:ctrlPr>
              <w:rPr>
                <w:rFonts w:ascii="Cambria Math" w:hAnsi="Cambria Math"/>
                <w:bCs/>
                <w:i/>
                <w:color w:val="auto"/>
                <w:szCs w:val="21"/>
                <w:highlight w:val="none"/>
              </w:rPr>
            </m:ctrlPr>
          </m:e>
          <m:sub>
            <m:r>
              <m:rPr/>
              <w:rPr>
                <w:rFonts w:ascii="Cambria Math" w:hAnsi="Cambria Math"/>
                <w:color w:val="auto"/>
                <w:szCs w:val="21"/>
                <w:highlight w:val="none"/>
              </w:rPr>
              <m:t>I</m:t>
            </m:r>
            <m:ctrlPr>
              <w:rPr>
                <w:rFonts w:ascii="Cambria Math" w:hAnsi="Cambria Math"/>
                <w:bCs/>
                <w:i/>
                <w:color w:val="auto"/>
                <w:szCs w:val="21"/>
                <w:highlight w:val="none"/>
              </w:rPr>
            </m:ctrlPr>
          </m:sub>
        </m:sSub>
      </m:oMath>
      <w:r>
        <w:rPr>
          <w:rFonts w:hint="eastAsia"/>
          <w:bCs/>
          <w:color w:val="auto"/>
          <w:szCs w:val="21"/>
          <w:highlight w:val="none"/>
        </w:rPr>
        <w:t>——某</w:t>
      </w:r>
      <w:r>
        <w:rPr>
          <w:bCs/>
          <w:color w:val="auto"/>
          <w:szCs w:val="21"/>
          <w:highlight w:val="none"/>
        </w:rPr>
        <w:t>计量</w:t>
      </w:r>
      <w:r>
        <w:rPr>
          <w:rFonts w:hint="eastAsia"/>
          <w:bCs/>
          <w:color w:val="auto"/>
          <w:szCs w:val="21"/>
          <w:highlight w:val="none"/>
        </w:rPr>
        <w:t>层次测量</w:t>
      </w:r>
      <w:r>
        <w:rPr>
          <w:bCs/>
          <w:color w:val="auto"/>
          <w:szCs w:val="21"/>
          <w:highlight w:val="none"/>
        </w:rPr>
        <w:t>全部</w:t>
      </w:r>
      <w:r>
        <w:rPr>
          <w:rFonts w:hint="eastAsia"/>
          <w:bCs/>
          <w:color w:val="auto"/>
          <w:szCs w:val="21"/>
          <w:highlight w:val="none"/>
        </w:rPr>
        <w:t>水量</w:t>
      </w:r>
      <w:r>
        <w:rPr>
          <w:bCs/>
          <w:color w:val="auto"/>
          <w:szCs w:val="21"/>
          <w:highlight w:val="none"/>
        </w:rPr>
        <w:t>所需配备的水计量器具</w:t>
      </w:r>
      <w:r>
        <w:rPr>
          <w:rFonts w:hint="eastAsia"/>
          <w:bCs/>
          <w:color w:val="auto"/>
          <w:szCs w:val="21"/>
          <w:highlight w:val="none"/>
        </w:rPr>
        <w:t>数量（件）。</w:t>
      </w:r>
    </w:p>
    <w:p>
      <w:pPr>
        <w:pStyle w:val="102"/>
        <w:tabs>
          <w:tab w:val="center" w:pos="4201"/>
          <w:tab w:val="right" w:leader="dot" w:pos="9298"/>
        </w:tabs>
        <w:spacing w:line="400" w:lineRule="exact"/>
        <w:ind w:firstLine="360"/>
        <w:rPr>
          <w:rFonts w:ascii="Times New Roman" w:eastAsiaTheme="minorEastAsia"/>
          <w:color w:val="auto"/>
          <w:sz w:val="18"/>
          <w:szCs w:val="21"/>
          <w:highlight w:val="none"/>
        </w:rPr>
      </w:pPr>
      <w:r>
        <w:rPr>
          <w:rFonts w:hint="eastAsia" w:ascii="黑体" w:hAnsi="黑体" w:eastAsia="黑体"/>
          <w:color w:val="auto"/>
          <w:sz w:val="18"/>
          <w:szCs w:val="21"/>
          <w:highlight w:val="none"/>
        </w:rPr>
        <w:t>注</w:t>
      </w:r>
      <w:r>
        <w:rPr>
          <w:rFonts w:hint="eastAsia" w:ascii="Times New Roman" w:eastAsiaTheme="minorEastAsia"/>
          <w:color w:val="auto"/>
          <w:sz w:val="18"/>
          <w:szCs w:val="21"/>
          <w:highlight w:val="none"/>
        </w:rPr>
        <w:t>：</w:t>
      </w:r>
      <w:r>
        <w:rPr>
          <w:rFonts w:ascii="Times New Roman" w:eastAsiaTheme="minorEastAsia"/>
          <w:color w:val="auto"/>
          <w:sz w:val="18"/>
          <w:szCs w:val="21"/>
          <w:highlight w:val="none"/>
        </w:rPr>
        <w:t>计量</w:t>
      </w:r>
      <w:r>
        <w:rPr>
          <w:rFonts w:hint="eastAsia" w:ascii="Times New Roman" w:eastAsiaTheme="minorEastAsia"/>
          <w:color w:val="auto"/>
          <w:sz w:val="18"/>
          <w:szCs w:val="21"/>
          <w:highlight w:val="none"/>
        </w:rPr>
        <w:t>级别有用水单位（一级）、建筑/功能区域（二级）、</w:t>
      </w:r>
      <w:r>
        <w:rPr>
          <w:rFonts w:ascii="Times New Roman" w:eastAsiaTheme="minorEastAsia"/>
          <w:color w:val="auto"/>
          <w:sz w:val="18"/>
          <w:szCs w:val="21"/>
          <w:highlight w:val="none"/>
        </w:rPr>
        <w:t>主要用水设备</w:t>
      </w:r>
      <w:r>
        <w:rPr>
          <w:rFonts w:hint="eastAsia" w:ascii="Times New Roman" w:eastAsiaTheme="minorEastAsia"/>
          <w:color w:val="auto"/>
          <w:sz w:val="18"/>
          <w:szCs w:val="21"/>
          <w:highlight w:val="none"/>
        </w:rPr>
        <w:t>或系统（三级）。</w:t>
      </w:r>
    </w:p>
    <w:p>
      <w:pPr>
        <w:spacing w:line="400" w:lineRule="exact"/>
        <w:jc w:val="left"/>
        <w:rPr>
          <w:rFonts w:ascii="黑体" w:eastAsia="黑体"/>
          <w:b/>
          <w:color w:val="auto"/>
          <w:highlight w:val="none"/>
        </w:rPr>
      </w:pPr>
      <w:r>
        <w:rPr>
          <w:rFonts w:ascii="黑体" w:eastAsia="黑体"/>
          <w:b/>
          <w:color w:val="auto"/>
          <w:highlight w:val="none"/>
        </w:rPr>
        <w:t>A.</w:t>
      </w:r>
      <w:r>
        <w:rPr>
          <w:rFonts w:hint="eastAsia" w:ascii="黑体" w:eastAsia="黑体"/>
          <w:b/>
          <w:color w:val="auto"/>
          <w:highlight w:val="none"/>
        </w:rPr>
        <w:t>7</w:t>
      </w:r>
      <w:r>
        <w:rPr>
          <w:rFonts w:ascii="黑体" w:eastAsia="黑体"/>
          <w:b/>
          <w:color w:val="auto"/>
          <w:highlight w:val="none"/>
        </w:rPr>
        <w:t xml:space="preserve">  节水器具普及率</w:t>
      </w:r>
    </w:p>
    <w:p>
      <w:pPr>
        <w:pStyle w:val="102"/>
        <w:tabs>
          <w:tab w:val="center" w:pos="4201"/>
          <w:tab w:val="right" w:leader="dot" w:pos="9298"/>
        </w:tabs>
        <w:spacing w:line="400" w:lineRule="exact"/>
        <w:ind w:firstLine="420"/>
        <w:jc w:val="left"/>
        <w:rPr>
          <w:rFonts w:ascii="Times New Roman" w:eastAsiaTheme="minorEastAsia"/>
          <w:color w:val="auto"/>
          <w:szCs w:val="21"/>
          <w:highlight w:val="none"/>
        </w:rPr>
      </w:pPr>
      <w:r>
        <w:rPr>
          <w:rFonts w:ascii="Times New Roman" w:eastAsiaTheme="minorEastAsia"/>
          <w:color w:val="auto"/>
          <w:szCs w:val="21"/>
          <w:highlight w:val="none"/>
        </w:rPr>
        <w:t>节水器具普及率按式（A.</w:t>
      </w:r>
      <w:r>
        <w:rPr>
          <w:rFonts w:hint="eastAsia" w:ascii="Times New Roman" w:eastAsiaTheme="minorEastAsia"/>
          <w:color w:val="auto"/>
          <w:szCs w:val="21"/>
          <w:highlight w:val="none"/>
        </w:rPr>
        <w:t>7</w:t>
      </w:r>
      <w:r>
        <w:rPr>
          <w:rFonts w:ascii="Times New Roman" w:eastAsiaTheme="minorEastAsia"/>
          <w:color w:val="auto"/>
          <w:szCs w:val="21"/>
          <w:highlight w:val="none"/>
        </w:rPr>
        <w:t>）计算：</w:t>
      </w:r>
    </w:p>
    <w:p>
      <w:pPr>
        <w:spacing w:line="360" w:lineRule="auto"/>
        <w:ind w:firstLine="3780" w:firstLineChars="1800"/>
        <w:jc w:val="righ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η</m:t>
            </m:r>
            <m:ctrlPr>
              <w:rPr>
                <w:rFonts w:ascii="Cambria Math" w:hAnsi="Cambria Math"/>
                <w:bCs/>
                <w:color w:val="auto"/>
                <w:szCs w:val="21"/>
                <w:highlight w:val="none"/>
              </w:rPr>
            </m:ctrlPr>
          </m:e>
          <m:sub>
            <m:r>
              <m:rPr/>
              <w:rPr>
                <w:rFonts w:ascii="Cambria Math" w:hAnsi="Cambria Math"/>
                <w:color w:val="auto"/>
                <w:szCs w:val="21"/>
                <w:highlight w:val="none"/>
              </w:rPr>
              <m:t>s</m:t>
            </m:r>
            <m:ctrlPr>
              <w:rPr>
                <w:rFonts w:ascii="Cambria Math" w:hAnsi="Cambria Math"/>
                <w:bCs/>
                <w:color w:val="auto"/>
                <w:szCs w:val="21"/>
                <w:highlight w:val="none"/>
              </w:rPr>
            </m:ctrlPr>
          </m:sub>
        </m:sSub>
        <m:r>
          <m:rPr/>
          <w:rPr>
            <w:rFonts w:ascii="Cambria Math" w:hAnsi="Cambria Math"/>
            <w:color w:val="auto"/>
            <w:szCs w:val="21"/>
            <w:highlight w:val="none"/>
          </w:rPr>
          <m:t>=</m:t>
        </m:r>
        <m:f>
          <m:fPr>
            <m:ctrlPr>
              <w:rPr>
                <w:rFonts w:ascii="Cambria Math" w:hAnsi="Cambria Math"/>
                <w:bCs/>
                <w:color w:val="auto"/>
                <w:szCs w:val="21"/>
                <w:highlight w:val="none"/>
              </w:rPr>
            </m:ctrlPr>
          </m:fPr>
          <m:num>
            <m:sSub>
              <m:sSubPr>
                <m:ctrlPr>
                  <w:rPr>
                    <w:rFonts w:ascii="Cambria Math" w:hAnsi="Cambria Math"/>
                    <w:bCs/>
                    <w:i/>
                    <w:color w:val="auto"/>
                    <w:szCs w:val="21"/>
                    <w:highlight w:val="none"/>
                  </w:rPr>
                </m:ctrlPr>
              </m:sSubPr>
              <m:e>
                <m:r>
                  <m:rPr/>
                  <w:rPr>
                    <w:rFonts w:ascii="Cambria Math" w:hAnsi="Cambria Math"/>
                    <w:color w:val="auto"/>
                    <w:szCs w:val="21"/>
                    <w:highlight w:val="none"/>
                  </w:rPr>
                  <m:t>N</m:t>
                </m:r>
                <m:ctrlPr>
                  <w:rPr>
                    <w:rFonts w:ascii="Cambria Math" w:hAnsi="Cambria Math"/>
                    <w:bCs/>
                    <w:i/>
                    <w:color w:val="auto"/>
                    <w:szCs w:val="21"/>
                    <w:highlight w:val="none"/>
                  </w:rPr>
                </m:ctrlPr>
              </m:e>
              <m:sub>
                <m:r>
                  <m:rPr/>
                  <w:rPr>
                    <w:rFonts w:ascii="Cambria Math" w:hAnsi="Cambria Math"/>
                    <w:color w:val="auto"/>
                    <w:szCs w:val="21"/>
                    <w:highlight w:val="none"/>
                  </w:rPr>
                  <m:t>s</m:t>
                </m:r>
                <m:ctrlPr>
                  <w:rPr>
                    <w:rFonts w:ascii="Cambria Math" w:hAnsi="Cambria Math"/>
                    <w:bCs/>
                    <w:i/>
                    <w:color w:val="auto"/>
                    <w:szCs w:val="21"/>
                    <w:highlight w:val="none"/>
                  </w:rPr>
                </m:ctrlPr>
              </m:sub>
            </m:sSub>
            <m:ctrlPr>
              <w:rPr>
                <w:rFonts w:ascii="Cambria Math" w:hAnsi="Cambria Math"/>
                <w:bCs/>
                <w:color w:val="auto"/>
                <w:szCs w:val="21"/>
                <w:highlight w:val="none"/>
              </w:rPr>
            </m:ctrlPr>
          </m:num>
          <m:den>
            <m:r>
              <m:rPr/>
              <w:rPr>
                <w:rFonts w:ascii="Cambria Math" w:hAnsi="Cambria Math"/>
                <w:color w:val="auto"/>
                <w:szCs w:val="21"/>
                <w:highlight w:val="none"/>
              </w:rPr>
              <m:t>N</m:t>
            </m:r>
            <m:ctrlPr>
              <w:rPr>
                <w:rFonts w:ascii="Cambria Math" w:hAnsi="Cambria Math"/>
                <w:bCs/>
                <w:color w:val="auto"/>
                <w:szCs w:val="21"/>
                <w:highlight w:val="none"/>
              </w:rPr>
            </m:ctrlPr>
          </m:den>
        </m:f>
        <m:r>
          <m:rPr/>
          <w:rPr>
            <w:rFonts w:ascii="Cambria Math" w:hAnsi="Cambria Math"/>
            <w:color w:val="auto"/>
            <w:szCs w:val="21"/>
            <w:highlight w:val="none"/>
          </w:rPr>
          <m:t>×100</m:t>
        </m:r>
      </m:oMath>
      <w:r>
        <w:rPr>
          <w:rFonts w:hint="eastAsia"/>
          <w:bCs/>
          <w:color w:val="auto"/>
          <w:szCs w:val="21"/>
          <w:highlight w:val="none"/>
        </w:rPr>
        <w:t>………………………………………（A.7）</w:t>
      </w:r>
    </w:p>
    <w:p>
      <w:pPr>
        <w:spacing w:line="400" w:lineRule="exact"/>
        <w:ind w:firstLine="420" w:firstLineChars="200"/>
        <w:jc w:val="left"/>
        <w:rPr>
          <w:bCs/>
          <w:color w:val="auto"/>
          <w:szCs w:val="21"/>
          <w:highlight w:val="none"/>
        </w:rPr>
      </w:pPr>
      <w:r>
        <w:rPr>
          <w:rFonts w:hint="eastAsia"/>
          <w:bCs/>
          <w:color w:val="auto"/>
          <w:szCs w:val="21"/>
          <w:highlight w:val="none"/>
        </w:rPr>
        <w:t>式中：</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η</m:t>
            </m:r>
            <m:ctrlPr>
              <w:rPr>
                <w:rFonts w:ascii="Cambria Math" w:hAnsi="Cambria Math"/>
                <w:bCs/>
                <w:color w:val="auto"/>
                <w:szCs w:val="21"/>
                <w:highlight w:val="none"/>
              </w:rPr>
            </m:ctrlPr>
          </m:e>
          <m:sub>
            <m:r>
              <m:rPr/>
              <w:rPr>
                <w:rFonts w:ascii="Cambria Math" w:hAnsi="Cambria Math"/>
                <w:color w:val="auto"/>
                <w:szCs w:val="21"/>
                <w:highlight w:val="none"/>
              </w:rPr>
              <m:t>s</m:t>
            </m:r>
            <m:ctrlPr>
              <w:rPr>
                <w:rFonts w:ascii="Cambria Math" w:hAnsi="Cambria Math"/>
                <w:bCs/>
                <w:color w:val="auto"/>
                <w:szCs w:val="21"/>
                <w:highlight w:val="none"/>
              </w:rPr>
            </m:ctrlPr>
          </m:sub>
        </m:sSub>
      </m:oMath>
      <w:r>
        <w:rPr>
          <w:rFonts w:hint="eastAsia"/>
          <w:bCs/>
          <w:color w:val="auto"/>
          <w:szCs w:val="21"/>
          <w:highlight w:val="none"/>
        </w:rPr>
        <w:t>——节水</w:t>
      </w:r>
      <w:r>
        <w:rPr>
          <w:bCs/>
          <w:color w:val="auto"/>
          <w:szCs w:val="21"/>
          <w:highlight w:val="none"/>
        </w:rPr>
        <w:t>器具普及率（</w:t>
      </w:r>
      <w:r>
        <w:rPr>
          <w:rFonts w:hint="eastAsia"/>
          <w:bCs/>
          <w:color w:val="auto"/>
          <w:szCs w:val="21"/>
          <w:highlight w:val="none"/>
        </w:rPr>
        <w:t>%</w:t>
      </w:r>
      <w:r>
        <w:rPr>
          <w:bCs/>
          <w:color w:val="auto"/>
          <w:szCs w:val="21"/>
          <w:highlight w:val="none"/>
        </w:rPr>
        <w:t>）</w:t>
      </w:r>
      <w:r>
        <w:rPr>
          <w:rFonts w:hint="eastAsia"/>
          <w:bCs/>
          <w:color w:val="auto"/>
          <w:szCs w:val="21"/>
          <w:highlight w:val="none"/>
        </w:rPr>
        <w:t>；</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N</m:t>
            </m:r>
            <m:ctrlPr>
              <w:rPr>
                <w:rFonts w:ascii="Cambria Math" w:hAnsi="Cambria Math"/>
                <w:bCs/>
                <w:color w:val="auto"/>
                <w:szCs w:val="21"/>
                <w:highlight w:val="none"/>
              </w:rPr>
            </m:ctrlPr>
          </m:e>
          <m:sub>
            <m:r>
              <m:rPr/>
              <w:rPr>
                <w:rFonts w:ascii="Cambria Math" w:hAnsi="Cambria Math"/>
                <w:color w:val="auto"/>
                <w:szCs w:val="21"/>
                <w:highlight w:val="none"/>
              </w:rPr>
              <m:t>s</m:t>
            </m:r>
            <m:ctrlPr>
              <w:rPr>
                <w:rFonts w:ascii="Cambria Math" w:hAnsi="Cambria Math"/>
                <w:bCs/>
                <w:color w:val="auto"/>
                <w:szCs w:val="21"/>
                <w:highlight w:val="none"/>
              </w:rPr>
            </m:ctrlPr>
          </m:sub>
        </m:sSub>
      </m:oMath>
      <w:r>
        <w:rPr>
          <w:rFonts w:hint="eastAsia"/>
          <w:bCs/>
          <w:color w:val="auto"/>
          <w:szCs w:val="21"/>
          <w:highlight w:val="none"/>
        </w:rPr>
        <w:t>——</w:t>
      </w:r>
      <w:r>
        <w:rPr>
          <w:bCs/>
          <w:color w:val="auto"/>
          <w:szCs w:val="21"/>
          <w:highlight w:val="none"/>
        </w:rPr>
        <w:t>实际安装</w:t>
      </w:r>
      <w:r>
        <w:rPr>
          <w:rFonts w:hint="eastAsia"/>
          <w:bCs/>
          <w:color w:val="auto"/>
          <w:szCs w:val="21"/>
          <w:highlight w:val="none"/>
        </w:rPr>
        <w:t>使用</w:t>
      </w:r>
      <w:r>
        <w:rPr>
          <w:bCs/>
          <w:color w:val="auto"/>
          <w:szCs w:val="21"/>
          <w:highlight w:val="none"/>
        </w:rPr>
        <w:t>的节水型器具数量（</w:t>
      </w:r>
      <w:r>
        <w:rPr>
          <w:rFonts w:hint="eastAsia"/>
          <w:bCs/>
          <w:color w:val="auto"/>
          <w:szCs w:val="21"/>
          <w:highlight w:val="none"/>
        </w:rPr>
        <w:t>件</w:t>
      </w:r>
      <w:r>
        <w:rPr>
          <w:bCs/>
          <w:color w:val="auto"/>
          <w:szCs w:val="21"/>
          <w:highlight w:val="none"/>
        </w:rPr>
        <w:t>）</w:t>
      </w:r>
      <w:r>
        <w:rPr>
          <w:rFonts w:hint="eastAsia"/>
          <w:bCs/>
          <w:color w:val="auto"/>
          <w:szCs w:val="21"/>
          <w:highlight w:val="none"/>
        </w:rPr>
        <w:t>；</w:t>
      </w:r>
    </w:p>
    <w:p>
      <w:pPr>
        <w:spacing w:line="400" w:lineRule="exact"/>
        <w:ind w:firstLine="420" w:firstLineChars="200"/>
        <w:jc w:val="left"/>
        <w:rPr>
          <w:rFonts w:eastAsiaTheme="minorEastAsia"/>
          <w:color w:val="auto"/>
          <w:szCs w:val="21"/>
          <w:highlight w:val="none"/>
        </w:rPr>
      </w:pPr>
      <m:oMath>
        <m:r>
          <m:rPr/>
          <w:rPr>
            <w:rFonts w:ascii="Cambria Math" w:hAnsi="Cambria Math"/>
            <w:color w:val="auto"/>
            <w:szCs w:val="21"/>
            <w:highlight w:val="none"/>
          </w:rPr>
          <m:t>N</m:t>
        </m:r>
      </m:oMath>
      <w:r>
        <w:rPr>
          <w:rFonts w:hint="eastAsia"/>
          <w:bCs/>
          <w:color w:val="auto"/>
          <w:szCs w:val="21"/>
          <w:highlight w:val="none"/>
        </w:rPr>
        <w:t>——</w:t>
      </w:r>
      <w:r>
        <w:rPr>
          <w:bCs/>
          <w:color w:val="auto"/>
          <w:szCs w:val="21"/>
          <w:highlight w:val="none"/>
        </w:rPr>
        <w:t>实际使用的总用水器具</w:t>
      </w:r>
      <w:r>
        <w:rPr>
          <w:rFonts w:hint="eastAsia"/>
          <w:bCs/>
          <w:color w:val="auto"/>
          <w:szCs w:val="21"/>
          <w:highlight w:val="none"/>
        </w:rPr>
        <w:t>数量（件）。</w:t>
      </w:r>
    </w:p>
    <w:p>
      <w:pPr>
        <w:spacing w:line="400" w:lineRule="exact"/>
        <w:jc w:val="left"/>
        <w:rPr>
          <w:b/>
          <w:color w:val="auto"/>
          <w:highlight w:val="none"/>
        </w:rPr>
      </w:pPr>
      <w:r>
        <w:rPr>
          <w:rFonts w:ascii="黑体" w:eastAsia="黑体"/>
          <w:b/>
          <w:color w:val="auto"/>
          <w:highlight w:val="none"/>
        </w:rPr>
        <w:t>A</w:t>
      </w:r>
      <w:r>
        <w:rPr>
          <w:rFonts w:hint="eastAsia" w:ascii="黑体" w:eastAsia="黑体"/>
          <w:b/>
          <w:color w:val="auto"/>
          <w:highlight w:val="none"/>
        </w:rPr>
        <w:t>.8</w:t>
      </w:r>
      <w:r>
        <w:rPr>
          <w:rFonts w:hint="eastAsia"/>
          <w:b/>
          <w:color w:val="auto"/>
          <w:highlight w:val="none"/>
        </w:rPr>
        <w:t xml:space="preserve">  中央空调冷却补水率</w:t>
      </w:r>
    </w:p>
    <w:p>
      <w:pPr>
        <w:spacing w:line="400" w:lineRule="exact"/>
        <w:ind w:firstLine="420" w:firstLineChars="200"/>
        <w:jc w:val="left"/>
        <w:rPr>
          <w:bCs/>
          <w:color w:val="auto"/>
          <w:highlight w:val="none"/>
        </w:rPr>
      </w:pPr>
      <w:r>
        <w:rPr>
          <w:rFonts w:hint="eastAsia"/>
          <w:bCs/>
          <w:color w:val="auto"/>
          <w:highlight w:val="none"/>
        </w:rPr>
        <w:t>中央空调冷却补水率按式（A</w:t>
      </w:r>
      <w:r>
        <w:rPr>
          <w:bCs/>
          <w:color w:val="auto"/>
          <w:highlight w:val="none"/>
        </w:rPr>
        <w:t>.</w:t>
      </w:r>
      <w:r>
        <w:rPr>
          <w:rFonts w:hint="eastAsia"/>
          <w:bCs/>
          <w:color w:val="auto"/>
          <w:highlight w:val="none"/>
        </w:rPr>
        <w:t>8）计算：</w:t>
      </w:r>
    </w:p>
    <w:p>
      <w:pPr>
        <w:spacing w:line="400" w:lineRule="exact"/>
        <w:ind w:firstLine="3780" w:firstLineChars="1800"/>
        <w:jc w:val="righ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η</m:t>
            </m:r>
            <m:ctrlPr>
              <w:rPr>
                <w:rFonts w:ascii="Cambria Math" w:hAnsi="Cambria Math"/>
                <w:bCs/>
                <w:color w:val="auto"/>
                <w:szCs w:val="21"/>
                <w:highlight w:val="none"/>
              </w:rPr>
            </m:ctrlPr>
          </m:e>
          <m:sub>
            <m:r>
              <m:rPr/>
              <w:rPr>
                <w:rFonts w:ascii="Cambria Math" w:hAnsi="Cambria Math"/>
                <w:color w:val="auto"/>
                <w:szCs w:val="21"/>
                <w:highlight w:val="none"/>
              </w:rPr>
              <m:t>b</m:t>
            </m:r>
            <m:ctrlPr>
              <w:rPr>
                <w:rFonts w:ascii="Cambria Math" w:hAnsi="Cambria Math"/>
                <w:bCs/>
                <w:color w:val="auto"/>
                <w:szCs w:val="21"/>
                <w:highlight w:val="none"/>
              </w:rPr>
            </m:ctrlPr>
          </m:sub>
        </m:sSub>
        <m:r>
          <m:rPr/>
          <w:rPr>
            <w:rFonts w:ascii="Cambria Math" w:hAnsi="Cambria Math"/>
            <w:color w:val="auto"/>
            <w:szCs w:val="21"/>
            <w:highlight w:val="none"/>
          </w:rPr>
          <m:t>=</m:t>
        </m:r>
        <m:f>
          <m:fPr>
            <m:ctrlPr>
              <w:rPr>
                <w:rFonts w:ascii="Cambria Math" w:hAnsi="Cambria Math"/>
                <w:i/>
                <w:color w:val="auto"/>
                <w:szCs w:val="21"/>
                <w:highlight w:val="none"/>
              </w:rPr>
            </m:ctrlPr>
          </m:fPr>
          <m:num>
            <m:r>
              <m:rPr/>
              <w:rPr>
                <w:rFonts w:ascii="Cambria Math" w:hAnsi="Cambria Math"/>
                <w:color w:val="auto"/>
                <w:szCs w:val="21"/>
                <w:highlight w:val="none"/>
              </w:rPr>
              <m:t>Qb</m:t>
            </m:r>
            <m:ctrlPr>
              <w:rPr>
                <w:rFonts w:ascii="Cambria Math" w:hAnsi="Cambria Math"/>
                <w:i/>
                <w:color w:val="auto"/>
                <w:szCs w:val="21"/>
                <w:highlight w:val="none"/>
              </w:rPr>
            </m:ctrlPr>
          </m:num>
          <m:den>
            <m:r>
              <m:rPr/>
              <w:rPr>
                <w:rFonts w:ascii="Cambria Math" w:hAnsi="Cambria Math"/>
                <w:color w:val="auto"/>
                <w:szCs w:val="21"/>
                <w:highlight w:val="none"/>
              </w:rPr>
              <m:t>Qc</m:t>
            </m:r>
            <m:ctrlPr>
              <w:rPr>
                <w:rFonts w:ascii="Cambria Math" w:hAnsi="Cambria Math"/>
                <w:i/>
                <w:color w:val="auto"/>
                <w:szCs w:val="21"/>
                <w:highlight w:val="none"/>
              </w:rPr>
            </m:ctrlPr>
          </m:den>
        </m:f>
        <m:r>
          <m:rPr/>
          <w:rPr>
            <w:rFonts w:ascii="Cambria Math" w:hAnsi="Cambria Math"/>
            <w:color w:val="auto"/>
            <w:szCs w:val="21"/>
            <w:highlight w:val="none"/>
          </w:rPr>
          <m:t>×100</m:t>
        </m:r>
      </m:oMath>
      <w:r>
        <w:rPr>
          <w:rFonts w:hint="eastAsia"/>
          <w:bCs/>
          <w:color w:val="auto"/>
          <w:szCs w:val="21"/>
          <w:highlight w:val="none"/>
        </w:rPr>
        <w:t>………………………………………</w:t>
      </w:r>
      <w:r>
        <w:rPr>
          <w:bCs/>
          <w:color w:val="auto"/>
          <w:szCs w:val="21"/>
          <w:highlight w:val="none"/>
        </w:rPr>
        <w:t>（</w:t>
      </w:r>
      <w:r>
        <w:rPr>
          <w:rFonts w:hint="eastAsia"/>
          <w:bCs/>
          <w:color w:val="auto"/>
          <w:szCs w:val="21"/>
          <w:highlight w:val="none"/>
        </w:rPr>
        <w:t>A.8</w:t>
      </w:r>
      <w:r>
        <w:rPr>
          <w:bCs/>
          <w:color w:val="auto"/>
          <w:szCs w:val="21"/>
          <w:highlight w:val="none"/>
        </w:rPr>
        <w:t>）</w:t>
      </w:r>
    </w:p>
    <w:p>
      <w:pPr>
        <w:spacing w:line="400" w:lineRule="exact"/>
        <w:ind w:firstLine="420" w:firstLineChars="200"/>
        <w:jc w:val="left"/>
        <w:rPr>
          <w:bCs/>
          <w:color w:val="auto"/>
          <w:highlight w:val="none"/>
        </w:rPr>
      </w:pPr>
      <w:r>
        <w:rPr>
          <w:rFonts w:hint="eastAsia"/>
          <w:bCs/>
          <w:color w:val="auto"/>
          <w:highlight w:val="none"/>
        </w:rPr>
        <w:t>式中</w:t>
      </w:r>
      <w:r>
        <w:rPr>
          <w:bCs/>
          <w:color w:val="auto"/>
          <w:highlight w:val="none"/>
        </w:rPr>
        <w:t>：</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η</m:t>
            </m:r>
            <m:ctrlPr>
              <w:rPr>
                <w:rFonts w:ascii="Cambria Math" w:hAnsi="Cambria Math"/>
                <w:bCs/>
                <w:color w:val="auto"/>
                <w:szCs w:val="21"/>
                <w:highlight w:val="none"/>
              </w:rPr>
            </m:ctrlPr>
          </m:e>
          <m:sub>
            <m:r>
              <m:rPr/>
              <w:rPr>
                <w:rFonts w:ascii="Cambria Math" w:hAnsi="Cambria Math"/>
                <w:color w:val="auto"/>
                <w:szCs w:val="21"/>
                <w:highlight w:val="none"/>
              </w:rPr>
              <m:t>b</m:t>
            </m:r>
            <m:ctrlPr>
              <w:rPr>
                <w:rFonts w:ascii="Cambria Math" w:hAnsi="Cambria Math"/>
                <w:bCs/>
                <w:color w:val="auto"/>
                <w:szCs w:val="21"/>
                <w:highlight w:val="none"/>
              </w:rPr>
            </m:ctrlPr>
          </m:sub>
        </m:sSub>
      </m:oMath>
      <w:r>
        <w:rPr>
          <w:rFonts w:hint="eastAsia"/>
          <w:bCs/>
          <w:color w:val="auto"/>
          <w:szCs w:val="21"/>
          <w:highlight w:val="none"/>
        </w:rPr>
        <w:t>——中央</w:t>
      </w:r>
      <w:r>
        <w:rPr>
          <w:bCs/>
          <w:color w:val="auto"/>
          <w:szCs w:val="21"/>
          <w:highlight w:val="none"/>
        </w:rPr>
        <w:t>空调冷却补水率（</w:t>
      </w:r>
      <w:r>
        <w:rPr>
          <w:rFonts w:hint="eastAsia"/>
          <w:bCs/>
          <w:color w:val="auto"/>
          <w:szCs w:val="21"/>
          <w:highlight w:val="none"/>
        </w:rPr>
        <w:t>%</w:t>
      </w:r>
      <w:r>
        <w:rPr>
          <w:bCs/>
          <w:color w:val="auto"/>
          <w:szCs w:val="21"/>
          <w:highlight w:val="none"/>
        </w:rPr>
        <w:t>）</w:t>
      </w:r>
      <w:r>
        <w:rPr>
          <w:rFonts w:hint="eastAsia"/>
          <w:bCs/>
          <w:color w:val="auto"/>
          <w:szCs w:val="21"/>
          <w:highlight w:val="none"/>
        </w:rPr>
        <w:t>；</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Q</m:t>
            </m:r>
            <m:ctrlPr>
              <w:rPr>
                <w:rFonts w:ascii="Cambria Math" w:hAnsi="Cambria Math"/>
                <w:bCs/>
                <w:color w:val="auto"/>
                <w:szCs w:val="21"/>
                <w:highlight w:val="none"/>
              </w:rPr>
            </m:ctrlPr>
          </m:e>
          <m:sub>
            <m:r>
              <m:rPr/>
              <w:rPr>
                <w:rFonts w:ascii="Cambria Math" w:hAnsi="Cambria Math"/>
                <w:color w:val="auto"/>
                <w:szCs w:val="21"/>
                <w:highlight w:val="none"/>
              </w:rPr>
              <m:t>b</m:t>
            </m:r>
            <m:ctrlPr>
              <w:rPr>
                <w:rFonts w:ascii="Cambria Math" w:hAnsi="Cambria Math"/>
                <w:bCs/>
                <w:color w:val="auto"/>
                <w:szCs w:val="21"/>
                <w:highlight w:val="none"/>
              </w:rPr>
            </m:ctrlPr>
          </m:sub>
        </m:sSub>
      </m:oMath>
      <w:r>
        <w:rPr>
          <w:rFonts w:hint="eastAsia"/>
          <w:bCs/>
          <w:color w:val="auto"/>
          <w:szCs w:val="21"/>
          <w:highlight w:val="none"/>
        </w:rPr>
        <w:t>——中央</w:t>
      </w:r>
      <w:r>
        <w:rPr>
          <w:bCs/>
          <w:color w:val="auto"/>
          <w:szCs w:val="21"/>
          <w:highlight w:val="none"/>
        </w:rPr>
        <w:t>空调冷却塔补水量（</w:t>
      </w:r>
      <w:r>
        <w:rPr>
          <w:rFonts w:hint="eastAsia"/>
          <w:bCs/>
          <w:color w:val="auto"/>
          <w:szCs w:val="21"/>
          <w:highlight w:val="none"/>
        </w:rPr>
        <w:t>m</w:t>
      </w:r>
      <w:r>
        <w:rPr>
          <w:rFonts w:hint="eastAsia"/>
          <w:bCs/>
          <w:color w:val="auto"/>
          <w:szCs w:val="21"/>
          <w:highlight w:val="none"/>
          <w:vertAlign w:val="superscript"/>
        </w:rPr>
        <w:t>3</w:t>
      </w:r>
      <w:r>
        <w:rPr>
          <w:bCs/>
          <w:color w:val="auto"/>
          <w:szCs w:val="21"/>
          <w:highlight w:val="none"/>
        </w:rPr>
        <w:t>）</w:t>
      </w:r>
      <w:r>
        <w:rPr>
          <w:rFonts w:hint="eastAsia"/>
          <w:bCs/>
          <w:color w:val="auto"/>
          <w:szCs w:val="21"/>
          <w:highlight w:val="none"/>
        </w:rPr>
        <w:t>；</w:t>
      </w:r>
    </w:p>
    <w:p>
      <w:pPr>
        <w:spacing w:line="400" w:lineRule="exact"/>
        <w:ind w:firstLine="420" w:firstLineChars="200"/>
        <w:jc w:val="left"/>
        <w:rPr>
          <w:bCs/>
          <w:color w:val="auto"/>
          <w:highlight w:val="none"/>
        </w:rPr>
      </w:pPr>
      <m:oMath>
        <m:sSub>
          <m:sSubPr>
            <m:ctrlPr>
              <w:rPr>
                <w:rFonts w:ascii="Cambria Math" w:hAnsi="Cambria Math"/>
                <w:bCs/>
                <w:i/>
                <w:color w:val="auto"/>
                <w:szCs w:val="21"/>
                <w:highlight w:val="none"/>
              </w:rPr>
            </m:ctrlPr>
          </m:sSubPr>
          <m:e>
            <m:r>
              <m:rPr/>
              <w:rPr>
                <w:rFonts w:ascii="Cambria Math" w:hAnsi="Cambria Math"/>
                <w:color w:val="auto"/>
                <w:szCs w:val="21"/>
                <w:highlight w:val="none"/>
              </w:rPr>
              <m:t>Q</m:t>
            </m:r>
            <m:ctrlPr>
              <w:rPr>
                <w:rFonts w:ascii="Cambria Math" w:hAnsi="Cambria Math"/>
                <w:bCs/>
                <w:i/>
                <w:color w:val="auto"/>
                <w:szCs w:val="21"/>
                <w:highlight w:val="none"/>
              </w:rPr>
            </m:ctrlPr>
          </m:e>
          <m:sub>
            <m:r>
              <m:rPr/>
              <w:rPr>
                <w:rFonts w:ascii="Cambria Math" w:hAnsi="Cambria Math"/>
                <w:color w:val="auto"/>
                <w:szCs w:val="21"/>
                <w:highlight w:val="none"/>
              </w:rPr>
              <m:t>c</m:t>
            </m:r>
            <m:ctrlPr>
              <w:rPr>
                <w:rFonts w:ascii="Cambria Math" w:hAnsi="Cambria Math"/>
                <w:bCs/>
                <w:i/>
                <w:color w:val="auto"/>
                <w:szCs w:val="21"/>
                <w:highlight w:val="none"/>
              </w:rPr>
            </m:ctrlPr>
          </m:sub>
        </m:sSub>
      </m:oMath>
      <w:r>
        <w:rPr>
          <w:rFonts w:hint="eastAsia"/>
          <w:bCs/>
          <w:color w:val="auto"/>
          <w:szCs w:val="21"/>
          <w:highlight w:val="none"/>
        </w:rPr>
        <w:t>——</w:t>
      </w:r>
      <w:r>
        <w:rPr>
          <w:bCs/>
          <w:color w:val="auto"/>
          <w:szCs w:val="21"/>
          <w:highlight w:val="none"/>
        </w:rPr>
        <w:t>中央空调冷却塔总循环水量（</w:t>
      </w:r>
      <w:r>
        <w:rPr>
          <w:rFonts w:hint="eastAsia"/>
          <w:bCs/>
          <w:color w:val="auto"/>
          <w:szCs w:val="21"/>
          <w:highlight w:val="none"/>
        </w:rPr>
        <w:t>m</w:t>
      </w:r>
      <w:r>
        <w:rPr>
          <w:rFonts w:hint="eastAsia"/>
          <w:bCs/>
          <w:color w:val="auto"/>
          <w:szCs w:val="21"/>
          <w:highlight w:val="none"/>
          <w:vertAlign w:val="superscript"/>
        </w:rPr>
        <w:t>3</w:t>
      </w:r>
      <w:r>
        <w:rPr>
          <w:bCs/>
          <w:color w:val="auto"/>
          <w:szCs w:val="21"/>
          <w:highlight w:val="none"/>
        </w:rPr>
        <w:t>）</w:t>
      </w:r>
      <w:r>
        <w:rPr>
          <w:rFonts w:hint="eastAsia"/>
          <w:bCs/>
          <w:color w:val="auto"/>
          <w:szCs w:val="21"/>
          <w:highlight w:val="none"/>
        </w:rPr>
        <w:t>。</w:t>
      </w:r>
    </w:p>
    <w:p>
      <w:pPr>
        <w:spacing w:line="400" w:lineRule="exact"/>
        <w:jc w:val="left"/>
        <w:rPr>
          <w:b/>
          <w:color w:val="auto"/>
          <w:highlight w:val="none"/>
        </w:rPr>
      </w:pPr>
      <w:r>
        <w:rPr>
          <w:rFonts w:ascii="黑体" w:eastAsia="黑体"/>
          <w:b/>
          <w:color w:val="auto"/>
          <w:highlight w:val="none"/>
        </w:rPr>
        <w:t>A</w:t>
      </w:r>
      <w:r>
        <w:rPr>
          <w:rFonts w:hint="eastAsia" w:ascii="黑体" w:eastAsia="黑体"/>
          <w:b/>
          <w:color w:val="auto"/>
          <w:highlight w:val="none"/>
        </w:rPr>
        <w:t>.9</w:t>
      </w:r>
      <w:r>
        <w:rPr>
          <w:rFonts w:hint="eastAsia"/>
          <w:b/>
          <w:color w:val="auto"/>
          <w:highlight w:val="none"/>
        </w:rPr>
        <w:t xml:space="preserve">  蒸汽冷凝水回用率</w:t>
      </w:r>
    </w:p>
    <w:p>
      <w:pPr>
        <w:spacing w:line="400" w:lineRule="exact"/>
        <w:ind w:firstLine="420"/>
        <w:jc w:val="left"/>
        <w:rPr>
          <w:bCs/>
          <w:color w:val="auto"/>
          <w:highlight w:val="none"/>
        </w:rPr>
      </w:pPr>
      <w:r>
        <w:rPr>
          <w:rFonts w:hint="eastAsia"/>
          <w:bCs/>
          <w:color w:val="auto"/>
          <w:highlight w:val="none"/>
        </w:rPr>
        <w:t>蒸汽冷凝水回用率按式（A</w:t>
      </w:r>
      <w:r>
        <w:rPr>
          <w:bCs/>
          <w:color w:val="auto"/>
          <w:highlight w:val="none"/>
        </w:rPr>
        <w:t>.</w:t>
      </w:r>
      <w:r>
        <w:rPr>
          <w:rFonts w:hint="eastAsia"/>
          <w:bCs/>
          <w:color w:val="auto"/>
          <w:highlight w:val="none"/>
        </w:rPr>
        <w:t>9）计算：</w:t>
      </w:r>
    </w:p>
    <w:p>
      <w:pPr>
        <w:spacing w:line="360" w:lineRule="auto"/>
        <w:ind w:firstLine="3780" w:firstLineChars="1800"/>
        <w:jc w:val="righ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R</m:t>
            </m:r>
            <m:ctrlPr>
              <w:rPr>
                <w:rFonts w:ascii="Cambria Math" w:hAnsi="Cambria Math"/>
                <w:bCs/>
                <w:color w:val="auto"/>
                <w:szCs w:val="21"/>
                <w:highlight w:val="none"/>
              </w:rPr>
            </m:ctrlPr>
          </m:e>
          <m:sub>
            <m:r>
              <m:rPr/>
              <w:rPr>
                <w:rFonts w:ascii="Cambria Math" w:hAnsi="Cambria Math"/>
                <w:color w:val="auto"/>
                <w:szCs w:val="21"/>
                <w:highlight w:val="none"/>
              </w:rPr>
              <m:t>b</m:t>
            </m:r>
            <m:ctrlPr>
              <w:rPr>
                <w:rFonts w:ascii="Cambria Math" w:hAnsi="Cambria Math"/>
                <w:bCs/>
                <w:color w:val="auto"/>
                <w:szCs w:val="21"/>
                <w:highlight w:val="none"/>
              </w:rPr>
            </m:ctrlPr>
          </m:sub>
        </m:sSub>
        <m:r>
          <m:rPr/>
          <w:rPr>
            <w:rFonts w:ascii="Cambria Math" w:hAnsi="Cambria Math"/>
            <w:color w:val="auto"/>
            <w:szCs w:val="21"/>
            <w:highlight w:val="none"/>
          </w:rPr>
          <m:t>=</m:t>
        </m:r>
        <m:f>
          <m:fPr>
            <m:ctrlPr>
              <w:rPr>
                <w:rFonts w:ascii="Cambria Math" w:hAnsi="Cambria Math"/>
                <w:bCs/>
                <w:i/>
                <w:color w:val="auto"/>
                <w:szCs w:val="21"/>
                <w:highlight w:val="none"/>
              </w:rPr>
            </m:ctrlPr>
          </m:fPr>
          <m:num>
            <m:sSub>
              <m:sSubPr>
                <m:ctrlPr>
                  <w:rPr>
                    <w:rFonts w:ascii="Cambria Math" w:hAnsi="Cambria Math"/>
                    <w:bCs/>
                    <w:color w:val="auto"/>
                    <w:szCs w:val="21"/>
                    <w:highlight w:val="none"/>
                  </w:rPr>
                </m:ctrlPr>
              </m:sSubPr>
              <m:e>
                <m:r>
                  <m:rPr/>
                  <w:rPr>
                    <w:rFonts w:ascii="Cambria Math" w:hAnsi="Cambria Math"/>
                    <w:color w:val="auto"/>
                    <w:szCs w:val="21"/>
                    <w:highlight w:val="none"/>
                  </w:rPr>
                  <m:t>V</m:t>
                </m:r>
                <m:ctrlPr>
                  <w:rPr>
                    <w:rFonts w:ascii="Cambria Math" w:hAnsi="Cambria Math"/>
                    <w:bCs/>
                    <w:color w:val="auto"/>
                    <w:szCs w:val="21"/>
                    <w:highlight w:val="none"/>
                  </w:rPr>
                </m:ctrlPr>
              </m:e>
              <m:sub>
                <m:r>
                  <m:rPr/>
                  <w:rPr>
                    <w:rFonts w:ascii="Cambria Math" w:hAnsi="Cambria Math"/>
                    <w:color w:val="auto"/>
                    <w:szCs w:val="21"/>
                    <w:highlight w:val="none"/>
                  </w:rPr>
                  <m:t>br</m:t>
                </m:r>
                <m:ctrlPr>
                  <w:rPr>
                    <w:rFonts w:ascii="Cambria Math" w:hAnsi="Cambria Math"/>
                    <w:bCs/>
                    <w:color w:val="auto"/>
                    <w:szCs w:val="21"/>
                    <w:highlight w:val="none"/>
                  </w:rPr>
                </m:ctrlPr>
              </m:sub>
            </m:sSub>
            <m:ctrlPr>
              <w:rPr>
                <w:rFonts w:ascii="Cambria Math" w:hAnsi="Cambria Math"/>
                <w:bCs/>
                <w:i/>
                <w:color w:val="auto"/>
                <w:szCs w:val="21"/>
                <w:highlight w:val="none"/>
              </w:rPr>
            </m:ctrlPr>
          </m:num>
          <m:den>
            <m:r>
              <m:rPr/>
              <w:rPr>
                <w:rFonts w:ascii="Cambria Math" w:hAnsi="Cambria Math"/>
                <w:color w:val="auto"/>
                <w:szCs w:val="21"/>
                <w:highlight w:val="none"/>
              </w:rPr>
              <m:t>D</m:t>
            </m:r>
            <m:ctrlPr>
              <w:rPr>
                <w:rFonts w:ascii="Cambria Math" w:hAnsi="Cambria Math"/>
                <w:bCs/>
                <w:i/>
                <w:color w:val="auto"/>
                <w:szCs w:val="21"/>
                <w:highlight w:val="none"/>
              </w:rPr>
            </m:ctrlPr>
          </m:den>
        </m:f>
        <m:r>
          <m:rPr/>
          <w:rPr>
            <w:rFonts w:ascii="Cambria Math" w:hAnsi="Cambria Math"/>
            <w:color w:val="auto"/>
            <w:szCs w:val="21"/>
            <w:highlight w:val="none"/>
          </w:rPr>
          <m:t>×ρ×100</m:t>
        </m:r>
      </m:oMath>
      <w:r>
        <w:rPr>
          <w:rFonts w:hint="eastAsia"/>
          <w:bCs/>
          <w:color w:val="auto"/>
          <w:szCs w:val="21"/>
          <w:highlight w:val="none"/>
        </w:rPr>
        <w:t>…………………………………（A.9）</w:t>
      </w:r>
    </w:p>
    <w:p>
      <w:pPr>
        <w:spacing w:line="400" w:lineRule="exact"/>
        <w:ind w:firstLine="420" w:firstLineChars="200"/>
        <w:jc w:val="left"/>
        <w:rPr>
          <w:bCs/>
          <w:color w:val="auto"/>
          <w:szCs w:val="21"/>
          <w:highlight w:val="none"/>
        </w:rPr>
      </w:pPr>
      <w:r>
        <w:rPr>
          <w:rFonts w:hint="eastAsia"/>
          <w:bCs/>
          <w:color w:val="auto"/>
          <w:szCs w:val="21"/>
          <w:highlight w:val="none"/>
        </w:rPr>
        <w:t>式中：</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R</m:t>
            </m:r>
            <m:ctrlPr>
              <w:rPr>
                <w:rFonts w:ascii="Cambria Math" w:hAnsi="Cambria Math"/>
                <w:bCs/>
                <w:color w:val="auto"/>
                <w:szCs w:val="21"/>
                <w:highlight w:val="none"/>
              </w:rPr>
            </m:ctrlPr>
          </m:e>
          <m:sub>
            <m:r>
              <m:rPr/>
              <w:rPr>
                <w:rFonts w:ascii="Cambria Math" w:hAnsi="Cambria Math"/>
                <w:color w:val="auto"/>
                <w:szCs w:val="21"/>
                <w:highlight w:val="none"/>
              </w:rPr>
              <m:t>b</m:t>
            </m:r>
            <m:ctrlPr>
              <w:rPr>
                <w:rFonts w:ascii="Cambria Math" w:hAnsi="Cambria Math"/>
                <w:bCs/>
                <w:color w:val="auto"/>
                <w:szCs w:val="21"/>
                <w:highlight w:val="none"/>
              </w:rPr>
            </m:ctrlPr>
          </m:sub>
        </m:sSub>
      </m:oMath>
      <w:r>
        <w:rPr>
          <w:rFonts w:hint="eastAsia"/>
          <w:bCs/>
          <w:color w:val="auto"/>
          <w:szCs w:val="21"/>
          <w:highlight w:val="none"/>
        </w:rPr>
        <w:t>——蒸汽冷凝水回用率</w:t>
      </w:r>
      <w:r>
        <w:rPr>
          <w:bCs/>
          <w:color w:val="auto"/>
          <w:szCs w:val="21"/>
          <w:highlight w:val="none"/>
        </w:rPr>
        <w:t>（</w:t>
      </w:r>
      <w:r>
        <w:rPr>
          <w:rFonts w:hint="eastAsia"/>
          <w:bCs/>
          <w:color w:val="auto"/>
          <w:szCs w:val="21"/>
          <w:highlight w:val="none"/>
        </w:rPr>
        <w:t>%</w:t>
      </w:r>
      <w:r>
        <w:rPr>
          <w:bCs/>
          <w:color w:val="auto"/>
          <w:szCs w:val="21"/>
          <w:highlight w:val="none"/>
        </w:rPr>
        <w:t>）</w:t>
      </w:r>
      <w:r>
        <w:rPr>
          <w:rFonts w:hint="eastAsia"/>
          <w:bCs/>
          <w:color w:val="auto"/>
          <w:szCs w:val="21"/>
          <w:highlight w:val="none"/>
        </w:rPr>
        <w:t>；</w:t>
      </w:r>
    </w:p>
    <w:p>
      <w:pPr>
        <w:spacing w:line="400" w:lineRule="exact"/>
        <w:ind w:firstLine="420" w:firstLineChars="200"/>
        <w:jc w:val="left"/>
        <w:rPr>
          <w:bCs/>
          <w:color w:val="auto"/>
          <w:szCs w:val="21"/>
          <w:highlight w:val="none"/>
        </w:rPr>
      </w:pPr>
      <m:oMath>
        <m:sSub>
          <m:sSubPr>
            <m:ctrlPr>
              <w:rPr>
                <w:rFonts w:ascii="Cambria Math" w:hAnsi="Cambria Math"/>
                <w:bCs/>
                <w:color w:val="auto"/>
                <w:szCs w:val="21"/>
                <w:highlight w:val="none"/>
              </w:rPr>
            </m:ctrlPr>
          </m:sSubPr>
          <m:e>
            <m:r>
              <m:rPr/>
              <w:rPr>
                <w:rFonts w:ascii="Cambria Math" w:hAnsi="Cambria Math"/>
                <w:color w:val="auto"/>
                <w:szCs w:val="21"/>
                <w:highlight w:val="none"/>
              </w:rPr>
              <m:t>V</m:t>
            </m:r>
            <m:ctrlPr>
              <w:rPr>
                <w:rFonts w:ascii="Cambria Math" w:hAnsi="Cambria Math"/>
                <w:bCs/>
                <w:color w:val="auto"/>
                <w:szCs w:val="21"/>
                <w:highlight w:val="none"/>
              </w:rPr>
            </m:ctrlPr>
          </m:e>
          <m:sub>
            <m:r>
              <m:rPr/>
              <w:rPr>
                <w:rFonts w:ascii="Cambria Math" w:hAnsi="Cambria Math"/>
                <w:color w:val="auto"/>
                <w:szCs w:val="21"/>
                <w:highlight w:val="none"/>
              </w:rPr>
              <m:t>br</m:t>
            </m:r>
            <m:ctrlPr>
              <w:rPr>
                <w:rFonts w:ascii="Cambria Math" w:hAnsi="Cambria Math"/>
                <w:bCs/>
                <w:color w:val="auto"/>
                <w:szCs w:val="21"/>
                <w:highlight w:val="none"/>
              </w:rPr>
            </m:ctrlPr>
          </m:sub>
        </m:sSub>
      </m:oMath>
      <w:r>
        <w:rPr>
          <w:rFonts w:hint="eastAsia"/>
          <w:bCs/>
          <w:color w:val="auto"/>
          <w:szCs w:val="21"/>
          <w:highlight w:val="none"/>
        </w:rPr>
        <w:t>——</w:t>
      </w:r>
      <w:r>
        <w:rPr>
          <w:bCs/>
          <w:color w:val="auto"/>
          <w:szCs w:val="21"/>
          <w:highlight w:val="none"/>
        </w:rPr>
        <w:t>蒸汽冷凝水</w:t>
      </w:r>
      <w:r>
        <w:rPr>
          <w:rFonts w:hint="eastAsia"/>
          <w:bCs/>
          <w:color w:val="auto"/>
          <w:szCs w:val="21"/>
          <w:highlight w:val="none"/>
        </w:rPr>
        <w:t>回用</w:t>
      </w:r>
      <w:r>
        <w:rPr>
          <w:bCs/>
          <w:color w:val="auto"/>
          <w:szCs w:val="21"/>
          <w:highlight w:val="none"/>
        </w:rPr>
        <w:t>量（</w:t>
      </w:r>
      <w:r>
        <w:rPr>
          <w:rFonts w:hint="eastAsia"/>
          <w:bCs/>
          <w:color w:val="auto"/>
          <w:szCs w:val="21"/>
          <w:highlight w:val="none"/>
        </w:rPr>
        <w:t>m</w:t>
      </w:r>
      <w:r>
        <w:rPr>
          <w:rFonts w:hint="eastAsia"/>
          <w:bCs/>
          <w:color w:val="auto"/>
          <w:szCs w:val="21"/>
          <w:highlight w:val="none"/>
          <w:vertAlign w:val="superscript"/>
        </w:rPr>
        <w:t>3</w:t>
      </w:r>
      <w:r>
        <w:rPr>
          <w:rFonts w:hint="eastAsia"/>
          <w:bCs/>
          <w:color w:val="auto"/>
          <w:szCs w:val="21"/>
          <w:highlight w:val="none"/>
        </w:rPr>
        <w:t>/h</w:t>
      </w:r>
      <w:r>
        <w:rPr>
          <w:bCs/>
          <w:color w:val="auto"/>
          <w:szCs w:val="21"/>
          <w:highlight w:val="none"/>
        </w:rPr>
        <w:t>）</w:t>
      </w:r>
      <w:r>
        <w:rPr>
          <w:rFonts w:hint="eastAsia"/>
          <w:bCs/>
          <w:color w:val="auto"/>
          <w:szCs w:val="21"/>
          <w:highlight w:val="none"/>
        </w:rPr>
        <w:t>；</w:t>
      </w:r>
    </w:p>
    <w:p>
      <w:pPr>
        <w:spacing w:line="400" w:lineRule="exact"/>
        <w:ind w:firstLine="420" w:firstLineChars="200"/>
        <w:jc w:val="left"/>
        <w:rPr>
          <w:bCs/>
          <w:color w:val="auto"/>
          <w:szCs w:val="21"/>
          <w:highlight w:val="none"/>
        </w:rPr>
      </w:pPr>
      <m:oMath>
        <m:r>
          <m:rPr/>
          <w:rPr>
            <w:rFonts w:ascii="Cambria Math" w:hAnsi="Cambria Math"/>
            <w:color w:val="auto"/>
            <w:szCs w:val="21"/>
            <w:highlight w:val="none"/>
          </w:rPr>
          <m:t>D</m:t>
        </m:r>
      </m:oMath>
      <w:r>
        <w:rPr>
          <w:rFonts w:hint="eastAsia"/>
          <w:bCs/>
          <w:color w:val="auto"/>
          <w:szCs w:val="21"/>
          <w:highlight w:val="none"/>
        </w:rPr>
        <w:t>——产汽设备</w:t>
      </w:r>
      <w:r>
        <w:rPr>
          <w:bCs/>
          <w:color w:val="auto"/>
          <w:szCs w:val="21"/>
          <w:highlight w:val="none"/>
        </w:rPr>
        <w:t>的</w:t>
      </w:r>
      <w:r>
        <w:rPr>
          <w:rFonts w:hint="eastAsia"/>
          <w:bCs/>
          <w:color w:val="auto"/>
          <w:szCs w:val="21"/>
          <w:highlight w:val="none"/>
        </w:rPr>
        <w:t>产气量</w:t>
      </w:r>
      <w:r>
        <w:rPr>
          <w:bCs/>
          <w:color w:val="auto"/>
          <w:szCs w:val="21"/>
          <w:highlight w:val="none"/>
        </w:rPr>
        <w:t>（</w:t>
      </w:r>
      <w:r>
        <w:rPr>
          <w:rFonts w:hint="eastAsia"/>
          <w:bCs/>
          <w:color w:val="auto"/>
          <w:szCs w:val="21"/>
          <w:highlight w:val="none"/>
        </w:rPr>
        <w:t>t/h</w:t>
      </w:r>
      <w:r>
        <w:rPr>
          <w:bCs/>
          <w:color w:val="auto"/>
          <w:szCs w:val="21"/>
          <w:highlight w:val="none"/>
        </w:rPr>
        <w:t>）</w:t>
      </w:r>
      <w:r>
        <w:rPr>
          <w:rFonts w:hint="eastAsia"/>
          <w:bCs/>
          <w:color w:val="auto"/>
          <w:szCs w:val="21"/>
          <w:highlight w:val="none"/>
        </w:rPr>
        <w:t>；</w:t>
      </w:r>
    </w:p>
    <w:p>
      <w:pPr>
        <w:spacing w:line="400" w:lineRule="exact"/>
        <w:ind w:firstLine="420" w:firstLineChars="200"/>
        <w:jc w:val="left"/>
        <w:rPr>
          <w:bCs/>
          <w:color w:val="auto"/>
          <w:szCs w:val="21"/>
          <w:highlight w:val="none"/>
        </w:rPr>
      </w:pPr>
      <m:oMath>
        <m:r>
          <m:rPr>
            <m:sty m:val="p"/>
          </m:rPr>
          <w:rPr>
            <w:rFonts w:ascii="Cambria Math" w:hAnsi="Cambria Math"/>
            <w:color w:val="auto"/>
            <w:szCs w:val="21"/>
            <w:highlight w:val="none"/>
          </w:rPr>
          <m:t>ρ</m:t>
        </m:r>
      </m:oMath>
      <w:r>
        <w:rPr>
          <w:rFonts w:hint="eastAsia"/>
          <w:bCs/>
          <w:color w:val="auto"/>
          <w:szCs w:val="21"/>
          <w:highlight w:val="none"/>
        </w:rPr>
        <w:t>——蒸汽</w:t>
      </w:r>
      <w:r>
        <w:rPr>
          <w:bCs/>
          <w:color w:val="auto"/>
          <w:szCs w:val="21"/>
          <w:highlight w:val="none"/>
        </w:rPr>
        <w:t>体积质量</w:t>
      </w:r>
      <w:r>
        <w:rPr>
          <w:rFonts w:hint="eastAsia"/>
          <w:bCs/>
          <w:color w:val="auto"/>
          <w:szCs w:val="21"/>
          <w:highlight w:val="none"/>
        </w:rPr>
        <w:t>（t/m</w:t>
      </w:r>
      <w:r>
        <w:rPr>
          <w:rFonts w:hint="eastAsia"/>
          <w:bCs/>
          <w:color w:val="auto"/>
          <w:szCs w:val="21"/>
          <w:highlight w:val="none"/>
          <w:vertAlign w:val="superscript"/>
        </w:rPr>
        <w:t>3</w:t>
      </w:r>
      <w:r>
        <w:rPr>
          <w:rFonts w:hint="eastAsia"/>
          <w:bCs/>
          <w:color w:val="auto"/>
          <w:szCs w:val="21"/>
          <w:highlight w:val="none"/>
        </w:rPr>
        <w:t>）。</w:t>
      </w:r>
    </w:p>
    <w:p>
      <w:pPr>
        <w:spacing w:line="400" w:lineRule="exact"/>
        <w:ind w:firstLine="360" w:firstLineChars="200"/>
        <w:jc w:val="left"/>
        <w:rPr>
          <w:bCs/>
          <w:color w:val="auto"/>
          <w:szCs w:val="21"/>
          <w:highlight w:val="none"/>
        </w:rPr>
      </w:pPr>
      <w:r>
        <w:rPr>
          <w:rFonts w:hint="eastAsia" w:ascii="黑体" w:hAnsi="黑体" w:eastAsia="黑体" w:cs="黑体"/>
          <w:bCs/>
          <w:color w:val="auto"/>
          <w:sz w:val="18"/>
          <w:szCs w:val="18"/>
          <w:highlight w:val="none"/>
        </w:rPr>
        <w:t>注：</w:t>
      </w:r>
      <m:oMath>
        <m:sSub>
          <m:sSubPr>
            <m:ctrlPr>
              <w:rPr>
                <w:rFonts w:ascii="Cambria Math" w:hAnsi="Cambria Math"/>
                <w:bCs/>
                <w:color w:val="auto"/>
                <w:sz w:val="18"/>
                <w:szCs w:val="18"/>
                <w:highlight w:val="none"/>
              </w:rPr>
            </m:ctrlPr>
          </m:sSubPr>
          <m:e>
            <m:r>
              <m:rPr/>
              <w:rPr>
                <w:rFonts w:ascii="Cambria Math" w:hAnsi="Cambria Math"/>
                <w:color w:val="auto"/>
                <w:sz w:val="18"/>
                <w:szCs w:val="18"/>
                <w:highlight w:val="none"/>
              </w:rPr>
              <m:t>V</m:t>
            </m:r>
            <m:ctrlPr>
              <w:rPr>
                <w:rFonts w:ascii="Cambria Math" w:hAnsi="Cambria Math"/>
                <w:bCs/>
                <w:color w:val="auto"/>
                <w:sz w:val="18"/>
                <w:szCs w:val="18"/>
                <w:highlight w:val="none"/>
              </w:rPr>
            </m:ctrlPr>
          </m:e>
          <m:sub>
            <m:r>
              <m:rPr/>
              <w:rPr>
                <w:rFonts w:ascii="Cambria Math" w:hAnsi="Cambria Math"/>
                <w:color w:val="auto"/>
                <w:sz w:val="18"/>
                <w:szCs w:val="18"/>
                <w:highlight w:val="none"/>
              </w:rPr>
              <m:t>br</m:t>
            </m:r>
            <m:ctrlPr>
              <w:rPr>
                <w:rFonts w:ascii="Cambria Math" w:hAnsi="Cambria Math"/>
                <w:bCs/>
                <w:color w:val="auto"/>
                <w:sz w:val="18"/>
                <w:szCs w:val="18"/>
                <w:highlight w:val="none"/>
              </w:rPr>
            </m:ctrlPr>
          </m:sub>
        </m:sSub>
      </m:oMath>
      <w:r>
        <w:rPr>
          <w:rFonts w:hint="eastAsia"/>
          <w:bCs/>
          <w:color w:val="auto"/>
          <w:sz w:val="18"/>
          <w:szCs w:val="18"/>
          <w:highlight w:val="none"/>
        </w:rPr>
        <w:t>、</w:t>
      </w:r>
      <m:oMath>
        <m:r>
          <m:rPr>
            <m:sty m:val="p"/>
          </m:rPr>
          <w:rPr>
            <w:rFonts w:ascii="Cambria Math" w:hAnsi="Cambria Math"/>
            <w:color w:val="auto"/>
            <w:sz w:val="18"/>
            <w:szCs w:val="18"/>
            <w:highlight w:val="none"/>
          </w:rPr>
          <m:t>ρ</m:t>
        </m:r>
      </m:oMath>
      <w:r>
        <w:rPr>
          <w:rFonts w:hint="eastAsia"/>
          <w:bCs/>
          <w:color w:val="auto"/>
          <w:sz w:val="18"/>
          <w:szCs w:val="18"/>
          <w:highlight w:val="none"/>
        </w:rPr>
        <w:t>均</w:t>
      </w:r>
      <w:r>
        <w:rPr>
          <w:bCs/>
          <w:color w:val="auto"/>
          <w:sz w:val="18"/>
          <w:szCs w:val="18"/>
          <w:highlight w:val="none"/>
        </w:rPr>
        <w:t>指在标准状态下</w:t>
      </w:r>
      <w:r>
        <w:rPr>
          <w:bCs/>
          <w:color w:val="auto"/>
          <w:szCs w:val="21"/>
          <w:highlight w:val="none"/>
        </w:rPr>
        <w:t>。</w:t>
      </w:r>
    </w:p>
    <w:p>
      <w:pPr>
        <w:spacing w:before="312" w:beforeLines="100" w:line="440" w:lineRule="exact"/>
        <w:jc w:val="center"/>
        <w:rPr>
          <w:color w:val="auto"/>
          <w:szCs w:val="21"/>
          <w:highlight w:val="none"/>
        </w:rPr>
      </w:pPr>
      <w:r>
        <w:rPr>
          <w:rFonts w:hint="eastAsia"/>
          <w:color w:val="auto"/>
          <w:szCs w:val="21"/>
          <w:highlight w:val="none"/>
        </w:rPr>
        <w:t>—————————————</w:t>
      </w:r>
    </w:p>
    <w:p>
      <w:pPr>
        <w:spacing w:before="312" w:beforeLines="100" w:line="440" w:lineRule="exact"/>
        <w:jc w:val="center"/>
        <w:rPr>
          <w:color w:val="auto"/>
          <w:szCs w:val="21"/>
          <w:highlight w:val="none"/>
        </w:rPr>
      </w:pPr>
    </w:p>
    <w:p>
      <w:pPr>
        <w:spacing w:before="312" w:beforeLines="100" w:line="440" w:lineRule="exact"/>
        <w:jc w:val="center"/>
        <w:rPr>
          <w:color w:val="auto"/>
          <w:szCs w:val="21"/>
          <w:highlight w:val="none"/>
        </w:rPr>
      </w:pPr>
    </w:p>
    <w:p>
      <w:pPr>
        <w:spacing w:before="312" w:beforeLines="100" w:line="440" w:lineRule="exact"/>
        <w:jc w:val="center"/>
        <w:rPr>
          <w:color w:val="auto"/>
          <w:szCs w:val="21"/>
          <w:highlight w:val="none"/>
        </w:rPr>
      </w:pPr>
    </w:p>
    <w:p>
      <w:pPr>
        <w:spacing w:before="312" w:beforeLines="100" w:line="440" w:lineRule="exact"/>
        <w:jc w:val="center"/>
        <w:rPr>
          <w:color w:val="auto"/>
          <w:szCs w:val="21"/>
          <w:highlight w:val="none"/>
        </w:rPr>
      </w:pPr>
    </w:p>
    <w:p>
      <w:pPr>
        <w:spacing w:before="312" w:beforeLines="100" w:line="440" w:lineRule="exact"/>
        <w:jc w:val="center"/>
        <w:rPr>
          <w:color w:val="auto"/>
          <w:szCs w:val="21"/>
          <w:highlight w:val="none"/>
        </w:rPr>
      </w:pPr>
    </w:p>
    <w:p>
      <w:pPr>
        <w:spacing w:before="312" w:beforeLines="100" w:line="440" w:lineRule="exact"/>
        <w:jc w:val="center"/>
        <w:rPr>
          <w:color w:val="auto"/>
          <w:szCs w:val="21"/>
          <w:highlight w:val="none"/>
        </w:rPr>
      </w:pPr>
    </w:p>
    <w:p>
      <w:pPr>
        <w:spacing w:before="312" w:beforeLines="100" w:line="440" w:lineRule="exact"/>
        <w:jc w:val="center"/>
        <w:rPr>
          <w:color w:val="auto"/>
          <w:szCs w:val="21"/>
          <w:highlight w:val="none"/>
        </w:rPr>
      </w:pPr>
    </w:p>
    <w:p>
      <w:pPr>
        <w:spacing w:before="312" w:beforeLines="100" w:line="440" w:lineRule="exact"/>
        <w:jc w:val="center"/>
        <w:rPr>
          <w:color w:val="auto"/>
          <w:szCs w:val="21"/>
          <w:highlight w:val="none"/>
        </w:rPr>
      </w:pPr>
    </w:p>
    <w:p>
      <w:pPr>
        <w:spacing w:before="312" w:beforeLines="100" w:line="440" w:lineRule="exact"/>
        <w:jc w:val="center"/>
        <w:rPr>
          <w:color w:val="auto"/>
          <w:szCs w:val="21"/>
          <w:highlight w:val="none"/>
        </w:rPr>
      </w:pPr>
    </w:p>
    <w:p>
      <w:pPr>
        <w:autoSpaceDE w:val="0"/>
        <w:autoSpaceDN w:val="0"/>
        <w:adjustRightInd w:val="0"/>
        <w:spacing w:line="500" w:lineRule="exact"/>
        <w:jc w:val="center"/>
        <w:rPr>
          <w:rFonts w:eastAsia="黑体"/>
          <w:b/>
          <w:color w:val="auto"/>
          <w:szCs w:val="21"/>
          <w:highlight w:val="none"/>
        </w:rPr>
      </w:pPr>
      <w:r>
        <w:rPr>
          <w:rFonts w:hint="eastAsia" w:eastAsia="黑体"/>
          <w:b/>
          <w:color w:val="auto"/>
          <w:szCs w:val="21"/>
          <w:highlight w:val="none"/>
        </w:rPr>
        <w:t>参考文献</w:t>
      </w:r>
    </w:p>
    <w:p>
      <w:pPr>
        <w:spacing w:line="400" w:lineRule="exact"/>
        <w:ind w:firstLine="420" w:firstLineChars="2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GB 18918  城镇污水处理厂污染物排放标准</w:t>
      </w:r>
    </w:p>
    <w:p>
      <w:pPr>
        <w:spacing w:line="400" w:lineRule="exact"/>
        <w:ind w:firstLine="420" w:firstLineChars="200"/>
        <w:rPr>
          <w:rFonts w:hint="eastAsia" w:ascii="宋体" w:hAnsi="宋体" w:cs="宋体"/>
          <w:color w:val="auto"/>
          <w:highlight w:val="none"/>
        </w:rPr>
      </w:pPr>
      <w:r>
        <w:rPr>
          <w:rFonts w:hint="eastAsia" w:ascii="宋体" w:hAnsi="宋体" w:cs="宋体"/>
          <w:color w:val="auto"/>
          <w:highlight w:val="none"/>
        </w:rPr>
        <w:t>GB 50555  民用建筑节水设计标准</w:t>
      </w:r>
    </w:p>
    <w:p>
      <w:pPr>
        <w:spacing w:line="400" w:lineRule="exact"/>
        <w:ind w:firstLine="420" w:firstLineChars="200"/>
        <w:rPr>
          <w:rFonts w:ascii="宋体" w:hAnsi="宋体" w:cs="宋体"/>
          <w:color w:val="auto"/>
          <w:highlight w:val="none"/>
        </w:rPr>
      </w:pPr>
      <w:r>
        <w:rPr>
          <w:rFonts w:hint="eastAsia" w:ascii="宋体" w:hAnsi="宋体" w:cs="宋体"/>
          <w:color w:val="auto"/>
          <w:highlight w:val="none"/>
        </w:rPr>
        <w:t>GB/T 7119  节水型企业评价导则</w:t>
      </w:r>
    </w:p>
    <w:p>
      <w:pPr>
        <w:spacing w:line="400" w:lineRule="exact"/>
        <w:ind w:firstLine="420" w:firstLineChars="200"/>
        <w:rPr>
          <w:rFonts w:asciiTheme="minorEastAsia" w:hAnsiTheme="minorEastAsia" w:eastAsiaTheme="minorEastAsia"/>
          <w:color w:val="auto"/>
          <w:highlight w:val="none"/>
        </w:rPr>
      </w:pPr>
      <w:r>
        <w:rPr>
          <w:rFonts w:hint="eastAsia" w:asciiTheme="minorEastAsia" w:hAnsiTheme="minorEastAsia" w:eastAsiaTheme="minorEastAsia"/>
          <w:color w:val="auto"/>
          <w:highlight w:val="none"/>
        </w:rPr>
        <w:t>GB 8978  污水综合排放标准</w:t>
      </w:r>
    </w:p>
    <w:p>
      <w:pPr>
        <w:spacing w:line="400" w:lineRule="exact"/>
        <w:ind w:firstLine="420" w:firstLineChars="200"/>
        <w:rPr>
          <w:rFonts w:ascii="宋体" w:hAnsi="宋体" w:cs="宋体"/>
          <w:color w:val="auto"/>
          <w:highlight w:val="none"/>
        </w:rPr>
      </w:pPr>
      <w:r>
        <w:rPr>
          <w:rFonts w:hint="eastAsia" w:ascii="宋体" w:hAnsi="宋体" w:cs="宋体"/>
          <w:color w:val="auto"/>
          <w:highlight w:val="none"/>
        </w:rPr>
        <w:t>TB/T 10429  绿色铁路客站评价标准</w:t>
      </w:r>
    </w:p>
    <w:p>
      <w:pPr>
        <w:spacing w:line="400" w:lineRule="exact"/>
        <w:ind w:firstLine="420" w:firstLineChars="200"/>
        <w:rPr>
          <w:rFonts w:ascii="宋体" w:hAnsi="宋体" w:cs="宋体"/>
          <w:color w:val="auto"/>
          <w:highlight w:val="none"/>
        </w:rPr>
      </w:pPr>
    </w:p>
    <w:p>
      <w:pPr>
        <w:spacing w:before="312" w:beforeLines="100" w:line="440" w:lineRule="exact"/>
        <w:jc w:val="center"/>
        <w:rPr>
          <w:color w:val="auto"/>
          <w:szCs w:val="21"/>
          <w:highlight w:val="none"/>
        </w:rPr>
      </w:pPr>
    </w:p>
    <w:p>
      <w:pPr>
        <w:spacing w:before="312" w:beforeLines="100" w:line="440" w:lineRule="exact"/>
        <w:jc w:val="center"/>
        <w:rPr>
          <w:color w:val="auto"/>
          <w:szCs w:val="21"/>
          <w:highlight w:val="none"/>
        </w:rPr>
      </w:pPr>
    </w:p>
    <w:p>
      <w:pPr>
        <w:spacing w:before="312" w:beforeLines="100" w:line="440" w:lineRule="exact"/>
        <w:jc w:val="center"/>
        <w:rPr>
          <w:color w:val="auto"/>
          <w:szCs w:val="21"/>
          <w:highlight w:val="none"/>
        </w:rPr>
      </w:pPr>
    </w:p>
    <w:p>
      <w:pPr>
        <w:spacing w:before="312" w:beforeLines="100" w:line="440" w:lineRule="exact"/>
        <w:jc w:val="center"/>
        <w:rPr>
          <w:color w:val="auto"/>
          <w:szCs w:val="21"/>
          <w:highlight w:val="none"/>
        </w:rPr>
      </w:pPr>
    </w:p>
    <w:p>
      <w:pPr>
        <w:spacing w:before="312" w:beforeLines="100" w:line="440" w:lineRule="exact"/>
        <w:jc w:val="center"/>
        <w:rPr>
          <w:color w:val="auto"/>
          <w:highlight w:val="none"/>
        </w:rPr>
      </w:pPr>
      <w:r>
        <w:rPr>
          <w:color w:val="auto"/>
          <w:highlight w:val="none"/>
        </w:rPr>
        <mc:AlternateContent>
          <mc:Choice Requires="wps">
            <w:drawing>
              <wp:anchor distT="0" distB="0" distL="114300" distR="114300" simplePos="0" relativeHeight="251668480" behindDoc="0" locked="0" layoutInCell="1" allowOverlap="1">
                <wp:simplePos x="0" y="0"/>
                <wp:positionH relativeFrom="column">
                  <wp:posOffset>5316220</wp:posOffset>
                </wp:positionH>
                <wp:positionV relativeFrom="paragraph">
                  <wp:posOffset>64135</wp:posOffset>
                </wp:positionV>
                <wp:extent cx="381000" cy="1650365"/>
                <wp:effectExtent l="3175" t="3175" r="0" b="3810"/>
                <wp:wrapNone/>
                <wp:docPr id="1" name="Rectangle 173"/>
                <wp:cNvGraphicFramePr/>
                <a:graphic xmlns:a="http://schemas.openxmlformats.org/drawingml/2006/main">
                  <a:graphicData uri="http://schemas.microsoft.com/office/word/2010/wordprocessingShape">
                    <wps:wsp>
                      <wps:cNvSpPr>
                        <a:spLocks noChangeArrowheads="1"/>
                      </wps:cNvSpPr>
                      <wps:spPr bwMode="auto">
                        <a:xfrm>
                          <a:off x="0" y="0"/>
                          <a:ext cx="381000" cy="1650365"/>
                        </a:xfrm>
                        <a:prstGeom prst="rect">
                          <a:avLst/>
                        </a:prstGeom>
                        <a:noFill/>
                        <a:ln>
                          <a:noFill/>
                        </a:ln>
                      </wps:spPr>
                      <wps:txbx>
                        <w:txbxContent>
                          <w:p>
                            <w:r>
                              <w:rPr>
                                <w:rFonts w:hint="eastAsia"/>
                              </w:rPr>
                              <w:t>DB1</w:t>
                            </w:r>
                            <w:r>
                              <w:t>3</w:t>
                            </w:r>
                            <w:r>
                              <w:rPr>
                                <w:rFonts w:hint="eastAsia"/>
                              </w:rPr>
                              <w:t xml:space="preserve">/T </w:t>
                            </w:r>
                            <w:r>
                              <w:t>××××—202</w:t>
                            </w:r>
                            <w:r>
                              <w:rPr>
                                <w:rFonts w:hint="eastAsia"/>
                              </w:rPr>
                              <w:t>3</w:t>
                            </w:r>
                          </w:p>
                        </w:txbxContent>
                      </wps:txbx>
                      <wps:bodyPr rot="0" vert="vert270" wrap="square" lIns="91440" tIns="45720" rIns="91440" bIns="45720" anchor="t" anchorCtr="0" upright="1">
                        <a:noAutofit/>
                      </wps:bodyPr>
                    </wps:wsp>
                  </a:graphicData>
                </a:graphic>
              </wp:anchor>
            </w:drawing>
          </mc:Choice>
          <mc:Fallback>
            <w:pict>
              <v:rect id="Rectangle 173" o:spid="_x0000_s1026" o:spt="1" style="position:absolute;left:0pt;margin-left:418.6pt;margin-top:5.05pt;height:129.95pt;width:30pt;z-index:251668480;mso-width-relative:page;mso-height-relative:page;" filled="f" stroked="f" coordsize="21600,21600" o:gfxdata="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&#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1MusjYAAAACgEAAA8AAAAAAAAAAQAgAAAAIgAAAGRy&#10;cy9kb3ducmV2LnhtbFBLAQIUABQAAAAIAIdO4kC0vGueBQIAABAEAAAOAAAAAAAAAAEAIAAAACcB&#10;AABkcnMvZTJvRG9jLnhtbFBLBQYAAAAABgAGAFkBAACeBQAAAAA=&#10;">
                <v:fill on="f" focussize="0,0"/>
                <v:stroke on="f"/>
                <v:imagedata o:title=""/>
                <o:lock v:ext="edit" aspectratio="f"/>
                <v:textbox style="layout-flow:vertical;mso-layout-flow-alt:bottom-to-top;">
                  <w:txbxContent>
                    <w:p>
                      <w:r>
                        <w:rPr>
                          <w:rFonts w:hint="eastAsia"/>
                        </w:rPr>
                        <w:t>DB1</w:t>
                      </w:r>
                      <w:r>
                        <w:t>3</w:t>
                      </w:r>
                      <w:r>
                        <w:rPr>
                          <w:rFonts w:hint="eastAsia"/>
                        </w:rPr>
                        <w:t xml:space="preserve">/T </w:t>
                      </w:r>
                      <w:r>
                        <w:t>××××—202</w:t>
                      </w:r>
                      <w:r>
                        <w:rPr>
                          <w:rFonts w:hint="eastAsia"/>
                        </w:rPr>
                        <w:t>3</w:t>
                      </w:r>
                    </w:p>
                  </w:txbxContent>
                </v:textbox>
              </v:rect>
            </w:pict>
          </mc:Fallback>
        </mc:AlternateContent>
      </w:r>
    </w:p>
    <w:p>
      <w:pPr>
        <w:spacing w:line="440" w:lineRule="exact"/>
        <w:jc w:val="center"/>
        <w:rPr>
          <w:color w:val="auto"/>
          <w:highlight w:val="none"/>
        </w:rPr>
      </w:pPr>
    </w:p>
    <w:p>
      <w:pPr>
        <w:spacing w:line="440" w:lineRule="exact"/>
        <w:jc w:val="center"/>
        <w:rPr>
          <w:color w:val="auto"/>
          <w:szCs w:val="21"/>
          <w:highlight w:val="none"/>
        </w:rPr>
      </w:pPr>
    </w:p>
    <w:p>
      <w:pPr>
        <w:autoSpaceDE w:val="0"/>
        <w:autoSpaceDN w:val="0"/>
        <w:adjustRightInd w:val="0"/>
        <w:spacing w:line="440" w:lineRule="exact"/>
        <w:jc w:val="left"/>
        <w:rPr>
          <w:color w:val="auto"/>
          <w:highlight w:val="none"/>
        </w:rPr>
      </w:pPr>
    </w:p>
    <w:sectPr>
      <w:footerReference r:id="rId9" w:type="default"/>
      <w:pgSz w:w="11907" w:h="16839"/>
      <w:pgMar w:top="1418" w:right="1134" w:bottom="1134" w:left="1418" w:header="1418" w:footer="851"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Verdana">
    <w:panose1 w:val="020B0604030504040204"/>
    <w:charset w:val="00"/>
    <w:family w:val="swiss"/>
    <w:pitch w:val="default"/>
    <w:sig w:usb0="A00006FF" w:usb1="4000205B" w:usb2="00000010" w:usb3="00000000" w:csb0="2000019F"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rPr>
        <w:rStyle w:val="78"/>
      </w:rPr>
    </w:pPr>
    <w:r>
      <w:rPr>
        <w:rStyle w:val="78"/>
      </w:rPr>
      <w:fldChar w:fldCharType="begin"/>
    </w:r>
    <w:r>
      <w:rPr>
        <w:rStyle w:val="78"/>
      </w:rPr>
      <w:instrText xml:space="preserve">PAGE  </w:instrText>
    </w:r>
    <w:r>
      <w:rPr>
        <w:rStyle w:val="78"/>
      </w:rPr>
      <w:fldChar w:fldCharType="separate"/>
    </w:r>
    <w:r>
      <w:rPr>
        <w:rStyle w:val="78"/>
      </w:rPr>
      <w:t>1</w:t>
    </w:r>
    <w:r>
      <w:rPr>
        <w:rStyle w:val="7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right" w:y="1"/>
      <w:rPr>
        <w:rStyle w:val="78"/>
      </w:rPr>
    </w:pPr>
    <w:r>
      <w:rPr>
        <w:rStyle w:val="78"/>
      </w:rPr>
      <w:fldChar w:fldCharType="begin"/>
    </w:r>
    <w:r>
      <w:rPr>
        <w:rStyle w:val="78"/>
      </w:rPr>
      <w:instrText xml:space="preserve">PAGE  </w:instrText>
    </w:r>
    <w:r>
      <w:rPr>
        <w:rStyle w:val="78"/>
      </w:rPr>
      <w:fldChar w:fldCharType="separate"/>
    </w:r>
    <w:r>
      <w:rPr>
        <w:rStyle w:val="78"/>
      </w:rPr>
      <w:t>2</w:t>
    </w:r>
    <w:r>
      <w:rPr>
        <w:rStyle w:val="78"/>
      </w:rPr>
      <w:fldChar w:fldCharType="end"/>
    </w:r>
  </w:p>
  <w:p>
    <w:pPr>
      <w:pStyle w:val="4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jc w:val="center"/>
      <w:rPr>
        <w:rStyle w:val="78"/>
      </w:rPr>
    </w:pPr>
    <w:r>
      <w:rPr>
        <w:rStyle w:val="78"/>
      </w:rPr>
      <w:fldChar w:fldCharType="begin"/>
    </w:r>
    <w:r>
      <w:rPr>
        <w:rStyle w:val="78"/>
      </w:rPr>
      <w:instrText xml:space="preserve">PAGE  </w:instrText>
    </w:r>
    <w:r>
      <w:rPr>
        <w:rStyle w:val="78"/>
      </w:rPr>
      <w:fldChar w:fldCharType="separate"/>
    </w:r>
    <w:r>
      <w:rPr>
        <w:rStyle w:val="78"/>
      </w:rPr>
      <w:t>II</w:t>
    </w:r>
    <w:r>
      <w:rPr>
        <w:rStyle w:val="7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jc w:val="center"/>
      <w:rPr>
        <w:rStyle w:val="78"/>
      </w:rPr>
    </w:pPr>
    <w:r>
      <w:rPr>
        <w:rStyle w:val="78"/>
      </w:rPr>
      <w:fldChar w:fldCharType="begin"/>
    </w:r>
    <w:r>
      <w:rPr>
        <w:rStyle w:val="78"/>
      </w:rPr>
      <w:instrText xml:space="preserve">PAGE  </w:instrText>
    </w:r>
    <w:r>
      <w:rPr>
        <w:rStyle w:val="78"/>
      </w:rPr>
      <w:fldChar w:fldCharType="separate"/>
    </w:r>
    <w:r>
      <w:rPr>
        <w:rStyle w:val="78"/>
      </w:rPr>
      <w:t>4</w:t>
    </w:r>
    <w:r>
      <w:rPr>
        <w:rStyle w:val="7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7"/>
    </w:pPr>
    <w:r>
      <w:t>DB13/T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9"/>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7"/>
      <w:wordWrap w:val="0"/>
    </w:pPr>
    <w:r>
      <w:t>DB</w:t>
    </w:r>
    <w:r>
      <w:rPr>
        <w:rFonts w:hint="eastAsia" w:ascii="黑体"/>
      </w:rPr>
      <w:t>13</w:t>
    </w:r>
    <w:r>
      <w:t>/T</w:t>
    </w:r>
    <w:r>
      <w:rPr>
        <w:rFonts w:hint="eastAsia"/>
      </w:rPr>
      <w:t xml:space="preserve">   </w:t>
    </w:r>
    <w:r>
      <w:t>—</w:t>
    </w:r>
    <w:r>
      <w:rPr>
        <w:rFonts w:hint="eastAsia"/>
      </w:rPr>
      <w:t>20</w:t>
    </w:r>
    <w:r>
      <w:t>23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37"/>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55"/>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43"/>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35"/>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66"/>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42"/>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21"/>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32"/>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19"/>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39"/>
      <w:lvlText w:val=""/>
      <w:lvlJc w:val="left"/>
      <w:pPr>
        <w:tabs>
          <w:tab w:val="left" w:pos="360"/>
        </w:tabs>
        <w:ind w:left="360" w:hanging="360" w:hangingChars="200"/>
      </w:pPr>
      <w:rPr>
        <w:rFonts w:hint="default" w:ascii="Wingdings" w:hAnsi="Wingdings"/>
      </w:rPr>
    </w:lvl>
  </w:abstractNum>
  <w:abstractNum w:abstractNumId="10">
    <w:nsid w:val="0AE367E9"/>
    <w:multiLevelType w:val="multilevel"/>
    <w:tmpl w:val="0AE367E9"/>
    <w:lvl w:ilvl="0" w:tentative="0">
      <w:start w:val="1"/>
      <w:numFmt w:val="none"/>
      <w:pStyle w:val="137"/>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407E65F9"/>
    <w:multiLevelType w:val="multilevel"/>
    <w:tmpl w:val="407E65F9"/>
    <w:lvl w:ilvl="0" w:tentative="0">
      <w:start w:val="1"/>
      <w:numFmt w:val="none"/>
      <w:pStyle w:val="25"/>
      <w:lvlText w:val="%1●　"/>
      <w:lvlJc w:val="left"/>
      <w:pPr>
        <w:tabs>
          <w:tab w:val="left" w:pos="560"/>
        </w:tabs>
        <w:ind w:left="517" w:hanging="317"/>
      </w:pPr>
      <w:rPr>
        <w:rFonts w:hint="eastAsia" w:ascii="宋体" w:hAnsi="Times New Roman" w:eastAsia="宋体"/>
        <w:b w:val="0"/>
        <w:i w:val="0"/>
        <w:sz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2">
    <w:nsid w:val="46806F7D"/>
    <w:multiLevelType w:val="multilevel"/>
    <w:tmpl w:val="46806F7D"/>
    <w:lvl w:ilvl="0" w:tentative="0">
      <w:start w:val="1"/>
      <w:numFmt w:val="none"/>
      <w:pStyle w:val="125"/>
      <w:lvlText w:val="图"/>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46D22D8F"/>
    <w:multiLevelType w:val="multilevel"/>
    <w:tmpl w:val="46D22D8F"/>
    <w:lvl w:ilvl="0" w:tentative="0">
      <w:start w:val="1"/>
      <w:numFmt w:val="none"/>
      <w:pStyle w:val="150"/>
      <w:lvlText w:val="%1◆　"/>
      <w:lvlJc w:val="left"/>
      <w:pPr>
        <w:tabs>
          <w:tab w:val="left" w:pos="960"/>
        </w:tabs>
        <w:ind w:left="917" w:hanging="317"/>
      </w:pPr>
      <w:rPr>
        <w:rFonts w:hint="eastAsia" w:ascii="宋体" w:hAnsi="Times New Roman" w:eastAsia="宋体"/>
        <w:b w:val="0"/>
        <w:i w:val="0"/>
        <w:position w:val="4"/>
        <w:sz w:val="1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496E4D7B"/>
    <w:multiLevelType w:val="multilevel"/>
    <w:tmpl w:val="496E4D7B"/>
    <w:lvl w:ilvl="0" w:tentative="0">
      <w:start w:val="1"/>
      <w:numFmt w:val="none"/>
      <w:pStyle w:val="148"/>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4F302902"/>
    <w:multiLevelType w:val="multilevel"/>
    <w:tmpl w:val="4F302902"/>
    <w:lvl w:ilvl="0" w:tentative="0">
      <w:start w:val="1"/>
      <w:numFmt w:val="none"/>
      <w:pStyle w:val="119"/>
      <w:lvlText w:val="表"/>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557C2AF5"/>
    <w:multiLevelType w:val="multilevel"/>
    <w:tmpl w:val="557C2AF5"/>
    <w:lvl w:ilvl="0" w:tentative="0">
      <w:start w:val="1"/>
      <w:numFmt w:val="decimal"/>
      <w:pStyle w:val="146"/>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7">
    <w:nsid w:val="6350366A"/>
    <w:multiLevelType w:val="multilevel"/>
    <w:tmpl w:val="6350366A"/>
    <w:lvl w:ilvl="0" w:tentative="0">
      <w:start w:val="1"/>
      <w:numFmt w:val="none"/>
      <w:pStyle w:val="130"/>
      <w:lvlText w:val="%1●　"/>
      <w:lvlJc w:val="left"/>
      <w:pPr>
        <w:tabs>
          <w:tab w:val="left" w:pos="760"/>
        </w:tabs>
        <w:ind w:left="717" w:hanging="317"/>
      </w:pPr>
      <w:rPr>
        <w:rFonts w:hint="eastAsia" w:ascii="宋体" w:hAnsi="Times New Roman" w:eastAsia="宋体"/>
        <w:b w:val="0"/>
        <w:i w:val="0"/>
        <w:position w:val="4"/>
        <w:sz w:val="13"/>
      </w:rPr>
    </w:lvl>
    <w:lvl w:ilvl="1" w:tentative="0">
      <w:start w:val="1"/>
      <w:numFmt w:val="lowerLetter"/>
      <w:lvlText w:val="%2)"/>
      <w:lvlJc w:val="left"/>
      <w:pPr>
        <w:tabs>
          <w:tab w:val="left" w:pos="780"/>
        </w:tabs>
        <w:ind w:left="780" w:hanging="360"/>
      </w:pPr>
      <w:rPr>
        <w:rFonts w:hint="eastAsia"/>
      </w:rPr>
    </w:lvl>
    <w:lvl w:ilvl="2" w:tentative="0">
      <w:start w:val="1"/>
      <w:numFmt w:val="decimal"/>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646260FA"/>
    <w:multiLevelType w:val="multilevel"/>
    <w:tmpl w:val="646260FA"/>
    <w:lvl w:ilvl="0" w:tentative="0">
      <w:start w:val="1"/>
      <w:numFmt w:val="decimal"/>
      <w:pStyle w:val="145"/>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9">
    <w:nsid w:val="657D3FBC"/>
    <w:multiLevelType w:val="multilevel"/>
    <w:tmpl w:val="657D3FBC"/>
    <w:lvl w:ilvl="0" w:tentative="0">
      <w:start w:val="1"/>
      <w:numFmt w:val="upperLetter"/>
      <w:pStyle w:val="118"/>
      <w:suff w:val="nothing"/>
      <w:lvlText w:val="附　录　%1"/>
      <w:lvlJc w:val="left"/>
      <w:pPr>
        <w:ind w:left="0" w:firstLine="0"/>
      </w:pPr>
      <w:rPr>
        <w:rFonts w:hint="eastAsia" w:ascii="黑体" w:hAnsi="Times New Roman" w:eastAsia="黑体"/>
        <w:b w:val="0"/>
        <w:i w:val="0"/>
        <w:sz w:val="24"/>
        <w:szCs w:val="24"/>
      </w:rPr>
    </w:lvl>
    <w:lvl w:ilvl="1" w:tentative="0">
      <w:start w:val="1"/>
      <w:numFmt w:val="decimal"/>
      <w:pStyle w:val="120"/>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pStyle w:val="12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0">
    <w:nsid w:val="6CEA2025"/>
    <w:multiLevelType w:val="multilevel"/>
    <w:tmpl w:val="6CEA2025"/>
    <w:lvl w:ilvl="0" w:tentative="0">
      <w:start w:val="1"/>
      <w:numFmt w:val="none"/>
      <w:pStyle w:val="100"/>
      <w:suff w:val="nothing"/>
      <w:lvlText w:val="%1"/>
      <w:lvlJc w:val="left"/>
      <w:pPr>
        <w:ind w:left="0" w:firstLine="0"/>
      </w:pPr>
      <w:rPr>
        <w:rFonts w:hint="default" w:ascii="Times New Roman" w:hAnsi="Times New Roman"/>
        <w:b/>
        <w:i w:val="0"/>
        <w:sz w:val="21"/>
      </w:rPr>
    </w:lvl>
    <w:lvl w:ilvl="1" w:tentative="0">
      <w:start w:val="1"/>
      <w:numFmt w:val="decimal"/>
      <w:pStyle w:val="103"/>
      <w:suff w:val="nothing"/>
      <w:lvlText w:val="%1%2　"/>
      <w:lvlJc w:val="left"/>
      <w:pPr>
        <w:ind w:left="315" w:firstLine="0"/>
      </w:pPr>
      <w:rPr>
        <w:rFonts w:hint="eastAsia" w:ascii="黑体" w:hAnsi="Times New Roman" w:eastAsia="黑体"/>
        <w:b w:val="0"/>
        <w:i w:val="0"/>
        <w:sz w:val="24"/>
        <w:szCs w:val="24"/>
      </w:rPr>
    </w:lvl>
    <w:lvl w:ilvl="2" w:tentative="0">
      <w:start w:val="1"/>
      <w:numFmt w:val="decimal"/>
      <w:pStyle w:val="104"/>
      <w:suff w:val="nothing"/>
      <w:lvlText w:val="%1%2.%3　"/>
      <w:lvlJc w:val="left"/>
      <w:pPr>
        <w:ind w:left="0" w:firstLine="0"/>
      </w:pPr>
      <w:rPr>
        <w:rFonts w:hint="default" w:ascii="Times New Roman" w:hAnsi="Times New Roman" w:eastAsia="黑体" w:cs="Times New Roman"/>
        <w:b w:val="0"/>
        <w:i w:val="0"/>
        <w:sz w:val="21"/>
      </w:rPr>
    </w:lvl>
    <w:lvl w:ilvl="3" w:tentative="0">
      <w:start w:val="1"/>
      <w:numFmt w:val="decimal"/>
      <w:pStyle w:val="105"/>
      <w:suff w:val="nothing"/>
      <w:lvlText w:val="%1%2.%3.%4　"/>
      <w:lvlJc w:val="left"/>
      <w:pPr>
        <w:ind w:left="840" w:firstLine="0"/>
      </w:pPr>
      <w:rPr>
        <w:rFonts w:hint="default" w:ascii="Times New Roman" w:hAnsi="Times New Roman" w:eastAsia="黑体" w:cs="Times New Roman"/>
        <w:b w:val="0"/>
        <w:i w:val="0"/>
        <w:sz w:val="21"/>
      </w:rPr>
    </w:lvl>
    <w:lvl w:ilvl="4" w:tentative="0">
      <w:start w:val="1"/>
      <w:numFmt w:val="decimal"/>
      <w:pStyle w:val="135"/>
      <w:suff w:val="nothing"/>
      <w:lvlText w:val="%1%2.%3.%4.%5　"/>
      <w:lvlJc w:val="left"/>
      <w:pPr>
        <w:ind w:left="0" w:firstLine="0"/>
      </w:pPr>
      <w:rPr>
        <w:rFonts w:hint="eastAsia" w:ascii="黑体" w:hAnsi="Times New Roman" w:eastAsia="黑体"/>
        <w:b w:val="0"/>
        <w:i w:val="0"/>
        <w:sz w:val="21"/>
      </w:rPr>
    </w:lvl>
    <w:lvl w:ilvl="5" w:tentative="0">
      <w:start w:val="1"/>
      <w:numFmt w:val="decimal"/>
      <w:pStyle w:val="139"/>
      <w:suff w:val="nothing"/>
      <w:lvlText w:val="%1%2.%3.%4.%5.%6　"/>
      <w:lvlJc w:val="left"/>
      <w:pPr>
        <w:ind w:left="0" w:firstLine="0"/>
      </w:pPr>
      <w:rPr>
        <w:rFonts w:hint="eastAsia" w:ascii="黑体" w:hAnsi="Times New Roman" w:eastAsia="黑体"/>
        <w:b w:val="0"/>
        <w:i w:val="0"/>
        <w:sz w:val="21"/>
      </w:rPr>
    </w:lvl>
    <w:lvl w:ilvl="6" w:tentative="0">
      <w:start w:val="1"/>
      <w:numFmt w:val="decimal"/>
      <w:pStyle w:val="14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1">
    <w:nsid w:val="6DBF04F4"/>
    <w:multiLevelType w:val="multilevel"/>
    <w:tmpl w:val="6DBF04F4"/>
    <w:lvl w:ilvl="0" w:tentative="0">
      <w:start w:val="1"/>
      <w:numFmt w:val="none"/>
      <w:pStyle w:val="147"/>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76933334"/>
    <w:multiLevelType w:val="multilevel"/>
    <w:tmpl w:val="76933334"/>
    <w:lvl w:ilvl="0" w:tentative="0">
      <w:start w:val="1"/>
      <w:numFmt w:val="none"/>
      <w:pStyle w:val="129"/>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8"/>
  </w:num>
  <w:num w:numId="2">
    <w:abstractNumId w:val="6"/>
  </w:num>
  <w:num w:numId="3">
    <w:abstractNumId w:val="11"/>
  </w:num>
  <w:num w:numId="4">
    <w:abstractNumId w:val="7"/>
  </w:num>
  <w:num w:numId="5">
    <w:abstractNumId w:val="3"/>
  </w:num>
  <w:num w:numId="6">
    <w:abstractNumId w:val="0"/>
  </w:num>
  <w:num w:numId="7">
    <w:abstractNumId w:val="9"/>
  </w:num>
  <w:num w:numId="8">
    <w:abstractNumId w:val="5"/>
  </w:num>
  <w:num w:numId="9">
    <w:abstractNumId w:val="2"/>
  </w:num>
  <w:num w:numId="10">
    <w:abstractNumId w:val="1"/>
  </w:num>
  <w:num w:numId="11">
    <w:abstractNumId w:val="4"/>
  </w:num>
  <w:num w:numId="12">
    <w:abstractNumId w:val="20"/>
  </w:num>
  <w:num w:numId="13">
    <w:abstractNumId w:val="19"/>
  </w:num>
  <w:num w:numId="14">
    <w:abstractNumId w:val="15"/>
  </w:num>
  <w:num w:numId="15">
    <w:abstractNumId w:val="12"/>
  </w:num>
  <w:num w:numId="16">
    <w:abstractNumId w:val="22"/>
  </w:num>
  <w:num w:numId="17">
    <w:abstractNumId w:val="17"/>
  </w:num>
  <w:num w:numId="18">
    <w:abstractNumId w:val="10"/>
  </w:num>
  <w:num w:numId="19">
    <w:abstractNumId w:val="18"/>
  </w:num>
  <w:num w:numId="20">
    <w:abstractNumId w:val="16"/>
  </w:num>
  <w:num w:numId="21">
    <w:abstractNumId w:val="21"/>
  </w:num>
  <w:num w:numId="22">
    <w:abstractNumId w:val="14"/>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RjMzk5ZWFjODBkNTU4ZDQxOWUxOTg1M2I2NGRjMTEifQ=="/>
  </w:docVars>
  <w:rsids>
    <w:rsidRoot w:val="00350028"/>
    <w:rsid w:val="000015D9"/>
    <w:rsid w:val="000022D9"/>
    <w:rsid w:val="00003317"/>
    <w:rsid w:val="00005FCB"/>
    <w:rsid w:val="00007928"/>
    <w:rsid w:val="000079F4"/>
    <w:rsid w:val="00007D6F"/>
    <w:rsid w:val="0001019C"/>
    <w:rsid w:val="0001210B"/>
    <w:rsid w:val="0001321C"/>
    <w:rsid w:val="00016FC0"/>
    <w:rsid w:val="00017D75"/>
    <w:rsid w:val="000245AB"/>
    <w:rsid w:val="00024BF4"/>
    <w:rsid w:val="000257D0"/>
    <w:rsid w:val="0003430B"/>
    <w:rsid w:val="000362DA"/>
    <w:rsid w:val="000369E1"/>
    <w:rsid w:val="0004098A"/>
    <w:rsid w:val="00051819"/>
    <w:rsid w:val="0005363E"/>
    <w:rsid w:val="00053A50"/>
    <w:rsid w:val="00054892"/>
    <w:rsid w:val="00054940"/>
    <w:rsid w:val="00055AE5"/>
    <w:rsid w:val="00057F91"/>
    <w:rsid w:val="00062346"/>
    <w:rsid w:val="00062394"/>
    <w:rsid w:val="00062A2C"/>
    <w:rsid w:val="0006590C"/>
    <w:rsid w:val="000660F7"/>
    <w:rsid w:val="00066821"/>
    <w:rsid w:val="00070A9D"/>
    <w:rsid w:val="000724AF"/>
    <w:rsid w:val="000724EC"/>
    <w:rsid w:val="00072F09"/>
    <w:rsid w:val="00075651"/>
    <w:rsid w:val="00075E08"/>
    <w:rsid w:val="0007616C"/>
    <w:rsid w:val="0007676C"/>
    <w:rsid w:val="00077628"/>
    <w:rsid w:val="000776F5"/>
    <w:rsid w:val="00077728"/>
    <w:rsid w:val="00080156"/>
    <w:rsid w:val="00083AD7"/>
    <w:rsid w:val="00087910"/>
    <w:rsid w:val="00087C1F"/>
    <w:rsid w:val="00087FBD"/>
    <w:rsid w:val="0009025A"/>
    <w:rsid w:val="000936E8"/>
    <w:rsid w:val="000939AB"/>
    <w:rsid w:val="00093A9C"/>
    <w:rsid w:val="00094C10"/>
    <w:rsid w:val="00097F3F"/>
    <w:rsid w:val="000A01F7"/>
    <w:rsid w:val="000A03F5"/>
    <w:rsid w:val="000A05BC"/>
    <w:rsid w:val="000A0FFC"/>
    <w:rsid w:val="000A222C"/>
    <w:rsid w:val="000A5C19"/>
    <w:rsid w:val="000B011D"/>
    <w:rsid w:val="000B0327"/>
    <w:rsid w:val="000B04FC"/>
    <w:rsid w:val="000B14EA"/>
    <w:rsid w:val="000B2735"/>
    <w:rsid w:val="000B2FE9"/>
    <w:rsid w:val="000B77AA"/>
    <w:rsid w:val="000C13F9"/>
    <w:rsid w:val="000C22C3"/>
    <w:rsid w:val="000C51AA"/>
    <w:rsid w:val="000C51F0"/>
    <w:rsid w:val="000C6D2F"/>
    <w:rsid w:val="000D0ABF"/>
    <w:rsid w:val="000D1709"/>
    <w:rsid w:val="000D2276"/>
    <w:rsid w:val="000D2A83"/>
    <w:rsid w:val="000D37F4"/>
    <w:rsid w:val="000D451C"/>
    <w:rsid w:val="000D51EA"/>
    <w:rsid w:val="000D56E2"/>
    <w:rsid w:val="000D5882"/>
    <w:rsid w:val="000D7176"/>
    <w:rsid w:val="000E1046"/>
    <w:rsid w:val="000E10B3"/>
    <w:rsid w:val="000E13F4"/>
    <w:rsid w:val="000E224D"/>
    <w:rsid w:val="000E2E37"/>
    <w:rsid w:val="000E4B5D"/>
    <w:rsid w:val="000E6AC4"/>
    <w:rsid w:val="000F0066"/>
    <w:rsid w:val="000F0228"/>
    <w:rsid w:val="000F0BE8"/>
    <w:rsid w:val="000F4D36"/>
    <w:rsid w:val="000F5F8F"/>
    <w:rsid w:val="000F6509"/>
    <w:rsid w:val="001003F3"/>
    <w:rsid w:val="0010083C"/>
    <w:rsid w:val="001013B1"/>
    <w:rsid w:val="001015E5"/>
    <w:rsid w:val="00101FD2"/>
    <w:rsid w:val="001026DB"/>
    <w:rsid w:val="00103A9D"/>
    <w:rsid w:val="00104921"/>
    <w:rsid w:val="00104C81"/>
    <w:rsid w:val="00106767"/>
    <w:rsid w:val="0011029A"/>
    <w:rsid w:val="00110340"/>
    <w:rsid w:val="0011254C"/>
    <w:rsid w:val="001156A3"/>
    <w:rsid w:val="001158AE"/>
    <w:rsid w:val="0011621C"/>
    <w:rsid w:val="0012053D"/>
    <w:rsid w:val="00121704"/>
    <w:rsid w:val="00121BA4"/>
    <w:rsid w:val="00123222"/>
    <w:rsid w:val="00123B7F"/>
    <w:rsid w:val="00124225"/>
    <w:rsid w:val="00124BA3"/>
    <w:rsid w:val="0013286B"/>
    <w:rsid w:val="00133BB0"/>
    <w:rsid w:val="001352EA"/>
    <w:rsid w:val="00135B39"/>
    <w:rsid w:val="001361EB"/>
    <w:rsid w:val="00136D8C"/>
    <w:rsid w:val="001429E9"/>
    <w:rsid w:val="001439BF"/>
    <w:rsid w:val="00143AAE"/>
    <w:rsid w:val="00145C6B"/>
    <w:rsid w:val="001542A6"/>
    <w:rsid w:val="00155F51"/>
    <w:rsid w:val="001562D0"/>
    <w:rsid w:val="001571DC"/>
    <w:rsid w:val="00157CDA"/>
    <w:rsid w:val="00157E75"/>
    <w:rsid w:val="00157F5B"/>
    <w:rsid w:val="00160488"/>
    <w:rsid w:val="00161051"/>
    <w:rsid w:val="00161334"/>
    <w:rsid w:val="00164E04"/>
    <w:rsid w:val="001663C8"/>
    <w:rsid w:val="00167936"/>
    <w:rsid w:val="00174E33"/>
    <w:rsid w:val="00174ECF"/>
    <w:rsid w:val="00175179"/>
    <w:rsid w:val="00175A5A"/>
    <w:rsid w:val="001767BD"/>
    <w:rsid w:val="001817F6"/>
    <w:rsid w:val="00185508"/>
    <w:rsid w:val="001922F9"/>
    <w:rsid w:val="00193F1B"/>
    <w:rsid w:val="00193FA1"/>
    <w:rsid w:val="00194561"/>
    <w:rsid w:val="00194CDF"/>
    <w:rsid w:val="00194E11"/>
    <w:rsid w:val="001958DC"/>
    <w:rsid w:val="001967CC"/>
    <w:rsid w:val="001A030B"/>
    <w:rsid w:val="001A058C"/>
    <w:rsid w:val="001A1FE9"/>
    <w:rsid w:val="001A2400"/>
    <w:rsid w:val="001A255D"/>
    <w:rsid w:val="001A3765"/>
    <w:rsid w:val="001B05AA"/>
    <w:rsid w:val="001B0643"/>
    <w:rsid w:val="001B162A"/>
    <w:rsid w:val="001B245B"/>
    <w:rsid w:val="001B425B"/>
    <w:rsid w:val="001B431B"/>
    <w:rsid w:val="001B4813"/>
    <w:rsid w:val="001B48F2"/>
    <w:rsid w:val="001B53BE"/>
    <w:rsid w:val="001B5F3A"/>
    <w:rsid w:val="001B67B8"/>
    <w:rsid w:val="001C0985"/>
    <w:rsid w:val="001C24C0"/>
    <w:rsid w:val="001C3427"/>
    <w:rsid w:val="001C3BD4"/>
    <w:rsid w:val="001C5F45"/>
    <w:rsid w:val="001C75F2"/>
    <w:rsid w:val="001D0E65"/>
    <w:rsid w:val="001D2EAA"/>
    <w:rsid w:val="001D34BF"/>
    <w:rsid w:val="001D384D"/>
    <w:rsid w:val="001D4053"/>
    <w:rsid w:val="001D51BF"/>
    <w:rsid w:val="001D5561"/>
    <w:rsid w:val="001D59AA"/>
    <w:rsid w:val="001E1562"/>
    <w:rsid w:val="001E3E6E"/>
    <w:rsid w:val="001E4DCC"/>
    <w:rsid w:val="001E56DC"/>
    <w:rsid w:val="001E59EE"/>
    <w:rsid w:val="001E5D73"/>
    <w:rsid w:val="001E7050"/>
    <w:rsid w:val="001E7B09"/>
    <w:rsid w:val="001F0578"/>
    <w:rsid w:val="001F3F3C"/>
    <w:rsid w:val="001F5E12"/>
    <w:rsid w:val="002002C5"/>
    <w:rsid w:val="00200391"/>
    <w:rsid w:val="00203AAC"/>
    <w:rsid w:val="0020575E"/>
    <w:rsid w:val="002065E9"/>
    <w:rsid w:val="00206AA1"/>
    <w:rsid w:val="00207E83"/>
    <w:rsid w:val="00213879"/>
    <w:rsid w:val="00214899"/>
    <w:rsid w:val="00215F01"/>
    <w:rsid w:val="002160EF"/>
    <w:rsid w:val="00216E4E"/>
    <w:rsid w:val="0022092A"/>
    <w:rsid w:val="00221320"/>
    <w:rsid w:val="00221C08"/>
    <w:rsid w:val="00222099"/>
    <w:rsid w:val="002246DA"/>
    <w:rsid w:val="00225C80"/>
    <w:rsid w:val="00232F90"/>
    <w:rsid w:val="002345C5"/>
    <w:rsid w:val="00237D0E"/>
    <w:rsid w:val="00240E50"/>
    <w:rsid w:val="0024138F"/>
    <w:rsid w:val="00241703"/>
    <w:rsid w:val="00244D2C"/>
    <w:rsid w:val="00247469"/>
    <w:rsid w:val="00247F1F"/>
    <w:rsid w:val="0025081E"/>
    <w:rsid w:val="00251849"/>
    <w:rsid w:val="00252810"/>
    <w:rsid w:val="00253A8C"/>
    <w:rsid w:val="00256766"/>
    <w:rsid w:val="002572EC"/>
    <w:rsid w:val="00257321"/>
    <w:rsid w:val="00260C28"/>
    <w:rsid w:val="0026122A"/>
    <w:rsid w:val="00261A5A"/>
    <w:rsid w:val="00261FC8"/>
    <w:rsid w:val="002625C4"/>
    <w:rsid w:val="00262DEA"/>
    <w:rsid w:val="00262EC7"/>
    <w:rsid w:val="00263514"/>
    <w:rsid w:val="00264007"/>
    <w:rsid w:val="00265298"/>
    <w:rsid w:val="00273E98"/>
    <w:rsid w:val="00274B45"/>
    <w:rsid w:val="00275B08"/>
    <w:rsid w:val="00276EB7"/>
    <w:rsid w:val="00276F1C"/>
    <w:rsid w:val="00277160"/>
    <w:rsid w:val="0028036F"/>
    <w:rsid w:val="002805A8"/>
    <w:rsid w:val="0028095C"/>
    <w:rsid w:val="002825B8"/>
    <w:rsid w:val="002835B0"/>
    <w:rsid w:val="002851E1"/>
    <w:rsid w:val="00285CE8"/>
    <w:rsid w:val="00286617"/>
    <w:rsid w:val="00286D47"/>
    <w:rsid w:val="00286F40"/>
    <w:rsid w:val="00287483"/>
    <w:rsid w:val="00290E5F"/>
    <w:rsid w:val="0029194E"/>
    <w:rsid w:val="00292024"/>
    <w:rsid w:val="0029256E"/>
    <w:rsid w:val="00293EEA"/>
    <w:rsid w:val="002951E8"/>
    <w:rsid w:val="00295602"/>
    <w:rsid w:val="00297C1C"/>
    <w:rsid w:val="002A11F1"/>
    <w:rsid w:val="002A26F1"/>
    <w:rsid w:val="002A2CF1"/>
    <w:rsid w:val="002A4E3B"/>
    <w:rsid w:val="002B19ED"/>
    <w:rsid w:val="002B1B33"/>
    <w:rsid w:val="002B2C7B"/>
    <w:rsid w:val="002B6CD4"/>
    <w:rsid w:val="002B6ED0"/>
    <w:rsid w:val="002B6FC1"/>
    <w:rsid w:val="002C007D"/>
    <w:rsid w:val="002C6E49"/>
    <w:rsid w:val="002C750B"/>
    <w:rsid w:val="002D44BA"/>
    <w:rsid w:val="002D6438"/>
    <w:rsid w:val="002D6DA0"/>
    <w:rsid w:val="002E1E3D"/>
    <w:rsid w:val="002E677B"/>
    <w:rsid w:val="002F1F50"/>
    <w:rsid w:val="002F255B"/>
    <w:rsid w:val="002F3CE0"/>
    <w:rsid w:val="002F4655"/>
    <w:rsid w:val="002F5063"/>
    <w:rsid w:val="00300CA4"/>
    <w:rsid w:val="00301A32"/>
    <w:rsid w:val="00302264"/>
    <w:rsid w:val="00302A17"/>
    <w:rsid w:val="0030520B"/>
    <w:rsid w:val="003068E0"/>
    <w:rsid w:val="00312559"/>
    <w:rsid w:val="00312C94"/>
    <w:rsid w:val="003155C2"/>
    <w:rsid w:val="0031602E"/>
    <w:rsid w:val="003166FD"/>
    <w:rsid w:val="00320AB1"/>
    <w:rsid w:val="00323ABF"/>
    <w:rsid w:val="00327655"/>
    <w:rsid w:val="00330298"/>
    <w:rsid w:val="003306CC"/>
    <w:rsid w:val="00330759"/>
    <w:rsid w:val="00330F65"/>
    <w:rsid w:val="00333067"/>
    <w:rsid w:val="003346CE"/>
    <w:rsid w:val="003359CB"/>
    <w:rsid w:val="00335ADD"/>
    <w:rsid w:val="00337F74"/>
    <w:rsid w:val="00340116"/>
    <w:rsid w:val="003419FA"/>
    <w:rsid w:val="00343B7E"/>
    <w:rsid w:val="003457CE"/>
    <w:rsid w:val="00346768"/>
    <w:rsid w:val="0034691A"/>
    <w:rsid w:val="00346F21"/>
    <w:rsid w:val="0034725E"/>
    <w:rsid w:val="003478A4"/>
    <w:rsid w:val="00347D90"/>
    <w:rsid w:val="00350028"/>
    <w:rsid w:val="00351DFC"/>
    <w:rsid w:val="003520A0"/>
    <w:rsid w:val="00352B38"/>
    <w:rsid w:val="0035400C"/>
    <w:rsid w:val="00355063"/>
    <w:rsid w:val="00362265"/>
    <w:rsid w:val="003623E7"/>
    <w:rsid w:val="00363216"/>
    <w:rsid w:val="00364B87"/>
    <w:rsid w:val="00365E88"/>
    <w:rsid w:val="0036680B"/>
    <w:rsid w:val="0037359C"/>
    <w:rsid w:val="0037490D"/>
    <w:rsid w:val="00375A7B"/>
    <w:rsid w:val="003776C7"/>
    <w:rsid w:val="00377814"/>
    <w:rsid w:val="0038117E"/>
    <w:rsid w:val="00381852"/>
    <w:rsid w:val="00381DD0"/>
    <w:rsid w:val="00382CD8"/>
    <w:rsid w:val="00383D32"/>
    <w:rsid w:val="0038536F"/>
    <w:rsid w:val="00386D17"/>
    <w:rsid w:val="00394B88"/>
    <w:rsid w:val="003958C2"/>
    <w:rsid w:val="00396F86"/>
    <w:rsid w:val="00397998"/>
    <w:rsid w:val="003A2575"/>
    <w:rsid w:val="003A59C9"/>
    <w:rsid w:val="003A74E7"/>
    <w:rsid w:val="003B1205"/>
    <w:rsid w:val="003B2446"/>
    <w:rsid w:val="003B485A"/>
    <w:rsid w:val="003B4A48"/>
    <w:rsid w:val="003B68AA"/>
    <w:rsid w:val="003C0C1E"/>
    <w:rsid w:val="003C1F77"/>
    <w:rsid w:val="003C21D5"/>
    <w:rsid w:val="003C2B28"/>
    <w:rsid w:val="003C3943"/>
    <w:rsid w:val="003C41C8"/>
    <w:rsid w:val="003C4547"/>
    <w:rsid w:val="003C514D"/>
    <w:rsid w:val="003C525B"/>
    <w:rsid w:val="003C6F59"/>
    <w:rsid w:val="003C702D"/>
    <w:rsid w:val="003D03D3"/>
    <w:rsid w:val="003E0346"/>
    <w:rsid w:val="003E598E"/>
    <w:rsid w:val="003E6438"/>
    <w:rsid w:val="003F01E5"/>
    <w:rsid w:val="003F01EA"/>
    <w:rsid w:val="003F07E6"/>
    <w:rsid w:val="003F0D16"/>
    <w:rsid w:val="003F0EA8"/>
    <w:rsid w:val="003F129D"/>
    <w:rsid w:val="003F211B"/>
    <w:rsid w:val="003F5586"/>
    <w:rsid w:val="004006E5"/>
    <w:rsid w:val="00401EDA"/>
    <w:rsid w:val="004032C3"/>
    <w:rsid w:val="004038D7"/>
    <w:rsid w:val="00404BBB"/>
    <w:rsid w:val="00405831"/>
    <w:rsid w:val="00405BA7"/>
    <w:rsid w:val="004109E4"/>
    <w:rsid w:val="004128C2"/>
    <w:rsid w:val="00412F82"/>
    <w:rsid w:val="0041340A"/>
    <w:rsid w:val="00413A3C"/>
    <w:rsid w:val="00413B15"/>
    <w:rsid w:val="00413CBF"/>
    <w:rsid w:val="00414A34"/>
    <w:rsid w:val="0041600F"/>
    <w:rsid w:val="00421360"/>
    <w:rsid w:val="00421C7A"/>
    <w:rsid w:val="004222D7"/>
    <w:rsid w:val="0042382C"/>
    <w:rsid w:val="00423B83"/>
    <w:rsid w:val="00424048"/>
    <w:rsid w:val="004240C9"/>
    <w:rsid w:val="004241E1"/>
    <w:rsid w:val="00425F8F"/>
    <w:rsid w:val="004302EF"/>
    <w:rsid w:val="00430336"/>
    <w:rsid w:val="0043069E"/>
    <w:rsid w:val="0043338F"/>
    <w:rsid w:val="004353AD"/>
    <w:rsid w:val="00440BA6"/>
    <w:rsid w:val="00440E3E"/>
    <w:rsid w:val="0044491C"/>
    <w:rsid w:val="0044596E"/>
    <w:rsid w:val="00447976"/>
    <w:rsid w:val="0045002E"/>
    <w:rsid w:val="00450167"/>
    <w:rsid w:val="00452112"/>
    <w:rsid w:val="00453AD5"/>
    <w:rsid w:val="00453C5B"/>
    <w:rsid w:val="00453E54"/>
    <w:rsid w:val="00454DFC"/>
    <w:rsid w:val="0045592C"/>
    <w:rsid w:val="00455D48"/>
    <w:rsid w:val="004562F2"/>
    <w:rsid w:val="004575B9"/>
    <w:rsid w:val="00460711"/>
    <w:rsid w:val="00460932"/>
    <w:rsid w:val="00463A2A"/>
    <w:rsid w:val="0046417E"/>
    <w:rsid w:val="00464766"/>
    <w:rsid w:val="00464A5B"/>
    <w:rsid w:val="00464BAE"/>
    <w:rsid w:val="004675F1"/>
    <w:rsid w:val="004743F4"/>
    <w:rsid w:val="00480E68"/>
    <w:rsid w:val="004818C2"/>
    <w:rsid w:val="00481C07"/>
    <w:rsid w:val="004835A1"/>
    <w:rsid w:val="00485F8C"/>
    <w:rsid w:val="00486132"/>
    <w:rsid w:val="00486212"/>
    <w:rsid w:val="00495236"/>
    <w:rsid w:val="0049595D"/>
    <w:rsid w:val="004974E7"/>
    <w:rsid w:val="004A073C"/>
    <w:rsid w:val="004A1B73"/>
    <w:rsid w:val="004A1F10"/>
    <w:rsid w:val="004A2965"/>
    <w:rsid w:val="004A37F2"/>
    <w:rsid w:val="004A5111"/>
    <w:rsid w:val="004A6023"/>
    <w:rsid w:val="004A68B2"/>
    <w:rsid w:val="004B4661"/>
    <w:rsid w:val="004B4A5C"/>
    <w:rsid w:val="004B5821"/>
    <w:rsid w:val="004B7CB8"/>
    <w:rsid w:val="004C0A9C"/>
    <w:rsid w:val="004C2DAE"/>
    <w:rsid w:val="004C7E66"/>
    <w:rsid w:val="004D0B77"/>
    <w:rsid w:val="004D0E09"/>
    <w:rsid w:val="004D2053"/>
    <w:rsid w:val="004D518C"/>
    <w:rsid w:val="004D5CC8"/>
    <w:rsid w:val="004D60CD"/>
    <w:rsid w:val="004D69B5"/>
    <w:rsid w:val="004E07BE"/>
    <w:rsid w:val="004E2FF6"/>
    <w:rsid w:val="004E773D"/>
    <w:rsid w:val="004E7A9F"/>
    <w:rsid w:val="004E7F99"/>
    <w:rsid w:val="004F0625"/>
    <w:rsid w:val="004F2D9F"/>
    <w:rsid w:val="004F355E"/>
    <w:rsid w:val="004F47AC"/>
    <w:rsid w:val="004F6AF8"/>
    <w:rsid w:val="00500A2E"/>
    <w:rsid w:val="00503421"/>
    <w:rsid w:val="005039E7"/>
    <w:rsid w:val="0050588D"/>
    <w:rsid w:val="00507BB6"/>
    <w:rsid w:val="0051367B"/>
    <w:rsid w:val="00514272"/>
    <w:rsid w:val="00515225"/>
    <w:rsid w:val="005160F4"/>
    <w:rsid w:val="00516ACF"/>
    <w:rsid w:val="0052003E"/>
    <w:rsid w:val="00523894"/>
    <w:rsid w:val="005245D0"/>
    <w:rsid w:val="00526EDF"/>
    <w:rsid w:val="00527E8A"/>
    <w:rsid w:val="00527F15"/>
    <w:rsid w:val="00530449"/>
    <w:rsid w:val="00531ECD"/>
    <w:rsid w:val="00533C1D"/>
    <w:rsid w:val="00535B7E"/>
    <w:rsid w:val="00537062"/>
    <w:rsid w:val="0053706C"/>
    <w:rsid w:val="00537208"/>
    <w:rsid w:val="00537E01"/>
    <w:rsid w:val="0054173D"/>
    <w:rsid w:val="00543B48"/>
    <w:rsid w:val="00543F5D"/>
    <w:rsid w:val="00544AE3"/>
    <w:rsid w:val="00545BB5"/>
    <w:rsid w:val="00546C65"/>
    <w:rsid w:val="0055418B"/>
    <w:rsid w:val="00554614"/>
    <w:rsid w:val="00554B2A"/>
    <w:rsid w:val="00557027"/>
    <w:rsid w:val="00561873"/>
    <w:rsid w:val="00561CE7"/>
    <w:rsid w:val="005626D0"/>
    <w:rsid w:val="00563E6E"/>
    <w:rsid w:val="00565989"/>
    <w:rsid w:val="005668BB"/>
    <w:rsid w:val="00570EC6"/>
    <w:rsid w:val="00571AEF"/>
    <w:rsid w:val="005725D2"/>
    <w:rsid w:val="00573250"/>
    <w:rsid w:val="00573A6B"/>
    <w:rsid w:val="00575D4B"/>
    <w:rsid w:val="00577BB1"/>
    <w:rsid w:val="00580D31"/>
    <w:rsid w:val="00581918"/>
    <w:rsid w:val="00585D48"/>
    <w:rsid w:val="00585D7C"/>
    <w:rsid w:val="00585F87"/>
    <w:rsid w:val="00592C70"/>
    <w:rsid w:val="00592DBB"/>
    <w:rsid w:val="00592E95"/>
    <w:rsid w:val="00597A3A"/>
    <w:rsid w:val="005A0700"/>
    <w:rsid w:val="005A0F05"/>
    <w:rsid w:val="005A242F"/>
    <w:rsid w:val="005A257E"/>
    <w:rsid w:val="005A3EC9"/>
    <w:rsid w:val="005B207D"/>
    <w:rsid w:val="005B35F0"/>
    <w:rsid w:val="005B46F9"/>
    <w:rsid w:val="005B4B6A"/>
    <w:rsid w:val="005B6821"/>
    <w:rsid w:val="005B6C8C"/>
    <w:rsid w:val="005B7039"/>
    <w:rsid w:val="005C0187"/>
    <w:rsid w:val="005C06B8"/>
    <w:rsid w:val="005C0734"/>
    <w:rsid w:val="005C1D3A"/>
    <w:rsid w:val="005C52CC"/>
    <w:rsid w:val="005C6761"/>
    <w:rsid w:val="005C68E8"/>
    <w:rsid w:val="005C6E41"/>
    <w:rsid w:val="005D0225"/>
    <w:rsid w:val="005D0499"/>
    <w:rsid w:val="005D14C0"/>
    <w:rsid w:val="005D2571"/>
    <w:rsid w:val="005D2C41"/>
    <w:rsid w:val="005D398A"/>
    <w:rsid w:val="005D3E1D"/>
    <w:rsid w:val="005D4356"/>
    <w:rsid w:val="005D576A"/>
    <w:rsid w:val="005D7CAB"/>
    <w:rsid w:val="005E01E8"/>
    <w:rsid w:val="005E11F8"/>
    <w:rsid w:val="005E1607"/>
    <w:rsid w:val="005E20A2"/>
    <w:rsid w:val="005E38A2"/>
    <w:rsid w:val="005E7B35"/>
    <w:rsid w:val="005F0E19"/>
    <w:rsid w:val="005F0FD4"/>
    <w:rsid w:val="005F1176"/>
    <w:rsid w:val="005F67FB"/>
    <w:rsid w:val="005F7984"/>
    <w:rsid w:val="00605BAF"/>
    <w:rsid w:val="0060684D"/>
    <w:rsid w:val="00612590"/>
    <w:rsid w:val="0062014F"/>
    <w:rsid w:val="00620332"/>
    <w:rsid w:val="00621204"/>
    <w:rsid w:val="00623650"/>
    <w:rsid w:val="006252A5"/>
    <w:rsid w:val="00625C4C"/>
    <w:rsid w:val="0062706F"/>
    <w:rsid w:val="00627AFE"/>
    <w:rsid w:val="0063120A"/>
    <w:rsid w:val="006314B9"/>
    <w:rsid w:val="00634908"/>
    <w:rsid w:val="00636699"/>
    <w:rsid w:val="00637EEA"/>
    <w:rsid w:val="00642A27"/>
    <w:rsid w:val="00644492"/>
    <w:rsid w:val="00647BB1"/>
    <w:rsid w:val="00650C0F"/>
    <w:rsid w:val="00651A0D"/>
    <w:rsid w:val="00653CF0"/>
    <w:rsid w:val="00654268"/>
    <w:rsid w:val="006553FD"/>
    <w:rsid w:val="0066128C"/>
    <w:rsid w:val="006626CC"/>
    <w:rsid w:val="00662A4D"/>
    <w:rsid w:val="00662C14"/>
    <w:rsid w:val="00665BF4"/>
    <w:rsid w:val="00665DEE"/>
    <w:rsid w:val="0066648D"/>
    <w:rsid w:val="00667BA0"/>
    <w:rsid w:val="00670633"/>
    <w:rsid w:val="00672033"/>
    <w:rsid w:val="00672F18"/>
    <w:rsid w:val="00673A44"/>
    <w:rsid w:val="006742D2"/>
    <w:rsid w:val="00674656"/>
    <w:rsid w:val="006749A3"/>
    <w:rsid w:val="0067513D"/>
    <w:rsid w:val="006756F9"/>
    <w:rsid w:val="006768DE"/>
    <w:rsid w:val="00677740"/>
    <w:rsid w:val="00682A06"/>
    <w:rsid w:val="00684B62"/>
    <w:rsid w:val="006850C5"/>
    <w:rsid w:val="00685DC1"/>
    <w:rsid w:val="00687256"/>
    <w:rsid w:val="00690197"/>
    <w:rsid w:val="00691472"/>
    <w:rsid w:val="00691A12"/>
    <w:rsid w:val="00692DAF"/>
    <w:rsid w:val="0069375A"/>
    <w:rsid w:val="00694294"/>
    <w:rsid w:val="006945F8"/>
    <w:rsid w:val="0069606A"/>
    <w:rsid w:val="006A04BA"/>
    <w:rsid w:val="006A0F9F"/>
    <w:rsid w:val="006A4211"/>
    <w:rsid w:val="006A4889"/>
    <w:rsid w:val="006A609B"/>
    <w:rsid w:val="006A642D"/>
    <w:rsid w:val="006A7CF3"/>
    <w:rsid w:val="006B0B8A"/>
    <w:rsid w:val="006B2EE1"/>
    <w:rsid w:val="006B5A37"/>
    <w:rsid w:val="006B7259"/>
    <w:rsid w:val="006C02AE"/>
    <w:rsid w:val="006C1A71"/>
    <w:rsid w:val="006C1C27"/>
    <w:rsid w:val="006C20E4"/>
    <w:rsid w:val="006C292A"/>
    <w:rsid w:val="006C3564"/>
    <w:rsid w:val="006C3565"/>
    <w:rsid w:val="006C3C44"/>
    <w:rsid w:val="006C3E0D"/>
    <w:rsid w:val="006C5A7C"/>
    <w:rsid w:val="006C77B9"/>
    <w:rsid w:val="006D02EF"/>
    <w:rsid w:val="006D2939"/>
    <w:rsid w:val="006D29D7"/>
    <w:rsid w:val="006D3757"/>
    <w:rsid w:val="006D7BE4"/>
    <w:rsid w:val="006D7DA8"/>
    <w:rsid w:val="006E11BD"/>
    <w:rsid w:val="006E5B68"/>
    <w:rsid w:val="006E672D"/>
    <w:rsid w:val="006F00CB"/>
    <w:rsid w:val="006F3362"/>
    <w:rsid w:val="006F41D9"/>
    <w:rsid w:val="006F4654"/>
    <w:rsid w:val="006F605E"/>
    <w:rsid w:val="006F6341"/>
    <w:rsid w:val="00703DAD"/>
    <w:rsid w:val="0070551D"/>
    <w:rsid w:val="007060F0"/>
    <w:rsid w:val="00707D47"/>
    <w:rsid w:val="00710828"/>
    <w:rsid w:val="007109EA"/>
    <w:rsid w:val="00710DB7"/>
    <w:rsid w:val="007116B0"/>
    <w:rsid w:val="00712E6D"/>
    <w:rsid w:val="007133D2"/>
    <w:rsid w:val="00716E94"/>
    <w:rsid w:val="00716FB5"/>
    <w:rsid w:val="0072155C"/>
    <w:rsid w:val="0072196F"/>
    <w:rsid w:val="00724D43"/>
    <w:rsid w:val="00732958"/>
    <w:rsid w:val="00732EF6"/>
    <w:rsid w:val="0073309A"/>
    <w:rsid w:val="00733746"/>
    <w:rsid w:val="00733B71"/>
    <w:rsid w:val="007417EF"/>
    <w:rsid w:val="0074240E"/>
    <w:rsid w:val="00742E9C"/>
    <w:rsid w:val="00743FD7"/>
    <w:rsid w:val="007464E4"/>
    <w:rsid w:val="007468FE"/>
    <w:rsid w:val="00746A72"/>
    <w:rsid w:val="00747C67"/>
    <w:rsid w:val="007509EE"/>
    <w:rsid w:val="00750AE8"/>
    <w:rsid w:val="007519DF"/>
    <w:rsid w:val="00753A54"/>
    <w:rsid w:val="007545ED"/>
    <w:rsid w:val="00754989"/>
    <w:rsid w:val="007554FA"/>
    <w:rsid w:val="00755E11"/>
    <w:rsid w:val="00755EB2"/>
    <w:rsid w:val="007629B4"/>
    <w:rsid w:val="00766248"/>
    <w:rsid w:val="007700E5"/>
    <w:rsid w:val="0077155E"/>
    <w:rsid w:val="007729BC"/>
    <w:rsid w:val="00777701"/>
    <w:rsid w:val="00777DC9"/>
    <w:rsid w:val="0078030E"/>
    <w:rsid w:val="007806BD"/>
    <w:rsid w:val="0078138F"/>
    <w:rsid w:val="00781CCC"/>
    <w:rsid w:val="00785054"/>
    <w:rsid w:val="007870A4"/>
    <w:rsid w:val="00790677"/>
    <w:rsid w:val="00794567"/>
    <w:rsid w:val="00796C08"/>
    <w:rsid w:val="007974AC"/>
    <w:rsid w:val="007A01B9"/>
    <w:rsid w:val="007A1116"/>
    <w:rsid w:val="007A3986"/>
    <w:rsid w:val="007A4212"/>
    <w:rsid w:val="007A439E"/>
    <w:rsid w:val="007A46A0"/>
    <w:rsid w:val="007A5F7F"/>
    <w:rsid w:val="007B1325"/>
    <w:rsid w:val="007B217E"/>
    <w:rsid w:val="007B4054"/>
    <w:rsid w:val="007B50F4"/>
    <w:rsid w:val="007B5232"/>
    <w:rsid w:val="007B5E22"/>
    <w:rsid w:val="007B6F2D"/>
    <w:rsid w:val="007B761F"/>
    <w:rsid w:val="007B7E97"/>
    <w:rsid w:val="007C0C2F"/>
    <w:rsid w:val="007C64B1"/>
    <w:rsid w:val="007D125F"/>
    <w:rsid w:val="007D12A7"/>
    <w:rsid w:val="007D22D9"/>
    <w:rsid w:val="007D246C"/>
    <w:rsid w:val="007D3F46"/>
    <w:rsid w:val="007D4812"/>
    <w:rsid w:val="007D5EB0"/>
    <w:rsid w:val="007D788D"/>
    <w:rsid w:val="007D7C4C"/>
    <w:rsid w:val="007E185F"/>
    <w:rsid w:val="007E29B9"/>
    <w:rsid w:val="007E2E64"/>
    <w:rsid w:val="007E3ECB"/>
    <w:rsid w:val="007F1FE4"/>
    <w:rsid w:val="007F429C"/>
    <w:rsid w:val="007F53DC"/>
    <w:rsid w:val="007F5924"/>
    <w:rsid w:val="007F7380"/>
    <w:rsid w:val="007F753B"/>
    <w:rsid w:val="007F7AE7"/>
    <w:rsid w:val="007F7FD4"/>
    <w:rsid w:val="008000C7"/>
    <w:rsid w:val="0080119E"/>
    <w:rsid w:val="00803138"/>
    <w:rsid w:val="0080447B"/>
    <w:rsid w:val="0080478E"/>
    <w:rsid w:val="00805E6B"/>
    <w:rsid w:val="00805E72"/>
    <w:rsid w:val="008066B2"/>
    <w:rsid w:val="008079E3"/>
    <w:rsid w:val="008132CD"/>
    <w:rsid w:val="00814E17"/>
    <w:rsid w:val="00820604"/>
    <w:rsid w:val="00822605"/>
    <w:rsid w:val="00824B4B"/>
    <w:rsid w:val="00825C1D"/>
    <w:rsid w:val="008268A0"/>
    <w:rsid w:val="00831EF4"/>
    <w:rsid w:val="00832AF0"/>
    <w:rsid w:val="00835888"/>
    <w:rsid w:val="00840804"/>
    <w:rsid w:val="008416C4"/>
    <w:rsid w:val="008417F0"/>
    <w:rsid w:val="00841C83"/>
    <w:rsid w:val="008432C9"/>
    <w:rsid w:val="0084381B"/>
    <w:rsid w:val="00843F4C"/>
    <w:rsid w:val="00843F51"/>
    <w:rsid w:val="00845F7B"/>
    <w:rsid w:val="00851932"/>
    <w:rsid w:val="008519D4"/>
    <w:rsid w:val="00853900"/>
    <w:rsid w:val="008546BB"/>
    <w:rsid w:val="008555DA"/>
    <w:rsid w:val="00856FED"/>
    <w:rsid w:val="00861857"/>
    <w:rsid w:val="008629F4"/>
    <w:rsid w:val="0086794D"/>
    <w:rsid w:val="008700F3"/>
    <w:rsid w:val="0087126E"/>
    <w:rsid w:val="008712B6"/>
    <w:rsid w:val="00873C45"/>
    <w:rsid w:val="00880BA5"/>
    <w:rsid w:val="00881EC8"/>
    <w:rsid w:val="008834C9"/>
    <w:rsid w:val="00883511"/>
    <w:rsid w:val="00884455"/>
    <w:rsid w:val="00885643"/>
    <w:rsid w:val="00886961"/>
    <w:rsid w:val="00886A6F"/>
    <w:rsid w:val="0088798D"/>
    <w:rsid w:val="008901B8"/>
    <w:rsid w:val="00891110"/>
    <w:rsid w:val="00891553"/>
    <w:rsid w:val="008924F8"/>
    <w:rsid w:val="00895C93"/>
    <w:rsid w:val="00896622"/>
    <w:rsid w:val="00896866"/>
    <w:rsid w:val="00896ADD"/>
    <w:rsid w:val="00897D45"/>
    <w:rsid w:val="008A1B6E"/>
    <w:rsid w:val="008A2169"/>
    <w:rsid w:val="008A41A5"/>
    <w:rsid w:val="008A5729"/>
    <w:rsid w:val="008A6362"/>
    <w:rsid w:val="008A76D9"/>
    <w:rsid w:val="008A7819"/>
    <w:rsid w:val="008B110F"/>
    <w:rsid w:val="008B1DE1"/>
    <w:rsid w:val="008B23F8"/>
    <w:rsid w:val="008B4E64"/>
    <w:rsid w:val="008B63C6"/>
    <w:rsid w:val="008B6A26"/>
    <w:rsid w:val="008C02F3"/>
    <w:rsid w:val="008C083F"/>
    <w:rsid w:val="008C181D"/>
    <w:rsid w:val="008C34C4"/>
    <w:rsid w:val="008C41EA"/>
    <w:rsid w:val="008C4F76"/>
    <w:rsid w:val="008C564F"/>
    <w:rsid w:val="008C62BF"/>
    <w:rsid w:val="008D02D8"/>
    <w:rsid w:val="008D2A29"/>
    <w:rsid w:val="008D4B0A"/>
    <w:rsid w:val="008D4D47"/>
    <w:rsid w:val="008D5C04"/>
    <w:rsid w:val="008D5E7C"/>
    <w:rsid w:val="008D6485"/>
    <w:rsid w:val="008D6546"/>
    <w:rsid w:val="008E4549"/>
    <w:rsid w:val="008E6CCD"/>
    <w:rsid w:val="008F13E8"/>
    <w:rsid w:val="008F1DAC"/>
    <w:rsid w:val="008F310A"/>
    <w:rsid w:val="008F3D22"/>
    <w:rsid w:val="008F4473"/>
    <w:rsid w:val="008F4740"/>
    <w:rsid w:val="008F5755"/>
    <w:rsid w:val="008F5B3F"/>
    <w:rsid w:val="008F5C4D"/>
    <w:rsid w:val="008F6EB1"/>
    <w:rsid w:val="00900CB8"/>
    <w:rsid w:val="00900E0D"/>
    <w:rsid w:val="00901AF9"/>
    <w:rsid w:val="00904652"/>
    <w:rsid w:val="009046C2"/>
    <w:rsid w:val="00906123"/>
    <w:rsid w:val="00906A84"/>
    <w:rsid w:val="00911804"/>
    <w:rsid w:val="00911924"/>
    <w:rsid w:val="00913AF8"/>
    <w:rsid w:val="00913F13"/>
    <w:rsid w:val="00914023"/>
    <w:rsid w:val="009145C0"/>
    <w:rsid w:val="00916626"/>
    <w:rsid w:val="00916C88"/>
    <w:rsid w:val="009203A4"/>
    <w:rsid w:val="00920BBB"/>
    <w:rsid w:val="009219A4"/>
    <w:rsid w:val="00924491"/>
    <w:rsid w:val="009259CA"/>
    <w:rsid w:val="009260BC"/>
    <w:rsid w:val="00926ED0"/>
    <w:rsid w:val="0092791E"/>
    <w:rsid w:val="0093371C"/>
    <w:rsid w:val="00934A54"/>
    <w:rsid w:val="00936857"/>
    <w:rsid w:val="00951525"/>
    <w:rsid w:val="00951EED"/>
    <w:rsid w:val="00952257"/>
    <w:rsid w:val="0095446A"/>
    <w:rsid w:val="00955079"/>
    <w:rsid w:val="0095538B"/>
    <w:rsid w:val="00956449"/>
    <w:rsid w:val="009613E2"/>
    <w:rsid w:val="00961BF5"/>
    <w:rsid w:val="00963CCF"/>
    <w:rsid w:val="00963F14"/>
    <w:rsid w:val="009655C5"/>
    <w:rsid w:val="0096564B"/>
    <w:rsid w:val="00970852"/>
    <w:rsid w:val="009714DB"/>
    <w:rsid w:val="00974A2C"/>
    <w:rsid w:val="00975954"/>
    <w:rsid w:val="00976099"/>
    <w:rsid w:val="009768FB"/>
    <w:rsid w:val="00977919"/>
    <w:rsid w:val="00980B29"/>
    <w:rsid w:val="00983425"/>
    <w:rsid w:val="009847D3"/>
    <w:rsid w:val="00985EC7"/>
    <w:rsid w:val="00987F99"/>
    <w:rsid w:val="00993748"/>
    <w:rsid w:val="0099416F"/>
    <w:rsid w:val="00995362"/>
    <w:rsid w:val="00996A87"/>
    <w:rsid w:val="00997ADF"/>
    <w:rsid w:val="009A2120"/>
    <w:rsid w:val="009A2857"/>
    <w:rsid w:val="009A31C6"/>
    <w:rsid w:val="009A47A9"/>
    <w:rsid w:val="009A6366"/>
    <w:rsid w:val="009A709E"/>
    <w:rsid w:val="009A70C6"/>
    <w:rsid w:val="009A75EC"/>
    <w:rsid w:val="009A763B"/>
    <w:rsid w:val="009A7964"/>
    <w:rsid w:val="009B0C57"/>
    <w:rsid w:val="009B0F24"/>
    <w:rsid w:val="009B1B1D"/>
    <w:rsid w:val="009B438F"/>
    <w:rsid w:val="009B5E8D"/>
    <w:rsid w:val="009B6211"/>
    <w:rsid w:val="009B7936"/>
    <w:rsid w:val="009C02E8"/>
    <w:rsid w:val="009C2872"/>
    <w:rsid w:val="009C5003"/>
    <w:rsid w:val="009C52F6"/>
    <w:rsid w:val="009C6622"/>
    <w:rsid w:val="009D1225"/>
    <w:rsid w:val="009D209B"/>
    <w:rsid w:val="009D298C"/>
    <w:rsid w:val="009D29DE"/>
    <w:rsid w:val="009D2DF9"/>
    <w:rsid w:val="009D5A5C"/>
    <w:rsid w:val="009D782A"/>
    <w:rsid w:val="009E41E0"/>
    <w:rsid w:val="009E45F9"/>
    <w:rsid w:val="009E4656"/>
    <w:rsid w:val="009E4932"/>
    <w:rsid w:val="009E4E0C"/>
    <w:rsid w:val="009E5AF6"/>
    <w:rsid w:val="009E5E7C"/>
    <w:rsid w:val="009E7A08"/>
    <w:rsid w:val="009F0FCE"/>
    <w:rsid w:val="009F1FF7"/>
    <w:rsid w:val="009F39CE"/>
    <w:rsid w:val="009F5668"/>
    <w:rsid w:val="00A03069"/>
    <w:rsid w:val="00A03568"/>
    <w:rsid w:val="00A03A25"/>
    <w:rsid w:val="00A04B86"/>
    <w:rsid w:val="00A0757F"/>
    <w:rsid w:val="00A110D0"/>
    <w:rsid w:val="00A12888"/>
    <w:rsid w:val="00A12EC2"/>
    <w:rsid w:val="00A14A33"/>
    <w:rsid w:val="00A16649"/>
    <w:rsid w:val="00A203A8"/>
    <w:rsid w:val="00A213F1"/>
    <w:rsid w:val="00A21E38"/>
    <w:rsid w:val="00A23C3E"/>
    <w:rsid w:val="00A2753E"/>
    <w:rsid w:val="00A32899"/>
    <w:rsid w:val="00A33BC6"/>
    <w:rsid w:val="00A35A2E"/>
    <w:rsid w:val="00A37C9C"/>
    <w:rsid w:val="00A41681"/>
    <w:rsid w:val="00A41D0D"/>
    <w:rsid w:val="00A41FE9"/>
    <w:rsid w:val="00A4543C"/>
    <w:rsid w:val="00A45D64"/>
    <w:rsid w:val="00A46DE7"/>
    <w:rsid w:val="00A566AA"/>
    <w:rsid w:val="00A57A4A"/>
    <w:rsid w:val="00A60D03"/>
    <w:rsid w:val="00A61FE0"/>
    <w:rsid w:val="00A6220C"/>
    <w:rsid w:val="00A64FF7"/>
    <w:rsid w:val="00A662D2"/>
    <w:rsid w:val="00A703F6"/>
    <w:rsid w:val="00A71DDA"/>
    <w:rsid w:val="00A74B3A"/>
    <w:rsid w:val="00A87B1A"/>
    <w:rsid w:val="00A900B4"/>
    <w:rsid w:val="00A90931"/>
    <w:rsid w:val="00A9155A"/>
    <w:rsid w:val="00A93B50"/>
    <w:rsid w:val="00A9458F"/>
    <w:rsid w:val="00A97954"/>
    <w:rsid w:val="00A97D04"/>
    <w:rsid w:val="00AA124E"/>
    <w:rsid w:val="00AA2518"/>
    <w:rsid w:val="00AA3586"/>
    <w:rsid w:val="00AA5063"/>
    <w:rsid w:val="00AA6796"/>
    <w:rsid w:val="00AB1039"/>
    <w:rsid w:val="00AB1280"/>
    <w:rsid w:val="00AB269B"/>
    <w:rsid w:val="00AB4C65"/>
    <w:rsid w:val="00AB54B6"/>
    <w:rsid w:val="00AB55C5"/>
    <w:rsid w:val="00AB7609"/>
    <w:rsid w:val="00AB76D3"/>
    <w:rsid w:val="00AC2902"/>
    <w:rsid w:val="00AD2357"/>
    <w:rsid w:val="00AD2E77"/>
    <w:rsid w:val="00AD4085"/>
    <w:rsid w:val="00AD4657"/>
    <w:rsid w:val="00AD5244"/>
    <w:rsid w:val="00AD6A15"/>
    <w:rsid w:val="00AD7585"/>
    <w:rsid w:val="00AE041B"/>
    <w:rsid w:val="00AE0D13"/>
    <w:rsid w:val="00AE45E7"/>
    <w:rsid w:val="00AE69F8"/>
    <w:rsid w:val="00AE6F45"/>
    <w:rsid w:val="00AE71D1"/>
    <w:rsid w:val="00AF0764"/>
    <w:rsid w:val="00AF088D"/>
    <w:rsid w:val="00AF21C3"/>
    <w:rsid w:val="00AF26DE"/>
    <w:rsid w:val="00AF2D9F"/>
    <w:rsid w:val="00AF395B"/>
    <w:rsid w:val="00AF3EE7"/>
    <w:rsid w:val="00AF5451"/>
    <w:rsid w:val="00AF7D4A"/>
    <w:rsid w:val="00B01667"/>
    <w:rsid w:val="00B02244"/>
    <w:rsid w:val="00B03A88"/>
    <w:rsid w:val="00B073F3"/>
    <w:rsid w:val="00B1185B"/>
    <w:rsid w:val="00B12109"/>
    <w:rsid w:val="00B129FA"/>
    <w:rsid w:val="00B13CDD"/>
    <w:rsid w:val="00B14811"/>
    <w:rsid w:val="00B16DC6"/>
    <w:rsid w:val="00B17294"/>
    <w:rsid w:val="00B223FA"/>
    <w:rsid w:val="00B238BA"/>
    <w:rsid w:val="00B25AA9"/>
    <w:rsid w:val="00B26C13"/>
    <w:rsid w:val="00B275AE"/>
    <w:rsid w:val="00B30093"/>
    <w:rsid w:val="00B31950"/>
    <w:rsid w:val="00B33608"/>
    <w:rsid w:val="00B352D5"/>
    <w:rsid w:val="00B3675F"/>
    <w:rsid w:val="00B37A7B"/>
    <w:rsid w:val="00B37E4E"/>
    <w:rsid w:val="00B42D1F"/>
    <w:rsid w:val="00B44288"/>
    <w:rsid w:val="00B44B3E"/>
    <w:rsid w:val="00B45BE5"/>
    <w:rsid w:val="00B46277"/>
    <w:rsid w:val="00B46DDD"/>
    <w:rsid w:val="00B4782A"/>
    <w:rsid w:val="00B503EB"/>
    <w:rsid w:val="00B51290"/>
    <w:rsid w:val="00B52AA2"/>
    <w:rsid w:val="00B52E73"/>
    <w:rsid w:val="00B5601B"/>
    <w:rsid w:val="00B56BD0"/>
    <w:rsid w:val="00B573DD"/>
    <w:rsid w:val="00B60E4E"/>
    <w:rsid w:val="00B61EBC"/>
    <w:rsid w:val="00B6685E"/>
    <w:rsid w:val="00B674F7"/>
    <w:rsid w:val="00B711BE"/>
    <w:rsid w:val="00B717CA"/>
    <w:rsid w:val="00B71CD1"/>
    <w:rsid w:val="00B74FF3"/>
    <w:rsid w:val="00B75948"/>
    <w:rsid w:val="00B76839"/>
    <w:rsid w:val="00B77874"/>
    <w:rsid w:val="00B77BBB"/>
    <w:rsid w:val="00B8023D"/>
    <w:rsid w:val="00B809FD"/>
    <w:rsid w:val="00B81B84"/>
    <w:rsid w:val="00B84AE1"/>
    <w:rsid w:val="00B90721"/>
    <w:rsid w:val="00B91253"/>
    <w:rsid w:val="00B92300"/>
    <w:rsid w:val="00B92927"/>
    <w:rsid w:val="00B9297E"/>
    <w:rsid w:val="00B92AE2"/>
    <w:rsid w:val="00B931CF"/>
    <w:rsid w:val="00B93AD2"/>
    <w:rsid w:val="00B94348"/>
    <w:rsid w:val="00B95459"/>
    <w:rsid w:val="00BA08C6"/>
    <w:rsid w:val="00BA0D25"/>
    <w:rsid w:val="00BA13A1"/>
    <w:rsid w:val="00BA3B89"/>
    <w:rsid w:val="00BA5012"/>
    <w:rsid w:val="00BA64C4"/>
    <w:rsid w:val="00BA6E48"/>
    <w:rsid w:val="00BB0883"/>
    <w:rsid w:val="00BB2205"/>
    <w:rsid w:val="00BB293B"/>
    <w:rsid w:val="00BB2D49"/>
    <w:rsid w:val="00BB4CDB"/>
    <w:rsid w:val="00BB71B4"/>
    <w:rsid w:val="00BC06EC"/>
    <w:rsid w:val="00BC28F7"/>
    <w:rsid w:val="00BC2CC3"/>
    <w:rsid w:val="00BC3836"/>
    <w:rsid w:val="00BC47B1"/>
    <w:rsid w:val="00BC7F5D"/>
    <w:rsid w:val="00BD09D6"/>
    <w:rsid w:val="00BD0A55"/>
    <w:rsid w:val="00BD0E2E"/>
    <w:rsid w:val="00BD4E30"/>
    <w:rsid w:val="00BD4F4D"/>
    <w:rsid w:val="00BD562F"/>
    <w:rsid w:val="00BE1A94"/>
    <w:rsid w:val="00BE5E1C"/>
    <w:rsid w:val="00BE786B"/>
    <w:rsid w:val="00BF0847"/>
    <w:rsid w:val="00BF10F2"/>
    <w:rsid w:val="00BF2B7D"/>
    <w:rsid w:val="00BF3D70"/>
    <w:rsid w:val="00BF6624"/>
    <w:rsid w:val="00C04953"/>
    <w:rsid w:val="00C05463"/>
    <w:rsid w:val="00C05CD3"/>
    <w:rsid w:val="00C10178"/>
    <w:rsid w:val="00C14B77"/>
    <w:rsid w:val="00C17271"/>
    <w:rsid w:val="00C17281"/>
    <w:rsid w:val="00C1762D"/>
    <w:rsid w:val="00C209F7"/>
    <w:rsid w:val="00C22AB3"/>
    <w:rsid w:val="00C34589"/>
    <w:rsid w:val="00C352EC"/>
    <w:rsid w:val="00C35433"/>
    <w:rsid w:val="00C37E40"/>
    <w:rsid w:val="00C41687"/>
    <w:rsid w:val="00C43A84"/>
    <w:rsid w:val="00C44DA7"/>
    <w:rsid w:val="00C44F55"/>
    <w:rsid w:val="00C4554B"/>
    <w:rsid w:val="00C527B6"/>
    <w:rsid w:val="00C53256"/>
    <w:rsid w:val="00C53587"/>
    <w:rsid w:val="00C61759"/>
    <w:rsid w:val="00C61CDB"/>
    <w:rsid w:val="00C61F69"/>
    <w:rsid w:val="00C624AF"/>
    <w:rsid w:val="00C63B3C"/>
    <w:rsid w:val="00C66CCB"/>
    <w:rsid w:val="00C7124E"/>
    <w:rsid w:val="00C7273C"/>
    <w:rsid w:val="00C73D56"/>
    <w:rsid w:val="00C82056"/>
    <w:rsid w:val="00C82307"/>
    <w:rsid w:val="00C8320E"/>
    <w:rsid w:val="00C83F36"/>
    <w:rsid w:val="00C844F2"/>
    <w:rsid w:val="00C8482F"/>
    <w:rsid w:val="00C85D63"/>
    <w:rsid w:val="00C86741"/>
    <w:rsid w:val="00C87AD6"/>
    <w:rsid w:val="00C903B0"/>
    <w:rsid w:val="00C90E16"/>
    <w:rsid w:val="00C94A5C"/>
    <w:rsid w:val="00C95D98"/>
    <w:rsid w:val="00C960DC"/>
    <w:rsid w:val="00C96E31"/>
    <w:rsid w:val="00C96E37"/>
    <w:rsid w:val="00CA621E"/>
    <w:rsid w:val="00CA644C"/>
    <w:rsid w:val="00CA64F3"/>
    <w:rsid w:val="00CA76BE"/>
    <w:rsid w:val="00CB208D"/>
    <w:rsid w:val="00CB3511"/>
    <w:rsid w:val="00CB438C"/>
    <w:rsid w:val="00CB4E6E"/>
    <w:rsid w:val="00CB76FC"/>
    <w:rsid w:val="00CC02F1"/>
    <w:rsid w:val="00CC16C4"/>
    <w:rsid w:val="00CC1927"/>
    <w:rsid w:val="00CC3948"/>
    <w:rsid w:val="00CC46E0"/>
    <w:rsid w:val="00CC4A87"/>
    <w:rsid w:val="00CC4F9D"/>
    <w:rsid w:val="00CC5449"/>
    <w:rsid w:val="00CC5A61"/>
    <w:rsid w:val="00CC5C56"/>
    <w:rsid w:val="00CC611E"/>
    <w:rsid w:val="00CD0248"/>
    <w:rsid w:val="00CD320E"/>
    <w:rsid w:val="00CD6085"/>
    <w:rsid w:val="00CE47C0"/>
    <w:rsid w:val="00CE5219"/>
    <w:rsid w:val="00CE6EDE"/>
    <w:rsid w:val="00CE7DDA"/>
    <w:rsid w:val="00CF02CB"/>
    <w:rsid w:val="00CF0762"/>
    <w:rsid w:val="00CF44F8"/>
    <w:rsid w:val="00CF5397"/>
    <w:rsid w:val="00CF5A81"/>
    <w:rsid w:val="00CF5D4D"/>
    <w:rsid w:val="00CF608F"/>
    <w:rsid w:val="00CF7435"/>
    <w:rsid w:val="00D038BB"/>
    <w:rsid w:val="00D0649C"/>
    <w:rsid w:val="00D075E6"/>
    <w:rsid w:val="00D10A92"/>
    <w:rsid w:val="00D10B13"/>
    <w:rsid w:val="00D10DB1"/>
    <w:rsid w:val="00D2177B"/>
    <w:rsid w:val="00D22687"/>
    <w:rsid w:val="00D23670"/>
    <w:rsid w:val="00D237DB"/>
    <w:rsid w:val="00D23EC1"/>
    <w:rsid w:val="00D2430D"/>
    <w:rsid w:val="00D24EA6"/>
    <w:rsid w:val="00D252E2"/>
    <w:rsid w:val="00D267EF"/>
    <w:rsid w:val="00D30881"/>
    <w:rsid w:val="00D34158"/>
    <w:rsid w:val="00D352BD"/>
    <w:rsid w:val="00D360C7"/>
    <w:rsid w:val="00D37C6F"/>
    <w:rsid w:val="00D4137B"/>
    <w:rsid w:val="00D44376"/>
    <w:rsid w:val="00D44F3C"/>
    <w:rsid w:val="00D50E74"/>
    <w:rsid w:val="00D51406"/>
    <w:rsid w:val="00D52486"/>
    <w:rsid w:val="00D535EB"/>
    <w:rsid w:val="00D53660"/>
    <w:rsid w:val="00D53D17"/>
    <w:rsid w:val="00D54ED6"/>
    <w:rsid w:val="00D554E8"/>
    <w:rsid w:val="00D600B2"/>
    <w:rsid w:val="00D60D6C"/>
    <w:rsid w:val="00D629B5"/>
    <w:rsid w:val="00D65502"/>
    <w:rsid w:val="00D6659F"/>
    <w:rsid w:val="00D72CB8"/>
    <w:rsid w:val="00D72F7D"/>
    <w:rsid w:val="00D7315B"/>
    <w:rsid w:val="00D7412E"/>
    <w:rsid w:val="00D7469F"/>
    <w:rsid w:val="00D768C1"/>
    <w:rsid w:val="00D8282D"/>
    <w:rsid w:val="00D82F8E"/>
    <w:rsid w:val="00D8761E"/>
    <w:rsid w:val="00D952C5"/>
    <w:rsid w:val="00D95FA0"/>
    <w:rsid w:val="00D973D2"/>
    <w:rsid w:val="00D9780A"/>
    <w:rsid w:val="00DA0203"/>
    <w:rsid w:val="00DA183C"/>
    <w:rsid w:val="00DA1F1E"/>
    <w:rsid w:val="00DA37A0"/>
    <w:rsid w:val="00DA3DFE"/>
    <w:rsid w:val="00DA4E4E"/>
    <w:rsid w:val="00DA5A55"/>
    <w:rsid w:val="00DA720C"/>
    <w:rsid w:val="00DB0DE4"/>
    <w:rsid w:val="00DB2C45"/>
    <w:rsid w:val="00DB2C91"/>
    <w:rsid w:val="00DB4016"/>
    <w:rsid w:val="00DB430C"/>
    <w:rsid w:val="00DB4590"/>
    <w:rsid w:val="00DB6949"/>
    <w:rsid w:val="00DB6F95"/>
    <w:rsid w:val="00DB7081"/>
    <w:rsid w:val="00DC0469"/>
    <w:rsid w:val="00DC2BEA"/>
    <w:rsid w:val="00DC3953"/>
    <w:rsid w:val="00DC54BF"/>
    <w:rsid w:val="00DC5B31"/>
    <w:rsid w:val="00DC5CEA"/>
    <w:rsid w:val="00DC7288"/>
    <w:rsid w:val="00DD2FE3"/>
    <w:rsid w:val="00DD3435"/>
    <w:rsid w:val="00DD44E5"/>
    <w:rsid w:val="00DD5279"/>
    <w:rsid w:val="00DD5315"/>
    <w:rsid w:val="00DE3C5E"/>
    <w:rsid w:val="00DE4FAD"/>
    <w:rsid w:val="00DE6892"/>
    <w:rsid w:val="00DF1C07"/>
    <w:rsid w:val="00DF2142"/>
    <w:rsid w:val="00DF43C3"/>
    <w:rsid w:val="00DF55DF"/>
    <w:rsid w:val="00DF7289"/>
    <w:rsid w:val="00E03C7A"/>
    <w:rsid w:val="00E040EE"/>
    <w:rsid w:val="00E07924"/>
    <w:rsid w:val="00E10B03"/>
    <w:rsid w:val="00E10C63"/>
    <w:rsid w:val="00E11F13"/>
    <w:rsid w:val="00E120C2"/>
    <w:rsid w:val="00E126B9"/>
    <w:rsid w:val="00E12FAC"/>
    <w:rsid w:val="00E15C45"/>
    <w:rsid w:val="00E16901"/>
    <w:rsid w:val="00E16AAA"/>
    <w:rsid w:val="00E21987"/>
    <w:rsid w:val="00E21C6C"/>
    <w:rsid w:val="00E24030"/>
    <w:rsid w:val="00E24A98"/>
    <w:rsid w:val="00E25439"/>
    <w:rsid w:val="00E25677"/>
    <w:rsid w:val="00E27726"/>
    <w:rsid w:val="00E328A0"/>
    <w:rsid w:val="00E32EAF"/>
    <w:rsid w:val="00E33115"/>
    <w:rsid w:val="00E344FE"/>
    <w:rsid w:val="00E34BE6"/>
    <w:rsid w:val="00E37496"/>
    <w:rsid w:val="00E423EB"/>
    <w:rsid w:val="00E430BF"/>
    <w:rsid w:val="00E43D65"/>
    <w:rsid w:val="00E442AB"/>
    <w:rsid w:val="00E44B02"/>
    <w:rsid w:val="00E44E97"/>
    <w:rsid w:val="00E45940"/>
    <w:rsid w:val="00E45A04"/>
    <w:rsid w:val="00E46208"/>
    <w:rsid w:val="00E46B3C"/>
    <w:rsid w:val="00E52319"/>
    <w:rsid w:val="00E529FB"/>
    <w:rsid w:val="00E55797"/>
    <w:rsid w:val="00E62988"/>
    <w:rsid w:val="00E64217"/>
    <w:rsid w:val="00E64437"/>
    <w:rsid w:val="00E6511A"/>
    <w:rsid w:val="00E65E40"/>
    <w:rsid w:val="00E661FF"/>
    <w:rsid w:val="00E66F49"/>
    <w:rsid w:val="00E67F93"/>
    <w:rsid w:val="00E70D7F"/>
    <w:rsid w:val="00E7285B"/>
    <w:rsid w:val="00E74996"/>
    <w:rsid w:val="00E75AD6"/>
    <w:rsid w:val="00E75F70"/>
    <w:rsid w:val="00E76E01"/>
    <w:rsid w:val="00E82617"/>
    <w:rsid w:val="00E832F7"/>
    <w:rsid w:val="00E83C74"/>
    <w:rsid w:val="00E87411"/>
    <w:rsid w:val="00E922B3"/>
    <w:rsid w:val="00E923A0"/>
    <w:rsid w:val="00E93E1F"/>
    <w:rsid w:val="00E94699"/>
    <w:rsid w:val="00E94840"/>
    <w:rsid w:val="00E95C48"/>
    <w:rsid w:val="00E963DD"/>
    <w:rsid w:val="00E96722"/>
    <w:rsid w:val="00EA2926"/>
    <w:rsid w:val="00EA3FDB"/>
    <w:rsid w:val="00EA4ABB"/>
    <w:rsid w:val="00EA5B14"/>
    <w:rsid w:val="00EA68FD"/>
    <w:rsid w:val="00EA703C"/>
    <w:rsid w:val="00EA7072"/>
    <w:rsid w:val="00EB1B7F"/>
    <w:rsid w:val="00EB2190"/>
    <w:rsid w:val="00EB4C8A"/>
    <w:rsid w:val="00EB5328"/>
    <w:rsid w:val="00EB79CB"/>
    <w:rsid w:val="00EC0DCB"/>
    <w:rsid w:val="00EC1D42"/>
    <w:rsid w:val="00EC1DC0"/>
    <w:rsid w:val="00EC48BF"/>
    <w:rsid w:val="00EC4923"/>
    <w:rsid w:val="00EC4FD9"/>
    <w:rsid w:val="00ED024C"/>
    <w:rsid w:val="00ED0EE5"/>
    <w:rsid w:val="00ED2F53"/>
    <w:rsid w:val="00ED3EA6"/>
    <w:rsid w:val="00ED475D"/>
    <w:rsid w:val="00ED6299"/>
    <w:rsid w:val="00ED6979"/>
    <w:rsid w:val="00ED6BAF"/>
    <w:rsid w:val="00EE109B"/>
    <w:rsid w:val="00EE52B0"/>
    <w:rsid w:val="00EE5E76"/>
    <w:rsid w:val="00EF0A07"/>
    <w:rsid w:val="00EF4A6D"/>
    <w:rsid w:val="00F00EB1"/>
    <w:rsid w:val="00F01F45"/>
    <w:rsid w:val="00F0293D"/>
    <w:rsid w:val="00F03046"/>
    <w:rsid w:val="00F05063"/>
    <w:rsid w:val="00F0520F"/>
    <w:rsid w:val="00F06A8E"/>
    <w:rsid w:val="00F07F86"/>
    <w:rsid w:val="00F12CFA"/>
    <w:rsid w:val="00F1406D"/>
    <w:rsid w:val="00F15C77"/>
    <w:rsid w:val="00F163A3"/>
    <w:rsid w:val="00F20E9D"/>
    <w:rsid w:val="00F20F86"/>
    <w:rsid w:val="00F20FD2"/>
    <w:rsid w:val="00F2387A"/>
    <w:rsid w:val="00F245B2"/>
    <w:rsid w:val="00F26252"/>
    <w:rsid w:val="00F268BF"/>
    <w:rsid w:val="00F27ED8"/>
    <w:rsid w:val="00F3168A"/>
    <w:rsid w:val="00F35989"/>
    <w:rsid w:val="00F403A4"/>
    <w:rsid w:val="00F40D1E"/>
    <w:rsid w:val="00F41EF5"/>
    <w:rsid w:val="00F4278D"/>
    <w:rsid w:val="00F441F4"/>
    <w:rsid w:val="00F45EAF"/>
    <w:rsid w:val="00F45EF8"/>
    <w:rsid w:val="00F51B2C"/>
    <w:rsid w:val="00F51FE5"/>
    <w:rsid w:val="00F522B7"/>
    <w:rsid w:val="00F53341"/>
    <w:rsid w:val="00F53824"/>
    <w:rsid w:val="00F55E73"/>
    <w:rsid w:val="00F575FE"/>
    <w:rsid w:val="00F6595C"/>
    <w:rsid w:val="00F65A32"/>
    <w:rsid w:val="00F671E4"/>
    <w:rsid w:val="00F71777"/>
    <w:rsid w:val="00F71A3D"/>
    <w:rsid w:val="00F76675"/>
    <w:rsid w:val="00F77473"/>
    <w:rsid w:val="00F8230D"/>
    <w:rsid w:val="00F83013"/>
    <w:rsid w:val="00F832F7"/>
    <w:rsid w:val="00F83407"/>
    <w:rsid w:val="00F834C2"/>
    <w:rsid w:val="00F85106"/>
    <w:rsid w:val="00F86AA0"/>
    <w:rsid w:val="00F90F59"/>
    <w:rsid w:val="00F916FB"/>
    <w:rsid w:val="00F92901"/>
    <w:rsid w:val="00F94757"/>
    <w:rsid w:val="00F95BD9"/>
    <w:rsid w:val="00FA02E7"/>
    <w:rsid w:val="00FA1179"/>
    <w:rsid w:val="00FA1487"/>
    <w:rsid w:val="00FA154B"/>
    <w:rsid w:val="00FA18F7"/>
    <w:rsid w:val="00FA20E3"/>
    <w:rsid w:val="00FA398C"/>
    <w:rsid w:val="00FA42CB"/>
    <w:rsid w:val="00FA42F2"/>
    <w:rsid w:val="00FA64BD"/>
    <w:rsid w:val="00FA6D20"/>
    <w:rsid w:val="00FA6D95"/>
    <w:rsid w:val="00FA7861"/>
    <w:rsid w:val="00FA7DEB"/>
    <w:rsid w:val="00FB0ACC"/>
    <w:rsid w:val="00FB5ADD"/>
    <w:rsid w:val="00FC0C26"/>
    <w:rsid w:val="00FD1A36"/>
    <w:rsid w:val="00FD1B68"/>
    <w:rsid w:val="00FD1BB5"/>
    <w:rsid w:val="00FD3721"/>
    <w:rsid w:val="00FD49C3"/>
    <w:rsid w:val="00FD5851"/>
    <w:rsid w:val="00FD63E4"/>
    <w:rsid w:val="00FD73DB"/>
    <w:rsid w:val="00FD7B03"/>
    <w:rsid w:val="00FE0076"/>
    <w:rsid w:val="00FE10E4"/>
    <w:rsid w:val="00FE2773"/>
    <w:rsid w:val="00FE392D"/>
    <w:rsid w:val="00FE5B51"/>
    <w:rsid w:val="00FE5D3C"/>
    <w:rsid w:val="00FE5E2B"/>
    <w:rsid w:val="00FF0CCA"/>
    <w:rsid w:val="00FF3D61"/>
    <w:rsid w:val="00FF434E"/>
    <w:rsid w:val="00FF6F4C"/>
    <w:rsid w:val="00FF7178"/>
    <w:rsid w:val="015761CA"/>
    <w:rsid w:val="018D1578"/>
    <w:rsid w:val="035D6C01"/>
    <w:rsid w:val="041C5BCB"/>
    <w:rsid w:val="054B711F"/>
    <w:rsid w:val="05993EE1"/>
    <w:rsid w:val="07780E60"/>
    <w:rsid w:val="07FE2B6F"/>
    <w:rsid w:val="0A3178ED"/>
    <w:rsid w:val="0A4257A5"/>
    <w:rsid w:val="0AC74B98"/>
    <w:rsid w:val="0C71235C"/>
    <w:rsid w:val="0CF7746B"/>
    <w:rsid w:val="0F2E0F6B"/>
    <w:rsid w:val="0FFD09BF"/>
    <w:rsid w:val="108F48DF"/>
    <w:rsid w:val="1154735C"/>
    <w:rsid w:val="13270B8B"/>
    <w:rsid w:val="138D723C"/>
    <w:rsid w:val="13D11471"/>
    <w:rsid w:val="14B36138"/>
    <w:rsid w:val="14CB202B"/>
    <w:rsid w:val="150D17CE"/>
    <w:rsid w:val="162D447E"/>
    <w:rsid w:val="167C077B"/>
    <w:rsid w:val="16A23A55"/>
    <w:rsid w:val="170151DF"/>
    <w:rsid w:val="17FB5DA7"/>
    <w:rsid w:val="1A576D9E"/>
    <w:rsid w:val="1B0939B6"/>
    <w:rsid w:val="1B574618"/>
    <w:rsid w:val="1C0D6368"/>
    <w:rsid w:val="1C424768"/>
    <w:rsid w:val="1D024532"/>
    <w:rsid w:val="1DF94AD1"/>
    <w:rsid w:val="1E1E54FA"/>
    <w:rsid w:val="1E96518D"/>
    <w:rsid w:val="1F04385C"/>
    <w:rsid w:val="1FEC5ECB"/>
    <w:rsid w:val="20D22906"/>
    <w:rsid w:val="21B422C9"/>
    <w:rsid w:val="21D14801"/>
    <w:rsid w:val="221335A9"/>
    <w:rsid w:val="225A7CFE"/>
    <w:rsid w:val="22C53076"/>
    <w:rsid w:val="22E26EBD"/>
    <w:rsid w:val="233127AD"/>
    <w:rsid w:val="243472A5"/>
    <w:rsid w:val="25036459"/>
    <w:rsid w:val="260420A4"/>
    <w:rsid w:val="26C5101B"/>
    <w:rsid w:val="2A5F0DF4"/>
    <w:rsid w:val="2BE315B0"/>
    <w:rsid w:val="2DF25BFB"/>
    <w:rsid w:val="2ECE479A"/>
    <w:rsid w:val="2F096401"/>
    <w:rsid w:val="2F237796"/>
    <w:rsid w:val="30772F3D"/>
    <w:rsid w:val="30F44C45"/>
    <w:rsid w:val="31915277"/>
    <w:rsid w:val="31FF429E"/>
    <w:rsid w:val="33313C09"/>
    <w:rsid w:val="336C442F"/>
    <w:rsid w:val="33A61462"/>
    <w:rsid w:val="34B75A48"/>
    <w:rsid w:val="350C4977"/>
    <w:rsid w:val="351304D6"/>
    <w:rsid w:val="35152CDF"/>
    <w:rsid w:val="35AF79D0"/>
    <w:rsid w:val="368E712C"/>
    <w:rsid w:val="369F07A6"/>
    <w:rsid w:val="36F65471"/>
    <w:rsid w:val="376F0C4E"/>
    <w:rsid w:val="37CE1367"/>
    <w:rsid w:val="3938118D"/>
    <w:rsid w:val="39B81CC5"/>
    <w:rsid w:val="3A137505"/>
    <w:rsid w:val="3A2E3987"/>
    <w:rsid w:val="3B586026"/>
    <w:rsid w:val="3C372DD7"/>
    <w:rsid w:val="3CA612A7"/>
    <w:rsid w:val="3CBA2C2D"/>
    <w:rsid w:val="3D0C77E6"/>
    <w:rsid w:val="3D722708"/>
    <w:rsid w:val="3F7D6E7F"/>
    <w:rsid w:val="3FD15E98"/>
    <w:rsid w:val="402709BC"/>
    <w:rsid w:val="409B4542"/>
    <w:rsid w:val="40C41559"/>
    <w:rsid w:val="42240501"/>
    <w:rsid w:val="422F27A3"/>
    <w:rsid w:val="44BD69EB"/>
    <w:rsid w:val="44D803DF"/>
    <w:rsid w:val="45087816"/>
    <w:rsid w:val="451C5E07"/>
    <w:rsid w:val="46414AC2"/>
    <w:rsid w:val="467C3B90"/>
    <w:rsid w:val="47C22C96"/>
    <w:rsid w:val="483C7B55"/>
    <w:rsid w:val="48877A3B"/>
    <w:rsid w:val="48F7696F"/>
    <w:rsid w:val="4949472C"/>
    <w:rsid w:val="499E6DEB"/>
    <w:rsid w:val="4A0B6F35"/>
    <w:rsid w:val="4BFE7798"/>
    <w:rsid w:val="4E0C3F2A"/>
    <w:rsid w:val="4EB74011"/>
    <w:rsid w:val="4F3E697A"/>
    <w:rsid w:val="4F4426F6"/>
    <w:rsid w:val="4FA97409"/>
    <w:rsid w:val="4FC9319B"/>
    <w:rsid w:val="501D60BF"/>
    <w:rsid w:val="52B255F1"/>
    <w:rsid w:val="534053B7"/>
    <w:rsid w:val="538F5079"/>
    <w:rsid w:val="53CD352E"/>
    <w:rsid w:val="54DC6A82"/>
    <w:rsid w:val="56A8574D"/>
    <w:rsid w:val="577368A2"/>
    <w:rsid w:val="57E43AF2"/>
    <w:rsid w:val="582109E0"/>
    <w:rsid w:val="58F97AA2"/>
    <w:rsid w:val="59445677"/>
    <w:rsid w:val="5A860D6A"/>
    <w:rsid w:val="5B291C5B"/>
    <w:rsid w:val="5B5C48FF"/>
    <w:rsid w:val="5C0E2BEE"/>
    <w:rsid w:val="5CBF258E"/>
    <w:rsid w:val="5D82382F"/>
    <w:rsid w:val="5DB669A1"/>
    <w:rsid w:val="5E1D650B"/>
    <w:rsid w:val="5F4D7041"/>
    <w:rsid w:val="60B44CEE"/>
    <w:rsid w:val="62C236F2"/>
    <w:rsid w:val="640D6BEF"/>
    <w:rsid w:val="64575CE4"/>
    <w:rsid w:val="65A94B3F"/>
    <w:rsid w:val="66B74847"/>
    <w:rsid w:val="68BE3C5B"/>
    <w:rsid w:val="6A3A2A70"/>
    <w:rsid w:val="6B800A23"/>
    <w:rsid w:val="6C204727"/>
    <w:rsid w:val="6C6A3D5D"/>
    <w:rsid w:val="6C8E6D3B"/>
    <w:rsid w:val="6DE57DCA"/>
    <w:rsid w:val="6FAE1B81"/>
    <w:rsid w:val="6FC32E89"/>
    <w:rsid w:val="706E4A6C"/>
    <w:rsid w:val="70734297"/>
    <w:rsid w:val="70B028BD"/>
    <w:rsid w:val="70BC2D20"/>
    <w:rsid w:val="71171111"/>
    <w:rsid w:val="719D4BAC"/>
    <w:rsid w:val="724A7260"/>
    <w:rsid w:val="72CB4E38"/>
    <w:rsid w:val="73326672"/>
    <w:rsid w:val="746E7C08"/>
    <w:rsid w:val="76037E52"/>
    <w:rsid w:val="76735D63"/>
    <w:rsid w:val="77181F74"/>
    <w:rsid w:val="790C34C1"/>
    <w:rsid w:val="791564AD"/>
    <w:rsid w:val="7925430B"/>
    <w:rsid w:val="79562DC0"/>
    <w:rsid w:val="79B0209F"/>
    <w:rsid w:val="7B170B59"/>
    <w:rsid w:val="7CD97C76"/>
    <w:rsid w:val="7D514C9D"/>
    <w:rsid w:val="7DFA7D8C"/>
    <w:rsid w:val="7EAE27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qFormat="1" w:unhideWhenUsed="0" w:uiPriority="0" w:semiHidden="0" w:name="envelope address"/>
    <w:lsdException w:qFormat="1" w:unhideWhenUsed="0" w:uiPriority="0" w:semiHidden="0" w:name="envelope return"/>
    <w:lsdException w:qFormat="1" w:unhideWhenUsed="0"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link w:val="167"/>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76">
    <w:name w:val="Default Paragraph Font"/>
    <w:semiHidden/>
    <w:unhideWhenUsed/>
    <w:qFormat/>
    <w:uiPriority w:val="1"/>
  </w:style>
  <w:style w:type="table" w:default="1" w:styleId="74">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ind w:left="100" w:leftChars="400" w:hanging="200" w:hangingChars="200"/>
    </w:pPr>
    <w:rPr>
      <w:szCs w:val="24"/>
    </w:rPr>
  </w:style>
  <w:style w:type="paragraph" w:styleId="12">
    <w:name w:val="toc 7"/>
    <w:basedOn w:val="13"/>
    <w:next w:val="1"/>
    <w:semiHidden/>
    <w:qFormat/>
    <w:uiPriority w:val="0"/>
    <w:pPr>
      <w:tabs>
        <w:tab w:val="right" w:leader="dot" w:pos="9345"/>
      </w:tabs>
    </w:pPr>
  </w:style>
  <w:style w:type="paragraph" w:styleId="13">
    <w:name w:val="toc 6"/>
    <w:basedOn w:val="14"/>
    <w:next w:val="1"/>
    <w:semiHidden/>
    <w:qFormat/>
    <w:uiPriority w:val="0"/>
    <w:pPr>
      <w:tabs>
        <w:tab w:val="right" w:leader="dot" w:pos="9345"/>
      </w:tabs>
    </w:pPr>
  </w:style>
  <w:style w:type="paragraph" w:styleId="14">
    <w:name w:val="toc 5"/>
    <w:basedOn w:val="15"/>
    <w:next w:val="1"/>
    <w:semiHidden/>
    <w:qFormat/>
    <w:uiPriority w:val="0"/>
    <w:pPr>
      <w:tabs>
        <w:tab w:val="right" w:leader="dot" w:pos="9345"/>
      </w:tabs>
    </w:pPr>
  </w:style>
  <w:style w:type="paragraph" w:styleId="15">
    <w:name w:val="toc 4"/>
    <w:basedOn w:val="16"/>
    <w:next w:val="1"/>
    <w:semiHidden/>
    <w:qFormat/>
    <w:uiPriority w:val="0"/>
    <w:pPr>
      <w:tabs>
        <w:tab w:val="right" w:leader="dot" w:pos="9345"/>
      </w:tabs>
    </w:pPr>
  </w:style>
  <w:style w:type="paragraph" w:styleId="16">
    <w:name w:val="toc 3"/>
    <w:basedOn w:val="17"/>
    <w:next w:val="1"/>
    <w:semiHidden/>
    <w:qFormat/>
    <w:uiPriority w:val="0"/>
    <w:pPr>
      <w:tabs>
        <w:tab w:val="right" w:leader="dot" w:pos="9345"/>
      </w:tabs>
    </w:pPr>
  </w:style>
  <w:style w:type="paragraph" w:styleId="17">
    <w:name w:val="toc 2"/>
    <w:basedOn w:val="18"/>
    <w:next w:val="1"/>
    <w:semiHidden/>
    <w:qFormat/>
    <w:uiPriority w:val="0"/>
    <w:pPr>
      <w:tabs>
        <w:tab w:val="right" w:leader="dot" w:pos="9345"/>
      </w:tabs>
    </w:pPr>
    <w:rPr>
      <w:color w:val="000000"/>
    </w:rPr>
  </w:style>
  <w:style w:type="paragraph" w:styleId="18">
    <w:name w:val="toc 1"/>
    <w:next w:val="1"/>
    <w:qFormat/>
    <w:uiPriority w:val="39"/>
    <w:pPr>
      <w:tabs>
        <w:tab w:val="right" w:leader="dot" w:pos="9345"/>
      </w:tabs>
      <w:jc w:val="both"/>
    </w:pPr>
    <w:rPr>
      <w:rFonts w:ascii="宋体" w:hAnsi="Times New Roman" w:eastAsia="宋体" w:cs="Times New Roman"/>
      <w:sz w:val="21"/>
      <w:lang w:val="en-US" w:eastAsia="zh-CN" w:bidi="ar-SA"/>
    </w:rPr>
  </w:style>
  <w:style w:type="paragraph" w:styleId="19">
    <w:name w:val="List Number 2"/>
    <w:basedOn w:val="1"/>
    <w:qFormat/>
    <w:uiPriority w:val="0"/>
    <w:pPr>
      <w:numPr>
        <w:ilvl w:val="0"/>
        <w:numId w:val="1"/>
      </w:numPr>
      <w:tabs>
        <w:tab w:val="left" w:pos="780"/>
        <w:tab w:val="clear" w:pos="360"/>
      </w:tabs>
      <w:ind w:left="780" w:leftChars="200"/>
    </w:pPr>
    <w:rPr>
      <w:szCs w:val="24"/>
    </w:rPr>
  </w:style>
  <w:style w:type="paragraph" w:styleId="20">
    <w:name w:val="Note Heading"/>
    <w:basedOn w:val="1"/>
    <w:next w:val="1"/>
    <w:qFormat/>
    <w:uiPriority w:val="0"/>
    <w:pPr>
      <w:jc w:val="center"/>
    </w:pPr>
    <w:rPr>
      <w:szCs w:val="24"/>
    </w:rPr>
  </w:style>
  <w:style w:type="paragraph" w:styleId="21">
    <w:name w:val="List Bullet 4"/>
    <w:basedOn w:val="1"/>
    <w:qFormat/>
    <w:uiPriority w:val="0"/>
    <w:pPr>
      <w:numPr>
        <w:ilvl w:val="0"/>
        <w:numId w:val="2"/>
      </w:numPr>
      <w:tabs>
        <w:tab w:val="left" w:pos="1620"/>
        <w:tab w:val="clear" w:pos="1200"/>
      </w:tabs>
      <w:ind w:left="1620" w:leftChars="600"/>
    </w:pPr>
    <w:rPr>
      <w:szCs w:val="24"/>
    </w:rPr>
  </w:style>
  <w:style w:type="paragraph" w:styleId="22">
    <w:name w:val="E-mail Signature"/>
    <w:basedOn w:val="1"/>
    <w:qFormat/>
    <w:uiPriority w:val="0"/>
    <w:rPr>
      <w:szCs w:val="24"/>
    </w:rPr>
  </w:style>
  <w:style w:type="paragraph" w:styleId="23">
    <w:name w:val="List Number"/>
    <w:basedOn w:val="1"/>
    <w:qFormat/>
    <w:uiPriority w:val="0"/>
    <w:rPr>
      <w:szCs w:val="24"/>
    </w:rPr>
  </w:style>
  <w:style w:type="paragraph" w:styleId="24">
    <w:name w:val="Normal Indent"/>
    <w:basedOn w:val="1"/>
    <w:qFormat/>
    <w:uiPriority w:val="0"/>
    <w:pPr>
      <w:ind w:firstLine="420" w:firstLineChars="200"/>
    </w:pPr>
    <w:rPr>
      <w:szCs w:val="24"/>
    </w:rPr>
  </w:style>
  <w:style w:type="paragraph" w:styleId="25">
    <w:name w:val="List Bullet"/>
    <w:basedOn w:val="1"/>
    <w:qFormat/>
    <w:uiPriority w:val="0"/>
    <w:pPr>
      <w:numPr>
        <w:ilvl w:val="0"/>
        <w:numId w:val="3"/>
      </w:numPr>
    </w:pPr>
    <w:rPr>
      <w:szCs w:val="24"/>
    </w:rPr>
  </w:style>
  <w:style w:type="paragraph" w:styleId="26">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szCs w:val="24"/>
    </w:rPr>
  </w:style>
  <w:style w:type="paragraph" w:styleId="27">
    <w:name w:val="Document Map"/>
    <w:basedOn w:val="1"/>
    <w:semiHidden/>
    <w:qFormat/>
    <w:uiPriority w:val="0"/>
    <w:pPr>
      <w:shd w:val="clear" w:color="auto" w:fill="000080"/>
    </w:pPr>
  </w:style>
  <w:style w:type="paragraph" w:styleId="28">
    <w:name w:val="annotation text"/>
    <w:basedOn w:val="1"/>
    <w:semiHidden/>
    <w:qFormat/>
    <w:uiPriority w:val="0"/>
    <w:pPr>
      <w:jc w:val="left"/>
    </w:pPr>
    <w:rPr>
      <w:szCs w:val="24"/>
    </w:rPr>
  </w:style>
  <w:style w:type="paragraph" w:styleId="29">
    <w:name w:val="Salutation"/>
    <w:basedOn w:val="1"/>
    <w:next w:val="1"/>
    <w:qFormat/>
    <w:uiPriority w:val="0"/>
    <w:rPr>
      <w:szCs w:val="24"/>
    </w:rPr>
  </w:style>
  <w:style w:type="paragraph" w:styleId="30">
    <w:name w:val="Body Text 3"/>
    <w:basedOn w:val="1"/>
    <w:qFormat/>
    <w:uiPriority w:val="0"/>
    <w:pPr>
      <w:spacing w:after="120"/>
    </w:pPr>
    <w:rPr>
      <w:sz w:val="16"/>
      <w:szCs w:val="16"/>
    </w:rPr>
  </w:style>
  <w:style w:type="paragraph" w:styleId="31">
    <w:name w:val="Closing"/>
    <w:basedOn w:val="1"/>
    <w:qFormat/>
    <w:uiPriority w:val="0"/>
    <w:pPr>
      <w:ind w:left="100" w:leftChars="2100"/>
    </w:pPr>
    <w:rPr>
      <w:szCs w:val="24"/>
    </w:rPr>
  </w:style>
  <w:style w:type="paragraph" w:styleId="32">
    <w:name w:val="List Bullet 3"/>
    <w:basedOn w:val="1"/>
    <w:qFormat/>
    <w:uiPriority w:val="0"/>
    <w:pPr>
      <w:numPr>
        <w:ilvl w:val="0"/>
        <w:numId w:val="4"/>
      </w:numPr>
      <w:tabs>
        <w:tab w:val="left" w:pos="1200"/>
        <w:tab w:val="clear" w:pos="780"/>
      </w:tabs>
      <w:ind w:left="1200" w:leftChars="400"/>
    </w:pPr>
    <w:rPr>
      <w:szCs w:val="24"/>
    </w:rPr>
  </w:style>
  <w:style w:type="paragraph" w:styleId="33">
    <w:name w:val="Body Text"/>
    <w:basedOn w:val="1"/>
    <w:qFormat/>
    <w:uiPriority w:val="0"/>
    <w:pPr>
      <w:wordWrap w:val="0"/>
      <w:spacing w:line="480" w:lineRule="exact"/>
      <w:jc w:val="right"/>
    </w:pPr>
    <w:rPr>
      <w:color w:val="000000"/>
      <w:position w:val="-10"/>
      <w:sz w:val="18"/>
    </w:rPr>
  </w:style>
  <w:style w:type="paragraph" w:styleId="34">
    <w:name w:val="Body Text Indent"/>
    <w:basedOn w:val="1"/>
    <w:qFormat/>
    <w:uiPriority w:val="0"/>
    <w:pPr>
      <w:spacing w:after="120"/>
      <w:ind w:left="420" w:leftChars="200"/>
    </w:pPr>
  </w:style>
  <w:style w:type="paragraph" w:styleId="35">
    <w:name w:val="List Number 3"/>
    <w:basedOn w:val="1"/>
    <w:qFormat/>
    <w:uiPriority w:val="0"/>
    <w:pPr>
      <w:numPr>
        <w:ilvl w:val="0"/>
        <w:numId w:val="5"/>
      </w:numPr>
      <w:tabs>
        <w:tab w:val="left" w:pos="1200"/>
        <w:tab w:val="clear" w:pos="780"/>
      </w:tabs>
      <w:ind w:left="1200" w:leftChars="400"/>
    </w:pPr>
    <w:rPr>
      <w:szCs w:val="24"/>
    </w:rPr>
  </w:style>
  <w:style w:type="paragraph" w:styleId="36">
    <w:name w:val="List 2"/>
    <w:basedOn w:val="1"/>
    <w:qFormat/>
    <w:uiPriority w:val="0"/>
    <w:pPr>
      <w:ind w:left="100" w:leftChars="200" w:hanging="200" w:hangingChars="200"/>
    </w:pPr>
    <w:rPr>
      <w:szCs w:val="24"/>
    </w:rPr>
  </w:style>
  <w:style w:type="paragraph" w:styleId="37">
    <w:name w:val="List Continue"/>
    <w:basedOn w:val="1"/>
    <w:qFormat/>
    <w:uiPriority w:val="0"/>
    <w:pPr>
      <w:numPr>
        <w:ilvl w:val="0"/>
        <w:numId w:val="6"/>
      </w:numPr>
      <w:tabs>
        <w:tab w:val="clear" w:pos="2040"/>
      </w:tabs>
      <w:spacing w:after="120"/>
      <w:ind w:left="420" w:leftChars="200" w:firstLine="0" w:firstLineChars="0"/>
    </w:pPr>
    <w:rPr>
      <w:szCs w:val="24"/>
    </w:rPr>
  </w:style>
  <w:style w:type="paragraph" w:styleId="38">
    <w:name w:val="Block Text"/>
    <w:basedOn w:val="1"/>
    <w:qFormat/>
    <w:uiPriority w:val="0"/>
    <w:pPr>
      <w:spacing w:after="120"/>
      <w:ind w:left="1440" w:leftChars="700" w:right="1440" w:rightChars="700"/>
    </w:pPr>
    <w:rPr>
      <w:szCs w:val="24"/>
    </w:rPr>
  </w:style>
  <w:style w:type="paragraph" w:styleId="39">
    <w:name w:val="List Bullet 2"/>
    <w:basedOn w:val="1"/>
    <w:qFormat/>
    <w:uiPriority w:val="0"/>
    <w:pPr>
      <w:numPr>
        <w:ilvl w:val="0"/>
        <w:numId w:val="7"/>
      </w:numPr>
      <w:tabs>
        <w:tab w:val="left" w:pos="780"/>
        <w:tab w:val="clear" w:pos="360"/>
      </w:tabs>
      <w:ind w:left="780" w:leftChars="200"/>
    </w:pPr>
    <w:rPr>
      <w:szCs w:val="24"/>
    </w:rPr>
  </w:style>
  <w:style w:type="paragraph" w:styleId="40">
    <w:name w:val="HTML Address"/>
    <w:basedOn w:val="1"/>
    <w:qFormat/>
    <w:uiPriority w:val="0"/>
    <w:rPr>
      <w:i/>
      <w:iCs/>
    </w:rPr>
  </w:style>
  <w:style w:type="paragraph" w:styleId="41">
    <w:name w:val="Plain Text"/>
    <w:basedOn w:val="1"/>
    <w:qFormat/>
    <w:uiPriority w:val="0"/>
    <w:rPr>
      <w:rFonts w:ascii="宋体" w:hAnsi="Courier New" w:cs="Courier New"/>
      <w:szCs w:val="21"/>
    </w:rPr>
  </w:style>
  <w:style w:type="paragraph" w:styleId="42">
    <w:name w:val="List Bullet 5"/>
    <w:basedOn w:val="1"/>
    <w:qFormat/>
    <w:uiPriority w:val="0"/>
    <w:pPr>
      <w:numPr>
        <w:ilvl w:val="0"/>
        <w:numId w:val="8"/>
      </w:numPr>
      <w:tabs>
        <w:tab w:val="left" w:pos="2040"/>
        <w:tab w:val="clear" w:pos="1620"/>
      </w:tabs>
      <w:ind w:left="2040" w:leftChars="800"/>
    </w:pPr>
    <w:rPr>
      <w:szCs w:val="24"/>
    </w:rPr>
  </w:style>
  <w:style w:type="paragraph" w:styleId="43">
    <w:name w:val="List Number 4"/>
    <w:basedOn w:val="1"/>
    <w:qFormat/>
    <w:uiPriority w:val="0"/>
    <w:pPr>
      <w:numPr>
        <w:ilvl w:val="0"/>
        <w:numId w:val="9"/>
      </w:numPr>
      <w:tabs>
        <w:tab w:val="left" w:pos="1620"/>
        <w:tab w:val="clear" w:pos="1200"/>
      </w:tabs>
      <w:ind w:left="1620" w:leftChars="600"/>
    </w:pPr>
    <w:rPr>
      <w:szCs w:val="24"/>
    </w:rPr>
  </w:style>
  <w:style w:type="paragraph" w:styleId="44">
    <w:name w:val="toc 8"/>
    <w:basedOn w:val="12"/>
    <w:next w:val="1"/>
    <w:semiHidden/>
    <w:qFormat/>
    <w:uiPriority w:val="0"/>
  </w:style>
  <w:style w:type="paragraph" w:styleId="45">
    <w:name w:val="Date"/>
    <w:basedOn w:val="1"/>
    <w:next w:val="1"/>
    <w:qFormat/>
    <w:uiPriority w:val="0"/>
    <w:pPr>
      <w:ind w:left="100" w:leftChars="2500"/>
    </w:pPr>
    <w:rPr>
      <w:b/>
      <w:color w:val="0000FF"/>
      <w:szCs w:val="21"/>
    </w:rPr>
  </w:style>
  <w:style w:type="paragraph" w:styleId="46">
    <w:name w:val="Body Text Indent 2"/>
    <w:basedOn w:val="1"/>
    <w:link w:val="143"/>
    <w:qFormat/>
    <w:uiPriority w:val="0"/>
    <w:pPr>
      <w:spacing w:line="360" w:lineRule="auto"/>
      <w:ind w:firstLine="480"/>
    </w:pPr>
    <w:rPr>
      <w:color w:val="FF0000"/>
      <w:kern w:val="0"/>
      <w:sz w:val="24"/>
    </w:rPr>
  </w:style>
  <w:style w:type="paragraph" w:styleId="47">
    <w:name w:val="List Continue 5"/>
    <w:basedOn w:val="1"/>
    <w:qFormat/>
    <w:uiPriority w:val="0"/>
    <w:pPr>
      <w:spacing w:after="120"/>
      <w:ind w:left="2100" w:leftChars="1000"/>
    </w:pPr>
    <w:rPr>
      <w:szCs w:val="24"/>
    </w:rPr>
  </w:style>
  <w:style w:type="paragraph" w:styleId="48">
    <w:name w:val="Balloon Text"/>
    <w:basedOn w:val="1"/>
    <w:semiHidden/>
    <w:qFormat/>
    <w:uiPriority w:val="0"/>
    <w:rPr>
      <w:sz w:val="18"/>
      <w:szCs w:val="18"/>
    </w:rPr>
  </w:style>
  <w:style w:type="paragraph" w:styleId="49">
    <w:name w:val="footer"/>
    <w:basedOn w:val="1"/>
    <w:qFormat/>
    <w:uiPriority w:val="0"/>
    <w:pPr>
      <w:tabs>
        <w:tab w:val="center" w:pos="4153"/>
        <w:tab w:val="right" w:pos="8306"/>
      </w:tabs>
      <w:snapToGrid w:val="0"/>
      <w:ind w:right="210" w:rightChars="100"/>
      <w:jc w:val="right"/>
    </w:pPr>
    <w:rPr>
      <w:sz w:val="18"/>
      <w:szCs w:val="18"/>
    </w:rPr>
  </w:style>
  <w:style w:type="paragraph" w:styleId="50">
    <w:name w:val="envelope return"/>
    <w:basedOn w:val="1"/>
    <w:qFormat/>
    <w:uiPriority w:val="0"/>
    <w:pPr>
      <w:snapToGrid w:val="0"/>
    </w:pPr>
    <w:rPr>
      <w:rFonts w:ascii="Arial" w:hAnsi="Arial" w:cs="Arial"/>
      <w:szCs w:val="24"/>
    </w:rPr>
  </w:style>
  <w:style w:type="paragraph" w:styleId="5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2">
    <w:name w:val="Signature"/>
    <w:basedOn w:val="1"/>
    <w:qFormat/>
    <w:uiPriority w:val="0"/>
    <w:pPr>
      <w:ind w:left="100" w:leftChars="2100"/>
    </w:pPr>
    <w:rPr>
      <w:szCs w:val="24"/>
    </w:rPr>
  </w:style>
  <w:style w:type="paragraph" w:styleId="53">
    <w:name w:val="List Continue 4"/>
    <w:basedOn w:val="1"/>
    <w:qFormat/>
    <w:uiPriority w:val="0"/>
    <w:pPr>
      <w:spacing w:after="120"/>
      <w:ind w:left="1680" w:leftChars="800"/>
    </w:pPr>
    <w:rPr>
      <w:szCs w:val="24"/>
    </w:rPr>
  </w:style>
  <w:style w:type="paragraph" w:styleId="54">
    <w:name w:val="Subtitle"/>
    <w:basedOn w:val="1"/>
    <w:qFormat/>
    <w:uiPriority w:val="0"/>
    <w:pPr>
      <w:spacing w:before="240" w:after="60" w:line="312" w:lineRule="auto"/>
      <w:jc w:val="center"/>
      <w:outlineLvl w:val="1"/>
    </w:pPr>
    <w:rPr>
      <w:rFonts w:ascii="Arial" w:hAnsi="Arial" w:cs="Arial"/>
      <w:b/>
      <w:bCs/>
      <w:kern w:val="28"/>
      <w:sz w:val="32"/>
      <w:szCs w:val="32"/>
    </w:rPr>
  </w:style>
  <w:style w:type="paragraph" w:styleId="55">
    <w:name w:val="List Number 5"/>
    <w:basedOn w:val="1"/>
    <w:qFormat/>
    <w:uiPriority w:val="0"/>
    <w:pPr>
      <w:numPr>
        <w:ilvl w:val="0"/>
        <w:numId w:val="10"/>
      </w:numPr>
      <w:tabs>
        <w:tab w:val="left" w:pos="2040"/>
        <w:tab w:val="clear" w:pos="1620"/>
      </w:tabs>
      <w:ind w:left="2040" w:leftChars="800"/>
    </w:pPr>
    <w:rPr>
      <w:szCs w:val="24"/>
    </w:rPr>
  </w:style>
  <w:style w:type="paragraph" w:styleId="56">
    <w:name w:val="List"/>
    <w:basedOn w:val="1"/>
    <w:qFormat/>
    <w:uiPriority w:val="0"/>
    <w:pPr>
      <w:ind w:left="200" w:hanging="200" w:hangingChars="200"/>
    </w:pPr>
    <w:rPr>
      <w:szCs w:val="24"/>
    </w:rPr>
  </w:style>
  <w:style w:type="paragraph" w:styleId="57">
    <w:name w:val="footnote text"/>
    <w:basedOn w:val="1"/>
    <w:semiHidden/>
    <w:qFormat/>
    <w:uiPriority w:val="0"/>
    <w:pPr>
      <w:snapToGrid w:val="0"/>
      <w:jc w:val="left"/>
    </w:pPr>
    <w:rPr>
      <w:sz w:val="18"/>
      <w:szCs w:val="18"/>
    </w:rPr>
  </w:style>
  <w:style w:type="paragraph" w:styleId="58">
    <w:name w:val="List 5"/>
    <w:basedOn w:val="1"/>
    <w:qFormat/>
    <w:uiPriority w:val="0"/>
    <w:pPr>
      <w:ind w:left="100" w:leftChars="800" w:hanging="200" w:hangingChars="200"/>
    </w:pPr>
    <w:rPr>
      <w:szCs w:val="24"/>
    </w:rPr>
  </w:style>
  <w:style w:type="paragraph" w:styleId="59">
    <w:name w:val="Body Text Indent 3"/>
    <w:basedOn w:val="1"/>
    <w:qFormat/>
    <w:uiPriority w:val="0"/>
    <w:pPr>
      <w:spacing w:line="360" w:lineRule="auto"/>
    </w:pPr>
    <w:rPr>
      <w:rFonts w:ascii="宋体" w:hAnsi="宋体"/>
      <w:szCs w:val="24"/>
    </w:rPr>
  </w:style>
  <w:style w:type="paragraph" w:styleId="60">
    <w:name w:val="toc 9"/>
    <w:basedOn w:val="44"/>
    <w:next w:val="1"/>
    <w:semiHidden/>
    <w:qFormat/>
    <w:uiPriority w:val="0"/>
  </w:style>
  <w:style w:type="paragraph" w:styleId="61">
    <w:name w:val="Body Text 2"/>
    <w:basedOn w:val="1"/>
    <w:qFormat/>
    <w:uiPriority w:val="0"/>
    <w:pPr>
      <w:spacing w:after="120" w:line="480" w:lineRule="auto"/>
    </w:pPr>
    <w:rPr>
      <w:szCs w:val="24"/>
    </w:rPr>
  </w:style>
  <w:style w:type="paragraph" w:styleId="62">
    <w:name w:val="List 4"/>
    <w:basedOn w:val="1"/>
    <w:qFormat/>
    <w:uiPriority w:val="0"/>
    <w:pPr>
      <w:ind w:left="100" w:leftChars="600" w:hanging="200" w:hangingChars="200"/>
    </w:pPr>
    <w:rPr>
      <w:szCs w:val="24"/>
    </w:rPr>
  </w:style>
  <w:style w:type="paragraph" w:styleId="63">
    <w:name w:val="List Continue 2"/>
    <w:basedOn w:val="1"/>
    <w:qFormat/>
    <w:uiPriority w:val="0"/>
    <w:pPr>
      <w:spacing w:after="120"/>
      <w:ind w:left="840" w:leftChars="400"/>
    </w:pPr>
    <w:rPr>
      <w:szCs w:val="24"/>
    </w:rPr>
  </w:style>
  <w:style w:type="paragraph" w:styleId="6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65">
    <w:name w:val="HTML Preformatted"/>
    <w:basedOn w:val="1"/>
    <w:qFormat/>
    <w:uiPriority w:val="0"/>
    <w:rPr>
      <w:rFonts w:ascii="Courier New" w:hAnsi="Courier New" w:cs="Courier New"/>
      <w:sz w:val="20"/>
    </w:rPr>
  </w:style>
  <w:style w:type="paragraph" w:styleId="66">
    <w:name w:val="Normal (Web)"/>
    <w:basedOn w:val="1"/>
    <w:qFormat/>
    <w:uiPriority w:val="0"/>
    <w:pPr>
      <w:numPr>
        <w:ilvl w:val="0"/>
        <w:numId w:val="11"/>
      </w:numPr>
      <w:tabs>
        <w:tab w:val="clear" w:pos="2040"/>
      </w:tabs>
      <w:ind w:left="0" w:leftChars="0" w:firstLine="0" w:firstLineChars="0"/>
    </w:pPr>
    <w:rPr>
      <w:sz w:val="24"/>
      <w:szCs w:val="24"/>
    </w:rPr>
  </w:style>
  <w:style w:type="paragraph" w:styleId="67">
    <w:name w:val="List Continue 3"/>
    <w:basedOn w:val="1"/>
    <w:qFormat/>
    <w:uiPriority w:val="0"/>
    <w:pPr>
      <w:spacing w:after="120"/>
      <w:ind w:left="1260" w:leftChars="600"/>
    </w:pPr>
    <w:rPr>
      <w:szCs w:val="24"/>
    </w:rPr>
  </w:style>
  <w:style w:type="paragraph" w:styleId="68">
    <w:name w:val="index 1"/>
    <w:basedOn w:val="1"/>
    <w:next w:val="1"/>
    <w:semiHidden/>
    <w:qFormat/>
    <w:uiPriority w:val="0"/>
    <w:rPr>
      <w:szCs w:val="24"/>
    </w:rPr>
  </w:style>
  <w:style w:type="paragraph" w:styleId="69">
    <w:name w:val="index 2"/>
    <w:basedOn w:val="1"/>
    <w:next w:val="1"/>
    <w:semiHidden/>
    <w:qFormat/>
    <w:uiPriority w:val="0"/>
    <w:pPr>
      <w:ind w:left="200" w:leftChars="200"/>
    </w:pPr>
    <w:rPr>
      <w:szCs w:val="24"/>
    </w:rPr>
  </w:style>
  <w:style w:type="paragraph" w:styleId="70">
    <w:name w:val="Title"/>
    <w:basedOn w:val="1"/>
    <w:qFormat/>
    <w:uiPriority w:val="0"/>
    <w:pPr>
      <w:spacing w:before="240" w:after="60"/>
      <w:jc w:val="center"/>
      <w:outlineLvl w:val="0"/>
    </w:pPr>
    <w:rPr>
      <w:rFonts w:ascii="Arial" w:hAnsi="Arial" w:cs="Arial"/>
      <w:b/>
      <w:bCs/>
      <w:sz w:val="32"/>
      <w:szCs w:val="32"/>
    </w:rPr>
  </w:style>
  <w:style w:type="paragraph" w:styleId="71">
    <w:name w:val="annotation subject"/>
    <w:basedOn w:val="28"/>
    <w:next w:val="28"/>
    <w:semiHidden/>
    <w:qFormat/>
    <w:uiPriority w:val="0"/>
    <w:rPr>
      <w:b/>
      <w:bCs/>
    </w:rPr>
  </w:style>
  <w:style w:type="paragraph" w:styleId="72">
    <w:name w:val="Body Text First Indent"/>
    <w:basedOn w:val="33"/>
    <w:qFormat/>
    <w:uiPriority w:val="0"/>
    <w:pPr>
      <w:wordWrap/>
      <w:spacing w:after="120" w:line="240" w:lineRule="auto"/>
      <w:ind w:firstLine="420" w:firstLineChars="100"/>
      <w:jc w:val="both"/>
    </w:pPr>
    <w:rPr>
      <w:color w:val="auto"/>
      <w:position w:val="0"/>
      <w:sz w:val="21"/>
      <w:szCs w:val="24"/>
    </w:rPr>
  </w:style>
  <w:style w:type="paragraph" w:styleId="73">
    <w:name w:val="Body Text First Indent 2"/>
    <w:basedOn w:val="34"/>
    <w:qFormat/>
    <w:uiPriority w:val="0"/>
    <w:pPr>
      <w:ind w:firstLine="420" w:firstLineChars="200"/>
    </w:pPr>
    <w:rPr>
      <w:szCs w:val="24"/>
    </w:rPr>
  </w:style>
  <w:style w:type="table" w:styleId="75">
    <w:name w:val="Table Grid"/>
    <w:basedOn w:val="7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7">
    <w:name w:val="Strong"/>
    <w:qFormat/>
    <w:uiPriority w:val="0"/>
    <w:rPr>
      <w:rFonts w:ascii="仿宋_GB2312" w:eastAsia="仿宋_GB2312"/>
      <w:b/>
      <w:bCs/>
      <w:sz w:val="28"/>
      <w:szCs w:val="28"/>
      <w:lang w:val="en-US" w:eastAsia="zh-CN" w:bidi="ar-SA"/>
    </w:rPr>
  </w:style>
  <w:style w:type="character" w:styleId="78">
    <w:name w:val="page number"/>
    <w:qFormat/>
    <w:uiPriority w:val="0"/>
    <w:rPr>
      <w:rFonts w:ascii="Times New Roman" w:hAnsi="Times New Roman" w:eastAsia="宋体"/>
      <w:sz w:val="18"/>
    </w:rPr>
  </w:style>
  <w:style w:type="character" w:styleId="79">
    <w:name w:val="Emphasis"/>
    <w:basedOn w:val="76"/>
    <w:qFormat/>
    <w:uiPriority w:val="0"/>
    <w:rPr>
      <w:i/>
    </w:rPr>
  </w:style>
  <w:style w:type="character" w:styleId="80">
    <w:name w:val="HTML Definition"/>
    <w:qFormat/>
    <w:uiPriority w:val="0"/>
    <w:rPr>
      <w:i/>
      <w:iCs/>
    </w:rPr>
  </w:style>
  <w:style w:type="character" w:styleId="81">
    <w:name w:val="HTML Typewriter"/>
    <w:qFormat/>
    <w:uiPriority w:val="0"/>
    <w:rPr>
      <w:rFonts w:ascii="Courier New" w:hAnsi="Courier New"/>
      <w:sz w:val="20"/>
      <w:szCs w:val="20"/>
    </w:rPr>
  </w:style>
  <w:style w:type="character" w:styleId="82">
    <w:name w:val="HTML Acronym"/>
    <w:basedOn w:val="76"/>
    <w:qFormat/>
    <w:uiPriority w:val="0"/>
  </w:style>
  <w:style w:type="character" w:styleId="83">
    <w:name w:val="HTML Variable"/>
    <w:qFormat/>
    <w:uiPriority w:val="0"/>
    <w:rPr>
      <w:i/>
      <w:iCs/>
    </w:rPr>
  </w:style>
  <w:style w:type="character" w:styleId="84">
    <w:name w:val="Hyperlink"/>
    <w:qFormat/>
    <w:uiPriority w:val="99"/>
    <w:rPr>
      <w:rFonts w:ascii="Times New Roman" w:hAnsi="Times New Roman" w:eastAsia="宋体"/>
      <w:color w:val="auto"/>
      <w:spacing w:val="0"/>
      <w:w w:val="100"/>
      <w:position w:val="0"/>
      <w:sz w:val="21"/>
      <w:u w:val="none"/>
      <w:vertAlign w:val="baseline"/>
    </w:rPr>
  </w:style>
  <w:style w:type="character" w:styleId="85">
    <w:name w:val="HTML Code"/>
    <w:qFormat/>
    <w:uiPriority w:val="0"/>
    <w:rPr>
      <w:rFonts w:ascii="Courier New" w:hAnsi="Courier New"/>
      <w:sz w:val="20"/>
      <w:szCs w:val="20"/>
    </w:rPr>
  </w:style>
  <w:style w:type="character" w:styleId="86">
    <w:name w:val="annotation reference"/>
    <w:basedOn w:val="76"/>
    <w:qFormat/>
    <w:uiPriority w:val="0"/>
    <w:rPr>
      <w:sz w:val="21"/>
      <w:szCs w:val="21"/>
    </w:rPr>
  </w:style>
  <w:style w:type="character" w:styleId="87">
    <w:name w:val="HTML Cite"/>
    <w:qFormat/>
    <w:uiPriority w:val="0"/>
    <w:rPr>
      <w:i/>
      <w:iCs/>
    </w:rPr>
  </w:style>
  <w:style w:type="character" w:styleId="88">
    <w:name w:val="footnote reference"/>
    <w:semiHidden/>
    <w:qFormat/>
    <w:uiPriority w:val="0"/>
    <w:rPr>
      <w:vertAlign w:val="superscript"/>
    </w:rPr>
  </w:style>
  <w:style w:type="character" w:styleId="89">
    <w:name w:val="HTML Keyboard"/>
    <w:qFormat/>
    <w:uiPriority w:val="0"/>
    <w:rPr>
      <w:rFonts w:ascii="Courier New" w:hAnsi="Courier New"/>
      <w:sz w:val="20"/>
      <w:szCs w:val="20"/>
    </w:rPr>
  </w:style>
  <w:style w:type="character" w:styleId="90">
    <w:name w:val="HTML Sample"/>
    <w:qFormat/>
    <w:uiPriority w:val="0"/>
    <w:rPr>
      <w:rFonts w:ascii="Courier New" w:hAnsi="Courier New"/>
    </w:rPr>
  </w:style>
  <w:style w:type="character" w:customStyle="1" w:styleId="91">
    <w:name w:val="标题 2 字符"/>
    <w:link w:val="3"/>
    <w:qFormat/>
    <w:uiPriority w:val="0"/>
    <w:rPr>
      <w:rFonts w:ascii="Arial" w:hAnsi="Arial" w:eastAsia="黑体"/>
      <w:b/>
      <w:bCs/>
      <w:kern w:val="2"/>
      <w:sz w:val="32"/>
      <w:szCs w:val="32"/>
      <w:lang w:val="en-US" w:eastAsia="zh-CN" w:bidi="ar-SA"/>
    </w:rPr>
  </w:style>
  <w:style w:type="paragraph" w:customStyle="1" w:styleId="92">
    <w:name w:val="Char Char Char1 Char"/>
    <w:basedOn w:val="1"/>
    <w:qFormat/>
    <w:uiPriority w:val="0"/>
    <w:pPr>
      <w:spacing w:line="360" w:lineRule="auto"/>
    </w:pPr>
    <w:rPr>
      <w:rFonts w:ascii="Tahoma" w:hAnsi="Tahoma"/>
      <w:sz w:val="24"/>
    </w:rPr>
  </w:style>
  <w:style w:type="paragraph" w:customStyle="1" w:styleId="93">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94">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95">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96">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97">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98">
    <w:name w:val="标准书眉_偶数页"/>
    <w:basedOn w:val="97"/>
    <w:next w:val="1"/>
    <w:qFormat/>
    <w:uiPriority w:val="0"/>
    <w:pPr>
      <w:jc w:val="left"/>
    </w:pPr>
  </w:style>
  <w:style w:type="paragraph" w:customStyle="1" w:styleId="99">
    <w:name w:val="标准书眉一"/>
    <w:qFormat/>
    <w:uiPriority w:val="0"/>
    <w:pPr>
      <w:jc w:val="both"/>
    </w:pPr>
    <w:rPr>
      <w:rFonts w:ascii="Times New Roman" w:hAnsi="Times New Roman" w:eastAsia="宋体" w:cs="Times New Roman"/>
      <w:lang w:val="en-US" w:eastAsia="zh-CN" w:bidi="ar-SA"/>
    </w:rPr>
  </w:style>
  <w:style w:type="paragraph" w:customStyle="1" w:styleId="100">
    <w:name w:val="前言、引言标题"/>
    <w:next w:val="1"/>
    <w:qFormat/>
    <w:uiPriority w:val="0"/>
    <w:pPr>
      <w:numPr>
        <w:ilvl w:val="0"/>
        <w:numId w:val="12"/>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01">
    <w:name w:val="参考文献、索引标题"/>
    <w:basedOn w:val="100"/>
    <w:next w:val="1"/>
    <w:qFormat/>
    <w:uiPriority w:val="0"/>
    <w:pPr>
      <w:numPr>
        <w:numId w:val="0"/>
      </w:numPr>
      <w:spacing w:after="200"/>
    </w:pPr>
    <w:rPr>
      <w:sz w:val="21"/>
    </w:rPr>
  </w:style>
  <w:style w:type="paragraph" w:customStyle="1" w:styleId="102">
    <w:name w:val="段"/>
    <w:link w:val="170"/>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03">
    <w:name w:val="章标题"/>
    <w:next w:val="102"/>
    <w:qFormat/>
    <w:uiPriority w:val="0"/>
    <w:pPr>
      <w:numPr>
        <w:ilvl w:val="1"/>
        <w:numId w:val="12"/>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104">
    <w:name w:val="一级条标题"/>
    <w:next w:val="102"/>
    <w:qFormat/>
    <w:uiPriority w:val="0"/>
    <w:pPr>
      <w:numPr>
        <w:ilvl w:val="2"/>
        <w:numId w:val="12"/>
      </w:numPr>
      <w:outlineLvl w:val="2"/>
    </w:pPr>
    <w:rPr>
      <w:rFonts w:ascii="Times New Roman" w:hAnsi="Times New Roman" w:eastAsia="黑体" w:cs="Times New Roman"/>
      <w:sz w:val="21"/>
      <w:lang w:val="en-US" w:eastAsia="zh-CN" w:bidi="ar-SA"/>
    </w:rPr>
  </w:style>
  <w:style w:type="paragraph" w:customStyle="1" w:styleId="105">
    <w:name w:val="二级条标题"/>
    <w:basedOn w:val="104"/>
    <w:next w:val="102"/>
    <w:qFormat/>
    <w:uiPriority w:val="0"/>
    <w:pPr>
      <w:numPr>
        <w:ilvl w:val="3"/>
      </w:numPr>
      <w:outlineLvl w:val="3"/>
    </w:pPr>
  </w:style>
  <w:style w:type="character" w:customStyle="1" w:styleId="106">
    <w:name w:val="发布"/>
    <w:qFormat/>
    <w:uiPriority w:val="0"/>
    <w:rPr>
      <w:rFonts w:ascii="黑体" w:eastAsia="黑体"/>
      <w:spacing w:val="22"/>
      <w:w w:val="100"/>
      <w:position w:val="3"/>
      <w:sz w:val="28"/>
    </w:rPr>
  </w:style>
  <w:style w:type="paragraph" w:customStyle="1" w:styleId="107">
    <w:name w:val="发布部门"/>
    <w:next w:val="102"/>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108">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0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10">
    <w:name w:val="封面标准号2"/>
    <w:basedOn w:val="109"/>
    <w:qFormat/>
    <w:uiPriority w:val="0"/>
    <w:pPr>
      <w:framePr w:w="9138" w:h="1244" w:hRule="exact" w:wrap="auto" w:vAnchor="page" w:hAnchor="margin" w:y="2908"/>
      <w:adjustRightInd w:val="0"/>
      <w:spacing w:before="357" w:line="280" w:lineRule="exact"/>
    </w:pPr>
  </w:style>
  <w:style w:type="paragraph" w:customStyle="1" w:styleId="111">
    <w:name w:val="封面标准代替信息"/>
    <w:basedOn w:val="110"/>
    <w:qFormat/>
    <w:uiPriority w:val="0"/>
    <w:pPr>
      <w:spacing w:before="57"/>
    </w:pPr>
    <w:rPr>
      <w:rFonts w:ascii="宋体"/>
      <w:sz w:val="21"/>
    </w:rPr>
  </w:style>
  <w:style w:type="paragraph" w:customStyle="1" w:styleId="11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1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1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15">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116">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117">
    <w:name w:val="封面正文"/>
    <w:qFormat/>
    <w:uiPriority w:val="0"/>
    <w:pPr>
      <w:jc w:val="both"/>
    </w:pPr>
    <w:rPr>
      <w:rFonts w:ascii="Times New Roman" w:hAnsi="Times New Roman" w:eastAsia="宋体" w:cs="Times New Roman"/>
      <w:lang w:val="en-US" w:eastAsia="zh-CN" w:bidi="ar-SA"/>
    </w:rPr>
  </w:style>
  <w:style w:type="paragraph" w:customStyle="1" w:styleId="118">
    <w:name w:val="附录标识"/>
    <w:basedOn w:val="100"/>
    <w:qFormat/>
    <w:uiPriority w:val="0"/>
    <w:pPr>
      <w:numPr>
        <w:ilvl w:val="0"/>
        <w:numId w:val="13"/>
      </w:numPr>
      <w:tabs>
        <w:tab w:val="left" w:pos="6405"/>
      </w:tabs>
      <w:spacing w:after="200"/>
    </w:pPr>
    <w:rPr>
      <w:sz w:val="21"/>
    </w:rPr>
  </w:style>
  <w:style w:type="paragraph" w:customStyle="1" w:styleId="119">
    <w:name w:val="附录表标题"/>
    <w:next w:val="102"/>
    <w:qFormat/>
    <w:uiPriority w:val="0"/>
    <w:pPr>
      <w:numPr>
        <w:ilvl w:val="0"/>
        <w:numId w:val="14"/>
      </w:numPr>
      <w:jc w:val="center"/>
      <w:textAlignment w:val="baseline"/>
    </w:pPr>
    <w:rPr>
      <w:rFonts w:ascii="黑体" w:hAnsi="Times New Roman" w:eastAsia="黑体" w:cs="Times New Roman"/>
      <w:kern w:val="21"/>
      <w:sz w:val="21"/>
      <w:lang w:val="en-US" w:eastAsia="zh-CN" w:bidi="ar-SA"/>
    </w:rPr>
  </w:style>
  <w:style w:type="paragraph" w:customStyle="1" w:styleId="120">
    <w:name w:val="附录章标题"/>
    <w:next w:val="102"/>
    <w:qFormat/>
    <w:uiPriority w:val="0"/>
    <w:pPr>
      <w:numPr>
        <w:ilvl w:val="1"/>
        <w:numId w:val="13"/>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121">
    <w:name w:val="附录一级条标题"/>
    <w:basedOn w:val="120"/>
    <w:next w:val="102"/>
    <w:qFormat/>
    <w:uiPriority w:val="0"/>
    <w:pPr>
      <w:numPr>
        <w:ilvl w:val="0"/>
        <w:numId w:val="0"/>
      </w:numPr>
      <w:autoSpaceDN w:val="0"/>
      <w:spacing w:before="0" w:beforeLines="0" w:after="0" w:afterLines="0"/>
      <w:outlineLvl w:val="2"/>
    </w:pPr>
  </w:style>
  <w:style w:type="paragraph" w:customStyle="1" w:styleId="122">
    <w:name w:val="附录二级条标题"/>
    <w:basedOn w:val="121"/>
    <w:next w:val="102"/>
    <w:qFormat/>
    <w:uiPriority w:val="0"/>
    <w:pPr>
      <w:outlineLvl w:val="3"/>
    </w:pPr>
  </w:style>
  <w:style w:type="paragraph" w:customStyle="1" w:styleId="123">
    <w:name w:val="附录三级条标题"/>
    <w:basedOn w:val="122"/>
    <w:next w:val="102"/>
    <w:qFormat/>
    <w:uiPriority w:val="0"/>
    <w:pPr>
      <w:outlineLvl w:val="4"/>
    </w:pPr>
  </w:style>
  <w:style w:type="paragraph" w:customStyle="1" w:styleId="124">
    <w:name w:val="附录四级条标题"/>
    <w:basedOn w:val="123"/>
    <w:next w:val="102"/>
    <w:qFormat/>
    <w:uiPriority w:val="0"/>
    <w:pPr>
      <w:outlineLvl w:val="5"/>
    </w:pPr>
  </w:style>
  <w:style w:type="paragraph" w:customStyle="1" w:styleId="125">
    <w:name w:val="附录图标题"/>
    <w:next w:val="102"/>
    <w:qFormat/>
    <w:uiPriority w:val="0"/>
    <w:pPr>
      <w:numPr>
        <w:ilvl w:val="0"/>
        <w:numId w:val="15"/>
      </w:numPr>
      <w:jc w:val="center"/>
    </w:pPr>
    <w:rPr>
      <w:rFonts w:ascii="黑体" w:hAnsi="Times New Roman" w:eastAsia="黑体" w:cs="Times New Roman"/>
      <w:sz w:val="21"/>
      <w:lang w:val="en-US" w:eastAsia="zh-CN" w:bidi="ar-SA"/>
    </w:rPr>
  </w:style>
  <w:style w:type="paragraph" w:customStyle="1" w:styleId="126">
    <w:name w:val="附录五级条标题"/>
    <w:basedOn w:val="124"/>
    <w:next w:val="102"/>
    <w:qFormat/>
    <w:uiPriority w:val="0"/>
    <w:pPr>
      <w:numPr>
        <w:ilvl w:val="6"/>
        <w:numId w:val="13"/>
      </w:numPr>
      <w:outlineLvl w:val="6"/>
    </w:pPr>
  </w:style>
  <w:style w:type="character" w:customStyle="1" w:styleId="127">
    <w:name w:val="个人答复风格"/>
    <w:qFormat/>
    <w:uiPriority w:val="0"/>
    <w:rPr>
      <w:rFonts w:ascii="Arial" w:hAnsi="Arial" w:eastAsia="宋体" w:cs="Arial"/>
      <w:color w:val="auto"/>
      <w:sz w:val="20"/>
    </w:rPr>
  </w:style>
  <w:style w:type="character" w:customStyle="1" w:styleId="128">
    <w:name w:val="个人撰写风格"/>
    <w:qFormat/>
    <w:uiPriority w:val="0"/>
    <w:rPr>
      <w:rFonts w:ascii="Arial" w:hAnsi="Arial" w:eastAsia="宋体" w:cs="Arial"/>
      <w:color w:val="auto"/>
      <w:sz w:val="20"/>
    </w:rPr>
  </w:style>
  <w:style w:type="paragraph" w:customStyle="1" w:styleId="129">
    <w:name w:val="列项——（一级）"/>
    <w:qFormat/>
    <w:uiPriority w:val="0"/>
    <w:pPr>
      <w:widowControl w:val="0"/>
      <w:numPr>
        <w:ilvl w:val="0"/>
        <w:numId w:val="16"/>
      </w:numPr>
      <w:tabs>
        <w:tab w:val="left" w:pos="854"/>
        <w:tab w:val="clear"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130">
    <w:name w:val="列项●（二级）"/>
    <w:qFormat/>
    <w:uiPriority w:val="0"/>
    <w:pPr>
      <w:numPr>
        <w:ilvl w:val="0"/>
        <w:numId w:val="17"/>
      </w:numPr>
      <w:tabs>
        <w:tab w:val="left" w:pos="840"/>
      </w:tabs>
      <w:ind w:left="600" w:leftChars="400" w:hanging="200" w:hangingChars="200"/>
      <w:jc w:val="both"/>
    </w:pPr>
    <w:rPr>
      <w:rFonts w:ascii="宋体" w:hAnsi="Times New Roman" w:eastAsia="宋体" w:cs="Times New Roman"/>
      <w:sz w:val="21"/>
      <w:lang w:val="en-US" w:eastAsia="zh-CN" w:bidi="ar-SA"/>
    </w:rPr>
  </w:style>
  <w:style w:type="paragraph" w:customStyle="1" w:styleId="131">
    <w:name w:val="目次、标准名称标题"/>
    <w:basedOn w:val="100"/>
    <w:next w:val="102"/>
    <w:qFormat/>
    <w:uiPriority w:val="0"/>
    <w:pPr>
      <w:numPr>
        <w:numId w:val="0"/>
      </w:numPr>
      <w:spacing w:line="460" w:lineRule="exact"/>
    </w:pPr>
  </w:style>
  <w:style w:type="paragraph" w:customStyle="1" w:styleId="13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33">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34">
    <w:name w:val="其他发布部门"/>
    <w:basedOn w:val="107"/>
    <w:qFormat/>
    <w:uiPriority w:val="0"/>
    <w:pPr>
      <w:framePr w:wrap="around"/>
      <w:spacing w:line="0" w:lineRule="atLeast"/>
    </w:pPr>
    <w:rPr>
      <w:rFonts w:ascii="黑体" w:eastAsia="黑体"/>
      <w:b w:val="0"/>
    </w:rPr>
  </w:style>
  <w:style w:type="paragraph" w:customStyle="1" w:styleId="135">
    <w:name w:val="三级条标题"/>
    <w:basedOn w:val="105"/>
    <w:next w:val="102"/>
    <w:qFormat/>
    <w:uiPriority w:val="0"/>
    <w:pPr>
      <w:numPr>
        <w:ilvl w:val="4"/>
      </w:numPr>
      <w:outlineLvl w:val="4"/>
    </w:pPr>
  </w:style>
  <w:style w:type="paragraph" w:customStyle="1" w:styleId="136">
    <w:name w:val="实施日期"/>
    <w:basedOn w:val="108"/>
    <w:qFormat/>
    <w:uiPriority w:val="0"/>
    <w:pPr>
      <w:framePr w:hSpace="0" w:wrap="around" w:xAlign="right"/>
      <w:jc w:val="right"/>
    </w:pPr>
  </w:style>
  <w:style w:type="paragraph" w:customStyle="1" w:styleId="137">
    <w:name w:val="示例"/>
    <w:next w:val="102"/>
    <w:qFormat/>
    <w:uiPriority w:val="0"/>
    <w:pPr>
      <w:numPr>
        <w:ilvl w:val="0"/>
        <w:numId w:val="18"/>
      </w:numPr>
      <w:tabs>
        <w:tab w:val="left" w:pos="816"/>
        <w:tab w:val="clear" w:pos="1120"/>
      </w:tabs>
      <w:ind w:firstLine="419" w:firstLineChars="233"/>
      <w:jc w:val="both"/>
    </w:pPr>
    <w:rPr>
      <w:rFonts w:ascii="宋体" w:hAnsi="Times New Roman" w:eastAsia="宋体" w:cs="Times New Roman"/>
      <w:sz w:val="18"/>
      <w:lang w:val="en-US" w:eastAsia="zh-CN" w:bidi="ar-SA"/>
    </w:rPr>
  </w:style>
  <w:style w:type="paragraph" w:customStyle="1" w:styleId="138">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139">
    <w:name w:val="四级条标题"/>
    <w:basedOn w:val="135"/>
    <w:next w:val="102"/>
    <w:qFormat/>
    <w:uiPriority w:val="0"/>
    <w:pPr>
      <w:numPr>
        <w:ilvl w:val="5"/>
      </w:numPr>
      <w:outlineLvl w:val="5"/>
    </w:pPr>
  </w:style>
  <w:style w:type="paragraph" w:customStyle="1" w:styleId="140">
    <w:name w:val="条文脚注"/>
    <w:basedOn w:val="57"/>
    <w:qFormat/>
    <w:uiPriority w:val="0"/>
    <w:pPr>
      <w:ind w:left="780" w:leftChars="200" w:hanging="360" w:hangingChars="200"/>
      <w:jc w:val="both"/>
    </w:pPr>
    <w:rPr>
      <w:rFonts w:ascii="宋体"/>
    </w:rPr>
  </w:style>
  <w:style w:type="paragraph" w:customStyle="1" w:styleId="141">
    <w:name w:val="图表脚注"/>
    <w:next w:val="102"/>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42">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character" w:customStyle="1" w:styleId="143">
    <w:name w:val="正文文本缩进 2 字符"/>
    <w:link w:val="46"/>
    <w:qFormat/>
    <w:uiPriority w:val="0"/>
    <w:rPr>
      <w:rFonts w:eastAsia="宋体"/>
      <w:color w:val="FF0000"/>
      <w:sz w:val="24"/>
      <w:lang w:val="en-US" w:eastAsia="zh-CN" w:bidi="ar-SA"/>
    </w:rPr>
  </w:style>
  <w:style w:type="paragraph" w:customStyle="1" w:styleId="144">
    <w:name w:val="五级条标题"/>
    <w:basedOn w:val="139"/>
    <w:next w:val="102"/>
    <w:qFormat/>
    <w:uiPriority w:val="0"/>
    <w:pPr>
      <w:numPr>
        <w:ilvl w:val="6"/>
      </w:numPr>
      <w:outlineLvl w:val="6"/>
    </w:pPr>
  </w:style>
  <w:style w:type="paragraph" w:customStyle="1" w:styleId="145">
    <w:name w:val="正文表标题"/>
    <w:next w:val="102"/>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46">
    <w:name w:val="正文图标题"/>
    <w:next w:val="102"/>
    <w:qFormat/>
    <w:uiPriority w:val="0"/>
    <w:pPr>
      <w:numPr>
        <w:ilvl w:val="0"/>
        <w:numId w:val="20"/>
      </w:numPr>
      <w:jc w:val="center"/>
    </w:pPr>
    <w:rPr>
      <w:rFonts w:ascii="黑体" w:hAnsi="Times New Roman" w:eastAsia="黑体" w:cs="Times New Roman"/>
      <w:sz w:val="21"/>
      <w:lang w:val="en-US" w:eastAsia="zh-CN" w:bidi="ar-SA"/>
    </w:rPr>
  </w:style>
  <w:style w:type="paragraph" w:customStyle="1" w:styleId="147">
    <w:name w:val="注："/>
    <w:next w:val="102"/>
    <w:qFormat/>
    <w:uiPriority w:val="0"/>
    <w:pPr>
      <w:widowControl w:val="0"/>
      <w:numPr>
        <w:ilvl w:val="0"/>
        <w:numId w:val="21"/>
      </w:numPr>
      <w:tabs>
        <w:tab w:val="clear" w:pos="1140"/>
      </w:tabs>
      <w:autoSpaceDE w:val="0"/>
      <w:autoSpaceDN w:val="0"/>
      <w:jc w:val="both"/>
    </w:pPr>
    <w:rPr>
      <w:rFonts w:ascii="宋体" w:hAnsi="Times New Roman" w:eastAsia="宋体" w:cs="Times New Roman"/>
      <w:sz w:val="18"/>
      <w:lang w:val="en-US" w:eastAsia="zh-CN" w:bidi="ar-SA"/>
    </w:rPr>
  </w:style>
  <w:style w:type="paragraph" w:customStyle="1" w:styleId="148">
    <w:name w:val="注×："/>
    <w:qFormat/>
    <w:uiPriority w:val="0"/>
    <w:pPr>
      <w:widowControl w:val="0"/>
      <w:numPr>
        <w:ilvl w:val="0"/>
        <w:numId w:val="22"/>
      </w:numPr>
      <w:tabs>
        <w:tab w:val="left" w:pos="630"/>
        <w:tab w:val="clear" w:pos="900"/>
      </w:tabs>
      <w:autoSpaceDE w:val="0"/>
      <w:autoSpaceDN w:val="0"/>
      <w:jc w:val="both"/>
    </w:pPr>
    <w:rPr>
      <w:rFonts w:ascii="宋体" w:hAnsi="Times New Roman" w:eastAsia="宋体" w:cs="Times New Roman"/>
      <w:sz w:val="18"/>
      <w:lang w:val="en-US" w:eastAsia="zh-CN" w:bidi="ar-SA"/>
    </w:rPr>
  </w:style>
  <w:style w:type="paragraph" w:customStyle="1" w:styleId="149">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150">
    <w:name w:val="列项◆（三级）"/>
    <w:qFormat/>
    <w:uiPriority w:val="0"/>
    <w:pPr>
      <w:numPr>
        <w:ilvl w:val="0"/>
        <w:numId w:val="23"/>
      </w:numPr>
      <w:ind w:left="800" w:leftChars="600" w:hanging="200" w:hangingChars="200"/>
    </w:pPr>
    <w:rPr>
      <w:rFonts w:ascii="宋体" w:hAnsi="Times New Roman" w:eastAsia="宋体" w:cs="Times New Roman"/>
      <w:sz w:val="21"/>
      <w:lang w:val="en-US" w:eastAsia="zh-CN" w:bidi="ar-SA"/>
    </w:rPr>
  </w:style>
  <w:style w:type="paragraph" w:customStyle="1" w:styleId="151">
    <w:name w:val="编号列项（三级）"/>
    <w:qFormat/>
    <w:uiPriority w:val="0"/>
    <w:pPr>
      <w:ind w:left="800" w:leftChars="600" w:hanging="200" w:hangingChars="200"/>
    </w:pPr>
    <w:rPr>
      <w:rFonts w:ascii="宋体" w:hAnsi="Times New Roman" w:eastAsia="宋体" w:cs="Times New Roman"/>
      <w:sz w:val="21"/>
      <w:lang w:val="en-US" w:eastAsia="zh-CN" w:bidi="ar-SA"/>
    </w:rPr>
  </w:style>
  <w:style w:type="paragraph" w:customStyle="1" w:styleId="152">
    <w:name w:val="Char Char Char Char Char Char Char Char Char Char Char Char Char Char Char Char Char Char Char"/>
    <w:basedOn w:val="1"/>
    <w:qFormat/>
    <w:uiPriority w:val="0"/>
    <w:pPr>
      <w:tabs>
        <w:tab w:val="left" w:pos="6083"/>
      </w:tabs>
      <w:snapToGrid w:val="0"/>
      <w:spacing w:line="360" w:lineRule="auto"/>
      <w:ind w:firstLine="200" w:firstLineChars="200"/>
    </w:pPr>
    <w:rPr>
      <w:rFonts w:ascii="仿宋_GB2312" w:eastAsia="仿宋_GB2312"/>
      <w:kern w:val="0"/>
      <w:sz w:val="28"/>
      <w:szCs w:val="28"/>
    </w:rPr>
  </w:style>
  <w:style w:type="paragraph" w:customStyle="1" w:styleId="15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54">
    <w:name w:val="已访问的超链接1"/>
    <w:qFormat/>
    <w:uiPriority w:val="0"/>
    <w:rPr>
      <w:rFonts w:ascii="仿宋_GB2312" w:eastAsia="仿宋_GB2312"/>
      <w:color w:val="800080"/>
      <w:sz w:val="28"/>
      <w:szCs w:val="28"/>
      <w:u w:val="single"/>
      <w:lang w:val="en-US" w:eastAsia="zh-CN" w:bidi="ar-SA"/>
    </w:rPr>
  </w:style>
  <w:style w:type="paragraph" w:customStyle="1" w:styleId="155">
    <w:name w:val="xl24"/>
    <w:basedOn w:val="1"/>
    <w:qFormat/>
    <w:uiPriority w:val="0"/>
    <w:pPr>
      <w:widowControl/>
      <w:pBdr>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kern w:val="0"/>
      <w:szCs w:val="21"/>
    </w:rPr>
  </w:style>
  <w:style w:type="character" w:customStyle="1" w:styleId="156">
    <w:name w:val="图名 Char Char Char Char Char Char Char Char Char Char"/>
    <w:qFormat/>
    <w:uiPriority w:val="0"/>
    <w:rPr>
      <w:rFonts w:ascii="黑体" w:hAnsi="Arial" w:eastAsia="黑体" w:cs="Arial"/>
    </w:rPr>
  </w:style>
  <w:style w:type="character" w:customStyle="1" w:styleId="157">
    <w:name w:val="样式 宋体 小四 Char"/>
    <w:qFormat/>
    <w:uiPriority w:val="0"/>
    <w:rPr>
      <w:rFonts w:ascii="宋体" w:hAnsi="宋体" w:eastAsia="宋体"/>
      <w:kern w:val="2"/>
      <w:sz w:val="24"/>
      <w:szCs w:val="24"/>
      <w:lang w:val="en-US" w:eastAsia="zh-CN" w:bidi="ar-SA"/>
    </w:rPr>
  </w:style>
  <w:style w:type="paragraph" w:customStyle="1" w:styleId="158">
    <w:name w:val="1"/>
    <w:basedOn w:val="1"/>
    <w:next w:val="46"/>
    <w:qFormat/>
    <w:uiPriority w:val="0"/>
    <w:pPr>
      <w:spacing w:before="60" w:line="400" w:lineRule="exact"/>
      <w:ind w:firstLine="420" w:firstLineChars="200"/>
    </w:pPr>
    <w:rPr>
      <w:rFonts w:ascii="宋体" w:hAnsi="宋体"/>
      <w:kern w:val="0"/>
      <w:szCs w:val="24"/>
    </w:rPr>
  </w:style>
  <w:style w:type="character" w:customStyle="1" w:styleId="159">
    <w:name w:val="biaozhun"/>
    <w:qFormat/>
    <w:uiPriority w:val="0"/>
    <w:rPr>
      <w:rFonts w:ascii="仿宋_GB2312" w:eastAsia="仿宋_GB2312"/>
      <w:sz w:val="28"/>
      <w:szCs w:val="28"/>
      <w:lang w:val="en-US" w:eastAsia="zh-CN" w:bidi="ar-SA"/>
    </w:rPr>
  </w:style>
  <w:style w:type="character" w:customStyle="1" w:styleId="160">
    <w:name w:val="gb"/>
    <w:qFormat/>
    <w:uiPriority w:val="0"/>
    <w:rPr>
      <w:rFonts w:ascii="仿宋_GB2312" w:eastAsia="仿宋_GB2312"/>
      <w:sz w:val="28"/>
      <w:szCs w:val="28"/>
      <w:lang w:val="en-US" w:eastAsia="zh-CN" w:bidi="ar-SA"/>
    </w:rPr>
  </w:style>
  <w:style w:type="paragraph" w:customStyle="1" w:styleId="161">
    <w:name w:val="小注"/>
    <w:basedOn w:val="46"/>
    <w:qFormat/>
    <w:uiPriority w:val="0"/>
    <w:pPr>
      <w:spacing w:before="60" w:line="240" w:lineRule="auto"/>
      <w:ind w:firstLine="360"/>
    </w:pPr>
    <w:rPr>
      <w:rFonts w:ascii="Arial" w:hAnsi="Arial" w:cs="Arial"/>
      <w:color w:val="auto"/>
      <w:sz w:val="18"/>
      <w:szCs w:val="18"/>
    </w:rPr>
  </w:style>
  <w:style w:type="paragraph" w:customStyle="1" w:styleId="162">
    <w:name w:val="第3级标题"/>
    <w:basedOn w:val="1"/>
    <w:next w:val="1"/>
    <w:qFormat/>
    <w:uiPriority w:val="0"/>
    <w:pPr>
      <w:spacing w:before="156" w:line="360" w:lineRule="auto"/>
    </w:pPr>
    <w:rPr>
      <w:rFonts w:ascii="黑体" w:eastAsia="黑体"/>
      <w:szCs w:val="24"/>
    </w:rPr>
  </w:style>
  <w:style w:type="paragraph" w:customStyle="1" w:styleId="163">
    <w:name w:val="Char"/>
    <w:basedOn w:val="1"/>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164">
    <w:name w:val="表内文字"/>
    <w:basedOn w:val="1"/>
    <w:qFormat/>
    <w:uiPriority w:val="0"/>
    <w:pPr>
      <w:autoSpaceDE w:val="0"/>
      <w:autoSpaceDN w:val="0"/>
      <w:adjustRightInd w:val="0"/>
      <w:snapToGrid w:val="0"/>
      <w:jc w:val="center"/>
    </w:pPr>
    <w:rPr>
      <w:sz w:val="18"/>
      <w:szCs w:val="18"/>
    </w:rPr>
  </w:style>
  <w:style w:type="paragraph" w:customStyle="1" w:styleId="165">
    <w:name w:val="表注"/>
    <w:next w:val="33"/>
    <w:qFormat/>
    <w:uiPriority w:val="0"/>
    <w:pPr>
      <w:ind w:firstLine="362"/>
    </w:pPr>
    <w:rPr>
      <w:rFonts w:ascii="Arial" w:hAnsi="Arial" w:eastAsia="宋体" w:cs="Arial"/>
      <w:color w:val="000000"/>
      <w:sz w:val="18"/>
      <w:szCs w:val="18"/>
      <w:lang w:val="en-US" w:eastAsia="zh-CN" w:bidi="ar-SA"/>
    </w:rPr>
  </w:style>
  <w:style w:type="paragraph" w:customStyle="1" w:styleId="166">
    <w:name w:val="Char Char Char1 Char1"/>
    <w:basedOn w:val="1"/>
    <w:qFormat/>
    <w:uiPriority w:val="0"/>
    <w:pPr>
      <w:spacing w:line="360" w:lineRule="auto"/>
    </w:pPr>
    <w:rPr>
      <w:rFonts w:ascii="Tahoma" w:hAnsi="Tahoma"/>
      <w:sz w:val="24"/>
    </w:rPr>
  </w:style>
  <w:style w:type="character" w:customStyle="1" w:styleId="167">
    <w:name w:val="标题 6 字符"/>
    <w:link w:val="7"/>
    <w:qFormat/>
    <w:uiPriority w:val="0"/>
    <w:rPr>
      <w:rFonts w:ascii="Arial" w:hAnsi="Arial" w:eastAsia="黑体"/>
      <w:b/>
      <w:bCs/>
      <w:kern w:val="2"/>
      <w:sz w:val="24"/>
      <w:lang w:val="en-US" w:eastAsia="zh-CN" w:bidi="ar-SA"/>
    </w:rPr>
  </w:style>
  <w:style w:type="paragraph" w:customStyle="1" w:styleId="168">
    <w:name w:val="公式说明"/>
    <w:basedOn w:val="102"/>
    <w:qFormat/>
    <w:uiPriority w:val="0"/>
    <w:pPr>
      <w:tabs>
        <w:tab w:val="center" w:pos="4201"/>
        <w:tab w:val="right" w:leader="dot" w:pos="9298"/>
      </w:tabs>
      <w:ind w:firstLine="420"/>
    </w:pPr>
  </w:style>
  <w:style w:type="paragraph" w:customStyle="1" w:styleId="169">
    <w:name w:val="公式编号"/>
    <w:basedOn w:val="1"/>
    <w:qFormat/>
    <w:uiPriority w:val="0"/>
    <w:pPr>
      <w:jc w:val="right"/>
    </w:pPr>
    <w:rPr>
      <w:rFonts w:cs="宋体"/>
      <w:kern w:val="0"/>
      <w:szCs w:val="21"/>
    </w:rPr>
  </w:style>
  <w:style w:type="character" w:customStyle="1" w:styleId="170">
    <w:name w:val="段 Char"/>
    <w:link w:val="102"/>
    <w:qFormat/>
    <w:uiPriority w:val="0"/>
    <w:rPr>
      <w:rFonts w:ascii="宋体"/>
      <w:sz w:val="21"/>
      <w:lang w:val="en-US" w:eastAsia="zh-CN" w:bidi="ar-SA"/>
    </w:rPr>
  </w:style>
  <w:style w:type="paragraph" w:customStyle="1" w:styleId="171">
    <w:name w:val="表中文字"/>
    <w:basedOn w:val="1"/>
    <w:qFormat/>
    <w:uiPriority w:val="0"/>
    <w:pPr>
      <w:tabs>
        <w:tab w:val="left" w:pos="6195"/>
      </w:tabs>
      <w:autoSpaceDE w:val="0"/>
      <w:autoSpaceDN w:val="0"/>
      <w:adjustRightInd w:val="0"/>
      <w:jc w:val="center"/>
    </w:pPr>
    <w:rPr>
      <w:position w:val="-10"/>
      <w:sz w:val="18"/>
      <w:szCs w:val="18"/>
    </w:rPr>
  </w:style>
  <w:style w:type="paragraph" w:customStyle="1" w:styleId="172">
    <w:name w:val="7表名"/>
    <w:basedOn w:val="1"/>
    <w:next w:val="1"/>
    <w:qFormat/>
    <w:uiPriority w:val="0"/>
    <w:pPr>
      <w:spacing w:line="360" w:lineRule="auto"/>
      <w:jc w:val="center"/>
      <w:outlineLvl w:val="4"/>
    </w:pPr>
    <w:rPr>
      <w:rFonts w:ascii="黑体" w:eastAsia="黑体"/>
      <w:szCs w:val="21"/>
    </w:rPr>
  </w:style>
  <w:style w:type="character" w:customStyle="1" w:styleId="173">
    <w:name w:val="font31"/>
    <w:qFormat/>
    <w:uiPriority w:val="0"/>
    <w:rPr>
      <w:rFonts w:hint="eastAsia" w:ascii="宋体" w:hAnsi="宋体" w:eastAsia="宋体" w:cs="宋体"/>
      <w:color w:val="000000"/>
      <w:sz w:val="24"/>
      <w:szCs w:val="24"/>
      <w:u w:val="none"/>
    </w:rPr>
  </w:style>
  <w:style w:type="character" w:customStyle="1" w:styleId="174">
    <w:name w:val="font51"/>
    <w:qFormat/>
    <w:uiPriority w:val="0"/>
    <w:rPr>
      <w:rFonts w:hint="default" w:ascii="Times New Roman" w:hAnsi="Times New Roman" w:cs="Times New Roman"/>
      <w:color w:val="000000"/>
      <w:sz w:val="24"/>
      <w:szCs w:val="24"/>
      <w:u w:val="none"/>
    </w:rPr>
  </w:style>
  <w:style w:type="character" w:customStyle="1" w:styleId="175">
    <w:name w:val="font01"/>
    <w:qFormat/>
    <w:uiPriority w:val="0"/>
    <w:rPr>
      <w:rFonts w:hint="eastAsia" w:ascii="宋体" w:hAnsi="宋体" w:eastAsia="宋体" w:cs="宋体"/>
      <w:color w:val="000000"/>
      <w:sz w:val="24"/>
      <w:szCs w:val="24"/>
      <w:u w:val="none"/>
    </w:rPr>
  </w:style>
  <w:style w:type="character" w:customStyle="1" w:styleId="176">
    <w:name w:val="font11"/>
    <w:qFormat/>
    <w:uiPriority w:val="0"/>
    <w:rPr>
      <w:rFonts w:hint="default" w:ascii="Times New Roman" w:hAnsi="Times New Roman" w:cs="Times New Roman"/>
      <w:color w:val="000000"/>
      <w:sz w:val="24"/>
      <w:szCs w:val="24"/>
      <w:u w:val="none"/>
    </w:rPr>
  </w:style>
  <w:style w:type="character" w:styleId="177">
    <w:name w:val="Placeholder Text"/>
    <w:basedOn w:val="76"/>
    <w:semiHidden/>
    <w:qFormat/>
    <w:uiPriority w:val="99"/>
    <w:rPr>
      <w:color w:val="808080"/>
    </w:rPr>
  </w:style>
  <w:style w:type="paragraph" w:customStyle="1" w:styleId="178">
    <w:name w:val="修订1"/>
    <w:hidden/>
    <w:semiHidden/>
    <w:qFormat/>
    <w:uiPriority w:val="99"/>
    <w:rPr>
      <w:rFonts w:ascii="Times New Roman" w:hAnsi="Times New Roman" w:eastAsia="宋体" w:cs="Times New Roman"/>
      <w:kern w:val="2"/>
      <w:sz w:val="21"/>
      <w:lang w:val="en-US" w:eastAsia="zh-CN" w:bidi="ar-SA"/>
    </w:rPr>
  </w:style>
  <w:style w:type="paragraph" w:customStyle="1" w:styleId="179">
    <w:name w:val="修订2"/>
    <w:hidden/>
    <w:semiHidden/>
    <w:qFormat/>
    <w:uiPriority w:val="99"/>
    <w:rPr>
      <w:rFonts w:ascii="Times New Roman" w:hAnsi="Times New Roman" w:eastAsia="宋体" w:cs="Times New Roman"/>
      <w:kern w:val="2"/>
      <w:sz w:val="21"/>
      <w:lang w:val="en-US" w:eastAsia="zh-CN" w:bidi="ar-SA"/>
    </w:rPr>
  </w:style>
  <w:style w:type="paragraph" w:styleId="18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TDS2\tds2.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7557550-B99F-4357-AB0F-E99CE285B84F}">
  <ds:schemaRefs/>
</ds:datastoreItem>
</file>

<file path=docProps/app.xml><?xml version="1.0" encoding="utf-8"?>
<Properties xmlns="http://schemas.openxmlformats.org/officeDocument/2006/extended-properties" xmlns:vt="http://schemas.openxmlformats.org/officeDocument/2006/docPropsVTypes">
  <Template>tds2</Template>
  <Company>CNIS</Company>
  <Pages>12</Pages>
  <Words>6642</Words>
  <Characters>7210</Characters>
  <Lines>57</Lines>
  <Paragraphs>16</Paragraphs>
  <TotalTime>17</TotalTime>
  <ScaleCrop>false</ScaleCrop>
  <LinksUpToDate>false</LinksUpToDate>
  <CharactersWithSpaces>7367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2023-02-01T07:26:00Z</dcterms:created>
  <dc:creator>CSH</dc:creator>
  <cp:lastModifiedBy>.. 雷~</cp:lastModifiedBy>
  <cp:lastPrinted>2021-09-15T07:19:00Z</cp:lastPrinted>
  <dcterms:modified xsi:type="dcterms:W3CDTF">2023-04-12T01:46:52Z</dcterms:modified>
  <dc:title> </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2052-11.1.0.14036</vt:lpwstr>
  </property>
  <property fmtid="{D5CDD505-2E9C-101B-9397-08002B2CF9AE}" pid="4" name="ICV">
    <vt:lpwstr>42F6DC1C32A04686A3961C4E6C62ED01</vt:lpwstr>
  </property>
</Properties>
</file>