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eastAsia="黑体"/>
          <w:sz w:val="44"/>
        </w:rPr>
      </w:pPr>
    </w:p>
    <w:p>
      <w:pPr>
        <w:spacing w:before="312" w:beforeLines="100" w:after="312" w:afterLines="100" w:line="360" w:lineRule="auto"/>
        <w:jc w:val="distribute"/>
        <w:rPr>
          <w:rFonts w:eastAsia="黑体"/>
          <w:sz w:val="52"/>
          <w:szCs w:val="52"/>
        </w:rPr>
      </w:pPr>
      <w:r>
        <w:rPr>
          <w:rFonts w:eastAsia="黑体"/>
          <w:sz w:val="52"/>
          <w:szCs w:val="52"/>
        </w:rPr>
        <w:t>河北省地方标准</w:t>
      </w:r>
    </w:p>
    <w:p>
      <w:pPr>
        <w:spacing w:before="312" w:beforeLines="100" w:after="312" w:afterLines="100" w:line="360" w:lineRule="auto"/>
        <w:jc w:val="center"/>
        <w:rPr>
          <w:sz w:val="44"/>
        </w:rPr>
      </w:pPr>
    </w:p>
    <w:p>
      <w:pPr>
        <w:spacing w:before="312" w:beforeLines="100" w:after="312" w:afterLines="100" w:line="360" w:lineRule="auto"/>
        <w:jc w:val="center"/>
        <w:rPr>
          <w:sz w:val="44"/>
        </w:rPr>
      </w:pPr>
      <w:r>
        <w:rPr>
          <w:sz w:val="44"/>
        </w:rPr>
        <w:t>“</w:t>
      </w:r>
      <w:r>
        <w:rPr>
          <w:rFonts w:hint="eastAsia" w:eastAsia="黑体"/>
          <w:sz w:val="44"/>
          <w:szCs w:val="44"/>
        </w:rPr>
        <w:t>厌氧干发酵沼气工程工艺设计规范</w:t>
      </w:r>
      <w:r>
        <w:rPr>
          <w:sz w:val="44"/>
        </w:rPr>
        <w:t>”</w:t>
      </w:r>
    </w:p>
    <w:p>
      <w:pPr>
        <w:spacing w:before="312" w:beforeLines="100" w:after="312" w:afterLines="100" w:line="360" w:lineRule="auto"/>
        <w:jc w:val="center"/>
        <w:rPr>
          <w:rFonts w:eastAsia="黑体"/>
          <w:sz w:val="84"/>
          <w:szCs w:val="84"/>
        </w:rPr>
      </w:pPr>
      <w:r>
        <w:rPr>
          <w:rFonts w:eastAsia="黑体"/>
          <w:sz w:val="84"/>
          <w:szCs w:val="84"/>
        </w:rPr>
        <w:t>标 准 编 制 说 明</w:t>
      </w:r>
    </w:p>
    <w:p>
      <w:pPr>
        <w:spacing w:line="360" w:lineRule="auto"/>
        <w:jc w:val="center"/>
        <w:rPr>
          <w:rFonts w:eastAsia="华文细黑"/>
          <w:sz w:val="72"/>
        </w:rPr>
      </w:pPr>
    </w:p>
    <w:p>
      <w:pPr>
        <w:spacing w:line="360" w:lineRule="auto"/>
        <w:jc w:val="center"/>
        <w:rPr>
          <w:rFonts w:eastAsia="华文细黑"/>
          <w:sz w:val="28"/>
        </w:rPr>
      </w:pPr>
    </w:p>
    <w:p>
      <w:pPr>
        <w:spacing w:line="360" w:lineRule="auto"/>
        <w:jc w:val="center"/>
        <w:rPr>
          <w:rFonts w:eastAsia="华文细黑"/>
          <w:sz w:val="28"/>
        </w:rPr>
      </w:pPr>
    </w:p>
    <w:p>
      <w:pPr>
        <w:spacing w:line="360" w:lineRule="auto"/>
        <w:jc w:val="center"/>
        <w:rPr>
          <w:rFonts w:eastAsia="华文细黑"/>
          <w:sz w:val="28"/>
        </w:rPr>
      </w:pPr>
    </w:p>
    <w:p>
      <w:pPr>
        <w:spacing w:line="360" w:lineRule="auto"/>
        <w:jc w:val="center"/>
        <w:rPr>
          <w:rFonts w:eastAsia="华文细黑"/>
          <w:sz w:val="28"/>
        </w:rPr>
      </w:pPr>
    </w:p>
    <w:p>
      <w:pPr>
        <w:spacing w:line="360" w:lineRule="auto"/>
        <w:jc w:val="center"/>
        <w:rPr>
          <w:rFonts w:eastAsia="华文细黑"/>
          <w:sz w:val="28"/>
        </w:rPr>
      </w:pPr>
    </w:p>
    <w:p>
      <w:pPr>
        <w:spacing w:line="360" w:lineRule="auto"/>
        <w:jc w:val="center"/>
        <w:rPr>
          <w:rFonts w:eastAsia="华文细黑"/>
          <w:sz w:val="28"/>
        </w:rPr>
      </w:pPr>
    </w:p>
    <w:p>
      <w:pPr>
        <w:spacing w:line="360" w:lineRule="auto"/>
        <w:jc w:val="center"/>
        <w:rPr>
          <w:rFonts w:eastAsia="华文细黑"/>
          <w:sz w:val="28"/>
        </w:rPr>
      </w:pPr>
    </w:p>
    <w:p>
      <w:pPr>
        <w:spacing w:line="360" w:lineRule="auto"/>
        <w:jc w:val="center"/>
        <w:rPr>
          <w:rFonts w:eastAsia="华文细黑"/>
          <w:sz w:val="28"/>
        </w:rPr>
      </w:pPr>
    </w:p>
    <w:p>
      <w:pPr>
        <w:tabs>
          <w:tab w:val="left" w:pos="9088"/>
        </w:tabs>
        <w:autoSpaceDE w:val="0"/>
        <w:autoSpaceDN w:val="0"/>
        <w:adjustRightInd w:val="0"/>
        <w:spacing w:line="360" w:lineRule="auto"/>
        <w:jc w:val="center"/>
        <w:rPr>
          <w:rFonts w:eastAsia="黑体"/>
          <w:sz w:val="30"/>
        </w:rPr>
      </w:pPr>
      <w:r>
        <w:rPr>
          <w:rFonts w:eastAsia="黑体"/>
          <w:sz w:val="30"/>
        </w:rPr>
        <w:t>“</w:t>
      </w:r>
      <w:r>
        <w:rPr>
          <w:rFonts w:hint="eastAsia" w:eastAsia="黑体"/>
          <w:sz w:val="30"/>
        </w:rPr>
        <w:t>厌氧干发酵沼气工程工艺设计规范</w:t>
      </w:r>
      <w:r>
        <w:rPr>
          <w:rFonts w:eastAsia="黑体"/>
          <w:sz w:val="30"/>
        </w:rPr>
        <w:t>”标准编制小组</w:t>
      </w:r>
    </w:p>
    <w:p>
      <w:pPr>
        <w:spacing w:line="360" w:lineRule="auto"/>
        <w:jc w:val="center"/>
        <w:rPr>
          <w:rFonts w:eastAsia="黑体"/>
          <w:sz w:val="30"/>
        </w:rPr>
      </w:pPr>
      <w:r>
        <w:rPr>
          <w:rFonts w:eastAsia="黑体"/>
          <w:sz w:val="30"/>
        </w:rPr>
        <w:t>2022年6月</w:t>
      </w:r>
    </w:p>
    <w:p>
      <w:pPr>
        <w:spacing w:line="360" w:lineRule="auto"/>
        <w:jc w:val="center"/>
        <w:rPr>
          <w:rFonts w:eastAsia="黑体"/>
          <w:sz w:val="44"/>
        </w:rPr>
        <w:sectPr>
          <w:headerReference r:id="rId3" w:type="default"/>
          <w:footerReference r:id="rId4" w:type="default"/>
          <w:footerReference r:id="rId5" w:type="even"/>
          <w:pgSz w:w="11906" w:h="16838"/>
          <w:pgMar w:top="1418" w:right="1134" w:bottom="1418" w:left="1247" w:header="851" w:footer="992" w:gutter="0"/>
          <w:pgNumType w:start="0"/>
          <w:cols w:space="425" w:num="1"/>
          <w:titlePg/>
          <w:docGrid w:type="lines" w:linePitch="312" w:charSpace="0"/>
        </w:sectPr>
      </w:pPr>
    </w:p>
    <w:p>
      <w:pPr>
        <w:pageBreakBefore/>
        <w:spacing w:before="156" w:beforeLines="50" w:after="156" w:afterLines="50" w:line="360" w:lineRule="auto"/>
        <w:jc w:val="center"/>
        <w:rPr>
          <w:rFonts w:eastAsia="黑体"/>
          <w:sz w:val="44"/>
        </w:rPr>
      </w:pPr>
      <w:r>
        <w:rPr>
          <w:rFonts w:eastAsia="黑体"/>
          <w:sz w:val="44"/>
        </w:rPr>
        <w:t>目 录</w:t>
      </w:r>
    </w:p>
    <w:p>
      <w:pPr>
        <w:pStyle w:val="11"/>
        <w:rPr>
          <w:rFonts w:asciiTheme="minorHAnsi" w:hAnsiTheme="minorHAnsi" w:eastAsiaTheme="minorEastAsia" w:cstheme="minorBidi"/>
          <w:kern w:val="2"/>
          <w:sz w:val="21"/>
        </w:rPr>
      </w:pPr>
      <w:r>
        <w:rPr>
          <w:rFonts w:ascii="Times New Roman" w:hAnsi="Times New Roman" w:eastAsiaTheme="minorEastAsia"/>
          <w:sz w:val="24"/>
          <w:szCs w:val="24"/>
        </w:rPr>
        <w:fldChar w:fldCharType="begin"/>
      </w:r>
      <w:r>
        <w:rPr>
          <w:rFonts w:ascii="Times New Roman" w:hAnsi="Times New Roman" w:eastAsiaTheme="minorEastAsia"/>
          <w:sz w:val="24"/>
          <w:szCs w:val="24"/>
        </w:rPr>
        <w:instrText xml:space="preserve"> TOC \o "1-3" \h \z \u </w:instrText>
      </w:r>
      <w:r>
        <w:rPr>
          <w:rFonts w:ascii="Times New Roman" w:hAnsi="Times New Roman" w:eastAsiaTheme="minorEastAsia"/>
          <w:sz w:val="24"/>
          <w:szCs w:val="24"/>
        </w:rPr>
        <w:fldChar w:fldCharType="separate"/>
      </w:r>
      <w:r>
        <w:fldChar w:fldCharType="begin"/>
      </w:r>
      <w:r>
        <w:instrText xml:space="preserve"> HYPERLINK \l "_Toc107299285" </w:instrText>
      </w:r>
      <w:r>
        <w:fldChar w:fldCharType="separate"/>
      </w:r>
      <w:r>
        <w:rPr>
          <w:rStyle w:val="20"/>
          <w:rFonts w:ascii="Times New Roman" w:hAnsi="Times New Roman" w:eastAsia="黑体"/>
        </w:rPr>
        <w:t>一、编制标准的背景及意义</w:t>
      </w:r>
      <w:r>
        <w:tab/>
      </w:r>
      <w:r>
        <w:fldChar w:fldCharType="begin"/>
      </w:r>
      <w:r>
        <w:instrText xml:space="preserve"> PAGEREF _Toc107299285 \h </w:instrText>
      </w:r>
      <w:r>
        <w:fldChar w:fldCharType="separate"/>
      </w:r>
      <w:r>
        <w:t>1</w:t>
      </w:r>
      <w:r>
        <w:fldChar w:fldCharType="end"/>
      </w:r>
      <w:r>
        <w:fldChar w:fldCharType="end"/>
      </w:r>
    </w:p>
    <w:p>
      <w:pPr>
        <w:pStyle w:val="11"/>
        <w:rPr>
          <w:rFonts w:asciiTheme="minorHAnsi" w:hAnsiTheme="minorHAnsi" w:eastAsiaTheme="minorEastAsia" w:cstheme="minorBidi"/>
          <w:kern w:val="2"/>
          <w:sz w:val="21"/>
        </w:rPr>
      </w:pPr>
      <w:r>
        <w:fldChar w:fldCharType="begin"/>
      </w:r>
      <w:r>
        <w:instrText xml:space="preserve"> HYPERLINK \l "_Toc107299286" </w:instrText>
      </w:r>
      <w:r>
        <w:fldChar w:fldCharType="separate"/>
      </w:r>
      <w:r>
        <w:rPr>
          <w:rStyle w:val="20"/>
          <w:rFonts w:eastAsia="黑体"/>
        </w:rPr>
        <w:t>二、任务来源及主要工作情况</w:t>
      </w:r>
      <w:r>
        <w:tab/>
      </w:r>
      <w:r>
        <w:fldChar w:fldCharType="begin"/>
      </w:r>
      <w:r>
        <w:instrText xml:space="preserve"> PAGEREF _Toc107299286 \h </w:instrText>
      </w:r>
      <w:r>
        <w:fldChar w:fldCharType="separate"/>
      </w:r>
      <w:r>
        <w:t>2</w:t>
      </w:r>
      <w:r>
        <w:fldChar w:fldCharType="end"/>
      </w:r>
      <w:r>
        <w:fldChar w:fldCharType="end"/>
      </w:r>
    </w:p>
    <w:p>
      <w:pPr>
        <w:pStyle w:val="12"/>
        <w:tabs>
          <w:tab w:val="right" w:leader="dot" w:pos="9515"/>
        </w:tabs>
        <w:rPr>
          <w:rFonts w:asciiTheme="minorHAnsi" w:hAnsiTheme="minorHAnsi" w:eastAsiaTheme="minorEastAsia" w:cstheme="minorBidi"/>
          <w:kern w:val="2"/>
          <w:sz w:val="21"/>
        </w:rPr>
      </w:pPr>
      <w:r>
        <w:fldChar w:fldCharType="begin"/>
      </w:r>
      <w:r>
        <w:instrText xml:space="preserve"> HYPERLINK \l "_Toc107299287" </w:instrText>
      </w:r>
      <w:r>
        <w:fldChar w:fldCharType="separate"/>
      </w:r>
      <w:r>
        <w:rPr>
          <w:rStyle w:val="20"/>
          <w:rFonts w:eastAsia="黑体"/>
        </w:rPr>
        <w:t>(一)任务来源</w:t>
      </w:r>
      <w:r>
        <w:tab/>
      </w:r>
      <w:r>
        <w:fldChar w:fldCharType="begin"/>
      </w:r>
      <w:r>
        <w:instrText xml:space="preserve"> PAGEREF _Toc107299287 \h </w:instrText>
      </w:r>
      <w:r>
        <w:fldChar w:fldCharType="separate"/>
      </w:r>
      <w:r>
        <w:t>2</w:t>
      </w:r>
      <w:r>
        <w:fldChar w:fldCharType="end"/>
      </w:r>
      <w:r>
        <w:fldChar w:fldCharType="end"/>
      </w:r>
    </w:p>
    <w:p>
      <w:pPr>
        <w:pStyle w:val="12"/>
        <w:tabs>
          <w:tab w:val="right" w:leader="dot" w:pos="9515"/>
        </w:tabs>
        <w:rPr>
          <w:rFonts w:asciiTheme="minorHAnsi" w:hAnsiTheme="minorHAnsi" w:eastAsiaTheme="minorEastAsia" w:cstheme="minorBidi"/>
          <w:kern w:val="2"/>
          <w:sz w:val="21"/>
        </w:rPr>
      </w:pPr>
      <w:r>
        <w:fldChar w:fldCharType="begin"/>
      </w:r>
      <w:r>
        <w:instrText xml:space="preserve"> HYPERLINK \l "_Toc107299288" </w:instrText>
      </w:r>
      <w:r>
        <w:fldChar w:fldCharType="separate"/>
      </w:r>
      <w:r>
        <w:rPr>
          <w:rStyle w:val="20"/>
          <w:rFonts w:eastAsia="黑体"/>
        </w:rPr>
        <w:t>(二)主要工作情况</w:t>
      </w:r>
      <w:r>
        <w:tab/>
      </w:r>
      <w:r>
        <w:fldChar w:fldCharType="begin"/>
      </w:r>
      <w:r>
        <w:instrText xml:space="preserve"> PAGEREF _Toc107299288 \h </w:instrText>
      </w:r>
      <w:r>
        <w:fldChar w:fldCharType="separate"/>
      </w:r>
      <w:r>
        <w:t>2</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"_Toc107299289" </w:instrText>
      </w:r>
      <w:r>
        <w:fldChar w:fldCharType="separate"/>
      </w:r>
      <w:r>
        <w:rPr>
          <w:rStyle w:val="20"/>
          <w:rFonts w:eastAsia="黑体"/>
        </w:rPr>
        <w:t>1成立编制小组，启动标准项目</w:t>
      </w:r>
      <w:r>
        <w:tab/>
      </w:r>
      <w:r>
        <w:fldChar w:fldCharType="begin"/>
      </w:r>
      <w:r>
        <w:instrText xml:space="preserve"> PAGEREF _Toc107299289 \h </w:instrText>
      </w:r>
      <w:r>
        <w:fldChar w:fldCharType="separate"/>
      </w:r>
      <w:r>
        <w:t>3</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"_Toc107299290" </w:instrText>
      </w:r>
      <w:r>
        <w:fldChar w:fldCharType="separate"/>
      </w:r>
      <w:r>
        <w:rPr>
          <w:rStyle w:val="20"/>
          <w:rFonts w:eastAsia="黑体"/>
        </w:rPr>
        <w:t>2 资料收集，编制“初稿”</w:t>
      </w:r>
      <w:r>
        <w:tab/>
      </w:r>
      <w:r>
        <w:fldChar w:fldCharType="begin"/>
      </w:r>
      <w:r>
        <w:instrText xml:space="preserve"> PAGEREF _Toc107299290 \h </w:instrText>
      </w:r>
      <w:r>
        <w:fldChar w:fldCharType="separate"/>
      </w:r>
      <w:r>
        <w:t>4</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"_Toc107299291" </w:instrText>
      </w:r>
      <w:r>
        <w:fldChar w:fldCharType="separate"/>
      </w:r>
      <w:r>
        <w:rPr>
          <w:rStyle w:val="20"/>
          <w:rFonts w:eastAsia="黑体"/>
        </w:rPr>
        <w:t>3内部研讨，形成“征求意见稿”</w:t>
      </w:r>
      <w:r>
        <w:tab/>
      </w:r>
      <w:r>
        <w:fldChar w:fldCharType="begin"/>
      </w:r>
      <w:r>
        <w:instrText xml:space="preserve"> PAGEREF _Toc107299291 \h </w:instrText>
      </w:r>
      <w:r>
        <w:fldChar w:fldCharType="separate"/>
      </w:r>
      <w:r>
        <w:t>4</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"_Toc107299292" </w:instrText>
      </w:r>
      <w:r>
        <w:fldChar w:fldCharType="separate"/>
      </w:r>
      <w:r>
        <w:rPr>
          <w:rStyle w:val="20"/>
          <w:rFonts w:eastAsia="黑体"/>
        </w:rPr>
        <w:t>4征求各方意见，形成“送审稿”</w:t>
      </w:r>
      <w:r>
        <w:tab/>
      </w:r>
      <w:r>
        <w:fldChar w:fldCharType="begin"/>
      </w:r>
      <w:r>
        <w:instrText xml:space="preserve"> PAGEREF _Toc107299292 \h </w:instrText>
      </w:r>
      <w:r>
        <w:fldChar w:fldCharType="separate"/>
      </w:r>
      <w:r>
        <w:t>4</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"_Toc107299293" </w:instrText>
      </w:r>
      <w:r>
        <w:fldChar w:fldCharType="separate"/>
      </w:r>
      <w:r>
        <w:rPr>
          <w:rStyle w:val="20"/>
          <w:rFonts w:eastAsia="黑体"/>
        </w:rPr>
        <w:t>5审定形成“报批稿”</w:t>
      </w:r>
      <w:r>
        <w:tab/>
      </w:r>
      <w:r>
        <w:fldChar w:fldCharType="begin"/>
      </w:r>
      <w:r>
        <w:instrText xml:space="preserve"> PAGEREF _Toc107299293 \h </w:instrText>
      </w:r>
      <w:r>
        <w:fldChar w:fldCharType="separate"/>
      </w:r>
      <w:r>
        <w:t>5</w:t>
      </w:r>
      <w:r>
        <w:fldChar w:fldCharType="end"/>
      </w:r>
      <w:r>
        <w:fldChar w:fldCharType="end"/>
      </w:r>
    </w:p>
    <w:p>
      <w:pPr>
        <w:pStyle w:val="11"/>
        <w:rPr>
          <w:rFonts w:asciiTheme="minorHAnsi" w:hAnsiTheme="minorHAnsi" w:eastAsiaTheme="minorEastAsia" w:cstheme="minorBidi"/>
          <w:kern w:val="2"/>
          <w:sz w:val="21"/>
        </w:rPr>
      </w:pPr>
      <w:r>
        <w:fldChar w:fldCharType="begin"/>
      </w:r>
      <w:r>
        <w:instrText xml:space="preserve"> HYPERLINK \l "_Toc107299294" </w:instrText>
      </w:r>
      <w:r>
        <w:fldChar w:fldCharType="separate"/>
      </w:r>
      <w:r>
        <w:rPr>
          <w:rStyle w:val="20"/>
          <w:rFonts w:eastAsia="黑体"/>
        </w:rPr>
        <w:t>三、编制原则</w:t>
      </w:r>
      <w:r>
        <w:tab/>
      </w:r>
      <w:r>
        <w:fldChar w:fldCharType="begin"/>
      </w:r>
      <w:r>
        <w:instrText xml:space="preserve"> PAGEREF _Toc107299294 \h </w:instrText>
      </w:r>
      <w:r>
        <w:fldChar w:fldCharType="separate"/>
      </w:r>
      <w:r>
        <w:t>5</w:t>
      </w:r>
      <w:r>
        <w:fldChar w:fldCharType="end"/>
      </w:r>
      <w:r>
        <w:fldChar w:fldCharType="end"/>
      </w:r>
    </w:p>
    <w:p>
      <w:pPr>
        <w:pStyle w:val="12"/>
        <w:tabs>
          <w:tab w:val="right" w:leader="dot" w:pos="9515"/>
        </w:tabs>
        <w:rPr>
          <w:rFonts w:asciiTheme="minorHAnsi" w:hAnsiTheme="minorHAnsi" w:eastAsiaTheme="minorEastAsia" w:cstheme="minorBidi"/>
          <w:kern w:val="2"/>
          <w:sz w:val="21"/>
        </w:rPr>
      </w:pPr>
      <w:r>
        <w:fldChar w:fldCharType="begin"/>
      </w:r>
      <w:r>
        <w:instrText xml:space="preserve"> HYPERLINK \l "_Toc107299295" </w:instrText>
      </w:r>
      <w:r>
        <w:fldChar w:fldCharType="separate"/>
      </w:r>
      <w:r>
        <w:rPr>
          <w:rStyle w:val="20"/>
          <w:rFonts w:eastAsia="黑体"/>
        </w:rPr>
        <w:t>（一）实际可行</w:t>
      </w:r>
      <w:r>
        <w:tab/>
      </w:r>
      <w:r>
        <w:fldChar w:fldCharType="begin"/>
      </w:r>
      <w:r>
        <w:instrText xml:space="preserve"> PAGEREF _Toc107299295 \h </w:instrText>
      </w:r>
      <w:r>
        <w:fldChar w:fldCharType="separate"/>
      </w:r>
      <w:r>
        <w:t>5</w:t>
      </w:r>
      <w:r>
        <w:fldChar w:fldCharType="end"/>
      </w:r>
      <w:r>
        <w:fldChar w:fldCharType="end"/>
      </w:r>
    </w:p>
    <w:p>
      <w:pPr>
        <w:pStyle w:val="12"/>
        <w:tabs>
          <w:tab w:val="right" w:leader="dot" w:pos="9515"/>
        </w:tabs>
        <w:rPr>
          <w:rFonts w:asciiTheme="minorHAnsi" w:hAnsiTheme="minorHAnsi" w:eastAsiaTheme="minorEastAsia" w:cstheme="minorBidi"/>
          <w:kern w:val="2"/>
          <w:sz w:val="21"/>
        </w:rPr>
      </w:pPr>
      <w:r>
        <w:fldChar w:fldCharType="begin"/>
      </w:r>
      <w:r>
        <w:instrText xml:space="preserve"> HYPERLINK \l "_Toc107299296" </w:instrText>
      </w:r>
      <w:r>
        <w:fldChar w:fldCharType="separate"/>
      </w:r>
      <w:r>
        <w:rPr>
          <w:rStyle w:val="20"/>
          <w:rFonts w:eastAsia="黑体"/>
        </w:rPr>
        <w:t>（二）用户导向</w:t>
      </w:r>
      <w:r>
        <w:tab/>
      </w:r>
      <w:r>
        <w:fldChar w:fldCharType="begin"/>
      </w:r>
      <w:r>
        <w:instrText xml:space="preserve"> PAGEREF _Toc107299296 \h </w:instrText>
      </w:r>
      <w:r>
        <w:fldChar w:fldCharType="separate"/>
      </w:r>
      <w:r>
        <w:t>5</w:t>
      </w:r>
      <w:r>
        <w:fldChar w:fldCharType="end"/>
      </w:r>
      <w:r>
        <w:fldChar w:fldCharType="end"/>
      </w:r>
    </w:p>
    <w:p>
      <w:pPr>
        <w:pStyle w:val="12"/>
        <w:tabs>
          <w:tab w:val="right" w:leader="dot" w:pos="9515"/>
        </w:tabs>
        <w:rPr>
          <w:rFonts w:asciiTheme="minorHAnsi" w:hAnsiTheme="minorHAnsi" w:eastAsiaTheme="minorEastAsia" w:cstheme="minorBidi"/>
          <w:kern w:val="2"/>
          <w:sz w:val="21"/>
        </w:rPr>
      </w:pPr>
      <w:r>
        <w:fldChar w:fldCharType="begin"/>
      </w:r>
      <w:r>
        <w:instrText xml:space="preserve"> HYPERLINK \l "_Toc107299297" </w:instrText>
      </w:r>
      <w:r>
        <w:fldChar w:fldCharType="separate"/>
      </w:r>
      <w:r>
        <w:rPr>
          <w:rStyle w:val="20"/>
          <w:rFonts w:eastAsia="黑体"/>
        </w:rPr>
        <w:t>（三）科学先进</w:t>
      </w:r>
      <w:r>
        <w:tab/>
      </w:r>
      <w:r>
        <w:fldChar w:fldCharType="begin"/>
      </w:r>
      <w:r>
        <w:instrText xml:space="preserve"> PAGEREF _Toc107299297 \h </w:instrText>
      </w:r>
      <w:r>
        <w:fldChar w:fldCharType="separate"/>
      </w:r>
      <w:r>
        <w:t>5</w:t>
      </w:r>
      <w:r>
        <w:fldChar w:fldCharType="end"/>
      </w:r>
      <w:r>
        <w:fldChar w:fldCharType="end"/>
      </w:r>
    </w:p>
    <w:p>
      <w:pPr>
        <w:pStyle w:val="11"/>
        <w:rPr>
          <w:rFonts w:asciiTheme="minorHAnsi" w:hAnsiTheme="minorHAnsi" w:eastAsiaTheme="minorEastAsia" w:cstheme="minorBidi"/>
          <w:kern w:val="2"/>
          <w:sz w:val="21"/>
        </w:rPr>
      </w:pPr>
      <w:r>
        <w:fldChar w:fldCharType="begin"/>
      </w:r>
      <w:r>
        <w:instrText xml:space="preserve"> HYPERLINK \l "_Toc107299298" </w:instrText>
      </w:r>
      <w:r>
        <w:fldChar w:fldCharType="separate"/>
      </w:r>
      <w:r>
        <w:rPr>
          <w:rStyle w:val="20"/>
          <w:rFonts w:eastAsia="黑体"/>
        </w:rPr>
        <w:t>四 本标准编制依据及其说明</w:t>
      </w:r>
      <w:r>
        <w:tab/>
      </w:r>
      <w:r>
        <w:fldChar w:fldCharType="begin"/>
      </w:r>
      <w:r>
        <w:instrText xml:space="preserve"> PAGEREF _Toc107299298 \h </w:instrText>
      </w:r>
      <w:r>
        <w:fldChar w:fldCharType="separate"/>
      </w:r>
      <w:r>
        <w:t>5</w:t>
      </w:r>
      <w:r>
        <w:fldChar w:fldCharType="end"/>
      </w:r>
      <w:r>
        <w:fldChar w:fldCharType="end"/>
      </w:r>
    </w:p>
    <w:p>
      <w:pPr>
        <w:pStyle w:val="12"/>
        <w:tabs>
          <w:tab w:val="right" w:leader="dot" w:pos="9515"/>
        </w:tabs>
        <w:rPr>
          <w:rFonts w:asciiTheme="minorHAnsi" w:hAnsiTheme="minorHAnsi" w:eastAsiaTheme="minorEastAsia" w:cstheme="minorBidi"/>
          <w:kern w:val="2"/>
          <w:sz w:val="21"/>
        </w:rPr>
      </w:pPr>
      <w:r>
        <w:fldChar w:fldCharType="begin"/>
      </w:r>
      <w:r>
        <w:instrText xml:space="preserve"> HYPERLINK \l "_Toc107299299" </w:instrText>
      </w:r>
      <w:r>
        <w:fldChar w:fldCharType="separate"/>
      </w:r>
      <w:r>
        <w:rPr>
          <w:rStyle w:val="20"/>
          <w:rFonts w:eastAsia="黑体"/>
        </w:rPr>
        <w:t>（一）编制依据</w:t>
      </w:r>
      <w:r>
        <w:tab/>
      </w:r>
      <w:r>
        <w:fldChar w:fldCharType="begin"/>
      </w:r>
      <w:r>
        <w:instrText xml:space="preserve"> PAGEREF _Toc107299299 \h </w:instrText>
      </w:r>
      <w:r>
        <w:fldChar w:fldCharType="separate"/>
      </w:r>
      <w:r>
        <w:t>5</w:t>
      </w:r>
      <w:r>
        <w:fldChar w:fldCharType="end"/>
      </w:r>
      <w:r>
        <w:fldChar w:fldCharType="end"/>
      </w:r>
    </w:p>
    <w:p>
      <w:pPr>
        <w:pStyle w:val="12"/>
        <w:tabs>
          <w:tab w:val="right" w:leader="dot" w:pos="9515"/>
        </w:tabs>
        <w:rPr>
          <w:rFonts w:asciiTheme="minorHAnsi" w:hAnsiTheme="minorHAnsi" w:eastAsiaTheme="minorEastAsia" w:cstheme="minorBidi"/>
          <w:kern w:val="2"/>
          <w:sz w:val="21"/>
        </w:rPr>
      </w:pPr>
      <w:r>
        <w:fldChar w:fldCharType="begin"/>
      </w:r>
      <w:r>
        <w:instrText xml:space="preserve"> HYPERLINK \l "_Toc107299300" </w:instrText>
      </w:r>
      <w:r>
        <w:fldChar w:fldCharType="separate"/>
      </w:r>
      <w:r>
        <w:rPr>
          <w:rStyle w:val="20"/>
          <w:rFonts w:eastAsia="黑体"/>
        </w:rPr>
        <w:t>（二）标准的主要技术内容说明</w:t>
      </w:r>
      <w:r>
        <w:tab/>
      </w:r>
      <w:r>
        <w:fldChar w:fldCharType="begin"/>
      </w:r>
      <w:r>
        <w:instrText xml:space="preserve"> PAGEREF _Toc107299300 \h </w:instrText>
      </w:r>
      <w:r>
        <w:fldChar w:fldCharType="separate"/>
      </w:r>
      <w:r>
        <w:t>6</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"_Toc107299301" </w:instrText>
      </w:r>
      <w:r>
        <w:fldChar w:fldCharType="separate"/>
      </w:r>
      <w:r>
        <w:rPr>
          <w:rStyle w:val="20"/>
          <w:rFonts w:eastAsia="黑体"/>
        </w:rPr>
        <w:t>1 标准主体框架</w:t>
      </w:r>
      <w:r>
        <w:tab/>
      </w:r>
      <w:r>
        <w:fldChar w:fldCharType="begin"/>
      </w:r>
      <w:r>
        <w:instrText xml:space="preserve"> PAGEREF _Toc107299301 \h </w:instrText>
      </w:r>
      <w:r>
        <w:fldChar w:fldCharType="separate"/>
      </w:r>
      <w:r>
        <w:t>6</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"_Toc107299302" </w:instrText>
      </w:r>
      <w:r>
        <w:fldChar w:fldCharType="separate"/>
      </w:r>
      <w:r>
        <w:rPr>
          <w:rStyle w:val="20"/>
          <w:rFonts w:eastAsia="黑体"/>
        </w:rPr>
        <w:t>2范围</w:t>
      </w:r>
      <w:r>
        <w:tab/>
      </w:r>
      <w:r>
        <w:fldChar w:fldCharType="begin"/>
      </w:r>
      <w:r>
        <w:instrText xml:space="preserve"> PAGEREF _Toc107299302 \h </w:instrText>
      </w:r>
      <w:r>
        <w:fldChar w:fldCharType="separate"/>
      </w:r>
      <w:r>
        <w:t>6</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"_Toc107299303" </w:instrText>
      </w:r>
      <w:r>
        <w:fldChar w:fldCharType="separate"/>
      </w:r>
      <w:r>
        <w:rPr>
          <w:rStyle w:val="20"/>
          <w:rFonts w:eastAsia="黑体"/>
        </w:rPr>
        <w:t>3术语和定义</w:t>
      </w:r>
      <w:r>
        <w:tab/>
      </w:r>
      <w:r>
        <w:fldChar w:fldCharType="begin"/>
      </w:r>
      <w:r>
        <w:instrText xml:space="preserve"> PAGEREF _Toc107299303 \h </w:instrText>
      </w:r>
      <w:r>
        <w:fldChar w:fldCharType="separate"/>
      </w:r>
      <w:r>
        <w:t>6</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"_Toc107299304" </w:instrText>
      </w:r>
      <w:r>
        <w:fldChar w:fldCharType="separate"/>
      </w:r>
      <w:r>
        <w:rPr>
          <w:rStyle w:val="20"/>
          <w:rFonts w:eastAsia="黑体"/>
        </w:rPr>
        <w:t>4 选址及布局</w:t>
      </w:r>
      <w:r>
        <w:tab/>
      </w:r>
      <w:r>
        <w:fldChar w:fldCharType="begin"/>
      </w:r>
      <w:r>
        <w:instrText xml:space="preserve"> PAGEREF _Toc107299304 \h </w:instrText>
      </w:r>
      <w:r>
        <w:fldChar w:fldCharType="separate"/>
      </w:r>
      <w:r>
        <w:t>7</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"_Toc107299305" </w:instrText>
      </w:r>
      <w:r>
        <w:fldChar w:fldCharType="separate"/>
      </w:r>
      <w:r>
        <w:rPr>
          <w:rStyle w:val="20"/>
          <w:rFonts w:eastAsia="黑体"/>
        </w:rPr>
        <w:t>5</w:t>
      </w:r>
      <w:r>
        <w:rPr>
          <w:rStyle w:val="20"/>
        </w:rPr>
        <w:t xml:space="preserve"> </w:t>
      </w:r>
      <w:r>
        <w:rPr>
          <w:rStyle w:val="20"/>
          <w:rFonts w:eastAsia="黑体"/>
        </w:rPr>
        <w:t>总体设计</w:t>
      </w:r>
      <w:r>
        <w:tab/>
      </w:r>
      <w:r>
        <w:fldChar w:fldCharType="begin"/>
      </w:r>
      <w:r>
        <w:instrText xml:space="preserve"> PAGEREF _Toc107299305 \h </w:instrText>
      </w:r>
      <w:r>
        <w:fldChar w:fldCharType="separate"/>
      </w:r>
      <w:r>
        <w:t>7</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"_Toc107299306" </w:instrText>
      </w:r>
      <w:r>
        <w:fldChar w:fldCharType="separate"/>
      </w:r>
      <w:r>
        <w:rPr>
          <w:rStyle w:val="20"/>
          <w:rFonts w:eastAsia="黑体"/>
        </w:rPr>
        <w:t>6 原料储存及预处理</w:t>
      </w:r>
      <w:r>
        <w:tab/>
      </w:r>
      <w:r>
        <w:fldChar w:fldCharType="begin"/>
      </w:r>
      <w:r>
        <w:instrText xml:space="preserve"> PAGEREF _Toc107299306 \h </w:instrText>
      </w:r>
      <w:r>
        <w:fldChar w:fldCharType="separate"/>
      </w:r>
      <w:r>
        <w:t>8</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"_Toc107299307" </w:instrText>
      </w:r>
      <w:r>
        <w:fldChar w:fldCharType="separate"/>
      </w:r>
      <w:r>
        <w:rPr>
          <w:rStyle w:val="20"/>
          <w:rFonts w:eastAsia="黑体"/>
        </w:rPr>
        <w:t>7 厌氧干发酵</w:t>
      </w:r>
      <w:r>
        <w:tab/>
      </w:r>
      <w:r>
        <w:fldChar w:fldCharType="begin"/>
      </w:r>
      <w:r>
        <w:instrText xml:space="preserve"> PAGEREF _Toc107299307 \h </w:instrText>
      </w:r>
      <w:r>
        <w:fldChar w:fldCharType="separate"/>
      </w:r>
      <w:r>
        <w:t>8</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"_Toc107299308" </w:instrText>
      </w:r>
      <w:r>
        <w:fldChar w:fldCharType="separate"/>
      </w:r>
      <w:r>
        <w:rPr>
          <w:rStyle w:val="20"/>
          <w:rFonts w:eastAsia="黑体"/>
        </w:rPr>
        <w:t>8 沼气净化、储存与利用</w:t>
      </w:r>
      <w:r>
        <w:tab/>
      </w:r>
      <w:r>
        <w:fldChar w:fldCharType="begin"/>
      </w:r>
      <w:r>
        <w:instrText xml:space="preserve"> PAGEREF _Toc107299308 \h </w:instrText>
      </w:r>
      <w:r>
        <w:fldChar w:fldCharType="separate"/>
      </w:r>
      <w:r>
        <w:t>10</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"_Toc107299309" </w:instrText>
      </w:r>
      <w:r>
        <w:fldChar w:fldCharType="separate"/>
      </w:r>
      <w:r>
        <w:rPr>
          <w:rStyle w:val="20"/>
          <w:rFonts w:eastAsia="黑体"/>
        </w:rPr>
        <w:t>9 沼渣与沼液利用</w:t>
      </w:r>
      <w:r>
        <w:tab/>
      </w:r>
      <w:r>
        <w:fldChar w:fldCharType="begin"/>
      </w:r>
      <w:r>
        <w:instrText xml:space="preserve"> PAGEREF _Toc107299309 \h </w:instrText>
      </w:r>
      <w:r>
        <w:fldChar w:fldCharType="separate"/>
      </w:r>
      <w:r>
        <w:t>10</w:t>
      </w:r>
      <w:r>
        <w:fldChar w:fldCharType="end"/>
      </w:r>
      <w:r>
        <w:fldChar w:fldCharType="end"/>
      </w:r>
    </w:p>
    <w:p>
      <w:pPr>
        <w:pStyle w:val="6"/>
        <w:tabs>
          <w:tab w:val="right" w:leader="dot" w:pos="9515"/>
        </w:tabs>
        <w:rPr>
          <w:rFonts w:asciiTheme="minorHAnsi" w:hAnsiTheme="minorHAnsi" w:eastAsiaTheme="minorEastAsia" w:cstheme="minorBidi"/>
          <w:kern w:val="2"/>
          <w:sz w:val="21"/>
        </w:rPr>
      </w:pPr>
      <w:r>
        <w:fldChar w:fldCharType="begin"/>
      </w:r>
      <w:r>
        <w:instrText xml:space="preserve"> HYPERLINK \l "_Toc107299310" </w:instrText>
      </w:r>
      <w:r>
        <w:fldChar w:fldCharType="separate"/>
      </w:r>
      <w:r>
        <w:rPr>
          <w:rStyle w:val="20"/>
          <w:rFonts w:eastAsia="黑体"/>
        </w:rPr>
        <w:t>10 其他</w:t>
      </w:r>
      <w:r>
        <w:tab/>
      </w:r>
      <w:r>
        <w:fldChar w:fldCharType="begin"/>
      </w:r>
      <w:r>
        <w:instrText xml:space="preserve"> PAGEREF _Toc107299310 \h </w:instrText>
      </w:r>
      <w:r>
        <w:fldChar w:fldCharType="separate"/>
      </w:r>
      <w:r>
        <w:t>10</w:t>
      </w:r>
      <w:r>
        <w:fldChar w:fldCharType="end"/>
      </w:r>
      <w:r>
        <w:fldChar w:fldCharType="end"/>
      </w:r>
    </w:p>
    <w:p>
      <w:pPr>
        <w:pStyle w:val="11"/>
        <w:rPr>
          <w:rFonts w:asciiTheme="minorHAnsi" w:hAnsiTheme="minorHAnsi" w:eastAsiaTheme="minorEastAsia" w:cstheme="minorBidi"/>
          <w:kern w:val="2"/>
          <w:sz w:val="21"/>
        </w:rPr>
      </w:pPr>
      <w:r>
        <w:fldChar w:fldCharType="begin"/>
      </w:r>
      <w:r>
        <w:instrText xml:space="preserve"> HYPERLINK \l "_Toc107299311" </w:instrText>
      </w:r>
      <w:r>
        <w:fldChar w:fldCharType="separate"/>
      </w:r>
      <w:r>
        <w:rPr>
          <w:rStyle w:val="20"/>
          <w:rFonts w:eastAsia="黑体"/>
        </w:rPr>
        <w:t>五、与国内外同类标准水平的对比情况</w:t>
      </w:r>
      <w:r>
        <w:tab/>
      </w:r>
      <w:r>
        <w:fldChar w:fldCharType="begin"/>
      </w:r>
      <w:r>
        <w:instrText xml:space="preserve"> PAGEREF _Toc107299311 \h </w:instrText>
      </w:r>
      <w:r>
        <w:fldChar w:fldCharType="separate"/>
      </w:r>
      <w:r>
        <w:t>11</w:t>
      </w:r>
      <w:r>
        <w:fldChar w:fldCharType="end"/>
      </w:r>
      <w:r>
        <w:fldChar w:fldCharType="end"/>
      </w:r>
    </w:p>
    <w:p>
      <w:pPr>
        <w:pStyle w:val="11"/>
        <w:rPr>
          <w:rFonts w:asciiTheme="minorHAnsi" w:hAnsiTheme="minorHAnsi" w:eastAsiaTheme="minorEastAsia" w:cstheme="minorBidi"/>
          <w:kern w:val="2"/>
          <w:sz w:val="21"/>
        </w:rPr>
      </w:pPr>
      <w:r>
        <w:fldChar w:fldCharType="begin"/>
      </w:r>
      <w:r>
        <w:instrText xml:space="preserve"> HYPERLINK \l "_Toc107299312" </w:instrText>
      </w:r>
      <w:r>
        <w:fldChar w:fldCharType="separate"/>
      </w:r>
      <w:r>
        <w:rPr>
          <w:rStyle w:val="20"/>
          <w:rFonts w:ascii="Times New Roman" w:hAnsi="Times New Roman" w:eastAsia="黑体"/>
        </w:rPr>
        <w:t>六、与有关的现行法律、法规和强制性国家标准的关系</w:t>
      </w:r>
      <w:r>
        <w:tab/>
      </w:r>
      <w:r>
        <w:fldChar w:fldCharType="begin"/>
      </w:r>
      <w:r>
        <w:instrText xml:space="preserve"> PAGEREF _Toc107299312 \h </w:instrText>
      </w:r>
      <w:r>
        <w:fldChar w:fldCharType="separate"/>
      </w:r>
      <w:r>
        <w:t>11</w:t>
      </w:r>
      <w:r>
        <w:fldChar w:fldCharType="end"/>
      </w:r>
      <w:r>
        <w:fldChar w:fldCharType="end"/>
      </w:r>
    </w:p>
    <w:p>
      <w:pPr>
        <w:pStyle w:val="11"/>
        <w:rPr>
          <w:rFonts w:asciiTheme="minorHAnsi" w:hAnsiTheme="minorHAnsi" w:eastAsiaTheme="minorEastAsia" w:cstheme="minorBidi"/>
          <w:kern w:val="2"/>
          <w:sz w:val="21"/>
        </w:rPr>
      </w:pPr>
      <w:r>
        <w:fldChar w:fldCharType="begin"/>
      </w:r>
      <w:r>
        <w:instrText xml:space="preserve"> HYPERLINK \l "_Toc107299313" </w:instrText>
      </w:r>
      <w:r>
        <w:fldChar w:fldCharType="separate"/>
      </w:r>
      <w:r>
        <w:rPr>
          <w:rStyle w:val="20"/>
          <w:rFonts w:ascii="Times New Roman" w:hAnsi="Times New Roman" w:eastAsia="黑体"/>
        </w:rPr>
        <w:t>七、重大分歧意见的处理经过和依据</w:t>
      </w:r>
      <w:r>
        <w:tab/>
      </w:r>
      <w:r>
        <w:fldChar w:fldCharType="begin"/>
      </w:r>
      <w:r>
        <w:instrText xml:space="preserve"> PAGEREF _Toc107299313 \h </w:instrText>
      </w:r>
      <w:r>
        <w:fldChar w:fldCharType="separate"/>
      </w:r>
      <w:r>
        <w:t>11</w:t>
      </w:r>
      <w:r>
        <w:fldChar w:fldCharType="end"/>
      </w:r>
      <w:r>
        <w:fldChar w:fldCharType="end"/>
      </w:r>
    </w:p>
    <w:p>
      <w:pPr>
        <w:pStyle w:val="11"/>
        <w:rPr>
          <w:rFonts w:asciiTheme="minorHAnsi" w:hAnsiTheme="minorHAnsi" w:eastAsiaTheme="minorEastAsia" w:cstheme="minorBidi"/>
          <w:kern w:val="2"/>
          <w:sz w:val="21"/>
        </w:rPr>
      </w:pPr>
      <w:r>
        <w:fldChar w:fldCharType="begin"/>
      </w:r>
      <w:r>
        <w:instrText xml:space="preserve"> HYPERLINK \l "_Toc107299314" </w:instrText>
      </w:r>
      <w:r>
        <w:fldChar w:fldCharType="separate"/>
      </w:r>
      <w:r>
        <w:rPr>
          <w:rStyle w:val="20"/>
          <w:rFonts w:eastAsia="黑体"/>
        </w:rPr>
        <w:t>八、贯彻标准的要求和措施建议</w:t>
      </w:r>
      <w:r>
        <w:tab/>
      </w:r>
      <w:r>
        <w:fldChar w:fldCharType="begin"/>
      </w:r>
      <w:r>
        <w:instrText xml:space="preserve"> PAGEREF _Toc107299314 \h </w:instrText>
      </w:r>
      <w:r>
        <w:fldChar w:fldCharType="separate"/>
      </w:r>
      <w:r>
        <w:t>11</w:t>
      </w:r>
      <w:r>
        <w:fldChar w:fldCharType="end"/>
      </w:r>
      <w:r>
        <w:fldChar w:fldCharType="end"/>
      </w:r>
    </w:p>
    <w:p>
      <w:pPr>
        <w:pStyle w:val="11"/>
        <w:rPr>
          <w:rFonts w:asciiTheme="minorHAnsi" w:hAnsiTheme="minorHAnsi" w:eastAsiaTheme="minorEastAsia" w:cstheme="minorBidi"/>
          <w:kern w:val="2"/>
          <w:sz w:val="21"/>
        </w:rPr>
      </w:pPr>
      <w:r>
        <w:fldChar w:fldCharType="begin"/>
      </w:r>
      <w:r>
        <w:instrText xml:space="preserve"> HYPERLINK \l "_Toc107299315" </w:instrText>
      </w:r>
      <w:r>
        <w:fldChar w:fldCharType="separate"/>
      </w:r>
      <w:r>
        <w:rPr>
          <w:rStyle w:val="20"/>
          <w:rFonts w:eastAsia="黑体"/>
        </w:rPr>
        <w:t>九、技术经济论证及预期的经济效果</w:t>
      </w:r>
      <w:r>
        <w:tab/>
      </w:r>
      <w:r>
        <w:fldChar w:fldCharType="begin"/>
      </w:r>
      <w:r>
        <w:instrText xml:space="preserve"> PAGEREF _Toc107299315 \h </w:instrText>
      </w:r>
      <w:r>
        <w:fldChar w:fldCharType="separate"/>
      </w:r>
      <w:r>
        <w:t>11</w:t>
      </w:r>
      <w:r>
        <w:fldChar w:fldCharType="end"/>
      </w:r>
      <w:r>
        <w:fldChar w:fldCharType="end"/>
      </w:r>
    </w:p>
    <w:p>
      <w:pPr>
        <w:pStyle w:val="11"/>
        <w:rPr>
          <w:rFonts w:asciiTheme="minorHAnsi" w:hAnsiTheme="minorHAnsi" w:eastAsiaTheme="minorEastAsia" w:cstheme="minorBidi"/>
          <w:kern w:val="2"/>
          <w:sz w:val="21"/>
        </w:rPr>
      </w:pPr>
      <w:r>
        <w:fldChar w:fldCharType="begin"/>
      </w:r>
      <w:r>
        <w:instrText xml:space="preserve"> HYPERLINK \l "_Toc107299316" </w:instrText>
      </w:r>
      <w:r>
        <w:fldChar w:fldCharType="separate"/>
      </w:r>
      <w:r>
        <w:rPr>
          <w:rStyle w:val="20"/>
          <w:rFonts w:eastAsia="黑体"/>
        </w:rPr>
        <w:t>十、其他应予说明的问题</w:t>
      </w:r>
      <w:r>
        <w:tab/>
      </w:r>
      <w:r>
        <w:fldChar w:fldCharType="begin"/>
      </w:r>
      <w:r>
        <w:instrText xml:space="preserve"> PAGEREF _Toc107299316 \h </w:instrText>
      </w:r>
      <w:r>
        <w:fldChar w:fldCharType="separate"/>
      </w:r>
      <w:r>
        <w:t>12</w:t>
      </w:r>
      <w:r>
        <w:fldChar w:fldCharType="end"/>
      </w:r>
      <w:r>
        <w:fldChar w:fldCharType="end"/>
      </w:r>
    </w:p>
    <w:p>
      <w:pPr>
        <w:spacing w:line="300" w:lineRule="auto"/>
        <w:jc w:val="center"/>
        <w:rPr>
          <w:rFonts w:eastAsiaTheme="minorEastAsia"/>
          <w:sz w:val="24"/>
        </w:rPr>
        <w:sectPr>
          <w:footerReference r:id="rId6" w:type="first"/>
          <w:pgSz w:w="11906" w:h="16838"/>
          <w:pgMar w:top="1418" w:right="1134" w:bottom="1418" w:left="1247" w:header="851" w:footer="992" w:gutter="0"/>
          <w:pgNumType w:fmt="upperRoman" w:start="1"/>
          <w:cols w:space="425" w:num="1"/>
          <w:titlePg/>
          <w:docGrid w:type="lines" w:linePitch="312" w:charSpace="0"/>
        </w:sectPr>
      </w:pPr>
      <w:r>
        <w:rPr>
          <w:rFonts w:eastAsiaTheme="minorEastAsia"/>
          <w:sz w:val="24"/>
        </w:rPr>
        <w:fldChar w:fldCharType="end"/>
      </w:r>
    </w:p>
    <w:p>
      <w:pPr>
        <w:spacing w:line="360" w:lineRule="auto"/>
        <w:jc w:val="center"/>
        <w:rPr>
          <w:rFonts w:eastAsia="黑体"/>
          <w:b/>
          <w:sz w:val="44"/>
          <w:szCs w:val="44"/>
        </w:rPr>
      </w:pPr>
      <w:r>
        <w:rPr>
          <w:rFonts w:eastAsia="黑体"/>
          <w:sz w:val="44"/>
          <w:szCs w:val="44"/>
        </w:rPr>
        <w:t>厌氧干发酵沼气工程工艺设计规范</w:t>
      </w:r>
    </w:p>
    <w:p>
      <w:pPr>
        <w:pStyle w:val="2"/>
        <w:spacing w:before="156" w:beforeLines="50" w:beforeAutospacing="0" w:after="156" w:afterLines="50" w:afterAutospacing="0" w:line="360" w:lineRule="auto"/>
        <w:rPr>
          <w:rFonts w:ascii="Times New Roman" w:hAnsi="Times New Roman" w:eastAsia="黑体"/>
          <w:b w:val="0"/>
          <w:bCs w:val="0"/>
          <w:kern w:val="0"/>
          <w:sz w:val="28"/>
          <w:szCs w:val="28"/>
        </w:rPr>
      </w:pPr>
      <w:bookmarkStart w:id="0" w:name="_Toc107299285"/>
      <w:r>
        <w:rPr>
          <w:rFonts w:ascii="Times New Roman" w:hAnsi="Times New Roman" w:eastAsia="黑体"/>
          <w:b w:val="0"/>
          <w:bCs w:val="0"/>
          <w:kern w:val="0"/>
          <w:sz w:val="28"/>
          <w:szCs w:val="28"/>
        </w:rPr>
        <w:t>一、编制标准的背景及意义</w:t>
      </w:r>
      <w:bookmarkEnd w:id="0"/>
    </w:p>
    <w:p>
      <w:pPr>
        <w:spacing w:line="360" w:lineRule="auto"/>
        <w:ind w:firstLine="480" w:firstLineChars="200"/>
        <w:rPr>
          <w:sz w:val="24"/>
        </w:rPr>
      </w:pPr>
      <w:r>
        <w:rPr>
          <w:rFonts w:hint="eastAsia"/>
          <w:sz w:val="24"/>
        </w:rPr>
        <w:t>河北省属于农业大省，拥有丰富的生物质资源。《河北省可再生能源发展“十三五”规划》指出，农作物秸秆年产量6176万吨，除薪柴、还田、养殖、造纸等已利用秸秆外，仍有1046万吨可供能源化加工使用；林业“三剩物”可利用量570万吨；食用菌菌糠130万吨，坝上地区及平原地区的牲畜粪便等可能源化利用的资源量约有2000万吨。近年来，河北省转变发展理念，探索综合利用，落实养殖场户污染防治主体责任，强化畜禽养殖污染监管，以沼气、生物天然气、农用有机肥和农村能源为主要利用方向，以畜牧大县和规模养殖场为重点，积极推进畜禽养殖废弃物资源化利用，走出了一条具有河北特色的绿色兴农之路。据统计，河北省已建成大中型沼气工程287处，年沼气生产量4000万立方米，年沼气发电量超过6000万千瓦时，已建成有机肥厂或集中处理中心320余家，年生产商品有机肥260万吨，处理畜禽粪污1000万吨以上。</w:t>
      </w:r>
    </w:p>
    <w:p>
      <w:pPr>
        <w:spacing w:line="360" w:lineRule="auto"/>
        <w:ind w:firstLine="480" w:firstLineChars="200"/>
        <w:rPr>
          <w:sz w:val="24"/>
        </w:rPr>
      </w:pPr>
      <w:r>
        <w:rPr>
          <w:rFonts w:hint="eastAsia"/>
          <w:sz w:val="24"/>
        </w:rPr>
        <w:t>目前，我省沼气工程主要采用CSTR湿法厌氧发酵技术，即厌氧发酵物料的含固率（TS）小于10%。高含固率物料处理采用湿法厌氧发酵技术时，一是需要添加大量清水或采用沼液回流，沼液的多次回流也会导致其粘度增加和氨氮累积等问题，使得沼气工程运行不稳定，甚至失败；二是湿法厌氧发酵技术出料时产生的大量沼液无法消纳，甚至造成二次污染。我省沼气工程多以农作物秸秆和畜禽粪便等农业废弃物为主要原料，秸秆的TS一般高于30%，采用干清粪工艺的畜禽粪便的TS一般高于15%。因此，这类高TS物料的处理宜采用厌氧干发酵工艺。在欧洲的沼气工程中，干式厌氧发酵工艺约占54%，且逐步增多。</w:t>
      </w:r>
    </w:p>
    <w:p>
      <w:pPr>
        <w:spacing w:line="360" w:lineRule="auto"/>
        <w:ind w:firstLine="480" w:firstLineChars="200"/>
        <w:rPr>
          <w:sz w:val="24"/>
        </w:rPr>
      </w:pPr>
      <w:r>
        <w:rPr>
          <w:rFonts w:hint="eastAsia"/>
          <w:sz w:val="24"/>
        </w:rPr>
        <w:t>与湿法厌氧发酵技术相比，厌氧干发酵技术的含固率高（TS 20%～40%），沼液排放量小，可以有效避免沼液大量积累而无法消纳的问题，并且原料适应性广，保温能耗低，运行成本和后处理成本低，可广泛应用于农作物秸秆、畜禽粪便、生活垃圾等有机废弃物的处理。近年来，厌氧干发酵技术在农业废弃物以及其他有机废弃物处理上的应用得到了多家科研机构和企业的关注。目前，我国聊城市畜禽污染物治理与综合利用项目、厦门生活垃圾分类处理厂、哈尔滨生活垃圾处理工程均采用厌氧干发酵工艺，发酵原料含固率高达50%以上。</w:t>
      </w:r>
    </w:p>
    <w:p>
      <w:pPr>
        <w:spacing w:line="360" w:lineRule="auto"/>
        <w:ind w:firstLine="480" w:firstLineChars="200"/>
        <w:rPr>
          <w:sz w:val="24"/>
        </w:rPr>
      </w:pPr>
      <w:r>
        <w:rPr>
          <w:rFonts w:hint="eastAsia"/>
          <w:sz w:val="24"/>
        </w:rPr>
        <w:t>现阶段不同设计单位掌握厌氧干发酵沼气工程设计的水平差异较大，主要依赖或引进国外技术，这就导致沼气工程成本较高，直接影响项目效益，阻碍其产业化发展。为此，农业部已经发布《序批式厌氧干发酵沼气工程工艺设计规范》（NY/T 3612-2020），该标准规定了序批式厌氧干发酵沼气工程选址、总体布置、工艺、建筑、电气、给排水、消防与安全等设计内容，对于此类沼气工程的设计和建设具有指导意义。然而，该标准缺少全面、系统的厌氧干发酵沼气工程规范化的工艺设计参数，来指导此类沼气工程设计和建设。</w:t>
      </w:r>
    </w:p>
    <w:p>
      <w:pPr>
        <w:spacing w:line="360" w:lineRule="auto"/>
        <w:ind w:firstLine="480" w:firstLineChars="200"/>
        <w:rPr>
          <w:sz w:val="24"/>
        </w:rPr>
      </w:pPr>
      <w:r>
        <w:rPr>
          <w:rFonts w:hint="eastAsia"/>
          <w:sz w:val="24"/>
        </w:rPr>
        <w:t>因此，亟需制定和完善厌氧干发酵沼气工程工艺设计的相关标准体系，提高农业有机废弃物能源化和行业创新水平，促进产业发展。</w:t>
      </w:r>
    </w:p>
    <w:p>
      <w:pPr>
        <w:spacing w:before="156" w:beforeLines="50" w:after="156" w:afterLines="50" w:line="360" w:lineRule="auto"/>
        <w:outlineLvl w:val="0"/>
        <w:rPr>
          <w:rFonts w:eastAsia="黑体"/>
          <w:kern w:val="0"/>
          <w:sz w:val="28"/>
          <w:szCs w:val="28"/>
        </w:rPr>
      </w:pPr>
      <w:bookmarkStart w:id="1" w:name="_Toc107299286"/>
      <w:r>
        <w:rPr>
          <w:rFonts w:eastAsia="黑体"/>
          <w:kern w:val="0"/>
          <w:sz w:val="28"/>
          <w:szCs w:val="28"/>
        </w:rPr>
        <w:t>二、任务来源及主要工作情况</w:t>
      </w:r>
      <w:bookmarkEnd w:id="1"/>
    </w:p>
    <w:p>
      <w:pPr>
        <w:spacing w:before="156" w:beforeLines="50" w:after="156" w:afterLines="50" w:line="360" w:lineRule="auto"/>
        <w:outlineLvl w:val="1"/>
        <w:rPr>
          <w:rFonts w:eastAsia="黑体"/>
          <w:kern w:val="0"/>
          <w:sz w:val="28"/>
          <w:szCs w:val="28"/>
        </w:rPr>
      </w:pPr>
      <w:bookmarkStart w:id="2" w:name="_Toc107299287"/>
      <w:r>
        <w:rPr>
          <w:rFonts w:eastAsia="黑体"/>
          <w:kern w:val="0"/>
          <w:sz w:val="28"/>
          <w:szCs w:val="28"/>
        </w:rPr>
        <w:t>(一)任务来源</w:t>
      </w:r>
      <w:bookmarkEnd w:id="2"/>
    </w:p>
    <w:p>
      <w:pPr>
        <w:spacing w:line="360" w:lineRule="auto"/>
        <w:ind w:firstLine="480" w:firstLineChars="200"/>
        <w:rPr>
          <w:sz w:val="24"/>
        </w:rPr>
      </w:pPr>
      <w:r>
        <w:rPr>
          <w:sz w:val="24"/>
        </w:rPr>
        <w:t>河北省市场监督管理局关于下达“2021年河北省地方标准制修订项目计划的通知（冀市监函〔2021〕29号）”，将本标准列入2021河北省地方标准制修订项目计划。为了规范我省厌氧</w:t>
      </w:r>
      <w:r>
        <w:rPr>
          <w:rFonts w:hint="eastAsia"/>
          <w:sz w:val="24"/>
        </w:rPr>
        <w:t>干发酵工艺设计和建设</w:t>
      </w:r>
      <w:r>
        <w:rPr>
          <w:sz w:val="24"/>
        </w:rPr>
        <w:t>，提高</w:t>
      </w:r>
      <w:r>
        <w:rPr>
          <w:rFonts w:hint="eastAsia"/>
          <w:sz w:val="24"/>
        </w:rPr>
        <w:t>农业有机废弃物</w:t>
      </w:r>
      <w:r>
        <w:rPr>
          <w:sz w:val="24"/>
        </w:rPr>
        <w:t>资源化</w:t>
      </w:r>
      <w:r>
        <w:rPr>
          <w:rFonts w:hint="eastAsia"/>
          <w:sz w:val="24"/>
        </w:rPr>
        <w:t>效</w:t>
      </w:r>
      <w:r>
        <w:rPr>
          <w:sz w:val="24"/>
        </w:rPr>
        <w:t>率，推动沼气工程</w:t>
      </w:r>
      <w:r>
        <w:rPr>
          <w:rFonts w:hint="eastAsia"/>
          <w:sz w:val="24"/>
        </w:rPr>
        <w:t>创新</w:t>
      </w:r>
      <w:r>
        <w:rPr>
          <w:sz w:val="24"/>
        </w:rPr>
        <w:t>发展，由</w:t>
      </w:r>
      <w:r>
        <w:rPr>
          <w:rFonts w:hint="eastAsia"/>
          <w:sz w:val="24"/>
        </w:rPr>
        <w:t>河北科技大学、农业农村部规划设计研究院、中国农业科学院农业环境与可持续发展研究所、河北省农业科技发展中心、河北昊源环境工程有限公司、河北研用环境科技有限公司、中农环境工程设计河北有限公司、河北省农林科学院生物技术与食品科学研究所、河北省农业广播学校、河北省农业项目规划中心</w:t>
      </w:r>
      <w:r>
        <w:rPr>
          <w:sz w:val="24"/>
        </w:rPr>
        <w:t>共同承担了《厌氧干发酵沼气工程工艺设计规范》（项目编号：ST202117）的河北省地方标准的编制工作。</w:t>
      </w:r>
    </w:p>
    <w:p>
      <w:pPr>
        <w:spacing w:before="156" w:beforeLines="50" w:after="156" w:afterLines="50" w:line="360" w:lineRule="auto"/>
        <w:outlineLvl w:val="1"/>
        <w:rPr>
          <w:rFonts w:eastAsia="黑体"/>
          <w:kern w:val="0"/>
          <w:sz w:val="28"/>
          <w:szCs w:val="28"/>
        </w:rPr>
      </w:pPr>
      <w:bookmarkStart w:id="3" w:name="_Toc107299288"/>
      <w:r>
        <w:rPr>
          <w:rFonts w:eastAsia="黑体"/>
          <w:kern w:val="0"/>
          <w:sz w:val="28"/>
          <w:szCs w:val="28"/>
        </w:rPr>
        <w:t>(二)主要工作情况</w:t>
      </w:r>
      <w:bookmarkEnd w:id="3"/>
    </w:p>
    <w:p>
      <w:pPr>
        <w:spacing w:line="360" w:lineRule="auto"/>
        <w:ind w:firstLine="480" w:firstLineChars="200"/>
        <w:rPr>
          <w:sz w:val="24"/>
        </w:rPr>
      </w:pPr>
      <w:r>
        <w:rPr>
          <w:sz w:val="24"/>
        </w:rPr>
        <w:t>2021年11月</w:t>
      </w:r>
      <w:r>
        <w:rPr>
          <w:rFonts w:hint="eastAsia"/>
          <w:sz w:val="24"/>
        </w:rPr>
        <w:t>河北科技大学、农业农村部规划设计研究院、中国农业科学院农业环境与可持续发展研究所</w:t>
      </w:r>
      <w:r>
        <w:rPr>
          <w:sz w:val="24"/>
        </w:rPr>
        <w:t>等标准编制单位对《厌氧干发酵沼气工程工艺设计规范》（项目编号：ST202117）进行了联合编制。编制工作由河北科技大学</w:t>
      </w:r>
      <w:r>
        <w:rPr>
          <w:rFonts w:hint="eastAsia"/>
          <w:sz w:val="24"/>
        </w:rPr>
        <w:t>李再兴教授</w:t>
      </w:r>
      <w:r>
        <w:rPr>
          <w:sz w:val="24"/>
        </w:rPr>
        <w:t>牵头，组织行业专家、科研单位和企业代表，成立了具有丰富科研和实践经验的专业技术人员的编制小组，对本标准的编制工作进行了认真研究和详细部署，明确了标准编制工作要求和内容、任务分工和进度安排。编制工作从广泛搜集国内外相关标准和文献资料开始，重点结合国内已发布实施的</w:t>
      </w:r>
      <w:r>
        <w:rPr>
          <w:rFonts w:hint="eastAsia"/>
          <w:sz w:val="24"/>
        </w:rPr>
        <w:t>国内外</w:t>
      </w:r>
      <w:r>
        <w:rPr>
          <w:sz w:val="24"/>
        </w:rPr>
        <w:t>有关</w:t>
      </w:r>
      <w:r>
        <w:rPr>
          <w:rFonts w:hint="eastAsia"/>
          <w:sz w:val="24"/>
        </w:rPr>
        <w:t>（厌氧干发酵）沼气工程设计、建设、技术规范等标准资料。标准编制小组通过大量的文献检索、调研，系统地掌握了国内外厌氧干发酵沼气工程的发展水平和技术现状。</w:t>
      </w:r>
      <w:r>
        <w:rPr>
          <w:sz w:val="24"/>
        </w:rPr>
        <w:t>编制小组成员综合已有的文献资料，通过认真研讨、分析对比，</w:t>
      </w:r>
      <w:r>
        <w:rPr>
          <w:rFonts w:hint="eastAsia"/>
          <w:sz w:val="24"/>
        </w:rPr>
        <w:t>确定了标准的基本结构、编制原则、编制大纲及技术内容，</w:t>
      </w:r>
      <w:r>
        <w:rPr>
          <w:sz w:val="24"/>
        </w:rPr>
        <w:t>起草完成了《厌氧干发酵沼气工程工艺设计规范（</w:t>
      </w:r>
      <w:r>
        <w:rPr>
          <w:rFonts w:hint="eastAsia"/>
          <w:sz w:val="24"/>
        </w:rPr>
        <w:t>初稿</w:t>
      </w:r>
      <w:r>
        <w:rPr>
          <w:sz w:val="24"/>
        </w:rPr>
        <w:t>）》和《厌氧干发酵沼气工程工艺设计规范（编制说明）》。编制小组在对标准</w:t>
      </w:r>
      <w:r>
        <w:rPr>
          <w:rFonts w:hint="eastAsia"/>
          <w:sz w:val="24"/>
        </w:rPr>
        <w:t>初稿</w:t>
      </w:r>
      <w:r>
        <w:rPr>
          <w:sz w:val="24"/>
        </w:rPr>
        <w:t>进行认真研讨、反复修改完善后，完成了《厌氧干发酵沼气工程工艺设计规范（征求意见稿）》</w:t>
      </w:r>
      <w:r>
        <w:rPr>
          <w:rFonts w:hint="eastAsia"/>
          <w:sz w:val="24"/>
        </w:rPr>
        <w:t>和</w:t>
      </w:r>
      <w:r>
        <w:rPr>
          <w:sz w:val="24"/>
        </w:rPr>
        <w:t>《厌氧干发酵沼气工程工艺设计规范（</w:t>
      </w:r>
      <w:r>
        <w:rPr>
          <w:rFonts w:hint="eastAsia"/>
          <w:sz w:val="24"/>
        </w:rPr>
        <w:t>网上</w:t>
      </w:r>
      <w:r>
        <w:rPr>
          <w:sz w:val="24"/>
        </w:rPr>
        <w:t>征求意见稿）》，并</w:t>
      </w:r>
      <w:r>
        <w:rPr>
          <w:rFonts w:hint="eastAsia"/>
          <w:sz w:val="24"/>
        </w:rPr>
        <w:t>通过线上线下方式，</w:t>
      </w:r>
      <w:r>
        <w:rPr>
          <w:sz w:val="24"/>
        </w:rPr>
        <w:t>征求了我国多家具有沼渣资源化经验的科研院所、高校、</w:t>
      </w:r>
      <w:r>
        <w:rPr>
          <w:rFonts w:hint="eastAsia"/>
          <w:sz w:val="24"/>
        </w:rPr>
        <w:t>和社会各方的意见</w:t>
      </w:r>
      <w:r>
        <w:rPr>
          <w:sz w:val="24"/>
        </w:rPr>
        <w:t>，根据各方意见反馈并展开针对性修改后形成了《厌氧干发酵沼气工程工艺设计规范（送审稿）》。</w:t>
      </w:r>
    </w:p>
    <w:p>
      <w:pPr>
        <w:spacing w:before="156" w:beforeLines="50" w:after="156" w:afterLines="50" w:line="360" w:lineRule="auto"/>
        <w:outlineLvl w:val="2"/>
        <w:rPr>
          <w:rFonts w:eastAsia="黑体"/>
          <w:kern w:val="0"/>
          <w:sz w:val="28"/>
          <w:szCs w:val="28"/>
        </w:rPr>
      </w:pPr>
      <w:bookmarkStart w:id="4" w:name="_Toc107299289"/>
      <w:r>
        <w:rPr>
          <w:rFonts w:eastAsia="黑体"/>
          <w:kern w:val="0"/>
          <w:sz w:val="28"/>
          <w:szCs w:val="28"/>
        </w:rPr>
        <w:t>1成立编制小组，启动标准项目</w:t>
      </w:r>
      <w:bookmarkEnd w:id="4"/>
    </w:p>
    <w:p>
      <w:pPr>
        <w:spacing w:line="360" w:lineRule="auto"/>
        <w:ind w:firstLine="480" w:firstLineChars="200"/>
        <w:rPr>
          <w:sz w:val="24"/>
        </w:rPr>
      </w:pPr>
      <w:r>
        <w:rPr>
          <w:rFonts w:hint="eastAsia"/>
          <w:sz w:val="24"/>
        </w:rPr>
        <w:t>20</w:t>
      </w:r>
      <w:r>
        <w:rPr>
          <w:sz w:val="24"/>
        </w:rPr>
        <w:t>21</w:t>
      </w:r>
      <w:r>
        <w:rPr>
          <w:rFonts w:hint="eastAsia"/>
          <w:sz w:val="24"/>
        </w:rPr>
        <w:t>年11-</w:t>
      </w:r>
      <w:r>
        <w:rPr>
          <w:sz w:val="24"/>
        </w:rPr>
        <w:t>1</w:t>
      </w:r>
      <w:r>
        <w:rPr>
          <w:rFonts w:hint="eastAsia"/>
          <w:sz w:val="24"/>
        </w:rPr>
        <w:t>2月，</w:t>
      </w:r>
      <w:r>
        <w:rPr>
          <w:sz w:val="24"/>
        </w:rPr>
        <w:t>由河北科技大学牵头，组织</w:t>
      </w:r>
      <w:r>
        <w:rPr>
          <w:rFonts w:hint="eastAsia"/>
          <w:sz w:val="24"/>
        </w:rPr>
        <w:t>农业农村部规划设计研究院、中国农业科学院农业环境与可持续发展研究所、河北省农业科技发展中心、河北昊源环境工程有限公司、河北研用环境科技有限公司、中农环境工程设计河北有限公司、河北省农林科学院生物技术与食品科学研究所、河北省农业广播学校、河北省农业项目规划中心</w:t>
      </w:r>
      <w:r>
        <w:rPr>
          <w:sz w:val="24"/>
        </w:rPr>
        <w:t>10个企事业单位的20名人员组成标准编制小组。召开专题会议，拟定标准编制工作方案</w:t>
      </w:r>
      <w:r>
        <w:rPr>
          <w:rFonts w:hint="eastAsia"/>
          <w:sz w:val="24"/>
        </w:rPr>
        <w:t>、原则和计划</w:t>
      </w:r>
      <w:r>
        <w:rPr>
          <w:sz w:val="24"/>
        </w:rPr>
        <w:t>，对标准编制工作进行总体部署和任务分工（标志小组人员及具体分工见表1）。</w:t>
      </w:r>
    </w:p>
    <w:p>
      <w:pPr>
        <w:spacing w:before="156" w:beforeLines="50" w:after="156" w:afterLines="50" w:line="360" w:lineRule="auto"/>
        <w:ind w:firstLine="482"/>
        <w:jc w:val="center"/>
        <w:rPr>
          <w:rFonts w:eastAsia="黑体"/>
          <w:szCs w:val="21"/>
        </w:rPr>
      </w:pPr>
      <w:r>
        <w:rPr>
          <w:rFonts w:eastAsia="黑体"/>
          <w:szCs w:val="21"/>
        </w:rPr>
        <w:t>表1 编制小组成员基本情况</w:t>
      </w:r>
    </w:p>
    <w:tbl>
      <w:tblPr>
        <w:tblStyle w:val="16"/>
        <w:tblW w:w="935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625"/>
        <w:gridCol w:w="851"/>
        <w:gridCol w:w="792"/>
        <w:gridCol w:w="1334"/>
        <w:gridCol w:w="1417"/>
        <w:gridCol w:w="2835"/>
        <w:gridCol w:w="15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Theme="minorEastAsia"/>
                <w:b/>
                <w:bCs/>
                <w:color w:val="000000" w:themeColor="text1"/>
                <w:sz w:val="18"/>
                <w:szCs w:val="18"/>
              </w:rPr>
            </w:pPr>
            <w:r>
              <w:rPr>
                <w:rFonts w:eastAsiaTheme="minorEastAsia"/>
                <w:b/>
                <w:bCs/>
                <w:color w:val="000000" w:themeColor="text1"/>
                <w:sz w:val="18"/>
                <w:szCs w:val="18"/>
              </w:rPr>
              <w:t>序号</w:t>
            </w:r>
          </w:p>
        </w:tc>
        <w:tc>
          <w:tcPr>
            <w:tcW w:w="851" w:type="dxa"/>
            <w:vAlign w:val="center"/>
          </w:tcPr>
          <w:p>
            <w:pPr>
              <w:spacing w:line="360" w:lineRule="auto"/>
              <w:jc w:val="center"/>
              <w:rPr>
                <w:rFonts w:eastAsiaTheme="minorEastAsia"/>
                <w:b/>
                <w:bCs/>
                <w:color w:val="000000" w:themeColor="text1"/>
                <w:sz w:val="18"/>
                <w:szCs w:val="18"/>
              </w:rPr>
            </w:pPr>
            <w:r>
              <w:rPr>
                <w:rFonts w:eastAsiaTheme="minorEastAsia"/>
                <w:b/>
                <w:bCs/>
                <w:color w:val="000000" w:themeColor="text1"/>
                <w:sz w:val="18"/>
                <w:szCs w:val="18"/>
              </w:rPr>
              <w:t>姓名</w:t>
            </w:r>
          </w:p>
        </w:tc>
        <w:tc>
          <w:tcPr>
            <w:tcW w:w="792" w:type="dxa"/>
            <w:vAlign w:val="center"/>
          </w:tcPr>
          <w:p>
            <w:pPr>
              <w:spacing w:line="360" w:lineRule="auto"/>
              <w:jc w:val="center"/>
              <w:rPr>
                <w:rFonts w:eastAsiaTheme="minorEastAsia"/>
                <w:b/>
                <w:bCs/>
                <w:color w:val="000000" w:themeColor="text1"/>
                <w:sz w:val="18"/>
                <w:szCs w:val="18"/>
              </w:rPr>
            </w:pPr>
            <w:r>
              <w:rPr>
                <w:rFonts w:eastAsiaTheme="minorEastAsia"/>
                <w:b/>
                <w:bCs/>
                <w:color w:val="000000" w:themeColor="text1"/>
                <w:sz w:val="18"/>
                <w:szCs w:val="18"/>
              </w:rPr>
              <w:t>性别</w:t>
            </w:r>
          </w:p>
        </w:tc>
        <w:tc>
          <w:tcPr>
            <w:tcW w:w="1334" w:type="dxa"/>
            <w:vAlign w:val="center"/>
          </w:tcPr>
          <w:p>
            <w:pPr>
              <w:spacing w:line="360" w:lineRule="auto"/>
              <w:jc w:val="center"/>
              <w:rPr>
                <w:rFonts w:eastAsiaTheme="minorEastAsia"/>
                <w:b/>
                <w:bCs/>
                <w:color w:val="000000" w:themeColor="text1"/>
                <w:sz w:val="18"/>
                <w:szCs w:val="18"/>
              </w:rPr>
            </w:pPr>
            <w:r>
              <w:rPr>
                <w:rFonts w:eastAsiaTheme="minorEastAsia"/>
                <w:b/>
                <w:bCs/>
                <w:color w:val="000000" w:themeColor="text1"/>
                <w:sz w:val="18"/>
                <w:szCs w:val="18"/>
              </w:rPr>
              <w:t>专业</w:t>
            </w:r>
          </w:p>
        </w:tc>
        <w:tc>
          <w:tcPr>
            <w:tcW w:w="1417" w:type="dxa"/>
            <w:vAlign w:val="center"/>
          </w:tcPr>
          <w:p>
            <w:pPr>
              <w:spacing w:line="360" w:lineRule="auto"/>
              <w:jc w:val="center"/>
              <w:rPr>
                <w:rFonts w:eastAsiaTheme="minorEastAsia"/>
                <w:b/>
                <w:bCs/>
                <w:color w:val="000000" w:themeColor="text1"/>
                <w:sz w:val="18"/>
                <w:szCs w:val="18"/>
              </w:rPr>
            </w:pPr>
            <w:r>
              <w:rPr>
                <w:rFonts w:eastAsiaTheme="minorEastAsia"/>
                <w:b/>
                <w:bCs/>
                <w:color w:val="000000" w:themeColor="text1"/>
                <w:sz w:val="18"/>
                <w:szCs w:val="18"/>
              </w:rPr>
              <w:t>技术职称</w:t>
            </w:r>
          </w:p>
        </w:tc>
        <w:tc>
          <w:tcPr>
            <w:tcW w:w="2835" w:type="dxa"/>
            <w:vAlign w:val="center"/>
          </w:tcPr>
          <w:p>
            <w:pPr>
              <w:spacing w:line="360" w:lineRule="auto"/>
              <w:jc w:val="center"/>
              <w:rPr>
                <w:rFonts w:eastAsiaTheme="minorEastAsia"/>
                <w:b/>
                <w:bCs/>
                <w:color w:val="000000" w:themeColor="text1"/>
                <w:sz w:val="18"/>
                <w:szCs w:val="18"/>
              </w:rPr>
            </w:pPr>
            <w:r>
              <w:rPr>
                <w:rFonts w:eastAsiaTheme="minorEastAsia"/>
                <w:b/>
                <w:bCs/>
                <w:color w:val="000000" w:themeColor="text1"/>
                <w:sz w:val="18"/>
                <w:szCs w:val="18"/>
              </w:rPr>
              <w:t>工作单位</w:t>
            </w:r>
          </w:p>
        </w:tc>
        <w:tc>
          <w:tcPr>
            <w:tcW w:w="1502" w:type="dxa"/>
            <w:vAlign w:val="center"/>
          </w:tcPr>
          <w:p>
            <w:pPr>
              <w:spacing w:line="360" w:lineRule="auto"/>
              <w:jc w:val="center"/>
              <w:rPr>
                <w:rFonts w:eastAsiaTheme="minorEastAsia"/>
                <w:b/>
                <w:bCs/>
                <w:color w:val="000000" w:themeColor="text1"/>
                <w:sz w:val="18"/>
                <w:szCs w:val="18"/>
              </w:rPr>
            </w:pPr>
            <w:r>
              <w:rPr>
                <w:rFonts w:eastAsiaTheme="minorEastAsia"/>
                <w:b/>
                <w:bCs/>
                <w:color w:val="000000" w:themeColor="text1"/>
                <w:sz w:val="18"/>
                <w:szCs w:val="18"/>
              </w:rPr>
              <w:t>分工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Theme="minorEastAsia"/>
                <w:b/>
                <w:bCs/>
                <w:color w:val="000000" w:themeColor="text1"/>
                <w:sz w:val="18"/>
                <w:szCs w:val="18"/>
              </w:rPr>
            </w:pPr>
            <w:r>
              <w:rPr>
                <w:rFonts w:eastAsia="仿宋_GB2312"/>
                <w:b/>
                <w:bCs/>
                <w:color w:val="000000" w:themeColor="text1"/>
                <w:sz w:val="18"/>
                <w:szCs w:val="18"/>
              </w:rPr>
              <w:t>1</w:t>
            </w:r>
          </w:p>
        </w:tc>
        <w:tc>
          <w:tcPr>
            <w:tcW w:w="851" w:type="dxa"/>
            <w:vAlign w:val="center"/>
          </w:tcPr>
          <w:p>
            <w:pPr>
              <w:spacing w:line="360" w:lineRule="auto"/>
              <w:jc w:val="center"/>
              <w:rPr>
                <w:color w:val="000000" w:themeColor="text1"/>
                <w:sz w:val="18"/>
                <w:szCs w:val="18"/>
              </w:rPr>
            </w:pPr>
            <w:r>
              <w:rPr>
                <w:color w:val="000000" w:themeColor="text1"/>
                <w:sz w:val="18"/>
                <w:szCs w:val="18"/>
              </w:rPr>
              <w:t>李再兴</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男</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环境工程</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教授</w:t>
            </w:r>
          </w:p>
        </w:tc>
        <w:tc>
          <w:tcPr>
            <w:tcW w:w="2835" w:type="dxa"/>
            <w:vAlign w:val="center"/>
          </w:tcPr>
          <w:p>
            <w:pPr>
              <w:spacing w:line="360" w:lineRule="auto"/>
              <w:jc w:val="center"/>
              <w:rPr>
                <w:color w:val="000000" w:themeColor="text1"/>
                <w:sz w:val="18"/>
                <w:szCs w:val="18"/>
              </w:rPr>
            </w:pPr>
            <w:r>
              <w:rPr>
                <w:color w:val="000000" w:themeColor="text1"/>
                <w:sz w:val="18"/>
                <w:szCs w:val="18"/>
              </w:rPr>
              <w:t>河北科技大学</w:t>
            </w:r>
          </w:p>
        </w:tc>
        <w:tc>
          <w:tcPr>
            <w:tcW w:w="1502" w:type="dxa"/>
            <w:vAlign w:val="center"/>
          </w:tcPr>
          <w:p>
            <w:pPr>
              <w:spacing w:line="360" w:lineRule="auto"/>
              <w:jc w:val="center"/>
              <w:rPr>
                <w:color w:val="000000" w:themeColor="text1"/>
                <w:sz w:val="18"/>
                <w:szCs w:val="18"/>
              </w:rPr>
            </w:pPr>
            <w:r>
              <w:rPr>
                <w:color w:val="000000" w:themeColor="text1"/>
                <w:sz w:val="18"/>
                <w:szCs w:val="18"/>
              </w:rPr>
              <w:t>主持人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2</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黄亚丽</w:t>
            </w:r>
          </w:p>
        </w:tc>
        <w:tc>
          <w:tcPr>
            <w:tcW w:w="792" w:type="dxa"/>
            <w:vAlign w:val="center"/>
          </w:tcPr>
          <w:p>
            <w:pPr>
              <w:spacing w:line="360" w:lineRule="auto"/>
              <w:jc w:val="center"/>
              <w:rPr>
                <w:color w:val="000000" w:themeColor="text1"/>
                <w:sz w:val="18"/>
                <w:szCs w:val="18"/>
              </w:rPr>
            </w:pPr>
            <w:r>
              <w:rPr>
                <w:color w:val="000000" w:themeColor="text1"/>
                <w:sz w:val="18"/>
                <w:szCs w:val="18"/>
              </w:rPr>
              <w:t>女</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微生物学</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研究员</w:t>
            </w:r>
          </w:p>
        </w:tc>
        <w:tc>
          <w:tcPr>
            <w:tcW w:w="2835" w:type="dxa"/>
            <w:vAlign w:val="center"/>
          </w:tcPr>
          <w:p>
            <w:pPr>
              <w:spacing w:line="360" w:lineRule="auto"/>
              <w:jc w:val="center"/>
              <w:rPr>
                <w:color w:val="000000" w:themeColor="text1"/>
                <w:sz w:val="18"/>
                <w:szCs w:val="18"/>
              </w:rPr>
            </w:pPr>
            <w:r>
              <w:rPr>
                <w:rFonts w:hint="eastAsia"/>
                <w:color w:val="000000" w:themeColor="text1"/>
                <w:sz w:val="18"/>
                <w:szCs w:val="18"/>
              </w:rPr>
              <w:t>河北科技大学</w:t>
            </w:r>
          </w:p>
        </w:tc>
        <w:tc>
          <w:tcPr>
            <w:tcW w:w="1502" w:type="dxa"/>
            <w:vAlign w:val="center"/>
          </w:tcPr>
          <w:p>
            <w:pPr>
              <w:spacing w:line="360" w:lineRule="auto"/>
              <w:jc w:val="center"/>
              <w:rPr>
                <w:color w:val="000000" w:themeColor="text1"/>
                <w:sz w:val="18"/>
                <w:szCs w:val="18"/>
              </w:rPr>
            </w:pPr>
            <w:r>
              <w:rPr>
                <w:color w:val="000000" w:themeColor="text1"/>
                <w:sz w:val="18"/>
                <w:szCs w:val="18"/>
              </w:rPr>
              <w:t>标准</w:t>
            </w:r>
            <w:r>
              <w:rPr>
                <w:rFonts w:hint="eastAsia"/>
                <w:color w:val="000000" w:themeColor="text1"/>
                <w:sz w:val="18"/>
                <w:szCs w:val="18"/>
              </w:rPr>
              <w:t>统稿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Theme="minorEastAsia"/>
                <w:b/>
                <w:bCs/>
                <w:color w:val="000000" w:themeColor="text1"/>
                <w:sz w:val="18"/>
                <w:szCs w:val="18"/>
              </w:rPr>
            </w:pPr>
            <w:r>
              <w:rPr>
                <w:rFonts w:eastAsia="仿宋_GB2312"/>
                <w:b/>
                <w:bCs/>
                <w:color w:val="000000" w:themeColor="text1"/>
                <w:sz w:val="18"/>
                <w:szCs w:val="18"/>
              </w:rPr>
              <w:t>3</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冯晶</w:t>
            </w:r>
          </w:p>
        </w:tc>
        <w:tc>
          <w:tcPr>
            <w:tcW w:w="792" w:type="dxa"/>
            <w:vAlign w:val="center"/>
          </w:tcPr>
          <w:p>
            <w:pPr>
              <w:spacing w:line="360" w:lineRule="auto"/>
              <w:jc w:val="center"/>
              <w:rPr>
                <w:color w:val="000000" w:themeColor="text1"/>
                <w:sz w:val="18"/>
                <w:szCs w:val="18"/>
              </w:rPr>
            </w:pPr>
            <w:r>
              <w:rPr>
                <w:color w:val="000000" w:themeColor="text1"/>
                <w:sz w:val="18"/>
                <w:szCs w:val="18"/>
              </w:rPr>
              <w:t>男</w:t>
            </w:r>
          </w:p>
        </w:tc>
        <w:tc>
          <w:tcPr>
            <w:tcW w:w="1334" w:type="dxa"/>
            <w:vAlign w:val="center"/>
          </w:tcPr>
          <w:p>
            <w:pPr>
              <w:spacing w:line="360" w:lineRule="auto"/>
              <w:jc w:val="center"/>
              <w:rPr>
                <w:color w:val="000000" w:themeColor="text1"/>
                <w:sz w:val="18"/>
                <w:szCs w:val="18"/>
              </w:rPr>
            </w:pPr>
            <w:r>
              <w:rPr>
                <w:color w:val="000000" w:themeColor="text1"/>
                <w:sz w:val="18"/>
                <w:szCs w:val="18"/>
              </w:rPr>
              <w:t>环境工程</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高级工程师</w:t>
            </w:r>
          </w:p>
        </w:tc>
        <w:tc>
          <w:tcPr>
            <w:tcW w:w="2835" w:type="dxa"/>
            <w:vAlign w:val="center"/>
          </w:tcPr>
          <w:p>
            <w:pPr>
              <w:spacing w:line="360" w:lineRule="auto"/>
              <w:jc w:val="center"/>
              <w:rPr>
                <w:color w:val="000000" w:themeColor="text1"/>
                <w:sz w:val="18"/>
                <w:szCs w:val="18"/>
              </w:rPr>
            </w:pPr>
            <w:r>
              <w:rPr>
                <w:rFonts w:hint="eastAsia"/>
                <w:color w:val="000000" w:themeColor="text1"/>
                <w:sz w:val="18"/>
                <w:szCs w:val="18"/>
              </w:rPr>
              <w:t>农业农村部规划设计研究院</w:t>
            </w:r>
          </w:p>
        </w:tc>
        <w:tc>
          <w:tcPr>
            <w:tcW w:w="1502" w:type="dxa"/>
            <w:vAlign w:val="center"/>
          </w:tcPr>
          <w:p>
            <w:pPr>
              <w:spacing w:line="360" w:lineRule="auto"/>
              <w:jc w:val="center"/>
              <w:rPr>
                <w:color w:val="000000" w:themeColor="text1"/>
                <w:sz w:val="18"/>
                <w:szCs w:val="18"/>
              </w:rPr>
            </w:pPr>
            <w:r>
              <w:rPr>
                <w:color w:val="000000" w:themeColor="text1"/>
                <w:sz w:val="18"/>
                <w:szCs w:val="18"/>
              </w:rPr>
              <w:t>技术指导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4</w:t>
            </w:r>
          </w:p>
        </w:tc>
        <w:tc>
          <w:tcPr>
            <w:tcW w:w="851" w:type="dxa"/>
            <w:vAlign w:val="center"/>
          </w:tcPr>
          <w:p>
            <w:pPr>
              <w:spacing w:line="360" w:lineRule="auto"/>
              <w:jc w:val="center"/>
              <w:rPr>
                <w:color w:val="000000" w:themeColor="text1"/>
                <w:sz w:val="18"/>
                <w:szCs w:val="18"/>
              </w:rPr>
            </w:pPr>
            <w:r>
              <w:rPr>
                <w:color w:val="000000" w:themeColor="text1"/>
                <w:sz w:val="18"/>
                <w:szCs w:val="18"/>
              </w:rPr>
              <w:t>王建朋</w:t>
            </w:r>
          </w:p>
        </w:tc>
        <w:tc>
          <w:tcPr>
            <w:tcW w:w="792" w:type="dxa"/>
            <w:vAlign w:val="center"/>
          </w:tcPr>
          <w:p>
            <w:pPr>
              <w:spacing w:line="360" w:lineRule="auto"/>
              <w:jc w:val="center"/>
              <w:rPr>
                <w:color w:val="000000" w:themeColor="text1"/>
                <w:sz w:val="18"/>
                <w:szCs w:val="18"/>
              </w:rPr>
            </w:pPr>
            <w:r>
              <w:rPr>
                <w:color w:val="000000" w:themeColor="text1"/>
                <w:sz w:val="18"/>
                <w:szCs w:val="18"/>
              </w:rPr>
              <w:t>男</w:t>
            </w:r>
          </w:p>
        </w:tc>
        <w:tc>
          <w:tcPr>
            <w:tcW w:w="1334" w:type="dxa"/>
            <w:vAlign w:val="center"/>
          </w:tcPr>
          <w:p>
            <w:pPr>
              <w:spacing w:line="360" w:lineRule="auto"/>
              <w:jc w:val="center"/>
              <w:rPr>
                <w:color w:val="000000" w:themeColor="text1"/>
                <w:sz w:val="18"/>
                <w:szCs w:val="18"/>
              </w:rPr>
            </w:pPr>
            <w:r>
              <w:rPr>
                <w:color w:val="000000" w:themeColor="text1"/>
                <w:sz w:val="18"/>
                <w:szCs w:val="18"/>
              </w:rPr>
              <w:t>农业工程</w:t>
            </w:r>
          </w:p>
        </w:tc>
        <w:tc>
          <w:tcPr>
            <w:tcW w:w="1417" w:type="dxa"/>
            <w:vAlign w:val="center"/>
          </w:tcPr>
          <w:p>
            <w:pPr>
              <w:spacing w:line="360" w:lineRule="auto"/>
              <w:jc w:val="center"/>
              <w:rPr>
                <w:color w:val="000000" w:themeColor="text1"/>
                <w:sz w:val="18"/>
                <w:szCs w:val="18"/>
              </w:rPr>
            </w:pPr>
            <w:r>
              <w:rPr>
                <w:color w:val="000000" w:themeColor="text1"/>
                <w:sz w:val="18"/>
                <w:szCs w:val="18"/>
              </w:rPr>
              <w:t>农业技术推广研究员</w:t>
            </w:r>
          </w:p>
        </w:tc>
        <w:tc>
          <w:tcPr>
            <w:tcW w:w="2835" w:type="dxa"/>
            <w:vAlign w:val="center"/>
          </w:tcPr>
          <w:p>
            <w:pPr>
              <w:spacing w:line="360" w:lineRule="auto"/>
              <w:jc w:val="center"/>
              <w:rPr>
                <w:color w:val="000000" w:themeColor="text1"/>
                <w:sz w:val="18"/>
                <w:szCs w:val="18"/>
              </w:rPr>
            </w:pPr>
            <w:r>
              <w:rPr>
                <w:color w:val="000000" w:themeColor="text1"/>
                <w:sz w:val="18"/>
                <w:szCs w:val="18"/>
              </w:rPr>
              <w:t>河北省农业科技发展中心</w:t>
            </w:r>
          </w:p>
        </w:tc>
        <w:tc>
          <w:tcPr>
            <w:tcW w:w="1502" w:type="dxa"/>
            <w:vAlign w:val="center"/>
          </w:tcPr>
          <w:p>
            <w:pPr>
              <w:spacing w:line="360" w:lineRule="auto"/>
              <w:jc w:val="center"/>
              <w:rPr>
                <w:color w:val="000000" w:themeColor="text1"/>
                <w:sz w:val="18"/>
                <w:szCs w:val="18"/>
              </w:rPr>
            </w:pPr>
            <w:r>
              <w:rPr>
                <w:rFonts w:hint="eastAsia"/>
                <w:color w:val="000000" w:themeColor="text1"/>
                <w:sz w:val="18"/>
                <w:szCs w:val="18"/>
              </w:rPr>
              <w:t>标准</w:t>
            </w:r>
            <w:r>
              <w:rPr>
                <w:color w:val="000000" w:themeColor="text1"/>
                <w:sz w:val="18"/>
                <w:szCs w:val="18"/>
              </w:rPr>
              <w:t>收集</w:t>
            </w:r>
            <w:r>
              <w:rPr>
                <w:rFonts w:hint="eastAsia"/>
                <w:color w:val="000000" w:themeColor="text1"/>
                <w:sz w:val="18"/>
                <w:szCs w:val="18"/>
              </w:rPr>
              <w:t>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5</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于佳动</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男</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农业生物环境与能源工程</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工程师</w:t>
            </w:r>
          </w:p>
        </w:tc>
        <w:tc>
          <w:tcPr>
            <w:tcW w:w="2835" w:type="dxa"/>
            <w:vAlign w:val="center"/>
          </w:tcPr>
          <w:p>
            <w:pPr>
              <w:spacing w:line="360" w:lineRule="auto"/>
              <w:jc w:val="center"/>
              <w:rPr>
                <w:color w:val="000000" w:themeColor="text1"/>
                <w:sz w:val="18"/>
                <w:szCs w:val="18"/>
              </w:rPr>
            </w:pPr>
            <w:r>
              <w:rPr>
                <w:rFonts w:hint="eastAsia"/>
                <w:color w:val="000000" w:themeColor="text1"/>
                <w:sz w:val="18"/>
                <w:szCs w:val="18"/>
              </w:rPr>
              <w:t>农业农村部规划设计研究院</w:t>
            </w:r>
          </w:p>
        </w:tc>
        <w:tc>
          <w:tcPr>
            <w:tcW w:w="1502" w:type="dxa"/>
            <w:vAlign w:val="center"/>
          </w:tcPr>
          <w:p>
            <w:pPr>
              <w:spacing w:line="360" w:lineRule="auto"/>
              <w:jc w:val="center"/>
              <w:rPr>
                <w:color w:val="000000" w:themeColor="text1"/>
                <w:sz w:val="18"/>
                <w:szCs w:val="18"/>
              </w:rPr>
            </w:pPr>
            <w:r>
              <w:rPr>
                <w:color w:val="000000" w:themeColor="text1"/>
                <w:sz w:val="18"/>
                <w:szCs w:val="18"/>
              </w:rPr>
              <w:t>标准编制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6</w:t>
            </w:r>
          </w:p>
        </w:tc>
        <w:tc>
          <w:tcPr>
            <w:tcW w:w="851" w:type="dxa"/>
            <w:vAlign w:val="center"/>
          </w:tcPr>
          <w:p>
            <w:pPr>
              <w:spacing w:line="360" w:lineRule="auto"/>
              <w:jc w:val="center"/>
              <w:rPr>
                <w:color w:val="000000" w:themeColor="text1"/>
                <w:sz w:val="18"/>
                <w:szCs w:val="18"/>
              </w:rPr>
            </w:pPr>
            <w:r>
              <w:rPr>
                <w:color w:val="000000" w:themeColor="text1"/>
                <w:sz w:val="18"/>
                <w:szCs w:val="18"/>
              </w:rPr>
              <w:t>武肖莎</w:t>
            </w:r>
          </w:p>
        </w:tc>
        <w:tc>
          <w:tcPr>
            <w:tcW w:w="792" w:type="dxa"/>
            <w:vAlign w:val="center"/>
          </w:tcPr>
          <w:p>
            <w:pPr>
              <w:spacing w:line="360" w:lineRule="auto"/>
              <w:jc w:val="center"/>
              <w:rPr>
                <w:color w:val="000000" w:themeColor="text1"/>
                <w:sz w:val="18"/>
                <w:szCs w:val="18"/>
              </w:rPr>
            </w:pPr>
            <w:r>
              <w:rPr>
                <w:color w:val="000000" w:themeColor="text1"/>
                <w:sz w:val="18"/>
                <w:szCs w:val="18"/>
              </w:rPr>
              <w:t>女</w:t>
            </w:r>
          </w:p>
        </w:tc>
        <w:tc>
          <w:tcPr>
            <w:tcW w:w="1334" w:type="dxa"/>
            <w:vAlign w:val="center"/>
          </w:tcPr>
          <w:p>
            <w:pPr>
              <w:spacing w:line="360" w:lineRule="auto"/>
              <w:jc w:val="center"/>
              <w:rPr>
                <w:color w:val="000000" w:themeColor="text1"/>
                <w:sz w:val="18"/>
                <w:szCs w:val="18"/>
              </w:rPr>
            </w:pPr>
            <w:r>
              <w:rPr>
                <w:color w:val="000000" w:themeColor="text1"/>
                <w:sz w:val="18"/>
                <w:szCs w:val="18"/>
              </w:rPr>
              <w:t>环境工程</w:t>
            </w:r>
          </w:p>
        </w:tc>
        <w:tc>
          <w:tcPr>
            <w:tcW w:w="1417" w:type="dxa"/>
            <w:vAlign w:val="center"/>
          </w:tcPr>
          <w:p>
            <w:pPr>
              <w:spacing w:line="360" w:lineRule="auto"/>
              <w:jc w:val="center"/>
              <w:rPr>
                <w:color w:val="000000" w:themeColor="text1"/>
                <w:sz w:val="18"/>
                <w:szCs w:val="18"/>
              </w:rPr>
            </w:pPr>
            <w:r>
              <w:rPr>
                <w:color w:val="000000" w:themeColor="text1"/>
                <w:sz w:val="18"/>
                <w:szCs w:val="18"/>
              </w:rPr>
              <w:t>其他</w:t>
            </w:r>
          </w:p>
        </w:tc>
        <w:tc>
          <w:tcPr>
            <w:tcW w:w="2835" w:type="dxa"/>
            <w:vAlign w:val="center"/>
          </w:tcPr>
          <w:p>
            <w:pPr>
              <w:spacing w:line="360" w:lineRule="auto"/>
              <w:jc w:val="center"/>
              <w:rPr>
                <w:color w:val="000000" w:themeColor="text1"/>
                <w:sz w:val="18"/>
                <w:szCs w:val="18"/>
              </w:rPr>
            </w:pPr>
            <w:r>
              <w:rPr>
                <w:color w:val="000000" w:themeColor="text1"/>
                <w:sz w:val="18"/>
                <w:szCs w:val="18"/>
              </w:rPr>
              <w:t>河北昊源环境工程有限公司</w:t>
            </w:r>
          </w:p>
        </w:tc>
        <w:tc>
          <w:tcPr>
            <w:tcW w:w="1502" w:type="dxa"/>
            <w:vAlign w:val="center"/>
          </w:tcPr>
          <w:p>
            <w:pPr>
              <w:spacing w:line="360" w:lineRule="auto"/>
              <w:jc w:val="center"/>
              <w:rPr>
                <w:color w:val="000000" w:themeColor="text1"/>
                <w:sz w:val="18"/>
                <w:szCs w:val="18"/>
              </w:rPr>
            </w:pPr>
            <w:r>
              <w:rPr>
                <w:color w:val="000000" w:themeColor="text1"/>
                <w:sz w:val="18"/>
                <w:szCs w:val="18"/>
              </w:rPr>
              <w:t>标准编制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7</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马金翠</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女</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信息学/食品安全</w:t>
            </w:r>
          </w:p>
        </w:tc>
        <w:tc>
          <w:tcPr>
            <w:tcW w:w="1417" w:type="dxa"/>
            <w:vAlign w:val="center"/>
          </w:tcPr>
          <w:p>
            <w:pPr>
              <w:spacing w:line="360" w:lineRule="auto"/>
              <w:jc w:val="center"/>
              <w:rPr>
                <w:color w:val="000000" w:themeColor="text1"/>
                <w:sz w:val="18"/>
                <w:szCs w:val="18"/>
              </w:rPr>
            </w:pPr>
            <w:r>
              <w:rPr>
                <w:color w:val="000000" w:themeColor="text1"/>
                <w:sz w:val="18"/>
                <w:szCs w:val="18"/>
              </w:rPr>
              <w:t>其他</w:t>
            </w:r>
          </w:p>
        </w:tc>
        <w:tc>
          <w:tcPr>
            <w:tcW w:w="2835" w:type="dxa"/>
            <w:vAlign w:val="center"/>
          </w:tcPr>
          <w:p>
            <w:pPr>
              <w:spacing w:line="360" w:lineRule="auto"/>
              <w:jc w:val="center"/>
              <w:rPr>
                <w:color w:val="000000" w:themeColor="text1"/>
                <w:sz w:val="18"/>
                <w:szCs w:val="18"/>
              </w:rPr>
            </w:pPr>
            <w:r>
              <w:rPr>
                <w:rFonts w:hint="eastAsia"/>
                <w:color w:val="000000" w:themeColor="text1"/>
                <w:sz w:val="18"/>
                <w:szCs w:val="18"/>
              </w:rPr>
              <w:t>河北省农业广播学校</w:t>
            </w:r>
          </w:p>
        </w:tc>
        <w:tc>
          <w:tcPr>
            <w:tcW w:w="1502" w:type="dxa"/>
            <w:vAlign w:val="center"/>
          </w:tcPr>
          <w:p>
            <w:pPr>
              <w:spacing w:line="360" w:lineRule="auto"/>
              <w:jc w:val="center"/>
              <w:rPr>
                <w:color w:val="000000" w:themeColor="text1"/>
                <w:sz w:val="18"/>
                <w:szCs w:val="18"/>
              </w:rPr>
            </w:pPr>
            <w:r>
              <w:rPr>
                <w:rFonts w:hint="eastAsia"/>
                <w:color w:val="000000" w:themeColor="text1"/>
                <w:sz w:val="18"/>
                <w:szCs w:val="18"/>
              </w:rPr>
              <w:t>标准编制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8</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李雪梅</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女</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食品工程</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副教授</w:t>
            </w:r>
          </w:p>
        </w:tc>
        <w:tc>
          <w:tcPr>
            <w:tcW w:w="2835" w:type="dxa"/>
            <w:vAlign w:val="center"/>
          </w:tcPr>
          <w:p>
            <w:pPr>
              <w:spacing w:line="360" w:lineRule="auto"/>
              <w:jc w:val="center"/>
              <w:rPr>
                <w:color w:val="000000" w:themeColor="text1"/>
                <w:sz w:val="18"/>
                <w:szCs w:val="18"/>
              </w:rPr>
            </w:pPr>
            <w:r>
              <w:rPr>
                <w:rFonts w:hint="eastAsia"/>
                <w:color w:val="000000" w:themeColor="text1"/>
                <w:sz w:val="18"/>
                <w:szCs w:val="18"/>
              </w:rPr>
              <w:t>河北科技大学</w:t>
            </w:r>
          </w:p>
        </w:tc>
        <w:tc>
          <w:tcPr>
            <w:tcW w:w="1502" w:type="dxa"/>
            <w:vAlign w:val="center"/>
          </w:tcPr>
          <w:p>
            <w:pPr>
              <w:spacing w:line="360" w:lineRule="auto"/>
              <w:jc w:val="center"/>
              <w:rPr>
                <w:color w:val="000000" w:themeColor="text1"/>
                <w:sz w:val="18"/>
                <w:szCs w:val="18"/>
              </w:rPr>
            </w:pPr>
            <w:r>
              <w:rPr>
                <w:color w:val="000000" w:themeColor="text1"/>
                <w:sz w:val="18"/>
                <w:szCs w:val="18"/>
              </w:rPr>
              <w:t>资料收集</w:t>
            </w:r>
            <w:r>
              <w:rPr>
                <w:rFonts w:hint="eastAsia"/>
                <w:color w:val="000000" w:themeColor="text1"/>
                <w:sz w:val="18"/>
                <w:szCs w:val="18"/>
              </w:rPr>
              <w:t>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9</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李一鸣</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女</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食品科学</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研究实习员</w:t>
            </w:r>
          </w:p>
        </w:tc>
        <w:tc>
          <w:tcPr>
            <w:tcW w:w="2835" w:type="dxa"/>
            <w:vAlign w:val="center"/>
          </w:tcPr>
          <w:p>
            <w:pPr>
              <w:spacing w:line="360" w:lineRule="auto"/>
              <w:jc w:val="center"/>
              <w:rPr>
                <w:color w:val="000000" w:themeColor="text1"/>
                <w:sz w:val="18"/>
                <w:szCs w:val="18"/>
              </w:rPr>
            </w:pPr>
            <w:r>
              <w:rPr>
                <w:rFonts w:hint="eastAsia"/>
                <w:color w:val="000000" w:themeColor="text1"/>
                <w:sz w:val="18"/>
                <w:szCs w:val="18"/>
              </w:rPr>
              <w:t>河北省农林科学院生物技术与食品科学研究所</w:t>
            </w:r>
          </w:p>
        </w:tc>
        <w:tc>
          <w:tcPr>
            <w:tcW w:w="1502" w:type="dxa"/>
            <w:vAlign w:val="center"/>
          </w:tcPr>
          <w:p>
            <w:pPr>
              <w:spacing w:line="360" w:lineRule="auto"/>
              <w:jc w:val="center"/>
              <w:rPr>
                <w:color w:val="000000" w:themeColor="text1"/>
                <w:sz w:val="18"/>
                <w:szCs w:val="18"/>
              </w:rPr>
            </w:pPr>
            <w:r>
              <w:rPr>
                <w:color w:val="000000" w:themeColor="text1"/>
                <w:sz w:val="18"/>
                <w:szCs w:val="18"/>
              </w:rPr>
              <w:t>资料收集</w:t>
            </w:r>
            <w:r>
              <w:rPr>
                <w:rFonts w:hint="eastAsia"/>
                <w:color w:val="000000" w:themeColor="text1"/>
                <w:sz w:val="18"/>
                <w:szCs w:val="18"/>
              </w:rPr>
              <w:t>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10</w:t>
            </w:r>
          </w:p>
        </w:tc>
        <w:tc>
          <w:tcPr>
            <w:tcW w:w="851" w:type="dxa"/>
            <w:vAlign w:val="center"/>
          </w:tcPr>
          <w:p>
            <w:pPr>
              <w:spacing w:line="360" w:lineRule="auto"/>
              <w:jc w:val="center"/>
              <w:rPr>
                <w:color w:val="000000" w:themeColor="text1"/>
                <w:sz w:val="18"/>
                <w:szCs w:val="18"/>
              </w:rPr>
            </w:pPr>
            <w:r>
              <w:rPr>
                <w:color w:val="000000" w:themeColor="text1"/>
                <w:sz w:val="18"/>
                <w:szCs w:val="18"/>
              </w:rPr>
              <w:t>赵凯</w:t>
            </w:r>
          </w:p>
        </w:tc>
        <w:tc>
          <w:tcPr>
            <w:tcW w:w="792" w:type="dxa"/>
            <w:vAlign w:val="center"/>
          </w:tcPr>
          <w:p>
            <w:pPr>
              <w:spacing w:line="360" w:lineRule="auto"/>
              <w:jc w:val="center"/>
              <w:rPr>
                <w:color w:val="000000" w:themeColor="text1"/>
                <w:sz w:val="18"/>
                <w:szCs w:val="18"/>
              </w:rPr>
            </w:pPr>
            <w:r>
              <w:rPr>
                <w:color w:val="000000" w:themeColor="text1"/>
                <w:sz w:val="18"/>
                <w:szCs w:val="18"/>
              </w:rPr>
              <w:t>男</w:t>
            </w:r>
          </w:p>
        </w:tc>
        <w:tc>
          <w:tcPr>
            <w:tcW w:w="1334" w:type="dxa"/>
            <w:vAlign w:val="center"/>
          </w:tcPr>
          <w:p>
            <w:pPr>
              <w:spacing w:line="360" w:lineRule="auto"/>
              <w:jc w:val="center"/>
              <w:rPr>
                <w:color w:val="000000" w:themeColor="text1"/>
                <w:sz w:val="18"/>
                <w:szCs w:val="18"/>
              </w:rPr>
            </w:pPr>
            <w:r>
              <w:rPr>
                <w:color w:val="000000" w:themeColor="text1"/>
                <w:sz w:val="18"/>
                <w:szCs w:val="18"/>
              </w:rPr>
              <w:t>农业工程</w:t>
            </w:r>
          </w:p>
        </w:tc>
        <w:tc>
          <w:tcPr>
            <w:tcW w:w="1417" w:type="dxa"/>
            <w:vAlign w:val="center"/>
          </w:tcPr>
          <w:p>
            <w:pPr>
              <w:spacing w:line="360" w:lineRule="auto"/>
              <w:jc w:val="center"/>
              <w:rPr>
                <w:color w:val="000000" w:themeColor="text1"/>
                <w:sz w:val="18"/>
                <w:szCs w:val="18"/>
              </w:rPr>
            </w:pPr>
            <w:r>
              <w:rPr>
                <w:color w:val="000000" w:themeColor="text1"/>
                <w:sz w:val="18"/>
                <w:szCs w:val="18"/>
              </w:rPr>
              <w:t>农业技术推广研究员</w:t>
            </w:r>
          </w:p>
        </w:tc>
        <w:tc>
          <w:tcPr>
            <w:tcW w:w="2835" w:type="dxa"/>
            <w:vAlign w:val="center"/>
          </w:tcPr>
          <w:p>
            <w:pPr>
              <w:spacing w:line="360" w:lineRule="auto"/>
              <w:jc w:val="center"/>
              <w:rPr>
                <w:color w:val="000000" w:themeColor="text1"/>
                <w:sz w:val="18"/>
                <w:szCs w:val="18"/>
              </w:rPr>
            </w:pPr>
            <w:r>
              <w:rPr>
                <w:color w:val="000000" w:themeColor="text1"/>
                <w:sz w:val="18"/>
                <w:szCs w:val="18"/>
              </w:rPr>
              <w:t>河北省农业科技发展中心</w:t>
            </w:r>
          </w:p>
        </w:tc>
        <w:tc>
          <w:tcPr>
            <w:tcW w:w="1502" w:type="dxa"/>
            <w:vAlign w:val="center"/>
          </w:tcPr>
          <w:p>
            <w:pPr>
              <w:spacing w:line="360" w:lineRule="auto"/>
              <w:jc w:val="center"/>
              <w:rPr>
                <w:color w:val="000000" w:themeColor="text1"/>
                <w:sz w:val="18"/>
                <w:szCs w:val="18"/>
              </w:rPr>
            </w:pPr>
            <w:r>
              <w:rPr>
                <w:rFonts w:hint="eastAsia"/>
                <w:color w:val="000000" w:themeColor="text1"/>
                <w:sz w:val="18"/>
                <w:szCs w:val="18"/>
              </w:rPr>
              <w:t>标准编制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11</w:t>
            </w:r>
          </w:p>
        </w:tc>
        <w:tc>
          <w:tcPr>
            <w:tcW w:w="851" w:type="dxa"/>
            <w:vAlign w:val="center"/>
          </w:tcPr>
          <w:p>
            <w:pPr>
              <w:spacing w:line="360" w:lineRule="auto"/>
              <w:jc w:val="center"/>
              <w:rPr>
                <w:color w:val="000000" w:themeColor="text1"/>
                <w:sz w:val="18"/>
                <w:szCs w:val="18"/>
              </w:rPr>
            </w:pPr>
            <w:r>
              <w:rPr>
                <w:color w:val="000000" w:themeColor="text1"/>
                <w:sz w:val="18"/>
                <w:szCs w:val="18"/>
              </w:rPr>
              <w:t>胡燕</w:t>
            </w:r>
          </w:p>
        </w:tc>
        <w:tc>
          <w:tcPr>
            <w:tcW w:w="792" w:type="dxa"/>
            <w:vAlign w:val="center"/>
          </w:tcPr>
          <w:p>
            <w:pPr>
              <w:spacing w:line="360" w:lineRule="auto"/>
              <w:jc w:val="center"/>
              <w:rPr>
                <w:color w:val="000000" w:themeColor="text1"/>
                <w:sz w:val="18"/>
                <w:szCs w:val="18"/>
              </w:rPr>
            </w:pPr>
            <w:r>
              <w:rPr>
                <w:color w:val="000000" w:themeColor="text1"/>
                <w:sz w:val="18"/>
                <w:szCs w:val="18"/>
              </w:rPr>
              <w:t>女</w:t>
            </w:r>
          </w:p>
        </w:tc>
        <w:tc>
          <w:tcPr>
            <w:tcW w:w="1334" w:type="dxa"/>
            <w:vAlign w:val="center"/>
          </w:tcPr>
          <w:p>
            <w:pPr>
              <w:spacing w:line="360" w:lineRule="auto"/>
              <w:jc w:val="center"/>
              <w:rPr>
                <w:color w:val="000000" w:themeColor="text1"/>
                <w:sz w:val="18"/>
                <w:szCs w:val="18"/>
              </w:rPr>
            </w:pPr>
            <w:r>
              <w:rPr>
                <w:color w:val="000000" w:themeColor="text1"/>
                <w:sz w:val="18"/>
                <w:szCs w:val="18"/>
              </w:rPr>
              <w:t>环境工程</w:t>
            </w:r>
          </w:p>
        </w:tc>
        <w:tc>
          <w:tcPr>
            <w:tcW w:w="1417" w:type="dxa"/>
            <w:vAlign w:val="center"/>
          </w:tcPr>
          <w:p>
            <w:pPr>
              <w:spacing w:line="360" w:lineRule="auto"/>
              <w:jc w:val="center"/>
              <w:rPr>
                <w:color w:val="000000" w:themeColor="text1"/>
                <w:sz w:val="18"/>
                <w:szCs w:val="18"/>
              </w:rPr>
            </w:pPr>
            <w:r>
              <w:rPr>
                <w:color w:val="000000" w:themeColor="text1"/>
                <w:sz w:val="18"/>
                <w:szCs w:val="18"/>
              </w:rPr>
              <w:t>工程师</w:t>
            </w:r>
          </w:p>
        </w:tc>
        <w:tc>
          <w:tcPr>
            <w:tcW w:w="2835" w:type="dxa"/>
            <w:vAlign w:val="center"/>
          </w:tcPr>
          <w:p>
            <w:pPr>
              <w:spacing w:line="360" w:lineRule="auto"/>
              <w:jc w:val="center"/>
              <w:rPr>
                <w:color w:val="000000" w:themeColor="text1"/>
                <w:sz w:val="18"/>
                <w:szCs w:val="18"/>
              </w:rPr>
            </w:pPr>
            <w:r>
              <w:rPr>
                <w:color w:val="000000" w:themeColor="text1"/>
                <w:sz w:val="18"/>
                <w:szCs w:val="18"/>
              </w:rPr>
              <w:t>河北省农业科技发展中心</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12</w:t>
            </w:r>
          </w:p>
        </w:tc>
        <w:tc>
          <w:tcPr>
            <w:tcW w:w="851" w:type="dxa"/>
            <w:vAlign w:val="center"/>
          </w:tcPr>
          <w:p>
            <w:pPr>
              <w:spacing w:line="360" w:lineRule="auto"/>
              <w:jc w:val="center"/>
              <w:rPr>
                <w:color w:val="000000" w:themeColor="text1"/>
                <w:sz w:val="18"/>
                <w:szCs w:val="18"/>
              </w:rPr>
            </w:pPr>
            <w:r>
              <w:rPr>
                <w:color w:val="000000" w:themeColor="text1"/>
                <w:sz w:val="18"/>
                <w:szCs w:val="18"/>
              </w:rPr>
              <w:t>韩学滨</w:t>
            </w:r>
          </w:p>
        </w:tc>
        <w:tc>
          <w:tcPr>
            <w:tcW w:w="792" w:type="dxa"/>
            <w:vAlign w:val="center"/>
          </w:tcPr>
          <w:p>
            <w:pPr>
              <w:spacing w:line="360" w:lineRule="auto"/>
              <w:jc w:val="center"/>
              <w:rPr>
                <w:color w:val="000000" w:themeColor="text1"/>
                <w:sz w:val="18"/>
                <w:szCs w:val="18"/>
              </w:rPr>
            </w:pPr>
            <w:r>
              <w:rPr>
                <w:color w:val="000000" w:themeColor="text1"/>
                <w:sz w:val="18"/>
                <w:szCs w:val="18"/>
              </w:rPr>
              <w:t>男</w:t>
            </w:r>
          </w:p>
        </w:tc>
        <w:tc>
          <w:tcPr>
            <w:tcW w:w="1334" w:type="dxa"/>
            <w:vAlign w:val="center"/>
          </w:tcPr>
          <w:p>
            <w:pPr>
              <w:spacing w:line="360" w:lineRule="auto"/>
              <w:jc w:val="center"/>
              <w:rPr>
                <w:color w:val="000000" w:themeColor="text1"/>
                <w:sz w:val="18"/>
                <w:szCs w:val="18"/>
              </w:rPr>
            </w:pPr>
            <w:r>
              <w:rPr>
                <w:color w:val="000000" w:themeColor="text1"/>
                <w:sz w:val="18"/>
                <w:szCs w:val="18"/>
              </w:rPr>
              <w:t>环境工程</w:t>
            </w:r>
          </w:p>
        </w:tc>
        <w:tc>
          <w:tcPr>
            <w:tcW w:w="1417" w:type="dxa"/>
            <w:vAlign w:val="center"/>
          </w:tcPr>
          <w:p>
            <w:pPr>
              <w:spacing w:line="360" w:lineRule="auto"/>
              <w:jc w:val="center"/>
              <w:rPr>
                <w:color w:val="000000" w:themeColor="text1"/>
                <w:sz w:val="18"/>
                <w:szCs w:val="18"/>
              </w:rPr>
            </w:pPr>
            <w:r>
              <w:rPr>
                <w:color w:val="000000" w:themeColor="text1"/>
                <w:sz w:val="18"/>
                <w:szCs w:val="18"/>
              </w:rPr>
              <w:t>高级工程师</w:t>
            </w:r>
          </w:p>
        </w:tc>
        <w:tc>
          <w:tcPr>
            <w:tcW w:w="2835" w:type="dxa"/>
            <w:vAlign w:val="center"/>
          </w:tcPr>
          <w:p>
            <w:pPr>
              <w:spacing w:line="360" w:lineRule="auto"/>
              <w:jc w:val="center"/>
              <w:rPr>
                <w:color w:val="000000" w:themeColor="text1"/>
                <w:sz w:val="18"/>
                <w:szCs w:val="18"/>
              </w:rPr>
            </w:pPr>
            <w:r>
              <w:rPr>
                <w:color w:val="000000" w:themeColor="text1"/>
                <w:sz w:val="18"/>
                <w:szCs w:val="18"/>
              </w:rPr>
              <w:t>河北昊源环境工程有限公司</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rFonts w:eastAsia="仿宋_GB2312"/>
                <w:b/>
                <w:bCs/>
                <w:color w:val="000000" w:themeColor="text1"/>
                <w:sz w:val="18"/>
                <w:szCs w:val="18"/>
              </w:rPr>
              <w:t>13</w:t>
            </w:r>
          </w:p>
        </w:tc>
        <w:tc>
          <w:tcPr>
            <w:tcW w:w="851" w:type="dxa"/>
            <w:vAlign w:val="center"/>
          </w:tcPr>
          <w:p>
            <w:pPr>
              <w:spacing w:line="360" w:lineRule="auto"/>
              <w:jc w:val="center"/>
              <w:rPr>
                <w:color w:val="000000" w:themeColor="text1"/>
                <w:sz w:val="18"/>
                <w:szCs w:val="18"/>
              </w:rPr>
            </w:pPr>
            <w:r>
              <w:rPr>
                <w:color w:val="000000" w:themeColor="text1"/>
                <w:sz w:val="18"/>
                <w:szCs w:val="18"/>
              </w:rPr>
              <w:t>康乐</w:t>
            </w:r>
          </w:p>
        </w:tc>
        <w:tc>
          <w:tcPr>
            <w:tcW w:w="792" w:type="dxa"/>
            <w:vAlign w:val="center"/>
          </w:tcPr>
          <w:p>
            <w:pPr>
              <w:spacing w:line="360" w:lineRule="auto"/>
              <w:jc w:val="center"/>
              <w:rPr>
                <w:color w:val="000000" w:themeColor="text1"/>
                <w:sz w:val="18"/>
                <w:szCs w:val="18"/>
              </w:rPr>
            </w:pPr>
            <w:r>
              <w:rPr>
                <w:color w:val="000000" w:themeColor="text1"/>
                <w:sz w:val="18"/>
                <w:szCs w:val="18"/>
              </w:rPr>
              <w:t>男</w:t>
            </w:r>
          </w:p>
        </w:tc>
        <w:tc>
          <w:tcPr>
            <w:tcW w:w="1334" w:type="dxa"/>
            <w:vAlign w:val="center"/>
          </w:tcPr>
          <w:p>
            <w:pPr>
              <w:spacing w:line="360" w:lineRule="auto"/>
              <w:jc w:val="center"/>
              <w:rPr>
                <w:color w:val="000000" w:themeColor="text1"/>
                <w:sz w:val="18"/>
                <w:szCs w:val="18"/>
              </w:rPr>
            </w:pPr>
            <w:r>
              <w:rPr>
                <w:color w:val="000000" w:themeColor="text1"/>
                <w:sz w:val="18"/>
                <w:szCs w:val="18"/>
              </w:rPr>
              <w:t>环境工程</w:t>
            </w:r>
          </w:p>
        </w:tc>
        <w:tc>
          <w:tcPr>
            <w:tcW w:w="1417" w:type="dxa"/>
            <w:vAlign w:val="center"/>
          </w:tcPr>
          <w:p>
            <w:pPr>
              <w:spacing w:line="360" w:lineRule="auto"/>
              <w:jc w:val="center"/>
              <w:rPr>
                <w:color w:val="000000" w:themeColor="text1"/>
                <w:sz w:val="18"/>
                <w:szCs w:val="18"/>
              </w:rPr>
            </w:pPr>
            <w:r>
              <w:rPr>
                <w:color w:val="000000" w:themeColor="text1"/>
                <w:sz w:val="18"/>
                <w:szCs w:val="18"/>
              </w:rPr>
              <w:t>高级工程师</w:t>
            </w:r>
          </w:p>
        </w:tc>
        <w:tc>
          <w:tcPr>
            <w:tcW w:w="2835" w:type="dxa"/>
            <w:vAlign w:val="center"/>
          </w:tcPr>
          <w:p>
            <w:pPr>
              <w:spacing w:line="360" w:lineRule="auto"/>
              <w:jc w:val="center"/>
              <w:rPr>
                <w:color w:val="000000" w:themeColor="text1"/>
                <w:sz w:val="18"/>
                <w:szCs w:val="18"/>
              </w:rPr>
            </w:pPr>
            <w:r>
              <w:rPr>
                <w:color w:val="000000" w:themeColor="text1"/>
                <w:sz w:val="18"/>
                <w:szCs w:val="18"/>
              </w:rPr>
              <w:t>河北研用环境科技有限公司</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rFonts w:eastAsia="仿宋_GB2312"/>
                <w:b/>
                <w:bCs/>
                <w:color w:val="000000" w:themeColor="text1"/>
                <w:sz w:val="18"/>
                <w:szCs w:val="18"/>
              </w:rPr>
            </w:pPr>
            <w:r>
              <w:rPr>
                <w:b/>
                <w:bCs/>
                <w:color w:val="000000" w:themeColor="text1"/>
                <w:sz w:val="18"/>
                <w:szCs w:val="18"/>
              </w:rPr>
              <w:t>14</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秦学</w:t>
            </w:r>
          </w:p>
        </w:tc>
        <w:tc>
          <w:tcPr>
            <w:tcW w:w="792" w:type="dxa"/>
            <w:vAlign w:val="center"/>
          </w:tcPr>
          <w:p>
            <w:pPr>
              <w:spacing w:line="360" w:lineRule="auto"/>
              <w:jc w:val="center"/>
              <w:rPr>
                <w:color w:val="000000" w:themeColor="text1"/>
                <w:sz w:val="18"/>
                <w:szCs w:val="18"/>
              </w:rPr>
            </w:pPr>
            <w:r>
              <w:rPr>
                <w:color w:val="000000" w:themeColor="text1"/>
                <w:sz w:val="18"/>
                <w:szCs w:val="18"/>
              </w:rPr>
              <w:t>女</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环境工程</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工程师</w:t>
            </w:r>
          </w:p>
        </w:tc>
        <w:tc>
          <w:tcPr>
            <w:tcW w:w="2835" w:type="dxa"/>
            <w:vAlign w:val="center"/>
          </w:tcPr>
          <w:p>
            <w:pPr>
              <w:spacing w:line="360" w:lineRule="auto"/>
              <w:jc w:val="center"/>
              <w:rPr>
                <w:color w:val="000000" w:themeColor="text1"/>
                <w:sz w:val="18"/>
                <w:szCs w:val="18"/>
              </w:rPr>
            </w:pPr>
            <w:r>
              <w:rPr>
                <w:color w:val="000000" w:themeColor="text1"/>
                <w:sz w:val="18"/>
                <w:szCs w:val="18"/>
              </w:rPr>
              <w:t>河北科技大学</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b/>
                <w:bCs/>
                <w:color w:val="000000" w:themeColor="text1"/>
                <w:sz w:val="18"/>
                <w:szCs w:val="18"/>
              </w:rPr>
            </w:pPr>
            <w:r>
              <w:rPr>
                <w:b/>
                <w:bCs/>
                <w:color w:val="000000" w:themeColor="text1"/>
                <w:sz w:val="18"/>
                <w:szCs w:val="18"/>
              </w:rPr>
              <w:t>15</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岳欣</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女</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环境工程</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讲师</w:t>
            </w:r>
          </w:p>
        </w:tc>
        <w:tc>
          <w:tcPr>
            <w:tcW w:w="2835" w:type="dxa"/>
            <w:vAlign w:val="center"/>
          </w:tcPr>
          <w:p>
            <w:pPr>
              <w:spacing w:line="360" w:lineRule="auto"/>
              <w:jc w:val="center"/>
              <w:rPr>
                <w:color w:val="000000" w:themeColor="text1"/>
                <w:sz w:val="18"/>
                <w:szCs w:val="18"/>
              </w:rPr>
            </w:pPr>
            <w:r>
              <w:rPr>
                <w:color w:val="000000" w:themeColor="text1"/>
                <w:sz w:val="18"/>
                <w:szCs w:val="18"/>
              </w:rPr>
              <w:t>河北科技大学</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b/>
                <w:bCs/>
                <w:color w:val="000000" w:themeColor="text1"/>
                <w:sz w:val="18"/>
                <w:szCs w:val="18"/>
              </w:rPr>
            </w:pPr>
            <w:r>
              <w:rPr>
                <w:b/>
                <w:bCs/>
                <w:color w:val="000000" w:themeColor="text1"/>
                <w:sz w:val="18"/>
                <w:szCs w:val="18"/>
              </w:rPr>
              <w:t>16</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关贝贝</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女</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农业工程</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工程师</w:t>
            </w:r>
          </w:p>
        </w:tc>
        <w:tc>
          <w:tcPr>
            <w:tcW w:w="2835" w:type="dxa"/>
            <w:vAlign w:val="center"/>
          </w:tcPr>
          <w:p>
            <w:pPr>
              <w:spacing w:line="360" w:lineRule="auto"/>
              <w:jc w:val="center"/>
              <w:rPr>
                <w:color w:val="000000" w:themeColor="text1"/>
                <w:sz w:val="18"/>
                <w:szCs w:val="18"/>
              </w:rPr>
            </w:pPr>
            <w:r>
              <w:rPr>
                <w:rFonts w:hint="eastAsia"/>
                <w:color w:val="000000" w:themeColor="text1"/>
                <w:sz w:val="18"/>
                <w:szCs w:val="18"/>
              </w:rPr>
              <w:t>中农环境工程设计河北有限公司</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b/>
                <w:bCs/>
                <w:color w:val="000000" w:themeColor="text1"/>
                <w:sz w:val="18"/>
                <w:szCs w:val="18"/>
              </w:rPr>
            </w:pPr>
            <w:r>
              <w:rPr>
                <w:rFonts w:hint="eastAsia"/>
                <w:b/>
                <w:bCs/>
                <w:color w:val="000000" w:themeColor="text1"/>
                <w:sz w:val="18"/>
                <w:szCs w:val="18"/>
              </w:rPr>
              <w:t>1</w:t>
            </w:r>
            <w:r>
              <w:rPr>
                <w:b/>
                <w:bCs/>
                <w:color w:val="000000" w:themeColor="text1"/>
                <w:sz w:val="18"/>
                <w:szCs w:val="18"/>
              </w:rPr>
              <w:t>7</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胡晓燕</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女</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农业工程</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工程师</w:t>
            </w:r>
          </w:p>
        </w:tc>
        <w:tc>
          <w:tcPr>
            <w:tcW w:w="2835" w:type="dxa"/>
            <w:vAlign w:val="center"/>
          </w:tcPr>
          <w:p>
            <w:pPr>
              <w:spacing w:line="360" w:lineRule="auto"/>
              <w:jc w:val="center"/>
              <w:rPr>
                <w:color w:val="000000" w:themeColor="text1"/>
                <w:sz w:val="18"/>
                <w:szCs w:val="18"/>
              </w:rPr>
            </w:pPr>
            <w:r>
              <w:rPr>
                <w:rFonts w:hint="eastAsia"/>
                <w:color w:val="000000" w:themeColor="text1"/>
                <w:sz w:val="18"/>
                <w:szCs w:val="18"/>
              </w:rPr>
              <w:t>中农环境工程设计河北有限公司</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b/>
                <w:bCs/>
                <w:color w:val="000000" w:themeColor="text1"/>
                <w:sz w:val="18"/>
                <w:szCs w:val="18"/>
              </w:rPr>
            </w:pPr>
            <w:r>
              <w:rPr>
                <w:b/>
                <w:bCs/>
                <w:color w:val="000000" w:themeColor="text1"/>
                <w:sz w:val="18"/>
                <w:szCs w:val="18"/>
              </w:rPr>
              <w:t>18</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卢精蕊</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女</w:t>
            </w:r>
          </w:p>
        </w:tc>
        <w:tc>
          <w:tcPr>
            <w:tcW w:w="133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color w:val="000000" w:themeColor="text1"/>
                <w:sz w:val="18"/>
                <w:szCs w:val="18"/>
              </w:rPr>
            </w:pPr>
            <w:r>
              <w:rPr>
                <w:rFonts w:hint="eastAsia"/>
                <w:color w:val="000000" w:themeColor="text1"/>
                <w:sz w:val="18"/>
                <w:szCs w:val="18"/>
              </w:rPr>
              <w:t>农学</w:t>
            </w:r>
          </w:p>
        </w:tc>
        <w:tc>
          <w:tcPr>
            <w:tcW w:w="1417" w:type="dxa"/>
            <w:tcBorders>
              <w:top w:val="single" w:color="auto" w:sz="2" w:space="0"/>
              <w:left w:val="single" w:color="auto" w:sz="2" w:space="0"/>
              <w:bottom w:val="single" w:color="auto" w:sz="2" w:space="0"/>
            </w:tcBorders>
            <w:vAlign w:val="center"/>
          </w:tcPr>
          <w:p>
            <w:pPr>
              <w:spacing w:line="360" w:lineRule="auto"/>
              <w:jc w:val="center"/>
              <w:rPr>
                <w:color w:val="000000" w:themeColor="text1"/>
                <w:sz w:val="18"/>
                <w:szCs w:val="18"/>
              </w:rPr>
            </w:pPr>
            <w:r>
              <w:rPr>
                <w:rFonts w:hint="eastAsia"/>
                <w:color w:val="000000" w:themeColor="text1"/>
                <w:sz w:val="18"/>
                <w:szCs w:val="18"/>
              </w:rPr>
              <w:t>农艺师</w:t>
            </w:r>
          </w:p>
        </w:tc>
        <w:tc>
          <w:tcPr>
            <w:tcW w:w="2835" w:type="dxa"/>
            <w:vAlign w:val="center"/>
          </w:tcPr>
          <w:p>
            <w:pPr>
              <w:spacing w:line="360" w:lineRule="auto"/>
              <w:jc w:val="center"/>
              <w:rPr>
                <w:color w:val="000000" w:themeColor="text1"/>
                <w:sz w:val="18"/>
                <w:szCs w:val="18"/>
              </w:rPr>
            </w:pPr>
            <w:r>
              <w:rPr>
                <w:rFonts w:hint="eastAsia" w:ascii="宋体" w:hAnsi="宋体"/>
                <w:color w:val="000000" w:themeColor="text1"/>
              </w:rPr>
              <w:t>河北省农业项目规划中心</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b/>
                <w:bCs/>
                <w:color w:val="000000" w:themeColor="text1"/>
                <w:sz w:val="18"/>
                <w:szCs w:val="18"/>
              </w:rPr>
            </w:pPr>
            <w:r>
              <w:rPr>
                <w:b/>
                <w:bCs/>
                <w:color w:val="000000" w:themeColor="text1"/>
                <w:sz w:val="18"/>
                <w:szCs w:val="18"/>
              </w:rPr>
              <w:t>19</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周繁</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女</w:t>
            </w:r>
          </w:p>
        </w:tc>
        <w:tc>
          <w:tcPr>
            <w:tcW w:w="1334" w:type="dxa"/>
            <w:tcBorders>
              <w:top w:val="single" w:color="auto" w:sz="2" w:space="0"/>
              <w:left w:val="single" w:color="auto" w:sz="2" w:space="0"/>
              <w:bottom w:val="single" w:color="auto" w:sz="2" w:space="0"/>
              <w:right w:val="single" w:color="auto" w:sz="2" w:space="0"/>
            </w:tcBorders>
            <w:vAlign w:val="center"/>
          </w:tcPr>
          <w:p>
            <w:pPr>
              <w:spacing w:line="360" w:lineRule="auto"/>
              <w:jc w:val="center"/>
              <w:rPr>
                <w:color w:val="000000" w:themeColor="text1"/>
                <w:sz w:val="18"/>
                <w:szCs w:val="18"/>
              </w:rPr>
            </w:pPr>
            <w:r>
              <w:rPr>
                <w:rFonts w:hint="eastAsia"/>
                <w:color w:val="000000" w:themeColor="text1"/>
                <w:sz w:val="18"/>
                <w:szCs w:val="18"/>
              </w:rPr>
              <w:t>农业机械工程</w:t>
            </w:r>
          </w:p>
        </w:tc>
        <w:tc>
          <w:tcPr>
            <w:tcW w:w="1417" w:type="dxa"/>
            <w:tcBorders>
              <w:top w:val="single" w:color="auto" w:sz="2" w:space="0"/>
              <w:left w:val="single" w:color="auto" w:sz="2" w:space="0"/>
              <w:bottom w:val="single" w:color="auto" w:sz="2" w:space="0"/>
            </w:tcBorders>
            <w:vAlign w:val="center"/>
          </w:tcPr>
          <w:p>
            <w:pPr>
              <w:spacing w:line="360" w:lineRule="auto"/>
              <w:jc w:val="center"/>
              <w:rPr>
                <w:color w:val="000000" w:themeColor="text1"/>
                <w:sz w:val="18"/>
                <w:szCs w:val="18"/>
              </w:rPr>
            </w:pPr>
            <w:r>
              <w:rPr>
                <w:rFonts w:hint="eastAsia"/>
                <w:color w:val="000000" w:themeColor="text1"/>
                <w:sz w:val="18"/>
                <w:szCs w:val="18"/>
              </w:rPr>
              <w:t>工程师</w:t>
            </w:r>
          </w:p>
        </w:tc>
        <w:tc>
          <w:tcPr>
            <w:tcW w:w="2835" w:type="dxa"/>
            <w:vAlign w:val="center"/>
          </w:tcPr>
          <w:p>
            <w:pPr>
              <w:spacing w:line="360" w:lineRule="auto"/>
              <w:jc w:val="center"/>
              <w:rPr>
                <w:color w:val="000000" w:themeColor="text1"/>
                <w:sz w:val="18"/>
                <w:szCs w:val="18"/>
              </w:rPr>
            </w:pPr>
            <w:r>
              <w:rPr>
                <w:rFonts w:hint="eastAsia" w:ascii="宋体" w:hAnsi="宋体"/>
                <w:color w:val="000000" w:themeColor="text1"/>
              </w:rPr>
              <w:t>河北省农业项目规划中心</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625" w:type="dxa"/>
            <w:vAlign w:val="center"/>
          </w:tcPr>
          <w:p>
            <w:pPr>
              <w:spacing w:line="360" w:lineRule="auto"/>
              <w:jc w:val="center"/>
              <w:rPr>
                <w:b/>
                <w:bCs/>
                <w:color w:val="000000" w:themeColor="text1"/>
                <w:sz w:val="18"/>
                <w:szCs w:val="18"/>
              </w:rPr>
            </w:pPr>
            <w:r>
              <w:rPr>
                <w:b/>
                <w:bCs/>
                <w:color w:val="000000" w:themeColor="text1"/>
                <w:sz w:val="18"/>
                <w:szCs w:val="18"/>
              </w:rPr>
              <w:t>20</w:t>
            </w:r>
          </w:p>
        </w:tc>
        <w:tc>
          <w:tcPr>
            <w:tcW w:w="851" w:type="dxa"/>
            <w:vAlign w:val="center"/>
          </w:tcPr>
          <w:p>
            <w:pPr>
              <w:spacing w:line="360" w:lineRule="auto"/>
              <w:jc w:val="center"/>
              <w:rPr>
                <w:color w:val="000000" w:themeColor="text1"/>
                <w:sz w:val="18"/>
                <w:szCs w:val="18"/>
              </w:rPr>
            </w:pPr>
            <w:r>
              <w:rPr>
                <w:rFonts w:hint="eastAsia"/>
                <w:color w:val="000000" w:themeColor="text1"/>
                <w:sz w:val="18"/>
                <w:szCs w:val="18"/>
              </w:rPr>
              <w:t>梁依</w:t>
            </w:r>
          </w:p>
        </w:tc>
        <w:tc>
          <w:tcPr>
            <w:tcW w:w="792" w:type="dxa"/>
            <w:vAlign w:val="center"/>
          </w:tcPr>
          <w:p>
            <w:pPr>
              <w:spacing w:line="360" w:lineRule="auto"/>
              <w:jc w:val="center"/>
              <w:rPr>
                <w:color w:val="000000" w:themeColor="text1"/>
                <w:sz w:val="18"/>
                <w:szCs w:val="18"/>
              </w:rPr>
            </w:pPr>
            <w:r>
              <w:rPr>
                <w:rFonts w:hint="eastAsia"/>
                <w:color w:val="000000" w:themeColor="text1"/>
                <w:sz w:val="18"/>
                <w:szCs w:val="18"/>
              </w:rPr>
              <w:t>女</w:t>
            </w:r>
          </w:p>
        </w:tc>
        <w:tc>
          <w:tcPr>
            <w:tcW w:w="1334" w:type="dxa"/>
            <w:vAlign w:val="center"/>
          </w:tcPr>
          <w:p>
            <w:pPr>
              <w:spacing w:line="360" w:lineRule="auto"/>
              <w:jc w:val="center"/>
              <w:rPr>
                <w:color w:val="000000" w:themeColor="text1"/>
                <w:sz w:val="18"/>
                <w:szCs w:val="18"/>
              </w:rPr>
            </w:pPr>
            <w:r>
              <w:rPr>
                <w:rFonts w:hint="eastAsia"/>
                <w:color w:val="000000" w:themeColor="text1"/>
                <w:sz w:val="18"/>
                <w:szCs w:val="18"/>
              </w:rPr>
              <w:t>环境工程</w:t>
            </w:r>
          </w:p>
        </w:tc>
        <w:tc>
          <w:tcPr>
            <w:tcW w:w="1417" w:type="dxa"/>
            <w:vAlign w:val="center"/>
          </w:tcPr>
          <w:p>
            <w:pPr>
              <w:spacing w:line="360" w:lineRule="auto"/>
              <w:jc w:val="center"/>
              <w:rPr>
                <w:color w:val="000000" w:themeColor="text1"/>
                <w:sz w:val="18"/>
                <w:szCs w:val="18"/>
              </w:rPr>
            </w:pPr>
            <w:r>
              <w:rPr>
                <w:rFonts w:hint="eastAsia"/>
                <w:color w:val="000000" w:themeColor="text1"/>
                <w:sz w:val="18"/>
                <w:szCs w:val="18"/>
              </w:rPr>
              <w:t>无</w:t>
            </w:r>
          </w:p>
        </w:tc>
        <w:tc>
          <w:tcPr>
            <w:tcW w:w="2835" w:type="dxa"/>
            <w:vAlign w:val="center"/>
          </w:tcPr>
          <w:p>
            <w:pPr>
              <w:spacing w:line="360" w:lineRule="auto"/>
              <w:jc w:val="center"/>
              <w:rPr>
                <w:color w:val="000000" w:themeColor="text1"/>
                <w:sz w:val="18"/>
                <w:szCs w:val="18"/>
              </w:rPr>
            </w:pPr>
            <w:r>
              <w:rPr>
                <w:color w:val="000000" w:themeColor="text1"/>
                <w:sz w:val="18"/>
                <w:szCs w:val="18"/>
              </w:rPr>
              <w:t>河北科技大学</w:t>
            </w:r>
          </w:p>
        </w:tc>
        <w:tc>
          <w:tcPr>
            <w:tcW w:w="1502" w:type="dxa"/>
          </w:tcPr>
          <w:p>
            <w:pPr>
              <w:spacing w:line="360" w:lineRule="auto"/>
              <w:jc w:val="center"/>
              <w:rPr>
                <w:color w:val="000000" w:themeColor="text1"/>
                <w:sz w:val="18"/>
                <w:szCs w:val="18"/>
              </w:rPr>
            </w:pPr>
            <w:r>
              <w:rPr>
                <w:rFonts w:hint="eastAsia"/>
                <w:color w:val="000000" w:themeColor="text1"/>
                <w:sz w:val="18"/>
                <w:szCs w:val="18"/>
              </w:rPr>
              <w:t>资料收集整理</w:t>
            </w:r>
          </w:p>
        </w:tc>
      </w:tr>
    </w:tbl>
    <w:p>
      <w:pPr>
        <w:spacing w:before="156" w:beforeLines="50" w:after="156" w:afterLines="50" w:line="360" w:lineRule="auto"/>
        <w:outlineLvl w:val="2"/>
        <w:rPr>
          <w:rFonts w:eastAsia="黑体"/>
          <w:kern w:val="0"/>
          <w:sz w:val="28"/>
          <w:szCs w:val="28"/>
        </w:rPr>
      </w:pPr>
      <w:bookmarkStart w:id="5" w:name="_Toc107299290"/>
      <w:r>
        <w:rPr>
          <w:rFonts w:eastAsia="黑体"/>
          <w:kern w:val="0"/>
          <w:sz w:val="28"/>
          <w:szCs w:val="28"/>
        </w:rPr>
        <w:t>2</w:t>
      </w:r>
      <w:r>
        <w:rPr>
          <w:rFonts w:hint="eastAsia" w:eastAsia="黑体"/>
          <w:kern w:val="0"/>
          <w:sz w:val="28"/>
          <w:szCs w:val="28"/>
        </w:rPr>
        <w:t xml:space="preserve"> </w:t>
      </w:r>
      <w:r>
        <w:rPr>
          <w:rFonts w:eastAsia="黑体"/>
          <w:kern w:val="0"/>
          <w:sz w:val="28"/>
          <w:szCs w:val="28"/>
        </w:rPr>
        <w:t>资料收集，编制“初稿”</w:t>
      </w:r>
      <w:bookmarkEnd w:id="5"/>
    </w:p>
    <w:p>
      <w:pPr>
        <w:spacing w:line="360" w:lineRule="auto"/>
        <w:ind w:firstLine="480" w:firstLineChars="200"/>
        <w:rPr>
          <w:sz w:val="24"/>
        </w:rPr>
      </w:pPr>
      <w:r>
        <w:rPr>
          <w:sz w:val="24"/>
        </w:rPr>
        <w:t>编制小组成员通过中国知网、标准图书馆、标准全球搜、全国农业食品标准公共服务平台等网站广泛收集国内外有关</w:t>
      </w:r>
      <w:r>
        <w:rPr>
          <w:rFonts w:hint="eastAsia"/>
          <w:sz w:val="24"/>
        </w:rPr>
        <w:t>厌氧干发酵沼气工程</w:t>
      </w:r>
      <w:r>
        <w:rPr>
          <w:sz w:val="24"/>
        </w:rPr>
        <w:t>的法律法规</w:t>
      </w:r>
      <w:r>
        <w:rPr>
          <w:rFonts w:hint="eastAsia"/>
          <w:sz w:val="24"/>
        </w:rPr>
        <w:t>、</w:t>
      </w:r>
      <w:r>
        <w:rPr>
          <w:sz w:val="24"/>
        </w:rPr>
        <w:t>相关政策文件</w:t>
      </w:r>
      <w:r>
        <w:rPr>
          <w:rFonts w:hint="eastAsia"/>
          <w:sz w:val="24"/>
        </w:rPr>
        <w:t>、</w:t>
      </w:r>
      <w:r>
        <w:rPr>
          <w:sz w:val="24"/>
        </w:rPr>
        <w:t>管理办法</w:t>
      </w:r>
      <w:r>
        <w:rPr>
          <w:rFonts w:hint="eastAsia"/>
          <w:sz w:val="24"/>
        </w:rPr>
        <w:t>、</w:t>
      </w:r>
      <w:r>
        <w:rPr>
          <w:sz w:val="24"/>
        </w:rPr>
        <w:t>标准以及网站报道</w:t>
      </w:r>
      <w:r>
        <w:rPr>
          <w:rFonts w:hint="eastAsia"/>
          <w:sz w:val="24"/>
        </w:rPr>
        <w:t>以及</w:t>
      </w:r>
      <w:r>
        <w:rPr>
          <w:sz w:val="24"/>
        </w:rPr>
        <w:t>期刊论文等文献资料，并对其进行综合分析整理，搭建标准编制框架。根据已收集到的国内外文献资料及会议报告，按照《标准化工作导则 第1部分：标准化文件的结构和起草规则》（GB/T 1.1-2020）要求，起草编制了《厌氧干发酵沼气工程工艺设计规范（初稿）》，同时撰写《厌氧干发酵沼气工程工艺设计规范（编制说明）》及有关材料。</w:t>
      </w:r>
    </w:p>
    <w:p>
      <w:pPr>
        <w:spacing w:before="156" w:beforeLines="50" w:after="156" w:afterLines="50" w:line="360" w:lineRule="auto"/>
        <w:outlineLvl w:val="2"/>
        <w:rPr>
          <w:rFonts w:eastAsia="黑体"/>
          <w:kern w:val="0"/>
          <w:sz w:val="28"/>
          <w:szCs w:val="28"/>
        </w:rPr>
      </w:pPr>
      <w:bookmarkStart w:id="6" w:name="_Toc107299291"/>
      <w:r>
        <w:rPr>
          <w:rFonts w:eastAsia="黑体"/>
          <w:kern w:val="0"/>
          <w:sz w:val="28"/>
          <w:szCs w:val="28"/>
        </w:rPr>
        <w:t>3内部研讨，形成“征求意见稿”</w:t>
      </w:r>
      <w:bookmarkEnd w:id="6"/>
    </w:p>
    <w:p>
      <w:pPr>
        <w:spacing w:line="360" w:lineRule="auto"/>
        <w:ind w:firstLine="480" w:firstLineChars="200"/>
        <w:rPr>
          <w:sz w:val="24"/>
        </w:rPr>
      </w:pPr>
      <w:r>
        <w:rPr>
          <w:sz w:val="24"/>
        </w:rPr>
        <w:t>完成本标准“初稿”后，编制小组成员就标准“初稿”召开了多次内部讨论会，针对本标准的条款逐一研讨，不断修改完善，形成《厌氧干发酵沼气工程工艺设计规范（征求意见稿）》</w:t>
      </w:r>
      <w:r>
        <w:rPr>
          <w:rFonts w:hint="eastAsia"/>
          <w:sz w:val="24"/>
        </w:rPr>
        <w:t>、</w:t>
      </w:r>
      <w:r>
        <w:rPr>
          <w:sz w:val="24"/>
        </w:rPr>
        <w:t>《厌氧干发酵沼气工程工艺设计规范（</w:t>
      </w:r>
      <w:r>
        <w:rPr>
          <w:rFonts w:hint="eastAsia"/>
          <w:sz w:val="24"/>
        </w:rPr>
        <w:t>网上</w:t>
      </w:r>
      <w:r>
        <w:rPr>
          <w:sz w:val="24"/>
        </w:rPr>
        <w:t>征求意见稿）》。</w:t>
      </w:r>
    </w:p>
    <w:p>
      <w:pPr>
        <w:spacing w:before="156" w:beforeLines="50" w:after="156" w:afterLines="50" w:line="360" w:lineRule="auto"/>
        <w:outlineLvl w:val="2"/>
        <w:rPr>
          <w:rFonts w:eastAsia="黑体"/>
          <w:kern w:val="0"/>
          <w:sz w:val="28"/>
          <w:szCs w:val="28"/>
        </w:rPr>
      </w:pPr>
      <w:bookmarkStart w:id="7" w:name="_Toc107299292"/>
      <w:r>
        <w:rPr>
          <w:rFonts w:eastAsia="黑体"/>
          <w:kern w:val="0"/>
          <w:sz w:val="28"/>
          <w:szCs w:val="28"/>
        </w:rPr>
        <w:t>4征求各方意见，形成“送审稿”</w:t>
      </w:r>
      <w:bookmarkEnd w:id="7"/>
    </w:p>
    <w:p>
      <w:pPr>
        <w:spacing w:line="360" w:lineRule="auto"/>
        <w:ind w:firstLine="480" w:firstLineChars="200"/>
        <w:rPr>
          <w:sz w:val="24"/>
        </w:rPr>
      </w:pPr>
      <w:r>
        <w:rPr>
          <w:sz w:val="24"/>
        </w:rPr>
        <w:t>完成“征求意见稿”后，编制小组将“征求意见稿”通过邮寄或者邮件的方式分别寄（发）送多家科研、教学、管理部门的有关专家，“</w:t>
      </w:r>
      <w:r>
        <w:rPr>
          <w:rFonts w:hint="eastAsia"/>
          <w:sz w:val="24"/>
        </w:rPr>
        <w:t>网上</w:t>
      </w:r>
      <w:r>
        <w:rPr>
          <w:sz w:val="24"/>
        </w:rPr>
        <w:t>征求意见稿”通过</w:t>
      </w:r>
      <w:r>
        <w:rPr>
          <w:rFonts w:hint="eastAsia"/>
          <w:sz w:val="24"/>
        </w:rPr>
        <w:t>在指定网站公开，</w:t>
      </w:r>
      <w:r>
        <w:rPr>
          <w:sz w:val="24"/>
        </w:rPr>
        <w:t>分别征求其对本标准的修改意见，并根据各方反馈的修改意见，对《厌氧干发酵沼气工程工艺设计规范（征求意见稿）》</w:t>
      </w:r>
      <w:r>
        <w:rPr>
          <w:rFonts w:hint="eastAsia"/>
          <w:sz w:val="24"/>
        </w:rPr>
        <w:t>、</w:t>
      </w:r>
      <w:r>
        <w:rPr>
          <w:sz w:val="24"/>
        </w:rPr>
        <w:t>《厌氧干发酵沼气工程工艺设计规范（</w:t>
      </w:r>
      <w:r>
        <w:rPr>
          <w:rFonts w:hint="eastAsia"/>
          <w:sz w:val="24"/>
        </w:rPr>
        <w:t>网上</w:t>
      </w:r>
      <w:r>
        <w:rPr>
          <w:sz w:val="24"/>
        </w:rPr>
        <w:t>征求意见稿）》进行了认真研讨和不断修改完善，形成《厌氧干发酵沼气工程工艺设计规范（送审稿）》，并填写征求意见处理汇总表，完成编制说明。</w:t>
      </w:r>
    </w:p>
    <w:p>
      <w:pPr>
        <w:spacing w:before="156" w:beforeLines="50" w:after="156" w:afterLines="50" w:line="360" w:lineRule="auto"/>
        <w:outlineLvl w:val="2"/>
        <w:rPr>
          <w:rFonts w:eastAsia="黑体"/>
          <w:kern w:val="0"/>
          <w:sz w:val="28"/>
          <w:szCs w:val="28"/>
        </w:rPr>
      </w:pPr>
      <w:bookmarkStart w:id="8" w:name="_Toc107299293"/>
      <w:r>
        <w:rPr>
          <w:rFonts w:eastAsia="黑体"/>
          <w:kern w:val="0"/>
          <w:sz w:val="28"/>
          <w:szCs w:val="28"/>
        </w:rPr>
        <w:t>5审定形成“报批稿”</w:t>
      </w:r>
      <w:bookmarkEnd w:id="8"/>
    </w:p>
    <w:p>
      <w:pPr>
        <w:spacing w:line="360" w:lineRule="auto"/>
        <w:ind w:firstLine="480" w:firstLineChars="200"/>
        <w:rPr>
          <w:sz w:val="24"/>
        </w:rPr>
      </w:pPr>
      <w:r>
        <w:rPr>
          <w:sz w:val="24"/>
        </w:rPr>
        <w:t>邀请同行业专家进行标准的会议审定，根据会议上专家提出的意见进行逐条修改，形成《厌氧干发酵沼气工程工艺设计规范（报批稿）》，将全部材料上报河北省市场监督管理局进行审批。</w:t>
      </w:r>
    </w:p>
    <w:p>
      <w:pPr>
        <w:spacing w:before="156" w:beforeLines="50" w:after="156" w:afterLines="50" w:line="360" w:lineRule="auto"/>
        <w:outlineLvl w:val="0"/>
        <w:rPr>
          <w:rFonts w:eastAsia="黑体"/>
          <w:kern w:val="0"/>
          <w:sz w:val="28"/>
          <w:szCs w:val="28"/>
        </w:rPr>
      </w:pPr>
      <w:bookmarkStart w:id="9" w:name="_Toc107299294"/>
      <w:r>
        <w:rPr>
          <w:rFonts w:eastAsia="黑体"/>
          <w:kern w:val="0"/>
          <w:sz w:val="28"/>
          <w:szCs w:val="28"/>
        </w:rPr>
        <w:t>三、编制原则</w:t>
      </w:r>
      <w:bookmarkEnd w:id="9"/>
    </w:p>
    <w:p>
      <w:pPr>
        <w:spacing w:before="156" w:beforeLines="50" w:after="156" w:afterLines="50" w:line="360" w:lineRule="auto"/>
        <w:outlineLvl w:val="1"/>
        <w:rPr>
          <w:rFonts w:eastAsia="黑体"/>
          <w:kern w:val="0"/>
          <w:sz w:val="28"/>
          <w:szCs w:val="28"/>
        </w:rPr>
      </w:pPr>
      <w:bookmarkStart w:id="10" w:name="_Toc107299295"/>
      <w:r>
        <w:rPr>
          <w:rFonts w:eastAsia="黑体"/>
          <w:kern w:val="0"/>
          <w:sz w:val="28"/>
          <w:szCs w:val="28"/>
        </w:rPr>
        <w:t>（一）</w:t>
      </w:r>
      <w:r>
        <w:rPr>
          <w:rFonts w:hint="eastAsia" w:eastAsia="黑体"/>
          <w:kern w:val="0"/>
          <w:sz w:val="28"/>
          <w:szCs w:val="28"/>
        </w:rPr>
        <w:t>实际可行</w:t>
      </w:r>
      <w:bookmarkEnd w:id="10"/>
    </w:p>
    <w:p>
      <w:pPr>
        <w:spacing w:line="360" w:lineRule="auto"/>
        <w:ind w:firstLine="480" w:firstLineChars="200"/>
        <w:rPr>
          <w:sz w:val="24"/>
        </w:rPr>
      </w:pPr>
      <w:r>
        <w:rPr>
          <w:rFonts w:hint="eastAsia"/>
          <w:sz w:val="24"/>
        </w:rPr>
        <w:t>制定厌氧干发酵沼气工程工艺设计规范标准，要从我省发展厌氧干发酵沼气工程的应用需求实际出发，该标准应符合我省农业废弃物（农作物秸秆、畜禽粪便、尾菜）资源处理方面的要求等。</w:t>
      </w:r>
    </w:p>
    <w:p>
      <w:pPr>
        <w:spacing w:before="156" w:beforeLines="50" w:after="156" w:afterLines="50" w:line="360" w:lineRule="auto"/>
        <w:outlineLvl w:val="1"/>
        <w:rPr>
          <w:rFonts w:eastAsia="黑体"/>
          <w:kern w:val="0"/>
          <w:sz w:val="28"/>
          <w:szCs w:val="28"/>
        </w:rPr>
      </w:pPr>
      <w:bookmarkStart w:id="11" w:name="_Toc107299296"/>
      <w:r>
        <w:rPr>
          <w:rFonts w:eastAsia="黑体"/>
          <w:kern w:val="0"/>
          <w:sz w:val="28"/>
          <w:szCs w:val="28"/>
        </w:rPr>
        <w:t>（二）</w:t>
      </w:r>
      <w:r>
        <w:rPr>
          <w:rFonts w:hint="eastAsia" w:eastAsia="黑体"/>
          <w:kern w:val="0"/>
          <w:sz w:val="28"/>
          <w:szCs w:val="28"/>
        </w:rPr>
        <w:t>用户导向</w:t>
      </w:r>
      <w:bookmarkEnd w:id="11"/>
    </w:p>
    <w:p>
      <w:pPr>
        <w:spacing w:line="360" w:lineRule="auto"/>
        <w:ind w:firstLine="480"/>
        <w:rPr>
          <w:sz w:val="24"/>
        </w:rPr>
      </w:pPr>
      <w:r>
        <w:rPr>
          <w:rFonts w:hint="eastAsia"/>
          <w:sz w:val="24"/>
        </w:rPr>
        <w:t>要从全局出发，在做好全面的技术经济分析基础上，既要考虑沼气工程相关企业和生产部门的利益，更要考虑环保部门、管理部门和使用者的利益，根据不同需要做出合理的技术条件规定，使全社会和广大</w:t>
      </w:r>
      <w:r>
        <w:rPr>
          <w:rFonts w:hint="eastAsia"/>
          <w:sz w:val="24"/>
          <w:lang w:eastAsia="zh"/>
        </w:rPr>
        <w:t>人</w:t>
      </w:r>
      <w:bookmarkStart w:id="36" w:name="_GoBack"/>
      <w:bookmarkEnd w:id="36"/>
      <w:r>
        <w:rPr>
          <w:rFonts w:hint="eastAsia"/>
          <w:sz w:val="24"/>
        </w:rPr>
        <w:t>民群众获益。</w:t>
      </w:r>
    </w:p>
    <w:p>
      <w:pPr>
        <w:spacing w:before="156" w:beforeLines="50" w:after="156" w:afterLines="50" w:line="360" w:lineRule="auto"/>
        <w:outlineLvl w:val="1"/>
        <w:rPr>
          <w:rFonts w:eastAsia="黑体"/>
          <w:kern w:val="0"/>
          <w:sz w:val="28"/>
          <w:szCs w:val="28"/>
        </w:rPr>
      </w:pPr>
      <w:bookmarkStart w:id="12" w:name="_Toc107299297"/>
      <w:r>
        <w:rPr>
          <w:rFonts w:eastAsia="黑体"/>
          <w:kern w:val="0"/>
          <w:sz w:val="28"/>
          <w:szCs w:val="28"/>
        </w:rPr>
        <w:t>（三）</w:t>
      </w:r>
      <w:r>
        <w:rPr>
          <w:rFonts w:hint="eastAsia" w:eastAsia="黑体"/>
          <w:kern w:val="0"/>
          <w:sz w:val="28"/>
          <w:szCs w:val="28"/>
        </w:rPr>
        <w:t>科学先进</w:t>
      </w:r>
      <w:bookmarkEnd w:id="12"/>
    </w:p>
    <w:p>
      <w:pPr>
        <w:spacing w:line="360" w:lineRule="auto"/>
        <w:ind w:firstLine="480"/>
        <w:rPr>
          <w:sz w:val="24"/>
        </w:rPr>
      </w:pPr>
      <w:r>
        <w:rPr>
          <w:rFonts w:hint="eastAsia"/>
          <w:sz w:val="24"/>
        </w:rPr>
        <w:t>调查分析现有的沼气工程工艺设计要求，合理确定厌氧干发酵沼气工程工艺设计标准内容，做到技术先进、经济合理、安全可靠、系统全面。</w:t>
      </w:r>
    </w:p>
    <w:p>
      <w:pPr>
        <w:spacing w:before="156" w:beforeLines="50" w:after="156" w:afterLines="50" w:line="360" w:lineRule="auto"/>
        <w:outlineLvl w:val="0"/>
        <w:rPr>
          <w:rFonts w:eastAsia="黑体"/>
          <w:kern w:val="0"/>
          <w:sz w:val="28"/>
          <w:szCs w:val="28"/>
        </w:rPr>
      </w:pPr>
      <w:bookmarkStart w:id="13" w:name="_Toc107299298"/>
      <w:r>
        <w:rPr>
          <w:rFonts w:eastAsia="黑体"/>
          <w:kern w:val="0"/>
          <w:sz w:val="28"/>
          <w:szCs w:val="28"/>
        </w:rPr>
        <w:t>四 本标准编制依据及其说明</w:t>
      </w:r>
      <w:bookmarkEnd w:id="13"/>
    </w:p>
    <w:p>
      <w:pPr>
        <w:spacing w:before="156" w:beforeLines="50" w:after="156" w:afterLines="50" w:line="360" w:lineRule="auto"/>
        <w:outlineLvl w:val="1"/>
        <w:rPr>
          <w:sz w:val="24"/>
        </w:rPr>
      </w:pPr>
      <w:bookmarkStart w:id="14" w:name="_Toc107299299"/>
      <w:r>
        <w:rPr>
          <w:rFonts w:eastAsia="黑体"/>
          <w:kern w:val="0"/>
          <w:sz w:val="28"/>
          <w:szCs w:val="28"/>
        </w:rPr>
        <w:t>（一）编制依据</w:t>
      </w:r>
      <w:bookmarkEnd w:id="14"/>
    </w:p>
    <w:p>
      <w:pPr>
        <w:pStyle w:val="22"/>
        <w:spacing w:line="360" w:lineRule="auto"/>
        <w:ind w:firstLine="480"/>
        <w:rPr>
          <w:rFonts w:ascii="Times New Roman"/>
          <w:sz w:val="24"/>
          <w:szCs w:val="24"/>
        </w:rPr>
      </w:pPr>
      <w:r>
        <w:rPr>
          <w:rFonts w:ascii="Times New Roman"/>
          <w:kern w:val="2"/>
          <w:sz w:val="24"/>
          <w:szCs w:val="24"/>
        </w:rPr>
        <w:t>本标准的技术内容编制从河北省实际需求出</w:t>
      </w:r>
      <w:r>
        <w:rPr>
          <w:rFonts w:ascii="Times New Roman"/>
          <w:sz w:val="24"/>
          <w:szCs w:val="24"/>
        </w:rPr>
        <w:t>发，遵循</w:t>
      </w:r>
      <w:r>
        <w:rPr>
          <w:rFonts w:hint="eastAsia" w:ascii="Times New Roman"/>
          <w:sz w:val="24"/>
          <w:szCs w:val="24"/>
        </w:rPr>
        <w:t>实际可行</w:t>
      </w:r>
      <w:r>
        <w:rPr>
          <w:rFonts w:ascii="Times New Roman"/>
          <w:sz w:val="24"/>
          <w:szCs w:val="24"/>
        </w:rPr>
        <w:t>、</w:t>
      </w:r>
      <w:r>
        <w:rPr>
          <w:rFonts w:hint="eastAsia" w:ascii="Times New Roman"/>
          <w:sz w:val="24"/>
          <w:szCs w:val="24"/>
        </w:rPr>
        <w:t>用户导向</w:t>
      </w:r>
      <w:r>
        <w:rPr>
          <w:rFonts w:ascii="Times New Roman"/>
          <w:sz w:val="24"/>
          <w:szCs w:val="24"/>
        </w:rPr>
        <w:t>、</w:t>
      </w:r>
      <w:r>
        <w:rPr>
          <w:rFonts w:hint="eastAsia" w:ascii="Times New Roman"/>
          <w:sz w:val="24"/>
          <w:szCs w:val="24"/>
        </w:rPr>
        <w:t>科学先进</w:t>
      </w:r>
      <w:r>
        <w:rPr>
          <w:rFonts w:ascii="Times New Roman"/>
          <w:sz w:val="24"/>
          <w:szCs w:val="24"/>
        </w:rPr>
        <w:t>的原则，根据相关法律法规和规范性文件</w:t>
      </w:r>
      <w:r>
        <w:rPr>
          <w:rFonts w:ascii="Times New Roman"/>
          <w:sz w:val="24"/>
        </w:rPr>
        <w:t>，主要引用了《</w:t>
      </w:r>
      <w:r>
        <w:rPr>
          <w:rFonts w:hint="eastAsia" w:ascii="Times New Roman"/>
          <w:sz w:val="24"/>
        </w:rPr>
        <w:t>大中型沼气工程技术规范</w:t>
      </w:r>
      <w:r>
        <w:rPr>
          <w:rFonts w:ascii="Times New Roman"/>
          <w:sz w:val="24"/>
        </w:rPr>
        <w:t>》（GB/T 51063）、《</w:t>
      </w:r>
      <w:r>
        <w:rPr>
          <w:rFonts w:hint="eastAsia" w:ascii="Times New Roman"/>
          <w:sz w:val="24"/>
        </w:rPr>
        <w:t>沼气工程技术规范 第1部分：工程设计</w:t>
      </w:r>
      <w:r>
        <w:rPr>
          <w:rFonts w:ascii="Times New Roman"/>
          <w:sz w:val="24"/>
        </w:rPr>
        <w:t>》（</w:t>
      </w:r>
      <w:r>
        <w:rPr>
          <w:rFonts w:hint="eastAsia" w:ascii="Times New Roman"/>
          <w:sz w:val="24"/>
        </w:rPr>
        <w:t>NY/T 1220.1</w:t>
      </w:r>
      <w:r>
        <w:rPr>
          <w:rFonts w:ascii="Times New Roman"/>
          <w:sz w:val="24"/>
        </w:rPr>
        <w:t>）</w:t>
      </w:r>
      <w:r>
        <w:rPr>
          <w:rFonts w:hint="eastAsia" w:ascii="Times New Roman"/>
          <w:sz w:val="24"/>
        </w:rPr>
        <w:t>、</w:t>
      </w:r>
      <w:r>
        <w:rPr>
          <w:rFonts w:ascii="Times New Roman"/>
          <w:sz w:val="24"/>
        </w:rPr>
        <w:t>《</w:t>
      </w:r>
      <w:r>
        <w:rPr>
          <w:rFonts w:hint="eastAsia" w:ascii="Times New Roman"/>
          <w:sz w:val="24"/>
        </w:rPr>
        <w:t>沼肥施用技术规范</w:t>
      </w:r>
      <w:r>
        <w:rPr>
          <w:rFonts w:ascii="Times New Roman"/>
          <w:sz w:val="24"/>
        </w:rPr>
        <w:t>》（NY/T 2065）</w:t>
      </w:r>
      <w:r>
        <w:rPr>
          <w:rFonts w:hint="eastAsia" w:ascii="Times New Roman"/>
          <w:sz w:val="24"/>
        </w:rPr>
        <w:t>、</w:t>
      </w:r>
      <w:r>
        <w:rPr>
          <w:rFonts w:ascii="Times New Roman"/>
          <w:sz w:val="24"/>
        </w:rPr>
        <w:t>《</w:t>
      </w:r>
      <w:r>
        <w:rPr>
          <w:rFonts w:hint="eastAsia" w:ascii="Times New Roman"/>
          <w:sz w:val="24"/>
        </w:rPr>
        <w:t>秸秆沼气工程工艺设计规范</w:t>
      </w:r>
      <w:r>
        <w:rPr>
          <w:rFonts w:ascii="Times New Roman"/>
          <w:sz w:val="24"/>
        </w:rPr>
        <w:t>》（NY/T 2142）</w:t>
      </w:r>
      <w:r>
        <w:rPr>
          <w:rFonts w:hint="eastAsia" w:ascii="Times New Roman"/>
          <w:sz w:val="24"/>
        </w:rPr>
        <w:t>、</w:t>
      </w:r>
      <w:r>
        <w:rPr>
          <w:rFonts w:ascii="Times New Roman"/>
          <w:sz w:val="24"/>
        </w:rPr>
        <w:t>《</w:t>
      </w:r>
      <w:r>
        <w:rPr>
          <w:rFonts w:hint="eastAsia" w:ascii="Times New Roman"/>
          <w:sz w:val="24"/>
        </w:rPr>
        <w:t>沼气生产用原料收贮运技术规范</w:t>
      </w:r>
      <w:r>
        <w:rPr>
          <w:rFonts w:ascii="Times New Roman"/>
          <w:sz w:val="24"/>
        </w:rPr>
        <w:t>》（NY/T 2853）</w:t>
      </w:r>
      <w:r>
        <w:rPr>
          <w:rFonts w:hint="eastAsia" w:ascii="Times New Roman"/>
          <w:sz w:val="24"/>
        </w:rPr>
        <w:t>、</w:t>
      </w:r>
      <w:r>
        <w:rPr>
          <w:rFonts w:ascii="Times New Roman"/>
          <w:sz w:val="24"/>
        </w:rPr>
        <w:t>《</w:t>
      </w:r>
      <w:r>
        <w:rPr>
          <w:rFonts w:hint="eastAsia" w:ascii="Times New Roman"/>
          <w:sz w:val="24"/>
        </w:rPr>
        <w:t>沼气工程储气装置技术条件</w:t>
      </w:r>
      <w:r>
        <w:rPr>
          <w:rFonts w:ascii="Times New Roman"/>
          <w:sz w:val="24"/>
        </w:rPr>
        <w:t>》（NY/T 2598）</w:t>
      </w:r>
      <w:r>
        <w:rPr>
          <w:rFonts w:hint="eastAsia" w:ascii="Times New Roman"/>
          <w:sz w:val="24"/>
        </w:rPr>
        <w:t>、</w:t>
      </w:r>
      <w:r>
        <w:rPr>
          <w:rFonts w:ascii="Times New Roman"/>
          <w:sz w:val="24"/>
        </w:rPr>
        <w:t>《</w:t>
      </w:r>
      <w:r>
        <w:rPr>
          <w:rFonts w:hint="eastAsia" w:ascii="Times New Roman"/>
          <w:sz w:val="24"/>
        </w:rPr>
        <w:t>序批式厌氧干发酵沼气工程设计规范</w:t>
      </w:r>
      <w:r>
        <w:rPr>
          <w:rFonts w:ascii="Times New Roman"/>
          <w:sz w:val="24"/>
        </w:rPr>
        <w:t>》（NY/T 3612-2020）等，</w:t>
      </w:r>
      <w:r>
        <w:rPr>
          <w:rFonts w:hint="eastAsia" w:ascii="Times New Roman"/>
          <w:sz w:val="24"/>
        </w:rPr>
        <w:t>标准文件编制格式及要求</w:t>
      </w:r>
      <w:r>
        <w:rPr>
          <w:rFonts w:hint="eastAsia" w:ascii="Times New Roman"/>
          <w:sz w:val="24"/>
          <w:szCs w:val="24"/>
        </w:rPr>
        <w:t>参考</w:t>
      </w:r>
      <w:r>
        <w:rPr>
          <w:rFonts w:ascii="Times New Roman"/>
          <w:sz w:val="24"/>
          <w:szCs w:val="24"/>
        </w:rPr>
        <w:t>《标准化工作导则 第1部分：标准化文件的结构和起草规则》（GB/T 1.1-2020）</w:t>
      </w:r>
      <w:r>
        <w:rPr>
          <w:rFonts w:hint="eastAsia" w:ascii="Times New Roman"/>
          <w:sz w:val="24"/>
        </w:rPr>
        <w:t>国家标准</w:t>
      </w:r>
      <w:r>
        <w:rPr>
          <w:rFonts w:ascii="Times New Roman"/>
          <w:sz w:val="24"/>
          <w:szCs w:val="24"/>
        </w:rPr>
        <w:t>，进行</w:t>
      </w:r>
      <w:r>
        <w:rPr>
          <w:rFonts w:ascii="Times New Roman"/>
          <w:sz w:val="24"/>
        </w:rPr>
        <w:t>《厌氧干发酵沼气工程工艺设计规范》的编制</w:t>
      </w:r>
      <w:r>
        <w:rPr>
          <w:rFonts w:ascii="Times New Roman"/>
          <w:sz w:val="24"/>
          <w:szCs w:val="24"/>
        </w:rPr>
        <w:t>。</w:t>
      </w:r>
      <w:r>
        <w:rPr>
          <w:rFonts w:ascii="Times New Roman"/>
          <w:sz w:val="24"/>
        </w:rPr>
        <w:t>本标准中涉及的主要技术指标：</w:t>
      </w:r>
      <w:r>
        <w:rPr>
          <w:rFonts w:hint="eastAsia" w:ascii="Times New Roman"/>
          <w:sz w:val="24"/>
        </w:rPr>
        <w:t>选址及布局、总体设计、原料储存与预处理、厌氧干发酵工艺、沼渣与沼液利用等</w:t>
      </w:r>
      <w:r>
        <w:rPr>
          <w:rFonts w:ascii="Times New Roman"/>
          <w:sz w:val="24"/>
        </w:rPr>
        <w:t>。</w:t>
      </w:r>
    </w:p>
    <w:p>
      <w:pPr>
        <w:spacing w:before="156" w:beforeLines="50" w:after="156" w:afterLines="50" w:line="360" w:lineRule="auto"/>
        <w:outlineLvl w:val="1"/>
        <w:rPr>
          <w:sz w:val="24"/>
        </w:rPr>
      </w:pPr>
      <w:bookmarkStart w:id="15" w:name="_Toc107299300"/>
      <w:r>
        <w:rPr>
          <w:rFonts w:eastAsia="黑体"/>
          <w:kern w:val="0"/>
          <w:sz w:val="28"/>
          <w:szCs w:val="28"/>
        </w:rPr>
        <w:t>（二）标准的主要技术内容说明</w:t>
      </w:r>
      <w:bookmarkEnd w:id="15"/>
    </w:p>
    <w:p>
      <w:pPr>
        <w:spacing w:before="156" w:beforeLines="50" w:after="156" w:afterLines="50" w:line="360" w:lineRule="auto"/>
        <w:outlineLvl w:val="2"/>
        <w:rPr>
          <w:rFonts w:eastAsia="黑体"/>
          <w:kern w:val="0"/>
          <w:sz w:val="28"/>
          <w:szCs w:val="28"/>
        </w:rPr>
      </w:pPr>
      <w:bookmarkStart w:id="16" w:name="_Toc107299301"/>
      <w:r>
        <w:rPr>
          <w:rFonts w:eastAsia="黑体"/>
          <w:kern w:val="0"/>
          <w:sz w:val="28"/>
          <w:szCs w:val="28"/>
        </w:rPr>
        <w:t>1 标准主体框架</w:t>
      </w:r>
      <w:bookmarkEnd w:id="16"/>
    </w:p>
    <w:p>
      <w:pPr>
        <w:spacing w:before="156" w:beforeLines="50" w:after="156" w:afterLines="50" w:line="360" w:lineRule="auto"/>
        <w:ind w:firstLine="480" w:firstLineChars="200"/>
        <w:rPr>
          <w:sz w:val="24"/>
        </w:rPr>
      </w:pPr>
      <w:r>
        <w:rPr>
          <w:rFonts w:hint="eastAsia"/>
          <w:sz w:val="24"/>
        </w:rPr>
        <w:t>本标准结构：范围，规范性引用文件，术语和定义，选址及布局，总体设计，原料储存与预处理，厌氧干发酵，沼气净化、储存与利用，沼渣与沼液利用，其他，共</w:t>
      </w:r>
      <w:r>
        <w:rPr>
          <w:sz w:val="24"/>
        </w:rPr>
        <w:t>10</w:t>
      </w:r>
      <w:r>
        <w:rPr>
          <w:rFonts w:hint="eastAsia"/>
          <w:sz w:val="24"/>
        </w:rPr>
        <w:t>个部分。</w:t>
      </w:r>
    </w:p>
    <w:p>
      <w:pPr>
        <w:spacing w:before="156" w:beforeLines="50" w:after="156" w:afterLines="50" w:line="360" w:lineRule="auto"/>
        <w:outlineLvl w:val="2"/>
        <w:rPr>
          <w:rFonts w:eastAsia="黑体"/>
          <w:kern w:val="0"/>
          <w:sz w:val="28"/>
          <w:szCs w:val="28"/>
        </w:rPr>
      </w:pPr>
      <w:bookmarkStart w:id="17" w:name="_Toc107299302"/>
      <w:r>
        <w:rPr>
          <w:rFonts w:eastAsia="黑体"/>
          <w:kern w:val="0"/>
          <w:sz w:val="28"/>
          <w:szCs w:val="28"/>
        </w:rPr>
        <w:t>2范围</w:t>
      </w:r>
      <w:bookmarkEnd w:id="17"/>
    </w:p>
    <w:p>
      <w:pPr>
        <w:spacing w:line="360" w:lineRule="auto"/>
        <w:ind w:firstLine="480" w:firstLineChars="200"/>
        <w:rPr>
          <w:sz w:val="24"/>
        </w:rPr>
      </w:pPr>
      <w:r>
        <w:rPr>
          <w:rFonts w:hint="eastAsia"/>
          <w:sz w:val="24"/>
        </w:rPr>
        <w:t>本文件规定了厌氧干发酵沼气工程的选址及布局、总体设计、原料储存与预处理、厌氧干发酵、沼气净化、储存与利用、沼渣与沼液利用等工艺设计内容。</w:t>
      </w:r>
    </w:p>
    <w:p>
      <w:pPr>
        <w:spacing w:line="360" w:lineRule="auto"/>
        <w:ind w:firstLine="480" w:firstLineChars="200"/>
        <w:rPr>
          <w:sz w:val="24"/>
        </w:rPr>
      </w:pPr>
      <w:r>
        <w:rPr>
          <w:rFonts w:hint="eastAsia"/>
          <w:sz w:val="24"/>
        </w:rPr>
        <w:t>本文件适用于以农作物秸秆、畜禽粪便等农业有机废弃物为原料的厌氧干发酵沼气工程工艺设计。以其他有机废弃物为原料的厌氧干发酵沼气工程可以参考。</w:t>
      </w:r>
    </w:p>
    <w:p>
      <w:pPr>
        <w:spacing w:before="156" w:beforeLines="50" w:after="156" w:afterLines="50" w:line="360" w:lineRule="auto"/>
        <w:outlineLvl w:val="2"/>
        <w:rPr>
          <w:rFonts w:eastAsia="黑体"/>
          <w:kern w:val="0"/>
          <w:sz w:val="28"/>
          <w:szCs w:val="28"/>
        </w:rPr>
      </w:pPr>
      <w:bookmarkStart w:id="18" w:name="_Toc107299303"/>
      <w:r>
        <w:rPr>
          <w:rFonts w:eastAsia="黑体"/>
          <w:kern w:val="0"/>
          <w:sz w:val="28"/>
          <w:szCs w:val="28"/>
        </w:rPr>
        <w:t>3</w:t>
      </w:r>
      <w:r>
        <w:rPr>
          <w:rFonts w:hint="eastAsia" w:eastAsia="黑体"/>
          <w:kern w:val="0"/>
          <w:sz w:val="28"/>
          <w:szCs w:val="28"/>
        </w:rPr>
        <w:t>术语和定义</w:t>
      </w:r>
      <w:bookmarkEnd w:id="18"/>
    </w:p>
    <w:p>
      <w:pPr>
        <w:spacing w:before="156" w:beforeLines="50" w:after="156" w:afterLines="50" w:line="360" w:lineRule="auto"/>
        <w:ind w:firstLine="480" w:firstLineChars="200"/>
        <w:rPr>
          <w:sz w:val="24"/>
        </w:rPr>
      </w:pPr>
      <w:r>
        <w:rPr>
          <w:rFonts w:hint="eastAsia"/>
          <w:sz w:val="24"/>
        </w:rPr>
        <w:t>3.1 本条规定了厌氧干发酵的定义。按照物料含固率的不同，将厌氧干发酵与传统的湿法厌氧发酵工艺区分，本条将厌氧干发酵定义为初始进料干物质浓度不低于</w:t>
      </w:r>
      <w:r>
        <w:rPr>
          <w:sz w:val="24"/>
        </w:rPr>
        <w:t>20</w:t>
      </w:r>
      <w:r>
        <w:rPr>
          <w:rFonts w:hint="eastAsia"/>
          <w:sz w:val="24"/>
        </w:rPr>
        <w:t>%的厌氧发酵过程。</w:t>
      </w:r>
    </w:p>
    <w:p>
      <w:pPr>
        <w:spacing w:before="156" w:beforeLines="50" w:after="156" w:afterLines="50" w:line="360" w:lineRule="auto"/>
        <w:ind w:firstLine="480" w:firstLineChars="200"/>
        <w:rPr>
          <w:sz w:val="24"/>
        </w:rPr>
      </w:pPr>
      <w:r>
        <w:rPr>
          <w:rFonts w:hint="eastAsia"/>
          <w:sz w:val="24"/>
        </w:rPr>
        <w:t>3.2 本条规定了序批式厌氧干发酵的定义。序批式干发酵工艺具有明显的波峰波谷，为保持总产气量相对稳定，应多个厌氧反应器并联，根据产气规律按时间顺序间歇式启动运行。本条将序批式厌氧干发酵定义为多个厌氧干发酵反应器并联按照时间顺序间歇式运行的厌氧发酵过程。</w:t>
      </w:r>
    </w:p>
    <w:p>
      <w:pPr>
        <w:spacing w:before="156" w:beforeLines="50" w:after="156" w:afterLines="50" w:line="360" w:lineRule="auto"/>
        <w:ind w:firstLine="480" w:firstLineChars="200"/>
        <w:rPr>
          <w:sz w:val="24"/>
        </w:rPr>
      </w:pPr>
      <w:r>
        <w:rPr>
          <w:rFonts w:hint="eastAsia"/>
          <w:sz w:val="24"/>
        </w:rPr>
        <w:t>3.</w:t>
      </w:r>
      <w:r>
        <w:rPr>
          <w:sz w:val="24"/>
        </w:rPr>
        <w:t>3</w:t>
      </w:r>
      <w:r>
        <w:rPr>
          <w:rFonts w:hint="eastAsia"/>
          <w:sz w:val="24"/>
        </w:rPr>
        <w:t xml:space="preserve"> 本条规定了连续式厌氧干发酵的定义。连续式干发酵工艺是从厌氧反应器启动后，每天连续定量地向发酵罐内添加新物料并排出沼渣沼液，实现反应器的连续运行。本条将连续式厌氧干发酵定义为厌氧干发酵反应器连续定量添加新物料并排出沼渣沼液的厌氧发酵过程。</w:t>
      </w:r>
    </w:p>
    <w:p>
      <w:pPr>
        <w:spacing w:before="156" w:beforeLines="50" w:after="156" w:afterLines="50" w:line="360" w:lineRule="auto"/>
        <w:outlineLvl w:val="2"/>
        <w:rPr>
          <w:rFonts w:eastAsia="黑体"/>
          <w:kern w:val="0"/>
          <w:sz w:val="28"/>
          <w:szCs w:val="28"/>
        </w:rPr>
      </w:pPr>
      <w:bookmarkStart w:id="19" w:name="_Toc107299304"/>
      <w:r>
        <w:rPr>
          <w:rFonts w:eastAsia="黑体"/>
          <w:kern w:val="0"/>
          <w:sz w:val="28"/>
          <w:szCs w:val="28"/>
        </w:rPr>
        <w:t>4</w:t>
      </w:r>
      <w:r>
        <w:rPr>
          <w:rFonts w:hint="eastAsia" w:eastAsia="黑体"/>
          <w:kern w:val="0"/>
          <w:sz w:val="28"/>
          <w:szCs w:val="28"/>
        </w:rPr>
        <w:t xml:space="preserve"> 选址及布局</w:t>
      </w:r>
      <w:bookmarkEnd w:id="19"/>
    </w:p>
    <w:p>
      <w:pPr>
        <w:spacing w:line="360" w:lineRule="auto"/>
        <w:rPr>
          <w:b/>
          <w:bCs/>
          <w:sz w:val="24"/>
        </w:rPr>
      </w:pPr>
      <w:r>
        <w:rPr>
          <w:b/>
          <w:bCs/>
          <w:sz w:val="24"/>
        </w:rPr>
        <w:t>4</w:t>
      </w:r>
      <w:r>
        <w:rPr>
          <w:rFonts w:hint="eastAsia"/>
          <w:b/>
          <w:bCs/>
          <w:sz w:val="24"/>
        </w:rPr>
        <w:t>.1 选址</w:t>
      </w:r>
    </w:p>
    <w:p>
      <w:pPr>
        <w:spacing w:line="360" w:lineRule="auto"/>
        <w:ind w:firstLine="480" w:firstLineChars="200"/>
        <w:rPr>
          <w:sz w:val="24"/>
        </w:rPr>
      </w:pPr>
      <w:r>
        <w:rPr>
          <w:sz w:val="24"/>
        </w:rPr>
        <w:t>4</w:t>
      </w:r>
      <w:r>
        <w:rPr>
          <w:rFonts w:hint="eastAsia"/>
          <w:sz w:val="24"/>
        </w:rPr>
        <w:t>.1.1 厌氧干发酵沼气工程项目的选址是工程建设的重要组成部分，是工程规划、设计与建造的第一步。厌氧干发酵沼气工程的选址及布局应符合一般大中型沼气工程的选址，厌氧干发酵沼气工程选址应符合GB/T 51063、NY/T 1220.1的相关规定。</w:t>
      </w:r>
    </w:p>
    <w:p>
      <w:pPr>
        <w:spacing w:line="360" w:lineRule="auto"/>
        <w:rPr>
          <w:b/>
          <w:bCs/>
          <w:sz w:val="24"/>
        </w:rPr>
      </w:pPr>
      <w:r>
        <w:rPr>
          <w:b/>
          <w:bCs/>
          <w:sz w:val="24"/>
        </w:rPr>
        <w:t>4</w:t>
      </w:r>
      <w:r>
        <w:rPr>
          <w:rFonts w:hint="eastAsia"/>
          <w:b/>
          <w:bCs/>
          <w:sz w:val="24"/>
        </w:rPr>
        <w:t>.</w:t>
      </w:r>
      <w:r>
        <w:rPr>
          <w:b/>
          <w:bCs/>
          <w:sz w:val="24"/>
        </w:rPr>
        <w:t>2</w:t>
      </w:r>
      <w:r>
        <w:rPr>
          <w:rFonts w:hint="eastAsia"/>
          <w:b/>
          <w:bCs/>
          <w:sz w:val="24"/>
        </w:rPr>
        <w:t xml:space="preserve"> 布局</w:t>
      </w:r>
    </w:p>
    <w:p>
      <w:pPr>
        <w:spacing w:line="360" w:lineRule="auto"/>
        <w:ind w:firstLine="480" w:firstLineChars="200"/>
        <w:rPr>
          <w:sz w:val="24"/>
        </w:rPr>
      </w:pPr>
      <w:r>
        <w:rPr>
          <w:sz w:val="24"/>
        </w:rPr>
        <w:t>4</w:t>
      </w:r>
      <w:r>
        <w:rPr>
          <w:rFonts w:hint="eastAsia"/>
          <w:sz w:val="24"/>
        </w:rPr>
        <w:t>.</w:t>
      </w:r>
      <w:r>
        <w:rPr>
          <w:sz w:val="24"/>
        </w:rPr>
        <w:t>2</w:t>
      </w:r>
      <w:r>
        <w:rPr>
          <w:rFonts w:hint="eastAsia"/>
          <w:sz w:val="24"/>
        </w:rPr>
        <w:t>.1 厌氧干发酵沼气工程项目的选址是工程建设的重要组成部分，是工程规划、设计与建造的第一步。厌氧干发酵沼气工程的选址及布局应符合一般大中型沼气工程的布局，厌氧干发酵沼气工程场内布局应符合GB/T 51063、NY/T 1220.1的相关规定。</w:t>
      </w:r>
    </w:p>
    <w:p>
      <w:pPr>
        <w:spacing w:line="360" w:lineRule="auto"/>
        <w:ind w:firstLine="480" w:firstLineChars="200"/>
        <w:rPr>
          <w:sz w:val="24"/>
        </w:rPr>
      </w:pPr>
      <w:r>
        <w:rPr>
          <w:rFonts w:hint="eastAsia"/>
          <w:sz w:val="24"/>
        </w:rPr>
        <w:t>4.2.2 序批式厌氧干发酵工程场内布局应便于进出料操作，应符合NY/T 3612的相关规定。</w:t>
      </w:r>
    </w:p>
    <w:p>
      <w:pPr>
        <w:spacing w:before="156" w:beforeLines="50" w:after="156" w:afterLines="50" w:line="360" w:lineRule="auto"/>
        <w:outlineLvl w:val="2"/>
        <w:rPr>
          <w:rFonts w:eastAsia="黑体"/>
          <w:kern w:val="0"/>
          <w:sz w:val="28"/>
          <w:szCs w:val="28"/>
        </w:rPr>
      </w:pPr>
      <w:bookmarkStart w:id="20" w:name="_Toc107299305"/>
      <w:r>
        <w:rPr>
          <w:rFonts w:eastAsia="黑体"/>
          <w:kern w:val="0"/>
          <w:sz w:val="28"/>
          <w:szCs w:val="28"/>
        </w:rPr>
        <w:t>5</w:t>
      </w:r>
      <w:r>
        <w:t xml:space="preserve"> </w:t>
      </w:r>
      <w:r>
        <w:rPr>
          <w:rFonts w:hint="eastAsia" w:eastAsia="黑体"/>
          <w:kern w:val="0"/>
          <w:sz w:val="28"/>
          <w:szCs w:val="28"/>
        </w:rPr>
        <w:t>总体设计</w:t>
      </w:r>
      <w:bookmarkEnd w:id="20"/>
    </w:p>
    <w:p>
      <w:pPr>
        <w:spacing w:line="360" w:lineRule="auto"/>
        <w:rPr>
          <w:b/>
          <w:bCs/>
          <w:sz w:val="24"/>
        </w:rPr>
      </w:pPr>
      <w:r>
        <w:rPr>
          <w:rFonts w:hint="eastAsia"/>
          <w:b/>
          <w:bCs/>
          <w:sz w:val="24"/>
        </w:rPr>
        <w:t>5.1 一般规定</w:t>
      </w:r>
    </w:p>
    <w:p>
      <w:pPr>
        <w:spacing w:line="360" w:lineRule="auto"/>
        <w:ind w:firstLine="480" w:firstLineChars="200"/>
        <w:rPr>
          <w:sz w:val="24"/>
        </w:rPr>
      </w:pPr>
      <w:r>
        <w:rPr>
          <w:rFonts w:hint="eastAsia"/>
          <w:sz w:val="24"/>
        </w:rPr>
        <w:t>5.1.1 沼气工程的设计规模应根据原料供应和产品需求两方面综合确定，原料供应方面，根据原料的种类、性质和供应量的不同，设计规模不同；产品需求方面，应综合考虑对于沼气和沼液沼渣肥的需求进行确定。</w:t>
      </w:r>
    </w:p>
    <w:p>
      <w:pPr>
        <w:spacing w:line="360" w:lineRule="auto"/>
        <w:ind w:firstLine="480" w:firstLineChars="200"/>
        <w:rPr>
          <w:sz w:val="24"/>
        </w:rPr>
      </w:pPr>
      <w:r>
        <w:rPr>
          <w:rFonts w:hint="eastAsia"/>
          <w:sz w:val="24"/>
        </w:rPr>
        <w:t>5.</w:t>
      </w:r>
      <w:r>
        <w:rPr>
          <w:sz w:val="24"/>
        </w:rPr>
        <w:t>1</w:t>
      </w:r>
      <w:r>
        <w:rPr>
          <w:rFonts w:hint="eastAsia"/>
          <w:sz w:val="24"/>
        </w:rPr>
        <w:t>.</w:t>
      </w:r>
      <w:r>
        <w:rPr>
          <w:sz w:val="24"/>
        </w:rPr>
        <w:t>2</w:t>
      </w:r>
      <w:r>
        <w:rPr>
          <w:rFonts w:hint="eastAsia"/>
          <w:sz w:val="24"/>
        </w:rPr>
        <w:t xml:space="preserve"> 厌氧干发酵沼气工程作为大中型沼气工程的一种类型，其工艺设计应符合GB/T 51063和NY/T 1220.1工艺设计的相关规定。</w:t>
      </w:r>
    </w:p>
    <w:p>
      <w:pPr>
        <w:spacing w:line="360" w:lineRule="auto"/>
        <w:ind w:firstLine="480" w:firstLineChars="200"/>
        <w:rPr>
          <w:sz w:val="24"/>
        </w:rPr>
      </w:pPr>
      <w:r>
        <w:rPr>
          <w:rFonts w:hint="eastAsia"/>
          <w:sz w:val="24"/>
        </w:rPr>
        <w:t>5.1.3 根据反应器运转方式的不同，厌氧干发酵技术主要分为序批式和连续式厌氧干发酵2种。因此，厌氧干发酵沼气工程包括序批式和连续式工艺。</w:t>
      </w:r>
    </w:p>
    <w:p>
      <w:pPr>
        <w:spacing w:line="360" w:lineRule="auto"/>
        <w:rPr>
          <w:b/>
          <w:bCs/>
          <w:sz w:val="24"/>
        </w:rPr>
      </w:pPr>
      <w:r>
        <w:rPr>
          <w:rFonts w:hint="eastAsia"/>
          <w:b/>
          <w:bCs/>
          <w:sz w:val="24"/>
        </w:rPr>
        <w:t>5.2 设计内容</w:t>
      </w:r>
    </w:p>
    <w:p>
      <w:pPr>
        <w:spacing w:line="360" w:lineRule="auto"/>
        <w:ind w:firstLine="480" w:firstLineChars="200"/>
        <w:rPr>
          <w:sz w:val="24"/>
        </w:rPr>
      </w:pPr>
      <w:r>
        <w:rPr>
          <w:rFonts w:hint="eastAsia"/>
          <w:sz w:val="24"/>
        </w:rPr>
        <w:t>5.2.1 对厌氧干发酵沼气工程的工艺流程进行了规定。工艺流程包括原料储存与预处理，厌氧干发酵，沼气净化、储存与利用，沼渣与沼液综合利用等。</w:t>
      </w:r>
    </w:p>
    <w:p>
      <w:pPr>
        <w:spacing w:line="360" w:lineRule="auto"/>
        <w:ind w:firstLine="480" w:firstLineChars="200"/>
        <w:rPr>
          <w:sz w:val="24"/>
        </w:rPr>
      </w:pPr>
      <w:r>
        <w:rPr>
          <w:rFonts w:hint="eastAsia"/>
          <w:sz w:val="24"/>
        </w:rPr>
        <w:t>5.2.2 对厌氧干发酵沼气工程的工艺设计图进行了规定。工艺设计图包括工艺流程图、工艺平面图等。</w:t>
      </w:r>
    </w:p>
    <w:p>
      <w:pPr>
        <w:spacing w:line="360" w:lineRule="auto"/>
        <w:ind w:firstLine="480" w:firstLineChars="200"/>
        <w:rPr>
          <w:sz w:val="24"/>
        </w:rPr>
      </w:pPr>
      <w:r>
        <w:rPr>
          <w:rFonts w:hint="eastAsia"/>
          <w:sz w:val="24"/>
        </w:rPr>
        <w:t>5.2.3 对厌氧干发酵沼气工程的具体工艺参数进行了规定。工艺参数包括物料干物质浓度、接种比例、发酵温度、发酵周期、厌氧反应器容积等。序批式厌氧干发酵工程工艺参数还应包括启动间隔、喷淋频率和喷淋量等。</w:t>
      </w:r>
    </w:p>
    <w:p>
      <w:pPr>
        <w:spacing w:before="156" w:beforeLines="50" w:after="156" w:afterLines="50" w:line="360" w:lineRule="auto"/>
        <w:outlineLvl w:val="2"/>
        <w:rPr>
          <w:rFonts w:eastAsia="黑体"/>
          <w:kern w:val="0"/>
          <w:sz w:val="28"/>
          <w:szCs w:val="28"/>
        </w:rPr>
      </w:pPr>
      <w:bookmarkStart w:id="21" w:name="_Toc107299306"/>
      <w:r>
        <w:rPr>
          <w:rFonts w:eastAsia="黑体"/>
          <w:kern w:val="0"/>
          <w:sz w:val="28"/>
          <w:szCs w:val="28"/>
        </w:rPr>
        <w:t>6</w:t>
      </w:r>
      <w:r>
        <w:rPr>
          <w:rFonts w:hint="eastAsia" w:eastAsia="黑体"/>
          <w:kern w:val="0"/>
          <w:sz w:val="28"/>
          <w:szCs w:val="28"/>
        </w:rPr>
        <w:t xml:space="preserve"> 原料储存及预处理</w:t>
      </w:r>
      <w:bookmarkEnd w:id="21"/>
    </w:p>
    <w:p>
      <w:pPr>
        <w:spacing w:line="360" w:lineRule="auto"/>
        <w:rPr>
          <w:b/>
          <w:bCs/>
          <w:sz w:val="24"/>
        </w:rPr>
      </w:pPr>
      <w:r>
        <w:rPr>
          <w:b/>
          <w:bCs/>
          <w:sz w:val="24"/>
        </w:rPr>
        <w:t>6</w:t>
      </w:r>
      <w:r>
        <w:rPr>
          <w:rFonts w:hint="eastAsia"/>
          <w:b/>
          <w:bCs/>
          <w:sz w:val="24"/>
        </w:rPr>
        <w:t>.1 原料特性及储存</w:t>
      </w:r>
    </w:p>
    <w:p>
      <w:pPr>
        <w:spacing w:line="360" w:lineRule="auto"/>
        <w:ind w:firstLine="480" w:firstLineChars="200"/>
        <w:rPr>
          <w:sz w:val="24"/>
        </w:rPr>
      </w:pPr>
      <w:r>
        <w:rPr>
          <w:sz w:val="24"/>
        </w:rPr>
        <w:t>6</w:t>
      </w:r>
      <w:r>
        <w:rPr>
          <w:rFonts w:hint="eastAsia"/>
          <w:sz w:val="24"/>
        </w:rPr>
        <w:t>.</w:t>
      </w:r>
      <w:r>
        <w:rPr>
          <w:sz w:val="24"/>
        </w:rPr>
        <w:t>1</w:t>
      </w:r>
      <w:r>
        <w:rPr>
          <w:rFonts w:hint="eastAsia"/>
          <w:sz w:val="24"/>
        </w:rPr>
        <w:t>.1 规定了沼气发酵的原料的种类及特性。作物秸秆、畜禽粪便等农业有机废弃物可作为厌氧发酵的原料，原料特性应实测确定，无法实测的可参考NY1220.1的相关规定。</w:t>
      </w:r>
    </w:p>
    <w:p>
      <w:pPr>
        <w:spacing w:line="360" w:lineRule="auto"/>
        <w:ind w:firstLine="480" w:firstLineChars="200"/>
        <w:rPr>
          <w:sz w:val="24"/>
        </w:rPr>
      </w:pPr>
      <w:r>
        <w:rPr>
          <w:sz w:val="24"/>
        </w:rPr>
        <w:t>6</w:t>
      </w:r>
      <w:r>
        <w:rPr>
          <w:rFonts w:hint="eastAsia"/>
          <w:sz w:val="24"/>
        </w:rPr>
        <w:t>.</w:t>
      </w:r>
      <w:r>
        <w:rPr>
          <w:sz w:val="24"/>
        </w:rPr>
        <w:t>1</w:t>
      </w:r>
      <w:r>
        <w:rPr>
          <w:rFonts w:hint="eastAsia"/>
          <w:sz w:val="24"/>
        </w:rPr>
        <w:t>.2 规定了秸秆的储存。秸秆宜选用黄贮形式储存，秸秆储存设施容积应根据原料特性、收获次数、储存时间和消耗量等因素综合确定。秸秆原料储存工艺可按照NY/T 2142、NY/T 2853的相关规定执行。</w:t>
      </w:r>
    </w:p>
    <w:p>
      <w:pPr>
        <w:spacing w:line="360" w:lineRule="auto"/>
        <w:ind w:firstLine="480" w:firstLineChars="200"/>
        <w:rPr>
          <w:sz w:val="24"/>
        </w:rPr>
      </w:pPr>
      <w:r>
        <w:rPr>
          <w:sz w:val="24"/>
        </w:rPr>
        <w:t>6</w:t>
      </w:r>
      <w:r>
        <w:rPr>
          <w:rFonts w:hint="eastAsia"/>
          <w:sz w:val="24"/>
        </w:rPr>
        <w:t>.</w:t>
      </w:r>
      <w:r>
        <w:rPr>
          <w:sz w:val="24"/>
        </w:rPr>
        <w:t>1</w:t>
      </w:r>
      <w:r>
        <w:rPr>
          <w:rFonts w:hint="eastAsia"/>
          <w:sz w:val="24"/>
        </w:rPr>
        <w:t>.</w:t>
      </w:r>
      <w:r>
        <w:rPr>
          <w:sz w:val="24"/>
        </w:rPr>
        <w:t xml:space="preserve">3 </w:t>
      </w:r>
      <w:r>
        <w:rPr>
          <w:rFonts w:hint="eastAsia"/>
          <w:sz w:val="24"/>
        </w:rPr>
        <w:t>规定了畜禽粪便等易腐原料的储存要求。由于畜禽粪便具有含水率高、易发酵等特性，因此畜禽粪便等易腐原料应采用随到随用原则收集和使用，易腐原料储存工艺可按照NY/T 2853相关规定执行。</w:t>
      </w:r>
    </w:p>
    <w:p>
      <w:pPr>
        <w:spacing w:line="360" w:lineRule="auto"/>
        <w:rPr>
          <w:b/>
          <w:bCs/>
          <w:sz w:val="24"/>
        </w:rPr>
      </w:pPr>
      <w:r>
        <w:rPr>
          <w:rFonts w:hint="eastAsia"/>
          <w:b/>
          <w:bCs/>
          <w:sz w:val="24"/>
        </w:rPr>
        <w:t>6.2 原料预处理</w:t>
      </w:r>
    </w:p>
    <w:p>
      <w:pPr>
        <w:spacing w:line="360" w:lineRule="auto"/>
        <w:ind w:firstLine="480" w:firstLineChars="200"/>
        <w:rPr>
          <w:sz w:val="24"/>
        </w:rPr>
      </w:pPr>
      <w:r>
        <w:rPr>
          <w:sz w:val="24"/>
        </w:rPr>
        <w:t>6</w:t>
      </w:r>
      <w:r>
        <w:rPr>
          <w:rFonts w:hint="eastAsia"/>
          <w:sz w:val="24"/>
        </w:rPr>
        <w:t>.</w:t>
      </w:r>
      <w:r>
        <w:rPr>
          <w:sz w:val="24"/>
        </w:rPr>
        <w:t>2</w:t>
      </w:r>
      <w:r>
        <w:rPr>
          <w:rFonts w:hint="eastAsia"/>
          <w:sz w:val="24"/>
        </w:rPr>
        <w:t>.1规定了作物秸秆和畜禽粪便等原料的粒径等要求。对秸秆的粒径要求上，结合国内外工程实践经验和目前秸秆收获、储存机具以及相关要求，秸秆原料长度宜为1 cm ~3 cm。秸秆原料预处理工艺可参照NY/T 2142的相关规定执行；同时通过人工或机械挑选的方式剔除不能进入发酵处理的物质、如大块的木头、砂石、塑料等，即对于畜禽粪便、秸秆等原料进料前应进行分选，除去大块砂石等杂质。</w:t>
      </w:r>
    </w:p>
    <w:p>
      <w:pPr>
        <w:spacing w:line="360" w:lineRule="auto"/>
        <w:ind w:firstLine="480" w:firstLineChars="200"/>
        <w:rPr>
          <w:sz w:val="24"/>
        </w:rPr>
      </w:pPr>
      <w:r>
        <w:rPr>
          <w:sz w:val="24"/>
        </w:rPr>
        <w:t>6</w:t>
      </w:r>
      <w:r>
        <w:rPr>
          <w:rFonts w:hint="eastAsia"/>
          <w:sz w:val="24"/>
        </w:rPr>
        <w:t>.</w:t>
      </w:r>
      <w:r>
        <w:rPr>
          <w:sz w:val="24"/>
        </w:rPr>
        <w:t>2</w:t>
      </w:r>
      <w:r>
        <w:rPr>
          <w:rFonts w:hint="eastAsia"/>
          <w:sz w:val="24"/>
        </w:rPr>
        <w:t>.</w:t>
      </w:r>
      <w:r>
        <w:rPr>
          <w:sz w:val="24"/>
        </w:rPr>
        <w:t>2</w:t>
      </w:r>
      <w:r>
        <w:rPr>
          <w:rFonts w:hint="eastAsia"/>
          <w:sz w:val="24"/>
        </w:rPr>
        <w:t>孔隙在一定程度上影响厌氧干发酵的效果。孔隙率过低导致消化液喷淋时无法进入物料内部，物质和热量传递不畅，进而导致厌氧干发酵反应器运行失败。根据国内外调研和专题试验研究，厌氧干发酵沼气工程宜采用秸秆与畜禽粪便等的混合原料，保证堆积物料具有一定的空隙，符合进料装置、罐内搅拌及发酵工艺的要求。混合原料C/N与一般沼气工程一致，保持在20:1~35:1。混合原料的含固率宜为20%~</w:t>
      </w:r>
      <w:r>
        <w:rPr>
          <w:sz w:val="24"/>
        </w:rPr>
        <w:t>4</w:t>
      </w:r>
      <w:r>
        <w:rPr>
          <w:rFonts w:hint="eastAsia"/>
          <w:sz w:val="24"/>
        </w:rPr>
        <w:t>0%。</w:t>
      </w:r>
    </w:p>
    <w:p>
      <w:pPr>
        <w:spacing w:before="156" w:beforeLines="50" w:after="156" w:afterLines="50" w:line="360" w:lineRule="auto"/>
        <w:outlineLvl w:val="2"/>
        <w:rPr>
          <w:rFonts w:eastAsia="黑体"/>
          <w:kern w:val="0"/>
          <w:sz w:val="28"/>
          <w:szCs w:val="28"/>
        </w:rPr>
      </w:pPr>
      <w:bookmarkStart w:id="22" w:name="_Toc107299307"/>
      <w:r>
        <w:rPr>
          <w:rFonts w:eastAsia="黑体"/>
          <w:kern w:val="0"/>
          <w:sz w:val="28"/>
          <w:szCs w:val="28"/>
        </w:rPr>
        <w:t xml:space="preserve">7 </w:t>
      </w:r>
      <w:r>
        <w:rPr>
          <w:rFonts w:hint="eastAsia" w:eastAsia="黑体"/>
          <w:kern w:val="0"/>
          <w:sz w:val="28"/>
          <w:szCs w:val="28"/>
        </w:rPr>
        <w:t>厌氧干发酵</w:t>
      </w:r>
      <w:bookmarkEnd w:id="22"/>
    </w:p>
    <w:p>
      <w:pPr>
        <w:spacing w:line="360" w:lineRule="auto"/>
        <w:rPr>
          <w:b/>
          <w:bCs/>
          <w:sz w:val="24"/>
        </w:rPr>
      </w:pPr>
      <w:r>
        <w:rPr>
          <w:b/>
          <w:bCs/>
          <w:sz w:val="24"/>
        </w:rPr>
        <w:t>7</w:t>
      </w:r>
      <w:r>
        <w:rPr>
          <w:rFonts w:hint="eastAsia"/>
          <w:b/>
          <w:bCs/>
          <w:sz w:val="24"/>
        </w:rPr>
        <w:t>.1 进料</w:t>
      </w:r>
    </w:p>
    <w:p>
      <w:pPr>
        <w:spacing w:line="360" w:lineRule="auto"/>
        <w:ind w:firstLine="480" w:firstLineChars="200"/>
        <w:rPr>
          <w:sz w:val="24"/>
        </w:rPr>
      </w:pPr>
      <w:r>
        <w:rPr>
          <w:sz w:val="24"/>
        </w:rPr>
        <w:t>7</w:t>
      </w:r>
      <w:r>
        <w:rPr>
          <w:rFonts w:hint="eastAsia"/>
          <w:sz w:val="24"/>
        </w:rPr>
        <w:t>.</w:t>
      </w:r>
      <w:r>
        <w:rPr>
          <w:sz w:val="24"/>
        </w:rPr>
        <w:t>1</w:t>
      </w:r>
      <w:r>
        <w:rPr>
          <w:rFonts w:hint="eastAsia"/>
          <w:sz w:val="24"/>
        </w:rPr>
        <w:t>.1</w:t>
      </w:r>
      <w:r>
        <w:rPr>
          <w:sz w:val="24"/>
        </w:rPr>
        <w:t xml:space="preserve"> </w:t>
      </w:r>
      <w:r>
        <w:rPr>
          <w:rFonts w:hint="eastAsia"/>
          <w:sz w:val="24"/>
        </w:rPr>
        <w:t>对厌氧干发酵沼气工程的进料方式进行了规定。序批式厌氧干发酵沼气工程宜采用铲车、物料传送带等机械设备进料，连续式厌氧干发酵沼气工程宜采用反应器传动轴、螺旋输送、柱塞泵等机械设备进料，应避免物料运输过程中的散落。</w:t>
      </w:r>
    </w:p>
    <w:p>
      <w:pPr>
        <w:spacing w:line="360" w:lineRule="auto"/>
        <w:ind w:firstLine="480" w:firstLineChars="200"/>
        <w:rPr>
          <w:sz w:val="24"/>
        </w:rPr>
      </w:pPr>
      <w:r>
        <w:rPr>
          <w:sz w:val="24"/>
        </w:rPr>
        <w:t>7</w:t>
      </w:r>
      <w:r>
        <w:rPr>
          <w:rFonts w:hint="eastAsia"/>
          <w:sz w:val="24"/>
        </w:rPr>
        <w:t>.</w:t>
      </w:r>
      <w:r>
        <w:rPr>
          <w:sz w:val="24"/>
        </w:rPr>
        <w:t>1</w:t>
      </w:r>
      <w:r>
        <w:rPr>
          <w:rFonts w:hint="eastAsia"/>
          <w:sz w:val="24"/>
        </w:rPr>
        <w:t>.</w:t>
      </w:r>
      <w:r>
        <w:rPr>
          <w:sz w:val="24"/>
        </w:rPr>
        <w:t>2</w:t>
      </w:r>
      <w:r>
        <w:rPr>
          <w:rFonts w:hint="eastAsia"/>
          <w:sz w:val="24"/>
        </w:rPr>
        <w:t xml:space="preserve"> 规定了厌氧反应器进料结束后密封的要求。根据国内外实地调研，并咨询相关运行管理人员，序批式厌氧反应器进料后应关闭密封门，连续式厌氧反应器进料口宜通入反应器物料液面之下进行密封，密封工艺应符合GB/T 51063、NY/T 3612的相关规定。</w:t>
      </w:r>
    </w:p>
    <w:p>
      <w:pPr>
        <w:spacing w:line="360" w:lineRule="auto"/>
        <w:ind w:firstLine="480" w:firstLineChars="200"/>
        <w:rPr>
          <w:sz w:val="24"/>
        </w:rPr>
      </w:pPr>
      <w:r>
        <w:rPr>
          <w:rFonts w:hint="eastAsia"/>
          <w:sz w:val="24"/>
        </w:rPr>
        <w:t>7.1.3 由于厌氧干发酵物料含固率较高（&gt;</w:t>
      </w:r>
      <w:r>
        <w:rPr>
          <w:sz w:val="24"/>
        </w:rPr>
        <w:t>20%</w:t>
      </w:r>
      <w:r>
        <w:rPr>
          <w:rFonts w:hint="eastAsia"/>
          <w:sz w:val="24"/>
        </w:rPr>
        <w:t>），在启动初期，厌氧发酵系统的有机负荷很高，并且发酵过程中未设置搅拌，因此在启动初期必须进行接种，以保证发酵过程中系统内厌氧微生物数量充足。经过国内外实地调研和专题试验研究，结合专家意见，厌氧干发酵沼气工程宜采用工程自身充分发酵的沼渣作为接种物，接种比例宜为进料干重的20%以上。接种物应与原料充分混合后向反应器内进料。</w:t>
      </w:r>
    </w:p>
    <w:p>
      <w:pPr>
        <w:spacing w:line="360" w:lineRule="auto"/>
        <w:rPr>
          <w:b/>
          <w:bCs/>
          <w:sz w:val="24"/>
        </w:rPr>
      </w:pPr>
      <w:r>
        <w:rPr>
          <w:b/>
          <w:bCs/>
          <w:sz w:val="24"/>
        </w:rPr>
        <w:t>7</w:t>
      </w:r>
      <w:r>
        <w:rPr>
          <w:rFonts w:hint="eastAsia"/>
          <w:b/>
          <w:bCs/>
          <w:sz w:val="24"/>
        </w:rPr>
        <w:t>.</w:t>
      </w:r>
      <w:r>
        <w:rPr>
          <w:b/>
          <w:bCs/>
          <w:sz w:val="24"/>
        </w:rPr>
        <w:t>2</w:t>
      </w:r>
      <w:r>
        <w:rPr>
          <w:rFonts w:hint="eastAsia"/>
          <w:b/>
          <w:bCs/>
          <w:sz w:val="24"/>
        </w:rPr>
        <w:t xml:space="preserve"> 厌氧发酵</w:t>
      </w:r>
    </w:p>
    <w:p>
      <w:pPr>
        <w:spacing w:line="360" w:lineRule="auto"/>
        <w:ind w:firstLine="480" w:firstLineChars="200"/>
        <w:rPr>
          <w:sz w:val="24"/>
        </w:rPr>
      </w:pPr>
      <w:r>
        <w:rPr>
          <w:sz w:val="24"/>
        </w:rPr>
        <w:t>7</w:t>
      </w:r>
      <w:r>
        <w:rPr>
          <w:rFonts w:hint="eastAsia"/>
          <w:sz w:val="24"/>
        </w:rPr>
        <w:t>.</w:t>
      </w:r>
      <w:r>
        <w:rPr>
          <w:sz w:val="24"/>
        </w:rPr>
        <w:t>2</w:t>
      </w:r>
      <w:r>
        <w:rPr>
          <w:rFonts w:hint="eastAsia"/>
          <w:sz w:val="24"/>
        </w:rPr>
        <w:t>.</w:t>
      </w:r>
      <w:r>
        <w:rPr>
          <w:sz w:val="24"/>
        </w:rPr>
        <w:t>1</w:t>
      </w:r>
      <w:r>
        <w:rPr>
          <w:rFonts w:hint="eastAsia"/>
          <w:sz w:val="24"/>
        </w:rPr>
        <w:t xml:space="preserve"> 规定了厌氧干发酵沼气工程反应器规模的要求。为保持序批式厌氧干发酵沼气工程稳定输出沼气，应建设不少于3个厌氧反应器，反应器单体规模应根据原料日处理量或产生量、固体停留时间、反应器启动间隔等综合确定。连续式厌氧干发酵反应器规模应根据原料日处理量或产生量、固体停留时间综合确定。</w:t>
      </w:r>
    </w:p>
    <w:p>
      <w:pPr>
        <w:spacing w:line="360" w:lineRule="auto"/>
        <w:ind w:firstLine="480" w:firstLineChars="200"/>
        <w:rPr>
          <w:sz w:val="24"/>
        </w:rPr>
      </w:pPr>
      <w:r>
        <w:rPr>
          <w:sz w:val="24"/>
        </w:rPr>
        <w:t>7</w:t>
      </w:r>
      <w:r>
        <w:rPr>
          <w:rFonts w:hint="eastAsia"/>
          <w:sz w:val="24"/>
        </w:rPr>
        <w:t>.</w:t>
      </w:r>
      <w:r>
        <w:rPr>
          <w:sz w:val="24"/>
        </w:rPr>
        <w:t>2</w:t>
      </w:r>
      <w:r>
        <w:rPr>
          <w:rFonts w:hint="eastAsia"/>
          <w:sz w:val="24"/>
        </w:rPr>
        <w:t>.</w:t>
      </w:r>
      <w:r>
        <w:rPr>
          <w:sz w:val="24"/>
        </w:rPr>
        <w:t>2</w:t>
      </w:r>
      <w:r>
        <w:rPr>
          <w:rFonts w:hint="eastAsia"/>
          <w:sz w:val="24"/>
        </w:rPr>
        <w:t xml:space="preserve"> 规定了厌氧干发酵沼气工程发酵温度的要求。温度是影响厌氧干发酵效率的重要因素，根据国外先进经验，温度日变化超过2℃，将导致发酵过程不稳定，对混合物料按照工艺参数启动厌氧干发酵，厌氧干发酵宜采用中高温发酵，</w:t>
      </w:r>
      <w:r>
        <w:rPr>
          <w:sz w:val="24"/>
        </w:rPr>
        <w:t>中温温度宜为35 ℃～45 ℃，高温温度宜为50 ℃～60 ℃</w:t>
      </w:r>
      <w:r>
        <w:rPr>
          <w:rFonts w:hint="eastAsia"/>
          <w:sz w:val="24"/>
        </w:rPr>
        <w:t>。厌氧干发酵沼气工程包括增温工序，厌氧干发酵沼气工程作为大中型沼气工程的一种类型，增温工艺应按照NY/T 1220.1的相关规定执行。</w:t>
      </w:r>
    </w:p>
    <w:p>
      <w:pPr>
        <w:spacing w:line="360" w:lineRule="auto"/>
        <w:ind w:firstLine="480" w:firstLineChars="200"/>
        <w:rPr>
          <w:sz w:val="24"/>
        </w:rPr>
      </w:pPr>
      <w:r>
        <w:rPr>
          <w:sz w:val="24"/>
        </w:rPr>
        <w:t>7</w:t>
      </w:r>
      <w:r>
        <w:rPr>
          <w:rFonts w:hint="eastAsia"/>
          <w:sz w:val="24"/>
        </w:rPr>
        <w:t>.</w:t>
      </w:r>
      <w:r>
        <w:rPr>
          <w:sz w:val="24"/>
        </w:rPr>
        <w:t>2</w:t>
      </w:r>
      <w:r>
        <w:rPr>
          <w:rFonts w:hint="eastAsia"/>
          <w:sz w:val="24"/>
        </w:rPr>
        <w:t>.</w:t>
      </w:r>
      <w:r>
        <w:rPr>
          <w:sz w:val="24"/>
        </w:rPr>
        <w:t>5</w:t>
      </w:r>
      <w:r>
        <w:rPr>
          <w:rFonts w:hint="eastAsia"/>
          <w:sz w:val="24"/>
        </w:rPr>
        <w:t xml:space="preserve"> 规定了厌氧干发酵反应器发酵周期的要求。发酵周期应根据原料特性、发酵工艺综合确定。根据实际调研和实验室研究，对于作物秸秆与畜禽粪便混合原料，序批式厌氧干发酵沼气工程单个反应器发酵周期宜为30天~45天，连续式厌氧干发酵沼气工程反应器固体停留时间宜为25天~30天。</w:t>
      </w:r>
    </w:p>
    <w:p>
      <w:pPr>
        <w:spacing w:line="360" w:lineRule="auto"/>
        <w:rPr>
          <w:b/>
          <w:bCs/>
          <w:sz w:val="24"/>
        </w:rPr>
      </w:pPr>
      <w:r>
        <w:rPr>
          <w:b/>
          <w:bCs/>
          <w:sz w:val="24"/>
        </w:rPr>
        <w:t>7</w:t>
      </w:r>
      <w:r>
        <w:rPr>
          <w:rFonts w:hint="eastAsia"/>
          <w:b/>
          <w:bCs/>
          <w:sz w:val="24"/>
        </w:rPr>
        <w:t>.</w:t>
      </w:r>
      <w:r>
        <w:rPr>
          <w:b/>
          <w:bCs/>
          <w:sz w:val="24"/>
        </w:rPr>
        <w:t>3</w:t>
      </w:r>
      <w:r>
        <w:rPr>
          <w:rFonts w:hint="eastAsia"/>
          <w:b/>
          <w:bCs/>
          <w:sz w:val="24"/>
        </w:rPr>
        <w:t xml:space="preserve"> 出料</w:t>
      </w:r>
    </w:p>
    <w:p>
      <w:pPr>
        <w:spacing w:line="360" w:lineRule="auto"/>
        <w:ind w:firstLine="480" w:firstLineChars="200"/>
        <w:rPr>
          <w:sz w:val="24"/>
        </w:rPr>
      </w:pPr>
      <w:r>
        <w:rPr>
          <w:rFonts w:hint="eastAsia"/>
          <w:sz w:val="24"/>
        </w:rPr>
        <w:t>7.3.1 对序批式厌氧干发酵沼气工程的出料方式进行了规定。在出料时，为确保安全，保证操作人员健康，应首先充入CO</w:t>
      </w:r>
      <w:r>
        <w:rPr>
          <w:rFonts w:hint="eastAsia"/>
          <w:sz w:val="24"/>
          <w:vertAlign w:val="subscript"/>
        </w:rPr>
        <w:t>2</w:t>
      </w:r>
      <w:r>
        <w:rPr>
          <w:rFonts w:hint="eastAsia"/>
          <w:sz w:val="24"/>
        </w:rPr>
        <w:t>、N</w:t>
      </w:r>
      <w:r>
        <w:rPr>
          <w:rFonts w:hint="eastAsia"/>
          <w:sz w:val="24"/>
          <w:vertAlign w:val="subscript"/>
        </w:rPr>
        <w:t>2</w:t>
      </w:r>
      <w:r>
        <w:rPr>
          <w:rFonts w:hint="eastAsia"/>
          <w:sz w:val="24"/>
        </w:rPr>
        <w:t>等惰性气体，将厌氧反应器内气体中CH</w:t>
      </w:r>
      <w:r>
        <w:rPr>
          <w:rFonts w:hint="eastAsia"/>
          <w:sz w:val="24"/>
          <w:vertAlign w:val="subscript"/>
        </w:rPr>
        <w:t>4</w:t>
      </w:r>
      <w:r>
        <w:rPr>
          <w:rFonts w:hint="eastAsia"/>
          <w:sz w:val="24"/>
        </w:rPr>
        <w:t>和H</w:t>
      </w:r>
      <w:r>
        <w:rPr>
          <w:rFonts w:hint="eastAsia"/>
          <w:sz w:val="24"/>
          <w:vertAlign w:val="subscript"/>
        </w:rPr>
        <w:t>2</w:t>
      </w:r>
      <w:r>
        <w:rPr>
          <w:rFonts w:hint="eastAsia"/>
          <w:sz w:val="24"/>
        </w:rPr>
        <w:t>S排出。根据甲烷爆炸极限规范，甲烷浓度低于1%不会发生爆炸等安全问题，硫化氢浓度低于</w:t>
      </w:r>
      <w:r>
        <w:rPr>
          <w:sz w:val="24"/>
        </w:rPr>
        <w:t xml:space="preserve">10 </w:t>
      </w:r>
      <w:r>
        <w:rPr>
          <w:rFonts w:hint="eastAsia"/>
          <w:sz w:val="24"/>
        </w:rPr>
        <w:t>mg</w:t>
      </w:r>
      <w:r>
        <w:rPr>
          <w:sz w:val="24"/>
        </w:rPr>
        <w:t>/m</w:t>
      </w:r>
      <w:r>
        <w:rPr>
          <w:sz w:val="24"/>
          <w:vertAlign w:val="superscript"/>
        </w:rPr>
        <w:t>3</w:t>
      </w:r>
      <w:r>
        <w:rPr>
          <w:rFonts w:hint="eastAsia"/>
          <w:sz w:val="24"/>
        </w:rPr>
        <w:t>时，根据职业卫生规范，可以保证操作人员的身体健康。此时，可以打开反应器进行</w:t>
      </w:r>
      <w:r>
        <w:rPr>
          <w:sz w:val="24"/>
        </w:rPr>
        <w:t>强制通风</w:t>
      </w:r>
      <w:r>
        <w:rPr>
          <w:rFonts w:hint="eastAsia"/>
          <w:sz w:val="24"/>
        </w:rPr>
        <w:t>，人工驾驶铲车</w:t>
      </w:r>
      <w:r>
        <w:rPr>
          <w:sz w:val="24"/>
        </w:rPr>
        <w:t>出料</w:t>
      </w:r>
      <w:r>
        <w:rPr>
          <w:rFonts w:hint="eastAsia"/>
          <w:sz w:val="24"/>
        </w:rPr>
        <w:t>。CH</w:t>
      </w:r>
      <w:r>
        <w:rPr>
          <w:rFonts w:hint="eastAsia"/>
          <w:sz w:val="24"/>
          <w:vertAlign w:val="subscript"/>
        </w:rPr>
        <w:t>4</w:t>
      </w:r>
      <w:r>
        <w:rPr>
          <w:rFonts w:hint="eastAsia"/>
          <w:sz w:val="24"/>
        </w:rPr>
        <w:t>和H</w:t>
      </w:r>
      <w:r>
        <w:rPr>
          <w:rFonts w:hint="eastAsia"/>
          <w:sz w:val="24"/>
          <w:vertAlign w:val="subscript"/>
        </w:rPr>
        <w:t>2</w:t>
      </w:r>
      <w:r>
        <w:rPr>
          <w:rFonts w:hint="eastAsia"/>
          <w:sz w:val="24"/>
        </w:rPr>
        <w:t>S安全浓度分别参照GB/T 51063大中型沼气技术规范、GBZ/T 259 硫化氢职业危害防护导则制定。</w:t>
      </w:r>
    </w:p>
    <w:p>
      <w:pPr>
        <w:spacing w:line="360" w:lineRule="auto"/>
        <w:ind w:firstLine="480" w:firstLineChars="200"/>
        <w:rPr>
          <w:sz w:val="24"/>
        </w:rPr>
      </w:pPr>
      <w:r>
        <w:rPr>
          <w:rFonts w:hint="eastAsia"/>
          <w:sz w:val="24"/>
        </w:rPr>
        <w:t>7.3.2 对连续式厌氧干发酵沼气工程的出料方式进行了规定。连续式厌氧干发酵沼气工程按照固体停留时间由反应器传动轴或泵出料，出料量应小于进料量，保证反应器内物料平衡。</w:t>
      </w:r>
    </w:p>
    <w:p>
      <w:pPr>
        <w:spacing w:before="156" w:beforeLines="50" w:after="156" w:afterLines="50" w:line="360" w:lineRule="auto"/>
        <w:outlineLvl w:val="2"/>
        <w:rPr>
          <w:rFonts w:eastAsia="黑体"/>
          <w:kern w:val="0"/>
          <w:sz w:val="28"/>
          <w:szCs w:val="28"/>
        </w:rPr>
      </w:pPr>
      <w:bookmarkStart w:id="23" w:name="_Toc107299308"/>
      <w:r>
        <w:rPr>
          <w:rFonts w:eastAsia="黑体"/>
          <w:kern w:val="0"/>
          <w:sz w:val="28"/>
          <w:szCs w:val="28"/>
        </w:rPr>
        <w:t>8</w:t>
      </w:r>
      <w:r>
        <w:rPr>
          <w:rFonts w:hint="eastAsia" w:eastAsia="黑体"/>
          <w:kern w:val="0"/>
          <w:sz w:val="28"/>
          <w:szCs w:val="28"/>
        </w:rPr>
        <w:t xml:space="preserve"> 沼气净化、储存与利用</w:t>
      </w:r>
      <w:bookmarkEnd w:id="23"/>
    </w:p>
    <w:p>
      <w:pPr>
        <w:spacing w:line="360" w:lineRule="auto"/>
        <w:rPr>
          <w:b/>
          <w:bCs/>
          <w:sz w:val="24"/>
        </w:rPr>
      </w:pPr>
      <w:r>
        <w:rPr>
          <w:b/>
          <w:bCs/>
          <w:sz w:val="24"/>
        </w:rPr>
        <w:t>8</w:t>
      </w:r>
      <w:r>
        <w:rPr>
          <w:rFonts w:hint="eastAsia"/>
          <w:b/>
          <w:bCs/>
          <w:sz w:val="24"/>
        </w:rPr>
        <w:t>.</w:t>
      </w:r>
      <w:r>
        <w:rPr>
          <w:b/>
          <w:bCs/>
          <w:sz w:val="24"/>
        </w:rPr>
        <w:t>1</w:t>
      </w:r>
      <w:r>
        <w:rPr>
          <w:rFonts w:hint="eastAsia"/>
          <w:b/>
          <w:bCs/>
          <w:sz w:val="24"/>
        </w:rPr>
        <w:t xml:space="preserve"> 沼气净化与储存</w:t>
      </w:r>
    </w:p>
    <w:p>
      <w:pPr>
        <w:spacing w:line="360" w:lineRule="auto"/>
        <w:ind w:firstLine="480" w:firstLineChars="200"/>
        <w:rPr>
          <w:sz w:val="24"/>
        </w:rPr>
      </w:pPr>
      <w:r>
        <w:rPr>
          <w:rFonts w:hint="eastAsia"/>
          <w:sz w:val="24"/>
        </w:rPr>
        <w:t>8.1.1 对厌氧干发酵沼气工程的沼气净化进行了规定。厌氧干发酵沼气工程所产生的沼气与一般大中型沼气工程一致，沼气净化工艺应符合NY/T 1220.1、GB/T 51063的相关规定。</w:t>
      </w:r>
    </w:p>
    <w:p>
      <w:pPr>
        <w:spacing w:line="360" w:lineRule="auto"/>
        <w:ind w:firstLine="480" w:firstLineChars="200"/>
        <w:rPr>
          <w:sz w:val="24"/>
        </w:rPr>
      </w:pPr>
      <w:r>
        <w:rPr>
          <w:rFonts w:hint="eastAsia"/>
          <w:sz w:val="24"/>
        </w:rPr>
        <w:t>8.1.</w:t>
      </w:r>
      <w:r>
        <w:rPr>
          <w:sz w:val="24"/>
        </w:rPr>
        <w:t>2</w:t>
      </w:r>
      <w:r>
        <w:rPr>
          <w:rFonts w:hint="eastAsia"/>
          <w:sz w:val="24"/>
        </w:rPr>
        <w:t xml:space="preserve"> 厌氧干发酵产生的沼气应经过脱水、脱硫处理后进入沼气储存和输配系统。厌氧干发酵沼气工程所产生的沼气与一般大中型沼气工程一致，其沼气储存应符合</w:t>
      </w:r>
      <w:r>
        <w:rPr>
          <w:sz w:val="24"/>
        </w:rPr>
        <w:t>NY/T 1220.1</w:t>
      </w:r>
      <w:r>
        <w:rPr>
          <w:rFonts w:hint="eastAsia"/>
          <w:sz w:val="24"/>
        </w:rPr>
        <w:t>的相关规定，储气装置技术条件应符合NY/T 2598的相关规定。</w:t>
      </w:r>
    </w:p>
    <w:p>
      <w:pPr>
        <w:spacing w:line="360" w:lineRule="auto"/>
        <w:rPr>
          <w:b/>
          <w:bCs/>
          <w:sz w:val="24"/>
        </w:rPr>
      </w:pPr>
      <w:r>
        <w:rPr>
          <w:b/>
          <w:bCs/>
          <w:sz w:val="24"/>
        </w:rPr>
        <w:t>8</w:t>
      </w:r>
      <w:r>
        <w:rPr>
          <w:rFonts w:hint="eastAsia"/>
          <w:b/>
          <w:bCs/>
          <w:sz w:val="24"/>
        </w:rPr>
        <w:t>.</w:t>
      </w:r>
      <w:r>
        <w:rPr>
          <w:b/>
          <w:bCs/>
          <w:sz w:val="24"/>
        </w:rPr>
        <w:t>2</w:t>
      </w:r>
      <w:r>
        <w:rPr>
          <w:rFonts w:hint="eastAsia"/>
          <w:b/>
          <w:bCs/>
          <w:sz w:val="24"/>
        </w:rPr>
        <w:t xml:space="preserve"> 沼气利用</w:t>
      </w:r>
    </w:p>
    <w:p>
      <w:pPr>
        <w:spacing w:line="360" w:lineRule="auto"/>
        <w:ind w:firstLine="480" w:firstLineChars="200"/>
        <w:rPr>
          <w:sz w:val="24"/>
        </w:rPr>
      </w:pPr>
      <w:r>
        <w:rPr>
          <w:rFonts w:hint="eastAsia"/>
          <w:sz w:val="24"/>
        </w:rPr>
        <w:t>8.</w:t>
      </w:r>
      <w:r>
        <w:rPr>
          <w:sz w:val="24"/>
        </w:rPr>
        <w:t>2</w:t>
      </w:r>
      <w:r>
        <w:rPr>
          <w:rFonts w:hint="eastAsia"/>
          <w:sz w:val="24"/>
        </w:rPr>
        <w:t>.1 沼气用于集中供气工程应符合NY/T 1220.2的相关规定。</w:t>
      </w:r>
    </w:p>
    <w:p>
      <w:pPr>
        <w:spacing w:line="360" w:lineRule="auto"/>
        <w:ind w:firstLine="480" w:firstLineChars="200"/>
        <w:rPr>
          <w:sz w:val="24"/>
        </w:rPr>
      </w:pPr>
      <w:r>
        <w:rPr>
          <w:rFonts w:hint="eastAsia"/>
          <w:sz w:val="24"/>
        </w:rPr>
        <w:t>8.</w:t>
      </w:r>
      <w:r>
        <w:rPr>
          <w:sz w:val="24"/>
        </w:rPr>
        <w:t>2</w:t>
      </w:r>
      <w:r>
        <w:rPr>
          <w:rFonts w:hint="eastAsia"/>
          <w:sz w:val="24"/>
        </w:rPr>
        <w:t>.</w:t>
      </w:r>
      <w:r>
        <w:rPr>
          <w:sz w:val="24"/>
        </w:rPr>
        <w:t>2</w:t>
      </w:r>
      <w:r>
        <w:rPr>
          <w:rFonts w:hint="eastAsia"/>
          <w:sz w:val="24"/>
        </w:rPr>
        <w:t xml:space="preserve"> 沼气用于发电工程应符合NY/T 1704的相关规定。</w:t>
      </w:r>
    </w:p>
    <w:p>
      <w:pPr>
        <w:spacing w:line="360" w:lineRule="auto"/>
        <w:ind w:firstLine="480" w:firstLineChars="200"/>
        <w:rPr>
          <w:sz w:val="24"/>
        </w:rPr>
      </w:pPr>
      <w:r>
        <w:rPr>
          <w:rFonts w:hint="eastAsia"/>
          <w:sz w:val="24"/>
        </w:rPr>
        <w:t>8.</w:t>
      </w:r>
      <w:r>
        <w:rPr>
          <w:sz w:val="24"/>
        </w:rPr>
        <w:t>2</w:t>
      </w:r>
      <w:r>
        <w:rPr>
          <w:rFonts w:hint="eastAsia"/>
          <w:sz w:val="24"/>
        </w:rPr>
        <w:t>.</w:t>
      </w:r>
      <w:r>
        <w:rPr>
          <w:sz w:val="24"/>
        </w:rPr>
        <w:t>3</w:t>
      </w:r>
      <w:r>
        <w:rPr>
          <w:rFonts w:hint="eastAsia"/>
          <w:sz w:val="24"/>
        </w:rPr>
        <w:t>沼气用于提纯为生物天然气应符合NB/T 10136的相关规定。</w:t>
      </w:r>
    </w:p>
    <w:p>
      <w:pPr>
        <w:spacing w:before="156" w:beforeLines="50" w:after="156" w:afterLines="50" w:line="360" w:lineRule="auto"/>
        <w:outlineLvl w:val="2"/>
        <w:rPr>
          <w:rFonts w:eastAsia="黑体"/>
          <w:kern w:val="0"/>
          <w:sz w:val="28"/>
          <w:szCs w:val="28"/>
        </w:rPr>
      </w:pPr>
      <w:bookmarkStart w:id="24" w:name="_Toc107299309"/>
      <w:r>
        <w:rPr>
          <w:rFonts w:eastAsia="黑体"/>
          <w:kern w:val="0"/>
          <w:sz w:val="28"/>
          <w:szCs w:val="28"/>
        </w:rPr>
        <w:t>9</w:t>
      </w:r>
      <w:r>
        <w:rPr>
          <w:rFonts w:hint="eastAsia" w:eastAsia="黑体"/>
          <w:kern w:val="0"/>
          <w:sz w:val="28"/>
          <w:szCs w:val="28"/>
        </w:rPr>
        <w:t xml:space="preserve"> 沼渣与沼液利用</w:t>
      </w:r>
      <w:bookmarkEnd w:id="24"/>
    </w:p>
    <w:p>
      <w:pPr>
        <w:spacing w:line="360" w:lineRule="auto"/>
        <w:rPr>
          <w:b/>
          <w:bCs/>
          <w:sz w:val="24"/>
        </w:rPr>
      </w:pPr>
      <w:r>
        <w:rPr>
          <w:b/>
          <w:bCs/>
          <w:sz w:val="24"/>
        </w:rPr>
        <w:t>9</w:t>
      </w:r>
      <w:r>
        <w:rPr>
          <w:rFonts w:hint="eastAsia"/>
          <w:b/>
          <w:bCs/>
          <w:sz w:val="24"/>
        </w:rPr>
        <w:t>.1 沼渣利用</w:t>
      </w:r>
    </w:p>
    <w:p>
      <w:pPr>
        <w:spacing w:line="360" w:lineRule="auto"/>
        <w:ind w:firstLine="480" w:firstLineChars="200"/>
        <w:rPr>
          <w:sz w:val="24"/>
        </w:rPr>
      </w:pPr>
      <w:r>
        <w:rPr>
          <w:rFonts w:hint="eastAsia"/>
          <w:sz w:val="24"/>
        </w:rPr>
        <w:t>9.1.1 对沼渣利用进行了规定。沼渣应首先返混用于厌氧干发酵接种。剩余沼渣通过好氧发酵技术制备有机肥、垫料或基质等，制备工艺应符合NY/T 2374、DB13/T 5428的相关规定。</w:t>
      </w:r>
    </w:p>
    <w:p>
      <w:pPr>
        <w:spacing w:line="360" w:lineRule="auto"/>
        <w:ind w:firstLine="480" w:firstLineChars="200"/>
        <w:rPr>
          <w:sz w:val="24"/>
        </w:rPr>
      </w:pPr>
      <w:r>
        <w:rPr>
          <w:rFonts w:hint="eastAsia"/>
          <w:sz w:val="24"/>
        </w:rPr>
        <w:t>9.1.2 对沼渣肥进行了规定。制备后的沼渣肥应符合NY/T 2596相关规定。</w:t>
      </w:r>
    </w:p>
    <w:p>
      <w:pPr>
        <w:spacing w:line="360" w:lineRule="auto"/>
        <w:rPr>
          <w:b/>
          <w:bCs/>
          <w:sz w:val="24"/>
        </w:rPr>
      </w:pPr>
      <w:r>
        <w:rPr>
          <w:b/>
          <w:bCs/>
          <w:sz w:val="24"/>
        </w:rPr>
        <w:t>9</w:t>
      </w:r>
      <w:r>
        <w:rPr>
          <w:rFonts w:hint="eastAsia"/>
          <w:b/>
          <w:bCs/>
          <w:sz w:val="24"/>
        </w:rPr>
        <w:t>.2 沼液利用</w:t>
      </w:r>
    </w:p>
    <w:p>
      <w:pPr>
        <w:spacing w:line="360" w:lineRule="auto"/>
        <w:ind w:firstLine="480" w:firstLineChars="200"/>
        <w:rPr>
          <w:sz w:val="24"/>
        </w:rPr>
      </w:pPr>
      <w:r>
        <w:rPr>
          <w:rFonts w:hint="eastAsia"/>
          <w:sz w:val="24"/>
        </w:rPr>
        <w:t>9.2.1对沼液利用进行了规定。沼液应首先回流用于喷淋，剩余沼液进一步沉淀、过滤等处理后用于灌溉、制备水溶肥和浓缩肥等。沼液后处理技术应符合NY/T 2374的相关规定。</w:t>
      </w:r>
    </w:p>
    <w:p>
      <w:pPr>
        <w:spacing w:line="360" w:lineRule="auto"/>
        <w:ind w:firstLine="480" w:firstLineChars="200"/>
        <w:rPr>
          <w:sz w:val="24"/>
        </w:rPr>
      </w:pPr>
      <w:r>
        <w:rPr>
          <w:rFonts w:hint="eastAsia"/>
          <w:sz w:val="24"/>
        </w:rPr>
        <w:t>9.2.2 对沼液肥及其沼液施用进行了规定。沼液肥应符合GB/T 40750、NY/T 2596相关规定，沼液施用应符合NY/T 2065的相关规定。</w:t>
      </w:r>
    </w:p>
    <w:p>
      <w:pPr>
        <w:spacing w:before="156" w:beforeLines="50" w:after="156" w:afterLines="50" w:line="360" w:lineRule="auto"/>
        <w:outlineLvl w:val="2"/>
        <w:rPr>
          <w:rFonts w:eastAsia="黑体"/>
          <w:kern w:val="0"/>
          <w:sz w:val="28"/>
          <w:szCs w:val="28"/>
        </w:rPr>
      </w:pPr>
      <w:bookmarkStart w:id="25" w:name="_Toc107299310"/>
      <w:r>
        <w:rPr>
          <w:rFonts w:eastAsia="黑体"/>
          <w:kern w:val="0"/>
          <w:sz w:val="28"/>
          <w:szCs w:val="28"/>
        </w:rPr>
        <w:t>10</w:t>
      </w:r>
      <w:r>
        <w:rPr>
          <w:rFonts w:hint="eastAsia" w:eastAsia="黑体"/>
          <w:kern w:val="0"/>
          <w:sz w:val="28"/>
          <w:szCs w:val="28"/>
        </w:rPr>
        <w:t xml:space="preserve"> 其他</w:t>
      </w:r>
      <w:bookmarkEnd w:id="25"/>
    </w:p>
    <w:p>
      <w:pPr>
        <w:spacing w:line="360" w:lineRule="auto"/>
        <w:ind w:firstLine="480" w:firstLineChars="200"/>
        <w:rPr>
          <w:sz w:val="24"/>
        </w:rPr>
      </w:pPr>
      <w:r>
        <w:rPr>
          <w:rFonts w:hint="eastAsia"/>
          <w:sz w:val="24"/>
        </w:rPr>
        <w:t>厌氧干发酵沼气工程内电气、给排水、环保与节能等工艺设计应符合GB/T 51063、NY/T 1220.1的相关规定。消防与安全应符合GB/T 51063、NY/T 3437的相关规定。</w:t>
      </w:r>
    </w:p>
    <w:p>
      <w:pPr>
        <w:tabs>
          <w:tab w:val="left" w:pos="6884"/>
        </w:tabs>
        <w:spacing w:before="156" w:beforeLines="50" w:after="156" w:afterLines="50" w:line="360" w:lineRule="auto"/>
        <w:outlineLvl w:val="0"/>
        <w:rPr>
          <w:rFonts w:eastAsia="黑体"/>
          <w:kern w:val="0"/>
          <w:sz w:val="28"/>
          <w:szCs w:val="28"/>
        </w:rPr>
      </w:pPr>
      <w:bookmarkStart w:id="26" w:name="_Toc107299311"/>
      <w:r>
        <w:rPr>
          <w:rFonts w:eastAsia="黑体"/>
          <w:kern w:val="0"/>
          <w:sz w:val="28"/>
          <w:szCs w:val="28"/>
        </w:rPr>
        <w:t>五、与国内外同类标准水平的对比情况</w:t>
      </w:r>
      <w:bookmarkEnd w:id="26"/>
    </w:p>
    <w:p>
      <w:pPr>
        <w:spacing w:line="360" w:lineRule="auto"/>
        <w:ind w:firstLine="480"/>
        <w:rPr>
          <w:bCs/>
          <w:sz w:val="24"/>
        </w:rPr>
      </w:pPr>
      <w:r>
        <w:rPr>
          <w:rFonts w:hint="eastAsia"/>
          <w:bCs/>
          <w:sz w:val="24"/>
        </w:rPr>
        <w:t>在</w:t>
      </w:r>
      <w:r>
        <w:rPr>
          <w:bCs/>
          <w:sz w:val="24"/>
        </w:rPr>
        <w:t>河北省</w:t>
      </w:r>
      <w:r>
        <w:rPr>
          <w:rFonts w:hint="eastAsia"/>
          <w:bCs/>
          <w:sz w:val="24"/>
        </w:rPr>
        <w:t>标准文献共享平台</w:t>
      </w:r>
      <w:r>
        <w:rPr>
          <w:bCs/>
          <w:sz w:val="24"/>
        </w:rPr>
        <w:t>（</w:t>
      </w:r>
      <w:r>
        <w:fldChar w:fldCharType="begin"/>
      </w:r>
      <w:r>
        <w:instrText xml:space="preserve"> HYPERLINK "http://www.bzsb.info" </w:instrText>
      </w:r>
      <w:r>
        <w:fldChar w:fldCharType="separate"/>
      </w:r>
      <w:r>
        <w:rPr>
          <w:rStyle w:val="20"/>
          <w:bCs/>
          <w:sz w:val="24"/>
        </w:rPr>
        <w:t>http://www.bzsb.info</w:t>
      </w:r>
      <w:r>
        <w:rPr>
          <w:rStyle w:val="20"/>
          <w:bCs/>
          <w:sz w:val="24"/>
        </w:rPr>
        <w:fldChar w:fldCharType="end"/>
      </w:r>
      <w:r>
        <w:rPr>
          <w:bCs/>
          <w:sz w:val="24"/>
        </w:rPr>
        <w:t>）检索</w:t>
      </w:r>
      <w:r>
        <w:rPr>
          <w:rFonts w:hint="eastAsia"/>
          <w:bCs/>
          <w:sz w:val="24"/>
        </w:rPr>
        <w:t>厌氧干发酵沼气工程的</w:t>
      </w:r>
      <w:r>
        <w:rPr>
          <w:bCs/>
          <w:sz w:val="24"/>
        </w:rPr>
        <w:t>相关标准，未检索到与拟制定的“厌氧干发酵沼气工程工艺设计规范”</w:t>
      </w:r>
      <w:r>
        <w:rPr>
          <w:rFonts w:hint="eastAsia"/>
          <w:bCs/>
          <w:sz w:val="24"/>
        </w:rPr>
        <w:t>相同的国家、地方和行业</w:t>
      </w:r>
      <w:r>
        <w:rPr>
          <w:bCs/>
          <w:sz w:val="24"/>
        </w:rPr>
        <w:t>标准。</w:t>
      </w:r>
      <w:r>
        <w:rPr>
          <w:rFonts w:hint="eastAsia"/>
          <w:bCs/>
          <w:sz w:val="24"/>
        </w:rPr>
        <w:t>鉴于厌氧干发酵与传统厌氧湿法发酵沼气工程在工艺设计上存在差异，为促进我省厌氧干发酵沼气工程的发展，保证连续稳定运行，亟需制定本标准，进一步规范厌氧干发酵沼气工程的工艺设计。</w:t>
      </w:r>
      <w:r>
        <w:rPr>
          <w:bCs/>
          <w:sz w:val="24"/>
        </w:rPr>
        <w:t>本标准编制过程中充分考虑标准的</w:t>
      </w:r>
      <w:r>
        <w:rPr>
          <w:rFonts w:hint="eastAsia"/>
          <w:bCs/>
          <w:sz w:val="24"/>
        </w:rPr>
        <w:t>实际可行、用户导向、科学先进</w:t>
      </w:r>
      <w:r>
        <w:rPr>
          <w:bCs/>
          <w:sz w:val="24"/>
        </w:rPr>
        <w:t>，编制小组成员查阅了近</w:t>
      </w:r>
      <w:r>
        <w:rPr>
          <w:rFonts w:hint="eastAsia"/>
          <w:bCs/>
          <w:sz w:val="24"/>
        </w:rPr>
        <w:t>几</w:t>
      </w:r>
      <w:r>
        <w:rPr>
          <w:bCs/>
          <w:sz w:val="24"/>
        </w:rPr>
        <w:t>年来关于</w:t>
      </w:r>
      <w:r>
        <w:rPr>
          <w:rFonts w:hint="eastAsia"/>
          <w:bCs/>
          <w:sz w:val="24"/>
        </w:rPr>
        <w:t>厌氧干发酵技术</w:t>
      </w:r>
      <w:r>
        <w:rPr>
          <w:bCs/>
          <w:sz w:val="24"/>
        </w:rPr>
        <w:t>的国内外标准和文献资料，</w:t>
      </w:r>
      <w:r>
        <w:rPr>
          <w:color w:val="000000"/>
          <w:sz w:val="24"/>
        </w:rPr>
        <w:t>经过编制小组成员的多次研讨修缮后完成了本标准的编制工作。</w:t>
      </w:r>
      <w:r>
        <w:rPr>
          <w:sz w:val="24"/>
        </w:rPr>
        <w:t>本标准各项指标的制订具有坚实而广泛的基础，</w:t>
      </w:r>
      <w:r>
        <w:rPr>
          <w:color w:val="000000"/>
          <w:sz w:val="24"/>
        </w:rPr>
        <w:t>具有国内领先技术水平。</w:t>
      </w:r>
    </w:p>
    <w:p>
      <w:pPr>
        <w:pStyle w:val="2"/>
        <w:spacing w:before="156" w:beforeLines="50" w:beforeAutospacing="0" w:after="156" w:afterLines="50" w:afterAutospacing="0" w:line="360" w:lineRule="auto"/>
        <w:rPr>
          <w:rFonts w:ascii="Times New Roman" w:hAnsi="Times New Roman" w:eastAsia="黑体"/>
          <w:b w:val="0"/>
          <w:bCs w:val="0"/>
          <w:kern w:val="0"/>
          <w:sz w:val="28"/>
          <w:szCs w:val="28"/>
        </w:rPr>
      </w:pPr>
      <w:bookmarkStart w:id="27" w:name="_Toc107299312"/>
      <w:r>
        <w:rPr>
          <w:rFonts w:ascii="Times New Roman" w:hAnsi="Times New Roman" w:eastAsia="黑体"/>
          <w:b w:val="0"/>
          <w:bCs w:val="0"/>
          <w:kern w:val="0"/>
          <w:sz w:val="28"/>
          <w:szCs w:val="28"/>
        </w:rPr>
        <w:t>六、与有关的现行法律、法规和强制性国家标准的关系</w:t>
      </w:r>
      <w:bookmarkEnd w:id="27"/>
    </w:p>
    <w:p>
      <w:pPr>
        <w:spacing w:line="360" w:lineRule="auto"/>
        <w:ind w:firstLine="480"/>
        <w:rPr>
          <w:color w:val="000000"/>
          <w:sz w:val="24"/>
        </w:rPr>
      </w:pPr>
      <w:r>
        <w:rPr>
          <w:sz w:val="24"/>
        </w:rPr>
        <w:t>本标准的编制符合《标准化工作导则 第1部分：标准化文件的结构和起草规则》（GB/T 1.1-2020）的有关规定，与现行法律、法规和强制性国家标准无互相矛盾和抵触的条款。</w:t>
      </w:r>
      <w:r>
        <w:rPr>
          <w:rFonts w:hint="eastAsia"/>
          <w:color w:val="000000"/>
          <w:sz w:val="24"/>
        </w:rPr>
        <w:t xml:space="preserve"> </w:t>
      </w:r>
    </w:p>
    <w:p>
      <w:pPr>
        <w:pStyle w:val="2"/>
        <w:spacing w:before="156" w:beforeLines="50" w:beforeAutospacing="0" w:after="156" w:afterLines="50" w:afterAutospacing="0" w:line="360" w:lineRule="auto"/>
        <w:rPr>
          <w:rFonts w:ascii="Times New Roman" w:hAnsi="Times New Roman" w:eastAsia="黑体"/>
          <w:b w:val="0"/>
          <w:bCs w:val="0"/>
          <w:kern w:val="0"/>
          <w:sz w:val="28"/>
          <w:szCs w:val="28"/>
        </w:rPr>
      </w:pPr>
      <w:bookmarkStart w:id="28" w:name="_Toc107299313"/>
      <w:bookmarkStart w:id="29" w:name="_Hlk58346843"/>
      <w:r>
        <w:rPr>
          <w:rFonts w:ascii="Times New Roman" w:hAnsi="Times New Roman" w:eastAsia="黑体"/>
          <w:b w:val="0"/>
          <w:bCs w:val="0"/>
          <w:kern w:val="0"/>
          <w:sz w:val="28"/>
          <w:szCs w:val="28"/>
        </w:rPr>
        <w:t>七、重大分歧意见的处理经过和依据</w:t>
      </w:r>
      <w:bookmarkEnd w:id="28"/>
    </w:p>
    <w:bookmarkEnd w:id="29"/>
    <w:p>
      <w:pPr>
        <w:spacing w:line="360" w:lineRule="auto"/>
        <w:ind w:firstLine="570"/>
        <w:rPr>
          <w:sz w:val="24"/>
        </w:rPr>
      </w:pPr>
      <w:r>
        <w:rPr>
          <w:sz w:val="24"/>
        </w:rPr>
        <w:t>本标准编制过程中无重大分歧意见产生。</w:t>
      </w:r>
    </w:p>
    <w:p>
      <w:pPr>
        <w:spacing w:line="360" w:lineRule="auto"/>
        <w:outlineLvl w:val="0"/>
        <w:rPr>
          <w:rFonts w:eastAsia="黑体"/>
          <w:sz w:val="28"/>
          <w:szCs w:val="28"/>
        </w:rPr>
      </w:pPr>
      <w:bookmarkStart w:id="30" w:name="_Toc107299314"/>
      <w:bookmarkStart w:id="31" w:name="_Hlk58346829"/>
      <w:r>
        <w:rPr>
          <w:rFonts w:eastAsia="黑体"/>
          <w:sz w:val="28"/>
          <w:szCs w:val="28"/>
        </w:rPr>
        <w:t>八、</w:t>
      </w:r>
      <w:r>
        <w:rPr>
          <w:rFonts w:hint="eastAsia" w:eastAsia="黑体"/>
          <w:sz w:val="28"/>
          <w:szCs w:val="28"/>
        </w:rPr>
        <w:t>贯彻标准的要求和措施建议</w:t>
      </w:r>
      <w:bookmarkEnd w:id="30"/>
    </w:p>
    <w:bookmarkEnd w:id="31"/>
    <w:p>
      <w:pPr>
        <w:spacing w:line="360" w:lineRule="auto"/>
        <w:ind w:firstLine="480" w:firstLineChars="200"/>
        <w:rPr>
          <w:sz w:val="24"/>
        </w:rPr>
      </w:pPr>
      <w:r>
        <w:rPr>
          <w:sz w:val="24"/>
        </w:rPr>
        <w:t>本标准规定了</w:t>
      </w:r>
      <w:r>
        <w:rPr>
          <w:rFonts w:hint="eastAsia"/>
          <w:sz w:val="24"/>
        </w:rPr>
        <w:t>厌氧干发酵沼气工程工艺设计</w:t>
      </w:r>
      <w:r>
        <w:rPr>
          <w:sz w:val="24"/>
        </w:rPr>
        <w:t>的要求。建议本标准作为河北省推荐性地方标准发布实施</w:t>
      </w:r>
      <w:r>
        <w:rPr>
          <w:rFonts w:hint="eastAsia"/>
          <w:sz w:val="24"/>
        </w:rPr>
        <w:t>，上报河北省市场监督管理局审查通过后，尽快颁布实施，针对性地开展《厌氧干发酵沼气工程工艺设计规范》标准文件的宣贯与培训，以便对厌氧干发酵沼气工程的工艺设计进行指导和规范，促进厌氧干发酵技术的推广与应用。</w:t>
      </w:r>
    </w:p>
    <w:p>
      <w:pPr>
        <w:spacing w:line="360" w:lineRule="auto"/>
        <w:outlineLvl w:val="0"/>
        <w:rPr>
          <w:rFonts w:eastAsia="黑体"/>
          <w:sz w:val="28"/>
          <w:szCs w:val="28"/>
        </w:rPr>
      </w:pPr>
      <w:bookmarkStart w:id="32" w:name="_Toc107299315"/>
      <w:bookmarkStart w:id="33" w:name="_Hlk58346813"/>
      <w:r>
        <w:rPr>
          <w:rFonts w:eastAsia="黑体"/>
          <w:sz w:val="28"/>
          <w:szCs w:val="28"/>
        </w:rPr>
        <w:t>九、</w:t>
      </w:r>
      <w:r>
        <w:rPr>
          <w:rFonts w:hint="eastAsia" w:eastAsia="黑体"/>
          <w:sz w:val="28"/>
          <w:szCs w:val="28"/>
        </w:rPr>
        <w:t>技术经济论证及预期的经济效果</w:t>
      </w:r>
      <w:bookmarkEnd w:id="32"/>
    </w:p>
    <w:bookmarkEnd w:id="33"/>
    <w:p>
      <w:pPr>
        <w:snapToGrid w:val="0"/>
        <w:spacing w:line="560" w:lineRule="exact"/>
        <w:ind w:firstLine="480" w:firstLineChars="200"/>
        <w:rPr>
          <w:sz w:val="24"/>
        </w:rPr>
      </w:pPr>
      <w:r>
        <w:rPr>
          <w:sz w:val="24"/>
        </w:rPr>
        <w:t>本标准</w:t>
      </w:r>
      <w:r>
        <w:rPr>
          <w:rFonts w:hint="eastAsia"/>
          <w:sz w:val="24"/>
        </w:rPr>
        <w:t>《厌氧干发酵沼气工程工艺设计规范》</w:t>
      </w:r>
      <w:r>
        <w:rPr>
          <w:sz w:val="24"/>
        </w:rPr>
        <w:t>可用于规范指导河北省</w:t>
      </w:r>
      <w:r>
        <w:rPr>
          <w:rFonts w:hint="eastAsia"/>
          <w:sz w:val="24"/>
        </w:rPr>
        <w:t>厌氧干发酵沼气工程工艺设计</w:t>
      </w:r>
      <w:r>
        <w:rPr>
          <w:sz w:val="24"/>
        </w:rPr>
        <w:t>，</w:t>
      </w:r>
      <w:r>
        <w:rPr>
          <w:rFonts w:hint="eastAsia"/>
          <w:sz w:val="24"/>
        </w:rPr>
        <w:t>解决了厌氧干发酵沼气工程在工艺设计上无章可循、无据可参等问题，为厌氧干发酵沼气工程的有效运行提供有力的支撑依据，有利于沼气工程高质量发展。厌氧干发酵沼气工程可提高原料处理量，增加容积产气效率，降低工程运行与管理成本，降低能耗，沼液排放量小，降低后处理成本和环境二次污染的风险，沼渣可直接用于生产有机肥，无需固液分离。</w:t>
      </w:r>
    </w:p>
    <w:p>
      <w:pPr>
        <w:snapToGrid w:val="0"/>
        <w:spacing w:line="560" w:lineRule="exact"/>
        <w:outlineLvl w:val="0"/>
        <w:rPr>
          <w:rFonts w:eastAsia="黑体"/>
          <w:sz w:val="28"/>
          <w:szCs w:val="28"/>
        </w:rPr>
      </w:pPr>
      <w:bookmarkStart w:id="34" w:name="_Toc107299316"/>
      <w:bookmarkStart w:id="35" w:name="_Hlk58346800"/>
      <w:r>
        <w:rPr>
          <w:rFonts w:eastAsia="黑体"/>
          <w:sz w:val="28"/>
          <w:szCs w:val="28"/>
        </w:rPr>
        <w:t>十、其他应予说明的问题</w:t>
      </w:r>
      <w:bookmarkEnd w:id="34"/>
    </w:p>
    <w:p>
      <w:pPr>
        <w:adjustRightInd w:val="0"/>
        <w:snapToGrid w:val="0"/>
        <w:spacing w:line="560" w:lineRule="exact"/>
        <w:ind w:firstLine="480" w:firstLineChars="200"/>
        <w:rPr>
          <w:sz w:val="24"/>
        </w:rPr>
      </w:pPr>
      <w:r>
        <w:rPr>
          <w:sz w:val="24"/>
        </w:rPr>
        <w:t>无。</w:t>
      </w:r>
    </w:p>
    <w:bookmarkEnd w:id="35"/>
    <w:p>
      <w:pPr>
        <w:spacing w:line="360" w:lineRule="auto"/>
        <w:jc w:val="center"/>
        <w:rPr>
          <w:rFonts w:eastAsia="仿宋_GB2312"/>
          <w:sz w:val="24"/>
        </w:rPr>
      </w:pPr>
      <w:r>
        <w:rPr>
          <w:rFonts w:eastAsia="仿宋_GB2312"/>
          <w:sz w:val="32"/>
          <w:szCs w:val="32"/>
        </w:rPr>
        <w:t xml:space="preserve">                            </w:t>
      </w:r>
      <w:r>
        <w:rPr>
          <w:rFonts w:eastAsia="仿宋_GB2312"/>
          <w:sz w:val="24"/>
        </w:rPr>
        <w:t xml:space="preserve">  《厌氧干发酵沼气工程工艺设计规范》 编写组</w:t>
      </w:r>
    </w:p>
    <w:p>
      <w:pPr>
        <w:snapToGrid w:val="0"/>
        <w:spacing w:line="560" w:lineRule="exact"/>
        <w:jc w:val="right"/>
        <w:rPr>
          <w:rFonts w:eastAsia="仿宋_GB2312"/>
          <w:sz w:val="24"/>
        </w:rPr>
      </w:pPr>
      <w:r>
        <w:rPr>
          <w:rFonts w:eastAsia="仿宋_GB2312"/>
          <w:sz w:val="24"/>
        </w:rPr>
        <w:t>2022年6月27日</w:t>
      </w:r>
    </w:p>
    <w:p>
      <w:pPr>
        <w:spacing w:line="360" w:lineRule="auto"/>
        <w:rPr>
          <w:rFonts w:eastAsia="黑体"/>
          <w:sz w:val="28"/>
          <w:szCs w:val="28"/>
        </w:rPr>
      </w:pPr>
    </w:p>
    <w:sectPr>
      <w:pgSz w:w="11906" w:h="16838"/>
      <w:pgMar w:top="1418" w:right="1134" w:bottom="1418" w:left="124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20B0604030504040204"/>
    <w:charset w:val="00"/>
    <w:family w:val="swiss"/>
    <w:pitch w:val="default"/>
    <w:sig w:usb0="00000000" w:usb1="00000000" w:usb2="00000029" w:usb3="00000000" w:csb0="000101FF" w:csb1="00000000"/>
  </w:font>
  <w:font w:name="Cambria">
    <w:altName w:val="Noto Sans Syriac Eastern"/>
    <w:panose1 w:val="02040503050406030204"/>
    <w:charset w:val="00"/>
    <w:family w:val="roman"/>
    <w:pitch w:val="default"/>
    <w:sig w:usb0="00000000" w:usb1="00000000" w:usb2="02000000" w:usb3="00000000" w:csb0="0000019F" w:csb1="00000000"/>
  </w:font>
  <w:font w:name="华文细黑">
    <w:altName w:val="汉仪中等线简"/>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9"/>
      </w:rPr>
    </w:pPr>
    <w:r>
      <w:rPr>
        <w:rStyle w:val="19"/>
      </w:rPr>
      <w:fldChar w:fldCharType="begin"/>
    </w:r>
    <w:r>
      <w:rPr>
        <w:rStyle w:val="19"/>
      </w:rPr>
      <w:instrText xml:space="preserve">PAGE  </w:instrText>
    </w:r>
    <w:r>
      <w:rPr>
        <w:rStyle w:val="19"/>
      </w:rPr>
      <w:fldChar w:fldCharType="separate"/>
    </w:r>
    <w:r>
      <w:rPr>
        <w:rStyle w:val="19"/>
      </w:rPr>
      <w:t>9</w:t>
    </w:r>
    <w:r>
      <w:rPr>
        <w:rStyle w:val="19"/>
      </w:rP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3372251"/>
      <w:docPartObj>
        <w:docPartGallery w:val="AutoText"/>
      </w:docPartObj>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F47B0"/>
    <w:rsid w:val="00002DAE"/>
    <w:rsid w:val="00003159"/>
    <w:rsid w:val="00006F49"/>
    <w:rsid w:val="00022436"/>
    <w:rsid w:val="00023789"/>
    <w:rsid w:val="00027B32"/>
    <w:rsid w:val="00030839"/>
    <w:rsid w:val="00030918"/>
    <w:rsid w:val="000412CF"/>
    <w:rsid w:val="00043160"/>
    <w:rsid w:val="00043593"/>
    <w:rsid w:val="0005473E"/>
    <w:rsid w:val="00055614"/>
    <w:rsid w:val="00055E17"/>
    <w:rsid w:val="00064516"/>
    <w:rsid w:val="00072273"/>
    <w:rsid w:val="00072B57"/>
    <w:rsid w:val="00076F32"/>
    <w:rsid w:val="000801D8"/>
    <w:rsid w:val="00080263"/>
    <w:rsid w:val="0008504B"/>
    <w:rsid w:val="00085773"/>
    <w:rsid w:val="00086840"/>
    <w:rsid w:val="00087F73"/>
    <w:rsid w:val="00091383"/>
    <w:rsid w:val="00095E86"/>
    <w:rsid w:val="000967E3"/>
    <w:rsid w:val="000A3416"/>
    <w:rsid w:val="000A505D"/>
    <w:rsid w:val="000A6456"/>
    <w:rsid w:val="000A7894"/>
    <w:rsid w:val="000B6151"/>
    <w:rsid w:val="000C00FA"/>
    <w:rsid w:val="000C3751"/>
    <w:rsid w:val="000C5A6C"/>
    <w:rsid w:val="000E0811"/>
    <w:rsid w:val="000E1D2D"/>
    <w:rsid w:val="000E383A"/>
    <w:rsid w:val="000F504A"/>
    <w:rsid w:val="000F793B"/>
    <w:rsid w:val="001171A3"/>
    <w:rsid w:val="00126C13"/>
    <w:rsid w:val="0013023B"/>
    <w:rsid w:val="00131219"/>
    <w:rsid w:val="0013209D"/>
    <w:rsid w:val="00133364"/>
    <w:rsid w:val="00135895"/>
    <w:rsid w:val="00135E38"/>
    <w:rsid w:val="00135E71"/>
    <w:rsid w:val="001404E4"/>
    <w:rsid w:val="001431CD"/>
    <w:rsid w:val="001468B2"/>
    <w:rsid w:val="00146B13"/>
    <w:rsid w:val="00146B56"/>
    <w:rsid w:val="00147D58"/>
    <w:rsid w:val="00161BA0"/>
    <w:rsid w:val="001653A4"/>
    <w:rsid w:val="00171363"/>
    <w:rsid w:val="001828E6"/>
    <w:rsid w:val="001836E9"/>
    <w:rsid w:val="00183A4C"/>
    <w:rsid w:val="00185660"/>
    <w:rsid w:val="00187F14"/>
    <w:rsid w:val="00195130"/>
    <w:rsid w:val="0019689C"/>
    <w:rsid w:val="001977A0"/>
    <w:rsid w:val="001A072A"/>
    <w:rsid w:val="001A0BBD"/>
    <w:rsid w:val="001A3A72"/>
    <w:rsid w:val="001B1086"/>
    <w:rsid w:val="001B12B2"/>
    <w:rsid w:val="001B5499"/>
    <w:rsid w:val="001C08BA"/>
    <w:rsid w:val="001C226F"/>
    <w:rsid w:val="001D0435"/>
    <w:rsid w:val="001D0EE8"/>
    <w:rsid w:val="001D4823"/>
    <w:rsid w:val="001F1E9A"/>
    <w:rsid w:val="001F253A"/>
    <w:rsid w:val="001F2638"/>
    <w:rsid w:val="001F4DC1"/>
    <w:rsid w:val="001F77C1"/>
    <w:rsid w:val="00201158"/>
    <w:rsid w:val="00203022"/>
    <w:rsid w:val="002035AB"/>
    <w:rsid w:val="002049D4"/>
    <w:rsid w:val="00205B15"/>
    <w:rsid w:val="00212CA7"/>
    <w:rsid w:val="0021439C"/>
    <w:rsid w:val="00227DE8"/>
    <w:rsid w:val="00230FED"/>
    <w:rsid w:val="00243528"/>
    <w:rsid w:val="00245137"/>
    <w:rsid w:val="0025229A"/>
    <w:rsid w:val="002555FA"/>
    <w:rsid w:val="00256B24"/>
    <w:rsid w:val="0026433B"/>
    <w:rsid w:val="00270AB8"/>
    <w:rsid w:val="00276430"/>
    <w:rsid w:val="00276654"/>
    <w:rsid w:val="00280547"/>
    <w:rsid w:val="00281026"/>
    <w:rsid w:val="00284BE3"/>
    <w:rsid w:val="00287494"/>
    <w:rsid w:val="00287B0C"/>
    <w:rsid w:val="002A189E"/>
    <w:rsid w:val="002A7ACD"/>
    <w:rsid w:val="002A7FF2"/>
    <w:rsid w:val="002B15F3"/>
    <w:rsid w:val="002C2065"/>
    <w:rsid w:val="002C22ED"/>
    <w:rsid w:val="002C4093"/>
    <w:rsid w:val="002D0EDF"/>
    <w:rsid w:val="002D2520"/>
    <w:rsid w:val="002D553F"/>
    <w:rsid w:val="002E1D19"/>
    <w:rsid w:val="002E3BDB"/>
    <w:rsid w:val="002F3CB9"/>
    <w:rsid w:val="002F617E"/>
    <w:rsid w:val="002F758F"/>
    <w:rsid w:val="00300722"/>
    <w:rsid w:val="00300822"/>
    <w:rsid w:val="0030171E"/>
    <w:rsid w:val="003048E3"/>
    <w:rsid w:val="0031427D"/>
    <w:rsid w:val="00316B35"/>
    <w:rsid w:val="00317AF0"/>
    <w:rsid w:val="00317EA9"/>
    <w:rsid w:val="00325445"/>
    <w:rsid w:val="00332073"/>
    <w:rsid w:val="00333134"/>
    <w:rsid w:val="00333C84"/>
    <w:rsid w:val="00345AB3"/>
    <w:rsid w:val="00346934"/>
    <w:rsid w:val="003549EA"/>
    <w:rsid w:val="00355F23"/>
    <w:rsid w:val="003602DD"/>
    <w:rsid w:val="00360494"/>
    <w:rsid w:val="00360955"/>
    <w:rsid w:val="003610B8"/>
    <w:rsid w:val="00362EDC"/>
    <w:rsid w:val="00363533"/>
    <w:rsid w:val="00364B1E"/>
    <w:rsid w:val="00364BA1"/>
    <w:rsid w:val="00372A0E"/>
    <w:rsid w:val="003754F3"/>
    <w:rsid w:val="003809E7"/>
    <w:rsid w:val="003830CF"/>
    <w:rsid w:val="00383A90"/>
    <w:rsid w:val="00386DF2"/>
    <w:rsid w:val="00387A2B"/>
    <w:rsid w:val="003902AA"/>
    <w:rsid w:val="00397C06"/>
    <w:rsid w:val="003A2620"/>
    <w:rsid w:val="003A5412"/>
    <w:rsid w:val="003B06BA"/>
    <w:rsid w:val="003B0DBA"/>
    <w:rsid w:val="003B7942"/>
    <w:rsid w:val="003C376A"/>
    <w:rsid w:val="003C5402"/>
    <w:rsid w:val="003D08B3"/>
    <w:rsid w:val="003D0BFB"/>
    <w:rsid w:val="003D3AD0"/>
    <w:rsid w:val="003D709B"/>
    <w:rsid w:val="003E1836"/>
    <w:rsid w:val="003E1BB1"/>
    <w:rsid w:val="003E3744"/>
    <w:rsid w:val="003E613E"/>
    <w:rsid w:val="003F57FD"/>
    <w:rsid w:val="004018D4"/>
    <w:rsid w:val="00403F88"/>
    <w:rsid w:val="00412CF4"/>
    <w:rsid w:val="00412DDE"/>
    <w:rsid w:val="00413A60"/>
    <w:rsid w:val="00414112"/>
    <w:rsid w:val="004222DA"/>
    <w:rsid w:val="00424153"/>
    <w:rsid w:val="004257BF"/>
    <w:rsid w:val="00425FAA"/>
    <w:rsid w:val="0042630A"/>
    <w:rsid w:val="00426AEE"/>
    <w:rsid w:val="004330E0"/>
    <w:rsid w:val="0043344E"/>
    <w:rsid w:val="004359A2"/>
    <w:rsid w:val="00435F84"/>
    <w:rsid w:val="00441615"/>
    <w:rsid w:val="0044385A"/>
    <w:rsid w:val="00444D14"/>
    <w:rsid w:val="00453A26"/>
    <w:rsid w:val="00453E63"/>
    <w:rsid w:val="00464547"/>
    <w:rsid w:val="0046467B"/>
    <w:rsid w:val="00466CE9"/>
    <w:rsid w:val="004703CC"/>
    <w:rsid w:val="004720BF"/>
    <w:rsid w:val="0047307F"/>
    <w:rsid w:val="00473375"/>
    <w:rsid w:val="00474881"/>
    <w:rsid w:val="00475CF4"/>
    <w:rsid w:val="00481B36"/>
    <w:rsid w:val="00482408"/>
    <w:rsid w:val="00484ACE"/>
    <w:rsid w:val="00492F8E"/>
    <w:rsid w:val="004934B9"/>
    <w:rsid w:val="004970EB"/>
    <w:rsid w:val="004A0EE2"/>
    <w:rsid w:val="004A1124"/>
    <w:rsid w:val="004A62C2"/>
    <w:rsid w:val="004A7305"/>
    <w:rsid w:val="004B0033"/>
    <w:rsid w:val="004B13B0"/>
    <w:rsid w:val="004B4E17"/>
    <w:rsid w:val="004B5B96"/>
    <w:rsid w:val="004B7226"/>
    <w:rsid w:val="004C217D"/>
    <w:rsid w:val="004D0703"/>
    <w:rsid w:val="004D0D50"/>
    <w:rsid w:val="004D2E98"/>
    <w:rsid w:val="004D60A6"/>
    <w:rsid w:val="004D6CE8"/>
    <w:rsid w:val="004E0772"/>
    <w:rsid w:val="004E5503"/>
    <w:rsid w:val="004E66B7"/>
    <w:rsid w:val="004F64F6"/>
    <w:rsid w:val="0050031E"/>
    <w:rsid w:val="00500A1E"/>
    <w:rsid w:val="0050285A"/>
    <w:rsid w:val="00502CDD"/>
    <w:rsid w:val="005030CB"/>
    <w:rsid w:val="00503D73"/>
    <w:rsid w:val="0050475E"/>
    <w:rsid w:val="005050F6"/>
    <w:rsid w:val="00510828"/>
    <w:rsid w:val="0051418F"/>
    <w:rsid w:val="005145AF"/>
    <w:rsid w:val="00523415"/>
    <w:rsid w:val="005247B9"/>
    <w:rsid w:val="00525081"/>
    <w:rsid w:val="005272C3"/>
    <w:rsid w:val="005307DE"/>
    <w:rsid w:val="00532260"/>
    <w:rsid w:val="00532609"/>
    <w:rsid w:val="005366A8"/>
    <w:rsid w:val="00547F8B"/>
    <w:rsid w:val="00551818"/>
    <w:rsid w:val="00563687"/>
    <w:rsid w:val="005650BD"/>
    <w:rsid w:val="00570F4B"/>
    <w:rsid w:val="005772FC"/>
    <w:rsid w:val="00580B23"/>
    <w:rsid w:val="005818C2"/>
    <w:rsid w:val="00583B41"/>
    <w:rsid w:val="005A463E"/>
    <w:rsid w:val="005A642C"/>
    <w:rsid w:val="005B688B"/>
    <w:rsid w:val="005B7F46"/>
    <w:rsid w:val="005C0D0A"/>
    <w:rsid w:val="005D0B83"/>
    <w:rsid w:val="005D6435"/>
    <w:rsid w:val="005D77A5"/>
    <w:rsid w:val="005E2937"/>
    <w:rsid w:val="005E2FCB"/>
    <w:rsid w:val="005E5890"/>
    <w:rsid w:val="005E6325"/>
    <w:rsid w:val="006007BC"/>
    <w:rsid w:val="006017F4"/>
    <w:rsid w:val="00601B42"/>
    <w:rsid w:val="006026A4"/>
    <w:rsid w:val="00606319"/>
    <w:rsid w:val="00610206"/>
    <w:rsid w:val="00610774"/>
    <w:rsid w:val="0061153F"/>
    <w:rsid w:val="00613750"/>
    <w:rsid w:val="00616303"/>
    <w:rsid w:val="00625F09"/>
    <w:rsid w:val="00626CA7"/>
    <w:rsid w:val="00627644"/>
    <w:rsid w:val="00630EBA"/>
    <w:rsid w:val="00630FC5"/>
    <w:rsid w:val="006319AE"/>
    <w:rsid w:val="00632ED3"/>
    <w:rsid w:val="00634023"/>
    <w:rsid w:val="006403B7"/>
    <w:rsid w:val="00642B50"/>
    <w:rsid w:val="00651C8E"/>
    <w:rsid w:val="00652C93"/>
    <w:rsid w:val="00655145"/>
    <w:rsid w:val="0066455F"/>
    <w:rsid w:val="00664C4F"/>
    <w:rsid w:val="00666001"/>
    <w:rsid w:val="00670244"/>
    <w:rsid w:val="0067319E"/>
    <w:rsid w:val="0067496E"/>
    <w:rsid w:val="00680FB2"/>
    <w:rsid w:val="00683101"/>
    <w:rsid w:val="006845B2"/>
    <w:rsid w:val="00684CA0"/>
    <w:rsid w:val="00690E98"/>
    <w:rsid w:val="00694559"/>
    <w:rsid w:val="00694D63"/>
    <w:rsid w:val="00695022"/>
    <w:rsid w:val="00696E71"/>
    <w:rsid w:val="006A1742"/>
    <w:rsid w:val="006A26E0"/>
    <w:rsid w:val="006A4EAB"/>
    <w:rsid w:val="006B138C"/>
    <w:rsid w:val="006B371E"/>
    <w:rsid w:val="006B4B16"/>
    <w:rsid w:val="006B65B3"/>
    <w:rsid w:val="006C00ED"/>
    <w:rsid w:val="006C2D75"/>
    <w:rsid w:val="006C3BAE"/>
    <w:rsid w:val="006C497A"/>
    <w:rsid w:val="006D1704"/>
    <w:rsid w:val="006D5853"/>
    <w:rsid w:val="006E1700"/>
    <w:rsid w:val="006E3633"/>
    <w:rsid w:val="006E74B3"/>
    <w:rsid w:val="006F00B9"/>
    <w:rsid w:val="006F3390"/>
    <w:rsid w:val="006F3CC3"/>
    <w:rsid w:val="006F6972"/>
    <w:rsid w:val="006F6A11"/>
    <w:rsid w:val="0070146E"/>
    <w:rsid w:val="007017EB"/>
    <w:rsid w:val="00705B90"/>
    <w:rsid w:val="0070693C"/>
    <w:rsid w:val="0070799C"/>
    <w:rsid w:val="007165C6"/>
    <w:rsid w:val="00717D91"/>
    <w:rsid w:val="00720943"/>
    <w:rsid w:val="00722ACD"/>
    <w:rsid w:val="0072742D"/>
    <w:rsid w:val="0073123C"/>
    <w:rsid w:val="007317AB"/>
    <w:rsid w:val="00732B99"/>
    <w:rsid w:val="0073349C"/>
    <w:rsid w:val="00733DD0"/>
    <w:rsid w:val="0073489F"/>
    <w:rsid w:val="007360BE"/>
    <w:rsid w:val="00740B1F"/>
    <w:rsid w:val="00741D7A"/>
    <w:rsid w:val="00744019"/>
    <w:rsid w:val="00744184"/>
    <w:rsid w:val="00756E06"/>
    <w:rsid w:val="00757AE0"/>
    <w:rsid w:val="00762356"/>
    <w:rsid w:val="00765565"/>
    <w:rsid w:val="00766620"/>
    <w:rsid w:val="00771D9C"/>
    <w:rsid w:val="0077607B"/>
    <w:rsid w:val="00781A10"/>
    <w:rsid w:val="007916D5"/>
    <w:rsid w:val="0079356F"/>
    <w:rsid w:val="0079407F"/>
    <w:rsid w:val="00795AA2"/>
    <w:rsid w:val="00795F5C"/>
    <w:rsid w:val="00797C52"/>
    <w:rsid w:val="007A6567"/>
    <w:rsid w:val="007B1444"/>
    <w:rsid w:val="007C0068"/>
    <w:rsid w:val="007C602F"/>
    <w:rsid w:val="007C76C9"/>
    <w:rsid w:val="007D2881"/>
    <w:rsid w:val="007D5B6E"/>
    <w:rsid w:val="007D78DA"/>
    <w:rsid w:val="007E0959"/>
    <w:rsid w:val="007E7AE2"/>
    <w:rsid w:val="007F2F0F"/>
    <w:rsid w:val="007F3978"/>
    <w:rsid w:val="007F3AFA"/>
    <w:rsid w:val="007F6249"/>
    <w:rsid w:val="008053E9"/>
    <w:rsid w:val="00812B03"/>
    <w:rsid w:val="00821B46"/>
    <w:rsid w:val="0082553B"/>
    <w:rsid w:val="00830844"/>
    <w:rsid w:val="00831EF7"/>
    <w:rsid w:val="00836122"/>
    <w:rsid w:val="008362F7"/>
    <w:rsid w:val="0084045A"/>
    <w:rsid w:val="00840DBD"/>
    <w:rsid w:val="00845C2A"/>
    <w:rsid w:val="008552DB"/>
    <w:rsid w:val="00857FE0"/>
    <w:rsid w:val="00863B37"/>
    <w:rsid w:val="008654D7"/>
    <w:rsid w:val="00866E0D"/>
    <w:rsid w:val="00870FDC"/>
    <w:rsid w:val="008733CE"/>
    <w:rsid w:val="008753FD"/>
    <w:rsid w:val="00880B98"/>
    <w:rsid w:val="00880FA2"/>
    <w:rsid w:val="008926DF"/>
    <w:rsid w:val="00893F42"/>
    <w:rsid w:val="0089764C"/>
    <w:rsid w:val="008A0482"/>
    <w:rsid w:val="008A679E"/>
    <w:rsid w:val="008B28CA"/>
    <w:rsid w:val="008B2D46"/>
    <w:rsid w:val="008C0799"/>
    <w:rsid w:val="008C17C2"/>
    <w:rsid w:val="008C44AE"/>
    <w:rsid w:val="008D3859"/>
    <w:rsid w:val="008D6F7C"/>
    <w:rsid w:val="008E0B94"/>
    <w:rsid w:val="008E75E9"/>
    <w:rsid w:val="008F5B62"/>
    <w:rsid w:val="008F65F8"/>
    <w:rsid w:val="008F7DA6"/>
    <w:rsid w:val="00903649"/>
    <w:rsid w:val="009056DE"/>
    <w:rsid w:val="00905871"/>
    <w:rsid w:val="00911758"/>
    <w:rsid w:val="00912E85"/>
    <w:rsid w:val="0092169A"/>
    <w:rsid w:val="00921B97"/>
    <w:rsid w:val="00921D7D"/>
    <w:rsid w:val="009237AF"/>
    <w:rsid w:val="00925057"/>
    <w:rsid w:val="00926258"/>
    <w:rsid w:val="009362BC"/>
    <w:rsid w:val="0094589C"/>
    <w:rsid w:val="00945B38"/>
    <w:rsid w:val="00952B4B"/>
    <w:rsid w:val="00955017"/>
    <w:rsid w:val="00956E5A"/>
    <w:rsid w:val="009651E5"/>
    <w:rsid w:val="00966DF1"/>
    <w:rsid w:val="00971FE9"/>
    <w:rsid w:val="009756A5"/>
    <w:rsid w:val="009758ED"/>
    <w:rsid w:val="0098304E"/>
    <w:rsid w:val="009839E1"/>
    <w:rsid w:val="00992FE2"/>
    <w:rsid w:val="009930D2"/>
    <w:rsid w:val="00993BB8"/>
    <w:rsid w:val="00994126"/>
    <w:rsid w:val="00995C4C"/>
    <w:rsid w:val="009A32E0"/>
    <w:rsid w:val="009A5C55"/>
    <w:rsid w:val="009B1565"/>
    <w:rsid w:val="009B4D32"/>
    <w:rsid w:val="009C5199"/>
    <w:rsid w:val="009C5295"/>
    <w:rsid w:val="009C6180"/>
    <w:rsid w:val="009C712C"/>
    <w:rsid w:val="009C7B12"/>
    <w:rsid w:val="009D0A19"/>
    <w:rsid w:val="009D0A85"/>
    <w:rsid w:val="009D33D7"/>
    <w:rsid w:val="009E2811"/>
    <w:rsid w:val="009E4903"/>
    <w:rsid w:val="009E4EE6"/>
    <w:rsid w:val="009E50B6"/>
    <w:rsid w:val="009F1EF1"/>
    <w:rsid w:val="009F2DB6"/>
    <w:rsid w:val="009F6480"/>
    <w:rsid w:val="00A004D1"/>
    <w:rsid w:val="00A023FD"/>
    <w:rsid w:val="00A0663F"/>
    <w:rsid w:val="00A07BAA"/>
    <w:rsid w:val="00A144E3"/>
    <w:rsid w:val="00A21EB8"/>
    <w:rsid w:val="00A33DAA"/>
    <w:rsid w:val="00A4362C"/>
    <w:rsid w:val="00A45BD3"/>
    <w:rsid w:val="00A46742"/>
    <w:rsid w:val="00A479F8"/>
    <w:rsid w:val="00A50EAE"/>
    <w:rsid w:val="00A53163"/>
    <w:rsid w:val="00A5364C"/>
    <w:rsid w:val="00A549F8"/>
    <w:rsid w:val="00A5617E"/>
    <w:rsid w:val="00A5652C"/>
    <w:rsid w:val="00A56A3E"/>
    <w:rsid w:val="00A57D08"/>
    <w:rsid w:val="00A635D4"/>
    <w:rsid w:val="00A64A72"/>
    <w:rsid w:val="00A6589E"/>
    <w:rsid w:val="00A70A1A"/>
    <w:rsid w:val="00A71139"/>
    <w:rsid w:val="00A716A7"/>
    <w:rsid w:val="00A7410C"/>
    <w:rsid w:val="00A767A5"/>
    <w:rsid w:val="00A8516E"/>
    <w:rsid w:val="00A86C56"/>
    <w:rsid w:val="00A9379E"/>
    <w:rsid w:val="00A949A5"/>
    <w:rsid w:val="00A96B33"/>
    <w:rsid w:val="00AA0BA6"/>
    <w:rsid w:val="00AA1FCF"/>
    <w:rsid w:val="00AA25F2"/>
    <w:rsid w:val="00AA4FE2"/>
    <w:rsid w:val="00AB30D6"/>
    <w:rsid w:val="00AC0EC0"/>
    <w:rsid w:val="00AC2469"/>
    <w:rsid w:val="00AC5B9C"/>
    <w:rsid w:val="00AC5FA1"/>
    <w:rsid w:val="00AC68EA"/>
    <w:rsid w:val="00AC7043"/>
    <w:rsid w:val="00AC79C6"/>
    <w:rsid w:val="00AC7C0B"/>
    <w:rsid w:val="00AD0150"/>
    <w:rsid w:val="00AD0C3A"/>
    <w:rsid w:val="00AD1F94"/>
    <w:rsid w:val="00AD6277"/>
    <w:rsid w:val="00AE0802"/>
    <w:rsid w:val="00AE0FC3"/>
    <w:rsid w:val="00AE740A"/>
    <w:rsid w:val="00AF0CFE"/>
    <w:rsid w:val="00AF4965"/>
    <w:rsid w:val="00B03C41"/>
    <w:rsid w:val="00B10E53"/>
    <w:rsid w:val="00B11F56"/>
    <w:rsid w:val="00B12E97"/>
    <w:rsid w:val="00B1495B"/>
    <w:rsid w:val="00B2372C"/>
    <w:rsid w:val="00B2375D"/>
    <w:rsid w:val="00B24234"/>
    <w:rsid w:val="00B313EB"/>
    <w:rsid w:val="00B3788C"/>
    <w:rsid w:val="00B45E9B"/>
    <w:rsid w:val="00B4612B"/>
    <w:rsid w:val="00B521EE"/>
    <w:rsid w:val="00B52367"/>
    <w:rsid w:val="00B5315B"/>
    <w:rsid w:val="00B53683"/>
    <w:rsid w:val="00B53BC2"/>
    <w:rsid w:val="00B56826"/>
    <w:rsid w:val="00B57823"/>
    <w:rsid w:val="00B62FEE"/>
    <w:rsid w:val="00B75A47"/>
    <w:rsid w:val="00B76B40"/>
    <w:rsid w:val="00B8042B"/>
    <w:rsid w:val="00B81704"/>
    <w:rsid w:val="00B826E2"/>
    <w:rsid w:val="00B82DB9"/>
    <w:rsid w:val="00B837FB"/>
    <w:rsid w:val="00B83DAC"/>
    <w:rsid w:val="00B84900"/>
    <w:rsid w:val="00B9034C"/>
    <w:rsid w:val="00B95D96"/>
    <w:rsid w:val="00BA0F48"/>
    <w:rsid w:val="00BA3E6F"/>
    <w:rsid w:val="00BB459D"/>
    <w:rsid w:val="00BB5F64"/>
    <w:rsid w:val="00BB7DE0"/>
    <w:rsid w:val="00BC1632"/>
    <w:rsid w:val="00BC626B"/>
    <w:rsid w:val="00BC6355"/>
    <w:rsid w:val="00BD4533"/>
    <w:rsid w:val="00BD62AD"/>
    <w:rsid w:val="00BD6BB2"/>
    <w:rsid w:val="00BE0172"/>
    <w:rsid w:val="00BE05F1"/>
    <w:rsid w:val="00BE1B3A"/>
    <w:rsid w:val="00BE4A3F"/>
    <w:rsid w:val="00BF25B1"/>
    <w:rsid w:val="00BF4425"/>
    <w:rsid w:val="00BF64A4"/>
    <w:rsid w:val="00C014AF"/>
    <w:rsid w:val="00C03617"/>
    <w:rsid w:val="00C04872"/>
    <w:rsid w:val="00C04CBF"/>
    <w:rsid w:val="00C1098C"/>
    <w:rsid w:val="00C12280"/>
    <w:rsid w:val="00C20D75"/>
    <w:rsid w:val="00C249CD"/>
    <w:rsid w:val="00C2617A"/>
    <w:rsid w:val="00C27424"/>
    <w:rsid w:val="00C306BD"/>
    <w:rsid w:val="00C33349"/>
    <w:rsid w:val="00C3429B"/>
    <w:rsid w:val="00C42D93"/>
    <w:rsid w:val="00C43C54"/>
    <w:rsid w:val="00C47208"/>
    <w:rsid w:val="00C54B76"/>
    <w:rsid w:val="00C564B1"/>
    <w:rsid w:val="00C573A3"/>
    <w:rsid w:val="00C66288"/>
    <w:rsid w:val="00C673B8"/>
    <w:rsid w:val="00C67A44"/>
    <w:rsid w:val="00C73895"/>
    <w:rsid w:val="00C73D87"/>
    <w:rsid w:val="00C778C6"/>
    <w:rsid w:val="00C818E1"/>
    <w:rsid w:val="00C8205C"/>
    <w:rsid w:val="00C84626"/>
    <w:rsid w:val="00C84F31"/>
    <w:rsid w:val="00C86622"/>
    <w:rsid w:val="00C95422"/>
    <w:rsid w:val="00C97EF2"/>
    <w:rsid w:val="00CA1D9E"/>
    <w:rsid w:val="00CA39CF"/>
    <w:rsid w:val="00CA468D"/>
    <w:rsid w:val="00CA598D"/>
    <w:rsid w:val="00CA5C6E"/>
    <w:rsid w:val="00CA73B2"/>
    <w:rsid w:val="00CB00B3"/>
    <w:rsid w:val="00CB04A7"/>
    <w:rsid w:val="00CB1C1A"/>
    <w:rsid w:val="00CB5849"/>
    <w:rsid w:val="00CB5F33"/>
    <w:rsid w:val="00CB72C6"/>
    <w:rsid w:val="00CD40E2"/>
    <w:rsid w:val="00CD5448"/>
    <w:rsid w:val="00CD6E07"/>
    <w:rsid w:val="00CE0985"/>
    <w:rsid w:val="00CE1FA1"/>
    <w:rsid w:val="00CF56B0"/>
    <w:rsid w:val="00CF7247"/>
    <w:rsid w:val="00D0180C"/>
    <w:rsid w:val="00D03972"/>
    <w:rsid w:val="00D167CD"/>
    <w:rsid w:val="00D204A3"/>
    <w:rsid w:val="00D23A0F"/>
    <w:rsid w:val="00D325F2"/>
    <w:rsid w:val="00D34A6E"/>
    <w:rsid w:val="00D374F4"/>
    <w:rsid w:val="00D37D44"/>
    <w:rsid w:val="00D44D60"/>
    <w:rsid w:val="00D50250"/>
    <w:rsid w:val="00D50EDD"/>
    <w:rsid w:val="00D60294"/>
    <w:rsid w:val="00D60579"/>
    <w:rsid w:val="00D6148F"/>
    <w:rsid w:val="00D61ED9"/>
    <w:rsid w:val="00D71185"/>
    <w:rsid w:val="00D741D6"/>
    <w:rsid w:val="00D762B3"/>
    <w:rsid w:val="00D8048E"/>
    <w:rsid w:val="00D80D56"/>
    <w:rsid w:val="00D81637"/>
    <w:rsid w:val="00D82ABC"/>
    <w:rsid w:val="00D8612E"/>
    <w:rsid w:val="00D97885"/>
    <w:rsid w:val="00DA7CAC"/>
    <w:rsid w:val="00DB0002"/>
    <w:rsid w:val="00DC00C7"/>
    <w:rsid w:val="00DC2E0C"/>
    <w:rsid w:val="00DD5D64"/>
    <w:rsid w:val="00DD759D"/>
    <w:rsid w:val="00DE0270"/>
    <w:rsid w:val="00DE1CFE"/>
    <w:rsid w:val="00DE380D"/>
    <w:rsid w:val="00DF1923"/>
    <w:rsid w:val="00DF47B0"/>
    <w:rsid w:val="00DF61B3"/>
    <w:rsid w:val="00DF6DE0"/>
    <w:rsid w:val="00DF7354"/>
    <w:rsid w:val="00E11DA1"/>
    <w:rsid w:val="00E1239E"/>
    <w:rsid w:val="00E1324A"/>
    <w:rsid w:val="00E14323"/>
    <w:rsid w:val="00E16A15"/>
    <w:rsid w:val="00E20171"/>
    <w:rsid w:val="00E23B46"/>
    <w:rsid w:val="00E27E86"/>
    <w:rsid w:val="00E30ED6"/>
    <w:rsid w:val="00E3556F"/>
    <w:rsid w:val="00E363A9"/>
    <w:rsid w:val="00E364E2"/>
    <w:rsid w:val="00E41502"/>
    <w:rsid w:val="00E43174"/>
    <w:rsid w:val="00E4471A"/>
    <w:rsid w:val="00E44C7B"/>
    <w:rsid w:val="00E451F3"/>
    <w:rsid w:val="00E4786C"/>
    <w:rsid w:val="00E47E98"/>
    <w:rsid w:val="00E519EF"/>
    <w:rsid w:val="00E60570"/>
    <w:rsid w:val="00E63BE0"/>
    <w:rsid w:val="00E63FF5"/>
    <w:rsid w:val="00E64238"/>
    <w:rsid w:val="00E653CF"/>
    <w:rsid w:val="00E65E40"/>
    <w:rsid w:val="00E71415"/>
    <w:rsid w:val="00E74B4E"/>
    <w:rsid w:val="00E7729C"/>
    <w:rsid w:val="00E8197D"/>
    <w:rsid w:val="00E94A9C"/>
    <w:rsid w:val="00E97537"/>
    <w:rsid w:val="00EA0683"/>
    <w:rsid w:val="00EA0D44"/>
    <w:rsid w:val="00EA6720"/>
    <w:rsid w:val="00EB5ED5"/>
    <w:rsid w:val="00EB7C40"/>
    <w:rsid w:val="00EC2947"/>
    <w:rsid w:val="00EC609B"/>
    <w:rsid w:val="00ED27CE"/>
    <w:rsid w:val="00ED2D86"/>
    <w:rsid w:val="00ED3247"/>
    <w:rsid w:val="00ED37D0"/>
    <w:rsid w:val="00ED5003"/>
    <w:rsid w:val="00EE1DCF"/>
    <w:rsid w:val="00EE239C"/>
    <w:rsid w:val="00EE2D5B"/>
    <w:rsid w:val="00EE2D9C"/>
    <w:rsid w:val="00EE3791"/>
    <w:rsid w:val="00EF0A3F"/>
    <w:rsid w:val="00EF4F07"/>
    <w:rsid w:val="00F0352C"/>
    <w:rsid w:val="00F10190"/>
    <w:rsid w:val="00F10728"/>
    <w:rsid w:val="00F10D33"/>
    <w:rsid w:val="00F15227"/>
    <w:rsid w:val="00F164BA"/>
    <w:rsid w:val="00F16D64"/>
    <w:rsid w:val="00F21763"/>
    <w:rsid w:val="00F23005"/>
    <w:rsid w:val="00F3148A"/>
    <w:rsid w:val="00F41718"/>
    <w:rsid w:val="00F478E0"/>
    <w:rsid w:val="00F60965"/>
    <w:rsid w:val="00F63966"/>
    <w:rsid w:val="00F6693C"/>
    <w:rsid w:val="00F73BED"/>
    <w:rsid w:val="00F73C82"/>
    <w:rsid w:val="00F7470D"/>
    <w:rsid w:val="00F74FB3"/>
    <w:rsid w:val="00F75A56"/>
    <w:rsid w:val="00F809FF"/>
    <w:rsid w:val="00F837B4"/>
    <w:rsid w:val="00F852EB"/>
    <w:rsid w:val="00F932C7"/>
    <w:rsid w:val="00F9375C"/>
    <w:rsid w:val="00F94E98"/>
    <w:rsid w:val="00F9542E"/>
    <w:rsid w:val="00FA25C4"/>
    <w:rsid w:val="00FA4937"/>
    <w:rsid w:val="00FA5BD0"/>
    <w:rsid w:val="00FA6C91"/>
    <w:rsid w:val="00FA7784"/>
    <w:rsid w:val="00FB2518"/>
    <w:rsid w:val="00FB3877"/>
    <w:rsid w:val="00FB4792"/>
    <w:rsid w:val="00FB777D"/>
    <w:rsid w:val="00FC05E5"/>
    <w:rsid w:val="00FE29D0"/>
    <w:rsid w:val="00FE445F"/>
    <w:rsid w:val="00FF0FEE"/>
    <w:rsid w:val="7AEF6E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unhideWhenUsed/>
    <w:qFormat/>
    <w:uiPriority w:val="0"/>
    <w:pPr>
      <w:tabs>
        <w:tab w:val="center" w:pos="0"/>
      </w:tabs>
      <w:jc w:val="center"/>
    </w:pPr>
    <w:rPr>
      <w:rFonts w:eastAsia="黑体"/>
      <w:b/>
      <w:sz w:val="18"/>
      <w:szCs w:val="15"/>
    </w:rPr>
  </w:style>
  <w:style w:type="paragraph" w:styleId="4">
    <w:name w:val="annotation text"/>
    <w:basedOn w:val="1"/>
    <w:link w:val="32"/>
    <w:unhideWhenUsed/>
    <w:qFormat/>
    <w:uiPriority w:val="99"/>
    <w:pPr>
      <w:jc w:val="left"/>
    </w:pPr>
    <w:rPr>
      <w:rFonts w:ascii="Calibri" w:hAnsi="Calibri"/>
      <w:szCs w:val="22"/>
    </w:rPr>
  </w:style>
  <w:style w:type="paragraph" w:styleId="5">
    <w:name w:val="Body Text Indent"/>
    <w:basedOn w:val="1"/>
    <w:qFormat/>
    <w:uiPriority w:val="0"/>
    <w:pPr>
      <w:ind w:firstLine="560" w:firstLineChars="200"/>
    </w:pPr>
    <w:rPr>
      <w:rFonts w:ascii="宋体" w:hAnsi="宋体"/>
      <w:sz w:val="28"/>
    </w:rPr>
  </w:style>
  <w:style w:type="paragraph" w:styleId="6">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styleId="7">
    <w:name w:val="Date"/>
    <w:basedOn w:val="1"/>
    <w:next w:val="1"/>
    <w:qFormat/>
    <w:uiPriority w:val="0"/>
    <w:rPr>
      <w:rFonts w:ascii="宋体"/>
      <w:sz w:val="28"/>
      <w:szCs w:val="20"/>
    </w:rPr>
  </w:style>
  <w:style w:type="paragraph" w:styleId="8">
    <w:name w:val="Balloon Text"/>
    <w:basedOn w:val="1"/>
    <w:link w:val="31"/>
    <w:qFormat/>
    <w:uiPriority w:val="0"/>
    <w:rPr>
      <w:sz w:val="18"/>
      <w:szCs w:val="18"/>
    </w:rPr>
  </w:style>
  <w:style w:type="paragraph" w:styleId="9">
    <w:name w:val="footer"/>
    <w:basedOn w:val="1"/>
    <w:link w:val="33"/>
    <w:qFormat/>
    <w:uiPriority w:val="99"/>
    <w:pPr>
      <w:tabs>
        <w:tab w:val="center" w:pos="4153"/>
        <w:tab w:val="right" w:pos="8306"/>
      </w:tabs>
      <w:snapToGrid w:val="0"/>
      <w:jc w:val="left"/>
    </w:pPr>
    <w:rPr>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widowControl/>
      <w:tabs>
        <w:tab w:val="right" w:leader="dot" w:pos="9515"/>
      </w:tabs>
      <w:spacing w:line="276" w:lineRule="auto"/>
      <w:jc w:val="left"/>
    </w:pPr>
    <w:rPr>
      <w:rFonts w:ascii="Calibri" w:hAnsi="Calibri"/>
      <w:kern w:val="0"/>
      <w:sz w:val="22"/>
      <w:szCs w:val="22"/>
    </w:rPr>
  </w:style>
  <w:style w:type="paragraph" w:styleId="12">
    <w:name w:val="toc 2"/>
    <w:basedOn w:val="1"/>
    <w:next w:val="1"/>
    <w:unhideWhenUsed/>
    <w:qFormat/>
    <w:uiPriority w:val="39"/>
    <w:pPr>
      <w:widowControl/>
      <w:spacing w:after="100" w:line="276" w:lineRule="auto"/>
      <w:ind w:left="220"/>
      <w:jc w:val="left"/>
    </w:pPr>
    <w:rPr>
      <w:rFonts w:ascii="Calibri" w:hAnsi="Calibri"/>
      <w:kern w:val="0"/>
      <w:sz w:val="22"/>
      <w:szCs w:val="22"/>
    </w:rPr>
  </w:style>
  <w:style w:type="paragraph" w:styleId="13">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link w:val="28"/>
    <w:qFormat/>
    <w:uiPriority w:val="0"/>
    <w:pPr>
      <w:spacing w:before="240" w:after="60"/>
      <w:jc w:val="center"/>
      <w:outlineLvl w:val="0"/>
    </w:pPr>
    <w:rPr>
      <w:rFonts w:ascii="Cambria" w:hAnsi="Cambria"/>
      <w:b/>
      <w:bCs/>
      <w:sz w:val="32"/>
      <w:szCs w:val="32"/>
    </w:rPr>
  </w:style>
  <w:style w:type="paragraph" w:styleId="15">
    <w:name w:val="annotation subject"/>
    <w:basedOn w:val="4"/>
    <w:next w:val="4"/>
    <w:link w:val="34"/>
    <w:semiHidden/>
    <w:unhideWhenUsed/>
    <w:qFormat/>
    <w:uiPriority w:val="0"/>
    <w:rPr>
      <w:rFonts w:ascii="Times New Roman" w:hAnsi="Times New Roman"/>
      <w:b/>
      <w:bCs/>
      <w:szCs w:val="24"/>
    </w:rPr>
  </w:style>
  <w:style w:type="table" w:styleId="17">
    <w:name w:val="Table Grid"/>
    <w:basedOn w:val="16"/>
    <w:qFormat/>
    <w:uiPriority w:val="0"/>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Hyperlink"/>
    <w:basedOn w:val="18"/>
    <w:unhideWhenUsed/>
    <w:qFormat/>
    <w:uiPriority w:val="99"/>
    <w:rPr>
      <w:color w:val="106FB3"/>
      <w:u w:val="none"/>
    </w:rPr>
  </w:style>
  <w:style w:type="character" w:styleId="21">
    <w:name w:val="annotation reference"/>
    <w:basedOn w:val="18"/>
    <w:unhideWhenUsed/>
    <w:qFormat/>
    <w:uiPriority w:val="99"/>
    <w:rPr>
      <w:sz w:val="21"/>
      <w:szCs w:val="21"/>
    </w:rPr>
  </w:style>
  <w:style w:type="paragraph" w:customStyle="1" w:styleId="22">
    <w:name w:val="段"/>
    <w:link w:val="29"/>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character" w:customStyle="1" w:styleId="24">
    <w:name w:val="页眉 字符"/>
    <w:link w:val="10"/>
    <w:qFormat/>
    <w:uiPriority w:val="0"/>
    <w:rPr>
      <w:kern w:val="2"/>
      <w:sz w:val="18"/>
      <w:szCs w:val="18"/>
    </w:rPr>
  </w:style>
  <w:style w:type="paragraph" w:customStyle="1" w:styleId="25">
    <w:name w:val="Char1 Char Char Char Char Char Char Char"/>
    <w:basedOn w:val="1"/>
    <w:qFormat/>
    <w:uiPriority w:val="0"/>
    <w:rPr>
      <w:rFonts w:ascii="Tahoma" w:hAnsi="Tahoma"/>
      <w:sz w:val="24"/>
      <w:szCs w:val="20"/>
    </w:rPr>
  </w:style>
  <w:style w:type="character" w:customStyle="1" w:styleId="26">
    <w:name w:val="标题 1 字符"/>
    <w:link w:val="2"/>
    <w:qFormat/>
    <w:uiPriority w:val="9"/>
    <w:rPr>
      <w:rFonts w:ascii="宋体" w:hAnsi="宋体" w:cs="宋体"/>
      <w:b/>
      <w:bCs/>
      <w:kern w:val="36"/>
      <w:sz w:val="48"/>
      <w:szCs w:val="48"/>
    </w:rPr>
  </w:style>
  <w:style w:type="paragraph" w:customStyle="1" w:styleId="27">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28">
    <w:name w:val="标题 字符"/>
    <w:link w:val="14"/>
    <w:qFormat/>
    <w:uiPriority w:val="0"/>
    <w:rPr>
      <w:rFonts w:ascii="Cambria" w:hAnsi="Cambria" w:cs="Times New Roman"/>
      <w:b/>
      <w:bCs/>
      <w:kern w:val="2"/>
      <w:sz w:val="32"/>
      <w:szCs w:val="32"/>
    </w:rPr>
  </w:style>
  <w:style w:type="character" w:customStyle="1" w:styleId="29">
    <w:name w:val="段 Char"/>
    <w:basedOn w:val="18"/>
    <w:link w:val="22"/>
    <w:qFormat/>
    <w:uiPriority w:val="0"/>
    <w:rPr>
      <w:rFonts w:ascii="宋体"/>
      <w:sz w:val="21"/>
      <w:lang w:val="en-US" w:eastAsia="zh-CN" w:bidi="ar-SA"/>
    </w:rPr>
  </w:style>
  <w:style w:type="paragraph" w:customStyle="1" w:styleId="30">
    <w:name w:val="TOC Heading"/>
    <w:basedOn w:val="2"/>
    <w:next w:val="1"/>
    <w:semiHidden/>
    <w:unhideWhenUsed/>
    <w:qFormat/>
    <w:uiPriority w:val="39"/>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31">
    <w:name w:val="批注框文本 字符"/>
    <w:basedOn w:val="18"/>
    <w:link w:val="8"/>
    <w:qFormat/>
    <w:uiPriority w:val="0"/>
    <w:rPr>
      <w:kern w:val="2"/>
      <w:sz w:val="18"/>
      <w:szCs w:val="18"/>
    </w:rPr>
  </w:style>
  <w:style w:type="character" w:customStyle="1" w:styleId="32">
    <w:name w:val="批注文字 字符"/>
    <w:basedOn w:val="18"/>
    <w:link w:val="4"/>
    <w:qFormat/>
    <w:uiPriority w:val="99"/>
    <w:rPr>
      <w:rFonts w:ascii="Calibri" w:hAnsi="Calibri" w:eastAsia="宋体" w:cs="Times New Roman"/>
      <w:kern w:val="2"/>
      <w:sz w:val="21"/>
      <w:szCs w:val="22"/>
    </w:rPr>
  </w:style>
  <w:style w:type="character" w:customStyle="1" w:styleId="33">
    <w:name w:val="页脚 字符"/>
    <w:basedOn w:val="18"/>
    <w:link w:val="9"/>
    <w:qFormat/>
    <w:uiPriority w:val="99"/>
    <w:rPr>
      <w:kern w:val="2"/>
      <w:sz w:val="18"/>
      <w:szCs w:val="18"/>
    </w:rPr>
  </w:style>
  <w:style w:type="character" w:customStyle="1" w:styleId="34">
    <w:name w:val="批注主题 字符"/>
    <w:basedOn w:val="32"/>
    <w:link w:val="15"/>
    <w:semiHidden/>
    <w:qFormat/>
    <w:uiPriority w:val="0"/>
    <w:rPr>
      <w:rFonts w:ascii="Calibri" w:hAnsi="Calibri" w:eastAsia="宋体" w:cs="Times New Roman"/>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1841</Words>
  <Characters>10498</Characters>
  <Lines>87</Lines>
  <Paragraphs>24</Paragraphs>
  <TotalTime>5023</TotalTime>
  <ScaleCrop>false</ScaleCrop>
  <LinksUpToDate>false</LinksUpToDate>
  <CharactersWithSpaces>12315</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2019-12-17T22:00:00Z</dcterms:created>
  <dc:creator>wwj</dc:creator>
  <cp:lastModifiedBy>uos</cp:lastModifiedBy>
  <dcterms:modified xsi:type="dcterms:W3CDTF">2023-04-13T17:21:04Z</dcterms:modified>
  <dc:title>“柿树栽培技术规程”</dc:title>
  <cp:revision>189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