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7"/>
        <w:rPr>
          <w:rFonts w:ascii="Times New Roman" w:hAnsi="Times New Roman"/>
          <w:sz w:val="21"/>
          <w:szCs w:val="21"/>
        </w:rPr>
        <w:sectPr>
          <w:headerReference r:id="rId4" w:type="first"/>
          <w:headerReference r:id="rId3" w:type="default"/>
          <w:footerReference r:id="rId5" w:type="default"/>
          <w:pgSz w:w="11907" w:h="16839"/>
          <w:pgMar w:top="851" w:right="1134" w:bottom="1361" w:left="1418" w:header="0" w:footer="0" w:gutter="0"/>
          <w:pgNumType w:fmt="upperRoman" w:start="1"/>
          <w:cols w:space="720" w:num="1"/>
          <w:titlePg/>
          <w:docGrid w:type="lines" w:linePitch="312" w:charSpace="0"/>
        </w:sect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9504" behindDoc="0" locked="1" layoutInCell="1" allowOverlap="1">
                <wp:simplePos x="0" y="0"/>
                <wp:positionH relativeFrom="margin">
                  <wp:posOffset>2549525</wp:posOffset>
                </wp:positionH>
                <wp:positionV relativeFrom="margin">
                  <wp:posOffset>107315</wp:posOffset>
                </wp:positionV>
                <wp:extent cx="3175000" cy="720090"/>
                <wp:effectExtent l="0" t="0" r="0" b="0"/>
                <wp:wrapNone/>
                <wp:docPr id="14" name="fmFram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31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DB13</w:t>
                            </w:r>
                          </w:p>
                          <w:p>
                            <w:pPr>
                              <w:pStyle w:val="31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8" o:spid="_x0000_s1026" o:spt="202" type="#_x0000_t202" style="position:absolute;left:0pt;margin-left:200.75pt;margin-top:8.45pt;height:56.7pt;width:250pt;mso-position-horizontal-relative:margin;mso-position-vertical-relative:margin;z-index:251669504;mso-width-relative:page;mso-height-relative:page;" fillcolor="#FFFFFF" filled="t" stroked="f" coordsize="21600,21600" o:gfxdata="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JWTs82AAAAAoBAAAPAAAAAAAAAAEAIAAAACIAAABkcnMvZG93&#10;bnJldi54bWxQSwECFAAUAAAACACHTuJAv/W6/ccBAACiAwAADgAAAAAAAAABACAAAAAnAQAAZHJz&#10;L2Uyb0RvYy54bWxQSwUGAAAAAAYABgBZAQAAYA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1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DB13</w:t>
                      </w:r>
                    </w:p>
                    <w:p>
                      <w:pPr>
                        <w:pStyle w:val="31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8480" behindDoc="0" locked="1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8890635</wp:posOffset>
                </wp:positionV>
                <wp:extent cx="6121400" cy="0"/>
                <wp:effectExtent l="11430" t="10795" r="10795" b="8255"/>
                <wp:wrapNone/>
                <wp:docPr id="13" name="直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0" o:spid="_x0000_s1026" o:spt="20" style="position:absolute;left:0pt;margin-left:-1pt;margin-top:700.05pt;height:0pt;width:482pt;z-index:251668480;mso-width-relative:page;mso-height-relative:page;" filled="f" stroked="t" coordsize="21600,21600" o:gfxdata="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KKG0dHXAAAADAEAAA8AAAAAAAAAAQAg&#10;AAAAIgAAAGRycy9kb3ducmV2LnhtbFBLAQIUABQAAAAIAIdO4kDQKxMC1gEAAKQDAAAOAAAAAAAA&#10;AAEAIAAAACYBAABkcnMvZTJvRG9jLnhtbFBLBQYAAAAABgAGAFkBAABuBQAAAAA=&#10;">
                <v:fill on="f" focussize="0,0"/>
                <v:stroke weight="1pt"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7456" behindDoc="0" locked="1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2273300</wp:posOffset>
                </wp:positionV>
                <wp:extent cx="6121400" cy="0"/>
                <wp:effectExtent l="14605" t="13335" r="7620" b="15240"/>
                <wp:wrapNone/>
                <wp:docPr id="12" name="直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9" o:spid="_x0000_s1026" o:spt="20" style="position:absolute;left:0pt;margin-left:0pt;margin-top:179pt;height:0pt;width:482pt;z-index:251667456;mso-width-relative:page;mso-height-relative:page;" filled="f" stroked="t" coordsize="21600,21600" o:gfxdata="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G+pqFbWAAAACAEAAA8AAAAAAAAAAQAgAAAA&#10;IgAAAGRycy9kb3ducmV2LnhtbFBLAQIUABQAAAAIAIdO4kBNsVS51AEAAKQDAAAOAAAAAAAAAAEA&#10;IAAAACUBAABkcnMvZTJvRG9jLnhtbFBLBQYAAAAABgAGAFkBAABrBQAAAAA=&#10;">
                <v:fill on="f" focussize="0,0"/>
                <v:stroke weight="1pt"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6432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8915400</wp:posOffset>
                </wp:positionV>
                <wp:extent cx="6120130" cy="556260"/>
                <wp:effectExtent l="0" t="0" r="0" b="0"/>
                <wp:wrapNone/>
                <wp:docPr id="11" name="fmFram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130" cy="5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0"/>
                            </w:pPr>
                            <w:r>
                              <w:rPr>
                                <w:rFonts w:hint="eastAsia"/>
                              </w:rPr>
                              <w:t>河北省市场监督管理局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Style w:val="14"/>
                                <w:rFonts w:hint="eastAsia"/>
                              </w:rPr>
                              <w:t>发布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7" o:spid="_x0000_s1026" o:spt="202" type="#_x0000_t202" style="position:absolute;left:0pt;margin-left:0pt;margin-top:702pt;height:43.8pt;width:481.9pt;mso-position-horizontal-relative:margin;mso-position-vertical-relative:margin;z-index:251666432;mso-width-relative:page;mso-height-relative:page;" fillcolor="#FFFFFF" filled="t" stroked="f" coordsize="21600,21600" o:gfxdata="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ShsKmtgAAAAKAQAADwAAAAAAAAABACAAAAAiAAAAZHJzL2Rvd25y&#10;ZXYueG1sUEsBAhQAFAAAAAgAh07iQGvs4FnFAQAAogMAAA4AAAAAAAAAAQAgAAAAJwEAAGRycy9l&#10;Mm9Eb2MueG1sUEsFBgAAAAAGAAYAWQEAAF4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0"/>
                      </w:pPr>
                      <w:r>
                        <w:rPr>
                          <w:rFonts w:hint="eastAsia"/>
                        </w:rPr>
                        <w:t>河北省市场监督管理局</w:t>
                      </w:r>
                      <w:r>
                        <w:t xml:space="preserve"> </w:t>
                      </w:r>
                      <w:r>
                        <w:rPr>
                          <w:rStyle w:val="14"/>
                          <w:rFonts w:hint="eastAsia"/>
                        </w:rPr>
                        <w:t>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>
                <wp:simplePos x="0" y="0"/>
                <wp:positionH relativeFrom="margin">
                  <wp:posOffset>4100830</wp:posOffset>
                </wp:positionH>
                <wp:positionV relativeFrom="margin">
                  <wp:posOffset>8563610</wp:posOffset>
                </wp:positionV>
                <wp:extent cx="2019300" cy="312420"/>
                <wp:effectExtent l="0" t="0" r="0" b="0"/>
                <wp:wrapNone/>
                <wp:docPr id="9" name="fmFrame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3"/>
                              <w:rPr>
                                <w:rFonts w:ascii="黑体"/>
                              </w:rPr>
                            </w:pPr>
                            <w:r>
                              <w:rPr>
                                <w:rFonts w:hint="eastAsia" w:ascii="黑体"/>
                              </w:rPr>
                              <w:t>××××-××-××实施</w:t>
                            </w:r>
                          </w:p>
                          <w:p>
                            <w:pPr>
                              <w:pStyle w:val="23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6" o:spid="_x0000_s1026" o:spt="202" type="#_x0000_t202" style="position:absolute;left:0pt;margin-left:322.9pt;margin-top:674.3pt;height:24.6pt;width:159pt;mso-position-horizontal-relative:margin;mso-position-vertical-relative:margin;z-index:251665408;mso-width-relative:page;mso-height-relative:page;" fillcolor="#FFFFFF" filled="t" stroked="f" coordsize="21600,21600" o:gfxdata="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C/arX2gAAAA0BAAAPAAAAAAAAAAEAIAAAACIAAABkcnMvZG93&#10;bnJldi54bWxQSwECFAAUAAAACACHTuJAix1JMcUBAAChAwAADgAAAAAAAAABACAAAAApAQAAZHJz&#10;L2Uyb0RvYy54bWxQSwUGAAAAAAYABgBZAQAAYA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3"/>
                        <w:rPr>
                          <w:rFonts w:ascii="黑体"/>
                        </w:rPr>
                      </w:pPr>
                      <w:r>
                        <w:rPr>
                          <w:rFonts w:hint="eastAsia" w:ascii="黑体"/>
                        </w:rPr>
                        <w:t>××××-××-××实施</w:t>
                      </w:r>
                    </w:p>
                    <w:p>
                      <w:pPr>
                        <w:pStyle w:val="2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8563610</wp:posOffset>
                </wp:positionV>
                <wp:extent cx="2019300" cy="312420"/>
                <wp:effectExtent l="0" t="0" r="0" b="0"/>
                <wp:wrapNone/>
                <wp:docPr id="8" name="fmFrame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  <w:t>××××-××-××发布</w:t>
                            </w:r>
                          </w:p>
                          <w:p>
                            <w:pPr>
                              <w:pStyle w:val="24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5" o:spid="_x0000_s1026" o:spt="202" type="#_x0000_t202" style="position:absolute;left:0pt;margin-left:0pt;margin-top:674.3pt;height:24.6pt;width:159pt;mso-position-horizontal-relative:margin;mso-position-vertical-relative:margin;z-index:251664384;mso-width-relative:page;mso-height-relative:page;" fillcolor="#FFFFFF" filled="t" stroked="f" coordsize="21600,21600" o:gfxdata="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XzbKiNgAAAAKAQAADwAAAAAAAAABACAAAAAiAAAAZHJzL2Rvd25y&#10;ZXYueG1sUEsBAhQAFAAAAAgAh07iQLBzfdvFAQAAoQMAAA4AAAAAAAAAAQAgAAAAJwEAAGRycy9l&#10;Mm9Eb2MueG1sUEsFBgAAAAAGAAYAWQEAAF4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asci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eastAsia="黑体"/>
                          <w:sz w:val="28"/>
                          <w:szCs w:val="28"/>
                        </w:rPr>
                        <w:t>××××-××-××发布</w:t>
                      </w:r>
                    </w:p>
                    <w:p>
                      <w:pPr>
                        <w:pStyle w:val="24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margin">
                  <wp:posOffset>114300</wp:posOffset>
                </wp:positionH>
                <wp:positionV relativeFrom="margin">
                  <wp:posOffset>3169920</wp:posOffset>
                </wp:positionV>
                <wp:extent cx="5969000" cy="4681220"/>
                <wp:effectExtent l="0" t="0" r="0" b="0"/>
                <wp:wrapNone/>
                <wp:docPr id="6" name="fmFram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0" cy="4681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宋体" w:eastAsia="黑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宋体" w:eastAsia="黑体"/>
                                <w:sz w:val="52"/>
                                <w:szCs w:val="52"/>
                              </w:rPr>
                              <w:t>规模猪场伪狂犬病风险评估技术规程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黑体" w:hAnsi="宋体" w:eastAsia="黑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宋体" w:eastAsia="黑体"/>
                                <w:sz w:val="52"/>
                                <w:szCs w:val="52"/>
                              </w:rPr>
                              <w:t>（征求意见稿）</w:t>
                            </w:r>
                          </w:p>
                          <w:p>
                            <w:pPr>
                              <w:pStyle w:val="29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pStyle w:val="17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4" o:spid="_x0000_s1026" o:spt="202" type="#_x0000_t202" style="position:absolute;left:0pt;margin-left:9pt;margin-top:249.6pt;height:368.6pt;width:470pt;mso-position-horizontal-relative:margin;mso-position-vertical-relative:margin;z-index:251663360;mso-width-relative:page;mso-height-relative:page;" fillcolor="#FFFFFF" filled="t" stroked="f" coordsize="21600,21600" o:gfxdata="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nLt3iNkAAAALAQAADwAAAAAAAAABACAAAAAiAAAAZHJzL2Rv&#10;d25yZXYueG1sUEsBAhQAFAAAAAgAh07iQFDAyPzHAQAAogMAAA4AAAAAAAAAAQAgAAAAKAEAAGRy&#10;cy9lMm9Eb2MueG1sUEsFBgAAAAAGAAYAWQEAAGE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center"/>
                        <w:rPr>
                          <w:rFonts w:ascii="黑体" w:hAnsi="宋体" w:eastAsia="黑体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宋体" w:eastAsia="黑体"/>
                          <w:sz w:val="52"/>
                          <w:szCs w:val="52"/>
                        </w:rPr>
                        <w:t>规模猪场伪狂犬病风险评估技术规程</w:t>
                      </w:r>
                    </w:p>
                    <w:p>
                      <w:pPr>
                        <w:jc w:val="center"/>
                        <w:rPr>
                          <w:rFonts w:ascii="黑体" w:hAnsi="宋体" w:eastAsia="黑体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宋体" w:eastAsia="黑体"/>
                          <w:sz w:val="52"/>
                          <w:szCs w:val="52"/>
                        </w:rPr>
                        <w:t>（征求意见稿）</w:t>
                      </w:r>
                    </w:p>
                    <w:p>
                      <w:pPr>
                        <w:pStyle w:val="29"/>
                        <w:rPr>
                          <w:sz w:val="36"/>
                          <w:szCs w:val="36"/>
                        </w:rPr>
                      </w:pPr>
                    </w:p>
                    <w:p>
                      <w:pPr>
                        <w:pStyle w:val="17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1401445</wp:posOffset>
                </wp:positionV>
                <wp:extent cx="5935980" cy="860425"/>
                <wp:effectExtent l="0" t="0" r="0" b="0"/>
                <wp:wrapNone/>
                <wp:docPr id="5" name="fmFram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5980" cy="86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5"/>
                              <w:wordWrap w:val="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                                     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DB</w:t>
                            </w:r>
                            <w:r>
                              <w:rPr>
                                <w:rFonts w:ascii="Times New Roman" w:hAnsi="Times New Roman" w:eastAsia="黑体"/>
                              </w:rPr>
                              <w:t>13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/T ××××-2023</w:t>
                            </w:r>
                          </w:p>
                          <w:p>
                            <w:pPr>
                              <w:pStyle w:val="15"/>
                              <w:jc w:val="center"/>
                              <w:rPr>
                                <w:rFonts w:eastAsia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3" o:spid="_x0000_s1026" o:spt="202" type="#_x0000_t202" style="position:absolute;left:0pt;margin-left:0pt;margin-top:110.35pt;height:67.75pt;width:467.4pt;mso-position-horizontal-relative:margin;mso-position-vertical-relative:margin;z-index:251662336;mso-width-relative:page;mso-height-relative:page;" fillcolor="#FFFFFF" filled="t" stroked="f" coordsize="21600,21600" o:gfxdata="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qM4DcdgAAAAIAQAADwAAAAAAAAABACAAAAAiAAAAZHJzL2Rvd25y&#10;ZXYueG1sUEsBAhQAFAAAAAgAh07iQJMevfPFAQAAoQMAAA4AAAAAAAAAAQAgAAAAJwEAAGRycy9l&#10;Mm9Eb2MueG1sUEsFBgAAAAAGAAYAWQEAAF4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5"/>
                        <w:wordWrap w:val="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                                              </w:t>
                      </w:r>
                      <w:r>
                        <w:rPr>
                          <w:rFonts w:ascii="Times New Roman" w:hAnsi="Times New Roman"/>
                        </w:rPr>
                        <w:t>DB</w:t>
                      </w:r>
                      <w:r>
                        <w:rPr>
                          <w:rFonts w:ascii="Times New Roman" w:hAnsi="Times New Roman" w:eastAsia="黑体"/>
                        </w:rPr>
                        <w:t>13</w:t>
                      </w:r>
                      <w:r>
                        <w:rPr>
                          <w:rFonts w:ascii="Times New Roman" w:hAnsi="Times New Roman"/>
                        </w:rPr>
                        <w:t>/T ××××-2023</w:t>
                      </w:r>
                    </w:p>
                    <w:p>
                      <w:pPr>
                        <w:pStyle w:val="15"/>
                        <w:jc w:val="center"/>
                        <w:rPr>
                          <w:rFonts w:eastAsia="Calibri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margin">
                  <wp:posOffset>228600</wp:posOffset>
                </wp:positionH>
                <wp:positionV relativeFrom="margin">
                  <wp:posOffset>891540</wp:posOffset>
                </wp:positionV>
                <wp:extent cx="5600700" cy="609600"/>
                <wp:effectExtent l="0" t="0" r="0" b="0"/>
                <wp:wrapNone/>
                <wp:docPr id="4" name="fmFram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32"/>
                            </w:pPr>
                            <w:r>
                              <w:rPr>
                                <w:rFonts w:hint="eastAsia"/>
                              </w:rPr>
                              <w:t>河北省地方标准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2" o:spid="_x0000_s1026" o:spt="202" type="#_x0000_t202" style="position:absolute;left:0pt;margin-left:18pt;margin-top:70.2pt;height:48pt;width:441pt;mso-position-horizontal-relative:margin;mso-position-vertical-relative:margin;z-index:251661312;mso-width-relative:page;mso-height-relative:page;" fillcolor="#FFFFFF" filled="t" stroked="f" coordsize="21600,21600" o:gfxdata="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/0Mk+dkAAAAKAQAADwAAAAAAAAABACAAAAAiAAAAZHJzL2Rvd25yZXYu&#10;eG1sUEsBAhQAFAAAAAgAh07iQGNpUmvBAQAAoQMAAA4AAAAAAAAAAQAgAAAAKAEAAGRycy9lMm9E&#10;b2MueG1sUEsFBgAAAAAGAAYAWQEAAFs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2"/>
                      </w:pPr>
                      <w:r>
                        <w:rPr>
                          <w:rFonts w:hint="eastAsia"/>
                        </w:rPr>
                        <w:t>河北省地方标准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99060</wp:posOffset>
                </wp:positionV>
                <wp:extent cx="2540000" cy="558800"/>
                <wp:effectExtent l="0" t="0" r="0" b="0"/>
                <wp:wrapNone/>
                <wp:docPr id="3" name="fmFram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0" cy="55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5"/>
                              <w:rPr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5"/>
                            </w:pPr>
                          </w:p>
                          <w:p>
                            <w:pPr>
                              <w:pStyle w:val="2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1" o:spid="_x0000_s1026" o:spt="202" type="#_x0000_t202" style="position:absolute;left:0pt;margin-left:0pt;margin-top:7.8pt;height:44pt;width:200pt;mso-position-horizontal-relative:margin;mso-position-vertical-relative:margin;z-index:251660288;mso-width-relative:page;mso-height-relative:page;" fillcolor="#FFFFFF" filled="t" stroked="f" coordsize="21600,21600" o:gfxdata="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qCCkV1AAAAAcBAAAPAAAAAAAAAAEAIAAAACIAAABkcnMvZG93bnJldi54bWxQ&#10;SwECFAAUAAAACACHTuJA30VTncIBAAChAwAADgAAAAAAAAABACAAAAAjAQAAZHJzL2Uyb0RvYy54&#10;bWxQSwUGAAAAAAYABgBZAQAAV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5"/>
                        <w:rPr>
                          <w:szCs w:val="28"/>
                        </w:rPr>
                      </w:pPr>
                    </w:p>
                    <w:p>
                      <w:pPr>
                        <w:pStyle w:val="25"/>
                      </w:pPr>
                    </w:p>
                    <w:p>
                      <w:pPr>
                        <w:pStyle w:val="25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pStyle w:val="3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前    言</w:t>
      </w:r>
    </w:p>
    <w:p>
      <w:pPr>
        <w:spacing w:line="380" w:lineRule="exact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本</w:t>
      </w:r>
      <w:r>
        <w:rPr>
          <w:rFonts w:hint="eastAsia" w:ascii="Times New Roman" w:hAnsi="Times New Roman"/>
        </w:rPr>
        <w:t>文件</w:t>
      </w:r>
      <w:r>
        <w:rPr>
          <w:rFonts w:ascii="Times New Roman" w:hAnsi="Times New Roman"/>
        </w:rPr>
        <w:t>按照GB/T 1.1-2020《标准化工作导则 第1部分：标准</w:t>
      </w:r>
      <w:r>
        <w:rPr>
          <w:rFonts w:hint="eastAsia" w:ascii="Times New Roman" w:hAnsi="Times New Roman"/>
        </w:rPr>
        <w:t>化文件</w:t>
      </w:r>
      <w:r>
        <w:rPr>
          <w:rFonts w:ascii="Times New Roman" w:hAnsi="Times New Roman"/>
        </w:rPr>
        <w:t>的结构和</w:t>
      </w:r>
      <w:r>
        <w:rPr>
          <w:rFonts w:hint="eastAsia" w:ascii="Times New Roman" w:hAnsi="Times New Roman"/>
        </w:rPr>
        <w:t>起草规则</w:t>
      </w:r>
      <w:r>
        <w:rPr>
          <w:rFonts w:ascii="Times New Roman" w:hAnsi="Times New Roman"/>
        </w:rPr>
        <w:t>》的</w:t>
      </w:r>
      <w:r>
        <w:rPr>
          <w:rFonts w:hint="eastAsia" w:ascii="Times New Roman" w:hAnsi="Times New Roman"/>
        </w:rPr>
        <w:t>规定</w:t>
      </w:r>
      <w:r>
        <w:rPr>
          <w:rFonts w:ascii="Times New Roman" w:hAnsi="Times New Roman"/>
        </w:rPr>
        <w:t>起草。</w:t>
      </w:r>
    </w:p>
    <w:p>
      <w:pPr>
        <w:spacing w:line="380" w:lineRule="exact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本</w:t>
      </w:r>
      <w:r>
        <w:rPr>
          <w:rFonts w:hint="eastAsia" w:ascii="Times New Roman" w:hAnsi="Times New Roman"/>
        </w:rPr>
        <w:t>文件</w:t>
      </w:r>
      <w:r>
        <w:rPr>
          <w:rFonts w:ascii="Times New Roman" w:hAnsi="Times New Roman"/>
        </w:rPr>
        <w:t>由河北省农业农村厅提出。</w:t>
      </w:r>
    </w:p>
    <w:p>
      <w:pPr>
        <w:spacing w:line="380" w:lineRule="exact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本</w:t>
      </w:r>
      <w:r>
        <w:rPr>
          <w:rFonts w:hint="eastAsia" w:ascii="Times New Roman" w:hAnsi="Times New Roman"/>
        </w:rPr>
        <w:t>文件</w:t>
      </w:r>
      <w:r>
        <w:rPr>
          <w:rFonts w:ascii="Times New Roman" w:hAnsi="Times New Roman"/>
        </w:rPr>
        <w:t>起草单位：河北省动物疫病预防控制中心</w:t>
      </w:r>
      <w:r>
        <w:rPr>
          <w:rFonts w:hint="eastAsia" w:ascii="Times New Roman" w:hAnsi="Times New Roman"/>
        </w:rPr>
        <w:t>、平山县裕农养殖公司</w:t>
      </w:r>
      <w:r>
        <w:rPr>
          <w:rFonts w:ascii="Times New Roman" w:hAnsi="Times New Roman"/>
        </w:rPr>
        <w:t>。</w:t>
      </w:r>
    </w:p>
    <w:p>
      <w:pPr>
        <w:spacing w:line="380" w:lineRule="exact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本文件主要起草人：顾文源、左玉柱、韩庆安、崔明江、马宏伟、刘天驹、甄理、崔景芳、李翀、刘洋、许袖、安淑秀、白飞英。</w:t>
      </w:r>
    </w:p>
    <w:p>
      <w:pPr>
        <w:spacing w:line="380" w:lineRule="exact"/>
        <w:ind w:firstLine="420" w:firstLineChars="200"/>
        <w:rPr>
          <w:rFonts w:ascii="Times New Roman" w:hAnsi="Times New Roman"/>
        </w:rPr>
        <w:sectPr>
          <w:headerReference r:id="rId6" w:type="default"/>
          <w:footerReference r:id="rId7" w:type="default"/>
          <w:footerReference r:id="rId8" w:type="even"/>
          <w:pgSz w:w="11906" w:h="16838"/>
          <w:pgMar w:top="1440" w:right="1474" w:bottom="1304" w:left="1701" w:header="851" w:footer="992" w:gutter="0"/>
          <w:pgNumType w:start="1"/>
          <w:cols w:space="720" w:num="1"/>
          <w:docGrid w:type="lines" w:linePitch="312" w:charSpace="0"/>
        </w:sectPr>
      </w:pPr>
      <w:r>
        <w:rPr>
          <w:rFonts w:ascii="Times New Roman" w:hAnsi="Times New Roman"/>
        </w:rPr>
        <w:t xml:space="preserve">                                                                           </w:t>
      </w:r>
    </w:p>
    <w:p>
      <w:pPr>
        <w:pStyle w:val="38"/>
        <w:rPr>
          <w:rFonts w:ascii="Times New Roman" w:cs="Times New Roman"/>
        </w:rPr>
      </w:pPr>
      <w:r>
        <w:rPr>
          <w:rFonts w:ascii="Times New Roman" w:cs="Times New Roman"/>
        </w:rPr>
        <w:t>规模猪场伪狂犬病风险评估技术规</w:t>
      </w:r>
      <w:r>
        <w:rPr>
          <w:rFonts w:hint="eastAsia" w:ascii="Times New Roman" w:cs="Times New Roman"/>
        </w:rPr>
        <w:t>程</w:t>
      </w:r>
    </w:p>
    <w:p>
      <w:pPr>
        <w:pStyle w:val="34"/>
        <w:numPr>
          <w:ilvl w:val="0"/>
          <w:numId w:val="2"/>
        </w:numPr>
        <w:spacing w:before="312" w:beforeLines="100" w:after="312" w:afterLines="100"/>
        <w:ind w:left="0"/>
        <w:rPr>
          <w:rFonts w:ascii="Times New Roman"/>
        </w:rPr>
      </w:pPr>
      <w:r>
        <w:rPr>
          <w:rFonts w:ascii="Times New Roman"/>
        </w:rPr>
        <w:t>范围</w:t>
      </w:r>
    </w:p>
    <w:p>
      <w:pPr>
        <w:pStyle w:val="42"/>
        <w:adjustRightInd/>
        <w:ind w:firstLine="420" w:firstLineChars="200"/>
        <w:jc w:val="both"/>
        <w:rPr>
          <w:sz w:val="21"/>
          <w:szCs w:val="21"/>
        </w:rPr>
      </w:pPr>
      <w:r>
        <w:rPr>
          <w:sz w:val="21"/>
          <w:szCs w:val="21"/>
        </w:rPr>
        <w:t>本标准</w:t>
      </w:r>
      <w:r>
        <w:rPr>
          <w:rFonts w:hint="eastAsia"/>
          <w:sz w:val="21"/>
          <w:szCs w:val="21"/>
        </w:rPr>
        <w:t>规定</w:t>
      </w:r>
      <w:r>
        <w:rPr>
          <w:sz w:val="21"/>
          <w:szCs w:val="21"/>
        </w:rPr>
        <w:t>了</w:t>
      </w:r>
      <w:r>
        <w:rPr>
          <w:rFonts w:hint="eastAsia"/>
          <w:sz w:val="21"/>
          <w:szCs w:val="21"/>
        </w:rPr>
        <w:t>影响</w:t>
      </w:r>
      <w:r>
        <w:rPr>
          <w:sz w:val="21"/>
          <w:szCs w:val="21"/>
        </w:rPr>
        <w:t>规模猪场伪狂犬病发生的风险因素</w:t>
      </w:r>
      <w:r>
        <w:rPr>
          <w:rFonts w:hint="eastAsia"/>
          <w:sz w:val="21"/>
          <w:szCs w:val="21"/>
        </w:rPr>
        <w:t>、风险级别的划分标准，建立了风险评估模型和</w:t>
      </w:r>
      <w:r>
        <w:rPr>
          <w:sz w:val="21"/>
          <w:szCs w:val="21"/>
        </w:rPr>
        <w:t>风险评估方法。</w:t>
      </w:r>
    </w:p>
    <w:p>
      <w:pPr>
        <w:pStyle w:val="19"/>
        <w:ind w:firstLine="420"/>
        <w:rPr>
          <w:rFonts w:ascii="Times New Roman" w:hAnsi="Times New Roman"/>
        </w:rPr>
      </w:pPr>
      <w:r>
        <w:rPr>
          <w:rFonts w:ascii="Times New Roman" w:hAnsi="Times New Roman"/>
        </w:rPr>
        <w:t>本标准适用于河北省规模猪场伪狂犬病的风险评估。</w:t>
      </w:r>
    </w:p>
    <w:p>
      <w:pPr>
        <w:pStyle w:val="34"/>
        <w:numPr>
          <w:ilvl w:val="0"/>
          <w:numId w:val="2"/>
        </w:numPr>
        <w:spacing w:before="312" w:beforeLines="100" w:after="312" w:afterLines="100"/>
        <w:ind w:left="0"/>
        <w:rPr>
          <w:rFonts w:ascii="Times New Roman"/>
        </w:rPr>
      </w:pPr>
      <w:r>
        <w:rPr>
          <w:rFonts w:ascii="Times New Roman"/>
        </w:rPr>
        <w:t>规范性引用文件</w:t>
      </w:r>
    </w:p>
    <w:p>
      <w:pPr>
        <w:pStyle w:val="19"/>
        <w:ind w:firstLine="420"/>
        <w:rPr>
          <w:rFonts w:ascii="Times New Roman" w:hAnsi="Times New Roman"/>
        </w:rPr>
      </w:pPr>
      <w:r>
        <w:rPr>
          <w:rFonts w:ascii="Times New Roman" w:hAnsi="Times New Roman"/>
        </w:rPr>
        <w:t>下列文件中的</w:t>
      </w:r>
      <w:r>
        <w:rPr>
          <w:rFonts w:hint="eastAsia" w:ascii="Times New Roman" w:hAnsi="Times New Roman"/>
        </w:rPr>
        <w:t>内容</w:t>
      </w:r>
      <w:r>
        <w:rPr>
          <w:rFonts w:ascii="Times New Roman" w:hAnsi="Times New Roman"/>
        </w:rPr>
        <w:t>通过本规程的引用而成为本</w:t>
      </w:r>
      <w:r>
        <w:rPr>
          <w:rFonts w:hint="eastAsia" w:ascii="Times New Roman" w:hAnsi="Times New Roman"/>
        </w:rPr>
        <w:t>文件必不可少</w:t>
      </w:r>
      <w:r>
        <w:rPr>
          <w:rFonts w:ascii="Times New Roman" w:hAnsi="Times New Roman"/>
        </w:rPr>
        <w:t>的条款。凡是注日期的引用文件，</w:t>
      </w:r>
      <w:r>
        <w:rPr>
          <w:rFonts w:hint="eastAsia" w:ascii="Times New Roman" w:hAnsi="Times New Roman"/>
        </w:rPr>
        <w:t>仅该日期对应的版本适用于本文件</w:t>
      </w:r>
      <w:r>
        <w:rPr>
          <w:rFonts w:ascii="Times New Roman" w:hAnsi="Times New Roman"/>
        </w:rPr>
        <w:t>。凡是不注日期的引用文件，其最新版本适用于本规程。</w:t>
      </w:r>
    </w:p>
    <w:p>
      <w:pPr>
        <w:pStyle w:val="19"/>
        <w:ind w:firstLine="420"/>
        <w:rPr>
          <w:rFonts w:ascii="Times New Roman" w:hAnsi="Times New Roman"/>
        </w:rPr>
      </w:pPr>
      <w:r>
        <w:rPr>
          <w:rFonts w:hint="eastAsia" w:ascii="Times New Roman" w:hAnsi="Times New Roman"/>
        </w:rPr>
        <w:t>G</w:t>
      </w:r>
      <w:r>
        <w:rPr>
          <w:rFonts w:ascii="Times New Roman" w:hAnsi="Times New Roman"/>
        </w:rPr>
        <w:t xml:space="preserve">B/T 17824.1  </w:t>
      </w:r>
      <w:r>
        <w:rPr>
          <w:rFonts w:hint="eastAsia" w:ascii="Times New Roman" w:hAnsi="Times New Roman"/>
        </w:rPr>
        <w:t>规模猪场建设</w:t>
      </w:r>
    </w:p>
    <w:p>
      <w:pPr>
        <w:pStyle w:val="19"/>
        <w:ind w:firstLine="420"/>
        <w:rPr>
          <w:rFonts w:ascii="Times New Roman" w:hAnsi="Times New Roman"/>
        </w:rPr>
      </w:pPr>
      <w:r>
        <w:rPr>
          <w:rFonts w:ascii="Times New Roman" w:hAnsi="Times New Roman"/>
        </w:rPr>
        <w:t>GB/T 18641   伪狂犬病诊断方法</w:t>
      </w:r>
    </w:p>
    <w:p>
      <w:pPr>
        <w:pStyle w:val="19"/>
        <w:ind w:firstLine="420"/>
        <w:rPr>
          <w:rFonts w:ascii="Times New Roman" w:hAnsi="Times New Roman"/>
        </w:rPr>
      </w:pPr>
      <w:r>
        <w:rPr>
          <w:rFonts w:ascii="Times New Roman" w:hAnsi="Times New Roman"/>
        </w:rPr>
        <w:t>GB/T 35911   伪狂犬病病毒荧光PCR检测方法</w:t>
      </w:r>
    </w:p>
    <w:p>
      <w:pPr>
        <w:pStyle w:val="34"/>
        <w:numPr>
          <w:ilvl w:val="0"/>
          <w:numId w:val="2"/>
        </w:numPr>
        <w:spacing w:before="312" w:beforeLines="100" w:after="312" w:afterLines="100"/>
        <w:ind w:left="0"/>
        <w:rPr>
          <w:rFonts w:ascii="Times New Roman"/>
        </w:rPr>
      </w:pPr>
      <w:r>
        <w:rPr>
          <w:rFonts w:ascii="Times New Roman"/>
        </w:rPr>
        <w:t>术语和定义</w:t>
      </w:r>
    </w:p>
    <w:p>
      <w:pPr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下列术语和定义适用于本文件。</w:t>
      </w:r>
    </w:p>
    <w:p>
      <w:pPr>
        <w:rPr>
          <w:rFonts w:ascii="Times New Roman" w:hAnsi="Times New Roman"/>
        </w:rPr>
      </w:pPr>
      <w:r>
        <w:rPr>
          <w:rFonts w:ascii="Times New Roman" w:hAnsi="Times New Roman" w:eastAsia="黑体"/>
        </w:rPr>
        <w:t xml:space="preserve">3.1 </w:t>
      </w:r>
      <w:r>
        <w:rPr>
          <w:rFonts w:ascii="Times New Roman" w:hAnsi="Times New Roman"/>
        </w:rPr>
        <w:t>规模</w:t>
      </w:r>
      <w:r>
        <w:rPr>
          <w:rFonts w:hint="eastAsia" w:ascii="Times New Roman" w:hAnsi="Times New Roman"/>
        </w:rPr>
        <w:t>猪场：年出栏商品猪5</w:t>
      </w:r>
      <w:r>
        <w:rPr>
          <w:rFonts w:ascii="Times New Roman" w:hAnsi="Times New Roman"/>
        </w:rPr>
        <w:t>00头以上</w:t>
      </w:r>
      <w:r>
        <w:rPr>
          <w:rFonts w:hint="eastAsia" w:ascii="Times New Roman" w:hAnsi="Times New Roman"/>
        </w:rPr>
        <w:t>或存栏基础母猪1</w:t>
      </w:r>
      <w:r>
        <w:rPr>
          <w:rFonts w:ascii="Times New Roman" w:hAnsi="Times New Roman"/>
        </w:rPr>
        <w:t>00</w:t>
      </w:r>
      <w:r>
        <w:rPr>
          <w:rFonts w:hint="eastAsia" w:ascii="Times New Roman" w:hAnsi="Times New Roman"/>
        </w:rPr>
        <w:t>头以上</w:t>
      </w:r>
      <w:r>
        <w:rPr>
          <w:rFonts w:ascii="Times New Roman" w:hAnsi="Times New Roman"/>
        </w:rPr>
        <w:t>的猪场。</w:t>
      </w:r>
    </w:p>
    <w:p>
      <w:pPr>
        <w:rPr>
          <w:rFonts w:ascii="Times New Roman" w:hAnsi="Times New Roman"/>
        </w:rPr>
      </w:pPr>
      <w:r>
        <w:rPr>
          <w:rFonts w:hint="eastAsia" w:ascii="Times New Roman" w:hAnsi="Times New Roman"/>
        </w:rPr>
        <w:t>3</w:t>
      </w:r>
      <w:r>
        <w:rPr>
          <w:rFonts w:ascii="Times New Roman" w:hAnsi="Times New Roman"/>
        </w:rPr>
        <w:t>.2 风险因素</w:t>
      </w:r>
      <w:r>
        <w:rPr>
          <w:rFonts w:hint="eastAsia" w:ascii="Times New Roman" w:hAnsi="Times New Roman" w:eastAsia="黑体"/>
        </w:rPr>
        <w:t>：</w:t>
      </w:r>
      <w:r>
        <w:rPr>
          <w:rFonts w:hint="eastAsia" w:ascii="Times New Roman" w:hAnsi="Times New Roman"/>
        </w:rPr>
        <w:t>可能造成疫病发生的</w:t>
      </w:r>
      <w:r>
        <w:rPr>
          <w:rFonts w:ascii="Times New Roman" w:hAnsi="Times New Roman"/>
        </w:rPr>
        <w:t>不确定因素。</w:t>
      </w:r>
    </w:p>
    <w:p>
      <w:pPr>
        <w:rPr>
          <w:rFonts w:ascii="Times New Roman" w:hAnsi="Times New Roman"/>
        </w:rPr>
      </w:pPr>
      <w:r>
        <w:rPr>
          <w:rFonts w:hint="eastAsia" w:ascii="Times New Roman" w:hAnsi="Times New Roman"/>
        </w:rPr>
        <w:t>3.</w:t>
      </w:r>
      <w:r>
        <w:rPr>
          <w:rFonts w:ascii="Times New Roman" w:hAnsi="Times New Roman"/>
        </w:rPr>
        <w:t>3 限制性因素</w:t>
      </w:r>
      <w:r>
        <w:rPr>
          <w:rFonts w:hint="eastAsia" w:ascii="Times New Roman" w:hAnsi="Times New Roman"/>
        </w:rPr>
        <w:t>：在伪狂犬</w:t>
      </w:r>
      <w:r>
        <w:rPr>
          <w:rFonts w:ascii="Times New Roman" w:hAnsi="Times New Roman"/>
        </w:rPr>
        <w:t>病发生</w:t>
      </w:r>
      <w:r>
        <w:rPr>
          <w:rFonts w:hint="eastAsia" w:ascii="Times New Roman" w:hAnsi="Times New Roman"/>
        </w:rPr>
        <w:t>的过程中</w:t>
      </w:r>
      <w:r>
        <w:rPr>
          <w:rFonts w:ascii="Times New Roman" w:hAnsi="Times New Roman"/>
        </w:rPr>
        <w:t>可能</w:t>
      </w:r>
      <w:r>
        <w:rPr>
          <w:rFonts w:hint="eastAsia" w:ascii="Times New Roman" w:hAnsi="Times New Roman"/>
        </w:rPr>
        <w:t>起决定作用</w:t>
      </w:r>
      <w:r>
        <w:rPr>
          <w:rFonts w:ascii="Times New Roman" w:hAnsi="Times New Roman"/>
        </w:rPr>
        <w:t>的风险因素</w:t>
      </w:r>
      <w:r>
        <w:rPr>
          <w:rFonts w:hint="eastAsia" w:ascii="Times New Roman" w:hAnsi="Times New Roman"/>
        </w:rPr>
        <w:t>。</w:t>
      </w:r>
    </w:p>
    <w:p>
      <w:pPr>
        <w:rPr>
          <w:rFonts w:ascii="Times New Roman" w:hAnsi="Times New Roman"/>
        </w:rPr>
      </w:pPr>
      <w:r>
        <w:rPr>
          <w:rFonts w:hint="eastAsia" w:ascii="Times New Roman" w:hAnsi="Times New Roman"/>
        </w:rPr>
        <w:t>3</w:t>
      </w:r>
      <w:r>
        <w:rPr>
          <w:rFonts w:ascii="Times New Roman" w:hAnsi="Times New Roman"/>
        </w:rPr>
        <w:t>.4 关键因素</w:t>
      </w:r>
      <w:r>
        <w:rPr>
          <w:rFonts w:hint="eastAsia" w:ascii="Times New Roman" w:hAnsi="Times New Roman"/>
        </w:rPr>
        <w:t>：</w:t>
      </w:r>
      <w:r>
        <w:rPr>
          <w:rFonts w:ascii="Times New Roman" w:hAnsi="Times New Roman"/>
        </w:rPr>
        <w:t>对</w:t>
      </w:r>
      <w:r>
        <w:rPr>
          <w:rFonts w:hint="eastAsia" w:ascii="Times New Roman" w:hAnsi="Times New Roman"/>
        </w:rPr>
        <w:t>伪狂犬</w:t>
      </w:r>
      <w:r>
        <w:rPr>
          <w:rFonts w:ascii="Times New Roman" w:hAnsi="Times New Roman"/>
        </w:rPr>
        <w:t>病发生可能性有关键影响的风险因素</w:t>
      </w:r>
      <w:r>
        <w:rPr>
          <w:rFonts w:hint="eastAsia" w:ascii="Times New Roman" w:hAnsi="Times New Roman"/>
        </w:rPr>
        <w:t>。</w:t>
      </w:r>
    </w:p>
    <w:p>
      <w:pPr>
        <w:rPr>
          <w:rFonts w:ascii="Times New Roman" w:hAnsi="Times New Roman"/>
        </w:rPr>
      </w:pPr>
      <w:r>
        <w:rPr>
          <w:rFonts w:ascii="Times New Roman" w:hAnsi="Times New Roman" w:eastAsia="黑体"/>
        </w:rPr>
        <w:t xml:space="preserve">3.5 </w:t>
      </w:r>
      <w:r>
        <w:rPr>
          <w:rFonts w:hint="eastAsia" w:ascii="Times New Roman" w:hAnsi="Times New Roman"/>
        </w:rPr>
        <w:t>普通</w:t>
      </w:r>
      <w:r>
        <w:rPr>
          <w:rFonts w:ascii="Times New Roman" w:hAnsi="Times New Roman"/>
        </w:rPr>
        <w:t>因素</w:t>
      </w:r>
      <w:r>
        <w:rPr>
          <w:rFonts w:hint="eastAsia" w:ascii="Times New Roman" w:hAnsi="Times New Roman"/>
        </w:rPr>
        <w:t>：</w:t>
      </w:r>
      <w:r>
        <w:rPr>
          <w:rFonts w:ascii="Times New Roman" w:hAnsi="Times New Roman"/>
        </w:rPr>
        <w:t>可间接影响</w:t>
      </w:r>
      <w:r>
        <w:rPr>
          <w:rFonts w:hint="eastAsia" w:ascii="Times New Roman" w:hAnsi="Times New Roman"/>
        </w:rPr>
        <w:t>伪狂犬</w:t>
      </w:r>
      <w:r>
        <w:rPr>
          <w:rFonts w:ascii="Times New Roman" w:hAnsi="Times New Roman"/>
        </w:rPr>
        <w:t>病发生可能性的风险因素。</w:t>
      </w:r>
    </w:p>
    <w:p>
      <w:pPr>
        <w:pStyle w:val="19"/>
        <w:ind w:firstLine="0" w:firstLineChars="0"/>
        <w:rPr>
          <w:rFonts w:ascii="Times New Roman" w:hAnsi="Times New Roman"/>
          <w:kern w:val="2"/>
        </w:rPr>
      </w:pPr>
      <w:r>
        <w:rPr>
          <w:rFonts w:ascii="Times New Roman" w:hAnsi="Times New Roman" w:eastAsia="黑体"/>
        </w:rPr>
        <w:t xml:space="preserve">3.6 </w:t>
      </w:r>
      <w:r>
        <w:rPr>
          <w:rFonts w:ascii="Times New Roman" w:hAnsi="Times New Roman"/>
        </w:rPr>
        <w:t>风险评估</w:t>
      </w:r>
      <w:r>
        <w:rPr>
          <w:rFonts w:hint="eastAsia" w:ascii="Times New Roman" w:hAnsi="Times New Roman" w:eastAsia="黑体"/>
        </w:rPr>
        <w:t>：</w:t>
      </w:r>
      <w:r>
        <w:rPr>
          <w:rFonts w:hint="eastAsia" w:ascii="Times New Roman" w:hAnsi="Times New Roman"/>
          <w:kern w:val="2"/>
        </w:rPr>
        <w:t>在伪狂犬病风险事件发生之前，对影响伪狂犬病发生的各种风险因素进行分析和评估，以评估伪狂犬病发生的可能性大小及严重程度。</w:t>
      </w:r>
    </w:p>
    <w:p>
      <w:pPr>
        <w:pStyle w:val="34"/>
        <w:numPr>
          <w:ilvl w:val="0"/>
          <w:numId w:val="2"/>
        </w:numPr>
        <w:spacing w:before="312" w:beforeLines="100" w:after="312" w:afterLines="100"/>
        <w:ind w:left="0"/>
        <w:rPr>
          <w:rFonts w:ascii="Times New Roman"/>
        </w:rPr>
      </w:pPr>
      <w:r>
        <w:rPr>
          <w:rFonts w:ascii="Times New Roman"/>
        </w:rPr>
        <w:t>风险</w:t>
      </w:r>
      <w:r>
        <w:rPr>
          <w:rFonts w:hint="eastAsia" w:ascii="Times New Roman"/>
        </w:rPr>
        <w:t>因素及划分</w:t>
      </w:r>
    </w:p>
    <w:p>
      <w:pPr>
        <w:spacing w:before="312" w:beforeLines="100" w:after="312" w:afterLines="100"/>
        <w:rPr>
          <w:rFonts w:ascii="Times New Roman" w:hAnsi="Times New Roman" w:eastAsia="黑体"/>
          <w:bCs/>
        </w:rPr>
      </w:pPr>
      <w:r>
        <w:rPr>
          <w:rFonts w:ascii="Times New Roman" w:hAnsi="Times New Roman" w:eastAsia="黑体"/>
          <w:bCs/>
        </w:rPr>
        <w:t xml:space="preserve">4.1 </w:t>
      </w:r>
      <w:r>
        <w:rPr>
          <w:rFonts w:hint="eastAsia" w:ascii="Times New Roman" w:hAnsi="Times New Roman" w:eastAsia="黑体"/>
          <w:bCs/>
        </w:rPr>
        <w:t>风险因素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hint="eastAsia" w:ascii="Times New Roman" w:cs="Times New Roman"/>
        </w:rPr>
        <w:t>4</w:t>
      </w:r>
      <w:r>
        <w:rPr>
          <w:rFonts w:ascii="Times New Roman" w:cs="Times New Roman"/>
        </w:rPr>
        <w:t xml:space="preserve">.1.1 </w:t>
      </w:r>
      <w:r>
        <w:rPr>
          <w:rFonts w:hint="eastAsia" w:ascii="Times New Roman" w:cs="Times New Roman"/>
        </w:rPr>
        <w:t>场址选择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4.1.1.1 与</w:t>
      </w:r>
      <w:r>
        <w:rPr>
          <w:rFonts w:hint="eastAsia" w:ascii="Times New Roman" w:hAnsi="Times New Roman"/>
        </w:rPr>
        <w:t>其他猪场、</w:t>
      </w:r>
      <w:r>
        <w:rPr>
          <w:rFonts w:ascii="Times New Roman" w:hAnsi="Times New Roman"/>
        </w:rPr>
        <w:t>屠宰场、</w:t>
      </w:r>
      <w:r>
        <w:rPr>
          <w:rFonts w:hint="eastAsia" w:ascii="Times New Roman" w:hAnsi="Times New Roman"/>
        </w:rPr>
        <w:t>畜禽加工厂、交易市场、无害化处理厂</w:t>
      </w:r>
      <w:r>
        <w:rPr>
          <w:rFonts w:ascii="Times New Roman" w:hAnsi="Times New Roman"/>
        </w:rPr>
        <w:t>的距离。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4.1.1.2 与主干道或居民区的距离。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ascii="Times New Roman" w:cs="Times New Roman"/>
        </w:rPr>
        <w:t xml:space="preserve">4.1.2 </w:t>
      </w:r>
      <w:r>
        <w:rPr>
          <w:rFonts w:hint="eastAsia" w:ascii="Times New Roman" w:cs="Times New Roman"/>
        </w:rPr>
        <w:t>场区</w:t>
      </w:r>
      <w:r>
        <w:rPr>
          <w:rFonts w:ascii="Times New Roman" w:cs="Times New Roman"/>
        </w:rPr>
        <w:t>布局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4.1.2.1</w:t>
      </w:r>
      <w:r>
        <w:rPr>
          <w:rFonts w:hint="eastAsia" w:ascii="Times New Roman" w:hAnsi="Times New Roman"/>
        </w:rPr>
        <w:t xml:space="preserve"> 规模猪场防疫设施，有符合防疫要求的</w:t>
      </w:r>
      <w:r>
        <w:rPr>
          <w:rFonts w:ascii="Times New Roman" w:hAnsi="Times New Roman"/>
        </w:rPr>
        <w:t>围墙</w:t>
      </w:r>
      <w:r>
        <w:rPr>
          <w:rFonts w:hint="eastAsia" w:ascii="Times New Roman" w:hAnsi="Times New Roman"/>
        </w:rPr>
        <w:t>、</w:t>
      </w:r>
      <w:r>
        <w:rPr>
          <w:rFonts w:ascii="Times New Roman" w:hAnsi="Times New Roman"/>
        </w:rPr>
        <w:t>防疫沟</w:t>
      </w:r>
      <w:r>
        <w:rPr>
          <w:rFonts w:hint="eastAsia" w:ascii="Times New Roman" w:hAnsi="Times New Roman"/>
        </w:rPr>
        <w:t>或绿化隔离带</w:t>
      </w:r>
      <w:r>
        <w:rPr>
          <w:rFonts w:ascii="Times New Roman" w:hAnsi="Times New Roman"/>
        </w:rPr>
        <w:t>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4.1.2.2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管理区、生活区、生产区分设且界限分明。</w:t>
      </w:r>
    </w:p>
    <w:p>
      <w:pPr>
        <w:rPr>
          <w:rFonts w:ascii="Times New Roman" w:hAnsi="Times New Roman"/>
        </w:rPr>
      </w:pPr>
      <w:r>
        <w:rPr>
          <w:rFonts w:hint="eastAsia" w:ascii="Times New Roman" w:hAnsi="Times New Roman"/>
        </w:rPr>
        <w:t>4</w:t>
      </w:r>
      <w:r>
        <w:rPr>
          <w:rFonts w:ascii="Times New Roman" w:hAnsi="Times New Roman"/>
        </w:rPr>
        <w:t xml:space="preserve">.1.2.3 </w:t>
      </w:r>
      <w:r>
        <w:rPr>
          <w:rFonts w:hint="eastAsia" w:ascii="Times New Roman" w:hAnsi="Times New Roman"/>
        </w:rPr>
        <w:t>场内道路硬化。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4.1.2.4 净道与污道分开且无交叉。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4.1.2.5 </w:t>
      </w:r>
      <w:r>
        <w:rPr>
          <w:rFonts w:ascii="Times New Roman" w:hAnsi="Times New Roman"/>
          <w:color w:val="000000"/>
          <w:kern w:val="0"/>
        </w:rPr>
        <w:t>配种舍、妊娠舍、产房、带仔母畜舍、保育舍、育成舍依次沿着顺风</w:t>
      </w:r>
      <w:r>
        <w:rPr>
          <w:rFonts w:hint="eastAsia" w:ascii="Times New Roman" w:hAnsi="Times New Roman"/>
          <w:color w:val="000000"/>
          <w:kern w:val="0"/>
        </w:rPr>
        <w:t>向</w:t>
      </w:r>
      <w:r>
        <w:rPr>
          <w:rFonts w:ascii="Times New Roman" w:hAnsi="Times New Roman"/>
          <w:color w:val="000000"/>
          <w:kern w:val="0"/>
        </w:rPr>
        <w:t>建设</w:t>
      </w:r>
      <w:r>
        <w:rPr>
          <w:rFonts w:ascii="Times New Roman" w:hAnsi="Times New Roman"/>
        </w:rPr>
        <w:t>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4.1.2.6 </w:t>
      </w:r>
      <w:r>
        <w:rPr>
          <w:rFonts w:ascii="Times New Roman" w:hAnsi="Times New Roman"/>
          <w:color w:val="000000"/>
          <w:kern w:val="0"/>
        </w:rPr>
        <w:t>设置有出猪台，</w:t>
      </w:r>
      <w:r>
        <w:rPr>
          <w:rFonts w:hint="eastAsia" w:ascii="Times New Roman" w:hAnsi="Times New Roman"/>
          <w:color w:val="000000"/>
          <w:kern w:val="0"/>
        </w:rPr>
        <w:t>并位于下风口</w:t>
      </w:r>
      <w:r>
        <w:rPr>
          <w:rFonts w:ascii="Times New Roman" w:hAnsi="Times New Roman"/>
        </w:rPr>
        <w:t>。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ascii="Times New Roman" w:cs="Times New Roman"/>
        </w:rPr>
        <w:t>4.1.3 设施设备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4.1.3.1 </w:t>
      </w:r>
      <w:r>
        <w:rPr>
          <w:rFonts w:hint="eastAsia" w:ascii="Times New Roman" w:hAnsi="Times New Roman"/>
          <w:color w:val="000000"/>
          <w:kern w:val="0"/>
        </w:rPr>
        <w:t>场区入口有车辆消毒池、可覆盖全车的车辆消毒设施以及人员消毒设施。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4.1.3.2 每栋猪舍配备洗手消毒盆和脚踏消毒盆。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4.1.3.3 各功能区</w:t>
      </w:r>
      <w:r>
        <w:rPr>
          <w:rFonts w:hint="eastAsia" w:ascii="Times New Roman" w:hAnsi="Times New Roman"/>
        </w:rPr>
        <w:t>配备专用</w:t>
      </w:r>
      <w:r>
        <w:rPr>
          <w:rFonts w:ascii="Times New Roman" w:hAnsi="Times New Roman"/>
        </w:rPr>
        <w:t>消毒车和高压水枪。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4.1.3.4 场内</w:t>
      </w:r>
      <w:r>
        <w:rPr>
          <w:rFonts w:hint="eastAsia" w:ascii="Times New Roman" w:hAnsi="Times New Roman"/>
        </w:rPr>
        <w:t>有</w:t>
      </w:r>
      <w:r>
        <w:rPr>
          <w:rFonts w:ascii="Times New Roman" w:hAnsi="Times New Roman"/>
        </w:rPr>
        <w:t>专用的运输车辆。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4.1.3.5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设置防鸟、防鼠、防蚊虫等专用设施。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ascii="Times New Roman" w:cs="Times New Roman"/>
        </w:rPr>
        <w:t xml:space="preserve">4.1.4 </w:t>
      </w:r>
      <w:r>
        <w:rPr>
          <w:rFonts w:hint="eastAsia" w:ascii="Times New Roman" w:cs="Times New Roman"/>
        </w:rPr>
        <w:t>饲养</w:t>
      </w:r>
      <w:r>
        <w:rPr>
          <w:rFonts w:ascii="Times New Roman" w:cs="Times New Roman"/>
        </w:rPr>
        <w:t>管理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4.1.4.1 实行自繁自养</w:t>
      </w:r>
      <w:r>
        <w:rPr>
          <w:rFonts w:hint="eastAsia" w:ascii="Times New Roman" w:hAnsi="Times New Roman"/>
        </w:rPr>
        <w:t>或</w:t>
      </w:r>
      <w:r>
        <w:rPr>
          <w:rFonts w:ascii="Times New Roman" w:hAnsi="Times New Roman"/>
        </w:rPr>
        <w:t>全进全出的饲养管理模式。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4.1.4.2 引入猪</w:t>
      </w:r>
      <w:r>
        <w:rPr>
          <w:rFonts w:hint="eastAsia" w:ascii="Times New Roman" w:hAnsi="Times New Roman"/>
        </w:rPr>
        <w:t>隔离时间大于30天</w:t>
      </w:r>
      <w:r>
        <w:rPr>
          <w:rFonts w:ascii="Times New Roman" w:hAnsi="Times New Roman"/>
        </w:rPr>
        <w:t>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4.1.4.3 建立人员出</w:t>
      </w:r>
      <w:r>
        <w:rPr>
          <w:rFonts w:hint="eastAsia" w:ascii="Times New Roman" w:hAnsi="Times New Roman"/>
        </w:rPr>
        <w:t>入</w:t>
      </w:r>
      <w:r>
        <w:rPr>
          <w:rFonts w:ascii="Times New Roman" w:hAnsi="Times New Roman"/>
        </w:rPr>
        <w:t>制度并严格执行。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4.1.4.4 </w:t>
      </w:r>
      <w:r>
        <w:rPr>
          <w:rFonts w:hint="eastAsia" w:ascii="Times New Roman" w:hAnsi="Times New Roman"/>
        </w:rPr>
        <w:t>猪群密度符合</w:t>
      </w:r>
      <w:r>
        <w:rPr>
          <w:rFonts w:hint="eastAsia" w:ascii="Times New Roman" w:hAnsi="Times New Roman"/>
          <w:color w:val="000000"/>
        </w:rPr>
        <w:t>G</w:t>
      </w:r>
      <w:r>
        <w:rPr>
          <w:rFonts w:ascii="Times New Roman" w:hAnsi="Times New Roman"/>
          <w:color w:val="000000"/>
        </w:rPr>
        <w:t>B/T 17824.1</w:t>
      </w:r>
      <w:r>
        <w:rPr>
          <w:rFonts w:hint="eastAsia" w:ascii="Times New Roman" w:hAnsi="Times New Roman"/>
        </w:rPr>
        <w:t>国家标准。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4.1.4.5 场</w:t>
      </w:r>
      <w:r>
        <w:rPr>
          <w:rFonts w:hint="eastAsia" w:ascii="Times New Roman" w:hAnsi="Times New Roman"/>
        </w:rPr>
        <w:t>内无</w:t>
      </w:r>
      <w:r>
        <w:rPr>
          <w:rFonts w:ascii="Times New Roman" w:hAnsi="Times New Roman"/>
        </w:rPr>
        <w:t>流浪犬猫。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4.1.4.6 建立养殖档案</w:t>
      </w:r>
      <w:r>
        <w:rPr>
          <w:rFonts w:hint="eastAsia" w:ascii="Times New Roman" w:hAnsi="Times New Roman"/>
        </w:rPr>
        <w:t>，相应记录可追溯</w:t>
      </w:r>
      <w:r>
        <w:rPr>
          <w:rFonts w:ascii="Times New Roman" w:hAnsi="Times New Roman"/>
        </w:rPr>
        <w:t>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4.1.4.7 </w:t>
      </w:r>
      <w:r>
        <w:rPr>
          <w:rFonts w:hint="eastAsia" w:ascii="Times New Roman" w:hAnsi="Times New Roman"/>
        </w:rPr>
        <w:t>有驻场兽医。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ascii="Times New Roman" w:cs="Times New Roman"/>
        </w:rPr>
        <w:t>4.1.5 消毒</w:t>
      </w:r>
      <w:r>
        <w:rPr>
          <w:rFonts w:hint="eastAsia" w:ascii="Times New Roman" w:cs="Times New Roman"/>
        </w:rPr>
        <w:t>隔离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4.1.5.1 建立定期消毒制度并严格执行。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4.1.5.2</w:t>
      </w:r>
      <w:r>
        <w:rPr>
          <w:rFonts w:hint="eastAsia" w:ascii="Times New Roman" w:hAnsi="Times New Roman"/>
        </w:rPr>
        <w:t xml:space="preserve"> 选择</w:t>
      </w:r>
      <w:r>
        <w:rPr>
          <w:rFonts w:ascii="Times New Roman" w:hAnsi="Times New Roman"/>
        </w:rPr>
        <w:t>伪狂犬病</w:t>
      </w:r>
      <w:r>
        <w:rPr>
          <w:rFonts w:hint="eastAsia" w:ascii="Times New Roman" w:hAnsi="Times New Roman"/>
        </w:rPr>
        <w:t>毒敏感</w:t>
      </w:r>
      <w:r>
        <w:rPr>
          <w:rFonts w:ascii="Times New Roman" w:hAnsi="Times New Roman"/>
        </w:rPr>
        <w:t>的消毒药进行消毒。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4.1.5.3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及时隔离</w:t>
      </w:r>
      <w:r>
        <w:rPr>
          <w:rFonts w:hint="eastAsia" w:ascii="Times New Roman" w:hAnsi="Times New Roman"/>
        </w:rPr>
        <w:t>病猪</w:t>
      </w:r>
      <w:r>
        <w:rPr>
          <w:rFonts w:ascii="Times New Roman" w:hAnsi="Times New Roman"/>
        </w:rPr>
        <w:t>和处理</w:t>
      </w:r>
      <w:r>
        <w:rPr>
          <w:rFonts w:hint="eastAsia" w:ascii="Times New Roman" w:hAnsi="Times New Roman"/>
        </w:rPr>
        <w:t>死猪</w:t>
      </w:r>
      <w:r>
        <w:rPr>
          <w:rFonts w:ascii="Times New Roman" w:hAnsi="Times New Roman"/>
        </w:rPr>
        <w:t>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hint="eastAsia" w:ascii="Times New Roman" w:hAnsi="Times New Roman"/>
        </w:rPr>
        <w:t>.</w:t>
      </w:r>
      <w:r>
        <w:rPr>
          <w:rFonts w:ascii="Times New Roman" w:hAnsi="Times New Roman"/>
        </w:rPr>
        <w:t>1.5.4 建立无害化处理制度并严格执行。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4.1.5.5 场内有收集病死猪场所，并有效隔离。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ascii="Times New Roman" w:cs="Times New Roman"/>
        </w:rPr>
        <w:t xml:space="preserve">4.1.6 </w:t>
      </w:r>
      <w:r>
        <w:rPr>
          <w:rFonts w:hint="eastAsia" w:ascii="Times New Roman" w:cs="Times New Roman"/>
        </w:rPr>
        <w:t>疫苗</w:t>
      </w:r>
      <w:r>
        <w:rPr>
          <w:rFonts w:ascii="Times New Roman" w:cs="Times New Roman"/>
        </w:rPr>
        <w:t>免疫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4.1.6.1 建立适合本场</w:t>
      </w:r>
      <w:r>
        <w:rPr>
          <w:rFonts w:hint="eastAsia" w:ascii="Times New Roman" w:hAnsi="Times New Roman"/>
        </w:rPr>
        <w:t>的</w:t>
      </w:r>
      <w:r>
        <w:rPr>
          <w:rFonts w:ascii="Times New Roman" w:hAnsi="Times New Roman"/>
        </w:rPr>
        <w:t>伪狂犬</w:t>
      </w:r>
      <w:r>
        <w:rPr>
          <w:rFonts w:hint="eastAsia" w:ascii="Times New Roman" w:hAnsi="Times New Roman"/>
        </w:rPr>
        <w:t>病</w:t>
      </w:r>
      <w:r>
        <w:rPr>
          <w:rFonts w:ascii="Times New Roman" w:hAnsi="Times New Roman"/>
        </w:rPr>
        <w:t>免疫程序，并严格执行。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4.1.6.2 疫苗储存符合要求。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4.1.6.3 疫苗免疫方法、剂量符合要求。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4.1.6.4 </w:t>
      </w:r>
      <w:r>
        <w:rPr>
          <w:rFonts w:ascii="Times New Roman" w:hAnsi="Times New Roman"/>
          <w:color w:val="000000"/>
        </w:rPr>
        <w:t>伪狂犬</w:t>
      </w:r>
      <w:r>
        <w:rPr>
          <w:rFonts w:hint="eastAsia" w:ascii="Times New Roman" w:hAnsi="Times New Roman"/>
          <w:color w:val="000000"/>
        </w:rPr>
        <w:t>病</w:t>
      </w:r>
      <w:r>
        <w:rPr>
          <w:rFonts w:ascii="Times New Roman" w:hAnsi="Times New Roman"/>
          <w:color w:val="000000"/>
        </w:rPr>
        <w:t>gB抗体</w:t>
      </w:r>
      <w:r>
        <w:rPr>
          <w:rFonts w:hint="eastAsia" w:ascii="Times New Roman" w:hAnsi="Times New Roman"/>
          <w:color w:val="000000"/>
        </w:rPr>
        <w:t>水平达到标准。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4.1.6.5 其它</w:t>
      </w:r>
      <w:r>
        <w:rPr>
          <w:rFonts w:hint="eastAsia" w:ascii="Times New Roman" w:hAnsi="Times New Roman"/>
        </w:rPr>
        <w:t>猪病</w:t>
      </w:r>
      <w:r>
        <w:rPr>
          <w:rFonts w:ascii="Times New Roman" w:hAnsi="Times New Roman"/>
        </w:rPr>
        <w:t>疫苗免疫抗体水平</w:t>
      </w:r>
      <w:r>
        <w:rPr>
          <w:rFonts w:hint="eastAsia" w:ascii="Times New Roman" w:hAnsi="Times New Roman"/>
        </w:rPr>
        <w:t>达到标准</w:t>
      </w:r>
      <w:r>
        <w:rPr>
          <w:rFonts w:ascii="Times New Roman" w:hAnsi="Times New Roman"/>
        </w:rPr>
        <w:t>。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ascii="Times New Roman" w:cs="Times New Roman"/>
        </w:rPr>
        <w:t>4.1.7 监测与净化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4.1.7.1 </w:t>
      </w:r>
      <w:r>
        <w:rPr>
          <w:rFonts w:ascii="Times New Roman" w:hAnsi="Times New Roman"/>
          <w:color w:val="000000"/>
        </w:rPr>
        <w:t>引入种猪入场前、外购供体/精液使用前有</w:t>
      </w:r>
      <w:r>
        <w:rPr>
          <w:rFonts w:hint="eastAsia" w:ascii="Times New Roman" w:hAnsi="Times New Roman"/>
          <w:color w:val="000000"/>
        </w:rPr>
        <w:t>伪狂犬病、猪繁殖与呼吸综合征、</w:t>
      </w:r>
      <w:r>
        <w:rPr>
          <w:rFonts w:ascii="Times New Roman" w:hAnsi="Times New Roman"/>
          <w:color w:val="000000"/>
        </w:rPr>
        <w:t>非洲猪瘟</w:t>
      </w:r>
      <w:r>
        <w:rPr>
          <w:rFonts w:hint="eastAsia" w:ascii="Times New Roman" w:hAnsi="Times New Roman"/>
          <w:color w:val="000000"/>
        </w:rPr>
        <w:t>等</w:t>
      </w:r>
      <w:r>
        <w:rPr>
          <w:rFonts w:ascii="Times New Roman" w:hAnsi="Times New Roman"/>
          <w:color w:val="000000"/>
        </w:rPr>
        <w:t>病原检测报告且</w:t>
      </w:r>
      <w:r>
        <w:rPr>
          <w:rFonts w:hint="eastAsia" w:ascii="Times New Roman" w:hAnsi="Times New Roman"/>
          <w:color w:val="000000"/>
        </w:rPr>
        <w:t>检测</w:t>
      </w:r>
      <w:r>
        <w:rPr>
          <w:rFonts w:ascii="Times New Roman" w:hAnsi="Times New Roman"/>
          <w:color w:val="000000"/>
        </w:rPr>
        <w:t>结果</w:t>
      </w:r>
      <w:r>
        <w:rPr>
          <w:rFonts w:hint="eastAsia" w:ascii="Times New Roman" w:hAnsi="Times New Roman"/>
          <w:color w:val="000000"/>
        </w:rPr>
        <w:t>呈</w:t>
      </w:r>
      <w:r>
        <w:rPr>
          <w:rFonts w:ascii="Times New Roman" w:hAnsi="Times New Roman"/>
          <w:color w:val="000000"/>
        </w:rPr>
        <w:t>阴性。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4.1.7.2 对引入猪群开展伪狂犬</w:t>
      </w:r>
      <w:r>
        <w:rPr>
          <w:rFonts w:hint="eastAsia" w:ascii="Times New Roman" w:hAnsi="Times New Roman"/>
        </w:rPr>
        <w:t>病</w:t>
      </w:r>
      <w:r>
        <w:rPr>
          <w:rFonts w:ascii="Times New Roman" w:hAnsi="Times New Roman"/>
        </w:rPr>
        <w:t>gB抗体和gE抗体检测。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4.1.7.3 </w:t>
      </w:r>
      <w:r>
        <w:rPr>
          <w:rFonts w:hint="eastAsia" w:ascii="Times New Roman" w:hAnsi="Times New Roman"/>
        </w:rPr>
        <w:t>制定伪狂犬病的监测计划并严格执行。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ascii="Times New Roman" w:cs="Times New Roman"/>
        </w:rPr>
        <w:t>4.1.8 疫病流行状况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4.1.8.1 猪群</w:t>
      </w:r>
      <w:r>
        <w:rPr>
          <w:rFonts w:hint="eastAsia" w:ascii="Times New Roman" w:hAnsi="Times New Roman"/>
        </w:rPr>
        <w:t>未</w:t>
      </w:r>
      <w:r>
        <w:rPr>
          <w:rFonts w:ascii="Times New Roman" w:hAnsi="Times New Roman"/>
        </w:rPr>
        <w:t>出现伪狂犬病临床症状。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4.1.8.2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猪群伪狂犬病病原学</w:t>
      </w:r>
      <w:r>
        <w:rPr>
          <w:rFonts w:hint="eastAsia" w:ascii="Times New Roman" w:hAnsi="Times New Roman"/>
        </w:rPr>
        <w:t>检测结果呈</w:t>
      </w:r>
      <w:r>
        <w:rPr>
          <w:rFonts w:ascii="Times New Roman" w:hAnsi="Times New Roman"/>
        </w:rPr>
        <w:t>阳性但未</w:t>
      </w:r>
      <w:r>
        <w:rPr>
          <w:rFonts w:hint="eastAsia" w:ascii="Times New Roman" w:hAnsi="Times New Roman"/>
        </w:rPr>
        <w:t>出现</w:t>
      </w:r>
      <w:r>
        <w:rPr>
          <w:rFonts w:ascii="Times New Roman" w:hAnsi="Times New Roman"/>
        </w:rPr>
        <w:t>伪狂犬病临床症状。</w:t>
      </w:r>
    </w:p>
    <w:p>
      <w:pPr>
        <w:rPr>
          <w:rFonts w:ascii="Times New Roman" w:hAnsi="Times New Roman"/>
          <w:bCs/>
        </w:rPr>
      </w:pPr>
      <w:r>
        <w:rPr>
          <w:rFonts w:ascii="Times New Roman" w:hAnsi="Times New Roman"/>
        </w:rPr>
        <w:t xml:space="preserve">4.1.8.3 </w:t>
      </w:r>
      <w:r>
        <w:rPr>
          <w:rFonts w:hint="eastAsia" w:ascii="Times New Roman" w:hAnsi="Times New Roman"/>
          <w:bCs/>
        </w:rPr>
        <w:t>规模猪场</w:t>
      </w:r>
      <w:r>
        <w:rPr>
          <w:rFonts w:ascii="Times New Roman" w:hAnsi="Times New Roman"/>
          <w:bCs/>
        </w:rPr>
        <w:t>近3年</w:t>
      </w:r>
      <w:r>
        <w:rPr>
          <w:rFonts w:hint="eastAsia" w:ascii="Times New Roman" w:hAnsi="Times New Roman"/>
          <w:bCs/>
          <w:lang w:val="en-US" w:eastAsia="zh-CN"/>
        </w:rPr>
        <w:t>未</w:t>
      </w:r>
      <w:r>
        <w:rPr>
          <w:rFonts w:ascii="Times New Roman" w:hAnsi="Times New Roman"/>
          <w:bCs/>
        </w:rPr>
        <w:t>发生过伪狂犬病。</w:t>
      </w:r>
    </w:p>
    <w:p>
      <w:p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4.</w:t>
      </w:r>
      <w:r>
        <w:rPr>
          <w:rFonts w:ascii="Times New Roman" w:hAnsi="Times New Roman"/>
        </w:rPr>
        <w:t>1.</w:t>
      </w:r>
      <w:r>
        <w:rPr>
          <w:rFonts w:ascii="Times New Roman" w:hAnsi="Times New Roman"/>
          <w:bCs/>
        </w:rPr>
        <w:t>8.4 场</w:t>
      </w:r>
      <w:r>
        <w:rPr>
          <w:rFonts w:hint="eastAsia" w:ascii="Times New Roman" w:hAnsi="Times New Roman"/>
          <w:bCs/>
        </w:rPr>
        <w:t>内</w:t>
      </w:r>
      <w:r>
        <w:rPr>
          <w:rFonts w:ascii="Times New Roman" w:hAnsi="Times New Roman"/>
          <w:bCs/>
        </w:rPr>
        <w:t>目前</w:t>
      </w:r>
      <w:r>
        <w:rPr>
          <w:rFonts w:hint="eastAsia" w:ascii="Times New Roman" w:hAnsi="Times New Roman"/>
          <w:bCs/>
        </w:rPr>
        <w:t>无</w:t>
      </w:r>
      <w:r>
        <w:rPr>
          <w:rFonts w:ascii="Times New Roman" w:hAnsi="Times New Roman"/>
          <w:bCs/>
        </w:rPr>
        <w:t>其他疫病流行。</w:t>
      </w:r>
    </w:p>
    <w:p>
      <w:p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4.</w:t>
      </w:r>
      <w:r>
        <w:rPr>
          <w:rFonts w:ascii="Times New Roman" w:hAnsi="Times New Roman"/>
        </w:rPr>
        <w:t>1.</w:t>
      </w:r>
      <w:r>
        <w:rPr>
          <w:rFonts w:ascii="Times New Roman" w:hAnsi="Times New Roman"/>
          <w:bCs/>
        </w:rPr>
        <w:t>8.5 周边养殖场目前</w:t>
      </w:r>
      <w:r>
        <w:rPr>
          <w:rFonts w:hint="eastAsia" w:ascii="Times New Roman" w:hAnsi="Times New Roman"/>
          <w:bCs/>
        </w:rPr>
        <w:t>无伪狂犬</w:t>
      </w:r>
      <w:r>
        <w:rPr>
          <w:rFonts w:ascii="Times New Roman" w:hAnsi="Times New Roman"/>
          <w:bCs/>
        </w:rPr>
        <w:t>病流行。</w:t>
      </w:r>
    </w:p>
    <w:p>
      <w:pPr>
        <w:pStyle w:val="36"/>
        <w:spacing w:before="312" w:beforeLines="100" w:after="312" w:afterLines="100"/>
        <w:ind w:left="0"/>
        <w:outlineLvl w:val="1"/>
        <w:rPr>
          <w:rFonts w:hAnsi="黑体" w:cs="Times New Roman"/>
        </w:rPr>
      </w:pPr>
      <w:r>
        <w:rPr>
          <w:rFonts w:hAnsi="黑体" w:cs="Times New Roman"/>
        </w:rPr>
        <w:t xml:space="preserve">4.2 </w:t>
      </w:r>
      <w:r>
        <w:rPr>
          <w:rFonts w:hint="eastAsia" w:hAnsi="黑体" w:cs="Times New Roman"/>
        </w:rPr>
        <w:t>风险因素的划分</w:t>
      </w:r>
    </w:p>
    <w:p>
      <w:p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4.2.1 2</w:t>
      </w:r>
      <w:r>
        <w:rPr>
          <w:rFonts w:hint="eastAsia" w:ascii="Times New Roman" w:hAnsi="Times New Roman"/>
          <w:bCs/>
        </w:rPr>
        <w:t>个限制性因素分别为4</w:t>
      </w:r>
      <w:r>
        <w:rPr>
          <w:rFonts w:ascii="Times New Roman" w:hAnsi="Times New Roman"/>
          <w:bCs/>
        </w:rPr>
        <w:t>.1.8.1</w:t>
      </w:r>
      <w:r>
        <w:rPr>
          <w:rFonts w:hint="eastAsia" w:ascii="Times New Roman" w:hAnsi="Times New Roman"/>
          <w:bCs/>
        </w:rPr>
        <w:t>和4</w:t>
      </w:r>
      <w:r>
        <w:rPr>
          <w:rFonts w:ascii="Times New Roman" w:hAnsi="Times New Roman"/>
          <w:bCs/>
        </w:rPr>
        <w:t>.1.8.2</w:t>
      </w:r>
      <w:r>
        <w:rPr>
          <w:rFonts w:hint="eastAsia" w:ascii="Times New Roman" w:hAnsi="Times New Roman"/>
          <w:bCs/>
        </w:rPr>
        <w:t>。</w:t>
      </w:r>
    </w:p>
    <w:p>
      <w:p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4.2.2 10</w:t>
      </w:r>
      <w:r>
        <w:rPr>
          <w:rFonts w:hint="eastAsia" w:ascii="Times New Roman" w:hAnsi="Times New Roman"/>
          <w:bCs/>
        </w:rPr>
        <w:t>个关键因素分别为</w:t>
      </w:r>
      <w:r>
        <w:rPr>
          <w:rFonts w:ascii="Times New Roman" w:hAnsi="Times New Roman"/>
          <w:bCs/>
        </w:rPr>
        <w:t>4.1.1.1</w:t>
      </w:r>
      <w:r>
        <w:rPr>
          <w:rFonts w:hint="eastAsia" w:ascii="Times New Roman" w:hAnsi="Times New Roman"/>
          <w:bCs/>
        </w:rPr>
        <w:t>、4</w:t>
      </w:r>
      <w:r>
        <w:rPr>
          <w:rFonts w:ascii="Times New Roman" w:hAnsi="Times New Roman"/>
          <w:bCs/>
        </w:rPr>
        <w:t>.1.4.2</w:t>
      </w:r>
      <w:r>
        <w:rPr>
          <w:rFonts w:hint="eastAsia" w:ascii="Times New Roman" w:hAnsi="Times New Roman"/>
          <w:bCs/>
        </w:rPr>
        <w:t>、</w:t>
      </w:r>
      <w:r>
        <w:rPr>
          <w:rFonts w:ascii="Times New Roman" w:hAnsi="Times New Roman"/>
          <w:bCs/>
        </w:rPr>
        <w:t>4.1.4.</w:t>
      </w:r>
      <w:r>
        <w:rPr>
          <w:rFonts w:hint="eastAsia" w:ascii="Times New Roman" w:hAnsi="Times New Roman"/>
          <w:bCs/>
        </w:rPr>
        <w:t>5、4.1.5.1、4.</w:t>
      </w:r>
      <w:r>
        <w:rPr>
          <w:rFonts w:ascii="Times New Roman" w:hAnsi="Times New Roman"/>
          <w:bCs/>
        </w:rPr>
        <w:t>1.</w:t>
      </w:r>
      <w:r>
        <w:rPr>
          <w:rFonts w:hint="eastAsia" w:ascii="Times New Roman" w:hAnsi="Times New Roman"/>
          <w:bCs/>
        </w:rPr>
        <w:t>5</w:t>
      </w:r>
      <w:r>
        <w:rPr>
          <w:rFonts w:ascii="Times New Roman" w:hAnsi="Times New Roman"/>
          <w:bCs/>
        </w:rPr>
        <w:t>.</w:t>
      </w:r>
      <w:r>
        <w:rPr>
          <w:rFonts w:hint="eastAsia" w:ascii="Times New Roman" w:hAnsi="Times New Roman"/>
          <w:bCs/>
        </w:rPr>
        <w:t>6、4.</w:t>
      </w:r>
      <w:r>
        <w:rPr>
          <w:rFonts w:ascii="Times New Roman" w:hAnsi="Times New Roman"/>
          <w:bCs/>
        </w:rPr>
        <w:t>1.</w:t>
      </w:r>
      <w:r>
        <w:rPr>
          <w:rFonts w:hint="eastAsia" w:ascii="Times New Roman" w:hAnsi="Times New Roman"/>
          <w:bCs/>
        </w:rPr>
        <w:t>6.1、4.</w:t>
      </w:r>
      <w:r>
        <w:rPr>
          <w:rFonts w:ascii="Times New Roman" w:hAnsi="Times New Roman"/>
          <w:bCs/>
        </w:rPr>
        <w:t>1.</w:t>
      </w:r>
      <w:r>
        <w:rPr>
          <w:rFonts w:hint="eastAsia" w:ascii="Times New Roman" w:hAnsi="Times New Roman"/>
          <w:bCs/>
        </w:rPr>
        <w:t>6.4、4.</w:t>
      </w:r>
      <w:r>
        <w:rPr>
          <w:rFonts w:ascii="Times New Roman" w:hAnsi="Times New Roman"/>
          <w:bCs/>
        </w:rPr>
        <w:t>1.7.1</w:t>
      </w:r>
      <w:r>
        <w:rPr>
          <w:rFonts w:hint="eastAsia" w:ascii="Times New Roman" w:hAnsi="Times New Roman"/>
          <w:bCs/>
        </w:rPr>
        <w:t>、4</w:t>
      </w:r>
      <w:r>
        <w:rPr>
          <w:rFonts w:ascii="Times New Roman" w:hAnsi="Times New Roman"/>
          <w:bCs/>
        </w:rPr>
        <w:t>.1.7.2</w:t>
      </w:r>
      <w:r>
        <w:rPr>
          <w:rFonts w:hint="eastAsia" w:ascii="Times New Roman" w:hAnsi="Times New Roman"/>
          <w:bCs/>
        </w:rPr>
        <w:t>和</w:t>
      </w:r>
      <w:r>
        <w:rPr>
          <w:rFonts w:ascii="Times New Roman" w:hAnsi="Times New Roman"/>
          <w:bCs/>
        </w:rPr>
        <w:t>4.1.8.</w:t>
      </w:r>
      <w:r>
        <w:rPr>
          <w:rFonts w:hint="eastAsia" w:ascii="Times New Roman" w:hAnsi="Times New Roman"/>
          <w:bCs/>
        </w:rPr>
        <w:t>3。</w:t>
      </w:r>
    </w:p>
    <w:p>
      <w:p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4.2.3 </w:t>
      </w:r>
      <w:r>
        <w:rPr>
          <w:rFonts w:hint="eastAsia" w:ascii="Times New Roman" w:hAnsi="Times New Roman"/>
          <w:bCs/>
        </w:rPr>
        <w:t>其他因素为普通因素。</w:t>
      </w:r>
    </w:p>
    <w:p>
      <w:pPr>
        <w:pStyle w:val="36"/>
        <w:spacing w:before="312" w:beforeLines="100" w:after="312" w:afterLines="100"/>
        <w:ind w:left="0"/>
        <w:outlineLvl w:val="1"/>
        <w:rPr>
          <w:rFonts w:ascii="Times New Roman" w:cs="Times New Roman"/>
        </w:rPr>
      </w:pPr>
      <w:r>
        <w:rPr>
          <w:rFonts w:ascii="Times New Roman" w:cs="Times New Roman"/>
        </w:rPr>
        <w:t>5 风险评估模型及使用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hint="eastAsia" w:ascii="Times New Roman" w:cs="Times New Roman"/>
        </w:rPr>
        <w:t>5</w:t>
      </w:r>
      <w:r>
        <w:rPr>
          <w:rFonts w:ascii="Times New Roman" w:cs="Times New Roman"/>
        </w:rPr>
        <w:t>.1伪狂犬病风险评估模型</w:t>
      </w:r>
    </w:p>
    <w:p>
      <w:pPr>
        <w:pStyle w:val="37"/>
        <w:numPr>
          <w:ilvl w:val="2"/>
          <w:numId w:val="0"/>
        </w:numPr>
        <w:spacing w:before="156" w:after="156"/>
        <w:ind w:firstLine="420" w:firstLineChars="200"/>
        <w:rPr>
          <w:rFonts w:ascii="Times New Roman" w:eastAsia="宋体" w:cs="Times New Roman"/>
          <w:kern w:val="2"/>
        </w:rPr>
      </w:pPr>
      <w:r>
        <w:rPr>
          <w:rFonts w:ascii="Times New Roman" w:eastAsia="宋体" w:cs="Times New Roman"/>
          <w:kern w:val="2"/>
        </w:rPr>
        <w:t>规模猪场伪狂犬病风险评估表</w:t>
      </w:r>
      <w:r>
        <w:rPr>
          <w:rFonts w:hint="eastAsia" w:ascii="Times New Roman" w:eastAsia="宋体" w:cs="Times New Roman"/>
          <w:kern w:val="2"/>
        </w:rPr>
        <w:t>（附录A）</w:t>
      </w:r>
      <w:r>
        <w:rPr>
          <w:rFonts w:ascii="Times New Roman" w:eastAsia="宋体" w:cs="Times New Roman"/>
          <w:kern w:val="2"/>
        </w:rPr>
        <w:t>作为评估模型。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ascii="Times New Roman" w:cs="Times New Roman"/>
        </w:rPr>
        <w:t>5.2 风险评估模型的使用</w:t>
      </w:r>
    </w:p>
    <w:p>
      <w:pPr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根据被评估规模</w:t>
      </w:r>
      <w:r>
        <w:rPr>
          <w:rFonts w:hint="eastAsia" w:ascii="Times New Roman" w:hAnsi="Times New Roman"/>
        </w:rPr>
        <w:t>猪</w:t>
      </w:r>
      <w:r>
        <w:rPr>
          <w:rFonts w:ascii="Times New Roman" w:hAnsi="Times New Roman"/>
        </w:rPr>
        <w:t>场的实际情况，对规模</w:t>
      </w:r>
      <w:r>
        <w:rPr>
          <w:rFonts w:hint="eastAsia" w:ascii="Times New Roman" w:hAnsi="Times New Roman"/>
        </w:rPr>
        <w:t>猪</w:t>
      </w:r>
      <w:r>
        <w:rPr>
          <w:rFonts w:ascii="Times New Roman" w:hAnsi="Times New Roman"/>
        </w:rPr>
        <w:t>场伪狂犬</w:t>
      </w:r>
      <w:r>
        <w:rPr>
          <w:rFonts w:hint="eastAsia" w:ascii="Times New Roman" w:hAnsi="Times New Roman"/>
        </w:rPr>
        <w:t>病</w:t>
      </w:r>
      <w:r>
        <w:rPr>
          <w:rFonts w:ascii="Times New Roman" w:hAnsi="Times New Roman"/>
        </w:rPr>
        <w:t>风险评估表中每项内容进行</w:t>
      </w:r>
      <w:r>
        <w:rPr>
          <w:rFonts w:hint="eastAsia" w:ascii="Times New Roman" w:hAnsi="Times New Roman"/>
        </w:rPr>
        <w:t>赋分</w:t>
      </w:r>
      <w:r>
        <w:rPr>
          <w:rFonts w:ascii="Times New Roman" w:hAnsi="Times New Roman"/>
        </w:rPr>
        <w:t>判定。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ascii="Times New Roman" w:cs="Times New Roman"/>
        </w:rPr>
        <w:t>6 风险综合判定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ascii="Times New Roman" w:cs="Times New Roman"/>
        </w:rPr>
        <w:t>6.1风险分级</w:t>
      </w:r>
    </w:p>
    <w:p>
      <w:pPr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根据综合评分结果确定伪狂犬病发生风险等级；将</w:t>
      </w:r>
      <w:r>
        <w:rPr>
          <w:rFonts w:hint="eastAsia" w:ascii="Times New Roman" w:hAnsi="Times New Roman"/>
        </w:rPr>
        <w:t>伪狂犬</w:t>
      </w:r>
      <w:r>
        <w:rPr>
          <w:rFonts w:ascii="Times New Roman" w:hAnsi="Times New Roman"/>
        </w:rPr>
        <w:t xml:space="preserve">病发生风险分为A、B、C三级。 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ascii="Times New Roman" w:cs="Times New Roman"/>
        </w:rPr>
        <w:t>6.2 风险A级</w:t>
      </w:r>
    </w:p>
    <w:p>
      <w:pPr>
        <w:pStyle w:val="19"/>
        <w:ind w:firstLine="420"/>
        <w:rPr>
          <w:rFonts w:ascii="Times New Roman" w:hAnsi="Times New Roman"/>
        </w:rPr>
      </w:pPr>
      <w:r>
        <w:rPr>
          <w:rFonts w:ascii="Times New Roman" w:hAnsi="Times New Roman"/>
        </w:rPr>
        <w:t>综合因素评分</w:t>
      </w:r>
      <w:r>
        <w:rPr>
          <w:rFonts w:hint="eastAsia" w:ascii="Times New Roman" w:hAnsi="Times New Roman"/>
        </w:rPr>
        <w:t>≥9</w:t>
      </w:r>
      <w:r>
        <w:rPr>
          <w:rFonts w:ascii="Times New Roman" w:hAnsi="Times New Roman"/>
        </w:rPr>
        <w:t>5分以上，</w:t>
      </w:r>
      <w:r>
        <w:rPr>
          <w:rFonts w:hint="eastAsia" w:ascii="Times New Roman" w:hAnsi="Times New Roman"/>
        </w:rPr>
        <w:t>判定为</w:t>
      </w:r>
      <w:r>
        <w:rPr>
          <w:rFonts w:ascii="Times New Roman" w:hAnsi="Times New Roman"/>
        </w:rPr>
        <w:t>风险A级</w:t>
      </w:r>
      <w:r>
        <w:rPr>
          <w:rFonts w:hint="eastAsia" w:ascii="Times New Roman" w:hAnsi="Times New Roman"/>
        </w:rPr>
        <w:t>，低风险</w:t>
      </w:r>
      <w:r>
        <w:rPr>
          <w:rFonts w:ascii="Times New Roman" w:hAnsi="Times New Roman"/>
        </w:rPr>
        <w:t>。</w:t>
      </w:r>
      <w:r>
        <w:rPr>
          <w:rFonts w:hint="eastAsia" w:ascii="Times New Roman" w:hAnsi="Times New Roman"/>
        </w:rPr>
        <w:t>发生疫病可能性不大，</w:t>
      </w:r>
      <w:r>
        <w:rPr>
          <w:rFonts w:ascii="Times New Roman" w:hAnsi="Times New Roman"/>
        </w:rPr>
        <w:t>应继续落实</w:t>
      </w:r>
      <w:r>
        <w:rPr>
          <w:rFonts w:hint="eastAsia" w:ascii="Times New Roman" w:hAnsi="Times New Roman"/>
        </w:rPr>
        <w:t>好各项</w:t>
      </w:r>
      <w:r>
        <w:rPr>
          <w:rFonts w:ascii="Times New Roman" w:hAnsi="Times New Roman"/>
        </w:rPr>
        <w:t>防控工作。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ascii="Times New Roman" w:cs="Times New Roman"/>
        </w:rPr>
        <w:t>6.3 风险B级</w:t>
      </w:r>
    </w:p>
    <w:p>
      <w:pPr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9</w:t>
      </w:r>
      <w:r>
        <w:rPr>
          <w:rFonts w:ascii="Times New Roman" w:hAnsi="Times New Roman"/>
        </w:rPr>
        <w:t>0</w:t>
      </w:r>
      <w:r>
        <w:rPr>
          <w:rFonts w:hint="eastAsia" w:ascii="Times New Roman" w:hAnsi="Times New Roman"/>
        </w:rPr>
        <w:t>分≤</w:t>
      </w:r>
      <w:r>
        <w:rPr>
          <w:rFonts w:ascii="Times New Roman" w:hAnsi="Times New Roman"/>
        </w:rPr>
        <w:t>综合因素评分</w:t>
      </w:r>
      <w:r>
        <w:rPr>
          <w:rFonts w:hint="eastAsia" w:ascii="Times New Roman" w:hAnsi="Times New Roman"/>
        </w:rPr>
        <w:t>小于9</w:t>
      </w:r>
      <w:r>
        <w:rPr>
          <w:rFonts w:ascii="Times New Roman" w:hAnsi="Times New Roman"/>
        </w:rPr>
        <w:t>5</w:t>
      </w:r>
      <w:r>
        <w:rPr>
          <w:rFonts w:hint="eastAsia" w:ascii="Times New Roman" w:hAnsi="Times New Roman"/>
        </w:rPr>
        <w:t>分，判定为</w:t>
      </w:r>
      <w:r>
        <w:rPr>
          <w:rFonts w:ascii="Times New Roman" w:hAnsi="Times New Roman"/>
        </w:rPr>
        <w:t>风险B级，中风险。</w:t>
      </w:r>
      <w:r>
        <w:rPr>
          <w:rFonts w:hint="eastAsia" w:ascii="Times New Roman" w:hAnsi="Times New Roman"/>
        </w:rPr>
        <w:t>发生疫病可能性较大，</w:t>
      </w:r>
      <w:r>
        <w:rPr>
          <w:rFonts w:ascii="Times New Roman" w:hAnsi="Times New Roman"/>
        </w:rPr>
        <w:t>应逐步采取措施进行整改和完善。</w:t>
      </w:r>
    </w:p>
    <w:p>
      <w:pPr>
        <w:pStyle w:val="37"/>
        <w:spacing w:before="312" w:beforeLines="100" w:after="312" w:afterLines="100"/>
        <w:rPr>
          <w:rFonts w:ascii="Times New Roman" w:cs="Times New Roman"/>
        </w:rPr>
      </w:pPr>
      <w:r>
        <w:rPr>
          <w:rFonts w:ascii="Times New Roman" w:cs="Times New Roman"/>
        </w:rPr>
        <w:t>6.4 风险C级</w:t>
      </w:r>
    </w:p>
    <w:p>
      <w:pPr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综合因素评分</w:t>
      </w:r>
      <w:r>
        <w:rPr>
          <w:rFonts w:hint="eastAsia" w:ascii="Times New Roman" w:hAnsi="Times New Roman"/>
        </w:rPr>
        <w:t>9</w:t>
      </w:r>
      <w:r>
        <w:rPr>
          <w:rFonts w:ascii="Times New Roman" w:hAnsi="Times New Roman"/>
        </w:rPr>
        <w:t>0分，判定为风险C级，高风险；</w:t>
      </w:r>
      <w:r>
        <w:rPr>
          <w:rFonts w:hint="eastAsia" w:ascii="Times New Roman" w:hAnsi="Times New Roman"/>
        </w:rPr>
        <w:t>发生疫病可能性很大，</w:t>
      </w:r>
      <w:r>
        <w:rPr>
          <w:rFonts w:ascii="Times New Roman" w:hAnsi="Times New Roman"/>
        </w:rPr>
        <w:t>应立即采取措施进行</w:t>
      </w:r>
      <w:bookmarkStart w:id="0" w:name="_GoBack"/>
      <w:bookmarkEnd w:id="0"/>
      <w:r>
        <w:rPr>
          <w:rFonts w:ascii="Times New Roman" w:hAnsi="Times New Roman"/>
        </w:rPr>
        <w:t>整改。</w:t>
      </w:r>
    </w:p>
    <w:p>
      <w:pPr>
        <w:pStyle w:val="19"/>
        <w:ind w:firstLine="420"/>
        <w:rPr>
          <w:rFonts w:ascii="Times New Roman" w:hAnsi="Times New Roman"/>
        </w:rPr>
      </w:pPr>
    </w:p>
    <w:p>
      <w:pPr>
        <w:pStyle w:val="19"/>
        <w:ind w:firstLine="420"/>
        <w:rPr>
          <w:rFonts w:ascii="Times New Roman" w:hAnsi="Times New Roman"/>
        </w:rPr>
      </w:pPr>
    </w:p>
    <w:p>
      <w:pPr>
        <w:pStyle w:val="19"/>
        <w:ind w:firstLine="0" w:firstLineChars="0"/>
        <w:rPr>
          <w:rFonts w:ascii="Times New Roman" w:hAnsi="Times New Roman"/>
        </w:rPr>
        <w:sectPr>
          <w:footerReference r:id="rId9" w:type="default"/>
          <w:type w:val="continuous"/>
          <w:pgSz w:w="11906" w:h="16838"/>
          <w:pgMar w:top="567" w:right="1134" w:bottom="1134" w:left="1418" w:header="1418" w:footer="1134" w:gutter="0"/>
          <w:pgNumType w:start="1"/>
          <w:cols w:space="425" w:num="1"/>
          <w:formProt w:val="0"/>
          <w:docGrid w:type="lines" w:linePitch="312" w:charSpace="0"/>
        </w:sectPr>
      </w:pPr>
    </w:p>
    <w:p>
      <w:pPr>
        <w:pStyle w:val="42"/>
        <w:jc w:val="center"/>
        <w:rPr>
          <w:rFonts w:eastAsia="黑体"/>
          <w:sz w:val="21"/>
          <w:szCs w:val="21"/>
        </w:rPr>
      </w:pPr>
      <w:r>
        <w:rPr>
          <w:rFonts w:eastAsia="黑体"/>
          <w:sz w:val="21"/>
          <w:szCs w:val="21"/>
        </w:rPr>
        <w:t>附录A</w:t>
      </w:r>
    </w:p>
    <w:p>
      <w:pPr>
        <w:pStyle w:val="42"/>
        <w:jc w:val="center"/>
        <w:rPr>
          <w:rFonts w:eastAsia="黑体"/>
          <w:sz w:val="21"/>
          <w:szCs w:val="21"/>
        </w:rPr>
      </w:pPr>
      <w:r>
        <w:rPr>
          <w:rFonts w:eastAsia="黑体"/>
          <w:sz w:val="21"/>
          <w:szCs w:val="21"/>
        </w:rPr>
        <w:t>（规</w:t>
      </w:r>
      <w:r>
        <w:rPr>
          <w:rFonts w:hint="eastAsia" w:eastAsia="黑体"/>
          <w:sz w:val="21"/>
          <w:szCs w:val="21"/>
        </w:rPr>
        <w:t>范</w:t>
      </w:r>
      <w:r>
        <w:rPr>
          <w:rFonts w:eastAsia="黑体"/>
          <w:sz w:val="21"/>
          <w:szCs w:val="21"/>
        </w:rPr>
        <w:t>性附录）</w:t>
      </w:r>
    </w:p>
    <w:p>
      <w:pPr>
        <w:pStyle w:val="42"/>
        <w:jc w:val="center"/>
        <w:rPr>
          <w:rFonts w:eastAsia="黑体"/>
          <w:bCs/>
          <w:sz w:val="21"/>
          <w:szCs w:val="21"/>
        </w:rPr>
      </w:pPr>
      <w:r>
        <w:rPr>
          <w:rFonts w:eastAsia="黑体"/>
          <w:bCs/>
          <w:sz w:val="21"/>
          <w:szCs w:val="21"/>
        </w:rPr>
        <w:t>规模</w:t>
      </w:r>
      <w:r>
        <w:rPr>
          <w:rFonts w:hint="eastAsia" w:eastAsia="黑体"/>
          <w:bCs/>
          <w:sz w:val="21"/>
          <w:szCs w:val="21"/>
        </w:rPr>
        <w:t>猪</w:t>
      </w:r>
      <w:r>
        <w:rPr>
          <w:rFonts w:eastAsia="黑体"/>
          <w:bCs/>
          <w:sz w:val="21"/>
          <w:szCs w:val="21"/>
        </w:rPr>
        <w:t>场伪狂犬病风险评估表</w:t>
      </w:r>
    </w:p>
    <w:p>
      <w:pPr>
        <w:pStyle w:val="42"/>
        <w:rPr>
          <w:rFonts w:eastAsia="黑体"/>
          <w:bCs/>
          <w:sz w:val="21"/>
          <w:szCs w:val="21"/>
        </w:rPr>
      </w:pPr>
    </w:p>
    <w:tbl>
      <w:tblPr>
        <w:tblStyle w:val="10"/>
        <w:tblW w:w="99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536"/>
        <w:gridCol w:w="2977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846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序号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风险因素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判定标准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判定结果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9953" w:type="dxa"/>
            <w:gridSpan w:val="4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一、场址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选择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  <w:kern w:val="0"/>
              </w:rPr>
            </w:pPr>
            <w:r>
              <w:rPr>
                <w:color w:val="000000"/>
              </w:rPr>
              <w:t>*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与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其他猪场、</w:t>
            </w:r>
            <w:r>
              <w:rPr>
                <w:rFonts w:ascii="Times New Roman" w:hAnsi="Times New Roman"/>
                <w:color w:val="000000"/>
                <w:kern w:val="0"/>
              </w:rPr>
              <w:t>屠宰场、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畜禽加工厂、交易</w:t>
            </w:r>
            <w:r>
              <w:rPr>
                <w:rFonts w:ascii="Times New Roman" w:hAnsi="Times New Roman"/>
                <w:color w:val="000000"/>
                <w:kern w:val="0"/>
              </w:rPr>
              <w:t>市场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、无害化处理厂</w:t>
            </w:r>
            <w:r>
              <w:rPr>
                <w:rFonts w:ascii="Times New Roman" w:hAnsi="Times New Roman"/>
                <w:color w:val="000000"/>
                <w:kern w:val="0"/>
              </w:rPr>
              <w:t>的距离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3000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m以上得5.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000-3000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m得2</w:t>
            </w:r>
            <w:r>
              <w:rPr>
                <w:rFonts w:ascii="Times New Roman" w:hAnsi="Times New Roman"/>
                <w:color w:val="000000"/>
                <w:kern w:val="0"/>
              </w:rPr>
              <w:t>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000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m以下不得分。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  <w:kern w:val="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与主干道或居民区的距离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1000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m以上得</w:t>
            </w:r>
            <w:r>
              <w:rPr>
                <w:rFonts w:ascii="Times New Roman" w:hAnsi="Times New Roman"/>
                <w:color w:val="000000"/>
                <w:kern w:val="0"/>
              </w:rPr>
              <w:t>1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500-1000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km得</w:t>
            </w:r>
            <w:r>
              <w:rPr>
                <w:rFonts w:ascii="Times New Roman" w:hAnsi="Times New Roman"/>
                <w:color w:val="000000"/>
                <w:kern w:val="0"/>
              </w:rPr>
              <w:t>0.5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500 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m以下不得分。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953" w:type="dxa"/>
            <w:gridSpan w:val="4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二、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场区</w:t>
            </w:r>
            <w:r>
              <w:rPr>
                <w:rFonts w:ascii="Times New Roman" w:hAnsi="Times New Roman"/>
                <w:color w:val="000000"/>
                <w:kern w:val="0"/>
              </w:rPr>
              <w:t>布局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  <w:kern w:val="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场区周围有符合防疫要求的</w:t>
            </w:r>
            <w:r>
              <w:rPr>
                <w:rFonts w:ascii="Times New Roman" w:hAnsi="Times New Roman"/>
                <w:color w:val="000000"/>
                <w:kern w:val="0"/>
              </w:rPr>
              <w:t>围墙防疫沟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或绿化带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有但不完整得0</w:t>
            </w:r>
            <w:r>
              <w:rPr>
                <w:rFonts w:ascii="Times New Roman" w:hAnsi="Times New Roman"/>
                <w:color w:val="000000"/>
                <w:kern w:val="0"/>
              </w:rPr>
              <w:t>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无不得分。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  <w:kern w:val="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管理区、生活区、生产区分设且界限分明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  <w:kern w:val="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场内道路硬化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jc w:val="left"/>
              <w:rPr>
                <w:color w:val="000000"/>
                <w:kern w:val="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净道与污道分开且无交叉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有分开，但有交叉得0</w:t>
            </w:r>
            <w:r>
              <w:rPr>
                <w:rFonts w:ascii="Times New Roman" w:hAnsi="Times New Roman"/>
                <w:color w:val="000000"/>
                <w:kern w:val="0"/>
              </w:rPr>
              <w:t>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  <w:kern w:val="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配种舍、妊娠舍、产房、带仔母畜舍、保育舍、育成舍依次沿着顺风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向</w:t>
            </w:r>
            <w:r>
              <w:rPr>
                <w:rFonts w:ascii="Times New Roman" w:hAnsi="Times New Roman"/>
                <w:color w:val="000000"/>
                <w:kern w:val="0"/>
              </w:rPr>
              <w:t>建设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  <w:kern w:val="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设置有出</w:t>
            </w:r>
            <w:r>
              <w:rPr>
                <w:rFonts w:ascii="Times New Roman" w:hAnsi="Times New Roman"/>
                <w:kern w:val="0"/>
              </w:rPr>
              <w:t>猪台，</w:t>
            </w:r>
            <w:r>
              <w:rPr>
                <w:rFonts w:hint="eastAsia" w:ascii="Times New Roman" w:hAnsi="Times New Roman"/>
                <w:kern w:val="0"/>
              </w:rPr>
              <w:t>并位于下风口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9953" w:type="dxa"/>
            <w:gridSpan w:val="4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三、设施设备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jc w:val="left"/>
              <w:rPr>
                <w:color w:val="000000"/>
                <w:kern w:val="0"/>
              </w:rPr>
            </w:pP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场区入口有车辆消毒池、可覆盖全车的车辆消毒设施以及人员消毒设施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有，但不完善得0</w:t>
            </w:r>
            <w:r>
              <w:rPr>
                <w:rFonts w:ascii="Times New Roman" w:hAnsi="Times New Roman"/>
                <w:color w:val="000000"/>
                <w:kern w:val="0"/>
              </w:rPr>
              <w:t>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jc w:val="left"/>
              <w:rPr>
                <w:color w:val="000000"/>
                <w:kern w:val="0"/>
              </w:rPr>
            </w:pP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每栋猪舍</w:t>
            </w:r>
            <w:r>
              <w:rPr>
                <w:rFonts w:hint="eastAsia" w:ascii="Times New Roman" w:hAnsi="Times New Roman"/>
                <w:color w:val="000000"/>
                <w:kern w:val="0"/>
                <w:lang w:val="en-US" w:eastAsia="zh-CN"/>
              </w:rPr>
              <w:t>配备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洗手消毒盆和脚踏消毒盆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有，但不完善得0</w:t>
            </w:r>
            <w:r>
              <w:rPr>
                <w:rFonts w:ascii="Times New Roman" w:hAnsi="Times New Roman"/>
                <w:color w:val="000000"/>
                <w:kern w:val="0"/>
              </w:rPr>
              <w:t>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jc w:val="left"/>
              <w:rPr>
                <w:color w:val="000000"/>
                <w:kern w:val="0"/>
              </w:rPr>
            </w:pP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各功能区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配备专用的</w:t>
            </w:r>
            <w:r>
              <w:rPr>
                <w:rFonts w:ascii="Times New Roman" w:hAnsi="Times New Roman"/>
                <w:color w:val="000000"/>
                <w:kern w:val="0"/>
              </w:rPr>
              <w:t>消毒车和高压水枪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有，但不完善得0</w:t>
            </w:r>
            <w:r>
              <w:rPr>
                <w:rFonts w:ascii="Times New Roman" w:hAnsi="Times New Roman"/>
                <w:color w:val="000000"/>
                <w:kern w:val="0"/>
              </w:rPr>
              <w:t>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jc w:val="left"/>
              <w:rPr>
                <w:color w:val="000000"/>
                <w:kern w:val="0"/>
              </w:rPr>
            </w:pP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场内有专用的运输车辆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有，但不完善得0</w:t>
            </w:r>
            <w:r>
              <w:rPr>
                <w:rFonts w:ascii="Times New Roman" w:hAnsi="Times New Roman"/>
                <w:color w:val="000000"/>
                <w:kern w:val="0"/>
              </w:rPr>
              <w:t>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jc w:val="left"/>
              <w:rPr>
                <w:color w:val="000000"/>
                <w:kern w:val="0"/>
              </w:rPr>
            </w:pP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设置有防鸟、防鼠、防蚊虫等设施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有，但不完善得0</w:t>
            </w:r>
            <w:r>
              <w:rPr>
                <w:rFonts w:ascii="Times New Roman" w:hAnsi="Times New Roman"/>
                <w:color w:val="000000"/>
                <w:kern w:val="0"/>
              </w:rPr>
              <w:t>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  <w:jc w:val="center"/>
        </w:trPr>
        <w:tc>
          <w:tcPr>
            <w:tcW w:w="9953" w:type="dxa"/>
            <w:gridSpan w:val="4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四、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饲养</w:t>
            </w:r>
            <w:r>
              <w:rPr>
                <w:rFonts w:ascii="Times New Roman" w:hAnsi="Times New Roman"/>
                <w:color w:val="000000"/>
                <w:kern w:val="0"/>
              </w:rPr>
              <w:t>管理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jc w:val="left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</w:rPr>
              <w:t>实行自繁自养</w:t>
            </w:r>
            <w:r>
              <w:rPr>
                <w:rFonts w:hint="eastAsia" w:ascii="Times New Roman" w:hAnsi="Times New Roman"/>
                <w:color w:val="000000"/>
              </w:rPr>
              <w:t>或</w:t>
            </w:r>
            <w:r>
              <w:rPr>
                <w:rFonts w:ascii="Times New Roman" w:hAnsi="Times New Roman"/>
                <w:color w:val="000000"/>
              </w:rPr>
              <w:t>全进全出的饲养管理模式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是，得1.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jc w:val="left"/>
              <w:rPr>
                <w:color w:val="000000"/>
              </w:rPr>
            </w:pPr>
            <w:r>
              <w:rPr>
                <w:color w:val="000000"/>
              </w:rPr>
              <w:t>*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引</w:t>
            </w:r>
            <w:r>
              <w:rPr>
                <w:rFonts w:hint="eastAsia" w:ascii="Times New Roman" w:hAnsi="Times New Roman"/>
                <w:color w:val="000000"/>
              </w:rPr>
              <w:t>入</w:t>
            </w:r>
            <w:r>
              <w:rPr>
                <w:rFonts w:ascii="Times New Roman" w:hAnsi="Times New Roman"/>
                <w:color w:val="000000"/>
              </w:rPr>
              <w:t>猪</w:t>
            </w:r>
            <w:r>
              <w:rPr>
                <w:rFonts w:hint="eastAsia" w:ascii="Times New Roman" w:hAnsi="Times New Roman"/>
                <w:color w:val="000000"/>
              </w:rPr>
              <w:t>隔离时间大于3</w:t>
            </w:r>
            <w:r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hint="eastAsia" w:ascii="Times New Roman" w:hAnsi="Times New Roman"/>
                <w:color w:val="000000"/>
              </w:rPr>
              <w:t>天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是得</w:t>
            </w:r>
            <w:r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</w:rPr>
              <w:t>否不得分。</w:t>
            </w:r>
          </w:p>
        </w:tc>
        <w:tc>
          <w:tcPr>
            <w:tcW w:w="159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noWrap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建立人员</w:t>
            </w:r>
            <w:r>
              <w:rPr>
                <w:rFonts w:hint="eastAsia" w:ascii="Times New Roman" w:hAnsi="Times New Roman"/>
                <w:color w:val="000000"/>
              </w:rPr>
              <w:t>出入</w:t>
            </w:r>
            <w:r>
              <w:rPr>
                <w:rFonts w:ascii="Times New Roman" w:hAnsi="Times New Roman"/>
                <w:color w:val="000000"/>
              </w:rPr>
              <w:t>制度并严格执行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有，但执行不到位得0</w:t>
            </w:r>
            <w:r>
              <w:rPr>
                <w:rFonts w:ascii="Times New Roman" w:hAnsi="Times New Roman"/>
                <w:color w:val="000000"/>
                <w:kern w:val="0"/>
              </w:rPr>
              <w:t>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猪群密度</w:t>
            </w:r>
            <w:r>
              <w:rPr>
                <w:rFonts w:hint="eastAsia" w:ascii="Times New Roman" w:hAnsi="Times New Roman"/>
                <w:color w:val="000000"/>
              </w:rPr>
              <w:t>符合G</w:t>
            </w:r>
            <w:r>
              <w:rPr>
                <w:rFonts w:ascii="Times New Roman" w:hAnsi="Times New Roman"/>
                <w:color w:val="000000"/>
              </w:rPr>
              <w:t>B/T 17824.1</w:t>
            </w:r>
            <w:r>
              <w:rPr>
                <w:rFonts w:hint="eastAsia" w:ascii="Times New Roman" w:hAnsi="Times New Roman"/>
                <w:color w:val="000000"/>
              </w:rPr>
              <w:t>标准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是得1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</w:rPr>
              <w:t>分；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*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场区</w:t>
            </w:r>
            <w:r>
              <w:rPr>
                <w:rFonts w:hint="eastAsia" w:ascii="Times New Roman" w:hAnsi="Times New Roman"/>
                <w:color w:val="000000"/>
              </w:rPr>
              <w:t>内无</w:t>
            </w:r>
            <w:r>
              <w:rPr>
                <w:rFonts w:ascii="Times New Roman" w:hAnsi="Times New Roman"/>
                <w:color w:val="000000"/>
              </w:rPr>
              <w:t>流浪犬猫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是得</w:t>
            </w:r>
            <w:r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</w:rPr>
              <w:t>分；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建立养殖档案，相应记录是否可以追溯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有，但记录不到完善0</w:t>
            </w:r>
            <w:r>
              <w:rPr>
                <w:rFonts w:ascii="Times New Roman" w:hAnsi="Times New Roman"/>
                <w:color w:val="000000"/>
                <w:kern w:val="0"/>
              </w:rPr>
              <w:t>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有驻场兽医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953" w:type="dxa"/>
            <w:gridSpan w:val="4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</w:rPr>
              <w:t>五、消毒</w:t>
            </w:r>
            <w:r>
              <w:rPr>
                <w:rFonts w:hint="eastAsia" w:ascii="Times New Roman" w:hAnsi="Times New Roman"/>
                <w:color w:val="000000"/>
              </w:rPr>
              <w:t xml:space="preserve">隔离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*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建立定期消毒制度并严格执行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</w:t>
            </w:r>
            <w:r>
              <w:rPr>
                <w:rFonts w:ascii="Times New Roman" w:hAnsi="Times New Roman"/>
                <w:color w:val="000000"/>
                <w:kern w:val="0"/>
              </w:rPr>
              <w:t>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执行不严得</w:t>
            </w:r>
            <w:r>
              <w:rPr>
                <w:rFonts w:ascii="Times New Roman" w:hAnsi="Times New Roman"/>
                <w:color w:val="000000"/>
                <w:kern w:val="0"/>
              </w:rPr>
              <w:t>2.5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正确选择</w:t>
            </w:r>
            <w:r>
              <w:rPr>
                <w:rFonts w:ascii="Times New Roman" w:hAnsi="Times New Roman"/>
                <w:color w:val="000000"/>
              </w:rPr>
              <w:t>伪狂犬病</w:t>
            </w:r>
            <w:r>
              <w:rPr>
                <w:rFonts w:hint="eastAsia" w:ascii="Times New Roman" w:hAnsi="Times New Roman"/>
                <w:color w:val="000000"/>
              </w:rPr>
              <w:t>毒</w:t>
            </w:r>
            <w:r>
              <w:rPr>
                <w:rFonts w:ascii="Times New Roman" w:hAnsi="Times New Roman"/>
                <w:color w:val="000000"/>
              </w:rPr>
              <w:t>敏感的消毒药物进行消毒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jc w:val="left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及</w:t>
            </w:r>
            <w:r>
              <w:rPr>
                <w:rFonts w:ascii="Times New Roman" w:hAnsi="Times New Roman"/>
                <w:color w:val="000000"/>
              </w:rPr>
              <w:t>时隔离</w:t>
            </w:r>
            <w:r>
              <w:rPr>
                <w:rFonts w:hint="eastAsia" w:ascii="Times New Roman" w:hAnsi="Times New Roman"/>
                <w:color w:val="000000"/>
              </w:rPr>
              <w:t>病猪</w:t>
            </w:r>
            <w:r>
              <w:rPr>
                <w:rFonts w:ascii="Times New Roman" w:hAnsi="Times New Roman"/>
                <w:color w:val="000000"/>
              </w:rPr>
              <w:t>和对</w:t>
            </w:r>
            <w:r>
              <w:rPr>
                <w:rFonts w:hint="eastAsia" w:ascii="Times New Roman" w:hAnsi="Times New Roman"/>
                <w:color w:val="000000"/>
              </w:rPr>
              <w:t>处理死猪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有，执行不严得0</w:t>
            </w:r>
            <w:r>
              <w:rPr>
                <w:rFonts w:ascii="Times New Roman" w:hAnsi="Times New Roman"/>
                <w:color w:val="000000"/>
                <w:kern w:val="0"/>
              </w:rPr>
              <w:t>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jc w:val="left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建立无害化处理制度并严格执行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有，执行不严得0</w:t>
            </w:r>
            <w:r>
              <w:rPr>
                <w:rFonts w:ascii="Times New Roman" w:hAnsi="Times New Roman"/>
                <w:color w:val="000000"/>
                <w:kern w:val="0"/>
              </w:rPr>
              <w:t>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*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  <w:highlight w:val="yellow"/>
              </w:rPr>
            </w:pPr>
            <w:r>
              <w:rPr>
                <w:rFonts w:ascii="Times New Roman" w:hAnsi="Times New Roman"/>
                <w:color w:val="000000"/>
              </w:rPr>
              <w:t>场内</w:t>
            </w:r>
            <w:r>
              <w:rPr>
                <w:rFonts w:hint="eastAsia" w:ascii="Times New Roman" w:hAnsi="Times New Roman"/>
                <w:color w:val="000000"/>
              </w:rPr>
              <w:t>是</w:t>
            </w:r>
            <w:r>
              <w:rPr>
                <w:rFonts w:ascii="Times New Roman" w:hAnsi="Times New Roman"/>
                <w:color w:val="000000"/>
              </w:rPr>
              <w:t>有收集病死猪场所，并有效隔离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</w:t>
            </w:r>
            <w:r>
              <w:rPr>
                <w:rFonts w:ascii="Times New Roman" w:hAnsi="Times New Roman"/>
                <w:color w:val="000000"/>
                <w:kern w:val="0"/>
              </w:rPr>
              <w:t>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有，执行不严得</w:t>
            </w:r>
            <w:r>
              <w:rPr>
                <w:rFonts w:ascii="Times New Roman" w:hAnsi="Times New Roman"/>
                <w:color w:val="000000"/>
                <w:kern w:val="0"/>
              </w:rPr>
              <w:t>2.5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  <w:highlight w:val="yellow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9953" w:type="dxa"/>
            <w:gridSpan w:val="4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六、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疫苗</w:t>
            </w:r>
            <w:r>
              <w:rPr>
                <w:rFonts w:ascii="Times New Roman" w:hAnsi="Times New Roman"/>
                <w:color w:val="000000"/>
                <w:kern w:val="0"/>
              </w:rPr>
              <w:t>免疫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widowControl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*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</w:rPr>
              <w:t>建立适合本场</w:t>
            </w:r>
            <w:r>
              <w:rPr>
                <w:rFonts w:hint="eastAsia" w:ascii="Times New Roman" w:hAnsi="Times New Roman"/>
                <w:color w:val="000000"/>
              </w:rPr>
              <w:t>的</w:t>
            </w:r>
            <w:r>
              <w:rPr>
                <w:rFonts w:ascii="Times New Roman" w:hAnsi="Times New Roman"/>
                <w:color w:val="000000"/>
              </w:rPr>
              <w:t>伪狂犬</w:t>
            </w:r>
            <w:r>
              <w:rPr>
                <w:rFonts w:hint="eastAsia" w:ascii="Times New Roman" w:hAnsi="Times New Roman"/>
                <w:color w:val="000000"/>
              </w:rPr>
              <w:t>病</w:t>
            </w:r>
            <w:r>
              <w:rPr>
                <w:rFonts w:ascii="Times New Roman" w:hAnsi="Times New Roman"/>
                <w:color w:val="000000"/>
              </w:rPr>
              <w:t>免疫程序，并严格执行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</w:t>
            </w:r>
            <w:r>
              <w:rPr>
                <w:rFonts w:ascii="Times New Roman" w:hAnsi="Times New Roman"/>
                <w:color w:val="000000"/>
                <w:kern w:val="0"/>
              </w:rPr>
              <w:t>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有制度，执行不严得</w:t>
            </w:r>
            <w:r>
              <w:rPr>
                <w:rFonts w:ascii="Times New Roman" w:hAnsi="Times New Roman"/>
                <w:color w:val="000000"/>
                <w:kern w:val="0"/>
              </w:rPr>
              <w:t>2.5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疫苗储存符合</w:t>
            </w:r>
            <w:r>
              <w:rPr>
                <w:rFonts w:ascii="Times New Roman" w:hAnsi="Times New Roman"/>
                <w:color w:val="000000"/>
              </w:rPr>
              <w:t>要求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  <w:highlight w:val="yellow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疫苗</w:t>
            </w:r>
            <w:r>
              <w:rPr>
                <w:rFonts w:ascii="Times New Roman" w:hAnsi="Times New Roman"/>
                <w:color w:val="000000"/>
              </w:rPr>
              <w:t>免疫方法、剂量符合要求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jc w:val="left"/>
              <w:rPr>
                <w:color w:val="000000"/>
              </w:rPr>
            </w:pPr>
            <w:r>
              <w:rPr>
                <w:color w:val="000000"/>
              </w:rPr>
              <w:t>*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伪狂犬</w:t>
            </w:r>
            <w:r>
              <w:rPr>
                <w:rFonts w:hint="eastAsia" w:ascii="Times New Roman" w:hAnsi="Times New Roman"/>
                <w:color w:val="000000"/>
              </w:rPr>
              <w:t>病</w:t>
            </w:r>
            <w:r>
              <w:rPr>
                <w:rFonts w:ascii="Times New Roman" w:hAnsi="Times New Roman"/>
                <w:color w:val="000000"/>
              </w:rPr>
              <w:t>gB抗体</w:t>
            </w:r>
            <w:r>
              <w:rPr>
                <w:rFonts w:hint="eastAsia" w:ascii="Times New Roman" w:hAnsi="Times New Roman"/>
                <w:color w:val="000000"/>
              </w:rPr>
              <w:t>水平达到标准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</w:t>
            </w:r>
            <w:r>
              <w:rPr>
                <w:rFonts w:ascii="Times New Roman" w:hAnsi="Times New Roman"/>
                <w:color w:val="000000"/>
                <w:kern w:val="0"/>
              </w:rPr>
              <w:t>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jc w:val="left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其他猪病</w:t>
            </w:r>
            <w:r>
              <w:rPr>
                <w:rFonts w:ascii="Times New Roman" w:hAnsi="Times New Roman"/>
                <w:color w:val="000000"/>
              </w:rPr>
              <w:t>疫苗免疫抗体水平</w:t>
            </w:r>
            <w:r>
              <w:rPr>
                <w:rFonts w:hint="eastAsia" w:ascii="Times New Roman" w:hAnsi="Times New Roman"/>
                <w:color w:val="000000"/>
              </w:rPr>
              <w:t>达到标准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  <w:jc w:val="center"/>
        </w:trPr>
        <w:tc>
          <w:tcPr>
            <w:tcW w:w="9953" w:type="dxa"/>
            <w:gridSpan w:val="4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</w:rPr>
              <w:t>七、监测与净化</w:t>
            </w:r>
            <w:r>
              <w:rPr>
                <w:rFonts w:hint="eastAsia" w:ascii="Times New Roman" w:hAnsi="Times New Roman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  <w:r>
              <w:rPr>
                <w:color w:val="000000"/>
              </w:rPr>
              <w:t>*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引种猪入场前、外购供体/精液使用前</w:t>
            </w:r>
            <w:r>
              <w:rPr>
                <w:rFonts w:hint="eastAsia" w:ascii="Times New Roman" w:hAnsi="Times New Roman"/>
                <w:color w:val="000000"/>
              </w:rPr>
              <w:t>是否</w:t>
            </w:r>
            <w:r>
              <w:rPr>
                <w:rFonts w:ascii="Times New Roman" w:hAnsi="Times New Roman"/>
                <w:color w:val="000000"/>
              </w:rPr>
              <w:t>有</w:t>
            </w:r>
            <w:r>
              <w:rPr>
                <w:rFonts w:hint="eastAsia" w:ascii="Times New Roman" w:hAnsi="Times New Roman"/>
                <w:color w:val="000000"/>
              </w:rPr>
              <w:t>伪狂犬病、猪繁殖与呼吸综合征、</w:t>
            </w:r>
            <w:r>
              <w:rPr>
                <w:rFonts w:ascii="Times New Roman" w:hAnsi="Times New Roman"/>
                <w:color w:val="000000"/>
              </w:rPr>
              <w:t>非洲猪瘟</w:t>
            </w:r>
            <w:r>
              <w:rPr>
                <w:rFonts w:hint="eastAsia" w:ascii="Times New Roman" w:hAnsi="Times New Roman"/>
                <w:color w:val="000000"/>
              </w:rPr>
              <w:t>等病原</w:t>
            </w:r>
            <w:r>
              <w:rPr>
                <w:rFonts w:ascii="Times New Roman" w:hAnsi="Times New Roman"/>
                <w:color w:val="000000"/>
              </w:rPr>
              <w:t>检测报告且</w:t>
            </w:r>
            <w:r>
              <w:rPr>
                <w:rFonts w:hint="eastAsia" w:ascii="Times New Roman" w:hAnsi="Times New Roman"/>
                <w:color w:val="000000"/>
              </w:rPr>
              <w:t>检测</w:t>
            </w:r>
            <w:r>
              <w:rPr>
                <w:rFonts w:ascii="Times New Roman" w:hAnsi="Times New Roman"/>
                <w:color w:val="000000"/>
              </w:rPr>
              <w:t>结果</w:t>
            </w:r>
            <w:r>
              <w:rPr>
                <w:rFonts w:hint="eastAsia" w:ascii="Times New Roman" w:hAnsi="Times New Roman"/>
                <w:color w:val="000000"/>
              </w:rPr>
              <w:t>呈</w:t>
            </w:r>
            <w:r>
              <w:rPr>
                <w:rFonts w:ascii="Times New Roman" w:hAnsi="Times New Roman"/>
                <w:color w:val="000000"/>
              </w:rPr>
              <w:t>阴性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</w:t>
            </w:r>
            <w:r>
              <w:rPr>
                <w:rFonts w:ascii="Times New Roman" w:hAnsi="Times New Roman"/>
                <w:color w:val="000000"/>
                <w:kern w:val="0"/>
              </w:rPr>
              <w:t>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  <w:r>
              <w:rPr>
                <w:color w:val="000000"/>
              </w:rPr>
              <w:t>*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对引入猪群开展伪狂犬病gB抗体和gE抗体检测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</w:t>
            </w:r>
            <w:r>
              <w:rPr>
                <w:rFonts w:ascii="Times New Roman" w:hAnsi="Times New Roman"/>
                <w:color w:val="000000"/>
                <w:kern w:val="0"/>
              </w:rPr>
              <w:t>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制定伪狂犬病监测计划并严格执行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有制度，执行不严得</w:t>
            </w:r>
            <w:r>
              <w:rPr>
                <w:rFonts w:ascii="Times New Roman" w:hAnsi="Times New Roman"/>
                <w:color w:val="000000"/>
                <w:kern w:val="0"/>
              </w:rPr>
              <w:t>2.5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9953" w:type="dxa"/>
            <w:gridSpan w:val="4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</w:rPr>
              <w:t>八、疫病流行状况</w:t>
            </w:r>
            <w:r>
              <w:rPr>
                <w:rFonts w:hint="eastAsia" w:ascii="Times New Roman" w:hAnsi="Times New Roman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</w:pPr>
            <w:r>
              <w:t>**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猪群</w:t>
            </w:r>
            <w:r>
              <w:rPr>
                <w:rFonts w:hint="eastAsia" w:ascii="Times New Roman" w:hAnsi="Times New Roman"/>
              </w:rPr>
              <w:t>未</w:t>
            </w:r>
            <w:r>
              <w:rPr>
                <w:rFonts w:ascii="Times New Roman" w:hAnsi="Times New Roman"/>
              </w:rPr>
              <w:t>出现伪狂犬病临床症状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</w:t>
            </w:r>
            <w:r>
              <w:rPr>
                <w:rFonts w:ascii="Times New Roman" w:hAnsi="Times New Roman"/>
                <w:color w:val="000000"/>
                <w:kern w:val="0"/>
              </w:rPr>
              <w:t>12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否不得分；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</w:pPr>
            <w:r>
              <w:rPr>
                <w:color w:val="000000"/>
              </w:rPr>
              <w:t>**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伪狂犬病病原学检测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呈</w:t>
            </w:r>
            <w:r>
              <w:rPr>
                <w:rFonts w:ascii="Times New Roman" w:hAnsi="Times New Roman"/>
                <w:color w:val="000000"/>
                <w:kern w:val="0"/>
              </w:rPr>
              <w:t>阳性但未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出现</w:t>
            </w:r>
            <w:r>
              <w:rPr>
                <w:rFonts w:ascii="Times New Roman" w:hAnsi="Times New Roman"/>
                <w:color w:val="000000"/>
                <w:kern w:val="0"/>
              </w:rPr>
              <w:t>伪狂犬病临床症状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</w:t>
            </w:r>
            <w:r>
              <w:rPr>
                <w:rFonts w:ascii="Times New Roman" w:hAnsi="Times New Roman"/>
                <w:color w:val="000000"/>
                <w:kern w:val="0"/>
              </w:rPr>
              <w:t>2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</w:pPr>
            <w:r>
              <w:t>*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规模</w:t>
            </w:r>
            <w:r>
              <w:rPr>
                <w:rFonts w:hint="eastAsia" w:ascii="Times New Roman" w:hAnsi="Times New Roman"/>
              </w:rPr>
              <w:t>猪</w:t>
            </w:r>
            <w:r>
              <w:rPr>
                <w:rFonts w:ascii="Times New Roman" w:hAnsi="Times New Roman"/>
              </w:rPr>
              <w:t>场近3年</w:t>
            </w:r>
            <w:r>
              <w:rPr>
                <w:rFonts w:hint="eastAsia" w:ascii="Times New Roman" w:hAnsi="Times New Roman"/>
              </w:rPr>
              <w:t>未</w:t>
            </w:r>
            <w:r>
              <w:rPr>
                <w:rFonts w:ascii="Times New Roman" w:hAnsi="Times New Roman"/>
              </w:rPr>
              <w:t>发生过伪狂犬病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</w:t>
            </w:r>
            <w:r>
              <w:rPr>
                <w:rFonts w:ascii="Times New Roman" w:hAnsi="Times New Roman"/>
                <w:color w:val="000000"/>
                <w:kern w:val="0"/>
              </w:rPr>
              <w:t>5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场内目</w:t>
            </w: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hint="eastAsia" w:ascii="Times New Roman" w:hAnsi="Times New Roman"/>
                <w:color w:val="000000"/>
              </w:rPr>
              <w:t>无</w:t>
            </w:r>
            <w:r>
              <w:rPr>
                <w:rFonts w:ascii="Times New Roman" w:hAnsi="Times New Roman"/>
                <w:color w:val="000000"/>
              </w:rPr>
              <w:t>其他疫病流行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exact"/>
          <w:jc w:val="center"/>
        </w:trPr>
        <w:tc>
          <w:tcPr>
            <w:tcW w:w="846" w:type="dxa"/>
            <w:vAlign w:val="center"/>
          </w:tcPr>
          <w:p>
            <w:pPr>
              <w:pStyle w:val="43"/>
              <w:numPr>
                <w:ilvl w:val="0"/>
                <w:numId w:val="3"/>
              </w:numPr>
              <w:spacing w:line="240" w:lineRule="atLeast"/>
              <w:ind w:firstLineChars="0"/>
              <w:rPr>
                <w:color w:val="000000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周边养殖场目前</w:t>
            </w:r>
            <w:r>
              <w:rPr>
                <w:rFonts w:hint="eastAsia" w:ascii="Times New Roman" w:hAnsi="Times New Roman"/>
                <w:color w:val="000000"/>
              </w:rPr>
              <w:t>无伪狂犬病</w:t>
            </w:r>
            <w:r>
              <w:rPr>
                <w:rFonts w:ascii="Times New Roman" w:hAnsi="Times New Roman"/>
                <w:color w:val="000000"/>
              </w:rPr>
              <w:t>流行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是得1.</w:t>
            </w:r>
            <w:r>
              <w:rPr>
                <w:rFonts w:ascii="Times New Roman" w:hAnsi="Times New Roman"/>
                <w:color w:val="000000"/>
                <w:kern w:val="0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分；</w:t>
            </w:r>
          </w:p>
          <w:p>
            <w:pPr>
              <w:spacing w:line="240" w:lineRule="atLeast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否不得分。</w:t>
            </w:r>
          </w:p>
        </w:tc>
        <w:tc>
          <w:tcPr>
            <w:tcW w:w="1594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9953" w:type="dxa"/>
            <w:gridSpan w:val="4"/>
            <w:vAlign w:val="center"/>
          </w:tcPr>
          <w:p>
            <w:pPr>
              <w:widowControl/>
              <w:spacing w:line="240" w:lineRule="atLeast"/>
              <w:ind w:firstLine="1680" w:firstLineChars="800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hint="eastAsia" w:ascii="Times New Roman" w:hAnsi="Times New Roman"/>
                <w:color w:val="000000"/>
              </w:rPr>
              <w:t>合计（综合因素评分）：</w:t>
            </w:r>
          </w:p>
        </w:tc>
      </w:tr>
    </w:tbl>
    <w:p>
      <w:pPr>
        <w:pStyle w:val="36"/>
        <w:spacing w:beforeLines="0" w:afterLines="0"/>
        <w:ind w:left="0"/>
        <w:rPr>
          <w:rFonts w:ascii="Times New Roman" w:eastAsia="宋体" w:cs="Times New Roman"/>
          <w:color w:val="000000"/>
          <w:kern w:val="2"/>
        </w:rPr>
      </w:pPr>
      <w:r>
        <w:rPr>
          <w:rFonts w:hint="eastAsia" w:ascii="Times New Roman" w:eastAsia="宋体" w:cs="Times New Roman"/>
          <w:color w:val="000000"/>
          <w:kern w:val="2"/>
        </w:rPr>
        <w:t>注：带</w:t>
      </w:r>
      <w:r>
        <w:rPr>
          <w:rFonts w:ascii="Times New Roman" w:eastAsia="宋体" w:cs="Times New Roman"/>
          <w:color w:val="000000"/>
          <w:kern w:val="2"/>
        </w:rPr>
        <w:t>**的条款为</w:t>
      </w:r>
      <w:r>
        <w:rPr>
          <w:rFonts w:hint="eastAsia" w:ascii="Times New Roman" w:eastAsia="宋体" w:cs="Times New Roman"/>
          <w:color w:val="000000"/>
          <w:kern w:val="2"/>
        </w:rPr>
        <w:t>限制性</w:t>
      </w:r>
      <w:r>
        <w:rPr>
          <w:rFonts w:ascii="Times New Roman" w:eastAsia="宋体" w:cs="Times New Roman"/>
          <w:color w:val="000000"/>
          <w:kern w:val="2"/>
        </w:rPr>
        <w:t>因素，</w:t>
      </w:r>
      <w:r>
        <w:rPr>
          <w:rFonts w:hint="eastAsia" w:ascii="Times New Roman" w:eastAsia="宋体" w:cs="Times New Roman"/>
          <w:color w:val="000000"/>
          <w:kern w:val="2"/>
        </w:rPr>
        <w:t>带</w:t>
      </w:r>
      <w:r>
        <w:rPr>
          <w:rFonts w:ascii="Times New Roman" w:eastAsia="宋体" w:cs="Times New Roman"/>
          <w:color w:val="000000"/>
          <w:kern w:val="2"/>
        </w:rPr>
        <w:t>*的条款为关键因素，未标注的条</w:t>
      </w:r>
      <w:r>
        <w:rPr>
          <w:rFonts w:hint="eastAsia" w:ascii="Times New Roman" w:eastAsia="宋体" w:cs="Times New Roman"/>
          <w:color w:val="000000"/>
          <w:kern w:val="2"/>
        </w:rPr>
        <w:t>款</w:t>
      </w:r>
      <w:r>
        <w:rPr>
          <w:rFonts w:ascii="Times New Roman" w:eastAsia="宋体" w:cs="Times New Roman"/>
          <w:color w:val="000000"/>
          <w:kern w:val="2"/>
        </w:rPr>
        <w:t>为</w:t>
      </w:r>
      <w:r>
        <w:rPr>
          <w:rFonts w:hint="eastAsia" w:ascii="Times New Roman" w:eastAsia="宋体" w:cs="Times New Roman"/>
          <w:color w:val="000000"/>
          <w:kern w:val="2"/>
        </w:rPr>
        <w:t>普通</w:t>
      </w:r>
      <w:r>
        <w:rPr>
          <w:rFonts w:ascii="Times New Roman" w:eastAsia="宋体" w:cs="Times New Roman"/>
          <w:color w:val="000000"/>
          <w:kern w:val="2"/>
        </w:rPr>
        <w:t>因素</w:t>
      </w:r>
      <w:r>
        <w:rPr>
          <w:rFonts w:hint="eastAsia" w:ascii="Times New Roman" w:eastAsia="宋体" w:cs="Times New Roman"/>
          <w:color w:val="000000"/>
          <w:kern w:val="2"/>
        </w:rPr>
        <w:t>。</w:t>
      </w:r>
    </w:p>
    <w:p>
      <w:pPr>
        <w:pStyle w:val="19"/>
        <w:ind w:firstLine="0" w:firstLineChars="0"/>
        <w:rPr>
          <w:rFonts w:ascii="Times New Roman" w:hAnsi="Times New Roman"/>
        </w:rPr>
      </w:pPr>
    </w:p>
    <w:p>
      <w:pPr>
        <w:jc w:val="center"/>
        <w:rPr>
          <w:rFonts w:ascii="Times New Roman" w:hAnsi="Times New Roman" w:eastAsia="黑体"/>
          <w:b/>
          <w:kern w:val="0"/>
          <w:szCs w:val="21"/>
        </w:rPr>
      </w:pPr>
    </w:p>
    <w:sectPr>
      <w:pgSz w:w="11906" w:h="16838"/>
      <w:pgMar w:top="567" w:right="1134" w:bottom="1134" w:left="1418" w:header="1418" w:footer="1134" w:gutter="0"/>
      <w:pgNumType w:start="1"/>
      <w:cols w:space="425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rPr>
        <w:rStyle w:val="13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3175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3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3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6p&#10;ebnPAAAABQEAAA8AAAAAAAAAAQAgAAAAIgAAAGRycy9kb3ducmV2LnhtbFBLAQIUABQAAAAIAIdO&#10;4kCZxgQi8wEAAAMEAAAOAAAAAAAAAAEAIAAAAB4BAABkcnMvZTJvRG9jLnhtbFBLBQYAAAAABgAG&#10;AFkBAACD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2"/>
                    </w:pPr>
                    <w:r>
                      <w:fldChar w:fldCharType="begin"/>
                    </w:r>
                    <w:r>
                      <w:rPr>
                        <w:rStyle w:val="13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3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4445" t="0" r="3810" b="0"/>
              <wp:wrapNone/>
              <wp:docPr id="1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Style w:val="1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3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3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3" o:spid="_x0000_s1026" o:spt="202" type="#_x0000_t202" style="position:absolute;left:0pt;margin-top:0pt;height:11pt;width:4.6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LW7l30AAAAAIBAAAPAAAAAAAAAAEAIAAAACIAAABkcnMvZG93bnJldi54bWxQSwECFAAU&#10;AAAACACHTuJAtZvgSPkBAAAABAAADgAAAAAAAAABACAAAAAfAQAAZHJzL2Uyb0RvYy54bWxQSwUG&#10;AAAAAAYABgBZAQAAi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Style w:val="13"/>
                      </w:rPr>
                    </w:pPr>
                    <w:r>
                      <w:fldChar w:fldCharType="begin"/>
                    </w:r>
                    <w:r>
                      <w:rPr>
                        <w:rStyle w:val="13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3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</w:pPr>
    <w:r>
      <w:fldChar w:fldCharType="begin"/>
    </w:r>
    <w:r>
      <w:instrText xml:space="preserve"> PAGE  \* MERGEFORMAT </w:instrText>
    </w:r>
    <w:r>
      <w:fldChar w:fldCharType="separate"/>
    </w:r>
    <w:r>
      <w:t>9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</w:pPr>
    <w:r>
      <w:t>NY/T ××××—××××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r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rPr>
        <w:rFonts w:ascii="Times New Roman" w:hAnsi="Times New Roman"/>
      </w:rPr>
    </w:pPr>
    <w:r>
      <w:t xml:space="preserve">             </w:t>
    </w:r>
    <w:r>
      <w:rPr>
        <w:rFonts w:ascii="Times New Roman" w:hAnsi="Times New Roman"/>
      </w:rPr>
      <w:t>DB</w:t>
    </w:r>
    <w:r>
      <w:rPr>
        <w:rFonts w:ascii="Times New Roman" w:hAnsi="Times New Roman" w:eastAsia="黑体"/>
      </w:rPr>
      <w:t>13</w:t>
    </w:r>
    <w:r>
      <w:rPr>
        <w:rFonts w:ascii="Times New Roman" w:hAnsi="Times New Roman"/>
      </w:rPr>
      <w:t xml:space="preserve">/T </w:t>
    </w:r>
    <w:r>
      <w:rPr>
        <w:rFonts w:ascii="Times New Roman" w:hAnsi="Times New Roman"/>
        <w:lang w:val="en-GB"/>
      </w:rPr>
      <w:t>××××</w:t>
    </w:r>
    <w:r>
      <w:rPr>
        <w:rFonts w:ascii="Times New Roman" w:hAnsi="Times New Roman"/>
      </w:rPr>
      <w:t>—</w:t>
    </w:r>
    <w:r>
      <w:rPr>
        <w:rFonts w:ascii="Times New Roman" w:hAnsi="Times New Roman" w:eastAsia="黑体"/>
        <w:lang w:val="en-GB"/>
      </w:rPr>
      <w:t>20</w:t>
    </w:r>
    <w:r>
      <w:rPr>
        <w:rFonts w:ascii="Times New Roman" w:hAnsi="Times New Roman" w:eastAsia="黑体"/>
      </w:rPr>
      <w:t>23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rPr>
        <w:rFonts w:hint="default" w:ascii="Times New Roman" w:hAnsi="Times New Roman" w:eastAsia="黑体" w:cs="Times New Roman"/>
        <w:b w:val="0"/>
        <w:bCs w:val="0"/>
        <w:i w:val="0"/>
        <w:iCs w:val="0"/>
        <w:sz w:val="21"/>
        <w:szCs w:val="21"/>
      </w:rPr>
    </w:lvl>
    <w:lvl w:ilvl="1" w:tentative="0">
      <w:start w:val="1"/>
      <w:numFmt w:val="decimal"/>
      <w:suff w:val="nothing"/>
      <w:lvlText w:val="%1.%2　"/>
      <w:lvlJc w:val="left"/>
      <w:pPr>
        <w:ind w:left="2693"/>
      </w:pPr>
      <w:rPr>
        <w:rFonts w:hint="default" w:ascii="Times New Roman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suff w:val="nothing"/>
      <w:lvlText w:val="%1.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suff w:val="nothing"/>
      <w:lvlText w:val="%1.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suff w:val="nothing"/>
      <w:lvlText w:val="%1.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suff w:val="nothing"/>
      <w:lvlText w:val="%1.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75949C6"/>
    <w:multiLevelType w:val="multilevel"/>
    <w:tmpl w:val="575949C6"/>
    <w:lvl w:ilvl="0" w:tentative="0">
      <w:start w:val="1"/>
      <w:numFmt w:val="decimal"/>
      <w:suff w:val="nothing"/>
      <w:lvlText w:val="%1"/>
      <w:lvlJc w:val="left"/>
      <w:pPr>
        <w:ind w:left="142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CEA2025"/>
    <w:multiLevelType w:val="multilevel"/>
    <w:tmpl w:val="6CEA2025"/>
    <w:lvl w:ilvl="0" w:tentative="0">
      <w:start w:val="1"/>
      <w:numFmt w:val="none"/>
      <w:pStyle w:val="30"/>
      <w:suff w:val="nothing"/>
      <w:lvlText w:val="%1"/>
      <w:lvlJc w:val="left"/>
      <w:rPr>
        <w:rFonts w:hint="default" w:ascii="Times New Roman" w:hAnsi="Times New Roman" w:cs="Times New Roman"/>
        <w:b/>
        <w:i w:val="0"/>
        <w:sz w:val="21"/>
        <w:szCs w:val="21"/>
      </w:rPr>
    </w:lvl>
    <w:lvl w:ilvl="1" w:tentative="0">
      <w:start w:val="1"/>
      <w:numFmt w:val="decimal"/>
      <w:suff w:val="nothing"/>
      <w:lvlText w:val="%1%2　"/>
      <w:lvlJc w:val="left"/>
      <w:rPr>
        <w:rFonts w:hint="eastAsia" w:ascii="黑体" w:hAnsi="Times New Roman" w:eastAsia="黑体"/>
        <w:b w:val="0"/>
        <w:i w:val="0"/>
        <w:sz w:val="21"/>
        <w:szCs w:val="21"/>
      </w:rPr>
    </w:lvl>
    <w:lvl w:ilvl="2" w:tentative="0">
      <w:start w:val="1"/>
      <w:numFmt w:val="decimal"/>
      <w:suff w:val="nothing"/>
      <w:lvlText w:val="%1%2.%3　"/>
      <w:lvlJc w:val="left"/>
      <w:rPr>
        <w:rFonts w:hint="eastAsia" w:ascii="黑体" w:hAnsi="Times New Roman" w:eastAsia="黑体"/>
        <w:b w:val="0"/>
        <w:i w:val="0"/>
        <w:sz w:val="21"/>
        <w:szCs w:val="21"/>
      </w:rPr>
    </w:lvl>
    <w:lvl w:ilvl="3" w:tentative="0">
      <w:start w:val="1"/>
      <w:numFmt w:val="decimal"/>
      <w:suff w:val="nothing"/>
      <w:lvlText w:val="%1%2.%3.%4　"/>
      <w:lvlJc w:val="left"/>
      <w:rPr>
        <w:rFonts w:hint="eastAsia" w:ascii="黑体" w:hAnsi="Times New Roman" w:eastAsia="黑体"/>
        <w:b w:val="0"/>
        <w:i w:val="0"/>
        <w:sz w:val="21"/>
        <w:szCs w:val="21"/>
      </w:rPr>
    </w:lvl>
    <w:lvl w:ilvl="4" w:tentative="0">
      <w:start w:val="1"/>
      <w:numFmt w:val="decimal"/>
      <w:suff w:val="nothing"/>
      <w:lvlText w:val="%1%2.%3.%4.%5　"/>
      <w:lvlJc w:val="left"/>
      <w:rPr>
        <w:rFonts w:hint="eastAsia" w:ascii="黑体" w:hAnsi="Times New Roman" w:eastAsia="黑体"/>
        <w:b w:val="0"/>
        <w:i w:val="0"/>
        <w:sz w:val="21"/>
        <w:szCs w:val="21"/>
      </w:rPr>
    </w:lvl>
    <w:lvl w:ilvl="5" w:tentative="0">
      <w:start w:val="1"/>
      <w:numFmt w:val="decimal"/>
      <w:suff w:val="nothing"/>
      <w:lvlText w:val="%1%2.%3.%4.%5.%6　"/>
      <w:lvlJc w:val="left"/>
      <w:rPr>
        <w:rFonts w:hint="eastAsia" w:ascii="黑体" w:hAnsi="Times New Roman" w:eastAsia="黑体"/>
        <w:b w:val="0"/>
        <w:i w:val="0"/>
        <w:sz w:val="21"/>
        <w:szCs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/>
        <w:b w:val="0"/>
        <w:i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kNGY0N2RjMzgwYTdlY2Q0NTY2ZjU2NTA3YjBlMDIifQ=="/>
  </w:docVars>
  <w:rsids>
    <w:rsidRoot w:val="00E74C69"/>
    <w:rsid w:val="00003649"/>
    <w:rsid w:val="0000719C"/>
    <w:rsid w:val="0002280F"/>
    <w:rsid w:val="00023D42"/>
    <w:rsid w:val="00025D1E"/>
    <w:rsid w:val="0002692D"/>
    <w:rsid w:val="00034A3F"/>
    <w:rsid w:val="00044427"/>
    <w:rsid w:val="000552DB"/>
    <w:rsid w:val="00061C01"/>
    <w:rsid w:val="00073539"/>
    <w:rsid w:val="00084310"/>
    <w:rsid w:val="00084929"/>
    <w:rsid w:val="00086044"/>
    <w:rsid w:val="00086D3E"/>
    <w:rsid w:val="00087AE4"/>
    <w:rsid w:val="00096B16"/>
    <w:rsid w:val="00096F22"/>
    <w:rsid w:val="000A716C"/>
    <w:rsid w:val="000C0BF8"/>
    <w:rsid w:val="000C5C84"/>
    <w:rsid w:val="000E09E6"/>
    <w:rsid w:val="000E6087"/>
    <w:rsid w:val="000F7FE3"/>
    <w:rsid w:val="00100F57"/>
    <w:rsid w:val="00106504"/>
    <w:rsid w:val="00110F8F"/>
    <w:rsid w:val="00135BEC"/>
    <w:rsid w:val="00152383"/>
    <w:rsid w:val="00152B37"/>
    <w:rsid w:val="001602EF"/>
    <w:rsid w:val="0016301E"/>
    <w:rsid w:val="00163B41"/>
    <w:rsid w:val="00175B8C"/>
    <w:rsid w:val="001779BF"/>
    <w:rsid w:val="001B3211"/>
    <w:rsid w:val="001B419C"/>
    <w:rsid w:val="001B6D04"/>
    <w:rsid w:val="001C52C1"/>
    <w:rsid w:val="001D6B92"/>
    <w:rsid w:val="001E1F35"/>
    <w:rsid w:val="001F797A"/>
    <w:rsid w:val="00207370"/>
    <w:rsid w:val="00213177"/>
    <w:rsid w:val="002302A3"/>
    <w:rsid w:val="00242147"/>
    <w:rsid w:val="00250196"/>
    <w:rsid w:val="002524EC"/>
    <w:rsid w:val="0025539E"/>
    <w:rsid w:val="0025613F"/>
    <w:rsid w:val="0027091F"/>
    <w:rsid w:val="00273579"/>
    <w:rsid w:val="00280590"/>
    <w:rsid w:val="00281E27"/>
    <w:rsid w:val="002A7C3A"/>
    <w:rsid w:val="002D04CC"/>
    <w:rsid w:val="002D1670"/>
    <w:rsid w:val="002D17BC"/>
    <w:rsid w:val="002D68C9"/>
    <w:rsid w:val="002E0E00"/>
    <w:rsid w:val="002E0F62"/>
    <w:rsid w:val="002F6403"/>
    <w:rsid w:val="00300173"/>
    <w:rsid w:val="0030279D"/>
    <w:rsid w:val="00305A12"/>
    <w:rsid w:val="00313782"/>
    <w:rsid w:val="00316FBB"/>
    <w:rsid w:val="003205B3"/>
    <w:rsid w:val="00320B06"/>
    <w:rsid w:val="0032740C"/>
    <w:rsid w:val="00333AE8"/>
    <w:rsid w:val="00343C2E"/>
    <w:rsid w:val="00345A17"/>
    <w:rsid w:val="00356592"/>
    <w:rsid w:val="00372713"/>
    <w:rsid w:val="00373329"/>
    <w:rsid w:val="00385443"/>
    <w:rsid w:val="003877E9"/>
    <w:rsid w:val="00397737"/>
    <w:rsid w:val="003A0CB5"/>
    <w:rsid w:val="003A1337"/>
    <w:rsid w:val="003A6801"/>
    <w:rsid w:val="003B45EF"/>
    <w:rsid w:val="003C1F06"/>
    <w:rsid w:val="003C4C1B"/>
    <w:rsid w:val="003E2A6A"/>
    <w:rsid w:val="003E6A6F"/>
    <w:rsid w:val="003F0D57"/>
    <w:rsid w:val="003F2017"/>
    <w:rsid w:val="00405092"/>
    <w:rsid w:val="00415309"/>
    <w:rsid w:val="00423A5B"/>
    <w:rsid w:val="00427FDA"/>
    <w:rsid w:val="00440C1D"/>
    <w:rsid w:val="004439A0"/>
    <w:rsid w:val="00443E03"/>
    <w:rsid w:val="004623C1"/>
    <w:rsid w:val="00463641"/>
    <w:rsid w:val="00464AE2"/>
    <w:rsid w:val="00466FCC"/>
    <w:rsid w:val="0046776F"/>
    <w:rsid w:val="00471BFE"/>
    <w:rsid w:val="004754B0"/>
    <w:rsid w:val="00484CD4"/>
    <w:rsid w:val="00495B36"/>
    <w:rsid w:val="004A6C6A"/>
    <w:rsid w:val="004C7E62"/>
    <w:rsid w:val="004E5194"/>
    <w:rsid w:val="004E6DD6"/>
    <w:rsid w:val="004F0CA6"/>
    <w:rsid w:val="004F37F9"/>
    <w:rsid w:val="004F601E"/>
    <w:rsid w:val="0050049A"/>
    <w:rsid w:val="00503415"/>
    <w:rsid w:val="00505384"/>
    <w:rsid w:val="0050721F"/>
    <w:rsid w:val="005144AC"/>
    <w:rsid w:val="00514757"/>
    <w:rsid w:val="005239E2"/>
    <w:rsid w:val="00524AB6"/>
    <w:rsid w:val="0052592C"/>
    <w:rsid w:val="0052656E"/>
    <w:rsid w:val="0053213D"/>
    <w:rsid w:val="00533968"/>
    <w:rsid w:val="00533E2E"/>
    <w:rsid w:val="00536C97"/>
    <w:rsid w:val="00547B29"/>
    <w:rsid w:val="00573D49"/>
    <w:rsid w:val="00581890"/>
    <w:rsid w:val="00590EBE"/>
    <w:rsid w:val="00590F57"/>
    <w:rsid w:val="0059758A"/>
    <w:rsid w:val="00597C4F"/>
    <w:rsid w:val="005A63BD"/>
    <w:rsid w:val="005D336B"/>
    <w:rsid w:val="005E5B7D"/>
    <w:rsid w:val="005E702D"/>
    <w:rsid w:val="005F02E4"/>
    <w:rsid w:val="005F3310"/>
    <w:rsid w:val="005F42A8"/>
    <w:rsid w:val="005F57EF"/>
    <w:rsid w:val="00603D93"/>
    <w:rsid w:val="0060601E"/>
    <w:rsid w:val="00610396"/>
    <w:rsid w:val="006137F9"/>
    <w:rsid w:val="00621A98"/>
    <w:rsid w:val="00625EE3"/>
    <w:rsid w:val="00631A5F"/>
    <w:rsid w:val="00634187"/>
    <w:rsid w:val="00635CC6"/>
    <w:rsid w:val="00645F8F"/>
    <w:rsid w:val="00650B21"/>
    <w:rsid w:val="006548B8"/>
    <w:rsid w:val="00656FD9"/>
    <w:rsid w:val="00672FA5"/>
    <w:rsid w:val="006742C0"/>
    <w:rsid w:val="00681B70"/>
    <w:rsid w:val="00682CB0"/>
    <w:rsid w:val="00685305"/>
    <w:rsid w:val="006906A0"/>
    <w:rsid w:val="00692689"/>
    <w:rsid w:val="00697978"/>
    <w:rsid w:val="006A00CA"/>
    <w:rsid w:val="006A0EB2"/>
    <w:rsid w:val="006A2B43"/>
    <w:rsid w:val="006B65EB"/>
    <w:rsid w:val="006D2770"/>
    <w:rsid w:val="006F4D68"/>
    <w:rsid w:val="00705584"/>
    <w:rsid w:val="0071714A"/>
    <w:rsid w:val="0072542A"/>
    <w:rsid w:val="00726ACE"/>
    <w:rsid w:val="00727CF0"/>
    <w:rsid w:val="007312B1"/>
    <w:rsid w:val="00734852"/>
    <w:rsid w:val="0075008F"/>
    <w:rsid w:val="0075065F"/>
    <w:rsid w:val="00762272"/>
    <w:rsid w:val="00762AED"/>
    <w:rsid w:val="00764477"/>
    <w:rsid w:val="007839D8"/>
    <w:rsid w:val="007841F5"/>
    <w:rsid w:val="00787565"/>
    <w:rsid w:val="00790CEA"/>
    <w:rsid w:val="00791810"/>
    <w:rsid w:val="00796476"/>
    <w:rsid w:val="007B4763"/>
    <w:rsid w:val="007B5CCA"/>
    <w:rsid w:val="007D6838"/>
    <w:rsid w:val="007D7201"/>
    <w:rsid w:val="007E5C86"/>
    <w:rsid w:val="008008CE"/>
    <w:rsid w:val="008026B8"/>
    <w:rsid w:val="00806477"/>
    <w:rsid w:val="00806DCF"/>
    <w:rsid w:val="00816EA4"/>
    <w:rsid w:val="008206DF"/>
    <w:rsid w:val="0082126E"/>
    <w:rsid w:val="00822C22"/>
    <w:rsid w:val="00837AE5"/>
    <w:rsid w:val="00841280"/>
    <w:rsid w:val="00843BD8"/>
    <w:rsid w:val="008472ED"/>
    <w:rsid w:val="00847BF6"/>
    <w:rsid w:val="00850418"/>
    <w:rsid w:val="00867F8D"/>
    <w:rsid w:val="0087275A"/>
    <w:rsid w:val="00877B8C"/>
    <w:rsid w:val="00882101"/>
    <w:rsid w:val="00883A3A"/>
    <w:rsid w:val="00883AD8"/>
    <w:rsid w:val="008936D0"/>
    <w:rsid w:val="008939B9"/>
    <w:rsid w:val="008940DA"/>
    <w:rsid w:val="00896669"/>
    <w:rsid w:val="008A4C3F"/>
    <w:rsid w:val="008A5E32"/>
    <w:rsid w:val="008C222B"/>
    <w:rsid w:val="008D13AB"/>
    <w:rsid w:val="008E686D"/>
    <w:rsid w:val="008F679B"/>
    <w:rsid w:val="00902826"/>
    <w:rsid w:val="00914D9F"/>
    <w:rsid w:val="00922451"/>
    <w:rsid w:val="00924534"/>
    <w:rsid w:val="00930CF8"/>
    <w:rsid w:val="00932CE2"/>
    <w:rsid w:val="00936FD2"/>
    <w:rsid w:val="0094599F"/>
    <w:rsid w:val="009562D7"/>
    <w:rsid w:val="0095752D"/>
    <w:rsid w:val="00963DCB"/>
    <w:rsid w:val="00964333"/>
    <w:rsid w:val="00965167"/>
    <w:rsid w:val="00984A6D"/>
    <w:rsid w:val="00985F5A"/>
    <w:rsid w:val="009A4158"/>
    <w:rsid w:val="009A6CF2"/>
    <w:rsid w:val="009A7554"/>
    <w:rsid w:val="009B469C"/>
    <w:rsid w:val="009C63AA"/>
    <w:rsid w:val="009C7868"/>
    <w:rsid w:val="009D607D"/>
    <w:rsid w:val="009E25E0"/>
    <w:rsid w:val="009E4B65"/>
    <w:rsid w:val="009E71C6"/>
    <w:rsid w:val="00A00A9D"/>
    <w:rsid w:val="00A051B8"/>
    <w:rsid w:val="00A05A24"/>
    <w:rsid w:val="00A1576D"/>
    <w:rsid w:val="00A3486E"/>
    <w:rsid w:val="00A34E79"/>
    <w:rsid w:val="00A538FF"/>
    <w:rsid w:val="00A72602"/>
    <w:rsid w:val="00A760A9"/>
    <w:rsid w:val="00A8374C"/>
    <w:rsid w:val="00A8595B"/>
    <w:rsid w:val="00A85F69"/>
    <w:rsid w:val="00A95304"/>
    <w:rsid w:val="00A97CAE"/>
    <w:rsid w:val="00AB034A"/>
    <w:rsid w:val="00AB04D6"/>
    <w:rsid w:val="00AD3D2A"/>
    <w:rsid w:val="00AE06BC"/>
    <w:rsid w:val="00AE1528"/>
    <w:rsid w:val="00AE5D46"/>
    <w:rsid w:val="00B004C5"/>
    <w:rsid w:val="00B00FFE"/>
    <w:rsid w:val="00B15B43"/>
    <w:rsid w:val="00B27A70"/>
    <w:rsid w:val="00B32DE9"/>
    <w:rsid w:val="00B42D96"/>
    <w:rsid w:val="00B52525"/>
    <w:rsid w:val="00B5432F"/>
    <w:rsid w:val="00B560EC"/>
    <w:rsid w:val="00B73B99"/>
    <w:rsid w:val="00B744CE"/>
    <w:rsid w:val="00B75556"/>
    <w:rsid w:val="00B762AB"/>
    <w:rsid w:val="00B769A7"/>
    <w:rsid w:val="00B8565C"/>
    <w:rsid w:val="00BB3F69"/>
    <w:rsid w:val="00BC5E3B"/>
    <w:rsid w:val="00BC7668"/>
    <w:rsid w:val="00BC7C94"/>
    <w:rsid w:val="00BD19FD"/>
    <w:rsid w:val="00BE04DF"/>
    <w:rsid w:val="00BE3896"/>
    <w:rsid w:val="00BE3B06"/>
    <w:rsid w:val="00BE71DD"/>
    <w:rsid w:val="00BE7D37"/>
    <w:rsid w:val="00BF56C5"/>
    <w:rsid w:val="00C035FD"/>
    <w:rsid w:val="00C04995"/>
    <w:rsid w:val="00C04B68"/>
    <w:rsid w:val="00C05653"/>
    <w:rsid w:val="00C06810"/>
    <w:rsid w:val="00C07C9F"/>
    <w:rsid w:val="00C20E62"/>
    <w:rsid w:val="00C332D4"/>
    <w:rsid w:val="00C3651E"/>
    <w:rsid w:val="00C70692"/>
    <w:rsid w:val="00C70A4A"/>
    <w:rsid w:val="00C74BE2"/>
    <w:rsid w:val="00C762E8"/>
    <w:rsid w:val="00C928FD"/>
    <w:rsid w:val="00C945D2"/>
    <w:rsid w:val="00CB3FBC"/>
    <w:rsid w:val="00CB49E7"/>
    <w:rsid w:val="00CB724D"/>
    <w:rsid w:val="00CD72D7"/>
    <w:rsid w:val="00CF29A7"/>
    <w:rsid w:val="00D00FD1"/>
    <w:rsid w:val="00D07A22"/>
    <w:rsid w:val="00D14666"/>
    <w:rsid w:val="00D2033A"/>
    <w:rsid w:val="00D30BBD"/>
    <w:rsid w:val="00D313AB"/>
    <w:rsid w:val="00D36A15"/>
    <w:rsid w:val="00D4391F"/>
    <w:rsid w:val="00D6022E"/>
    <w:rsid w:val="00D70321"/>
    <w:rsid w:val="00D7404F"/>
    <w:rsid w:val="00D754FA"/>
    <w:rsid w:val="00D83DD7"/>
    <w:rsid w:val="00D84137"/>
    <w:rsid w:val="00D974C4"/>
    <w:rsid w:val="00DC442B"/>
    <w:rsid w:val="00DD243E"/>
    <w:rsid w:val="00DE30AF"/>
    <w:rsid w:val="00DF70BE"/>
    <w:rsid w:val="00DF7922"/>
    <w:rsid w:val="00E02A3B"/>
    <w:rsid w:val="00E0651D"/>
    <w:rsid w:val="00E1343F"/>
    <w:rsid w:val="00E17370"/>
    <w:rsid w:val="00E17520"/>
    <w:rsid w:val="00E31B89"/>
    <w:rsid w:val="00E32397"/>
    <w:rsid w:val="00E4546A"/>
    <w:rsid w:val="00E53772"/>
    <w:rsid w:val="00E601E6"/>
    <w:rsid w:val="00E6487D"/>
    <w:rsid w:val="00E67B64"/>
    <w:rsid w:val="00E74C69"/>
    <w:rsid w:val="00E80F35"/>
    <w:rsid w:val="00EC39D6"/>
    <w:rsid w:val="00EC3B6B"/>
    <w:rsid w:val="00EC7ED9"/>
    <w:rsid w:val="00ED6A4D"/>
    <w:rsid w:val="00EE1CEB"/>
    <w:rsid w:val="00EF20EE"/>
    <w:rsid w:val="00EF4058"/>
    <w:rsid w:val="00F060A4"/>
    <w:rsid w:val="00F079DD"/>
    <w:rsid w:val="00F14169"/>
    <w:rsid w:val="00F20F71"/>
    <w:rsid w:val="00F25C60"/>
    <w:rsid w:val="00F37BA0"/>
    <w:rsid w:val="00F52DB2"/>
    <w:rsid w:val="00F5320C"/>
    <w:rsid w:val="00F53AC1"/>
    <w:rsid w:val="00F547C3"/>
    <w:rsid w:val="00F60C9B"/>
    <w:rsid w:val="00F75FFF"/>
    <w:rsid w:val="00F8443F"/>
    <w:rsid w:val="00F9277E"/>
    <w:rsid w:val="00F929E7"/>
    <w:rsid w:val="00F93B0A"/>
    <w:rsid w:val="00F96530"/>
    <w:rsid w:val="00FA1AF9"/>
    <w:rsid w:val="00FB3CC9"/>
    <w:rsid w:val="00FB4A7C"/>
    <w:rsid w:val="00FC2A53"/>
    <w:rsid w:val="00FD067F"/>
    <w:rsid w:val="00FE1BB4"/>
    <w:rsid w:val="00FF264B"/>
    <w:rsid w:val="042310E8"/>
    <w:rsid w:val="05927A47"/>
    <w:rsid w:val="08910E19"/>
    <w:rsid w:val="09AC2C20"/>
    <w:rsid w:val="0A8E5B40"/>
    <w:rsid w:val="0CE5255B"/>
    <w:rsid w:val="0F5C1B3F"/>
    <w:rsid w:val="13A430DE"/>
    <w:rsid w:val="149929F1"/>
    <w:rsid w:val="15861078"/>
    <w:rsid w:val="15FA2897"/>
    <w:rsid w:val="17B46969"/>
    <w:rsid w:val="17F71BD9"/>
    <w:rsid w:val="17FE4524"/>
    <w:rsid w:val="18E26D8F"/>
    <w:rsid w:val="196419B6"/>
    <w:rsid w:val="1C384166"/>
    <w:rsid w:val="1C8D2D02"/>
    <w:rsid w:val="1CD7392B"/>
    <w:rsid w:val="1E1346DC"/>
    <w:rsid w:val="203D7987"/>
    <w:rsid w:val="2118472D"/>
    <w:rsid w:val="25A904A4"/>
    <w:rsid w:val="26A51662"/>
    <w:rsid w:val="28E20823"/>
    <w:rsid w:val="28FF5E62"/>
    <w:rsid w:val="2A3A6E5D"/>
    <w:rsid w:val="2B547173"/>
    <w:rsid w:val="2BD7175B"/>
    <w:rsid w:val="2C125D56"/>
    <w:rsid w:val="2D6C6DBD"/>
    <w:rsid w:val="2D7F1E0B"/>
    <w:rsid w:val="305C0DC7"/>
    <w:rsid w:val="31A27430"/>
    <w:rsid w:val="31CF2A2A"/>
    <w:rsid w:val="322E3F3E"/>
    <w:rsid w:val="3461335F"/>
    <w:rsid w:val="373764BE"/>
    <w:rsid w:val="390B057E"/>
    <w:rsid w:val="39845551"/>
    <w:rsid w:val="3A807C3A"/>
    <w:rsid w:val="3AEA528A"/>
    <w:rsid w:val="3AF42518"/>
    <w:rsid w:val="3E0B07D0"/>
    <w:rsid w:val="3E226389"/>
    <w:rsid w:val="42443E41"/>
    <w:rsid w:val="44525344"/>
    <w:rsid w:val="456753F9"/>
    <w:rsid w:val="465B7663"/>
    <w:rsid w:val="47083398"/>
    <w:rsid w:val="48D31E1E"/>
    <w:rsid w:val="4A4D5E05"/>
    <w:rsid w:val="4AD804E3"/>
    <w:rsid w:val="4B165640"/>
    <w:rsid w:val="4F6B2BA7"/>
    <w:rsid w:val="4FA54B73"/>
    <w:rsid w:val="4FCA1552"/>
    <w:rsid w:val="50C45FAA"/>
    <w:rsid w:val="51906BB9"/>
    <w:rsid w:val="540075E8"/>
    <w:rsid w:val="570E0A99"/>
    <w:rsid w:val="57C70EDC"/>
    <w:rsid w:val="5A5B4EE3"/>
    <w:rsid w:val="5A9018B5"/>
    <w:rsid w:val="5C7A6E05"/>
    <w:rsid w:val="5D6C5979"/>
    <w:rsid w:val="5F593319"/>
    <w:rsid w:val="5FC7291F"/>
    <w:rsid w:val="5FED179F"/>
    <w:rsid w:val="61055770"/>
    <w:rsid w:val="620D1CA1"/>
    <w:rsid w:val="647F3975"/>
    <w:rsid w:val="66AF0C18"/>
    <w:rsid w:val="6727340E"/>
    <w:rsid w:val="6BF14FCE"/>
    <w:rsid w:val="6C5C572D"/>
    <w:rsid w:val="6C7528CF"/>
    <w:rsid w:val="6C8C78BE"/>
    <w:rsid w:val="6DF83C36"/>
    <w:rsid w:val="70B354C3"/>
    <w:rsid w:val="71B36A59"/>
    <w:rsid w:val="72553D99"/>
    <w:rsid w:val="72E062E0"/>
    <w:rsid w:val="72EF3C56"/>
    <w:rsid w:val="74C965AB"/>
    <w:rsid w:val="75DD2F18"/>
    <w:rsid w:val="765C30BD"/>
    <w:rsid w:val="787776ED"/>
    <w:rsid w:val="7AE124FF"/>
    <w:rsid w:val="7C633E1F"/>
    <w:rsid w:val="7EAE6815"/>
    <w:rsid w:val="7EE7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cs="宋体"/>
      <w:szCs w:val="21"/>
      <w:lang w:val="zh-CN" w:bidi="zh-CN"/>
    </w:rPr>
  </w:style>
  <w:style w:type="paragraph" w:styleId="3">
    <w:name w:val="Body Text Indent"/>
    <w:basedOn w:val="1"/>
    <w:qFormat/>
    <w:uiPriority w:val="0"/>
    <w:pPr>
      <w:spacing w:line="360" w:lineRule="auto"/>
      <w:ind w:firstLine="560" w:firstLineChars="200"/>
    </w:pPr>
    <w:rPr>
      <w:rFonts w:ascii="仿宋_GB2312" w:hAnsi="Arial" w:eastAsia="仿宋_GB2312"/>
      <w:sz w:val="28"/>
      <w:szCs w:val="28"/>
    </w:rPr>
  </w:style>
  <w:style w:type="paragraph" w:styleId="4">
    <w:name w:val="Plain Text"/>
    <w:basedOn w:val="1"/>
    <w:qFormat/>
    <w:uiPriority w:val="0"/>
    <w:rPr>
      <w:rFonts w:hint="eastAsia" w:ascii="宋体" w:hAnsi="Courier New" w:cs="Courier New"/>
      <w:szCs w:val="21"/>
    </w:rPr>
  </w:style>
  <w:style w:type="paragraph" w:styleId="5">
    <w:name w:val="Date"/>
    <w:basedOn w:val="1"/>
    <w:next w:val="1"/>
    <w:uiPriority w:val="0"/>
    <w:pPr>
      <w:ind w:left="100" w:leftChars="2500"/>
    </w:pPr>
    <w:rPr>
      <w:rFonts w:ascii="宋体" w:hAnsi="宋体"/>
      <w:szCs w:val="21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发布"/>
    <w:qFormat/>
    <w:uiPriority w:val="0"/>
    <w:rPr>
      <w:rFonts w:ascii="黑体" w:eastAsia="黑体"/>
      <w:spacing w:val="22"/>
      <w:w w:val="100"/>
      <w:position w:val="3"/>
      <w:sz w:val="28"/>
      <w:szCs w:val="28"/>
    </w:rPr>
  </w:style>
  <w:style w:type="paragraph" w:customStyle="1" w:styleId="15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Calibri" w:hAnsi="Calibri" w:eastAsia="宋体" w:cs="Times New Roman"/>
      <w:sz w:val="28"/>
      <w:szCs w:val="28"/>
      <w:lang w:val="en-US" w:eastAsia="zh-CN" w:bidi="ar-SA"/>
    </w:rPr>
  </w:style>
  <w:style w:type="paragraph" w:customStyle="1" w:styleId="16">
    <w:name w:val="封面一致性程度标识"/>
    <w:qFormat/>
    <w:uiPriority w:val="0"/>
    <w:pPr>
      <w:spacing w:before="440" w:line="400" w:lineRule="exact"/>
      <w:jc w:val="center"/>
    </w:pPr>
    <w:rPr>
      <w:rFonts w:ascii="宋体" w:hAnsi="Calibri" w:eastAsia="宋体" w:cs="Times New Roman"/>
      <w:sz w:val="28"/>
      <w:szCs w:val="28"/>
      <w:lang w:val="en-US" w:eastAsia="zh-CN" w:bidi="ar-SA"/>
    </w:rPr>
  </w:style>
  <w:style w:type="paragraph" w:customStyle="1" w:styleId="17">
    <w:name w:val="封面标准文稿编辑信息"/>
    <w:uiPriority w:val="0"/>
    <w:pPr>
      <w:spacing w:before="180" w:line="180" w:lineRule="exact"/>
      <w:jc w:val="center"/>
    </w:pPr>
    <w:rPr>
      <w:rFonts w:ascii="宋体" w:hAnsi="Calibri" w:eastAsia="宋体" w:cs="Times New Roman"/>
      <w:sz w:val="21"/>
      <w:szCs w:val="21"/>
      <w:lang w:val="en-US" w:eastAsia="zh-CN" w:bidi="ar-SA"/>
    </w:rPr>
  </w:style>
  <w:style w:type="paragraph" w:customStyle="1" w:styleId="18">
    <w:name w:val="Table Paragraph"/>
    <w:basedOn w:val="1"/>
    <w:qFormat/>
    <w:uiPriority w:val="1"/>
    <w:pPr>
      <w:spacing w:before="26"/>
      <w:ind w:left="212"/>
      <w:jc w:val="center"/>
    </w:pPr>
    <w:rPr>
      <w:rFonts w:ascii="仿宋" w:hAnsi="仿宋" w:eastAsia="仿宋" w:cs="仿宋"/>
      <w:lang w:val="zh-CN" w:bidi="zh-CN"/>
    </w:rPr>
  </w:style>
  <w:style w:type="paragraph" w:customStyle="1" w:styleId="19">
    <w:name w:val="段"/>
    <w:next w:val="1"/>
    <w:link w:val="35"/>
    <w:qFormat/>
    <w:uiPriority w:val="99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sz w:val="21"/>
      <w:szCs w:val="21"/>
      <w:lang w:val="en-US" w:eastAsia="zh-CN" w:bidi="ar-SA"/>
    </w:rPr>
  </w:style>
  <w:style w:type="paragraph" w:customStyle="1" w:styleId="20">
    <w:name w:val="其他发布部门"/>
    <w:basedOn w:val="1"/>
    <w:qFormat/>
    <w:uiPriority w:val="0"/>
    <w:pPr>
      <w:framePr w:w="7433" w:h="585" w:hRule="exact" w:hSpace="180" w:vSpace="180" w:wrap="around" w:vAnchor="margin" w:hAnchor="margin" w:xAlign="center" w:y="14401" w:anchorLock="1"/>
      <w:widowControl/>
      <w:spacing w:line="240" w:lineRule="atLeast"/>
      <w:jc w:val="center"/>
    </w:pPr>
    <w:rPr>
      <w:rFonts w:ascii="黑体" w:eastAsia="黑体"/>
      <w:spacing w:val="20"/>
      <w:w w:val="135"/>
      <w:kern w:val="0"/>
      <w:sz w:val="36"/>
      <w:szCs w:val="36"/>
    </w:rPr>
  </w:style>
  <w:style w:type="paragraph" w:customStyle="1" w:styleId="21">
    <w:name w:val="标准书眉一"/>
    <w:uiPriority w:val="0"/>
    <w:pPr>
      <w:jc w:val="both"/>
    </w:pPr>
    <w:rPr>
      <w:rFonts w:ascii="Calibri" w:hAnsi="Calibri" w:eastAsia="宋体" w:cs="Times New Roman"/>
      <w:lang w:val="en-US" w:eastAsia="zh-CN" w:bidi="ar-SA"/>
    </w:rPr>
  </w:style>
  <w:style w:type="paragraph" w:customStyle="1" w:styleId="22">
    <w:name w:val="标准书脚_奇数页"/>
    <w:qFormat/>
    <w:uiPriority w:val="99"/>
    <w:pPr>
      <w:spacing w:before="120"/>
      <w:jc w:val="right"/>
    </w:pPr>
    <w:rPr>
      <w:rFonts w:ascii="Calibri" w:hAnsi="Calibri" w:eastAsia="宋体" w:cs="Times New Roman"/>
      <w:sz w:val="18"/>
      <w:szCs w:val="18"/>
      <w:lang w:val="en-US" w:eastAsia="zh-CN" w:bidi="ar-SA"/>
    </w:rPr>
  </w:style>
  <w:style w:type="paragraph" w:customStyle="1" w:styleId="23">
    <w:name w:val="实施日期"/>
    <w:basedOn w:val="24"/>
    <w:qFormat/>
    <w:uiPriority w:val="0"/>
    <w:pPr>
      <w:framePr w:hSpace="0" w:wrap="around" w:xAlign="right"/>
      <w:jc w:val="right"/>
    </w:pPr>
  </w:style>
  <w:style w:type="paragraph" w:customStyle="1" w:styleId="24">
    <w:name w:val="发布日期"/>
    <w:qFormat/>
    <w:uiPriority w:val="0"/>
    <w:pPr>
      <w:framePr w:w="4000" w:h="473" w:hRule="exact" w:hSpace="180" w:vSpace="180" w:wrap="around" w:vAnchor="margin" w:hAnchor="margin" w:y="13511" w:anchorLock="1"/>
    </w:pPr>
    <w:rPr>
      <w:rFonts w:ascii="Calibri" w:hAnsi="Calibri" w:eastAsia="黑体" w:cs="Times New Roman"/>
      <w:sz w:val="28"/>
      <w:szCs w:val="28"/>
      <w:lang w:val="en-US" w:eastAsia="zh-CN" w:bidi="ar-SA"/>
    </w:rPr>
  </w:style>
  <w:style w:type="paragraph" w:customStyle="1" w:styleId="2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Calibri" w:hAnsi="Calibri" w:eastAsia="黑体" w:cs="Times New Roman"/>
      <w:sz w:val="21"/>
      <w:szCs w:val="21"/>
      <w:lang w:val="en-US" w:eastAsia="zh-CN" w:bidi="ar-SA"/>
    </w:rPr>
  </w:style>
  <w:style w:type="paragraph" w:customStyle="1" w:styleId="26">
    <w:name w:val="样式5"/>
    <w:basedOn w:val="1"/>
    <w:uiPriority w:val="0"/>
    <w:pPr>
      <w:spacing w:line="288" w:lineRule="auto"/>
      <w:ind w:firstLine="561"/>
    </w:pPr>
    <w:rPr>
      <w:sz w:val="28"/>
      <w:szCs w:val="20"/>
    </w:rPr>
  </w:style>
  <w:style w:type="paragraph" w:customStyle="1" w:styleId="27">
    <w:name w:val="封面正文"/>
    <w:qFormat/>
    <w:uiPriority w:val="0"/>
    <w:pPr>
      <w:jc w:val="both"/>
    </w:pPr>
    <w:rPr>
      <w:rFonts w:ascii="Calibri" w:hAnsi="Calibri" w:eastAsia="宋体" w:cs="Times New Roman"/>
      <w:lang w:val="en-US" w:eastAsia="zh-CN" w:bidi="ar-SA"/>
    </w:rPr>
  </w:style>
  <w:style w:type="paragraph" w:customStyle="1" w:styleId="28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Calibri" w:hAnsi="Calibri" w:eastAsia="宋体" w:cs="Times New Roman"/>
      <w:sz w:val="21"/>
      <w:szCs w:val="21"/>
      <w:lang w:val="en-US" w:eastAsia="zh-CN" w:bidi="ar-SA"/>
    </w:rPr>
  </w:style>
  <w:style w:type="paragraph" w:customStyle="1" w:styleId="29">
    <w:name w:val="封面标准文稿类别"/>
    <w:uiPriority w:val="0"/>
    <w:pPr>
      <w:spacing w:before="440" w:line="400" w:lineRule="exact"/>
      <w:jc w:val="center"/>
    </w:pPr>
    <w:rPr>
      <w:rFonts w:ascii="宋体" w:hAnsi="Calibri" w:eastAsia="宋体" w:cs="Times New Roman"/>
      <w:sz w:val="24"/>
      <w:szCs w:val="24"/>
      <w:lang w:val="en-US" w:eastAsia="zh-CN" w:bidi="ar-SA"/>
    </w:rPr>
  </w:style>
  <w:style w:type="paragraph" w:customStyle="1" w:styleId="30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Calibri" w:eastAsia="黑体" w:cs="Times New Roman"/>
      <w:sz w:val="32"/>
      <w:szCs w:val="32"/>
      <w:lang w:val="en-US" w:eastAsia="zh-CN" w:bidi="ar-SA"/>
    </w:rPr>
  </w:style>
  <w:style w:type="paragraph" w:customStyle="1" w:styleId="31">
    <w:name w:val="标准标志"/>
    <w:next w:val="1"/>
    <w:qFormat/>
    <w:uiPriority w:val="0"/>
    <w:pPr>
      <w:framePr w:w="2268" w:h="1392" w:hRule="exact" w:wrap="around" w:vAnchor="margin" w:hAnchor="margin" w:x="6748" w:y="171" w:anchorLock="1"/>
      <w:shd w:val="solid" w:color="FFFFFF" w:fill="FFFFFF"/>
      <w:spacing w:line="240" w:lineRule="atLeast"/>
      <w:jc w:val="right"/>
    </w:pPr>
    <w:rPr>
      <w:rFonts w:ascii="Calibri" w:hAnsi="Calibri" w:eastAsia="宋体" w:cs="Times New Roman"/>
      <w:b/>
      <w:bCs/>
      <w:w w:val="130"/>
      <w:sz w:val="96"/>
      <w:szCs w:val="96"/>
      <w:lang w:val="en-US" w:eastAsia="zh-CN" w:bidi="ar-SA"/>
    </w:rPr>
  </w:style>
  <w:style w:type="paragraph" w:customStyle="1" w:styleId="32">
    <w:name w:val="其他标准称谓"/>
    <w:qFormat/>
    <w:uiPriority w:val="0"/>
    <w:pPr>
      <w:spacing w:line="240" w:lineRule="atLeast"/>
      <w:jc w:val="distribute"/>
    </w:pPr>
    <w:rPr>
      <w:rFonts w:ascii="黑体" w:hAnsi="宋体" w:eastAsia="黑体" w:cs="Times New Roman"/>
      <w:sz w:val="52"/>
      <w:szCs w:val="52"/>
      <w:lang w:val="en-US" w:eastAsia="zh-CN" w:bidi="ar-SA"/>
    </w:rPr>
  </w:style>
  <w:style w:type="paragraph" w:customStyle="1" w:styleId="33">
    <w:name w:val="标准书眉_偶数页"/>
    <w:basedOn w:val="28"/>
    <w:next w:val="1"/>
    <w:qFormat/>
    <w:uiPriority w:val="0"/>
    <w:pPr>
      <w:jc w:val="left"/>
    </w:pPr>
  </w:style>
  <w:style w:type="paragraph" w:customStyle="1" w:styleId="34">
    <w:name w:val="章标题"/>
    <w:next w:val="1"/>
    <w:qFormat/>
    <w:uiPriority w:val="99"/>
    <w:pPr>
      <w:spacing w:before="50" w:beforeLines="50" w:after="50" w:afterLines="50"/>
      <w:ind w:left="142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character" w:customStyle="1" w:styleId="35">
    <w:name w:val="段 Char"/>
    <w:basedOn w:val="12"/>
    <w:link w:val="19"/>
    <w:qFormat/>
    <w:locked/>
    <w:uiPriority w:val="99"/>
    <w:rPr>
      <w:rFonts w:ascii="宋体" w:hAnsi="Calibri" w:eastAsia="宋体" w:cs="Times New Roman"/>
      <w:sz w:val="21"/>
      <w:szCs w:val="21"/>
    </w:rPr>
  </w:style>
  <w:style w:type="paragraph" w:customStyle="1" w:styleId="36">
    <w:name w:val="一级条标题"/>
    <w:next w:val="19"/>
    <w:qFormat/>
    <w:uiPriority w:val="99"/>
    <w:pPr>
      <w:spacing w:beforeLines="50" w:afterLines="50"/>
      <w:ind w:left="630"/>
      <w:outlineLvl w:val="2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37">
    <w:name w:val="二级条标题"/>
    <w:basedOn w:val="36"/>
    <w:next w:val="19"/>
    <w:qFormat/>
    <w:uiPriority w:val="99"/>
    <w:pPr>
      <w:spacing w:before="50" w:after="50"/>
      <w:ind w:left="0"/>
      <w:outlineLvl w:val="3"/>
    </w:pPr>
  </w:style>
  <w:style w:type="paragraph" w:customStyle="1" w:styleId="38">
    <w:name w:val="目次、标准名称标题"/>
    <w:basedOn w:val="1"/>
    <w:next w:val="19"/>
    <w:qFormat/>
    <w:uiPriority w:val="99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hAnsi="Times New Roman" w:eastAsia="黑体" w:cs="黑体"/>
      <w:kern w:val="0"/>
      <w:sz w:val="32"/>
      <w:szCs w:val="32"/>
    </w:rPr>
  </w:style>
  <w:style w:type="paragraph" w:customStyle="1" w:styleId="39">
    <w:name w:val="三级条标题"/>
    <w:basedOn w:val="37"/>
    <w:next w:val="19"/>
    <w:qFormat/>
    <w:uiPriority w:val="99"/>
    <w:pPr>
      <w:outlineLvl w:val="4"/>
    </w:pPr>
  </w:style>
  <w:style w:type="paragraph" w:customStyle="1" w:styleId="40">
    <w:name w:val="四级条标题"/>
    <w:basedOn w:val="39"/>
    <w:next w:val="19"/>
    <w:qFormat/>
    <w:uiPriority w:val="99"/>
    <w:pPr>
      <w:outlineLvl w:val="5"/>
    </w:pPr>
  </w:style>
  <w:style w:type="paragraph" w:customStyle="1" w:styleId="41">
    <w:name w:val="五级条标题"/>
    <w:basedOn w:val="40"/>
    <w:next w:val="19"/>
    <w:qFormat/>
    <w:uiPriority w:val="99"/>
    <w:pPr>
      <w:outlineLvl w:val="6"/>
    </w:pPr>
  </w:style>
  <w:style w:type="paragraph" w:customStyle="1" w:styleId="4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43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26DD87-A336-40EE-A70D-446608E370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www.Luobo.cc</Company>
  <Pages>10</Pages>
  <Words>3059</Words>
  <Characters>3643</Characters>
  <Lines>29</Lines>
  <Paragraphs>8</Paragraphs>
  <TotalTime>237</TotalTime>
  <ScaleCrop>false</ScaleCrop>
  <LinksUpToDate>false</LinksUpToDate>
  <CharactersWithSpaces>3826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2023-03-24T13:47:00Z</dcterms:created>
  <dc:creator>萝卜家园</dc:creator>
  <cp:lastModifiedBy>AngelGu</cp:lastModifiedBy>
  <cp:lastPrinted>2023-03-24T15:35:00Z</cp:lastPrinted>
  <dcterms:modified xsi:type="dcterms:W3CDTF">2023-03-26T08:07:42Z</dcterms:modified>
  <dc:title>规模猪场口蹄疫综合防控技术规范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3BE853EB83374B5187FC8A57A65C6D32</vt:lpwstr>
  </property>
</Properties>
</file>