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6"/>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     </w:t>
      </w:r>
      <w:r>
        <w:fldChar w:fldCharType="end"/>
      </w:r>
      <w:bookmarkEnd w:id="0"/>
    </w:p>
    <w:p>
      <w:pPr>
        <w:pStyle w:val="126"/>
        <w:framePr w:wrap="around"/>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4" w:type="dxa"/>
            <w:tcBorders>
              <w:top w:val="nil"/>
              <w:left w:val="nil"/>
              <w:bottom w:val="nil"/>
              <w:right w:val="nil"/>
            </w:tcBorders>
          </w:tcPr>
          <w:p>
            <w:pPr>
              <w:pStyle w:val="126"/>
              <w:framePr w:wrap="around"/>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508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K4v7NUA&#10;AAAHAQAADwAAAAAAAAABACAAAAAiAAAAZHJzL2Rvd25yZXYueG1sUEsBAhQAFAAAAAgAh07iQLEz&#10;6MywAQAAZwMAAA4AAAAAAAAAAQAgAAAAJAEAAGRycy9lMm9Eb2MueG1sUEsFBgAAAAAGAAYAWQEA&#10;AEYFAAAAAA==&#10;">
                      <v:fill on="t" focussize="0,0"/>
                      <v:stroke on="f"/>
                      <v:imagedata o:title=""/>
                      <o:lock v:ext="edit" aspectratio="f"/>
                    </v:rect>
                  </w:pict>
                </mc:Fallback>
              </mc:AlternateConten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112"/>
        <w:framePr w:wrap="around"/>
      </w:pPr>
      <w:bookmarkStart w:id="19" w:name="_GoBack"/>
      <w:bookmarkEnd w:id="19"/>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rPr>
          <w:rFonts w:hint="eastAsia"/>
        </w:rPr>
        <w:t>13</w:t>
      </w:r>
      <w:r>
        <w:fldChar w:fldCharType="end"/>
      </w:r>
      <w:bookmarkEnd w:id="3"/>
    </w:p>
    <w:p>
      <w:pPr>
        <w:pStyle w:val="113"/>
        <w:framePr w:wrap="around"/>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rPr>
        <w:t>地方标准</w:t>
      </w:r>
    </w:p>
    <w:p>
      <w:pPr>
        <w:pStyle w:val="50"/>
        <w:framePr w:wrap="around"/>
        <w:rPr>
          <w:rFonts w:hAnsi="黑体"/>
        </w:rPr>
      </w:pPr>
      <w:r>
        <w:rPr>
          <w:rFonts w:ascii="Times New Roman"/>
        </w:rPr>
        <w:t xml:space="preserve">DB </w:t>
      </w:r>
      <w:bookmarkStart w:id="5" w:name="StdNo0"/>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int="eastAsia" w:hAnsi="黑体"/>
        </w:rPr>
        <w:t>13</w:t>
      </w:r>
      <w:r>
        <w:rPr>
          <w:rFonts w:hAnsi="黑体"/>
        </w:rPr>
        <w:fldChar w:fldCharType="end"/>
      </w:r>
      <w:bookmarkEnd w:id="5"/>
      <w:r>
        <w:rPr>
          <w:rFonts w:hAnsi="黑体"/>
        </w:rPr>
        <w:t>/</w:t>
      </w:r>
      <w:r>
        <w:rPr>
          <w:rFonts w:hint="eastAsia" w:hAnsi="黑体"/>
        </w:rPr>
        <w:t>T</w:t>
      </w:r>
      <w:r>
        <w:rPr>
          <w:rFonts w:hAnsi="黑体"/>
        </w:rPr>
        <w:t xml:space="preserve"> </w:t>
      </w:r>
      <w:r>
        <w:rPr>
          <w:rFonts w:hint="eastAsia" w:hAnsi="黑体"/>
        </w:rPr>
        <w:t>？？？</w:t>
      </w:r>
      <w:r>
        <w:rPr>
          <w:rFonts w:hAnsi="黑体"/>
        </w:rPr>
        <w:t>—</w:t>
      </w:r>
      <w:r>
        <w:rPr>
          <w:rFonts w:hint="eastAsia" w:hAnsi="黑体"/>
        </w:rPr>
        <w:t>2022</w:t>
      </w:r>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79"/>
              <w:framePr w:wrap="around"/>
            </w:pPr>
            <w:bookmarkStart w:id="6"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D2n1EKqgEA&#10;AGcDAAAOAAAAAAAAAAEAIAAAACUBAABkcnMvZTJvRG9jLnhtbFBLBQYAAAAABgAGAFkBAABBBQAA&#10;AAA=&#10;">
                      <v:fill on="t" focussize="0,0"/>
                      <v:stroke on="f"/>
                      <v:imagedata o:title=""/>
                      <o:lock v:ext="edit" aspectratio="f"/>
                    </v:rect>
                  </w:pict>
                </mc:Fallback>
              </mc:AlternateConten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6"/>
          </w:p>
        </w:tc>
      </w:tr>
    </w:tbl>
    <w:p>
      <w:pPr>
        <w:pStyle w:val="50"/>
        <w:framePr w:wrap="around"/>
        <w:rPr>
          <w:rFonts w:hAnsi="黑体"/>
        </w:rPr>
      </w:pPr>
    </w:p>
    <w:p>
      <w:pPr>
        <w:pStyle w:val="50"/>
        <w:framePr w:wrap="around"/>
        <w:rPr>
          <w:rFonts w:hAnsi="黑体"/>
        </w:rPr>
      </w:pPr>
    </w:p>
    <w:p>
      <w:pPr>
        <w:pStyle w:val="81"/>
        <w:framePr w:wrap="around" w:x="1159" w:y="5983"/>
      </w:pPr>
      <w:bookmarkStart w:id="7"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马铃薯水肥菌一体化绿色生产技术规程</w:t>
      </w:r>
      <w:r>
        <w:fldChar w:fldCharType="end"/>
      </w:r>
      <w:bookmarkEnd w:id="7"/>
    </w:p>
    <w:p>
      <w:pPr>
        <w:pStyle w:val="82"/>
        <w:framePr w:wrap="around" w:x="1159" w:y="5983"/>
      </w:pPr>
    </w:p>
    <w:p>
      <w:pPr>
        <w:pStyle w:val="83"/>
        <w:framePr w:wrap="around" w:x="1159" w:y="5983"/>
      </w:pPr>
    </w:p>
    <w:tbl>
      <w:tblPr>
        <w:tblStyle w:val="3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4"/>
              <w:framePr w:wrap="around" w:x="1159" w:y="5983"/>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wrap="square" upright="1"/>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YmuktUAAAAKAQAA&#10;DwAAAAAAAAABACAAAAAiAAAAZHJzL2Rvd25yZXYueG1sUEsBAhQAFAAAAAgAh07iQI1ieZWqAQAA&#10;ZwMAAA4AAAAAAAAAAQAgAAAAJAEAAGRycy9lMm9Eb2MueG1sUEsFBgAAAAAGAAYAWQEAAEAFAAAA&#10;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GL5dYAAAAJAQAA&#10;DwAAAAAAAAABACAAAAAiAAAAZHJzL2Rvd25yZXYueG1sUEsBAhQAFAAAAAgAh07iQBXfBLqpAQAA&#10;ZwMAAA4AAAAAAAAAAQAgAAAAJQEAAGRycy9lMm9Eb2MueG1sUEsFBgAAAAAGAAYAWQEAAEAFAAAA&#10;AA==&#10;">
                      <v:fill on="t" focussize="0,0"/>
                      <v:stroke on="f"/>
                      <v:imagedata o:title=""/>
                      <o:lock v:ext="edit" aspectratio="f"/>
                    </v:rect>
                  </w:pict>
                </mc:Fallback>
              </mc:AlternateContent>
            </w:r>
            <w:r>
              <w:rPr>
                <w:rFonts w:hint="eastAsia"/>
                <w:lang w:eastAsia="zh-CN"/>
              </w:rPr>
              <w:t>（网上征求意见稿）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5"/>
              <w:framePr w:wrap="around" w:x="1159" w:y="5983"/>
            </w:pPr>
          </w:p>
        </w:tc>
      </w:tr>
    </w:tbl>
    <w:p>
      <w:pPr>
        <w:pStyle w:val="133"/>
        <w:framePr w:wrap="around" w:hAnchor="page" w:x="1221" w:y="14076"/>
      </w:pPr>
      <w:r>
        <w:rPr>
          <w:rFonts w:hint="eastAsia" w:ascii="黑体"/>
        </w:rPr>
        <w:t>2022</w:t>
      </w:r>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8"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60325</wp:posOffset>
                </wp:positionH>
                <wp:positionV relativeFrom="page">
                  <wp:posOffset>314325</wp:posOffset>
                </wp:positionV>
                <wp:extent cx="6904990" cy="60960"/>
                <wp:effectExtent l="0" t="4445" r="13970" b="10795"/>
                <wp:wrapNone/>
                <wp:docPr id="5" name="直线 10"/>
                <wp:cNvGraphicFramePr/>
                <a:graphic xmlns:a="http://schemas.openxmlformats.org/drawingml/2006/main">
                  <a:graphicData uri="http://schemas.microsoft.com/office/word/2010/wordprocessingShape">
                    <wps:wsp>
                      <wps:cNvCnPr/>
                      <wps:spPr>
                        <a:xfrm flipV="1">
                          <a:off x="0" y="0"/>
                          <a:ext cx="6904990" cy="6096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flip:y;margin-left:4.75pt;margin-top:24.75pt;height:4.8pt;width:543.7pt;mso-position-vertical-relative:page;z-index:251663360;mso-width-relative:page;mso-height-relative:page;" filled="f" stroked="t" coordsize="21600,21600" o:gfxdata="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5dFb8&#10;1QAAAAgBAAAPAAAAAAAAAAEAIAAAACIAAABkcnMvZG93bnJldi54bWxQSwECFAAUAAAACACHTuJA&#10;9iSKiOsBAADeAwAADgAAAAAAAAABACAAAAAkAQAAZHJzL2Uyb0RvYy54bWxQSwUGAAAAAAYABgBZ&#10;AQAAgQUAAAAA&#10;">
                <v:fill on="f" focussize="0,0"/>
                <v:stroke color="#000000" joinstyle="round"/>
                <v:imagedata o:title=""/>
                <o:lock v:ext="edit" aspectratio="f"/>
                <w10:anchorlock/>
              </v:line>
            </w:pict>
          </mc:Fallback>
        </mc:AlternateContent>
      </w:r>
    </w:p>
    <w:p>
      <w:pPr>
        <w:pStyle w:val="134"/>
        <w:framePr w:wrap="around" w:hAnchor="page" w:x="6193" w:y="14118"/>
      </w:pPr>
      <w:r>
        <w:rPr>
          <w:rFonts w:hint="eastAsia" w:ascii="黑体"/>
        </w:rPr>
        <w:t>2022</w:t>
      </w:r>
      <w:r>
        <w:t xml:space="preserve"> </w:t>
      </w:r>
      <w:r>
        <w:rPr>
          <w:rFonts w:ascii="黑体"/>
        </w:rPr>
        <w:t>-</w:t>
      </w:r>
      <w:r>
        <w:t xml:space="preserve"> </w:t>
      </w:r>
      <w:bookmarkStart w:id="9"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t xml:space="preserve"> </w:t>
      </w:r>
      <w:r>
        <w:rPr>
          <w:rFonts w:ascii="黑体"/>
        </w:rPr>
        <w:t>-</w:t>
      </w:r>
      <w:r>
        <w:t xml:space="preserve"> </w:t>
      </w:r>
      <w:bookmarkStart w:id="10"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0"/>
      <w:r>
        <w:rPr>
          <w:rFonts w:hint="eastAsia"/>
        </w:rPr>
        <w:t>实施</w:t>
      </w:r>
    </w:p>
    <w:p>
      <w:pPr>
        <w:pStyle w:val="114"/>
        <w:framePr w:wrap="around"/>
      </w:pPr>
      <w:bookmarkStart w:id="11" w:name="fm"/>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1"/>
      <w:r>
        <w:rPr>
          <w:rFonts w:hint="eastAsia" w:ascii="MS Mincho" w:hAnsi="MS Mincho" w:eastAsia="MS Mincho" w:cs="MS Mincho"/>
        </w:rPr>
        <w:t>   </w:t>
      </w:r>
      <w:r>
        <w:rPr>
          <w:rStyle w:val="76"/>
          <w:rFonts w:hint="eastAsia"/>
        </w:rPr>
        <w:t>发布</w:t>
      </w:r>
    </w:p>
    <w:p>
      <w:pPr>
        <w:pStyle w:val="23"/>
        <w:sectPr>
          <w:headerReference r:id="rId3" w:type="default"/>
          <w:footerReference r:id="rId5" w:type="default"/>
          <w:headerReference r:id="rId4" w:type="even"/>
          <w:footerReference r:id="rId6" w:type="even"/>
          <w:pgSz w:w="11907" w:h="16840" w:orient="landscape"/>
          <w:pgMar w:top="567" w:right="1134" w:bottom="1134" w:left="1418" w:header="0" w:footer="0" w:gutter="0"/>
          <w:pgNumType w:start="1"/>
          <w:cols w:space="720" w:num="1"/>
          <w:docGrid w:type="linesAndChar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JB4l/XAAAACQEAAA8A&#10;AAAAAAAAAQAgAAAAIgAAAGRycy9kb3ducmV2LnhtbFBLAQIUABQAAAAIAIdO4kAyqset3wEAANAD&#10;AAAOAAAAAAAAAAEAIAAAACYBAABkcnMvZTJvRG9jLnhtbFBLBQYAAAAABgAGAFkBAAB3BQAAAAA=&#10;">
                <v:fill on="f" focussize="0,0"/>
                <v:stroke color="#000000" joinstyle="round"/>
                <v:imagedata o:title=""/>
                <o:lock v:ext="edit" aspectratio="f"/>
              </v:line>
            </w:pict>
          </mc:Fallback>
        </mc:AlternateContent>
      </w:r>
    </w:p>
    <w:p>
      <w:pPr>
        <w:pStyle w:val="115"/>
      </w:pPr>
      <w:r>
        <w:rPr>
          <w:rFonts w:hint="eastAsia"/>
        </w:rPr>
        <w:t>前</w:t>
      </w:r>
      <w:bookmarkStart w:id="12" w:name="BKQY"/>
      <w:r>
        <w:rPr>
          <w:rFonts w:hint="eastAsia" w:ascii="MS Mincho" w:hAnsi="MS Mincho" w:eastAsia="MS Mincho" w:cs="MS Mincho"/>
        </w:rPr>
        <w:t>  </w:t>
      </w:r>
      <w:r>
        <w:rPr>
          <w:rFonts w:hint="eastAsia"/>
        </w:rPr>
        <w:t>言</w:t>
      </w:r>
      <w:bookmarkEnd w:id="12"/>
    </w:p>
    <w:p>
      <w:pPr>
        <w:pStyle w:val="23"/>
      </w:pPr>
      <w:r>
        <w:rPr>
          <w:rFonts w:hint="eastAsia"/>
        </w:rPr>
        <w:t>本文件按照GB/T 1.1—</w:t>
      </w:r>
      <w:r>
        <w:t>2020</w:t>
      </w:r>
      <w:r>
        <w:rPr>
          <w:rFonts w:hint="eastAsia"/>
        </w:rPr>
        <w:t>《标准化工作导则第1部分：标准化文件的结构和起草规则》的规定起草。</w:t>
      </w:r>
    </w:p>
    <w:p>
      <w:pPr>
        <w:pStyle w:val="23"/>
      </w:pPr>
      <w:r>
        <w:t>本</w:t>
      </w:r>
      <w:r>
        <w:rPr>
          <w:rFonts w:hint="eastAsia"/>
        </w:rPr>
        <w:t>文件</w:t>
      </w:r>
      <w:r>
        <w:t>由</w:t>
      </w:r>
      <w:r>
        <w:rPr>
          <w:rFonts w:hAnsi="Calibri"/>
        </w:rPr>
        <w:t>河北省科学技术厅</w:t>
      </w:r>
      <w:r>
        <w:t>提出。</w:t>
      </w:r>
    </w:p>
    <w:p>
      <w:pPr>
        <w:pStyle w:val="23"/>
        <w:rPr>
          <w:rFonts w:hAnsi="宋体" w:cs="宋体"/>
          <w:color w:val="000000"/>
          <w:szCs w:val="21"/>
          <w:lang w:bidi="ar"/>
        </w:rPr>
      </w:pPr>
      <w:r>
        <w:rPr>
          <w:rFonts w:hint="eastAsia" w:hAnsi="宋体" w:cs="宋体"/>
          <w:color w:val="000000"/>
          <w:szCs w:val="21"/>
          <w:lang w:bidi="ar"/>
        </w:rPr>
        <w:t>本文</w:t>
      </w:r>
      <w:r>
        <w:rPr>
          <w:rFonts w:hint="eastAsia" w:hAnsi="宋体" w:cs="宋体"/>
          <w:color w:val="auto"/>
          <w:szCs w:val="21"/>
          <w:lang w:bidi="ar"/>
        </w:rPr>
        <w:t>件起草单位：河北省科技创新服务中心、领先生物农业股份有限公司、河北久恩农业开发有限公司、</w:t>
      </w:r>
      <w:r>
        <w:rPr>
          <w:rFonts w:hint="eastAsia" w:hAnsi="宋体" w:cs="宋体"/>
          <w:color w:val="auto"/>
          <w:szCs w:val="21"/>
          <w:lang w:val="en-US" w:eastAsia="zh-CN" w:bidi="ar"/>
        </w:rPr>
        <w:t>张北县农业农村局土肥站。</w:t>
      </w:r>
    </w:p>
    <w:p>
      <w:pPr>
        <w:pStyle w:val="23"/>
      </w:pPr>
      <w:r>
        <w:rPr>
          <w:rFonts w:hint="eastAsia"/>
        </w:rPr>
        <w:t>本文件主要起草人:石学萍、檀海斌、肖艳、王久恩、杜迎辉、郑成海、章孜亮、兰印超、高俊、王坤、夏溢、刘洪钧、谢斌</w:t>
      </w: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pStyle w:val="23"/>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ind w:firstLine="640" w:firstLineChars="200"/>
        <w:jc w:val="center"/>
        <w:rPr>
          <w:b/>
          <w:bCs/>
          <w:sz w:val="32"/>
          <w:szCs w:val="32"/>
        </w:rPr>
      </w:pPr>
    </w:p>
    <w:p>
      <w:pPr>
        <w:spacing w:line="520" w:lineRule="exact"/>
        <w:rPr>
          <w:b/>
          <w:bCs/>
          <w:sz w:val="32"/>
          <w:szCs w:val="32"/>
        </w:rPr>
      </w:pPr>
    </w:p>
    <w:p>
      <w:pPr>
        <w:spacing w:line="520" w:lineRule="exact"/>
        <w:ind w:firstLine="640" w:firstLineChars="200"/>
        <w:jc w:val="center"/>
      </w:pPr>
      <w:r>
        <w:rPr>
          <w:rFonts w:hint="eastAsia"/>
          <w:b/>
          <w:bCs/>
          <w:sz w:val="32"/>
          <w:szCs w:val="32"/>
        </w:rPr>
        <w:t>马铃薯水肥菌一体化绿色生产</w:t>
      </w:r>
      <w:r>
        <w:rPr>
          <w:b/>
          <w:bCs/>
          <w:sz w:val="32"/>
          <w:szCs w:val="32"/>
        </w:rPr>
        <w:t>技术规</w:t>
      </w:r>
      <w:r>
        <w:rPr>
          <w:rFonts w:hint="eastAsia"/>
          <w:b/>
          <w:bCs/>
          <w:sz w:val="32"/>
          <w:szCs w:val="32"/>
        </w:rPr>
        <w:t>程</w:t>
      </w:r>
    </w:p>
    <w:p>
      <w:pPr>
        <w:pStyle w:val="47"/>
      </w:pPr>
      <w:r>
        <w:t>范围</w:t>
      </w:r>
    </w:p>
    <w:p>
      <w:pPr>
        <w:ind w:firstLine="420" w:firstLineChars="200"/>
        <w:rPr>
          <w:rFonts w:ascii="宋体"/>
          <w:szCs w:val="21"/>
        </w:rPr>
      </w:pPr>
      <w:r>
        <w:rPr>
          <w:rFonts w:hint="eastAsia" w:ascii="宋体"/>
          <w:szCs w:val="21"/>
        </w:rPr>
        <w:t>本文件规定了</w:t>
      </w:r>
      <w:r>
        <w:rPr>
          <w:rFonts w:hint="eastAsia"/>
        </w:rPr>
        <w:t>马铃薯水肥菌一体化</w:t>
      </w:r>
      <w:r>
        <w:rPr>
          <w:rFonts w:hint="eastAsia" w:ascii="宋体"/>
          <w:szCs w:val="21"/>
        </w:rPr>
        <w:t>绿色生产技术的系统要求、水肥菌管理、生产管理等要求。</w:t>
      </w:r>
    </w:p>
    <w:p>
      <w:pPr>
        <w:pStyle w:val="23"/>
      </w:pPr>
      <w:r>
        <w:rPr>
          <w:rFonts w:hint="eastAsia"/>
          <w:szCs w:val="21"/>
        </w:rPr>
        <w:t>本文件适用于冀西北寒旱区</w:t>
      </w:r>
      <w:r>
        <w:rPr>
          <w:rFonts w:hint="eastAsia"/>
        </w:rPr>
        <w:t>马铃薯水肥菌一体化绿色生产技术</w:t>
      </w:r>
      <w:r>
        <w:rPr>
          <w:rFonts w:hint="eastAsia"/>
          <w:szCs w:val="21"/>
        </w:rPr>
        <w:t>。</w:t>
      </w:r>
    </w:p>
    <w:p>
      <w:pPr>
        <w:pStyle w:val="47"/>
      </w:pPr>
      <w:r>
        <w:t>规范性引用文件</w:t>
      </w:r>
    </w:p>
    <w:p>
      <w:pPr>
        <w:pStyle w:val="23"/>
        <w:rPr>
          <w:rFonts w:ascii="Times New Roman"/>
        </w:rPr>
      </w:pPr>
      <w:r>
        <w:rPr>
          <w:rFonts w:hint="eastAsia"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r>
        <w:rPr>
          <w:rFonts w:ascii="Times New Roman"/>
        </w:rPr>
        <w:t>。</w:t>
      </w:r>
    </w:p>
    <w:p>
      <w:pPr>
        <w:ind w:firstLine="420" w:firstLineChars="200"/>
        <w:rPr>
          <w:rFonts w:ascii="宋体" w:hAnsi="宋体" w:cs="宋体"/>
          <w:bCs/>
          <w:szCs w:val="21"/>
        </w:rPr>
      </w:pPr>
      <w:bookmarkStart w:id="13" w:name="_Hlk66029683"/>
      <w:r>
        <w:rPr>
          <w:bCs/>
          <w:szCs w:val="21"/>
        </w:rPr>
        <w:t>GB 5084</w:t>
      </w:r>
      <w:r>
        <w:rPr>
          <w:rFonts w:hint="eastAsia" w:ascii="宋体" w:hAnsi="宋体" w:cs="宋体"/>
          <w:bCs/>
          <w:szCs w:val="21"/>
        </w:rPr>
        <w:t xml:space="preserve"> 农田灌溉水质标准</w:t>
      </w:r>
    </w:p>
    <w:p>
      <w:pPr>
        <w:ind w:firstLine="420" w:firstLineChars="200"/>
        <w:rPr>
          <w:rFonts w:ascii="宋体" w:hAnsi="宋体" w:cs="宋体"/>
          <w:bCs/>
          <w:szCs w:val="21"/>
        </w:rPr>
      </w:pPr>
      <w:r>
        <w:rPr>
          <w:bCs/>
          <w:szCs w:val="21"/>
        </w:rPr>
        <w:t>GB/T 50485</w:t>
      </w:r>
      <w:r>
        <w:rPr>
          <w:rFonts w:hint="eastAsia" w:ascii="宋体" w:hAnsi="宋体" w:cs="宋体"/>
          <w:bCs/>
          <w:szCs w:val="21"/>
        </w:rPr>
        <w:t>微灌工程技术规范</w:t>
      </w:r>
    </w:p>
    <w:p>
      <w:pPr>
        <w:ind w:firstLine="420" w:firstLineChars="200"/>
        <w:rPr>
          <w:rFonts w:ascii="宋体" w:hAnsi="宋体" w:cs="宋体"/>
          <w:bCs/>
          <w:szCs w:val="21"/>
        </w:rPr>
      </w:pPr>
      <w:r>
        <w:rPr>
          <w:bCs/>
          <w:szCs w:val="21"/>
        </w:rPr>
        <w:t>GB/T 20203</w:t>
      </w:r>
      <w:r>
        <w:rPr>
          <w:rFonts w:hint="eastAsia" w:ascii="宋体" w:hAnsi="宋体" w:cs="宋体"/>
          <w:bCs/>
          <w:szCs w:val="21"/>
        </w:rPr>
        <w:t xml:space="preserve"> 管道输水灌溉工程技术规范</w:t>
      </w:r>
    </w:p>
    <w:p>
      <w:pPr>
        <w:spacing w:line="340" w:lineRule="exact"/>
        <w:ind w:firstLine="420" w:firstLineChars="200"/>
        <w:rPr>
          <w:rFonts w:ascii="宋体" w:hAnsi="宋体" w:cs="宋体"/>
          <w:bCs/>
          <w:szCs w:val="21"/>
        </w:rPr>
      </w:pPr>
      <w:r>
        <w:rPr>
          <w:bCs/>
          <w:szCs w:val="21"/>
        </w:rPr>
        <w:t>GB 20287</w:t>
      </w:r>
      <w:r>
        <w:rPr>
          <w:rFonts w:ascii="宋体" w:hAnsi="宋体" w:cs="宋体"/>
          <w:bCs/>
          <w:szCs w:val="21"/>
        </w:rPr>
        <w:t xml:space="preserve"> </w:t>
      </w:r>
      <w:r>
        <w:rPr>
          <w:rFonts w:hint="eastAsia" w:ascii="宋体" w:hAnsi="宋体" w:cs="宋体"/>
          <w:bCs/>
          <w:szCs w:val="21"/>
        </w:rPr>
        <w:t>农用微生物菌剂</w:t>
      </w:r>
    </w:p>
    <w:p>
      <w:pPr>
        <w:ind w:firstLine="420" w:firstLineChars="200"/>
        <w:rPr>
          <w:rFonts w:ascii="宋体" w:hAnsi="宋体" w:cs="宋体"/>
          <w:bCs/>
          <w:szCs w:val="21"/>
        </w:rPr>
      </w:pPr>
      <w:r>
        <w:rPr>
          <w:bCs/>
          <w:szCs w:val="21"/>
        </w:rPr>
        <w:t>NY/T 1107</w:t>
      </w:r>
      <w:r>
        <w:rPr>
          <w:rFonts w:hint="eastAsia" w:ascii="宋体" w:hAnsi="宋体" w:cs="宋体"/>
          <w:bCs/>
          <w:szCs w:val="21"/>
        </w:rPr>
        <w:t>大量元素水溶肥料</w:t>
      </w:r>
    </w:p>
    <w:p>
      <w:pPr>
        <w:ind w:firstLine="420" w:firstLineChars="200"/>
        <w:rPr>
          <w:rFonts w:ascii="宋体" w:hAnsi="宋体" w:cs="宋体"/>
          <w:bCs/>
          <w:szCs w:val="21"/>
        </w:rPr>
      </w:pPr>
      <w:r>
        <w:rPr>
          <w:bCs/>
          <w:szCs w:val="21"/>
        </w:rPr>
        <w:t>NY/T 1118</w:t>
      </w:r>
      <w:r>
        <w:rPr>
          <w:rFonts w:hint="eastAsia" w:ascii="宋体" w:hAnsi="宋体" w:cs="宋体"/>
          <w:bCs/>
          <w:szCs w:val="21"/>
        </w:rPr>
        <w:t>测土配方施肥技术规范</w:t>
      </w:r>
    </w:p>
    <w:p>
      <w:pPr>
        <w:ind w:firstLine="420" w:firstLineChars="200"/>
        <w:rPr>
          <w:rFonts w:ascii="宋体" w:hAnsi="宋体" w:cs="宋体"/>
          <w:bCs/>
          <w:szCs w:val="21"/>
        </w:rPr>
      </w:pPr>
      <w:r>
        <w:rPr>
          <w:bCs/>
          <w:szCs w:val="21"/>
        </w:rPr>
        <w:t>SL 236</w:t>
      </w:r>
      <w:r>
        <w:rPr>
          <w:rFonts w:hint="eastAsia" w:ascii="宋体" w:hAnsi="宋体" w:cs="宋体"/>
          <w:bCs/>
          <w:szCs w:val="21"/>
        </w:rPr>
        <w:t>微喷与微灌工程技术管理规程</w:t>
      </w:r>
    </w:p>
    <w:p>
      <w:pPr>
        <w:ind w:firstLine="420" w:firstLineChars="200"/>
        <w:rPr>
          <w:rFonts w:ascii="宋体" w:hAnsi="宋体" w:cs="宋体"/>
          <w:bCs/>
          <w:szCs w:val="21"/>
        </w:rPr>
      </w:pPr>
      <w:r>
        <w:rPr>
          <w:bCs/>
          <w:szCs w:val="21"/>
        </w:rPr>
        <w:t>SL 550</w:t>
      </w:r>
      <w:r>
        <w:rPr>
          <w:rFonts w:hint="eastAsia" w:ascii="宋体" w:hAnsi="宋体" w:cs="宋体"/>
          <w:bCs/>
          <w:szCs w:val="21"/>
        </w:rPr>
        <w:t xml:space="preserve">灌溉用施肥装置基本参数及技术条件 </w:t>
      </w:r>
    </w:p>
    <w:p>
      <w:pPr>
        <w:ind w:firstLine="420" w:firstLineChars="200"/>
        <w:rPr>
          <w:rFonts w:ascii="宋体" w:hAnsi="宋体" w:cs="宋体"/>
          <w:bCs/>
          <w:szCs w:val="21"/>
        </w:rPr>
      </w:pPr>
      <w:r>
        <w:rPr>
          <w:bCs/>
          <w:szCs w:val="21"/>
        </w:rPr>
        <w:t>DB13/T 1607</w:t>
      </w:r>
      <w:r>
        <w:rPr>
          <w:rFonts w:hint="eastAsia" w:ascii="宋体" w:hAnsi="宋体" w:cs="宋体"/>
          <w:bCs/>
          <w:szCs w:val="21"/>
        </w:rPr>
        <w:t xml:space="preserve">马铃薯膜下滴灌栽培技术规程 </w:t>
      </w:r>
    </w:p>
    <w:bookmarkEnd w:id="13"/>
    <w:p>
      <w:pPr>
        <w:pStyle w:val="47"/>
      </w:pPr>
      <w:r>
        <w:rPr>
          <w:rFonts w:hint="eastAsia"/>
        </w:rPr>
        <w:t>术语和定义</w:t>
      </w:r>
    </w:p>
    <w:p>
      <w:pPr>
        <w:pStyle w:val="23"/>
      </w:pPr>
      <w:r>
        <w:rPr>
          <w:rFonts w:hint="eastAsia"/>
        </w:rPr>
        <w:t>下列术语和定义适用于本文件。</w:t>
      </w:r>
    </w:p>
    <w:p>
      <w:pPr>
        <w:pStyle w:val="43"/>
        <w:numPr>
          <w:ilvl w:val="-1"/>
          <w:numId w:val="0"/>
        </w:numPr>
        <w:rPr>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 xml:space="preserve">3.1 </w:t>
      </w:r>
      <w:r>
        <w:rPr>
          <w:rFonts w:hint="eastAsia"/>
          <w:color w:val="0D0D0D" w:themeColor="text1" w:themeTint="F2"/>
          <w14:textFill>
            <w14:solidFill>
              <w14:schemeClr w14:val="tx1">
                <w14:lumMod w14:val="95000"/>
                <w14:lumOff w14:val="5000"/>
              </w14:schemeClr>
            </w14:solidFill>
          </w14:textFill>
        </w:rPr>
        <w:t xml:space="preserve">浅埋滴灌  </w:t>
      </w:r>
      <w:r>
        <w:rPr>
          <w:rFonts w:ascii="Times New Roman"/>
          <w:color w:val="0D0D0D" w:themeColor="text1" w:themeTint="F2"/>
          <w14:textFill>
            <w14:solidFill>
              <w14:schemeClr w14:val="tx1">
                <w14:lumMod w14:val="95000"/>
                <w14:lumOff w14:val="5000"/>
              </w14:schemeClr>
            </w14:solidFill>
          </w14:textFill>
        </w:rPr>
        <w:t>shallow buried drip irrigation</w:t>
      </w:r>
    </w:p>
    <w:p>
      <w:pPr>
        <w:pStyle w:val="43"/>
        <w:numPr>
          <w:ilvl w:val="1"/>
          <w:numId w:val="0"/>
        </w:numPr>
        <w:ind w:firstLine="420" w:firstLineChars="200"/>
        <w:rPr>
          <w:rFonts w:ascii="宋体" w:hAnsi="宋体" w:eastAsia="宋体" w:cs="宋体"/>
          <w:bCs/>
          <w:color w:val="0D0D0D" w:themeColor="text1" w:themeTint="F2"/>
          <w:kern w:val="2"/>
          <w14:textFill>
            <w14:solidFill>
              <w14:schemeClr w14:val="tx1">
                <w14:lumMod w14:val="95000"/>
                <w14:lumOff w14:val="5000"/>
              </w14:schemeClr>
            </w14:solidFill>
          </w14:textFill>
        </w:rPr>
      </w:pPr>
      <w:r>
        <w:rPr>
          <w:rFonts w:hint="eastAsia" w:ascii="宋体" w:hAnsi="宋体" w:eastAsia="宋体" w:cs="宋体"/>
          <w:bCs/>
          <w:color w:val="0D0D0D" w:themeColor="text1" w:themeTint="F2"/>
          <w:kern w:val="2"/>
          <w14:textFill>
            <w14:solidFill>
              <w14:schemeClr w14:val="tx1">
                <w14:lumMod w14:val="95000"/>
                <w14:lumOff w14:val="5000"/>
              </w14:schemeClr>
            </w14:solidFill>
          </w14:textFill>
        </w:rPr>
        <w:t>在不覆盖地膜的前提下，采用宽窄行种植模式，将滴灌带埋设于窄行中间深度</w:t>
      </w:r>
      <w:r>
        <w:rPr>
          <w:rFonts w:ascii="Times New Roman" w:eastAsia="宋体"/>
          <w:bCs/>
          <w:color w:val="0D0D0D" w:themeColor="text1" w:themeTint="F2"/>
          <w:kern w:val="2"/>
          <w14:textFill>
            <w14:solidFill>
              <w14:schemeClr w14:val="tx1">
                <w14:lumMod w14:val="95000"/>
                <w14:lumOff w14:val="5000"/>
              </w14:schemeClr>
            </w14:solidFill>
          </w14:textFill>
        </w:rPr>
        <w:t>3</w:t>
      </w:r>
      <w:r>
        <w:rPr>
          <w:rFonts w:hint="eastAsia" w:ascii="Times New Roman" w:eastAsia="宋体"/>
          <w:bCs/>
          <w:color w:val="0D0D0D" w:themeColor="text1" w:themeTint="F2"/>
          <w:kern w:val="2"/>
          <w14:textFill>
            <w14:solidFill>
              <w14:schemeClr w14:val="tx1">
                <w14:lumMod w14:val="95000"/>
                <w14:lumOff w14:val="5000"/>
              </w14:schemeClr>
            </w14:solidFill>
          </w14:textFill>
        </w:rPr>
        <w:t xml:space="preserve"> </w:t>
      </w:r>
      <w:r>
        <w:rPr>
          <w:rFonts w:ascii="Times New Roman" w:eastAsia="宋体"/>
          <w:bCs/>
          <w:color w:val="0D0D0D" w:themeColor="text1" w:themeTint="F2"/>
          <w:kern w:val="2"/>
          <w14:textFill>
            <w14:solidFill>
              <w14:schemeClr w14:val="tx1">
                <w14:lumMod w14:val="95000"/>
                <w14:lumOff w14:val="5000"/>
              </w14:schemeClr>
            </w14:solidFill>
          </w14:textFill>
        </w:rPr>
        <w:t>cm～5</w:t>
      </w:r>
      <w:r>
        <w:rPr>
          <w:rFonts w:hint="eastAsia" w:ascii="Times New Roman" w:eastAsia="宋体"/>
          <w:bCs/>
          <w:color w:val="0D0D0D" w:themeColor="text1" w:themeTint="F2"/>
          <w:kern w:val="2"/>
          <w14:textFill>
            <w14:solidFill>
              <w14:schemeClr w14:val="tx1">
                <w14:lumMod w14:val="95000"/>
                <w14:lumOff w14:val="5000"/>
              </w14:schemeClr>
            </w14:solidFill>
          </w14:textFill>
        </w:rPr>
        <w:t xml:space="preserve"> </w:t>
      </w:r>
      <w:r>
        <w:rPr>
          <w:rFonts w:ascii="Times New Roman" w:eastAsia="宋体"/>
          <w:bCs/>
          <w:color w:val="0D0D0D" w:themeColor="text1" w:themeTint="F2"/>
          <w:kern w:val="2"/>
          <w14:textFill>
            <w14:solidFill>
              <w14:schemeClr w14:val="tx1">
                <w14:lumMod w14:val="95000"/>
                <w14:lumOff w14:val="5000"/>
              </w14:schemeClr>
            </w14:solidFill>
          </w14:textFill>
        </w:rPr>
        <w:t>cm</w:t>
      </w:r>
      <w:r>
        <w:rPr>
          <w:rFonts w:hint="eastAsia" w:ascii="宋体" w:hAnsi="宋体" w:eastAsia="宋体" w:cs="宋体"/>
          <w:bCs/>
          <w:color w:val="0D0D0D" w:themeColor="text1" w:themeTint="F2"/>
          <w:kern w:val="2"/>
          <w14:textFill>
            <w14:solidFill>
              <w14:schemeClr w14:val="tx1">
                <w14:lumMod w14:val="95000"/>
                <w14:lumOff w14:val="5000"/>
              </w14:schemeClr>
            </w14:solidFill>
          </w14:textFill>
        </w:rPr>
        <w:t>处，利用输水管道将具有一定压力的水经滴灌带以水滴的形式缓慢而均匀地滴入植物根部附近土壤的一种灌溉方式。</w:t>
      </w:r>
    </w:p>
    <w:p>
      <w:pPr>
        <w:pStyle w:val="43"/>
        <w:numPr>
          <w:ilvl w:val="-1"/>
          <w:numId w:val="0"/>
        </w:numPr>
        <w:ind w:leftChars="0" w:firstLine="0" w:firstLineChars="0"/>
        <w:rPr>
          <w:rFonts w:ascii="Times New Roman"/>
          <w:bCs/>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 xml:space="preserve">3.2 </w:t>
      </w:r>
      <w:r>
        <w:rPr>
          <w:rFonts w:hint="eastAsia"/>
          <w:color w:val="0D0D0D" w:themeColor="text1" w:themeTint="F2"/>
          <w14:textFill>
            <w14:solidFill>
              <w14:schemeClr w14:val="tx1">
                <w14:lumMod w14:val="95000"/>
                <w14:lumOff w14:val="5000"/>
              </w14:schemeClr>
            </w14:solidFill>
          </w14:textFill>
        </w:rPr>
        <w:t>农用微生物菌剂</w:t>
      </w:r>
      <w:r>
        <w:rPr>
          <w:rFonts w:ascii="Times New Roman"/>
          <w:bCs/>
          <w:color w:val="0D0D0D" w:themeColor="text1" w:themeTint="F2"/>
          <w14:textFill>
            <w14:solidFill>
              <w14:schemeClr w14:val="tx1">
                <w14:lumMod w14:val="95000"/>
                <w14:lumOff w14:val="5000"/>
              </w14:schemeClr>
            </w14:solidFill>
          </w14:textFill>
        </w:rPr>
        <w:t xml:space="preserve"> </w:t>
      </w:r>
      <w:r>
        <w:rPr>
          <w:rFonts w:ascii="Times New Roman"/>
          <w:color w:val="0D0D0D" w:themeColor="text1" w:themeTint="F2"/>
          <w14:textFill>
            <w14:solidFill>
              <w14:schemeClr w14:val="tx1">
                <w14:lumMod w14:val="95000"/>
                <w14:lumOff w14:val="5000"/>
              </w14:schemeClr>
            </w14:solidFill>
          </w14:textFill>
        </w:rPr>
        <w:t>microbial inoculants in agriculture</w:t>
      </w:r>
    </w:p>
    <w:p>
      <w:pPr>
        <w:ind w:firstLine="420" w:firstLineChars="200"/>
        <w:rPr>
          <w:rFonts w:ascii="黑体" w:hAnsi="黑体" w:eastAsia="黑体" w:cs="黑体"/>
          <w:b/>
          <w:color w:val="0D0D0D" w:themeColor="text1" w:themeTint="F2"/>
          <w:szCs w:val="21"/>
          <w14:textFill>
            <w14:solidFill>
              <w14:schemeClr w14:val="tx1">
                <w14:lumMod w14:val="95000"/>
                <w14:lumOff w14:val="5000"/>
              </w14:schemeClr>
            </w14:solidFill>
          </w14:textFill>
        </w:rPr>
      </w:pPr>
      <w:r>
        <w:rPr>
          <w:rFonts w:ascii="Arial" w:hAnsi="Arial" w:cs="Arial"/>
          <w:color w:val="333333"/>
          <w:szCs w:val="21"/>
          <w:shd w:val="clear" w:color="auto" w:fill="FFFFFF"/>
        </w:rPr>
        <w:t>目标微生物(有效菌)经过工业化生产扩繁后</w:t>
      </w:r>
      <w:r>
        <w:rPr>
          <w:rFonts w:hint="eastAsia" w:ascii="Arial" w:hAnsi="Arial" w:cs="Arial"/>
          <w:color w:val="333333"/>
          <w:szCs w:val="21"/>
          <w:shd w:val="clear" w:color="auto" w:fill="FFFFFF"/>
        </w:rPr>
        <w:t>加工制成的活菌制剂</w:t>
      </w:r>
      <w:r>
        <w:rPr>
          <w:rFonts w:ascii="Arial" w:hAnsi="Arial" w:cs="Arial"/>
          <w:color w:val="333333"/>
          <w:szCs w:val="21"/>
          <w:shd w:val="clear" w:color="auto" w:fill="FFFFFF"/>
        </w:rPr>
        <w:t>，具有直接或间接改良土壤、恢复地力、预防土传病害</w:t>
      </w:r>
      <w:r>
        <w:rPr>
          <w:rFonts w:hint="eastAsia" w:ascii="Arial" w:hAnsi="Arial" w:cs="Arial"/>
          <w:color w:val="333333"/>
          <w:szCs w:val="21"/>
          <w:shd w:val="clear" w:color="auto" w:fill="FFFFFF"/>
        </w:rPr>
        <w:t>，</w:t>
      </w:r>
      <w:r>
        <w:rPr>
          <w:rFonts w:ascii="Arial" w:hAnsi="Arial" w:cs="Arial"/>
          <w:color w:val="333333"/>
          <w:szCs w:val="21"/>
          <w:shd w:val="clear" w:color="auto" w:fill="FFFFFF"/>
        </w:rPr>
        <w:t>维持根际微生物区系平衡</w:t>
      </w:r>
      <w:r>
        <w:rPr>
          <w:rFonts w:hint="eastAsia" w:ascii="Arial" w:hAnsi="Arial" w:cs="Arial"/>
          <w:color w:val="333333"/>
          <w:szCs w:val="21"/>
          <w:shd w:val="clear" w:color="auto" w:fill="FFFFFF"/>
        </w:rPr>
        <w:t>，</w:t>
      </w:r>
      <w:r>
        <w:rPr>
          <w:rFonts w:ascii="Arial" w:hAnsi="Arial" w:cs="Arial"/>
          <w:color w:val="333333"/>
          <w:szCs w:val="21"/>
          <w:shd w:val="clear" w:color="auto" w:fill="FFFFFF"/>
        </w:rPr>
        <w:t>降解有毒</w:t>
      </w:r>
      <w:r>
        <w:rPr>
          <w:rFonts w:hint="eastAsia" w:ascii="Arial" w:hAnsi="Arial" w:cs="Arial"/>
          <w:color w:val="333333"/>
          <w:szCs w:val="21"/>
          <w:shd w:val="clear" w:color="auto" w:fill="FFFFFF"/>
        </w:rPr>
        <w:t>、有</w:t>
      </w:r>
      <w:r>
        <w:rPr>
          <w:rFonts w:ascii="Arial" w:hAnsi="Arial" w:cs="Arial"/>
          <w:color w:val="333333"/>
          <w:szCs w:val="21"/>
          <w:shd w:val="clear" w:color="auto" w:fill="FFFFFF"/>
        </w:rPr>
        <w:t>害物质，</w:t>
      </w:r>
      <w:r>
        <w:rPr>
          <w:rFonts w:hint="eastAsia" w:ascii="Arial" w:hAnsi="Arial" w:cs="Arial"/>
          <w:color w:val="333333"/>
          <w:szCs w:val="21"/>
          <w:shd w:val="clear" w:color="auto" w:fill="FFFFFF"/>
        </w:rPr>
        <w:t>增加植物养分供应量或促进植物生长、</w:t>
      </w:r>
      <w:r>
        <w:rPr>
          <w:rFonts w:ascii="Arial" w:hAnsi="Arial" w:cs="Arial"/>
          <w:color w:val="333333"/>
          <w:szCs w:val="21"/>
          <w:shd w:val="clear" w:color="auto" w:fill="FFFFFF"/>
        </w:rPr>
        <w:t>改善农产品品质</w:t>
      </w:r>
      <w:r>
        <w:rPr>
          <w:rFonts w:hint="eastAsia" w:ascii="Arial" w:hAnsi="Arial" w:cs="Arial"/>
          <w:color w:val="333333"/>
          <w:szCs w:val="21"/>
          <w:shd w:val="clear" w:color="auto" w:fill="FFFFFF"/>
        </w:rPr>
        <w:t>及农业生态环境的作用。</w:t>
      </w:r>
    </w:p>
    <w:p>
      <w:pPr>
        <w:rPr>
          <w:rFonts w:ascii="楷体" w:hAnsi="楷体" w:eastAsia="楷体" w:cs="楷体"/>
          <w:b/>
          <w:bCs/>
          <w:color w:val="0D0D0D" w:themeColor="text1" w:themeTint="F2"/>
          <w14:textFill>
            <w14:solidFill>
              <w14:schemeClr w14:val="tx1">
                <w14:lumMod w14:val="95000"/>
                <w14:lumOff w14:val="5000"/>
              </w14:schemeClr>
            </w14:solidFill>
          </w14:textFill>
        </w:rPr>
      </w:pPr>
      <w:r>
        <w:rPr>
          <w:rFonts w:hint="eastAsia" w:ascii="黑体" w:hAnsi="黑体" w:eastAsia="黑体" w:cs="黑体"/>
          <w:bCs/>
          <w:color w:val="0D0D0D" w:themeColor="text1" w:themeTint="F2"/>
          <w:szCs w:val="21"/>
          <w14:textFill>
            <w14:solidFill>
              <w14:schemeClr w14:val="tx1">
                <w14:lumMod w14:val="95000"/>
                <w14:lumOff w14:val="5000"/>
              </w14:schemeClr>
            </w14:solidFill>
          </w14:textFill>
        </w:rPr>
        <w:t>3.3</w:t>
      </w:r>
      <w:bookmarkStart w:id="14" w:name="OLE_LINK16"/>
      <w:bookmarkStart w:id="15" w:name="OLE_LINK15"/>
      <w:r>
        <w:rPr>
          <w:rFonts w:hint="eastAsia" w:ascii="黑体" w:hAnsi="黑体" w:eastAsia="黑体" w:cs="黑体"/>
          <w:bCs/>
          <w:color w:val="0D0D0D" w:themeColor="text1" w:themeTint="F2"/>
          <w:szCs w:val="21"/>
          <w14:textFill>
            <w14:solidFill>
              <w14:schemeClr w14:val="tx1">
                <w14:lumMod w14:val="95000"/>
                <w14:lumOff w14:val="5000"/>
              </w14:schemeClr>
            </w14:solidFill>
          </w14:textFill>
        </w:rPr>
        <w:t xml:space="preserve"> </w:t>
      </w:r>
      <w:bookmarkEnd w:id="14"/>
      <w:bookmarkEnd w:id="15"/>
      <w:r>
        <w:rPr>
          <w:rFonts w:hint="eastAsia" w:ascii="黑体" w:eastAsia="黑体"/>
          <w:color w:val="0D0D0D" w:themeColor="text1" w:themeTint="F2"/>
          <w:kern w:val="0"/>
          <w:szCs w:val="21"/>
          <w14:textFill>
            <w14:solidFill>
              <w14:schemeClr w14:val="tx1">
                <w14:lumMod w14:val="95000"/>
                <w14:lumOff w14:val="5000"/>
              </w14:schemeClr>
            </w14:solidFill>
          </w14:textFill>
        </w:rPr>
        <w:t>水肥菌一体化</w:t>
      </w:r>
      <w:r>
        <w:rPr>
          <w:rFonts w:eastAsia="黑体"/>
          <w:color w:val="0D0D0D" w:themeColor="text1" w:themeTint="F2"/>
          <w:kern w:val="0"/>
          <w:szCs w:val="20"/>
          <w14:textFill>
            <w14:solidFill>
              <w14:schemeClr w14:val="tx1">
                <w14:lumMod w14:val="95000"/>
                <w14:lumOff w14:val="5000"/>
              </w14:schemeClr>
            </w14:solidFill>
          </w14:textFill>
        </w:rPr>
        <w:t xml:space="preserve">irrigation technology with </w:t>
      </w:r>
      <w:bookmarkStart w:id="16" w:name="OLE_LINK11"/>
      <w:bookmarkStart w:id="17" w:name="OLE_LINK10"/>
      <w:r>
        <w:rPr>
          <w:rFonts w:eastAsia="黑体"/>
          <w:color w:val="0D0D0D" w:themeColor="text1" w:themeTint="F2"/>
          <w:kern w:val="0"/>
          <w:szCs w:val="20"/>
          <w14:textFill>
            <w14:solidFill>
              <w14:schemeClr w14:val="tx1">
                <w14:lumMod w14:val="95000"/>
                <w14:lumOff w14:val="5000"/>
              </w14:schemeClr>
            </w14:solidFill>
          </w14:textFill>
        </w:rPr>
        <w:t>water</w:t>
      </w:r>
      <w:r>
        <w:rPr>
          <w:rFonts w:eastAsia="微软雅黑"/>
          <w:color w:val="0D0D0D" w:themeColor="text1" w:themeTint="F2"/>
          <w:kern w:val="0"/>
          <w:szCs w:val="20"/>
          <w14:textFill>
            <w14:solidFill>
              <w14:schemeClr w14:val="tx1">
                <w14:lumMod w14:val="95000"/>
                <w14:lumOff w14:val="5000"/>
              </w14:schemeClr>
            </w14:solidFill>
          </w14:textFill>
        </w:rPr>
        <w:t>-</w:t>
      </w:r>
      <w:r>
        <w:rPr>
          <w:rFonts w:eastAsia="黑体"/>
          <w:color w:val="0D0D0D" w:themeColor="text1" w:themeTint="F2"/>
          <w:kern w:val="0"/>
          <w:szCs w:val="20"/>
          <w14:textFill>
            <w14:solidFill>
              <w14:schemeClr w14:val="tx1">
                <w14:lumMod w14:val="95000"/>
                <w14:lumOff w14:val="5000"/>
              </w14:schemeClr>
            </w14:solidFill>
          </w14:textFill>
        </w:rPr>
        <w:t xml:space="preserve">soluble fertilizer and </w:t>
      </w:r>
      <w:r>
        <w:rPr>
          <w:bCs/>
          <w:color w:val="0D0D0D" w:themeColor="text1" w:themeTint="F2"/>
          <w:szCs w:val="21"/>
          <w14:textFill>
            <w14:solidFill>
              <w14:schemeClr w14:val="tx1">
                <w14:lumMod w14:val="95000"/>
                <w14:lumOff w14:val="5000"/>
              </w14:schemeClr>
            </w14:solidFill>
          </w14:textFill>
        </w:rPr>
        <w:t>microbial inoculants</w:t>
      </w:r>
      <w:r>
        <w:rPr>
          <w:rFonts w:eastAsia="黑体"/>
          <w:color w:val="0D0D0D" w:themeColor="text1" w:themeTint="F2"/>
          <w:kern w:val="0"/>
          <w:szCs w:val="20"/>
          <w14:textFill>
            <w14:solidFill>
              <w14:schemeClr w14:val="tx1">
                <w14:lumMod w14:val="95000"/>
                <w14:lumOff w14:val="5000"/>
              </w14:schemeClr>
            </w14:solidFill>
          </w14:textFill>
        </w:rPr>
        <w:t xml:space="preserve"> integration </w:t>
      </w:r>
    </w:p>
    <w:bookmarkEnd w:id="16"/>
    <w:bookmarkEnd w:id="17"/>
    <w:p>
      <w:pPr>
        <w:ind w:firstLine="420" w:firstLineChars="200"/>
        <w:rPr>
          <w:rFonts w:ascii="宋体" w:hAnsi="宋体" w:cs="宋体"/>
          <w:bCs/>
          <w:color w:val="0D0D0D" w:themeColor="text1" w:themeTint="F2"/>
          <w:szCs w:val="21"/>
          <w14:textFill>
            <w14:solidFill>
              <w14:schemeClr w14:val="tx1">
                <w14:lumMod w14:val="95000"/>
                <w14:lumOff w14:val="5000"/>
              </w14:schemeClr>
            </w14:solidFill>
          </w14:textFill>
        </w:rPr>
      </w:pPr>
      <w:r>
        <w:rPr>
          <w:rFonts w:hint="eastAsia" w:ascii="宋体" w:hAnsi="宋体" w:cs="宋体"/>
          <w:bCs/>
          <w:color w:val="0D0D0D" w:themeColor="text1" w:themeTint="F2"/>
          <w:szCs w:val="21"/>
          <w14:textFill>
            <w14:solidFill>
              <w14:schemeClr w14:val="tx1">
                <w14:lumMod w14:val="95000"/>
                <w14:lumOff w14:val="5000"/>
              </w14:schemeClr>
            </w14:solidFill>
          </w14:textFill>
        </w:rPr>
        <w:t>水肥菌一体化是借助浅埋滴灌系统，将水、水溶肥料和农用微生物菌剂配兑成的含有益微生物和养分的灌溉水，按土壤养分含量和作物需肥规律，定时、定量向作物提供水分、养分</w:t>
      </w:r>
      <w:r>
        <w:rPr>
          <w:rFonts w:ascii="宋体" w:hAnsi="宋体" w:cs="宋体"/>
          <w:bCs/>
          <w:color w:val="0D0D0D" w:themeColor="text1" w:themeTint="F2"/>
          <w:szCs w:val="21"/>
          <w14:textFill>
            <w14:solidFill>
              <w14:schemeClr w14:val="tx1">
                <w14:lumMod w14:val="95000"/>
                <w14:lumOff w14:val="5000"/>
              </w14:schemeClr>
            </w14:solidFill>
          </w14:textFill>
        </w:rPr>
        <w:t>和</w:t>
      </w:r>
      <w:r>
        <w:rPr>
          <w:rFonts w:hint="eastAsia" w:ascii="宋体" w:hAnsi="宋体" w:cs="宋体"/>
          <w:bCs/>
          <w:color w:val="0D0D0D" w:themeColor="text1" w:themeTint="F2"/>
          <w:szCs w:val="21"/>
          <w14:textFill>
            <w14:solidFill>
              <w14:schemeClr w14:val="tx1">
                <w14:lumMod w14:val="95000"/>
                <w14:lumOff w14:val="5000"/>
              </w14:schemeClr>
            </w14:solidFill>
          </w14:textFill>
        </w:rPr>
        <w:t>有益微生物。</w:t>
      </w:r>
    </w:p>
    <w:p>
      <w:pPr>
        <w:pStyle w:val="43"/>
        <w:numPr>
          <w:ilvl w:val="0"/>
          <w:numId w:val="18"/>
        </w:numPr>
      </w:pPr>
      <w:r>
        <w:rPr>
          <w:rFonts w:hint="eastAsia"/>
        </w:rPr>
        <w:t xml:space="preserve">水肥菌一体化系统要求 </w:t>
      </w:r>
    </w:p>
    <w:p>
      <w:pPr>
        <w:pStyle w:val="54"/>
        <w:numPr>
          <w:ilvl w:val="3"/>
          <w:numId w:val="0"/>
        </w:numPr>
        <w:spacing w:before="156" w:after="156"/>
      </w:pPr>
      <w:r>
        <w:rPr>
          <w:rFonts w:hint="eastAsia"/>
        </w:rPr>
        <w:t>4.1系统组成</w:t>
      </w:r>
    </w:p>
    <w:p>
      <w:pPr>
        <w:ind w:firstLine="420" w:firstLineChars="200"/>
      </w:pPr>
      <w:r>
        <w:rPr>
          <w:rFonts w:hint="eastAsia" w:ascii="宋体" w:hAnsi="宋体" w:cs="宋体"/>
          <w:bCs/>
          <w:szCs w:val="21"/>
        </w:rPr>
        <w:t>由水源工程、首部枢纽、输配水管网和滴灌带等组成，有条件的可配套自动化控制系统。</w:t>
      </w:r>
    </w:p>
    <w:p>
      <w:pPr>
        <w:pStyle w:val="48"/>
        <w:numPr>
          <w:ilvl w:val="2"/>
          <w:numId w:val="0"/>
        </w:numPr>
        <w:spacing w:before="156" w:after="156"/>
      </w:pPr>
      <w:r>
        <w:rPr>
          <w:rFonts w:hint="eastAsia"/>
        </w:rPr>
        <w:t>4.1.1水源工程</w:t>
      </w:r>
    </w:p>
    <w:p>
      <w:pPr>
        <w:ind w:firstLine="420" w:firstLineChars="200"/>
        <w:rPr>
          <w:rFonts w:ascii="宋体" w:hAnsi="宋体" w:cs="宋体"/>
          <w:bCs/>
          <w:szCs w:val="21"/>
        </w:rPr>
      </w:pPr>
      <w:r>
        <w:rPr>
          <w:rFonts w:hint="eastAsia" w:ascii="宋体" w:hAnsi="宋体" w:cs="宋体"/>
          <w:bCs/>
          <w:szCs w:val="21"/>
        </w:rPr>
        <w:t>1）主要水源为地下水和地表水，水源水质应达到GB 5084的规定。当水源水量不能满足灌溉系统用水时，应修建调蓄水设施，其容积应满足作物一次关键灌水的要求；</w:t>
      </w:r>
    </w:p>
    <w:p>
      <w:pPr>
        <w:ind w:firstLine="420" w:firstLineChars="200"/>
        <w:rPr>
          <w:rFonts w:ascii="宋体" w:hAnsi="宋体" w:cs="宋体"/>
          <w:bCs/>
          <w:szCs w:val="21"/>
        </w:rPr>
      </w:pPr>
      <w:r>
        <w:rPr>
          <w:rFonts w:hint="eastAsia" w:ascii="宋体" w:hAnsi="宋体" w:cs="宋体"/>
          <w:bCs/>
          <w:szCs w:val="21"/>
        </w:rPr>
        <w:t>2）具备农业灌溉电力条件。</w:t>
      </w:r>
    </w:p>
    <w:p>
      <w:pPr>
        <w:pStyle w:val="48"/>
        <w:numPr>
          <w:ilvl w:val="2"/>
          <w:numId w:val="0"/>
        </w:numPr>
        <w:spacing w:before="156" w:after="156"/>
      </w:pPr>
      <w:r>
        <w:rPr>
          <w:rFonts w:hint="eastAsia"/>
        </w:rPr>
        <w:t>4.1.2首部枢纽</w:t>
      </w:r>
    </w:p>
    <w:p>
      <w:pPr>
        <w:ind w:firstLine="420" w:firstLineChars="200"/>
        <w:rPr>
          <w:rFonts w:ascii="宋体" w:hAnsi="宋体" w:cs="宋体"/>
          <w:bCs/>
          <w:szCs w:val="21"/>
        </w:rPr>
      </w:pPr>
      <w:r>
        <w:rPr>
          <w:rFonts w:hint="eastAsia" w:ascii="宋体" w:hAnsi="宋体" w:cs="宋体"/>
          <w:bCs/>
          <w:szCs w:val="21"/>
        </w:rPr>
        <w:t>1）应配备控制、安全、量测、施肥、过滤等装置，有条件的应配备恒压变频设备；</w:t>
      </w:r>
    </w:p>
    <w:p>
      <w:pPr>
        <w:ind w:firstLine="420" w:firstLineChars="200"/>
        <w:rPr>
          <w:rFonts w:ascii="宋体" w:hAnsi="宋体" w:cs="宋体"/>
          <w:bCs/>
          <w:szCs w:val="21"/>
        </w:rPr>
      </w:pPr>
      <w:r>
        <w:rPr>
          <w:rFonts w:hint="eastAsia" w:ascii="宋体" w:hAnsi="宋体" w:cs="宋体"/>
          <w:bCs/>
          <w:szCs w:val="21"/>
        </w:rPr>
        <w:t>2）水泵选型应满足灌溉系统要求。</w:t>
      </w:r>
    </w:p>
    <w:p>
      <w:pPr>
        <w:pStyle w:val="48"/>
        <w:numPr>
          <w:ilvl w:val="2"/>
          <w:numId w:val="0"/>
        </w:numPr>
        <w:spacing w:before="156" w:after="156"/>
      </w:pPr>
      <w:r>
        <w:rPr>
          <w:rFonts w:hint="eastAsia"/>
        </w:rPr>
        <w:t>4.1.3输配水管网</w:t>
      </w:r>
    </w:p>
    <w:p>
      <w:pPr>
        <w:ind w:firstLine="420" w:firstLineChars="200"/>
        <w:rPr>
          <w:rFonts w:ascii="宋体" w:hAnsi="宋体" w:cs="宋体"/>
          <w:bCs/>
          <w:szCs w:val="21"/>
        </w:rPr>
      </w:pPr>
      <w:r>
        <w:rPr>
          <w:rFonts w:hint="eastAsia" w:ascii="宋体" w:hAnsi="宋体" w:cs="宋体"/>
          <w:bCs/>
          <w:szCs w:val="21"/>
        </w:rPr>
        <w:t>地埋管网可选用U</w:t>
      </w:r>
      <w:r>
        <w:rPr>
          <w:rFonts w:ascii="宋体" w:hAnsi="宋体" w:cs="宋体"/>
          <w:bCs/>
          <w:szCs w:val="21"/>
        </w:rPr>
        <w:t>-</w:t>
      </w:r>
      <w:r>
        <w:rPr>
          <w:bCs/>
          <w:szCs w:val="21"/>
        </w:rPr>
        <w:t>PVC</w:t>
      </w:r>
      <w:r>
        <w:rPr>
          <w:rFonts w:hint="eastAsia" w:ascii="宋体" w:hAnsi="宋体" w:cs="宋体"/>
          <w:bCs/>
          <w:szCs w:val="21"/>
        </w:rPr>
        <w:t>或</w:t>
      </w:r>
      <w:r>
        <w:rPr>
          <w:bCs/>
          <w:szCs w:val="21"/>
        </w:rPr>
        <w:t>PE</w:t>
      </w:r>
      <w:r>
        <w:rPr>
          <w:rFonts w:hint="eastAsia" w:ascii="宋体" w:hAnsi="宋体" w:cs="宋体"/>
          <w:bCs/>
          <w:szCs w:val="21"/>
        </w:rPr>
        <w:t>承压塑料管材，管道公称压力大于等于</w:t>
      </w:r>
      <w:r>
        <w:rPr>
          <w:bCs/>
          <w:szCs w:val="21"/>
        </w:rPr>
        <w:t>0.63</w:t>
      </w:r>
      <w:r>
        <w:rPr>
          <w:rFonts w:hint="eastAsia"/>
          <w:bCs/>
          <w:szCs w:val="21"/>
        </w:rPr>
        <w:t xml:space="preserve"> </w:t>
      </w:r>
      <w:r>
        <w:rPr>
          <w:bCs/>
          <w:szCs w:val="21"/>
        </w:rPr>
        <w:t>MPa</w:t>
      </w:r>
      <w:r>
        <w:rPr>
          <w:rFonts w:hint="eastAsia" w:ascii="宋体" w:hAnsi="宋体" w:cs="宋体"/>
          <w:bCs/>
          <w:szCs w:val="21"/>
        </w:rPr>
        <w:t>。管网系统应符合</w:t>
      </w:r>
      <w:r>
        <w:rPr>
          <w:bCs/>
          <w:szCs w:val="21"/>
        </w:rPr>
        <w:t>GB/T 20203</w:t>
      </w:r>
      <w:r>
        <w:rPr>
          <w:rFonts w:hint="eastAsia" w:ascii="宋体" w:hAnsi="宋体" w:cs="宋体"/>
          <w:bCs/>
          <w:szCs w:val="21"/>
        </w:rPr>
        <w:t>。</w:t>
      </w:r>
    </w:p>
    <w:p>
      <w:pPr>
        <w:pStyle w:val="48"/>
        <w:numPr>
          <w:ilvl w:val="2"/>
          <w:numId w:val="0"/>
        </w:numPr>
        <w:spacing w:before="156" w:after="156"/>
        <w:rPr>
          <w:color w:val="0000FF"/>
        </w:rPr>
      </w:pPr>
      <w:r>
        <w:rPr>
          <w:rFonts w:hint="eastAsia"/>
          <w:color w:val="000000" w:themeColor="text1"/>
          <w14:textFill>
            <w14:solidFill>
              <w14:schemeClr w14:val="tx1"/>
            </w14:solidFill>
          </w14:textFill>
        </w:rPr>
        <w:t>4.1.4</w:t>
      </w:r>
      <w:r>
        <w:rPr>
          <w:rFonts w:hint="eastAsia" w:ascii="宋体" w:hAnsi="宋体" w:cs="宋体"/>
          <w:bCs/>
        </w:rPr>
        <w:t>滴灌带</w:t>
      </w:r>
    </w:p>
    <w:p>
      <w:pPr>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选择滴灌带以滴头流量</w:t>
      </w:r>
      <w:r>
        <w:rPr>
          <w:bCs/>
          <w:color w:val="000000" w:themeColor="text1"/>
          <w:szCs w:val="21"/>
          <w14:textFill>
            <w14:solidFill>
              <w14:schemeClr w14:val="tx1"/>
            </w14:solidFill>
          </w14:textFill>
        </w:rPr>
        <w:t>1.0</w:t>
      </w:r>
      <w:r>
        <w:rPr>
          <w:rFonts w:hint="eastAsia"/>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L/h～1.6</w:t>
      </w:r>
      <w:r>
        <w:rPr>
          <w:rFonts w:hint="eastAsia"/>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L/h</w:t>
      </w:r>
      <w:r>
        <w:rPr>
          <w:rFonts w:ascii="宋体" w:hAnsi="宋体" w:cs="宋体"/>
          <w:bCs/>
          <w:color w:val="000000" w:themeColor="text1"/>
          <w:szCs w:val="21"/>
          <w14:textFill>
            <w14:solidFill>
              <w14:schemeClr w14:val="tx1"/>
            </w14:solidFill>
          </w14:textFill>
        </w:rPr>
        <w:t>、滴头</w:t>
      </w:r>
      <w:r>
        <w:rPr>
          <w:rFonts w:hint="eastAsia" w:ascii="宋体" w:hAnsi="宋体" w:cs="宋体"/>
          <w:bCs/>
          <w:color w:val="000000" w:themeColor="text1"/>
          <w:szCs w:val="21"/>
          <w14:textFill>
            <w14:solidFill>
              <w14:schemeClr w14:val="tx1"/>
            </w14:solidFill>
          </w14:textFill>
        </w:rPr>
        <w:t>间距</w:t>
      </w:r>
      <w:r>
        <w:rPr>
          <w:rFonts w:hint="eastAsia" w:ascii="宋体" w:hAnsi="宋体" w:cs="宋体"/>
          <w:bCs/>
          <w:color w:val="000000" w:themeColor="text1"/>
          <w:szCs w:val="21"/>
          <w:lang w:val="en-US" w:eastAsia="zh-CN"/>
          <w14:textFill>
            <w14:solidFill>
              <w14:schemeClr w14:val="tx1"/>
            </w14:solidFill>
          </w14:textFill>
        </w:rPr>
        <w:t>20</w:t>
      </w:r>
      <w:r>
        <w:rPr>
          <w:bCs/>
          <w:color w:val="000000" w:themeColor="text1"/>
          <w:szCs w:val="21"/>
          <w14:textFill>
            <w14:solidFill>
              <w14:schemeClr w14:val="tx1"/>
            </w14:solidFill>
          </w14:textFill>
        </w:rPr>
        <w:t xml:space="preserve"> cm</w:t>
      </w:r>
      <w:r>
        <w:rPr>
          <w:rFonts w:hint="eastAsia" w:ascii="宋体" w:hAnsi="宋体" w:cs="宋体"/>
          <w:bCs/>
          <w:color w:val="000000" w:themeColor="text1"/>
          <w:szCs w:val="21"/>
          <w14:textFill>
            <w14:solidFill>
              <w14:schemeClr w14:val="tx1"/>
            </w14:solidFill>
          </w14:textFill>
        </w:rPr>
        <w:t>；土壤质地黏重的滴头间距和流量可取大值，土壤质地较轻的滴头间距和流量可取小值。</w:t>
      </w:r>
    </w:p>
    <w:p>
      <w:pPr>
        <w:pStyle w:val="43"/>
        <w:numPr>
          <w:ilvl w:val="1"/>
          <w:numId w:val="0"/>
        </w:numPr>
      </w:pPr>
      <w:r>
        <w:rPr>
          <w:rFonts w:hint="eastAsia"/>
        </w:rPr>
        <w:t>4.2工程设计</w:t>
      </w:r>
    </w:p>
    <w:p>
      <w:pPr>
        <w:pStyle w:val="48"/>
        <w:numPr>
          <w:ilvl w:val="2"/>
          <w:numId w:val="0"/>
        </w:numPr>
        <w:spacing w:before="156" w:after="156"/>
      </w:pPr>
      <w:r>
        <w:rPr>
          <w:rFonts w:hint="eastAsia"/>
        </w:rPr>
        <w:t>4.2.1灌溉区应具备下列条件：</w:t>
      </w:r>
    </w:p>
    <w:p>
      <w:pPr>
        <w:ind w:firstLine="420" w:firstLineChars="200"/>
        <w:rPr>
          <w:rFonts w:ascii="宋体" w:hAnsi="宋体" w:cs="宋体"/>
          <w:bCs/>
          <w:szCs w:val="21"/>
        </w:rPr>
      </w:pPr>
      <w:r>
        <w:rPr>
          <w:rFonts w:hint="eastAsia" w:ascii="宋体" w:hAnsi="宋体" w:cs="宋体"/>
          <w:bCs/>
          <w:szCs w:val="21"/>
        </w:rPr>
        <w:t>土地集约化、规模化程度较高；土地集中连片，地块较为规整。</w:t>
      </w:r>
    </w:p>
    <w:p>
      <w:pPr>
        <w:pStyle w:val="48"/>
        <w:numPr>
          <w:ilvl w:val="2"/>
          <w:numId w:val="0"/>
        </w:numPr>
        <w:spacing w:before="156" w:after="156"/>
      </w:pPr>
      <w:r>
        <w:rPr>
          <w:rFonts w:hint="eastAsia"/>
        </w:rPr>
        <w:t>4.2.2规划设计控制参数</w:t>
      </w:r>
    </w:p>
    <w:p>
      <w:pPr>
        <w:pStyle w:val="48"/>
        <w:numPr>
          <w:ilvl w:val="2"/>
          <w:numId w:val="0"/>
        </w:numPr>
        <w:spacing w:before="156" w:after="156"/>
        <w:rPr>
          <w:rFonts w:ascii="宋体" w:hAnsi="宋体" w:eastAsia="宋体" w:cs="宋体"/>
          <w:bCs/>
          <w:color w:val="000000" w:themeColor="text1"/>
          <w:kern w:val="2"/>
          <w14:textFill>
            <w14:solidFill>
              <w14:schemeClr w14:val="tx1"/>
            </w14:solidFill>
          </w14:textFill>
        </w:rPr>
      </w:pPr>
      <w:r>
        <w:rPr>
          <w:rFonts w:hint="eastAsia" w:ascii="宋体" w:hAnsi="宋体" w:eastAsia="宋体" w:cs="宋体"/>
          <w:bCs/>
          <w:color w:val="000000" w:themeColor="text1"/>
          <w:kern w:val="2"/>
          <w14:textFill>
            <w14:solidFill>
              <w14:schemeClr w14:val="tx1"/>
            </w14:solidFill>
          </w14:textFill>
        </w:rPr>
        <w:t>4.2.2.1地埋滴灌系统的灌溉设计保证率</w:t>
      </w:r>
    </w:p>
    <w:p>
      <w:pPr>
        <w:ind w:firstLine="420" w:firstLineChars="200"/>
        <w:rPr>
          <w:rFonts w:ascii="宋体" w:hAnsi="宋体" w:cs="宋体"/>
          <w:bCs/>
          <w:szCs w:val="21"/>
        </w:rPr>
      </w:pPr>
      <w:r>
        <w:rPr>
          <w:rFonts w:hint="eastAsia" w:ascii="宋体" w:hAnsi="宋体" w:cs="宋体"/>
          <w:bCs/>
          <w:szCs w:val="21"/>
        </w:rPr>
        <w:t>以地下水为水源时，灌溉设计保证率不低于</w:t>
      </w:r>
      <w:r>
        <w:rPr>
          <w:bCs/>
          <w:szCs w:val="21"/>
        </w:rPr>
        <w:t>90%</w:t>
      </w:r>
      <w:r>
        <w:rPr>
          <w:rFonts w:hint="eastAsia" w:ascii="宋体" w:hAnsi="宋体" w:cs="宋体"/>
          <w:bCs/>
          <w:szCs w:val="21"/>
        </w:rPr>
        <w:t>；以地表水为水源时，灌溉设计保证率不低于</w:t>
      </w:r>
      <w:r>
        <w:rPr>
          <w:bCs/>
          <w:szCs w:val="21"/>
        </w:rPr>
        <w:t>85%</w:t>
      </w:r>
      <w:r>
        <w:rPr>
          <w:rFonts w:hint="eastAsia" w:ascii="宋体" w:hAnsi="宋体" w:cs="宋体"/>
          <w:bCs/>
          <w:szCs w:val="21"/>
        </w:rPr>
        <w:t>。</w:t>
      </w:r>
    </w:p>
    <w:p>
      <w:pPr>
        <w:pStyle w:val="48"/>
        <w:numPr>
          <w:ilvl w:val="2"/>
          <w:numId w:val="0"/>
        </w:numPr>
        <w:spacing w:before="156" w:after="156"/>
        <w:rPr>
          <w:rFonts w:ascii="宋体" w:hAnsi="宋体" w:eastAsia="宋体" w:cs="宋体"/>
          <w:bCs/>
          <w:color w:val="000000" w:themeColor="text1"/>
          <w:kern w:val="2"/>
          <w14:textFill>
            <w14:solidFill>
              <w14:schemeClr w14:val="tx1"/>
            </w14:solidFill>
          </w14:textFill>
        </w:rPr>
      </w:pPr>
      <w:r>
        <w:rPr>
          <w:rFonts w:hint="eastAsia" w:ascii="宋体" w:hAnsi="宋体" w:eastAsia="宋体" w:cs="宋体"/>
          <w:bCs/>
          <w:color w:val="000000" w:themeColor="text1"/>
          <w:kern w:val="2"/>
          <w14:textFill>
            <w14:solidFill>
              <w14:schemeClr w14:val="tx1"/>
            </w14:solidFill>
          </w14:textFill>
        </w:rPr>
        <w:t>4.2.2.2灌溉水利用系数</w:t>
      </w:r>
    </w:p>
    <w:p>
      <w:pPr>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滴灌系统灌溉水利用系数不应低于</w:t>
      </w:r>
      <w:r>
        <w:rPr>
          <w:bCs/>
          <w:color w:val="000000" w:themeColor="text1"/>
          <w:szCs w:val="21"/>
          <w14:textFill>
            <w14:solidFill>
              <w14:schemeClr w14:val="tx1"/>
            </w14:solidFill>
          </w14:textFill>
        </w:rPr>
        <w:t>0.90</w:t>
      </w:r>
      <w:r>
        <w:rPr>
          <w:rFonts w:hint="eastAsia" w:ascii="宋体" w:hAnsi="宋体" w:cs="宋体"/>
          <w:bCs/>
          <w:color w:val="000000" w:themeColor="text1"/>
          <w:szCs w:val="21"/>
          <w14:textFill>
            <w14:solidFill>
              <w14:schemeClr w14:val="tx1"/>
            </w14:solidFill>
          </w14:textFill>
        </w:rPr>
        <w:t>。</w:t>
      </w:r>
    </w:p>
    <w:p>
      <w:pPr>
        <w:pStyle w:val="48"/>
        <w:numPr>
          <w:ilvl w:val="2"/>
          <w:numId w:val="0"/>
        </w:numPr>
        <w:spacing w:before="156" w:after="156"/>
        <w:rPr>
          <w:rFonts w:ascii="宋体" w:hAnsi="宋体" w:eastAsia="宋体" w:cs="宋体"/>
          <w:bCs/>
          <w:color w:val="000000" w:themeColor="text1"/>
          <w:kern w:val="2"/>
          <w14:textFill>
            <w14:solidFill>
              <w14:schemeClr w14:val="tx1"/>
            </w14:solidFill>
          </w14:textFill>
        </w:rPr>
      </w:pPr>
      <w:r>
        <w:rPr>
          <w:rFonts w:hint="eastAsia" w:ascii="宋体" w:hAnsi="宋体" w:eastAsia="宋体" w:cs="宋体"/>
          <w:bCs/>
          <w:color w:val="000000" w:themeColor="text1"/>
          <w:kern w:val="2"/>
          <w14:textFill>
            <w14:solidFill>
              <w14:schemeClr w14:val="tx1"/>
            </w14:solidFill>
          </w14:textFill>
        </w:rPr>
        <w:t>4.2.2.3灌水均匀系数</w:t>
      </w:r>
    </w:p>
    <w:p>
      <w:pPr>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滴灌灌水均匀系数不应低于</w:t>
      </w:r>
      <w:r>
        <w:rPr>
          <w:bCs/>
          <w:color w:val="000000" w:themeColor="text1"/>
          <w:szCs w:val="21"/>
          <w14:textFill>
            <w14:solidFill>
              <w14:schemeClr w14:val="tx1"/>
            </w14:solidFill>
          </w14:textFill>
        </w:rPr>
        <w:t>0.90</w:t>
      </w:r>
      <w:r>
        <w:rPr>
          <w:rFonts w:hint="eastAsia" w:ascii="宋体" w:hAnsi="宋体" w:cs="宋体"/>
          <w:bCs/>
          <w:color w:val="000000" w:themeColor="text1"/>
          <w:szCs w:val="21"/>
          <w14:textFill>
            <w14:solidFill>
              <w14:schemeClr w14:val="tx1"/>
            </w14:solidFill>
          </w14:textFill>
        </w:rPr>
        <w:t>。</w:t>
      </w:r>
    </w:p>
    <w:p>
      <w:pPr>
        <w:pStyle w:val="48"/>
        <w:numPr>
          <w:ilvl w:val="2"/>
          <w:numId w:val="0"/>
        </w:numPr>
        <w:spacing w:before="156" w:after="156"/>
      </w:pPr>
      <w:r>
        <w:rPr>
          <w:rFonts w:hint="eastAsia"/>
        </w:rPr>
        <w:t>4.2.3田间规划布置</w:t>
      </w:r>
    </w:p>
    <w:p>
      <w:pPr>
        <w:numPr>
          <w:ilvl w:val="0"/>
          <w:numId w:val="19"/>
        </w:numPr>
        <w:ind w:firstLine="420" w:firstLineChars="200"/>
        <w:rPr>
          <w:rFonts w:ascii="宋体" w:hAnsi="宋体" w:cs="宋体"/>
          <w:bCs/>
          <w:szCs w:val="21"/>
        </w:rPr>
      </w:pPr>
      <w:r>
        <w:rPr>
          <w:rFonts w:hint="eastAsia" w:ascii="宋体" w:hAnsi="宋体" w:cs="宋体"/>
          <w:bCs/>
          <w:szCs w:val="21"/>
        </w:rPr>
        <w:t>根据浅埋滴灌系统的规模及管网布置特点，将干管埋入冻土层以下，支管（辅管）可埋入冻入层以下或置于地表，毛管置于地面便于移动、检修。</w:t>
      </w:r>
    </w:p>
    <w:p>
      <w:pPr>
        <w:ind w:firstLine="420" w:firstLineChars="200"/>
        <w:rPr>
          <w:rFonts w:ascii="宋体" w:hAnsi="宋体" w:cs="宋体"/>
          <w:bCs/>
          <w:szCs w:val="21"/>
        </w:rPr>
      </w:pPr>
      <w:r>
        <w:rPr>
          <w:rFonts w:hint="eastAsia" w:ascii="宋体" w:hAnsi="宋体" w:cs="宋体"/>
          <w:bCs/>
          <w:szCs w:val="21"/>
        </w:rPr>
        <w:t>2）采用起垄单行种植，间距</w:t>
      </w:r>
      <w:r>
        <w:rPr>
          <w:bCs/>
          <w:szCs w:val="21"/>
        </w:rPr>
        <w:t>0.9 m</w:t>
      </w:r>
      <w:r>
        <w:rPr>
          <w:rFonts w:hint="eastAsia"/>
          <w:bCs/>
          <w:szCs w:val="21"/>
          <w:lang w:eastAsia="zh-CN"/>
        </w:rPr>
        <w:t>，株距</w:t>
      </w:r>
      <w:r>
        <w:rPr>
          <w:rFonts w:hint="eastAsia"/>
          <w:bCs/>
          <w:szCs w:val="21"/>
          <w:lang w:val="en-US" w:eastAsia="zh-CN"/>
        </w:rPr>
        <w:t>0.2m</w:t>
      </w:r>
      <w:r>
        <w:rPr>
          <w:rFonts w:hint="eastAsia" w:ascii="宋体" w:hAnsi="宋体" w:cs="宋体"/>
          <w:bCs/>
          <w:szCs w:val="21"/>
        </w:rPr>
        <w:t>。当马铃薯出苗三成、苗高</w:t>
      </w:r>
      <w:r>
        <w:rPr>
          <w:bCs/>
          <w:szCs w:val="21"/>
        </w:rPr>
        <w:t>2 cm～3 cm</w:t>
      </w:r>
      <w:r>
        <w:rPr>
          <w:rFonts w:hint="eastAsia" w:ascii="宋体" w:hAnsi="宋体" w:cs="宋体"/>
          <w:bCs/>
          <w:szCs w:val="21"/>
        </w:rPr>
        <w:t>时，将滴管带铺于垄上，与地表支管连接，在畦的两端固定滴灌带，结合中耕浅埋覆土</w:t>
      </w:r>
      <w:r>
        <w:rPr>
          <w:rFonts w:hint="eastAsia"/>
          <w:bCs/>
          <w:szCs w:val="21"/>
          <w:lang w:val="en-US" w:eastAsia="zh-CN"/>
        </w:rPr>
        <w:t>3</w:t>
      </w:r>
      <w:r>
        <w:rPr>
          <w:bCs/>
          <w:szCs w:val="21"/>
        </w:rPr>
        <w:t xml:space="preserve"> cm～</w:t>
      </w:r>
      <w:r>
        <w:rPr>
          <w:rFonts w:hint="eastAsia"/>
          <w:bCs/>
          <w:szCs w:val="21"/>
          <w:lang w:val="en-US" w:eastAsia="zh-CN"/>
        </w:rPr>
        <w:t>5</w:t>
      </w:r>
      <w:r>
        <w:rPr>
          <w:bCs/>
          <w:szCs w:val="21"/>
        </w:rPr>
        <w:t xml:space="preserve"> cm</w:t>
      </w:r>
      <w:r>
        <w:rPr>
          <w:rFonts w:hint="eastAsia" w:ascii="宋体" w:hAnsi="宋体" w:cs="宋体"/>
          <w:bCs/>
          <w:szCs w:val="21"/>
        </w:rPr>
        <w:t>。</w:t>
      </w:r>
    </w:p>
    <w:p>
      <w:pPr>
        <w:pStyle w:val="48"/>
        <w:numPr>
          <w:ilvl w:val="2"/>
          <w:numId w:val="0"/>
        </w:numPr>
        <w:spacing w:before="156" w:after="156"/>
      </w:pPr>
      <w:r>
        <w:rPr>
          <w:rFonts w:hint="eastAsia"/>
        </w:rPr>
        <w:t>4.2.4设计计算</w:t>
      </w:r>
    </w:p>
    <w:p>
      <w:pPr>
        <w:ind w:firstLine="420" w:firstLineChars="200"/>
        <w:rPr>
          <w:rFonts w:ascii="宋体" w:hAnsi="宋体" w:cs="宋体"/>
          <w:bCs/>
          <w:szCs w:val="21"/>
        </w:rPr>
      </w:pPr>
      <w:r>
        <w:rPr>
          <w:rFonts w:hint="eastAsia" w:ascii="宋体" w:hAnsi="宋体" w:cs="宋体"/>
          <w:bCs/>
          <w:szCs w:val="21"/>
        </w:rPr>
        <w:t>浅埋滴灌</w:t>
      </w:r>
      <w:r>
        <w:rPr>
          <w:rFonts w:ascii="宋体" w:hAnsi="宋体" w:cs="宋体"/>
          <w:bCs/>
          <w:szCs w:val="21"/>
        </w:rPr>
        <w:t>灌溉系统按</w:t>
      </w:r>
      <w:r>
        <w:rPr>
          <w:bCs/>
          <w:szCs w:val="21"/>
        </w:rPr>
        <w:t>GB/T 50485</w:t>
      </w:r>
      <w:r>
        <w:rPr>
          <w:rFonts w:ascii="宋体" w:hAnsi="宋体" w:cs="宋体"/>
          <w:bCs/>
          <w:szCs w:val="21"/>
        </w:rPr>
        <w:t>计算</w:t>
      </w:r>
      <w:r>
        <w:rPr>
          <w:rFonts w:hint="eastAsia" w:ascii="宋体" w:hAnsi="宋体" w:cs="宋体"/>
          <w:bCs/>
          <w:szCs w:val="21"/>
        </w:rPr>
        <w:t>。</w:t>
      </w:r>
    </w:p>
    <w:p>
      <w:pPr>
        <w:pStyle w:val="43"/>
        <w:numPr>
          <w:ilvl w:val="1"/>
          <w:numId w:val="0"/>
        </w:numPr>
      </w:pPr>
      <w:r>
        <w:rPr>
          <w:rFonts w:hint="eastAsia"/>
        </w:rPr>
        <w:t>4.3运行管理</w:t>
      </w:r>
    </w:p>
    <w:p>
      <w:pPr>
        <w:ind w:firstLine="420" w:firstLineChars="200"/>
        <w:rPr>
          <w:rFonts w:ascii="宋体" w:hAnsi="宋体" w:cs="宋体"/>
          <w:bCs/>
          <w:szCs w:val="21"/>
        </w:rPr>
      </w:pPr>
      <w:bookmarkStart w:id="18" w:name="bookmark76"/>
      <w:bookmarkEnd w:id="18"/>
      <w:r>
        <w:rPr>
          <w:rFonts w:hint="eastAsia" w:ascii="宋体" w:hAnsi="宋体" w:cs="宋体"/>
          <w:bCs/>
          <w:szCs w:val="21"/>
        </w:rPr>
        <w:t>浅埋灌溉系统的运行管理参照</w:t>
      </w:r>
      <w:r>
        <w:rPr>
          <w:bCs/>
          <w:szCs w:val="21"/>
        </w:rPr>
        <w:t>SL 236</w:t>
      </w:r>
      <w:r>
        <w:rPr>
          <w:rFonts w:hint="eastAsia" w:ascii="宋体" w:hAnsi="宋体" w:cs="宋体"/>
          <w:bCs/>
          <w:szCs w:val="21"/>
        </w:rPr>
        <w:t>执行。</w:t>
      </w:r>
    </w:p>
    <w:p>
      <w:pPr>
        <w:pStyle w:val="47"/>
        <w:numPr>
          <w:ilvl w:val="0"/>
          <w:numId w:val="0"/>
        </w:numPr>
      </w:pPr>
      <w:r>
        <w:rPr>
          <w:rFonts w:hint="eastAsia"/>
        </w:rPr>
        <w:t>5 水肥菌管理</w:t>
      </w:r>
    </w:p>
    <w:p>
      <w:pPr>
        <w:pStyle w:val="43"/>
        <w:numPr>
          <w:ilvl w:val="1"/>
          <w:numId w:val="0"/>
        </w:numPr>
      </w:pPr>
      <w:r>
        <w:rPr>
          <w:rFonts w:hint="eastAsia"/>
        </w:rPr>
        <w:t>5.1 施肥施菌装置</w:t>
      </w:r>
      <w:r>
        <w:rPr>
          <w:rFonts w:hint="eastAsia"/>
          <w:color w:val="0000FF"/>
        </w:rPr>
        <w:t xml:space="preserve"> </w:t>
      </w:r>
    </w:p>
    <w:p>
      <w:pPr>
        <w:ind w:firstLine="420" w:firstLineChars="200"/>
        <w:rPr>
          <w:rFonts w:ascii="宋体" w:hAnsi="宋体" w:cs="宋体"/>
          <w:bCs/>
          <w:szCs w:val="21"/>
        </w:rPr>
      </w:pPr>
      <w:r>
        <w:rPr>
          <w:rFonts w:hint="eastAsia" w:ascii="宋体" w:hAnsi="宋体" w:cs="宋体"/>
          <w:bCs/>
          <w:szCs w:val="21"/>
        </w:rPr>
        <w:t>1）</w:t>
      </w:r>
      <w:r>
        <w:rPr>
          <w:rFonts w:ascii="宋体" w:hAnsi="宋体" w:cs="宋体"/>
          <w:bCs/>
          <w:szCs w:val="21"/>
        </w:rPr>
        <w:t>宜</w:t>
      </w:r>
      <w:r>
        <w:rPr>
          <w:rFonts w:hint="eastAsia" w:ascii="宋体" w:hAnsi="宋体" w:cs="宋体"/>
          <w:bCs/>
          <w:szCs w:val="21"/>
        </w:rPr>
        <w:t>采用比例施肥方式施肥；</w:t>
      </w:r>
    </w:p>
    <w:p>
      <w:pPr>
        <w:ind w:firstLine="420" w:firstLineChars="200"/>
        <w:rPr>
          <w:rFonts w:ascii="宋体" w:hAnsi="宋体" w:cs="宋体"/>
          <w:bCs/>
          <w:szCs w:val="21"/>
        </w:rPr>
      </w:pPr>
      <w:r>
        <w:rPr>
          <w:rFonts w:hint="eastAsia" w:ascii="宋体" w:hAnsi="宋体" w:cs="宋体"/>
          <w:bCs/>
          <w:szCs w:val="21"/>
        </w:rPr>
        <w:t>2）肥(菌)液进入主管网前应采取过滤措施，要定期检查过滤器，如发现损坏应及时修复或更换。</w:t>
      </w:r>
    </w:p>
    <w:p>
      <w:pPr>
        <w:ind w:firstLine="420" w:firstLineChars="200"/>
        <w:rPr>
          <w:rFonts w:ascii="宋体" w:hAnsi="宋体" w:cs="宋体"/>
          <w:bCs/>
          <w:szCs w:val="21"/>
        </w:rPr>
      </w:pPr>
      <w:r>
        <w:rPr>
          <w:rFonts w:hint="eastAsia" w:ascii="宋体" w:hAnsi="宋体" w:cs="宋体"/>
          <w:bCs/>
          <w:szCs w:val="21"/>
        </w:rPr>
        <w:t>3）施肥装置符合SL550规定。</w:t>
      </w:r>
    </w:p>
    <w:p>
      <w:pPr>
        <w:pStyle w:val="47"/>
        <w:numPr>
          <w:ilvl w:val="0"/>
          <w:numId w:val="0"/>
        </w:numPr>
        <w:outlineLvl w:val="2"/>
        <w:rPr>
          <w:rFonts w:hint="eastAsia"/>
          <w:szCs w:val="21"/>
        </w:rPr>
      </w:pPr>
      <w:r>
        <w:rPr>
          <w:rFonts w:hint="eastAsia"/>
          <w:szCs w:val="21"/>
        </w:rPr>
        <w:t>5.2水肥菌管理要求</w:t>
      </w:r>
    </w:p>
    <w:p>
      <w:pPr>
        <w:ind w:firstLine="420" w:firstLineChars="200"/>
        <w:rPr>
          <w:rFonts w:ascii="宋体" w:hAnsi="宋体" w:cs="宋体"/>
          <w:bCs/>
          <w:szCs w:val="21"/>
        </w:rPr>
      </w:pPr>
      <w:r>
        <w:rPr>
          <w:rFonts w:hint="eastAsia" w:ascii="宋体" w:hAnsi="宋体" w:cs="宋体"/>
          <w:bCs/>
          <w:szCs w:val="21"/>
        </w:rPr>
        <w:t>1）按照</w:t>
      </w:r>
      <w:r>
        <w:rPr>
          <w:bCs/>
          <w:szCs w:val="21"/>
        </w:rPr>
        <w:t>NY/T 1118</w:t>
      </w:r>
      <w:r>
        <w:rPr>
          <w:rFonts w:hint="eastAsia" w:ascii="宋体" w:hAnsi="宋体" w:cs="宋体"/>
          <w:bCs/>
          <w:szCs w:val="21"/>
        </w:rPr>
        <w:t>的要求进行测土配方施肥；</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2）水溶肥料使用</w:t>
      </w:r>
      <w:r>
        <w:rPr>
          <w:rFonts w:hint="eastAsia" w:ascii="宋体" w:hAnsi="宋体" w:cs="宋体"/>
          <w:bCs/>
          <w:szCs w:val="21"/>
        </w:rPr>
        <w:t>按</w:t>
      </w:r>
      <w:r>
        <w:rPr>
          <w:bCs/>
          <w:szCs w:val="21"/>
        </w:rPr>
        <w:t>NY/T 1107</w:t>
      </w:r>
      <w:r>
        <w:rPr>
          <w:rFonts w:hint="eastAsia"/>
          <w:color w:val="000000" w:themeColor="text1"/>
          <w14:textFill>
            <w14:solidFill>
              <w14:schemeClr w14:val="tx1"/>
            </w14:solidFill>
          </w14:textFill>
        </w:rPr>
        <w:t>要求执行；</w:t>
      </w:r>
    </w:p>
    <w:p>
      <w:pPr>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宋体" w:hAnsi="宋体" w:eastAsia="宋体" w:cs="宋体"/>
          <w:bCs/>
          <w:color w:val="000000"/>
          <w:kern w:val="2"/>
          <w:sz w:val="21"/>
          <w:szCs w:val="21"/>
          <w:lang w:val="en-US" w:eastAsia="zh-CN" w:bidi="ar-SA"/>
        </w:rPr>
        <w:t>采用对马铃薯主要病害具有拮抗作用的荧光假单胞菌剂，有效活菌数≥5亿/ml，水不溶物≤5g/l，微生物菌剂符合GB 20287要求，剂型为液体；</w:t>
      </w:r>
    </w:p>
    <w:p>
      <w:pPr>
        <w:ind w:firstLine="420" w:firstLineChars="200"/>
        <w:rPr>
          <w:rFonts w:ascii="宋体" w:hAnsi="宋体" w:cs="宋体"/>
          <w:bCs/>
          <w:szCs w:val="21"/>
        </w:rPr>
      </w:pPr>
      <w:r>
        <w:rPr>
          <w:rFonts w:hint="eastAsia" w:ascii="宋体" w:hAnsi="宋体" w:cs="宋体"/>
          <w:bCs/>
          <w:szCs w:val="21"/>
        </w:rPr>
        <w:t>4）灌溉水应符合</w:t>
      </w:r>
      <w:r>
        <w:rPr>
          <w:bCs/>
          <w:szCs w:val="21"/>
        </w:rPr>
        <w:t>GB 5048</w:t>
      </w:r>
      <w:r>
        <w:rPr>
          <w:rFonts w:hint="eastAsia" w:ascii="宋体" w:hAnsi="宋体" w:cs="宋体"/>
          <w:bCs/>
          <w:szCs w:val="21"/>
        </w:rPr>
        <w:t>要求。</w:t>
      </w:r>
    </w:p>
    <w:p>
      <w:pPr>
        <w:ind w:firstLine="420" w:firstLineChars="200"/>
        <w:rPr>
          <w:rFonts w:ascii="宋体" w:hAnsi="宋体" w:cs="宋体"/>
          <w:bCs/>
          <w:szCs w:val="21"/>
        </w:rPr>
      </w:pPr>
      <w:r>
        <w:rPr>
          <w:rFonts w:hint="eastAsia" w:ascii="宋体" w:hAnsi="宋体" w:cs="宋体"/>
          <w:bCs/>
          <w:szCs w:val="21"/>
        </w:rPr>
        <w:t>5）</w:t>
      </w:r>
      <w:r>
        <w:rPr>
          <w:rFonts w:hint="eastAsia"/>
          <w:color w:val="000000" w:themeColor="text1"/>
          <w14:textFill>
            <w14:solidFill>
              <w14:schemeClr w14:val="tx1"/>
            </w14:solidFill>
          </w14:textFill>
        </w:rPr>
        <w:t>肥料应符合国家或行业标准的相关规定；</w:t>
      </w:r>
    </w:p>
    <w:p>
      <w:pPr>
        <w:ind w:firstLine="420" w:firstLineChars="200"/>
        <w:rPr>
          <w:rFonts w:ascii="宋体" w:hAnsi="宋体" w:cs="宋体"/>
          <w:bCs/>
          <w:szCs w:val="21"/>
        </w:rPr>
      </w:pPr>
      <w:r>
        <w:rPr>
          <w:rFonts w:hint="eastAsia" w:ascii="宋体" w:hAnsi="宋体" w:cs="宋体"/>
          <w:bCs/>
          <w:szCs w:val="21"/>
        </w:rPr>
        <w:t>6</w:t>
      </w:r>
      <w:r>
        <w:rPr>
          <w:rFonts w:hint="eastAsia" w:ascii="宋体" w:hAnsi="宋体" w:cs="宋体"/>
          <w:bCs/>
          <w:szCs w:val="21"/>
          <w:lang w:eastAsia="zh-CN"/>
        </w:rPr>
        <w:t>）</w:t>
      </w:r>
      <w:r>
        <w:rPr>
          <w:rFonts w:hint="eastAsia" w:ascii="宋体" w:hAnsi="宋体" w:cs="宋体"/>
          <w:bCs/>
          <w:szCs w:val="21"/>
        </w:rPr>
        <w:t>水肥菌管理时可采用“前清水-水肥-后清水”顺序执行</w:t>
      </w:r>
      <w:r>
        <w:rPr>
          <w:rFonts w:ascii="宋体" w:hAnsi="宋体" w:cs="宋体"/>
          <w:bCs/>
          <w:szCs w:val="21"/>
        </w:rPr>
        <w:t>；</w:t>
      </w:r>
    </w:p>
    <w:p>
      <w:pPr>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7</w:t>
      </w:r>
      <w:r>
        <w:rPr>
          <w:rFonts w:hint="eastAsia" w:ascii="宋体" w:hAnsi="宋体" w:cs="宋体"/>
          <w:bCs/>
          <w:color w:val="000000" w:themeColor="text1"/>
          <w:szCs w:val="21"/>
          <w:lang w:eastAsia="zh-CN"/>
          <w14:textFill>
            <w14:solidFill>
              <w14:schemeClr w14:val="tx1"/>
            </w14:solidFill>
          </w14:textFill>
        </w:rPr>
        <w:t>）</w:t>
      </w:r>
      <w:r>
        <w:rPr>
          <w:rFonts w:hint="eastAsia" w:ascii="宋体" w:hAnsi="宋体" w:cs="宋体"/>
          <w:bCs/>
          <w:color w:val="000000" w:themeColor="text1"/>
          <w:szCs w:val="21"/>
          <w14:textFill>
            <w14:solidFill>
              <w14:schemeClr w14:val="tx1"/>
            </w14:solidFill>
          </w14:textFill>
        </w:rPr>
        <w:t>微生物菌剂施肥时应避免阳光直射；微生物菌剂宜单独施用，不可与农药或高浓度化肥混合施用，与低浓度化肥混合时须随混随用，不可长期共存</w:t>
      </w:r>
      <w:r>
        <w:rPr>
          <w:rFonts w:ascii="宋体" w:hAnsi="宋体" w:cs="宋体"/>
          <w:bCs/>
          <w:color w:val="000000" w:themeColor="text1"/>
          <w:szCs w:val="21"/>
          <w14:textFill>
            <w14:solidFill>
              <w14:schemeClr w14:val="tx1"/>
            </w14:solidFill>
          </w14:textFill>
        </w:rPr>
        <w:t>；</w:t>
      </w:r>
    </w:p>
    <w:p>
      <w:pPr>
        <w:pStyle w:val="47"/>
        <w:numPr>
          <w:ilvl w:val="0"/>
          <w:numId w:val="0"/>
        </w:numPr>
      </w:pPr>
      <w:r>
        <w:rPr>
          <w:rFonts w:hint="eastAsia"/>
        </w:rPr>
        <w:t>6 生产管理</w:t>
      </w:r>
    </w:p>
    <w:p>
      <w:pPr>
        <w:ind w:firstLine="420" w:firstLineChars="200"/>
        <w:rPr>
          <w:rFonts w:ascii="宋体" w:hAnsi="宋体" w:cs="宋体"/>
          <w:bCs/>
          <w:szCs w:val="21"/>
        </w:rPr>
      </w:pPr>
      <w:r>
        <w:rPr>
          <w:rFonts w:hint="eastAsia" w:ascii="宋体" w:hAnsi="宋体" w:cs="宋体"/>
          <w:bCs/>
          <w:szCs w:val="21"/>
          <w:lang w:eastAsia="zh-CN"/>
        </w:rPr>
        <w:t>马铃薯播种、病虫害防治、收获等田间管理</w:t>
      </w:r>
      <w:r>
        <w:rPr>
          <w:rFonts w:hint="eastAsia" w:ascii="宋体" w:hAnsi="宋体" w:cs="宋体"/>
          <w:bCs/>
          <w:szCs w:val="21"/>
        </w:rPr>
        <w:t>参照</w:t>
      </w:r>
      <w:r>
        <w:rPr>
          <w:bCs/>
          <w:szCs w:val="21"/>
        </w:rPr>
        <w:t xml:space="preserve">DB13/T 1607 </w:t>
      </w:r>
      <w:r>
        <w:rPr>
          <w:rFonts w:hint="eastAsia" w:ascii="宋体" w:hAnsi="宋体" w:cs="宋体"/>
          <w:bCs/>
          <w:szCs w:val="21"/>
        </w:rPr>
        <w:t>执行。</w:t>
      </w:r>
    </w:p>
    <w:p>
      <w:pPr>
        <w:jc w:val="center"/>
        <w:rPr>
          <w:rFonts w:ascii="宋体" w:hAnsi="宋体" w:cs="宋体"/>
          <w:bCs/>
          <w:sz w:val="15"/>
          <w:szCs w:val="15"/>
        </w:rPr>
      </w:pPr>
      <w:r>
        <w:rPr>
          <w:rFonts w:hint="eastAsia"/>
        </w:rPr>
        <w:br w:type="page"/>
      </w:r>
      <w:r>
        <w:rPr>
          <w:rFonts w:hint="eastAsia"/>
        </w:rPr>
        <w:t xml:space="preserve"> </w:t>
      </w:r>
      <w:r>
        <w:rPr>
          <w:rFonts w:hint="eastAsia" w:ascii="宋体" w:hAnsi="宋体" w:cs="宋体"/>
          <w:bCs/>
          <w:sz w:val="15"/>
          <w:szCs w:val="15"/>
        </w:rPr>
        <w:t>附录A</w:t>
      </w:r>
    </w:p>
    <w:p>
      <w:pPr>
        <w:jc w:val="center"/>
        <w:rPr>
          <w:rFonts w:ascii="宋体" w:hAnsi="宋体" w:cs="宋体"/>
          <w:bCs/>
          <w:sz w:val="15"/>
          <w:szCs w:val="15"/>
        </w:rPr>
      </w:pPr>
      <w:r>
        <w:rPr>
          <w:rFonts w:hint="eastAsia" w:ascii="宋体" w:hAnsi="宋体" w:cs="宋体"/>
          <w:bCs/>
          <w:sz w:val="15"/>
          <w:szCs w:val="15"/>
        </w:rPr>
        <w:t>(规范性附录 )</w:t>
      </w:r>
    </w:p>
    <w:p>
      <w:pPr>
        <w:widowControl/>
        <w:ind w:firstLine="442"/>
        <w:jc w:val="center"/>
        <w:rPr>
          <w:rFonts w:ascii="宋体" w:hAnsi="宋体" w:cs="宋体"/>
          <w:bCs/>
          <w:sz w:val="15"/>
          <w:szCs w:val="15"/>
        </w:rPr>
      </w:pPr>
      <w:r>
        <w:rPr>
          <w:rFonts w:hint="eastAsia" w:ascii="宋体" w:hAnsi="宋体" w:cs="宋体"/>
          <w:bCs/>
          <w:sz w:val="15"/>
          <w:szCs w:val="15"/>
        </w:rPr>
        <w:t>马铃薯生产施肥总量及底肥用量参照</w:t>
      </w:r>
    </w:p>
    <w:tbl>
      <w:tblPr>
        <w:tblStyle w:val="32"/>
        <w:tblW w:w="7193" w:type="dxa"/>
        <w:jc w:val="center"/>
        <w:tblBorders>
          <w:top w:val="none" w:color="auto" w:sz="0" w:space="0"/>
          <w:left w:val="single" w:color="auto" w:sz="4" w:space="0"/>
          <w:bottom w:val="none" w:color="auto" w:sz="0"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1540"/>
        <w:gridCol w:w="1080"/>
        <w:gridCol w:w="1080"/>
        <w:gridCol w:w="1080"/>
        <w:gridCol w:w="1080"/>
      </w:tblGrid>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873" w:type="dxa"/>
            <w:gridSpan w:val="2"/>
            <w:tcBorders>
              <w:top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土壤肥力分级</w:t>
            </w:r>
          </w:p>
        </w:tc>
        <w:tc>
          <w:tcPr>
            <w:tcW w:w="1080" w:type="dxa"/>
            <w:tcBorders>
              <w:top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高</w:t>
            </w:r>
          </w:p>
        </w:tc>
        <w:tc>
          <w:tcPr>
            <w:tcW w:w="1080" w:type="dxa"/>
            <w:tcBorders>
              <w:top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中</w:t>
            </w:r>
          </w:p>
        </w:tc>
        <w:tc>
          <w:tcPr>
            <w:tcW w:w="1080" w:type="dxa"/>
            <w:tcBorders>
              <w:top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低</w:t>
            </w:r>
          </w:p>
        </w:tc>
        <w:tc>
          <w:tcPr>
            <w:tcW w:w="1080" w:type="dxa"/>
            <w:tcBorders>
              <w:top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极低</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19" w:hRule="atLeast"/>
          <w:jc w:val="center"/>
        </w:trPr>
        <w:tc>
          <w:tcPr>
            <w:tcW w:w="28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土壤有机质含量（g/kg）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auto"/>
                <w:kern w:val="0"/>
                <w:sz w:val="15"/>
                <w:szCs w:val="15"/>
                <w:lang w:val="en-US" w:eastAsia="zh-CN"/>
              </w:rPr>
            </w:pPr>
            <w:r>
              <w:rPr>
                <w:rFonts w:hint="eastAsia" w:ascii="仿宋" w:hAnsi="仿宋" w:eastAsia="仿宋" w:cs="宋体"/>
                <w:color w:val="auto"/>
                <w:kern w:val="0"/>
                <w:sz w:val="15"/>
                <w:szCs w:val="15"/>
              </w:rPr>
              <w:t>&gt;</w:t>
            </w:r>
            <w:r>
              <w:rPr>
                <w:rFonts w:hint="eastAsia" w:ascii="仿宋" w:hAnsi="仿宋" w:eastAsia="仿宋" w:cs="宋体"/>
                <w:color w:val="auto"/>
                <w:kern w:val="0"/>
                <w:sz w:val="15"/>
                <w:szCs w:val="15"/>
                <w:lang w:val="en-US" w:eastAsia="zh-CN"/>
              </w:rPr>
              <w:t>30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auto"/>
                <w:kern w:val="0"/>
                <w:sz w:val="15"/>
                <w:szCs w:val="15"/>
                <w:lang w:val="en-US" w:eastAsia="zh-CN"/>
              </w:rPr>
            </w:pPr>
            <w:r>
              <w:rPr>
                <w:rFonts w:hint="eastAsia" w:ascii="仿宋" w:hAnsi="仿宋" w:eastAsia="仿宋" w:cs="宋体"/>
                <w:color w:val="auto"/>
                <w:kern w:val="0"/>
                <w:sz w:val="15"/>
                <w:szCs w:val="15"/>
                <w:lang w:val="en-US" w:eastAsia="zh-CN"/>
              </w:rPr>
              <w:t>14</w:t>
            </w:r>
            <w:r>
              <w:rPr>
                <w:rFonts w:hint="eastAsia" w:ascii="仿宋" w:hAnsi="仿宋" w:eastAsia="仿宋" w:cs="宋体"/>
                <w:color w:val="auto"/>
                <w:kern w:val="0"/>
                <w:sz w:val="15"/>
                <w:szCs w:val="15"/>
                <w:lang w:eastAsia="zh-CN"/>
              </w:rPr>
              <w:t>～</w:t>
            </w:r>
            <w:r>
              <w:rPr>
                <w:rFonts w:hint="eastAsia" w:ascii="仿宋" w:hAnsi="仿宋" w:eastAsia="仿宋" w:cs="宋体"/>
                <w:color w:val="auto"/>
                <w:kern w:val="0"/>
                <w:sz w:val="15"/>
                <w:szCs w:val="15"/>
                <w:lang w:val="en-US" w:eastAsia="zh-CN"/>
              </w:rPr>
              <w:t>30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auto"/>
                <w:kern w:val="0"/>
                <w:sz w:val="15"/>
                <w:szCs w:val="15"/>
                <w:lang w:eastAsia="zh-CN"/>
              </w:rPr>
            </w:pPr>
            <w:r>
              <w:rPr>
                <w:rFonts w:hint="eastAsia" w:ascii="仿宋" w:hAnsi="仿宋" w:eastAsia="仿宋" w:cs="宋体"/>
                <w:color w:val="auto"/>
                <w:kern w:val="0"/>
                <w:sz w:val="15"/>
                <w:szCs w:val="15"/>
                <w:lang w:val="en-US" w:eastAsia="zh-CN"/>
              </w:rPr>
              <w:t>7～14</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auto"/>
                <w:kern w:val="0"/>
                <w:sz w:val="15"/>
                <w:szCs w:val="15"/>
                <w:lang w:eastAsia="zh-CN"/>
              </w:rPr>
            </w:pPr>
            <w:r>
              <w:rPr>
                <w:rFonts w:hint="eastAsia" w:ascii="仿宋" w:hAnsi="仿宋" w:eastAsia="仿宋" w:cs="宋体"/>
                <w:color w:val="auto"/>
                <w:kern w:val="0"/>
                <w:sz w:val="15"/>
                <w:szCs w:val="15"/>
              </w:rPr>
              <w:t>&lt;</w:t>
            </w:r>
            <w:r>
              <w:rPr>
                <w:rFonts w:hint="eastAsia" w:ascii="仿宋" w:hAnsi="仿宋" w:eastAsia="仿宋" w:cs="宋体"/>
                <w:color w:val="auto"/>
                <w:kern w:val="0"/>
                <w:sz w:val="15"/>
                <w:szCs w:val="15"/>
                <w:lang w:val="en-US" w:eastAsia="zh-CN"/>
              </w:rPr>
              <w:t>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28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微生物菌剂（L</w:t>
            </w:r>
            <w:r>
              <w:rPr>
                <w:rFonts w:ascii="仿宋" w:hAnsi="仿宋" w:eastAsia="仿宋" w:cs="宋体"/>
                <w:color w:val="000000"/>
                <w:kern w:val="0"/>
                <w:sz w:val="15"/>
                <w:szCs w:val="15"/>
              </w:rPr>
              <w:t>/</w:t>
            </w:r>
            <w:r>
              <w:rPr>
                <w:rFonts w:hint="eastAsia" w:ascii="仿宋" w:hAnsi="仿宋" w:eastAsia="仿宋" w:cs="宋体"/>
                <w:color w:val="000000"/>
                <w:kern w:val="0"/>
                <w:sz w:val="15"/>
                <w:szCs w:val="15"/>
              </w:rPr>
              <w:t>亩）</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5</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15</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90" w:hRule="atLeast"/>
          <w:jc w:val="center"/>
        </w:trPr>
        <w:tc>
          <w:tcPr>
            <w:tcW w:w="28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生物有机肥（kg/亩）</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6</w:t>
            </w:r>
            <w:r>
              <w:rPr>
                <w:rFonts w:ascii="仿宋" w:hAnsi="仿宋" w:eastAsia="仿宋" w:cs="宋体"/>
                <w:color w:val="000000"/>
                <w:kern w:val="0"/>
                <w:sz w:val="15"/>
                <w:szCs w:val="15"/>
              </w:rPr>
              <w:t>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ascii="仿宋" w:hAnsi="仿宋" w:eastAsia="仿宋" w:cs="宋体"/>
                <w:color w:val="000000"/>
                <w:kern w:val="0"/>
                <w:sz w:val="15"/>
                <w:szCs w:val="15"/>
              </w:rPr>
              <w:t>60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ascii="仿宋" w:hAnsi="仿宋" w:eastAsia="仿宋" w:cs="宋体"/>
                <w:color w:val="000000"/>
                <w:kern w:val="0"/>
                <w:sz w:val="15"/>
                <w:szCs w:val="15"/>
              </w:rPr>
              <w:t>80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w:t>
            </w:r>
            <w:r>
              <w:rPr>
                <w:rFonts w:ascii="仿宋" w:hAnsi="仿宋" w:eastAsia="仿宋" w:cs="宋体"/>
                <w:color w:val="000000"/>
                <w:kern w:val="0"/>
                <w:sz w:val="15"/>
                <w:szCs w:val="15"/>
              </w:rPr>
              <w:t>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纯N</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（kg/亩）</w:t>
            </w: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4000～4500kg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24</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26</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28</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3500～4000kg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22</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23</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24</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3000～3500kg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21</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22</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2500～3000kg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18</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19</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22</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57" w:hRule="atLeast"/>
          <w:jc w:val="center"/>
        </w:trPr>
        <w:tc>
          <w:tcPr>
            <w:tcW w:w="28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土壤速效磷含量  (mg/kg)</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&gt;</w:t>
            </w:r>
            <w:r>
              <w:rPr>
                <w:rFonts w:hint="eastAsia" w:ascii="仿宋" w:hAnsi="仿宋" w:eastAsia="仿宋" w:cs="宋体"/>
                <w:color w:val="000000"/>
                <w:kern w:val="0"/>
                <w:sz w:val="15"/>
                <w:szCs w:val="15"/>
                <w:lang w:val="en-US" w:eastAsia="zh-CN"/>
              </w:rPr>
              <w:t>3</w:t>
            </w:r>
            <w:r>
              <w:rPr>
                <w:rFonts w:hint="eastAsia" w:ascii="仿宋" w:hAnsi="仿宋" w:eastAsia="仿宋" w:cs="宋体"/>
                <w:color w:val="000000"/>
                <w:kern w:val="0"/>
                <w:sz w:val="15"/>
                <w:szCs w:val="15"/>
              </w:rPr>
              <w:t>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15"/>
                <w:szCs w:val="15"/>
                <w:lang w:val="en-US" w:eastAsia="zh-CN"/>
              </w:rPr>
            </w:pPr>
            <w:r>
              <w:rPr>
                <w:rFonts w:hint="eastAsia" w:ascii="仿宋" w:hAnsi="仿宋" w:eastAsia="仿宋" w:cs="宋体"/>
                <w:color w:val="000000"/>
                <w:kern w:val="0"/>
                <w:sz w:val="15"/>
                <w:szCs w:val="15"/>
                <w:lang w:val="en-US" w:eastAsia="zh-CN"/>
              </w:rPr>
              <w:t>20</w:t>
            </w:r>
            <w:r>
              <w:rPr>
                <w:rFonts w:hint="eastAsia" w:ascii="仿宋" w:hAnsi="仿宋" w:eastAsia="仿宋" w:cs="宋体"/>
                <w:color w:val="000000"/>
                <w:kern w:val="0"/>
                <w:sz w:val="15"/>
                <w:szCs w:val="15"/>
                <w:lang w:eastAsia="zh-CN"/>
              </w:rPr>
              <w:t>～</w:t>
            </w:r>
            <w:r>
              <w:rPr>
                <w:rFonts w:hint="eastAsia" w:ascii="仿宋" w:hAnsi="仿宋" w:eastAsia="仿宋" w:cs="宋体"/>
                <w:color w:val="000000"/>
                <w:kern w:val="0"/>
                <w:sz w:val="15"/>
                <w:szCs w:val="15"/>
                <w:lang w:val="en-US" w:eastAsia="zh-CN"/>
              </w:rPr>
              <w:t>30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15"/>
                <w:szCs w:val="15"/>
                <w:lang w:val="en-US" w:eastAsia="zh-CN"/>
              </w:rPr>
            </w:pPr>
            <w:r>
              <w:rPr>
                <w:rFonts w:hint="eastAsia" w:ascii="仿宋" w:hAnsi="仿宋" w:eastAsia="仿宋" w:cs="宋体"/>
                <w:color w:val="000000"/>
                <w:kern w:val="0"/>
                <w:sz w:val="15"/>
                <w:szCs w:val="15"/>
                <w:lang w:val="en-US" w:eastAsia="zh-CN"/>
              </w:rPr>
              <w:t>10</w:t>
            </w:r>
            <w:r>
              <w:rPr>
                <w:rFonts w:hint="eastAsia" w:ascii="仿宋" w:hAnsi="仿宋" w:eastAsia="仿宋" w:cs="宋体"/>
                <w:color w:val="000000"/>
                <w:kern w:val="0"/>
                <w:sz w:val="15"/>
                <w:szCs w:val="15"/>
                <w:lang w:eastAsia="zh-CN"/>
              </w:rPr>
              <w:t>～</w:t>
            </w:r>
            <w:r>
              <w:rPr>
                <w:rFonts w:hint="eastAsia" w:ascii="仿宋" w:hAnsi="仿宋" w:eastAsia="仿宋" w:cs="宋体"/>
                <w:color w:val="000000"/>
                <w:kern w:val="0"/>
                <w:sz w:val="15"/>
                <w:szCs w:val="15"/>
                <w:lang w:val="en-US" w:eastAsia="zh-CN"/>
              </w:rPr>
              <w:t>20</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15"/>
                <w:szCs w:val="15"/>
                <w:lang w:val="en-US" w:eastAsia="zh-CN"/>
              </w:rPr>
            </w:pPr>
            <w:r>
              <w:rPr>
                <w:rFonts w:hint="eastAsia" w:ascii="仿宋" w:hAnsi="仿宋" w:eastAsia="仿宋" w:cs="宋体"/>
                <w:color w:val="000000"/>
                <w:kern w:val="0"/>
                <w:sz w:val="15"/>
                <w:szCs w:val="15"/>
              </w:rPr>
              <w:t>&lt;</w:t>
            </w:r>
            <w:r>
              <w:rPr>
                <w:rFonts w:hint="eastAsia" w:ascii="仿宋" w:hAnsi="仿宋" w:eastAsia="仿宋" w:cs="宋体"/>
                <w:color w:val="000000"/>
                <w:kern w:val="0"/>
                <w:sz w:val="15"/>
                <w:szCs w:val="15"/>
                <w:lang w:val="en-US" w:eastAsia="zh-CN"/>
              </w:rPr>
              <w:t>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vertAlign w:val="subscript"/>
              </w:rPr>
            </w:pPr>
            <w:r>
              <w:rPr>
                <w:rFonts w:hint="eastAsia" w:ascii="仿宋" w:hAnsi="仿宋" w:eastAsia="仿宋" w:cs="宋体"/>
                <w:color w:val="000000"/>
                <w:kern w:val="0"/>
                <w:sz w:val="15"/>
                <w:szCs w:val="15"/>
              </w:rPr>
              <w:t>P</w:t>
            </w:r>
            <w:r>
              <w:rPr>
                <w:rFonts w:hint="eastAsia" w:ascii="仿宋" w:hAnsi="仿宋" w:eastAsia="仿宋" w:cs="宋体"/>
                <w:color w:val="000000"/>
                <w:kern w:val="0"/>
                <w:sz w:val="15"/>
                <w:szCs w:val="15"/>
                <w:vertAlign w:val="subscript"/>
              </w:rPr>
              <w:t>2</w:t>
            </w:r>
            <w:r>
              <w:rPr>
                <w:rFonts w:hint="eastAsia" w:ascii="仿宋" w:hAnsi="仿宋" w:eastAsia="仿宋" w:cs="宋体"/>
                <w:color w:val="000000"/>
                <w:kern w:val="0"/>
                <w:sz w:val="15"/>
                <w:szCs w:val="15"/>
              </w:rPr>
              <w:t>O</w:t>
            </w:r>
            <w:r>
              <w:rPr>
                <w:rFonts w:hint="eastAsia" w:ascii="仿宋" w:hAnsi="仿宋" w:eastAsia="仿宋" w:cs="宋体"/>
                <w:color w:val="000000"/>
                <w:kern w:val="0"/>
                <w:sz w:val="15"/>
                <w:szCs w:val="15"/>
                <w:vertAlign w:val="subscript"/>
              </w:rPr>
              <w:t>5</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(kg/亩)</w:t>
            </w: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4000～4500kg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3500～4000kg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12</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3000～3500kg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2500～3000kg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7</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9</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28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土壤速效钾含量  (mg/kg)</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15"/>
                <w:szCs w:val="15"/>
                <w:lang w:val="en-US" w:eastAsia="zh-CN"/>
              </w:rPr>
            </w:pPr>
            <w:r>
              <w:rPr>
                <w:rFonts w:hint="eastAsia" w:ascii="仿宋" w:hAnsi="仿宋" w:eastAsia="仿宋" w:cs="宋体"/>
                <w:color w:val="000000"/>
                <w:kern w:val="0"/>
                <w:sz w:val="15"/>
                <w:szCs w:val="15"/>
              </w:rPr>
              <w:t>&gt;1</w:t>
            </w:r>
            <w:r>
              <w:rPr>
                <w:rFonts w:hint="eastAsia" w:ascii="仿宋" w:hAnsi="仿宋" w:eastAsia="仿宋" w:cs="宋体"/>
                <w:color w:val="000000"/>
                <w:kern w:val="0"/>
                <w:sz w:val="15"/>
                <w:szCs w:val="15"/>
                <w:lang w:val="en-US" w:eastAsia="zh-CN"/>
              </w:rPr>
              <w:t>50</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15"/>
                <w:szCs w:val="15"/>
                <w:lang w:val="en-US" w:eastAsia="zh-CN"/>
              </w:rPr>
            </w:pPr>
            <w:r>
              <w:rPr>
                <w:rFonts w:hint="eastAsia" w:ascii="仿宋" w:hAnsi="仿宋" w:eastAsia="仿宋" w:cs="宋体"/>
                <w:color w:val="000000"/>
                <w:kern w:val="0"/>
                <w:sz w:val="15"/>
                <w:szCs w:val="15"/>
              </w:rPr>
              <w:t>1</w:t>
            </w:r>
            <w:r>
              <w:rPr>
                <w:rFonts w:hint="eastAsia" w:ascii="仿宋" w:hAnsi="仿宋" w:eastAsia="仿宋" w:cs="宋体"/>
                <w:color w:val="000000"/>
                <w:kern w:val="0"/>
                <w:sz w:val="15"/>
                <w:szCs w:val="15"/>
                <w:lang w:val="en-US" w:eastAsia="zh-CN"/>
              </w:rPr>
              <w:t>0</w:t>
            </w:r>
            <w:r>
              <w:rPr>
                <w:rFonts w:hint="eastAsia" w:ascii="仿宋" w:hAnsi="仿宋" w:eastAsia="仿宋" w:cs="宋体"/>
                <w:color w:val="000000"/>
                <w:kern w:val="0"/>
                <w:sz w:val="15"/>
                <w:szCs w:val="15"/>
              </w:rPr>
              <w:t>0</w:t>
            </w:r>
            <w:r>
              <w:rPr>
                <w:rFonts w:hint="eastAsia" w:ascii="仿宋" w:hAnsi="仿宋" w:eastAsia="仿宋" w:cs="宋体"/>
                <w:color w:val="000000"/>
                <w:kern w:val="0"/>
                <w:sz w:val="15"/>
                <w:szCs w:val="15"/>
                <w:lang w:eastAsia="zh-CN"/>
              </w:rPr>
              <w:t>～</w:t>
            </w:r>
            <w:r>
              <w:rPr>
                <w:rFonts w:hint="eastAsia" w:ascii="仿宋" w:hAnsi="仿宋" w:eastAsia="仿宋" w:cs="宋体"/>
                <w:color w:val="000000"/>
                <w:kern w:val="0"/>
                <w:sz w:val="15"/>
                <w:szCs w:val="15"/>
              </w:rPr>
              <w:t>1</w:t>
            </w:r>
            <w:r>
              <w:rPr>
                <w:rFonts w:hint="eastAsia" w:ascii="仿宋" w:hAnsi="仿宋" w:eastAsia="仿宋" w:cs="宋体"/>
                <w:color w:val="000000"/>
                <w:kern w:val="0"/>
                <w:sz w:val="15"/>
                <w:szCs w:val="15"/>
                <w:lang w:val="en-US" w:eastAsia="zh-CN"/>
              </w:rPr>
              <w:t>50</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lang w:val="en-US" w:eastAsia="zh-CN"/>
              </w:rPr>
              <w:t>5</w:t>
            </w:r>
            <w:r>
              <w:rPr>
                <w:rFonts w:hint="eastAsia" w:ascii="仿宋" w:hAnsi="仿宋" w:eastAsia="仿宋" w:cs="宋体"/>
                <w:color w:val="000000"/>
                <w:kern w:val="0"/>
                <w:sz w:val="15"/>
                <w:szCs w:val="15"/>
              </w:rPr>
              <w:t>0</w:t>
            </w:r>
            <w:r>
              <w:rPr>
                <w:rFonts w:hint="eastAsia" w:ascii="仿宋" w:hAnsi="仿宋" w:eastAsia="仿宋" w:cs="宋体"/>
                <w:color w:val="000000"/>
                <w:kern w:val="0"/>
                <w:sz w:val="15"/>
                <w:szCs w:val="15"/>
                <w:lang w:eastAsia="zh-CN"/>
              </w:rPr>
              <w:t>～</w:t>
            </w:r>
            <w:r>
              <w:rPr>
                <w:rFonts w:hint="eastAsia" w:ascii="仿宋" w:hAnsi="仿宋" w:eastAsia="仿宋" w:cs="宋体"/>
                <w:color w:val="000000"/>
                <w:kern w:val="0"/>
                <w:sz w:val="15"/>
                <w:szCs w:val="15"/>
              </w:rPr>
              <w:t>1</w:t>
            </w:r>
            <w:r>
              <w:rPr>
                <w:rFonts w:hint="eastAsia" w:ascii="仿宋" w:hAnsi="仿宋" w:eastAsia="仿宋" w:cs="宋体"/>
                <w:color w:val="000000"/>
                <w:kern w:val="0"/>
                <w:sz w:val="15"/>
                <w:szCs w:val="15"/>
                <w:lang w:val="en-US" w:eastAsia="zh-CN"/>
              </w:rPr>
              <w:t>0</w:t>
            </w:r>
            <w:r>
              <w:rPr>
                <w:rFonts w:hint="eastAsia" w:ascii="仿宋" w:hAnsi="仿宋" w:eastAsia="仿宋" w:cs="宋体"/>
                <w:color w:val="000000"/>
                <w:kern w:val="0"/>
                <w:sz w:val="15"/>
                <w:szCs w:val="15"/>
              </w:rPr>
              <w:t>0</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&lt;</w:t>
            </w:r>
            <w:r>
              <w:rPr>
                <w:rFonts w:hint="eastAsia" w:ascii="仿宋" w:hAnsi="仿宋" w:eastAsia="仿宋" w:cs="宋体"/>
                <w:color w:val="000000"/>
                <w:kern w:val="0"/>
                <w:sz w:val="15"/>
                <w:szCs w:val="15"/>
                <w:lang w:val="en-US" w:eastAsia="zh-CN"/>
              </w:rPr>
              <w:t>5</w:t>
            </w:r>
            <w:r>
              <w:rPr>
                <w:rFonts w:hint="eastAsia" w:ascii="仿宋" w:hAnsi="仿宋" w:eastAsia="仿宋" w:cs="宋体"/>
                <w:color w:val="000000"/>
                <w:kern w:val="0"/>
                <w:sz w:val="15"/>
                <w:szCs w:val="15"/>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K</w:t>
            </w:r>
            <w:r>
              <w:rPr>
                <w:rFonts w:hint="eastAsia" w:ascii="仿宋" w:hAnsi="仿宋" w:eastAsia="仿宋" w:cs="宋体"/>
                <w:color w:val="000000"/>
                <w:kern w:val="0"/>
                <w:sz w:val="15"/>
                <w:szCs w:val="15"/>
                <w:vertAlign w:val="subscript"/>
              </w:rPr>
              <w:t>2</w:t>
            </w:r>
            <w:r>
              <w:rPr>
                <w:rFonts w:hint="eastAsia" w:ascii="仿宋" w:hAnsi="仿宋" w:eastAsia="仿宋" w:cs="宋体"/>
                <w:color w:val="000000"/>
                <w:kern w:val="0"/>
                <w:sz w:val="15"/>
                <w:szCs w:val="15"/>
              </w:rPr>
              <w:t>O</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(kg/亩)</w:t>
            </w: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4000～4500kg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34</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3500～4000kg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3000～3500kg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24</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26</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28</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30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5"/>
                <w:szCs w:val="15"/>
              </w:rPr>
            </w:pPr>
          </w:p>
        </w:tc>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2500～3000kg</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 22</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24</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05" w:hRule="atLeast"/>
          <w:jc w:val="center"/>
        </w:trPr>
        <w:tc>
          <w:tcPr>
            <w:tcW w:w="7193" w:type="dxa"/>
            <w:gridSpan w:val="6"/>
            <w:tcBorders>
              <w:top w:val="single" w:color="auto" w:sz="4" w:space="0"/>
              <w:left w:val="single" w:color="auto" w:sz="4" w:space="0"/>
              <w:bottom w:val="nil"/>
              <w:right w:val="single" w:color="000000" w:sz="4" w:space="0"/>
            </w:tcBorders>
            <w:shd w:val="clear" w:color="auto" w:fill="auto"/>
            <w:vAlign w:val="bottom"/>
          </w:tcPr>
          <w:p>
            <w:pPr>
              <w:widowControl/>
              <w:jc w:val="left"/>
              <w:rPr>
                <w:rFonts w:ascii="仿宋" w:hAnsi="仿宋" w:eastAsia="仿宋" w:cs="宋体"/>
                <w:color w:val="000000"/>
                <w:kern w:val="0"/>
                <w:sz w:val="15"/>
                <w:szCs w:val="15"/>
              </w:rPr>
            </w:pPr>
            <w:r>
              <w:rPr>
                <w:rFonts w:hint="eastAsia" w:ascii="仿宋" w:hAnsi="仿宋" w:eastAsia="仿宋" w:cs="宋体"/>
                <w:color w:val="000000"/>
                <w:kern w:val="0"/>
                <w:sz w:val="15"/>
                <w:szCs w:val="15"/>
              </w:rPr>
              <w:t>注1：按地力基础、目标产量确定施肥量。</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14" w:hRule="atLeast"/>
          <w:jc w:val="center"/>
        </w:trPr>
        <w:tc>
          <w:tcPr>
            <w:tcW w:w="7193" w:type="dxa"/>
            <w:gridSpan w:val="6"/>
            <w:tcBorders>
              <w:top w:val="nil"/>
              <w:left w:val="single" w:color="auto" w:sz="4" w:space="0"/>
              <w:bottom w:val="single" w:color="auto" w:sz="4" w:space="0"/>
              <w:right w:val="single" w:color="000000" w:sz="4" w:space="0"/>
            </w:tcBorders>
            <w:shd w:val="clear" w:color="auto" w:fill="auto"/>
            <w:vAlign w:val="bottom"/>
          </w:tcPr>
          <w:p>
            <w:pPr>
              <w:widowControl/>
              <w:jc w:val="left"/>
              <w:rPr>
                <w:rFonts w:ascii="仿宋" w:hAnsi="仿宋" w:eastAsia="仿宋" w:cs="宋体"/>
                <w:color w:val="000000"/>
                <w:kern w:val="0"/>
                <w:sz w:val="15"/>
                <w:szCs w:val="15"/>
              </w:rPr>
            </w:pPr>
            <w:r>
              <w:rPr>
                <w:rFonts w:hint="eastAsia" w:ascii="仿宋" w:hAnsi="仿宋" w:eastAsia="仿宋" w:cs="宋体"/>
                <w:color w:val="000000"/>
                <w:kern w:val="0"/>
                <w:sz w:val="15"/>
                <w:szCs w:val="15"/>
              </w:rPr>
              <w:t>注2：氮肥1/2作基肥，1/2作追肥施用;钾肥1/2作基肥，1/2作追肥施用；磷肥全作基肥施用；有机肥全作基肥施用。</w:t>
            </w:r>
          </w:p>
        </w:tc>
      </w:tr>
    </w:tbl>
    <w:p>
      <w:pPr>
        <w:jc w:val="center"/>
        <w:rPr>
          <w:rFonts w:ascii="宋体" w:hAnsi="宋体" w:cs="宋体"/>
          <w:bCs/>
          <w:szCs w:val="21"/>
        </w:rPr>
      </w:pPr>
    </w:p>
    <w:p>
      <w:pPr>
        <w:jc w:val="center"/>
        <w:rPr>
          <w:rFonts w:ascii="宋体" w:hAnsi="宋体" w:cs="宋体"/>
          <w:bCs/>
          <w:sz w:val="15"/>
          <w:szCs w:val="15"/>
        </w:rPr>
      </w:pPr>
    </w:p>
    <w:p>
      <w:pPr>
        <w:jc w:val="center"/>
        <w:rPr>
          <w:rFonts w:ascii="宋体" w:hAnsi="宋体" w:cs="宋体"/>
          <w:bCs/>
          <w:sz w:val="15"/>
          <w:szCs w:val="15"/>
        </w:rPr>
      </w:pPr>
    </w:p>
    <w:p>
      <w:pPr>
        <w:jc w:val="center"/>
        <w:rPr>
          <w:rFonts w:ascii="宋体" w:hAnsi="宋体" w:cs="宋体"/>
          <w:bCs/>
          <w:sz w:val="15"/>
          <w:szCs w:val="15"/>
        </w:rPr>
      </w:pPr>
    </w:p>
    <w:p>
      <w:pPr>
        <w:jc w:val="center"/>
        <w:rPr>
          <w:rFonts w:ascii="宋体" w:hAnsi="宋体" w:cs="宋体"/>
          <w:bCs/>
          <w:sz w:val="15"/>
          <w:szCs w:val="15"/>
        </w:rPr>
      </w:pPr>
    </w:p>
    <w:p>
      <w:pPr>
        <w:jc w:val="center"/>
        <w:rPr>
          <w:rFonts w:ascii="宋体" w:hAnsi="宋体" w:cs="宋体"/>
          <w:bCs/>
          <w:sz w:val="15"/>
          <w:szCs w:val="15"/>
        </w:rPr>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jc w:val="center"/>
        <w:rPr>
          <w:rFonts w:hint="eastAsia" w:ascii="宋体" w:hAnsi="宋体" w:cs="宋体"/>
          <w:bCs/>
          <w:sz w:val="15"/>
          <w:szCs w:val="15"/>
        </w:rPr>
      </w:pPr>
    </w:p>
    <w:p>
      <w:pPr>
        <w:jc w:val="center"/>
        <w:rPr>
          <w:rFonts w:ascii="宋体" w:hAnsi="宋体" w:cs="宋体"/>
          <w:bCs/>
          <w:sz w:val="15"/>
          <w:szCs w:val="15"/>
        </w:rPr>
      </w:pPr>
      <w:r>
        <w:rPr>
          <w:rFonts w:hint="eastAsia" w:ascii="宋体" w:hAnsi="宋体" w:cs="宋体"/>
          <w:bCs/>
          <w:sz w:val="15"/>
          <w:szCs w:val="15"/>
        </w:rPr>
        <w:t>附录B</w:t>
      </w:r>
    </w:p>
    <w:p>
      <w:pPr>
        <w:jc w:val="center"/>
        <w:rPr>
          <w:rFonts w:hint="eastAsia" w:ascii="宋体" w:hAnsi="宋体" w:cs="宋体"/>
          <w:bCs/>
          <w:sz w:val="15"/>
          <w:szCs w:val="15"/>
        </w:rPr>
      </w:pPr>
      <w:r>
        <w:rPr>
          <w:rFonts w:hint="eastAsia" w:ascii="宋体" w:hAnsi="宋体" w:cs="宋体"/>
          <w:bCs/>
          <w:sz w:val="15"/>
          <w:szCs w:val="15"/>
        </w:rPr>
        <w:t>(规范性附录 )</w:t>
      </w:r>
    </w:p>
    <w:p>
      <w:pPr>
        <w:jc w:val="center"/>
        <w:rPr>
          <w:rFonts w:ascii="宋体" w:hAnsi="宋体" w:cs="宋体"/>
          <w:bCs/>
          <w:sz w:val="15"/>
          <w:szCs w:val="15"/>
        </w:rPr>
      </w:pPr>
      <w:r>
        <w:rPr>
          <w:rFonts w:hint="eastAsia" w:ascii="宋体" w:hAnsi="宋体" w:cs="宋体"/>
          <w:bCs/>
          <w:sz w:val="15"/>
          <w:szCs w:val="15"/>
        </w:rPr>
        <w:t>马铃薯水肥菌一体化管理制度推荐表</w:t>
      </w:r>
    </w:p>
    <w:p>
      <w:pPr>
        <w:jc w:val="both"/>
        <w:rPr>
          <w:rFonts w:hint="eastAsia" w:ascii="宋体" w:hAnsi="宋体" w:cs="宋体"/>
          <w:bCs/>
          <w:sz w:val="15"/>
          <w:szCs w:val="15"/>
        </w:rPr>
      </w:pPr>
    </w:p>
    <w:tbl>
      <w:tblPr>
        <w:tblStyle w:val="32"/>
        <w:tblpPr w:leftFromText="180" w:rightFromText="180" w:vertAnchor="text" w:horzAnchor="page" w:tblpX="1220" w:tblpY="436"/>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1104"/>
        <w:gridCol w:w="928"/>
        <w:gridCol w:w="845"/>
        <w:gridCol w:w="859"/>
        <w:gridCol w:w="832"/>
        <w:gridCol w:w="900"/>
        <w:gridCol w:w="723"/>
        <w:gridCol w:w="804"/>
        <w:gridCol w:w="955"/>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降水</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年型</w:t>
            </w:r>
          </w:p>
        </w:tc>
        <w:tc>
          <w:tcPr>
            <w:tcW w:w="20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幼苗期</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灌溉</w:t>
            </w:r>
            <w:r>
              <w:rPr>
                <w:rFonts w:hint="eastAsia" w:ascii="仿宋" w:hAnsi="仿宋" w:eastAsia="仿宋" w:cs="宋体"/>
                <w:color w:val="000000"/>
                <w:kern w:val="0"/>
                <w:sz w:val="15"/>
                <w:szCs w:val="15"/>
                <w:lang w:val="en-US" w:eastAsia="zh-CN"/>
              </w:rPr>
              <w:t>1-2</w:t>
            </w:r>
            <w:r>
              <w:rPr>
                <w:rFonts w:hint="eastAsia" w:ascii="仿宋" w:hAnsi="仿宋" w:eastAsia="仿宋" w:cs="宋体"/>
                <w:color w:val="000000"/>
                <w:kern w:val="0"/>
                <w:sz w:val="15"/>
                <w:szCs w:val="15"/>
              </w:rPr>
              <w:t>次</w:t>
            </w:r>
          </w:p>
        </w:tc>
        <w:tc>
          <w:tcPr>
            <w:tcW w:w="17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块茎形成期</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灌溉</w:t>
            </w:r>
            <w:r>
              <w:rPr>
                <w:rFonts w:hint="eastAsia" w:ascii="仿宋" w:hAnsi="仿宋" w:eastAsia="仿宋" w:cs="宋体"/>
                <w:color w:val="000000"/>
                <w:kern w:val="0"/>
                <w:sz w:val="15"/>
                <w:szCs w:val="15"/>
                <w:lang w:val="en-US" w:eastAsia="zh-CN"/>
              </w:rPr>
              <w:t>2-3</w:t>
            </w:r>
            <w:r>
              <w:rPr>
                <w:rFonts w:hint="eastAsia" w:ascii="仿宋" w:hAnsi="仿宋" w:eastAsia="仿宋" w:cs="宋体"/>
                <w:color w:val="000000"/>
                <w:kern w:val="0"/>
                <w:sz w:val="15"/>
                <w:szCs w:val="15"/>
              </w:rPr>
              <w:t>次</w:t>
            </w:r>
          </w:p>
        </w:tc>
        <w:tc>
          <w:tcPr>
            <w:tcW w:w="17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块茎膨大期</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灌溉</w:t>
            </w:r>
            <w:r>
              <w:rPr>
                <w:rFonts w:hint="eastAsia" w:ascii="仿宋" w:hAnsi="仿宋" w:eastAsia="仿宋" w:cs="宋体"/>
                <w:color w:val="000000"/>
                <w:kern w:val="0"/>
                <w:sz w:val="15"/>
                <w:szCs w:val="15"/>
                <w:lang w:val="en-US" w:eastAsia="zh-CN"/>
              </w:rPr>
              <w:t>4</w:t>
            </w:r>
            <w:r>
              <w:rPr>
                <w:rFonts w:hint="eastAsia" w:ascii="仿宋" w:hAnsi="仿宋" w:eastAsia="仿宋" w:cs="宋体"/>
                <w:color w:val="000000"/>
                <w:kern w:val="0"/>
                <w:sz w:val="15"/>
                <w:szCs w:val="15"/>
              </w:rPr>
              <w:t>-</w:t>
            </w:r>
            <w:r>
              <w:rPr>
                <w:rFonts w:hint="eastAsia" w:ascii="仿宋" w:hAnsi="仿宋" w:eastAsia="仿宋" w:cs="宋体"/>
                <w:color w:val="000000"/>
                <w:kern w:val="0"/>
                <w:sz w:val="15"/>
                <w:szCs w:val="15"/>
                <w:lang w:val="en-US" w:eastAsia="zh-CN"/>
              </w:rPr>
              <w:t>6</w:t>
            </w:r>
            <w:r>
              <w:rPr>
                <w:rFonts w:hint="eastAsia" w:ascii="仿宋" w:hAnsi="仿宋" w:eastAsia="仿宋" w:cs="宋体"/>
                <w:color w:val="000000"/>
                <w:kern w:val="0"/>
                <w:sz w:val="15"/>
                <w:szCs w:val="15"/>
              </w:rPr>
              <w:t>次</w:t>
            </w:r>
          </w:p>
        </w:tc>
        <w:tc>
          <w:tcPr>
            <w:tcW w:w="15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淀粉积累期</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灌溉</w:t>
            </w:r>
            <w:r>
              <w:rPr>
                <w:rFonts w:hint="eastAsia" w:ascii="仿宋" w:hAnsi="仿宋" w:eastAsia="仿宋" w:cs="宋体"/>
                <w:color w:val="000000"/>
                <w:kern w:val="0"/>
                <w:sz w:val="15"/>
                <w:szCs w:val="15"/>
                <w:lang w:val="en-US" w:eastAsia="zh-CN"/>
              </w:rPr>
              <w:t>2-3</w:t>
            </w:r>
            <w:r>
              <w:rPr>
                <w:rFonts w:hint="eastAsia" w:ascii="仿宋" w:hAnsi="仿宋" w:eastAsia="仿宋" w:cs="宋体"/>
                <w:color w:val="000000"/>
                <w:kern w:val="0"/>
                <w:sz w:val="15"/>
                <w:szCs w:val="15"/>
              </w:rPr>
              <w:t>次</w:t>
            </w:r>
          </w:p>
        </w:tc>
        <w:tc>
          <w:tcPr>
            <w:tcW w:w="192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全生育期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6" w:hRule="atLeast"/>
        </w:trPr>
        <w:tc>
          <w:tcPr>
            <w:tcW w:w="9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5"/>
                <w:szCs w:val="15"/>
              </w:rPr>
            </w:pP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灌水量</w:t>
            </w:r>
          </w:p>
          <w:p>
            <w:pPr>
              <w:widowControl/>
              <w:jc w:val="center"/>
              <w:rPr>
                <w:rFonts w:ascii="仿宋" w:hAnsi="仿宋" w:eastAsia="仿宋" w:cs="宋体"/>
                <w:color w:val="000000"/>
                <w:kern w:val="0"/>
                <w:sz w:val="15"/>
                <w:szCs w:val="15"/>
              </w:rPr>
            </w:pPr>
            <w:r>
              <w:rPr>
                <w:rFonts w:hint="eastAsia" w:ascii="仿宋" w:hAnsi="仿宋" w:eastAsia="仿宋" w:cs="宋体"/>
                <w:color w:val="000000"/>
                <w:spacing w:val="-11"/>
                <w:w w:val="90"/>
                <w:kern w:val="0"/>
                <w:sz w:val="15"/>
                <w:szCs w:val="15"/>
              </w:rPr>
              <w:t>（m</w:t>
            </w:r>
            <w:r>
              <w:rPr>
                <w:rFonts w:hint="eastAsia" w:ascii="仿宋" w:hAnsi="仿宋" w:eastAsia="仿宋" w:cs="宋体"/>
                <w:color w:val="000000"/>
                <w:spacing w:val="-11"/>
                <w:w w:val="90"/>
                <w:kern w:val="0"/>
                <w:sz w:val="15"/>
                <w:szCs w:val="15"/>
                <w:vertAlign w:val="superscript"/>
              </w:rPr>
              <w:t>3</w:t>
            </w:r>
            <w:r>
              <w:rPr>
                <w:rFonts w:hint="eastAsia" w:ascii="仿宋" w:hAnsi="仿宋" w:eastAsia="仿宋" w:cs="宋体"/>
                <w:color w:val="000000"/>
                <w:spacing w:val="-11"/>
                <w:w w:val="90"/>
                <w:kern w:val="0"/>
                <w:sz w:val="15"/>
                <w:szCs w:val="15"/>
              </w:rPr>
              <w:t>/亩）</w:t>
            </w:r>
          </w:p>
        </w:tc>
        <w:tc>
          <w:tcPr>
            <w:tcW w:w="9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追肥量 </w:t>
            </w:r>
            <w:r>
              <w:rPr>
                <w:rFonts w:hint="eastAsia" w:ascii="仿宋" w:hAnsi="仿宋" w:eastAsia="仿宋" w:cs="宋体"/>
                <w:color w:val="000000"/>
                <w:w w:val="90"/>
                <w:kern w:val="0"/>
                <w:sz w:val="15"/>
                <w:szCs w:val="15"/>
              </w:rPr>
              <w:t>（kg/亩）</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灌水量  </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（m</w:t>
            </w:r>
            <w:r>
              <w:rPr>
                <w:rFonts w:hint="eastAsia" w:ascii="仿宋" w:hAnsi="仿宋" w:eastAsia="仿宋" w:cs="宋体"/>
                <w:color w:val="000000"/>
                <w:kern w:val="0"/>
                <w:sz w:val="15"/>
                <w:szCs w:val="15"/>
                <w:vertAlign w:val="superscript"/>
              </w:rPr>
              <w:t>3</w:t>
            </w:r>
            <w:r>
              <w:rPr>
                <w:rFonts w:hint="eastAsia" w:ascii="仿宋" w:hAnsi="仿宋" w:eastAsia="仿宋" w:cs="宋体"/>
                <w:color w:val="000000"/>
                <w:kern w:val="0"/>
                <w:sz w:val="15"/>
                <w:szCs w:val="15"/>
              </w:rPr>
              <w:t>/亩）</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追肥量</w:t>
            </w:r>
          </w:p>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 </w:t>
            </w:r>
            <w:r>
              <w:rPr>
                <w:rFonts w:hint="eastAsia" w:ascii="仿宋" w:hAnsi="仿宋" w:eastAsia="仿宋" w:cs="宋体"/>
                <w:color w:val="000000"/>
                <w:w w:val="90"/>
                <w:kern w:val="0"/>
                <w:sz w:val="15"/>
                <w:szCs w:val="15"/>
              </w:rPr>
              <w:t>（kg/亩）</w:t>
            </w: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灌水量  </w:t>
            </w:r>
            <w:r>
              <w:rPr>
                <w:rFonts w:hint="eastAsia" w:ascii="仿宋" w:hAnsi="仿宋" w:eastAsia="仿宋" w:cs="宋体"/>
                <w:color w:val="000000"/>
                <w:w w:val="90"/>
                <w:kern w:val="0"/>
                <w:sz w:val="15"/>
                <w:szCs w:val="15"/>
              </w:rPr>
              <w:t>（m</w:t>
            </w:r>
            <w:r>
              <w:rPr>
                <w:rFonts w:hint="eastAsia" w:ascii="仿宋" w:hAnsi="仿宋" w:eastAsia="仿宋" w:cs="宋体"/>
                <w:color w:val="000000"/>
                <w:w w:val="90"/>
                <w:kern w:val="0"/>
                <w:sz w:val="15"/>
                <w:szCs w:val="15"/>
                <w:vertAlign w:val="superscript"/>
              </w:rPr>
              <w:t>3</w:t>
            </w:r>
            <w:r>
              <w:rPr>
                <w:rFonts w:hint="eastAsia" w:ascii="仿宋" w:hAnsi="仿宋" w:eastAsia="仿宋" w:cs="宋体"/>
                <w:color w:val="000000"/>
                <w:w w:val="90"/>
                <w:kern w:val="0"/>
                <w:sz w:val="15"/>
                <w:szCs w:val="15"/>
              </w:rPr>
              <w:t>/亩）</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追肥量 </w:t>
            </w:r>
            <w:r>
              <w:rPr>
                <w:rFonts w:hint="eastAsia" w:ascii="仿宋" w:hAnsi="仿宋" w:eastAsia="仿宋" w:cs="宋体"/>
                <w:color w:val="000000"/>
                <w:w w:val="90"/>
                <w:kern w:val="0"/>
                <w:sz w:val="15"/>
                <w:szCs w:val="15"/>
              </w:rPr>
              <w:t>（kg/亩）</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灌水量 </w:t>
            </w:r>
            <w:r>
              <w:rPr>
                <w:rFonts w:hint="eastAsia" w:ascii="仿宋" w:hAnsi="仿宋" w:eastAsia="仿宋" w:cs="宋体"/>
                <w:color w:val="000000"/>
                <w:w w:val="90"/>
                <w:kern w:val="0"/>
                <w:sz w:val="15"/>
                <w:szCs w:val="15"/>
              </w:rPr>
              <w:t>（m</w:t>
            </w:r>
            <w:r>
              <w:rPr>
                <w:rFonts w:hint="eastAsia" w:ascii="仿宋" w:hAnsi="仿宋" w:eastAsia="仿宋" w:cs="宋体"/>
                <w:color w:val="000000"/>
                <w:w w:val="90"/>
                <w:kern w:val="0"/>
                <w:sz w:val="15"/>
                <w:szCs w:val="15"/>
                <w:vertAlign w:val="superscript"/>
              </w:rPr>
              <w:t>3</w:t>
            </w:r>
            <w:r>
              <w:rPr>
                <w:rFonts w:hint="eastAsia" w:ascii="仿宋" w:hAnsi="仿宋" w:eastAsia="仿宋" w:cs="宋体"/>
                <w:color w:val="000000"/>
                <w:w w:val="90"/>
                <w:kern w:val="0"/>
                <w:sz w:val="15"/>
                <w:szCs w:val="15"/>
              </w:rPr>
              <w:t>/亩）</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 xml:space="preserve">追肥量   </w:t>
            </w:r>
            <w:r>
              <w:rPr>
                <w:rFonts w:hint="eastAsia" w:ascii="仿宋" w:hAnsi="仿宋" w:eastAsia="仿宋" w:cs="宋体"/>
                <w:color w:val="000000"/>
                <w:w w:val="90"/>
                <w:kern w:val="0"/>
                <w:sz w:val="15"/>
                <w:szCs w:val="15"/>
              </w:rPr>
              <w:t>（kg/亩）</w:t>
            </w:r>
          </w:p>
        </w:tc>
        <w:tc>
          <w:tcPr>
            <w:tcW w:w="9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灌溉定额</w:t>
            </w:r>
          </w:p>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w w:val="90"/>
                <w:kern w:val="0"/>
                <w:sz w:val="15"/>
                <w:szCs w:val="15"/>
                <w14:textFill>
                  <w14:solidFill>
                    <w14:schemeClr w14:val="tx1"/>
                  </w14:solidFill>
                </w14:textFill>
              </w:rPr>
              <w:t>（m</w:t>
            </w:r>
            <w:r>
              <w:rPr>
                <w:rFonts w:hint="eastAsia" w:ascii="仿宋" w:hAnsi="仿宋" w:eastAsia="仿宋" w:cs="宋体"/>
                <w:color w:val="000000" w:themeColor="text1"/>
                <w:w w:val="90"/>
                <w:kern w:val="0"/>
                <w:sz w:val="15"/>
                <w:szCs w:val="15"/>
                <w:vertAlign w:val="superscript"/>
                <w14:textFill>
                  <w14:solidFill>
                    <w14:schemeClr w14:val="tx1"/>
                  </w14:solidFill>
                </w14:textFill>
              </w:rPr>
              <w:t>3</w:t>
            </w:r>
            <w:r>
              <w:rPr>
                <w:rFonts w:hint="eastAsia" w:ascii="仿宋" w:hAnsi="仿宋" w:eastAsia="仿宋" w:cs="宋体"/>
                <w:color w:val="000000" w:themeColor="text1"/>
                <w:w w:val="90"/>
                <w:kern w:val="0"/>
                <w:sz w:val="15"/>
                <w:szCs w:val="15"/>
                <w14:textFill>
                  <w14:solidFill>
                    <w14:schemeClr w14:val="tx1"/>
                  </w14:solidFill>
                </w14:textFill>
              </w:rPr>
              <w:t>/亩）</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追肥总量</w:t>
            </w:r>
            <w:r>
              <w:rPr>
                <w:rFonts w:hint="eastAsia" w:ascii="仿宋" w:hAnsi="仿宋" w:eastAsia="仿宋" w:cs="宋体"/>
                <w:color w:val="000000" w:themeColor="text1"/>
                <w:w w:val="90"/>
                <w:kern w:val="0"/>
                <w:sz w:val="15"/>
                <w:szCs w:val="15"/>
                <w14:textFill>
                  <w14:solidFill>
                    <w14:schemeClr w14:val="tx1"/>
                  </w14:solidFill>
                </w14:textFill>
              </w:rPr>
              <w:t>（kg/亩）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w w:val="90"/>
                <w:kern w:val="0"/>
                <w:sz w:val="15"/>
                <w:szCs w:val="15"/>
              </w:rPr>
              <w:t>丰水年</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10</w:t>
            </w:r>
          </w:p>
        </w:tc>
        <w:tc>
          <w:tcPr>
            <w:tcW w:w="9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N：    </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 3.0～4.0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微生物菌剂：5L</w:t>
            </w:r>
          </w:p>
        </w:tc>
        <w:tc>
          <w:tcPr>
            <w:tcW w:w="8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pP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25</w:t>
            </w:r>
            <w:r>
              <w:rPr>
                <w:rFonts w:hint="eastAsia" w:ascii="仿宋" w:hAnsi="仿宋" w:eastAsia="仿宋" w:cs="宋体"/>
                <w:color w:val="000000" w:themeColor="text1"/>
                <w:spacing w:val="0"/>
                <w:w w:val="100"/>
                <w:kern w:val="0"/>
                <w:sz w:val="15"/>
                <w:szCs w:val="15"/>
                <w14:textFill>
                  <w14:solidFill>
                    <w14:schemeClr w14:val="tx1"/>
                  </w14:solidFill>
                </w14:textFill>
              </w:rPr>
              <w:t>～</w:t>
            </w: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30</w:t>
            </w:r>
          </w:p>
        </w:tc>
        <w:tc>
          <w:tcPr>
            <w:tcW w:w="8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N：    </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 4.0～5.0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微生物菌剂：5L</w:t>
            </w:r>
          </w:p>
        </w:tc>
        <w:tc>
          <w:tcPr>
            <w:tcW w:w="8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themeColor="text1"/>
                <w:spacing w:val="-11"/>
                <w:w w:val="90"/>
                <w:kern w:val="0"/>
                <w:sz w:val="15"/>
                <w:szCs w:val="15"/>
                <w:lang w:val="en-US" w:eastAsia="zh-CN"/>
                <w14:textFill>
                  <w14:solidFill>
                    <w14:schemeClr w14:val="tx1"/>
                  </w14:solidFill>
                </w14:textFill>
              </w:rPr>
            </w:pP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35</w:t>
            </w:r>
            <w:r>
              <w:rPr>
                <w:rFonts w:hint="eastAsia" w:ascii="仿宋" w:hAnsi="仿宋" w:eastAsia="仿宋" w:cs="宋体"/>
                <w:color w:val="000000" w:themeColor="text1"/>
                <w:kern w:val="0"/>
                <w:sz w:val="15"/>
                <w:szCs w:val="15"/>
                <w14:textFill>
                  <w14:solidFill>
                    <w14:schemeClr w14:val="tx1"/>
                  </w14:solidFill>
                </w14:textFill>
              </w:rPr>
              <w:t>～</w:t>
            </w: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45</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N：</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1.0～2.0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K</w:t>
            </w:r>
            <w:r>
              <w:rPr>
                <w:rFonts w:hint="eastAsia" w:ascii="仿宋" w:hAnsi="仿宋" w:eastAsia="仿宋" w:cs="宋体"/>
                <w:color w:val="000000" w:themeColor="text1"/>
                <w:spacing w:val="-11"/>
                <w:w w:val="90"/>
                <w:kern w:val="0"/>
                <w:sz w:val="15"/>
                <w:szCs w:val="15"/>
                <w:vertAlign w:val="subscript"/>
                <w14:textFill>
                  <w14:solidFill>
                    <w14:schemeClr w14:val="tx1"/>
                  </w14:solidFill>
                </w14:textFill>
              </w:rPr>
              <w:t>2</w:t>
            </w:r>
            <w:r>
              <w:rPr>
                <w:rFonts w:hint="eastAsia" w:ascii="仿宋" w:hAnsi="仿宋" w:eastAsia="仿宋" w:cs="宋体"/>
                <w:color w:val="000000" w:themeColor="text1"/>
                <w:spacing w:val="-11"/>
                <w:w w:val="90"/>
                <w:kern w:val="0"/>
                <w:sz w:val="15"/>
                <w:szCs w:val="15"/>
                <w14:textFill>
                  <w14:solidFill>
                    <w14:schemeClr w14:val="tx1"/>
                  </w14:solidFill>
                </w14:textFill>
              </w:rPr>
              <w:t>O：</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14.0～15.0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微生物菌剂：5L</w:t>
            </w:r>
          </w:p>
        </w:tc>
        <w:tc>
          <w:tcPr>
            <w:tcW w:w="7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spacing w:val="0"/>
                <w:w w:val="100"/>
                <w:kern w:val="0"/>
                <w:sz w:val="15"/>
                <w:szCs w:val="15"/>
                <w:lang w:eastAsia="zh-CN"/>
                <w14:textFill>
                  <w14:solidFill>
                    <w14:schemeClr w14:val="tx1"/>
                  </w14:solidFill>
                </w14:textFill>
              </w:rPr>
            </w:pP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10</w:t>
            </w:r>
            <w:r>
              <w:rPr>
                <w:rFonts w:hint="eastAsia" w:ascii="仿宋" w:hAnsi="仿宋" w:eastAsia="仿宋" w:cs="宋体"/>
                <w:color w:val="000000" w:themeColor="text1"/>
                <w:kern w:val="0"/>
                <w:sz w:val="15"/>
                <w:szCs w:val="15"/>
                <w14:textFill>
                  <w14:solidFill>
                    <w14:schemeClr w14:val="tx1"/>
                  </w14:solidFill>
                </w14:textFill>
              </w:rPr>
              <w:t>～</w:t>
            </w: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15</w:t>
            </w:r>
          </w:p>
        </w:tc>
        <w:tc>
          <w:tcPr>
            <w:tcW w:w="8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K</w:t>
            </w:r>
            <w:r>
              <w:rPr>
                <w:rFonts w:hint="eastAsia" w:ascii="仿宋" w:hAnsi="仿宋" w:eastAsia="仿宋" w:cs="宋体"/>
                <w:color w:val="000000" w:themeColor="text1"/>
                <w:spacing w:val="-11"/>
                <w:w w:val="90"/>
                <w:kern w:val="0"/>
                <w:sz w:val="15"/>
                <w:szCs w:val="15"/>
                <w:vertAlign w:val="subscript"/>
                <w14:textFill>
                  <w14:solidFill>
                    <w14:schemeClr w14:val="tx1"/>
                  </w14:solidFill>
                </w14:textFill>
              </w:rPr>
              <w:t>2</w:t>
            </w:r>
            <w:r>
              <w:rPr>
                <w:rFonts w:hint="eastAsia" w:ascii="仿宋" w:hAnsi="仿宋" w:eastAsia="仿宋" w:cs="宋体"/>
                <w:color w:val="000000" w:themeColor="text1"/>
                <w:spacing w:val="-11"/>
                <w:w w:val="90"/>
                <w:kern w:val="0"/>
                <w:sz w:val="15"/>
                <w:szCs w:val="15"/>
                <w14:textFill>
                  <w14:solidFill>
                    <w14:schemeClr w14:val="tx1"/>
                  </w14:solidFill>
                </w14:textFill>
              </w:rPr>
              <w:t>O：      4.0～5.0</w:t>
            </w:r>
          </w:p>
        </w:tc>
        <w:tc>
          <w:tcPr>
            <w:tcW w:w="9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pP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80</w:t>
            </w:r>
            <w:r>
              <w:rPr>
                <w:rFonts w:hint="eastAsia" w:ascii="仿宋" w:hAnsi="仿宋" w:eastAsia="仿宋" w:cs="宋体"/>
                <w:color w:val="000000" w:themeColor="text1"/>
                <w:kern w:val="0"/>
                <w:sz w:val="15"/>
                <w:szCs w:val="15"/>
                <w14:textFill>
                  <w14:solidFill>
                    <w14:schemeClr w14:val="tx1"/>
                  </w14:solidFill>
                </w14:textFill>
              </w:rPr>
              <w:t>～</w:t>
            </w: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100</w:t>
            </w:r>
          </w:p>
        </w:tc>
        <w:tc>
          <w:tcPr>
            <w:tcW w:w="9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N：    </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 xml:space="preserve">  8.0～10.0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K</w:t>
            </w:r>
            <w:r>
              <w:rPr>
                <w:rFonts w:hint="eastAsia" w:ascii="仿宋" w:hAnsi="仿宋" w:eastAsia="仿宋" w:cs="宋体"/>
                <w:color w:val="000000" w:themeColor="text1"/>
                <w:spacing w:val="-11"/>
                <w:w w:val="90"/>
                <w:kern w:val="0"/>
                <w:sz w:val="15"/>
                <w:szCs w:val="15"/>
                <w:vertAlign w:val="subscript"/>
                <w14:textFill>
                  <w14:solidFill>
                    <w14:schemeClr w14:val="tx1"/>
                  </w14:solidFill>
                </w14:textFill>
              </w:rPr>
              <w:t>2</w:t>
            </w:r>
            <w:r>
              <w:rPr>
                <w:rFonts w:hint="eastAsia" w:ascii="仿宋" w:hAnsi="仿宋" w:eastAsia="仿宋" w:cs="宋体"/>
                <w:color w:val="000000" w:themeColor="text1"/>
                <w:spacing w:val="-11"/>
                <w:w w:val="90"/>
                <w:kern w:val="0"/>
                <w:sz w:val="15"/>
                <w:szCs w:val="15"/>
                <w14:textFill>
                  <w14:solidFill>
                    <w14:schemeClr w14:val="tx1"/>
                  </w14:solidFill>
                </w14:textFill>
              </w:rPr>
              <w:t>O：</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18.0～20.0</w:t>
            </w:r>
          </w:p>
          <w:p>
            <w:pPr>
              <w:widowControl/>
              <w:spacing w:line="240" w:lineRule="exact"/>
              <w:jc w:val="center"/>
              <w:rPr>
                <w:rFonts w:ascii="仿宋" w:hAnsi="仿宋" w:eastAsia="仿宋" w:cs="宋体"/>
                <w:color w:val="000000" w:themeColor="text1"/>
                <w:spacing w:val="-11"/>
                <w:w w:val="90"/>
                <w:kern w:val="0"/>
                <w:sz w:val="15"/>
                <w:szCs w:val="15"/>
                <w14:textFill>
                  <w14:solidFill>
                    <w14:schemeClr w14:val="tx1"/>
                  </w14:solidFill>
                </w14:textFill>
              </w:rPr>
            </w:pPr>
            <w:r>
              <w:rPr>
                <w:rFonts w:hint="eastAsia" w:ascii="仿宋" w:hAnsi="仿宋" w:eastAsia="仿宋" w:cs="宋体"/>
                <w:color w:val="000000" w:themeColor="text1"/>
                <w:spacing w:val="-11"/>
                <w:w w:val="90"/>
                <w:kern w:val="0"/>
                <w:sz w:val="15"/>
                <w:szCs w:val="15"/>
                <w14:textFill>
                  <w14:solidFill>
                    <w14:schemeClr w14:val="tx1"/>
                  </w14:solidFill>
                </w14:textFill>
              </w:rPr>
              <w:t>微生物菌剂：5-15L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w w:val="90"/>
                <w:kern w:val="0"/>
                <w:sz w:val="15"/>
                <w:szCs w:val="15"/>
              </w:rPr>
              <w:t>平水年</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15</w:t>
            </w:r>
          </w:p>
        </w:tc>
        <w:tc>
          <w:tcPr>
            <w:tcW w:w="92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8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kern w:val="0"/>
                <w:sz w:val="15"/>
                <w:szCs w:val="15"/>
                <w:lang w:eastAsia="zh-CN"/>
                <w14:textFill>
                  <w14:solidFill>
                    <w14:schemeClr w14:val="tx1"/>
                  </w14:solidFill>
                </w14:textFill>
              </w:rPr>
            </w:pPr>
            <w:r>
              <w:rPr>
                <w:rFonts w:hint="eastAsia" w:ascii="仿宋" w:hAnsi="仿宋" w:eastAsia="仿宋" w:cs="宋体"/>
                <w:color w:val="000000" w:themeColor="text1"/>
                <w:kern w:val="0"/>
                <w:sz w:val="15"/>
                <w:szCs w:val="15"/>
                <w:lang w:val="en-US" w:eastAsia="zh-CN"/>
                <w14:textFill>
                  <w14:solidFill>
                    <w14:schemeClr w14:val="tx1"/>
                  </w14:solidFill>
                </w14:textFill>
              </w:rPr>
              <w:t>30</w:t>
            </w:r>
            <w:r>
              <w:rPr>
                <w:rFonts w:hint="eastAsia" w:ascii="仿宋" w:hAnsi="仿宋" w:eastAsia="仿宋" w:cs="宋体"/>
                <w:color w:val="000000" w:themeColor="text1"/>
                <w:kern w:val="0"/>
                <w:sz w:val="15"/>
                <w:szCs w:val="15"/>
                <w14:textFill>
                  <w14:solidFill>
                    <w14:schemeClr w14:val="tx1"/>
                  </w14:solidFill>
                </w14:textFill>
              </w:rPr>
              <w:t>～3</w:t>
            </w:r>
            <w:r>
              <w:rPr>
                <w:rFonts w:hint="eastAsia" w:ascii="仿宋" w:hAnsi="仿宋" w:eastAsia="仿宋" w:cs="宋体"/>
                <w:color w:val="000000" w:themeColor="text1"/>
                <w:kern w:val="0"/>
                <w:sz w:val="15"/>
                <w:szCs w:val="15"/>
                <w:lang w:val="en-US" w:eastAsia="zh-CN"/>
                <w14:textFill>
                  <w14:solidFill>
                    <w14:schemeClr w14:val="tx1"/>
                  </w14:solidFill>
                </w14:textFill>
              </w:rPr>
              <w:t>5</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8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40～50</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7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lang w:val="en-US" w:eastAsia="zh-CN"/>
                <w14:textFill>
                  <w14:solidFill>
                    <w14:schemeClr w14:val="tx1"/>
                  </w14:solidFill>
                </w14:textFill>
              </w:rPr>
              <w:t>15</w:t>
            </w:r>
            <w:r>
              <w:rPr>
                <w:rFonts w:hint="eastAsia" w:ascii="仿宋" w:hAnsi="仿宋" w:eastAsia="仿宋" w:cs="宋体"/>
                <w:color w:val="000000" w:themeColor="text1"/>
                <w:kern w:val="0"/>
                <w:sz w:val="15"/>
                <w:szCs w:val="15"/>
                <w14:textFill>
                  <w14:solidFill>
                    <w14:schemeClr w14:val="tx1"/>
                  </w14:solidFill>
                </w14:textFill>
              </w:rPr>
              <w:t>～20</w:t>
            </w:r>
          </w:p>
        </w:tc>
        <w:tc>
          <w:tcPr>
            <w:tcW w:w="80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9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lang w:val="en-US" w:eastAsia="zh-CN"/>
                <w14:textFill>
                  <w14:solidFill>
                    <w14:schemeClr w14:val="tx1"/>
                  </w14:solidFill>
                </w14:textFill>
              </w:rPr>
              <w:t>10</w:t>
            </w:r>
            <w:r>
              <w:rPr>
                <w:rFonts w:hint="eastAsia" w:ascii="仿宋" w:hAnsi="仿宋" w:eastAsia="仿宋" w:cs="宋体"/>
                <w:color w:val="000000" w:themeColor="text1"/>
                <w:kern w:val="0"/>
                <w:sz w:val="15"/>
                <w:szCs w:val="15"/>
                <w14:textFill>
                  <w14:solidFill>
                    <w14:schemeClr w14:val="tx1"/>
                  </w14:solidFill>
                </w14:textFill>
              </w:rPr>
              <w:t>0～120</w:t>
            </w:r>
          </w:p>
        </w:tc>
        <w:tc>
          <w:tcPr>
            <w:tcW w:w="96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w w:val="90"/>
                <w:kern w:val="0"/>
                <w:sz w:val="15"/>
                <w:szCs w:val="15"/>
              </w:rPr>
              <w:t>枯水年</w:t>
            </w:r>
          </w:p>
        </w:tc>
        <w:tc>
          <w:tcPr>
            <w:tcW w:w="11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15"/>
                <w:szCs w:val="15"/>
              </w:rPr>
            </w:pPr>
            <w:r>
              <w:rPr>
                <w:rFonts w:hint="eastAsia" w:ascii="仿宋" w:hAnsi="仿宋" w:eastAsia="仿宋" w:cs="宋体"/>
                <w:color w:val="000000"/>
                <w:kern w:val="0"/>
                <w:sz w:val="15"/>
                <w:szCs w:val="15"/>
              </w:rPr>
              <w:t>20</w:t>
            </w:r>
          </w:p>
        </w:tc>
        <w:tc>
          <w:tcPr>
            <w:tcW w:w="92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kern w:val="0"/>
                <w:sz w:val="15"/>
                <w:szCs w:val="15"/>
                <w:lang w:eastAsia="zh-CN"/>
                <w14:textFill>
                  <w14:solidFill>
                    <w14:schemeClr w14:val="tx1"/>
                  </w14:solidFill>
                </w14:textFill>
              </w:rPr>
            </w:pP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30</w:t>
            </w:r>
            <w:r>
              <w:rPr>
                <w:rFonts w:hint="eastAsia" w:ascii="仿宋" w:hAnsi="仿宋" w:eastAsia="仿宋" w:cs="宋体"/>
                <w:color w:val="000000" w:themeColor="text1"/>
                <w:spacing w:val="0"/>
                <w:w w:val="100"/>
                <w:kern w:val="0"/>
                <w:sz w:val="15"/>
                <w:szCs w:val="15"/>
                <w14:textFill>
                  <w14:solidFill>
                    <w14:schemeClr w14:val="tx1"/>
                  </w14:solidFill>
                </w14:textFill>
              </w:rPr>
              <w:t>～</w:t>
            </w:r>
            <w:r>
              <w:rPr>
                <w:rFonts w:hint="eastAsia" w:ascii="仿宋" w:hAnsi="仿宋" w:eastAsia="仿宋" w:cs="宋体"/>
                <w:color w:val="000000" w:themeColor="text1"/>
                <w:spacing w:val="0"/>
                <w:w w:val="100"/>
                <w:kern w:val="0"/>
                <w:sz w:val="15"/>
                <w:szCs w:val="15"/>
                <w:lang w:val="en-US" w:eastAsia="zh-CN"/>
                <w14:textFill>
                  <w14:solidFill>
                    <w14:schemeClr w14:val="tx1"/>
                  </w14:solidFill>
                </w14:textFill>
              </w:rPr>
              <w:t>35</w:t>
            </w:r>
          </w:p>
        </w:tc>
        <w:tc>
          <w:tcPr>
            <w:tcW w:w="85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50～60</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lang w:val="en-US" w:eastAsia="zh-CN"/>
                <w14:textFill>
                  <w14:solidFill>
                    <w14:schemeClr w14:val="tx1"/>
                  </w14:solidFill>
                </w14:textFill>
              </w:rPr>
              <w:t>20</w:t>
            </w:r>
            <w:r>
              <w:rPr>
                <w:rFonts w:hint="eastAsia" w:ascii="仿宋" w:hAnsi="仿宋" w:eastAsia="仿宋" w:cs="宋体"/>
                <w:color w:val="000000" w:themeColor="text1"/>
                <w:kern w:val="0"/>
                <w:sz w:val="15"/>
                <w:szCs w:val="15"/>
                <w14:textFill>
                  <w14:solidFill>
                    <w14:schemeClr w14:val="tx1"/>
                  </w14:solidFill>
                </w14:textFill>
              </w:rPr>
              <w:t>～25</w:t>
            </w:r>
          </w:p>
        </w:tc>
        <w:tc>
          <w:tcPr>
            <w:tcW w:w="80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c>
          <w:tcPr>
            <w:tcW w:w="9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r>
              <w:rPr>
                <w:rFonts w:hint="eastAsia" w:ascii="仿宋" w:hAnsi="仿宋" w:eastAsia="仿宋" w:cs="宋体"/>
                <w:color w:val="000000" w:themeColor="text1"/>
                <w:kern w:val="0"/>
                <w:sz w:val="15"/>
                <w:szCs w:val="15"/>
                <w14:textFill>
                  <w14:solidFill>
                    <w14:schemeClr w14:val="tx1"/>
                  </w14:solidFill>
                </w14:textFill>
              </w:rPr>
              <w:t>120～140</w:t>
            </w:r>
          </w:p>
        </w:tc>
        <w:tc>
          <w:tcPr>
            <w:tcW w:w="96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themeColor="text1"/>
                <w:kern w:val="0"/>
                <w:sz w:val="15"/>
                <w:szCs w:val="15"/>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900"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5"/>
                <w:szCs w:val="15"/>
              </w:rPr>
            </w:pPr>
            <w:r>
              <w:rPr>
                <w:rFonts w:hint="eastAsia" w:ascii="仿宋" w:hAnsi="仿宋" w:eastAsia="仿宋" w:cs="宋体"/>
                <w:color w:val="000000"/>
                <w:kern w:val="0"/>
                <w:sz w:val="15"/>
                <w:szCs w:val="15"/>
              </w:rPr>
              <w:t>注1：表为中等地力、亩产3500～4000kg条件施肥方案，其他地力条件参照执行。</w:t>
            </w:r>
          </w:p>
          <w:p>
            <w:pPr>
              <w:widowControl/>
              <w:jc w:val="left"/>
              <w:rPr>
                <w:rFonts w:ascii="仿宋" w:hAnsi="仿宋" w:eastAsia="仿宋" w:cs="宋体"/>
                <w:color w:val="000000"/>
                <w:kern w:val="0"/>
                <w:sz w:val="15"/>
                <w:szCs w:val="15"/>
              </w:rPr>
            </w:pPr>
            <w:r>
              <w:rPr>
                <w:rFonts w:hint="eastAsia" w:ascii="仿宋" w:hAnsi="仿宋" w:eastAsia="仿宋" w:cs="宋体"/>
                <w:color w:val="000000"/>
                <w:kern w:val="0"/>
                <w:sz w:val="15"/>
                <w:szCs w:val="15"/>
              </w:rPr>
              <w:t>注2：开花后根据土壤墒情和降雨量情况参照执行。</w:t>
            </w:r>
          </w:p>
          <w:p>
            <w:pPr>
              <w:widowControl/>
              <w:jc w:val="left"/>
              <w:rPr>
                <w:rFonts w:ascii="仿宋" w:hAnsi="仿宋" w:eastAsia="仿宋" w:cs="宋体"/>
                <w:color w:val="000000"/>
                <w:kern w:val="0"/>
                <w:sz w:val="15"/>
                <w:szCs w:val="15"/>
              </w:rPr>
            </w:pPr>
            <w:r>
              <w:rPr>
                <w:rFonts w:hint="eastAsia" w:ascii="仿宋" w:hAnsi="仿宋" w:eastAsia="仿宋" w:cs="宋体"/>
                <w:color w:val="000000"/>
                <w:kern w:val="0"/>
                <w:sz w:val="15"/>
                <w:szCs w:val="15"/>
              </w:rPr>
              <w:t>注3：在盛花期分次喷施含钙、镁、锌等微量元素每亩200g，盛花后期喷施浓度为0.3%的磷酸二氢钾溶液，每亩喷施 KH</w:t>
            </w:r>
            <w:r>
              <w:rPr>
                <w:rFonts w:hint="eastAsia" w:ascii="仿宋" w:hAnsi="仿宋" w:eastAsia="仿宋" w:cs="宋体"/>
                <w:color w:val="000000"/>
                <w:kern w:val="0"/>
                <w:sz w:val="15"/>
                <w:szCs w:val="15"/>
                <w:vertAlign w:val="subscript"/>
              </w:rPr>
              <w:t>2</w:t>
            </w:r>
            <w:r>
              <w:rPr>
                <w:rFonts w:hint="eastAsia" w:ascii="仿宋" w:hAnsi="仿宋" w:eastAsia="仿宋" w:cs="宋体"/>
                <w:color w:val="000000"/>
                <w:kern w:val="0"/>
                <w:sz w:val="15"/>
                <w:szCs w:val="15"/>
              </w:rPr>
              <w:t>PO</w:t>
            </w:r>
            <w:r>
              <w:rPr>
                <w:rFonts w:hint="eastAsia" w:ascii="仿宋" w:hAnsi="仿宋" w:eastAsia="仿宋" w:cs="宋体"/>
                <w:color w:val="000000"/>
                <w:kern w:val="0"/>
                <w:sz w:val="15"/>
                <w:szCs w:val="15"/>
                <w:vertAlign w:val="subscript"/>
              </w:rPr>
              <w:t>4</w:t>
            </w:r>
            <w:r>
              <w:rPr>
                <w:rFonts w:hint="eastAsia" w:ascii="仿宋" w:hAnsi="仿宋" w:eastAsia="仿宋" w:cs="宋体"/>
                <w:color w:val="000000"/>
                <w:kern w:val="0"/>
                <w:sz w:val="15"/>
                <w:szCs w:val="15"/>
              </w:rPr>
              <w:t xml:space="preserve"> 200g。</w:t>
            </w:r>
          </w:p>
        </w:tc>
      </w:tr>
    </w:tbl>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p>
      <w:pPr>
        <w:pStyle w:val="132"/>
        <w:framePr w:hSpace="0" w:vSpace="0" w:wrap="auto" w:vAnchor="margin" w:hAnchor="text" w:xAlign="left" w:yAlign="inline"/>
      </w:pPr>
    </w:p>
    <w:sectPr>
      <w:headerReference r:id="rId7" w:type="default"/>
      <w:footerReference r:id="rId8" w:type="default"/>
      <w:pgSz w:w="11907" w:h="16840" w:orient="landscape"/>
      <w:pgMar w:top="567" w:right="1134" w:bottom="1134" w:left="1418" w:header="1418" w:footer="1134" w:gutter="0"/>
      <w:pgNumType w:start="1"/>
      <w:cols w:space="720"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Mincho">
    <w:panose1 w:val="02020609040205080304"/>
    <w:charset w:val="80"/>
    <w:family w:val="roman"/>
    <w:pitch w:val="default"/>
    <w:sig w:usb0="E00002FF" w:usb1="6AC7FDFB" w:usb2="00000012" w:usb3="00000000" w:csb0="4002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1"/>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2"/>
    </w:pPr>
    <w:r>
      <w:t>DB13/T XXXXX—202</w:t>
    </w:r>
    <w:r>
      <w:rPr>
        <w:rFonts w:hint="eastAsia"/>
      </w:rPr>
      <w:t>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w:t>
    </w:r>
    <w:r>
      <w:rPr>
        <w:rFonts w:hint="eastAsia"/>
      </w:rPr>
      <w:t>13</w:t>
    </w:r>
    <w:r>
      <w:t>/</w:t>
    </w:r>
    <w:r>
      <w:rPr>
        <w:rFonts w:hint="eastAsia"/>
      </w:rPr>
      <w:t>T</w:t>
    </w:r>
    <w:r>
      <w:t xml:space="preserve"> XXXXX—</w:t>
    </w:r>
    <w:r>
      <w:rPr>
        <w:rFonts w:hint="eastAsia"/>
      </w:rPr>
      <w:t>2022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1E91D9"/>
    <w:multiLevelType w:val="singleLevel"/>
    <w:tmpl w:val="B61E91D9"/>
    <w:lvl w:ilvl="0" w:tentative="0">
      <w:start w:val="1"/>
      <w:numFmt w:val="decimal"/>
      <w:suff w:val="nothing"/>
      <w:lvlText w:val="%1）"/>
      <w:lvlJc w:val="left"/>
    </w:lvl>
  </w:abstractNum>
  <w:abstractNum w:abstractNumId="1">
    <w:nsid w:val="079102AD"/>
    <w:multiLevelType w:val="multilevel"/>
    <w:tmpl w:val="079102AD"/>
    <w:lvl w:ilvl="0" w:tentative="0">
      <w:start w:val="1"/>
      <w:numFmt w:val="decimal"/>
      <w:pStyle w:val="61"/>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119"/>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5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24"/>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68"/>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4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3"/>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8"/>
      <w:suff w:val="nothing"/>
      <w:lvlText w:val="%1.%2.%3　"/>
      <w:lvlJc w:val="left"/>
      <w:pPr>
        <w:ind w:left="0" w:firstLine="0"/>
      </w:pPr>
      <w:rPr>
        <w:rFonts w:hint="eastAsia" w:ascii="黑体" w:hAnsi="Times New Roman" w:eastAsia="黑体"/>
        <w:b w:val="0"/>
        <w:i w:val="0"/>
        <w:sz w:val="21"/>
      </w:rPr>
    </w:lvl>
    <w:lvl w:ilvl="3" w:tentative="0">
      <w:start w:val="1"/>
      <w:numFmt w:val="decimal"/>
      <w:pStyle w:val="54"/>
      <w:suff w:val="nothing"/>
      <w:lvlText w:val="%1.%2.%3.%4　"/>
      <w:lvlJc w:val="left"/>
      <w:pPr>
        <w:ind w:left="0" w:firstLine="0"/>
      </w:pPr>
      <w:rPr>
        <w:rFonts w:hint="eastAsia" w:ascii="黑体" w:hAnsi="Times New Roman" w:eastAsia="黑体"/>
        <w:b w:val="0"/>
        <w:i w:val="0"/>
        <w:sz w:val="21"/>
      </w:rPr>
    </w:lvl>
    <w:lvl w:ilvl="4" w:tentative="0">
      <w:start w:val="1"/>
      <w:numFmt w:val="decimal"/>
      <w:pStyle w:val="58"/>
      <w:suff w:val="nothing"/>
      <w:lvlText w:val="%1.%2.%3.%4.%5　"/>
      <w:lvlJc w:val="left"/>
      <w:pPr>
        <w:ind w:left="0" w:firstLine="0"/>
      </w:pPr>
      <w:rPr>
        <w:rFonts w:hint="eastAsia" w:ascii="黑体" w:hAnsi="Times New Roman" w:eastAsia="黑体"/>
        <w:b w:val="0"/>
        <w:i w:val="0"/>
        <w:sz w:val="21"/>
      </w:rPr>
    </w:lvl>
    <w:lvl w:ilvl="5" w:tentative="0">
      <w:start w:val="1"/>
      <w:numFmt w:val="decimal"/>
      <w:pStyle w:val="5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tentative="0">
      <w:start w:val="1"/>
      <w:numFmt w:val="upperLetter"/>
      <w:pStyle w:val="101"/>
      <w:suff w:val="space"/>
      <w:lvlText w:val="%1"/>
      <w:lvlJc w:val="left"/>
      <w:pPr>
        <w:ind w:left="623" w:hanging="425"/>
      </w:pPr>
      <w:rPr>
        <w:rFonts w:hint="eastAsia"/>
      </w:rPr>
    </w:lvl>
    <w:lvl w:ilvl="1" w:tentative="0">
      <w:start w:val="1"/>
      <w:numFmt w:val="decimal"/>
      <w:pStyle w:val="10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1"/>
      <w:suff w:val="nothing"/>
      <w:lvlText w:val="%1——"/>
      <w:lvlJc w:val="left"/>
      <w:pPr>
        <w:ind w:left="833" w:hanging="408"/>
      </w:pPr>
      <w:rPr>
        <w:rFonts w:hint="eastAsia"/>
      </w:rPr>
    </w:lvl>
    <w:lvl w:ilvl="1" w:tentative="0">
      <w:start w:val="1"/>
      <w:numFmt w:val="bullet"/>
      <w:pStyle w:val="52"/>
      <w:lvlText w:val=""/>
      <w:lvlJc w:val="left"/>
      <w:pPr>
        <w:tabs>
          <w:tab w:val="left" w:pos="760"/>
        </w:tabs>
        <w:ind w:left="1264" w:hanging="413"/>
      </w:pPr>
      <w:rPr>
        <w:rFonts w:hint="default" w:ascii="Symbol" w:hAnsi="Symbol"/>
        <w:color w:val="auto"/>
      </w:rPr>
    </w:lvl>
    <w:lvl w:ilvl="2" w:tentative="0">
      <w:start w:val="1"/>
      <w:numFmt w:val="bullet"/>
      <w:pStyle w:val="6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2C7FF1A1"/>
    <w:multiLevelType w:val="multilevel"/>
    <w:tmpl w:val="2C7FF1A1"/>
    <w:lvl w:ilvl="0" w:tentative="0">
      <w:start w:val="4"/>
      <w:numFmt w:val="decimal"/>
      <w:lvlText w:val="%1."/>
      <w:lvlJc w:val="left"/>
      <w:pPr>
        <w:tabs>
          <w:tab w:val="left" w:pos="312"/>
        </w:tabs>
      </w:pPr>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0">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4C50F90"/>
    <w:multiLevelType w:val="multilevel"/>
    <w:tmpl w:val="44C50F90"/>
    <w:lvl w:ilvl="0" w:tentative="0">
      <w:start w:val="1"/>
      <w:numFmt w:val="lowerLetter"/>
      <w:pStyle w:val="62"/>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7"/>
      <w:lvlText w:val="%2)"/>
      <w:lvlJc w:val="left"/>
      <w:pPr>
        <w:tabs>
          <w:tab w:val="left" w:pos="1260"/>
        </w:tabs>
        <w:ind w:left="1259" w:hanging="419"/>
      </w:pPr>
      <w:rPr>
        <w:rFonts w:hint="eastAsia"/>
      </w:rPr>
    </w:lvl>
    <w:lvl w:ilvl="2" w:tentative="0">
      <w:start w:val="1"/>
      <w:numFmt w:val="decimal"/>
      <w:pStyle w:val="64"/>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2">
    <w:nsid w:val="4B733A5F"/>
    <w:multiLevelType w:val="multilevel"/>
    <w:tmpl w:val="4B733A5F"/>
    <w:lvl w:ilvl="0" w:tentative="0">
      <w:start w:val="1"/>
      <w:numFmt w:val="decimal"/>
      <w:pStyle w:val="65"/>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557C2AF5"/>
    <w:multiLevelType w:val="multilevel"/>
    <w:tmpl w:val="557C2AF5"/>
    <w:lvl w:ilvl="0" w:tentative="0">
      <w:start w:val="1"/>
      <w:numFmt w:val="decimal"/>
      <w:pStyle w:val="13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60B55DC2"/>
    <w:multiLevelType w:val="multilevel"/>
    <w:tmpl w:val="60B55DC2"/>
    <w:lvl w:ilvl="0" w:tentative="0">
      <w:start w:val="1"/>
      <w:numFmt w:val="upperLetter"/>
      <w:pStyle w:val="89"/>
      <w:lvlText w:val="%1"/>
      <w:lvlJc w:val="left"/>
      <w:pPr>
        <w:tabs>
          <w:tab w:val="left" w:pos="0"/>
        </w:tabs>
        <w:ind w:left="0" w:hanging="425"/>
      </w:pPr>
      <w:rPr>
        <w:rFonts w:hint="eastAsia"/>
      </w:rPr>
    </w:lvl>
    <w:lvl w:ilvl="1" w:tentative="0">
      <w:start w:val="1"/>
      <w:numFmt w:val="decimal"/>
      <w:pStyle w:val="9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2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87"/>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5"/>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6"/>
      <w:suff w:val="nothing"/>
      <w:lvlText w:val="%1.%2.%3　"/>
      <w:lvlJc w:val="left"/>
      <w:pPr>
        <w:ind w:left="0" w:firstLine="0"/>
      </w:pPr>
      <w:rPr>
        <w:rFonts w:hint="eastAsia" w:ascii="黑体" w:hAnsi="Times New Roman" w:eastAsia="黑体"/>
        <w:b w:val="0"/>
        <w:i w:val="0"/>
        <w:sz w:val="21"/>
      </w:rPr>
    </w:lvl>
    <w:lvl w:ilvl="3" w:tentative="0">
      <w:start w:val="1"/>
      <w:numFmt w:val="decimal"/>
      <w:pStyle w:val="91"/>
      <w:suff w:val="nothing"/>
      <w:lvlText w:val="%1.%2.%3.%4　"/>
      <w:lvlJc w:val="left"/>
      <w:pPr>
        <w:ind w:left="0" w:firstLine="0"/>
      </w:pPr>
      <w:rPr>
        <w:rFonts w:hint="eastAsia" w:ascii="黑体" w:hAnsi="Times New Roman" w:eastAsia="黑体"/>
        <w:b w:val="0"/>
        <w:i w:val="0"/>
        <w:sz w:val="21"/>
      </w:rPr>
    </w:lvl>
    <w:lvl w:ilvl="4" w:tentative="0">
      <w:start w:val="1"/>
      <w:numFmt w:val="decimal"/>
      <w:pStyle w:val="96"/>
      <w:suff w:val="nothing"/>
      <w:lvlText w:val="%1.%2.%3.%4.%5　"/>
      <w:lvlJc w:val="left"/>
      <w:pPr>
        <w:ind w:left="0" w:firstLine="0"/>
      </w:pPr>
      <w:rPr>
        <w:rFonts w:hint="eastAsia" w:ascii="黑体" w:hAnsi="Times New Roman" w:eastAsia="黑体"/>
        <w:b w:val="0"/>
        <w:i w:val="0"/>
        <w:sz w:val="21"/>
      </w:rPr>
    </w:lvl>
    <w:lvl w:ilvl="5" w:tentative="0">
      <w:start w:val="1"/>
      <w:numFmt w:val="decimal"/>
      <w:pStyle w:val="99"/>
      <w:suff w:val="nothing"/>
      <w:lvlText w:val="%1.%2.%3.%4.%5.%6　"/>
      <w:lvlJc w:val="left"/>
      <w:pPr>
        <w:ind w:left="0" w:firstLine="0"/>
      </w:pPr>
      <w:rPr>
        <w:rFonts w:hint="eastAsia" w:ascii="黑体" w:hAnsi="Times New Roman" w:eastAsia="黑体"/>
        <w:b w:val="0"/>
        <w:i w:val="0"/>
        <w:sz w:val="21"/>
      </w:rPr>
    </w:lvl>
    <w:lvl w:ilvl="6" w:tentative="0">
      <w:start w:val="1"/>
      <w:numFmt w:val="decimal"/>
      <w:pStyle w:val="10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08"/>
      <w:lvlText w:val="%1)"/>
      <w:lvlJc w:val="left"/>
      <w:pPr>
        <w:tabs>
          <w:tab w:val="left" w:pos="839"/>
        </w:tabs>
        <w:ind w:left="839" w:hanging="419"/>
      </w:pPr>
      <w:rPr>
        <w:rFonts w:hint="eastAsia" w:ascii="宋体" w:eastAsia="宋体"/>
        <w:b w:val="0"/>
        <w:i w:val="0"/>
        <w:sz w:val="21"/>
      </w:rPr>
    </w:lvl>
    <w:lvl w:ilvl="1" w:tentative="0">
      <w:start w:val="1"/>
      <w:numFmt w:val="decimal"/>
      <w:pStyle w:val="98"/>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6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0"/>
  </w:num>
  <w:num w:numId="2">
    <w:abstractNumId w:val="6"/>
  </w:num>
  <w:num w:numId="3">
    <w:abstractNumId w:val="8"/>
  </w:num>
  <w:num w:numId="4">
    <w:abstractNumId w:val="3"/>
  </w:num>
  <w:num w:numId="5">
    <w:abstractNumId w:val="11"/>
  </w:num>
  <w:num w:numId="6">
    <w:abstractNumId w:val="18"/>
  </w:num>
  <w:num w:numId="7">
    <w:abstractNumId w:val="1"/>
  </w:num>
  <w:num w:numId="8">
    <w:abstractNumId w:val="12"/>
  </w:num>
  <w:num w:numId="9">
    <w:abstractNumId w:val="5"/>
  </w:num>
  <w:num w:numId="10">
    <w:abstractNumId w:val="16"/>
  </w:num>
  <w:num w:numId="11">
    <w:abstractNumId w:val="14"/>
  </w:num>
  <w:num w:numId="12">
    <w:abstractNumId w:val="17"/>
  </w:num>
  <w:num w:numId="13">
    <w:abstractNumId w:val="7"/>
  </w:num>
  <w:num w:numId="14">
    <w:abstractNumId w:val="2"/>
  </w:num>
  <w:num w:numId="15">
    <w:abstractNumId w:val="4"/>
  </w:num>
  <w:num w:numId="16">
    <w:abstractNumId w:val="15"/>
  </w:num>
  <w:num w:numId="17">
    <w:abstractNumId w:val="13"/>
  </w:num>
  <w:num w:numId="18">
    <w:abstractNumId w:val="9"/>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evenAndOddHeaders w:val="1"/>
  <w:bookFoldPrinting w:val="1"/>
  <w:bookFoldPrintingSheets w:val="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wNDQzZWU4MzhiMmNlNzcyZWJkNWU3YzUxMjY0NWEifQ=="/>
  </w:docVars>
  <w:rsids>
    <w:rsidRoot w:val="302A749B"/>
    <w:rsid w:val="00000244"/>
    <w:rsid w:val="0000185F"/>
    <w:rsid w:val="0000586F"/>
    <w:rsid w:val="00013D86"/>
    <w:rsid w:val="00013E02"/>
    <w:rsid w:val="0002143C"/>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F030C"/>
    <w:rsid w:val="000F129C"/>
    <w:rsid w:val="001056DE"/>
    <w:rsid w:val="001124C0"/>
    <w:rsid w:val="0013175F"/>
    <w:rsid w:val="001325B2"/>
    <w:rsid w:val="001512B4"/>
    <w:rsid w:val="001620A5"/>
    <w:rsid w:val="00164E53"/>
    <w:rsid w:val="0016699D"/>
    <w:rsid w:val="00175159"/>
    <w:rsid w:val="00176208"/>
    <w:rsid w:val="0018211B"/>
    <w:rsid w:val="001840D3"/>
    <w:rsid w:val="001900F8"/>
    <w:rsid w:val="00191258"/>
    <w:rsid w:val="00192680"/>
    <w:rsid w:val="00193037"/>
    <w:rsid w:val="00193A2C"/>
    <w:rsid w:val="001A288E"/>
    <w:rsid w:val="001B6DC2"/>
    <w:rsid w:val="001C149C"/>
    <w:rsid w:val="001C21AC"/>
    <w:rsid w:val="001C47BA"/>
    <w:rsid w:val="001C59EA"/>
    <w:rsid w:val="001D406C"/>
    <w:rsid w:val="001D41EE"/>
    <w:rsid w:val="001E0380"/>
    <w:rsid w:val="001E13B1"/>
    <w:rsid w:val="001F3A19"/>
    <w:rsid w:val="00234467"/>
    <w:rsid w:val="00237D8D"/>
    <w:rsid w:val="00241DA2"/>
    <w:rsid w:val="00247FEE"/>
    <w:rsid w:val="00250E7D"/>
    <w:rsid w:val="002565D5"/>
    <w:rsid w:val="002622C0"/>
    <w:rsid w:val="002778AE"/>
    <w:rsid w:val="0028269A"/>
    <w:rsid w:val="00283590"/>
    <w:rsid w:val="002866DA"/>
    <w:rsid w:val="00286973"/>
    <w:rsid w:val="00294E70"/>
    <w:rsid w:val="002A1924"/>
    <w:rsid w:val="002A7420"/>
    <w:rsid w:val="002B0F12"/>
    <w:rsid w:val="002B1308"/>
    <w:rsid w:val="002B3A3C"/>
    <w:rsid w:val="002B4554"/>
    <w:rsid w:val="002C72D8"/>
    <w:rsid w:val="002D11FA"/>
    <w:rsid w:val="002D69B4"/>
    <w:rsid w:val="002E0DDF"/>
    <w:rsid w:val="002E2906"/>
    <w:rsid w:val="002E5635"/>
    <w:rsid w:val="002E64C3"/>
    <w:rsid w:val="002E6A2C"/>
    <w:rsid w:val="002F1D8C"/>
    <w:rsid w:val="002F21DA"/>
    <w:rsid w:val="002F2DD5"/>
    <w:rsid w:val="00301F39"/>
    <w:rsid w:val="00325926"/>
    <w:rsid w:val="00327A8A"/>
    <w:rsid w:val="00336610"/>
    <w:rsid w:val="00343F73"/>
    <w:rsid w:val="00345060"/>
    <w:rsid w:val="0035323B"/>
    <w:rsid w:val="003609D2"/>
    <w:rsid w:val="00363F22"/>
    <w:rsid w:val="00375564"/>
    <w:rsid w:val="003814D0"/>
    <w:rsid w:val="00381EF2"/>
    <w:rsid w:val="00383191"/>
    <w:rsid w:val="00386DED"/>
    <w:rsid w:val="003912E7"/>
    <w:rsid w:val="00393947"/>
    <w:rsid w:val="003A2275"/>
    <w:rsid w:val="003A6A4F"/>
    <w:rsid w:val="003A7088"/>
    <w:rsid w:val="003B00DF"/>
    <w:rsid w:val="003B1275"/>
    <w:rsid w:val="003B1778"/>
    <w:rsid w:val="003C11CB"/>
    <w:rsid w:val="003C2470"/>
    <w:rsid w:val="003C4D1E"/>
    <w:rsid w:val="003C75F3"/>
    <w:rsid w:val="003C78A3"/>
    <w:rsid w:val="003E1867"/>
    <w:rsid w:val="003E5729"/>
    <w:rsid w:val="003E7E12"/>
    <w:rsid w:val="003F4EE0"/>
    <w:rsid w:val="00402153"/>
    <w:rsid w:val="00402FC1"/>
    <w:rsid w:val="00424266"/>
    <w:rsid w:val="00425082"/>
    <w:rsid w:val="00431DEB"/>
    <w:rsid w:val="00446B29"/>
    <w:rsid w:val="00453F9A"/>
    <w:rsid w:val="00470483"/>
    <w:rsid w:val="00471E91"/>
    <w:rsid w:val="00474675"/>
    <w:rsid w:val="0047470C"/>
    <w:rsid w:val="00481402"/>
    <w:rsid w:val="004A0693"/>
    <w:rsid w:val="004A35F9"/>
    <w:rsid w:val="004B24C1"/>
    <w:rsid w:val="004C292F"/>
    <w:rsid w:val="00510280"/>
    <w:rsid w:val="00513D73"/>
    <w:rsid w:val="00514A43"/>
    <w:rsid w:val="005174E5"/>
    <w:rsid w:val="00522393"/>
    <w:rsid w:val="00522620"/>
    <w:rsid w:val="00525656"/>
    <w:rsid w:val="00534C02"/>
    <w:rsid w:val="0054264B"/>
    <w:rsid w:val="00543786"/>
    <w:rsid w:val="005533D7"/>
    <w:rsid w:val="005703DE"/>
    <w:rsid w:val="0058464E"/>
    <w:rsid w:val="005A01CB"/>
    <w:rsid w:val="005A082F"/>
    <w:rsid w:val="005A58FF"/>
    <w:rsid w:val="005A5EAF"/>
    <w:rsid w:val="005A64C0"/>
    <w:rsid w:val="005B3C11"/>
    <w:rsid w:val="005C1C28"/>
    <w:rsid w:val="005C6DB5"/>
    <w:rsid w:val="005E19E7"/>
    <w:rsid w:val="005F1241"/>
    <w:rsid w:val="00612F95"/>
    <w:rsid w:val="0061716C"/>
    <w:rsid w:val="006243A1"/>
    <w:rsid w:val="00632E56"/>
    <w:rsid w:val="00635CBA"/>
    <w:rsid w:val="0064338B"/>
    <w:rsid w:val="00646542"/>
    <w:rsid w:val="006504F4"/>
    <w:rsid w:val="00654BC9"/>
    <w:rsid w:val="006552FD"/>
    <w:rsid w:val="00663AF3"/>
    <w:rsid w:val="00666B6C"/>
    <w:rsid w:val="00682682"/>
    <w:rsid w:val="00682702"/>
    <w:rsid w:val="00692368"/>
    <w:rsid w:val="006A2EBC"/>
    <w:rsid w:val="006A40BF"/>
    <w:rsid w:val="006A5EA0"/>
    <w:rsid w:val="006A783B"/>
    <w:rsid w:val="006A7B33"/>
    <w:rsid w:val="006B4E13"/>
    <w:rsid w:val="006B75DD"/>
    <w:rsid w:val="006C67E0"/>
    <w:rsid w:val="006C7ABA"/>
    <w:rsid w:val="006D0D60"/>
    <w:rsid w:val="006D1122"/>
    <w:rsid w:val="006D3C00"/>
    <w:rsid w:val="006E3675"/>
    <w:rsid w:val="006E4A7F"/>
    <w:rsid w:val="00704DF6"/>
    <w:rsid w:val="0070651C"/>
    <w:rsid w:val="007132A3"/>
    <w:rsid w:val="00716421"/>
    <w:rsid w:val="00724EFB"/>
    <w:rsid w:val="007419C3"/>
    <w:rsid w:val="007467A7"/>
    <w:rsid w:val="007469DD"/>
    <w:rsid w:val="0074741B"/>
    <w:rsid w:val="0074759E"/>
    <w:rsid w:val="007478EA"/>
    <w:rsid w:val="00750D20"/>
    <w:rsid w:val="0075415C"/>
    <w:rsid w:val="00763502"/>
    <w:rsid w:val="00767F83"/>
    <w:rsid w:val="007913AB"/>
    <w:rsid w:val="007914F7"/>
    <w:rsid w:val="00797519"/>
    <w:rsid w:val="007B1625"/>
    <w:rsid w:val="007B706E"/>
    <w:rsid w:val="007B71EB"/>
    <w:rsid w:val="007C6205"/>
    <w:rsid w:val="007C686A"/>
    <w:rsid w:val="007C728E"/>
    <w:rsid w:val="007D2C53"/>
    <w:rsid w:val="007D3D60"/>
    <w:rsid w:val="007E1980"/>
    <w:rsid w:val="007E4B76"/>
    <w:rsid w:val="007E5EA8"/>
    <w:rsid w:val="007F0CF1"/>
    <w:rsid w:val="007F12A5"/>
    <w:rsid w:val="007F2CED"/>
    <w:rsid w:val="007F4CF1"/>
    <w:rsid w:val="007F758D"/>
    <w:rsid w:val="007F7D52"/>
    <w:rsid w:val="00800127"/>
    <w:rsid w:val="0080654C"/>
    <w:rsid w:val="008071C6"/>
    <w:rsid w:val="00817A00"/>
    <w:rsid w:val="00827FC0"/>
    <w:rsid w:val="00835DB3"/>
    <w:rsid w:val="0083617B"/>
    <w:rsid w:val="008371BD"/>
    <w:rsid w:val="0084398A"/>
    <w:rsid w:val="00850343"/>
    <w:rsid w:val="008504A8"/>
    <w:rsid w:val="0085282E"/>
    <w:rsid w:val="0087198C"/>
    <w:rsid w:val="00872C1F"/>
    <w:rsid w:val="00873B42"/>
    <w:rsid w:val="008856D8"/>
    <w:rsid w:val="00892E82"/>
    <w:rsid w:val="008C1B58"/>
    <w:rsid w:val="008C39AE"/>
    <w:rsid w:val="008C590D"/>
    <w:rsid w:val="008E031B"/>
    <w:rsid w:val="008E4D68"/>
    <w:rsid w:val="008E7029"/>
    <w:rsid w:val="008E7EF6"/>
    <w:rsid w:val="008F1F98"/>
    <w:rsid w:val="008F6758"/>
    <w:rsid w:val="009040DD"/>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335E"/>
    <w:rsid w:val="009D5362"/>
    <w:rsid w:val="009E1415"/>
    <w:rsid w:val="009E6116"/>
    <w:rsid w:val="00A02E43"/>
    <w:rsid w:val="00A065F9"/>
    <w:rsid w:val="00A07F34"/>
    <w:rsid w:val="00A164DD"/>
    <w:rsid w:val="00A22154"/>
    <w:rsid w:val="00A25C38"/>
    <w:rsid w:val="00A36BBE"/>
    <w:rsid w:val="00A4307A"/>
    <w:rsid w:val="00A47EBB"/>
    <w:rsid w:val="00A51CDD"/>
    <w:rsid w:val="00A6730D"/>
    <w:rsid w:val="00A71625"/>
    <w:rsid w:val="00A71B9B"/>
    <w:rsid w:val="00A751C7"/>
    <w:rsid w:val="00A87844"/>
    <w:rsid w:val="00AA038C"/>
    <w:rsid w:val="00AA7A09"/>
    <w:rsid w:val="00AB3B50"/>
    <w:rsid w:val="00AC05B1"/>
    <w:rsid w:val="00AC616D"/>
    <w:rsid w:val="00AD1622"/>
    <w:rsid w:val="00AD356C"/>
    <w:rsid w:val="00AE2914"/>
    <w:rsid w:val="00AE6D15"/>
    <w:rsid w:val="00B04182"/>
    <w:rsid w:val="00B07AE3"/>
    <w:rsid w:val="00B11430"/>
    <w:rsid w:val="00B353EB"/>
    <w:rsid w:val="00B3578E"/>
    <w:rsid w:val="00B439C4"/>
    <w:rsid w:val="00B4535E"/>
    <w:rsid w:val="00B52A8C"/>
    <w:rsid w:val="00B636A8"/>
    <w:rsid w:val="00B665C6"/>
    <w:rsid w:val="00B805AF"/>
    <w:rsid w:val="00B869EC"/>
    <w:rsid w:val="00B9397A"/>
    <w:rsid w:val="00B9633D"/>
    <w:rsid w:val="00BA2EBE"/>
    <w:rsid w:val="00BB0F28"/>
    <w:rsid w:val="00BB40D9"/>
    <w:rsid w:val="00BB458A"/>
    <w:rsid w:val="00BD00D3"/>
    <w:rsid w:val="00BD1659"/>
    <w:rsid w:val="00BD3AA9"/>
    <w:rsid w:val="00BD4A18"/>
    <w:rsid w:val="00BD6DB2"/>
    <w:rsid w:val="00BE11CF"/>
    <w:rsid w:val="00BE21AB"/>
    <w:rsid w:val="00BE2FCE"/>
    <w:rsid w:val="00BE55CB"/>
    <w:rsid w:val="00BF36A2"/>
    <w:rsid w:val="00BF4A02"/>
    <w:rsid w:val="00BF617A"/>
    <w:rsid w:val="00C0379D"/>
    <w:rsid w:val="00C03931"/>
    <w:rsid w:val="00C05FE3"/>
    <w:rsid w:val="00C160E4"/>
    <w:rsid w:val="00C2136D"/>
    <w:rsid w:val="00C214EE"/>
    <w:rsid w:val="00C2314B"/>
    <w:rsid w:val="00C24971"/>
    <w:rsid w:val="00C26BE5"/>
    <w:rsid w:val="00C26E4D"/>
    <w:rsid w:val="00C27909"/>
    <w:rsid w:val="00C27B03"/>
    <w:rsid w:val="00C314E1"/>
    <w:rsid w:val="00C34397"/>
    <w:rsid w:val="00C36F50"/>
    <w:rsid w:val="00C4095D"/>
    <w:rsid w:val="00C601D2"/>
    <w:rsid w:val="00C65BCC"/>
    <w:rsid w:val="00C66970"/>
    <w:rsid w:val="00C8691C"/>
    <w:rsid w:val="00CA168A"/>
    <w:rsid w:val="00CA357E"/>
    <w:rsid w:val="00CA44F9"/>
    <w:rsid w:val="00CA4A69"/>
    <w:rsid w:val="00CC3E0C"/>
    <w:rsid w:val="00CC58D3"/>
    <w:rsid w:val="00CC784D"/>
    <w:rsid w:val="00CE3F91"/>
    <w:rsid w:val="00D0337B"/>
    <w:rsid w:val="00D0426B"/>
    <w:rsid w:val="00D079B2"/>
    <w:rsid w:val="00D114E9"/>
    <w:rsid w:val="00D429C6"/>
    <w:rsid w:val="00D47748"/>
    <w:rsid w:val="00D54CC3"/>
    <w:rsid w:val="00D6041A"/>
    <w:rsid w:val="00D633EB"/>
    <w:rsid w:val="00D66B1B"/>
    <w:rsid w:val="00D82FF7"/>
    <w:rsid w:val="00D847FE"/>
    <w:rsid w:val="00D964EA"/>
    <w:rsid w:val="00D966D0"/>
    <w:rsid w:val="00DA0C59"/>
    <w:rsid w:val="00DA3991"/>
    <w:rsid w:val="00DB7E6C"/>
    <w:rsid w:val="00DC46B6"/>
    <w:rsid w:val="00DD17FC"/>
    <w:rsid w:val="00DD5A29"/>
    <w:rsid w:val="00DD5D9D"/>
    <w:rsid w:val="00DE35CB"/>
    <w:rsid w:val="00DF21E9"/>
    <w:rsid w:val="00DF64D9"/>
    <w:rsid w:val="00E00F14"/>
    <w:rsid w:val="00E06386"/>
    <w:rsid w:val="00E24EB4"/>
    <w:rsid w:val="00E320ED"/>
    <w:rsid w:val="00E33AFB"/>
    <w:rsid w:val="00E34218"/>
    <w:rsid w:val="00E3530C"/>
    <w:rsid w:val="00E46282"/>
    <w:rsid w:val="00E5216E"/>
    <w:rsid w:val="00E569DA"/>
    <w:rsid w:val="00E82344"/>
    <w:rsid w:val="00E83417"/>
    <w:rsid w:val="00E84C82"/>
    <w:rsid w:val="00E84D64"/>
    <w:rsid w:val="00E87408"/>
    <w:rsid w:val="00E914C4"/>
    <w:rsid w:val="00E91E3B"/>
    <w:rsid w:val="00E934F5"/>
    <w:rsid w:val="00E96961"/>
    <w:rsid w:val="00EA72EC"/>
    <w:rsid w:val="00EB11CB"/>
    <w:rsid w:val="00EB275A"/>
    <w:rsid w:val="00EB786A"/>
    <w:rsid w:val="00EC1084"/>
    <w:rsid w:val="00EC1578"/>
    <w:rsid w:val="00EC1C72"/>
    <w:rsid w:val="00EC3CC9"/>
    <w:rsid w:val="00EC65E4"/>
    <w:rsid w:val="00EC680A"/>
    <w:rsid w:val="00EE2BED"/>
    <w:rsid w:val="00EE374B"/>
    <w:rsid w:val="00F00E7D"/>
    <w:rsid w:val="00F11BB5"/>
    <w:rsid w:val="00F1417B"/>
    <w:rsid w:val="00F300D3"/>
    <w:rsid w:val="00F34B99"/>
    <w:rsid w:val="00F52DAB"/>
    <w:rsid w:val="00F543F0"/>
    <w:rsid w:val="00F81D29"/>
    <w:rsid w:val="00F91C4D"/>
    <w:rsid w:val="00F92FD9"/>
    <w:rsid w:val="00F95913"/>
    <w:rsid w:val="00FA6684"/>
    <w:rsid w:val="00FA731E"/>
    <w:rsid w:val="00FB1A61"/>
    <w:rsid w:val="00FB2B38"/>
    <w:rsid w:val="00FB6210"/>
    <w:rsid w:val="00FC6358"/>
    <w:rsid w:val="00FD320D"/>
    <w:rsid w:val="00FE23DE"/>
    <w:rsid w:val="011727D7"/>
    <w:rsid w:val="012F5548"/>
    <w:rsid w:val="01AC1515"/>
    <w:rsid w:val="0240592C"/>
    <w:rsid w:val="02997370"/>
    <w:rsid w:val="030078B9"/>
    <w:rsid w:val="04766444"/>
    <w:rsid w:val="04FD5CD4"/>
    <w:rsid w:val="05065C53"/>
    <w:rsid w:val="05180718"/>
    <w:rsid w:val="052F0C86"/>
    <w:rsid w:val="058A747B"/>
    <w:rsid w:val="05F91A35"/>
    <w:rsid w:val="0658181F"/>
    <w:rsid w:val="07F36183"/>
    <w:rsid w:val="080C3023"/>
    <w:rsid w:val="093048D8"/>
    <w:rsid w:val="09663395"/>
    <w:rsid w:val="09774A68"/>
    <w:rsid w:val="09E84FB4"/>
    <w:rsid w:val="0A0E3851"/>
    <w:rsid w:val="0C1349EF"/>
    <w:rsid w:val="0D400D86"/>
    <w:rsid w:val="0D892EDB"/>
    <w:rsid w:val="0E1119FC"/>
    <w:rsid w:val="0E3C42AB"/>
    <w:rsid w:val="0E931D69"/>
    <w:rsid w:val="0F7D126E"/>
    <w:rsid w:val="11175B85"/>
    <w:rsid w:val="11436386"/>
    <w:rsid w:val="11651216"/>
    <w:rsid w:val="11F13831"/>
    <w:rsid w:val="12035E03"/>
    <w:rsid w:val="131F08F5"/>
    <w:rsid w:val="139B3BAD"/>
    <w:rsid w:val="13E9454F"/>
    <w:rsid w:val="14A53B8A"/>
    <w:rsid w:val="15420170"/>
    <w:rsid w:val="1545528F"/>
    <w:rsid w:val="15D45FFF"/>
    <w:rsid w:val="16247450"/>
    <w:rsid w:val="16622E2D"/>
    <w:rsid w:val="170D3DB5"/>
    <w:rsid w:val="17276017"/>
    <w:rsid w:val="17C96127"/>
    <w:rsid w:val="192E0037"/>
    <w:rsid w:val="19596920"/>
    <w:rsid w:val="19B85228"/>
    <w:rsid w:val="1A204AF3"/>
    <w:rsid w:val="1B436962"/>
    <w:rsid w:val="1D5A0533"/>
    <w:rsid w:val="1D792624"/>
    <w:rsid w:val="1D921523"/>
    <w:rsid w:val="1D997B8A"/>
    <w:rsid w:val="1E3F3C29"/>
    <w:rsid w:val="1F11243B"/>
    <w:rsid w:val="20781848"/>
    <w:rsid w:val="20DB2E9B"/>
    <w:rsid w:val="211718B2"/>
    <w:rsid w:val="22B21FB6"/>
    <w:rsid w:val="22D314CF"/>
    <w:rsid w:val="244C47B4"/>
    <w:rsid w:val="24DD4239"/>
    <w:rsid w:val="26163565"/>
    <w:rsid w:val="26172E3F"/>
    <w:rsid w:val="27133279"/>
    <w:rsid w:val="27A87C07"/>
    <w:rsid w:val="28931A9E"/>
    <w:rsid w:val="28C1766D"/>
    <w:rsid w:val="2AFF7825"/>
    <w:rsid w:val="2B165D33"/>
    <w:rsid w:val="2C692498"/>
    <w:rsid w:val="2CBF4179"/>
    <w:rsid w:val="2D3E43D9"/>
    <w:rsid w:val="2EB50CE4"/>
    <w:rsid w:val="2FDA2C80"/>
    <w:rsid w:val="302A749B"/>
    <w:rsid w:val="308A2D89"/>
    <w:rsid w:val="309C53FB"/>
    <w:rsid w:val="30D2231F"/>
    <w:rsid w:val="30FB0996"/>
    <w:rsid w:val="317C14A8"/>
    <w:rsid w:val="320E3F38"/>
    <w:rsid w:val="326D6C7C"/>
    <w:rsid w:val="337603CA"/>
    <w:rsid w:val="33C80BA1"/>
    <w:rsid w:val="33FD21B6"/>
    <w:rsid w:val="34070D9F"/>
    <w:rsid w:val="34561F80"/>
    <w:rsid w:val="346207F5"/>
    <w:rsid w:val="35287D99"/>
    <w:rsid w:val="35A558B6"/>
    <w:rsid w:val="35A6714B"/>
    <w:rsid w:val="365A72B1"/>
    <w:rsid w:val="366F4D78"/>
    <w:rsid w:val="36AB343A"/>
    <w:rsid w:val="37074CED"/>
    <w:rsid w:val="372B732F"/>
    <w:rsid w:val="375D7A2B"/>
    <w:rsid w:val="37E17B1A"/>
    <w:rsid w:val="38477A52"/>
    <w:rsid w:val="38602DAF"/>
    <w:rsid w:val="38BD36F0"/>
    <w:rsid w:val="38BF587F"/>
    <w:rsid w:val="397D4EC3"/>
    <w:rsid w:val="3A441BF1"/>
    <w:rsid w:val="3AC23D63"/>
    <w:rsid w:val="3B1709B0"/>
    <w:rsid w:val="3BA97918"/>
    <w:rsid w:val="3CDD60BF"/>
    <w:rsid w:val="3D8266A8"/>
    <w:rsid w:val="3DD11BB1"/>
    <w:rsid w:val="40574CB6"/>
    <w:rsid w:val="40BB7EAA"/>
    <w:rsid w:val="40DA7EC7"/>
    <w:rsid w:val="410C22DA"/>
    <w:rsid w:val="419226E0"/>
    <w:rsid w:val="426C0636"/>
    <w:rsid w:val="4274346B"/>
    <w:rsid w:val="43016602"/>
    <w:rsid w:val="439E3944"/>
    <w:rsid w:val="441F24EF"/>
    <w:rsid w:val="44384286"/>
    <w:rsid w:val="4439400C"/>
    <w:rsid w:val="45266DED"/>
    <w:rsid w:val="45DA3A3B"/>
    <w:rsid w:val="467068BD"/>
    <w:rsid w:val="46B26093"/>
    <w:rsid w:val="472969E0"/>
    <w:rsid w:val="47297B06"/>
    <w:rsid w:val="47366234"/>
    <w:rsid w:val="477507B6"/>
    <w:rsid w:val="479A6519"/>
    <w:rsid w:val="47C435E3"/>
    <w:rsid w:val="48B432FE"/>
    <w:rsid w:val="49DC03D8"/>
    <w:rsid w:val="4A1C4A46"/>
    <w:rsid w:val="4A9E624B"/>
    <w:rsid w:val="4B693428"/>
    <w:rsid w:val="4B94266B"/>
    <w:rsid w:val="4BB45CCD"/>
    <w:rsid w:val="4C671627"/>
    <w:rsid w:val="4C6E4996"/>
    <w:rsid w:val="4CAA52BE"/>
    <w:rsid w:val="4CAC01DB"/>
    <w:rsid w:val="4D5123C6"/>
    <w:rsid w:val="4D74610A"/>
    <w:rsid w:val="4E946611"/>
    <w:rsid w:val="4EB74934"/>
    <w:rsid w:val="4EF320A0"/>
    <w:rsid w:val="4F3B5E15"/>
    <w:rsid w:val="4FA243B5"/>
    <w:rsid w:val="50C85FC3"/>
    <w:rsid w:val="50DB26D2"/>
    <w:rsid w:val="51D55492"/>
    <w:rsid w:val="529B5011"/>
    <w:rsid w:val="52DA01E3"/>
    <w:rsid w:val="52F6061E"/>
    <w:rsid w:val="53877FA0"/>
    <w:rsid w:val="53957B4D"/>
    <w:rsid w:val="552C7484"/>
    <w:rsid w:val="561A6834"/>
    <w:rsid w:val="56421C78"/>
    <w:rsid w:val="57C3214C"/>
    <w:rsid w:val="58501BF8"/>
    <w:rsid w:val="589A6CFB"/>
    <w:rsid w:val="589D45CB"/>
    <w:rsid w:val="58EF1612"/>
    <w:rsid w:val="598208F0"/>
    <w:rsid w:val="5A9F22C0"/>
    <w:rsid w:val="5B5371E4"/>
    <w:rsid w:val="5B6D27B1"/>
    <w:rsid w:val="5B905036"/>
    <w:rsid w:val="5B9E711E"/>
    <w:rsid w:val="5CC6643D"/>
    <w:rsid w:val="5D127761"/>
    <w:rsid w:val="5DE126F6"/>
    <w:rsid w:val="5E1E1E89"/>
    <w:rsid w:val="5E3B3864"/>
    <w:rsid w:val="5E773337"/>
    <w:rsid w:val="5E894084"/>
    <w:rsid w:val="5EC20A4B"/>
    <w:rsid w:val="5EE94C75"/>
    <w:rsid w:val="5FC319E3"/>
    <w:rsid w:val="5FC4051F"/>
    <w:rsid w:val="609F1D7E"/>
    <w:rsid w:val="60BC2741"/>
    <w:rsid w:val="61BE7817"/>
    <w:rsid w:val="63502F4C"/>
    <w:rsid w:val="63FF3C5C"/>
    <w:rsid w:val="6418172F"/>
    <w:rsid w:val="641B6A3B"/>
    <w:rsid w:val="65811619"/>
    <w:rsid w:val="662064E9"/>
    <w:rsid w:val="669E330B"/>
    <w:rsid w:val="66B731BC"/>
    <w:rsid w:val="66FE4F15"/>
    <w:rsid w:val="68373B50"/>
    <w:rsid w:val="6876353E"/>
    <w:rsid w:val="687D0E86"/>
    <w:rsid w:val="68FE6F47"/>
    <w:rsid w:val="69C051F6"/>
    <w:rsid w:val="69FC73CB"/>
    <w:rsid w:val="6AB86C43"/>
    <w:rsid w:val="6C1F0B8F"/>
    <w:rsid w:val="6CA329F1"/>
    <w:rsid w:val="6DCC0DD2"/>
    <w:rsid w:val="6DF37AD2"/>
    <w:rsid w:val="6E3D4FDE"/>
    <w:rsid w:val="6E7B0660"/>
    <w:rsid w:val="6F07294A"/>
    <w:rsid w:val="6F76182F"/>
    <w:rsid w:val="70174FDA"/>
    <w:rsid w:val="712E54D4"/>
    <w:rsid w:val="71612C71"/>
    <w:rsid w:val="718E638D"/>
    <w:rsid w:val="721C0D54"/>
    <w:rsid w:val="723D4777"/>
    <w:rsid w:val="73D85CB2"/>
    <w:rsid w:val="73FF52EA"/>
    <w:rsid w:val="74711031"/>
    <w:rsid w:val="74EE7A9E"/>
    <w:rsid w:val="75D06460"/>
    <w:rsid w:val="75E45376"/>
    <w:rsid w:val="762C4FEF"/>
    <w:rsid w:val="763473EA"/>
    <w:rsid w:val="76E754A6"/>
    <w:rsid w:val="76F05732"/>
    <w:rsid w:val="78904EAA"/>
    <w:rsid w:val="791E6A3A"/>
    <w:rsid w:val="794D7B00"/>
    <w:rsid w:val="79D908C5"/>
    <w:rsid w:val="79E36076"/>
    <w:rsid w:val="79F2674D"/>
    <w:rsid w:val="7A6A2939"/>
    <w:rsid w:val="7B4318D7"/>
    <w:rsid w:val="7DCA72F2"/>
    <w:rsid w:val="7E6C39AF"/>
    <w:rsid w:val="7EDB6E28"/>
    <w:rsid w:val="7F0C6CBE"/>
    <w:rsid w:val="7F103ACA"/>
    <w:rsid w:val="7F372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semiHidden/>
    <w:qFormat/>
    <w:uiPriority w:val="0"/>
    <w:pPr>
      <w:tabs>
        <w:tab w:val="right" w:leader="dot" w:pos="9241"/>
      </w:tabs>
      <w:ind w:firstLine="500" w:firstLineChars="500"/>
      <w:jc w:val="left"/>
    </w:pPr>
    <w:rPr>
      <w:rFonts w:ascii="宋体"/>
      <w:szCs w:val="21"/>
    </w:rPr>
  </w:style>
  <w:style w:type="paragraph" w:styleId="4">
    <w:name w:val="index 8"/>
    <w:basedOn w:val="1"/>
    <w:next w:val="1"/>
    <w:qFormat/>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qFormat/>
    <w:uiPriority w:val="0"/>
    <w:pPr>
      <w:ind w:left="1050" w:hanging="210"/>
      <w:jc w:val="left"/>
    </w:pPr>
    <w:rPr>
      <w:rFonts w:ascii="Calibri" w:hAnsi="Calibri"/>
      <w:sz w:val="20"/>
      <w:szCs w:val="20"/>
    </w:rPr>
  </w:style>
  <w:style w:type="paragraph" w:styleId="7">
    <w:name w:val="Document Map"/>
    <w:basedOn w:val="1"/>
    <w:semiHidden/>
    <w:qFormat/>
    <w:uiPriority w:val="0"/>
    <w:pPr>
      <w:shd w:val="clear" w:color="auto" w:fill="000080"/>
    </w:pPr>
  </w:style>
  <w:style w:type="paragraph" w:styleId="8">
    <w:name w:val="annotation text"/>
    <w:basedOn w:val="1"/>
    <w:link w:val="145"/>
    <w:qFormat/>
    <w:uiPriority w:val="0"/>
    <w:pPr>
      <w:jc w:val="left"/>
    </w:pPr>
  </w:style>
  <w:style w:type="paragraph" w:styleId="9">
    <w:name w:val="index 6"/>
    <w:basedOn w:val="1"/>
    <w:next w:val="1"/>
    <w:qFormat/>
    <w:uiPriority w:val="0"/>
    <w:pPr>
      <w:ind w:left="1260" w:hanging="210"/>
      <w:jc w:val="left"/>
    </w:pPr>
    <w:rPr>
      <w:rFonts w:ascii="Calibri" w:hAnsi="Calibri"/>
      <w:sz w:val="20"/>
      <w:szCs w:val="20"/>
    </w:rPr>
  </w:style>
  <w:style w:type="paragraph" w:styleId="10">
    <w:name w:val="index 4"/>
    <w:basedOn w:val="1"/>
    <w:next w:val="1"/>
    <w:qFormat/>
    <w:uiPriority w:val="0"/>
    <w:pPr>
      <w:ind w:left="840" w:hanging="210"/>
      <w:jc w:val="left"/>
    </w:pPr>
    <w:rPr>
      <w:rFonts w:ascii="Calibri" w:hAnsi="Calibri"/>
      <w:sz w:val="20"/>
      <w:szCs w:val="20"/>
    </w:rPr>
  </w:style>
  <w:style w:type="paragraph" w:styleId="11">
    <w:name w:val="toc 5"/>
    <w:basedOn w:val="1"/>
    <w:next w:val="1"/>
    <w:semiHidden/>
    <w:qFormat/>
    <w:uiPriority w:val="0"/>
    <w:pPr>
      <w:tabs>
        <w:tab w:val="right" w:leader="dot" w:pos="9241"/>
      </w:tabs>
      <w:ind w:firstLine="300" w:firstLineChars="300"/>
      <w:jc w:val="left"/>
    </w:pPr>
    <w:rPr>
      <w:rFonts w:ascii="宋体"/>
      <w:szCs w:val="21"/>
    </w:rPr>
  </w:style>
  <w:style w:type="paragraph" w:styleId="12">
    <w:name w:val="toc 3"/>
    <w:basedOn w:val="1"/>
    <w:next w:val="1"/>
    <w:semiHidden/>
    <w:qFormat/>
    <w:uiPriority w:val="0"/>
    <w:pPr>
      <w:tabs>
        <w:tab w:val="right" w:leader="dot" w:pos="9241"/>
      </w:tabs>
      <w:ind w:firstLine="100" w:firstLineChars="100"/>
      <w:jc w:val="left"/>
    </w:pPr>
    <w:rPr>
      <w:rFonts w:ascii="宋体"/>
      <w:szCs w:val="21"/>
    </w:rPr>
  </w:style>
  <w:style w:type="paragraph" w:styleId="13">
    <w:name w:val="toc 8"/>
    <w:basedOn w:val="1"/>
    <w:next w:val="1"/>
    <w:semiHidden/>
    <w:qFormat/>
    <w:uiPriority w:val="0"/>
    <w:pPr>
      <w:tabs>
        <w:tab w:val="right" w:leader="dot" w:pos="9241"/>
      </w:tabs>
      <w:ind w:firstLine="607" w:firstLineChars="600"/>
      <w:jc w:val="left"/>
    </w:pPr>
    <w:rPr>
      <w:rFonts w:ascii="宋体"/>
      <w:szCs w:val="21"/>
    </w:rPr>
  </w:style>
  <w:style w:type="paragraph" w:styleId="14">
    <w:name w:val="index 3"/>
    <w:basedOn w:val="1"/>
    <w:next w:val="1"/>
    <w:qFormat/>
    <w:uiPriority w:val="0"/>
    <w:pPr>
      <w:ind w:left="630" w:hanging="210"/>
      <w:jc w:val="left"/>
    </w:pPr>
    <w:rPr>
      <w:rFonts w:ascii="Calibri" w:hAnsi="Calibri"/>
      <w:sz w:val="20"/>
      <w:szCs w:val="20"/>
    </w:rPr>
  </w:style>
  <w:style w:type="paragraph" w:styleId="15">
    <w:name w:val="endnote text"/>
    <w:basedOn w:val="1"/>
    <w:semiHidden/>
    <w:qFormat/>
    <w:uiPriority w:val="0"/>
    <w:pPr>
      <w:snapToGrid w:val="0"/>
      <w:jc w:val="left"/>
    </w:pPr>
  </w:style>
  <w:style w:type="paragraph" w:styleId="16">
    <w:name w:val="Balloon Text"/>
    <w:basedOn w:val="1"/>
    <w:link w:val="147"/>
    <w:qFormat/>
    <w:uiPriority w:val="0"/>
    <w:rPr>
      <w:sz w:val="18"/>
      <w:szCs w:val="18"/>
    </w:rPr>
  </w:style>
  <w:style w:type="paragraph" w:styleId="17">
    <w:name w:val="footer"/>
    <w:basedOn w:val="1"/>
    <w:qFormat/>
    <w:uiPriority w:val="0"/>
    <w:pPr>
      <w:snapToGrid w:val="0"/>
      <w:ind w:right="210" w:rightChars="100"/>
      <w:jc w:val="right"/>
    </w:pPr>
    <w:rPr>
      <w:sz w:val="18"/>
      <w:szCs w:val="18"/>
    </w:rPr>
  </w:style>
  <w:style w:type="paragraph" w:styleId="18">
    <w:name w:val="header"/>
    <w:basedOn w:val="1"/>
    <w:qFormat/>
    <w:uiPriority w:val="0"/>
    <w:pPr>
      <w:snapToGrid w:val="0"/>
      <w:jc w:val="left"/>
    </w:pPr>
    <w:rPr>
      <w:sz w:val="18"/>
      <w:szCs w:val="18"/>
    </w:rPr>
  </w:style>
  <w:style w:type="paragraph" w:styleId="19">
    <w:name w:val="toc 1"/>
    <w:basedOn w:val="1"/>
    <w:next w:val="1"/>
    <w:semiHidden/>
    <w:qFormat/>
    <w:uiPriority w:val="0"/>
    <w:pPr>
      <w:tabs>
        <w:tab w:val="right" w:leader="dot" w:pos="9242"/>
      </w:tabs>
      <w:spacing w:before="25" w:beforeLines="25" w:after="25" w:afterLines="25"/>
      <w:jc w:val="left"/>
    </w:pPr>
    <w:rPr>
      <w:rFonts w:ascii="宋体"/>
      <w:szCs w:val="21"/>
    </w:rPr>
  </w:style>
  <w:style w:type="paragraph" w:styleId="20">
    <w:name w:val="toc 4"/>
    <w:basedOn w:val="1"/>
    <w:next w:val="1"/>
    <w:semiHidden/>
    <w:qFormat/>
    <w:uiPriority w:val="0"/>
    <w:pPr>
      <w:tabs>
        <w:tab w:val="right" w:leader="dot" w:pos="9241"/>
      </w:tabs>
      <w:ind w:firstLine="200" w:firstLineChars="200"/>
      <w:jc w:val="left"/>
    </w:pPr>
    <w:rPr>
      <w:rFonts w:ascii="宋体"/>
      <w:szCs w:val="21"/>
    </w:rPr>
  </w:style>
  <w:style w:type="paragraph" w:styleId="21">
    <w:name w:val="index heading"/>
    <w:basedOn w:val="1"/>
    <w:next w:val="22"/>
    <w:qFormat/>
    <w:uiPriority w:val="0"/>
    <w:pPr>
      <w:spacing w:before="120" w:after="120"/>
      <w:jc w:val="center"/>
    </w:pPr>
    <w:rPr>
      <w:rFonts w:ascii="Calibri" w:hAnsi="Calibri"/>
      <w:b/>
      <w:bCs/>
      <w:iCs/>
      <w:szCs w:val="20"/>
    </w:rPr>
  </w:style>
  <w:style w:type="paragraph" w:styleId="22">
    <w:name w:val="index 1"/>
    <w:basedOn w:val="1"/>
    <w:next w:val="23"/>
    <w:qFormat/>
    <w:uiPriority w:val="0"/>
    <w:pPr>
      <w:tabs>
        <w:tab w:val="right" w:leader="dot" w:pos="9299"/>
      </w:tabs>
      <w:jc w:val="left"/>
    </w:pPr>
    <w:rPr>
      <w:rFonts w:ascii="宋体"/>
      <w:szCs w:val="21"/>
    </w:rPr>
  </w:style>
  <w:style w:type="paragraph" w:customStyle="1" w:styleId="23">
    <w:name w:val="段"/>
    <w:link w:val="4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qFormat/>
    <w:uiPriority w:val="0"/>
    <w:pPr>
      <w:numPr>
        <w:ilvl w:val="0"/>
        <w:numId w:val="1"/>
      </w:numPr>
      <w:snapToGrid w:val="0"/>
      <w:jc w:val="left"/>
    </w:pPr>
    <w:rPr>
      <w:rFonts w:ascii="宋体"/>
      <w:sz w:val="18"/>
      <w:szCs w:val="18"/>
    </w:rPr>
  </w:style>
  <w:style w:type="paragraph" w:styleId="25">
    <w:name w:val="toc 6"/>
    <w:basedOn w:val="1"/>
    <w:next w:val="1"/>
    <w:semiHidden/>
    <w:qFormat/>
    <w:uiPriority w:val="0"/>
    <w:pPr>
      <w:tabs>
        <w:tab w:val="right" w:leader="dot" w:pos="9241"/>
      </w:tabs>
      <w:ind w:firstLine="400" w:firstLineChars="400"/>
      <w:jc w:val="left"/>
    </w:pPr>
    <w:rPr>
      <w:rFonts w:ascii="宋体"/>
      <w:szCs w:val="21"/>
    </w:rPr>
  </w:style>
  <w:style w:type="paragraph" w:styleId="26">
    <w:name w:val="index 7"/>
    <w:basedOn w:val="1"/>
    <w:next w:val="1"/>
    <w:qFormat/>
    <w:uiPriority w:val="0"/>
    <w:pPr>
      <w:ind w:left="1470" w:hanging="210"/>
      <w:jc w:val="left"/>
    </w:pPr>
    <w:rPr>
      <w:rFonts w:ascii="Calibri" w:hAnsi="Calibri"/>
      <w:sz w:val="20"/>
      <w:szCs w:val="20"/>
    </w:rPr>
  </w:style>
  <w:style w:type="paragraph" w:styleId="27">
    <w:name w:val="index 9"/>
    <w:basedOn w:val="1"/>
    <w:next w:val="1"/>
    <w:qFormat/>
    <w:uiPriority w:val="0"/>
    <w:pPr>
      <w:ind w:left="1890" w:hanging="210"/>
      <w:jc w:val="left"/>
    </w:pPr>
    <w:rPr>
      <w:rFonts w:ascii="Calibri" w:hAnsi="Calibri"/>
      <w:sz w:val="20"/>
      <w:szCs w:val="20"/>
    </w:rPr>
  </w:style>
  <w:style w:type="paragraph" w:styleId="28">
    <w:name w:val="toc 2"/>
    <w:basedOn w:val="1"/>
    <w:next w:val="1"/>
    <w:semiHidden/>
    <w:qFormat/>
    <w:uiPriority w:val="0"/>
    <w:pPr>
      <w:tabs>
        <w:tab w:val="right" w:leader="dot" w:pos="9242"/>
      </w:tabs>
    </w:pPr>
    <w:rPr>
      <w:rFonts w:ascii="宋体"/>
      <w:szCs w:val="21"/>
    </w:rPr>
  </w:style>
  <w:style w:type="paragraph" w:styleId="29">
    <w:name w:val="toc 9"/>
    <w:basedOn w:val="1"/>
    <w:next w:val="1"/>
    <w:semiHidden/>
    <w:qFormat/>
    <w:uiPriority w:val="0"/>
    <w:pPr>
      <w:ind w:left="1470"/>
      <w:jc w:val="left"/>
    </w:pPr>
    <w:rPr>
      <w:sz w:val="20"/>
      <w:szCs w:val="20"/>
    </w:rPr>
  </w:style>
  <w:style w:type="paragraph" w:styleId="30">
    <w:name w:val="index 2"/>
    <w:basedOn w:val="1"/>
    <w:next w:val="1"/>
    <w:qFormat/>
    <w:uiPriority w:val="0"/>
    <w:pPr>
      <w:ind w:left="420" w:hanging="210"/>
      <w:jc w:val="left"/>
    </w:pPr>
    <w:rPr>
      <w:rFonts w:ascii="Calibri" w:hAnsi="Calibri"/>
      <w:sz w:val="20"/>
      <w:szCs w:val="20"/>
    </w:rPr>
  </w:style>
  <w:style w:type="paragraph" w:styleId="31">
    <w:name w:val="annotation subject"/>
    <w:basedOn w:val="8"/>
    <w:next w:val="8"/>
    <w:link w:val="146"/>
    <w:qFormat/>
    <w:uiPriority w:val="0"/>
    <w:rPr>
      <w:b/>
      <w:bCs/>
    </w:rPr>
  </w:style>
  <w:style w:type="table" w:styleId="33">
    <w:name w:val="Table Grid"/>
    <w:basedOn w:val="32"/>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5">
    <w:name w:val="Strong"/>
    <w:basedOn w:val="34"/>
    <w:qFormat/>
    <w:uiPriority w:val="0"/>
    <w:rPr>
      <w:b/>
    </w:rPr>
  </w:style>
  <w:style w:type="character" w:styleId="36">
    <w:name w:val="endnote reference"/>
    <w:basedOn w:val="34"/>
    <w:semiHidden/>
    <w:qFormat/>
    <w:uiPriority w:val="0"/>
    <w:rPr>
      <w:vertAlign w:val="superscript"/>
    </w:rPr>
  </w:style>
  <w:style w:type="character" w:styleId="37">
    <w:name w:val="page number"/>
    <w:basedOn w:val="34"/>
    <w:qFormat/>
    <w:uiPriority w:val="0"/>
    <w:rPr>
      <w:rFonts w:ascii="Times New Roman" w:hAnsi="Times New Roman" w:eastAsia="宋体"/>
      <w:sz w:val="18"/>
    </w:rPr>
  </w:style>
  <w:style w:type="character" w:styleId="38">
    <w:name w:val="FollowedHyperlink"/>
    <w:basedOn w:val="34"/>
    <w:qFormat/>
    <w:uiPriority w:val="0"/>
    <w:rPr>
      <w:color w:val="800080"/>
      <w:u w:val="single"/>
    </w:rPr>
  </w:style>
  <w:style w:type="character" w:styleId="39">
    <w:name w:val="Hyperlink"/>
    <w:basedOn w:val="34"/>
    <w:qFormat/>
    <w:uiPriority w:val="0"/>
    <w:rPr>
      <w:color w:val="0000FF"/>
      <w:spacing w:val="0"/>
      <w:w w:val="100"/>
      <w:szCs w:val="21"/>
      <w:u w:val="single"/>
    </w:rPr>
  </w:style>
  <w:style w:type="character" w:styleId="40">
    <w:name w:val="annotation reference"/>
    <w:basedOn w:val="34"/>
    <w:qFormat/>
    <w:uiPriority w:val="0"/>
    <w:rPr>
      <w:sz w:val="21"/>
      <w:szCs w:val="21"/>
    </w:rPr>
  </w:style>
  <w:style w:type="character" w:styleId="41">
    <w:name w:val="footnote reference"/>
    <w:basedOn w:val="34"/>
    <w:semiHidden/>
    <w:qFormat/>
    <w:uiPriority w:val="0"/>
    <w:rPr>
      <w:vertAlign w:val="superscript"/>
    </w:rPr>
  </w:style>
  <w:style w:type="character" w:customStyle="1" w:styleId="42">
    <w:name w:val="段 Char"/>
    <w:basedOn w:val="34"/>
    <w:link w:val="23"/>
    <w:qFormat/>
    <w:uiPriority w:val="0"/>
    <w:rPr>
      <w:rFonts w:ascii="宋体"/>
      <w:sz w:val="21"/>
      <w:lang w:val="en-US" w:eastAsia="zh-CN" w:bidi="ar-SA"/>
    </w:rPr>
  </w:style>
  <w:style w:type="paragraph" w:customStyle="1" w:styleId="43">
    <w:name w:val="一级条标题"/>
    <w:next w:val="23"/>
    <w:link w:val="44"/>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4">
    <w:name w:val="一级条标题 Char"/>
    <w:link w:val="43"/>
    <w:qFormat/>
    <w:uiPriority w:val="0"/>
    <w:rPr>
      <w:rFonts w:ascii="黑体" w:eastAsia="黑体"/>
      <w:sz w:val="21"/>
      <w:szCs w:val="21"/>
      <w:lang w:bidi="ar-SA"/>
    </w:rPr>
  </w:style>
  <w:style w:type="paragraph" w:customStyle="1" w:styleId="4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3"/>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3"/>
    <w:next w:val="23"/>
    <w:link w:val="49"/>
    <w:qFormat/>
    <w:uiPriority w:val="0"/>
    <w:pPr>
      <w:numPr>
        <w:ilvl w:val="2"/>
      </w:numPr>
      <w:spacing w:before="50" w:after="50"/>
      <w:outlineLvl w:val="3"/>
    </w:pPr>
  </w:style>
  <w:style w:type="character" w:customStyle="1" w:styleId="49">
    <w:name w:val="二级条标题 Char"/>
    <w:link w:val="48"/>
    <w:qFormat/>
    <w:uiPriority w:val="0"/>
    <w:rPr>
      <w:rFonts w:ascii="黑体" w:eastAsia="黑体"/>
      <w:sz w:val="21"/>
      <w:szCs w:val="21"/>
    </w:rPr>
  </w:style>
  <w:style w:type="paragraph" w:customStyle="1" w:styleId="5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1">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2">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3">
    <w:name w:val="目次、标准名称标题"/>
    <w:basedOn w:val="1"/>
    <w:next w:val="23"/>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4">
    <w:name w:val="三级条标题"/>
    <w:basedOn w:val="48"/>
    <w:next w:val="23"/>
    <w:qFormat/>
    <w:uiPriority w:val="0"/>
    <w:pPr>
      <w:numPr>
        <w:ilvl w:val="3"/>
      </w:numPr>
      <w:outlineLvl w:val="4"/>
    </w:pPr>
  </w:style>
  <w:style w:type="paragraph" w:customStyle="1" w:styleId="55">
    <w:name w:val="示例"/>
    <w:next w:val="56"/>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7">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8">
    <w:name w:val="四级条标题"/>
    <w:basedOn w:val="54"/>
    <w:next w:val="23"/>
    <w:qFormat/>
    <w:uiPriority w:val="0"/>
    <w:pPr>
      <w:numPr>
        <w:ilvl w:val="4"/>
      </w:numPr>
      <w:outlineLvl w:val="5"/>
    </w:pPr>
  </w:style>
  <w:style w:type="paragraph" w:customStyle="1" w:styleId="59">
    <w:name w:val="五级条标题"/>
    <w:basedOn w:val="58"/>
    <w:next w:val="23"/>
    <w:qFormat/>
    <w:uiPriority w:val="0"/>
    <w:pPr>
      <w:numPr>
        <w:ilvl w:val="5"/>
      </w:numPr>
      <w:outlineLvl w:val="6"/>
    </w:pPr>
  </w:style>
  <w:style w:type="paragraph" w:customStyle="1" w:styleId="60">
    <w:name w:val="注："/>
    <w:next w:val="23"/>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1">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2">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3">
    <w:name w:val="列项◆（三级）"/>
    <w:basedOn w:val="1"/>
    <w:qFormat/>
    <w:uiPriority w:val="0"/>
    <w:pPr>
      <w:numPr>
        <w:ilvl w:val="2"/>
        <w:numId w:val="3"/>
      </w:numPr>
    </w:pPr>
    <w:rPr>
      <w:rFonts w:ascii="宋体"/>
      <w:szCs w:val="21"/>
    </w:rPr>
  </w:style>
  <w:style w:type="paragraph" w:customStyle="1" w:styleId="64">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65">
    <w:name w:val="示例×："/>
    <w:basedOn w:val="47"/>
    <w:qFormat/>
    <w:uiPriority w:val="0"/>
    <w:pPr>
      <w:numPr>
        <w:numId w:val="8"/>
      </w:numPr>
      <w:spacing w:before="0" w:beforeLines="0" w:after="0" w:afterLines="0"/>
      <w:outlineLvl w:val="9"/>
    </w:pPr>
    <w:rPr>
      <w:rFonts w:ascii="宋体" w:eastAsia="宋体"/>
      <w:sz w:val="18"/>
      <w:szCs w:val="18"/>
    </w:rPr>
  </w:style>
  <w:style w:type="paragraph" w:customStyle="1" w:styleId="66">
    <w:name w:val="二级无"/>
    <w:basedOn w:val="48"/>
    <w:qFormat/>
    <w:uiPriority w:val="0"/>
    <w:pPr>
      <w:spacing w:before="0" w:beforeLines="0" w:after="0" w:afterLines="0"/>
    </w:pPr>
    <w:rPr>
      <w:rFonts w:ascii="宋体" w:eastAsia="宋体"/>
    </w:rPr>
  </w:style>
  <w:style w:type="paragraph" w:customStyle="1" w:styleId="67">
    <w:name w:val="注：（正文）"/>
    <w:basedOn w:val="60"/>
    <w:next w:val="23"/>
    <w:qFormat/>
    <w:uiPriority w:val="0"/>
  </w:style>
  <w:style w:type="paragraph" w:customStyle="1" w:styleId="68">
    <w:name w:val="注×：（正文）"/>
    <w:qFormat/>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69">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2">
    <w:name w:val="标准书眉_偶数页"/>
    <w:basedOn w:val="46"/>
    <w:next w:val="1"/>
    <w:qFormat/>
    <w:uiPriority w:val="0"/>
    <w:pPr>
      <w:jc w:val="left"/>
    </w:pPr>
  </w:style>
  <w:style w:type="paragraph" w:customStyle="1" w:styleId="73">
    <w:name w:val="标准书眉一"/>
    <w:qFormat/>
    <w:uiPriority w:val="0"/>
    <w:pPr>
      <w:jc w:val="both"/>
    </w:pPr>
    <w:rPr>
      <w:rFonts w:ascii="Times New Roman" w:hAnsi="Times New Roman" w:eastAsia="宋体" w:cs="Times New Roman"/>
      <w:lang w:val="en-US" w:eastAsia="zh-CN" w:bidi="ar-SA"/>
    </w:rPr>
  </w:style>
  <w:style w:type="paragraph" w:customStyle="1" w:styleId="74">
    <w:name w:val="参考文献"/>
    <w:basedOn w:val="1"/>
    <w:next w:val="2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5">
    <w:name w:val="参考文献、索引标题"/>
    <w:basedOn w:val="1"/>
    <w:next w:val="23"/>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6">
    <w:name w:val="发布"/>
    <w:basedOn w:val="34"/>
    <w:qFormat/>
    <w:uiPriority w:val="0"/>
    <w:rPr>
      <w:rFonts w:ascii="黑体" w:eastAsia="黑体"/>
      <w:spacing w:val="85"/>
      <w:w w:val="100"/>
      <w:position w:val="3"/>
      <w:sz w:val="28"/>
      <w:szCs w:val="28"/>
    </w:rPr>
  </w:style>
  <w:style w:type="paragraph" w:customStyle="1" w:styleId="77">
    <w:name w:val="发布部门"/>
    <w:next w:val="23"/>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8">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9">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2">
    <w:name w:val="封面标准英文名称"/>
    <w:basedOn w:val="81"/>
    <w:qFormat/>
    <w:uiPriority w:val="0"/>
    <w:pPr>
      <w:framePr w:wrap="around"/>
      <w:spacing w:before="370" w:line="400" w:lineRule="exact"/>
    </w:pPr>
    <w:rPr>
      <w:rFonts w:ascii="Times New Roman"/>
      <w:sz w:val="28"/>
      <w:szCs w:val="28"/>
    </w:rPr>
  </w:style>
  <w:style w:type="paragraph" w:customStyle="1" w:styleId="83">
    <w:name w:val="封面一致性程度标识"/>
    <w:basedOn w:val="82"/>
    <w:qFormat/>
    <w:uiPriority w:val="0"/>
    <w:pPr>
      <w:framePr w:wrap="around"/>
      <w:spacing w:before="440"/>
    </w:pPr>
    <w:rPr>
      <w:rFonts w:ascii="宋体" w:eastAsia="宋体"/>
    </w:rPr>
  </w:style>
  <w:style w:type="paragraph" w:customStyle="1" w:styleId="84">
    <w:name w:val="封面标准文稿类别"/>
    <w:basedOn w:val="83"/>
    <w:qFormat/>
    <w:uiPriority w:val="0"/>
    <w:pPr>
      <w:framePr w:wrap="around"/>
      <w:spacing w:after="160" w:line="240" w:lineRule="auto"/>
    </w:pPr>
    <w:rPr>
      <w:sz w:val="24"/>
    </w:rPr>
  </w:style>
  <w:style w:type="paragraph" w:customStyle="1" w:styleId="85">
    <w:name w:val="封面标准文稿编辑信息"/>
    <w:basedOn w:val="84"/>
    <w:qFormat/>
    <w:uiPriority w:val="0"/>
    <w:pPr>
      <w:framePr w:wrap="around"/>
      <w:spacing w:before="180" w:line="180" w:lineRule="exact"/>
    </w:pPr>
    <w:rPr>
      <w:sz w:val="21"/>
    </w:rPr>
  </w:style>
  <w:style w:type="paragraph" w:customStyle="1" w:styleId="86">
    <w:name w:val="封面正文"/>
    <w:qFormat/>
    <w:uiPriority w:val="0"/>
    <w:pPr>
      <w:jc w:val="both"/>
    </w:pPr>
    <w:rPr>
      <w:rFonts w:ascii="Times New Roman" w:hAnsi="Times New Roman" w:eastAsia="宋体" w:cs="Times New Roman"/>
      <w:lang w:val="en-US" w:eastAsia="zh-CN" w:bidi="ar-SA"/>
    </w:rPr>
  </w:style>
  <w:style w:type="paragraph" w:customStyle="1" w:styleId="87">
    <w:name w:val="附录标识"/>
    <w:basedOn w:val="1"/>
    <w:next w:val="23"/>
    <w:qFormat/>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8">
    <w:name w:val="附录标题"/>
    <w:basedOn w:val="23"/>
    <w:next w:val="23"/>
    <w:qFormat/>
    <w:uiPriority w:val="0"/>
    <w:pPr>
      <w:ind w:firstLine="0" w:firstLineChars="0"/>
      <w:jc w:val="center"/>
    </w:pPr>
    <w:rPr>
      <w:rFonts w:ascii="黑体" w:eastAsia="黑体"/>
    </w:rPr>
  </w:style>
  <w:style w:type="paragraph" w:customStyle="1" w:styleId="89">
    <w:name w:val="附录表标号"/>
    <w:basedOn w:val="1"/>
    <w:next w:val="23"/>
    <w:qFormat/>
    <w:uiPriority w:val="0"/>
    <w:pPr>
      <w:numPr>
        <w:ilvl w:val="0"/>
        <w:numId w:val="11"/>
      </w:numPr>
      <w:tabs>
        <w:tab w:val="clear" w:pos="0"/>
      </w:tabs>
      <w:spacing w:line="14" w:lineRule="exact"/>
      <w:ind w:left="811" w:hanging="448"/>
      <w:jc w:val="center"/>
      <w:outlineLvl w:val="0"/>
    </w:pPr>
    <w:rPr>
      <w:color w:val="FFFFFF"/>
    </w:rPr>
  </w:style>
  <w:style w:type="paragraph" w:customStyle="1" w:styleId="90">
    <w:name w:val="附录表标题"/>
    <w:basedOn w:val="1"/>
    <w:next w:val="23"/>
    <w:qFormat/>
    <w:uiPriority w:val="0"/>
    <w:pPr>
      <w:numPr>
        <w:ilvl w:val="1"/>
        <w:numId w:val="11"/>
      </w:numPr>
      <w:tabs>
        <w:tab w:val="left" w:pos="180"/>
      </w:tabs>
      <w:spacing w:before="50" w:beforeLines="50" w:after="50" w:afterLines="50"/>
      <w:ind w:left="0" w:firstLine="0"/>
      <w:jc w:val="center"/>
    </w:pPr>
    <w:rPr>
      <w:rFonts w:ascii="黑体" w:eastAsia="黑体"/>
      <w:szCs w:val="21"/>
    </w:rPr>
  </w:style>
  <w:style w:type="paragraph" w:customStyle="1" w:styleId="91">
    <w:name w:val="附录二级条标题"/>
    <w:basedOn w:val="1"/>
    <w:next w:val="23"/>
    <w:qFormat/>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92">
    <w:name w:val="附录二级无"/>
    <w:basedOn w:val="91"/>
    <w:qFormat/>
    <w:uiPriority w:val="0"/>
    <w:pPr>
      <w:tabs>
        <w:tab w:val="clear" w:pos="360"/>
      </w:tabs>
      <w:spacing w:before="0" w:beforeLines="0" w:after="0" w:afterLines="0"/>
    </w:pPr>
    <w:rPr>
      <w:rFonts w:ascii="宋体" w:eastAsia="宋体"/>
      <w:szCs w:val="21"/>
    </w:rPr>
  </w:style>
  <w:style w:type="paragraph" w:customStyle="1" w:styleId="93">
    <w:name w:val="附录公式"/>
    <w:basedOn w:val="23"/>
    <w:next w:val="23"/>
    <w:link w:val="94"/>
    <w:qFormat/>
    <w:uiPriority w:val="0"/>
  </w:style>
  <w:style w:type="character" w:customStyle="1" w:styleId="94">
    <w:name w:val="附录公式 Char"/>
    <w:basedOn w:val="42"/>
    <w:link w:val="93"/>
    <w:qFormat/>
    <w:uiPriority w:val="0"/>
    <w:rPr>
      <w:rFonts w:ascii="宋体"/>
      <w:sz w:val="21"/>
      <w:lang w:val="en-US" w:eastAsia="zh-CN" w:bidi="ar-SA"/>
    </w:rPr>
  </w:style>
  <w:style w:type="paragraph" w:customStyle="1" w:styleId="95">
    <w:name w:val="附录公式编号制表符"/>
    <w:basedOn w:val="1"/>
    <w:next w:val="23"/>
    <w:qFormat/>
    <w:uiPriority w:val="0"/>
    <w:pPr>
      <w:widowControl/>
      <w:tabs>
        <w:tab w:val="center" w:pos="4201"/>
        <w:tab w:val="right" w:leader="dot" w:pos="9298"/>
      </w:tabs>
      <w:autoSpaceDE w:val="0"/>
      <w:autoSpaceDN w:val="0"/>
    </w:pPr>
    <w:rPr>
      <w:rFonts w:ascii="宋体"/>
      <w:kern w:val="0"/>
      <w:szCs w:val="20"/>
    </w:rPr>
  </w:style>
  <w:style w:type="paragraph" w:customStyle="1" w:styleId="96">
    <w:name w:val="附录三级条标题"/>
    <w:basedOn w:val="91"/>
    <w:next w:val="23"/>
    <w:qFormat/>
    <w:uiPriority w:val="0"/>
    <w:pPr>
      <w:numPr>
        <w:ilvl w:val="4"/>
      </w:numPr>
      <w:outlineLvl w:val="4"/>
    </w:pPr>
  </w:style>
  <w:style w:type="paragraph" w:customStyle="1" w:styleId="97">
    <w:name w:val="附录三级无"/>
    <w:basedOn w:val="96"/>
    <w:qFormat/>
    <w:uiPriority w:val="0"/>
    <w:pPr>
      <w:tabs>
        <w:tab w:val="clear" w:pos="360"/>
      </w:tabs>
      <w:spacing w:before="0" w:beforeLines="0" w:after="0" w:afterLines="0"/>
    </w:pPr>
    <w:rPr>
      <w:rFonts w:ascii="宋体" w:eastAsia="宋体"/>
      <w:szCs w:val="21"/>
    </w:rPr>
  </w:style>
  <w:style w:type="paragraph" w:customStyle="1" w:styleId="98">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9">
    <w:name w:val="附录四级条标题"/>
    <w:basedOn w:val="96"/>
    <w:next w:val="23"/>
    <w:qFormat/>
    <w:uiPriority w:val="0"/>
    <w:pPr>
      <w:numPr>
        <w:ilvl w:val="5"/>
      </w:numPr>
      <w:outlineLvl w:val="5"/>
    </w:pPr>
  </w:style>
  <w:style w:type="paragraph" w:customStyle="1" w:styleId="100">
    <w:name w:val="附录四级无"/>
    <w:basedOn w:val="99"/>
    <w:qFormat/>
    <w:uiPriority w:val="0"/>
    <w:pPr>
      <w:tabs>
        <w:tab w:val="clear" w:pos="360"/>
      </w:tabs>
      <w:spacing w:before="0" w:beforeLines="0" w:after="0" w:afterLines="0"/>
    </w:pPr>
    <w:rPr>
      <w:rFonts w:ascii="宋体" w:eastAsia="宋体"/>
      <w:szCs w:val="21"/>
    </w:rPr>
  </w:style>
  <w:style w:type="paragraph" w:customStyle="1" w:styleId="101">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2">
    <w:name w:val="附录图标题"/>
    <w:basedOn w:val="1"/>
    <w:next w:val="23"/>
    <w:qFormat/>
    <w:uiPriority w:val="0"/>
    <w:pPr>
      <w:numPr>
        <w:ilvl w:val="1"/>
        <w:numId w:val="13"/>
      </w:numPr>
      <w:tabs>
        <w:tab w:val="left" w:pos="363"/>
      </w:tabs>
      <w:spacing w:before="50" w:beforeLines="50" w:after="50" w:afterLines="50"/>
      <w:ind w:left="0" w:firstLine="0"/>
      <w:jc w:val="center"/>
    </w:pPr>
    <w:rPr>
      <w:rFonts w:ascii="黑体" w:eastAsia="黑体"/>
      <w:szCs w:val="21"/>
    </w:rPr>
  </w:style>
  <w:style w:type="paragraph" w:customStyle="1" w:styleId="103">
    <w:name w:val="附录五级条标题"/>
    <w:basedOn w:val="99"/>
    <w:next w:val="23"/>
    <w:qFormat/>
    <w:uiPriority w:val="0"/>
    <w:pPr>
      <w:numPr>
        <w:ilvl w:val="6"/>
      </w:numPr>
      <w:outlineLvl w:val="6"/>
    </w:pPr>
  </w:style>
  <w:style w:type="paragraph" w:customStyle="1" w:styleId="104">
    <w:name w:val="附录五级无"/>
    <w:basedOn w:val="103"/>
    <w:qFormat/>
    <w:uiPriority w:val="0"/>
    <w:pPr>
      <w:tabs>
        <w:tab w:val="clear" w:pos="360"/>
      </w:tabs>
      <w:spacing w:before="0" w:beforeLines="0" w:after="0" w:afterLines="0"/>
    </w:pPr>
    <w:rPr>
      <w:rFonts w:ascii="宋体" w:eastAsia="宋体"/>
      <w:szCs w:val="21"/>
    </w:rPr>
  </w:style>
  <w:style w:type="paragraph" w:customStyle="1" w:styleId="105">
    <w:name w:val="附录章标题"/>
    <w:next w:val="23"/>
    <w:qFormat/>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6">
    <w:name w:val="附录一级条标题"/>
    <w:basedOn w:val="105"/>
    <w:next w:val="23"/>
    <w:qFormat/>
    <w:uiPriority w:val="0"/>
    <w:pPr>
      <w:numPr>
        <w:ilvl w:val="2"/>
      </w:numPr>
      <w:autoSpaceDN w:val="0"/>
      <w:spacing w:before="50" w:beforeLines="50" w:after="50" w:afterLines="50"/>
      <w:outlineLvl w:val="2"/>
    </w:pPr>
  </w:style>
  <w:style w:type="paragraph" w:customStyle="1" w:styleId="107">
    <w:name w:val="附录一级无"/>
    <w:basedOn w:val="106"/>
    <w:qFormat/>
    <w:uiPriority w:val="0"/>
    <w:pPr>
      <w:tabs>
        <w:tab w:val="clear" w:pos="360"/>
      </w:tabs>
      <w:spacing w:before="0" w:beforeLines="0" w:after="0" w:afterLines="0"/>
    </w:pPr>
    <w:rPr>
      <w:rFonts w:ascii="宋体" w:eastAsia="宋体"/>
      <w:szCs w:val="21"/>
    </w:rPr>
  </w:style>
  <w:style w:type="paragraph" w:customStyle="1" w:styleId="108">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9">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2">
    <w:name w:val="其他标准标志"/>
    <w:basedOn w:val="69"/>
    <w:qFormat/>
    <w:uiPriority w:val="0"/>
    <w:pPr>
      <w:framePr w:w="6101" w:wrap="around" w:vAnchor="page" w:hAnchor="page" w:x="4673" w:y="942"/>
    </w:pPr>
    <w:rPr>
      <w:w w:val="130"/>
    </w:rPr>
  </w:style>
  <w:style w:type="paragraph" w:customStyle="1" w:styleId="11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4">
    <w:name w:val="其他发布部门"/>
    <w:basedOn w:val="77"/>
    <w:qFormat/>
    <w:uiPriority w:val="0"/>
    <w:pPr>
      <w:framePr w:wrap="around" w:y="15310"/>
      <w:spacing w:line="0" w:lineRule="atLeast"/>
    </w:pPr>
    <w:rPr>
      <w:rFonts w:ascii="黑体" w:eastAsia="黑体"/>
      <w:b w:val="0"/>
    </w:rPr>
  </w:style>
  <w:style w:type="paragraph" w:customStyle="1" w:styleId="115">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6">
    <w:name w:val="三级无"/>
    <w:basedOn w:val="54"/>
    <w:qFormat/>
    <w:uiPriority w:val="0"/>
    <w:pPr>
      <w:spacing w:before="0" w:beforeLines="0" w:after="0" w:afterLines="0"/>
    </w:pPr>
    <w:rPr>
      <w:rFonts w:ascii="宋体" w:eastAsia="宋体"/>
    </w:rPr>
  </w:style>
  <w:style w:type="paragraph" w:customStyle="1" w:styleId="117">
    <w:name w:val="实施日期"/>
    <w:basedOn w:val="78"/>
    <w:qFormat/>
    <w:uiPriority w:val="0"/>
    <w:pPr>
      <w:framePr w:wrap="around" w:vAnchor="page" w:hAnchor="text"/>
      <w:jc w:val="right"/>
    </w:pPr>
  </w:style>
  <w:style w:type="paragraph" w:customStyle="1" w:styleId="118">
    <w:name w:val="示例后文字"/>
    <w:basedOn w:val="23"/>
    <w:next w:val="23"/>
    <w:qFormat/>
    <w:uiPriority w:val="0"/>
    <w:pPr>
      <w:ind w:firstLine="360"/>
    </w:pPr>
    <w:rPr>
      <w:sz w:val="18"/>
    </w:rPr>
  </w:style>
  <w:style w:type="paragraph" w:customStyle="1" w:styleId="119">
    <w:name w:val="首示例"/>
    <w:next w:val="23"/>
    <w:link w:val="120"/>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0">
    <w:name w:val="首示例 Char"/>
    <w:basedOn w:val="34"/>
    <w:link w:val="119"/>
    <w:qFormat/>
    <w:uiPriority w:val="0"/>
    <w:rPr>
      <w:rFonts w:ascii="宋体" w:hAnsi="宋体"/>
      <w:kern w:val="2"/>
      <w:sz w:val="18"/>
      <w:szCs w:val="18"/>
      <w:lang w:val="en-US" w:eastAsia="zh-CN" w:bidi="ar-SA"/>
    </w:rPr>
  </w:style>
  <w:style w:type="paragraph" w:customStyle="1" w:styleId="121">
    <w:name w:val="四级无"/>
    <w:basedOn w:val="58"/>
    <w:qFormat/>
    <w:uiPriority w:val="0"/>
    <w:pPr>
      <w:spacing w:before="0" w:beforeLines="0" w:after="0" w:afterLines="0"/>
    </w:pPr>
    <w:rPr>
      <w:rFonts w:ascii="宋体" w:eastAsia="宋体"/>
    </w:rPr>
  </w:style>
  <w:style w:type="paragraph" w:customStyle="1" w:styleId="122">
    <w:name w:val="条文脚注"/>
    <w:basedOn w:val="24"/>
    <w:qFormat/>
    <w:uiPriority w:val="0"/>
    <w:pPr>
      <w:numPr>
        <w:numId w:val="0"/>
      </w:numPr>
      <w:tabs>
        <w:tab w:val="clear" w:pos="0"/>
      </w:tabs>
      <w:jc w:val="both"/>
    </w:pPr>
  </w:style>
  <w:style w:type="paragraph" w:customStyle="1" w:styleId="123">
    <w:name w:val="图标脚注说明"/>
    <w:basedOn w:val="23"/>
    <w:qFormat/>
    <w:uiPriority w:val="0"/>
    <w:pPr>
      <w:ind w:left="840" w:hanging="420" w:firstLineChars="0"/>
    </w:pPr>
    <w:rPr>
      <w:sz w:val="18"/>
      <w:szCs w:val="18"/>
    </w:rPr>
  </w:style>
  <w:style w:type="paragraph" w:customStyle="1" w:styleId="124">
    <w:name w:val="图表脚注说明"/>
    <w:basedOn w:val="1"/>
    <w:qFormat/>
    <w:uiPriority w:val="0"/>
    <w:pPr>
      <w:numPr>
        <w:ilvl w:val="0"/>
        <w:numId w:val="15"/>
      </w:numPr>
    </w:pPr>
    <w:rPr>
      <w:rFonts w:ascii="宋体"/>
      <w:sz w:val="18"/>
      <w:szCs w:val="18"/>
    </w:rPr>
  </w:style>
  <w:style w:type="paragraph" w:customStyle="1" w:styleId="125">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7">
    <w:name w:val="五级无"/>
    <w:basedOn w:val="59"/>
    <w:qFormat/>
    <w:uiPriority w:val="0"/>
    <w:pPr>
      <w:spacing w:before="0" w:beforeLines="0" w:after="0" w:afterLines="0"/>
    </w:pPr>
    <w:rPr>
      <w:rFonts w:ascii="宋体" w:eastAsia="宋体"/>
    </w:rPr>
  </w:style>
  <w:style w:type="paragraph" w:customStyle="1" w:styleId="128">
    <w:name w:val="一级无"/>
    <w:basedOn w:val="43"/>
    <w:qFormat/>
    <w:uiPriority w:val="0"/>
    <w:pPr>
      <w:spacing w:before="0" w:beforeLines="0" w:after="0" w:afterLines="0"/>
    </w:pPr>
    <w:rPr>
      <w:rFonts w:ascii="宋体" w:eastAsia="宋体"/>
    </w:rPr>
  </w:style>
  <w:style w:type="paragraph" w:customStyle="1" w:styleId="129">
    <w:name w:val="正文表标题"/>
    <w:next w:val="23"/>
    <w:qFormat/>
    <w:uiPriority w:val="0"/>
    <w:pPr>
      <w:numPr>
        <w:ilvl w:val="0"/>
        <w:numId w:val="1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0">
    <w:name w:val="正文公式编号制表符"/>
    <w:basedOn w:val="23"/>
    <w:next w:val="23"/>
    <w:qFormat/>
    <w:uiPriority w:val="0"/>
    <w:pPr>
      <w:ind w:firstLine="0" w:firstLineChars="0"/>
    </w:pPr>
  </w:style>
  <w:style w:type="paragraph" w:customStyle="1" w:styleId="131">
    <w:name w:val="正文图标题"/>
    <w:next w:val="23"/>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2">
    <w:name w:val="终结线"/>
    <w:basedOn w:val="1"/>
    <w:qFormat/>
    <w:uiPriority w:val="0"/>
    <w:pPr>
      <w:framePr w:hSpace="181" w:vSpace="181" w:wrap="around" w:vAnchor="text" w:hAnchor="margin" w:xAlign="center" w:y="285"/>
    </w:pPr>
  </w:style>
  <w:style w:type="paragraph" w:customStyle="1" w:styleId="133">
    <w:name w:val="其他发布日期"/>
    <w:basedOn w:val="78"/>
    <w:qFormat/>
    <w:uiPriority w:val="0"/>
    <w:pPr>
      <w:framePr w:wrap="around" w:vAnchor="page" w:hAnchor="text" w:x="1419"/>
    </w:pPr>
  </w:style>
  <w:style w:type="paragraph" w:customStyle="1" w:styleId="134">
    <w:name w:val="其他实施日期"/>
    <w:basedOn w:val="117"/>
    <w:qFormat/>
    <w:uiPriority w:val="0"/>
    <w:pPr>
      <w:framePr w:wrap="around"/>
    </w:pPr>
  </w:style>
  <w:style w:type="paragraph" w:customStyle="1" w:styleId="135">
    <w:name w:val="封面标准名称2"/>
    <w:basedOn w:val="81"/>
    <w:qFormat/>
    <w:uiPriority w:val="0"/>
    <w:pPr>
      <w:framePr w:wrap="around" w:y="4469"/>
      <w:spacing w:before="630" w:beforeLines="630"/>
    </w:pPr>
  </w:style>
  <w:style w:type="paragraph" w:customStyle="1" w:styleId="136">
    <w:name w:val="封面标准英文名称2"/>
    <w:basedOn w:val="82"/>
    <w:qFormat/>
    <w:uiPriority w:val="0"/>
    <w:pPr>
      <w:framePr w:wrap="around" w:y="4469"/>
    </w:pPr>
  </w:style>
  <w:style w:type="paragraph" w:customStyle="1" w:styleId="137">
    <w:name w:val="封面一致性程度标识2"/>
    <w:basedOn w:val="83"/>
    <w:qFormat/>
    <w:uiPriority w:val="0"/>
    <w:pPr>
      <w:framePr w:wrap="around" w:y="4469"/>
    </w:pPr>
  </w:style>
  <w:style w:type="paragraph" w:customStyle="1" w:styleId="138">
    <w:name w:val="封面标准文稿类别2"/>
    <w:basedOn w:val="84"/>
    <w:qFormat/>
    <w:uiPriority w:val="0"/>
    <w:pPr>
      <w:framePr w:wrap="around" w:y="4469"/>
    </w:pPr>
  </w:style>
  <w:style w:type="paragraph" w:customStyle="1" w:styleId="139">
    <w:name w:val="封面标准文稿编辑信息2"/>
    <w:basedOn w:val="85"/>
    <w:qFormat/>
    <w:uiPriority w:val="0"/>
    <w:pPr>
      <w:framePr w:wrap="around" w:y="4469"/>
    </w:pPr>
  </w:style>
  <w:style w:type="character" w:customStyle="1" w:styleId="140">
    <w:name w:val="font21"/>
    <w:basedOn w:val="34"/>
    <w:qFormat/>
    <w:uiPriority w:val="0"/>
    <w:rPr>
      <w:rFonts w:hint="eastAsia" w:ascii="宋体" w:hAnsi="宋体" w:eastAsia="宋体" w:cs="宋体"/>
      <w:color w:val="000000"/>
      <w:sz w:val="18"/>
      <w:szCs w:val="18"/>
      <w:u w:val="none"/>
    </w:rPr>
  </w:style>
  <w:style w:type="character" w:customStyle="1" w:styleId="141">
    <w:name w:val="font11"/>
    <w:basedOn w:val="34"/>
    <w:qFormat/>
    <w:uiPriority w:val="0"/>
    <w:rPr>
      <w:rFonts w:hint="default" w:ascii="Times New Roman" w:hAnsi="Times New Roman" w:cs="Times New Roman"/>
      <w:color w:val="000000"/>
      <w:sz w:val="18"/>
      <w:szCs w:val="18"/>
      <w:u w:val="none"/>
    </w:rPr>
  </w:style>
  <w:style w:type="character" w:customStyle="1" w:styleId="142">
    <w:name w:val="font61"/>
    <w:basedOn w:val="34"/>
    <w:qFormat/>
    <w:uiPriority w:val="0"/>
    <w:rPr>
      <w:rFonts w:hint="default" w:ascii="Times New Roman" w:hAnsi="Times New Roman" w:cs="Times New Roman"/>
      <w:color w:val="000000"/>
      <w:sz w:val="18"/>
      <w:szCs w:val="18"/>
      <w:u w:val="none"/>
    </w:rPr>
  </w:style>
  <w:style w:type="character" w:customStyle="1" w:styleId="143">
    <w:name w:val="font51"/>
    <w:basedOn w:val="34"/>
    <w:qFormat/>
    <w:uiPriority w:val="0"/>
    <w:rPr>
      <w:rFonts w:hint="eastAsia" w:ascii="宋体" w:hAnsi="宋体" w:eastAsia="宋体" w:cs="宋体"/>
      <w:color w:val="000000"/>
      <w:sz w:val="18"/>
      <w:szCs w:val="18"/>
      <w:u w:val="none"/>
    </w:rPr>
  </w:style>
  <w:style w:type="paragraph" w:customStyle="1" w:styleId="144">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45">
    <w:name w:val="批注文字 Char"/>
    <w:basedOn w:val="34"/>
    <w:link w:val="8"/>
    <w:qFormat/>
    <w:uiPriority w:val="0"/>
    <w:rPr>
      <w:kern w:val="2"/>
      <w:sz w:val="21"/>
      <w:szCs w:val="24"/>
    </w:rPr>
  </w:style>
  <w:style w:type="character" w:customStyle="1" w:styleId="146">
    <w:name w:val="批注主题 Char"/>
    <w:basedOn w:val="145"/>
    <w:link w:val="31"/>
    <w:qFormat/>
    <w:uiPriority w:val="0"/>
    <w:rPr>
      <w:b/>
      <w:bCs/>
      <w:kern w:val="2"/>
      <w:sz w:val="21"/>
      <w:szCs w:val="24"/>
    </w:rPr>
  </w:style>
  <w:style w:type="character" w:customStyle="1" w:styleId="147">
    <w:name w:val="批注框文本 Char"/>
    <w:basedOn w:val="34"/>
    <w:link w:val="16"/>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23457;&#23450;&#36164;&#26009;\&#24179;&#21407;&#21306;&#20908;&#23567;&#40614;&#22799;&#29577;&#31859;&#25216;&#26415;&#35268;&#31243;(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平原区冬小麦夏玉米技术规程(1)</Template>
  <Pages>8</Pages>
  <Words>2549</Words>
  <Characters>3264</Characters>
  <Lines>30</Lines>
  <Paragraphs>8</Paragraphs>
  <TotalTime>1</TotalTime>
  <ScaleCrop>false</ScaleCrop>
  <LinksUpToDate>false</LinksUpToDate>
  <CharactersWithSpaces>3379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2022-11-21T15:00:00Z</dcterms:created>
  <dc:creator>金格科技</dc:creator>
  <cp:lastModifiedBy>Administrator</cp:lastModifiedBy>
  <cp:lastPrinted>2023-02-03T02:18:00Z</cp:lastPrinted>
  <dcterms:modified xsi:type="dcterms:W3CDTF">2023-02-10T03:29:58Z</dcterms:modified>
  <dc:title>标准名称</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0610A4A939954E039465E9F36790B483</vt:lpwstr>
  </property>
</Properties>
</file>