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7"/>
        <w:pageBreakBefore w:val="0"/>
        <w:kinsoku/>
        <w:wordWrap/>
        <w:overflowPunct/>
        <w:topLinePunct w:val="0"/>
        <w:bidi w:val="0"/>
        <w:adjustRightInd w:val="0"/>
        <w:snapToGrid w:val="0"/>
        <w:spacing w:line="360" w:lineRule="auto"/>
        <w:textAlignment w:val="auto"/>
        <w:rPr>
          <w:highlight w:val="none"/>
        </w:rPr>
        <w:sectPr>
          <w:headerReference r:id="rId4" w:type="first"/>
          <w:headerReference r:id="rId3" w:type="default"/>
          <w:footerReference r:id="rId5" w:type="default"/>
          <w:footerReference r:id="rId6" w:type="even"/>
          <w:pgSz w:w="11907" w:h="16839"/>
          <w:pgMar w:top="567" w:right="851" w:bottom="1361" w:left="1418" w:header="0" w:footer="0" w:gutter="0"/>
          <w:pgNumType w:start="1"/>
          <w:cols w:space="425" w:num="1"/>
          <w:titlePg/>
          <w:docGrid w:type="lines" w:linePitch="312" w:charSpace="0"/>
        </w:sectPr>
      </w:pPr>
      <w:bookmarkStart w:id="0" w:name="SectionMark0"/>
      <w:r>
        <w:rPr>
          <w:highlight w:val="none"/>
        </w:rPr>
        <mc:AlternateContent>
          <mc:Choice Requires="wps">
            <w:drawing>
              <wp:anchor distT="0" distB="0" distL="114300" distR="114300" simplePos="0" relativeHeight="251667456" behindDoc="0" locked="1" layoutInCell="1" allowOverlap="1">
                <wp:simplePos x="0" y="0"/>
                <wp:positionH relativeFrom="margin">
                  <wp:posOffset>0</wp:posOffset>
                </wp:positionH>
                <wp:positionV relativeFrom="margin">
                  <wp:posOffset>8576945</wp:posOffset>
                </wp:positionV>
                <wp:extent cx="6120130" cy="660400"/>
                <wp:effectExtent l="0" t="2540" r="0" b="3810"/>
                <wp:wrapNone/>
                <wp:docPr id="11" name="fmFrame7"/>
                <wp:cNvGraphicFramePr/>
                <a:graphic xmlns:a="http://schemas.openxmlformats.org/drawingml/2006/main">
                  <a:graphicData uri="http://schemas.microsoft.com/office/word/2010/wordprocessingShape">
                    <wps:wsp>
                      <wps:cNvSpPr txBox="1">
                        <a:spLocks noChangeArrowheads="1"/>
                      </wps:cNvSpPr>
                      <wps:spPr bwMode="auto">
                        <a:xfrm>
                          <a:off x="0" y="0"/>
                          <a:ext cx="6120130" cy="660400"/>
                        </a:xfrm>
                        <a:prstGeom prst="rect">
                          <a:avLst/>
                        </a:prstGeom>
                        <a:solidFill>
                          <a:srgbClr val="FFFFFF"/>
                        </a:solidFill>
                        <a:ln>
                          <a:noFill/>
                        </a:ln>
                      </wps:spPr>
                      <wps:txbx>
                        <w:txbxContent>
                          <w:p>
                            <w:pPr>
                              <w:pStyle w:val="134"/>
                              <w:ind w:firstLine="2124" w:firstLineChars="450"/>
                              <w:jc w:val="both"/>
                              <w:rPr>
                                <w:spacing w:val="50"/>
                                <w:sz w:val="32"/>
                                <w:szCs w:val="32"/>
                              </w:rPr>
                            </w:pPr>
                            <w:r>
                              <w:rPr>
                                <w:rFonts w:hint="eastAsia"/>
                                <w:sz w:val="32"/>
                                <w:szCs w:val="32"/>
                              </w:rPr>
                              <w:t xml:space="preserve">河北省市场监督管理局  </w:t>
                            </w:r>
                            <w:r>
                              <w:rPr>
                                <w:rFonts w:hint="eastAsia"/>
                                <w:spacing w:val="0"/>
                                <w:sz w:val="32"/>
                                <w:szCs w:val="32"/>
                              </w:rPr>
                              <w:t>发 布</w:t>
                            </w:r>
                          </w:p>
                        </w:txbxContent>
                      </wps:txbx>
                      <wps:bodyPr rot="0" vert="horz" wrap="square" lIns="0" tIns="0" rIns="0" bIns="0" anchor="t" anchorCtr="0" upright="1">
                        <a:noAutofit/>
                      </wps:bodyPr>
                    </wps:wsp>
                  </a:graphicData>
                </a:graphic>
              </wp:anchor>
            </w:drawing>
          </mc:Choice>
          <mc:Fallback>
            <w:pict>
              <v:shape id="fmFrame7" o:spid="_x0000_s1026" o:spt="202" type="#_x0000_t202" style="position:absolute;left:0pt;margin-left:0pt;margin-top:675.35pt;height:52pt;width:481.9pt;mso-position-horizontal-relative:margin;mso-position-vertical-relative:margin;z-index:251667456;mso-width-relative:page;mso-height-relative:page;" fillcolor="#FFFFFF" filled="t" stroked="f" coordsize="21600,21600" o:gfxdata="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DW7VCzZAAAACgEAAA8AAAAAAAAAAQAg&#10;AAAAIgAAAGRycy9kb3ducmV2LnhtbFBLAQIUABQAAAAIAIdO4kAGtqBmDQIAACwEAAAOAAAAAAAA&#10;AAEAIAAAACgBAABkcnMvZTJvRG9jLnhtbFBLBQYAAAAABgAGAFkBAACnBQAAAAA=&#10;">
                <v:fill on="t" focussize="0,0"/>
                <v:stroke on="f"/>
                <v:imagedata o:title=""/>
                <o:lock v:ext="edit" aspectratio="f"/>
                <v:textbox inset="0mm,0mm,0mm,0mm">
                  <w:txbxContent>
                    <w:p>
                      <w:pPr>
                        <w:pStyle w:val="134"/>
                        <w:ind w:firstLine="2124" w:firstLineChars="450"/>
                        <w:jc w:val="both"/>
                        <w:rPr>
                          <w:spacing w:val="50"/>
                          <w:sz w:val="32"/>
                          <w:szCs w:val="32"/>
                        </w:rPr>
                      </w:pPr>
                      <w:r>
                        <w:rPr>
                          <w:rFonts w:hint="eastAsia"/>
                          <w:sz w:val="32"/>
                          <w:szCs w:val="32"/>
                        </w:rPr>
                        <w:t xml:space="preserve">河北省市场监督管理局  </w:t>
                      </w:r>
                      <w:r>
                        <w:rPr>
                          <w:rFonts w:hint="eastAsia"/>
                          <w:spacing w:val="0"/>
                          <w:sz w:val="32"/>
                          <w:szCs w:val="32"/>
                        </w:rPr>
                        <w:t>发 布</w:t>
                      </w:r>
                    </w:p>
                  </w:txbxContent>
                </v:textbox>
                <w10:anchorlock/>
              </v:shape>
            </w:pict>
          </mc:Fallback>
        </mc:AlternateContent>
      </w:r>
      <w:r>
        <w:rPr>
          <w:highlight w:val="none"/>
        </w:rPr>
        <mc:AlternateContent>
          <mc:Choice Requires="wps">
            <w:drawing>
              <wp:anchor distT="0" distB="0" distL="114300" distR="114300" simplePos="0" relativeHeight="251666432" behindDoc="0" locked="0" layoutInCell="1" allowOverlap="1">
                <wp:simplePos x="0" y="0"/>
                <wp:positionH relativeFrom="column">
                  <wp:posOffset>0</wp:posOffset>
                </wp:positionH>
                <wp:positionV relativeFrom="paragraph">
                  <wp:posOffset>8465185</wp:posOffset>
                </wp:positionV>
                <wp:extent cx="6121400" cy="0"/>
                <wp:effectExtent l="14605" t="14605" r="7620" b="13970"/>
                <wp:wrapNone/>
                <wp:docPr id="10" name="Line 11"/>
                <wp:cNvGraphicFramePr/>
                <a:graphic xmlns:a="http://schemas.openxmlformats.org/drawingml/2006/main">
                  <a:graphicData uri="http://schemas.microsoft.com/office/word/2010/wordprocessingShape">
                    <wps:wsp>
                      <wps:cNvCnPr>
                        <a:cxnSpLocks noChangeShapeType="1"/>
                      </wps:cNvCnPr>
                      <wps:spPr bwMode="auto">
                        <a:xfrm>
                          <a:off x="0" y="0"/>
                          <a:ext cx="6121400" cy="0"/>
                        </a:xfrm>
                        <a:prstGeom prst="line">
                          <a:avLst/>
                        </a:prstGeom>
                        <a:noFill/>
                        <a:ln w="12700">
                          <a:solidFill>
                            <a:srgbClr val="080000"/>
                          </a:solidFill>
                          <a:round/>
                        </a:ln>
                      </wps:spPr>
                      <wps:bodyPr/>
                    </wps:wsp>
                  </a:graphicData>
                </a:graphic>
              </wp:anchor>
            </w:drawing>
          </mc:Choice>
          <mc:Fallback>
            <w:pict>
              <v:line id="Line 11" o:spid="_x0000_s1026" o:spt="20" style="position:absolute;left:0pt;margin-left:0pt;margin-top:666.55pt;height:0pt;width:482pt;z-index:251666432;mso-width-relative:page;mso-height-relative:page;" filled="f" stroked="t" coordsize="21600,21600" o:gfxdata="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P4tX6jXAAAACgEAAA8AAAAAAAAAAQAgAAAAIgAAAGRycy9k&#10;b3ducmV2LnhtbFBLAQIUABQAAAAIAIdO4kCyu4SUygEAAKIDAAAOAAAAAAAAAAEAIAAAACYBAABk&#10;cnMvZTJvRG9jLnhtbFBLBQYAAAAABgAGAFkBAABiBQAAAAA=&#10;">
                <v:fill on="f" focussize="0,0"/>
                <v:stroke weight="1pt" color="#080000" joinstyle="round"/>
                <v:imagedata o:title=""/>
                <o:lock v:ext="edit" aspectratio="f"/>
              </v:line>
            </w:pict>
          </mc:Fallback>
        </mc:AlternateContent>
      </w:r>
      <w:r>
        <w:rPr>
          <w:highlight w:val="none"/>
        </w:rPr>
        <mc:AlternateContent>
          <mc:Choice Requires="wps">
            <w:drawing>
              <wp:anchor distT="0" distB="0" distL="114300" distR="114300" simplePos="0" relativeHeight="251665408" behindDoc="0" locked="0" layoutInCell="1" allowOverlap="1">
                <wp:simplePos x="0" y="0"/>
                <wp:positionH relativeFrom="column">
                  <wp:posOffset>0</wp:posOffset>
                </wp:positionH>
                <wp:positionV relativeFrom="paragraph">
                  <wp:posOffset>2273300</wp:posOffset>
                </wp:positionV>
                <wp:extent cx="6121400" cy="0"/>
                <wp:effectExtent l="14605" t="13970" r="7620" b="14605"/>
                <wp:wrapNone/>
                <wp:docPr id="9" name="Line 10"/>
                <wp:cNvGraphicFramePr/>
                <a:graphic xmlns:a="http://schemas.openxmlformats.org/drawingml/2006/main">
                  <a:graphicData uri="http://schemas.microsoft.com/office/word/2010/wordprocessingShape">
                    <wps:wsp>
                      <wps:cNvCnPr>
                        <a:cxnSpLocks noChangeShapeType="1"/>
                      </wps:cNvCnPr>
                      <wps:spPr bwMode="auto">
                        <a:xfrm>
                          <a:off x="0" y="0"/>
                          <a:ext cx="6121400" cy="0"/>
                        </a:xfrm>
                        <a:prstGeom prst="line">
                          <a:avLst/>
                        </a:prstGeom>
                        <a:noFill/>
                        <a:ln w="12700">
                          <a:solidFill>
                            <a:srgbClr val="080000"/>
                          </a:solidFill>
                          <a:round/>
                        </a:ln>
                      </wps:spPr>
                      <wps:bodyPr/>
                    </wps:wsp>
                  </a:graphicData>
                </a:graphic>
              </wp:anchor>
            </w:drawing>
          </mc:Choice>
          <mc:Fallback>
            <w:pict>
              <v:line id="Line 10" o:spid="_x0000_s1026" o:spt="20" style="position:absolute;left:0pt;margin-left:0pt;margin-top:179pt;height:0pt;width:482pt;z-index:251665408;mso-width-relative:page;mso-height-relative:page;" filled="f" stroked="t" coordsize="21600,21600" o:gfxdata="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NO54MdYAAAAIAQAADwAAAAAAAAABACAAAAAiAAAAZHJzL2Rv&#10;d25yZXYueG1sUEsBAhQAFAAAAAgAh07iQP2dZi7KAQAAoQMAAA4AAAAAAAAAAQAgAAAAJQEAAGRy&#10;cy9lMm9Eb2MueG1sUEsFBgAAAAAGAAYAWQEAAGEFAAAAAA==&#10;">
                <v:fill on="f" focussize="0,0"/>
                <v:stroke weight="1pt" color="#080000" joinstyle="round"/>
                <v:imagedata o:title=""/>
                <o:lock v:ext="edit" aspectratio="f"/>
              </v:line>
            </w:pict>
          </mc:Fallback>
        </mc:AlternateContent>
      </w:r>
      <w:r>
        <w:rPr>
          <w:highlight w:val="none"/>
        </w:rPr>
        <mc:AlternateContent>
          <mc:Choice Requires="wps">
            <w:drawing>
              <wp:anchor distT="0" distB="0" distL="114300" distR="114300" simplePos="0" relativeHeight="251664384" behindDoc="0" locked="1" layoutInCell="1" allowOverlap="1">
                <wp:simplePos x="0" y="0"/>
                <wp:positionH relativeFrom="margin">
                  <wp:posOffset>4000500</wp:posOffset>
                </wp:positionH>
                <wp:positionV relativeFrom="margin">
                  <wp:posOffset>8122920</wp:posOffset>
                </wp:positionV>
                <wp:extent cx="2019300" cy="312420"/>
                <wp:effectExtent l="0" t="0" r="4445" b="0"/>
                <wp:wrapNone/>
                <wp:docPr id="8" name="fmFrame6"/>
                <wp:cNvGraphicFramePr/>
                <a:graphic xmlns:a="http://schemas.openxmlformats.org/drawingml/2006/main">
                  <a:graphicData uri="http://schemas.microsoft.com/office/word/2010/wordprocessingShape">
                    <wps:wsp>
                      <wps:cNvSpPr txBox="1">
                        <a:spLocks noChangeArrowheads="1"/>
                      </wps:cNvSpPr>
                      <wps:spPr bwMode="auto">
                        <a:xfrm>
                          <a:off x="0" y="0"/>
                          <a:ext cx="2019300" cy="312420"/>
                        </a:xfrm>
                        <a:prstGeom prst="rect">
                          <a:avLst/>
                        </a:prstGeom>
                        <a:solidFill>
                          <a:srgbClr val="FFFFFF"/>
                        </a:solidFill>
                        <a:ln>
                          <a:noFill/>
                        </a:ln>
                      </wps:spPr>
                      <wps:txbx>
                        <w:txbxContent>
                          <w:p>
                            <w:pPr>
                              <w:pStyle w:val="136"/>
                            </w:pPr>
                            <w:r>
                              <w:rPr>
                                <w:rFonts w:hint="eastAsia"/>
                              </w:rPr>
                              <w:t>20</w:t>
                            </w:r>
                            <w:r>
                              <w:t>22</w:t>
                            </w:r>
                            <w:r>
                              <w:rPr>
                                <w:rFonts w:hint="eastAsia"/>
                              </w:rPr>
                              <w:t>-××-××实施</w:t>
                            </w:r>
                          </w:p>
                        </w:txbxContent>
                      </wps:txbx>
                      <wps:bodyPr rot="0" vert="horz" wrap="square" lIns="0" tIns="0" rIns="0" bIns="0" anchor="t" anchorCtr="0" upright="1">
                        <a:noAutofit/>
                      </wps:bodyPr>
                    </wps:wsp>
                  </a:graphicData>
                </a:graphic>
              </wp:anchor>
            </w:drawing>
          </mc:Choice>
          <mc:Fallback>
            <w:pict>
              <v:shape id="fmFrame6" o:spid="_x0000_s1026" o:spt="202" type="#_x0000_t202" style="position:absolute;left:0pt;margin-left:315pt;margin-top:639.6pt;height:24.6pt;width:159pt;mso-position-horizontal-relative:margin;mso-position-vertical-relative:margin;z-index:251664384;mso-width-relative:page;mso-height-relative:page;" fillcolor="#FFFFFF" filled="t" stroked="f" coordsize="21600,21600" o:gfxdata="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K1dmztoAAAANAQAADwAAAAAAAAAB&#10;ACAAAAAiAAAAZHJzL2Rvd25yZXYueG1sUEsBAhQAFAAAAAgAh07iQDLOYOEOAgAAKwQAAA4AAAAA&#10;AAAAAQAgAAAAKQEAAGRycy9lMm9Eb2MueG1sUEsFBgAAAAAGAAYAWQEAAKkFAAAAAA==&#10;">
                <v:fill on="t" focussize="0,0"/>
                <v:stroke on="f"/>
                <v:imagedata o:title=""/>
                <o:lock v:ext="edit" aspectratio="f"/>
                <v:textbox inset="0mm,0mm,0mm,0mm">
                  <w:txbxContent>
                    <w:p>
                      <w:pPr>
                        <w:pStyle w:val="136"/>
                      </w:pPr>
                      <w:r>
                        <w:rPr>
                          <w:rFonts w:hint="eastAsia"/>
                        </w:rPr>
                        <w:t>20</w:t>
                      </w:r>
                      <w:r>
                        <w:t>22</w:t>
                      </w:r>
                      <w:r>
                        <w:rPr>
                          <w:rFonts w:hint="eastAsia"/>
                        </w:rPr>
                        <w:t>-××-××实施</w:t>
                      </w:r>
                    </w:p>
                  </w:txbxContent>
                </v:textbox>
                <w10:anchorlock/>
              </v:shape>
            </w:pict>
          </mc:Fallback>
        </mc:AlternateContent>
      </w:r>
      <w:r>
        <w:rPr>
          <w:highlight w:val="none"/>
        </w:rPr>
        <mc:AlternateContent>
          <mc:Choice Requires="wps">
            <w:drawing>
              <wp:anchor distT="0" distB="0" distL="114300" distR="114300" simplePos="0" relativeHeight="251665408" behindDoc="0" locked="1" layoutInCell="1" allowOverlap="1">
                <wp:simplePos x="0" y="0"/>
                <wp:positionH relativeFrom="margin">
                  <wp:posOffset>0</wp:posOffset>
                </wp:positionH>
                <wp:positionV relativeFrom="margin">
                  <wp:posOffset>8122920</wp:posOffset>
                </wp:positionV>
                <wp:extent cx="2019300" cy="312420"/>
                <wp:effectExtent l="0" t="0" r="4445" b="0"/>
                <wp:wrapNone/>
                <wp:docPr id="7" name="fmFrame5"/>
                <wp:cNvGraphicFramePr/>
                <a:graphic xmlns:a="http://schemas.openxmlformats.org/drawingml/2006/main">
                  <a:graphicData uri="http://schemas.microsoft.com/office/word/2010/wordprocessingShape">
                    <wps:wsp>
                      <wps:cNvSpPr txBox="1">
                        <a:spLocks noChangeArrowheads="1"/>
                      </wps:cNvSpPr>
                      <wps:spPr bwMode="auto">
                        <a:xfrm>
                          <a:off x="0" y="0"/>
                          <a:ext cx="2019300" cy="312420"/>
                        </a:xfrm>
                        <a:prstGeom prst="rect">
                          <a:avLst/>
                        </a:prstGeom>
                        <a:solidFill>
                          <a:srgbClr val="FFFFFF"/>
                        </a:solidFill>
                        <a:ln>
                          <a:noFill/>
                        </a:ln>
                      </wps:spPr>
                      <wps:txbx>
                        <w:txbxContent>
                          <w:p>
                            <w:pPr>
                              <w:pStyle w:val="108"/>
                            </w:pPr>
                            <w:r>
                              <w:rPr>
                                <w:rFonts w:hint="eastAsia"/>
                              </w:rPr>
                              <w:t>20</w:t>
                            </w:r>
                            <w:r>
                              <w:t>22</w:t>
                            </w:r>
                            <w:r>
                              <w:rPr>
                                <w:rFonts w:hint="eastAsia"/>
                              </w:rPr>
                              <w:t>-××-××发布</w:t>
                            </w:r>
                          </w:p>
                        </w:txbxContent>
                      </wps:txbx>
                      <wps:bodyPr rot="0" vert="horz" wrap="square" lIns="0" tIns="0" rIns="0" bIns="0" anchor="t" anchorCtr="0" upright="1">
                        <a:noAutofit/>
                      </wps:bodyPr>
                    </wps:wsp>
                  </a:graphicData>
                </a:graphic>
              </wp:anchor>
            </w:drawing>
          </mc:Choice>
          <mc:Fallback>
            <w:pict>
              <v:shape id="fmFrame5" o:spid="_x0000_s1026" o:spt="202" type="#_x0000_t202" style="position:absolute;left:0pt;margin-left:0pt;margin-top:639.6pt;height:24.6pt;width:159pt;mso-position-horizontal-relative:margin;mso-position-vertical-relative:margin;z-index:251665408;mso-width-relative:page;mso-height-relative:page;" fillcolor="#FFFFFF" filled="t" stroked="f" coordsize="21600,21600" o:gfxdata="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EcL4p3YAAAACgEAAA8AAAAAAAAAAQAg&#10;AAAAIgAAAGRycy9kb3ducmV2LnhtbFBLAQIUABQAAAAIAIdO4kBwRvrSDgIAACsEAAAOAAAAAAAA&#10;AAEAIAAAACcBAABkcnMvZTJvRG9jLnhtbFBLBQYAAAAABgAGAFkBAACnBQAAAAA=&#10;">
                <v:fill on="t" focussize="0,0"/>
                <v:stroke on="f"/>
                <v:imagedata o:title=""/>
                <o:lock v:ext="edit" aspectratio="f"/>
                <v:textbox inset="0mm,0mm,0mm,0mm">
                  <w:txbxContent>
                    <w:p>
                      <w:pPr>
                        <w:pStyle w:val="108"/>
                      </w:pPr>
                      <w:r>
                        <w:rPr>
                          <w:rFonts w:hint="eastAsia"/>
                        </w:rPr>
                        <w:t>20</w:t>
                      </w:r>
                      <w:r>
                        <w:t>22</w:t>
                      </w:r>
                      <w:r>
                        <w:rPr>
                          <w:rFonts w:hint="eastAsia"/>
                        </w:rPr>
                        <w:t>-××-××发布</w:t>
                      </w:r>
                    </w:p>
                  </w:txbxContent>
                </v:textbox>
                <w10:anchorlock/>
              </v:shape>
            </w:pict>
          </mc:Fallback>
        </mc:AlternateContent>
      </w:r>
      <w:r>
        <w:rPr>
          <w:highlight w:val="none"/>
        </w:rPr>
        <mc:AlternateContent>
          <mc:Choice Requires="wps">
            <w:drawing>
              <wp:anchor distT="0" distB="0" distL="114300" distR="114300" simplePos="0" relativeHeight="251663360" behindDoc="0" locked="1" layoutInCell="1" allowOverlap="1">
                <wp:simplePos x="0" y="0"/>
                <wp:positionH relativeFrom="margin">
                  <wp:posOffset>-9525</wp:posOffset>
                </wp:positionH>
                <wp:positionV relativeFrom="margin">
                  <wp:posOffset>3107055</wp:posOffset>
                </wp:positionV>
                <wp:extent cx="6186805" cy="1734820"/>
                <wp:effectExtent l="0" t="0" r="0" b="0"/>
                <wp:wrapNone/>
                <wp:docPr id="6" name="fmFrame4"/>
                <wp:cNvGraphicFramePr/>
                <a:graphic xmlns:a="http://schemas.openxmlformats.org/drawingml/2006/main">
                  <a:graphicData uri="http://schemas.microsoft.com/office/word/2010/wordprocessingShape">
                    <wps:wsp>
                      <wps:cNvSpPr txBox="1">
                        <a:spLocks noChangeArrowheads="1"/>
                      </wps:cNvSpPr>
                      <wps:spPr bwMode="auto">
                        <a:xfrm>
                          <a:off x="0" y="0"/>
                          <a:ext cx="6186805" cy="1734820"/>
                        </a:xfrm>
                        <a:prstGeom prst="rect">
                          <a:avLst/>
                        </a:prstGeom>
                        <a:solidFill>
                          <a:srgbClr val="FFFFFF"/>
                        </a:solidFill>
                        <a:ln>
                          <a:noFill/>
                        </a:ln>
                      </wps:spPr>
                      <wps:txbx>
                        <w:txbxContent>
                          <w:p>
                            <w:pPr>
                              <w:pStyle w:val="112"/>
                              <w:rPr>
                                <w:rFonts w:hint="eastAsia"/>
                                <w:b/>
                                <w:spacing w:val="40"/>
                                <w:szCs w:val="52"/>
                                <w:lang w:val="en-US" w:eastAsia="zh-CN"/>
                              </w:rPr>
                            </w:pPr>
                            <w:r>
                              <w:rPr>
                                <w:rFonts w:hint="eastAsia"/>
                                <w:b/>
                                <w:spacing w:val="40"/>
                                <w:szCs w:val="52"/>
                              </w:rPr>
                              <w:t>地下水超采</w:t>
                            </w:r>
                            <w:r>
                              <w:rPr>
                                <w:rFonts w:hint="eastAsia"/>
                                <w:b/>
                                <w:spacing w:val="40"/>
                                <w:szCs w:val="52"/>
                                <w:lang w:val="en-US" w:eastAsia="zh-CN"/>
                              </w:rPr>
                              <w:t>区治理</w:t>
                            </w:r>
                            <w:r>
                              <w:rPr>
                                <w:rFonts w:hint="eastAsia"/>
                                <w:b/>
                                <w:spacing w:val="40"/>
                                <w:szCs w:val="52"/>
                              </w:rPr>
                              <w:t>评估与</w:t>
                            </w:r>
                            <w:r>
                              <w:rPr>
                                <w:rFonts w:hint="eastAsia"/>
                                <w:b/>
                                <w:spacing w:val="40"/>
                                <w:szCs w:val="52"/>
                                <w:lang w:val="en-US" w:eastAsia="zh-CN"/>
                              </w:rPr>
                              <w:t>复核</w:t>
                            </w:r>
                          </w:p>
                          <w:p>
                            <w:pPr>
                              <w:pStyle w:val="112"/>
                              <w:rPr>
                                <w:rFonts w:hint="eastAsia" w:eastAsia="黑体"/>
                                <w:b/>
                                <w:color w:val="C00000"/>
                                <w:spacing w:val="40"/>
                                <w:szCs w:val="52"/>
                                <w:lang w:eastAsia="zh-CN"/>
                              </w:rPr>
                            </w:pPr>
                            <w:r>
                              <w:rPr>
                                <w:rFonts w:hint="eastAsia"/>
                                <w:b/>
                                <w:spacing w:val="40"/>
                                <w:szCs w:val="52"/>
                              </w:rPr>
                              <w:t>技术指南</w:t>
                            </w:r>
                            <w:r>
                              <w:rPr>
                                <w:rFonts w:hint="eastAsia"/>
                                <w:b/>
                                <w:spacing w:val="40"/>
                                <w:szCs w:val="52"/>
                                <w:lang w:eastAsia="zh-CN"/>
                              </w:rPr>
                              <w:t>（</w:t>
                            </w:r>
                            <w:r>
                              <w:rPr>
                                <w:rFonts w:hint="eastAsia"/>
                                <w:b/>
                                <w:spacing w:val="40"/>
                                <w:szCs w:val="52"/>
                                <w:lang w:val="en-US" w:eastAsia="zh-CN"/>
                              </w:rPr>
                              <w:t>征求意见稿</w:t>
                            </w:r>
                            <w:r>
                              <w:rPr>
                                <w:rFonts w:hint="eastAsia"/>
                                <w:b/>
                                <w:spacing w:val="40"/>
                                <w:szCs w:val="52"/>
                                <w:lang w:eastAsia="zh-CN"/>
                              </w:rPr>
                              <w:t>）</w:t>
                            </w:r>
                          </w:p>
                          <w:p>
                            <w:pPr>
                              <w:pStyle w:val="46"/>
                              <w:snapToGrid w:val="0"/>
                              <w:spacing w:before="312" w:beforeLines="100" w:line="240" w:lineRule="auto"/>
                              <w:ind w:firstLine="0"/>
                              <w:jc w:val="center"/>
                              <w:rPr>
                                <w:u w:val="single"/>
                              </w:rPr>
                            </w:pPr>
                          </w:p>
                        </w:txbxContent>
                      </wps:txbx>
                      <wps:bodyPr rot="0" vert="horz" wrap="square" lIns="0" tIns="0" rIns="0" bIns="0" anchor="t" anchorCtr="0" upright="1">
                        <a:noAutofit/>
                      </wps:bodyPr>
                    </wps:wsp>
                  </a:graphicData>
                </a:graphic>
              </wp:anchor>
            </w:drawing>
          </mc:Choice>
          <mc:Fallback>
            <w:pict>
              <v:shape id="fmFrame4" o:spid="_x0000_s1026" o:spt="202" type="#_x0000_t202" style="position:absolute;left:0pt;margin-left:-0.75pt;margin-top:244.65pt;height:136.6pt;width:487.15pt;mso-position-horizontal-relative:margin;mso-position-vertical-relative:margin;z-index:251663360;mso-width-relative:page;mso-height-relative:page;" fillcolor="#FFFFFF" filled="t" stroked="f" coordsize="21600,21600" o:gfxdata="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u0MJi9oAAAAKAQAADwAAAAAA&#10;AAABACAAAAAiAAAAZHJzL2Rvd25yZXYueG1sUEsBAhQAFAAAAAgAh07iQDEvL5MRAgAALAQAAA4A&#10;AAAAAAAAAQAgAAAAKQEAAGRycy9lMm9Eb2MueG1sUEsFBgAAAAAGAAYAWQEAAKwFAAAAAA==&#10;">
                <v:fill on="t" focussize="0,0"/>
                <v:stroke on="f"/>
                <v:imagedata o:title=""/>
                <o:lock v:ext="edit" aspectratio="f"/>
                <v:textbox inset="0mm,0mm,0mm,0mm">
                  <w:txbxContent>
                    <w:p>
                      <w:pPr>
                        <w:pStyle w:val="112"/>
                        <w:rPr>
                          <w:rFonts w:hint="eastAsia"/>
                          <w:b/>
                          <w:spacing w:val="40"/>
                          <w:szCs w:val="52"/>
                          <w:lang w:val="en-US" w:eastAsia="zh-CN"/>
                        </w:rPr>
                      </w:pPr>
                      <w:r>
                        <w:rPr>
                          <w:rFonts w:hint="eastAsia"/>
                          <w:b/>
                          <w:spacing w:val="40"/>
                          <w:szCs w:val="52"/>
                        </w:rPr>
                        <w:t>地下水超采</w:t>
                      </w:r>
                      <w:r>
                        <w:rPr>
                          <w:rFonts w:hint="eastAsia"/>
                          <w:b/>
                          <w:spacing w:val="40"/>
                          <w:szCs w:val="52"/>
                          <w:lang w:val="en-US" w:eastAsia="zh-CN"/>
                        </w:rPr>
                        <w:t>区治理</w:t>
                      </w:r>
                      <w:r>
                        <w:rPr>
                          <w:rFonts w:hint="eastAsia"/>
                          <w:b/>
                          <w:spacing w:val="40"/>
                          <w:szCs w:val="52"/>
                        </w:rPr>
                        <w:t>评估与</w:t>
                      </w:r>
                      <w:r>
                        <w:rPr>
                          <w:rFonts w:hint="eastAsia"/>
                          <w:b/>
                          <w:spacing w:val="40"/>
                          <w:szCs w:val="52"/>
                          <w:lang w:val="en-US" w:eastAsia="zh-CN"/>
                        </w:rPr>
                        <w:t>复核</w:t>
                      </w:r>
                    </w:p>
                    <w:p>
                      <w:pPr>
                        <w:pStyle w:val="112"/>
                        <w:rPr>
                          <w:rFonts w:hint="eastAsia" w:eastAsia="黑体"/>
                          <w:b/>
                          <w:color w:val="C00000"/>
                          <w:spacing w:val="40"/>
                          <w:szCs w:val="52"/>
                          <w:lang w:eastAsia="zh-CN"/>
                        </w:rPr>
                      </w:pPr>
                      <w:r>
                        <w:rPr>
                          <w:rFonts w:hint="eastAsia"/>
                          <w:b/>
                          <w:spacing w:val="40"/>
                          <w:szCs w:val="52"/>
                        </w:rPr>
                        <w:t>技术指南</w:t>
                      </w:r>
                      <w:r>
                        <w:rPr>
                          <w:rFonts w:hint="eastAsia"/>
                          <w:b/>
                          <w:spacing w:val="40"/>
                          <w:szCs w:val="52"/>
                          <w:lang w:eastAsia="zh-CN"/>
                        </w:rPr>
                        <w:t>（</w:t>
                      </w:r>
                      <w:r>
                        <w:rPr>
                          <w:rFonts w:hint="eastAsia"/>
                          <w:b/>
                          <w:spacing w:val="40"/>
                          <w:szCs w:val="52"/>
                          <w:lang w:val="en-US" w:eastAsia="zh-CN"/>
                        </w:rPr>
                        <w:t>征求意见稿</w:t>
                      </w:r>
                      <w:r>
                        <w:rPr>
                          <w:rFonts w:hint="eastAsia"/>
                          <w:b/>
                          <w:spacing w:val="40"/>
                          <w:szCs w:val="52"/>
                          <w:lang w:eastAsia="zh-CN"/>
                        </w:rPr>
                        <w:t>）</w:t>
                      </w:r>
                    </w:p>
                    <w:p>
                      <w:pPr>
                        <w:pStyle w:val="46"/>
                        <w:snapToGrid w:val="0"/>
                        <w:spacing w:before="312" w:beforeLines="100" w:line="240" w:lineRule="auto"/>
                        <w:ind w:firstLine="0"/>
                        <w:jc w:val="center"/>
                        <w:rPr>
                          <w:u w:val="single"/>
                        </w:rPr>
                      </w:pPr>
                    </w:p>
                  </w:txbxContent>
                </v:textbox>
                <w10:anchorlock/>
              </v:shape>
            </w:pict>
          </mc:Fallback>
        </mc:AlternateContent>
      </w:r>
      <w:r>
        <w:rPr>
          <w:highlight w:val="none"/>
        </w:rPr>
        <mc:AlternateContent>
          <mc:Choice Requires="wps">
            <w:drawing>
              <wp:anchor distT="0" distB="0" distL="114300" distR="114300" simplePos="0" relativeHeight="251662336" behindDoc="0" locked="1" layoutInCell="1" allowOverlap="1">
                <wp:simplePos x="0" y="0"/>
                <wp:positionH relativeFrom="margin">
                  <wp:posOffset>0</wp:posOffset>
                </wp:positionH>
                <wp:positionV relativeFrom="margin">
                  <wp:posOffset>1401445</wp:posOffset>
                </wp:positionV>
                <wp:extent cx="5802630" cy="860425"/>
                <wp:effectExtent l="0" t="0" r="2540" b="0"/>
                <wp:wrapNone/>
                <wp:docPr id="5" name="fmFrame3"/>
                <wp:cNvGraphicFramePr/>
                <a:graphic xmlns:a="http://schemas.openxmlformats.org/drawingml/2006/main">
                  <a:graphicData uri="http://schemas.microsoft.com/office/word/2010/wordprocessingShape">
                    <wps:wsp>
                      <wps:cNvSpPr txBox="1">
                        <a:spLocks noChangeArrowheads="1"/>
                      </wps:cNvSpPr>
                      <wps:spPr bwMode="auto">
                        <a:xfrm>
                          <a:off x="0" y="0"/>
                          <a:ext cx="5802630" cy="860425"/>
                        </a:xfrm>
                        <a:prstGeom prst="rect">
                          <a:avLst/>
                        </a:prstGeom>
                        <a:solidFill>
                          <a:srgbClr val="FFFFFF"/>
                        </a:solidFill>
                        <a:ln>
                          <a:noFill/>
                        </a:ln>
                      </wps:spPr>
                      <wps:txbx>
                        <w:txbxContent>
                          <w:p>
                            <w:pPr>
                              <w:pStyle w:val="109"/>
                            </w:pPr>
                            <w:r>
                              <w:t>DB</w:t>
                            </w:r>
                            <w:r>
                              <w:rPr>
                                <w:rFonts w:hint="eastAsia"/>
                                <w:szCs w:val="24"/>
                              </w:rPr>
                              <w:t>13</w:t>
                            </w:r>
                            <w:r>
                              <w:rPr>
                                <w:rFonts w:ascii="黑体"/>
                              </w:rPr>
                              <w:t>/</w:t>
                            </w:r>
                            <w:r>
                              <w:t xml:space="preserve">T </w:t>
                            </w:r>
                            <w:r>
                              <w:rPr>
                                <w:rFonts w:hint="eastAsia"/>
                                <w:sz w:val="24"/>
                                <w:szCs w:val="24"/>
                              </w:rPr>
                              <w:t>×××</w:t>
                            </w:r>
                            <w:r>
                              <w:t>—</w:t>
                            </w:r>
                            <w:r>
                              <w:rPr>
                                <w:rFonts w:hint="eastAsia"/>
                              </w:rPr>
                              <w:t>20</w:t>
                            </w:r>
                            <w:r>
                              <w:t>22</w:t>
                            </w:r>
                          </w:p>
                        </w:txbxContent>
                      </wps:txbx>
                      <wps:bodyPr rot="0" vert="horz" wrap="square" lIns="0" tIns="0" rIns="0" bIns="0" anchor="t" anchorCtr="0" upright="1">
                        <a:noAutofit/>
                      </wps:bodyPr>
                    </wps:wsp>
                  </a:graphicData>
                </a:graphic>
              </wp:anchor>
            </w:drawing>
          </mc:Choice>
          <mc:Fallback>
            <w:pict>
              <v:shape id="fmFrame3" o:spid="_x0000_s1026" o:spt="202" type="#_x0000_t202" style="position:absolute;left:0pt;margin-left:0pt;margin-top:110.35pt;height:67.75pt;width:456.9pt;mso-position-horizontal-relative:margin;mso-position-vertical-relative:margin;z-index:251662336;mso-width-relative:page;mso-height-relative:page;" fillcolor="#FFFFFF" filled="t" stroked="f" coordsize="21600,21600" o:gfxdata="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BQGk+9gAAAAIAQAADwAAAAAAAAAB&#10;ACAAAAAiAAAAZHJzL2Rvd25yZXYueG1sUEsBAhQAFAAAAAgAh07iQCLHNgYQAgAAKwQAAA4AAAAA&#10;AAAAAQAgAAAAJwEAAGRycy9lMm9Eb2MueG1sUEsFBgAAAAAGAAYAWQEAAKkFAAAAAA==&#10;">
                <v:fill on="t" focussize="0,0"/>
                <v:stroke on="f"/>
                <v:imagedata o:title=""/>
                <o:lock v:ext="edit" aspectratio="f"/>
                <v:textbox inset="0mm,0mm,0mm,0mm">
                  <w:txbxContent>
                    <w:p>
                      <w:pPr>
                        <w:pStyle w:val="109"/>
                      </w:pPr>
                      <w:r>
                        <w:t>DB</w:t>
                      </w:r>
                      <w:r>
                        <w:rPr>
                          <w:rFonts w:hint="eastAsia"/>
                          <w:szCs w:val="24"/>
                        </w:rPr>
                        <w:t>13</w:t>
                      </w:r>
                      <w:r>
                        <w:rPr>
                          <w:rFonts w:ascii="黑体"/>
                        </w:rPr>
                        <w:t>/</w:t>
                      </w:r>
                      <w:r>
                        <w:t xml:space="preserve">T </w:t>
                      </w:r>
                      <w:r>
                        <w:rPr>
                          <w:rFonts w:hint="eastAsia"/>
                          <w:sz w:val="24"/>
                          <w:szCs w:val="24"/>
                        </w:rPr>
                        <w:t>×××</w:t>
                      </w:r>
                      <w:r>
                        <w:t>—</w:t>
                      </w:r>
                      <w:r>
                        <w:rPr>
                          <w:rFonts w:hint="eastAsia"/>
                        </w:rPr>
                        <w:t>20</w:t>
                      </w:r>
                      <w:r>
                        <w:t>22</w:t>
                      </w:r>
                    </w:p>
                  </w:txbxContent>
                </v:textbox>
                <w10:anchorlock/>
              </v:shape>
            </w:pict>
          </mc:Fallback>
        </mc:AlternateContent>
      </w:r>
      <w:r>
        <w:rPr>
          <w:highlight w:val="none"/>
        </w:rPr>
        <mc:AlternateContent>
          <mc:Choice Requires="wps">
            <w:drawing>
              <wp:anchor distT="0" distB="0" distL="114300" distR="114300" simplePos="0" relativeHeight="251661312" behindDoc="0" locked="1" layoutInCell="1" allowOverlap="1">
                <wp:simplePos x="0" y="0"/>
                <wp:positionH relativeFrom="margin">
                  <wp:posOffset>2549525</wp:posOffset>
                </wp:positionH>
                <wp:positionV relativeFrom="margin">
                  <wp:posOffset>107315</wp:posOffset>
                </wp:positionV>
                <wp:extent cx="3175000" cy="720090"/>
                <wp:effectExtent l="1905" t="635" r="4445" b="3175"/>
                <wp:wrapNone/>
                <wp:docPr id="4" name="fmFrame8"/>
                <wp:cNvGraphicFramePr/>
                <a:graphic xmlns:a="http://schemas.openxmlformats.org/drawingml/2006/main">
                  <a:graphicData uri="http://schemas.microsoft.com/office/word/2010/wordprocessingShape">
                    <wps:wsp>
                      <wps:cNvSpPr txBox="1">
                        <a:spLocks noChangeArrowheads="1"/>
                      </wps:cNvSpPr>
                      <wps:spPr bwMode="auto">
                        <a:xfrm>
                          <a:off x="0" y="0"/>
                          <a:ext cx="3175000" cy="720090"/>
                        </a:xfrm>
                        <a:prstGeom prst="rect">
                          <a:avLst/>
                        </a:prstGeom>
                        <a:solidFill>
                          <a:srgbClr val="FFFFFF"/>
                        </a:solidFill>
                        <a:ln>
                          <a:noFill/>
                        </a:ln>
                      </wps:spPr>
                      <wps:txbx>
                        <w:txbxContent>
                          <w:p>
                            <w:pPr>
                              <w:pStyle w:val="93"/>
                            </w:pPr>
                            <w:r>
                              <w:t>DB13</w:t>
                            </w:r>
                          </w:p>
                        </w:txbxContent>
                      </wps:txbx>
                      <wps:bodyPr rot="0" vert="horz" wrap="square" lIns="0" tIns="0" rIns="0" bIns="0" anchor="t" anchorCtr="0" upright="1">
                        <a:noAutofit/>
                      </wps:bodyPr>
                    </wps:wsp>
                  </a:graphicData>
                </a:graphic>
              </wp:anchor>
            </w:drawing>
          </mc:Choice>
          <mc:Fallback>
            <w:pict>
              <v:shape id="fmFrame8" o:spid="_x0000_s1026" o:spt="202" type="#_x0000_t202" style="position:absolute;left:0pt;margin-left:200.75pt;margin-top:8.45pt;height:56.7pt;width:250pt;mso-position-horizontal-relative:margin;mso-position-vertical-relative:margin;z-index:251661312;mso-width-relative:page;mso-height-relative:page;" fillcolor="#FFFFFF" filled="t" stroked="f" coordsize="21600,21600" o:gfxdata="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JWTs82AAAAAoBAAAPAAAAAAAAAAEA&#10;IAAAACIAAABkcnMvZG93bnJldi54bWxQSwECFAAUAAAACACHTuJAC7ew/g8CAAArBAAADgAAAAAA&#10;AAABACAAAAAnAQAAZHJzL2Uyb0RvYy54bWxQSwUGAAAAAAYABgBZAQAAqAUAAAAA&#10;">
                <v:fill on="t" focussize="0,0"/>
                <v:stroke on="f"/>
                <v:imagedata o:title=""/>
                <o:lock v:ext="edit" aspectratio="f"/>
                <v:textbox inset="0mm,0mm,0mm,0mm">
                  <w:txbxContent>
                    <w:p>
                      <w:pPr>
                        <w:pStyle w:val="93"/>
                      </w:pPr>
                      <w:r>
                        <w:t>DB13</w:t>
                      </w:r>
                    </w:p>
                  </w:txbxContent>
                </v:textbox>
                <w10:anchorlock/>
              </v:shape>
            </w:pict>
          </mc:Fallback>
        </mc:AlternateContent>
      </w:r>
      <w:r>
        <w:rPr>
          <w:highlight w:val="none"/>
        </w:rPr>
        <mc:AlternateContent>
          <mc:Choice Requires="wps">
            <w:drawing>
              <wp:anchor distT="0" distB="0" distL="114300" distR="114300" simplePos="0" relativeHeight="251660288" behindDoc="0" locked="1" layoutInCell="1" allowOverlap="1">
                <wp:simplePos x="0" y="0"/>
                <wp:positionH relativeFrom="margin">
                  <wp:posOffset>0</wp:posOffset>
                </wp:positionH>
                <wp:positionV relativeFrom="margin">
                  <wp:posOffset>1010920</wp:posOffset>
                </wp:positionV>
                <wp:extent cx="6120130" cy="391160"/>
                <wp:effectExtent l="0" t="0" r="0" b="0"/>
                <wp:wrapNone/>
                <wp:docPr id="3" name="fmFrame2"/>
                <wp:cNvGraphicFramePr/>
                <a:graphic xmlns:a="http://schemas.openxmlformats.org/drawingml/2006/main">
                  <a:graphicData uri="http://schemas.microsoft.com/office/word/2010/wordprocessingShape">
                    <wps:wsp>
                      <wps:cNvSpPr txBox="1">
                        <a:spLocks noChangeArrowheads="1"/>
                      </wps:cNvSpPr>
                      <wps:spPr bwMode="auto">
                        <a:xfrm>
                          <a:off x="0" y="0"/>
                          <a:ext cx="6120130" cy="391160"/>
                        </a:xfrm>
                        <a:prstGeom prst="rect">
                          <a:avLst/>
                        </a:prstGeom>
                        <a:solidFill>
                          <a:srgbClr val="FFFFFF"/>
                        </a:solidFill>
                        <a:ln>
                          <a:noFill/>
                        </a:ln>
                      </wps:spPr>
                      <wps:txbx>
                        <w:txbxContent>
                          <w:p>
                            <w:pPr>
                              <w:pStyle w:val="133"/>
                            </w:pPr>
                            <w:r>
                              <w:rPr>
                                <w:rFonts w:hint="eastAsia"/>
                              </w:rPr>
                              <w:t>河北省地方标准</w:t>
                            </w:r>
                          </w:p>
                        </w:txbxContent>
                      </wps:txbx>
                      <wps:bodyPr rot="0" vert="horz" wrap="square" lIns="0" tIns="0" rIns="0" bIns="0" anchor="t" anchorCtr="0" upright="1">
                        <a:noAutofit/>
                      </wps:bodyPr>
                    </wps:wsp>
                  </a:graphicData>
                </a:graphic>
              </wp:anchor>
            </w:drawing>
          </mc:Choice>
          <mc:Fallback>
            <w:pict>
              <v:shape id="fmFrame2" o:spid="_x0000_s1026" o:spt="202" type="#_x0000_t202" style="position:absolute;left:0pt;margin-left:0pt;margin-top:79.6pt;height:30.8pt;width:481.9pt;mso-position-horizontal-relative:margin;mso-position-vertical-relative:margin;z-index:251660288;mso-width-relative:page;mso-height-relative:page;" fillcolor="#FFFFFF" filled="t" stroked="f" coordsize="21600,21600" o:gfxdata="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Rg5HBdcAAAAIAQAADwAAAAAAAAABACAA&#10;AAAiAAAAZHJzL2Rvd25yZXYueG1sUEsBAhQAFAAAAAgAh07iQL1ajLsOAgAAKwQAAA4AAAAAAAAA&#10;AQAgAAAAJgEAAGRycy9lMm9Eb2MueG1sUEsFBgAAAAAGAAYAWQEAAKYFAAAAAA==&#10;">
                <v:fill on="t" focussize="0,0"/>
                <v:stroke on="f"/>
                <v:imagedata o:title=""/>
                <o:lock v:ext="edit" aspectratio="f"/>
                <v:textbox inset="0mm,0mm,0mm,0mm">
                  <w:txbxContent>
                    <w:p>
                      <w:pPr>
                        <w:pStyle w:val="133"/>
                      </w:pPr>
                      <w:r>
                        <w:rPr>
                          <w:rFonts w:hint="eastAsia"/>
                        </w:rPr>
                        <w:t>河北省地方标准</w:t>
                      </w:r>
                    </w:p>
                  </w:txbxContent>
                </v:textbox>
                <w10:anchorlock/>
              </v:shape>
            </w:pict>
          </mc:Fallback>
        </mc:AlternateContent>
      </w:r>
      <w:r>
        <w:rPr>
          <w:highlight w:val="none"/>
        </w:rPr>
        <mc:AlternateContent>
          <mc:Choice Requires="wps">
            <w:drawing>
              <wp:anchor distT="0" distB="0" distL="114300" distR="114300" simplePos="0" relativeHeight="251659264" behindDoc="0" locked="1" layoutInCell="1" allowOverlap="1">
                <wp:simplePos x="0" y="0"/>
                <wp:positionH relativeFrom="margin">
                  <wp:posOffset>0</wp:posOffset>
                </wp:positionH>
                <wp:positionV relativeFrom="margin">
                  <wp:posOffset>0</wp:posOffset>
                </wp:positionV>
                <wp:extent cx="2540000" cy="657860"/>
                <wp:effectExtent l="0" t="0" r="0" b="1270"/>
                <wp:wrapNone/>
                <wp:docPr id="2" name="fmFrame1"/>
                <wp:cNvGraphicFramePr/>
                <a:graphic xmlns:a="http://schemas.openxmlformats.org/drawingml/2006/main">
                  <a:graphicData uri="http://schemas.microsoft.com/office/word/2010/wordprocessingShape">
                    <wps:wsp>
                      <wps:cNvSpPr txBox="1">
                        <a:spLocks noChangeArrowheads="1"/>
                      </wps:cNvSpPr>
                      <wps:spPr bwMode="auto">
                        <a:xfrm>
                          <a:off x="0" y="0"/>
                          <a:ext cx="2540000" cy="657860"/>
                        </a:xfrm>
                        <a:prstGeom prst="rect">
                          <a:avLst/>
                        </a:prstGeom>
                        <a:solidFill>
                          <a:srgbClr val="FFFFFF"/>
                        </a:solidFill>
                        <a:ln>
                          <a:noFill/>
                        </a:ln>
                      </wps:spPr>
                      <wps:txbx>
                        <w:txbxContent>
                          <w:p>
                            <w:pPr>
                              <w:pStyle w:val="142"/>
                            </w:pPr>
                            <w:r>
                              <w:t>ICS</w:t>
                            </w:r>
                            <w:r>
                              <w:rPr>
                                <w:rFonts w:hint="eastAsia" w:ascii="黑体" w:hAnsi="黑体"/>
                              </w:rPr>
                              <w:t>××</w:t>
                            </w:r>
                            <w:r>
                              <w:rPr>
                                <w:rFonts w:ascii="黑体"/>
                              </w:rPr>
                              <w:t>.</w:t>
                            </w:r>
                            <w:r>
                              <w:rPr>
                                <w:rFonts w:hint="eastAsia" w:ascii="黑体" w:hAnsi="黑体"/>
                              </w:rPr>
                              <w:t>×××</w:t>
                            </w:r>
                            <w:r>
                              <w:rPr>
                                <w:rFonts w:ascii="黑体"/>
                              </w:rPr>
                              <w:t>.</w:t>
                            </w:r>
                            <w:r>
                              <w:rPr>
                                <w:rFonts w:hint="eastAsia" w:ascii="黑体" w:hAnsi="黑体"/>
                              </w:rPr>
                              <w:t>××</w:t>
                            </w:r>
                          </w:p>
                          <w:p>
                            <w:pPr>
                              <w:pStyle w:val="142"/>
                            </w:pPr>
                            <w:r>
                              <w:rPr>
                                <w:rFonts w:hint="eastAsia"/>
                              </w:rPr>
                              <w:t xml:space="preserve">R </w:t>
                            </w:r>
                            <w:r>
                              <w:rPr>
                                <w:rFonts w:ascii="黑体"/>
                              </w:rPr>
                              <w:t>0</w:t>
                            </w:r>
                            <w:r>
                              <w:rPr>
                                <w:rFonts w:hint="eastAsia" w:ascii="黑体"/>
                              </w:rPr>
                              <w:t>1</w:t>
                            </w:r>
                          </w:p>
                        </w:txbxContent>
                      </wps:txbx>
                      <wps:bodyPr rot="0" vert="horz" wrap="square" lIns="0" tIns="0" rIns="0" bIns="0" anchor="t" anchorCtr="0" upright="1">
                        <a:noAutofit/>
                      </wps:bodyPr>
                    </wps:wsp>
                  </a:graphicData>
                </a:graphic>
              </wp:anchor>
            </w:drawing>
          </mc:Choice>
          <mc:Fallback>
            <w:pict>
              <v:shape id="fmFrame1" o:spid="_x0000_s1026" o:spt="202" type="#_x0000_t202" style="position:absolute;left:0pt;margin-left:0pt;margin-top:0pt;height:51.8pt;width:200pt;mso-position-horizontal-relative:margin;mso-position-vertical-relative:margin;z-index:251659264;mso-width-relative:page;mso-height-relative:page;" fillcolor="#FFFFFF" filled="t" stroked="f" coordsize="21600,21600" o:gfxdata="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xezL4NMAAAAFAQAADwAAAAAAAAABACAAAAAi&#10;AAAAZHJzL2Rvd25yZXYueG1sUEsBAhQAFAAAAAgAh07iQAnRnG8PAgAAKwQAAA4AAAAAAAAAAQAg&#10;AAAAIgEAAGRycy9lMm9Eb2MueG1sUEsFBgAAAAAGAAYAWQEAAKMFAAAAAA==&#10;">
                <v:fill on="t" focussize="0,0"/>
                <v:stroke on="f"/>
                <v:imagedata o:title=""/>
                <o:lock v:ext="edit" aspectratio="f"/>
                <v:textbox inset="0mm,0mm,0mm,0mm">
                  <w:txbxContent>
                    <w:p>
                      <w:pPr>
                        <w:pStyle w:val="142"/>
                      </w:pPr>
                      <w:r>
                        <w:t>ICS</w:t>
                      </w:r>
                      <w:r>
                        <w:rPr>
                          <w:rFonts w:hint="eastAsia" w:ascii="黑体" w:hAnsi="黑体"/>
                        </w:rPr>
                        <w:t>××</w:t>
                      </w:r>
                      <w:r>
                        <w:rPr>
                          <w:rFonts w:ascii="黑体"/>
                        </w:rPr>
                        <w:t>.</w:t>
                      </w:r>
                      <w:r>
                        <w:rPr>
                          <w:rFonts w:hint="eastAsia" w:ascii="黑体" w:hAnsi="黑体"/>
                        </w:rPr>
                        <w:t>×××</w:t>
                      </w:r>
                      <w:r>
                        <w:rPr>
                          <w:rFonts w:ascii="黑体"/>
                        </w:rPr>
                        <w:t>.</w:t>
                      </w:r>
                      <w:r>
                        <w:rPr>
                          <w:rFonts w:hint="eastAsia" w:ascii="黑体" w:hAnsi="黑体"/>
                        </w:rPr>
                        <w:t>××</w:t>
                      </w:r>
                    </w:p>
                    <w:p>
                      <w:pPr>
                        <w:pStyle w:val="142"/>
                      </w:pPr>
                      <w:r>
                        <w:rPr>
                          <w:rFonts w:hint="eastAsia"/>
                        </w:rPr>
                        <w:t xml:space="preserve">R </w:t>
                      </w:r>
                      <w:r>
                        <w:rPr>
                          <w:rFonts w:ascii="黑体"/>
                        </w:rPr>
                        <w:t>0</w:t>
                      </w:r>
                      <w:r>
                        <w:rPr>
                          <w:rFonts w:hint="eastAsia" w:ascii="黑体"/>
                        </w:rPr>
                        <w:t>1</w:t>
                      </w:r>
                    </w:p>
                  </w:txbxContent>
                </v:textbox>
                <w10:anchorlock/>
              </v:shape>
            </w:pict>
          </mc:Fallback>
        </mc:AlternateContent>
      </w:r>
    </w:p>
    <w:bookmarkEnd w:id="0"/>
    <w:p>
      <w:pPr>
        <w:pStyle w:val="131"/>
        <w:keepNext w:val="0"/>
        <w:keepLines w:val="0"/>
        <w:pageBreakBefore w:val="0"/>
        <w:widowControl/>
        <w:kinsoku/>
        <w:wordWrap/>
        <w:overflowPunct/>
        <w:topLinePunct w:val="0"/>
        <w:autoSpaceDE/>
        <w:autoSpaceDN/>
        <w:bidi w:val="0"/>
        <w:adjustRightInd w:val="0"/>
        <w:snapToGrid w:val="0"/>
        <w:spacing w:before="0" w:after="0" w:line="360" w:lineRule="auto"/>
        <w:textAlignment w:val="auto"/>
        <w:rPr>
          <w:rFonts w:ascii="Times New Roman" w:eastAsiaTheme="minorEastAsia"/>
          <w:highlight w:val="none"/>
        </w:rPr>
      </w:pPr>
      <w:bookmarkStart w:id="1" w:name="_Toc26471"/>
      <w:bookmarkStart w:id="2" w:name="_Toc12685"/>
      <w:bookmarkStart w:id="3" w:name="_Toc3923"/>
      <w:bookmarkStart w:id="4" w:name="SectionMark1"/>
      <w:r>
        <w:rPr>
          <w:rFonts w:ascii="Times New Roman"/>
          <w:highlight w:val="none"/>
        </w:rPr>
        <w:t>目    次</w:t>
      </w:r>
      <w:bookmarkEnd w:id="1"/>
      <w:bookmarkEnd w:id="2"/>
      <w:bookmarkEnd w:id="3"/>
    </w:p>
    <w:sdt>
      <w:sdtPr>
        <w:rPr>
          <w:rFonts w:ascii="宋体" w:hAnsi="宋体" w:eastAsia="宋体" w:cs="Times New Roman"/>
          <w:kern w:val="2"/>
          <w:sz w:val="21"/>
          <w:highlight w:val="none"/>
          <w:lang w:val="en-US" w:eastAsia="zh-CN" w:bidi="ar-SA"/>
        </w:rPr>
        <w:id w:val="147454788"/>
        <w15:color w:val="DBDBDB"/>
        <w:docPartObj>
          <w:docPartGallery w:val="Table of Contents"/>
          <w:docPartUnique/>
        </w:docPartObj>
      </w:sdtPr>
      <w:sdtEndPr>
        <w:rPr>
          <w:rFonts w:ascii="Times New Roman" w:hAnsi="Times New Roman" w:eastAsia="宋体" w:cs="Times New Roman"/>
          <w:b/>
          <w:kern w:val="0"/>
          <w:sz w:val="21"/>
          <w:highlight w:val="none"/>
          <w:lang w:val="en-US" w:eastAsia="zh-CN" w:bidi="ar-SA"/>
        </w:rPr>
      </w:sdtEndPr>
      <w:sdtContent>
        <w:p>
          <w:pPr>
            <w:spacing w:before="0" w:beforeLines="0" w:after="0" w:afterLines="0" w:line="240" w:lineRule="auto"/>
            <w:ind w:left="0" w:leftChars="0" w:right="0" w:rightChars="0" w:firstLine="0" w:firstLineChars="0"/>
            <w:jc w:val="center"/>
            <w:rPr>
              <w:highlight w:val="none"/>
            </w:rPr>
          </w:pPr>
        </w:p>
        <w:p>
          <w:pPr>
            <w:pStyle w:val="18"/>
            <w:tabs>
              <w:tab w:val="right" w:leader="dot" w:pos="8506"/>
              <w:tab w:val="clear" w:pos="9345"/>
            </w:tabs>
          </w:pPr>
          <w:r>
            <w:rPr>
              <w:rStyle w:val="84"/>
              <w:kern w:val="0"/>
              <w:highlight w:val="none"/>
            </w:rPr>
            <w:fldChar w:fldCharType="begin"/>
          </w:r>
          <w:r>
            <w:rPr>
              <w:rStyle w:val="84"/>
              <w:kern w:val="0"/>
              <w:highlight w:val="none"/>
            </w:rPr>
            <w:instrText xml:space="preserve">TOC \o "1-2" \h \u </w:instrText>
          </w:r>
          <w:r>
            <w:rPr>
              <w:rStyle w:val="84"/>
              <w:kern w:val="0"/>
              <w:highlight w:val="none"/>
            </w:rPr>
            <w:fldChar w:fldCharType="separate"/>
          </w:r>
        </w:p>
        <w:p>
          <w:pPr>
            <w:pStyle w:val="18"/>
            <w:tabs>
              <w:tab w:val="right" w:leader="dot" w:pos="8506"/>
              <w:tab w:val="clear" w:pos="9345"/>
            </w:tabs>
            <w:rPr>
              <w:rFonts w:hint="eastAsia" w:ascii="宋体" w:hAnsi="宋体" w:eastAsia="宋体" w:cs="宋体"/>
            </w:rPr>
          </w:pPr>
          <w:r>
            <w:rPr>
              <w:rFonts w:hint="eastAsia" w:ascii="宋体" w:hAnsi="宋体" w:eastAsia="宋体" w:cs="宋体"/>
              <w:kern w:val="0"/>
              <w:highlight w:val="none"/>
            </w:rPr>
            <w:fldChar w:fldCharType="begin"/>
          </w:r>
          <w:r>
            <w:rPr>
              <w:rFonts w:hint="eastAsia" w:ascii="宋体" w:hAnsi="宋体" w:eastAsia="宋体" w:cs="宋体"/>
              <w:kern w:val="0"/>
              <w:highlight w:val="none"/>
            </w:rPr>
            <w:instrText xml:space="preserve"> HYPERLINK \l _Toc2512 </w:instrText>
          </w:r>
          <w:r>
            <w:rPr>
              <w:rFonts w:hint="eastAsia" w:ascii="宋体" w:hAnsi="宋体" w:eastAsia="宋体" w:cs="宋体"/>
              <w:kern w:val="0"/>
              <w:highlight w:val="none"/>
            </w:rPr>
            <w:fldChar w:fldCharType="separate"/>
          </w:r>
          <w:r>
            <w:rPr>
              <w:rFonts w:hint="eastAsia" w:ascii="宋体" w:hAnsi="宋体" w:eastAsia="宋体" w:cs="宋体"/>
              <w:kern w:val="0"/>
              <w:szCs w:val="24"/>
              <w:highlight w:val="none"/>
            </w:rPr>
            <w:t>1  范围</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_Toc2512 \h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r>
            <w:rPr>
              <w:rFonts w:hint="eastAsia" w:ascii="宋体" w:hAnsi="宋体" w:eastAsia="宋体" w:cs="宋体"/>
              <w:kern w:val="0"/>
              <w:highlight w:val="none"/>
            </w:rPr>
            <w:fldChar w:fldCharType="end"/>
          </w:r>
        </w:p>
        <w:p>
          <w:pPr>
            <w:pStyle w:val="18"/>
            <w:tabs>
              <w:tab w:val="right" w:leader="dot" w:pos="8506"/>
              <w:tab w:val="clear" w:pos="9345"/>
            </w:tabs>
            <w:rPr>
              <w:rFonts w:hint="eastAsia" w:ascii="宋体" w:hAnsi="宋体" w:eastAsia="宋体" w:cs="宋体"/>
            </w:rPr>
          </w:pPr>
          <w:r>
            <w:rPr>
              <w:rFonts w:hint="eastAsia" w:ascii="宋体" w:hAnsi="宋体" w:eastAsia="宋体" w:cs="宋体"/>
              <w:kern w:val="0"/>
              <w:highlight w:val="none"/>
            </w:rPr>
            <w:fldChar w:fldCharType="begin"/>
          </w:r>
          <w:r>
            <w:rPr>
              <w:rFonts w:hint="eastAsia" w:ascii="宋体" w:hAnsi="宋体" w:eastAsia="宋体" w:cs="宋体"/>
              <w:kern w:val="0"/>
              <w:highlight w:val="none"/>
            </w:rPr>
            <w:instrText xml:space="preserve"> HYPERLINK \l _Toc24693 </w:instrText>
          </w:r>
          <w:r>
            <w:rPr>
              <w:rFonts w:hint="eastAsia" w:ascii="宋体" w:hAnsi="宋体" w:eastAsia="宋体" w:cs="宋体"/>
              <w:kern w:val="0"/>
              <w:highlight w:val="none"/>
            </w:rPr>
            <w:fldChar w:fldCharType="separate"/>
          </w:r>
          <w:r>
            <w:rPr>
              <w:rFonts w:hint="eastAsia" w:ascii="宋体" w:hAnsi="宋体" w:eastAsia="宋体" w:cs="宋体"/>
              <w:kern w:val="0"/>
              <w:szCs w:val="24"/>
              <w:highlight w:val="none"/>
            </w:rPr>
            <w:t>2  规范性引用文件</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_Toc24693 \h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r>
            <w:rPr>
              <w:rFonts w:hint="eastAsia" w:ascii="宋体" w:hAnsi="宋体" w:eastAsia="宋体" w:cs="宋体"/>
              <w:kern w:val="0"/>
              <w:highlight w:val="none"/>
            </w:rPr>
            <w:fldChar w:fldCharType="end"/>
          </w:r>
        </w:p>
        <w:p>
          <w:pPr>
            <w:pStyle w:val="18"/>
            <w:tabs>
              <w:tab w:val="right" w:leader="dot" w:pos="8506"/>
              <w:tab w:val="clear" w:pos="9345"/>
            </w:tabs>
            <w:rPr>
              <w:rFonts w:hint="eastAsia" w:ascii="宋体" w:hAnsi="宋体" w:eastAsia="宋体" w:cs="宋体"/>
            </w:rPr>
          </w:pPr>
          <w:r>
            <w:rPr>
              <w:rFonts w:hint="eastAsia" w:ascii="宋体" w:hAnsi="宋体" w:eastAsia="宋体" w:cs="宋体"/>
              <w:kern w:val="0"/>
              <w:highlight w:val="none"/>
            </w:rPr>
            <w:fldChar w:fldCharType="begin"/>
          </w:r>
          <w:r>
            <w:rPr>
              <w:rFonts w:hint="eastAsia" w:ascii="宋体" w:hAnsi="宋体" w:eastAsia="宋体" w:cs="宋体"/>
              <w:kern w:val="0"/>
              <w:highlight w:val="none"/>
            </w:rPr>
            <w:instrText xml:space="preserve"> HYPERLINK \l _Toc13078 </w:instrText>
          </w:r>
          <w:r>
            <w:rPr>
              <w:rFonts w:hint="eastAsia" w:ascii="宋体" w:hAnsi="宋体" w:eastAsia="宋体" w:cs="宋体"/>
              <w:kern w:val="0"/>
              <w:highlight w:val="none"/>
            </w:rPr>
            <w:fldChar w:fldCharType="separate"/>
          </w:r>
          <w:r>
            <w:rPr>
              <w:rFonts w:hint="eastAsia" w:ascii="宋体" w:hAnsi="宋体" w:eastAsia="宋体" w:cs="宋体"/>
              <w:kern w:val="0"/>
              <w:szCs w:val="24"/>
              <w:highlight w:val="none"/>
            </w:rPr>
            <w:t>3  术语和定义</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_Toc13078 \h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r>
            <w:rPr>
              <w:rFonts w:hint="eastAsia" w:ascii="宋体" w:hAnsi="宋体" w:eastAsia="宋体" w:cs="宋体"/>
              <w:kern w:val="0"/>
              <w:highlight w:val="none"/>
            </w:rPr>
            <w:fldChar w:fldCharType="end"/>
          </w:r>
        </w:p>
        <w:p>
          <w:pPr>
            <w:pStyle w:val="18"/>
            <w:tabs>
              <w:tab w:val="right" w:leader="dot" w:pos="8506"/>
              <w:tab w:val="clear" w:pos="9345"/>
            </w:tabs>
            <w:rPr>
              <w:rFonts w:hint="eastAsia" w:ascii="宋体" w:hAnsi="宋体" w:eastAsia="宋体" w:cs="宋体"/>
            </w:rPr>
          </w:pPr>
          <w:r>
            <w:rPr>
              <w:rFonts w:hint="eastAsia" w:ascii="宋体" w:hAnsi="宋体" w:eastAsia="宋体" w:cs="宋体"/>
              <w:kern w:val="0"/>
              <w:highlight w:val="none"/>
            </w:rPr>
            <w:fldChar w:fldCharType="begin"/>
          </w:r>
          <w:r>
            <w:rPr>
              <w:rFonts w:hint="eastAsia" w:ascii="宋体" w:hAnsi="宋体" w:eastAsia="宋体" w:cs="宋体"/>
              <w:kern w:val="0"/>
              <w:highlight w:val="none"/>
            </w:rPr>
            <w:instrText xml:space="preserve"> HYPERLINK \l _Toc25910 </w:instrText>
          </w:r>
          <w:r>
            <w:rPr>
              <w:rFonts w:hint="eastAsia" w:ascii="宋体" w:hAnsi="宋体" w:eastAsia="宋体" w:cs="宋体"/>
              <w:kern w:val="0"/>
              <w:highlight w:val="none"/>
            </w:rPr>
            <w:fldChar w:fldCharType="separate"/>
          </w:r>
          <w:r>
            <w:rPr>
              <w:rFonts w:hint="eastAsia" w:ascii="宋体" w:hAnsi="宋体" w:eastAsia="宋体" w:cs="宋体"/>
              <w:kern w:val="0"/>
              <w:szCs w:val="24"/>
              <w:highlight w:val="none"/>
              <w:lang w:val="en-US" w:eastAsia="zh-CN"/>
            </w:rPr>
            <w:t>4</w:t>
          </w:r>
          <w:r>
            <w:rPr>
              <w:rFonts w:hint="eastAsia" w:ascii="宋体" w:hAnsi="宋体" w:eastAsia="宋体" w:cs="宋体"/>
              <w:kern w:val="0"/>
              <w:szCs w:val="24"/>
              <w:highlight w:val="none"/>
            </w:rPr>
            <w:t xml:space="preserve">  治理评估</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_Toc25910 \h </w:instrText>
          </w:r>
          <w:r>
            <w:rPr>
              <w:rFonts w:hint="eastAsia" w:ascii="宋体" w:hAnsi="宋体" w:eastAsia="宋体" w:cs="宋体"/>
            </w:rPr>
            <w:fldChar w:fldCharType="separate"/>
          </w:r>
          <w:r>
            <w:rPr>
              <w:rFonts w:hint="eastAsia" w:ascii="宋体" w:hAnsi="宋体" w:eastAsia="宋体" w:cs="宋体"/>
            </w:rPr>
            <w:t>2</w:t>
          </w:r>
          <w:r>
            <w:rPr>
              <w:rFonts w:hint="eastAsia" w:ascii="宋体" w:hAnsi="宋体" w:eastAsia="宋体" w:cs="宋体"/>
            </w:rPr>
            <w:fldChar w:fldCharType="end"/>
          </w:r>
          <w:r>
            <w:rPr>
              <w:rFonts w:hint="eastAsia" w:ascii="宋体" w:hAnsi="宋体" w:eastAsia="宋体" w:cs="宋体"/>
              <w:kern w:val="0"/>
              <w:highlight w:val="none"/>
            </w:rPr>
            <w:fldChar w:fldCharType="end"/>
          </w:r>
        </w:p>
        <w:p>
          <w:pPr>
            <w:pStyle w:val="17"/>
            <w:keepNext w:val="0"/>
            <w:keepLines w:val="0"/>
            <w:pageBreakBefore w:val="0"/>
            <w:widowControl/>
            <w:tabs>
              <w:tab w:val="right" w:leader="dot" w:pos="8506"/>
              <w:tab w:val="clear" w:pos="9345"/>
            </w:tabs>
            <w:kinsoku/>
            <w:wordWrap/>
            <w:overflowPunct/>
            <w:topLinePunct w:val="0"/>
            <w:autoSpaceDE/>
            <w:autoSpaceDN/>
            <w:bidi w:val="0"/>
            <w:adjustRightInd/>
            <w:snapToGrid/>
            <w:ind w:firstLine="210" w:firstLineChars="100"/>
            <w:textAlignment w:val="auto"/>
            <w:rPr>
              <w:rFonts w:hint="eastAsia" w:ascii="宋体" w:hAnsi="宋体" w:eastAsia="宋体" w:cs="宋体"/>
            </w:rPr>
          </w:pPr>
          <w:r>
            <w:rPr>
              <w:rFonts w:hint="eastAsia" w:ascii="宋体" w:hAnsi="宋体" w:eastAsia="宋体" w:cs="宋体"/>
              <w:kern w:val="0"/>
              <w:highlight w:val="none"/>
            </w:rPr>
            <w:fldChar w:fldCharType="begin"/>
          </w:r>
          <w:r>
            <w:rPr>
              <w:rFonts w:hint="eastAsia" w:ascii="宋体" w:hAnsi="宋体" w:eastAsia="宋体" w:cs="宋体"/>
              <w:kern w:val="0"/>
              <w:highlight w:val="none"/>
            </w:rPr>
            <w:instrText xml:space="preserve"> HYPERLINK \l _Toc1986 </w:instrText>
          </w:r>
          <w:r>
            <w:rPr>
              <w:rFonts w:hint="eastAsia" w:ascii="宋体" w:hAnsi="宋体" w:eastAsia="宋体" w:cs="宋体"/>
              <w:kern w:val="0"/>
              <w:highlight w:val="none"/>
            </w:rPr>
            <w:fldChar w:fldCharType="separate"/>
          </w:r>
          <w:r>
            <w:rPr>
              <w:rFonts w:hint="eastAsia" w:ascii="宋体" w:hAnsi="宋体" w:eastAsia="宋体" w:cs="宋体"/>
              <w:highlight w:val="none"/>
              <w:lang w:val="en-US" w:eastAsia="zh-CN"/>
            </w:rPr>
            <w:t>4</w:t>
          </w:r>
          <w:r>
            <w:rPr>
              <w:rFonts w:hint="eastAsia" w:ascii="宋体" w:hAnsi="宋体" w:eastAsia="宋体" w:cs="宋体"/>
              <w:highlight w:val="none"/>
            </w:rPr>
            <w:t xml:space="preserve">.1 </w:t>
          </w:r>
          <w:r>
            <w:rPr>
              <w:rFonts w:hint="eastAsia" w:ascii="宋体" w:hAnsi="宋体" w:eastAsia="宋体" w:cs="宋体"/>
              <w:highlight w:val="none"/>
              <w:lang w:eastAsia="zh-CN"/>
            </w:rPr>
            <w:t>评估</w:t>
          </w:r>
          <w:r>
            <w:rPr>
              <w:rFonts w:hint="eastAsia" w:ascii="宋体" w:hAnsi="宋体" w:eastAsia="宋体" w:cs="宋体"/>
              <w:highlight w:val="none"/>
            </w:rPr>
            <w:t>原则</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_Toc1986 \h </w:instrText>
          </w:r>
          <w:r>
            <w:rPr>
              <w:rFonts w:hint="eastAsia" w:ascii="宋体" w:hAnsi="宋体" w:eastAsia="宋体" w:cs="宋体"/>
            </w:rPr>
            <w:fldChar w:fldCharType="separate"/>
          </w:r>
          <w:r>
            <w:rPr>
              <w:rFonts w:hint="eastAsia" w:ascii="宋体" w:hAnsi="宋体" w:eastAsia="宋体" w:cs="宋体"/>
            </w:rPr>
            <w:t>2</w:t>
          </w:r>
          <w:r>
            <w:rPr>
              <w:rFonts w:hint="eastAsia" w:ascii="宋体" w:hAnsi="宋体" w:eastAsia="宋体" w:cs="宋体"/>
            </w:rPr>
            <w:fldChar w:fldCharType="end"/>
          </w:r>
          <w:r>
            <w:rPr>
              <w:rFonts w:hint="eastAsia" w:ascii="宋体" w:hAnsi="宋体" w:eastAsia="宋体" w:cs="宋体"/>
              <w:kern w:val="0"/>
              <w:highlight w:val="none"/>
            </w:rPr>
            <w:fldChar w:fldCharType="end"/>
          </w:r>
        </w:p>
        <w:p>
          <w:pPr>
            <w:pStyle w:val="17"/>
            <w:keepNext w:val="0"/>
            <w:keepLines w:val="0"/>
            <w:pageBreakBefore w:val="0"/>
            <w:widowControl/>
            <w:tabs>
              <w:tab w:val="right" w:leader="dot" w:pos="8506"/>
              <w:tab w:val="clear" w:pos="9345"/>
            </w:tabs>
            <w:kinsoku/>
            <w:wordWrap/>
            <w:overflowPunct/>
            <w:topLinePunct w:val="0"/>
            <w:autoSpaceDE/>
            <w:autoSpaceDN/>
            <w:bidi w:val="0"/>
            <w:adjustRightInd/>
            <w:snapToGrid/>
            <w:ind w:firstLine="210" w:firstLineChars="100"/>
            <w:textAlignment w:val="auto"/>
            <w:rPr>
              <w:rFonts w:hint="eastAsia" w:ascii="宋体" w:hAnsi="宋体" w:eastAsia="宋体" w:cs="宋体"/>
            </w:rPr>
          </w:pPr>
          <w:r>
            <w:rPr>
              <w:rFonts w:hint="eastAsia" w:ascii="宋体" w:hAnsi="宋体" w:eastAsia="宋体" w:cs="宋体"/>
              <w:kern w:val="0"/>
              <w:highlight w:val="none"/>
            </w:rPr>
            <w:fldChar w:fldCharType="begin"/>
          </w:r>
          <w:r>
            <w:rPr>
              <w:rFonts w:hint="eastAsia" w:ascii="宋体" w:hAnsi="宋体" w:eastAsia="宋体" w:cs="宋体"/>
              <w:kern w:val="0"/>
              <w:highlight w:val="none"/>
            </w:rPr>
            <w:instrText xml:space="preserve"> HYPERLINK \l _Toc4231 </w:instrText>
          </w:r>
          <w:r>
            <w:rPr>
              <w:rFonts w:hint="eastAsia" w:ascii="宋体" w:hAnsi="宋体" w:eastAsia="宋体" w:cs="宋体"/>
              <w:kern w:val="0"/>
              <w:highlight w:val="none"/>
            </w:rPr>
            <w:fldChar w:fldCharType="separate"/>
          </w:r>
          <w:r>
            <w:rPr>
              <w:rFonts w:hint="eastAsia" w:ascii="宋体" w:hAnsi="宋体" w:eastAsia="宋体" w:cs="宋体"/>
              <w:highlight w:val="none"/>
              <w:lang w:val="en-US" w:eastAsia="zh-CN"/>
            </w:rPr>
            <w:t>4</w:t>
          </w:r>
          <w:r>
            <w:rPr>
              <w:rFonts w:hint="eastAsia" w:ascii="宋体" w:hAnsi="宋体" w:eastAsia="宋体" w:cs="宋体"/>
              <w:highlight w:val="none"/>
            </w:rPr>
            <w:t>.</w:t>
          </w:r>
          <w:r>
            <w:rPr>
              <w:rFonts w:hint="eastAsia" w:ascii="宋体" w:hAnsi="宋体" w:eastAsia="宋体" w:cs="宋体"/>
              <w:highlight w:val="none"/>
              <w:lang w:val="en-US" w:eastAsia="zh-CN"/>
            </w:rPr>
            <w:t>2</w:t>
          </w:r>
          <w:r>
            <w:rPr>
              <w:rFonts w:hint="eastAsia" w:ascii="宋体" w:hAnsi="宋体" w:eastAsia="宋体" w:cs="宋体"/>
              <w:highlight w:val="none"/>
            </w:rPr>
            <w:t xml:space="preserve"> </w:t>
          </w:r>
          <w:r>
            <w:rPr>
              <w:rFonts w:hint="eastAsia" w:ascii="宋体" w:hAnsi="宋体" w:eastAsia="宋体" w:cs="宋体"/>
              <w:highlight w:val="none"/>
              <w:lang w:eastAsia="zh-CN"/>
            </w:rPr>
            <w:t>评估内容</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_Toc4231 \h </w:instrText>
          </w:r>
          <w:r>
            <w:rPr>
              <w:rFonts w:hint="eastAsia" w:ascii="宋体" w:hAnsi="宋体" w:eastAsia="宋体" w:cs="宋体"/>
            </w:rPr>
            <w:fldChar w:fldCharType="separate"/>
          </w:r>
          <w:r>
            <w:rPr>
              <w:rFonts w:hint="eastAsia" w:ascii="宋体" w:hAnsi="宋体" w:eastAsia="宋体" w:cs="宋体"/>
            </w:rPr>
            <w:t>2</w:t>
          </w:r>
          <w:r>
            <w:rPr>
              <w:rFonts w:hint="eastAsia" w:ascii="宋体" w:hAnsi="宋体" w:eastAsia="宋体" w:cs="宋体"/>
            </w:rPr>
            <w:fldChar w:fldCharType="end"/>
          </w:r>
          <w:r>
            <w:rPr>
              <w:rFonts w:hint="eastAsia" w:ascii="宋体" w:hAnsi="宋体" w:eastAsia="宋体" w:cs="宋体"/>
              <w:kern w:val="0"/>
              <w:highlight w:val="none"/>
            </w:rPr>
            <w:fldChar w:fldCharType="end"/>
          </w:r>
        </w:p>
        <w:p>
          <w:pPr>
            <w:pStyle w:val="17"/>
            <w:keepNext w:val="0"/>
            <w:keepLines w:val="0"/>
            <w:pageBreakBefore w:val="0"/>
            <w:widowControl/>
            <w:tabs>
              <w:tab w:val="right" w:leader="dot" w:pos="8506"/>
              <w:tab w:val="clear" w:pos="9345"/>
            </w:tabs>
            <w:kinsoku/>
            <w:wordWrap/>
            <w:overflowPunct/>
            <w:topLinePunct w:val="0"/>
            <w:autoSpaceDE/>
            <w:autoSpaceDN/>
            <w:bidi w:val="0"/>
            <w:adjustRightInd/>
            <w:snapToGrid/>
            <w:ind w:firstLine="210" w:firstLineChars="100"/>
            <w:textAlignment w:val="auto"/>
            <w:rPr>
              <w:rFonts w:hint="eastAsia" w:ascii="宋体" w:hAnsi="宋体" w:eastAsia="宋体" w:cs="宋体"/>
            </w:rPr>
          </w:pPr>
          <w:r>
            <w:rPr>
              <w:rFonts w:hint="eastAsia" w:ascii="宋体" w:hAnsi="宋体" w:eastAsia="宋体" w:cs="宋体"/>
              <w:kern w:val="0"/>
              <w:highlight w:val="none"/>
            </w:rPr>
            <w:fldChar w:fldCharType="begin"/>
          </w:r>
          <w:r>
            <w:rPr>
              <w:rFonts w:hint="eastAsia" w:ascii="宋体" w:hAnsi="宋体" w:eastAsia="宋体" w:cs="宋体"/>
              <w:kern w:val="0"/>
              <w:highlight w:val="none"/>
            </w:rPr>
            <w:instrText xml:space="preserve"> HYPERLINK \l _Toc4973 </w:instrText>
          </w:r>
          <w:r>
            <w:rPr>
              <w:rFonts w:hint="eastAsia" w:ascii="宋体" w:hAnsi="宋体" w:eastAsia="宋体" w:cs="宋体"/>
              <w:kern w:val="0"/>
              <w:highlight w:val="none"/>
            </w:rPr>
            <w:fldChar w:fldCharType="separate"/>
          </w:r>
          <w:r>
            <w:rPr>
              <w:rFonts w:hint="eastAsia" w:ascii="宋体" w:hAnsi="宋体" w:eastAsia="宋体" w:cs="宋体"/>
              <w:highlight w:val="none"/>
              <w:lang w:val="en-US" w:eastAsia="zh-CN"/>
            </w:rPr>
            <w:t>4.3 评估单元</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_Toc4973 \h </w:instrText>
          </w:r>
          <w:r>
            <w:rPr>
              <w:rFonts w:hint="eastAsia" w:ascii="宋体" w:hAnsi="宋体" w:eastAsia="宋体" w:cs="宋体"/>
            </w:rPr>
            <w:fldChar w:fldCharType="separate"/>
          </w:r>
          <w:r>
            <w:rPr>
              <w:rFonts w:hint="eastAsia" w:ascii="宋体" w:hAnsi="宋体" w:eastAsia="宋体" w:cs="宋体"/>
            </w:rPr>
            <w:t>3</w:t>
          </w:r>
          <w:r>
            <w:rPr>
              <w:rFonts w:hint="eastAsia" w:ascii="宋体" w:hAnsi="宋体" w:eastAsia="宋体" w:cs="宋体"/>
            </w:rPr>
            <w:fldChar w:fldCharType="end"/>
          </w:r>
          <w:r>
            <w:rPr>
              <w:rFonts w:hint="eastAsia" w:ascii="宋体" w:hAnsi="宋体" w:eastAsia="宋体" w:cs="宋体"/>
              <w:kern w:val="0"/>
              <w:highlight w:val="none"/>
            </w:rPr>
            <w:fldChar w:fldCharType="end"/>
          </w:r>
        </w:p>
        <w:p>
          <w:pPr>
            <w:pStyle w:val="17"/>
            <w:keepNext w:val="0"/>
            <w:keepLines w:val="0"/>
            <w:pageBreakBefore w:val="0"/>
            <w:widowControl/>
            <w:tabs>
              <w:tab w:val="right" w:leader="dot" w:pos="8506"/>
              <w:tab w:val="clear" w:pos="9345"/>
            </w:tabs>
            <w:kinsoku/>
            <w:wordWrap/>
            <w:overflowPunct/>
            <w:topLinePunct w:val="0"/>
            <w:autoSpaceDE/>
            <w:autoSpaceDN/>
            <w:bidi w:val="0"/>
            <w:adjustRightInd/>
            <w:snapToGrid/>
            <w:ind w:firstLine="210" w:firstLineChars="100"/>
            <w:textAlignment w:val="auto"/>
            <w:rPr>
              <w:rFonts w:hint="eastAsia" w:ascii="宋体" w:hAnsi="宋体" w:eastAsia="宋体" w:cs="宋体"/>
            </w:rPr>
          </w:pPr>
          <w:r>
            <w:rPr>
              <w:rFonts w:hint="eastAsia" w:ascii="宋体" w:hAnsi="宋体" w:eastAsia="宋体" w:cs="宋体"/>
              <w:kern w:val="0"/>
              <w:highlight w:val="none"/>
            </w:rPr>
            <w:fldChar w:fldCharType="begin"/>
          </w:r>
          <w:r>
            <w:rPr>
              <w:rFonts w:hint="eastAsia" w:ascii="宋体" w:hAnsi="宋体" w:eastAsia="宋体" w:cs="宋体"/>
              <w:kern w:val="0"/>
              <w:highlight w:val="none"/>
            </w:rPr>
            <w:instrText xml:space="preserve"> HYPERLINK \l _Toc10186 </w:instrText>
          </w:r>
          <w:r>
            <w:rPr>
              <w:rFonts w:hint="eastAsia" w:ascii="宋体" w:hAnsi="宋体" w:eastAsia="宋体" w:cs="宋体"/>
              <w:kern w:val="0"/>
              <w:highlight w:val="none"/>
            </w:rPr>
            <w:fldChar w:fldCharType="separate"/>
          </w:r>
          <w:r>
            <w:rPr>
              <w:rFonts w:hint="eastAsia" w:ascii="宋体" w:hAnsi="宋体" w:eastAsia="宋体" w:cs="宋体"/>
              <w:highlight w:val="none"/>
              <w:lang w:val="en-US" w:eastAsia="zh-CN"/>
            </w:rPr>
            <w:t>4.4 评估方法</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_Toc10186 \h </w:instrText>
          </w:r>
          <w:r>
            <w:rPr>
              <w:rFonts w:hint="eastAsia" w:ascii="宋体" w:hAnsi="宋体" w:eastAsia="宋体" w:cs="宋体"/>
            </w:rPr>
            <w:fldChar w:fldCharType="separate"/>
          </w:r>
          <w:r>
            <w:rPr>
              <w:rFonts w:hint="eastAsia" w:ascii="宋体" w:hAnsi="宋体" w:eastAsia="宋体" w:cs="宋体"/>
            </w:rPr>
            <w:t>3</w:t>
          </w:r>
          <w:r>
            <w:rPr>
              <w:rFonts w:hint="eastAsia" w:ascii="宋体" w:hAnsi="宋体" w:eastAsia="宋体" w:cs="宋体"/>
            </w:rPr>
            <w:fldChar w:fldCharType="end"/>
          </w:r>
          <w:r>
            <w:rPr>
              <w:rFonts w:hint="eastAsia" w:ascii="宋体" w:hAnsi="宋体" w:eastAsia="宋体" w:cs="宋体"/>
              <w:kern w:val="0"/>
              <w:highlight w:val="none"/>
            </w:rPr>
            <w:fldChar w:fldCharType="end"/>
          </w:r>
        </w:p>
        <w:p>
          <w:pPr>
            <w:pStyle w:val="17"/>
            <w:keepNext w:val="0"/>
            <w:keepLines w:val="0"/>
            <w:pageBreakBefore w:val="0"/>
            <w:widowControl/>
            <w:tabs>
              <w:tab w:val="right" w:leader="dot" w:pos="8506"/>
              <w:tab w:val="clear" w:pos="9345"/>
            </w:tabs>
            <w:kinsoku/>
            <w:wordWrap/>
            <w:overflowPunct/>
            <w:topLinePunct w:val="0"/>
            <w:autoSpaceDE/>
            <w:autoSpaceDN/>
            <w:bidi w:val="0"/>
            <w:adjustRightInd/>
            <w:snapToGrid/>
            <w:ind w:firstLine="210" w:firstLineChars="100"/>
            <w:textAlignment w:val="auto"/>
            <w:rPr>
              <w:rFonts w:hint="eastAsia" w:ascii="宋体" w:hAnsi="宋体" w:eastAsia="宋体" w:cs="宋体"/>
            </w:rPr>
          </w:pPr>
          <w:r>
            <w:rPr>
              <w:rFonts w:hint="eastAsia" w:ascii="宋体" w:hAnsi="宋体" w:eastAsia="宋体" w:cs="宋体"/>
              <w:kern w:val="0"/>
              <w:highlight w:val="none"/>
            </w:rPr>
            <w:fldChar w:fldCharType="begin"/>
          </w:r>
          <w:r>
            <w:rPr>
              <w:rFonts w:hint="eastAsia" w:ascii="宋体" w:hAnsi="宋体" w:eastAsia="宋体" w:cs="宋体"/>
              <w:kern w:val="0"/>
              <w:highlight w:val="none"/>
            </w:rPr>
            <w:instrText xml:space="preserve"> HYPERLINK \l _Toc30067 </w:instrText>
          </w:r>
          <w:r>
            <w:rPr>
              <w:rFonts w:hint="eastAsia" w:ascii="宋体" w:hAnsi="宋体" w:eastAsia="宋体" w:cs="宋体"/>
              <w:kern w:val="0"/>
              <w:highlight w:val="none"/>
            </w:rPr>
            <w:fldChar w:fldCharType="separate"/>
          </w:r>
          <w:r>
            <w:rPr>
              <w:rFonts w:hint="eastAsia" w:ascii="宋体" w:hAnsi="宋体" w:eastAsia="宋体" w:cs="宋体"/>
              <w:highlight w:val="none"/>
              <w:lang w:val="en-US" w:eastAsia="zh-CN"/>
            </w:rPr>
            <w:t>4.5 基本要求</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_Toc30067 \h </w:instrText>
          </w:r>
          <w:r>
            <w:rPr>
              <w:rFonts w:hint="eastAsia" w:ascii="宋体" w:hAnsi="宋体" w:eastAsia="宋体" w:cs="宋体"/>
            </w:rPr>
            <w:fldChar w:fldCharType="separate"/>
          </w:r>
          <w:r>
            <w:rPr>
              <w:rFonts w:hint="eastAsia" w:ascii="宋体" w:hAnsi="宋体" w:eastAsia="宋体" w:cs="宋体"/>
            </w:rPr>
            <w:t>3</w:t>
          </w:r>
          <w:r>
            <w:rPr>
              <w:rFonts w:hint="eastAsia" w:ascii="宋体" w:hAnsi="宋体" w:eastAsia="宋体" w:cs="宋体"/>
            </w:rPr>
            <w:fldChar w:fldCharType="end"/>
          </w:r>
          <w:r>
            <w:rPr>
              <w:rFonts w:hint="eastAsia" w:ascii="宋体" w:hAnsi="宋体" w:eastAsia="宋体" w:cs="宋体"/>
              <w:kern w:val="0"/>
              <w:highlight w:val="none"/>
            </w:rPr>
            <w:fldChar w:fldCharType="end"/>
          </w:r>
        </w:p>
        <w:p>
          <w:pPr>
            <w:pStyle w:val="17"/>
            <w:keepNext w:val="0"/>
            <w:keepLines w:val="0"/>
            <w:pageBreakBefore w:val="0"/>
            <w:widowControl/>
            <w:tabs>
              <w:tab w:val="right" w:leader="dot" w:pos="8506"/>
              <w:tab w:val="clear" w:pos="9345"/>
            </w:tabs>
            <w:kinsoku/>
            <w:wordWrap/>
            <w:overflowPunct/>
            <w:topLinePunct w:val="0"/>
            <w:autoSpaceDE/>
            <w:autoSpaceDN/>
            <w:bidi w:val="0"/>
            <w:adjustRightInd/>
            <w:snapToGrid/>
            <w:ind w:firstLine="210" w:firstLineChars="100"/>
            <w:textAlignment w:val="auto"/>
            <w:rPr>
              <w:rFonts w:hint="eastAsia" w:ascii="宋体" w:hAnsi="宋体" w:eastAsia="宋体" w:cs="宋体"/>
            </w:rPr>
          </w:pPr>
          <w:r>
            <w:rPr>
              <w:rFonts w:hint="eastAsia" w:ascii="宋体" w:hAnsi="宋体" w:eastAsia="宋体" w:cs="宋体"/>
              <w:kern w:val="0"/>
              <w:highlight w:val="none"/>
            </w:rPr>
            <w:fldChar w:fldCharType="begin"/>
          </w:r>
          <w:r>
            <w:rPr>
              <w:rFonts w:hint="eastAsia" w:ascii="宋体" w:hAnsi="宋体" w:eastAsia="宋体" w:cs="宋体"/>
              <w:kern w:val="0"/>
              <w:highlight w:val="none"/>
            </w:rPr>
            <w:instrText xml:space="preserve"> HYPERLINK \l _Toc1638 </w:instrText>
          </w:r>
          <w:r>
            <w:rPr>
              <w:rFonts w:hint="eastAsia" w:ascii="宋体" w:hAnsi="宋体" w:eastAsia="宋体" w:cs="宋体"/>
              <w:kern w:val="0"/>
              <w:highlight w:val="none"/>
            </w:rPr>
            <w:fldChar w:fldCharType="separate"/>
          </w:r>
          <w:r>
            <w:rPr>
              <w:rFonts w:hint="eastAsia" w:ascii="宋体" w:hAnsi="宋体" w:eastAsia="宋体" w:cs="宋体"/>
              <w:highlight w:val="none"/>
              <w:lang w:val="en-US" w:eastAsia="zh-CN"/>
            </w:rPr>
            <w:t>4.6 基本资料</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_Toc1638 \h </w:instrText>
          </w:r>
          <w:r>
            <w:rPr>
              <w:rFonts w:hint="eastAsia" w:ascii="宋体" w:hAnsi="宋体" w:eastAsia="宋体" w:cs="宋体"/>
            </w:rPr>
            <w:fldChar w:fldCharType="separate"/>
          </w:r>
          <w:r>
            <w:rPr>
              <w:rFonts w:hint="eastAsia" w:ascii="宋体" w:hAnsi="宋体" w:eastAsia="宋体" w:cs="宋体"/>
            </w:rPr>
            <w:t>3</w:t>
          </w:r>
          <w:r>
            <w:rPr>
              <w:rFonts w:hint="eastAsia" w:ascii="宋体" w:hAnsi="宋体" w:eastAsia="宋体" w:cs="宋体"/>
            </w:rPr>
            <w:fldChar w:fldCharType="end"/>
          </w:r>
          <w:r>
            <w:rPr>
              <w:rFonts w:hint="eastAsia" w:ascii="宋体" w:hAnsi="宋体" w:eastAsia="宋体" w:cs="宋体"/>
              <w:kern w:val="0"/>
              <w:highlight w:val="none"/>
            </w:rPr>
            <w:fldChar w:fldCharType="end"/>
          </w:r>
        </w:p>
        <w:p>
          <w:pPr>
            <w:pStyle w:val="17"/>
            <w:keepNext w:val="0"/>
            <w:keepLines w:val="0"/>
            <w:pageBreakBefore w:val="0"/>
            <w:widowControl/>
            <w:tabs>
              <w:tab w:val="right" w:leader="dot" w:pos="8506"/>
              <w:tab w:val="clear" w:pos="9345"/>
            </w:tabs>
            <w:kinsoku/>
            <w:wordWrap/>
            <w:overflowPunct/>
            <w:topLinePunct w:val="0"/>
            <w:autoSpaceDE/>
            <w:autoSpaceDN/>
            <w:bidi w:val="0"/>
            <w:adjustRightInd/>
            <w:snapToGrid/>
            <w:ind w:firstLine="210" w:firstLineChars="100"/>
            <w:textAlignment w:val="auto"/>
            <w:rPr>
              <w:rFonts w:hint="eastAsia" w:ascii="宋体" w:hAnsi="宋体" w:eastAsia="宋体" w:cs="宋体"/>
            </w:rPr>
          </w:pPr>
          <w:r>
            <w:rPr>
              <w:rFonts w:hint="eastAsia" w:ascii="宋体" w:hAnsi="宋体" w:eastAsia="宋体" w:cs="宋体"/>
              <w:kern w:val="0"/>
              <w:highlight w:val="none"/>
            </w:rPr>
            <w:fldChar w:fldCharType="begin"/>
          </w:r>
          <w:r>
            <w:rPr>
              <w:rFonts w:hint="eastAsia" w:ascii="宋体" w:hAnsi="宋体" w:eastAsia="宋体" w:cs="宋体"/>
              <w:kern w:val="0"/>
              <w:highlight w:val="none"/>
            </w:rPr>
            <w:instrText xml:space="preserve"> HYPERLINK \l _Toc22325 </w:instrText>
          </w:r>
          <w:r>
            <w:rPr>
              <w:rFonts w:hint="eastAsia" w:ascii="宋体" w:hAnsi="宋体" w:eastAsia="宋体" w:cs="宋体"/>
              <w:kern w:val="0"/>
              <w:highlight w:val="none"/>
            </w:rPr>
            <w:fldChar w:fldCharType="separate"/>
          </w:r>
          <w:r>
            <w:rPr>
              <w:rFonts w:hint="eastAsia" w:ascii="宋体" w:hAnsi="宋体" w:eastAsia="宋体" w:cs="宋体"/>
              <w:highlight w:val="none"/>
              <w:lang w:val="en-US" w:eastAsia="zh-CN"/>
            </w:rPr>
            <w:t>4.7</w:t>
          </w:r>
          <w:r>
            <w:rPr>
              <w:rFonts w:hint="eastAsia" w:ascii="宋体" w:hAnsi="宋体" w:eastAsia="宋体" w:cs="宋体"/>
              <w:highlight w:val="none"/>
            </w:rPr>
            <w:t xml:space="preserve"> </w:t>
          </w:r>
          <w:r>
            <w:rPr>
              <w:rFonts w:hint="eastAsia" w:ascii="宋体" w:hAnsi="宋体" w:eastAsia="宋体" w:cs="宋体"/>
              <w:highlight w:val="none"/>
              <w:lang w:val="en-US" w:eastAsia="zh-CN"/>
            </w:rPr>
            <w:t>治理任务评估</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_Toc22325 \h </w:instrText>
          </w:r>
          <w:r>
            <w:rPr>
              <w:rFonts w:hint="eastAsia" w:ascii="宋体" w:hAnsi="宋体" w:eastAsia="宋体" w:cs="宋体"/>
            </w:rPr>
            <w:fldChar w:fldCharType="separate"/>
          </w:r>
          <w:r>
            <w:rPr>
              <w:rFonts w:hint="eastAsia" w:ascii="宋体" w:hAnsi="宋体" w:eastAsia="宋体" w:cs="宋体"/>
            </w:rPr>
            <w:t>3</w:t>
          </w:r>
          <w:r>
            <w:rPr>
              <w:rFonts w:hint="eastAsia" w:ascii="宋体" w:hAnsi="宋体" w:eastAsia="宋体" w:cs="宋体"/>
            </w:rPr>
            <w:fldChar w:fldCharType="end"/>
          </w:r>
          <w:r>
            <w:rPr>
              <w:rFonts w:hint="eastAsia" w:ascii="宋体" w:hAnsi="宋体" w:eastAsia="宋体" w:cs="宋体"/>
              <w:kern w:val="0"/>
              <w:highlight w:val="none"/>
            </w:rPr>
            <w:fldChar w:fldCharType="end"/>
          </w:r>
        </w:p>
        <w:p>
          <w:pPr>
            <w:pStyle w:val="17"/>
            <w:keepNext w:val="0"/>
            <w:keepLines w:val="0"/>
            <w:pageBreakBefore w:val="0"/>
            <w:widowControl/>
            <w:tabs>
              <w:tab w:val="right" w:leader="dot" w:pos="8506"/>
              <w:tab w:val="clear" w:pos="9345"/>
            </w:tabs>
            <w:kinsoku/>
            <w:wordWrap/>
            <w:overflowPunct/>
            <w:topLinePunct w:val="0"/>
            <w:autoSpaceDE/>
            <w:autoSpaceDN/>
            <w:bidi w:val="0"/>
            <w:adjustRightInd/>
            <w:snapToGrid/>
            <w:ind w:firstLine="210" w:firstLineChars="100"/>
            <w:textAlignment w:val="auto"/>
            <w:rPr>
              <w:rFonts w:hint="eastAsia" w:ascii="宋体" w:hAnsi="宋体" w:eastAsia="宋体" w:cs="宋体"/>
            </w:rPr>
          </w:pPr>
          <w:r>
            <w:rPr>
              <w:rFonts w:hint="eastAsia" w:ascii="宋体" w:hAnsi="宋体" w:eastAsia="宋体" w:cs="宋体"/>
              <w:kern w:val="0"/>
              <w:highlight w:val="none"/>
            </w:rPr>
            <w:fldChar w:fldCharType="begin"/>
          </w:r>
          <w:r>
            <w:rPr>
              <w:rFonts w:hint="eastAsia" w:ascii="宋体" w:hAnsi="宋体" w:eastAsia="宋体" w:cs="宋体"/>
              <w:kern w:val="0"/>
              <w:highlight w:val="none"/>
            </w:rPr>
            <w:instrText xml:space="preserve"> HYPERLINK \l _Toc17793 </w:instrText>
          </w:r>
          <w:r>
            <w:rPr>
              <w:rFonts w:hint="eastAsia" w:ascii="宋体" w:hAnsi="宋体" w:eastAsia="宋体" w:cs="宋体"/>
              <w:kern w:val="0"/>
              <w:highlight w:val="none"/>
            </w:rPr>
            <w:fldChar w:fldCharType="separate"/>
          </w:r>
          <w:r>
            <w:rPr>
              <w:rFonts w:hint="eastAsia" w:ascii="宋体" w:hAnsi="宋体" w:eastAsia="宋体" w:cs="宋体"/>
              <w:highlight w:val="none"/>
              <w:lang w:val="en-US" w:eastAsia="zh-CN"/>
            </w:rPr>
            <w:t>4.9</w:t>
          </w:r>
          <w:r>
            <w:rPr>
              <w:rFonts w:hint="eastAsia" w:ascii="宋体" w:hAnsi="宋体" w:eastAsia="宋体" w:cs="宋体"/>
              <w:highlight w:val="none"/>
            </w:rPr>
            <w:t xml:space="preserve"> </w:t>
          </w:r>
          <w:r>
            <w:rPr>
              <w:rFonts w:hint="eastAsia" w:ascii="宋体" w:hAnsi="宋体" w:eastAsia="宋体" w:cs="宋体"/>
              <w:highlight w:val="none"/>
              <w:lang w:val="en-US" w:eastAsia="zh-CN"/>
            </w:rPr>
            <w:t>治理效果评估</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_Toc17793 \h </w:instrText>
          </w:r>
          <w:r>
            <w:rPr>
              <w:rFonts w:hint="eastAsia" w:ascii="宋体" w:hAnsi="宋体" w:eastAsia="宋体" w:cs="宋体"/>
            </w:rPr>
            <w:fldChar w:fldCharType="separate"/>
          </w:r>
          <w:r>
            <w:rPr>
              <w:rFonts w:hint="eastAsia" w:ascii="宋体" w:hAnsi="宋体" w:eastAsia="宋体" w:cs="宋体"/>
            </w:rPr>
            <w:t>5</w:t>
          </w:r>
          <w:r>
            <w:rPr>
              <w:rFonts w:hint="eastAsia" w:ascii="宋体" w:hAnsi="宋体" w:eastAsia="宋体" w:cs="宋体"/>
            </w:rPr>
            <w:fldChar w:fldCharType="end"/>
          </w:r>
          <w:r>
            <w:rPr>
              <w:rFonts w:hint="eastAsia" w:ascii="宋体" w:hAnsi="宋体" w:eastAsia="宋体" w:cs="宋体"/>
              <w:kern w:val="0"/>
              <w:highlight w:val="none"/>
            </w:rPr>
            <w:fldChar w:fldCharType="end"/>
          </w:r>
        </w:p>
        <w:p>
          <w:pPr>
            <w:pStyle w:val="17"/>
            <w:keepNext w:val="0"/>
            <w:keepLines w:val="0"/>
            <w:pageBreakBefore w:val="0"/>
            <w:widowControl/>
            <w:tabs>
              <w:tab w:val="right" w:leader="dot" w:pos="8506"/>
              <w:tab w:val="clear" w:pos="9345"/>
            </w:tabs>
            <w:kinsoku/>
            <w:wordWrap/>
            <w:overflowPunct/>
            <w:topLinePunct w:val="0"/>
            <w:autoSpaceDE/>
            <w:autoSpaceDN/>
            <w:bidi w:val="0"/>
            <w:adjustRightInd/>
            <w:snapToGrid/>
            <w:ind w:firstLine="210" w:firstLineChars="100"/>
            <w:textAlignment w:val="auto"/>
            <w:rPr>
              <w:rFonts w:hint="eastAsia" w:ascii="宋体" w:hAnsi="宋体" w:eastAsia="宋体" w:cs="宋体"/>
            </w:rPr>
          </w:pPr>
          <w:r>
            <w:rPr>
              <w:rFonts w:hint="eastAsia" w:ascii="宋体" w:hAnsi="宋体" w:eastAsia="宋体" w:cs="宋体"/>
              <w:kern w:val="0"/>
              <w:highlight w:val="none"/>
            </w:rPr>
            <w:fldChar w:fldCharType="begin"/>
          </w:r>
          <w:r>
            <w:rPr>
              <w:rFonts w:hint="eastAsia" w:ascii="宋体" w:hAnsi="宋体" w:eastAsia="宋体" w:cs="宋体"/>
              <w:kern w:val="0"/>
              <w:highlight w:val="none"/>
            </w:rPr>
            <w:instrText xml:space="preserve"> HYPERLINK \l _Toc21855 </w:instrText>
          </w:r>
          <w:r>
            <w:rPr>
              <w:rFonts w:hint="eastAsia" w:ascii="宋体" w:hAnsi="宋体" w:eastAsia="宋体" w:cs="宋体"/>
              <w:kern w:val="0"/>
              <w:highlight w:val="none"/>
            </w:rPr>
            <w:fldChar w:fldCharType="separate"/>
          </w:r>
          <w:r>
            <w:rPr>
              <w:rFonts w:hint="eastAsia" w:ascii="宋体" w:hAnsi="宋体" w:eastAsia="宋体" w:cs="宋体"/>
              <w:highlight w:val="none"/>
              <w:lang w:val="en-US" w:eastAsia="zh-CN"/>
            </w:rPr>
            <w:t>4.10</w:t>
          </w:r>
          <w:r>
            <w:rPr>
              <w:rFonts w:hint="eastAsia" w:ascii="宋体" w:hAnsi="宋体" w:eastAsia="宋体" w:cs="宋体"/>
              <w:highlight w:val="none"/>
            </w:rPr>
            <w:t xml:space="preserve"> </w:t>
          </w:r>
          <w:r>
            <w:rPr>
              <w:rFonts w:hint="eastAsia" w:ascii="宋体" w:hAnsi="宋体" w:eastAsia="宋体" w:cs="宋体"/>
              <w:highlight w:val="none"/>
              <w:lang w:eastAsia="zh-CN"/>
            </w:rPr>
            <w:t>综合</w:t>
          </w:r>
          <w:r>
            <w:rPr>
              <w:rFonts w:hint="eastAsia" w:ascii="宋体" w:hAnsi="宋体" w:eastAsia="宋体" w:cs="宋体"/>
              <w:highlight w:val="none"/>
              <w:lang w:val="en-US" w:eastAsia="zh-CN"/>
            </w:rPr>
            <w:t>评估</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_Toc21855 \h </w:instrText>
          </w:r>
          <w:r>
            <w:rPr>
              <w:rFonts w:hint="eastAsia" w:ascii="宋体" w:hAnsi="宋体" w:eastAsia="宋体" w:cs="宋体"/>
            </w:rPr>
            <w:fldChar w:fldCharType="separate"/>
          </w:r>
          <w:r>
            <w:rPr>
              <w:rFonts w:hint="eastAsia" w:ascii="宋体" w:hAnsi="宋体" w:eastAsia="宋体" w:cs="宋体"/>
            </w:rPr>
            <w:t>6</w:t>
          </w:r>
          <w:r>
            <w:rPr>
              <w:rFonts w:hint="eastAsia" w:ascii="宋体" w:hAnsi="宋体" w:eastAsia="宋体" w:cs="宋体"/>
            </w:rPr>
            <w:fldChar w:fldCharType="end"/>
          </w:r>
          <w:r>
            <w:rPr>
              <w:rFonts w:hint="eastAsia" w:ascii="宋体" w:hAnsi="宋体" w:eastAsia="宋体" w:cs="宋体"/>
              <w:kern w:val="0"/>
              <w:highlight w:val="none"/>
            </w:rPr>
            <w:fldChar w:fldCharType="end"/>
          </w:r>
        </w:p>
        <w:p>
          <w:pPr>
            <w:pStyle w:val="18"/>
            <w:tabs>
              <w:tab w:val="right" w:leader="dot" w:pos="8506"/>
              <w:tab w:val="clear" w:pos="9345"/>
            </w:tabs>
            <w:rPr>
              <w:rFonts w:hint="eastAsia" w:ascii="宋体" w:hAnsi="宋体" w:eastAsia="宋体" w:cs="宋体"/>
            </w:rPr>
          </w:pPr>
          <w:r>
            <w:rPr>
              <w:rFonts w:hint="eastAsia" w:ascii="宋体" w:hAnsi="宋体" w:eastAsia="宋体" w:cs="宋体"/>
              <w:kern w:val="0"/>
              <w:highlight w:val="none"/>
            </w:rPr>
            <w:fldChar w:fldCharType="begin"/>
          </w:r>
          <w:r>
            <w:rPr>
              <w:rFonts w:hint="eastAsia" w:ascii="宋体" w:hAnsi="宋体" w:eastAsia="宋体" w:cs="宋体"/>
              <w:kern w:val="0"/>
              <w:highlight w:val="none"/>
            </w:rPr>
            <w:instrText xml:space="preserve"> HYPERLINK \l _Toc24245 </w:instrText>
          </w:r>
          <w:r>
            <w:rPr>
              <w:rFonts w:hint="eastAsia" w:ascii="宋体" w:hAnsi="宋体" w:eastAsia="宋体" w:cs="宋体"/>
              <w:kern w:val="0"/>
              <w:highlight w:val="none"/>
            </w:rPr>
            <w:fldChar w:fldCharType="separate"/>
          </w:r>
          <w:r>
            <w:rPr>
              <w:rFonts w:hint="eastAsia" w:ascii="宋体" w:hAnsi="宋体" w:eastAsia="宋体" w:cs="宋体"/>
              <w:kern w:val="0"/>
              <w:szCs w:val="24"/>
              <w:highlight w:val="none"/>
              <w:lang w:val="en-US" w:eastAsia="zh-CN"/>
            </w:rPr>
            <w:t>5</w:t>
          </w:r>
          <w:r>
            <w:rPr>
              <w:rFonts w:hint="eastAsia" w:ascii="宋体" w:hAnsi="宋体" w:eastAsia="宋体" w:cs="宋体"/>
              <w:kern w:val="0"/>
              <w:szCs w:val="24"/>
              <w:highlight w:val="none"/>
            </w:rPr>
            <w:t xml:space="preserve"> </w:t>
          </w:r>
          <w:r>
            <w:rPr>
              <w:rFonts w:hint="eastAsia" w:ascii="宋体" w:hAnsi="宋体" w:eastAsia="宋体" w:cs="宋体"/>
              <w:kern w:val="0"/>
              <w:szCs w:val="24"/>
              <w:highlight w:val="none"/>
              <w:lang w:eastAsia="zh-CN"/>
            </w:rPr>
            <w:t>超采区</w:t>
          </w:r>
          <w:r>
            <w:rPr>
              <w:rFonts w:hint="eastAsia" w:ascii="宋体" w:hAnsi="宋体" w:eastAsia="宋体" w:cs="宋体"/>
              <w:kern w:val="0"/>
              <w:szCs w:val="24"/>
              <w:highlight w:val="none"/>
              <w:lang w:val="en-US" w:eastAsia="zh-CN"/>
            </w:rPr>
            <w:t>复核</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_Toc24245 \h </w:instrText>
          </w:r>
          <w:r>
            <w:rPr>
              <w:rFonts w:hint="eastAsia" w:ascii="宋体" w:hAnsi="宋体" w:eastAsia="宋体" w:cs="宋体"/>
            </w:rPr>
            <w:fldChar w:fldCharType="separate"/>
          </w:r>
          <w:r>
            <w:rPr>
              <w:rFonts w:hint="eastAsia" w:ascii="宋体" w:hAnsi="宋体" w:eastAsia="宋体" w:cs="宋体"/>
            </w:rPr>
            <w:t>6</w:t>
          </w:r>
          <w:r>
            <w:rPr>
              <w:rFonts w:hint="eastAsia" w:ascii="宋体" w:hAnsi="宋体" w:eastAsia="宋体" w:cs="宋体"/>
            </w:rPr>
            <w:fldChar w:fldCharType="end"/>
          </w:r>
          <w:r>
            <w:rPr>
              <w:rFonts w:hint="eastAsia" w:ascii="宋体" w:hAnsi="宋体" w:eastAsia="宋体" w:cs="宋体"/>
              <w:kern w:val="0"/>
              <w:highlight w:val="none"/>
            </w:rPr>
            <w:fldChar w:fldCharType="end"/>
          </w:r>
        </w:p>
        <w:p>
          <w:pPr>
            <w:pStyle w:val="17"/>
            <w:keepNext w:val="0"/>
            <w:keepLines w:val="0"/>
            <w:pageBreakBefore w:val="0"/>
            <w:widowControl/>
            <w:tabs>
              <w:tab w:val="right" w:leader="dot" w:pos="8506"/>
              <w:tab w:val="clear" w:pos="9345"/>
            </w:tabs>
            <w:kinsoku/>
            <w:wordWrap/>
            <w:overflowPunct/>
            <w:topLinePunct w:val="0"/>
            <w:autoSpaceDE/>
            <w:autoSpaceDN/>
            <w:bidi w:val="0"/>
            <w:adjustRightInd/>
            <w:snapToGrid/>
            <w:ind w:firstLine="210" w:firstLineChars="100"/>
            <w:textAlignment w:val="auto"/>
            <w:rPr>
              <w:rFonts w:hint="eastAsia" w:ascii="宋体" w:hAnsi="宋体" w:eastAsia="宋体" w:cs="宋体"/>
            </w:rPr>
          </w:pPr>
          <w:r>
            <w:rPr>
              <w:rFonts w:hint="eastAsia" w:ascii="宋体" w:hAnsi="宋体" w:eastAsia="宋体" w:cs="宋体"/>
              <w:kern w:val="0"/>
              <w:highlight w:val="none"/>
            </w:rPr>
            <w:fldChar w:fldCharType="begin"/>
          </w:r>
          <w:r>
            <w:rPr>
              <w:rFonts w:hint="eastAsia" w:ascii="宋体" w:hAnsi="宋体" w:eastAsia="宋体" w:cs="宋体"/>
              <w:kern w:val="0"/>
              <w:highlight w:val="none"/>
            </w:rPr>
            <w:instrText xml:space="preserve"> HYPERLINK \l _Toc31831 </w:instrText>
          </w:r>
          <w:r>
            <w:rPr>
              <w:rFonts w:hint="eastAsia" w:ascii="宋体" w:hAnsi="宋体" w:eastAsia="宋体" w:cs="宋体"/>
              <w:kern w:val="0"/>
              <w:highlight w:val="none"/>
            </w:rPr>
            <w:fldChar w:fldCharType="separate"/>
          </w:r>
          <w:r>
            <w:rPr>
              <w:rFonts w:hint="eastAsia" w:ascii="宋体" w:hAnsi="宋体" w:eastAsia="宋体" w:cs="宋体"/>
              <w:highlight w:val="none"/>
              <w:lang w:val="en-US" w:eastAsia="zh-CN"/>
            </w:rPr>
            <w:t>5.1</w:t>
          </w:r>
          <w:r>
            <w:rPr>
              <w:rFonts w:hint="eastAsia" w:ascii="宋体" w:hAnsi="宋体" w:eastAsia="宋体" w:cs="宋体"/>
              <w:highlight w:val="none"/>
            </w:rPr>
            <w:t xml:space="preserve"> </w:t>
          </w:r>
          <w:r>
            <w:rPr>
              <w:rFonts w:hint="eastAsia" w:ascii="宋体" w:hAnsi="宋体" w:eastAsia="宋体" w:cs="宋体"/>
              <w:highlight w:val="none"/>
              <w:lang w:eastAsia="zh-CN"/>
            </w:rPr>
            <w:t>基本规定</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_Toc31831 \h </w:instrText>
          </w:r>
          <w:r>
            <w:rPr>
              <w:rFonts w:hint="eastAsia" w:ascii="宋体" w:hAnsi="宋体" w:eastAsia="宋体" w:cs="宋体"/>
            </w:rPr>
            <w:fldChar w:fldCharType="separate"/>
          </w:r>
          <w:r>
            <w:rPr>
              <w:rFonts w:hint="eastAsia" w:ascii="宋体" w:hAnsi="宋体" w:eastAsia="宋体" w:cs="宋体"/>
            </w:rPr>
            <w:t>6</w:t>
          </w:r>
          <w:r>
            <w:rPr>
              <w:rFonts w:hint="eastAsia" w:ascii="宋体" w:hAnsi="宋体" w:eastAsia="宋体" w:cs="宋体"/>
            </w:rPr>
            <w:fldChar w:fldCharType="end"/>
          </w:r>
          <w:r>
            <w:rPr>
              <w:rFonts w:hint="eastAsia" w:ascii="宋体" w:hAnsi="宋体" w:eastAsia="宋体" w:cs="宋体"/>
              <w:kern w:val="0"/>
              <w:highlight w:val="none"/>
            </w:rPr>
            <w:fldChar w:fldCharType="end"/>
          </w:r>
        </w:p>
        <w:p>
          <w:pPr>
            <w:pStyle w:val="17"/>
            <w:keepNext w:val="0"/>
            <w:keepLines w:val="0"/>
            <w:pageBreakBefore w:val="0"/>
            <w:widowControl/>
            <w:tabs>
              <w:tab w:val="right" w:leader="dot" w:pos="8506"/>
              <w:tab w:val="clear" w:pos="9345"/>
            </w:tabs>
            <w:kinsoku/>
            <w:wordWrap/>
            <w:overflowPunct/>
            <w:topLinePunct w:val="0"/>
            <w:autoSpaceDE/>
            <w:autoSpaceDN/>
            <w:bidi w:val="0"/>
            <w:adjustRightInd/>
            <w:snapToGrid/>
            <w:ind w:firstLine="210" w:firstLineChars="100"/>
            <w:textAlignment w:val="auto"/>
            <w:rPr>
              <w:rFonts w:hint="eastAsia" w:ascii="宋体" w:hAnsi="宋体" w:eastAsia="宋体" w:cs="宋体"/>
            </w:rPr>
          </w:pPr>
          <w:r>
            <w:rPr>
              <w:rFonts w:hint="eastAsia" w:ascii="宋体" w:hAnsi="宋体" w:eastAsia="宋体" w:cs="宋体"/>
              <w:kern w:val="0"/>
              <w:highlight w:val="none"/>
            </w:rPr>
            <w:fldChar w:fldCharType="begin"/>
          </w:r>
          <w:r>
            <w:rPr>
              <w:rFonts w:hint="eastAsia" w:ascii="宋体" w:hAnsi="宋体" w:eastAsia="宋体" w:cs="宋体"/>
              <w:kern w:val="0"/>
              <w:highlight w:val="none"/>
            </w:rPr>
            <w:instrText xml:space="preserve"> HYPERLINK \l _Toc2355 </w:instrText>
          </w:r>
          <w:r>
            <w:rPr>
              <w:rFonts w:hint="eastAsia" w:ascii="宋体" w:hAnsi="宋体" w:eastAsia="宋体" w:cs="宋体"/>
              <w:kern w:val="0"/>
              <w:highlight w:val="none"/>
            </w:rPr>
            <w:fldChar w:fldCharType="separate"/>
          </w:r>
          <w:r>
            <w:rPr>
              <w:rFonts w:hint="eastAsia" w:ascii="宋体" w:hAnsi="宋体" w:eastAsia="宋体" w:cs="宋体"/>
              <w:szCs w:val="20"/>
              <w:highlight w:val="none"/>
              <w:lang w:val="en-US" w:eastAsia="zh-CN"/>
            </w:rPr>
            <w:t>5.2</w:t>
          </w:r>
          <w:r>
            <w:rPr>
              <w:rFonts w:hint="eastAsia" w:ascii="宋体" w:hAnsi="宋体" w:eastAsia="宋体" w:cs="宋体"/>
              <w:highlight w:val="none"/>
              <w:lang w:val="en-US" w:eastAsia="zh-CN"/>
            </w:rPr>
            <w:t>超采区界定</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_Toc2355 \h </w:instrText>
          </w:r>
          <w:r>
            <w:rPr>
              <w:rFonts w:hint="eastAsia" w:ascii="宋体" w:hAnsi="宋体" w:eastAsia="宋体" w:cs="宋体"/>
            </w:rPr>
            <w:fldChar w:fldCharType="separate"/>
          </w:r>
          <w:r>
            <w:rPr>
              <w:rFonts w:hint="eastAsia" w:ascii="宋体" w:hAnsi="宋体" w:eastAsia="宋体" w:cs="宋体"/>
            </w:rPr>
            <w:t>6</w:t>
          </w:r>
          <w:r>
            <w:rPr>
              <w:rFonts w:hint="eastAsia" w:ascii="宋体" w:hAnsi="宋体" w:eastAsia="宋体" w:cs="宋体"/>
            </w:rPr>
            <w:fldChar w:fldCharType="end"/>
          </w:r>
          <w:r>
            <w:rPr>
              <w:rFonts w:hint="eastAsia" w:ascii="宋体" w:hAnsi="宋体" w:eastAsia="宋体" w:cs="宋体"/>
              <w:kern w:val="0"/>
              <w:highlight w:val="none"/>
            </w:rPr>
            <w:fldChar w:fldCharType="end"/>
          </w:r>
        </w:p>
        <w:p>
          <w:pPr>
            <w:pStyle w:val="17"/>
            <w:keepNext w:val="0"/>
            <w:keepLines w:val="0"/>
            <w:pageBreakBefore w:val="0"/>
            <w:widowControl/>
            <w:tabs>
              <w:tab w:val="right" w:leader="dot" w:pos="8506"/>
              <w:tab w:val="clear" w:pos="9345"/>
            </w:tabs>
            <w:kinsoku/>
            <w:wordWrap/>
            <w:overflowPunct/>
            <w:topLinePunct w:val="0"/>
            <w:autoSpaceDE/>
            <w:autoSpaceDN/>
            <w:bidi w:val="0"/>
            <w:adjustRightInd/>
            <w:snapToGrid/>
            <w:ind w:firstLine="210" w:firstLineChars="100"/>
            <w:textAlignment w:val="auto"/>
            <w:rPr>
              <w:rFonts w:hint="eastAsia" w:ascii="宋体" w:hAnsi="宋体" w:eastAsia="宋体" w:cs="宋体"/>
            </w:rPr>
          </w:pPr>
          <w:r>
            <w:rPr>
              <w:rFonts w:hint="eastAsia" w:ascii="宋体" w:hAnsi="宋体" w:eastAsia="宋体" w:cs="宋体"/>
              <w:kern w:val="0"/>
              <w:highlight w:val="none"/>
            </w:rPr>
            <w:fldChar w:fldCharType="begin"/>
          </w:r>
          <w:r>
            <w:rPr>
              <w:rFonts w:hint="eastAsia" w:ascii="宋体" w:hAnsi="宋体" w:eastAsia="宋体" w:cs="宋体"/>
              <w:kern w:val="0"/>
              <w:highlight w:val="none"/>
            </w:rPr>
            <w:instrText xml:space="preserve"> HYPERLINK \l _Toc14666 </w:instrText>
          </w:r>
          <w:r>
            <w:rPr>
              <w:rFonts w:hint="eastAsia" w:ascii="宋体" w:hAnsi="宋体" w:eastAsia="宋体" w:cs="宋体"/>
              <w:kern w:val="0"/>
              <w:highlight w:val="none"/>
            </w:rPr>
            <w:fldChar w:fldCharType="separate"/>
          </w:r>
          <w:r>
            <w:rPr>
              <w:rFonts w:hint="eastAsia" w:ascii="宋体" w:hAnsi="宋体" w:eastAsia="宋体" w:cs="宋体"/>
              <w:szCs w:val="20"/>
              <w:highlight w:val="none"/>
              <w:lang w:val="en-US" w:eastAsia="zh-CN"/>
            </w:rPr>
            <w:t>5.3</w:t>
          </w:r>
          <w:r>
            <w:rPr>
              <w:rFonts w:hint="eastAsia" w:ascii="宋体" w:hAnsi="宋体" w:eastAsia="宋体" w:cs="宋体"/>
              <w:highlight w:val="none"/>
              <w:lang w:val="en-US" w:eastAsia="zh-CN"/>
            </w:rPr>
            <w:t xml:space="preserve"> 超采区确定</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_Toc14666 \h </w:instrText>
          </w:r>
          <w:r>
            <w:rPr>
              <w:rFonts w:hint="eastAsia" w:ascii="宋体" w:hAnsi="宋体" w:eastAsia="宋体" w:cs="宋体"/>
            </w:rPr>
            <w:fldChar w:fldCharType="separate"/>
          </w:r>
          <w:r>
            <w:rPr>
              <w:rFonts w:hint="eastAsia" w:ascii="宋体" w:hAnsi="宋体" w:eastAsia="宋体" w:cs="宋体"/>
            </w:rPr>
            <w:t>6</w:t>
          </w:r>
          <w:r>
            <w:rPr>
              <w:rFonts w:hint="eastAsia" w:ascii="宋体" w:hAnsi="宋体" w:eastAsia="宋体" w:cs="宋体"/>
            </w:rPr>
            <w:fldChar w:fldCharType="end"/>
          </w:r>
          <w:r>
            <w:rPr>
              <w:rFonts w:hint="eastAsia" w:ascii="宋体" w:hAnsi="宋体" w:eastAsia="宋体" w:cs="宋体"/>
              <w:kern w:val="0"/>
              <w:highlight w:val="none"/>
            </w:rPr>
            <w:fldChar w:fldCharType="end"/>
          </w:r>
        </w:p>
        <w:p>
          <w:pPr>
            <w:pStyle w:val="17"/>
            <w:keepNext w:val="0"/>
            <w:keepLines w:val="0"/>
            <w:pageBreakBefore w:val="0"/>
            <w:widowControl/>
            <w:tabs>
              <w:tab w:val="right" w:leader="dot" w:pos="8506"/>
              <w:tab w:val="clear" w:pos="9345"/>
            </w:tabs>
            <w:kinsoku/>
            <w:wordWrap/>
            <w:overflowPunct/>
            <w:topLinePunct w:val="0"/>
            <w:autoSpaceDE/>
            <w:autoSpaceDN/>
            <w:bidi w:val="0"/>
            <w:adjustRightInd/>
            <w:snapToGrid/>
            <w:ind w:firstLine="210" w:firstLineChars="100"/>
            <w:textAlignment w:val="auto"/>
            <w:rPr>
              <w:rFonts w:hint="eastAsia" w:ascii="宋体" w:hAnsi="宋体" w:eastAsia="宋体" w:cs="宋体"/>
            </w:rPr>
          </w:pPr>
          <w:r>
            <w:rPr>
              <w:rFonts w:hint="eastAsia" w:ascii="宋体" w:hAnsi="宋体" w:eastAsia="宋体" w:cs="宋体"/>
              <w:kern w:val="0"/>
              <w:highlight w:val="none"/>
            </w:rPr>
            <w:fldChar w:fldCharType="begin"/>
          </w:r>
          <w:r>
            <w:rPr>
              <w:rFonts w:hint="eastAsia" w:ascii="宋体" w:hAnsi="宋体" w:eastAsia="宋体" w:cs="宋体"/>
              <w:kern w:val="0"/>
              <w:highlight w:val="none"/>
            </w:rPr>
            <w:instrText xml:space="preserve"> HYPERLINK \l _Toc19759 </w:instrText>
          </w:r>
          <w:r>
            <w:rPr>
              <w:rFonts w:hint="eastAsia" w:ascii="宋体" w:hAnsi="宋体" w:eastAsia="宋体" w:cs="宋体"/>
              <w:kern w:val="0"/>
              <w:highlight w:val="none"/>
            </w:rPr>
            <w:fldChar w:fldCharType="separate"/>
          </w:r>
          <w:r>
            <w:rPr>
              <w:rFonts w:hint="eastAsia" w:ascii="宋体" w:hAnsi="宋体" w:eastAsia="宋体" w:cs="宋体"/>
              <w:szCs w:val="20"/>
              <w:highlight w:val="none"/>
              <w:lang w:val="en-US" w:eastAsia="zh-CN"/>
            </w:rPr>
            <w:t>5</w:t>
          </w:r>
          <w:r>
            <w:rPr>
              <w:rFonts w:hint="eastAsia" w:ascii="宋体" w:hAnsi="宋体" w:eastAsia="宋体" w:cs="宋体"/>
              <w:highlight w:val="none"/>
              <w:lang w:val="en-US" w:eastAsia="zh-CN"/>
            </w:rPr>
            <w:t>.4超采区范围确定</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_Toc19759 \h </w:instrText>
          </w:r>
          <w:r>
            <w:rPr>
              <w:rFonts w:hint="eastAsia" w:ascii="宋体" w:hAnsi="宋体" w:eastAsia="宋体" w:cs="宋体"/>
            </w:rPr>
            <w:fldChar w:fldCharType="separate"/>
          </w:r>
          <w:r>
            <w:rPr>
              <w:rFonts w:hint="eastAsia" w:ascii="宋体" w:hAnsi="宋体" w:eastAsia="宋体" w:cs="宋体"/>
            </w:rPr>
            <w:t>8</w:t>
          </w:r>
          <w:r>
            <w:rPr>
              <w:rFonts w:hint="eastAsia" w:ascii="宋体" w:hAnsi="宋体" w:eastAsia="宋体" w:cs="宋体"/>
            </w:rPr>
            <w:fldChar w:fldCharType="end"/>
          </w:r>
          <w:r>
            <w:rPr>
              <w:rFonts w:hint="eastAsia" w:ascii="宋体" w:hAnsi="宋体" w:eastAsia="宋体" w:cs="宋体"/>
              <w:kern w:val="0"/>
              <w:highlight w:val="none"/>
            </w:rPr>
            <w:fldChar w:fldCharType="end"/>
          </w:r>
        </w:p>
        <w:p>
          <w:pPr>
            <w:pStyle w:val="18"/>
            <w:tabs>
              <w:tab w:val="right" w:leader="dot" w:pos="8506"/>
              <w:tab w:val="clear" w:pos="9345"/>
            </w:tabs>
            <w:rPr>
              <w:rFonts w:hint="eastAsia" w:ascii="宋体" w:hAnsi="宋体" w:eastAsia="宋体" w:cs="宋体"/>
            </w:rPr>
          </w:pPr>
          <w:r>
            <w:rPr>
              <w:rFonts w:hint="eastAsia" w:ascii="宋体" w:hAnsi="宋体" w:eastAsia="宋体" w:cs="宋体"/>
              <w:kern w:val="0"/>
              <w:highlight w:val="none"/>
            </w:rPr>
            <w:fldChar w:fldCharType="begin"/>
          </w:r>
          <w:r>
            <w:rPr>
              <w:rFonts w:hint="eastAsia" w:ascii="宋体" w:hAnsi="宋体" w:eastAsia="宋体" w:cs="宋体"/>
              <w:kern w:val="0"/>
              <w:highlight w:val="none"/>
            </w:rPr>
            <w:instrText xml:space="preserve"> HYPERLINK \l _Toc27760 </w:instrText>
          </w:r>
          <w:r>
            <w:rPr>
              <w:rFonts w:hint="eastAsia" w:ascii="宋体" w:hAnsi="宋体" w:eastAsia="宋体" w:cs="宋体"/>
              <w:kern w:val="0"/>
              <w:highlight w:val="none"/>
            </w:rPr>
            <w:fldChar w:fldCharType="separate"/>
          </w:r>
          <w:r>
            <w:rPr>
              <w:rFonts w:hint="eastAsia" w:ascii="宋体" w:hAnsi="宋体" w:eastAsia="宋体" w:cs="宋体"/>
              <w:kern w:val="0"/>
              <w:szCs w:val="24"/>
              <w:highlight w:val="none"/>
            </w:rPr>
            <w:t>附 录 A</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_Toc27760 \h </w:instrText>
          </w:r>
          <w:r>
            <w:rPr>
              <w:rFonts w:hint="eastAsia" w:ascii="宋体" w:hAnsi="宋体" w:eastAsia="宋体" w:cs="宋体"/>
            </w:rPr>
            <w:fldChar w:fldCharType="separate"/>
          </w:r>
          <w:r>
            <w:rPr>
              <w:rFonts w:hint="eastAsia" w:ascii="宋体" w:hAnsi="宋体" w:eastAsia="宋体" w:cs="宋体"/>
            </w:rPr>
            <w:t>9</w:t>
          </w:r>
          <w:r>
            <w:rPr>
              <w:rFonts w:hint="eastAsia" w:ascii="宋体" w:hAnsi="宋体" w:eastAsia="宋体" w:cs="宋体"/>
            </w:rPr>
            <w:fldChar w:fldCharType="end"/>
          </w:r>
          <w:r>
            <w:rPr>
              <w:rFonts w:hint="eastAsia" w:ascii="宋体" w:hAnsi="宋体" w:eastAsia="宋体" w:cs="宋体"/>
              <w:kern w:val="0"/>
              <w:highlight w:val="none"/>
            </w:rPr>
            <w:fldChar w:fldCharType="end"/>
          </w:r>
        </w:p>
        <w:p>
          <w:pPr>
            <w:pStyle w:val="18"/>
            <w:tabs>
              <w:tab w:val="right" w:leader="dot" w:pos="8506"/>
              <w:tab w:val="clear" w:pos="9345"/>
            </w:tabs>
          </w:pPr>
          <w:r>
            <w:rPr>
              <w:rFonts w:hint="eastAsia" w:ascii="宋体" w:hAnsi="宋体" w:eastAsia="宋体" w:cs="宋体"/>
              <w:kern w:val="0"/>
              <w:highlight w:val="none"/>
            </w:rPr>
            <w:fldChar w:fldCharType="begin"/>
          </w:r>
          <w:r>
            <w:rPr>
              <w:rFonts w:hint="eastAsia" w:ascii="宋体" w:hAnsi="宋体" w:eastAsia="宋体" w:cs="宋体"/>
              <w:kern w:val="0"/>
              <w:highlight w:val="none"/>
            </w:rPr>
            <w:instrText xml:space="preserve"> HYPERLINK \l _Toc28271 </w:instrText>
          </w:r>
          <w:r>
            <w:rPr>
              <w:rFonts w:hint="eastAsia" w:ascii="宋体" w:hAnsi="宋体" w:eastAsia="宋体" w:cs="宋体"/>
              <w:kern w:val="0"/>
              <w:highlight w:val="none"/>
            </w:rPr>
            <w:fldChar w:fldCharType="separate"/>
          </w:r>
          <w:r>
            <w:rPr>
              <w:rFonts w:hint="eastAsia" w:ascii="宋体" w:hAnsi="宋体" w:eastAsia="宋体" w:cs="宋体"/>
              <w:bCs/>
              <w:kern w:val="0"/>
              <w:szCs w:val="24"/>
              <w:highlight w:val="none"/>
            </w:rPr>
            <w:t>附 录 B</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_Toc28271 \h </w:instrText>
          </w:r>
          <w:r>
            <w:rPr>
              <w:rFonts w:hint="eastAsia" w:ascii="宋体" w:hAnsi="宋体" w:eastAsia="宋体" w:cs="宋体"/>
            </w:rPr>
            <w:fldChar w:fldCharType="separate"/>
          </w:r>
          <w:r>
            <w:rPr>
              <w:rFonts w:hint="eastAsia" w:ascii="宋体" w:hAnsi="宋体" w:eastAsia="宋体" w:cs="宋体"/>
            </w:rPr>
            <w:t>10</w:t>
          </w:r>
          <w:r>
            <w:rPr>
              <w:rFonts w:hint="eastAsia" w:ascii="宋体" w:hAnsi="宋体" w:eastAsia="宋体" w:cs="宋体"/>
            </w:rPr>
            <w:fldChar w:fldCharType="end"/>
          </w:r>
          <w:r>
            <w:rPr>
              <w:rFonts w:hint="eastAsia" w:ascii="宋体" w:hAnsi="宋体" w:eastAsia="宋体" w:cs="宋体"/>
              <w:kern w:val="0"/>
              <w:highlight w:val="none"/>
            </w:rPr>
            <w:fldChar w:fldCharType="end"/>
          </w:r>
        </w:p>
        <w:p>
          <w:pPr>
            <w:pageBreakBefore w:val="0"/>
            <w:kinsoku/>
            <w:wordWrap/>
            <w:overflowPunct/>
            <w:topLinePunct w:val="0"/>
            <w:autoSpaceDE w:val="0"/>
            <w:autoSpaceDN w:val="0"/>
            <w:bidi w:val="0"/>
            <w:adjustRightInd w:val="0"/>
            <w:snapToGrid w:val="0"/>
            <w:spacing w:line="360" w:lineRule="auto"/>
            <w:textAlignment w:val="auto"/>
            <w:outlineLvl w:val="9"/>
            <w:rPr>
              <w:rStyle w:val="84"/>
              <w:kern w:val="0"/>
              <w:highlight w:val="none"/>
            </w:rPr>
          </w:pPr>
          <w:r>
            <w:rPr>
              <w:kern w:val="0"/>
              <w:highlight w:val="none"/>
            </w:rPr>
            <w:fldChar w:fldCharType="end"/>
          </w:r>
        </w:p>
      </w:sdtContent>
    </w:sdt>
    <w:p>
      <w:pPr>
        <w:pageBreakBefore w:val="0"/>
        <w:kinsoku/>
        <w:wordWrap/>
        <w:overflowPunct/>
        <w:topLinePunct w:val="0"/>
        <w:autoSpaceDE w:val="0"/>
        <w:autoSpaceDN w:val="0"/>
        <w:bidi w:val="0"/>
        <w:adjustRightInd w:val="0"/>
        <w:snapToGrid w:val="0"/>
        <w:spacing w:line="360" w:lineRule="auto"/>
        <w:textAlignment w:val="auto"/>
        <w:rPr>
          <w:rStyle w:val="84"/>
          <w:rFonts w:hAnsi="宋体"/>
          <w:kern w:val="0"/>
          <w:highlight w:val="none"/>
        </w:rPr>
        <w:sectPr>
          <w:headerReference r:id="rId7" w:type="default"/>
          <w:footerReference r:id="rId8" w:type="default"/>
          <w:pgSz w:w="11907" w:h="16839"/>
          <w:pgMar w:top="2098" w:right="1644" w:bottom="1928" w:left="1757" w:header="1418" w:footer="1191" w:gutter="0"/>
          <w:pgNumType w:fmt="upperRoman" w:start="1"/>
          <w:cols w:space="425" w:num="1"/>
          <w:docGrid w:type="lines" w:linePitch="312" w:charSpace="0"/>
        </w:sectPr>
      </w:pPr>
      <w:bookmarkStart w:id="53" w:name="_GoBack"/>
      <w:bookmarkEnd w:id="53"/>
    </w:p>
    <w:bookmarkEnd w:id="4"/>
    <w:p>
      <w:pPr>
        <w:pStyle w:val="2"/>
        <w:pageBreakBefore w:val="0"/>
        <w:kinsoku/>
        <w:wordWrap/>
        <w:overflowPunct/>
        <w:topLinePunct w:val="0"/>
        <w:bidi w:val="0"/>
        <w:adjustRightInd w:val="0"/>
        <w:snapToGrid w:val="0"/>
        <w:spacing w:before="640" w:after="560" w:line="360" w:lineRule="auto"/>
        <w:jc w:val="center"/>
        <w:textAlignment w:val="auto"/>
        <w:rPr>
          <w:rFonts w:ascii="黑体" w:eastAsia="黑体"/>
          <w:b w:val="0"/>
          <w:sz w:val="32"/>
          <w:szCs w:val="32"/>
          <w:highlight w:val="none"/>
        </w:rPr>
      </w:pPr>
      <w:bookmarkStart w:id="5" w:name="_Toc21041"/>
      <w:bookmarkStart w:id="6" w:name="_Toc31066"/>
      <w:bookmarkStart w:id="7" w:name="_Toc30714"/>
      <w:bookmarkStart w:id="8" w:name="_Toc13896"/>
      <w:bookmarkStart w:id="9" w:name="_Toc4197"/>
      <w:bookmarkStart w:id="10" w:name="SectionMark2"/>
      <w:r>
        <w:rPr>
          <w:rFonts w:hint="eastAsia" w:ascii="黑体" w:eastAsia="黑体"/>
          <w:b w:val="0"/>
          <w:sz w:val="32"/>
          <w:szCs w:val="32"/>
          <w:highlight w:val="none"/>
        </w:rPr>
        <w:t>前    言</w:t>
      </w:r>
      <w:bookmarkEnd w:id="5"/>
      <w:bookmarkEnd w:id="6"/>
      <w:bookmarkEnd w:id="7"/>
      <w:bookmarkEnd w:id="8"/>
      <w:bookmarkEnd w:id="9"/>
    </w:p>
    <w:p>
      <w:pPr>
        <w:pageBreakBefore w:val="0"/>
        <w:kinsoku/>
        <w:wordWrap/>
        <w:overflowPunct/>
        <w:topLinePunct w:val="0"/>
        <w:bidi w:val="0"/>
        <w:adjustRightInd w:val="0"/>
        <w:snapToGrid w:val="0"/>
        <w:spacing w:line="360" w:lineRule="auto"/>
        <w:ind w:firstLine="420" w:firstLineChars="200"/>
        <w:textAlignment w:val="auto"/>
        <w:rPr>
          <w:bCs/>
          <w:szCs w:val="21"/>
          <w:highlight w:val="none"/>
        </w:rPr>
      </w:pPr>
      <w:r>
        <w:rPr>
          <w:rFonts w:hint="eastAsia"/>
          <w:bCs/>
          <w:szCs w:val="21"/>
          <w:highlight w:val="none"/>
        </w:rPr>
        <w:t>本文件按照GB/T 1.1</w:t>
      </w:r>
      <w:r>
        <w:rPr>
          <w:rFonts w:hint="eastAsia"/>
          <w:szCs w:val="21"/>
          <w:highlight w:val="none"/>
        </w:rPr>
        <w:t>—20</w:t>
      </w:r>
      <w:r>
        <w:rPr>
          <w:szCs w:val="21"/>
          <w:highlight w:val="none"/>
        </w:rPr>
        <w:t>20</w:t>
      </w:r>
      <w:r>
        <w:rPr>
          <w:rFonts w:hint="eastAsia"/>
          <w:szCs w:val="21"/>
          <w:highlight w:val="none"/>
        </w:rPr>
        <w:t>《标准化</w:t>
      </w:r>
      <w:r>
        <w:rPr>
          <w:szCs w:val="21"/>
          <w:highlight w:val="none"/>
        </w:rPr>
        <w:t>工作导则</w:t>
      </w:r>
      <w:r>
        <w:rPr>
          <w:rFonts w:hint="eastAsia"/>
          <w:szCs w:val="21"/>
          <w:highlight w:val="none"/>
        </w:rPr>
        <w:t xml:space="preserve">  第1部分</w:t>
      </w:r>
      <w:r>
        <w:rPr>
          <w:szCs w:val="21"/>
          <w:highlight w:val="none"/>
        </w:rPr>
        <w:t>：标准化文件的结构和起草规划</w:t>
      </w:r>
      <w:r>
        <w:rPr>
          <w:rFonts w:hint="eastAsia"/>
          <w:szCs w:val="21"/>
          <w:highlight w:val="none"/>
        </w:rPr>
        <w:t>》的</w:t>
      </w:r>
      <w:r>
        <w:rPr>
          <w:szCs w:val="21"/>
          <w:highlight w:val="none"/>
        </w:rPr>
        <w:t>规定</w:t>
      </w:r>
      <w:r>
        <w:rPr>
          <w:rFonts w:hint="eastAsia"/>
          <w:bCs/>
          <w:szCs w:val="21"/>
          <w:highlight w:val="none"/>
        </w:rPr>
        <w:t>起草。</w:t>
      </w:r>
    </w:p>
    <w:p>
      <w:pPr>
        <w:pageBreakBefore w:val="0"/>
        <w:kinsoku/>
        <w:wordWrap/>
        <w:overflowPunct/>
        <w:topLinePunct w:val="0"/>
        <w:bidi w:val="0"/>
        <w:adjustRightInd w:val="0"/>
        <w:snapToGrid w:val="0"/>
        <w:spacing w:line="360" w:lineRule="auto"/>
        <w:ind w:firstLine="420" w:firstLineChars="200"/>
        <w:textAlignment w:val="auto"/>
        <w:rPr>
          <w:bCs/>
          <w:szCs w:val="21"/>
          <w:highlight w:val="none"/>
        </w:rPr>
      </w:pPr>
      <w:r>
        <w:rPr>
          <w:bCs/>
          <w:szCs w:val="21"/>
          <w:highlight w:val="none"/>
        </w:rPr>
        <w:t>本</w:t>
      </w:r>
      <w:r>
        <w:rPr>
          <w:rFonts w:hint="eastAsia"/>
          <w:bCs/>
          <w:szCs w:val="21"/>
          <w:highlight w:val="none"/>
        </w:rPr>
        <w:t>文件</w:t>
      </w:r>
      <w:r>
        <w:rPr>
          <w:bCs/>
          <w:szCs w:val="21"/>
          <w:highlight w:val="none"/>
        </w:rPr>
        <w:t>由</w:t>
      </w:r>
      <w:r>
        <w:rPr>
          <w:kern w:val="0"/>
          <w:szCs w:val="21"/>
          <w:highlight w:val="none"/>
        </w:rPr>
        <w:t>河北省水利厅提出并归口。</w:t>
      </w:r>
    </w:p>
    <w:p>
      <w:pPr>
        <w:pageBreakBefore w:val="0"/>
        <w:kinsoku/>
        <w:wordWrap/>
        <w:overflowPunct/>
        <w:topLinePunct w:val="0"/>
        <w:bidi w:val="0"/>
        <w:adjustRightInd w:val="0"/>
        <w:snapToGrid w:val="0"/>
        <w:spacing w:line="360" w:lineRule="auto"/>
        <w:ind w:firstLine="420" w:firstLineChars="200"/>
        <w:textAlignment w:val="auto"/>
        <w:rPr>
          <w:kern w:val="0"/>
          <w:szCs w:val="21"/>
          <w:highlight w:val="none"/>
        </w:rPr>
      </w:pPr>
      <w:r>
        <w:rPr>
          <w:kern w:val="0"/>
          <w:szCs w:val="21"/>
          <w:highlight w:val="none"/>
        </w:rPr>
        <w:t>本</w:t>
      </w:r>
      <w:r>
        <w:rPr>
          <w:rFonts w:hint="eastAsia"/>
          <w:kern w:val="0"/>
          <w:szCs w:val="21"/>
          <w:highlight w:val="none"/>
        </w:rPr>
        <w:t>文件</w:t>
      </w:r>
      <w:r>
        <w:rPr>
          <w:kern w:val="0"/>
          <w:szCs w:val="21"/>
          <w:highlight w:val="none"/>
        </w:rPr>
        <w:t>起草单位：</w:t>
      </w:r>
      <w:r>
        <w:rPr>
          <w:rFonts w:hint="eastAsia" w:hAnsi="宋体"/>
          <w:szCs w:val="21"/>
          <w:highlight w:val="none"/>
        </w:rPr>
        <w:t>×××</w:t>
      </w:r>
      <w:r>
        <w:rPr>
          <w:rFonts w:hint="eastAsia"/>
          <w:szCs w:val="21"/>
          <w:highlight w:val="none"/>
        </w:rPr>
        <w:t xml:space="preserve"> </w:t>
      </w:r>
      <w:r>
        <w:rPr>
          <w:rFonts w:hint="eastAsia" w:hAnsi="宋体"/>
          <w:szCs w:val="21"/>
          <w:highlight w:val="none"/>
        </w:rPr>
        <w:t>×××</w:t>
      </w:r>
      <w:r>
        <w:rPr>
          <w:rFonts w:hint="eastAsia"/>
          <w:szCs w:val="21"/>
          <w:highlight w:val="none"/>
        </w:rPr>
        <w:t xml:space="preserve"> </w:t>
      </w:r>
    </w:p>
    <w:p>
      <w:pPr>
        <w:pStyle w:val="102"/>
        <w:pageBreakBefore w:val="0"/>
        <w:kinsoku/>
        <w:wordWrap/>
        <w:overflowPunct/>
        <w:topLinePunct w:val="0"/>
        <w:bidi w:val="0"/>
        <w:adjustRightInd w:val="0"/>
        <w:snapToGrid w:val="0"/>
        <w:spacing w:line="360" w:lineRule="auto"/>
        <w:ind w:firstLine="420"/>
        <w:textAlignment w:val="auto"/>
        <w:rPr>
          <w:rFonts w:ascii="Times New Roman"/>
          <w:highlight w:val="none"/>
        </w:rPr>
      </w:pPr>
      <w:r>
        <w:rPr>
          <w:rFonts w:ascii="Times New Roman"/>
          <w:bCs/>
          <w:szCs w:val="21"/>
          <w:highlight w:val="none"/>
        </w:rPr>
        <w:t>本</w:t>
      </w:r>
      <w:r>
        <w:rPr>
          <w:rFonts w:hint="eastAsia" w:ascii="Times New Roman"/>
          <w:bCs/>
          <w:szCs w:val="21"/>
          <w:highlight w:val="none"/>
        </w:rPr>
        <w:t>文件</w:t>
      </w:r>
      <w:r>
        <w:rPr>
          <w:rFonts w:ascii="Times New Roman"/>
          <w:szCs w:val="21"/>
          <w:highlight w:val="none"/>
        </w:rPr>
        <w:t>主要起草人：</w:t>
      </w:r>
      <w:r>
        <w:rPr>
          <w:rFonts w:hint="eastAsia" w:hAnsi="宋体"/>
          <w:szCs w:val="21"/>
          <w:highlight w:val="none"/>
        </w:rPr>
        <w:t>×××</w:t>
      </w:r>
      <w:r>
        <w:rPr>
          <w:rFonts w:hint="eastAsia" w:ascii="Times New Roman"/>
          <w:szCs w:val="21"/>
          <w:highlight w:val="none"/>
        </w:rPr>
        <w:t xml:space="preserve"> </w:t>
      </w:r>
      <w:r>
        <w:rPr>
          <w:rFonts w:hint="eastAsia" w:hAnsi="宋体"/>
          <w:szCs w:val="21"/>
          <w:highlight w:val="none"/>
        </w:rPr>
        <w:t>×××</w:t>
      </w:r>
      <w:r>
        <w:rPr>
          <w:rFonts w:hint="eastAsia" w:ascii="Times New Roman"/>
          <w:szCs w:val="21"/>
          <w:highlight w:val="none"/>
        </w:rPr>
        <w:t xml:space="preserve"> </w:t>
      </w:r>
      <w:r>
        <w:rPr>
          <w:rFonts w:hint="eastAsia" w:hAnsi="宋体"/>
          <w:szCs w:val="21"/>
          <w:highlight w:val="none"/>
        </w:rPr>
        <w:t>×××</w:t>
      </w:r>
      <w:r>
        <w:rPr>
          <w:rFonts w:hint="eastAsia" w:ascii="Times New Roman"/>
          <w:szCs w:val="21"/>
          <w:highlight w:val="none"/>
        </w:rPr>
        <w:t xml:space="preserve"> </w:t>
      </w:r>
      <w:r>
        <w:rPr>
          <w:rFonts w:hint="eastAsia" w:hAnsi="宋体"/>
          <w:szCs w:val="21"/>
          <w:highlight w:val="none"/>
        </w:rPr>
        <w:t>×××</w:t>
      </w:r>
      <w:r>
        <w:rPr>
          <w:rFonts w:hint="eastAsia" w:ascii="Times New Roman"/>
          <w:szCs w:val="21"/>
          <w:highlight w:val="none"/>
        </w:rPr>
        <w:t xml:space="preserve"> </w:t>
      </w:r>
      <w:r>
        <w:rPr>
          <w:rFonts w:hint="eastAsia" w:hAnsi="宋体"/>
          <w:szCs w:val="21"/>
          <w:highlight w:val="none"/>
        </w:rPr>
        <w:t>×××</w:t>
      </w:r>
      <w:r>
        <w:rPr>
          <w:rFonts w:hint="eastAsia" w:ascii="Times New Roman"/>
          <w:szCs w:val="21"/>
          <w:highlight w:val="none"/>
        </w:rPr>
        <w:t xml:space="preserve"> </w:t>
      </w:r>
      <w:r>
        <w:rPr>
          <w:rFonts w:hint="eastAsia" w:hAnsi="宋体"/>
          <w:szCs w:val="21"/>
          <w:highlight w:val="none"/>
        </w:rPr>
        <w:t>×××</w:t>
      </w:r>
      <w:r>
        <w:rPr>
          <w:rFonts w:hint="eastAsia" w:ascii="Times New Roman"/>
          <w:szCs w:val="21"/>
          <w:highlight w:val="none"/>
        </w:rPr>
        <w:t xml:space="preserve"> </w:t>
      </w:r>
      <w:r>
        <w:rPr>
          <w:rFonts w:hint="eastAsia" w:hAnsi="宋体"/>
          <w:szCs w:val="21"/>
          <w:highlight w:val="none"/>
        </w:rPr>
        <w:t>×××</w:t>
      </w:r>
      <w:r>
        <w:rPr>
          <w:rFonts w:hint="eastAsia" w:ascii="Times New Roman"/>
          <w:szCs w:val="21"/>
          <w:highlight w:val="none"/>
        </w:rPr>
        <w:t xml:space="preserve"> </w:t>
      </w:r>
      <w:r>
        <w:rPr>
          <w:rFonts w:hint="eastAsia" w:hAnsi="宋体"/>
          <w:szCs w:val="21"/>
          <w:highlight w:val="none"/>
        </w:rPr>
        <w:t>×××</w:t>
      </w:r>
      <w:r>
        <w:rPr>
          <w:rFonts w:hint="eastAsia" w:ascii="Times New Roman"/>
          <w:szCs w:val="21"/>
          <w:highlight w:val="none"/>
        </w:rPr>
        <w:t xml:space="preserve"> </w:t>
      </w:r>
      <w:r>
        <w:rPr>
          <w:rFonts w:hint="eastAsia" w:hAnsi="宋体"/>
          <w:szCs w:val="21"/>
          <w:highlight w:val="none"/>
        </w:rPr>
        <w:t>×××</w:t>
      </w:r>
      <w:r>
        <w:rPr>
          <w:rFonts w:hint="eastAsia" w:ascii="Times New Roman"/>
          <w:szCs w:val="21"/>
          <w:highlight w:val="none"/>
        </w:rPr>
        <w:t xml:space="preserve"> </w:t>
      </w:r>
      <w:r>
        <w:rPr>
          <w:rFonts w:hint="eastAsia" w:hAnsi="宋体"/>
          <w:szCs w:val="21"/>
          <w:highlight w:val="none"/>
        </w:rPr>
        <w:t>×××</w:t>
      </w:r>
      <w:r>
        <w:rPr>
          <w:rFonts w:hint="eastAsia" w:ascii="Times New Roman"/>
          <w:szCs w:val="21"/>
          <w:highlight w:val="none"/>
        </w:rPr>
        <w:t xml:space="preserve"> </w:t>
      </w:r>
      <w:r>
        <w:rPr>
          <w:rFonts w:hint="eastAsia" w:hAnsi="宋体"/>
          <w:szCs w:val="21"/>
          <w:highlight w:val="none"/>
        </w:rPr>
        <w:t>×××</w:t>
      </w:r>
      <w:r>
        <w:rPr>
          <w:rFonts w:hint="eastAsia" w:ascii="Times New Roman"/>
          <w:szCs w:val="21"/>
          <w:highlight w:val="none"/>
        </w:rPr>
        <w:t xml:space="preserve"> </w:t>
      </w:r>
      <w:r>
        <w:rPr>
          <w:rFonts w:hint="eastAsia" w:hAnsi="宋体"/>
          <w:szCs w:val="21"/>
          <w:highlight w:val="none"/>
        </w:rPr>
        <w:t>×××</w:t>
      </w:r>
    </w:p>
    <w:p>
      <w:pPr>
        <w:pStyle w:val="102"/>
        <w:pageBreakBefore w:val="0"/>
        <w:kinsoku/>
        <w:wordWrap/>
        <w:overflowPunct/>
        <w:topLinePunct w:val="0"/>
        <w:bidi w:val="0"/>
        <w:adjustRightInd w:val="0"/>
        <w:snapToGrid w:val="0"/>
        <w:spacing w:line="360" w:lineRule="auto"/>
        <w:ind w:firstLine="420"/>
        <w:textAlignment w:val="auto"/>
        <w:rPr>
          <w:rFonts w:ascii="Times New Roman"/>
          <w:highlight w:val="none"/>
        </w:rPr>
        <w:sectPr>
          <w:pgSz w:w="11907" w:h="16839"/>
          <w:pgMar w:top="2098" w:right="1644" w:bottom="1928" w:left="1757" w:header="1418" w:footer="1191" w:gutter="0"/>
          <w:pgNumType w:fmt="upperRoman"/>
          <w:cols w:space="425" w:num="1"/>
          <w:docGrid w:type="lines" w:linePitch="312" w:charSpace="0"/>
        </w:sectPr>
      </w:pPr>
    </w:p>
    <w:bookmarkEnd w:id="10"/>
    <w:p>
      <w:pPr>
        <w:pageBreakBefore w:val="0"/>
        <w:kinsoku/>
        <w:wordWrap/>
        <w:overflowPunct/>
        <w:topLinePunct w:val="0"/>
        <w:bidi w:val="0"/>
        <w:adjustRightInd w:val="0"/>
        <w:snapToGrid w:val="0"/>
        <w:spacing w:before="360" w:after="120" w:line="360" w:lineRule="auto"/>
        <w:jc w:val="center"/>
        <w:textAlignment w:val="auto"/>
        <w:outlineLvl w:val="0"/>
        <w:rPr>
          <w:rFonts w:hint="eastAsia" w:ascii="黑体" w:eastAsia="黑体"/>
          <w:sz w:val="28"/>
          <w:szCs w:val="28"/>
          <w:highlight w:val="none"/>
        </w:rPr>
      </w:pPr>
      <w:bookmarkStart w:id="11" w:name="_Toc20536"/>
      <w:bookmarkStart w:id="12" w:name="_Toc20690"/>
      <w:bookmarkStart w:id="13" w:name="_Toc21403"/>
      <w:bookmarkStart w:id="14" w:name="SectionMark4"/>
      <w:r>
        <w:rPr>
          <w:rFonts w:hint="eastAsia" w:ascii="黑体" w:eastAsia="黑体"/>
          <w:sz w:val="28"/>
          <w:szCs w:val="28"/>
          <w:highlight w:val="none"/>
        </w:rPr>
        <w:t>地下水超采区治理评估与复核技术指南</w:t>
      </w:r>
      <w:bookmarkEnd w:id="11"/>
      <w:bookmarkEnd w:id="12"/>
      <w:bookmarkEnd w:id="13"/>
    </w:p>
    <w:p>
      <w:pPr>
        <w:pStyle w:val="2"/>
        <w:pageBreakBefore w:val="0"/>
        <w:widowControl w:val="0"/>
        <w:kinsoku/>
        <w:wordWrap/>
        <w:overflowPunct/>
        <w:topLinePunct w:val="0"/>
        <w:bidi w:val="0"/>
        <w:adjustRightInd w:val="0"/>
        <w:snapToGrid w:val="0"/>
        <w:spacing w:before="156" w:beforeLines="50" w:after="156" w:afterLines="50" w:line="360" w:lineRule="auto"/>
        <w:textAlignment w:val="auto"/>
        <w:rPr>
          <w:rFonts w:ascii="黑体" w:eastAsia="黑体"/>
          <w:kern w:val="0"/>
          <w:sz w:val="24"/>
          <w:szCs w:val="24"/>
          <w:highlight w:val="none"/>
        </w:rPr>
      </w:pPr>
      <w:bookmarkStart w:id="15" w:name="_Toc2512"/>
      <w:bookmarkStart w:id="16" w:name="_Toc15039"/>
      <w:bookmarkStart w:id="17" w:name="_Toc158083342"/>
      <w:bookmarkStart w:id="18" w:name="_Toc10151"/>
      <w:r>
        <w:rPr>
          <w:rFonts w:hint="eastAsia" w:ascii="黑体" w:eastAsia="黑体"/>
          <w:kern w:val="0"/>
          <w:sz w:val="24"/>
          <w:szCs w:val="24"/>
          <w:highlight w:val="none"/>
        </w:rPr>
        <w:t>1  范围</w:t>
      </w:r>
      <w:bookmarkEnd w:id="15"/>
      <w:bookmarkEnd w:id="16"/>
      <w:bookmarkEnd w:id="17"/>
      <w:bookmarkEnd w:id="18"/>
    </w:p>
    <w:p>
      <w:pPr>
        <w:keepNext w:val="0"/>
        <w:keepLines w:val="0"/>
        <w:pageBreakBefore w:val="0"/>
        <w:widowControl w:val="0"/>
        <w:kinsoku/>
        <w:wordWrap/>
        <w:overflowPunct/>
        <w:topLinePunct w:val="0"/>
        <w:autoSpaceDE/>
        <w:autoSpaceDN/>
        <w:bidi w:val="0"/>
        <w:adjustRightInd w:val="0"/>
        <w:snapToGrid w:val="0"/>
        <w:spacing w:line="360" w:lineRule="auto"/>
        <w:ind w:left="0" w:firstLine="420" w:firstLineChars="200"/>
        <w:textAlignment w:val="auto"/>
        <w:rPr>
          <w:highlight w:val="none"/>
        </w:rPr>
      </w:pPr>
      <w:bookmarkStart w:id="19" w:name="_Toc158083343"/>
      <w:r>
        <w:rPr>
          <w:rFonts w:hint="eastAsia"/>
          <w:highlight w:val="none"/>
        </w:rPr>
        <w:t>本</w:t>
      </w:r>
      <w:r>
        <w:rPr>
          <w:rFonts w:hint="eastAsia"/>
          <w:szCs w:val="21"/>
          <w:highlight w:val="none"/>
        </w:rPr>
        <w:t>文件</w:t>
      </w:r>
      <w:r>
        <w:rPr>
          <w:rFonts w:hint="eastAsia"/>
          <w:highlight w:val="none"/>
        </w:rPr>
        <w:t>规定了地下水超采</w:t>
      </w:r>
      <w:r>
        <w:rPr>
          <w:rFonts w:hint="eastAsia"/>
          <w:highlight w:val="none"/>
          <w:lang w:eastAsia="zh-CN"/>
        </w:rPr>
        <w:t>治理评估的原则、方法和要求以及超采区</w:t>
      </w:r>
      <w:r>
        <w:rPr>
          <w:rFonts w:hint="eastAsia"/>
          <w:highlight w:val="none"/>
          <w:lang w:val="en-US" w:eastAsia="zh-CN"/>
        </w:rPr>
        <w:t>复核</w:t>
      </w:r>
      <w:r>
        <w:rPr>
          <w:rFonts w:hint="eastAsia"/>
          <w:highlight w:val="none"/>
          <w:lang w:eastAsia="zh-CN"/>
        </w:rPr>
        <w:t>的</w:t>
      </w:r>
      <w:r>
        <w:rPr>
          <w:rFonts w:hint="eastAsia"/>
          <w:highlight w:val="none"/>
        </w:rPr>
        <w:t>基本要求。</w:t>
      </w:r>
    </w:p>
    <w:p>
      <w:pPr>
        <w:keepNext w:val="0"/>
        <w:keepLines w:val="0"/>
        <w:pageBreakBefore w:val="0"/>
        <w:widowControl w:val="0"/>
        <w:kinsoku/>
        <w:wordWrap/>
        <w:overflowPunct/>
        <w:topLinePunct w:val="0"/>
        <w:autoSpaceDE/>
        <w:autoSpaceDN/>
        <w:bidi w:val="0"/>
        <w:adjustRightInd w:val="0"/>
        <w:snapToGrid w:val="0"/>
        <w:spacing w:line="360" w:lineRule="auto"/>
        <w:ind w:left="0" w:firstLine="420" w:firstLineChars="200"/>
        <w:textAlignment w:val="auto"/>
        <w:rPr>
          <w:highlight w:val="none"/>
        </w:rPr>
      </w:pPr>
      <w:r>
        <w:rPr>
          <w:rFonts w:hint="eastAsia"/>
          <w:highlight w:val="none"/>
        </w:rPr>
        <w:t>本</w:t>
      </w:r>
      <w:r>
        <w:rPr>
          <w:rFonts w:hint="eastAsia"/>
          <w:szCs w:val="21"/>
          <w:highlight w:val="none"/>
        </w:rPr>
        <w:t>文件</w:t>
      </w:r>
      <w:r>
        <w:rPr>
          <w:highlight w:val="none"/>
        </w:rPr>
        <w:t>适用于</w:t>
      </w:r>
      <w:r>
        <w:rPr>
          <w:rFonts w:hint="eastAsia"/>
          <w:highlight w:val="none"/>
          <w:lang w:eastAsia="zh-CN"/>
        </w:rPr>
        <w:t>地下水超采综合治理评估工作和地下水超采区</w:t>
      </w:r>
      <w:r>
        <w:rPr>
          <w:rFonts w:hint="eastAsia"/>
          <w:highlight w:val="none"/>
          <w:lang w:val="en-US" w:eastAsia="zh-CN"/>
        </w:rPr>
        <w:t>复核</w:t>
      </w:r>
      <w:r>
        <w:rPr>
          <w:rFonts w:hint="eastAsia"/>
          <w:highlight w:val="none"/>
          <w:lang w:eastAsia="zh-CN"/>
        </w:rPr>
        <w:t>工作</w:t>
      </w:r>
      <w:r>
        <w:rPr>
          <w:rFonts w:hint="eastAsia"/>
          <w:highlight w:val="none"/>
        </w:rPr>
        <w:t>。</w:t>
      </w:r>
    </w:p>
    <w:p>
      <w:pPr>
        <w:pStyle w:val="2"/>
        <w:pageBreakBefore w:val="0"/>
        <w:widowControl w:val="0"/>
        <w:kinsoku/>
        <w:wordWrap/>
        <w:overflowPunct/>
        <w:topLinePunct w:val="0"/>
        <w:bidi w:val="0"/>
        <w:adjustRightInd w:val="0"/>
        <w:snapToGrid w:val="0"/>
        <w:spacing w:before="156" w:beforeLines="50" w:after="156" w:afterLines="50" w:line="360" w:lineRule="auto"/>
        <w:textAlignment w:val="auto"/>
        <w:rPr>
          <w:rFonts w:ascii="黑体" w:eastAsia="黑体"/>
          <w:kern w:val="0"/>
          <w:sz w:val="24"/>
          <w:szCs w:val="24"/>
          <w:highlight w:val="none"/>
        </w:rPr>
      </w:pPr>
      <w:bookmarkStart w:id="20" w:name="_Toc13443"/>
      <w:bookmarkStart w:id="21" w:name="_Toc24693"/>
      <w:bookmarkStart w:id="22" w:name="_Toc23325"/>
      <w:r>
        <w:rPr>
          <w:rFonts w:hint="eastAsia" w:ascii="黑体" w:eastAsia="黑体"/>
          <w:kern w:val="0"/>
          <w:sz w:val="24"/>
          <w:szCs w:val="24"/>
          <w:highlight w:val="none"/>
        </w:rPr>
        <w:t>2  规范性引用文件</w:t>
      </w:r>
      <w:bookmarkEnd w:id="19"/>
      <w:bookmarkEnd w:id="20"/>
      <w:bookmarkEnd w:id="21"/>
      <w:bookmarkEnd w:id="22"/>
    </w:p>
    <w:p>
      <w:pPr>
        <w:pageBreakBefore w:val="0"/>
        <w:widowControl w:val="0"/>
        <w:kinsoku/>
        <w:wordWrap/>
        <w:overflowPunct/>
        <w:topLinePunct w:val="0"/>
        <w:bidi w:val="0"/>
        <w:adjustRightInd w:val="0"/>
        <w:snapToGrid w:val="0"/>
        <w:spacing w:line="360" w:lineRule="auto"/>
        <w:ind w:firstLine="420" w:firstLineChars="200"/>
        <w:textAlignment w:val="auto"/>
        <w:rPr>
          <w:highlight w:val="none"/>
        </w:rPr>
      </w:pPr>
      <w:r>
        <w:rPr>
          <w:rFonts w:hint="eastAsia"/>
          <w:szCs w:val="21"/>
          <w:highlight w:val="none"/>
        </w:rPr>
        <w:t>下列文件中</w:t>
      </w:r>
      <w:r>
        <w:rPr>
          <w:szCs w:val="21"/>
          <w:highlight w:val="none"/>
        </w:rPr>
        <w:t>的内容通过</w:t>
      </w:r>
      <w:r>
        <w:rPr>
          <w:rFonts w:hint="eastAsia"/>
          <w:szCs w:val="21"/>
          <w:highlight w:val="none"/>
        </w:rPr>
        <w:t>文中</w:t>
      </w:r>
      <w:r>
        <w:rPr>
          <w:szCs w:val="21"/>
          <w:highlight w:val="none"/>
        </w:rPr>
        <w:t>的</w:t>
      </w:r>
      <w:r>
        <w:rPr>
          <w:rFonts w:hint="eastAsia"/>
          <w:szCs w:val="21"/>
          <w:highlight w:val="none"/>
        </w:rPr>
        <w:t>规范性</w:t>
      </w:r>
      <w:r>
        <w:rPr>
          <w:szCs w:val="21"/>
          <w:highlight w:val="none"/>
        </w:rPr>
        <w:t>引用而构成本文件必不可少的条款。其中</w:t>
      </w:r>
      <w:r>
        <w:rPr>
          <w:rFonts w:hint="eastAsia"/>
          <w:szCs w:val="21"/>
          <w:highlight w:val="none"/>
        </w:rPr>
        <w:t>，注日期的引用文件，仅该日期</w:t>
      </w:r>
      <w:r>
        <w:rPr>
          <w:szCs w:val="21"/>
          <w:highlight w:val="none"/>
        </w:rPr>
        <w:t>对应的版本适用于本文件；</w:t>
      </w:r>
      <w:r>
        <w:rPr>
          <w:rFonts w:hint="eastAsia"/>
          <w:szCs w:val="21"/>
          <w:highlight w:val="none"/>
        </w:rPr>
        <w:t>不</w:t>
      </w:r>
      <w:r>
        <w:rPr>
          <w:szCs w:val="21"/>
          <w:highlight w:val="none"/>
        </w:rPr>
        <w:t>注</w:t>
      </w:r>
      <w:r>
        <w:rPr>
          <w:rFonts w:hint="eastAsia"/>
          <w:szCs w:val="21"/>
          <w:highlight w:val="none"/>
        </w:rPr>
        <w:t>日期</w:t>
      </w:r>
      <w:r>
        <w:rPr>
          <w:szCs w:val="21"/>
          <w:highlight w:val="none"/>
        </w:rPr>
        <w:t>的引用文件，其最新版本</w:t>
      </w:r>
      <w:r>
        <w:rPr>
          <w:rFonts w:hint="eastAsia"/>
          <w:szCs w:val="21"/>
          <w:highlight w:val="none"/>
        </w:rPr>
        <w:t>（包括所有的修改单）适用于本文件。</w:t>
      </w:r>
    </w:p>
    <w:p>
      <w:pPr>
        <w:pageBreakBefore w:val="0"/>
        <w:widowControl w:val="0"/>
        <w:kinsoku/>
        <w:wordWrap/>
        <w:overflowPunct/>
        <w:topLinePunct w:val="0"/>
        <w:bidi w:val="0"/>
        <w:adjustRightInd w:val="0"/>
        <w:snapToGrid w:val="0"/>
        <w:spacing w:line="360" w:lineRule="auto"/>
        <w:ind w:firstLine="359" w:firstLineChars="171"/>
        <w:textAlignment w:val="auto"/>
        <w:rPr>
          <w:highlight w:val="none"/>
        </w:rPr>
      </w:pPr>
      <w:r>
        <w:rPr>
          <w:rFonts w:hint="eastAsia"/>
          <w:bCs/>
          <w:snapToGrid w:val="0"/>
          <w:kern w:val="0"/>
          <w:highlight w:val="none"/>
        </w:rPr>
        <w:t>GB/T 34968</w:t>
      </w:r>
      <w:r>
        <w:rPr>
          <w:bCs/>
          <w:snapToGrid w:val="0"/>
          <w:kern w:val="0"/>
          <w:highlight w:val="none"/>
        </w:rPr>
        <w:t xml:space="preserve">  </w:t>
      </w:r>
      <w:r>
        <w:rPr>
          <w:rFonts w:hint="eastAsia"/>
          <w:bCs/>
          <w:snapToGrid w:val="0"/>
          <w:kern w:val="0"/>
          <w:highlight w:val="none"/>
        </w:rPr>
        <w:t>地下水超采区评价导则</w:t>
      </w:r>
    </w:p>
    <w:p>
      <w:pPr>
        <w:pageBreakBefore w:val="0"/>
        <w:widowControl w:val="0"/>
        <w:kinsoku/>
        <w:wordWrap/>
        <w:overflowPunct/>
        <w:topLinePunct w:val="0"/>
        <w:bidi w:val="0"/>
        <w:adjustRightInd w:val="0"/>
        <w:snapToGrid w:val="0"/>
        <w:spacing w:line="360" w:lineRule="auto"/>
        <w:ind w:firstLine="359" w:firstLineChars="171"/>
        <w:textAlignment w:val="auto"/>
        <w:rPr>
          <w:highlight w:val="none"/>
        </w:rPr>
      </w:pPr>
      <w:r>
        <w:rPr>
          <w:rFonts w:hint="eastAsia"/>
          <w:highlight w:val="none"/>
        </w:rPr>
        <w:t>GB 50027  供水水文地质勘察规范</w:t>
      </w:r>
    </w:p>
    <w:p>
      <w:pPr>
        <w:pageBreakBefore w:val="0"/>
        <w:widowControl w:val="0"/>
        <w:kinsoku/>
        <w:wordWrap/>
        <w:overflowPunct/>
        <w:topLinePunct w:val="0"/>
        <w:bidi w:val="0"/>
        <w:adjustRightInd w:val="0"/>
        <w:snapToGrid w:val="0"/>
        <w:spacing w:line="360" w:lineRule="auto"/>
        <w:ind w:firstLine="359" w:firstLineChars="171"/>
        <w:textAlignment w:val="auto"/>
        <w:rPr>
          <w:highlight w:val="none"/>
        </w:rPr>
      </w:pPr>
      <w:r>
        <w:rPr>
          <w:rFonts w:hint="eastAsia"/>
          <w:bCs/>
          <w:snapToGrid w:val="0"/>
          <w:kern w:val="0"/>
          <w:highlight w:val="none"/>
        </w:rPr>
        <w:t>GB/T 51040   地下水监测工程技术规范</w:t>
      </w:r>
      <w:r>
        <w:rPr>
          <w:highlight w:val="none"/>
        </w:rPr>
        <w:t xml:space="preserve">   </w:t>
      </w:r>
      <w:r>
        <w:rPr>
          <w:rFonts w:hint="eastAsia"/>
          <w:highlight w:val="none"/>
        </w:rPr>
        <w:t xml:space="preserve"> </w:t>
      </w:r>
    </w:p>
    <w:p>
      <w:pPr>
        <w:pStyle w:val="2"/>
        <w:pageBreakBefore w:val="0"/>
        <w:widowControl w:val="0"/>
        <w:kinsoku/>
        <w:wordWrap/>
        <w:overflowPunct/>
        <w:topLinePunct w:val="0"/>
        <w:bidi w:val="0"/>
        <w:adjustRightInd w:val="0"/>
        <w:snapToGrid w:val="0"/>
        <w:spacing w:before="156" w:beforeLines="50" w:after="156" w:afterLines="50" w:line="360" w:lineRule="auto"/>
        <w:textAlignment w:val="auto"/>
        <w:rPr>
          <w:rFonts w:ascii="黑体" w:eastAsia="黑体"/>
          <w:kern w:val="0"/>
          <w:sz w:val="24"/>
          <w:szCs w:val="24"/>
          <w:highlight w:val="none"/>
        </w:rPr>
      </w:pPr>
      <w:bookmarkStart w:id="23" w:name="_Toc3851"/>
      <w:bookmarkStart w:id="24" w:name="_Toc13078"/>
      <w:bookmarkStart w:id="25" w:name="_Toc2296"/>
      <w:r>
        <w:rPr>
          <w:rFonts w:hint="eastAsia" w:ascii="黑体" w:eastAsia="黑体"/>
          <w:kern w:val="0"/>
          <w:sz w:val="24"/>
          <w:szCs w:val="24"/>
          <w:highlight w:val="none"/>
        </w:rPr>
        <w:t>3  术语和定义</w:t>
      </w:r>
      <w:bookmarkEnd w:id="23"/>
      <w:bookmarkEnd w:id="24"/>
      <w:bookmarkEnd w:id="25"/>
    </w:p>
    <w:p>
      <w:pPr>
        <w:pageBreakBefore w:val="0"/>
        <w:widowControl w:val="0"/>
        <w:kinsoku/>
        <w:wordWrap/>
        <w:overflowPunct/>
        <w:topLinePunct w:val="0"/>
        <w:bidi w:val="0"/>
        <w:adjustRightInd w:val="0"/>
        <w:snapToGrid w:val="0"/>
        <w:spacing w:line="360" w:lineRule="auto"/>
        <w:ind w:left="360"/>
        <w:textAlignment w:val="auto"/>
        <w:rPr>
          <w:highlight w:val="none"/>
        </w:rPr>
      </w:pPr>
      <w:r>
        <w:rPr>
          <w:rFonts w:hint="eastAsia"/>
          <w:highlight w:val="none"/>
        </w:rPr>
        <w:t>G</w:t>
      </w:r>
      <w:r>
        <w:rPr>
          <w:highlight w:val="none"/>
        </w:rPr>
        <w:t>B/T 34968</w:t>
      </w:r>
      <w:r>
        <w:rPr>
          <w:rFonts w:hint="eastAsia"/>
          <w:highlight w:val="none"/>
        </w:rPr>
        <w:t>界定的以及下列术语和定义适用于本文件。</w:t>
      </w:r>
    </w:p>
    <w:p>
      <w:pPr>
        <w:keepNext w:val="0"/>
        <w:keepLines w:val="0"/>
        <w:pageBreakBefore w:val="0"/>
        <w:widowControl w:val="0"/>
        <w:kinsoku/>
        <w:wordWrap/>
        <w:overflowPunct/>
        <w:topLinePunct w:val="0"/>
        <w:autoSpaceDE w:val="0"/>
        <w:autoSpaceDN w:val="0"/>
        <w:bidi w:val="0"/>
        <w:adjustRightInd w:val="0"/>
        <w:snapToGrid w:val="0"/>
        <w:spacing w:line="360" w:lineRule="auto"/>
        <w:jc w:val="left"/>
        <w:textAlignment w:val="auto"/>
        <w:outlineLvl w:val="9"/>
        <w:rPr>
          <w:b/>
          <w:highlight w:val="none"/>
        </w:rPr>
      </w:pPr>
      <w:bookmarkStart w:id="26" w:name="_Toc6894"/>
      <w:bookmarkStart w:id="27" w:name="_Toc345"/>
      <w:r>
        <w:rPr>
          <w:rFonts w:hint="eastAsia" w:ascii="黑体" w:eastAsia="黑体"/>
          <w:highlight w:val="none"/>
        </w:rPr>
        <w:t>3.</w:t>
      </w:r>
      <w:r>
        <w:rPr>
          <w:rFonts w:hint="eastAsia" w:ascii="黑体" w:eastAsia="黑体"/>
          <w:highlight w:val="none"/>
          <w:lang w:val="en-US" w:eastAsia="zh-CN"/>
        </w:rPr>
        <w:t>1</w:t>
      </w:r>
      <w:bookmarkEnd w:id="26"/>
      <w:bookmarkEnd w:id="27"/>
      <w:r>
        <w:rPr>
          <w:rFonts w:hint="eastAsia"/>
          <w:b/>
          <w:highlight w:val="none"/>
        </w:rPr>
        <w:t xml:space="preserve">  </w:t>
      </w:r>
    </w:p>
    <w:p>
      <w:pPr>
        <w:pageBreakBefore w:val="0"/>
        <w:widowControl w:val="0"/>
        <w:kinsoku/>
        <w:wordWrap/>
        <w:overflowPunct/>
        <w:topLinePunct w:val="0"/>
        <w:autoSpaceDE w:val="0"/>
        <w:autoSpaceDN w:val="0"/>
        <w:bidi w:val="0"/>
        <w:adjustRightInd w:val="0"/>
        <w:snapToGrid w:val="0"/>
        <w:spacing w:line="360" w:lineRule="auto"/>
        <w:ind w:firstLine="422" w:firstLineChars="200"/>
        <w:jc w:val="left"/>
        <w:textAlignment w:val="auto"/>
        <w:rPr>
          <w:b/>
          <w:highlight w:val="none"/>
        </w:rPr>
      </w:pPr>
      <w:r>
        <w:rPr>
          <w:rFonts w:hint="eastAsia"/>
          <w:b/>
          <w:highlight w:val="none"/>
        </w:rPr>
        <w:t>地下水埋深 depth to groundwater table</w:t>
      </w:r>
    </w:p>
    <w:p>
      <w:pPr>
        <w:pageBreakBefore w:val="0"/>
        <w:widowControl w:val="0"/>
        <w:kinsoku/>
        <w:wordWrap/>
        <w:overflowPunct/>
        <w:topLinePunct w:val="0"/>
        <w:autoSpaceDE w:val="0"/>
        <w:autoSpaceDN w:val="0"/>
        <w:bidi w:val="0"/>
        <w:adjustRightInd w:val="0"/>
        <w:snapToGrid w:val="0"/>
        <w:spacing w:line="360" w:lineRule="auto"/>
        <w:ind w:firstLine="420" w:firstLineChars="200"/>
        <w:jc w:val="left"/>
        <w:textAlignment w:val="auto"/>
        <w:rPr>
          <w:rFonts w:hint="eastAsia" w:ascii="Times New Roman" w:hAnsi="Times New Roman" w:eastAsia="宋体" w:cs="Times New Roman"/>
          <w:bCs/>
          <w:snapToGrid w:val="0"/>
          <w:kern w:val="0"/>
          <w:sz w:val="21"/>
          <w:szCs w:val="20"/>
          <w:highlight w:val="none"/>
          <w:lang w:val="en-US" w:eastAsia="zh-CN" w:bidi="ar-SA"/>
        </w:rPr>
      </w:pPr>
      <w:r>
        <w:rPr>
          <w:rFonts w:hint="eastAsia" w:ascii="Times New Roman" w:hAnsi="Times New Roman" w:eastAsia="宋体" w:cs="Times New Roman"/>
          <w:bCs/>
          <w:snapToGrid w:val="0"/>
          <w:kern w:val="0"/>
          <w:sz w:val="21"/>
          <w:szCs w:val="20"/>
          <w:highlight w:val="none"/>
          <w:lang w:val="en-US" w:eastAsia="zh-CN" w:bidi="ar-SA"/>
        </w:rPr>
        <w:t>地下水自由水面至地面的距离。</w:t>
      </w:r>
    </w:p>
    <w:p>
      <w:pPr>
        <w:keepNext w:val="0"/>
        <w:keepLines w:val="0"/>
        <w:pageBreakBefore w:val="0"/>
        <w:widowControl w:val="0"/>
        <w:kinsoku/>
        <w:wordWrap/>
        <w:overflowPunct/>
        <w:topLinePunct w:val="0"/>
        <w:autoSpaceDE w:val="0"/>
        <w:autoSpaceDN w:val="0"/>
        <w:bidi w:val="0"/>
        <w:adjustRightInd w:val="0"/>
        <w:snapToGrid w:val="0"/>
        <w:spacing w:line="360" w:lineRule="auto"/>
        <w:jc w:val="left"/>
        <w:textAlignment w:val="auto"/>
        <w:outlineLvl w:val="9"/>
        <w:rPr>
          <w:b/>
          <w:highlight w:val="none"/>
        </w:rPr>
      </w:pPr>
      <w:r>
        <w:rPr>
          <w:rFonts w:hint="eastAsia" w:ascii="黑体" w:eastAsia="黑体"/>
          <w:highlight w:val="none"/>
        </w:rPr>
        <w:t>3.</w:t>
      </w:r>
      <w:r>
        <w:rPr>
          <w:rFonts w:hint="eastAsia" w:ascii="黑体" w:eastAsia="黑体"/>
          <w:highlight w:val="none"/>
          <w:lang w:val="en-US" w:eastAsia="zh-CN"/>
        </w:rPr>
        <w:t>2</w:t>
      </w:r>
      <w:r>
        <w:rPr>
          <w:rFonts w:hint="eastAsia"/>
          <w:b/>
          <w:highlight w:val="none"/>
        </w:rPr>
        <w:t xml:space="preserve">  </w:t>
      </w:r>
    </w:p>
    <w:p>
      <w:pPr>
        <w:pageBreakBefore w:val="0"/>
        <w:widowControl w:val="0"/>
        <w:kinsoku/>
        <w:wordWrap/>
        <w:overflowPunct/>
        <w:topLinePunct w:val="0"/>
        <w:autoSpaceDE w:val="0"/>
        <w:autoSpaceDN w:val="0"/>
        <w:bidi w:val="0"/>
        <w:adjustRightInd w:val="0"/>
        <w:snapToGrid w:val="0"/>
        <w:spacing w:line="360" w:lineRule="auto"/>
        <w:ind w:firstLine="422" w:firstLineChars="200"/>
        <w:jc w:val="left"/>
        <w:textAlignment w:val="auto"/>
        <w:rPr>
          <w:b/>
          <w:highlight w:val="none"/>
        </w:rPr>
      </w:pPr>
      <w:r>
        <w:rPr>
          <w:rFonts w:hint="eastAsia"/>
          <w:b/>
          <w:highlight w:val="none"/>
        </w:rPr>
        <w:t>地下水</w:t>
      </w:r>
      <w:r>
        <w:rPr>
          <w:rFonts w:hint="eastAsia"/>
          <w:b/>
          <w:highlight w:val="none"/>
          <w:lang w:val="en-US" w:eastAsia="zh-CN"/>
        </w:rPr>
        <w:t>水位</w:t>
      </w:r>
      <w:r>
        <w:rPr>
          <w:rFonts w:hint="eastAsia"/>
          <w:b/>
          <w:highlight w:val="none"/>
        </w:rPr>
        <w:t xml:space="preserve"> groundwater level</w:t>
      </w:r>
    </w:p>
    <w:p>
      <w:pPr>
        <w:pageBreakBefore w:val="0"/>
        <w:widowControl w:val="0"/>
        <w:kinsoku/>
        <w:wordWrap/>
        <w:overflowPunct/>
        <w:topLinePunct w:val="0"/>
        <w:autoSpaceDE w:val="0"/>
        <w:autoSpaceDN w:val="0"/>
        <w:bidi w:val="0"/>
        <w:adjustRightInd w:val="0"/>
        <w:snapToGrid w:val="0"/>
        <w:spacing w:line="360" w:lineRule="auto"/>
        <w:ind w:firstLine="420" w:firstLineChars="200"/>
        <w:jc w:val="left"/>
        <w:textAlignment w:val="auto"/>
        <w:rPr>
          <w:bCs/>
          <w:snapToGrid w:val="0"/>
          <w:kern w:val="0"/>
          <w:highlight w:val="none"/>
        </w:rPr>
      </w:pPr>
      <w:r>
        <w:rPr>
          <w:rFonts w:hint="eastAsia" w:ascii="Times New Roman" w:hAnsi="Times New Roman" w:eastAsia="宋体" w:cs="Times New Roman"/>
          <w:bCs/>
          <w:snapToGrid w:val="0"/>
          <w:kern w:val="0"/>
          <w:sz w:val="21"/>
          <w:szCs w:val="20"/>
          <w:highlight w:val="none"/>
          <w:lang w:val="en-US" w:eastAsia="zh-CN" w:bidi="ar-SA"/>
        </w:rPr>
        <w:t>监测井中地下水自由水面的高程。</w:t>
      </w:r>
    </w:p>
    <w:p>
      <w:pPr>
        <w:pageBreakBefore w:val="0"/>
        <w:widowControl w:val="0"/>
        <w:kinsoku/>
        <w:wordWrap/>
        <w:overflowPunct/>
        <w:topLinePunct w:val="0"/>
        <w:autoSpaceDE w:val="0"/>
        <w:autoSpaceDN w:val="0"/>
        <w:bidi w:val="0"/>
        <w:adjustRightInd w:val="0"/>
        <w:snapToGrid w:val="0"/>
        <w:spacing w:line="360" w:lineRule="auto"/>
        <w:jc w:val="left"/>
        <w:textAlignment w:val="auto"/>
        <w:rPr>
          <w:b/>
          <w:highlight w:val="none"/>
        </w:rPr>
      </w:pPr>
      <w:r>
        <w:rPr>
          <w:rFonts w:hint="eastAsia" w:ascii="黑体" w:eastAsia="黑体"/>
          <w:highlight w:val="none"/>
        </w:rPr>
        <w:t>3.</w:t>
      </w:r>
      <w:r>
        <w:rPr>
          <w:rFonts w:hint="eastAsia" w:ascii="黑体" w:eastAsia="黑体"/>
          <w:highlight w:val="none"/>
          <w:lang w:val="en-US" w:eastAsia="zh-CN"/>
        </w:rPr>
        <w:t>3</w:t>
      </w:r>
      <w:r>
        <w:rPr>
          <w:rFonts w:hint="eastAsia"/>
          <w:b/>
          <w:highlight w:val="none"/>
        </w:rPr>
        <w:t xml:space="preserve">  </w:t>
      </w:r>
    </w:p>
    <w:p>
      <w:pPr>
        <w:pageBreakBefore w:val="0"/>
        <w:widowControl w:val="0"/>
        <w:kinsoku/>
        <w:wordWrap/>
        <w:overflowPunct/>
        <w:topLinePunct w:val="0"/>
        <w:autoSpaceDE w:val="0"/>
        <w:autoSpaceDN w:val="0"/>
        <w:bidi w:val="0"/>
        <w:adjustRightInd w:val="0"/>
        <w:snapToGrid w:val="0"/>
        <w:spacing w:line="360" w:lineRule="auto"/>
        <w:ind w:firstLine="422" w:firstLineChars="200"/>
        <w:jc w:val="left"/>
        <w:textAlignment w:val="auto"/>
        <w:rPr>
          <w:b/>
          <w:highlight w:val="none"/>
        </w:rPr>
      </w:pPr>
      <w:r>
        <w:rPr>
          <w:rFonts w:hint="eastAsia"/>
          <w:b/>
          <w:highlight w:val="none"/>
        </w:rPr>
        <w:t>水文地质条件  hydrogeological condition</w:t>
      </w:r>
    </w:p>
    <w:p>
      <w:pPr>
        <w:pageBreakBefore w:val="0"/>
        <w:widowControl w:val="0"/>
        <w:kinsoku/>
        <w:wordWrap/>
        <w:overflowPunct/>
        <w:topLinePunct w:val="0"/>
        <w:autoSpaceDE w:val="0"/>
        <w:autoSpaceDN w:val="0"/>
        <w:bidi w:val="0"/>
        <w:adjustRightInd w:val="0"/>
        <w:snapToGrid w:val="0"/>
        <w:spacing w:line="360" w:lineRule="auto"/>
        <w:ind w:firstLine="420" w:firstLineChars="200"/>
        <w:jc w:val="left"/>
        <w:textAlignment w:val="auto"/>
        <w:rPr>
          <w:bCs/>
          <w:snapToGrid w:val="0"/>
          <w:kern w:val="0"/>
          <w:highlight w:val="none"/>
        </w:rPr>
      </w:pPr>
      <w:r>
        <w:rPr>
          <w:rFonts w:hint="eastAsia"/>
          <w:bCs/>
          <w:snapToGrid w:val="0"/>
          <w:kern w:val="0"/>
          <w:highlight w:val="none"/>
        </w:rPr>
        <w:t>地下水的埋藏、分布﹑补给﹑径流和排泄条件，水量和水质及其形成地质条件的总称。</w:t>
      </w:r>
    </w:p>
    <w:p>
      <w:pPr>
        <w:pageBreakBefore w:val="0"/>
        <w:widowControl w:val="0"/>
        <w:kinsoku/>
        <w:wordWrap/>
        <w:overflowPunct/>
        <w:topLinePunct w:val="0"/>
        <w:autoSpaceDE w:val="0"/>
        <w:autoSpaceDN w:val="0"/>
        <w:bidi w:val="0"/>
        <w:adjustRightInd w:val="0"/>
        <w:snapToGrid w:val="0"/>
        <w:spacing w:line="360" w:lineRule="auto"/>
        <w:jc w:val="left"/>
        <w:textAlignment w:val="auto"/>
        <w:rPr>
          <w:b/>
          <w:highlight w:val="none"/>
        </w:rPr>
      </w:pPr>
      <w:r>
        <w:rPr>
          <w:rFonts w:hint="eastAsia" w:ascii="黑体" w:eastAsia="黑体"/>
          <w:highlight w:val="none"/>
        </w:rPr>
        <w:t>3.</w:t>
      </w:r>
      <w:r>
        <w:rPr>
          <w:rFonts w:hint="eastAsia" w:ascii="黑体" w:eastAsia="黑体"/>
          <w:highlight w:val="none"/>
          <w:lang w:val="en-US" w:eastAsia="zh-CN"/>
        </w:rPr>
        <w:t>4</w:t>
      </w:r>
      <w:r>
        <w:rPr>
          <w:rFonts w:hint="eastAsia"/>
          <w:b/>
          <w:highlight w:val="none"/>
        </w:rPr>
        <w:t xml:space="preserve">  </w:t>
      </w:r>
    </w:p>
    <w:p>
      <w:pPr>
        <w:pageBreakBefore w:val="0"/>
        <w:widowControl w:val="0"/>
        <w:kinsoku/>
        <w:wordWrap/>
        <w:overflowPunct/>
        <w:topLinePunct w:val="0"/>
        <w:autoSpaceDE w:val="0"/>
        <w:autoSpaceDN w:val="0"/>
        <w:bidi w:val="0"/>
        <w:adjustRightInd w:val="0"/>
        <w:snapToGrid w:val="0"/>
        <w:spacing w:line="360" w:lineRule="auto"/>
        <w:ind w:firstLine="422" w:firstLineChars="200"/>
        <w:jc w:val="left"/>
        <w:textAlignment w:val="auto"/>
        <w:rPr>
          <w:b/>
          <w:highlight w:val="none"/>
        </w:rPr>
      </w:pPr>
      <w:r>
        <w:rPr>
          <w:rFonts w:hint="eastAsia"/>
          <w:b/>
          <w:highlight w:val="none"/>
        </w:rPr>
        <w:t>地下水超采综合治理 comprehensive treatment of groundwater overexploitation</w:t>
      </w:r>
    </w:p>
    <w:p>
      <w:pPr>
        <w:pageBreakBefore w:val="0"/>
        <w:widowControl w:val="0"/>
        <w:kinsoku/>
        <w:wordWrap/>
        <w:overflowPunct/>
        <w:topLinePunct w:val="0"/>
        <w:autoSpaceDE w:val="0"/>
        <w:autoSpaceDN w:val="0"/>
        <w:bidi w:val="0"/>
        <w:adjustRightInd w:val="0"/>
        <w:snapToGrid w:val="0"/>
        <w:spacing w:line="360" w:lineRule="auto"/>
        <w:ind w:firstLine="420" w:firstLineChars="200"/>
        <w:jc w:val="left"/>
        <w:textAlignment w:val="auto"/>
        <w:rPr>
          <w:bCs/>
          <w:snapToGrid w:val="0"/>
          <w:kern w:val="0"/>
          <w:highlight w:val="none"/>
        </w:rPr>
      </w:pPr>
      <w:r>
        <w:rPr>
          <w:rFonts w:hint="eastAsia"/>
          <w:bCs/>
          <w:snapToGrid w:val="0"/>
          <w:kern w:val="0"/>
          <w:highlight w:val="none"/>
        </w:rPr>
        <w:t>通过</w:t>
      </w:r>
      <w:r>
        <w:rPr>
          <w:rFonts w:hint="eastAsia"/>
          <w:bCs/>
          <w:snapToGrid w:val="0"/>
          <w:kern w:val="0"/>
          <w:highlight w:val="none"/>
          <w:lang w:val="en-US" w:eastAsia="zh-CN"/>
        </w:rPr>
        <w:t>实施节水控水、引水调水、生态补水、水源置换、强化监管</w:t>
      </w:r>
      <w:r>
        <w:rPr>
          <w:rFonts w:hint="eastAsia"/>
          <w:bCs/>
          <w:snapToGrid w:val="0"/>
          <w:kern w:val="0"/>
          <w:highlight w:val="none"/>
        </w:rPr>
        <w:t>等综合措施，对地下水超采进行治理。</w:t>
      </w:r>
    </w:p>
    <w:p>
      <w:pPr>
        <w:pageBreakBefore w:val="0"/>
        <w:widowControl w:val="0"/>
        <w:kinsoku/>
        <w:wordWrap/>
        <w:overflowPunct/>
        <w:topLinePunct w:val="0"/>
        <w:autoSpaceDE w:val="0"/>
        <w:autoSpaceDN w:val="0"/>
        <w:bidi w:val="0"/>
        <w:adjustRightInd w:val="0"/>
        <w:snapToGrid w:val="0"/>
        <w:spacing w:line="360" w:lineRule="auto"/>
        <w:jc w:val="left"/>
        <w:textAlignment w:val="auto"/>
        <w:rPr>
          <w:b/>
          <w:highlight w:val="none"/>
        </w:rPr>
      </w:pPr>
      <w:r>
        <w:rPr>
          <w:rFonts w:hint="eastAsia" w:ascii="黑体" w:eastAsia="黑体"/>
          <w:highlight w:val="none"/>
        </w:rPr>
        <w:t>3.</w:t>
      </w:r>
      <w:r>
        <w:rPr>
          <w:rFonts w:hint="eastAsia" w:ascii="黑体" w:eastAsia="黑体"/>
          <w:highlight w:val="none"/>
          <w:lang w:val="en-US" w:eastAsia="zh-CN"/>
        </w:rPr>
        <w:t>5</w:t>
      </w:r>
      <w:r>
        <w:rPr>
          <w:rFonts w:hint="eastAsia"/>
          <w:b/>
          <w:highlight w:val="none"/>
        </w:rPr>
        <w:t xml:space="preserve">  </w:t>
      </w:r>
    </w:p>
    <w:p>
      <w:pPr>
        <w:pageBreakBefore w:val="0"/>
        <w:widowControl w:val="0"/>
        <w:kinsoku/>
        <w:wordWrap/>
        <w:overflowPunct/>
        <w:topLinePunct w:val="0"/>
        <w:autoSpaceDE w:val="0"/>
        <w:autoSpaceDN w:val="0"/>
        <w:bidi w:val="0"/>
        <w:adjustRightInd w:val="0"/>
        <w:snapToGrid w:val="0"/>
        <w:spacing w:line="360" w:lineRule="auto"/>
        <w:ind w:firstLine="422" w:firstLineChars="200"/>
        <w:jc w:val="left"/>
        <w:textAlignment w:val="auto"/>
        <w:rPr>
          <w:b/>
          <w:highlight w:val="none"/>
        </w:rPr>
      </w:pPr>
      <w:r>
        <w:rPr>
          <w:rFonts w:hint="eastAsia"/>
          <w:b/>
          <w:highlight w:val="none"/>
        </w:rPr>
        <w:t>地下水压采量 decrement of groundwater extraction</w:t>
      </w:r>
    </w:p>
    <w:p>
      <w:pPr>
        <w:pageBreakBefore w:val="0"/>
        <w:widowControl w:val="0"/>
        <w:kinsoku/>
        <w:wordWrap/>
        <w:overflowPunct/>
        <w:topLinePunct w:val="0"/>
        <w:autoSpaceDE w:val="0"/>
        <w:autoSpaceDN w:val="0"/>
        <w:bidi w:val="0"/>
        <w:adjustRightInd w:val="0"/>
        <w:snapToGrid w:val="0"/>
        <w:spacing w:line="360" w:lineRule="auto"/>
        <w:ind w:firstLine="420" w:firstLineChars="200"/>
        <w:jc w:val="left"/>
        <w:textAlignment w:val="auto"/>
        <w:rPr>
          <w:rFonts w:hint="eastAsia"/>
          <w:bCs/>
          <w:snapToGrid w:val="0"/>
          <w:kern w:val="0"/>
          <w:highlight w:val="none"/>
        </w:rPr>
      </w:pPr>
      <w:r>
        <w:rPr>
          <w:rFonts w:hint="eastAsia"/>
          <w:bCs/>
          <w:snapToGrid w:val="0"/>
          <w:kern w:val="0"/>
          <w:highlight w:val="none"/>
        </w:rPr>
        <w:t>在一定时期内，</w:t>
      </w:r>
      <w:r>
        <w:rPr>
          <w:rFonts w:hint="eastAsia"/>
          <w:bCs/>
          <w:snapToGrid w:val="0"/>
          <w:kern w:val="0"/>
          <w:highlight w:val="none"/>
          <w:lang w:val="en-US" w:eastAsia="zh-CN"/>
        </w:rPr>
        <w:t>由于实施</w:t>
      </w:r>
      <w:r>
        <w:rPr>
          <w:rFonts w:hint="eastAsia"/>
          <w:bCs/>
          <w:snapToGrid w:val="0"/>
          <w:kern w:val="0"/>
          <w:highlight w:val="none"/>
        </w:rPr>
        <w:t>地下水超采综合治理</w:t>
      </w:r>
      <w:r>
        <w:rPr>
          <w:rFonts w:hint="eastAsia"/>
          <w:bCs/>
          <w:snapToGrid w:val="0"/>
          <w:kern w:val="0"/>
          <w:highlight w:val="none"/>
          <w:lang w:val="en-US" w:eastAsia="zh-CN"/>
        </w:rPr>
        <w:t>措施</w:t>
      </w:r>
      <w:r>
        <w:rPr>
          <w:rFonts w:hint="eastAsia"/>
          <w:bCs/>
          <w:snapToGrid w:val="0"/>
          <w:kern w:val="0"/>
          <w:highlight w:val="none"/>
        </w:rPr>
        <w:t>，地下水超采区</w:t>
      </w:r>
      <w:r>
        <w:rPr>
          <w:rFonts w:hint="eastAsia"/>
          <w:bCs/>
          <w:snapToGrid w:val="0"/>
          <w:kern w:val="0"/>
          <w:highlight w:val="none"/>
          <w:lang w:val="en-US" w:eastAsia="zh-CN"/>
        </w:rPr>
        <w:t>在平水年条件下</w:t>
      </w:r>
      <w:r>
        <w:rPr>
          <w:rFonts w:hint="eastAsia"/>
          <w:bCs/>
          <w:snapToGrid w:val="0"/>
          <w:kern w:val="0"/>
          <w:highlight w:val="none"/>
        </w:rPr>
        <w:t>地下水开采量的减少值。</w:t>
      </w:r>
    </w:p>
    <w:p>
      <w:pPr>
        <w:pageBreakBefore w:val="0"/>
        <w:widowControl w:val="0"/>
        <w:kinsoku/>
        <w:wordWrap/>
        <w:overflowPunct/>
        <w:topLinePunct w:val="0"/>
        <w:autoSpaceDE w:val="0"/>
        <w:autoSpaceDN w:val="0"/>
        <w:bidi w:val="0"/>
        <w:adjustRightInd w:val="0"/>
        <w:snapToGrid w:val="0"/>
        <w:spacing w:line="360" w:lineRule="auto"/>
        <w:jc w:val="left"/>
        <w:textAlignment w:val="auto"/>
        <w:rPr>
          <w:b/>
          <w:highlight w:val="none"/>
        </w:rPr>
      </w:pPr>
      <w:r>
        <w:rPr>
          <w:rFonts w:hint="eastAsia" w:ascii="黑体" w:eastAsia="黑体"/>
          <w:highlight w:val="none"/>
        </w:rPr>
        <w:t>3.</w:t>
      </w:r>
      <w:r>
        <w:rPr>
          <w:rFonts w:hint="eastAsia" w:ascii="黑体" w:eastAsia="黑体"/>
          <w:highlight w:val="none"/>
          <w:lang w:val="en-US" w:eastAsia="zh-CN"/>
        </w:rPr>
        <w:t>6</w:t>
      </w:r>
      <w:r>
        <w:rPr>
          <w:rFonts w:hint="eastAsia"/>
          <w:b/>
          <w:highlight w:val="none"/>
        </w:rPr>
        <w:t xml:space="preserve">  </w:t>
      </w:r>
    </w:p>
    <w:p>
      <w:pPr>
        <w:pageBreakBefore w:val="0"/>
        <w:widowControl w:val="0"/>
        <w:kinsoku/>
        <w:wordWrap/>
        <w:overflowPunct/>
        <w:topLinePunct w:val="0"/>
        <w:autoSpaceDE w:val="0"/>
        <w:autoSpaceDN w:val="0"/>
        <w:bidi w:val="0"/>
        <w:adjustRightInd w:val="0"/>
        <w:snapToGrid w:val="0"/>
        <w:spacing w:line="360" w:lineRule="auto"/>
        <w:ind w:firstLine="422" w:firstLineChars="200"/>
        <w:jc w:val="left"/>
        <w:textAlignment w:val="auto"/>
        <w:rPr>
          <w:b/>
          <w:highlight w:val="none"/>
        </w:rPr>
      </w:pPr>
      <w:r>
        <w:rPr>
          <w:rFonts w:hint="eastAsia"/>
          <w:b/>
          <w:highlight w:val="none"/>
        </w:rPr>
        <w:t>地下水压采</w:t>
      </w:r>
      <w:r>
        <w:rPr>
          <w:rFonts w:hint="eastAsia"/>
          <w:b/>
          <w:highlight w:val="none"/>
          <w:lang w:val="en-US" w:eastAsia="zh-CN"/>
        </w:rPr>
        <w:t>能力</w:t>
      </w:r>
      <w:r>
        <w:rPr>
          <w:rFonts w:hint="eastAsia"/>
          <w:b/>
          <w:highlight w:val="none"/>
        </w:rPr>
        <w:t xml:space="preserve"> decrement</w:t>
      </w:r>
      <w:r>
        <w:rPr>
          <w:rFonts w:hint="eastAsia"/>
          <w:b/>
          <w:highlight w:val="none"/>
          <w:lang w:val="en-US" w:eastAsia="zh-CN"/>
        </w:rPr>
        <w:t xml:space="preserve"> ability </w:t>
      </w:r>
      <w:r>
        <w:rPr>
          <w:rFonts w:hint="eastAsia"/>
          <w:b/>
          <w:highlight w:val="none"/>
        </w:rPr>
        <w:t>of groundwater extraction</w:t>
      </w:r>
    </w:p>
    <w:p>
      <w:pPr>
        <w:pageBreakBefore w:val="0"/>
        <w:widowControl w:val="0"/>
        <w:kinsoku/>
        <w:wordWrap/>
        <w:overflowPunct/>
        <w:topLinePunct w:val="0"/>
        <w:autoSpaceDE w:val="0"/>
        <w:autoSpaceDN w:val="0"/>
        <w:bidi w:val="0"/>
        <w:adjustRightInd w:val="0"/>
        <w:snapToGrid w:val="0"/>
        <w:spacing w:line="360" w:lineRule="auto"/>
        <w:ind w:firstLine="420" w:firstLineChars="200"/>
        <w:jc w:val="left"/>
        <w:textAlignment w:val="auto"/>
        <w:rPr>
          <w:rFonts w:hint="eastAsia"/>
          <w:bCs/>
          <w:snapToGrid w:val="0"/>
          <w:kern w:val="0"/>
          <w:highlight w:val="none"/>
        </w:rPr>
      </w:pPr>
      <w:r>
        <w:rPr>
          <w:rFonts w:hint="eastAsia"/>
          <w:bCs/>
          <w:snapToGrid w:val="0"/>
          <w:kern w:val="0"/>
          <w:highlight w:val="none"/>
        </w:rPr>
        <w:t>在一定时期内，通过</w:t>
      </w:r>
      <w:r>
        <w:rPr>
          <w:rFonts w:hint="eastAsia"/>
          <w:bCs/>
          <w:snapToGrid w:val="0"/>
          <w:kern w:val="0"/>
          <w:highlight w:val="none"/>
          <w:lang w:val="en-US" w:eastAsia="zh-CN"/>
        </w:rPr>
        <w:t>实施各项</w:t>
      </w:r>
      <w:r>
        <w:rPr>
          <w:rFonts w:hint="eastAsia"/>
          <w:bCs/>
          <w:snapToGrid w:val="0"/>
          <w:kern w:val="0"/>
          <w:highlight w:val="none"/>
        </w:rPr>
        <w:t>地下水超采综合治理</w:t>
      </w:r>
      <w:r>
        <w:rPr>
          <w:rFonts w:hint="eastAsia"/>
          <w:bCs/>
          <w:snapToGrid w:val="0"/>
          <w:kern w:val="0"/>
          <w:highlight w:val="none"/>
          <w:lang w:val="en-US" w:eastAsia="zh-CN"/>
        </w:rPr>
        <w:t>措施，</w:t>
      </w:r>
      <w:r>
        <w:rPr>
          <w:rFonts w:hint="eastAsia"/>
          <w:bCs/>
          <w:snapToGrid w:val="0"/>
          <w:kern w:val="0"/>
          <w:highlight w:val="none"/>
        </w:rPr>
        <w:t>形成的压减地下水开采量的能力。</w:t>
      </w:r>
    </w:p>
    <w:p>
      <w:pPr>
        <w:pageBreakBefore w:val="0"/>
        <w:widowControl w:val="0"/>
        <w:kinsoku/>
        <w:wordWrap/>
        <w:overflowPunct/>
        <w:topLinePunct w:val="0"/>
        <w:autoSpaceDE w:val="0"/>
        <w:autoSpaceDN w:val="0"/>
        <w:bidi w:val="0"/>
        <w:adjustRightInd w:val="0"/>
        <w:snapToGrid w:val="0"/>
        <w:spacing w:line="360" w:lineRule="auto"/>
        <w:ind w:firstLine="420" w:firstLineChars="200"/>
        <w:jc w:val="left"/>
        <w:textAlignment w:val="auto"/>
        <w:rPr>
          <w:rFonts w:hint="eastAsia"/>
          <w:bCs/>
          <w:snapToGrid w:val="0"/>
          <w:kern w:val="0"/>
          <w:highlight w:val="none"/>
        </w:rPr>
      </w:pPr>
    </w:p>
    <w:p>
      <w:pPr>
        <w:pageBreakBefore w:val="0"/>
        <w:widowControl w:val="0"/>
        <w:kinsoku/>
        <w:wordWrap/>
        <w:overflowPunct/>
        <w:topLinePunct w:val="0"/>
        <w:autoSpaceDE w:val="0"/>
        <w:autoSpaceDN w:val="0"/>
        <w:bidi w:val="0"/>
        <w:adjustRightInd w:val="0"/>
        <w:snapToGrid w:val="0"/>
        <w:spacing w:line="360" w:lineRule="auto"/>
        <w:jc w:val="left"/>
        <w:textAlignment w:val="auto"/>
        <w:rPr>
          <w:b/>
          <w:highlight w:val="none"/>
        </w:rPr>
      </w:pPr>
      <w:r>
        <w:rPr>
          <w:rFonts w:hint="eastAsia" w:ascii="黑体" w:eastAsia="黑体"/>
          <w:highlight w:val="none"/>
        </w:rPr>
        <w:t>3.</w:t>
      </w:r>
      <w:r>
        <w:rPr>
          <w:rFonts w:hint="eastAsia" w:ascii="黑体" w:eastAsia="黑体"/>
          <w:highlight w:val="none"/>
          <w:lang w:val="en-US" w:eastAsia="zh-CN"/>
        </w:rPr>
        <w:t>7</w:t>
      </w:r>
      <w:r>
        <w:rPr>
          <w:rFonts w:hint="eastAsia"/>
          <w:b/>
          <w:highlight w:val="none"/>
        </w:rPr>
        <w:t xml:space="preserve">  </w:t>
      </w:r>
    </w:p>
    <w:p>
      <w:pPr>
        <w:pageBreakBefore w:val="0"/>
        <w:widowControl w:val="0"/>
        <w:kinsoku/>
        <w:wordWrap/>
        <w:overflowPunct/>
        <w:topLinePunct w:val="0"/>
        <w:autoSpaceDE w:val="0"/>
        <w:autoSpaceDN w:val="0"/>
        <w:bidi w:val="0"/>
        <w:adjustRightInd w:val="0"/>
        <w:snapToGrid w:val="0"/>
        <w:spacing w:line="360" w:lineRule="auto"/>
        <w:ind w:firstLine="422" w:firstLineChars="200"/>
        <w:jc w:val="left"/>
        <w:textAlignment w:val="auto"/>
        <w:rPr>
          <w:rFonts w:hint="default" w:eastAsia="宋体"/>
          <w:b/>
          <w:highlight w:val="none"/>
          <w:lang w:val="en-US" w:eastAsia="zh-CN"/>
        </w:rPr>
      </w:pPr>
      <w:r>
        <w:rPr>
          <w:rFonts w:hint="eastAsia"/>
          <w:b/>
          <w:highlight w:val="none"/>
          <w:lang w:val="en-US" w:eastAsia="zh-CN"/>
        </w:rPr>
        <w:t>评估年</w:t>
      </w:r>
      <w:r>
        <w:rPr>
          <w:rFonts w:hint="eastAsia"/>
          <w:b/>
          <w:highlight w:val="none"/>
        </w:rPr>
        <w:t xml:space="preserve"> </w:t>
      </w:r>
      <w:r>
        <w:rPr>
          <w:rFonts w:hint="eastAsia"/>
          <w:b/>
          <w:highlight w:val="none"/>
          <w:lang w:val="en-US" w:eastAsia="zh-CN"/>
        </w:rPr>
        <w:t>assessment year</w:t>
      </w:r>
    </w:p>
    <w:p>
      <w:pPr>
        <w:pageBreakBefore w:val="0"/>
        <w:widowControl w:val="0"/>
        <w:kinsoku/>
        <w:wordWrap/>
        <w:overflowPunct/>
        <w:topLinePunct w:val="0"/>
        <w:autoSpaceDE w:val="0"/>
        <w:autoSpaceDN w:val="0"/>
        <w:bidi w:val="0"/>
        <w:adjustRightInd w:val="0"/>
        <w:snapToGrid w:val="0"/>
        <w:spacing w:line="360" w:lineRule="auto"/>
        <w:ind w:firstLine="420" w:firstLineChars="200"/>
        <w:jc w:val="left"/>
        <w:textAlignment w:val="auto"/>
        <w:rPr>
          <w:rFonts w:hint="eastAsia"/>
          <w:bCs/>
          <w:snapToGrid w:val="0"/>
          <w:kern w:val="0"/>
          <w:highlight w:val="none"/>
        </w:rPr>
      </w:pPr>
      <w:r>
        <w:rPr>
          <w:rFonts w:hint="eastAsia"/>
          <w:bCs/>
          <w:snapToGrid w:val="0"/>
          <w:kern w:val="0"/>
          <w:highlight w:val="none"/>
        </w:rPr>
        <w:t>开展地下水超采综合治理评估工作的目标年份。</w:t>
      </w:r>
    </w:p>
    <w:p>
      <w:pPr>
        <w:pageBreakBefore w:val="0"/>
        <w:widowControl w:val="0"/>
        <w:kinsoku/>
        <w:wordWrap/>
        <w:overflowPunct/>
        <w:topLinePunct w:val="0"/>
        <w:autoSpaceDE w:val="0"/>
        <w:autoSpaceDN w:val="0"/>
        <w:bidi w:val="0"/>
        <w:adjustRightInd w:val="0"/>
        <w:snapToGrid w:val="0"/>
        <w:spacing w:line="360" w:lineRule="auto"/>
        <w:jc w:val="left"/>
        <w:textAlignment w:val="auto"/>
        <w:rPr>
          <w:b/>
          <w:highlight w:val="none"/>
        </w:rPr>
      </w:pPr>
      <w:r>
        <w:rPr>
          <w:rFonts w:hint="eastAsia" w:ascii="黑体" w:eastAsia="黑体"/>
          <w:highlight w:val="none"/>
        </w:rPr>
        <w:t>3.</w:t>
      </w:r>
      <w:r>
        <w:rPr>
          <w:rFonts w:hint="eastAsia" w:ascii="黑体" w:eastAsia="黑体"/>
          <w:highlight w:val="none"/>
          <w:lang w:val="en-US" w:eastAsia="zh-CN"/>
        </w:rPr>
        <w:t>8</w:t>
      </w:r>
      <w:r>
        <w:rPr>
          <w:rFonts w:hint="eastAsia"/>
          <w:b/>
          <w:highlight w:val="none"/>
        </w:rPr>
        <w:t xml:space="preserve">  </w:t>
      </w:r>
    </w:p>
    <w:p>
      <w:pPr>
        <w:pageBreakBefore w:val="0"/>
        <w:widowControl w:val="0"/>
        <w:kinsoku/>
        <w:wordWrap/>
        <w:overflowPunct/>
        <w:topLinePunct w:val="0"/>
        <w:autoSpaceDE w:val="0"/>
        <w:autoSpaceDN w:val="0"/>
        <w:bidi w:val="0"/>
        <w:adjustRightInd w:val="0"/>
        <w:snapToGrid w:val="0"/>
        <w:spacing w:line="360" w:lineRule="auto"/>
        <w:ind w:firstLine="422" w:firstLineChars="200"/>
        <w:jc w:val="left"/>
        <w:textAlignment w:val="auto"/>
        <w:rPr>
          <w:rFonts w:hint="default" w:eastAsia="宋体"/>
          <w:b/>
          <w:highlight w:val="none"/>
          <w:lang w:val="en-US" w:eastAsia="zh-CN"/>
        </w:rPr>
      </w:pPr>
      <w:r>
        <w:rPr>
          <w:rFonts w:hint="eastAsia"/>
          <w:b/>
          <w:highlight w:val="none"/>
          <w:lang w:val="en-US" w:eastAsia="zh-CN"/>
        </w:rPr>
        <w:t>旱作雨养 rain-fed area</w:t>
      </w:r>
    </w:p>
    <w:p>
      <w:pPr>
        <w:pageBreakBefore w:val="0"/>
        <w:widowControl w:val="0"/>
        <w:kinsoku/>
        <w:wordWrap/>
        <w:overflowPunct/>
        <w:topLinePunct w:val="0"/>
        <w:autoSpaceDE w:val="0"/>
        <w:autoSpaceDN w:val="0"/>
        <w:bidi w:val="0"/>
        <w:adjustRightInd w:val="0"/>
        <w:snapToGrid w:val="0"/>
        <w:spacing w:line="360" w:lineRule="auto"/>
        <w:ind w:firstLine="420" w:firstLineChars="200"/>
        <w:jc w:val="left"/>
        <w:textAlignment w:val="auto"/>
        <w:rPr>
          <w:rFonts w:hint="eastAsia"/>
          <w:bCs/>
          <w:snapToGrid w:val="0"/>
          <w:kern w:val="0"/>
          <w:highlight w:val="none"/>
        </w:rPr>
      </w:pPr>
      <w:r>
        <w:rPr>
          <w:rFonts w:hint="eastAsia"/>
          <w:bCs/>
          <w:snapToGrid w:val="0"/>
          <w:kern w:val="0"/>
          <w:highlight w:val="none"/>
        </w:rPr>
        <w:t>通过种植制度调整、抗旱作物布局、抗旱品种及旱作技术配套，实现不需要灌溉、完全利用自然降水从事农业生产目标</w:t>
      </w:r>
      <w:r>
        <w:rPr>
          <w:rFonts w:hint="eastAsia"/>
          <w:bCs/>
          <w:snapToGrid w:val="0"/>
          <w:kern w:val="0"/>
          <w:highlight w:val="none"/>
          <w:lang w:val="en-US" w:eastAsia="zh-CN"/>
        </w:rPr>
        <w:t>的措施</w:t>
      </w:r>
      <w:r>
        <w:rPr>
          <w:rFonts w:hint="eastAsia"/>
          <w:bCs/>
          <w:snapToGrid w:val="0"/>
          <w:kern w:val="0"/>
          <w:highlight w:val="none"/>
        </w:rPr>
        <w:t>。</w:t>
      </w:r>
    </w:p>
    <w:p>
      <w:pPr>
        <w:pageBreakBefore w:val="0"/>
        <w:widowControl w:val="0"/>
        <w:kinsoku/>
        <w:wordWrap/>
        <w:overflowPunct/>
        <w:topLinePunct w:val="0"/>
        <w:autoSpaceDE w:val="0"/>
        <w:autoSpaceDN w:val="0"/>
        <w:bidi w:val="0"/>
        <w:adjustRightInd w:val="0"/>
        <w:snapToGrid w:val="0"/>
        <w:spacing w:line="360" w:lineRule="auto"/>
        <w:jc w:val="left"/>
        <w:textAlignment w:val="auto"/>
        <w:rPr>
          <w:b/>
          <w:highlight w:val="none"/>
        </w:rPr>
      </w:pPr>
      <w:r>
        <w:rPr>
          <w:rFonts w:hint="eastAsia" w:ascii="黑体" w:eastAsia="黑体"/>
          <w:highlight w:val="none"/>
        </w:rPr>
        <w:t>3.</w:t>
      </w:r>
      <w:r>
        <w:rPr>
          <w:rFonts w:hint="eastAsia" w:ascii="黑体" w:eastAsia="黑体"/>
          <w:highlight w:val="none"/>
          <w:lang w:val="en-US" w:eastAsia="zh-CN"/>
        </w:rPr>
        <w:t>9</w:t>
      </w:r>
      <w:r>
        <w:rPr>
          <w:rFonts w:hint="eastAsia"/>
          <w:b/>
          <w:highlight w:val="none"/>
        </w:rPr>
        <w:t xml:space="preserve">  </w:t>
      </w:r>
    </w:p>
    <w:p>
      <w:pPr>
        <w:pageBreakBefore w:val="0"/>
        <w:widowControl w:val="0"/>
        <w:kinsoku/>
        <w:wordWrap/>
        <w:overflowPunct/>
        <w:topLinePunct w:val="0"/>
        <w:autoSpaceDE w:val="0"/>
        <w:autoSpaceDN w:val="0"/>
        <w:bidi w:val="0"/>
        <w:adjustRightInd w:val="0"/>
        <w:snapToGrid w:val="0"/>
        <w:spacing w:line="360" w:lineRule="auto"/>
        <w:ind w:firstLine="422" w:firstLineChars="200"/>
        <w:jc w:val="left"/>
        <w:textAlignment w:val="auto"/>
        <w:rPr>
          <w:rFonts w:hint="default" w:eastAsia="宋体"/>
          <w:b/>
          <w:highlight w:val="none"/>
          <w:lang w:val="en-US" w:eastAsia="zh-CN"/>
        </w:rPr>
      </w:pPr>
      <w:r>
        <w:rPr>
          <w:rFonts w:hint="eastAsia"/>
          <w:b/>
          <w:highlight w:val="none"/>
          <w:lang w:val="en-US" w:eastAsia="zh-CN"/>
        </w:rPr>
        <w:t>年度评估 annual assessment</w:t>
      </w:r>
    </w:p>
    <w:p>
      <w:pPr>
        <w:pageBreakBefore w:val="0"/>
        <w:widowControl w:val="0"/>
        <w:kinsoku/>
        <w:wordWrap/>
        <w:overflowPunct/>
        <w:topLinePunct w:val="0"/>
        <w:autoSpaceDE w:val="0"/>
        <w:autoSpaceDN w:val="0"/>
        <w:bidi w:val="0"/>
        <w:adjustRightInd w:val="0"/>
        <w:snapToGrid w:val="0"/>
        <w:spacing w:line="360" w:lineRule="auto"/>
        <w:ind w:firstLine="420" w:firstLineChars="200"/>
        <w:jc w:val="left"/>
        <w:textAlignment w:val="auto"/>
        <w:rPr>
          <w:rFonts w:hint="default"/>
          <w:bCs/>
          <w:snapToGrid w:val="0"/>
          <w:kern w:val="0"/>
          <w:highlight w:val="none"/>
          <w:lang w:val="en-US"/>
        </w:rPr>
      </w:pPr>
      <w:r>
        <w:rPr>
          <w:rFonts w:hint="eastAsia"/>
          <w:bCs/>
          <w:snapToGrid w:val="0"/>
          <w:kern w:val="0"/>
          <w:highlight w:val="none"/>
          <w:lang w:val="en-US" w:eastAsia="zh-CN"/>
        </w:rPr>
        <w:t>根据实际工作需求，对年度实施方案明确的县或市治理任务完成情况进行评估，并对全省治理效果进行评估，按照年度实施，即每年开展一次评价工作。</w:t>
      </w:r>
    </w:p>
    <w:p>
      <w:pPr>
        <w:pageBreakBefore w:val="0"/>
        <w:widowControl w:val="0"/>
        <w:kinsoku/>
        <w:wordWrap/>
        <w:overflowPunct/>
        <w:topLinePunct w:val="0"/>
        <w:autoSpaceDE w:val="0"/>
        <w:autoSpaceDN w:val="0"/>
        <w:bidi w:val="0"/>
        <w:adjustRightInd w:val="0"/>
        <w:snapToGrid w:val="0"/>
        <w:spacing w:line="360" w:lineRule="auto"/>
        <w:jc w:val="left"/>
        <w:textAlignment w:val="auto"/>
        <w:rPr>
          <w:b/>
          <w:highlight w:val="none"/>
        </w:rPr>
      </w:pPr>
      <w:r>
        <w:rPr>
          <w:rFonts w:hint="eastAsia" w:ascii="黑体" w:eastAsia="黑体"/>
          <w:highlight w:val="none"/>
        </w:rPr>
        <w:t>3.</w:t>
      </w:r>
      <w:r>
        <w:rPr>
          <w:rFonts w:hint="eastAsia" w:ascii="黑体" w:eastAsia="黑体"/>
          <w:highlight w:val="none"/>
          <w:lang w:val="en-US" w:eastAsia="zh-CN"/>
        </w:rPr>
        <w:t>10</w:t>
      </w:r>
      <w:r>
        <w:rPr>
          <w:rFonts w:hint="eastAsia"/>
          <w:b/>
          <w:highlight w:val="none"/>
        </w:rPr>
        <w:t xml:space="preserve"> </w:t>
      </w:r>
    </w:p>
    <w:p>
      <w:pPr>
        <w:pageBreakBefore w:val="0"/>
        <w:widowControl w:val="0"/>
        <w:kinsoku/>
        <w:wordWrap/>
        <w:overflowPunct/>
        <w:topLinePunct w:val="0"/>
        <w:autoSpaceDE w:val="0"/>
        <w:autoSpaceDN w:val="0"/>
        <w:bidi w:val="0"/>
        <w:adjustRightInd w:val="0"/>
        <w:snapToGrid w:val="0"/>
        <w:spacing w:line="360" w:lineRule="auto"/>
        <w:ind w:firstLine="422" w:firstLineChars="200"/>
        <w:jc w:val="left"/>
        <w:textAlignment w:val="auto"/>
        <w:rPr>
          <w:rFonts w:hint="default" w:eastAsia="宋体"/>
          <w:b/>
          <w:highlight w:val="none"/>
          <w:lang w:val="en-US" w:eastAsia="zh-CN"/>
        </w:rPr>
      </w:pPr>
      <w:r>
        <w:rPr>
          <w:rFonts w:hint="eastAsia"/>
          <w:b/>
          <w:highlight w:val="none"/>
          <w:lang w:val="en-US" w:eastAsia="zh-CN"/>
        </w:rPr>
        <w:t>阶段评估 stage assessment</w:t>
      </w:r>
    </w:p>
    <w:p>
      <w:pPr>
        <w:pageBreakBefore w:val="0"/>
        <w:widowControl w:val="0"/>
        <w:kinsoku/>
        <w:wordWrap/>
        <w:overflowPunct/>
        <w:topLinePunct w:val="0"/>
        <w:autoSpaceDE w:val="0"/>
        <w:autoSpaceDN w:val="0"/>
        <w:bidi w:val="0"/>
        <w:adjustRightInd w:val="0"/>
        <w:snapToGrid w:val="0"/>
        <w:spacing w:line="360" w:lineRule="auto"/>
        <w:ind w:firstLine="420" w:firstLineChars="200"/>
        <w:jc w:val="left"/>
        <w:textAlignment w:val="auto"/>
        <w:rPr>
          <w:rFonts w:hint="eastAsia"/>
          <w:bCs/>
          <w:snapToGrid w:val="0"/>
          <w:kern w:val="0"/>
          <w:highlight w:val="none"/>
        </w:rPr>
      </w:pPr>
      <w:r>
        <w:rPr>
          <w:rFonts w:hint="eastAsia"/>
          <w:bCs/>
          <w:snapToGrid w:val="0"/>
          <w:kern w:val="0"/>
          <w:highlight w:val="none"/>
          <w:lang w:val="en-US" w:eastAsia="zh-CN"/>
        </w:rPr>
        <w:t>在年度评估的基础上，对全省治理效果进行评估与复核，按照阶段实施，一般每3~5年开展一次评价工作，并可根据实际需要加密实施</w:t>
      </w:r>
      <w:r>
        <w:rPr>
          <w:rFonts w:hint="eastAsia"/>
          <w:bCs/>
          <w:snapToGrid w:val="0"/>
          <w:kern w:val="0"/>
          <w:highlight w:val="none"/>
        </w:rPr>
        <w:t>。</w:t>
      </w:r>
    </w:p>
    <w:p>
      <w:pPr>
        <w:pStyle w:val="2"/>
        <w:pageBreakBefore w:val="0"/>
        <w:widowControl w:val="0"/>
        <w:kinsoku/>
        <w:wordWrap/>
        <w:overflowPunct/>
        <w:topLinePunct w:val="0"/>
        <w:bidi w:val="0"/>
        <w:adjustRightInd w:val="0"/>
        <w:snapToGrid w:val="0"/>
        <w:spacing w:before="156" w:beforeLines="50" w:after="156" w:afterLines="50" w:line="360" w:lineRule="auto"/>
        <w:textAlignment w:val="auto"/>
        <w:rPr>
          <w:rFonts w:ascii="黑体" w:eastAsia="黑体"/>
          <w:kern w:val="0"/>
          <w:sz w:val="24"/>
          <w:szCs w:val="24"/>
          <w:highlight w:val="none"/>
        </w:rPr>
      </w:pPr>
      <w:bookmarkStart w:id="28" w:name="_Toc25326"/>
      <w:bookmarkStart w:id="29" w:name="_Toc25910"/>
      <w:bookmarkStart w:id="30" w:name="_Toc19173"/>
      <w:r>
        <w:rPr>
          <w:rFonts w:hint="eastAsia" w:ascii="黑体" w:eastAsia="黑体"/>
          <w:kern w:val="0"/>
          <w:sz w:val="24"/>
          <w:szCs w:val="24"/>
          <w:highlight w:val="none"/>
          <w:lang w:val="en-US" w:eastAsia="zh-CN"/>
        </w:rPr>
        <w:t>4</w:t>
      </w:r>
      <w:r>
        <w:rPr>
          <w:rFonts w:hint="eastAsia" w:ascii="黑体" w:eastAsia="黑体"/>
          <w:kern w:val="0"/>
          <w:sz w:val="24"/>
          <w:szCs w:val="24"/>
          <w:highlight w:val="none"/>
        </w:rPr>
        <w:t xml:space="preserve">  治理评估</w:t>
      </w:r>
      <w:bookmarkEnd w:id="28"/>
      <w:bookmarkEnd w:id="29"/>
      <w:bookmarkEnd w:id="30"/>
    </w:p>
    <w:p>
      <w:pPr>
        <w:keepNext w:val="0"/>
        <w:keepLines w:val="0"/>
        <w:pageBreakBefore w:val="0"/>
        <w:widowControl w:val="0"/>
        <w:kinsoku/>
        <w:wordWrap/>
        <w:overflowPunct/>
        <w:topLinePunct w:val="0"/>
        <w:autoSpaceDE/>
        <w:autoSpaceDN/>
        <w:bidi w:val="0"/>
        <w:adjustRightInd w:val="0"/>
        <w:snapToGrid w:val="0"/>
        <w:spacing w:line="360" w:lineRule="auto"/>
        <w:textAlignment w:val="auto"/>
        <w:outlineLvl w:val="1"/>
        <w:rPr>
          <w:rFonts w:ascii="黑体" w:eastAsia="黑体"/>
          <w:highlight w:val="none"/>
        </w:rPr>
      </w:pPr>
      <w:bookmarkStart w:id="31" w:name="_Toc1986"/>
      <w:r>
        <w:rPr>
          <w:rFonts w:hint="eastAsia" w:ascii="黑体" w:eastAsia="黑体"/>
          <w:highlight w:val="none"/>
          <w:lang w:val="en-US" w:eastAsia="zh-CN"/>
        </w:rPr>
        <w:t>4</w:t>
      </w:r>
      <w:r>
        <w:rPr>
          <w:rFonts w:hint="eastAsia" w:ascii="黑体" w:eastAsia="黑体"/>
          <w:highlight w:val="none"/>
        </w:rPr>
        <w:t xml:space="preserve">.1 </w:t>
      </w:r>
      <w:r>
        <w:rPr>
          <w:rFonts w:hint="eastAsia" w:ascii="黑体" w:eastAsia="黑体"/>
          <w:highlight w:val="none"/>
          <w:lang w:eastAsia="zh-CN"/>
        </w:rPr>
        <w:t>评估</w:t>
      </w:r>
      <w:r>
        <w:rPr>
          <w:rFonts w:hint="eastAsia" w:ascii="黑体" w:eastAsia="黑体"/>
          <w:highlight w:val="none"/>
        </w:rPr>
        <w:t>原则</w:t>
      </w:r>
      <w:bookmarkEnd w:id="31"/>
    </w:p>
    <w:p>
      <w:pPr>
        <w:pageBreakBefore w:val="0"/>
        <w:widowControl w:val="0"/>
        <w:kinsoku/>
        <w:wordWrap/>
        <w:overflowPunct/>
        <w:topLinePunct w:val="0"/>
        <w:autoSpaceDE w:val="0"/>
        <w:autoSpaceDN w:val="0"/>
        <w:bidi w:val="0"/>
        <w:adjustRightInd w:val="0"/>
        <w:snapToGrid w:val="0"/>
        <w:spacing w:line="360" w:lineRule="auto"/>
        <w:ind w:firstLine="435"/>
        <w:jc w:val="left"/>
        <w:textAlignment w:val="auto"/>
        <w:rPr>
          <w:szCs w:val="21"/>
          <w:highlight w:val="none"/>
        </w:rPr>
      </w:pPr>
      <w:r>
        <w:rPr>
          <w:szCs w:val="21"/>
          <w:highlight w:val="none"/>
        </w:rPr>
        <w:t>在符合相关规定的前提下，遵循以下原则</w:t>
      </w:r>
      <w:r>
        <w:rPr>
          <w:rFonts w:hint="eastAsia"/>
          <w:szCs w:val="21"/>
          <w:highlight w:val="none"/>
        </w:rPr>
        <w:t>：</w:t>
      </w:r>
    </w:p>
    <w:p>
      <w:pPr>
        <w:pageBreakBefore w:val="0"/>
        <w:widowControl w:val="0"/>
        <w:numPr>
          <w:ilvl w:val="0"/>
          <w:numId w:val="24"/>
        </w:numPr>
        <w:kinsoku/>
        <w:wordWrap/>
        <w:overflowPunct/>
        <w:topLinePunct w:val="0"/>
        <w:autoSpaceDE w:val="0"/>
        <w:autoSpaceDN w:val="0"/>
        <w:bidi w:val="0"/>
        <w:adjustRightInd w:val="0"/>
        <w:snapToGrid w:val="0"/>
        <w:spacing w:line="360" w:lineRule="auto"/>
        <w:ind w:firstLine="420" w:firstLineChars="200"/>
        <w:jc w:val="left"/>
        <w:textAlignment w:val="auto"/>
        <w:rPr>
          <w:rFonts w:hint="eastAsia"/>
          <w:szCs w:val="21"/>
          <w:highlight w:val="none"/>
        </w:rPr>
      </w:pPr>
      <w:r>
        <w:rPr>
          <w:rFonts w:hint="eastAsia"/>
          <w:szCs w:val="21"/>
          <w:highlight w:val="none"/>
        </w:rPr>
        <w:t>科学性、真实性、连续性和可操作性</w:t>
      </w:r>
      <w:r>
        <w:rPr>
          <w:rFonts w:hint="eastAsia"/>
          <w:szCs w:val="21"/>
          <w:highlight w:val="none"/>
          <w:lang w:val="en-US" w:eastAsia="zh-CN"/>
        </w:rPr>
        <w:t>相统一</w:t>
      </w:r>
      <w:r>
        <w:rPr>
          <w:rFonts w:hint="eastAsia"/>
          <w:szCs w:val="21"/>
          <w:highlight w:val="none"/>
        </w:rPr>
        <w:t>；</w:t>
      </w:r>
    </w:p>
    <w:p>
      <w:pPr>
        <w:pageBreakBefore w:val="0"/>
        <w:widowControl w:val="0"/>
        <w:numPr>
          <w:ilvl w:val="0"/>
          <w:numId w:val="24"/>
        </w:numPr>
        <w:kinsoku/>
        <w:wordWrap/>
        <w:overflowPunct/>
        <w:topLinePunct w:val="0"/>
        <w:autoSpaceDE w:val="0"/>
        <w:autoSpaceDN w:val="0"/>
        <w:bidi w:val="0"/>
        <w:adjustRightInd w:val="0"/>
        <w:snapToGrid w:val="0"/>
        <w:spacing w:line="360" w:lineRule="auto"/>
        <w:ind w:firstLine="420" w:firstLineChars="200"/>
        <w:jc w:val="left"/>
        <w:textAlignment w:val="auto"/>
        <w:rPr>
          <w:rFonts w:hint="eastAsia"/>
          <w:szCs w:val="21"/>
          <w:highlight w:val="none"/>
        </w:rPr>
      </w:pPr>
      <w:r>
        <w:rPr>
          <w:rFonts w:hint="eastAsia"/>
          <w:szCs w:val="21"/>
          <w:highlight w:val="none"/>
        </w:rPr>
        <w:t>定性</w:t>
      </w:r>
      <w:r>
        <w:rPr>
          <w:rFonts w:hint="eastAsia"/>
          <w:szCs w:val="21"/>
          <w:highlight w:val="none"/>
          <w:lang w:val="en-US" w:eastAsia="zh-CN"/>
        </w:rPr>
        <w:t>分析</w:t>
      </w:r>
      <w:r>
        <w:rPr>
          <w:rFonts w:hint="eastAsia"/>
          <w:szCs w:val="21"/>
          <w:highlight w:val="none"/>
        </w:rPr>
        <w:t>与定量</w:t>
      </w:r>
      <w:r>
        <w:rPr>
          <w:rFonts w:hint="eastAsia"/>
          <w:szCs w:val="21"/>
          <w:highlight w:val="none"/>
          <w:lang w:val="en-US" w:eastAsia="zh-CN"/>
        </w:rPr>
        <w:t>计算</w:t>
      </w:r>
      <w:r>
        <w:rPr>
          <w:rFonts w:hint="eastAsia"/>
          <w:szCs w:val="21"/>
          <w:highlight w:val="none"/>
        </w:rPr>
        <w:t>相结合；</w:t>
      </w:r>
    </w:p>
    <w:p>
      <w:pPr>
        <w:pageBreakBefore w:val="0"/>
        <w:widowControl w:val="0"/>
        <w:numPr>
          <w:ilvl w:val="0"/>
          <w:numId w:val="24"/>
        </w:numPr>
        <w:kinsoku/>
        <w:wordWrap/>
        <w:overflowPunct/>
        <w:topLinePunct w:val="0"/>
        <w:autoSpaceDE w:val="0"/>
        <w:autoSpaceDN w:val="0"/>
        <w:bidi w:val="0"/>
        <w:adjustRightInd w:val="0"/>
        <w:snapToGrid w:val="0"/>
        <w:spacing w:line="360" w:lineRule="auto"/>
        <w:ind w:firstLine="420" w:firstLineChars="200"/>
        <w:jc w:val="left"/>
        <w:textAlignment w:val="auto"/>
        <w:rPr>
          <w:rFonts w:hint="eastAsia"/>
          <w:szCs w:val="21"/>
          <w:highlight w:val="none"/>
        </w:rPr>
      </w:pPr>
      <w:r>
        <w:rPr>
          <w:rFonts w:hint="eastAsia"/>
          <w:szCs w:val="21"/>
          <w:highlight w:val="none"/>
        </w:rPr>
        <w:t>典型抽查与整体评价相结合。</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outlineLvl w:val="1"/>
        <w:rPr>
          <w:rFonts w:ascii="黑体" w:eastAsia="黑体"/>
          <w:highlight w:val="none"/>
        </w:rPr>
      </w:pPr>
      <w:bookmarkStart w:id="32" w:name="_Toc4231"/>
      <w:r>
        <w:rPr>
          <w:rFonts w:hint="eastAsia" w:ascii="黑体" w:eastAsia="黑体"/>
          <w:highlight w:val="none"/>
          <w:lang w:val="en-US" w:eastAsia="zh-CN"/>
        </w:rPr>
        <w:t>4</w:t>
      </w:r>
      <w:r>
        <w:rPr>
          <w:rFonts w:hint="eastAsia" w:ascii="黑体" w:eastAsia="黑体"/>
          <w:highlight w:val="none"/>
        </w:rPr>
        <w:t>.</w:t>
      </w:r>
      <w:r>
        <w:rPr>
          <w:rFonts w:hint="eastAsia" w:ascii="黑体" w:eastAsia="黑体"/>
          <w:highlight w:val="none"/>
          <w:lang w:val="en-US" w:eastAsia="zh-CN"/>
        </w:rPr>
        <w:t>2</w:t>
      </w:r>
      <w:r>
        <w:rPr>
          <w:rFonts w:hint="eastAsia" w:ascii="黑体" w:eastAsia="黑体"/>
          <w:highlight w:val="none"/>
        </w:rPr>
        <w:t xml:space="preserve"> </w:t>
      </w:r>
      <w:r>
        <w:rPr>
          <w:rFonts w:hint="eastAsia" w:ascii="黑体" w:eastAsia="黑体"/>
          <w:highlight w:val="none"/>
          <w:lang w:eastAsia="zh-CN"/>
        </w:rPr>
        <w:t>评估内容</w:t>
      </w:r>
      <w:bookmarkEnd w:id="32"/>
    </w:p>
    <w:p>
      <w:pPr>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ind w:firstLine="420" w:firstLineChars="200"/>
        <w:jc w:val="left"/>
        <w:textAlignment w:val="auto"/>
        <w:rPr>
          <w:szCs w:val="21"/>
          <w:highlight w:val="none"/>
        </w:rPr>
      </w:pPr>
      <w:r>
        <w:rPr>
          <w:rFonts w:hint="eastAsia"/>
          <w:szCs w:val="21"/>
          <w:highlight w:val="none"/>
          <w:lang w:val="en-US" w:eastAsia="zh-CN"/>
        </w:rPr>
        <w:t>从评估内容划分，</w:t>
      </w:r>
      <w:r>
        <w:rPr>
          <w:rFonts w:hint="eastAsia"/>
          <w:szCs w:val="21"/>
          <w:highlight w:val="none"/>
          <w:lang w:eastAsia="zh-CN"/>
        </w:rPr>
        <w:t>治理评估包括地下水超采区治理任务</w:t>
      </w:r>
      <w:r>
        <w:rPr>
          <w:rFonts w:hint="eastAsia"/>
          <w:szCs w:val="21"/>
          <w:highlight w:val="none"/>
          <w:lang w:val="en-US" w:eastAsia="zh-CN"/>
        </w:rPr>
        <w:t>和</w:t>
      </w:r>
      <w:r>
        <w:rPr>
          <w:rFonts w:hint="eastAsia"/>
          <w:szCs w:val="21"/>
          <w:highlight w:val="none"/>
          <w:lang w:eastAsia="zh-CN"/>
        </w:rPr>
        <w:t>治理效果评估；</w:t>
      </w:r>
      <w:r>
        <w:rPr>
          <w:rFonts w:hint="eastAsia"/>
          <w:szCs w:val="21"/>
          <w:highlight w:val="none"/>
          <w:lang w:val="en-US" w:eastAsia="zh-CN"/>
        </w:rPr>
        <w:t>评估阶段划分，</w:t>
      </w:r>
      <w:r>
        <w:rPr>
          <w:rFonts w:hint="eastAsia"/>
          <w:highlight w:val="none"/>
        </w:rPr>
        <w:t>治理评估</w:t>
      </w:r>
      <w:r>
        <w:rPr>
          <w:rFonts w:hint="eastAsia"/>
          <w:highlight w:val="none"/>
          <w:lang w:val="en-US" w:eastAsia="zh-CN"/>
        </w:rPr>
        <w:t>包括年度评估和阶段评估。</w:t>
      </w:r>
      <w:r>
        <w:rPr>
          <w:rFonts w:hint="eastAsia"/>
          <w:szCs w:val="21"/>
          <w:highlight w:val="none"/>
          <w:lang w:val="en-US" w:eastAsia="zh-CN"/>
        </w:rPr>
        <w:t>应按照附录A编制评估报告</w:t>
      </w:r>
      <w:r>
        <w:rPr>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outlineLvl w:val="1"/>
        <w:rPr>
          <w:rFonts w:hint="eastAsia" w:ascii="黑体" w:eastAsia="黑体"/>
          <w:highlight w:val="none"/>
          <w:lang w:val="en-US" w:eastAsia="zh-CN"/>
        </w:rPr>
      </w:pPr>
      <w:bookmarkStart w:id="33" w:name="_Toc4973"/>
      <w:r>
        <w:rPr>
          <w:rFonts w:hint="eastAsia" w:ascii="黑体" w:eastAsia="黑体"/>
          <w:highlight w:val="none"/>
          <w:lang w:val="en-US" w:eastAsia="zh-CN"/>
        </w:rPr>
        <w:t>4.3 评估单元</w:t>
      </w:r>
      <w:bookmarkEnd w:id="33"/>
    </w:p>
    <w:p>
      <w:pPr>
        <w:pageBreakBefore w:val="0"/>
        <w:widowControl w:val="0"/>
        <w:kinsoku/>
        <w:wordWrap/>
        <w:overflowPunct/>
        <w:topLinePunct w:val="0"/>
        <w:bidi w:val="0"/>
        <w:adjustRightInd w:val="0"/>
        <w:snapToGrid w:val="0"/>
        <w:spacing w:line="360" w:lineRule="auto"/>
        <w:ind w:firstLine="420" w:firstLineChars="200"/>
        <w:textAlignment w:val="auto"/>
        <w:outlineLvl w:val="9"/>
        <w:rPr>
          <w:rFonts w:hint="eastAsia" w:eastAsia="宋体"/>
          <w:highlight w:val="none"/>
          <w:lang w:eastAsia="zh-CN"/>
        </w:rPr>
      </w:pPr>
      <w:r>
        <w:rPr>
          <w:rFonts w:hint="eastAsia"/>
          <w:highlight w:val="none"/>
        </w:rPr>
        <w:t>地下水</w:t>
      </w:r>
      <w:r>
        <w:rPr>
          <w:rFonts w:hint="eastAsia"/>
          <w:highlight w:val="none"/>
          <w:lang w:val="en-US" w:eastAsia="zh-CN"/>
        </w:rPr>
        <w:t>超采</w:t>
      </w:r>
      <w:r>
        <w:rPr>
          <w:rFonts w:hint="eastAsia"/>
          <w:highlight w:val="none"/>
        </w:rPr>
        <w:t>治理评估</w:t>
      </w:r>
      <w:r>
        <w:rPr>
          <w:rFonts w:hint="eastAsia"/>
          <w:szCs w:val="20"/>
          <w:highlight w:val="none"/>
          <w:lang w:val="en-US" w:eastAsia="zh-CN"/>
        </w:rPr>
        <w:t>一般</w:t>
      </w:r>
      <w:r>
        <w:rPr>
          <w:rFonts w:hint="eastAsia" w:ascii="Times New Roman" w:hAnsi="Times New Roman" w:eastAsia="宋体" w:cs="Times New Roman"/>
          <w:szCs w:val="20"/>
          <w:highlight w:val="none"/>
        </w:rPr>
        <w:t>以县级行政区套超采区为评估单元</w:t>
      </w:r>
      <w:r>
        <w:rPr>
          <w:rFonts w:hint="eastAsia" w:eastAsia="宋体" w:cs="Times New Roman"/>
          <w:szCs w:val="20"/>
          <w:highlight w:val="none"/>
          <w:lang w:eastAsia="zh-CN"/>
        </w:rPr>
        <w:t>，</w:t>
      </w:r>
      <w:r>
        <w:rPr>
          <w:rFonts w:hint="eastAsia" w:eastAsia="宋体" w:cs="Times New Roman"/>
          <w:szCs w:val="20"/>
          <w:highlight w:val="none"/>
          <w:lang w:val="en-US" w:eastAsia="zh-CN"/>
        </w:rPr>
        <w:t>具体包含河北省实施地下水超采综合治理的127个县（市、区）</w:t>
      </w:r>
      <w:r>
        <w:rPr>
          <w:rFonts w:hint="eastAsia"/>
          <w:szCs w:val="20"/>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outlineLvl w:val="1"/>
        <w:rPr>
          <w:rFonts w:hint="eastAsia" w:ascii="黑体" w:eastAsia="黑体"/>
          <w:highlight w:val="none"/>
          <w:lang w:val="en-US" w:eastAsia="zh-CN"/>
        </w:rPr>
      </w:pPr>
      <w:bookmarkStart w:id="34" w:name="_Toc10186"/>
      <w:r>
        <w:rPr>
          <w:rFonts w:hint="eastAsia" w:ascii="黑体" w:eastAsia="黑体"/>
          <w:highlight w:val="none"/>
          <w:lang w:val="en-US" w:eastAsia="zh-CN"/>
        </w:rPr>
        <w:t>4.4 评估方法</w:t>
      </w:r>
      <w:bookmarkEnd w:id="34"/>
    </w:p>
    <w:p>
      <w:pPr>
        <w:pageBreakBefore w:val="0"/>
        <w:widowControl w:val="0"/>
        <w:kinsoku/>
        <w:wordWrap/>
        <w:overflowPunct/>
        <w:topLinePunct w:val="0"/>
        <w:bidi w:val="0"/>
        <w:adjustRightInd w:val="0"/>
        <w:snapToGrid w:val="0"/>
        <w:spacing w:line="360" w:lineRule="auto"/>
        <w:ind w:firstLine="420" w:firstLineChars="200"/>
        <w:textAlignment w:val="auto"/>
        <w:outlineLvl w:val="9"/>
        <w:rPr>
          <w:rFonts w:hint="eastAsia"/>
          <w:highlight w:val="none"/>
        </w:rPr>
      </w:pPr>
      <w:r>
        <w:rPr>
          <w:rFonts w:hint="eastAsia"/>
          <w:highlight w:val="none"/>
          <w:lang w:val="en-US" w:eastAsia="zh-CN"/>
        </w:rPr>
        <w:t>评估</w:t>
      </w:r>
      <w:r>
        <w:rPr>
          <w:rFonts w:hint="eastAsia"/>
          <w:highlight w:val="none"/>
        </w:rPr>
        <w:t>方法主要包括查阅资料、现场核查、分析计算、技术咨询</w:t>
      </w:r>
      <w:r>
        <w:rPr>
          <w:rFonts w:hint="eastAsia"/>
          <w:highlight w:val="none"/>
          <w:lang w:eastAsia="zh-CN"/>
        </w:rPr>
        <w:t>、</w:t>
      </w:r>
      <w:r>
        <w:rPr>
          <w:rFonts w:hint="eastAsia"/>
          <w:highlight w:val="none"/>
          <w:lang w:val="en-US" w:eastAsia="zh-CN"/>
        </w:rPr>
        <w:t>问卷调查、社会调查</w:t>
      </w:r>
      <w:r>
        <w:rPr>
          <w:rFonts w:hint="eastAsia"/>
          <w:highlight w:val="none"/>
        </w:rPr>
        <w:t>等。</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outlineLvl w:val="1"/>
        <w:rPr>
          <w:rFonts w:hint="default" w:ascii="黑体" w:eastAsia="黑体"/>
          <w:highlight w:val="none"/>
          <w:lang w:val="en-US" w:eastAsia="zh-CN"/>
        </w:rPr>
      </w:pPr>
      <w:bookmarkStart w:id="35" w:name="_Toc30067"/>
      <w:r>
        <w:rPr>
          <w:rFonts w:hint="eastAsia" w:ascii="黑体" w:eastAsia="黑体"/>
          <w:highlight w:val="none"/>
          <w:lang w:val="en-US" w:eastAsia="zh-CN"/>
        </w:rPr>
        <w:t>4.5 基本要求</w:t>
      </w:r>
      <w:bookmarkEnd w:id="35"/>
    </w:p>
    <w:p>
      <w:pPr>
        <w:pageBreakBefore w:val="0"/>
        <w:widowControl w:val="0"/>
        <w:kinsoku/>
        <w:wordWrap/>
        <w:overflowPunct/>
        <w:topLinePunct w:val="0"/>
        <w:bidi w:val="0"/>
        <w:adjustRightInd w:val="0"/>
        <w:snapToGrid w:val="0"/>
        <w:spacing w:line="360" w:lineRule="auto"/>
        <w:textAlignment w:val="auto"/>
        <w:outlineLvl w:val="9"/>
        <w:rPr>
          <w:rFonts w:hint="eastAsia" w:eastAsia="宋体"/>
          <w:highlight w:val="none"/>
          <w:lang w:eastAsia="zh-CN"/>
        </w:rPr>
      </w:pPr>
      <w:r>
        <w:rPr>
          <w:rFonts w:hint="eastAsia"/>
          <w:highlight w:val="none"/>
          <w:lang w:val="en-US" w:eastAsia="zh-CN"/>
        </w:rPr>
        <w:t>4</w:t>
      </w:r>
      <w:r>
        <w:rPr>
          <w:rFonts w:hint="eastAsia"/>
          <w:highlight w:val="none"/>
        </w:rPr>
        <w:t>.</w:t>
      </w:r>
      <w:r>
        <w:rPr>
          <w:rFonts w:hint="eastAsia"/>
          <w:highlight w:val="none"/>
          <w:lang w:val="en-US" w:eastAsia="zh-CN"/>
        </w:rPr>
        <w:t>5</w:t>
      </w:r>
      <w:r>
        <w:rPr>
          <w:rFonts w:hint="eastAsia"/>
          <w:highlight w:val="none"/>
        </w:rPr>
        <w:t>.</w:t>
      </w:r>
      <w:r>
        <w:rPr>
          <w:rFonts w:hint="eastAsia"/>
          <w:highlight w:val="none"/>
          <w:lang w:val="en-US" w:eastAsia="zh-CN"/>
        </w:rPr>
        <w:t>1</w:t>
      </w:r>
      <w:r>
        <w:rPr>
          <w:rFonts w:hint="eastAsia"/>
          <w:szCs w:val="21"/>
          <w:highlight w:val="none"/>
          <w:lang w:eastAsia="zh-CN"/>
        </w:rPr>
        <w:t>年度评估</w:t>
      </w:r>
      <w:r>
        <w:rPr>
          <w:rFonts w:hint="eastAsia"/>
          <w:szCs w:val="21"/>
          <w:highlight w:val="none"/>
        </w:rPr>
        <w:t>对照地下水超采治理</w:t>
      </w:r>
      <w:r>
        <w:rPr>
          <w:rFonts w:hint="eastAsia"/>
          <w:szCs w:val="21"/>
          <w:highlight w:val="none"/>
          <w:lang w:val="en-US" w:eastAsia="zh-CN"/>
        </w:rPr>
        <w:t>年度</w:t>
      </w:r>
      <w:r>
        <w:rPr>
          <w:rFonts w:hint="eastAsia"/>
          <w:szCs w:val="21"/>
          <w:highlight w:val="none"/>
        </w:rPr>
        <w:t>实施方案内容开展</w:t>
      </w:r>
      <w:r>
        <w:rPr>
          <w:rFonts w:hint="eastAsia"/>
          <w:szCs w:val="21"/>
          <w:highlight w:val="none"/>
          <w:lang w:eastAsia="zh-CN"/>
        </w:rPr>
        <w:t>，</w:t>
      </w:r>
      <w:r>
        <w:rPr>
          <w:rFonts w:hint="eastAsia"/>
          <w:szCs w:val="21"/>
          <w:highlight w:val="none"/>
          <w:lang w:val="en-US" w:eastAsia="zh-CN"/>
        </w:rPr>
        <w:t>按年度实施</w:t>
      </w:r>
      <w:r>
        <w:rPr>
          <w:rFonts w:hint="eastAsia"/>
          <w:szCs w:val="21"/>
          <w:highlight w:val="none"/>
          <w:lang w:eastAsia="zh-CN"/>
        </w:rPr>
        <w:t>；</w:t>
      </w:r>
      <w:r>
        <w:rPr>
          <w:rFonts w:hint="eastAsia"/>
          <w:szCs w:val="21"/>
          <w:highlight w:val="none"/>
          <w:lang w:val="en-US" w:eastAsia="zh-CN"/>
        </w:rPr>
        <w:t>阶段评估</w:t>
      </w:r>
      <w:r>
        <w:rPr>
          <w:rFonts w:hint="eastAsia"/>
          <w:highlight w:val="none"/>
        </w:rPr>
        <w:t>每3</w:t>
      </w:r>
      <w:r>
        <w:rPr>
          <w:rFonts w:hint="eastAsia"/>
          <w:highlight w:val="none"/>
          <w:lang w:val="en-US" w:eastAsia="zh-CN"/>
        </w:rPr>
        <w:t>~5</w:t>
      </w:r>
      <w:r>
        <w:rPr>
          <w:rFonts w:hint="eastAsia"/>
          <w:highlight w:val="none"/>
        </w:rPr>
        <w:t>年开展一次</w:t>
      </w:r>
      <w:r>
        <w:rPr>
          <w:rFonts w:hint="eastAsia"/>
          <w:highlight w:val="none"/>
          <w:lang w:eastAsia="zh-CN"/>
        </w:rPr>
        <w:t>，</w:t>
      </w:r>
      <w:r>
        <w:rPr>
          <w:rFonts w:hint="eastAsia"/>
          <w:highlight w:val="none"/>
        </w:rPr>
        <w:t>按阶段实施</w:t>
      </w:r>
      <w:r>
        <w:rPr>
          <w:rFonts w:hint="eastAsia"/>
          <w:highlight w:val="none"/>
          <w:lang w:eastAsia="zh-CN"/>
        </w:rPr>
        <w:t>。</w:t>
      </w:r>
    </w:p>
    <w:p>
      <w:pPr>
        <w:pageBreakBefore w:val="0"/>
        <w:widowControl w:val="0"/>
        <w:kinsoku/>
        <w:wordWrap/>
        <w:overflowPunct/>
        <w:topLinePunct w:val="0"/>
        <w:bidi w:val="0"/>
        <w:adjustRightInd w:val="0"/>
        <w:snapToGrid w:val="0"/>
        <w:spacing w:line="360" w:lineRule="auto"/>
        <w:textAlignment w:val="auto"/>
        <w:outlineLvl w:val="9"/>
        <w:rPr>
          <w:rFonts w:hint="eastAsia"/>
          <w:highlight w:val="none"/>
        </w:rPr>
      </w:pPr>
      <w:r>
        <w:rPr>
          <w:rFonts w:hint="eastAsia"/>
          <w:highlight w:val="none"/>
          <w:lang w:val="en-US" w:eastAsia="zh-CN"/>
        </w:rPr>
        <w:t>4</w:t>
      </w:r>
      <w:r>
        <w:rPr>
          <w:rFonts w:hint="eastAsia"/>
          <w:highlight w:val="none"/>
        </w:rPr>
        <w:t>.</w:t>
      </w:r>
      <w:r>
        <w:rPr>
          <w:rFonts w:hint="eastAsia"/>
          <w:highlight w:val="none"/>
          <w:lang w:val="en-US" w:eastAsia="zh-CN"/>
        </w:rPr>
        <w:t>5</w:t>
      </w:r>
      <w:r>
        <w:rPr>
          <w:rFonts w:hint="eastAsia"/>
          <w:highlight w:val="none"/>
        </w:rPr>
        <w:t>.</w:t>
      </w:r>
      <w:r>
        <w:rPr>
          <w:rFonts w:hint="eastAsia"/>
          <w:highlight w:val="none"/>
          <w:lang w:val="en-US" w:eastAsia="zh-CN"/>
        </w:rPr>
        <w:t>2地下水超采区治理任务评估应</w:t>
      </w:r>
      <w:r>
        <w:rPr>
          <w:rFonts w:hint="eastAsia"/>
          <w:highlight w:val="none"/>
        </w:rPr>
        <w:t>基于年度</w:t>
      </w:r>
      <w:r>
        <w:rPr>
          <w:rFonts w:hint="eastAsia"/>
          <w:highlight w:val="none"/>
          <w:lang w:eastAsia="zh-CN"/>
        </w:rPr>
        <w:t>评估成果</w:t>
      </w:r>
      <w:r>
        <w:rPr>
          <w:rFonts w:hint="eastAsia"/>
          <w:highlight w:val="none"/>
        </w:rPr>
        <w:t>与调查统计资料</w:t>
      </w:r>
      <w:r>
        <w:rPr>
          <w:rFonts w:hint="eastAsia"/>
          <w:highlight w:val="none"/>
          <w:lang w:eastAsia="zh-CN"/>
        </w:rPr>
        <w:t>，借助遥感技术、地理信息技术等</w:t>
      </w:r>
      <w:r>
        <w:rPr>
          <w:rFonts w:hint="eastAsia"/>
          <w:highlight w:val="none"/>
        </w:rPr>
        <w:t>对地下水超采</w:t>
      </w:r>
      <w:r>
        <w:rPr>
          <w:rFonts w:hint="eastAsia"/>
          <w:highlight w:val="none"/>
          <w:lang w:eastAsia="zh-CN"/>
        </w:rPr>
        <w:t>综合治理项目区的措施实施、维持</w:t>
      </w:r>
      <w:r>
        <w:rPr>
          <w:rFonts w:hint="eastAsia"/>
          <w:highlight w:val="none"/>
          <w:lang w:val="en-US" w:eastAsia="zh-CN"/>
        </w:rPr>
        <w:t>等情况及</w:t>
      </w:r>
      <w:r>
        <w:rPr>
          <w:rFonts w:hint="eastAsia"/>
          <w:highlight w:val="none"/>
        </w:rPr>
        <w:t>地下水压采能力</w:t>
      </w:r>
      <w:r>
        <w:rPr>
          <w:rFonts w:hint="eastAsia"/>
          <w:highlight w:val="none"/>
          <w:lang w:val="en-US" w:eastAsia="zh-CN"/>
        </w:rPr>
        <w:t>进行评估；</w:t>
      </w:r>
      <w:r>
        <w:rPr>
          <w:rFonts w:hint="eastAsia"/>
          <w:highlight w:val="none"/>
        </w:rPr>
        <w:t>地下水超采</w:t>
      </w:r>
      <w:r>
        <w:rPr>
          <w:rFonts w:hint="eastAsia"/>
          <w:highlight w:val="none"/>
          <w:lang w:val="en-US" w:eastAsia="zh-CN"/>
        </w:rPr>
        <w:t>区</w:t>
      </w:r>
      <w:r>
        <w:rPr>
          <w:rFonts w:hint="eastAsia"/>
          <w:highlight w:val="none"/>
        </w:rPr>
        <w:t>治理</w:t>
      </w:r>
      <w:r>
        <w:rPr>
          <w:rFonts w:hint="eastAsia"/>
          <w:highlight w:val="none"/>
          <w:lang w:val="en-US" w:eastAsia="zh-CN"/>
        </w:rPr>
        <w:t>效果</w:t>
      </w:r>
      <w:r>
        <w:rPr>
          <w:rFonts w:hint="eastAsia"/>
          <w:highlight w:val="none"/>
        </w:rPr>
        <w:t>评估应</w:t>
      </w:r>
      <w:r>
        <w:rPr>
          <w:rFonts w:hint="eastAsia"/>
          <w:highlight w:val="none"/>
          <w:lang w:val="en-US" w:eastAsia="zh-CN"/>
        </w:rPr>
        <w:t>在治理任务评估的基础上，</w:t>
      </w:r>
      <w:r>
        <w:rPr>
          <w:rFonts w:hint="eastAsia"/>
          <w:highlight w:val="none"/>
        </w:rPr>
        <w:t>结合区内地下水水位变化情况</w:t>
      </w:r>
      <w:r>
        <w:rPr>
          <w:rFonts w:hint="eastAsia"/>
          <w:highlight w:val="none"/>
          <w:lang w:eastAsia="zh-CN"/>
        </w:rPr>
        <w:t>、</w:t>
      </w:r>
      <w:r>
        <w:rPr>
          <w:rFonts w:hint="eastAsia"/>
          <w:highlight w:val="none"/>
          <w:lang w:val="en-US" w:eastAsia="zh-CN"/>
        </w:rPr>
        <w:t>压采量情况</w:t>
      </w:r>
      <w:r>
        <w:rPr>
          <w:rFonts w:hint="eastAsia"/>
          <w:highlight w:val="none"/>
        </w:rPr>
        <w:t>，进行定量和定性评估。</w:t>
      </w:r>
    </w:p>
    <w:p>
      <w:pPr>
        <w:pageBreakBefore w:val="0"/>
        <w:widowControl w:val="0"/>
        <w:kinsoku/>
        <w:wordWrap/>
        <w:overflowPunct/>
        <w:topLinePunct w:val="0"/>
        <w:bidi w:val="0"/>
        <w:adjustRightInd w:val="0"/>
        <w:snapToGrid w:val="0"/>
        <w:spacing w:line="360" w:lineRule="auto"/>
        <w:textAlignment w:val="auto"/>
        <w:rPr>
          <w:rFonts w:hint="eastAsia"/>
          <w:highlight w:val="none"/>
          <w:lang w:eastAsia="zh-CN"/>
        </w:rPr>
      </w:pPr>
      <w:r>
        <w:rPr>
          <w:rFonts w:hint="eastAsia"/>
          <w:highlight w:val="none"/>
          <w:lang w:val="en-US" w:eastAsia="zh-CN"/>
        </w:rPr>
        <w:t>4.5.3</w:t>
      </w:r>
      <w:r>
        <w:rPr>
          <w:rFonts w:hint="eastAsia"/>
          <w:highlight w:val="none"/>
        </w:rPr>
        <w:t>根据</w:t>
      </w:r>
      <w:r>
        <w:rPr>
          <w:rFonts w:hint="eastAsia"/>
          <w:highlight w:val="none"/>
          <w:lang w:eastAsia="zh-CN"/>
        </w:rPr>
        <w:t>评估结果</w:t>
      </w:r>
      <w:r>
        <w:rPr>
          <w:rFonts w:hint="eastAsia"/>
          <w:highlight w:val="none"/>
          <w:lang w:val="en-US" w:eastAsia="zh-CN"/>
        </w:rPr>
        <w:t>应</w:t>
      </w:r>
      <w:r>
        <w:rPr>
          <w:rFonts w:hint="eastAsia"/>
          <w:highlight w:val="none"/>
        </w:rPr>
        <w:t>提出地下水超采治理</w:t>
      </w:r>
      <w:r>
        <w:rPr>
          <w:rFonts w:hint="eastAsia"/>
          <w:highlight w:val="none"/>
          <w:lang w:eastAsia="zh-CN"/>
        </w:rPr>
        <w:t>的成功经验</w:t>
      </w:r>
      <w:r>
        <w:rPr>
          <w:rFonts w:hint="eastAsia"/>
          <w:highlight w:val="none"/>
        </w:rPr>
        <w:t>与</w:t>
      </w:r>
      <w:r>
        <w:rPr>
          <w:rFonts w:hint="eastAsia"/>
          <w:highlight w:val="none"/>
          <w:lang w:eastAsia="zh-CN"/>
        </w:rPr>
        <w:t>存在问题，并针对具体问题提出</w:t>
      </w:r>
      <w:r>
        <w:rPr>
          <w:rFonts w:hint="eastAsia"/>
          <w:highlight w:val="none"/>
        </w:rPr>
        <w:t>管理对策建议</w:t>
      </w:r>
      <w:r>
        <w:rPr>
          <w:rFonts w:hint="eastAsia"/>
          <w:highlight w:val="none"/>
          <w:lang w:eastAsia="zh-CN"/>
        </w:rPr>
        <w:t>。</w:t>
      </w:r>
    </w:p>
    <w:p>
      <w:pPr>
        <w:pageBreakBefore w:val="0"/>
        <w:widowControl w:val="0"/>
        <w:kinsoku/>
        <w:wordWrap/>
        <w:overflowPunct/>
        <w:topLinePunct w:val="0"/>
        <w:bidi w:val="0"/>
        <w:adjustRightInd w:val="0"/>
        <w:snapToGrid w:val="0"/>
        <w:spacing w:line="360" w:lineRule="auto"/>
        <w:textAlignment w:val="auto"/>
        <w:outlineLvl w:val="1"/>
        <w:rPr>
          <w:rFonts w:hint="default" w:ascii="黑体" w:eastAsia="黑体"/>
          <w:bCs/>
          <w:highlight w:val="none"/>
          <w:lang w:val="en-US"/>
        </w:rPr>
      </w:pPr>
      <w:bookmarkStart w:id="36" w:name="_Toc1638"/>
      <w:r>
        <w:rPr>
          <w:rFonts w:hint="eastAsia" w:ascii="黑体" w:eastAsia="黑体"/>
          <w:highlight w:val="none"/>
          <w:lang w:val="en-US" w:eastAsia="zh-CN"/>
        </w:rPr>
        <w:t>4.6 基本资料</w:t>
      </w:r>
      <w:bookmarkEnd w:id="36"/>
    </w:p>
    <w:p>
      <w:pPr>
        <w:pageBreakBefore w:val="0"/>
        <w:widowControl w:val="0"/>
        <w:numPr>
          <w:ilvl w:val="0"/>
          <w:numId w:val="25"/>
        </w:numPr>
        <w:kinsoku/>
        <w:wordWrap/>
        <w:overflowPunct/>
        <w:topLinePunct w:val="0"/>
        <w:autoSpaceDE w:val="0"/>
        <w:autoSpaceDN w:val="0"/>
        <w:bidi w:val="0"/>
        <w:adjustRightInd w:val="0"/>
        <w:snapToGrid w:val="0"/>
        <w:spacing w:line="360" w:lineRule="auto"/>
        <w:ind w:firstLine="420" w:firstLineChars="200"/>
        <w:jc w:val="left"/>
        <w:textAlignment w:val="auto"/>
        <w:rPr>
          <w:rFonts w:hint="eastAsia"/>
          <w:szCs w:val="21"/>
          <w:highlight w:val="none"/>
        </w:rPr>
      </w:pPr>
      <w:r>
        <w:rPr>
          <w:rFonts w:hint="eastAsia"/>
          <w:szCs w:val="21"/>
          <w:highlight w:val="none"/>
        </w:rPr>
        <w:t>地下水超采综合治理实施方案及有关审批文件</w:t>
      </w:r>
      <w:r>
        <w:rPr>
          <w:rFonts w:hint="eastAsia"/>
          <w:szCs w:val="21"/>
          <w:highlight w:val="none"/>
          <w:lang w:eastAsia="zh-CN"/>
        </w:rPr>
        <w:t>；</w:t>
      </w:r>
    </w:p>
    <w:p>
      <w:pPr>
        <w:pageBreakBefore w:val="0"/>
        <w:widowControl w:val="0"/>
        <w:numPr>
          <w:ilvl w:val="0"/>
          <w:numId w:val="25"/>
        </w:numPr>
        <w:kinsoku/>
        <w:wordWrap/>
        <w:overflowPunct/>
        <w:topLinePunct w:val="0"/>
        <w:autoSpaceDE w:val="0"/>
        <w:autoSpaceDN w:val="0"/>
        <w:bidi w:val="0"/>
        <w:adjustRightInd w:val="0"/>
        <w:snapToGrid w:val="0"/>
        <w:spacing w:line="360" w:lineRule="auto"/>
        <w:ind w:firstLine="420" w:firstLineChars="200"/>
        <w:jc w:val="left"/>
        <w:textAlignment w:val="auto"/>
        <w:rPr>
          <w:rFonts w:hint="eastAsia"/>
          <w:szCs w:val="21"/>
          <w:highlight w:val="none"/>
        </w:rPr>
      </w:pPr>
      <w:r>
        <w:rPr>
          <w:rFonts w:hint="eastAsia"/>
          <w:szCs w:val="21"/>
          <w:highlight w:val="none"/>
        </w:rPr>
        <w:t>地下水超采综合治理机制体制建设</w:t>
      </w:r>
      <w:r>
        <w:rPr>
          <w:rFonts w:hint="eastAsia"/>
          <w:szCs w:val="21"/>
          <w:highlight w:val="none"/>
          <w:lang w:eastAsia="zh-CN"/>
        </w:rPr>
        <w:t>、</w:t>
      </w:r>
      <w:r>
        <w:rPr>
          <w:rFonts w:hint="eastAsia"/>
          <w:szCs w:val="21"/>
          <w:highlight w:val="none"/>
        </w:rPr>
        <w:t>工程措施设计</w:t>
      </w:r>
      <w:r>
        <w:rPr>
          <w:rFonts w:hint="eastAsia"/>
          <w:szCs w:val="21"/>
          <w:highlight w:val="none"/>
          <w:lang w:val="en-US" w:eastAsia="zh-CN"/>
        </w:rPr>
        <w:t>相关</w:t>
      </w:r>
      <w:r>
        <w:rPr>
          <w:rFonts w:hint="eastAsia"/>
          <w:szCs w:val="21"/>
          <w:highlight w:val="none"/>
        </w:rPr>
        <w:t>报告、图纸等</w:t>
      </w:r>
      <w:r>
        <w:rPr>
          <w:rFonts w:hint="eastAsia"/>
          <w:szCs w:val="21"/>
          <w:highlight w:val="none"/>
          <w:lang w:eastAsia="zh-CN"/>
        </w:rPr>
        <w:t>；</w:t>
      </w:r>
    </w:p>
    <w:p>
      <w:pPr>
        <w:pageBreakBefore w:val="0"/>
        <w:widowControl w:val="0"/>
        <w:numPr>
          <w:ilvl w:val="0"/>
          <w:numId w:val="25"/>
        </w:numPr>
        <w:kinsoku/>
        <w:wordWrap/>
        <w:overflowPunct/>
        <w:topLinePunct w:val="0"/>
        <w:autoSpaceDE w:val="0"/>
        <w:autoSpaceDN w:val="0"/>
        <w:bidi w:val="0"/>
        <w:adjustRightInd w:val="0"/>
        <w:snapToGrid w:val="0"/>
        <w:spacing w:line="360" w:lineRule="auto"/>
        <w:ind w:firstLine="420" w:firstLineChars="200"/>
        <w:jc w:val="left"/>
        <w:textAlignment w:val="auto"/>
        <w:rPr>
          <w:szCs w:val="21"/>
          <w:highlight w:val="none"/>
        </w:rPr>
      </w:pPr>
      <w:r>
        <w:rPr>
          <w:rFonts w:hint="eastAsia"/>
          <w:szCs w:val="21"/>
          <w:highlight w:val="none"/>
        </w:rPr>
        <w:t>地下水超采</w:t>
      </w:r>
      <w:r>
        <w:rPr>
          <w:rFonts w:hint="eastAsia"/>
          <w:bCs/>
          <w:snapToGrid w:val="0"/>
          <w:kern w:val="0"/>
          <w:highlight w:val="none"/>
        </w:rPr>
        <w:t>区自然地理、水文气象、社会经济、水资源及其开发利用情况等相关资料</w:t>
      </w:r>
      <w:r>
        <w:rPr>
          <w:rFonts w:hint="eastAsia"/>
          <w:szCs w:val="21"/>
          <w:highlight w:val="none"/>
        </w:rPr>
        <w:t>；</w:t>
      </w:r>
    </w:p>
    <w:p>
      <w:pPr>
        <w:pageBreakBefore w:val="0"/>
        <w:widowControl w:val="0"/>
        <w:numPr>
          <w:ilvl w:val="0"/>
          <w:numId w:val="25"/>
        </w:numPr>
        <w:kinsoku/>
        <w:wordWrap/>
        <w:overflowPunct/>
        <w:topLinePunct w:val="0"/>
        <w:autoSpaceDE w:val="0"/>
        <w:autoSpaceDN w:val="0"/>
        <w:bidi w:val="0"/>
        <w:adjustRightInd w:val="0"/>
        <w:snapToGrid w:val="0"/>
        <w:spacing w:line="360" w:lineRule="auto"/>
        <w:ind w:firstLine="420" w:firstLineChars="200"/>
        <w:jc w:val="left"/>
        <w:textAlignment w:val="auto"/>
        <w:rPr>
          <w:highlight w:val="none"/>
        </w:rPr>
      </w:pPr>
      <w:r>
        <w:rPr>
          <w:rFonts w:hint="eastAsia"/>
          <w:highlight w:val="none"/>
        </w:rPr>
        <w:t>地下水埋藏条件、含水层结构、含水层介质类型、地下水补</w:t>
      </w:r>
      <w:r>
        <w:rPr>
          <w:rFonts w:hint="eastAsia"/>
          <w:highlight w:val="none"/>
          <w:lang w:val="en-US" w:eastAsia="zh-CN"/>
        </w:rPr>
        <w:t>径</w:t>
      </w:r>
      <w:r>
        <w:rPr>
          <w:rFonts w:hint="eastAsia"/>
          <w:highlight w:val="none"/>
        </w:rPr>
        <w:t>排等相关水文地质资料；</w:t>
      </w:r>
    </w:p>
    <w:p>
      <w:pPr>
        <w:pageBreakBefore w:val="0"/>
        <w:widowControl w:val="0"/>
        <w:numPr>
          <w:ilvl w:val="0"/>
          <w:numId w:val="25"/>
        </w:numPr>
        <w:kinsoku/>
        <w:wordWrap/>
        <w:overflowPunct/>
        <w:topLinePunct w:val="0"/>
        <w:autoSpaceDE w:val="0"/>
        <w:autoSpaceDN w:val="0"/>
        <w:bidi w:val="0"/>
        <w:adjustRightInd w:val="0"/>
        <w:snapToGrid w:val="0"/>
        <w:spacing w:line="360" w:lineRule="auto"/>
        <w:ind w:firstLine="420" w:firstLineChars="200"/>
        <w:jc w:val="left"/>
        <w:textAlignment w:val="auto"/>
        <w:rPr>
          <w:highlight w:val="none"/>
        </w:rPr>
      </w:pPr>
      <w:r>
        <w:rPr>
          <w:rFonts w:hint="eastAsia"/>
          <w:bCs/>
          <w:snapToGrid w:val="0"/>
          <w:kern w:val="0"/>
          <w:highlight w:val="none"/>
        </w:rPr>
        <w:t>非常规水利用、地表水利用等相关规划；</w:t>
      </w:r>
    </w:p>
    <w:p>
      <w:pPr>
        <w:pageBreakBefore w:val="0"/>
        <w:widowControl w:val="0"/>
        <w:numPr>
          <w:ilvl w:val="0"/>
          <w:numId w:val="25"/>
        </w:numPr>
        <w:kinsoku/>
        <w:wordWrap/>
        <w:overflowPunct/>
        <w:topLinePunct w:val="0"/>
        <w:autoSpaceDE w:val="0"/>
        <w:autoSpaceDN w:val="0"/>
        <w:bidi w:val="0"/>
        <w:adjustRightInd w:val="0"/>
        <w:snapToGrid w:val="0"/>
        <w:spacing w:line="360" w:lineRule="auto"/>
        <w:ind w:firstLine="420" w:firstLineChars="200"/>
        <w:jc w:val="left"/>
        <w:textAlignment w:val="auto"/>
        <w:rPr>
          <w:highlight w:val="none"/>
        </w:rPr>
      </w:pPr>
      <w:r>
        <w:rPr>
          <w:rFonts w:hint="eastAsia"/>
          <w:highlight w:val="none"/>
        </w:rPr>
        <w:t>各项地下水超采区综合治理措施的实施面积、现状使用、运行维护及治理效果等资料；</w:t>
      </w:r>
    </w:p>
    <w:p>
      <w:pPr>
        <w:pageBreakBefore w:val="0"/>
        <w:widowControl w:val="0"/>
        <w:numPr>
          <w:ilvl w:val="0"/>
          <w:numId w:val="25"/>
        </w:numPr>
        <w:kinsoku/>
        <w:wordWrap/>
        <w:overflowPunct/>
        <w:topLinePunct w:val="0"/>
        <w:autoSpaceDE w:val="0"/>
        <w:autoSpaceDN w:val="0"/>
        <w:bidi w:val="0"/>
        <w:adjustRightInd w:val="0"/>
        <w:snapToGrid w:val="0"/>
        <w:spacing w:line="360" w:lineRule="auto"/>
        <w:ind w:firstLine="420" w:firstLineChars="200"/>
        <w:jc w:val="left"/>
        <w:textAlignment w:val="auto"/>
        <w:rPr>
          <w:bCs/>
          <w:snapToGrid w:val="0"/>
          <w:kern w:val="0"/>
          <w:highlight w:val="none"/>
        </w:rPr>
      </w:pPr>
      <w:r>
        <w:rPr>
          <w:rFonts w:hint="eastAsia"/>
          <w:bCs/>
          <w:snapToGrid w:val="0"/>
          <w:kern w:val="0"/>
          <w:highlight w:val="none"/>
        </w:rPr>
        <w:t>地下水水位监测井监测数据，监测井的密度应尽量满足GB/T 51040的要求，监测数据基本能反映区域地下水水位动态变化情况，应充分利用已有地下水监测站数据，必要时应补充调查或进行统测；</w:t>
      </w:r>
    </w:p>
    <w:p>
      <w:pPr>
        <w:pageBreakBefore w:val="0"/>
        <w:widowControl w:val="0"/>
        <w:numPr>
          <w:ilvl w:val="0"/>
          <w:numId w:val="25"/>
        </w:numPr>
        <w:kinsoku/>
        <w:wordWrap/>
        <w:overflowPunct/>
        <w:topLinePunct w:val="0"/>
        <w:autoSpaceDE w:val="0"/>
        <w:autoSpaceDN w:val="0"/>
        <w:bidi w:val="0"/>
        <w:adjustRightInd w:val="0"/>
        <w:snapToGrid w:val="0"/>
        <w:spacing w:line="360" w:lineRule="auto"/>
        <w:ind w:firstLine="420" w:firstLineChars="200"/>
        <w:jc w:val="left"/>
        <w:textAlignment w:val="auto"/>
        <w:rPr>
          <w:bCs/>
          <w:snapToGrid w:val="0"/>
          <w:kern w:val="0"/>
          <w:highlight w:val="none"/>
        </w:rPr>
      </w:pPr>
      <w:r>
        <w:rPr>
          <w:rFonts w:hint="eastAsia"/>
          <w:highlight w:val="none"/>
        </w:rPr>
        <w:t>地下水补给量、可开采量、</w:t>
      </w:r>
      <w:r>
        <w:rPr>
          <w:rFonts w:hint="eastAsia" w:ascii="Times New Roman" w:hAnsi="Times New Roman" w:eastAsia="宋体" w:cs="Times New Roman"/>
          <w:szCs w:val="20"/>
          <w:highlight w:val="none"/>
          <w:lang w:val="en-US" w:eastAsia="zh-CN"/>
        </w:rPr>
        <w:t>实际监测数据、用水统计系统获取开采量</w:t>
      </w:r>
      <w:r>
        <w:rPr>
          <w:rFonts w:hint="eastAsia"/>
          <w:bCs/>
          <w:snapToGrid w:val="0"/>
          <w:kern w:val="0"/>
          <w:highlight w:val="none"/>
        </w:rPr>
        <w:t>等</w:t>
      </w:r>
      <w:r>
        <w:rPr>
          <w:rFonts w:hint="eastAsia"/>
          <w:highlight w:val="none"/>
        </w:rPr>
        <w:t>资料，包括水资源公报、水利统计年鉴、最新</w:t>
      </w:r>
      <w:r>
        <w:rPr>
          <w:rFonts w:hint="eastAsia"/>
          <w:highlight w:val="none"/>
          <w:lang w:eastAsia="zh-CN"/>
        </w:rPr>
        <w:t>（</w:t>
      </w:r>
      <w:r>
        <w:rPr>
          <w:rFonts w:hint="eastAsia"/>
          <w:highlight w:val="none"/>
          <w:lang w:val="en-US" w:eastAsia="zh-CN"/>
        </w:rPr>
        <w:t>或最近</w:t>
      </w:r>
      <w:r>
        <w:rPr>
          <w:rFonts w:hint="eastAsia"/>
          <w:highlight w:val="none"/>
          <w:lang w:eastAsia="zh-CN"/>
        </w:rPr>
        <w:t>）</w:t>
      </w:r>
      <w:r>
        <w:rPr>
          <w:rFonts w:hint="eastAsia"/>
          <w:highlight w:val="none"/>
        </w:rPr>
        <w:t>水资源调查评价</w:t>
      </w:r>
      <w:r>
        <w:rPr>
          <w:rFonts w:hint="eastAsia"/>
          <w:highlight w:val="none"/>
          <w:lang w:val="en-US" w:eastAsia="zh-CN"/>
        </w:rPr>
        <w:t>成果</w:t>
      </w:r>
      <w:r>
        <w:rPr>
          <w:rFonts w:hint="eastAsia"/>
          <w:highlight w:val="none"/>
        </w:rPr>
        <w:t>和取水工程核查登记等资料</w:t>
      </w:r>
      <w:r>
        <w:rPr>
          <w:rFonts w:hint="eastAsia"/>
          <w:bCs/>
          <w:snapToGrid w:val="0"/>
          <w:kern w:val="0"/>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outlineLvl w:val="1"/>
        <w:rPr>
          <w:rFonts w:hint="eastAsia" w:ascii="黑体" w:eastAsia="黑体"/>
          <w:color w:val="C00000"/>
          <w:highlight w:val="none"/>
        </w:rPr>
      </w:pPr>
      <w:bookmarkStart w:id="37" w:name="_Toc22325"/>
      <w:r>
        <w:rPr>
          <w:rFonts w:hint="eastAsia" w:ascii="黑体" w:eastAsia="黑体"/>
          <w:highlight w:val="none"/>
          <w:lang w:val="en-US" w:eastAsia="zh-CN"/>
        </w:rPr>
        <w:t>4.7</w:t>
      </w:r>
      <w:r>
        <w:rPr>
          <w:rFonts w:hint="eastAsia" w:ascii="黑体" w:eastAsia="黑体"/>
          <w:highlight w:val="none"/>
        </w:rPr>
        <w:t xml:space="preserve"> </w:t>
      </w:r>
      <w:r>
        <w:rPr>
          <w:rFonts w:hint="eastAsia" w:ascii="黑体" w:eastAsia="黑体"/>
          <w:highlight w:val="none"/>
          <w:lang w:val="en-US" w:eastAsia="zh-CN"/>
        </w:rPr>
        <w:t>治理</w:t>
      </w:r>
      <w:r>
        <w:rPr>
          <w:rFonts w:hint="eastAsia" w:ascii="黑体" w:eastAsia="黑体"/>
          <w:color w:val="auto"/>
          <w:highlight w:val="none"/>
          <w:lang w:val="en-US" w:eastAsia="zh-CN"/>
        </w:rPr>
        <w:t>任务评估</w:t>
      </w:r>
      <w:bookmarkEnd w:id="37"/>
    </w:p>
    <w:p>
      <w:pPr>
        <w:pageBreakBefore w:val="0"/>
        <w:widowControl w:val="0"/>
        <w:kinsoku/>
        <w:wordWrap/>
        <w:overflowPunct/>
        <w:topLinePunct w:val="0"/>
        <w:bidi w:val="0"/>
        <w:adjustRightInd w:val="0"/>
        <w:snapToGrid w:val="0"/>
        <w:spacing w:line="360" w:lineRule="auto"/>
        <w:textAlignment w:val="auto"/>
        <w:outlineLvl w:val="3"/>
        <w:rPr>
          <w:rFonts w:ascii="黑体" w:eastAsia="黑体"/>
          <w:highlight w:val="none"/>
        </w:rPr>
      </w:pPr>
      <w:r>
        <w:rPr>
          <w:rFonts w:hint="eastAsia" w:ascii="黑体" w:eastAsia="黑体"/>
          <w:highlight w:val="none"/>
          <w:lang w:val="en-US" w:eastAsia="zh-CN"/>
        </w:rPr>
        <w:t>4.7</w:t>
      </w:r>
      <w:r>
        <w:rPr>
          <w:rFonts w:hint="eastAsia" w:ascii="黑体" w:eastAsia="黑体"/>
          <w:highlight w:val="none"/>
        </w:rPr>
        <w:t xml:space="preserve">.1 </w:t>
      </w:r>
      <w:r>
        <w:rPr>
          <w:rFonts w:hint="eastAsia" w:eastAsia="黑体"/>
          <w:highlight w:val="none"/>
        </w:rPr>
        <w:t>节水措施</w:t>
      </w:r>
    </w:p>
    <w:p>
      <w:pPr>
        <w:pageBreakBefore w:val="0"/>
        <w:widowControl w:val="0"/>
        <w:kinsoku/>
        <w:wordWrap/>
        <w:overflowPunct/>
        <w:topLinePunct w:val="0"/>
        <w:bidi w:val="0"/>
        <w:adjustRightInd w:val="0"/>
        <w:snapToGrid w:val="0"/>
        <w:spacing w:line="360" w:lineRule="auto"/>
        <w:ind w:firstLine="420" w:firstLineChars="200"/>
        <w:textAlignment w:val="auto"/>
        <w:outlineLvl w:val="9"/>
        <w:rPr>
          <w:highlight w:val="none"/>
        </w:rPr>
      </w:pPr>
      <w:r>
        <w:rPr>
          <w:rFonts w:hint="eastAsia"/>
          <w:highlight w:val="none"/>
        </w:rPr>
        <w:t>a）</w:t>
      </w:r>
      <w:r>
        <w:rPr>
          <w:rFonts w:hint="eastAsia"/>
          <w:highlight w:val="none"/>
          <w:lang w:val="en-US" w:eastAsia="zh-CN"/>
        </w:rPr>
        <w:t xml:space="preserve">  </w:t>
      </w:r>
      <w:r>
        <w:rPr>
          <w:rFonts w:hint="eastAsia"/>
          <w:highlight w:val="none"/>
        </w:rPr>
        <w:t>在农业节水方面，完成大中型灌区续建配套节水改造，实施高效节水灌溉以及节水型养殖业、节水型渔业和</w:t>
      </w:r>
      <w:r>
        <w:rPr>
          <w:rFonts w:hint="eastAsia"/>
          <w:highlight w:val="none"/>
          <w:lang w:val="en-US" w:eastAsia="zh-CN"/>
        </w:rPr>
        <w:t>节水型</w:t>
      </w:r>
      <w:r>
        <w:rPr>
          <w:rFonts w:hint="eastAsia"/>
          <w:highlight w:val="none"/>
        </w:rPr>
        <w:t>牧业建设等治理任务；</w:t>
      </w:r>
    </w:p>
    <w:p>
      <w:pPr>
        <w:pageBreakBefore w:val="0"/>
        <w:widowControl w:val="0"/>
        <w:kinsoku/>
        <w:wordWrap/>
        <w:overflowPunct/>
        <w:topLinePunct w:val="0"/>
        <w:bidi w:val="0"/>
        <w:adjustRightInd w:val="0"/>
        <w:snapToGrid w:val="0"/>
        <w:spacing w:line="360" w:lineRule="auto"/>
        <w:ind w:firstLine="420" w:firstLineChars="200"/>
        <w:textAlignment w:val="auto"/>
        <w:outlineLvl w:val="9"/>
        <w:rPr>
          <w:highlight w:val="none"/>
        </w:rPr>
      </w:pPr>
      <w:r>
        <w:rPr>
          <w:rFonts w:hint="eastAsia"/>
          <w:highlight w:val="none"/>
        </w:rPr>
        <w:t>b）</w:t>
      </w:r>
      <w:r>
        <w:rPr>
          <w:rFonts w:hint="eastAsia"/>
          <w:highlight w:val="none"/>
          <w:lang w:val="en-US" w:eastAsia="zh-CN"/>
        </w:rPr>
        <w:t xml:space="preserve">  </w:t>
      </w:r>
      <w:r>
        <w:rPr>
          <w:rFonts w:hint="eastAsia"/>
          <w:highlight w:val="none"/>
        </w:rPr>
        <w:t>在工业节水方面，</w:t>
      </w:r>
      <w:r>
        <w:rPr>
          <w:rFonts w:hint="eastAsia"/>
          <w:highlight w:val="none"/>
          <w:lang w:val="en-US" w:eastAsia="zh-CN"/>
        </w:rPr>
        <w:t>完成</w:t>
      </w:r>
      <w:r>
        <w:rPr>
          <w:rFonts w:hint="eastAsia"/>
          <w:highlight w:val="none"/>
        </w:rPr>
        <w:t>节水技术改造、废水资源化利用等治理</w:t>
      </w:r>
      <w:r>
        <w:rPr>
          <w:rFonts w:hint="eastAsia"/>
          <w:highlight w:val="none"/>
          <w:lang w:val="en-US" w:eastAsia="zh-CN"/>
        </w:rPr>
        <w:t>任务</w:t>
      </w:r>
      <w:r>
        <w:rPr>
          <w:rFonts w:hint="eastAsia"/>
          <w:highlight w:val="none"/>
        </w:rPr>
        <w:t>；</w:t>
      </w:r>
    </w:p>
    <w:p>
      <w:pPr>
        <w:pageBreakBefore w:val="0"/>
        <w:widowControl w:val="0"/>
        <w:kinsoku/>
        <w:wordWrap/>
        <w:overflowPunct/>
        <w:topLinePunct w:val="0"/>
        <w:bidi w:val="0"/>
        <w:adjustRightInd w:val="0"/>
        <w:snapToGrid w:val="0"/>
        <w:spacing w:line="360" w:lineRule="auto"/>
        <w:ind w:firstLine="420" w:firstLineChars="200"/>
        <w:textAlignment w:val="auto"/>
        <w:outlineLvl w:val="9"/>
        <w:rPr>
          <w:highlight w:val="none"/>
        </w:rPr>
      </w:pPr>
      <w:r>
        <w:rPr>
          <w:rFonts w:hint="eastAsia"/>
          <w:highlight w:val="none"/>
        </w:rPr>
        <w:t>c）</w:t>
      </w:r>
      <w:r>
        <w:rPr>
          <w:rFonts w:hint="eastAsia"/>
          <w:highlight w:val="none"/>
          <w:lang w:val="en-US" w:eastAsia="zh-CN"/>
        </w:rPr>
        <w:t xml:space="preserve">  </w:t>
      </w:r>
      <w:r>
        <w:rPr>
          <w:rFonts w:hint="eastAsia"/>
          <w:highlight w:val="none"/>
        </w:rPr>
        <w:t>在生活节水方面，节水器具普及率、城市公共供水管网漏损率等达到规划要求</w:t>
      </w:r>
      <w:r>
        <w:rPr>
          <w:highlight w:val="none"/>
        </w:rPr>
        <w:t>。</w:t>
      </w:r>
    </w:p>
    <w:p>
      <w:pPr>
        <w:pageBreakBefore w:val="0"/>
        <w:widowControl w:val="0"/>
        <w:kinsoku/>
        <w:wordWrap/>
        <w:overflowPunct/>
        <w:topLinePunct w:val="0"/>
        <w:bidi w:val="0"/>
        <w:adjustRightInd w:val="0"/>
        <w:snapToGrid w:val="0"/>
        <w:spacing w:line="360" w:lineRule="auto"/>
        <w:textAlignment w:val="auto"/>
        <w:outlineLvl w:val="3"/>
        <w:rPr>
          <w:rFonts w:ascii="黑体" w:eastAsia="黑体"/>
          <w:highlight w:val="none"/>
        </w:rPr>
      </w:pPr>
      <w:r>
        <w:rPr>
          <w:rFonts w:hint="eastAsia" w:ascii="黑体" w:eastAsia="黑体"/>
          <w:highlight w:val="none"/>
          <w:lang w:val="en-US" w:eastAsia="zh-CN"/>
        </w:rPr>
        <w:t>4.7</w:t>
      </w:r>
      <w:r>
        <w:rPr>
          <w:rFonts w:hint="eastAsia" w:ascii="黑体" w:eastAsia="黑体"/>
          <w:highlight w:val="none"/>
        </w:rPr>
        <w:t>.2  结构调整措施</w:t>
      </w:r>
    </w:p>
    <w:p>
      <w:pPr>
        <w:pageBreakBefore w:val="0"/>
        <w:widowControl w:val="0"/>
        <w:kinsoku/>
        <w:wordWrap/>
        <w:overflowPunct/>
        <w:topLinePunct w:val="0"/>
        <w:bidi w:val="0"/>
        <w:adjustRightInd w:val="0"/>
        <w:snapToGrid w:val="0"/>
        <w:spacing w:line="360" w:lineRule="auto"/>
        <w:ind w:firstLine="420" w:firstLineChars="200"/>
        <w:textAlignment w:val="auto"/>
        <w:outlineLvl w:val="9"/>
        <w:rPr>
          <w:highlight w:val="none"/>
        </w:rPr>
      </w:pPr>
      <w:r>
        <w:rPr>
          <w:rFonts w:hint="eastAsia"/>
          <w:highlight w:val="none"/>
        </w:rPr>
        <w:t xml:space="preserve">a)  </w:t>
      </w:r>
      <w:r>
        <w:rPr>
          <w:rFonts w:hint="eastAsia"/>
          <w:highlight w:val="none"/>
          <w:lang w:val="en-US" w:eastAsia="zh-CN"/>
        </w:rPr>
        <w:t>完成</w:t>
      </w:r>
      <w:r>
        <w:rPr>
          <w:rFonts w:hint="eastAsia"/>
          <w:highlight w:val="none"/>
        </w:rPr>
        <w:t>高耗水品种改种低耗水农作物、非农作物替代农作物、季节性休耕、</w:t>
      </w:r>
      <w:r>
        <w:rPr>
          <w:rFonts w:hint="eastAsia"/>
          <w:highlight w:val="none"/>
          <w:lang w:eastAsia="zh-CN"/>
        </w:rPr>
        <w:t>旱作雨养</w:t>
      </w:r>
      <w:r>
        <w:rPr>
          <w:rFonts w:hint="eastAsia"/>
          <w:highlight w:val="none"/>
        </w:rPr>
        <w:t>等项目</w:t>
      </w:r>
      <w:r>
        <w:rPr>
          <w:rFonts w:hint="eastAsia"/>
          <w:highlight w:val="none"/>
          <w:lang w:eastAsia="zh-CN"/>
        </w:rPr>
        <w:t>治理</w:t>
      </w:r>
      <w:r>
        <w:rPr>
          <w:rFonts w:hint="eastAsia"/>
          <w:highlight w:val="none"/>
        </w:rPr>
        <w:t>任务；</w:t>
      </w:r>
    </w:p>
    <w:p>
      <w:pPr>
        <w:pageBreakBefore w:val="0"/>
        <w:widowControl w:val="0"/>
        <w:kinsoku/>
        <w:wordWrap/>
        <w:overflowPunct/>
        <w:topLinePunct w:val="0"/>
        <w:bidi w:val="0"/>
        <w:adjustRightInd w:val="0"/>
        <w:snapToGrid w:val="0"/>
        <w:spacing w:line="360" w:lineRule="auto"/>
        <w:ind w:firstLine="420" w:firstLineChars="200"/>
        <w:textAlignment w:val="auto"/>
        <w:outlineLvl w:val="9"/>
        <w:rPr>
          <w:highlight w:val="none"/>
        </w:rPr>
      </w:pPr>
      <w:r>
        <w:rPr>
          <w:highlight w:val="none"/>
        </w:rPr>
        <w:t>b</w:t>
      </w:r>
      <w:r>
        <w:rPr>
          <w:rFonts w:hint="eastAsia"/>
          <w:highlight w:val="none"/>
        </w:rPr>
        <w:t>)  高耗水</w:t>
      </w:r>
      <w:r>
        <w:rPr>
          <w:rFonts w:hint="eastAsia"/>
          <w:highlight w:val="none"/>
          <w:lang w:val="en-US" w:eastAsia="zh-CN"/>
        </w:rPr>
        <w:t>行业未新</w:t>
      </w:r>
      <w:r>
        <w:rPr>
          <w:rFonts w:hint="eastAsia"/>
          <w:highlight w:val="none"/>
        </w:rPr>
        <w:t>增地下水取水量；</w:t>
      </w:r>
    </w:p>
    <w:p>
      <w:pPr>
        <w:pageBreakBefore w:val="0"/>
        <w:widowControl w:val="0"/>
        <w:kinsoku/>
        <w:wordWrap/>
        <w:overflowPunct/>
        <w:topLinePunct w:val="0"/>
        <w:bidi w:val="0"/>
        <w:adjustRightInd w:val="0"/>
        <w:snapToGrid w:val="0"/>
        <w:spacing w:line="360" w:lineRule="auto"/>
        <w:ind w:firstLine="420" w:firstLineChars="200"/>
        <w:textAlignment w:val="auto"/>
        <w:outlineLvl w:val="9"/>
        <w:rPr>
          <w:highlight w:val="none"/>
        </w:rPr>
      </w:pPr>
      <w:r>
        <w:rPr>
          <w:rFonts w:hint="eastAsia"/>
          <w:highlight w:val="none"/>
        </w:rPr>
        <w:t>c)  完成国家及地方确定的产业结构调整、淘汰落后产能等</w:t>
      </w:r>
      <w:r>
        <w:rPr>
          <w:rFonts w:hint="eastAsia"/>
          <w:highlight w:val="none"/>
          <w:lang w:val="en-US" w:eastAsia="zh-CN"/>
        </w:rPr>
        <w:t>任务</w:t>
      </w:r>
      <w:r>
        <w:rPr>
          <w:highlight w:val="none"/>
        </w:rPr>
        <w:t>。</w:t>
      </w:r>
    </w:p>
    <w:p>
      <w:pPr>
        <w:pageBreakBefore w:val="0"/>
        <w:widowControl w:val="0"/>
        <w:kinsoku/>
        <w:wordWrap/>
        <w:overflowPunct/>
        <w:topLinePunct w:val="0"/>
        <w:bidi w:val="0"/>
        <w:adjustRightInd w:val="0"/>
        <w:snapToGrid w:val="0"/>
        <w:spacing w:line="360" w:lineRule="auto"/>
        <w:textAlignment w:val="auto"/>
        <w:outlineLvl w:val="3"/>
        <w:rPr>
          <w:rFonts w:ascii="黑体" w:eastAsia="黑体"/>
          <w:highlight w:val="none"/>
        </w:rPr>
      </w:pPr>
      <w:r>
        <w:rPr>
          <w:rFonts w:hint="eastAsia" w:ascii="黑体" w:eastAsia="黑体"/>
          <w:highlight w:val="none"/>
          <w:lang w:val="en-US" w:eastAsia="zh-CN"/>
        </w:rPr>
        <w:t>4.7</w:t>
      </w:r>
      <w:r>
        <w:rPr>
          <w:rFonts w:hint="eastAsia" w:ascii="黑体" w:eastAsia="黑体"/>
          <w:highlight w:val="none"/>
        </w:rPr>
        <w:t>.3  水源置换措施</w:t>
      </w:r>
    </w:p>
    <w:p>
      <w:pPr>
        <w:pageBreakBefore w:val="0"/>
        <w:widowControl w:val="0"/>
        <w:kinsoku/>
        <w:wordWrap/>
        <w:overflowPunct/>
        <w:topLinePunct w:val="0"/>
        <w:bidi w:val="0"/>
        <w:adjustRightInd w:val="0"/>
        <w:snapToGrid w:val="0"/>
        <w:spacing w:line="360" w:lineRule="auto"/>
        <w:ind w:firstLine="420" w:firstLineChars="200"/>
        <w:textAlignment w:val="auto"/>
        <w:outlineLvl w:val="9"/>
        <w:rPr>
          <w:highlight w:val="none"/>
        </w:rPr>
      </w:pPr>
      <w:r>
        <w:rPr>
          <w:rFonts w:hint="eastAsia"/>
          <w:highlight w:val="none"/>
        </w:rPr>
        <w:t xml:space="preserve">a） </w:t>
      </w:r>
      <w:r>
        <w:rPr>
          <w:highlight w:val="none"/>
        </w:rPr>
        <w:t xml:space="preserve"> </w:t>
      </w:r>
      <w:r>
        <w:rPr>
          <w:rFonts w:hint="eastAsia"/>
          <w:highlight w:val="none"/>
        </w:rPr>
        <w:t>城镇工业和生活、农村生活完成</w:t>
      </w:r>
      <w:r>
        <w:rPr>
          <w:rFonts w:hint="eastAsia"/>
          <w:highlight w:val="none"/>
          <w:lang w:eastAsia="zh-CN"/>
        </w:rPr>
        <w:t>年度</w:t>
      </w:r>
      <w:r>
        <w:rPr>
          <w:rFonts w:hint="eastAsia"/>
          <w:highlight w:val="none"/>
        </w:rPr>
        <w:t>水源置换</w:t>
      </w:r>
      <w:r>
        <w:rPr>
          <w:rFonts w:hint="eastAsia"/>
          <w:highlight w:val="none"/>
          <w:lang w:val="en-US" w:eastAsia="zh-CN"/>
        </w:rPr>
        <w:t>建设</w:t>
      </w:r>
      <w:r>
        <w:rPr>
          <w:rFonts w:hint="eastAsia"/>
          <w:highlight w:val="none"/>
          <w:lang w:eastAsia="zh-CN"/>
        </w:rPr>
        <w:t>任务</w:t>
      </w:r>
      <w:r>
        <w:rPr>
          <w:rFonts w:hint="eastAsia"/>
          <w:highlight w:val="none"/>
        </w:rPr>
        <w:t>；</w:t>
      </w:r>
    </w:p>
    <w:p>
      <w:pPr>
        <w:pageBreakBefore w:val="0"/>
        <w:widowControl w:val="0"/>
        <w:kinsoku/>
        <w:wordWrap/>
        <w:overflowPunct/>
        <w:topLinePunct w:val="0"/>
        <w:bidi w:val="0"/>
        <w:adjustRightInd w:val="0"/>
        <w:snapToGrid w:val="0"/>
        <w:spacing w:line="360" w:lineRule="auto"/>
        <w:ind w:firstLine="420" w:firstLineChars="200"/>
        <w:textAlignment w:val="auto"/>
        <w:outlineLvl w:val="9"/>
        <w:rPr>
          <w:highlight w:val="none"/>
        </w:rPr>
      </w:pPr>
      <w:r>
        <w:rPr>
          <w:rFonts w:hint="eastAsia"/>
          <w:highlight w:val="none"/>
        </w:rPr>
        <w:t>b）</w:t>
      </w:r>
      <w:r>
        <w:rPr>
          <w:rFonts w:hint="eastAsia"/>
          <w:highlight w:val="none"/>
          <w:lang w:val="en-US" w:eastAsia="zh-CN"/>
        </w:rPr>
        <w:t xml:space="preserve">  </w:t>
      </w:r>
      <w:r>
        <w:rPr>
          <w:rFonts w:hint="eastAsia"/>
          <w:highlight w:val="none"/>
        </w:rPr>
        <w:t>农业灌溉</w:t>
      </w:r>
      <w:r>
        <w:rPr>
          <w:rFonts w:hint="eastAsia"/>
          <w:highlight w:val="none"/>
          <w:lang w:eastAsia="zh-CN"/>
        </w:rPr>
        <w:t>完成年度</w:t>
      </w:r>
      <w:r>
        <w:rPr>
          <w:rFonts w:hint="eastAsia"/>
          <w:highlight w:val="none"/>
          <w:lang w:val="en-US" w:eastAsia="zh-CN"/>
        </w:rPr>
        <w:t>水源置换</w:t>
      </w:r>
      <w:r>
        <w:rPr>
          <w:rFonts w:hint="eastAsia"/>
          <w:highlight w:val="none"/>
          <w:lang w:eastAsia="zh-CN"/>
        </w:rPr>
        <w:t>建设任务</w:t>
      </w:r>
      <w:r>
        <w:rPr>
          <w:rFonts w:hint="eastAsia"/>
          <w:highlight w:val="none"/>
        </w:rPr>
        <w:t>；</w:t>
      </w:r>
    </w:p>
    <w:p>
      <w:pPr>
        <w:pageBreakBefore w:val="0"/>
        <w:widowControl w:val="0"/>
        <w:kinsoku/>
        <w:wordWrap/>
        <w:overflowPunct/>
        <w:topLinePunct w:val="0"/>
        <w:bidi w:val="0"/>
        <w:adjustRightInd w:val="0"/>
        <w:snapToGrid w:val="0"/>
        <w:spacing w:line="360" w:lineRule="auto"/>
        <w:ind w:firstLine="420" w:firstLineChars="200"/>
        <w:textAlignment w:val="auto"/>
        <w:outlineLvl w:val="9"/>
        <w:rPr>
          <w:rFonts w:hint="eastAsia"/>
          <w:highlight w:val="none"/>
        </w:rPr>
      </w:pPr>
      <w:r>
        <w:rPr>
          <w:rFonts w:hint="eastAsia"/>
          <w:highlight w:val="none"/>
        </w:rPr>
        <w:t>d）</w:t>
      </w:r>
      <w:r>
        <w:rPr>
          <w:rFonts w:hint="eastAsia"/>
          <w:highlight w:val="none"/>
          <w:lang w:val="en-US" w:eastAsia="zh-CN"/>
        </w:rPr>
        <w:t xml:space="preserve">  </w:t>
      </w:r>
      <w:r>
        <w:rPr>
          <w:rFonts w:hint="eastAsia"/>
          <w:highlight w:val="none"/>
        </w:rPr>
        <w:t>再生水利用率、海水淡化利用量</w:t>
      </w:r>
      <w:r>
        <w:rPr>
          <w:rFonts w:hint="eastAsia"/>
          <w:highlight w:val="none"/>
          <w:lang w:val="en-US" w:eastAsia="zh-CN"/>
        </w:rPr>
        <w:t>等</w:t>
      </w:r>
      <w:r>
        <w:rPr>
          <w:rFonts w:hint="eastAsia"/>
          <w:highlight w:val="none"/>
        </w:rPr>
        <w:t>非常规水利用量均达到</w:t>
      </w:r>
      <w:r>
        <w:rPr>
          <w:rFonts w:hint="eastAsia"/>
          <w:highlight w:val="none"/>
          <w:lang w:eastAsia="zh-CN"/>
        </w:rPr>
        <w:t>年度</w:t>
      </w:r>
      <w:r>
        <w:rPr>
          <w:rFonts w:hint="eastAsia"/>
          <w:highlight w:val="none"/>
        </w:rPr>
        <w:t>目标要求</w:t>
      </w:r>
      <w:r>
        <w:rPr>
          <w:highlight w:val="none"/>
        </w:rPr>
        <w:t>。</w:t>
      </w:r>
    </w:p>
    <w:p>
      <w:pPr>
        <w:pageBreakBefore w:val="0"/>
        <w:widowControl w:val="0"/>
        <w:kinsoku/>
        <w:wordWrap/>
        <w:overflowPunct/>
        <w:topLinePunct w:val="0"/>
        <w:bidi w:val="0"/>
        <w:adjustRightInd w:val="0"/>
        <w:snapToGrid w:val="0"/>
        <w:spacing w:line="360" w:lineRule="auto"/>
        <w:textAlignment w:val="auto"/>
        <w:outlineLvl w:val="3"/>
        <w:rPr>
          <w:rFonts w:ascii="黑体" w:eastAsia="黑体"/>
          <w:highlight w:val="none"/>
        </w:rPr>
      </w:pPr>
      <w:r>
        <w:rPr>
          <w:rFonts w:hint="eastAsia" w:ascii="黑体" w:eastAsia="黑体"/>
          <w:highlight w:val="none"/>
          <w:lang w:val="en-US" w:eastAsia="zh-CN"/>
        </w:rPr>
        <w:t>4.7</w:t>
      </w:r>
      <w:r>
        <w:rPr>
          <w:rFonts w:hint="eastAsia" w:ascii="黑体" w:eastAsia="黑体"/>
          <w:highlight w:val="none"/>
        </w:rPr>
        <w:t>.</w:t>
      </w:r>
      <w:r>
        <w:rPr>
          <w:rFonts w:hint="eastAsia" w:ascii="黑体" w:eastAsia="黑体"/>
          <w:highlight w:val="none"/>
          <w:lang w:val="en-US" w:eastAsia="zh-CN"/>
        </w:rPr>
        <w:t>4</w:t>
      </w:r>
      <w:r>
        <w:rPr>
          <w:rFonts w:hint="eastAsia" w:ascii="黑体" w:eastAsia="黑体"/>
          <w:highlight w:val="none"/>
        </w:rPr>
        <w:t xml:space="preserve">  </w:t>
      </w:r>
      <w:r>
        <w:rPr>
          <w:rFonts w:hint="eastAsia" w:ascii="黑体" w:eastAsia="黑体"/>
          <w:highlight w:val="none"/>
          <w:lang w:val="en-US" w:eastAsia="zh-CN"/>
        </w:rPr>
        <w:t>生态补水</w:t>
      </w:r>
      <w:r>
        <w:rPr>
          <w:rFonts w:hint="eastAsia" w:ascii="黑体" w:eastAsia="黑体"/>
          <w:highlight w:val="none"/>
        </w:rPr>
        <w:t>措施</w:t>
      </w:r>
    </w:p>
    <w:p>
      <w:pPr>
        <w:pageBreakBefore w:val="0"/>
        <w:widowControl w:val="0"/>
        <w:kinsoku/>
        <w:wordWrap/>
        <w:overflowPunct/>
        <w:topLinePunct w:val="0"/>
        <w:bidi w:val="0"/>
        <w:adjustRightInd w:val="0"/>
        <w:snapToGrid w:val="0"/>
        <w:spacing w:line="360" w:lineRule="auto"/>
        <w:ind w:firstLine="420" w:firstLineChars="200"/>
        <w:textAlignment w:val="auto"/>
        <w:outlineLvl w:val="9"/>
        <w:rPr>
          <w:highlight w:val="none"/>
        </w:rPr>
      </w:pPr>
      <w:r>
        <w:rPr>
          <w:rFonts w:hint="eastAsia"/>
          <w:highlight w:val="none"/>
        </w:rPr>
        <w:t xml:space="preserve">a） </w:t>
      </w:r>
      <w:r>
        <w:rPr>
          <w:highlight w:val="none"/>
        </w:rPr>
        <w:t xml:space="preserve"> </w:t>
      </w:r>
      <w:r>
        <w:rPr>
          <w:rFonts w:hint="eastAsia"/>
          <w:highlight w:val="none"/>
          <w:lang w:val="en-US" w:eastAsia="zh-CN"/>
        </w:rPr>
        <w:t>完成</w:t>
      </w:r>
      <w:r>
        <w:rPr>
          <w:rFonts w:hint="eastAsia"/>
          <w:highlight w:val="none"/>
        </w:rPr>
        <w:t>年</w:t>
      </w:r>
      <w:r>
        <w:rPr>
          <w:rFonts w:hint="eastAsia"/>
          <w:highlight w:val="none"/>
          <w:lang w:val="en-US" w:eastAsia="zh-CN"/>
        </w:rPr>
        <w:t>度</w:t>
      </w:r>
      <w:r>
        <w:rPr>
          <w:rFonts w:hint="eastAsia"/>
          <w:highlight w:val="none"/>
        </w:rPr>
        <w:t>生态补水</w:t>
      </w:r>
      <w:r>
        <w:rPr>
          <w:rFonts w:hint="eastAsia"/>
          <w:highlight w:val="none"/>
          <w:lang w:val="en-US" w:eastAsia="zh-CN"/>
        </w:rPr>
        <w:t>任务，补水量、补水河道数量、补水河段长度等指标达到目标要求。</w:t>
      </w:r>
    </w:p>
    <w:p>
      <w:pPr>
        <w:pageBreakBefore w:val="0"/>
        <w:widowControl w:val="0"/>
        <w:kinsoku/>
        <w:wordWrap/>
        <w:overflowPunct/>
        <w:topLinePunct w:val="0"/>
        <w:bidi w:val="0"/>
        <w:adjustRightInd w:val="0"/>
        <w:snapToGrid w:val="0"/>
        <w:spacing w:line="360" w:lineRule="auto"/>
        <w:textAlignment w:val="auto"/>
        <w:outlineLvl w:val="3"/>
        <w:rPr>
          <w:rFonts w:ascii="黑体" w:eastAsia="黑体"/>
          <w:highlight w:val="none"/>
        </w:rPr>
      </w:pPr>
      <w:r>
        <w:rPr>
          <w:rFonts w:hint="eastAsia" w:ascii="黑体" w:eastAsia="黑体"/>
          <w:highlight w:val="none"/>
          <w:lang w:val="en-US" w:eastAsia="zh-CN"/>
        </w:rPr>
        <w:t>4.7</w:t>
      </w:r>
      <w:r>
        <w:rPr>
          <w:rFonts w:hint="eastAsia" w:ascii="黑体" w:eastAsia="黑体"/>
          <w:highlight w:val="none"/>
        </w:rPr>
        <w:t>.</w:t>
      </w:r>
      <w:r>
        <w:rPr>
          <w:rFonts w:hint="eastAsia" w:ascii="黑体" w:eastAsia="黑体"/>
          <w:highlight w:val="none"/>
          <w:lang w:val="en-US" w:eastAsia="zh-CN"/>
        </w:rPr>
        <w:t>5</w:t>
      </w:r>
      <w:r>
        <w:rPr>
          <w:rFonts w:hint="eastAsia" w:ascii="黑体" w:eastAsia="黑体"/>
          <w:highlight w:val="none"/>
        </w:rPr>
        <w:t xml:space="preserve">  </w:t>
      </w:r>
      <w:r>
        <w:rPr>
          <w:rFonts w:hint="eastAsia" w:ascii="黑体" w:eastAsia="黑体"/>
          <w:highlight w:val="none"/>
          <w:lang w:eastAsia="zh-CN"/>
        </w:rPr>
        <w:t>体制机制</w:t>
      </w:r>
      <w:r>
        <w:rPr>
          <w:rFonts w:hint="eastAsia" w:ascii="黑体" w:eastAsia="黑体"/>
          <w:highlight w:val="none"/>
        </w:rPr>
        <w:t>措施</w:t>
      </w:r>
    </w:p>
    <w:p>
      <w:pPr>
        <w:pageBreakBefore w:val="0"/>
        <w:widowControl w:val="0"/>
        <w:kinsoku/>
        <w:wordWrap/>
        <w:overflowPunct/>
        <w:topLinePunct w:val="0"/>
        <w:bidi w:val="0"/>
        <w:adjustRightInd w:val="0"/>
        <w:snapToGrid w:val="0"/>
        <w:spacing w:line="360" w:lineRule="auto"/>
        <w:ind w:firstLine="420" w:firstLineChars="200"/>
        <w:textAlignment w:val="auto"/>
        <w:outlineLvl w:val="9"/>
        <w:rPr>
          <w:rFonts w:hint="eastAsia"/>
          <w:highlight w:val="none"/>
          <w:lang w:eastAsia="zh-CN"/>
        </w:rPr>
      </w:pPr>
      <w:r>
        <w:rPr>
          <w:rFonts w:hint="eastAsia"/>
          <w:highlight w:val="none"/>
        </w:rPr>
        <w:t xml:space="preserve">a)  </w:t>
      </w:r>
      <w:r>
        <w:rPr>
          <w:rFonts w:hint="eastAsia"/>
          <w:highlight w:val="none"/>
          <w:lang w:eastAsia="zh-CN"/>
        </w:rPr>
        <w:t>地下水</w:t>
      </w:r>
      <w:r>
        <w:rPr>
          <w:rFonts w:hint="eastAsia"/>
          <w:highlight w:val="none"/>
          <w:lang w:val="en-US" w:eastAsia="zh-CN"/>
        </w:rPr>
        <w:t>相关</w:t>
      </w:r>
      <w:r>
        <w:rPr>
          <w:rFonts w:hint="eastAsia"/>
          <w:highlight w:val="none"/>
          <w:lang w:eastAsia="zh-CN"/>
        </w:rPr>
        <w:t>管理制度</w:t>
      </w:r>
      <w:r>
        <w:rPr>
          <w:rFonts w:hint="eastAsia"/>
          <w:highlight w:val="none"/>
          <w:lang w:val="en-US" w:eastAsia="zh-CN"/>
        </w:rPr>
        <w:t>全部按要求</w:t>
      </w:r>
      <w:r>
        <w:rPr>
          <w:rFonts w:hint="eastAsia"/>
          <w:highlight w:val="none"/>
          <w:lang w:eastAsia="zh-CN"/>
        </w:rPr>
        <w:t>落实；</w:t>
      </w:r>
    </w:p>
    <w:p>
      <w:pPr>
        <w:pageBreakBefore w:val="0"/>
        <w:widowControl w:val="0"/>
        <w:kinsoku/>
        <w:wordWrap/>
        <w:overflowPunct/>
        <w:topLinePunct w:val="0"/>
        <w:bidi w:val="0"/>
        <w:adjustRightInd w:val="0"/>
        <w:snapToGrid w:val="0"/>
        <w:spacing w:line="360" w:lineRule="auto"/>
        <w:ind w:firstLine="420" w:firstLineChars="200"/>
        <w:textAlignment w:val="auto"/>
        <w:outlineLvl w:val="9"/>
        <w:rPr>
          <w:highlight w:val="none"/>
        </w:rPr>
      </w:pPr>
      <w:r>
        <w:rPr>
          <w:highlight w:val="none"/>
        </w:rPr>
        <w:t>b</w:t>
      </w:r>
      <w:r>
        <w:rPr>
          <w:rFonts w:hint="eastAsia"/>
          <w:highlight w:val="none"/>
        </w:rPr>
        <w:t xml:space="preserve">) </w:t>
      </w:r>
      <w:r>
        <w:rPr>
          <w:rFonts w:hint="eastAsia"/>
          <w:highlight w:val="none"/>
          <w:lang w:val="en-US" w:eastAsia="zh-CN"/>
        </w:rPr>
        <w:t xml:space="preserve"> 完成</w:t>
      </w:r>
      <w:r>
        <w:rPr>
          <w:rFonts w:hint="eastAsia"/>
          <w:highlight w:val="none"/>
        </w:rPr>
        <w:t>水源置换</w:t>
      </w:r>
      <w:r>
        <w:rPr>
          <w:rFonts w:hint="eastAsia"/>
          <w:highlight w:val="none"/>
          <w:lang w:val="en-US" w:eastAsia="zh-CN"/>
        </w:rPr>
        <w:t>区域范围内</w:t>
      </w:r>
      <w:r>
        <w:rPr>
          <w:rFonts w:hint="eastAsia"/>
          <w:highlight w:val="none"/>
        </w:rPr>
        <w:t>取水井全部</w:t>
      </w:r>
      <w:r>
        <w:rPr>
          <w:rFonts w:hint="eastAsia"/>
          <w:highlight w:val="none"/>
          <w:lang w:eastAsia="zh-CN"/>
        </w:rPr>
        <w:t>按</w:t>
      </w:r>
      <w:r>
        <w:rPr>
          <w:rFonts w:hint="eastAsia"/>
          <w:highlight w:val="none"/>
          <w:lang w:val="en-US" w:eastAsia="zh-CN"/>
        </w:rPr>
        <w:t>要求管控的要求</w:t>
      </w:r>
      <w:r>
        <w:rPr>
          <w:rFonts w:hint="eastAsia"/>
          <w:highlight w:val="none"/>
        </w:rPr>
        <w:t>；</w:t>
      </w:r>
    </w:p>
    <w:p>
      <w:pPr>
        <w:pageBreakBefore w:val="0"/>
        <w:widowControl w:val="0"/>
        <w:kinsoku/>
        <w:wordWrap/>
        <w:overflowPunct/>
        <w:topLinePunct w:val="0"/>
        <w:bidi w:val="0"/>
        <w:adjustRightInd w:val="0"/>
        <w:snapToGrid w:val="0"/>
        <w:spacing w:line="360" w:lineRule="auto"/>
        <w:ind w:firstLine="420" w:firstLineChars="200"/>
        <w:textAlignment w:val="auto"/>
        <w:outlineLvl w:val="9"/>
        <w:rPr>
          <w:rFonts w:hint="eastAsia"/>
          <w:highlight w:val="none"/>
        </w:rPr>
      </w:pPr>
      <w:r>
        <w:rPr>
          <w:rFonts w:hint="eastAsia"/>
          <w:highlight w:val="none"/>
          <w:lang w:val="en-US" w:eastAsia="zh-CN"/>
        </w:rPr>
        <w:t>c</w:t>
      </w:r>
      <w:r>
        <w:rPr>
          <w:rFonts w:hint="eastAsia"/>
          <w:highlight w:val="none"/>
        </w:rPr>
        <w:t>)  完成非农取用水户</w:t>
      </w:r>
      <w:r>
        <w:rPr>
          <w:rFonts w:hint="eastAsia" w:hAnsi="宋体"/>
          <w:szCs w:val="21"/>
          <w:highlight w:val="none"/>
        </w:rPr>
        <w:t>在线监测计量设施安装</w:t>
      </w:r>
      <w:r>
        <w:rPr>
          <w:rFonts w:hint="eastAsia" w:hAnsi="宋体"/>
          <w:szCs w:val="21"/>
          <w:highlight w:val="none"/>
          <w:lang w:val="en-US" w:eastAsia="zh-CN"/>
        </w:rPr>
        <w:t>任务</w:t>
      </w:r>
      <w:r>
        <w:rPr>
          <w:rFonts w:hint="eastAsia"/>
          <w:highlight w:val="none"/>
        </w:rPr>
        <w:t>；</w:t>
      </w:r>
    </w:p>
    <w:p>
      <w:pPr>
        <w:pageBreakBefore w:val="0"/>
        <w:widowControl w:val="0"/>
        <w:kinsoku/>
        <w:wordWrap/>
        <w:overflowPunct/>
        <w:topLinePunct w:val="0"/>
        <w:bidi w:val="0"/>
        <w:adjustRightInd w:val="0"/>
        <w:snapToGrid w:val="0"/>
        <w:spacing w:line="360" w:lineRule="auto"/>
        <w:ind w:firstLine="420" w:firstLineChars="200"/>
        <w:textAlignment w:val="auto"/>
        <w:outlineLvl w:val="9"/>
        <w:rPr>
          <w:rFonts w:hint="eastAsia"/>
          <w:highlight w:val="none"/>
        </w:rPr>
      </w:pPr>
      <w:r>
        <w:rPr>
          <w:rFonts w:hint="eastAsia"/>
          <w:highlight w:val="none"/>
          <w:lang w:val="en-US" w:eastAsia="zh-CN"/>
        </w:rPr>
        <w:t>d</w:t>
      </w:r>
      <w:r>
        <w:rPr>
          <w:rFonts w:hint="eastAsia"/>
          <w:highlight w:val="none"/>
        </w:rPr>
        <w:t>)  完成大中型灌区取水计量设施安装</w:t>
      </w:r>
      <w:r>
        <w:rPr>
          <w:rFonts w:hint="eastAsia" w:hAnsi="宋体"/>
          <w:szCs w:val="21"/>
          <w:highlight w:val="none"/>
          <w:lang w:val="en-US" w:eastAsia="zh-CN"/>
        </w:rPr>
        <w:t>任务</w:t>
      </w:r>
      <w:r>
        <w:rPr>
          <w:rFonts w:hint="eastAsia"/>
          <w:highlight w:val="none"/>
        </w:rPr>
        <w:t>；</w:t>
      </w:r>
    </w:p>
    <w:p>
      <w:pPr>
        <w:pageBreakBefore w:val="0"/>
        <w:widowControl w:val="0"/>
        <w:kinsoku/>
        <w:wordWrap/>
        <w:overflowPunct/>
        <w:topLinePunct w:val="0"/>
        <w:bidi w:val="0"/>
        <w:adjustRightInd w:val="0"/>
        <w:snapToGrid w:val="0"/>
        <w:spacing w:line="360" w:lineRule="auto"/>
        <w:ind w:firstLine="420" w:firstLineChars="200"/>
        <w:textAlignment w:val="auto"/>
        <w:outlineLvl w:val="9"/>
        <w:rPr>
          <w:highlight w:val="none"/>
        </w:rPr>
      </w:pPr>
      <w:r>
        <w:rPr>
          <w:rFonts w:hint="eastAsia"/>
          <w:highlight w:val="none"/>
          <w:lang w:val="en-US" w:eastAsia="zh-CN"/>
        </w:rPr>
        <w:t>e</w:t>
      </w:r>
      <w:r>
        <w:rPr>
          <w:rFonts w:hint="eastAsia"/>
          <w:highlight w:val="none"/>
        </w:rPr>
        <w:t xml:space="preserve">)  </w:t>
      </w:r>
      <w:r>
        <w:rPr>
          <w:rFonts w:hint="eastAsia"/>
          <w:highlight w:val="none"/>
          <w:lang w:val="en-US" w:eastAsia="zh-CN"/>
        </w:rPr>
        <w:t>完成</w:t>
      </w:r>
      <w:r>
        <w:rPr>
          <w:rFonts w:hint="eastAsia"/>
          <w:highlight w:val="none"/>
        </w:rPr>
        <w:t>区域计划用水管理全覆盖</w:t>
      </w:r>
      <w:r>
        <w:rPr>
          <w:rFonts w:hint="eastAsia"/>
          <w:highlight w:val="none"/>
          <w:lang w:val="en-US" w:eastAsia="zh-CN"/>
        </w:rPr>
        <w:t>目标</w:t>
      </w:r>
      <w:r>
        <w:rPr>
          <w:rFonts w:hint="eastAsia"/>
          <w:highlight w:val="none"/>
        </w:rPr>
        <w:t>。</w:t>
      </w:r>
    </w:p>
    <w:p>
      <w:pPr>
        <w:pageBreakBefore w:val="0"/>
        <w:widowControl w:val="0"/>
        <w:kinsoku/>
        <w:wordWrap/>
        <w:overflowPunct/>
        <w:topLinePunct w:val="0"/>
        <w:bidi w:val="0"/>
        <w:adjustRightInd w:val="0"/>
        <w:snapToGrid w:val="0"/>
        <w:spacing w:line="360" w:lineRule="auto"/>
        <w:textAlignment w:val="auto"/>
        <w:outlineLvl w:val="2"/>
        <w:rPr>
          <w:rFonts w:hint="eastAsia" w:ascii="黑体" w:eastAsia="黑体"/>
          <w:highlight w:val="none"/>
          <w:lang w:val="en-US" w:eastAsia="zh-CN"/>
        </w:rPr>
      </w:pPr>
      <w:r>
        <w:rPr>
          <w:rFonts w:hint="eastAsia" w:ascii="黑体" w:eastAsia="黑体"/>
          <w:highlight w:val="none"/>
          <w:lang w:val="en-US" w:eastAsia="zh-CN"/>
        </w:rPr>
        <w:t>4.</w:t>
      </w:r>
      <w:bookmarkEnd w:id="14"/>
      <w:bookmarkStart w:id="38" w:name="SectionMark5"/>
      <w:r>
        <w:rPr>
          <w:rFonts w:hint="eastAsia" w:ascii="黑体" w:eastAsia="黑体"/>
          <w:highlight w:val="none"/>
          <w:lang w:val="en-US" w:eastAsia="zh-CN"/>
        </w:rPr>
        <w:t>8</w:t>
      </w:r>
      <w:r>
        <w:rPr>
          <w:rFonts w:hint="eastAsia" w:ascii="黑体" w:eastAsia="黑体"/>
          <w:highlight w:val="none"/>
        </w:rPr>
        <w:t>压采</w:t>
      </w:r>
      <w:r>
        <w:rPr>
          <w:rFonts w:hint="eastAsia" w:ascii="黑体" w:eastAsia="黑体"/>
          <w:highlight w:val="none"/>
          <w:lang w:val="en-US" w:eastAsia="zh-CN"/>
        </w:rPr>
        <w:t>量评估</w:t>
      </w:r>
    </w:p>
    <w:p>
      <w:pPr>
        <w:pageBreakBefore w:val="0"/>
        <w:widowControl w:val="0"/>
        <w:numPr>
          <w:ilvl w:val="-1"/>
          <w:numId w:val="0"/>
        </w:numPr>
        <w:kinsoku/>
        <w:wordWrap/>
        <w:overflowPunct/>
        <w:topLinePunct w:val="0"/>
        <w:autoSpaceDE/>
        <w:autoSpaceDN/>
        <w:bidi w:val="0"/>
        <w:adjustRightInd w:val="0"/>
        <w:snapToGrid w:val="0"/>
        <w:spacing w:line="360" w:lineRule="auto"/>
        <w:ind w:firstLine="0"/>
        <w:jc w:val="left"/>
        <w:textAlignment w:val="auto"/>
        <w:outlineLvl w:val="3"/>
        <w:rPr>
          <w:rFonts w:hint="eastAsia" w:ascii="黑体" w:eastAsia="黑体"/>
          <w:szCs w:val="20"/>
          <w:highlight w:val="none"/>
        </w:rPr>
      </w:pPr>
      <w:r>
        <w:rPr>
          <w:rFonts w:hint="eastAsia" w:ascii="黑体" w:eastAsia="黑体"/>
          <w:highlight w:val="none"/>
          <w:lang w:val="en-US" w:eastAsia="zh-CN"/>
        </w:rPr>
        <w:t>4.8</w:t>
      </w:r>
      <w:r>
        <w:rPr>
          <w:rFonts w:hint="eastAsia" w:ascii="黑体" w:eastAsia="黑体"/>
          <w:szCs w:val="20"/>
          <w:highlight w:val="none"/>
          <w:lang w:val="en-US" w:eastAsia="zh-CN"/>
        </w:rPr>
        <w:t>.1 农业地下水压采量评估</w:t>
      </w:r>
    </w:p>
    <w:p>
      <w:pPr>
        <w:pageBreakBefore w:val="0"/>
        <w:widowControl w:val="0"/>
        <w:numPr>
          <w:ilvl w:val="-1"/>
          <w:numId w:val="0"/>
        </w:numPr>
        <w:kinsoku/>
        <w:wordWrap/>
        <w:overflowPunct/>
        <w:topLinePunct w:val="0"/>
        <w:autoSpaceDE w:val="0"/>
        <w:autoSpaceDN w:val="0"/>
        <w:bidi w:val="0"/>
        <w:adjustRightInd w:val="0"/>
        <w:snapToGrid w:val="0"/>
        <w:spacing w:line="360" w:lineRule="auto"/>
        <w:ind w:firstLine="420" w:firstLineChars="200"/>
        <w:jc w:val="left"/>
        <w:textAlignment w:val="auto"/>
        <w:rPr>
          <w:szCs w:val="21"/>
          <w:highlight w:val="none"/>
        </w:rPr>
      </w:pPr>
      <w:r>
        <w:rPr>
          <w:rFonts w:hint="eastAsia"/>
          <w:szCs w:val="21"/>
          <w:highlight w:val="none"/>
        </w:rPr>
        <w:t>农业地下水压采量计算需考虑降水影响，</w:t>
      </w:r>
      <w:r>
        <w:rPr>
          <w:rFonts w:hint="eastAsia"/>
          <w:szCs w:val="21"/>
          <w:highlight w:val="none"/>
          <w:lang w:eastAsia="zh-CN"/>
        </w:rPr>
        <w:t>评估年农业地下水压采量为评估</w:t>
      </w:r>
      <w:r>
        <w:rPr>
          <w:rFonts w:hint="eastAsia"/>
          <w:szCs w:val="21"/>
          <w:highlight w:val="none"/>
          <w:lang w:val="en-US" w:eastAsia="zh-CN"/>
        </w:rPr>
        <w:t>系列初始年</w:t>
      </w:r>
      <w:r>
        <w:rPr>
          <w:rFonts w:hint="eastAsia"/>
          <w:szCs w:val="21"/>
          <w:highlight w:val="none"/>
          <w:lang w:eastAsia="zh-CN"/>
        </w:rPr>
        <w:t>（以下简称“</w:t>
      </w:r>
      <w:r>
        <w:rPr>
          <w:rFonts w:hint="eastAsia"/>
          <w:szCs w:val="21"/>
          <w:highlight w:val="none"/>
          <w:lang w:val="en-US" w:eastAsia="zh-CN"/>
        </w:rPr>
        <w:t>初始年</w:t>
      </w:r>
      <w:r>
        <w:rPr>
          <w:rFonts w:hint="eastAsia"/>
          <w:szCs w:val="21"/>
          <w:highlight w:val="none"/>
          <w:lang w:eastAsia="zh-CN"/>
        </w:rPr>
        <w:t>”）平水</w:t>
      </w:r>
      <w:r>
        <w:rPr>
          <w:rFonts w:hint="eastAsia"/>
          <w:szCs w:val="21"/>
          <w:highlight w:val="none"/>
          <w:lang w:val="en-US" w:eastAsia="zh-CN"/>
        </w:rPr>
        <w:t>年</w:t>
      </w:r>
      <w:r>
        <w:rPr>
          <w:rFonts w:hint="eastAsia"/>
          <w:szCs w:val="21"/>
          <w:highlight w:val="none"/>
          <w:lang w:eastAsia="zh-CN"/>
        </w:rPr>
        <w:t>条件下农业地下水开采量与评估年平水条件下</w:t>
      </w:r>
      <w:r>
        <w:rPr>
          <w:rFonts w:hint="eastAsia"/>
          <w:szCs w:val="21"/>
          <w:highlight w:val="none"/>
        </w:rPr>
        <w:t>农业地下水开采量之差，具体计算方法见公式（1）。</w:t>
      </w:r>
    </w:p>
    <w:p>
      <w:pPr>
        <w:pageBreakBefore w:val="0"/>
        <w:widowControl w:val="0"/>
        <w:kinsoku/>
        <w:wordWrap/>
        <w:overflowPunct/>
        <w:topLinePunct w:val="0"/>
        <w:autoSpaceDE w:val="0"/>
        <w:autoSpaceDN w:val="0"/>
        <w:bidi w:val="0"/>
        <w:adjustRightInd w:val="0"/>
        <w:snapToGrid w:val="0"/>
        <w:spacing w:line="360" w:lineRule="auto"/>
        <w:jc w:val="right"/>
        <w:textAlignment w:val="auto"/>
        <w:rPr>
          <w:rFonts w:hAnsi="Cambria Math"/>
          <w:highlight w:val="none"/>
        </w:rPr>
      </w:pPr>
      <m:oMath>
        <m:r>
          <m:rPr>
            <m:sty m:val="p"/>
          </m:rPr>
          <w:rPr>
            <w:rFonts w:ascii="Cambria Math" w:hAnsi="Cambria Math"/>
            <w:highlight w:val="none"/>
          </w:rPr>
          <m:t>∆</m:t>
        </m:r>
        <m:sSub>
          <m:sSubPr>
            <m:ctrlPr>
              <w:rPr>
                <w:rFonts w:ascii="Cambria Math" w:hAnsi="Cambria Math"/>
                <w:highlight w:val="none"/>
              </w:rPr>
            </m:ctrlPr>
          </m:sSubPr>
          <m:e>
            <m:r>
              <m:rPr>
                <m:sty m:val="p"/>
              </m:rPr>
              <w:rPr>
                <w:rFonts w:ascii="Cambria Math" w:hAnsi="Cambria Math"/>
                <w:highlight w:val="none"/>
              </w:rPr>
              <m:t>Q</m:t>
            </m:r>
            <m:ctrlPr>
              <w:rPr>
                <w:rFonts w:ascii="Cambria Math" w:hAnsi="Cambria Math"/>
                <w:highlight w:val="none"/>
              </w:rPr>
            </m:ctrlPr>
          </m:e>
          <m:sub>
            <m:r>
              <m:rPr>
                <m:sty m:val="p"/>
              </m:rPr>
              <w:rPr>
                <w:rFonts w:hint="eastAsia" w:ascii="Cambria Math" w:hAnsi="Cambria Math"/>
                <w:highlight w:val="none"/>
              </w:rPr>
              <m:t>农业</m:t>
            </m:r>
            <m:ctrlPr>
              <w:rPr>
                <w:rFonts w:ascii="Cambria Math" w:hAnsi="Cambria Math"/>
                <w:highlight w:val="none"/>
              </w:rPr>
            </m:ctrlPr>
          </m:sub>
        </m:sSub>
        <m:r>
          <m:rPr>
            <m:sty m:val="p"/>
          </m:rPr>
          <w:rPr>
            <w:rFonts w:ascii="Cambria Math" w:hAnsi="Cambria Math"/>
            <w:highlight w:val="none"/>
          </w:rPr>
          <m:t>=</m:t>
        </m:r>
        <m:sSubSup>
          <m:sSubSupPr>
            <m:ctrlPr>
              <w:rPr>
                <w:rFonts w:ascii="Cambria Math" w:hAnsi="Cambria Math"/>
                <w:highlight w:val="none"/>
              </w:rPr>
            </m:ctrlPr>
          </m:sSubSupPr>
          <m:e>
            <m:r>
              <m:rPr>
                <m:sty m:val="p"/>
              </m:rPr>
              <w:rPr>
                <w:rFonts w:ascii="Cambria Math" w:hAnsi="Cambria Math"/>
                <w:highlight w:val="none"/>
              </w:rPr>
              <m:t>Q</m:t>
            </m:r>
            <m:ctrlPr>
              <w:rPr>
                <w:rFonts w:ascii="Cambria Math" w:hAnsi="Cambria Math"/>
                <w:highlight w:val="none"/>
              </w:rPr>
            </m:ctrlPr>
          </m:e>
          <m:sub>
            <m:r>
              <m:rPr>
                <m:sty m:val="p"/>
              </m:rPr>
              <w:rPr>
                <w:rFonts w:hint="eastAsia" w:ascii="Cambria Math" w:hAnsi="Cambria Math"/>
                <w:highlight w:val="none"/>
                <w:lang w:val="en-US" w:eastAsia="zh-CN"/>
              </w:rPr>
              <m:t>初始年</m:t>
            </m:r>
            <m:ctrlPr>
              <w:rPr>
                <w:rFonts w:ascii="Cambria Math" w:hAnsi="Cambria Math"/>
                <w:highlight w:val="none"/>
              </w:rPr>
            </m:ctrlPr>
          </m:sub>
          <m:sup>
            <m:r>
              <m:rPr>
                <m:sty m:val="p"/>
              </m:rPr>
              <w:rPr>
                <w:rFonts w:hint="eastAsia" w:ascii="Cambria Math" w:hAnsi="Cambria Math"/>
                <w:highlight w:val="none"/>
              </w:rPr>
              <m:t>平水</m:t>
            </m:r>
            <m:ctrlPr>
              <w:rPr>
                <w:rFonts w:ascii="Cambria Math" w:hAnsi="Cambria Math"/>
                <w:highlight w:val="none"/>
              </w:rPr>
            </m:ctrlPr>
          </m:sup>
        </m:sSubSup>
        <m:r>
          <m:rPr>
            <m:sty m:val="p"/>
          </m:rPr>
          <w:rPr>
            <w:rFonts w:ascii="Cambria Math" w:hAnsi="Cambria Math"/>
            <w:highlight w:val="none"/>
          </w:rPr>
          <m:t>−</m:t>
        </m:r>
        <m:sSubSup>
          <m:sSubSupPr>
            <m:ctrlPr>
              <w:rPr>
                <w:rFonts w:ascii="Cambria Math" w:hAnsi="Cambria Math"/>
                <w:highlight w:val="none"/>
              </w:rPr>
            </m:ctrlPr>
          </m:sSubSupPr>
          <m:e>
            <m:r>
              <m:rPr/>
              <w:rPr>
                <w:rFonts w:ascii="Cambria Math" w:hAnsi="Cambria Math"/>
                <w:highlight w:val="none"/>
              </w:rPr>
              <m:t>Q</m:t>
            </m:r>
            <m:ctrlPr>
              <w:rPr>
                <w:rFonts w:ascii="Cambria Math" w:hAnsi="Cambria Math"/>
                <w:highlight w:val="none"/>
              </w:rPr>
            </m:ctrlPr>
          </m:e>
          <m:sub>
            <m:r>
              <m:rPr>
                <m:sty m:val="p"/>
              </m:rPr>
              <w:rPr>
                <w:rFonts w:hint="default" w:ascii="Cambria Math" w:hAnsi="Cambria Math"/>
                <w:highlight w:val="none"/>
                <w:lang w:eastAsia="zh-CN"/>
              </w:rPr>
              <m:t>评估</m:t>
            </m:r>
            <m:r>
              <m:rPr>
                <m:sty m:val="p"/>
              </m:rPr>
              <w:rPr>
                <w:rFonts w:hint="eastAsia" w:ascii="Cambria Math" w:hAnsi="Cambria Math"/>
                <w:highlight w:val="none"/>
              </w:rPr>
              <m:t>年</m:t>
            </m:r>
            <m:ctrlPr>
              <w:rPr>
                <w:rFonts w:ascii="Cambria Math" w:hAnsi="Cambria Math"/>
                <w:highlight w:val="none"/>
              </w:rPr>
            </m:ctrlPr>
          </m:sub>
          <m:sup>
            <m:r>
              <m:rPr>
                <m:sty m:val="p"/>
              </m:rPr>
              <w:rPr>
                <w:rFonts w:hint="eastAsia" w:ascii="Cambria Math" w:hAnsi="Cambria Math"/>
                <w:highlight w:val="none"/>
              </w:rPr>
              <m:t>平水</m:t>
            </m:r>
            <m:ctrlPr>
              <w:rPr>
                <w:rFonts w:ascii="Cambria Math" w:hAnsi="Cambria Math"/>
                <w:highlight w:val="none"/>
              </w:rPr>
            </m:ctrlPr>
          </m:sup>
        </m:sSubSup>
      </m:oMath>
      <w:r>
        <w:rPr>
          <w:rFonts w:hint="eastAsia" w:hAnsi="Cambria Math"/>
          <w:highlight w:val="none"/>
        </w:rPr>
        <w:t>......... ...................................（1）</w:t>
      </w:r>
    </w:p>
    <w:p>
      <w:pPr>
        <w:pageBreakBefore w:val="0"/>
        <w:widowControl w:val="0"/>
        <w:kinsoku/>
        <w:wordWrap/>
        <w:overflowPunct/>
        <w:topLinePunct w:val="0"/>
        <w:autoSpaceDE w:val="0"/>
        <w:autoSpaceDN w:val="0"/>
        <w:bidi w:val="0"/>
        <w:adjustRightInd w:val="0"/>
        <w:snapToGrid w:val="0"/>
        <w:spacing w:line="360" w:lineRule="auto"/>
        <w:ind w:firstLine="420" w:firstLineChars="200"/>
        <w:jc w:val="left"/>
        <w:textAlignment w:val="auto"/>
        <w:rPr>
          <w:rFonts w:hAnsi="Cambria Math"/>
          <w:highlight w:val="none"/>
        </w:rPr>
      </w:pPr>
      <w:r>
        <w:rPr>
          <w:rFonts w:hAnsi="Cambria Math"/>
          <w:highlight w:val="none"/>
        </w:rPr>
        <w:t>式中</w:t>
      </w:r>
      <w:r>
        <w:rPr>
          <w:rFonts w:hint="eastAsia" w:hAnsi="Cambria Math"/>
          <w:highlight w:val="none"/>
        </w:rPr>
        <w:t>：</w:t>
      </w:r>
    </w:p>
    <w:p>
      <w:pPr>
        <w:pageBreakBefore w:val="0"/>
        <w:widowControl w:val="0"/>
        <w:kinsoku/>
        <w:wordWrap/>
        <w:overflowPunct/>
        <w:topLinePunct w:val="0"/>
        <w:autoSpaceDE w:val="0"/>
        <w:autoSpaceDN w:val="0"/>
        <w:bidi w:val="0"/>
        <w:adjustRightInd w:val="0"/>
        <w:snapToGrid w:val="0"/>
        <w:spacing w:line="360" w:lineRule="auto"/>
        <w:ind w:firstLine="420" w:firstLineChars="200"/>
        <w:jc w:val="left"/>
        <w:textAlignment w:val="auto"/>
        <w:rPr>
          <w:rFonts w:hAnsi="Cambria Math"/>
          <w:highlight w:val="none"/>
        </w:rPr>
      </w:pPr>
      <m:oMath>
        <m:r>
          <m:rPr>
            <m:sty m:val="p"/>
          </m:rPr>
          <w:rPr>
            <w:rFonts w:ascii="Cambria Math" w:hAnsi="Cambria Math"/>
            <w:highlight w:val="none"/>
          </w:rPr>
          <m:t>∆</m:t>
        </m:r>
        <m:sSub>
          <m:sSubPr>
            <m:ctrlPr>
              <w:rPr>
                <w:rFonts w:ascii="Cambria Math" w:hAnsi="Cambria Math"/>
                <w:highlight w:val="none"/>
              </w:rPr>
            </m:ctrlPr>
          </m:sSubPr>
          <m:e>
            <m:r>
              <m:rPr>
                <m:sty m:val="p"/>
              </m:rPr>
              <w:rPr>
                <w:rFonts w:ascii="Cambria Math" w:hAnsi="Cambria Math"/>
                <w:highlight w:val="none"/>
              </w:rPr>
              <m:t>Q</m:t>
            </m:r>
            <m:ctrlPr>
              <w:rPr>
                <w:rFonts w:ascii="Cambria Math" w:hAnsi="Cambria Math"/>
                <w:highlight w:val="none"/>
              </w:rPr>
            </m:ctrlPr>
          </m:e>
          <m:sub>
            <m:r>
              <m:rPr>
                <m:sty m:val="p"/>
              </m:rPr>
              <w:rPr>
                <w:rFonts w:hint="eastAsia" w:ascii="Cambria Math" w:hAnsi="Cambria Math"/>
                <w:highlight w:val="none"/>
              </w:rPr>
              <m:t>农业</m:t>
            </m:r>
            <m:ctrlPr>
              <w:rPr>
                <w:rFonts w:ascii="Cambria Math" w:hAnsi="Cambria Math"/>
                <w:highlight w:val="none"/>
              </w:rPr>
            </m:ctrlPr>
          </m:sub>
        </m:sSub>
      </m:oMath>
      <w:r>
        <w:rPr>
          <w:rFonts w:hint="eastAsia" w:hAnsi="Cambria Math"/>
          <w:highlight w:val="none"/>
        </w:rPr>
        <w:t>——</w:t>
      </w:r>
      <w:r>
        <w:rPr>
          <w:rFonts w:hint="eastAsia" w:hAnsi="Cambria Math"/>
          <w:highlight w:val="none"/>
          <w:lang w:eastAsia="zh-CN"/>
        </w:rPr>
        <w:t>评估</w:t>
      </w:r>
      <w:r>
        <w:rPr>
          <w:rFonts w:hAnsi="Cambria Math"/>
          <w:highlight w:val="none"/>
        </w:rPr>
        <w:t>年农业地下水压采量</w:t>
      </w:r>
      <w:r>
        <w:rPr>
          <w:rFonts w:hint="eastAsia" w:hAnsi="Cambria Math"/>
          <w:highlight w:val="none"/>
          <w:lang w:eastAsia="zh-CN"/>
        </w:rPr>
        <w:t>（</w:t>
      </w:r>
      <w:r>
        <w:rPr>
          <w:rFonts w:hint="eastAsia" w:hAnsi="Cambria Math"/>
          <w:highlight w:val="none"/>
          <w:lang w:val="en-US" w:eastAsia="zh-CN"/>
        </w:rPr>
        <w:t>万m</w:t>
      </w:r>
      <w:r>
        <w:rPr>
          <w:rFonts w:hint="eastAsia" w:hAnsi="Cambria Math"/>
          <w:highlight w:val="none"/>
          <w:vertAlign w:val="superscript"/>
          <w:lang w:val="en-US" w:eastAsia="zh-CN"/>
        </w:rPr>
        <w:t>3</w:t>
      </w:r>
      <w:r>
        <w:rPr>
          <w:rFonts w:hint="eastAsia" w:hAnsi="Cambria Math"/>
          <w:highlight w:val="none"/>
          <w:lang w:eastAsia="zh-CN"/>
        </w:rPr>
        <w:t>）</w:t>
      </w:r>
      <w:r>
        <w:rPr>
          <w:rFonts w:hint="eastAsia" w:hAnsi="Cambria Math"/>
          <w:highlight w:val="none"/>
        </w:rPr>
        <w:t>；</w:t>
      </w:r>
    </w:p>
    <w:p>
      <w:pPr>
        <w:pageBreakBefore w:val="0"/>
        <w:widowControl w:val="0"/>
        <w:kinsoku/>
        <w:wordWrap/>
        <w:overflowPunct/>
        <w:topLinePunct w:val="0"/>
        <w:autoSpaceDE w:val="0"/>
        <w:autoSpaceDN w:val="0"/>
        <w:bidi w:val="0"/>
        <w:adjustRightInd w:val="0"/>
        <w:snapToGrid w:val="0"/>
        <w:spacing w:line="360" w:lineRule="auto"/>
        <w:ind w:firstLine="420" w:firstLineChars="200"/>
        <w:jc w:val="left"/>
        <w:textAlignment w:val="auto"/>
        <w:rPr>
          <w:rFonts w:hAnsi="Cambria Math"/>
          <w:highlight w:val="none"/>
        </w:rPr>
      </w:pPr>
      <m:oMath>
        <m:sSubSup>
          <m:sSubSupPr>
            <m:ctrlPr>
              <w:rPr>
                <w:rFonts w:ascii="Cambria Math" w:hAnsi="Cambria Math"/>
                <w:highlight w:val="none"/>
              </w:rPr>
            </m:ctrlPr>
          </m:sSubSupPr>
          <m:e>
            <m:r>
              <m:rPr>
                <m:sty m:val="p"/>
              </m:rPr>
              <w:rPr>
                <w:rFonts w:ascii="Cambria Math" w:hAnsi="Cambria Math"/>
                <w:highlight w:val="none"/>
              </w:rPr>
              <m:t>Q</m:t>
            </m:r>
            <m:ctrlPr>
              <w:rPr>
                <w:rFonts w:ascii="Cambria Math" w:hAnsi="Cambria Math"/>
                <w:highlight w:val="none"/>
              </w:rPr>
            </m:ctrlPr>
          </m:e>
          <m:sub>
            <m:r>
              <m:rPr>
                <m:sty m:val="p"/>
              </m:rPr>
              <w:rPr>
                <w:rFonts w:hint="eastAsia" w:ascii="Cambria Math" w:hAnsi="Cambria Math"/>
                <w:highlight w:val="none"/>
                <w:lang w:val="en-US" w:eastAsia="zh-CN"/>
              </w:rPr>
              <m:t>初始年</m:t>
            </m:r>
            <m:ctrlPr>
              <w:rPr>
                <w:rFonts w:ascii="Cambria Math" w:hAnsi="Cambria Math"/>
                <w:highlight w:val="none"/>
              </w:rPr>
            </m:ctrlPr>
          </m:sub>
          <m:sup>
            <m:r>
              <m:rPr>
                <m:sty m:val="p"/>
              </m:rPr>
              <w:rPr>
                <w:rFonts w:hint="eastAsia" w:ascii="Cambria Math" w:hAnsi="Cambria Math"/>
                <w:highlight w:val="none"/>
              </w:rPr>
              <m:t>平水</m:t>
            </m:r>
            <m:ctrlPr>
              <w:rPr>
                <w:rFonts w:ascii="Cambria Math" w:hAnsi="Cambria Math"/>
                <w:highlight w:val="none"/>
              </w:rPr>
            </m:ctrlPr>
          </m:sup>
        </m:sSubSup>
      </m:oMath>
      <w:r>
        <w:rPr>
          <w:rFonts w:hAnsi="Cambria Math"/>
          <w:highlight w:val="none"/>
        </w:rPr>
        <w:t>——</w:t>
      </w:r>
      <w:r>
        <w:rPr>
          <w:rFonts w:hint="eastAsia"/>
          <w:szCs w:val="21"/>
          <w:highlight w:val="none"/>
          <w:lang w:eastAsia="zh-CN"/>
        </w:rPr>
        <w:t>评估</w:t>
      </w:r>
      <w:r>
        <w:rPr>
          <w:rFonts w:hint="eastAsia"/>
          <w:szCs w:val="21"/>
          <w:highlight w:val="none"/>
          <w:lang w:val="en-US" w:eastAsia="zh-CN"/>
        </w:rPr>
        <w:t>系列初始年</w:t>
      </w:r>
      <w:r>
        <w:rPr>
          <w:rFonts w:hAnsi="Cambria Math"/>
          <w:highlight w:val="none"/>
        </w:rPr>
        <w:t>平水条件下农业地下水开采量</w:t>
      </w:r>
      <w:r>
        <w:rPr>
          <w:rFonts w:hint="eastAsia" w:hAnsi="Cambria Math"/>
          <w:highlight w:val="none"/>
          <w:lang w:eastAsia="zh-CN"/>
        </w:rPr>
        <w:t>（</w:t>
      </w:r>
      <w:r>
        <w:rPr>
          <w:rFonts w:hint="eastAsia" w:hAnsi="Cambria Math"/>
          <w:highlight w:val="none"/>
          <w:lang w:val="en-US" w:eastAsia="zh-CN"/>
        </w:rPr>
        <w:t>万m</w:t>
      </w:r>
      <w:r>
        <w:rPr>
          <w:rFonts w:hint="eastAsia" w:hAnsi="Cambria Math"/>
          <w:highlight w:val="none"/>
          <w:vertAlign w:val="superscript"/>
          <w:lang w:val="en-US" w:eastAsia="zh-CN"/>
        </w:rPr>
        <w:t>3</w:t>
      </w:r>
      <w:r>
        <w:rPr>
          <w:rFonts w:hint="eastAsia" w:hAnsi="Cambria Math"/>
          <w:highlight w:val="none"/>
          <w:lang w:eastAsia="zh-CN"/>
        </w:rPr>
        <w:t>）</w:t>
      </w:r>
      <w:r>
        <w:rPr>
          <w:rFonts w:hint="eastAsia" w:hAnsi="Cambria Math"/>
          <w:highlight w:val="none"/>
        </w:rPr>
        <w:t>；</w:t>
      </w:r>
    </w:p>
    <w:p>
      <w:pPr>
        <w:pageBreakBefore w:val="0"/>
        <w:widowControl w:val="0"/>
        <w:kinsoku/>
        <w:wordWrap/>
        <w:overflowPunct/>
        <w:topLinePunct w:val="0"/>
        <w:autoSpaceDE w:val="0"/>
        <w:autoSpaceDN w:val="0"/>
        <w:bidi w:val="0"/>
        <w:adjustRightInd w:val="0"/>
        <w:snapToGrid w:val="0"/>
        <w:spacing w:line="360" w:lineRule="auto"/>
        <w:ind w:firstLine="420" w:firstLineChars="200"/>
        <w:jc w:val="left"/>
        <w:textAlignment w:val="auto"/>
        <w:rPr>
          <w:rFonts w:hAnsi="Cambria Math"/>
          <w:highlight w:val="none"/>
        </w:rPr>
      </w:pPr>
      <m:oMath>
        <m:sSubSup>
          <m:sSubSupPr>
            <m:ctrlPr>
              <w:rPr>
                <w:rFonts w:ascii="Cambria Math" w:hAnsi="Cambria Math"/>
                <w:highlight w:val="none"/>
              </w:rPr>
            </m:ctrlPr>
          </m:sSubSupPr>
          <m:e>
            <m:r>
              <m:rPr/>
              <w:rPr>
                <w:rFonts w:ascii="Cambria Math" w:hAnsi="Cambria Math"/>
                <w:highlight w:val="none"/>
              </w:rPr>
              <m:t>Q</m:t>
            </m:r>
            <m:ctrlPr>
              <w:rPr>
                <w:rFonts w:ascii="Cambria Math" w:hAnsi="Cambria Math"/>
                <w:highlight w:val="none"/>
              </w:rPr>
            </m:ctrlPr>
          </m:e>
          <m:sub>
            <m:r>
              <m:rPr>
                <m:sty m:val="p"/>
              </m:rPr>
              <w:rPr>
                <w:rFonts w:hint="default" w:ascii="Cambria Math" w:hAnsi="Cambria Math"/>
                <w:highlight w:val="none"/>
                <w:lang w:eastAsia="zh-CN"/>
              </w:rPr>
              <m:t>评估</m:t>
            </m:r>
            <m:r>
              <m:rPr>
                <m:sty m:val="p"/>
              </m:rPr>
              <w:rPr>
                <w:rFonts w:hint="eastAsia" w:ascii="Cambria Math" w:hAnsi="Cambria Math"/>
                <w:highlight w:val="none"/>
              </w:rPr>
              <m:t>年</m:t>
            </m:r>
            <m:ctrlPr>
              <w:rPr>
                <w:rFonts w:ascii="Cambria Math" w:hAnsi="Cambria Math"/>
                <w:highlight w:val="none"/>
              </w:rPr>
            </m:ctrlPr>
          </m:sub>
          <m:sup>
            <m:r>
              <m:rPr>
                <m:sty m:val="p"/>
              </m:rPr>
              <w:rPr>
                <w:rFonts w:hint="eastAsia" w:ascii="Cambria Math" w:hAnsi="Cambria Math"/>
                <w:highlight w:val="none"/>
              </w:rPr>
              <m:t>平水</m:t>
            </m:r>
            <m:ctrlPr>
              <w:rPr>
                <w:rFonts w:ascii="Cambria Math" w:hAnsi="Cambria Math"/>
                <w:highlight w:val="none"/>
              </w:rPr>
            </m:ctrlPr>
          </m:sup>
        </m:sSubSup>
      </m:oMath>
      <w:r>
        <w:rPr>
          <w:rFonts w:hint="eastAsia" w:hAnsi="Cambria Math"/>
          <w:highlight w:val="none"/>
        </w:rPr>
        <w:t>——</w:t>
      </w:r>
      <w:r>
        <w:rPr>
          <w:rFonts w:hint="eastAsia" w:hAnsi="Cambria Math"/>
          <w:highlight w:val="none"/>
          <w:lang w:eastAsia="zh-CN"/>
        </w:rPr>
        <w:t>评估年</w:t>
      </w:r>
      <w:r>
        <w:rPr>
          <w:rFonts w:hint="eastAsia" w:hAnsi="Cambria Math"/>
          <w:highlight w:val="none"/>
        </w:rPr>
        <w:t>平水条件下</w:t>
      </w:r>
      <w:r>
        <w:rPr>
          <w:rFonts w:hAnsi="Cambria Math"/>
          <w:highlight w:val="none"/>
        </w:rPr>
        <w:t>农业地下水开采量</w:t>
      </w:r>
      <w:r>
        <w:rPr>
          <w:rFonts w:hint="eastAsia" w:hAnsi="Cambria Math"/>
          <w:highlight w:val="none"/>
          <w:lang w:eastAsia="zh-CN"/>
        </w:rPr>
        <w:t>（</w:t>
      </w:r>
      <w:r>
        <w:rPr>
          <w:rFonts w:hint="eastAsia" w:hAnsi="Cambria Math"/>
          <w:highlight w:val="none"/>
          <w:lang w:val="en-US" w:eastAsia="zh-CN"/>
        </w:rPr>
        <w:t>万m</w:t>
      </w:r>
      <w:r>
        <w:rPr>
          <w:rFonts w:hint="eastAsia" w:hAnsi="Cambria Math"/>
          <w:highlight w:val="none"/>
          <w:vertAlign w:val="superscript"/>
          <w:lang w:val="en-US" w:eastAsia="zh-CN"/>
        </w:rPr>
        <w:t>3</w:t>
      </w:r>
      <w:r>
        <w:rPr>
          <w:rFonts w:hint="eastAsia" w:hAnsi="Cambria Math"/>
          <w:highlight w:val="none"/>
          <w:lang w:eastAsia="zh-CN"/>
        </w:rPr>
        <w:t>）</w:t>
      </w:r>
      <w:r>
        <w:rPr>
          <w:rFonts w:hint="eastAsia" w:hAnsi="Cambria Math"/>
          <w:highlight w:val="none"/>
        </w:rPr>
        <w:t>；</w:t>
      </w:r>
    </w:p>
    <w:p>
      <w:pPr>
        <w:pageBreakBefore w:val="0"/>
        <w:widowControl w:val="0"/>
        <w:kinsoku/>
        <w:wordWrap/>
        <w:overflowPunct/>
        <w:topLinePunct w:val="0"/>
        <w:autoSpaceDE w:val="0"/>
        <w:autoSpaceDN w:val="0"/>
        <w:bidi w:val="0"/>
        <w:adjustRightInd w:val="0"/>
        <w:snapToGrid w:val="0"/>
        <w:spacing w:line="360" w:lineRule="auto"/>
        <w:ind w:firstLine="420" w:firstLineChars="200"/>
        <w:jc w:val="left"/>
        <w:textAlignment w:val="auto"/>
        <w:rPr>
          <w:szCs w:val="21"/>
          <w:highlight w:val="none"/>
        </w:rPr>
      </w:pPr>
      <m:oMath>
        <m:sSubSup>
          <m:sSubSupPr>
            <m:ctrlPr>
              <w:rPr>
                <w:rFonts w:ascii="Cambria Math" w:hAnsi="Cambria Math"/>
                <w:highlight w:val="none"/>
              </w:rPr>
            </m:ctrlPr>
          </m:sSubSupPr>
          <m:e>
            <m:r>
              <m:rPr>
                <m:sty m:val="p"/>
              </m:rPr>
              <w:rPr>
                <w:rFonts w:ascii="Cambria Math" w:hAnsi="Cambria Math"/>
                <w:highlight w:val="none"/>
              </w:rPr>
              <m:t>Q</m:t>
            </m:r>
            <m:ctrlPr>
              <w:rPr>
                <w:rFonts w:ascii="Cambria Math" w:hAnsi="Cambria Math"/>
                <w:highlight w:val="none"/>
              </w:rPr>
            </m:ctrlPr>
          </m:e>
          <m:sub>
            <m:r>
              <m:rPr>
                <m:sty m:val="p"/>
              </m:rPr>
              <w:rPr>
                <w:rFonts w:hint="eastAsia" w:ascii="Cambria Math" w:hAnsi="Cambria Math"/>
                <w:highlight w:val="none"/>
                <w:lang w:val="en-US" w:eastAsia="zh-CN"/>
              </w:rPr>
              <m:t>初始年</m:t>
            </m:r>
            <m:ctrlPr>
              <w:rPr>
                <w:rFonts w:ascii="Cambria Math" w:hAnsi="Cambria Math"/>
                <w:highlight w:val="none"/>
              </w:rPr>
            </m:ctrlPr>
          </m:sub>
          <m:sup>
            <m:r>
              <m:rPr>
                <m:sty m:val="p"/>
              </m:rPr>
              <w:rPr>
                <w:rFonts w:hint="eastAsia" w:ascii="Cambria Math" w:hAnsi="Cambria Math"/>
                <w:highlight w:val="none"/>
              </w:rPr>
              <m:t>平水</m:t>
            </m:r>
            <m:ctrlPr>
              <w:rPr>
                <w:rFonts w:ascii="Cambria Math" w:hAnsi="Cambria Math"/>
                <w:highlight w:val="none"/>
              </w:rPr>
            </m:ctrlPr>
          </m:sup>
        </m:sSubSup>
      </m:oMath>
      <w:r>
        <w:rPr>
          <w:rFonts w:hint="eastAsia" w:hAnsi="Cambria Math"/>
          <w:highlight w:val="none"/>
        </w:rPr>
        <w:t>、</w:t>
      </w:r>
      <m:oMath>
        <m:sSubSup>
          <m:sSubSupPr>
            <m:ctrlPr>
              <w:rPr>
                <w:rFonts w:ascii="Cambria Math" w:hAnsi="Cambria Math"/>
                <w:highlight w:val="none"/>
              </w:rPr>
            </m:ctrlPr>
          </m:sSubSupPr>
          <m:e>
            <m:r>
              <m:rPr/>
              <w:rPr>
                <w:rFonts w:ascii="Cambria Math" w:hAnsi="Cambria Math"/>
                <w:highlight w:val="none"/>
              </w:rPr>
              <m:t>Q</m:t>
            </m:r>
            <m:ctrlPr>
              <w:rPr>
                <w:rFonts w:ascii="Cambria Math" w:hAnsi="Cambria Math"/>
                <w:highlight w:val="none"/>
              </w:rPr>
            </m:ctrlPr>
          </m:e>
          <m:sub>
            <m:r>
              <m:rPr>
                <m:sty m:val="p"/>
              </m:rPr>
              <w:rPr>
                <w:rFonts w:hint="default" w:ascii="Cambria Math" w:hAnsi="Cambria Math"/>
                <w:highlight w:val="none"/>
                <w:lang w:eastAsia="zh-CN"/>
              </w:rPr>
              <m:t>评估</m:t>
            </m:r>
            <m:r>
              <m:rPr>
                <m:sty m:val="p"/>
              </m:rPr>
              <w:rPr>
                <w:rFonts w:hint="eastAsia" w:ascii="Cambria Math" w:hAnsi="Cambria Math"/>
                <w:highlight w:val="none"/>
              </w:rPr>
              <m:t>年</m:t>
            </m:r>
            <m:ctrlPr>
              <w:rPr>
                <w:rFonts w:ascii="Cambria Math" w:hAnsi="Cambria Math"/>
                <w:highlight w:val="none"/>
              </w:rPr>
            </m:ctrlPr>
          </m:sub>
          <m:sup>
            <m:r>
              <m:rPr>
                <m:sty m:val="p"/>
              </m:rPr>
              <w:rPr>
                <w:rFonts w:hint="eastAsia" w:ascii="Cambria Math" w:hAnsi="Cambria Math"/>
                <w:highlight w:val="none"/>
              </w:rPr>
              <m:t>平水</m:t>
            </m:r>
            <m:ctrlPr>
              <w:rPr>
                <w:rFonts w:ascii="Cambria Math" w:hAnsi="Cambria Math"/>
                <w:highlight w:val="none"/>
              </w:rPr>
            </m:ctrlPr>
          </m:sup>
        </m:sSubSup>
      </m:oMath>
      <w:r>
        <w:rPr>
          <w:rFonts w:hAnsi="Cambria Math"/>
          <w:highlight w:val="none"/>
        </w:rPr>
        <w:t>可通过农业地下水实际开采量折算，折算方法见B.1。</w:t>
      </w:r>
    </w:p>
    <w:p>
      <w:pPr>
        <w:pageBreakBefore w:val="0"/>
        <w:widowControl w:val="0"/>
        <w:numPr>
          <w:ilvl w:val="-1"/>
          <w:numId w:val="0"/>
        </w:numPr>
        <w:kinsoku/>
        <w:wordWrap/>
        <w:overflowPunct/>
        <w:topLinePunct w:val="0"/>
        <w:autoSpaceDE/>
        <w:autoSpaceDN/>
        <w:bidi w:val="0"/>
        <w:adjustRightInd w:val="0"/>
        <w:snapToGrid w:val="0"/>
        <w:spacing w:line="360" w:lineRule="auto"/>
        <w:ind w:firstLine="0"/>
        <w:jc w:val="left"/>
        <w:textAlignment w:val="auto"/>
        <w:outlineLvl w:val="3"/>
        <w:rPr>
          <w:rFonts w:hint="eastAsia" w:ascii="黑体" w:eastAsia="黑体"/>
          <w:szCs w:val="20"/>
          <w:highlight w:val="none"/>
        </w:rPr>
      </w:pPr>
      <w:r>
        <w:rPr>
          <w:rFonts w:hint="eastAsia" w:ascii="黑体" w:eastAsia="黑体"/>
          <w:highlight w:val="none"/>
          <w:lang w:val="en-US" w:eastAsia="zh-CN"/>
        </w:rPr>
        <w:t>4.8</w:t>
      </w:r>
      <w:r>
        <w:rPr>
          <w:rFonts w:hint="eastAsia" w:ascii="黑体" w:eastAsia="黑体"/>
          <w:szCs w:val="20"/>
          <w:highlight w:val="none"/>
          <w:lang w:val="en-US" w:eastAsia="zh-CN"/>
        </w:rPr>
        <w:t xml:space="preserve">.2 </w:t>
      </w:r>
      <w:r>
        <w:rPr>
          <w:rFonts w:hint="eastAsia" w:ascii="黑体" w:eastAsia="黑体"/>
          <w:highlight w:val="none"/>
        </w:rPr>
        <w:t>生活、工业地下水压采量</w:t>
      </w:r>
      <w:r>
        <w:rPr>
          <w:rFonts w:hint="eastAsia" w:ascii="黑体" w:eastAsia="黑体"/>
          <w:szCs w:val="20"/>
          <w:highlight w:val="none"/>
          <w:lang w:val="en-US" w:eastAsia="zh-CN"/>
        </w:rPr>
        <w:t>评估</w:t>
      </w:r>
    </w:p>
    <w:p>
      <w:pPr>
        <w:pageBreakBefore w:val="0"/>
        <w:widowControl w:val="0"/>
        <w:numPr>
          <w:ilvl w:val="-1"/>
          <w:numId w:val="0"/>
        </w:numPr>
        <w:kinsoku/>
        <w:wordWrap/>
        <w:overflowPunct/>
        <w:topLinePunct w:val="0"/>
        <w:autoSpaceDE w:val="0"/>
        <w:autoSpaceDN w:val="0"/>
        <w:bidi w:val="0"/>
        <w:adjustRightInd w:val="0"/>
        <w:snapToGrid w:val="0"/>
        <w:spacing w:line="360" w:lineRule="auto"/>
        <w:ind w:firstLine="420" w:firstLineChars="200"/>
        <w:jc w:val="left"/>
        <w:textAlignment w:val="auto"/>
        <w:rPr>
          <w:rFonts w:ascii="黑体" w:eastAsia="黑体"/>
          <w:highlight w:val="none"/>
        </w:rPr>
      </w:pPr>
      <w:r>
        <w:rPr>
          <w:rFonts w:hint="eastAsia"/>
          <w:szCs w:val="21"/>
          <w:highlight w:val="none"/>
        </w:rPr>
        <w:t>评估年生活、工业地下水压采量计算主要以评估年及</w:t>
      </w:r>
      <w:r>
        <w:rPr>
          <w:rFonts w:hint="eastAsia"/>
          <w:szCs w:val="21"/>
          <w:highlight w:val="none"/>
          <w:lang w:eastAsia="zh-CN"/>
        </w:rPr>
        <w:t>评估</w:t>
      </w:r>
      <w:r>
        <w:rPr>
          <w:rFonts w:hint="eastAsia"/>
          <w:szCs w:val="21"/>
          <w:highlight w:val="none"/>
          <w:lang w:val="en-US" w:eastAsia="zh-CN"/>
        </w:rPr>
        <w:t>系列初始年地下水</w:t>
      </w:r>
      <w:r>
        <w:rPr>
          <w:rFonts w:hint="eastAsia"/>
          <w:szCs w:val="21"/>
          <w:highlight w:val="none"/>
        </w:rPr>
        <w:t>监测计量统计数据为依据，以</w:t>
      </w:r>
      <w:r>
        <w:rPr>
          <w:rFonts w:hint="eastAsia"/>
          <w:szCs w:val="21"/>
          <w:highlight w:val="none"/>
          <w:lang w:val="en-US" w:eastAsia="zh-CN"/>
        </w:rPr>
        <w:t>初始年地下水计量水量减去评估年地下水计量水量</w:t>
      </w:r>
      <w:r>
        <w:rPr>
          <w:rFonts w:hint="eastAsia"/>
          <w:szCs w:val="21"/>
          <w:highlight w:val="none"/>
        </w:rPr>
        <w:t>，</w:t>
      </w:r>
      <w:r>
        <w:rPr>
          <w:rFonts w:hint="eastAsia"/>
          <w:szCs w:val="21"/>
          <w:highlight w:val="none"/>
          <w:lang w:val="en-US" w:eastAsia="zh-CN"/>
        </w:rPr>
        <w:t>也可根据评估区实际按照地表水置换的地下水量进行计算，</w:t>
      </w:r>
      <w:r>
        <w:rPr>
          <w:rFonts w:hint="eastAsia"/>
          <w:szCs w:val="21"/>
          <w:highlight w:val="none"/>
        </w:rPr>
        <w:t>无需折算，具体计算方法见公式（2）。</w:t>
      </w:r>
    </w:p>
    <w:p>
      <w:pPr>
        <w:pageBreakBefore w:val="0"/>
        <w:widowControl w:val="0"/>
        <w:kinsoku/>
        <w:wordWrap/>
        <w:overflowPunct/>
        <w:topLinePunct w:val="0"/>
        <w:autoSpaceDE w:val="0"/>
        <w:autoSpaceDN w:val="0"/>
        <w:bidi w:val="0"/>
        <w:adjustRightInd w:val="0"/>
        <w:snapToGrid w:val="0"/>
        <w:spacing w:line="360" w:lineRule="auto"/>
        <w:jc w:val="right"/>
        <w:textAlignment w:val="auto"/>
        <w:rPr>
          <w:rFonts w:hAnsi="Cambria Math"/>
          <w:highlight w:val="none"/>
        </w:rPr>
      </w:pPr>
      <m:oMath>
        <m:r>
          <m:rPr>
            <m:sty m:val="p"/>
          </m:rPr>
          <w:rPr>
            <w:rFonts w:ascii="Cambria Math" w:hAnsi="Cambria Math"/>
            <w:highlight w:val="none"/>
          </w:rPr>
          <m:t>∆</m:t>
        </m:r>
        <m:sSub>
          <m:sSubPr>
            <m:ctrlPr>
              <w:rPr>
                <w:rFonts w:ascii="Cambria Math" w:hAnsi="Cambria Math"/>
                <w:highlight w:val="none"/>
              </w:rPr>
            </m:ctrlPr>
          </m:sSubPr>
          <m:e>
            <m:r>
              <m:rPr>
                <m:sty m:val="p"/>
              </m:rPr>
              <w:rPr>
                <w:rFonts w:ascii="Cambria Math" w:hAnsi="Cambria Math"/>
                <w:highlight w:val="none"/>
              </w:rPr>
              <m:t>Q</m:t>
            </m:r>
            <m:ctrlPr>
              <w:rPr>
                <w:rFonts w:ascii="Cambria Math" w:hAnsi="Cambria Math"/>
                <w:highlight w:val="none"/>
              </w:rPr>
            </m:ctrlPr>
          </m:e>
          <m:sub>
            <m:r>
              <m:rPr>
                <m:sty m:val="p"/>
              </m:rPr>
              <w:rPr>
                <w:rFonts w:hint="eastAsia" w:ascii="Cambria Math" w:hAnsi="Cambria Math"/>
                <w:highlight w:val="none"/>
              </w:rPr>
              <m:t>生活、工业</m:t>
            </m:r>
            <m:ctrlPr>
              <w:rPr>
                <w:rFonts w:ascii="Cambria Math" w:hAnsi="Cambria Math"/>
                <w:highlight w:val="none"/>
              </w:rPr>
            </m:ctrlPr>
          </m:sub>
        </m:sSub>
        <m:r>
          <m:rPr>
            <m:sty m:val="p"/>
          </m:rPr>
          <w:rPr>
            <w:rFonts w:ascii="Cambria Math" w:hAnsi="Cambria Math"/>
            <w:highlight w:val="none"/>
          </w:rPr>
          <m:t>=</m:t>
        </m:r>
        <m:sSubSup>
          <m:sSubSupPr>
            <m:ctrlPr>
              <w:rPr>
                <w:rFonts w:ascii="Cambria Math" w:hAnsi="Cambria Math"/>
                <w:highlight w:val="none"/>
              </w:rPr>
            </m:ctrlPr>
          </m:sSubSupPr>
          <m:e>
            <m:r>
              <m:rPr>
                <m:sty m:val="p"/>
              </m:rPr>
              <w:rPr>
                <w:rFonts w:ascii="Cambria Math" w:hAnsi="Cambria Math"/>
                <w:highlight w:val="none"/>
              </w:rPr>
              <m:t>Q</m:t>
            </m:r>
            <m:ctrlPr>
              <w:rPr>
                <w:rFonts w:ascii="Cambria Math" w:hAnsi="Cambria Math"/>
                <w:highlight w:val="none"/>
              </w:rPr>
            </m:ctrlPr>
          </m:e>
          <m:sub>
            <m:r>
              <m:rPr>
                <m:sty m:val="p"/>
              </m:rPr>
              <w:rPr>
                <w:rFonts w:hint="eastAsia" w:ascii="Cambria Math" w:hAnsi="Cambria Math"/>
                <w:highlight w:val="none"/>
                <w:lang w:val="en-US" w:eastAsia="zh-CN"/>
              </w:rPr>
              <m:t>初始年</m:t>
            </m:r>
            <m:ctrlPr>
              <w:rPr>
                <w:rFonts w:ascii="Cambria Math" w:hAnsi="Cambria Math"/>
                <w:highlight w:val="none"/>
              </w:rPr>
            </m:ctrlPr>
          </m:sub>
          <m:sup>
            <m:r>
              <m:rPr>
                <m:sty m:val="p"/>
              </m:rPr>
              <w:rPr>
                <w:rFonts w:hint="eastAsia" w:ascii="Cambria Math" w:hAnsi="Cambria Math"/>
                <w:highlight w:val="none"/>
                <w:lang w:val="en-US" w:eastAsia="zh-CN"/>
              </w:rPr>
              <m:t>地下水</m:t>
            </m:r>
            <m:ctrlPr>
              <w:rPr>
                <w:rFonts w:ascii="Cambria Math" w:hAnsi="Cambria Math"/>
                <w:highlight w:val="none"/>
              </w:rPr>
            </m:ctrlPr>
          </m:sup>
        </m:sSubSup>
        <m:r>
          <m:rPr>
            <m:sty m:val="p"/>
          </m:rPr>
          <w:rPr>
            <w:rFonts w:ascii="Cambria Math" w:hAnsi="Cambria Math"/>
            <w:highlight w:val="none"/>
          </w:rPr>
          <m:t>−</m:t>
        </m:r>
        <m:sSubSup>
          <m:sSubSupPr>
            <m:ctrlPr>
              <w:rPr>
                <w:rFonts w:ascii="Cambria Math" w:hAnsi="Cambria Math"/>
                <w:highlight w:val="none"/>
              </w:rPr>
            </m:ctrlPr>
          </m:sSubSupPr>
          <m:e>
            <m:r>
              <m:rPr/>
              <w:rPr>
                <w:rFonts w:ascii="Cambria Math" w:hAnsi="Cambria Math"/>
                <w:highlight w:val="none"/>
              </w:rPr>
              <m:t>Q</m:t>
            </m:r>
            <m:ctrlPr>
              <w:rPr>
                <w:rFonts w:ascii="Cambria Math" w:hAnsi="Cambria Math"/>
                <w:highlight w:val="none"/>
              </w:rPr>
            </m:ctrlPr>
          </m:e>
          <m:sub>
            <m:r>
              <m:rPr>
                <m:sty m:val="p"/>
              </m:rPr>
              <w:rPr>
                <w:rFonts w:hint="eastAsia" w:ascii="Cambria Math" w:hAnsi="Cambria Math"/>
                <w:highlight w:val="none"/>
                <w:lang w:val="en-US" w:eastAsia="zh-CN"/>
              </w:rPr>
              <m:t>评估年</m:t>
            </m:r>
            <m:ctrlPr>
              <w:rPr>
                <w:rFonts w:ascii="Cambria Math" w:hAnsi="Cambria Math"/>
                <w:highlight w:val="none"/>
              </w:rPr>
            </m:ctrlPr>
          </m:sub>
          <m:sup>
            <m:r>
              <m:rPr>
                <m:sty m:val="p"/>
              </m:rPr>
              <w:rPr>
                <w:rFonts w:hint="eastAsia" w:ascii="Cambria Math" w:hAnsi="Cambria Math"/>
                <w:highlight w:val="none"/>
                <w:lang w:val="en-US" w:eastAsia="zh-CN"/>
              </w:rPr>
              <m:t>地下</m:t>
            </m:r>
            <m:r>
              <m:rPr>
                <m:sty m:val="p"/>
              </m:rPr>
              <w:rPr>
                <w:rFonts w:hint="eastAsia" w:ascii="Cambria Math" w:hAnsi="Cambria Math"/>
                <w:highlight w:val="none"/>
              </w:rPr>
              <m:t>水</m:t>
            </m:r>
            <m:ctrlPr>
              <w:rPr>
                <w:rFonts w:ascii="Cambria Math" w:hAnsi="Cambria Math"/>
                <w:highlight w:val="none"/>
              </w:rPr>
            </m:ctrlPr>
          </m:sup>
        </m:sSubSup>
      </m:oMath>
      <w:r>
        <w:rPr>
          <w:rFonts w:hint="eastAsia" w:hAnsi="Cambria Math"/>
          <w:highlight w:val="none"/>
        </w:rPr>
        <w:t>......... ...........................（2）</w:t>
      </w:r>
    </w:p>
    <w:p>
      <w:pPr>
        <w:pageBreakBefore w:val="0"/>
        <w:widowControl w:val="0"/>
        <w:kinsoku/>
        <w:wordWrap/>
        <w:overflowPunct/>
        <w:topLinePunct w:val="0"/>
        <w:autoSpaceDE w:val="0"/>
        <w:autoSpaceDN w:val="0"/>
        <w:bidi w:val="0"/>
        <w:adjustRightInd w:val="0"/>
        <w:snapToGrid w:val="0"/>
        <w:spacing w:line="360" w:lineRule="auto"/>
        <w:ind w:firstLine="420" w:firstLineChars="200"/>
        <w:jc w:val="left"/>
        <w:textAlignment w:val="auto"/>
        <w:rPr>
          <w:rFonts w:hAnsi="Cambria Math"/>
          <w:highlight w:val="none"/>
        </w:rPr>
      </w:pPr>
      <w:r>
        <w:rPr>
          <w:rFonts w:hAnsi="Cambria Math"/>
          <w:highlight w:val="none"/>
        </w:rPr>
        <w:t>式中</w:t>
      </w:r>
      <w:r>
        <w:rPr>
          <w:rFonts w:hint="eastAsia" w:hAnsi="Cambria Math"/>
          <w:highlight w:val="none"/>
        </w:rPr>
        <w:t>：</w:t>
      </w:r>
    </w:p>
    <w:p>
      <w:pPr>
        <w:pageBreakBefore w:val="0"/>
        <w:widowControl w:val="0"/>
        <w:kinsoku/>
        <w:wordWrap/>
        <w:overflowPunct/>
        <w:topLinePunct w:val="0"/>
        <w:autoSpaceDE w:val="0"/>
        <w:autoSpaceDN w:val="0"/>
        <w:bidi w:val="0"/>
        <w:adjustRightInd w:val="0"/>
        <w:snapToGrid w:val="0"/>
        <w:spacing w:line="360" w:lineRule="auto"/>
        <w:ind w:firstLine="420" w:firstLineChars="200"/>
        <w:jc w:val="left"/>
        <w:textAlignment w:val="auto"/>
        <w:rPr>
          <w:rFonts w:hAnsi="Cambria Math"/>
          <w:highlight w:val="none"/>
        </w:rPr>
      </w:pPr>
      <m:oMath>
        <m:r>
          <m:rPr>
            <m:sty m:val="p"/>
          </m:rPr>
          <w:rPr>
            <w:rFonts w:ascii="Cambria Math" w:hAnsi="Cambria Math"/>
            <w:highlight w:val="none"/>
          </w:rPr>
          <m:t>∆</m:t>
        </m:r>
        <m:sSub>
          <m:sSubPr>
            <m:ctrlPr>
              <w:rPr>
                <w:rFonts w:ascii="Cambria Math" w:hAnsi="Cambria Math"/>
                <w:highlight w:val="none"/>
              </w:rPr>
            </m:ctrlPr>
          </m:sSubPr>
          <m:e>
            <m:r>
              <m:rPr>
                <m:sty m:val="p"/>
              </m:rPr>
              <w:rPr>
                <w:rFonts w:ascii="Cambria Math" w:hAnsi="Cambria Math"/>
                <w:highlight w:val="none"/>
              </w:rPr>
              <m:t>Q</m:t>
            </m:r>
            <m:ctrlPr>
              <w:rPr>
                <w:rFonts w:ascii="Cambria Math" w:hAnsi="Cambria Math"/>
                <w:highlight w:val="none"/>
              </w:rPr>
            </m:ctrlPr>
          </m:e>
          <m:sub>
            <m:r>
              <m:rPr>
                <m:sty m:val="p"/>
              </m:rPr>
              <w:rPr>
                <w:rFonts w:hint="eastAsia" w:ascii="Cambria Math" w:hAnsi="Cambria Math"/>
                <w:highlight w:val="none"/>
              </w:rPr>
              <m:t>生活、工业</m:t>
            </m:r>
            <m:ctrlPr>
              <w:rPr>
                <w:rFonts w:ascii="Cambria Math" w:hAnsi="Cambria Math"/>
                <w:highlight w:val="none"/>
              </w:rPr>
            </m:ctrlPr>
          </m:sub>
        </m:sSub>
      </m:oMath>
      <w:r>
        <w:rPr>
          <w:rFonts w:hint="eastAsia" w:hAnsi="Cambria Math"/>
          <w:highlight w:val="none"/>
        </w:rPr>
        <w:t>——</w:t>
      </w:r>
      <w:r>
        <w:rPr>
          <w:rFonts w:hint="eastAsia" w:hAnsi="Cambria Math"/>
          <w:highlight w:val="none"/>
          <w:lang w:eastAsia="zh-CN"/>
        </w:rPr>
        <w:t>评估</w:t>
      </w:r>
      <w:r>
        <w:rPr>
          <w:rFonts w:hAnsi="Cambria Math"/>
          <w:highlight w:val="none"/>
        </w:rPr>
        <w:t>年</w:t>
      </w:r>
      <w:r>
        <w:rPr>
          <w:rFonts w:hint="eastAsia" w:hAnsi="Cambria Math"/>
          <w:highlight w:val="none"/>
        </w:rPr>
        <w:t>生活、工业</w:t>
      </w:r>
      <w:r>
        <w:rPr>
          <w:rFonts w:hAnsi="Cambria Math"/>
          <w:highlight w:val="none"/>
        </w:rPr>
        <w:t>地下水压采量</w:t>
      </w:r>
      <w:r>
        <w:rPr>
          <w:rFonts w:hint="eastAsia" w:hAnsi="Cambria Math"/>
          <w:highlight w:val="none"/>
          <w:lang w:eastAsia="zh-CN"/>
        </w:rPr>
        <w:t>（</w:t>
      </w:r>
      <w:r>
        <w:rPr>
          <w:rFonts w:hint="eastAsia" w:hAnsi="Cambria Math"/>
          <w:highlight w:val="none"/>
          <w:lang w:val="en-US" w:eastAsia="zh-CN"/>
        </w:rPr>
        <w:t>万m</w:t>
      </w:r>
      <w:r>
        <w:rPr>
          <w:rFonts w:hint="eastAsia" w:hAnsi="Cambria Math"/>
          <w:highlight w:val="none"/>
          <w:vertAlign w:val="superscript"/>
          <w:lang w:val="en-US" w:eastAsia="zh-CN"/>
        </w:rPr>
        <w:t>3</w:t>
      </w:r>
      <w:r>
        <w:rPr>
          <w:rFonts w:hint="eastAsia" w:hAnsi="Cambria Math"/>
          <w:highlight w:val="none"/>
          <w:lang w:eastAsia="zh-CN"/>
        </w:rPr>
        <w:t>）</w:t>
      </w:r>
      <w:r>
        <w:rPr>
          <w:rFonts w:hint="eastAsia" w:hAnsi="Cambria Math"/>
          <w:highlight w:val="none"/>
        </w:rPr>
        <w:t>；</w:t>
      </w:r>
    </w:p>
    <w:p>
      <w:pPr>
        <w:pageBreakBefore w:val="0"/>
        <w:widowControl w:val="0"/>
        <w:kinsoku/>
        <w:wordWrap/>
        <w:overflowPunct/>
        <w:topLinePunct w:val="0"/>
        <w:autoSpaceDE w:val="0"/>
        <w:autoSpaceDN w:val="0"/>
        <w:bidi w:val="0"/>
        <w:adjustRightInd w:val="0"/>
        <w:snapToGrid w:val="0"/>
        <w:spacing w:line="360" w:lineRule="auto"/>
        <w:ind w:firstLine="420" w:firstLineChars="200"/>
        <w:jc w:val="left"/>
        <w:textAlignment w:val="auto"/>
        <w:rPr>
          <w:rFonts w:hAnsi="Cambria Math"/>
          <w:highlight w:val="none"/>
        </w:rPr>
      </w:pPr>
      <m:oMath>
        <m:sSubSup>
          <m:sSubSupPr>
            <m:ctrlPr>
              <w:rPr>
                <w:rFonts w:ascii="Cambria Math" w:hAnsi="Cambria Math"/>
                <w:highlight w:val="none"/>
              </w:rPr>
            </m:ctrlPr>
          </m:sSubSupPr>
          <m:e>
            <m:r>
              <m:rPr>
                <m:sty m:val="p"/>
              </m:rPr>
              <w:rPr>
                <w:rFonts w:ascii="Cambria Math" w:hAnsi="Cambria Math"/>
                <w:highlight w:val="none"/>
              </w:rPr>
              <m:t>Q</m:t>
            </m:r>
            <m:ctrlPr>
              <w:rPr>
                <w:rFonts w:ascii="Cambria Math" w:hAnsi="Cambria Math"/>
                <w:highlight w:val="none"/>
              </w:rPr>
            </m:ctrlPr>
          </m:e>
          <m:sub>
            <m:r>
              <m:rPr>
                <m:sty m:val="p"/>
              </m:rPr>
              <w:rPr>
                <w:rFonts w:hint="eastAsia" w:ascii="Cambria Math" w:hAnsi="Cambria Math"/>
                <w:highlight w:val="none"/>
                <w:lang w:val="en-US" w:eastAsia="zh-CN"/>
              </w:rPr>
              <m:t>初始年</m:t>
            </m:r>
            <m:ctrlPr>
              <w:rPr>
                <w:rFonts w:ascii="Cambria Math" w:hAnsi="Cambria Math"/>
                <w:highlight w:val="none"/>
              </w:rPr>
            </m:ctrlPr>
          </m:sub>
          <m:sup>
            <m:r>
              <m:rPr>
                <m:sty m:val="p"/>
              </m:rPr>
              <w:rPr>
                <w:rFonts w:hint="eastAsia" w:ascii="Cambria Math" w:hAnsi="Cambria Math"/>
                <w:highlight w:val="none"/>
                <w:lang w:val="en-US" w:eastAsia="zh-CN"/>
              </w:rPr>
              <m:t>地下水</m:t>
            </m:r>
            <m:ctrlPr>
              <w:rPr>
                <w:rFonts w:ascii="Cambria Math" w:hAnsi="Cambria Math"/>
                <w:highlight w:val="none"/>
              </w:rPr>
            </m:ctrlPr>
          </m:sup>
        </m:sSubSup>
      </m:oMath>
      <w:r>
        <w:rPr>
          <w:rFonts w:hAnsi="Cambria Math"/>
          <w:highlight w:val="none"/>
        </w:rPr>
        <w:t>——</w:t>
      </w:r>
      <w:r>
        <w:rPr>
          <w:rFonts w:hint="eastAsia" w:hAnsi="Cambria Math"/>
          <w:highlight w:val="none"/>
          <w:lang w:val="en-US" w:eastAsia="zh-CN"/>
        </w:rPr>
        <w:t>评估</w:t>
      </w:r>
      <w:r>
        <w:rPr>
          <w:rFonts w:hint="eastAsia"/>
          <w:szCs w:val="21"/>
          <w:highlight w:val="none"/>
          <w:lang w:val="en-US" w:eastAsia="zh-CN"/>
        </w:rPr>
        <w:t>系列初始年</w:t>
      </w:r>
      <w:r>
        <w:rPr>
          <w:rFonts w:hint="eastAsia" w:hAnsi="Cambria Math"/>
          <w:highlight w:val="none"/>
          <w:lang w:val="en-US" w:eastAsia="zh-CN"/>
        </w:rPr>
        <w:t>的</w:t>
      </w:r>
      <w:r>
        <w:rPr>
          <w:rFonts w:hint="eastAsia" w:hAnsi="Cambria Math"/>
          <w:highlight w:val="none"/>
        </w:rPr>
        <w:t>生活、工业利用</w:t>
      </w:r>
      <w:r>
        <w:rPr>
          <w:rFonts w:hint="eastAsia" w:hAnsi="Cambria Math"/>
          <w:highlight w:val="none"/>
          <w:lang w:val="en-US" w:eastAsia="zh-CN"/>
        </w:rPr>
        <w:t>地下水</w:t>
      </w:r>
      <w:r>
        <w:rPr>
          <w:rFonts w:hint="eastAsia" w:hAnsi="Cambria Math"/>
          <w:highlight w:val="none"/>
        </w:rPr>
        <w:t>量</w:t>
      </w:r>
      <w:r>
        <w:rPr>
          <w:rFonts w:hint="eastAsia" w:hAnsi="Cambria Math"/>
          <w:highlight w:val="none"/>
          <w:lang w:eastAsia="zh-CN"/>
        </w:rPr>
        <w:t>（</w:t>
      </w:r>
      <w:r>
        <w:rPr>
          <w:rFonts w:hint="eastAsia" w:hAnsi="Cambria Math"/>
          <w:highlight w:val="none"/>
          <w:lang w:val="en-US" w:eastAsia="zh-CN"/>
        </w:rPr>
        <w:t>万m</w:t>
      </w:r>
      <w:r>
        <w:rPr>
          <w:rFonts w:hint="eastAsia" w:hAnsi="Cambria Math"/>
          <w:highlight w:val="none"/>
          <w:vertAlign w:val="superscript"/>
          <w:lang w:val="en-US" w:eastAsia="zh-CN"/>
        </w:rPr>
        <w:t>3</w:t>
      </w:r>
      <w:r>
        <w:rPr>
          <w:rFonts w:hint="eastAsia" w:hAnsi="Cambria Math"/>
          <w:highlight w:val="none"/>
          <w:lang w:eastAsia="zh-CN"/>
        </w:rPr>
        <w:t>）</w:t>
      </w:r>
      <w:r>
        <w:rPr>
          <w:rFonts w:hint="eastAsia" w:hAnsi="Cambria Math"/>
          <w:highlight w:val="none"/>
        </w:rPr>
        <w:t>；</w:t>
      </w:r>
    </w:p>
    <w:p>
      <w:pPr>
        <w:pageBreakBefore w:val="0"/>
        <w:widowControl w:val="0"/>
        <w:kinsoku/>
        <w:wordWrap/>
        <w:overflowPunct/>
        <w:topLinePunct w:val="0"/>
        <w:autoSpaceDE w:val="0"/>
        <w:autoSpaceDN w:val="0"/>
        <w:bidi w:val="0"/>
        <w:adjustRightInd w:val="0"/>
        <w:snapToGrid w:val="0"/>
        <w:spacing w:line="360" w:lineRule="auto"/>
        <w:ind w:firstLine="420" w:firstLineChars="200"/>
        <w:jc w:val="left"/>
        <w:textAlignment w:val="auto"/>
        <w:rPr>
          <w:rFonts w:hAnsi="Cambria Math"/>
          <w:highlight w:val="none"/>
        </w:rPr>
      </w:pPr>
      <m:oMath>
        <m:sSubSup>
          <m:sSubSupPr>
            <m:ctrlPr>
              <w:rPr>
                <w:rFonts w:ascii="Cambria Math" w:hAnsi="Cambria Math"/>
                <w:highlight w:val="none"/>
              </w:rPr>
            </m:ctrlPr>
          </m:sSubSupPr>
          <m:e>
            <m:r>
              <m:rPr/>
              <w:rPr>
                <w:rFonts w:ascii="Cambria Math" w:hAnsi="Cambria Math"/>
                <w:highlight w:val="none"/>
              </w:rPr>
              <m:t>Q</m:t>
            </m:r>
            <m:ctrlPr>
              <w:rPr>
                <w:rFonts w:ascii="Cambria Math" w:hAnsi="Cambria Math"/>
                <w:highlight w:val="none"/>
              </w:rPr>
            </m:ctrlPr>
          </m:e>
          <m:sub>
            <m:r>
              <m:rPr>
                <m:sty m:val="p"/>
              </m:rPr>
              <w:rPr>
                <w:rFonts w:hint="eastAsia" w:ascii="Cambria Math" w:hAnsi="Cambria Math"/>
                <w:highlight w:val="none"/>
                <w:lang w:val="en-US" w:eastAsia="zh-CN"/>
              </w:rPr>
              <m:t>评估</m:t>
            </m:r>
            <m:r>
              <m:rPr>
                <m:sty m:val="p"/>
              </m:rPr>
              <w:rPr>
                <w:rFonts w:hint="default" w:ascii="Cambria Math" w:hAnsi="Cambria Math"/>
                <w:highlight w:val="none"/>
                <w:lang w:eastAsia="zh-CN"/>
              </w:rPr>
              <m:t>度</m:t>
            </m:r>
            <m:ctrlPr>
              <w:rPr>
                <w:rFonts w:ascii="Cambria Math" w:hAnsi="Cambria Math"/>
                <w:highlight w:val="none"/>
              </w:rPr>
            </m:ctrlPr>
          </m:sub>
          <m:sup>
            <m:r>
              <m:rPr>
                <m:sty m:val="p"/>
              </m:rPr>
              <w:rPr>
                <w:rFonts w:hint="eastAsia" w:ascii="Cambria Math" w:hAnsi="Cambria Math"/>
                <w:highlight w:val="none"/>
                <w:lang w:val="en-US" w:eastAsia="zh-CN"/>
              </w:rPr>
              <m:t>地下</m:t>
            </m:r>
            <m:r>
              <m:rPr>
                <m:sty m:val="p"/>
              </m:rPr>
              <w:rPr>
                <w:rFonts w:hint="eastAsia" w:ascii="Cambria Math" w:hAnsi="Cambria Math"/>
                <w:highlight w:val="none"/>
              </w:rPr>
              <m:t>水</m:t>
            </m:r>
            <m:ctrlPr>
              <w:rPr>
                <w:rFonts w:ascii="Cambria Math" w:hAnsi="Cambria Math"/>
                <w:highlight w:val="none"/>
              </w:rPr>
            </m:ctrlPr>
          </m:sup>
        </m:sSubSup>
      </m:oMath>
      <w:r>
        <w:rPr>
          <w:rFonts w:hint="eastAsia" w:hAnsi="Cambria Math"/>
          <w:highlight w:val="none"/>
        </w:rPr>
        <w:t>——</w:t>
      </w:r>
      <w:r>
        <w:rPr>
          <w:rFonts w:hint="eastAsia" w:hAnsi="Cambria Math"/>
          <w:highlight w:val="none"/>
          <w:lang w:val="en-US" w:eastAsia="zh-CN"/>
        </w:rPr>
        <w:t>评估年</w:t>
      </w:r>
      <w:r>
        <w:rPr>
          <w:rFonts w:hint="eastAsia" w:hAnsi="Cambria Math"/>
          <w:highlight w:val="none"/>
        </w:rPr>
        <w:t>生活、工业利用</w:t>
      </w:r>
      <w:r>
        <w:rPr>
          <w:rFonts w:hint="eastAsia" w:hAnsi="Cambria Math"/>
          <w:highlight w:val="none"/>
          <w:lang w:val="en-US" w:eastAsia="zh-CN"/>
        </w:rPr>
        <w:t>地下水</w:t>
      </w:r>
      <w:r>
        <w:rPr>
          <w:rFonts w:hint="eastAsia" w:hAnsi="Cambria Math"/>
          <w:highlight w:val="none"/>
        </w:rPr>
        <w:t>量</w:t>
      </w:r>
      <w:r>
        <w:rPr>
          <w:rFonts w:hint="eastAsia" w:hAnsi="Cambria Math"/>
          <w:highlight w:val="none"/>
          <w:lang w:eastAsia="zh-CN"/>
        </w:rPr>
        <w:t>（</w:t>
      </w:r>
      <w:r>
        <w:rPr>
          <w:rFonts w:hint="eastAsia" w:hAnsi="Cambria Math"/>
          <w:highlight w:val="none"/>
          <w:lang w:val="en-US" w:eastAsia="zh-CN"/>
        </w:rPr>
        <w:t>万m</w:t>
      </w:r>
      <w:r>
        <w:rPr>
          <w:rFonts w:hint="eastAsia" w:hAnsi="Cambria Math"/>
          <w:highlight w:val="none"/>
          <w:vertAlign w:val="superscript"/>
          <w:lang w:val="en-US" w:eastAsia="zh-CN"/>
        </w:rPr>
        <w:t>3</w:t>
      </w:r>
      <w:r>
        <w:rPr>
          <w:rFonts w:hint="eastAsia" w:hAnsi="Cambria Math"/>
          <w:highlight w:val="none"/>
          <w:lang w:eastAsia="zh-CN"/>
        </w:rPr>
        <w:t>）</w:t>
      </w:r>
      <w:r>
        <w:rPr>
          <w:rFonts w:hint="eastAsia" w:hAnsi="Cambria Math"/>
          <w:highlight w:val="none"/>
        </w:rPr>
        <w:t>。</w:t>
      </w:r>
    </w:p>
    <w:p>
      <w:pPr>
        <w:pageBreakBefore w:val="0"/>
        <w:widowControl w:val="0"/>
        <w:numPr>
          <w:ilvl w:val="-1"/>
          <w:numId w:val="0"/>
        </w:numPr>
        <w:kinsoku/>
        <w:wordWrap/>
        <w:overflowPunct/>
        <w:topLinePunct w:val="0"/>
        <w:autoSpaceDE/>
        <w:autoSpaceDN/>
        <w:bidi w:val="0"/>
        <w:adjustRightInd w:val="0"/>
        <w:snapToGrid w:val="0"/>
        <w:spacing w:line="360" w:lineRule="auto"/>
        <w:ind w:firstLine="0"/>
        <w:jc w:val="left"/>
        <w:textAlignment w:val="auto"/>
        <w:outlineLvl w:val="3"/>
        <w:rPr>
          <w:rFonts w:hint="eastAsia" w:ascii="黑体" w:eastAsia="黑体"/>
          <w:szCs w:val="20"/>
          <w:highlight w:val="none"/>
        </w:rPr>
      </w:pPr>
      <w:r>
        <w:rPr>
          <w:rFonts w:hint="eastAsia" w:ascii="黑体" w:eastAsia="黑体"/>
          <w:highlight w:val="none"/>
          <w:lang w:val="en-US" w:eastAsia="zh-CN"/>
        </w:rPr>
        <w:t>4.8</w:t>
      </w:r>
      <w:r>
        <w:rPr>
          <w:rFonts w:hint="eastAsia" w:ascii="黑体" w:eastAsia="黑体"/>
          <w:szCs w:val="20"/>
          <w:highlight w:val="none"/>
          <w:lang w:val="en-US" w:eastAsia="zh-CN"/>
        </w:rPr>
        <w:t>.3 评估年</w:t>
      </w:r>
      <w:r>
        <w:rPr>
          <w:rFonts w:hint="eastAsia" w:ascii="黑体" w:eastAsia="黑体"/>
          <w:highlight w:val="none"/>
        </w:rPr>
        <w:t>地下水压采量</w:t>
      </w:r>
    </w:p>
    <w:p>
      <w:pPr>
        <w:numPr>
          <w:ilvl w:val="255"/>
          <w:numId w:val="0"/>
        </w:numPr>
        <w:autoSpaceDE w:val="0"/>
        <w:autoSpaceDN w:val="0"/>
        <w:adjustRightInd w:val="0"/>
        <w:snapToGrid w:val="0"/>
        <w:spacing w:line="360" w:lineRule="auto"/>
        <w:ind w:firstLine="420" w:firstLineChars="200"/>
        <w:jc w:val="left"/>
        <w:rPr>
          <w:rFonts w:hint="eastAsia"/>
          <w:szCs w:val="21"/>
          <w:highlight w:val="none"/>
          <w:lang w:eastAsia="zh-CN"/>
        </w:rPr>
      </w:pPr>
      <w:r>
        <w:rPr>
          <w:rFonts w:hint="eastAsia"/>
          <w:szCs w:val="21"/>
          <w:highlight w:val="none"/>
          <w:lang w:eastAsia="zh-CN"/>
        </w:rPr>
        <w:t>评估年地下水压采量为评估</w:t>
      </w:r>
      <w:r>
        <w:rPr>
          <w:rFonts w:hint="eastAsia"/>
          <w:szCs w:val="21"/>
          <w:highlight w:val="none"/>
          <w:lang w:val="en-US" w:eastAsia="zh-CN"/>
        </w:rPr>
        <w:t>系列年</w:t>
      </w:r>
      <w:r>
        <w:rPr>
          <w:rFonts w:hint="eastAsia"/>
          <w:szCs w:val="21"/>
          <w:highlight w:val="none"/>
        </w:rPr>
        <w:t>农业</w:t>
      </w:r>
      <w:r>
        <w:rPr>
          <w:rFonts w:hint="eastAsia"/>
          <w:szCs w:val="21"/>
          <w:highlight w:val="none"/>
          <w:lang w:eastAsia="zh-CN"/>
        </w:rPr>
        <w:t>、</w:t>
      </w:r>
      <w:r>
        <w:rPr>
          <w:rFonts w:hint="eastAsia"/>
          <w:szCs w:val="21"/>
          <w:highlight w:val="none"/>
        </w:rPr>
        <w:t>生活</w:t>
      </w:r>
      <w:r>
        <w:rPr>
          <w:rFonts w:hint="eastAsia"/>
          <w:szCs w:val="21"/>
          <w:highlight w:val="none"/>
          <w:lang w:eastAsia="zh-CN"/>
        </w:rPr>
        <w:t>、</w:t>
      </w:r>
      <w:r>
        <w:rPr>
          <w:rFonts w:hint="eastAsia"/>
          <w:szCs w:val="21"/>
          <w:highlight w:val="none"/>
        </w:rPr>
        <w:t>工业地下水压采量之和。地下水压采量计算的合理性可利用水资源公报、机井封停台账、“以电折水系数”等数据进行复核，复核结果</w:t>
      </w:r>
      <w:r>
        <w:rPr>
          <w:rFonts w:hint="eastAsia"/>
          <w:szCs w:val="21"/>
          <w:highlight w:val="none"/>
          <w:lang w:val="en-US" w:eastAsia="zh-CN"/>
        </w:rPr>
        <w:t>大于等于</w:t>
      </w:r>
      <w:r>
        <w:rPr>
          <w:rFonts w:hint="eastAsia"/>
          <w:szCs w:val="21"/>
          <w:highlight w:val="none"/>
        </w:rPr>
        <w:t>地下水压采</w:t>
      </w:r>
      <w:r>
        <w:rPr>
          <w:rFonts w:hint="eastAsia"/>
          <w:szCs w:val="21"/>
          <w:highlight w:val="none"/>
          <w:lang w:val="en-US" w:eastAsia="zh-CN"/>
        </w:rPr>
        <w:t>量</w:t>
      </w:r>
      <w:r>
        <w:rPr>
          <w:rFonts w:hint="eastAsia"/>
          <w:szCs w:val="21"/>
          <w:highlight w:val="none"/>
        </w:rPr>
        <w:t>任务</w:t>
      </w:r>
      <w:r>
        <w:rPr>
          <w:rFonts w:hint="eastAsia"/>
          <w:szCs w:val="21"/>
          <w:highlight w:val="none"/>
          <w:lang w:eastAsia="zh-CN"/>
        </w:rPr>
        <w:t>为完成</w:t>
      </w:r>
      <w:r>
        <w:rPr>
          <w:rFonts w:hint="eastAsia"/>
          <w:szCs w:val="21"/>
          <w:highlight w:val="none"/>
          <w:lang w:val="en-US" w:eastAsia="zh-CN"/>
        </w:rPr>
        <w:t>评估期</w:t>
      </w:r>
      <w:r>
        <w:rPr>
          <w:rFonts w:hint="eastAsia"/>
          <w:szCs w:val="21"/>
          <w:highlight w:val="none"/>
          <w:lang w:eastAsia="zh-CN"/>
        </w:rPr>
        <w:t>治理任务，</w:t>
      </w:r>
      <w:r>
        <w:rPr>
          <w:rFonts w:hint="eastAsia"/>
          <w:szCs w:val="21"/>
          <w:highlight w:val="none"/>
          <w:lang w:val="en-US" w:eastAsia="zh-CN"/>
        </w:rPr>
        <w:t>复核</w:t>
      </w:r>
      <w:r>
        <w:rPr>
          <w:rFonts w:hint="eastAsia"/>
          <w:szCs w:val="21"/>
          <w:highlight w:val="none"/>
        </w:rPr>
        <w:t>结果小于地下水压采量任务则认定为未完</w:t>
      </w:r>
      <w:r>
        <w:rPr>
          <w:rFonts w:hint="eastAsia"/>
          <w:szCs w:val="21"/>
          <w:highlight w:val="none"/>
          <w:lang w:val="en-US" w:eastAsia="zh-CN"/>
        </w:rPr>
        <w:t>评估期</w:t>
      </w:r>
      <w:r>
        <w:rPr>
          <w:rFonts w:hint="eastAsia"/>
          <w:szCs w:val="21"/>
          <w:highlight w:val="none"/>
        </w:rPr>
        <w:t>治理任务。</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outlineLvl w:val="1"/>
        <w:rPr>
          <w:rFonts w:hint="default" w:ascii="黑体" w:eastAsia="黑体"/>
          <w:color w:val="C00000"/>
          <w:highlight w:val="none"/>
          <w:lang w:val="en-US"/>
        </w:rPr>
      </w:pPr>
      <w:bookmarkStart w:id="39" w:name="_Toc17793"/>
      <w:r>
        <w:rPr>
          <w:rFonts w:hint="eastAsia" w:ascii="黑体" w:eastAsia="黑体"/>
          <w:highlight w:val="none"/>
          <w:lang w:val="en-US" w:eastAsia="zh-CN"/>
        </w:rPr>
        <w:t>4.9</w:t>
      </w:r>
      <w:r>
        <w:rPr>
          <w:rFonts w:hint="eastAsia" w:ascii="黑体" w:eastAsia="黑体"/>
          <w:highlight w:val="none"/>
        </w:rPr>
        <w:t xml:space="preserve"> </w:t>
      </w:r>
      <w:r>
        <w:rPr>
          <w:rFonts w:hint="eastAsia" w:ascii="黑体" w:eastAsia="黑体"/>
          <w:highlight w:val="none"/>
          <w:lang w:val="en-US" w:eastAsia="zh-CN"/>
        </w:rPr>
        <w:t>治理效果评估</w:t>
      </w:r>
      <w:bookmarkEnd w:id="39"/>
    </w:p>
    <w:p>
      <w:pPr>
        <w:keepNext w:val="0"/>
        <w:keepLines w:val="0"/>
        <w:pageBreakBefore w:val="0"/>
        <w:widowControl w:val="0"/>
        <w:numPr>
          <w:ilvl w:val="-1"/>
          <w:numId w:val="0"/>
        </w:numPr>
        <w:kinsoku/>
        <w:wordWrap/>
        <w:overflowPunct/>
        <w:topLinePunct w:val="0"/>
        <w:autoSpaceDE/>
        <w:autoSpaceDN/>
        <w:bidi w:val="0"/>
        <w:adjustRightInd w:val="0"/>
        <w:snapToGrid w:val="0"/>
        <w:spacing w:line="360" w:lineRule="auto"/>
        <w:ind w:firstLine="0"/>
        <w:jc w:val="left"/>
        <w:textAlignment w:val="auto"/>
        <w:outlineLvl w:val="2"/>
        <w:rPr>
          <w:rFonts w:hint="eastAsia" w:ascii="黑体" w:eastAsia="黑体"/>
          <w:highlight w:val="none"/>
          <w:lang w:val="en-US" w:eastAsia="zh-CN"/>
        </w:rPr>
      </w:pPr>
      <w:r>
        <w:rPr>
          <w:rFonts w:hint="eastAsia" w:ascii="黑体" w:eastAsia="黑体"/>
          <w:highlight w:val="none"/>
          <w:lang w:val="en-US" w:eastAsia="zh-CN"/>
        </w:rPr>
        <w:t>4.9.1地下水水位变化情况评估</w:t>
      </w:r>
    </w:p>
    <w:p>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outlineLvl w:val="9"/>
        <w:rPr>
          <w:rFonts w:hint="eastAsia"/>
          <w:highlight w:val="none"/>
        </w:rPr>
      </w:pPr>
      <w:r>
        <w:rPr>
          <w:rFonts w:hint="eastAsia"/>
          <w:highlight w:val="none"/>
        </w:rPr>
        <w:t>采用国家级和省级监测站地下水水位监测数据</w:t>
      </w:r>
      <w:r>
        <w:rPr>
          <w:rFonts w:hint="eastAsia"/>
          <w:highlight w:val="none"/>
          <w:lang w:eastAsia="zh-CN"/>
        </w:rPr>
        <w:t>对</w:t>
      </w:r>
      <w:r>
        <w:rPr>
          <w:rFonts w:hint="eastAsia"/>
          <w:highlight w:val="none"/>
        </w:rPr>
        <w:t>地下水水位变化</w:t>
      </w:r>
      <w:r>
        <w:rPr>
          <w:rFonts w:hint="eastAsia"/>
          <w:highlight w:val="none"/>
          <w:lang w:eastAsia="zh-CN"/>
        </w:rPr>
        <w:t>情况进行</w:t>
      </w:r>
      <w:r>
        <w:rPr>
          <w:rFonts w:hint="eastAsia"/>
          <w:highlight w:val="none"/>
        </w:rPr>
        <w:t>分析。将</w:t>
      </w:r>
      <w:r>
        <w:rPr>
          <w:rFonts w:hint="eastAsia"/>
          <w:szCs w:val="21"/>
          <w:highlight w:val="none"/>
          <w:lang w:val="en-US" w:eastAsia="zh-CN"/>
        </w:rPr>
        <w:t>评估年年末</w:t>
      </w:r>
      <w:r>
        <w:rPr>
          <w:rFonts w:hint="eastAsia"/>
          <w:highlight w:val="none"/>
        </w:rPr>
        <w:t>地下水水位与</w:t>
      </w:r>
      <w:r>
        <w:rPr>
          <w:rFonts w:hint="eastAsia"/>
          <w:szCs w:val="21"/>
          <w:highlight w:val="none"/>
          <w:lang w:eastAsia="zh-CN"/>
        </w:rPr>
        <w:t>评估</w:t>
      </w:r>
      <w:r>
        <w:rPr>
          <w:rFonts w:hint="eastAsia"/>
          <w:szCs w:val="21"/>
          <w:highlight w:val="none"/>
          <w:lang w:val="en-US" w:eastAsia="zh-CN"/>
        </w:rPr>
        <w:t>系列初始年年末</w:t>
      </w:r>
      <w:r>
        <w:rPr>
          <w:rFonts w:hint="eastAsia"/>
          <w:highlight w:val="none"/>
        </w:rPr>
        <w:t>地下水水位进行对比</w:t>
      </w:r>
      <w:r>
        <w:rPr>
          <w:rFonts w:hint="eastAsia"/>
          <w:highlight w:val="none"/>
          <w:lang w:eastAsia="zh-CN"/>
        </w:rPr>
        <w:t>，</w:t>
      </w:r>
      <w:r>
        <w:rPr>
          <w:rFonts w:hint="eastAsia"/>
          <w:highlight w:val="none"/>
        </w:rPr>
        <w:t>分析两个年度内地下水水位变化趋势，评估地下水超采综合治理对超采区地下水水位的影响，年末地下水水位应扣除降水影响折算到平水条件下，折算方法见B.2</w:t>
      </w:r>
      <w:r>
        <w:rPr>
          <w:rFonts w:hint="eastAsia"/>
          <w:highlight w:val="none"/>
          <w:lang w:eastAsia="zh-CN"/>
        </w:rPr>
        <w:t>，</w:t>
      </w:r>
      <w:r>
        <w:rPr>
          <w:rFonts w:hint="eastAsia"/>
          <w:highlight w:val="none"/>
        </w:rPr>
        <w:t>评估结论宜描述为上升、下降、平稳等。</w:t>
      </w:r>
    </w:p>
    <w:p>
      <w:pPr>
        <w:keepNext w:val="0"/>
        <w:keepLines w:val="0"/>
        <w:pageBreakBefore w:val="0"/>
        <w:widowControl w:val="0"/>
        <w:numPr>
          <w:ilvl w:val="-1"/>
          <w:numId w:val="0"/>
        </w:numPr>
        <w:kinsoku/>
        <w:wordWrap/>
        <w:overflowPunct/>
        <w:topLinePunct w:val="0"/>
        <w:autoSpaceDE/>
        <w:autoSpaceDN/>
        <w:bidi w:val="0"/>
        <w:adjustRightInd w:val="0"/>
        <w:snapToGrid w:val="0"/>
        <w:spacing w:line="360" w:lineRule="auto"/>
        <w:ind w:firstLine="0"/>
        <w:jc w:val="left"/>
        <w:textAlignment w:val="auto"/>
        <w:outlineLvl w:val="2"/>
        <w:rPr>
          <w:rFonts w:hint="eastAsia" w:ascii="黑体" w:eastAsia="黑体"/>
          <w:highlight w:val="none"/>
          <w:lang w:val="en-US" w:eastAsia="zh-CN"/>
        </w:rPr>
      </w:pPr>
      <w:r>
        <w:rPr>
          <w:rFonts w:hint="eastAsia" w:ascii="黑体" w:eastAsia="黑体"/>
          <w:highlight w:val="none"/>
          <w:lang w:val="en-US" w:eastAsia="zh-CN"/>
        </w:rPr>
        <w:t>4.9.2  地下水开发利用程度评估</w:t>
      </w:r>
    </w:p>
    <w:p>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outlineLvl w:val="9"/>
        <w:rPr>
          <w:rFonts w:hint="eastAsia" w:ascii="黑体" w:hAnsi="黑体" w:eastAsia="黑体" w:cs="黑体"/>
          <w:bCs/>
          <w:szCs w:val="21"/>
          <w:highlight w:val="none"/>
        </w:rPr>
      </w:pPr>
      <w:r>
        <w:rPr>
          <w:rFonts w:hint="eastAsia"/>
          <w:highlight w:val="none"/>
        </w:rPr>
        <w:t>将</w:t>
      </w:r>
      <w:r>
        <w:rPr>
          <w:rFonts w:hint="eastAsia"/>
          <w:szCs w:val="21"/>
          <w:highlight w:val="none"/>
          <w:lang w:eastAsia="zh-CN"/>
        </w:rPr>
        <w:t>评估</w:t>
      </w:r>
      <w:r>
        <w:rPr>
          <w:rFonts w:hint="eastAsia"/>
          <w:szCs w:val="21"/>
          <w:highlight w:val="none"/>
          <w:lang w:val="en-US" w:eastAsia="zh-CN"/>
        </w:rPr>
        <w:t>系列年的地下水开采量</w:t>
      </w:r>
      <w:r>
        <w:rPr>
          <w:rFonts w:hint="eastAsia"/>
          <w:highlight w:val="none"/>
        </w:rPr>
        <w:t>进行对比</w:t>
      </w:r>
      <w:r>
        <w:rPr>
          <w:rFonts w:hint="eastAsia"/>
          <w:highlight w:val="none"/>
          <w:lang w:val="en-US" w:eastAsia="zh-CN"/>
        </w:rPr>
        <w:t>分析</w:t>
      </w:r>
      <w:r>
        <w:rPr>
          <w:rFonts w:hint="eastAsia"/>
          <w:highlight w:val="none"/>
          <w:lang w:eastAsia="zh-CN"/>
        </w:rPr>
        <w:t>，</w:t>
      </w:r>
      <w:r>
        <w:rPr>
          <w:rFonts w:hint="eastAsia"/>
          <w:highlight w:val="none"/>
        </w:rPr>
        <w:t>评估地下水超采综合治理对超采区地下水</w:t>
      </w:r>
      <w:r>
        <w:rPr>
          <w:rFonts w:hint="eastAsia"/>
          <w:highlight w:val="none"/>
          <w:lang w:val="en-US" w:eastAsia="zh-CN"/>
        </w:rPr>
        <w:t>开采量的</w:t>
      </w:r>
      <w:r>
        <w:rPr>
          <w:rFonts w:hint="eastAsia"/>
          <w:highlight w:val="none"/>
        </w:rPr>
        <w:t>影响</w:t>
      </w:r>
      <w:r>
        <w:rPr>
          <w:rFonts w:hint="eastAsia"/>
          <w:highlight w:val="none"/>
          <w:lang w:eastAsia="zh-CN"/>
        </w:rPr>
        <w:t>。</w:t>
      </w:r>
      <w:r>
        <w:rPr>
          <w:rFonts w:hint="eastAsia"/>
          <w:highlight w:val="none"/>
          <w:lang w:val="en-US" w:eastAsia="zh-CN"/>
        </w:rPr>
        <w:t>开采量应</w:t>
      </w:r>
      <w:r>
        <w:rPr>
          <w:rFonts w:hint="eastAsia"/>
          <w:szCs w:val="21"/>
          <w:highlight w:val="none"/>
        </w:rPr>
        <w:t>利用水资源公报、“以电折水系数”</w:t>
      </w:r>
      <w:r>
        <w:rPr>
          <w:rFonts w:hint="eastAsia"/>
          <w:szCs w:val="21"/>
          <w:highlight w:val="none"/>
          <w:lang w:eastAsia="zh-CN"/>
        </w:rPr>
        <w:t>、</w:t>
      </w:r>
      <w:r>
        <w:rPr>
          <w:rFonts w:hint="eastAsia"/>
          <w:szCs w:val="21"/>
          <w:highlight w:val="none"/>
          <w:lang w:val="en-US" w:eastAsia="zh-CN"/>
        </w:rPr>
        <w:t>实际调研</w:t>
      </w:r>
      <w:r>
        <w:rPr>
          <w:rFonts w:hint="eastAsia"/>
          <w:szCs w:val="21"/>
          <w:highlight w:val="none"/>
        </w:rPr>
        <w:t>等数据进行复核</w:t>
      </w:r>
      <w:r>
        <w:rPr>
          <w:rFonts w:hint="eastAsia"/>
          <w:szCs w:val="21"/>
          <w:highlight w:val="none"/>
          <w:lang w:eastAsia="zh-CN"/>
        </w:rPr>
        <w:t>，</w:t>
      </w:r>
      <w:r>
        <w:rPr>
          <w:rFonts w:hint="eastAsia"/>
          <w:szCs w:val="21"/>
          <w:highlight w:val="none"/>
          <w:lang w:val="en-US" w:eastAsia="zh-CN"/>
        </w:rPr>
        <w:t>其中农业地下水开采量应折算为</w:t>
      </w:r>
      <w:r>
        <w:rPr>
          <w:rFonts w:hint="eastAsia"/>
          <w:szCs w:val="21"/>
          <w:highlight w:val="none"/>
        </w:rPr>
        <w:t>平水条件下农业地下水开采量</w:t>
      </w:r>
      <w:r>
        <w:rPr>
          <w:rFonts w:hint="eastAsia"/>
          <w:szCs w:val="21"/>
          <w:highlight w:val="none"/>
          <w:lang w:eastAsia="zh-CN"/>
        </w:rPr>
        <w:t>。</w:t>
      </w:r>
      <w:r>
        <w:rPr>
          <w:rFonts w:hint="eastAsia"/>
          <w:szCs w:val="21"/>
          <w:highlight w:val="none"/>
          <w:lang w:val="en-US" w:eastAsia="zh-CN"/>
        </w:rPr>
        <w:t>根据地下水开采量数据、地下水开采量数据对</w:t>
      </w:r>
      <w:r>
        <w:rPr>
          <w:rFonts w:hint="eastAsia"/>
          <w:szCs w:val="21"/>
          <w:highlight w:val="none"/>
          <w:lang w:eastAsia="zh-CN"/>
        </w:rPr>
        <w:t>评估</w:t>
      </w:r>
      <w:r>
        <w:rPr>
          <w:rFonts w:hint="eastAsia"/>
          <w:szCs w:val="21"/>
          <w:highlight w:val="none"/>
          <w:lang w:val="en-US" w:eastAsia="zh-CN"/>
        </w:rPr>
        <w:t>系列年的地下水开发利用程度进行评估，评估结论</w:t>
      </w:r>
      <w:r>
        <w:rPr>
          <w:rFonts w:hint="eastAsia"/>
          <w:highlight w:val="none"/>
        </w:rPr>
        <w:t>宜描述为</w:t>
      </w:r>
      <w:r>
        <w:rPr>
          <w:rFonts w:hint="eastAsia"/>
          <w:highlight w:val="none"/>
          <w:lang w:val="en-US" w:eastAsia="zh-CN"/>
        </w:rPr>
        <w:t>减弱</w:t>
      </w:r>
      <w:r>
        <w:rPr>
          <w:rFonts w:hint="eastAsia"/>
          <w:highlight w:val="none"/>
        </w:rPr>
        <w:t>、</w:t>
      </w:r>
      <w:r>
        <w:rPr>
          <w:rFonts w:hint="eastAsia"/>
          <w:highlight w:val="none"/>
          <w:lang w:val="en-US" w:eastAsia="zh-CN"/>
        </w:rPr>
        <w:t>增强、总体稳定</w:t>
      </w:r>
      <w:r>
        <w:rPr>
          <w:rFonts w:hint="eastAsia"/>
          <w:highlight w:val="none"/>
        </w:rPr>
        <w:t>等。</w:t>
      </w:r>
    </w:p>
    <w:p>
      <w:pPr>
        <w:keepNext w:val="0"/>
        <w:keepLines w:val="0"/>
        <w:pageBreakBefore w:val="0"/>
        <w:widowControl w:val="0"/>
        <w:numPr>
          <w:ilvl w:val="-1"/>
          <w:numId w:val="0"/>
        </w:numPr>
        <w:kinsoku/>
        <w:wordWrap/>
        <w:overflowPunct/>
        <w:topLinePunct w:val="0"/>
        <w:autoSpaceDE/>
        <w:autoSpaceDN/>
        <w:bidi w:val="0"/>
        <w:adjustRightInd w:val="0"/>
        <w:snapToGrid w:val="0"/>
        <w:spacing w:line="360" w:lineRule="auto"/>
        <w:ind w:firstLine="0"/>
        <w:jc w:val="left"/>
        <w:textAlignment w:val="auto"/>
        <w:outlineLvl w:val="2"/>
        <w:rPr>
          <w:rFonts w:hint="eastAsia" w:ascii="黑体" w:eastAsia="黑体"/>
          <w:highlight w:val="none"/>
          <w:lang w:val="en-US" w:eastAsia="zh-CN"/>
        </w:rPr>
      </w:pPr>
      <w:r>
        <w:rPr>
          <w:rFonts w:hint="eastAsia" w:ascii="黑体" w:eastAsia="黑体"/>
          <w:highlight w:val="none"/>
          <w:lang w:val="en-US" w:eastAsia="zh-CN"/>
        </w:rPr>
        <w:t>4.9.3  地下水开采引发的环境地质问题评估</w:t>
      </w:r>
    </w:p>
    <w:p>
      <w:pPr>
        <w:keepNext w:val="0"/>
        <w:keepLines w:val="0"/>
        <w:pageBreakBefore w:val="0"/>
        <w:widowControl w:val="0"/>
        <w:kinsoku/>
        <w:wordWrap/>
        <w:overflowPunct/>
        <w:topLinePunct w:val="0"/>
        <w:bidi w:val="0"/>
        <w:adjustRightInd w:val="0"/>
        <w:snapToGrid w:val="0"/>
        <w:spacing w:line="360" w:lineRule="auto"/>
        <w:ind w:firstLine="420" w:firstLineChars="200"/>
        <w:textAlignment w:val="auto"/>
        <w:outlineLvl w:val="9"/>
        <w:rPr>
          <w:rFonts w:hint="eastAsia"/>
          <w:highlight w:val="none"/>
        </w:rPr>
      </w:pPr>
      <w:r>
        <w:rPr>
          <w:rFonts w:hint="eastAsia"/>
          <w:highlight w:val="none"/>
          <w:lang w:val="en-US" w:eastAsia="zh-CN"/>
        </w:rPr>
        <w:t>分析调查</w:t>
      </w:r>
      <w:r>
        <w:rPr>
          <w:rFonts w:hint="eastAsia"/>
          <w:szCs w:val="21"/>
          <w:highlight w:val="none"/>
          <w:lang w:eastAsia="zh-CN"/>
        </w:rPr>
        <w:t>评估</w:t>
      </w:r>
      <w:r>
        <w:rPr>
          <w:rFonts w:hint="eastAsia"/>
          <w:szCs w:val="21"/>
          <w:highlight w:val="none"/>
          <w:lang w:val="en-US" w:eastAsia="zh-CN"/>
        </w:rPr>
        <w:t>系列年期间，由于地下水开采引发的地面沉降、地裂缝、地面塌陷、海（咸）水入侵等环境地质问题，根据问题的数量、严重程度等对</w:t>
      </w:r>
      <w:r>
        <w:rPr>
          <w:rFonts w:hint="eastAsia"/>
          <w:szCs w:val="21"/>
          <w:highlight w:val="none"/>
          <w:lang w:eastAsia="zh-CN"/>
        </w:rPr>
        <w:t>评估</w:t>
      </w:r>
      <w:r>
        <w:rPr>
          <w:rFonts w:hint="eastAsia"/>
          <w:szCs w:val="21"/>
          <w:highlight w:val="none"/>
          <w:lang w:val="en-US" w:eastAsia="zh-CN"/>
        </w:rPr>
        <w:t>系列年的地下水开采引发的环境地质问题进行评估，评估结论</w:t>
      </w:r>
      <w:r>
        <w:rPr>
          <w:rFonts w:hint="eastAsia"/>
          <w:highlight w:val="none"/>
        </w:rPr>
        <w:t>宜描述为</w:t>
      </w:r>
      <w:r>
        <w:rPr>
          <w:rFonts w:hint="eastAsia"/>
          <w:highlight w:val="none"/>
          <w:lang w:val="en-US" w:eastAsia="zh-CN"/>
        </w:rPr>
        <w:t>增多</w:t>
      </w:r>
      <w:r>
        <w:rPr>
          <w:rFonts w:hint="eastAsia"/>
          <w:highlight w:val="none"/>
        </w:rPr>
        <w:t>、</w:t>
      </w:r>
      <w:r>
        <w:rPr>
          <w:rFonts w:hint="eastAsia"/>
          <w:highlight w:val="none"/>
          <w:lang w:val="en-US" w:eastAsia="zh-CN"/>
        </w:rPr>
        <w:t>减少</w:t>
      </w:r>
      <w:r>
        <w:rPr>
          <w:rFonts w:hint="eastAsia"/>
          <w:highlight w:val="none"/>
        </w:rPr>
        <w:t>等。</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outlineLvl w:val="1"/>
        <w:rPr>
          <w:rFonts w:hint="eastAsia" w:ascii="黑体" w:eastAsia="黑体"/>
          <w:color w:val="C00000"/>
          <w:highlight w:val="none"/>
        </w:rPr>
      </w:pPr>
      <w:bookmarkStart w:id="40" w:name="_Toc21855"/>
      <w:r>
        <w:rPr>
          <w:rFonts w:hint="eastAsia" w:ascii="黑体" w:eastAsia="黑体"/>
          <w:highlight w:val="none"/>
          <w:lang w:val="en-US" w:eastAsia="zh-CN"/>
        </w:rPr>
        <w:t>4.10</w:t>
      </w:r>
      <w:r>
        <w:rPr>
          <w:rFonts w:hint="eastAsia" w:ascii="黑体" w:eastAsia="黑体"/>
          <w:highlight w:val="none"/>
        </w:rPr>
        <w:t xml:space="preserve"> </w:t>
      </w:r>
      <w:r>
        <w:rPr>
          <w:rFonts w:hint="eastAsia" w:ascii="黑体" w:eastAsia="黑体"/>
          <w:highlight w:val="none"/>
          <w:lang w:eastAsia="zh-CN"/>
        </w:rPr>
        <w:t>综合</w:t>
      </w:r>
      <w:r>
        <w:rPr>
          <w:rFonts w:hint="eastAsia" w:ascii="黑体" w:eastAsia="黑体"/>
          <w:highlight w:val="none"/>
          <w:lang w:val="en-US" w:eastAsia="zh-CN"/>
        </w:rPr>
        <w:t>评估</w:t>
      </w:r>
      <w:bookmarkEnd w:id="40"/>
    </w:p>
    <w:p>
      <w:pPr>
        <w:keepNext w:val="0"/>
        <w:keepLines w:val="0"/>
        <w:pageBreakBefore w:val="0"/>
        <w:widowControl w:val="0"/>
        <w:numPr>
          <w:ilvl w:val="-1"/>
          <w:numId w:val="0"/>
        </w:numPr>
        <w:kinsoku/>
        <w:wordWrap/>
        <w:overflowPunct/>
        <w:topLinePunct w:val="0"/>
        <w:autoSpaceDE/>
        <w:autoSpaceDN/>
        <w:bidi w:val="0"/>
        <w:adjustRightInd w:val="0"/>
        <w:snapToGrid w:val="0"/>
        <w:spacing w:line="360" w:lineRule="auto"/>
        <w:ind w:firstLine="0"/>
        <w:jc w:val="left"/>
        <w:textAlignment w:val="auto"/>
        <w:outlineLvl w:val="2"/>
        <w:rPr>
          <w:rFonts w:hint="default" w:ascii="黑体" w:eastAsia="黑体"/>
          <w:highlight w:val="none"/>
          <w:lang w:val="en-US" w:eastAsia="zh-CN"/>
        </w:rPr>
      </w:pPr>
      <w:r>
        <w:rPr>
          <w:rFonts w:hint="eastAsia" w:ascii="黑体" w:eastAsia="黑体"/>
          <w:highlight w:val="none"/>
          <w:lang w:val="en-US" w:eastAsia="zh-CN"/>
        </w:rPr>
        <w:t>4.10.1结论</w:t>
      </w:r>
    </w:p>
    <w:p>
      <w:pPr>
        <w:keepNext w:val="0"/>
        <w:keepLines w:val="0"/>
        <w:pageBreakBefore w:val="0"/>
        <w:widowControl w:val="0"/>
        <w:numPr>
          <w:ilvl w:val="-1"/>
          <w:numId w:val="0"/>
        </w:numPr>
        <w:kinsoku/>
        <w:wordWrap/>
        <w:overflowPunct/>
        <w:topLinePunct w:val="0"/>
        <w:autoSpaceDE w:val="0"/>
        <w:autoSpaceDN w:val="0"/>
        <w:bidi w:val="0"/>
        <w:adjustRightInd w:val="0"/>
        <w:snapToGrid w:val="0"/>
        <w:spacing w:line="360" w:lineRule="auto"/>
        <w:ind w:firstLine="420" w:firstLineChars="200"/>
        <w:jc w:val="left"/>
        <w:textAlignment w:val="auto"/>
        <w:rPr>
          <w:rFonts w:hint="eastAsia"/>
          <w:szCs w:val="21"/>
          <w:highlight w:val="none"/>
        </w:rPr>
      </w:pPr>
      <w:r>
        <w:rPr>
          <w:rFonts w:hint="eastAsia"/>
          <w:szCs w:val="21"/>
          <w:highlight w:val="none"/>
        </w:rPr>
        <w:t>根据地下水超采综合治理中</w:t>
      </w:r>
      <w:r>
        <w:rPr>
          <w:rFonts w:hint="eastAsia"/>
          <w:szCs w:val="21"/>
          <w:highlight w:val="none"/>
          <w:lang w:eastAsia="zh-CN"/>
        </w:rPr>
        <w:t>各项措施</w:t>
      </w:r>
      <w:r>
        <w:rPr>
          <w:rFonts w:hint="eastAsia"/>
          <w:szCs w:val="21"/>
          <w:highlight w:val="none"/>
        </w:rPr>
        <w:t>完成情况，结合地下水压采量、地下水压采能力、地下水水位等相关数据，分析地下水超采治理效果，提出地下水超采综合治理评估结论。</w:t>
      </w:r>
    </w:p>
    <w:p>
      <w:pPr>
        <w:keepNext w:val="0"/>
        <w:keepLines w:val="0"/>
        <w:pageBreakBefore w:val="0"/>
        <w:widowControl w:val="0"/>
        <w:numPr>
          <w:ilvl w:val="-1"/>
          <w:numId w:val="0"/>
        </w:numPr>
        <w:kinsoku/>
        <w:wordWrap/>
        <w:overflowPunct/>
        <w:topLinePunct w:val="0"/>
        <w:autoSpaceDE/>
        <w:autoSpaceDN/>
        <w:bidi w:val="0"/>
        <w:adjustRightInd w:val="0"/>
        <w:snapToGrid w:val="0"/>
        <w:spacing w:line="360" w:lineRule="auto"/>
        <w:ind w:firstLine="0"/>
        <w:jc w:val="left"/>
        <w:textAlignment w:val="auto"/>
        <w:outlineLvl w:val="2"/>
        <w:rPr>
          <w:rFonts w:hint="default" w:ascii="黑体" w:eastAsia="黑体"/>
          <w:highlight w:val="none"/>
          <w:lang w:val="en-US" w:eastAsia="zh-CN"/>
        </w:rPr>
      </w:pPr>
      <w:r>
        <w:rPr>
          <w:rFonts w:hint="eastAsia" w:ascii="黑体" w:eastAsia="黑体"/>
          <w:highlight w:val="none"/>
          <w:lang w:val="en-US" w:eastAsia="zh-CN"/>
        </w:rPr>
        <w:t>4.10.2问题与建议</w:t>
      </w:r>
    </w:p>
    <w:p>
      <w:pPr>
        <w:keepNext w:val="0"/>
        <w:keepLines w:val="0"/>
        <w:pageBreakBefore w:val="0"/>
        <w:widowControl w:val="0"/>
        <w:numPr>
          <w:ilvl w:val="-1"/>
          <w:numId w:val="0"/>
        </w:numPr>
        <w:kinsoku/>
        <w:wordWrap/>
        <w:overflowPunct/>
        <w:topLinePunct w:val="0"/>
        <w:autoSpaceDE w:val="0"/>
        <w:autoSpaceDN w:val="0"/>
        <w:bidi w:val="0"/>
        <w:adjustRightInd w:val="0"/>
        <w:snapToGrid w:val="0"/>
        <w:spacing w:line="360" w:lineRule="auto"/>
        <w:ind w:firstLine="420" w:firstLineChars="200"/>
        <w:jc w:val="left"/>
        <w:textAlignment w:val="auto"/>
        <w:rPr>
          <w:rFonts w:hint="eastAsia" w:eastAsia="宋体"/>
          <w:szCs w:val="21"/>
          <w:highlight w:val="none"/>
          <w:lang w:eastAsia="zh-CN"/>
        </w:rPr>
      </w:pPr>
      <w:r>
        <w:rPr>
          <w:rFonts w:hint="eastAsia"/>
          <w:szCs w:val="21"/>
          <w:highlight w:val="none"/>
        </w:rPr>
        <w:t>结合地下水超采综合治理中</w:t>
      </w:r>
      <w:r>
        <w:rPr>
          <w:rFonts w:hint="eastAsia"/>
          <w:szCs w:val="21"/>
          <w:highlight w:val="none"/>
          <w:lang w:eastAsia="zh-CN"/>
        </w:rPr>
        <w:t>各项</w:t>
      </w:r>
      <w:r>
        <w:rPr>
          <w:rFonts w:hint="eastAsia"/>
          <w:szCs w:val="21"/>
          <w:highlight w:val="none"/>
        </w:rPr>
        <w:t>建设任务评估结果，以及地下水综合治理效果评估结论，分析地下水超采综合治理中的问题及原因，提出解决对策与建议。对地下水超采综合治理工作中的典型做法、先进经验进行总结</w:t>
      </w:r>
      <w:r>
        <w:rPr>
          <w:rFonts w:hint="eastAsia"/>
          <w:szCs w:val="21"/>
          <w:highlight w:val="none"/>
          <w:lang w:eastAsia="zh-CN"/>
        </w:rPr>
        <w:t>。</w:t>
      </w:r>
    </w:p>
    <w:p>
      <w:pPr>
        <w:keepNext w:val="0"/>
        <w:keepLines w:val="0"/>
        <w:pageBreakBefore w:val="0"/>
        <w:widowControl w:val="0"/>
        <w:kinsoku/>
        <w:wordWrap/>
        <w:overflowPunct/>
        <w:topLinePunct w:val="0"/>
        <w:autoSpaceDE w:val="0"/>
        <w:autoSpaceDN w:val="0"/>
        <w:bidi w:val="0"/>
        <w:adjustRightInd w:val="0"/>
        <w:snapToGrid w:val="0"/>
        <w:spacing w:before="156" w:beforeLines="50" w:after="156" w:afterLines="50" w:line="360" w:lineRule="auto"/>
        <w:ind w:firstLine="0" w:firstLineChars="0"/>
        <w:jc w:val="left"/>
        <w:textAlignment w:val="auto"/>
        <w:outlineLvl w:val="0"/>
        <w:rPr>
          <w:rFonts w:hint="default" w:ascii="黑体" w:eastAsia="黑体"/>
          <w:kern w:val="0"/>
          <w:sz w:val="24"/>
          <w:szCs w:val="24"/>
          <w:highlight w:val="none"/>
          <w:lang w:val="en-US"/>
        </w:rPr>
      </w:pPr>
      <w:bookmarkStart w:id="41" w:name="_Toc24245"/>
      <w:r>
        <w:rPr>
          <w:rFonts w:hint="eastAsia" w:ascii="黑体" w:eastAsia="黑体"/>
          <w:kern w:val="0"/>
          <w:sz w:val="24"/>
          <w:szCs w:val="24"/>
          <w:highlight w:val="none"/>
          <w:lang w:val="en-US" w:eastAsia="zh-CN"/>
        </w:rPr>
        <w:t>5</w:t>
      </w:r>
      <w:r>
        <w:rPr>
          <w:rFonts w:hint="eastAsia" w:ascii="黑体" w:eastAsia="黑体"/>
          <w:kern w:val="0"/>
          <w:sz w:val="24"/>
          <w:szCs w:val="24"/>
          <w:highlight w:val="none"/>
        </w:rPr>
        <w:t xml:space="preserve"> </w:t>
      </w:r>
      <w:r>
        <w:rPr>
          <w:rFonts w:hint="eastAsia" w:ascii="黑体" w:eastAsia="黑体"/>
          <w:kern w:val="0"/>
          <w:sz w:val="24"/>
          <w:szCs w:val="24"/>
          <w:highlight w:val="none"/>
          <w:lang w:eastAsia="zh-CN"/>
        </w:rPr>
        <w:t>超采区</w:t>
      </w:r>
      <w:r>
        <w:rPr>
          <w:rFonts w:hint="eastAsia" w:ascii="黑体" w:eastAsia="黑体"/>
          <w:kern w:val="0"/>
          <w:sz w:val="24"/>
          <w:szCs w:val="24"/>
          <w:highlight w:val="none"/>
          <w:lang w:val="en-US" w:eastAsia="zh-CN"/>
        </w:rPr>
        <w:t>复核</w:t>
      </w:r>
      <w:bookmarkEnd w:id="41"/>
    </w:p>
    <w:p>
      <w:pPr>
        <w:keepNext w:val="0"/>
        <w:keepLines w:val="0"/>
        <w:pageBreakBefore w:val="0"/>
        <w:widowControl w:val="0"/>
        <w:kinsoku/>
        <w:wordWrap/>
        <w:overflowPunct/>
        <w:topLinePunct w:val="0"/>
        <w:autoSpaceDE/>
        <w:autoSpaceDN/>
        <w:bidi w:val="0"/>
        <w:adjustRightInd w:val="0"/>
        <w:snapToGrid w:val="0"/>
        <w:spacing w:line="360" w:lineRule="auto"/>
        <w:textAlignment w:val="auto"/>
        <w:outlineLvl w:val="1"/>
        <w:rPr>
          <w:rFonts w:hint="eastAsia" w:ascii="黑体" w:eastAsia="黑体"/>
          <w:highlight w:val="none"/>
          <w:lang w:eastAsia="zh-CN"/>
        </w:rPr>
      </w:pPr>
      <w:bookmarkStart w:id="42" w:name="_Toc31831"/>
      <w:r>
        <w:rPr>
          <w:rFonts w:hint="eastAsia" w:ascii="黑体" w:eastAsia="黑体"/>
          <w:highlight w:val="none"/>
          <w:lang w:val="en-US" w:eastAsia="zh-CN"/>
        </w:rPr>
        <w:t>5.1</w:t>
      </w:r>
      <w:r>
        <w:rPr>
          <w:rFonts w:hint="eastAsia" w:ascii="黑体" w:eastAsia="黑体"/>
          <w:highlight w:val="none"/>
        </w:rPr>
        <w:t xml:space="preserve"> </w:t>
      </w:r>
      <w:r>
        <w:rPr>
          <w:rFonts w:hint="eastAsia" w:ascii="黑体" w:eastAsia="黑体"/>
          <w:highlight w:val="none"/>
          <w:lang w:eastAsia="zh-CN"/>
        </w:rPr>
        <w:t>基本规定</w:t>
      </w:r>
      <w:bookmarkEnd w:id="42"/>
    </w:p>
    <w:p>
      <w:pPr>
        <w:keepNext w:val="0"/>
        <w:keepLines w:val="0"/>
        <w:pageBreakBefore w:val="0"/>
        <w:widowControl w:val="0"/>
        <w:kinsoku/>
        <w:wordWrap/>
        <w:overflowPunct/>
        <w:topLinePunct w:val="0"/>
        <w:autoSpaceDE/>
        <w:autoSpaceDN/>
        <w:bidi w:val="0"/>
        <w:adjustRightInd w:val="0"/>
        <w:snapToGrid w:val="0"/>
        <w:spacing w:line="360" w:lineRule="auto"/>
        <w:textAlignment w:val="auto"/>
        <w:outlineLvl w:val="9"/>
        <w:rPr>
          <w:rFonts w:hint="eastAsia"/>
          <w:szCs w:val="21"/>
          <w:highlight w:val="none"/>
          <w:lang w:eastAsia="zh-CN"/>
        </w:rPr>
      </w:pPr>
      <w:r>
        <w:rPr>
          <w:rFonts w:hint="eastAsia" w:ascii="黑体" w:eastAsia="黑体"/>
          <w:szCs w:val="20"/>
          <w:highlight w:val="none"/>
          <w:lang w:val="en-US" w:eastAsia="zh-CN"/>
        </w:rPr>
        <w:t>5.1</w:t>
      </w:r>
      <w:r>
        <w:rPr>
          <w:rFonts w:hint="eastAsia" w:ascii="黑体" w:eastAsia="黑体"/>
          <w:szCs w:val="20"/>
          <w:highlight w:val="none"/>
        </w:rPr>
        <w:t>.</w:t>
      </w:r>
      <w:r>
        <w:rPr>
          <w:rFonts w:hint="eastAsia" w:ascii="黑体" w:eastAsia="黑体"/>
          <w:szCs w:val="20"/>
          <w:highlight w:val="none"/>
          <w:lang w:val="en-US" w:eastAsia="zh-CN"/>
        </w:rPr>
        <w:t>1</w:t>
      </w:r>
      <w:r>
        <w:rPr>
          <w:szCs w:val="21"/>
          <w:highlight w:val="none"/>
        </w:rPr>
        <w:t xml:space="preserve"> </w:t>
      </w:r>
      <w:r>
        <w:rPr>
          <w:rFonts w:hint="eastAsia"/>
          <w:szCs w:val="21"/>
          <w:highlight w:val="none"/>
          <w:lang w:eastAsia="zh-CN"/>
        </w:rPr>
        <w:t>超采区划</w:t>
      </w:r>
      <w:r>
        <w:rPr>
          <w:rFonts w:hint="eastAsia"/>
          <w:szCs w:val="21"/>
          <w:highlight w:val="none"/>
          <w:lang w:val="en-US" w:eastAsia="zh-CN"/>
        </w:rPr>
        <w:t>定</w:t>
      </w:r>
      <w:r>
        <w:rPr>
          <w:rFonts w:hint="eastAsia"/>
          <w:szCs w:val="21"/>
          <w:highlight w:val="none"/>
          <w:lang w:eastAsia="zh-CN"/>
        </w:rPr>
        <w:t>系列年应与阶段评估</w:t>
      </w:r>
      <w:r>
        <w:rPr>
          <w:rFonts w:hint="eastAsia"/>
          <w:szCs w:val="21"/>
          <w:highlight w:val="none"/>
          <w:lang w:val="en-US" w:eastAsia="zh-CN"/>
        </w:rPr>
        <w:t>系列年保持</w:t>
      </w:r>
      <w:r>
        <w:rPr>
          <w:rFonts w:hint="eastAsia"/>
          <w:szCs w:val="21"/>
          <w:highlight w:val="none"/>
          <w:lang w:eastAsia="zh-CN"/>
        </w:rPr>
        <w:t>一致。</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outlineLvl w:val="9"/>
        <w:rPr>
          <w:rFonts w:hint="eastAsia"/>
          <w:szCs w:val="21"/>
          <w:highlight w:val="none"/>
          <w:lang w:eastAsia="zh-CN"/>
        </w:rPr>
      </w:pPr>
      <w:r>
        <w:rPr>
          <w:rFonts w:hint="eastAsia" w:ascii="黑体" w:eastAsia="黑体"/>
          <w:szCs w:val="20"/>
          <w:highlight w:val="none"/>
          <w:lang w:val="en-US" w:eastAsia="zh-CN"/>
        </w:rPr>
        <w:t>5.1.2</w:t>
      </w:r>
      <w:r>
        <w:rPr>
          <w:rFonts w:hint="eastAsia"/>
          <w:szCs w:val="21"/>
          <w:highlight w:val="none"/>
          <w:lang w:eastAsia="zh-CN"/>
        </w:rPr>
        <w:t>超采区划</w:t>
      </w:r>
      <w:r>
        <w:rPr>
          <w:rFonts w:hint="eastAsia"/>
          <w:szCs w:val="21"/>
          <w:highlight w:val="none"/>
          <w:lang w:val="en-US" w:eastAsia="zh-CN"/>
        </w:rPr>
        <w:t>定</w:t>
      </w:r>
      <w:r>
        <w:rPr>
          <w:rFonts w:hint="eastAsia"/>
          <w:szCs w:val="21"/>
          <w:highlight w:val="none"/>
          <w:lang w:eastAsia="zh-CN"/>
        </w:rPr>
        <w:t>应充分考虑阶段评估期间超采治理任务完成情况，对于治理措施未维持、未达效的情况，在划</w:t>
      </w:r>
      <w:r>
        <w:rPr>
          <w:rFonts w:hint="eastAsia"/>
          <w:szCs w:val="21"/>
          <w:highlight w:val="none"/>
          <w:lang w:val="en-US" w:eastAsia="zh-CN"/>
        </w:rPr>
        <w:t>定工作中</w:t>
      </w:r>
      <w:r>
        <w:rPr>
          <w:rFonts w:hint="eastAsia"/>
          <w:szCs w:val="21"/>
          <w:highlight w:val="none"/>
          <w:lang w:eastAsia="zh-CN"/>
        </w:rPr>
        <w:t>，应作为超采区划</w:t>
      </w:r>
      <w:r>
        <w:rPr>
          <w:rFonts w:hint="eastAsia"/>
          <w:szCs w:val="21"/>
          <w:highlight w:val="none"/>
          <w:lang w:val="en-US" w:eastAsia="zh-CN"/>
        </w:rPr>
        <w:t>定</w:t>
      </w:r>
      <w:r>
        <w:rPr>
          <w:rFonts w:hint="eastAsia"/>
          <w:szCs w:val="21"/>
          <w:highlight w:val="none"/>
          <w:lang w:eastAsia="zh-CN"/>
        </w:rPr>
        <w:t>条件之一，充分予以考虑。</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outlineLvl w:val="1"/>
        <w:rPr>
          <w:rFonts w:hint="eastAsia" w:ascii="黑体" w:eastAsia="黑体"/>
          <w:highlight w:val="none"/>
          <w:lang w:val="en-US" w:eastAsia="zh-CN"/>
        </w:rPr>
      </w:pPr>
      <w:bookmarkStart w:id="43" w:name="_Toc2355"/>
      <w:r>
        <w:rPr>
          <w:rFonts w:hint="eastAsia" w:ascii="黑体" w:eastAsia="黑体"/>
          <w:szCs w:val="20"/>
          <w:highlight w:val="none"/>
          <w:lang w:val="en-US" w:eastAsia="zh-CN"/>
        </w:rPr>
        <w:t>5.2</w:t>
      </w:r>
      <w:r>
        <w:rPr>
          <w:rFonts w:hint="eastAsia" w:ascii="黑体" w:eastAsia="黑体"/>
          <w:highlight w:val="none"/>
          <w:lang w:val="en-US" w:eastAsia="zh-CN"/>
        </w:rPr>
        <w:t>超采区界定</w:t>
      </w:r>
      <w:bookmarkEnd w:id="43"/>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outlineLvl w:val="9"/>
        <w:rPr>
          <w:rFonts w:hint="eastAsia"/>
          <w:szCs w:val="21"/>
          <w:highlight w:val="none"/>
          <w:lang w:eastAsia="zh-CN"/>
        </w:rPr>
      </w:pPr>
      <w:r>
        <w:rPr>
          <w:rFonts w:hint="eastAsia"/>
          <w:szCs w:val="21"/>
          <w:highlight w:val="none"/>
        </w:rPr>
        <w:t>符合下列条件之</w:t>
      </w:r>
      <w:r>
        <w:rPr>
          <w:rFonts w:hint="eastAsia"/>
          <w:szCs w:val="21"/>
          <w:highlight w:val="none"/>
          <w:lang w:eastAsia="zh-CN"/>
        </w:rPr>
        <w:t>一</w:t>
      </w:r>
      <w:r>
        <w:rPr>
          <w:rFonts w:hint="eastAsia"/>
          <w:szCs w:val="21"/>
          <w:highlight w:val="none"/>
        </w:rPr>
        <w:t>的区域</w:t>
      </w:r>
      <w:r>
        <w:rPr>
          <w:rFonts w:hint="eastAsia"/>
          <w:szCs w:val="21"/>
          <w:highlight w:val="none"/>
          <w:lang w:eastAsia="zh-CN"/>
        </w:rPr>
        <w:t>，</w:t>
      </w:r>
      <w:r>
        <w:rPr>
          <w:rFonts w:hint="eastAsia"/>
          <w:szCs w:val="21"/>
          <w:highlight w:val="none"/>
          <w:lang w:val="en-US" w:eastAsia="zh-CN"/>
        </w:rPr>
        <w:t>经复核</w:t>
      </w:r>
      <w:r>
        <w:rPr>
          <w:rFonts w:hint="eastAsia"/>
          <w:szCs w:val="21"/>
          <w:highlight w:val="none"/>
        </w:rPr>
        <w:t>应</w:t>
      </w:r>
      <w:r>
        <w:rPr>
          <w:rFonts w:hint="eastAsia"/>
          <w:szCs w:val="21"/>
          <w:highlight w:val="none"/>
          <w:lang w:val="en-US" w:eastAsia="zh-CN"/>
        </w:rPr>
        <w:t>继续认定</w:t>
      </w:r>
      <w:r>
        <w:rPr>
          <w:rFonts w:hint="eastAsia"/>
          <w:szCs w:val="21"/>
          <w:highlight w:val="none"/>
        </w:rPr>
        <w:t>为超采区</w:t>
      </w:r>
      <w:r>
        <w:rPr>
          <w:rFonts w:hint="eastAsia"/>
          <w:szCs w:val="21"/>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outlineLvl w:val="9"/>
        <w:rPr>
          <w:rFonts w:hint="eastAsia" w:eastAsia="宋体"/>
          <w:szCs w:val="21"/>
          <w:highlight w:val="none"/>
          <w:lang w:eastAsia="zh-CN"/>
        </w:rPr>
      </w:pPr>
      <w:r>
        <w:rPr>
          <w:rFonts w:hint="eastAsia"/>
          <w:szCs w:val="21"/>
          <w:highlight w:val="none"/>
          <w:lang w:val="en-US" w:eastAsia="zh-CN"/>
        </w:rPr>
        <w:t>a）</w:t>
      </w:r>
      <w:r>
        <w:rPr>
          <w:rFonts w:hint="eastAsia"/>
          <w:szCs w:val="21"/>
          <w:highlight w:val="none"/>
          <w:lang w:eastAsia="zh-CN"/>
        </w:rPr>
        <w:t>根据阶段评估结果，地下水超采治理任务未完成；</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outlineLvl w:val="9"/>
        <w:rPr>
          <w:rFonts w:hint="eastAsia"/>
          <w:szCs w:val="21"/>
          <w:highlight w:val="none"/>
        </w:rPr>
      </w:pPr>
      <w:r>
        <w:rPr>
          <w:rFonts w:hint="eastAsia"/>
          <w:szCs w:val="21"/>
          <w:highlight w:val="none"/>
          <w:lang w:val="en-US" w:eastAsia="zh-CN"/>
        </w:rPr>
        <w:t>b）</w:t>
      </w:r>
      <w:r>
        <w:rPr>
          <w:rFonts w:hint="eastAsia"/>
          <w:szCs w:val="21"/>
          <w:highlight w:val="none"/>
        </w:rPr>
        <w:t>年均地下水开采系数大于1.0</w:t>
      </w:r>
      <w:r>
        <w:rPr>
          <w:rFonts w:hint="eastAsia"/>
          <w:szCs w:val="21"/>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outlineLvl w:val="9"/>
        <w:rPr>
          <w:rFonts w:hint="eastAsia"/>
          <w:szCs w:val="21"/>
          <w:highlight w:val="none"/>
          <w:lang w:eastAsia="zh-CN"/>
        </w:rPr>
      </w:pPr>
      <w:r>
        <w:rPr>
          <w:rFonts w:hint="eastAsia"/>
          <w:szCs w:val="21"/>
          <w:highlight w:val="none"/>
          <w:lang w:val="en-US" w:eastAsia="zh-CN"/>
        </w:rPr>
        <w:t>c）</w:t>
      </w:r>
      <w:r>
        <w:rPr>
          <w:rFonts w:hint="eastAsia"/>
          <w:szCs w:val="21"/>
          <w:highlight w:val="none"/>
        </w:rPr>
        <w:t>因地下水开采造成地下水水位呈持续下降趋势</w:t>
      </w:r>
      <w:r>
        <w:rPr>
          <w:rFonts w:hint="eastAsia"/>
          <w:szCs w:val="21"/>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outlineLvl w:val="9"/>
        <w:rPr>
          <w:rFonts w:hint="eastAsia"/>
          <w:szCs w:val="21"/>
          <w:highlight w:val="none"/>
        </w:rPr>
      </w:pPr>
      <w:r>
        <w:rPr>
          <w:rFonts w:hint="eastAsia"/>
          <w:szCs w:val="21"/>
          <w:highlight w:val="none"/>
          <w:lang w:val="en-US" w:eastAsia="zh-CN"/>
        </w:rPr>
        <w:t>d）</w:t>
      </w:r>
      <w:r>
        <w:rPr>
          <w:rFonts w:hint="eastAsia"/>
          <w:szCs w:val="21"/>
          <w:highlight w:val="none"/>
        </w:rPr>
        <w:t>因地下水开采引发了一定的生态地质环境问题。</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outlineLvl w:val="9"/>
        <w:rPr>
          <w:rFonts w:hint="eastAsia" w:eastAsia="宋体"/>
          <w:szCs w:val="21"/>
          <w:highlight w:val="none"/>
          <w:lang w:val="en-US" w:eastAsia="zh-CN"/>
        </w:rPr>
      </w:pPr>
      <w:r>
        <w:rPr>
          <w:rFonts w:hint="eastAsia"/>
          <w:szCs w:val="21"/>
          <w:highlight w:val="none"/>
          <w:lang w:val="en-US" w:eastAsia="zh-CN"/>
        </w:rPr>
        <w:t>其中，</w:t>
      </w:r>
      <w:r>
        <w:rPr>
          <w:rFonts w:hint="eastAsia"/>
          <w:szCs w:val="21"/>
          <w:highlight w:val="none"/>
          <w:lang w:eastAsia="zh-CN"/>
        </w:rPr>
        <w:t>一般和严重超采区划分标准应符合</w:t>
      </w:r>
      <w:r>
        <w:rPr>
          <w:rFonts w:hint="eastAsia"/>
          <w:highlight w:val="none"/>
        </w:rPr>
        <w:t>G</w:t>
      </w:r>
      <w:r>
        <w:rPr>
          <w:highlight w:val="none"/>
        </w:rPr>
        <w:t>B/T 34968</w:t>
      </w:r>
      <w:r>
        <w:rPr>
          <w:rFonts w:hint="eastAsia"/>
          <w:highlight w:val="none"/>
          <w:lang w:eastAsia="zh-CN"/>
        </w:rPr>
        <w:t>要求。</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outlineLvl w:val="1"/>
        <w:rPr>
          <w:rFonts w:hint="eastAsia" w:ascii="黑体" w:eastAsia="黑体"/>
          <w:highlight w:val="none"/>
          <w:lang w:val="en-US" w:eastAsia="zh-CN"/>
        </w:rPr>
      </w:pPr>
      <w:bookmarkStart w:id="44" w:name="_Toc14666"/>
      <w:r>
        <w:rPr>
          <w:rFonts w:hint="eastAsia" w:ascii="黑体" w:eastAsia="黑体"/>
          <w:szCs w:val="20"/>
          <w:highlight w:val="none"/>
          <w:lang w:val="en-US" w:eastAsia="zh-CN"/>
        </w:rPr>
        <w:t>5.3</w:t>
      </w:r>
      <w:r>
        <w:rPr>
          <w:rFonts w:hint="eastAsia" w:ascii="黑体" w:eastAsia="黑体"/>
          <w:highlight w:val="none"/>
          <w:lang w:val="en-US" w:eastAsia="zh-CN"/>
        </w:rPr>
        <w:t xml:space="preserve"> 超采区确定</w:t>
      </w:r>
      <w:bookmarkEnd w:id="44"/>
    </w:p>
    <w:p>
      <w:pPr>
        <w:keepNext w:val="0"/>
        <w:keepLines w:val="0"/>
        <w:pageBreakBefore w:val="0"/>
        <w:widowControl w:val="0"/>
        <w:kinsoku/>
        <w:wordWrap/>
        <w:overflowPunct/>
        <w:topLinePunct w:val="0"/>
        <w:autoSpaceDE/>
        <w:autoSpaceDN/>
        <w:bidi w:val="0"/>
        <w:adjustRightInd w:val="0"/>
        <w:snapToGrid w:val="0"/>
        <w:spacing w:line="360" w:lineRule="auto"/>
        <w:textAlignment w:val="auto"/>
        <w:outlineLvl w:val="9"/>
        <w:rPr>
          <w:rFonts w:hint="eastAsia" w:ascii="黑体" w:eastAsia="宋体"/>
          <w:highlight w:val="none"/>
          <w:lang w:val="en-US" w:eastAsia="zh-CN"/>
        </w:rPr>
      </w:pPr>
      <w:r>
        <w:rPr>
          <w:rFonts w:hint="eastAsia" w:ascii="黑体" w:eastAsia="黑体"/>
          <w:szCs w:val="20"/>
          <w:highlight w:val="none"/>
          <w:lang w:val="en-US" w:eastAsia="zh-CN"/>
        </w:rPr>
        <w:t>5.3.1</w:t>
      </w:r>
      <w:r>
        <w:rPr>
          <w:rFonts w:hint="eastAsia" w:ascii="黑体" w:eastAsia="黑体"/>
          <w:highlight w:val="none"/>
        </w:rPr>
        <w:t xml:space="preserve"> </w:t>
      </w:r>
      <w:r>
        <w:rPr>
          <w:rFonts w:hint="eastAsia"/>
          <w:highlight w:val="none"/>
          <w:lang w:eastAsia="zh-CN"/>
        </w:rPr>
        <w:t>超采区划</w:t>
      </w:r>
      <w:r>
        <w:rPr>
          <w:rFonts w:hint="eastAsia"/>
          <w:szCs w:val="21"/>
          <w:highlight w:val="none"/>
          <w:lang w:val="en-US" w:eastAsia="zh-CN"/>
        </w:rPr>
        <w:t>定</w:t>
      </w:r>
      <w:r>
        <w:rPr>
          <w:rFonts w:hint="eastAsia"/>
          <w:highlight w:val="none"/>
          <w:lang w:eastAsia="zh-CN"/>
        </w:rPr>
        <w:t>应充分参照阶段治理评估成果，完成阶段压采任务后，再根据GB/T 34968规定划</w:t>
      </w:r>
      <w:r>
        <w:rPr>
          <w:rFonts w:hint="eastAsia"/>
          <w:szCs w:val="21"/>
          <w:highlight w:val="none"/>
          <w:lang w:val="en-US" w:eastAsia="zh-CN"/>
        </w:rPr>
        <w:t>定</w:t>
      </w:r>
      <w:r>
        <w:rPr>
          <w:rFonts w:hint="eastAsia"/>
          <w:highlight w:val="none"/>
          <w:lang w:eastAsia="zh-CN"/>
        </w:rPr>
        <w:t>超采区；未完成压采任务，则首先应判断为一般超采区，然后再根据GB/T 34968规定划</w:t>
      </w:r>
      <w:r>
        <w:rPr>
          <w:rFonts w:hint="eastAsia"/>
          <w:highlight w:val="none"/>
          <w:lang w:val="en-US" w:eastAsia="zh-CN"/>
        </w:rPr>
        <w:t>定</w:t>
      </w:r>
      <w:r>
        <w:rPr>
          <w:rFonts w:hint="eastAsia"/>
          <w:highlight w:val="none"/>
          <w:lang w:eastAsia="zh-CN"/>
        </w:rPr>
        <w:t>超采区。</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outlineLvl w:val="2"/>
        <w:rPr>
          <w:rFonts w:hint="eastAsia" w:ascii="黑体" w:eastAsia="黑体"/>
          <w:highlight w:val="none"/>
          <w:lang w:val="en-US" w:eastAsia="zh-CN"/>
        </w:rPr>
      </w:pPr>
      <w:r>
        <w:rPr>
          <w:rFonts w:hint="eastAsia" w:ascii="黑体" w:eastAsia="黑体"/>
          <w:szCs w:val="20"/>
          <w:highlight w:val="none"/>
          <w:lang w:val="en-US" w:eastAsia="zh-CN"/>
        </w:rPr>
        <w:t>5.3.2</w:t>
      </w:r>
      <w:r>
        <w:rPr>
          <w:rFonts w:hint="eastAsia" w:ascii="黑体" w:eastAsia="黑体"/>
          <w:highlight w:val="none"/>
        </w:rPr>
        <w:t xml:space="preserve"> 压采</w:t>
      </w:r>
      <w:r>
        <w:rPr>
          <w:rFonts w:hint="eastAsia" w:ascii="黑体" w:eastAsia="黑体"/>
          <w:highlight w:val="none"/>
          <w:lang w:val="en-US" w:eastAsia="zh-CN"/>
        </w:rPr>
        <w:t>任务</w:t>
      </w:r>
    </w:p>
    <w:p>
      <w:pPr>
        <w:pageBreakBefore w:val="0"/>
        <w:widowControl w:val="0"/>
        <w:numPr>
          <w:ilvl w:val="-1"/>
          <w:numId w:val="0"/>
        </w:numPr>
        <w:kinsoku/>
        <w:wordWrap/>
        <w:overflowPunct/>
        <w:topLinePunct w:val="0"/>
        <w:autoSpaceDE w:val="0"/>
        <w:autoSpaceDN w:val="0"/>
        <w:bidi w:val="0"/>
        <w:adjustRightInd w:val="0"/>
        <w:snapToGrid w:val="0"/>
        <w:spacing w:line="360" w:lineRule="auto"/>
        <w:ind w:firstLine="420" w:firstLineChars="200"/>
        <w:jc w:val="left"/>
        <w:textAlignment w:val="auto"/>
        <w:rPr>
          <w:szCs w:val="21"/>
          <w:highlight w:val="none"/>
        </w:rPr>
      </w:pPr>
      <w:r>
        <w:rPr>
          <w:rFonts w:hint="eastAsia"/>
          <w:szCs w:val="21"/>
          <w:highlight w:val="none"/>
          <w:lang w:eastAsia="zh-CN"/>
        </w:rPr>
        <w:t>阶段评估压采量是否</w:t>
      </w:r>
      <w:r>
        <w:rPr>
          <w:rFonts w:hint="eastAsia"/>
          <w:szCs w:val="21"/>
          <w:highlight w:val="none"/>
          <w:lang w:val="en-US" w:eastAsia="zh-CN"/>
        </w:rPr>
        <w:t>满足阶段治理任务，可</w:t>
      </w:r>
      <w:r>
        <w:rPr>
          <w:rFonts w:hint="eastAsia"/>
          <w:szCs w:val="21"/>
          <w:highlight w:val="none"/>
          <w:lang w:eastAsia="zh-CN"/>
        </w:rPr>
        <w:t>按照</w:t>
      </w:r>
      <w:r>
        <w:rPr>
          <w:rFonts w:hint="eastAsia"/>
          <w:szCs w:val="21"/>
          <w:highlight w:val="none"/>
        </w:rPr>
        <w:t>见公式（3）</w:t>
      </w:r>
      <w:r>
        <w:rPr>
          <w:rFonts w:hint="eastAsia"/>
          <w:szCs w:val="21"/>
          <w:highlight w:val="none"/>
          <w:lang w:eastAsia="zh-CN"/>
        </w:rPr>
        <w:t>、（</w:t>
      </w:r>
      <w:r>
        <w:rPr>
          <w:rFonts w:hint="eastAsia"/>
          <w:szCs w:val="21"/>
          <w:highlight w:val="none"/>
          <w:lang w:val="en-US" w:eastAsia="zh-CN"/>
        </w:rPr>
        <w:t>4</w:t>
      </w:r>
      <w:r>
        <w:rPr>
          <w:rFonts w:hint="eastAsia"/>
          <w:szCs w:val="21"/>
          <w:highlight w:val="none"/>
          <w:lang w:eastAsia="zh-CN"/>
        </w:rPr>
        <w:t>）计算</w:t>
      </w:r>
      <w:r>
        <w:rPr>
          <w:rFonts w:hint="eastAsia"/>
          <w:szCs w:val="21"/>
          <w:highlight w:val="none"/>
        </w:rPr>
        <w:t>。</w:t>
      </w:r>
    </w:p>
    <w:p>
      <w:pPr>
        <w:pageBreakBefore w:val="0"/>
        <w:widowControl w:val="0"/>
        <w:kinsoku/>
        <w:wordWrap/>
        <w:overflowPunct/>
        <w:topLinePunct w:val="0"/>
        <w:autoSpaceDE w:val="0"/>
        <w:autoSpaceDN w:val="0"/>
        <w:bidi w:val="0"/>
        <w:adjustRightInd w:val="0"/>
        <w:snapToGrid w:val="0"/>
        <w:spacing w:line="360" w:lineRule="auto"/>
        <w:jc w:val="right"/>
        <w:textAlignment w:val="auto"/>
        <w:rPr>
          <w:rFonts w:hint="eastAsia" w:hAnsi="Cambria Math"/>
          <w:highlight w:val="none"/>
        </w:rPr>
      </w:pPr>
      <w:r>
        <w:rPr>
          <w:rFonts w:hint="eastAsia" w:hAnsi="Cambria Math"/>
          <w:b w:val="0"/>
          <w:i w:val="0"/>
          <w:highlight w:val="none"/>
          <w:lang w:eastAsia="zh-CN"/>
        </w:rPr>
        <w:t>满足：</w:t>
      </w:r>
      <m:oMath>
        <m:r>
          <m:rPr>
            <m:sty m:val="p"/>
          </m:rPr>
          <w:rPr>
            <w:rFonts w:ascii="Cambria Math" w:hAnsi="Cambria Math"/>
            <w:highlight w:val="none"/>
          </w:rPr>
          <m:t>∆</m:t>
        </m:r>
        <m:sSubSup>
          <m:sSubSupPr>
            <m:ctrlPr>
              <w:rPr>
                <w:rFonts w:ascii="Cambria Math" w:hAnsi="Cambria Math"/>
                <w:b w:val="0"/>
                <w:i w:val="0"/>
                <w:highlight w:val="none"/>
              </w:rPr>
            </m:ctrlPr>
          </m:sSubSupPr>
          <m:e>
            <m:r>
              <m:rPr>
                <m:sty m:val="p"/>
              </m:rPr>
              <w:rPr>
                <w:rFonts w:ascii="Cambria Math" w:hAnsi="Cambria Math"/>
                <w:highlight w:val="none"/>
              </w:rPr>
              <m:t>Q</m:t>
            </m:r>
            <m:ctrlPr>
              <w:rPr>
                <w:rFonts w:ascii="Cambria Math" w:hAnsi="Cambria Math"/>
                <w:b w:val="0"/>
                <w:i w:val="0"/>
                <w:highlight w:val="none"/>
              </w:rPr>
            </m:ctrlPr>
          </m:e>
          <m:sub>
            <m:r>
              <m:rPr>
                <m:sty m:val="p"/>
              </m:rPr>
              <w:rPr>
                <w:rFonts w:hint="eastAsia" w:ascii="Cambria Math" w:hAnsi="Cambria Math"/>
                <w:highlight w:val="none"/>
                <w:lang w:val="en-US" w:eastAsia="zh-CN"/>
              </w:rPr>
              <m:t>农业</m:t>
            </m:r>
            <m:ctrlPr>
              <w:rPr>
                <w:rFonts w:ascii="Cambria Math" w:hAnsi="Cambria Math"/>
                <w:b w:val="0"/>
                <w:i w:val="0"/>
                <w:highlight w:val="none"/>
              </w:rPr>
            </m:ctrlPr>
          </m:sub>
          <m:sup>
            <m:r>
              <m:rPr>
                <m:sty m:val="p"/>
              </m:rPr>
              <w:rPr>
                <w:rFonts w:hint="eastAsia" w:ascii="Cambria Math" w:hAnsi="Cambria Math"/>
                <w:highlight w:val="none"/>
                <w:lang w:val="en-US" w:eastAsia="zh-CN"/>
              </w:rPr>
              <m:t>阶段</m:t>
            </m:r>
            <m:ctrlPr>
              <w:rPr>
                <w:rFonts w:ascii="Cambria Math" w:hAnsi="Cambria Math"/>
                <w:b w:val="0"/>
                <w:i w:val="0"/>
                <w:highlight w:val="none"/>
              </w:rPr>
            </m:ctrlPr>
          </m:sup>
        </m:sSubSup>
        <m:r>
          <m:rPr>
            <m:sty m:val="p"/>
          </m:rPr>
          <w:rPr>
            <w:rFonts w:ascii="Cambria Math" w:hAnsi="Cambria Math"/>
            <w:highlight w:val="none"/>
          </w:rPr>
          <m:t>+∆</m:t>
        </m:r>
        <m:sSubSup>
          <m:sSubSupPr>
            <m:ctrlPr>
              <w:rPr>
                <w:rFonts w:ascii="Cambria Math" w:hAnsi="Cambria Math"/>
                <w:b w:val="0"/>
                <w:i w:val="0"/>
                <w:highlight w:val="none"/>
              </w:rPr>
            </m:ctrlPr>
          </m:sSubSupPr>
          <m:e>
            <m:r>
              <m:rPr>
                <m:sty m:val="p"/>
              </m:rPr>
              <w:rPr>
                <w:rFonts w:ascii="Cambria Math" w:hAnsi="Cambria Math"/>
                <w:highlight w:val="none"/>
              </w:rPr>
              <m:t>Q</m:t>
            </m:r>
            <m:ctrlPr>
              <w:rPr>
                <w:rFonts w:ascii="Cambria Math" w:hAnsi="Cambria Math"/>
                <w:b w:val="0"/>
                <w:i w:val="0"/>
                <w:highlight w:val="none"/>
              </w:rPr>
            </m:ctrlPr>
          </m:e>
          <m:sub>
            <m:r>
              <m:rPr>
                <m:sty m:val="p"/>
              </m:rPr>
              <w:rPr>
                <w:rFonts w:hint="eastAsia" w:ascii="Cambria Math" w:hAnsi="Cambria Math"/>
                <w:highlight w:val="none"/>
              </w:rPr>
              <m:t>生活、工业</m:t>
            </m:r>
            <m:ctrlPr>
              <w:rPr>
                <w:rFonts w:ascii="Cambria Math" w:hAnsi="Cambria Math"/>
                <w:b w:val="0"/>
                <w:i w:val="0"/>
                <w:highlight w:val="none"/>
              </w:rPr>
            </m:ctrlPr>
          </m:sub>
          <m:sup>
            <m:r>
              <m:rPr>
                <m:sty m:val="p"/>
              </m:rPr>
              <w:rPr>
                <w:rFonts w:hint="eastAsia" w:ascii="Cambria Math" w:hAnsi="Cambria Math"/>
                <w:highlight w:val="none"/>
                <w:lang w:val="en-US" w:eastAsia="zh-CN"/>
              </w:rPr>
              <m:t>阶段</m:t>
            </m:r>
            <m:ctrlPr>
              <w:rPr>
                <w:rFonts w:ascii="Cambria Math" w:hAnsi="Cambria Math"/>
                <w:b w:val="0"/>
                <w:i w:val="0"/>
                <w:highlight w:val="none"/>
              </w:rPr>
            </m:ctrlPr>
          </m:sup>
        </m:sSubSup>
        <m:r>
          <m:rPr>
            <m:sty m:val="p"/>
          </m:rPr>
          <w:rPr>
            <w:rFonts w:hint="eastAsia" w:ascii="Cambria Math" w:hAnsi="Cambria Math"/>
            <w:highlight w:val="none"/>
            <w:lang w:val="en-US" w:eastAsia="zh-CN"/>
          </w:rPr>
          <m:t>≥</m:t>
        </m:r>
        <m:sSubSup>
          <m:sSubSupPr>
            <m:ctrlPr>
              <w:rPr>
                <w:rFonts w:hint="eastAsia" w:ascii="Cambria Math" w:hAnsi="Cambria Math"/>
                <w:b w:val="0"/>
                <w:i w:val="0"/>
                <w:highlight w:val="none"/>
                <w:lang w:val="en-US" w:eastAsia="zh-CN"/>
              </w:rPr>
            </m:ctrlPr>
          </m:sSubSupPr>
          <m:e>
            <m:r>
              <m:rPr>
                <m:sty m:val="p"/>
              </m:rPr>
              <w:rPr>
                <w:rFonts w:ascii="Cambria Math" w:hAnsi="Cambria Math"/>
                <w:highlight w:val="none"/>
              </w:rPr>
              <m:t>Q</m:t>
            </m:r>
            <m:ctrlPr>
              <w:rPr>
                <w:rFonts w:hint="eastAsia" w:ascii="Cambria Math" w:hAnsi="Cambria Math"/>
                <w:b w:val="0"/>
                <w:i w:val="0"/>
                <w:highlight w:val="none"/>
                <w:lang w:val="en-US" w:eastAsia="zh-CN"/>
              </w:rPr>
            </m:ctrlPr>
          </m:e>
          <m:sub>
            <m:r>
              <m:rPr>
                <m:sty m:val="p"/>
              </m:rPr>
              <w:rPr>
                <w:rFonts w:hint="eastAsia" w:ascii="Cambria Math" w:hAnsi="Cambria Math"/>
                <w:highlight w:val="none"/>
                <w:lang w:val="en-US" w:eastAsia="zh-CN"/>
              </w:rPr>
              <m:t>任务</m:t>
            </m:r>
            <m:ctrlPr>
              <w:rPr>
                <w:rFonts w:hint="eastAsia" w:ascii="Cambria Math" w:hAnsi="Cambria Math"/>
                <w:b w:val="0"/>
                <w:i w:val="0"/>
                <w:highlight w:val="none"/>
                <w:lang w:val="en-US" w:eastAsia="zh-CN"/>
              </w:rPr>
            </m:ctrlPr>
          </m:sub>
          <m:sup>
            <m:r>
              <m:rPr>
                <m:sty m:val="p"/>
              </m:rPr>
              <w:rPr>
                <w:rFonts w:hint="eastAsia" w:ascii="Cambria Math" w:hAnsi="Cambria Math"/>
                <w:highlight w:val="none"/>
                <w:lang w:val="en-US" w:eastAsia="zh-CN"/>
              </w:rPr>
              <m:t>阶段</m:t>
            </m:r>
            <m:ctrlPr>
              <w:rPr>
                <w:rFonts w:hint="eastAsia" w:ascii="Cambria Math" w:hAnsi="Cambria Math"/>
                <w:b w:val="0"/>
                <w:i w:val="0"/>
                <w:highlight w:val="none"/>
                <w:lang w:val="en-US" w:eastAsia="zh-CN"/>
              </w:rPr>
            </m:ctrlPr>
          </m:sup>
        </m:sSubSup>
      </m:oMath>
      <w:r>
        <w:rPr>
          <w:rFonts w:hint="eastAsia" w:hAnsi="Cambria Math"/>
          <w:highlight w:val="none"/>
        </w:rPr>
        <w:t>......... ....................................（3）</w:t>
      </w:r>
    </w:p>
    <w:p>
      <w:pPr>
        <w:pageBreakBefore w:val="0"/>
        <w:widowControl w:val="0"/>
        <w:kinsoku/>
        <w:wordWrap/>
        <w:overflowPunct/>
        <w:topLinePunct w:val="0"/>
        <w:autoSpaceDE w:val="0"/>
        <w:autoSpaceDN w:val="0"/>
        <w:bidi w:val="0"/>
        <w:adjustRightInd w:val="0"/>
        <w:snapToGrid w:val="0"/>
        <w:spacing w:line="360" w:lineRule="auto"/>
        <w:jc w:val="right"/>
        <w:textAlignment w:val="auto"/>
        <w:rPr>
          <w:szCs w:val="21"/>
          <w:highlight w:val="none"/>
        </w:rPr>
      </w:pPr>
      <w:r>
        <w:rPr>
          <w:rFonts w:hint="eastAsia" w:hAnsi="Cambria Math"/>
          <w:b w:val="0"/>
          <w:i w:val="0"/>
          <w:highlight w:val="none"/>
          <w:lang w:eastAsia="zh-CN"/>
        </w:rPr>
        <w:t>不满足：</w:t>
      </w:r>
      <m:oMath>
        <m:r>
          <m:rPr>
            <m:sty m:val="p"/>
          </m:rPr>
          <w:rPr>
            <w:rFonts w:ascii="Cambria Math" w:hAnsi="Cambria Math"/>
            <w:highlight w:val="none"/>
          </w:rPr>
          <m:t>∆</m:t>
        </m:r>
        <m:sSubSup>
          <m:sSubSupPr>
            <m:ctrlPr>
              <w:rPr>
                <w:rFonts w:ascii="Cambria Math" w:hAnsi="Cambria Math"/>
                <w:b w:val="0"/>
                <w:i w:val="0"/>
                <w:highlight w:val="none"/>
              </w:rPr>
            </m:ctrlPr>
          </m:sSubSupPr>
          <m:e>
            <m:r>
              <m:rPr>
                <m:sty m:val="p"/>
              </m:rPr>
              <w:rPr>
                <w:rFonts w:ascii="Cambria Math" w:hAnsi="Cambria Math"/>
                <w:highlight w:val="none"/>
              </w:rPr>
              <m:t>Q</m:t>
            </m:r>
            <m:ctrlPr>
              <w:rPr>
                <w:rFonts w:ascii="Cambria Math" w:hAnsi="Cambria Math"/>
                <w:b w:val="0"/>
                <w:i w:val="0"/>
                <w:highlight w:val="none"/>
              </w:rPr>
            </m:ctrlPr>
          </m:e>
          <m:sub>
            <m:r>
              <m:rPr>
                <m:sty m:val="p"/>
              </m:rPr>
              <w:rPr>
                <w:rFonts w:hint="eastAsia" w:ascii="Cambria Math" w:hAnsi="Cambria Math"/>
                <w:highlight w:val="none"/>
                <w:lang w:val="en-US" w:eastAsia="zh-CN"/>
              </w:rPr>
              <m:t>农业</m:t>
            </m:r>
            <m:ctrlPr>
              <w:rPr>
                <w:rFonts w:ascii="Cambria Math" w:hAnsi="Cambria Math"/>
                <w:b w:val="0"/>
                <w:i w:val="0"/>
                <w:highlight w:val="none"/>
              </w:rPr>
            </m:ctrlPr>
          </m:sub>
          <m:sup>
            <m:r>
              <m:rPr>
                <m:sty m:val="p"/>
              </m:rPr>
              <w:rPr>
                <w:rFonts w:hint="eastAsia" w:ascii="Cambria Math" w:hAnsi="Cambria Math"/>
                <w:highlight w:val="none"/>
                <w:lang w:val="en-US" w:eastAsia="zh-CN"/>
              </w:rPr>
              <m:t>阶段</m:t>
            </m:r>
            <m:ctrlPr>
              <w:rPr>
                <w:rFonts w:ascii="Cambria Math" w:hAnsi="Cambria Math"/>
                <w:b w:val="0"/>
                <w:i w:val="0"/>
                <w:highlight w:val="none"/>
              </w:rPr>
            </m:ctrlPr>
          </m:sup>
        </m:sSubSup>
        <m:r>
          <m:rPr>
            <m:sty m:val="p"/>
          </m:rPr>
          <w:rPr>
            <w:rFonts w:ascii="Cambria Math" w:hAnsi="Cambria Math"/>
            <w:highlight w:val="none"/>
          </w:rPr>
          <m:t>+∆</m:t>
        </m:r>
        <m:sSubSup>
          <m:sSubSupPr>
            <m:ctrlPr>
              <w:rPr>
                <w:rFonts w:ascii="Cambria Math" w:hAnsi="Cambria Math"/>
                <w:b w:val="0"/>
                <w:i w:val="0"/>
                <w:highlight w:val="none"/>
              </w:rPr>
            </m:ctrlPr>
          </m:sSubSupPr>
          <m:e>
            <m:r>
              <m:rPr>
                <m:sty m:val="p"/>
              </m:rPr>
              <w:rPr>
                <w:rFonts w:ascii="Cambria Math" w:hAnsi="Cambria Math"/>
                <w:highlight w:val="none"/>
              </w:rPr>
              <m:t>Q</m:t>
            </m:r>
            <m:ctrlPr>
              <w:rPr>
                <w:rFonts w:ascii="Cambria Math" w:hAnsi="Cambria Math"/>
                <w:b w:val="0"/>
                <w:i w:val="0"/>
                <w:highlight w:val="none"/>
              </w:rPr>
            </m:ctrlPr>
          </m:e>
          <m:sub>
            <m:r>
              <m:rPr>
                <m:sty m:val="p"/>
              </m:rPr>
              <w:rPr>
                <w:rFonts w:hint="eastAsia" w:ascii="Cambria Math" w:hAnsi="Cambria Math"/>
                <w:highlight w:val="none"/>
              </w:rPr>
              <m:t>生活、工业</m:t>
            </m:r>
            <m:ctrlPr>
              <w:rPr>
                <w:rFonts w:ascii="Cambria Math" w:hAnsi="Cambria Math"/>
                <w:b w:val="0"/>
                <w:i w:val="0"/>
                <w:highlight w:val="none"/>
              </w:rPr>
            </m:ctrlPr>
          </m:sub>
          <m:sup>
            <m:r>
              <m:rPr>
                <m:sty m:val="p"/>
              </m:rPr>
              <w:rPr>
                <w:rFonts w:hint="eastAsia" w:ascii="Cambria Math" w:hAnsi="Cambria Math"/>
                <w:highlight w:val="none"/>
                <w:lang w:val="en-US" w:eastAsia="zh-CN"/>
              </w:rPr>
              <m:t>阶段</m:t>
            </m:r>
            <m:ctrlPr>
              <w:rPr>
                <w:rFonts w:ascii="Cambria Math" w:hAnsi="Cambria Math"/>
                <w:b w:val="0"/>
                <w:i w:val="0"/>
                <w:highlight w:val="none"/>
              </w:rPr>
            </m:ctrlPr>
          </m:sup>
        </m:sSubSup>
        <m:r>
          <m:rPr>
            <m:sty m:val="p"/>
          </m:rPr>
          <w:rPr>
            <w:rFonts w:hint="default" w:ascii="Cambria Math" w:hAnsi="Cambria Math"/>
            <w:highlight w:val="none"/>
            <w:lang w:val="en-US" w:eastAsia="zh-CN"/>
          </w:rPr>
          <m:t>&lt;</m:t>
        </m:r>
        <m:sSubSup>
          <m:sSubSupPr>
            <m:ctrlPr>
              <w:rPr>
                <w:rFonts w:hint="eastAsia" w:ascii="Cambria Math" w:hAnsi="Cambria Math"/>
                <w:b w:val="0"/>
                <w:i w:val="0"/>
                <w:highlight w:val="none"/>
                <w:lang w:val="en-US" w:eastAsia="zh-CN"/>
              </w:rPr>
            </m:ctrlPr>
          </m:sSubSupPr>
          <m:e>
            <m:r>
              <m:rPr>
                <m:sty m:val="p"/>
              </m:rPr>
              <w:rPr>
                <w:rFonts w:ascii="Cambria Math" w:hAnsi="Cambria Math"/>
                <w:highlight w:val="none"/>
              </w:rPr>
              <m:t>Q</m:t>
            </m:r>
            <m:ctrlPr>
              <w:rPr>
                <w:rFonts w:hint="eastAsia" w:ascii="Cambria Math" w:hAnsi="Cambria Math"/>
                <w:b w:val="0"/>
                <w:i w:val="0"/>
                <w:highlight w:val="none"/>
                <w:lang w:val="en-US" w:eastAsia="zh-CN"/>
              </w:rPr>
            </m:ctrlPr>
          </m:e>
          <m:sub>
            <m:r>
              <m:rPr>
                <m:sty m:val="p"/>
              </m:rPr>
              <w:rPr>
                <w:rFonts w:hint="eastAsia" w:ascii="Cambria Math" w:hAnsi="Cambria Math"/>
                <w:highlight w:val="none"/>
                <w:lang w:val="en-US" w:eastAsia="zh-CN"/>
              </w:rPr>
              <m:t>任务</m:t>
            </m:r>
            <m:ctrlPr>
              <w:rPr>
                <w:rFonts w:hint="eastAsia" w:ascii="Cambria Math" w:hAnsi="Cambria Math"/>
                <w:b w:val="0"/>
                <w:i w:val="0"/>
                <w:highlight w:val="none"/>
                <w:lang w:val="en-US" w:eastAsia="zh-CN"/>
              </w:rPr>
            </m:ctrlPr>
          </m:sub>
          <m:sup>
            <m:r>
              <m:rPr>
                <m:sty m:val="p"/>
              </m:rPr>
              <w:rPr>
                <w:rFonts w:hint="eastAsia" w:ascii="Cambria Math" w:hAnsi="Cambria Math"/>
                <w:highlight w:val="none"/>
                <w:lang w:val="en-US" w:eastAsia="zh-CN"/>
              </w:rPr>
              <m:t>阶段</m:t>
            </m:r>
            <m:ctrlPr>
              <w:rPr>
                <w:rFonts w:hint="eastAsia" w:ascii="Cambria Math" w:hAnsi="Cambria Math"/>
                <w:b w:val="0"/>
                <w:i w:val="0"/>
                <w:highlight w:val="none"/>
                <w:lang w:val="en-US" w:eastAsia="zh-CN"/>
              </w:rPr>
            </m:ctrlPr>
          </m:sup>
        </m:sSubSup>
      </m:oMath>
      <w:r>
        <w:rPr>
          <w:rFonts w:hint="eastAsia" w:hAnsi="Cambria Math"/>
          <w:highlight w:val="none"/>
        </w:rPr>
        <w:t>......... ....................................（</w:t>
      </w:r>
      <w:r>
        <w:rPr>
          <w:rFonts w:hint="eastAsia" w:hAnsi="Cambria Math"/>
          <w:highlight w:val="none"/>
          <w:lang w:val="en-US" w:eastAsia="zh-CN"/>
        </w:rPr>
        <w:t>4</w:t>
      </w:r>
      <w:r>
        <w:rPr>
          <w:rFonts w:hint="eastAsia" w:hAnsi="Cambria Math"/>
          <w:highlight w:val="none"/>
        </w:rPr>
        <w:t>）</w:t>
      </w:r>
    </w:p>
    <w:p>
      <w:pPr>
        <w:pageBreakBefore w:val="0"/>
        <w:widowControl w:val="0"/>
        <w:kinsoku/>
        <w:wordWrap/>
        <w:overflowPunct/>
        <w:topLinePunct w:val="0"/>
        <w:autoSpaceDE w:val="0"/>
        <w:autoSpaceDN w:val="0"/>
        <w:bidi w:val="0"/>
        <w:adjustRightInd w:val="0"/>
        <w:snapToGrid w:val="0"/>
        <w:spacing w:line="360" w:lineRule="auto"/>
        <w:jc w:val="right"/>
        <w:textAlignment w:val="auto"/>
        <w:rPr>
          <w:rFonts w:hint="eastAsia" w:hAnsi="Cambria Math"/>
          <w:highlight w:val="none"/>
        </w:rPr>
      </w:pPr>
    </w:p>
    <w:p>
      <w:pPr>
        <w:pageBreakBefore w:val="0"/>
        <w:widowControl w:val="0"/>
        <w:kinsoku/>
        <w:wordWrap/>
        <w:overflowPunct/>
        <w:topLinePunct w:val="0"/>
        <w:autoSpaceDE w:val="0"/>
        <w:autoSpaceDN w:val="0"/>
        <w:bidi w:val="0"/>
        <w:adjustRightInd w:val="0"/>
        <w:snapToGrid w:val="0"/>
        <w:spacing w:line="360" w:lineRule="auto"/>
        <w:ind w:firstLine="420" w:firstLineChars="200"/>
        <w:jc w:val="left"/>
        <w:textAlignment w:val="auto"/>
        <w:rPr>
          <w:rFonts w:hAnsi="Cambria Math"/>
          <w:highlight w:val="none"/>
        </w:rPr>
      </w:pPr>
      <w:r>
        <w:rPr>
          <w:rFonts w:hAnsi="Cambria Math"/>
          <w:highlight w:val="none"/>
        </w:rPr>
        <w:t>式中</w:t>
      </w:r>
      <w:r>
        <w:rPr>
          <w:rFonts w:hint="eastAsia" w:hAnsi="Cambria Math"/>
          <w:highlight w:val="none"/>
        </w:rPr>
        <w:t>：</w:t>
      </w:r>
    </w:p>
    <w:p>
      <w:pPr>
        <w:pageBreakBefore w:val="0"/>
        <w:widowControl w:val="0"/>
        <w:kinsoku/>
        <w:wordWrap/>
        <w:overflowPunct/>
        <w:topLinePunct w:val="0"/>
        <w:autoSpaceDE w:val="0"/>
        <w:autoSpaceDN w:val="0"/>
        <w:bidi w:val="0"/>
        <w:adjustRightInd w:val="0"/>
        <w:snapToGrid w:val="0"/>
        <w:spacing w:line="360" w:lineRule="auto"/>
        <w:ind w:firstLine="420" w:firstLineChars="200"/>
        <w:jc w:val="left"/>
        <w:textAlignment w:val="auto"/>
        <w:rPr>
          <w:szCs w:val="21"/>
          <w:highlight w:val="none"/>
        </w:rPr>
      </w:pPr>
      <m:oMath>
        <m:sSubSup>
          <m:sSubSupPr>
            <m:ctrlPr>
              <w:rPr>
                <w:rFonts w:hint="eastAsia" w:ascii="Cambria Math" w:hAnsi="Cambria Math"/>
                <w:b w:val="0"/>
                <w:i w:val="0"/>
                <w:highlight w:val="none"/>
                <w:lang w:val="en-US" w:eastAsia="zh-CN"/>
              </w:rPr>
            </m:ctrlPr>
          </m:sSubSupPr>
          <m:e>
            <m:r>
              <m:rPr>
                <m:sty m:val="p"/>
              </m:rPr>
              <w:rPr>
                <w:rFonts w:ascii="Cambria Math" w:hAnsi="Cambria Math"/>
                <w:highlight w:val="none"/>
              </w:rPr>
              <m:t>Q</m:t>
            </m:r>
            <m:ctrlPr>
              <w:rPr>
                <w:rFonts w:hint="eastAsia" w:ascii="Cambria Math" w:hAnsi="Cambria Math"/>
                <w:b w:val="0"/>
                <w:i w:val="0"/>
                <w:highlight w:val="none"/>
                <w:lang w:val="en-US" w:eastAsia="zh-CN"/>
              </w:rPr>
            </m:ctrlPr>
          </m:e>
          <m:sub>
            <m:r>
              <m:rPr>
                <m:sty m:val="p"/>
              </m:rPr>
              <w:rPr>
                <w:rFonts w:hint="eastAsia" w:ascii="Cambria Math" w:hAnsi="Cambria Math"/>
                <w:highlight w:val="none"/>
                <w:lang w:val="en-US" w:eastAsia="zh-CN"/>
              </w:rPr>
              <m:t>任务</m:t>
            </m:r>
            <m:ctrlPr>
              <w:rPr>
                <w:rFonts w:hint="eastAsia" w:ascii="Cambria Math" w:hAnsi="Cambria Math"/>
                <w:b w:val="0"/>
                <w:i w:val="0"/>
                <w:highlight w:val="none"/>
                <w:lang w:val="en-US" w:eastAsia="zh-CN"/>
              </w:rPr>
            </m:ctrlPr>
          </m:sub>
          <m:sup>
            <m:r>
              <m:rPr>
                <m:sty m:val="p"/>
              </m:rPr>
              <w:rPr>
                <w:rFonts w:hint="eastAsia" w:ascii="Cambria Math" w:hAnsi="Cambria Math"/>
                <w:highlight w:val="none"/>
                <w:lang w:val="en-US" w:eastAsia="zh-CN"/>
              </w:rPr>
              <m:t>阶段</m:t>
            </m:r>
            <m:ctrlPr>
              <w:rPr>
                <w:rFonts w:hint="eastAsia" w:ascii="Cambria Math" w:hAnsi="Cambria Math"/>
                <w:b w:val="0"/>
                <w:i w:val="0"/>
                <w:highlight w:val="none"/>
                <w:lang w:val="en-US" w:eastAsia="zh-CN"/>
              </w:rPr>
            </m:ctrlPr>
          </m:sup>
        </m:sSubSup>
      </m:oMath>
      <w:r>
        <w:rPr>
          <w:rFonts w:hint="eastAsia" w:hAnsi="Cambria Math"/>
          <w:highlight w:val="none"/>
        </w:rPr>
        <w:t>——地下水超采综合治理</w:t>
      </w:r>
      <w:r>
        <w:rPr>
          <w:rFonts w:hint="eastAsia" w:hAnsi="Cambria Math"/>
          <w:highlight w:val="none"/>
          <w:lang w:val="en-US" w:eastAsia="zh-CN"/>
        </w:rPr>
        <w:t>阶段评估期</w:t>
      </w:r>
      <w:r>
        <w:rPr>
          <w:rFonts w:hint="eastAsia" w:hAnsi="Cambria Math"/>
          <w:highlight w:val="none"/>
        </w:rPr>
        <w:t>压采量目标</w:t>
      </w:r>
      <w:r>
        <w:rPr>
          <w:rFonts w:hint="eastAsia" w:hAnsi="Cambria Math"/>
          <w:highlight w:val="none"/>
          <w:lang w:eastAsia="zh-CN"/>
        </w:rPr>
        <w:t>（</w:t>
      </w:r>
      <w:r>
        <w:rPr>
          <w:rFonts w:hint="eastAsia" w:hAnsi="Cambria Math"/>
          <w:highlight w:val="none"/>
          <w:lang w:val="en-US" w:eastAsia="zh-CN"/>
        </w:rPr>
        <w:t>万m</w:t>
      </w:r>
      <w:r>
        <w:rPr>
          <w:rFonts w:hint="eastAsia" w:hAnsi="Cambria Math"/>
          <w:highlight w:val="none"/>
          <w:vertAlign w:val="superscript"/>
          <w:lang w:val="en-US" w:eastAsia="zh-CN"/>
        </w:rPr>
        <w:t>3</w:t>
      </w:r>
      <w:r>
        <w:rPr>
          <w:rFonts w:hint="eastAsia" w:hAnsi="Cambria Math"/>
          <w:highlight w:val="none"/>
          <w:lang w:eastAsia="zh-CN"/>
        </w:rPr>
        <w:t>）；</w:t>
      </w:r>
    </w:p>
    <w:p>
      <w:pPr>
        <w:pageBreakBefore w:val="0"/>
        <w:widowControl w:val="0"/>
        <w:kinsoku/>
        <w:wordWrap/>
        <w:overflowPunct/>
        <w:topLinePunct w:val="0"/>
        <w:autoSpaceDE w:val="0"/>
        <w:autoSpaceDN w:val="0"/>
        <w:bidi w:val="0"/>
        <w:adjustRightInd w:val="0"/>
        <w:snapToGrid w:val="0"/>
        <w:spacing w:line="360" w:lineRule="auto"/>
        <w:ind w:firstLine="420" w:firstLineChars="200"/>
        <w:jc w:val="left"/>
        <w:textAlignment w:val="auto"/>
        <w:rPr>
          <w:rFonts w:hAnsi="Cambria Math"/>
          <w:highlight w:val="none"/>
        </w:rPr>
      </w:pPr>
      <m:oMath>
        <m:r>
          <m:rPr>
            <m:sty m:val="p"/>
          </m:rPr>
          <w:rPr>
            <w:rFonts w:ascii="Cambria Math" w:hAnsi="Cambria Math"/>
            <w:highlight w:val="none"/>
          </w:rPr>
          <m:t>∆</m:t>
        </m:r>
        <m:sSubSup>
          <m:sSubSupPr>
            <m:ctrlPr>
              <w:rPr>
                <w:rFonts w:ascii="Cambria Math" w:hAnsi="Cambria Math"/>
                <w:b w:val="0"/>
                <w:i w:val="0"/>
                <w:highlight w:val="none"/>
              </w:rPr>
            </m:ctrlPr>
          </m:sSubSupPr>
          <m:e>
            <m:r>
              <m:rPr>
                <m:sty m:val="p"/>
              </m:rPr>
              <w:rPr>
                <w:rFonts w:ascii="Cambria Math" w:hAnsi="Cambria Math"/>
                <w:highlight w:val="none"/>
              </w:rPr>
              <m:t>Q</m:t>
            </m:r>
            <m:ctrlPr>
              <w:rPr>
                <w:rFonts w:ascii="Cambria Math" w:hAnsi="Cambria Math"/>
                <w:b w:val="0"/>
                <w:i w:val="0"/>
                <w:highlight w:val="none"/>
              </w:rPr>
            </m:ctrlPr>
          </m:e>
          <m:sub>
            <m:r>
              <m:rPr>
                <m:sty m:val="p"/>
              </m:rPr>
              <w:rPr>
                <w:rFonts w:hint="eastAsia" w:ascii="Cambria Math" w:hAnsi="Cambria Math"/>
                <w:highlight w:val="none"/>
                <w:lang w:val="en-US" w:eastAsia="zh-CN"/>
              </w:rPr>
              <m:t>农业</m:t>
            </m:r>
            <m:ctrlPr>
              <w:rPr>
                <w:rFonts w:ascii="Cambria Math" w:hAnsi="Cambria Math"/>
                <w:b w:val="0"/>
                <w:i w:val="0"/>
                <w:highlight w:val="none"/>
              </w:rPr>
            </m:ctrlPr>
          </m:sub>
          <m:sup>
            <m:r>
              <m:rPr>
                <m:sty m:val="p"/>
              </m:rPr>
              <w:rPr>
                <w:rFonts w:hint="eastAsia" w:ascii="Cambria Math" w:hAnsi="Cambria Math"/>
                <w:highlight w:val="none"/>
                <w:lang w:val="en-US" w:eastAsia="zh-CN"/>
              </w:rPr>
              <m:t>阶段</m:t>
            </m:r>
            <m:ctrlPr>
              <w:rPr>
                <w:rFonts w:ascii="Cambria Math" w:hAnsi="Cambria Math"/>
                <w:b w:val="0"/>
                <w:i w:val="0"/>
                <w:highlight w:val="none"/>
              </w:rPr>
            </m:ctrlPr>
          </m:sup>
        </m:sSubSup>
      </m:oMath>
      <w:r>
        <w:rPr>
          <w:rFonts w:hint="eastAsia" w:hAnsi="Cambria Math"/>
          <w:highlight w:val="none"/>
        </w:rPr>
        <w:t>——</w:t>
      </w:r>
      <w:r>
        <w:rPr>
          <w:rFonts w:hint="eastAsia" w:hAnsi="Cambria Math"/>
          <w:highlight w:val="none"/>
          <w:lang w:eastAsia="zh-CN"/>
        </w:rPr>
        <w:t>阶段评估期间</w:t>
      </w:r>
      <w:r>
        <w:rPr>
          <w:rFonts w:hAnsi="Cambria Math"/>
          <w:highlight w:val="none"/>
        </w:rPr>
        <w:t>年农业地下水压采量</w:t>
      </w:r>
      <w:r>
        <w:rPr>
          <w:rFonts w:hint="eastAsia" w:hAnsi="Cambria Math"/>
          <w:highlight w:val="none"/>
          <w:lang w:eastAsia="zh-CN"/>
        </w:rPr>
        <w:t>（</w:t>
      </w:r>
      <w:r>
        <w:rPr>
          <w:rFonts w:hint="eastAsia" w:hAnsi="Cambria Math"/>
          <w:highlight w:val="none"/>
          <w:lang w:val="en-US" w:eastAsia="zh-CN"/>
        </w:rPr>
        <w:t>万m</w:t>
      </w:r>
      <w:r>
        <w:rPr>
          <w:rFonts w:hint="eastAsia" w:hAnsi="Cambria Math"/>
          <w:highlight w:val="none"/>
          <w:vertAlign w:val="superscript"/>
          <w:lang w:val="en-US" w:eastAsia="zh-CN"/>
        </w:rPr>
        <w:t>3</w:t>
      </w:r>
      <w:r>
        <w:rPr>
          <w:rFonts w:hint="eastAsia" w:hAnsi="Cambria Math"/>
          <w:highlight w:val="none"/>
          <w:lang w:eastAsia="zh-CN"/>
        </w:rPr>
        <w:t>）</w:t>
      </w:r>
      <w:r>
        <w:rPr>
          <w:rFonts w:hint="eastAsia" w:hAnsi="Cambria Math"/>
          <w:highlight w:val="none"/>
        </w:rPr>
        <w:t>；</w:t>
      </w:r>
    </w:p>
    <w:p>
      <w:pPr>
        <w:pageBreakBefore w:val="0"/>
        <w:widowControl w:val="0"/>
        <w:kinsoku/>
        <w:wordWrap/>
        <w:overflowPunct/>
        <w:topLinePunct w:val="0"/>
        <w:autoSpaceDE w:val="0"/>
        <w:autoSpaceDN w:val="0"/>
        <w:bidi w:val="0"/>
        <w:adjustRightInd w:val="0"/>
        <w:snapToGrid w:val="0"/>
        <w:spacing w:line="360" w:lineRule="auto"/>
        <w:ind w:firstLine="420" w:firstLineChars="200"/>
        <w:jc w:val="left"/>
        <w:textAlignment w:val="auto"/>
        <w:rPr>
          <w:rFonts w:hint="eastAsia" w:hAnsi="Cambria Math" w:eastAsia="宋体"/>
          <w:highlight w:val="none"/>
          <w:lang w:eastAsia="zh-CN"/>
        </w:rPr>
      </w:pPr>
      <m:oMath>
        <m:r>
          <m:rPr>
            <m:sty m:val="p"/>
          </m:rPr>
          <w:rPr>
            <w:rFonts w:ascii="Cambria Math" w:hAnsi="Cambria Math"/>
            <w:highlight w:val="none"/>
          </w:rPr>
          <m:t>∆</m:t>
        </m:r>
        <m:sSubSup>
          <m:sSubSupPr>
            <m:ctrlPr>
              <w:rPr>
                <w:rFonts w:ascii="Cambria Math" w:hAnsi="Cambria Math"/>
                <w:b w:val="0"/>
                <w:i w:val="0"/>
                <w:highlight w:val="none"/>
              </w:rPr>
            </m:ctrlPr>
          </m:sSubSupPr>
          <m:e>
            <m:r>
              <m:rPr>
                <m:sty m:val="p"/>
              </m:rPr>
              <w:rPr>
                <w:rFonts w:ascii="Cambria Math" w:hAnsi="Cambria Math"/>
                <w:highlight w:val="none"/>
              </w:rPr>
              <m:t>Q</m:t>
            </m:r>
            <m:ctrlPr>
              <w:rPr>
                <w:rFonts w:ascii="Cambria Math" w:hAnsi="Cambria Math"/>
                <w:b w:val="0"/>
                <w:i w:val="0"/>
                <w:highlight w:val="none"/>
              </w:rPr>
            </m:ctrlPr>
          </m:e>
          <m:sub>
            <m:r>
              <m:rPr>
                <m:sty m:val="p"/>
              </m:rPr>
              <w:rPr>
                <w:rFonts w:hint="eastAsia" w:ascii="Cambria Math" w:hAnsi="Cambria Math"/>
                <w:highlight w:val="none"/>
              </w:rPr>
              <m:t>生活、工业</m:t>
            </m:r>
            <m:ctrlPr>
              <w:rPr>
                <w:rFonts w:ascii="Cambria Math" w:hAnsi="Cambria Math"/>
                <w:b w:val="0"/>
                <w:i w:val="0"/>
                <w:highlight w:val="none"/>
              </w:rPr>
            </m:ctrlPr>
          </m:sub>
          <m:sup>
            <m:r>
              <m:rPr>
                <m:sty m:val="p"/>
              </m:rPr>
              <w:rPr>
                <w:rFonts w:hint="eastAsia" w:ascii="Cambria Math" w:hAnsi="Cambria Math"/>
                <w:highlight w:val="none"/>
                <w:lang w:val="en-US" w:eastAsia="zh-CN"/>
              </w:rPr>
              <m:t>阶段</m:t>
            </m:r>
            <m:ctrlPr>
              <w:rPr>
                <w:rFonts w:ascii="Cambria Math" w:hAnsi="Cambria Math"/>
                <w:b w:val="0"/>
                <w:i w:val="0"/>
                <w:highlight w:val="none"/>
              </w:rPr>
            </m:ctrlPr>
          </m:sup>
        </m:sSubSup>
      </m:oMath>
      <w:r>
        <w:rPr>
          <w:rFonts w:hint="eastAsia" w:hAnsi="Cambria Math"/>
          <w:highlight w:val="none"/>
        </w:rPr>
        <w:t>——</w:t>
      </w:r>
      <w:r>
        <w:rPr>
          <w:rFonts w:hint="eastAsia" w:hAnsi="Cambria Math"/>
          <w:highlight w:val="none"/>
          <w:lang w:eastAsia="zh-CN"/>
        </w:rPr>
        <w:t>阶段评估期间</w:t>
      </w:r>
      <w:r>
        <w:rPr>
          <w:rFonts w:hint="eastAsia" w:hAnsi="Cambria Math"/>
          <w:highlight w:val="none"/>
        </w:rPr>
        <w:t>生活、工业</w:t>
      </w:r>
      <w:r>
        <w:rPr>
          <w:rFonts w:hAnsi="Cambria Math"/>
          <w:highlight w:val="none"/>
        </w:rPr>
        <w:t>地下水压采量</w:t>
      </w:r>
      <w:r>
        <w:rPr>
          <w:rFonts w:hint="eastAsia" w:hAnsi="Cambria Math"/>
          <w:highlight w:val="none"/>
          <w:lang w:eastAsia="zh-CN"/>
        </w:rPr>
        <w:t>（</w:t>
      </w:r>
      <w:r>
        <w:rPr>
          <w:rFonts w:hint="eastAsia" w:hAnsi="Cambria Math"/>
          <w:highlight w:val="none"/>
          <w:lang w:val="en-US" w:eastAsia="zh-CN"/>
        </w:rPr>
        <w:t>万m</w:t>
      </w:r>
      <w:r>
        <w:rPr>
          <w:rFonts w:hint="eastAsia" w:hAnsi="Cambria Math"/>
          <w:highlight w:val="none"/>
          <w:vertAlign w:val="superscript"/>
          <w:lang w:val="en-US" w:eastAsia="zh-CN"/>
        </w:rPr>
        <w:t>3</w:t>
      </w:r>
      <w:r>
        <w:rPr>
          <w:rFonts w:hint="eastAsia" w:hAnsi="Cambria Math"/>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outlineLvl w:val="2"/>
        <w:rPr>
          <w:rFonts w:ascii="黑体" w:eastAsia="黑体"/>
          <w:highlight w:val="none"/>
        </w:rPr>
      </w:pPr>
      <w:r>
        <w:rPr>
          <w:rFonts w:hint="eastAsia" w:ascii="黑体" w:eastAsia="黑体"/>
          <w:szCs w:val="20"/>
          <w:highlight w:val="none"/>
          <w:lang w:val="en-US" w:eastAsia="zh-CN"/>
        </w:rPr>
        <w:t>5.3</w:t>
      </w:r>
      <w:r>
        <w:rPr>
          <w:rFonts w:hint="eastAsia" w:ascii="黑体" w:eastAsia="黑体"/>
          <w:szCs w:val="20"/>
          <w:highlight w:val="none"/>
        </w:rPr>
        <w:t>.</w:t>
      </w:r>
      <w:r>
        <w:rPr>
          <w:rFonts w:hint="eastAsia" w:ascii="黑体" w:eastAsia="黑体"/>
          <w:szCs w:val="20"/>
          <w:highlight w:val="none"/>
          <w:lang w:val="en-US" w:eastAsia="zh-CN"/>
        </w:rPr>
        <w:t>3</w:t>
      </w:r>
      <w:r>
        <w:rPr>
          <w:rFonts w:hint="eastAsia" w:ascii="黑体" w:eastAsia="黑体"/>
          <w:highlight w:val="none"/>
        </w:rPr>
        <w:t xml:space="preserve"> 地下水水位</w:t>
      </w:r>
    </w:p>
    <w:p>
      <w:pPr>
        <w:pageBreakBefore w:val="0"/>
        <w:widowControl w:val="0"/>
        <w:kinsoku/>
        <w:wordWrap/>
        <w:overflowPunct/>
        <w:topLinePunct w:val="0"/>
        <w:autoSpaceDE w:val="0"/>
        <w:autoSpaceDN w:val="0"/>
        <w:bidi w:val="0"/>
        <w:adjustRightInd w:val="0"/>
        <w:snapToGrid w:val="0"/>
        <w:spacing w:line="360" w:lineRule="auto"/>
        <w:ind w:firstLine="0" w:firstLineChars="0"/>
        <w:jc w:val="left"/>
        <w:textAlignment w:val="auto"/>
        <w:rPr>
          <w:rFonts w:hint="eastAsia"/>
          <w:szCs w:val="21"/>
          <w:highlight w:val="none"/>
        </w:rPr>
      </w:pPr>
      <w:r>
        <w:rPr>
          <w:rFonts w:hint="eastAsia" w:ascii="黑体" w:eastAsia="黑体"/>
          <w:szCs w:val="20"/>
          <w:highlight w:val="none"/>
          <w:lang w:val="en-US" w:eastAsia="zh-CN"/>
        </w:rPr>
        <w:t>5.3</w:t>
      </w:r>
      <w:r>
        <w:rPr>
          <w:rFonts w:hint="eastAsia" w:ascii="黑体" w:eastAsia="黑体"/>
          <w:szCs w:val="20"/>
          <w:highlight w:val="none"/>
        </w:rPr>
        <w:t>.</w:t>
      </w:r>
      <w:r>
        <w:rPr>
          <w:rFonts w:hint="eastAsia" w:ascii="黑体" w:eastAsia="黑体"/>
          <w:szCs w:val="20"/>
          <w:highlight w:val="none"/>
          <w:lang w:val="en-US" w:eastAsia="zh-CN"/>
        </w:rPr>
        <w:t>3</w:t>
      </w:r>
      <w:r>
        <w:rPr>
          <w:rFonts w:hint="eastAsia" w:ascii="黑体" w:eastAsia="黑体"/>
          <w:szCs w:val="20"/>
          <w:highlight w:val="none"/>
        </w:rPr>
        <w:t>.</w:t>
      </w:r>
      <w:r>
        <w:rPr>
          <w:rFonts w:hint="eastAsia" w:ascii="黑体" w:eastAsia="黑体"/>
          <w:szCs w:val="20"/>
          <w:highlight w:val="none"/>
          <w:lang w:val="en-US" w:eastAsia="zh-CN"/>
        </w:rPr>
        <w:t>1</w:t>
      </w:r>
      <w:r>
        <w:rPr>
          <w:szCs w:val="21"/>
          <w:highlight w:val="none"/>
        </w:rPr>
        <w:t xml:space="preserve"> </w:t>
      </w:r>
      <w:r>
        <w:rPr>
          <w:rFonts w:hint="eastAsia"/>
          <w:szCs w:val="21"/>
          <w:highlight w:val="none"/>
          <w:lang w:val="en-US" w:eastAsia="zh-CN"/>
        </w:rPr>
        <w:t>对地下水水位的评价应</w:t>
      </w:r>
      <w:r>
        <w:rPr>
          <w:rFonts w:hint="eastAsia"/>
          <w:szCs w:val="21"/>
          <w:highlight w:val="none"/>
        </w:rPr>
        <w:t>充分考虑地下水超采问题的延续性，对于历史上超采时间长，在</w:t>
      </w:r>
      <w:r>
        <w:rPr>
          <w:rFonts w:hint="eastAsia"/>
          <w:szCs w:val="21"/>
          <w:highlight w:val="none"/>
          <w:lang w:val="en-US" w:eastAsia="zh-CN"/>
        </w:rPr>
        <w:t>评估</w:t>
      </w:r>
      <w:r>
        <w:rPr>
          <w:rFonts w:hint="eastAsia"/>
          <w:szCs w:val="21"/>
          <w:highlight w:val="none"/>
        </w:rPr>
        <w:t>期间已完成地下水超采综合治理任务，已实现地下水采补平衡、水位不再呈下降趋势，但仍存在地下水埋深较大或生态与地质环境问题的区域，应制定地下水位恢复计划和恢复方案，确保地下水位恢复至水位控制目标。</w:t>
      </w:r>
    </w:p>
    <w:p>
      <w:pPr>
        <w:pageBreakBefore w:val="0"/>
        <w:kinsoku/>
        <w:wordWrap/>
        <w:overflowPunct/>
        <w:topLinePunct w:val="0"/>
        <w:bidi w:val="0"/>
        <w:adjustRightInd w:val="0"/>
        <w:snapToGrid w:val="0"/>
        <w:spacing w:line="360" w:lineRule="auto"/>
        <w:jc w:val="left"/>
        <w:textAlignment w:val="auto"/>
        <w:rPr>
          <w:rFonts w:hint="eastAsia"/>
          <w:highlight w:val="none"/>
        </w:rPr>
      </w:pPr>
      <w:r>
        <w:rPr>
          <w:rFonts w:hint="eastAsia" w:ascii="黑体" w:eastAsia="黑体"/>
          <w:szCs w:val="20"/>
          <w:highlight w:val="none"/>
          <w:lang w:val="en-US" w:eastAsia="zh-CN"/>
        </w:rPr>
        <w:t>5.3</w:t>
      </w:r>
      <w:r>
        <w:rPr>
          <w:rFonts w:hint="eastAsia" w:ascii="黑体" w:eastAsia="黑体"/>
          <w:szCs w:val="20"/>
          <w:highlight w:val="none"/>
        </w:rPr>
        <w:t>.</w:t>
      </w:r>
      <w:r>
        <w:rPr>
          <w:rFonts w:hint="eastAsia" w:ascii="黑体" w:eastAsia="黑体"/>
          <w:szCs w:val="20"/>
          <w:highlight w:val="none"/>
          <w:lang w:val="en-US" w:eastAsia="zh-CN"/>
        </w:rPr>
        <w:t>3</w:t>
      </w:r>
      <w:r>
        <w:rPr>
          <w:rFonts w:hint="eastAsia" w:ascii="黑体" w:eastAsia="黑体"/>
          <w:szCs w:val="20"/>
          <w:highlight w:val="none"/>
        </w:rPr>
        <w:t>.</w:t>
      </w:r>
      <w:r>
        <w:rPr>
          <w:rFonts w:hint="eastAsia" w:ascii="黑体" w:eastAsia="黑体"/>
          <w:szCs w:val="20"/>
          <w:highlight w:val="none"/>
          <w:lang w:val="en-US" w:eastAsia="zh-CN"/>
        </w:rPr>
        <w:t>2</w:t>
      </w:r>
      <w:r>
        <w:rPr>
          <w:szCs w:val="21"/>
          <w:highlight w:val="none"/>
        </w:rPr>
        <w:t xml:space="preserve"> </w:t>
      </w:r>
      <w:r>
        <w:rPr>
          <w:rFonts w:hint="eastAsia"/>
          <w:szCs w:val="21"/>
          <w:highlight w:val="none"/>
        </w:rPr>
        <w:t>监测站密度应满足《地下水监测工程技术</w:t>
      </w:r>
      <w:r>
        <w:rPr>
          <w:rFonts w:hint="eastAsia"/>
          <w:szCs w:val="21"/>
          <w:highlight w:val="none"/>
          <w:lang w:val="en-US" w:eastAsia="zh-CN"/>
        </w:rPr>
        <w:t>规范</w:t>
      </w:r>
      <w:r>
        <w:rPr>
          <w:rFonts w:hint="eastAsia"/>
          <w:szCs w:val="21"/>
          <w:highlight w:val="none"/>
        </w:rPr>
        <w:t>》GB</w:t>
      </w:r>
      <w:r>
        <w:rPr>
          <w:rFonts w:hint="eastAsia"/>
          <w:szCs w:val="21"/>
          <w:highlight w:val="none"/>
          <w:lang w:val="en-US" w:eastAsia="zh-CN"/>
        </w:rPr>
        <w:t xml:space="preserve">/T </w:t>
      </w:r>
      <w:r>
        <w:rPr>
          <w:rFonts w:hint="eastAsia"/>
          <w:szCs w:val="21"/>
          <w:highlight w:val="none"/>
        </w:rPr>
        <w:t>51040</w:t>
      </w:r>
      <w:r>
        <w:rPr>
          <w:rFonts w:hint="eastAsia"/>
          <w:szCs w:val="21"/>
          <w:highlight w:val="none"/>
          <w:lang w:val="en-US" w:eastAsia="zh-CN"/>
        </w:rPr>
        <w:t>-2014</w:t>
      </w:r>
      <w:r>
        <w:rPr>
          <w:rFonts w:hint="eastAsia"/>
          <w:szCs w:val="21"/>
          <w:highlight w:val="none"/>
        </w:rPr>
        <w:t>的要求</w:t>
      </w:r>
      <w:r>
        <w:rPr>
          <w:rFonts w:hint="eastAsia"/>
          <w:highlight w:val="none"/>
          <w:lang w:eastAsia="zh-CN"/>
        </w:rPr>
        <w:t>，</w:t>
      </w:r>
      <w:r>
        <w:rPr>
          <w:rFonts w:hint="eastAsia"/>
          <w:highlight w:val="none"/>
        </w:rPr>
        <w:t>且分布较均匀</w:t>
      </w:r>
      <w:r>
        <w:rPr>
          <w:rFonts w:hint="eastAsia"/>
          <w:highlight w:val="none"/>
          <w:lang w:eastAsia="zh-CN"/>
        </w:rPr>
        <w:t>，</w:t>
      </w:r>
      <w:r>
        <w:rPr>
          <w:rFonts w:hint="eastAsia"/>
          <w:highlight w:val="none"/>
        </w:rPr>
        <w:t>基本能够代表</w:t>
      </w:r>
      <w:r>
        <w:rPr>
          <w:rFonts w:hint="eastAsia"/>
          <w:highlight w:val="none"/>
          <w:lang w:val="en-US" w:eastAsia="zh-CN"/>
        </w:rPr>
        <w:t>评估区</w:t>
      </w:r>
      <w:r>
        <w:rPr>
          <w:rFonts w:hint="eastAsia"/>
          <w:highlight w:val="none"/>
        </w:rPr>
        <w:t>内地下水水位/埋深整体情况。应尽可能选用具有长系列监测资料的专用监测站</w:t>
      </w:r>
      <w:r>
        <w:rPr>
          <w:rFonts w:hint="eastAsia"/>
          <w:highlight w:val="none"/>
          <w:lang w:eastAsia="zh-CN"/>
        </w:rPr>
        <w:t>，如不能满足精度要求，宜选择具有典型年水位监测资料的生产井代替，并在报告中予以说明。</w:t>
      </w:r>
    </w:p>
    <w:p>
      <w:pPr>
        <w:pageBreakBefore w:val="0"/>
        <w:widowControl w:val="0"/>
        <w:kinsoku/>
        <w:wordWrap/>
        <w:overflowPunct/>
        <w:topLinePunct w:val="0"/>
        <w:autoSpaceDE w:val="0"/>
        <w:autoSpaceDN w:val="0"/>
        <w:bidi w:val="0"/>
        <w:adjustRightInd w:val="0"/>
        <w:snapToGrid w:val="0"/>
        <w:spacing w:line="360" w:lineRule="auto"/>
        <w:ind w:firstLine="0"/>
        <w:jc w:val="left"/>
        <w:textAlignment w:val="auto"/>
        <w:rPr>
          <w:rFonts w:hint="eastAsia"/>
          <w:szCs w:val="21"/>
          <w:highlight w:val="none"/>
          <w:lang w:eastAsia="zh-CN"/>
        </w:rPr>
      </w:pPr>
      <w:r>
        <w:rPr>
          <w:rFonts w:hint="eastAsia" w:ascii="黑体" w:eastAsia="黑体"/>
          <w:szCs w:val="20"/>
          <w:highlight w:val="none"/>
          <w:lang w:val="en-US" w:eastAsia="zh-CN"/>
        </w:rPr>
        <w:t>5.3</w:t>
      </w:r>
      <w:r>
        <w:rPr>
          <w:rFonts w:hint="eastAsia" w:ascii="黑体" w:eastAsia="黑体"/>
          <w:szCs w:val="20"/>
          <w:highlight w:val="none"/>
        </w:rPr>
        <w:t>.</w:t>
      </w:r>
      <w:r>
        <w:rPr>
          <w:rFonts w:hint="eastAsia" w:ascii="黑体" w:eastAsia="黑体"/>
          <w:szCs w:val="20"/>
          <w:highlight w:val="none"/>
          <w:lang w:val="en-US" w:eastAsia="zh-CN"/>
        </w:rPr>
        <w:t>3</w:t>
      </w:r>
      <w:r>
        <w:rPr>
          <w:rFonts w:hint="eastAsia" w:ascii="黑体" w:eastAsia="黑体"/>
          <w:szCs w:val="20"/>
          <w:highlight w:val="none"/>
        </w:rPr>
        <w:t>.</w:t>
      </w:r>
      <w:r>
        <w:rPr>
          <w:rFonts w:hint="eastAsia" w:ascii="黑体" w:eastAsia="黑体"/>
          <w:szCs w:val="20"/>
          <w:highlight w:val="none"/>
          <w:lang w:val="en-US" w:eastAsia="zh-CN"/>
        </w:rPr>
        <w:t>3</w:t>
      </w:r>
      <w:r>
        <w:rPr>
          <w:szCs w:val="21"/>
          <w:highlight w:val="none"/>
        </w:rPr>
        <w:t xml:space="preserve"> </w:t>
      </w:r>
      <w:r>
        <w:rPr>
          <w:rFonts w:hint="eastAsia"/>
          <w:szCs w:val="21"/>
          <w:highlight w:val="none"/>
        </w:rPr>
        <w:t>应根据同一监测站在评价期初和评价期末相同监测时段的水位值</w:t>
      </w:r>
      <w:r>
        <w:rPr>
          <w:rFonts w:hint="eastAsia"/>
          <w:szCs w:val="21"/>
          <w:highlight w:val="none"/>
          <w:lang w:eastAsia="zh-CN"/>
        </w:rPr>
        <w:t>，</w:t>
      </w:r>
      <w:r>
        <w:rPr>
          <w:rFonts w:hint="eastAsia"/>
          <w:szCs w:val="21"/>
          <w:highlight w:val="none"/>
        </w:rPr>
        <w:t>计算评价期水位变化速率。如果评价期初和评价期末水平年不一致，应将地下水位折算为平水年对应</w:t>
      </w:r>
      <w:r>
        <w:rPr>
          <w:rFonts w:hint="eastAsia"/>
          <w:szCs w:val="21"/>
          <w:highlight w:val="none"/>
          <w:lang w:val="en-US" w:eastAsia="zh-CN"/>
        </w:rPr>
        <w:t>的地</w:t>
      </w:r>
      <w:r>
        <w:rPr>
          <w:rFonts w:hint="eastAsia"/>
          <w:szCs w:val="21"/>
          <w:highlight w:val="none"/>
        </w:rPr>
        <w:t>下水位。具体计算方法见附录B</w:t>
      </w:r>
      <w:r>
        <w:rPr>
          <w:rFonts w:hint="eastAsia"/>
          <w:szCs w:val="21"/>
          <w:highlight w:val="none"/>
          <w:lang w:val="en-US" w:eastAsia="zh-CN"/>
        </w:rPr>
        <w:t>.2</w:t>
      </w:r>
      <w:r>
        <w:rPr>
          <w:rFonts w:hint="eastAsia"/>
          <w:szCs w:val="21"/>
          <w:highlight w:val="none"/>
        </w:rPr>
        <w:t>。各监测站地下水水位年均变化速率可按式</w:t>
      </w:r>
      <w:r>
        <w:rPr>
          <w:rFonts w:hint="eastAsia"/>
          <w:szCs w:val="21"/>
          <w:highlight w:val="none"/>
          <w:lang w:eastAsia="zh-CN"/>
        </w:rPr>
        <w:t>（</w:t>
      </w:r>
      <w:r>
        <w:rPr>
          <w:rFonts w:hint="eastAsia"/>
          <w:szCs w:val="21"/>
          <w:highlight w:val="none"/>
          <w:lang w:val="en-US" w:eastAsia="zh-CN"/>
        </w:rPr>
        <w:t>5</w:t>
      </w:r>
      <w:r>
        <w:rPr>
          <w:rFonts w:hint="eastAsia"/>
          <w:szCs w:val="21"/>
          <w:highlight w:val="none"/>
          <w:lang w:eastAsia="zh-CN"/>
        </w:rPr>
        <w:t>）</w:t>
      </w:r>
      <w:r>
        <w:rPr>
          <w:rFonts w:hint="eastAsia"/>
          <w:szCs w:val="21"/>
          <w:highlight w:val="none"/>
        </w:rPr>
        <w:t>计算</w:t>
      </w:r>
      <w:r>
        <w:rPr>
          <w:rFonts w:hint="eastAsia"/>
          <w:szCs w:val="21"/>
          <w:highlight w:val="none"/>
          <w:lang w:eastAsia="zh-CN"/>
        </w:rPr>
        <w:t>：</w:t>
      </w:r>
    </w:p>
    <w:p>
      <w:pPr>
        <w:pageBreakBefore w:val="0"/>
        <w:widowControl w:val="0"/>
        <w:kinsoku/>
        <w:wordWrap/>
        <w:overflowPunct/>
        <w:topLinePunct w:val="0"/>
        <w:bidi w:val="0"/>
        <w:adjustRightInd w:val="0"/>
        <w:snapToGrid w:val="0"/>
        <w:spacing w:line="360" w:lineRule="auto"/>
        <w:jc w:val="right"/>
        <w:textAlignment w:val="auto"/>
        <w:rPr>
          <w:bCs/>
          <w:szCs w:val="21"/>
          <w:highlight w:val="none"/>
        </w:rPr>
      </w:pPr>
      <m:oMath>
        <m:r>
          <m:rPr/>
          <w:rPr>
            <w:rFonts w:ascii="Cambria Math" w:hAnsi="Cambria Math"/>
            <w:sz w:val="24"/>
            <w:szCs w:val="32"/>
            <w:highlight w:val="none"/>
          </w:rPr>
          <m:t>v=</m:t>
        </m:r>
        <m:f>
          <m:fPr>
            <m:ctrlPr>
              <w:rPr>
                <w:rFonts w:ascii="Cambria Math" w:hAnsi="Cambria Math"/>
                <w:i/>
                <w:sz w:val="24"/>
                <w:szCs w:val="32"/>
                <w:highlight w:val="none"/>
              </w:rPr>
            </m:ctrlPr>
          </m:fPr>
          <m:num>
            <m:sSub>
              <m:sSubPr>
                <m:ctrlPr>
                  <w:rPr>
                    <w:rFonts w:ascii="Cambria Math" w:hAnsi="Cambria Math"/>
                    <w:i/>
                    <w:sz w:val="24"/>
                    <w:szCs w:val="32"/>
                    <w:highlight w:val="none"/>
                  </w:rPr>
                </m:ctrlPr>
              </m:sSubPr>
              <m:e>
                <m:r>
                  <m:rPr/>
                  <w:rPr>
                    <w:rFonts w:ascii="Cambria Math" w:hAnsi="Cambria Math"/>
                    <w:sz w:val="24"/>
                    <w:szCs w:val="32"/>
                    <w:highlight w:val="none"/>
                  </w:rPr>
                  <m:t>H</m:t>
                </m:r>
                <m:ctrlPr>
                  <w:rPr>
                    <w:rFonts w:ascii="Cambria Math" w:hAnsi="Cambria Math"/>
                    <w:i/>
                    <w:sz w:val="24"/>
                    <w:szCs w:val="32"/>
                    <w:highlight w:val="none"/>
                  </w:rPr>
                </m:ctrlPr>
              </m:e>
              <m:sub>
                <m:r>
                  <m:rPr/>
                  <w:rPr>
                    <w:rFonts w:ascii="Cambria Math" w:hAnsi="Cambria Math"/>
                    <w:sz w:val="24"/>
                    <w:szCs w:val="32"/>
                    <w:highlight w:val="none"/>
                  </w:rPr>
                  <m:t>1</m:t>
                </m:r>
                <m:ctrlPr>
                  <w:rPr>
                    <w:rFonts w:ascii="Cambria Math" w:hAnsi="Cambria Math"/>
                    <w:i/>
                    <w:sz w:val="24"/>
                    <w:szCs w:val="32"/>
                    <w:highlight w:val="none"/>
                  </w:rPr>
                </m:ctrlPr>
              </m:sub>
            </m:sSub>
            <m:r>
              <m:rPr/>
              <w:rPr>
                <w:rFonts w:ascii="Cambria Math" w:hAnsi="Cambria Math"/>
                <w:sz w:val="24"/>
                <w:szCs w:val="32"/>
                <w:highlight w:val="none"/>
              </w:rPr>
              <m:t>−</m:t>
            </m:r>
            <m:sSub>
              <m:sSubPr>
                <m:ctrlPr>
                  <w:rPr>
                    <w:rFonts w:ascii="Cambria Math" w:hAnsi="Cambria Math"/>
                    <w:i/>
                    <w:sz w:val="24"/>
                    <w:szCs w:val="32"/>
                    <w:highlight w:val="none"/>
                  </w:rPr>
                </m:ctrlPr>
              </m:sSubPr>
              <m:e>
                <m:r>
                  <m:rPr/>
                  <w:rPr>
                    <w:rFonts w:ascii="Cambria Math" w:hAnsi="Cambria Math"/>
                    <w:sz w:val="24"/>
                    <w:szCs w:val="32"/>
                    <w:highlight w:val="none"/>
                  </w:rPr>
                  <m:t>H</m:t>
                </m:r>
                <m:ctrlPr>
                  <w:rPr>
                    <w:rFonts w:ascii="Cambria Math" w:hAnsi="Cambria Math"/>
                    <w:i/>
                    <w:sz w:val="24"/>
                    <w:szCs w:val="32"/>
                    <w:highlight w:val="none"/>
                  </w:rPr>
                </m:ctrlPr>
              </m:e>
              <m:sub>
                <m:r>
                  <m:rPr/>
                  <w:rPr>
                    <w:rFonts w:ascii="Cambria Math" w:hAnsi="Cambria Math"/>
                    <w:sz w:val="24"/>
                    <w:szCs w:val="32"/>
                    <w:highlight w:val="none"/>
                  </w:rPr>
                  <m:t>2</m:t>
                </m:r>
                <m:ctrlPr>
                  <w:rPr>
                    <w:rFonts w:ascii="Cambria Math" w:hAnsi="Cambria Math"/>
                    <w:i/>
                    <w:sz w:val="24"/>
                    <w:szCs w:val="32"/>
                    <w:highlight w:val="none"/>
                  </w:rPr>
                </m:ctrlPr>
              </m:sub>
            </m:sSub>
            <m:ctrlPr>
              <w:rPr>
                <w:rFonts w:ascii="Cambria Math" w:hAnsi="Cambria Math"/>
                <w:i/>
                <w:sz w:val="24"/>
                <w:szCs w:val="32"/>
                <w:highlight w:val="none"/>
              </w:rPr>
            </m:ctrlPr>
          </m:num>
          <m:den>
            <m:r>
              <m:rPr/>
              <w:rPr>
                <w:rFonts w:ascii="Cambria Math" w:hAnsi="Cambria Math"/>
                <w:sz w:val="24"/>
                <w:szCs w:val="32"/>
                <w:highlight w:val="none"/>
              </w:rPr>
              <m:t>∆t</m:t>
            </m:r>
            <m:ctrlPr>
              <w:rPr>
                <w:rFonts w:ascii="Cambria Math" w:hAnsi="Cambria Math"/>
                <w:i/>
                <w:sz w:val="24"/>
                <w:szCs w:val="32"/>
                <w:highlight w:val="none"/>
              </w:rPr>
            </m:ctrlPr>
          </m:den>
        </m:f>
      </m:oMath>
      <w:r>
        <w:rPr>
          <w:b/>
          <w:bCs/>
          <w:szCs w:val="21"/>
          <w:highlight w:val="none"/>
        </w:rPr>
        <w:t>…………………………………………</w:t>
      </w:r>
      <w:r>
        <w:rPr>
          <w:rFonts w:hint="eastAsia"/>
          <w:bCs/>
          <w:szCs w:val="21"/>
          <w:highlight w:val="none"/>
        </w:rPr>
        <w:t>（</w:t>
      </w:r>
      <w:r>
        <w:rPr>
          <w:rFonts w:hint="eastAsia"/>
          <w:bCs/>
          <w:szCs w:val="21"/>
          <w:highlight w:val="none"/>
          <w:lang w:val="en-US" w:eastAsia="zh-CN"/>
        </w:rPr>
        <w:t>5</w:t>
      </w:r>
      <w:r>
        <w:rPr>
          <w:rFonts w:hint="eastAsia"/>
          <w:bCs/>
          <w:szCs w:val="21"/>
          <w:highlight w:val="none"/>
        </w:rPr>
        <w:t>）</w:t>
      </w:r>
    </w:p>
    <w:p>
      <w:pPr>
        <w:pageBreakBefore w:val="0"/>
        <w:widowControl w:val="0"/>
        <w:kinsoku/>
        <w:wordWrap/>
        <w:overflowPunct/>
        <w:topLinePunct w:val="0"/>
        <w:bidi w:val="0"/>
        <w:adjustRightInd w:val="0"/>
        <w:snapToGrid w:val="0"/>
        <w:spacing w:line="360" w:lineRule="auto"/>
        <w:ind w:firstLine="420" w:firstLineChars="200"/>
        <w:jc w:val="left"/>
        <w:textAlignment w:val="auto"/>
        <w:rPr>
          <w:bCs/>
          <w:szCs w:val="21"/>
          <w:highlight w:val="none"/>
        </w:rPr>
      </w:pPr>
      <w:r>
        <w:rPr>
          <w:rFonts w:hint="eastAsia"/>
          <w:bCs/>
          <w:szCs w:val="21"/>
          <w:highlight w:val="none"/>
        </w:rPr>
        <w:t>式中</w:t>
      </w:r>
      <w:r>
        <w:rPr>
          <w:bCs/>
          <w:szCs w:val="21"/>
          <w:highlight w:val="none"/>
        </w:rPr>
        <w:t>：</w:t>
      </w:r>
    </w:p>
    <w:p>
      <w:pPr>
        <w:pageBreakBefore w:val="0"/>
        <w:widowControl w:val="0"/>
        <w:kinsoku/>
        <w:wordWrap/>
        <w:overflowPunct/>
        <w:topLinePunct w:val="0"/>
        <w:bidi w:val="0"/>
        <w:adjustRightInd w:val="0"/>
        <w:snapToGrid w:val="0"/>
        <w:spacing w:line="360" w:lineRule="auto"/>
        <w:ind w:firstLine="480" w:firstLineChars="200"/>
        <w:jc w:val="left"/>
        <w:textAlignment w:val="auto"/>
        <w:rPr>
          <w:bCs/>
          <w:szCs w:val="21"/>
          <w:highlight w:val="none"/>
        </w:rPr>
      </w:pPr>
      <m:oMath>
        <m:r>
          <m:rPr/>
          <w:rPr>
            <w:rFonts w:ascii="Cambria Math" w:hAnsi="Cambria Math"/>
            <w:sz w:val="24"/>
            <w:szCs w:val="32"/>
            <w:highlight w:val="none"/>
          </w:rPr>
          <m:t>v</m:t>
        </m:r>
      </m:oMath>
      <w:r>
        <w:rPr>
          <w:rFonts w:hint="eastAsia"/>
          <w:bCs/>
          <w:szCs w:val="21"/>
          <w:highlight w:val="none"/>
        </w:rPr>
        <w:t>——地下水水位年均下降速率（m/a）；</w:t>
      </w:r>
    </w:p>
    <w:p>
      <w:pPr>
        <w:pageBreakBefore w:val="0"/>
        <w:widowControl w:val="0"/>
        <w:kinsoku/>
        <w:wordWrap/>
        <w:overflowPunct/>
        <w:topLinePunct w:val="0"/>
        <w:bidi w:val="0"/>
        <w:adjustRightInd w:val="0"/>
        <w:snapToGrid w:val="0"/>
        <w:spacing w:line="360" w:lineRule="auto"/>
        <w:ind w:firstLine="480" w:firstLineChars="200"/>
        <w:jc w:val="left"/>
        <w:textAlignment w:val="auto"/>
        <w:rPr>
          <w:bCs/>
          <w:szCs w:val="21"/>
          <w:highlight w:val="none"/>
        </w:rPr>
      </w:pPr>
      <m:oMath>
        <m:sSub>
          <m:sSubPr>
            <m:ctrlPr>
              <w:rPr>
                <w:rFonts w:ascii="Cambria Math" w:hAnsi="Cambria Math"/>
                <w:i/>
                <w:sz w:val="24"/>
                <w:szCs w:val="32"/>
                <w:highlight w:val="none"/>
              </w:rPr>
            </m:ctrlPr>
          </m:sSubPr>
          <m:e>
            <m:r>
              <m:rPr/>
              <w:rPr>
                <w:rFonts w:ascii="Cambria Math" w:hAnsi="Cambria Math"/>
                <w:sz w:val="24"/>
                <w:szCs w:val="32"/>
                <w:highlight w:val="none"/>
              </w:rPr>
              <m:t>H</m:t>
            </m:r>
            <m:ctrlPr>
              <w:rPr>
                <w:rFonts w:ascii="Cambria Math" w:hAnsi="Cambria Math"/>
                <w:i/>
                <w:sz w:val="24"/>
                <w:szCs w:val="32"/>
                <w:highlight w:val="none"/>
              </w:rPr>
            </m:ctrlPr>
          </m:e>
          <m:sub>
            <m:r>
              <m:rPr/>
              <w:rPr>
                <w:rFonts w:ascii="Cambria Math" w:hAnsi="Cambria Math"/>
                <w:sz w:val="24"/>
                <w:szCs w:val="32"/>
                <w:highlight w:val="none"/>
              </w:rPr>
              <m:t>1</m:t>
            </m:r>
            <m:ctrlPr>
              <w:rPr>
                <w:rFonts w:ascii="Cambria Math" w:hAnsi="Cambria Math"/>
                <w:i/>
                <w:sz w:val="24"/>
                <w:szCs w:val="32"/>
                <w:highlight w:val="none"/>
              </w:rPr>
            </m:ctrlPr>
          </m:sub>
        </m:sSub>
      </m:oMath>
      <w:r>
        <w:rPr>
          <w:rFonts w:hint="eastAsia"/>
          <w:bCs/>
          <w:szCs w:val="21"/>
          <w:highlight w:val="none"/>
        </w:rPr>
        <w:t>——评价期末地下水水位（m）；</w:t>
      </w:r>
    </w:p>
    <w:p>
      <w:pPr>
        <w:pageBreakBefore w:val="0"/>
        <w:widowControl w:val="0"/>
        <w:kinsoku/>
        <w:wordWrap/>
        <w:overflowPunct/>
        <w:topLinePunct w:val="0"/>
        <w:bidi w:val="0"/>
        <w:adjustRightInd w:val="0"/>
        <w:snapToGrid w:val="0"/>
        <w:spacing w:line="360" w:lineRule="auto"/>
        <w:ind w:firstLine="480" w:firstLineChars="200"/>
        <w:jc w:val="left"/>
        <w:textAlignment w:val="auto"/>
        <w:rPr>
          <w:bCs/>
          <w:szCs w:val="21"/>
          <w:highlight w:val="none"/>
        </w:rPr>
      </w:pPr>
      <m:oMath>
        <m:sSub>
          <m:sSubPr>
            <m:ctrlPr>
              <w:rPr>
                <w:rFonts w:ascii="Cambria Math" w:hAnsi="Cambria Math"/>
                <w:i/>
                <w:sz w:val="24"/>
                <w:szCs w:val="32"/>
                <w:highlight w:val="none"/>
              </w:rPr>
            </m:ctrlPr>
          </m:sSubPr>
          <m:e>
            <m:r>
              <m:rPr/>
              <w:rPr>
                <w:rFonts w:ascii="Cambria Math" w:hAnsi="Cambria Math"/>
                <w:sz w:val="24"/>
                <w:szCs w:val="32"/>
                <w:highlight w:val="none"/>
              </w:rPr>
              <m:t>H</m:t>
            </m:r>
            <m:ctrlPr>
              <w:rPr>
                <w:rFonts w:ascii="Cambria Math" w:hAnsi="Cambria Math"/>
                <w:i/>
                <w:sz w:val="24"/>
                <w:szCs w:val="32"/>
                <w:highlight w:val="none"/>
              </w:rPr>
            </m:ctrlPr>
          </m:e>
          <m:sub>
            <m:r>
              <m:rPr/>
              <w:rPr>
                <w:rFonts w:ascii="Cambria Math" w:hAnsi="Cambria Math"/>
                <w:sz w:val="24"/>
                <w:szCs w:val="32"/>
                <w:highlight w:val="none"/>
              </w:rPr>
              <m:t>2</m:t>
            </m:r>
            <m:ctrlPr>
              <w:rPr>
                <w:rFonts w:ascii="Cambria Math" w:hAnsi="Cambria Math"/>
                <w:i/>
                <w:sz w:val="24"/>
                <w:szCs w:val="32"/>
                <w:highlight w:val="none"/>
              </w:rPr>
            </m:ctrlPr>
          </m:sub>
        </m:sSub>
      </m:oMath>
      <w:r>
        <w:rPr>
          <w:rFonts w:hint="eastAsia"/>
          <w:bCs/>
          <w:szCs w:val="21"/>
          <w:highlight w:val="none"/>
        </w:rPr>
        <w:t>——评价期初地下水水位（m）；</w:t>
      </w:r>
    </w:p>
    <w:p>
      <w:pPr>
        <w:pageBreakBefore w:val="0"/>
        <w:widowControl w:val="0"/>
        <w:kinsoku/>
        <w:wordWrap/>
        <w:overflowPunct/>
        <w:topLinePunct w:val="0"/>
        <w:bidi w:val="0"/>
        <w:adjustRightInd w:val="0"/>
        <w:snapToGrid w:val="0"/>
        <w:spacing w:line="360" w:lineRule="auto"/>
        <w:ind w:firstLine="480" w:firstLineChars="200"/>
        <w:jc w:val="left"/>
        <w:textAlignment w:val="auto"/>
        <w:rPr>
          <w:bCs/>
          <w:szCs w:val="21"/>
          <w:highlight w:val="none"/>
        </w:rPr>
      </w:pPr>
      <m:oMath>
        <m:r>
          <m:rPr/>
          <w:rPr>
            <w:rFonts w:ascii="Cambria Math" w:hAnsi="Cambria Math"/>
            <w:sz w:val="24"/>
            <w:szCs w:val="32"/>
            <w:highlight w:val="none"/>
          </w:rPr>
          <m:t>∆t</m:t>
        </m:r>
      </m:oMath>
      <w:r>
        <w:rPr>
          <w:rFonts w:hint="eastAsia"/>
          <w:bCs/>
          <w:szCs w:val="21"/>
          <w:highlight w:val="none"/>
        </w:rPr>
        <w:t>——评价期时间段长度</w:t>
      </w:r>
      <w:r>
        <w:rPr>
          <w:bCs/>
          <w:szCs w:val="21"/>
          <w:highlight w:val="none"/>
        </w:rPr>
        <w:t>（</w:t>
      </w:r>
      <w:r>
        <w:rPr>
          <w:rFonts w:hint="eastAsia"/>
          <w:bCs/>
          <w:szCs w:val="21"/>
          <w:highlight w:val="none"/>
        </w:rPr>
        <w:t>a</w:t>
      </w:r>
      <w:r>
        <w:rPr>
          <w:bCs/>
          <w:szCs w:val="21"/>
          <w:highlight w:val="none"/>
        </w:rPr>
        <w:t>）</w:t>
      </w:r>
      <w:r>
        <w:rPr>
          <w:rFonts w:hint="eastAsia"/>
          <w:szCs w:val="21"/>
          <w:highlight w:val="none"/>
        </w:rPr>
        <w:t>。</w:t>
      </w:r>
    </w:p>
    <w:p>
      <w:pPr>
        <w:pageBreakBefore w:val="0"/>
        <w:widowControl w:val="0"/>
        <w:kinsoku/>
        <w:wordWrap/>
        <w:overflowPunct/>
        <w:topLinePunct w:val="0"/>
        <w:bidi w:val="0"/>
        <w:adjustRightInd w:val="0"/>
        <w:snapToGrid w:val="0"/>
        <w:spacing w:line="360" w:lineRule="auto"/>
        <w:textAlignment w:val="auto"/>
        <w:outlineLvl w:val="2"/>
        <w:rPr>
          <w:rFonts w:ascii="黑体" w:eastAsia="黑体"/>
          <w:highlight w:val="none"/>
        </w:rPr>
      </w:pPr>
      <w:r>
        <w:rPr>
          <w:rFonts w:hint="eastAsia" w:ascii="黑体" w:eastAsia="黑体"/>
          <w:szCs w:val="20"/>
          <w:highlight w:val="none"/>
          <w:lang w:val="en-US" w:eastAsia="zh-CN"/>
        </w:rPr>
        <w:t>5.3</w:t>
      </w:r>
      <w:r>
        <w:rPr>
          <w:rFonts w:hint="eastAsia" w:ascii="黑体" w:eastAsia="黑体"/>
          <w:szCs w:val="20"/>
          <w:highlight w:val="none"/>
        </w:rPr>
        <w:t>.</w:t>
      </w:r>
      <w:r>
        <w:rPr>
          <w:rFonts w:hint="eastAsia" w:ascii="黑体" w:eastAsia="黑体"/>
          <w:szCs w:val="20"/>
          <w:highlight w:val="none"/>
          <w:lang w:val="en-US" w:eastAsia="zh-CN"/>
        </w:rPr>
        <w:t>4</w:t>
      </w:r>
      <w:r>
        <w:rPr>
          <w:rFonts w:hint="eastAsia" w:ascii="黑体" w:eastAsia="黑体"/>
          <w:highlight w:val="none"/>
        </w:rPr>
        <w:t xml:space="preserve"> 地下水开采系数</w:t>
      </w:r>
    </w:p>
    <w:p>
      <w:pPr>
        <w:pageBreakBefore w:val="0"/>
        <w:widowControl w:val="0"/>
        <w:kinsoku/>
        <w:wordWrap/>
        <w:overflowPunct/>
        <w:topLinePunct w:val="0"/>
        <w:autoSpaceDE w:val="0"/>
        <w:autoSpaceDN w:val="0"/>
        <w:bidi w:val="0"/>
        <w:adjustRightInd w:val="0"/>
        <w:snapToGrid w:val="0"/>
        <w:spacing w:line="360" w:lineRule="auto"/>
        <w:jc w:val="left"/>
        <w:textAlignment w:val="auto"/>
        <w:rPr>
          <w:szCs w:val="21"/>
          <w:highlight w:val="none"/>
        </w:rPr>
      </w:pPr>
      <w:r>
        <w:rPr>
          <w:rFonts w:hint="eastAsia" w:ascii="黑体" w:eastAsia="黑体"/>
          <w:szCs w:val="20"/>
          <w:highlight w:val="none"/>
          <w:lang w:val="en-US" w:eastAsia="zh-CN"/>
        </w:rPr>
        <w:t>5.3</w:t>
      </w:r>
      <w:r>
        <w:rPr>
          <w:rFonts w:hint="eastAsia" w:ascii="黑体" w:eastAsia="黑体"/>
          <w:szCs w:val="20"/>
          <w:highlight w:val="none"/>
        </w:rPr>
        <w:t>.</w:t>
      </w:r>
      <w:r>
        <w:rPr>
          <w:rFonts w:hint="eastAsia" w:ascii="黑体" w:eastAsia="黑体"/>
          <w:szCs w:val="20"/>
          <w:highlight w:val="none"/>
          <w:lang w:val="en-US" w:eastAsia="zh-CN"/>
        </w:rPr>
        <w:t>4</w:t>
      </w:r>
      <w:r>
        <w:rPr>
          <w:rFonts w:hint="eastAsia" w:ascii="黑体" w:eastAsia="黑体"/>
          <w:szCs w:val="20"/>
          <w:highlight w:val="none"/>
        </w:rPr>
        <w:t>.1</w:t>
      </w:r>
      <w:r>
        <w:rPr>
          <w:szCs w:val="21"/>
          <w:highlight w:val="none"/>
        </w:rPr>
        <w:t xml:space="preserve"> 以</w:t>
      </w:r>
      <w:r>
        <w:rPr>
          <w:rFonts w:hint="eastAsia"/>
          <w:szCs w:val="21"/>
          <w:highlight w:val="none"/>
          <w:lang w:eastAsia="zh-CN"/>
        </w:rPr>
        <w:t>最新（或最近）水资源调查评价成果</w:t>
      </w:r>
      <w:r>
        <w:rPr>
          <w:szCs w:val="21"/>
          <w:highlight w:val="none"/>
        </w:rPr>
        <w:t>为依据确定地下水可开采量</w:t>
      </w:r>
      <w:r>
        <w:rPr>
          <w:rFonts w:hint="eastAsia"/>
          <w:szCs w:val="21"/>
          <w:highlight w:val="none"/>
        </w:rPr>
        <w:t>，</w:t>
      </w:r>
      <w:r>
        <w:rPr>
          <w:szCs w:val="21"/>
          <w:highlight w:val="none"/>
        </w:rPr>
        <w:t>评价期内发生重大变化的可依据GB 50027进行补充计算。</w:t>
      </w:r>
    </w:p>
    <w:p>
      <w:pPr>
        <w:pageBreakBefore w:val="0"/>
        <w:widowControl w:val="0"/>
        <w:kinsoku/>
        <w:wordWrap/>
        <w:overflowPunct/>
        <w:topLinePunct w:val="0"/>
        <w:autoSpaceDE w:val="0"/>
        <w:autoSpaceDN w:val="0"/>
        <w:bidi w:val="0"/>
        <w:adjustRightInd w:val="0"/>
        <w:snapToGrid w:val="0"/>
        <w:spacing w:line="360" w:lineRule="auto"/>
        <w:jc w:val="left"/>
        <w:textAlignment w:val="auto"/>
        <w:rPr>
          <w:rFonts w:hint="eastAsia"/>
          <w:szCs w:val="21"/>
          <w:highlight w:val="none"/>
        </w:rPr>
      </w:pPr>
      <w:r>
        <w:rPr>
          <w:rFonts w:hint="eastAsia" w:ascii="黑体" w:eastAsia="黑体"/>
          <w:szCs w:val="20"/>
          <w:highlight w:val="none"/>
          <w:lang w:val="en-US" w:eastAsia="zh-CN"/>
        </w:rPr>
        <w:t>5.3</w:t>
      </w:r>
      <w:r>
        <w:rPr>
          <w:rFonts w:hint="eastAsia" w:ascii="黑体" w:eastAsia="黑体"/>
          <w:szCs w:val="20"/>
          <w:highlight w:val="none"/>
        </w:rPr>
        <w:t>.</w:t>
      </w:r>
      <w:r>
        <w:rPr>
          <w:rFonts w:hint="eastAsia" w:ascii="黑体" w:eastAsia="黑体"/>
          <w:szCs w:val="20"/>
          <w:highlight w:val="none"/>
          <w:lang w:val="en-US" w:eastAsia="zh-CN"/>
        </w:rPr>
        <w:t>4</w:t>
      </w:r>
      <w:r>
        <w:rPr>
          <w:rFonts w:hint="eastAsia" w:ascii="黑体" w:eastAsia="黑体"/>
          <w:szCs w:val="20"/>
          <w:highlight w:val="none"/>
        </w:rPr>
        <w:t>.</w:t>
      </w:r>
      <w:r>
        <w:rPr>
          <w:rFonts w:hint="eastAsia" w:ascii="黑体" w:eastAsia="黑体"/>
          <w:szCs w:val="20"/>
          <w:highlight w:val="none"/>
          <w:lang w:val="en-US" w:eastAsia="zh-CN"/>
        </w:rPr>
        <w:t>2</w:t>
      </w:r>
      <w:r>
        <w:rPr>
          <w:szCs w:val="21"/>
          <w:highlight w:val="none"/>
        </w:rPr>
        <w:t xml:space="preserve"> </w:t>
      </w:r>
      <w:r>
        <w:rPr>
          <w:rFonts w:hint="eastAsia"/>
          <w:szCs w:val="21"/>
          <w:highlight w:val="none"/>
        </w:rPr>
        <w:t>对于实施地下水超采综合治理以来地下水开采量变化趋势呈基本稳定或波动稳定情况的，可按照评价期地下水开采量平均值作为评价水平年地下水开采量；对于地下水开采量变化趋势呈持续增加或减少情况的，应考虑来水丰枯变化，采用评价期近3</w:t>
      </w:r>
      <w:r>
        <w:rPr>
          <w:rFonts w:hint="eastAsia"/>
          <w:szCs w:val="21"/>
          <w:highlight w:val="none"/>
          <w:lang w:val="en-US" w:eastAsia="zh-CN"/>
        </w:rPr>
        <w:t>~5</w:t>
      </w:r>
      <w:r>
        <w:rPr>
          <w:rFonts w:hint="eastAsia"/>
          <w:szCs w:val="21"/>
          <w:highlight w:val="none"/>
        </w:rPr>
        <w:t>年年均开采量作为评价水平年地下水开采量。</w:t>
      </w:r>
    </w:p>
    <w:p>
      <w:pPr>
        <w:pageBreakBefore w:val="0"/>
        <w:widowControl w:val="0"/>
        <w:kinsoku/>
        <w:wordWrap/>
        <w:overflowPunct/>
        <w:topLinePunct w:val="0"/>
        <w:autoSpaceDE w:val="0"/>
        <w:autoSpaceDN w:val="0"/>
        <w:bidi w:val="0"/>
        <w:adjustRightInd w:val="0"/>
        <w:snapToGrid w:val="0"/>
        <w:spacing w:line="360" w:lineRule="auto"/>
        <w:ind w:firstLine="0"/>
        <w:jc w:val="left"/>
        <w:textAlignment w:val="auto"/>
        <w:rPr>
          <w:bCs/>
          <w:highlight w:val="none"/>
        </w:rPr>
      </w:pPr>
      <w:r>
        <w:rPr>
          <w:rFonts w:hint="eastAsia" w:ascii="黑体" w:eastAsia="黑体"/>
          <w:szCs w:val="20"/>
          <w:highlight w:val="none"/>
          <w:lang w:val="en-US" w:eastAsia="zh-CN"/>
        </w:rPr>
        <w:t>5.3</w:t>
      </w:r>
      <w:r>
        <w:rPr>
          <w:rFonts w:hint="eastAsia" w:ascii="黑体" w:eastAsia="黑体"/>
          <w:szCs w:val="20"/>
          <w:highlight w:val="none"/>
        </w:rPr>
        <w:t>.</w:t>
      </w:r>
      <w:r>
        <w:rPr>
          <w:rFonts w:hint="eastAsia" w:ascii="黑体" w:eastAsia="黑体"/>
          <w:szCs w:val="20"/>
          <w:highlight w:val="none"/>
          <w:lang w:val="en-US" w:eastAsia="zh-CN"/>
        </w:rPr>
        <w:t>4</w:t>
      </w:r>
      <w:r>
        <w:rPr>
          <w:rFonts w:hint="eastAsia" w:ascii="黑体" w:eastAsia="黑体"/>
          <w:szCs w:val="20"/>
          <w:highlight w:val="none"/>
        </w:rPr>
        <w:t>.</w:t>
      </w:r>
      <w:r>
        <w:rPr>
          <w:rFonts w:hint="eastAsia" w:ascii="黑体" w:eastAsia="黑体"/>
          <w:szCs w:val="20"/>
          <w:highlight w:val="none"/>
          <w:lang w:val="en-US" w:eastAsia="zh-CN"/>
        </w:rPr>
        <w:t>3</w:t>
      </w:r>
      <w:r>
        <w:rPr>
          <w:szCs w:val="21"/>
          <w:highlight w:val="none"/>
        </w:rPr>
        <w:t xml:space="preserve"> </w:t>
      </w:r>
      <w:r>
        <w:rPr>
          <w:rFonts w:hint="eastAsia"/>
          <w:szCs w:val="21"/>
          <w:highlight w:val="none"/>
          <w:lang w:eastAsia="zh-CN"/>
        </w:rPr>
        <w:t>计算单元内</w:t>
      </w:r>
      <w:r>
        <w:rPr>
          <w:rFonts w:hint="eastAsia"/>
          <w:bCs/>
          <w:highlight w:val="none"/>
        </w:rPr>
        <w:t>地下水开采系数</w:t>
      </w:r>
      <w:r>
        <w:rPr>
          <w:rFonts w:hint="eastAsia"/>
          <w:szCs w:val="21"/>
          <w:highlight w:val="none"/>
        </w:rPr>
        <w:t>可</w:t>
      </w:r>
      <w:r>
        <w:rPr>
          <w:rFonts w:hint="eastAsia"/>
          <w:bCs/>
          <w:highlight w:val="none"/>
        </w:rPr>
        <w:t>按式（</w:t>
      </w:r>
      <w:r>
        <w:rPr>
          <w:rFonts w:hint="eastAsia"/>
          <w:bCs/>
          <w:highlight w:val="none"/>
          <w:lang w:val="en-US" w:eastAsia="zh-CN"/>
        </w:rPr>
        <w:t>6</w:t>
      </w:r>
      <w:r>
        <w:rPr>
          <w:rFonts w:hint="eastAsia"/>
          <w:bCs/>
          <w:highlight w:val="none"/>
        </w:rPr>
        <w:t>）计算：</w:t>
      </w:r>
    </w:p>
    <w:p>
      <w:pPr>
        <w:pageBreakBefore w:val="0"/>
        <w:widowControl w:val="0"/>
        <w:kinsoku/>
        <w:wordWrap/>
        <w:overflowPunct/>
        <w:topLinePunct w:val="0"/>
        <w:bidi w:val="0"/>
        <w:adjustRightInd w:val="0"/>
        <w:snapToGrid w:val="0"/>
        <w:spacing w:line="360" w:lineRule="auto"/>
        <w:ind w:firstLine="3255" w:firstLineChars="1550"/>
        <w:jc w:val="right"/>
        <w:textAlignment w:val="auto"/>
        <w:rPr>
          <w:bCs/>
          <w:szCs w:val="21"/>
          <w:highlight w:val="none"/>
        </w:rPr>
      </w:pPr>
      <m:oMath>
        <m:r>
          <m:rPr/>
          <w:rPr>
            <w:rFonts w:ascii="Cambria Math" w:hAnsi="Cambria Math"/>
            <w:szCs w:val="32"/>
            <w:highlight w:val="none"/>
          </w:rPr>
          <m:t>k=</m:t>
        </m:r>
        <m:f>
          <m:fPr>
            <m:ctrlPr>
              <w:rPr>
                <w:rFonts w:ascii="Cambria Math" w:hAnsi="Cambria Math"/>
                <w:i/>
                <w:szCs w:val="32"/>
                <w:highlight w:val="none"/>
              </w:rPr>
            </m:ctrlPr>
          </m:fPr>
          <m:num>
            <m:sSub>
              <m:sSubPr>
                <m:ctrlPr>
                  <w:rPr>
                    <w:rFonts w:ascii="Cambria Math" w:hAnsi="Cambria Math"/>
                    <w:i/>
                    <w:szCs w:val="32"/>
                    <w:highlight w:val="none"/>
                  </w:rPr>
                </m:ctrlPr>
              </m:sSubPr>
              <m:e>
                <m:r>
                  <m:rPr/>
                  <w:rPr>
                    <w:rFonts w:ascii="Cambria Math" w:hAnsi="Cambria Math"/>
                    <w:szCs w:val="32"/>
                    <w:highlight w:val="none"/>
                  </w:rPr>
                  <m:t>Q</m:t>
                </m:r>
                <m:ctrlPr>
                  <w:rPr>
                    <w:rFonts w:ascii="Cambria Math" w:hAnsi="Cambria Math"/>
                    <w:i/>
                    <w:szCs w:val="32"/>
                    <w:highlight w:val="none"/>
                  </w:rPr>
                </m:ctrlPr>
              </m:e>
              <m:sub>
                <m:r>
                  <m:rPr>
                    <m:sty m:val="p"/>
                  </m:rPr>
                  <w:rPr>
                    <w:rFonts w:hint="eastAsia" w:ascii="Cambria Math" w:hAnsi="Cambria Math"/>
                    <w:szCs w:val="24"/>
                    <w:highlight w:val="none"/>
                  </w:rPr>
                  <m:t>实采</m:t>
                </m:r>
                <m:ctrlPr>
                  <w:rPr>
                    <w:rFonts w:ascii="Cambria Math" w:hAnsi="Cambria Math"/>
                    <w:i/>
                    <w:szCs w:val="32"/>
                    <w:highlight w:val="none"/>
                  </w:rPr>
                </m:ctrlPr>
              </m:sub>
            </m:sSub>
            <m:ctrlPr>
              <w:rPr>
                <w:rFonts w:ascii="Cambria Math" w:hAnsi="Cambria Math"/>
                <w:i/>
                <w:szCs w:val="32"/>
                <w:highlight w:val="none"/>
              </w:rPr>
            </m:ctrlPr>
          </m:num>
          <m:den>
            <m:sSub>
              <m:sSubPr>
                <m:ctrlPr>
                  <w:rPr>
                    <w:rFonts w:ascii="Cambria Math" w:hAnsi="Cambria Math"/>
                    <w:i/>
                    <w:szCs w:val="32"/>
                    <w:highlight w:val="none"/>
                  </w:rPr>
                </m:ctrlPr>
              </m:sSubPr>
              <m:e>
                <m:r>
                  <m:rPr/>
                  <w:rPr>
                    <w:rFonts w:ascii="Cambria Math" w:hAnsi="Cambria Math"/>
                    <w:szCs w:val="32"/>
                    <w:highlight w:val="none"/>
                  </w:rPr>
                  <m:t>Q</m:t>
                </m:r>
                <m:ctrlPr>
                  <w:rPr>
                    <w:rFonts w:ascii="Cambria Math" w:hAnsi="Cambria Math"/>
                    <w:i/>
                    <w:szCs w:val="32"/>
                    <w:highlight w:val="none"/>
                  </w:rPr>
                </m:ctrlPr>
              </m:e>
              <m:sub>
                <m:r>
                  <m:rPr>
                    <m:sty m:val="p"/>
                  </m:rPr>
                  <w:rPr>
                    <w:rFonts w:hint="eastAsia" w:ascii="Cambria Math" w:hAnsi="Cambria Math"/>
                    <w:szCs w:val="32"/>
                    <w:highlight w:val="none"/>
                  </w:rPr>
                  <m:t>可</m:t>
                </m:r>
                <m:r>
                  <m:rPr/>
                  <w:rPr>
                    <w:rFonts w:hint="eastAsia" w:ascii="Cambria Math" w:hAnsi="Cambria Math"/>
                    <w:szCs w:val="32"/>
                    <w:highlight w:val="none"/>
                  </w:rPr>
                  <m:t>采</m:t>
                </m:r>
                <m:ctrlPr>
                  <w:rPr>
                    <w:rFonts w:ascii="Cambria Math" w:hAnsi="Cambria Math"/>
                    <w:i/>
                    <w:szCs w:val="32"/>
                    <w:highlight w:val="none"/>
                  </w:rPr>
                </m:ctrlPr>
              </m:sub>
            </m:sSub>
            <m:ctrlPr>
              <w:rPr>
                <w:rFonts w:ascii="Cambria Math" w:hAnsi="Cambria Math"/>
                <w:i/>
                <w:szCs w:val="32"/>
                <w:highlight w:val="none"/>
              </w:rPr>
            </m:ctrlPr>
          </m:den>
        </m:f>
      </m:oMath>
      <w:r>
        <w:rPr>
          <w:b/>
          <w:bCs/>
          <w:szCs w:val="21"/>
          <w:highlight w:val="none"/>
        </w:rPr>
        <w:t>…………………………………………</w:t>
      </w:r>
      <w:r>
        <w:rPr>
          <w:rFonts w:hint="eastAsia"/>
          <w:bCs/>
          <w:szCs w:val="21"/>
          <w:highlight w:val="none"/>
        </w:rPr>
        <w:t>（</w:t>
      </w:r>
      <w:r>
        <w:rPr>
          <w:rFonts w:hint="eastAsia"/>
          <w:bCs/>
          <w:szCs w:val="21"/>
          <w:highlight w:val="none"/>
          <w:lang w:val="en-US" w:eastAsia="zh-CN"/>
        </w:rPr>
        <w:t>6</w:t>
      </w:r>
      <w:r>
        <w:rPr>
          <w:rFonts w:hint="eastAsia"/>
          <w:bCs/>
          <w:szCs w:val="21"/>
          <w:highlight w:val="none"/>
        </w:rPr>
        <w:t>）</w:t>
      </w:r>
    </w:p>
    <w:p>
      <w:pPr>
        <w:pageBreakBefore w:val="0"/>
        <w:widowControl w:val="0"/>
        <w:kinsoku/>
        <w:wordWrap/>
        <w:overflowPunct/>
        <w:topLinePunct w:val="0"/>
        <w:bidi w:val="0"/>
        <w:adjustRightInd w:val="0"/>
        <w:snapToGrid w:val="0"/>
        <w:spacing w:line="360" w:lineRule="auto"/>
        <w:ind w:firstLine="420" w:firstLineChars="200"/>
        <w:jc w:val="left"/>
        <w:textAlignment w:val="auto"/>
        <w:rPr>
          <w:bCs/>
          <w:szCs w:val="21"/>
          <w:highlight w:val="none"/>
        </w:rPr>
      </w:pPr>
      <w:r>
        <w:rPr>
          <w:rFonts w:hint="eastAsia"/>
          <w:bCs/>
          <w:szCs w:val="21"/>
          <w:highlight w:val="none"/>
        </w:rPr>
        <w:t>式中：</w:t>
      </w:r>
    </w:p>
    <w:p>
      <w:pPr>
        <w:pageBreakBefore w:val="0"/>
        <w:widowControl w:val="0"/>
        <w:kinsoku/>
        <w:wordWrap/>
        <w:overflowPunct/>
        <w:topLinePunct w:val="0"/>
        <w:bidi w:val="0"/>
        <w:adjustRightInd w:val="0"/>
        <w:snapToGrid w:val="0"/>
        <w:spacing w:line="360" w:lineRule="auto"/>
        <w:ind w:firstLine="420" w:firstLineChars="200"/>
        <w:jc w:val="left"/>
        <w:textAlignment w:val="auto"/>
        <w:rPr>
          <w:bCs/>
          <w:szCs w:val="21"/>
          <w:highlight w:val="none"/>
        </w:rPr>
      </w:pPr>
      <m:oMath>
        <m:r>
          <m:rPr/>
          <w:rPr>
            <w:rFonts w:ascii="Cambria Math" w:hAnsi="Cambria Math"/>
            <w:szCs w:val="32"/>
            <w:highlight w:val="none"/>
          </w:rPr>
          <m:t>k</m:t>
        </m:r>
      </m:oMath>
      <w:r>
        <w:rPr>
          <w:rFonts w:hint="eastAsia"/>
          <w:bCs/>
          <w:szCs w:val="21"/>
          <w:highlight w:val="none"/>
        </w:rPr>
        <w:t>——</w:t>
      </w:r>
      <w:r>
        <w:rPr>
          <w:rFonts w:hint="eastAsia"/>
          <w:bCs/>
          <w:szCs w:val="21"/>
          <w:highlight w:val="none"/>
          <w:lang w:eastAsia="zh-CN"/>
        </w:rPr>
        <w:t>年均</w:t>
      </w:r>
      <w:r>
        <w:rPr>
          <w:rFonts w:hint="eastAsia"/>
          <w:bCs/>
          <w:highlight w:val="none"/>
        </w:rPr>
        <w:t>地下水开采系数</w:t>
      </w:r>
      <w:r>
        <w:rPr>
          <w:rFonts w:hint="eastAsia"/>
          <w:bCs/>
          <w:szCs w:val="21"/>
          <w:highlight w:val="none"/>
        </w:rPr>
        <w:t>；</w:t>
      </w:r>
    </w:p>
    <w:p>
      <w:pPr>
        <w:pageBreakBefore w:val="0"/>
        <w:widowControl w:val="0"/>
        <w:kinsoku/>
        <w:wordWrap/>
        <w:overflowPunct/>
        <w:topLinePunct w:val="0"/>
        <w:bidi w:val="0"/>
        <w:adjustRightInd w:val="0"/>
        <w:snapToGrid w:val="0"/>
        <w:spacing w:line="360" w:lineRule="auto"/>
        <w:ind w:firstLine="420" w:firstLineChars="200"/>
        <w:jc w:val="left"/>
        <w:textAlignment w:val="auto"/>
        <w:rPr>
          <w:bCs/>
          <w:szCs w:val="21"/>
          <w:highlight w:val="none"/>
        </w:rPr>
      </w:pPr>
      <m:oMath>
        <m:sSub>
          <m:sSubPr>
            <m:ctrlPr>
              <w:rPr>
                <w:rFonts w:ascii="Cambria Math" w:hAnsi="Cambria Math"/>
                <w:i/>
                <w:szCs w:val="32"/>
                <w:highlight w:val="none"/>
              </w:rPr>
            </m:ctrlPr>
          </m:sSubPr>
          <m:e>
            <m:r>
              <m:rPr/>
              <w:rPr>
                <w:rFonts w:ascii="Cambria Math" w:hAnsi="Cambria Math"/>
                <w:szCs w:val="32"/>
                <w:highlight w:val="none"/>
              </w:rPr>
              <m:t>Q</m:t>
            </m:r>
            <m:ctrlPr>
              <w:rPr>
                <w:rFonts w:ascii="Cambria Math" w:hAnsi="Cambria Math"/>
                <w:i/>
                <w:szCs w:val="32"/>
                <w:highlight w:val="none"/>
              </w:rPr>
            </m:ctrlPr>
          </m:e>
          <m:sub>
            <m:r>
              <m:rPr>
                <m:sty m:val="p"/>
              </m:rPr>
              <w:rPr>
                <w:rFonts w:hint="eastAsia" w:ascii="Cambria Math" w:hAnsi="Cambria Math"/>
                <w:szCs w:val="24"/>
                <w:highlight w:val="none"/>
              </w:rPr>
              <m:t>实采</m:t>
            </m:r>
            <m:ctrlPr>
              <w:rPr>
                <w:rFonts w:ascii="Cambria Math" w:hAnsi="Cambria Math"/>
                <w:i/>
                <w:szCs w:val="32"/>
                <w:highlight w:val="none"/>
              </w:rPr>
            </m:ctrlPr>
          </m:sub>
        </m:sSub>
      </m:oMath>
      <w:r>
        <w:rPr>
          <w:rFonts w:hint="eastAsia"/>
          <w:bCs/>
          <w:szCs w:val="21"/>
          <w:highlight w:val="none"/>
        </w:rPr>
        <w:t>——</w:t>
      </w:r>
      <w:r>
        <w:rPr>
          <w:rFonts w:hint="eastAsia"/>
          <w:bCs/>
          <w:szCs w:val="21"/>
          <w:highlight w:val="none"/>
          <w:lang w:eastAsia="zh-CN"/>
        </w:rPr>
        <w:t>评价期内年均地下水实际开采量</w:t>
      </w:r>
      <w:r>
        <w:rPr>
          <w:bCs/>
          <w:szCs w:val="21"/>
          <w:highlight w:val="none"/>
        </w:rPr>
        <w:t>（</w:t>
      </w:r>
      <w:r>
        <w:rPr>
          <w:rFonts w:hint="eastAsia"/>
          <w:bCs/>
          <w:szCs w:val="21"/>
          <w:highlight w:val="none"/>
        </w:rPr>
        <w:t>万m</w:t>
      </w:r>
      <w:r>
        <w:rPr>
          <w:rFonts w:hint="eastAsia"/>
          <w:bCs/>
          <w:szCs w:val="21"/>
          <w:highlight w:val="none"/>
          <w:vertAlign w:val="superscript"/>
        </w:rPr>
        <w:t>3</w:t>
      </w:r>
      <w:r>
        <w:rPr>
          <w:rFonts w:hint="eastAsia"/>
          <w:bCs/>
          <w:szCs w:val="21"/>
          <w:highlight w:val="none"/>
        </w:rPr>
        <w:t>/a</w:t>
      </w:r>
      <w:r>
        <w:rPr>
          <w:bCs/>
          <w:szCs w:val="21"/>
          <w:highlight w:val="none"/>
        </w:rPr>
        <w:t>）</w:t>
      </w:r>
      <w:r>
        <w:rPr>
          <w:rFonts w:hint="eastAsia"/>
          <w:bCs/>
          <w:szCs w:val="21"/>
          <w:highlight w:val="none"/>
        </w:rPr>
        <w:t>；</w:t>
      </w:r>
    </w:p>
    <w:p>
      <w:pPr>
        <w:pageBreakBefore w:val="0"/>
        <w:widowControl w:val="0"/>
        <w:kinsoku/>
        <w:wordWrap/>
        <w:overflowPunct/>
        <w:topLinePunct w:val="0"/>
        <w:bidi w:val="0"/>
        <w:adjustRightInd w:val="0"/>
        <w:snapToGrid w:val="0"/>
        <w:spacing w:line="360" w:lineRule="auto"/>
        <w:ind w:firstLine="420" w:firstLineChars="200"/>
        <w:jc w:val="left"/>
        <w:textAlignment w:val="auto"/>
        <w:rPr>
          <w:szCs w:val="21"/>
          <w:highlight w:val="none"/>
        </w:rPr>
      </w:pPr>
      <m:oMath>
        <m:sSub>
          <m:sSubPr>
            <m:ctrlPr>
              <w:rPr>
                <w:rFonts w:ascii="Cambria Math" w:hAnsi="Cambria Math"/>
                <w:i/>
                <w:szCs w:val="32"/>
                <w:highlight w:val="none"/>
              </w:rPr>
            </m:ctrlPr>
          </m:sSubPr>
          <m:e>
            <m:r>
              <m:rPr/>
              <w:rPr>
                <w:rFonts w:ascii="Cambria Math" w:hAnsi="Cambria Math"/>
                <w:szCs w:val="32"/>
                <w:highlight w:val="none"/>
              </w:rPr>
              <m:t>Q</m:t>
            </m:r>
            <m:ctrlPr>
              <w:rPr>
                <w:rFonts w:ascii="Cambria Math" w:hAnsi="Cambria Math"/>
                <w:i/>
                <w:szCs w:val="32"/>
                <w:highlight w:val="none"/>
              </w:rPr>
            </m:ctrlPr>
          </m:e>
          <m:sub>
            <m:r>
              <m:rPr>
                <m:sty m:val="p"/>
              </m:rPr>
              <w:rPr>
                <w:rFonts w:hint="eastAsia" w:ascii="Cambria Math" w:hAnsi="Cambria Math"/>
                <w:szCs w:val="32"/>
                <w:highlight w:val="none"/>
              </w:rPr>
              <m:t>可采</m:t>
            </m:r>
            <m:ctrlPr>
              <w:rPr>
                <w:rFonts w:ascii="Cambria Math" w:hAnsi="Cambria Math"/>
                <w:i/>
                <w:szCs w:val="32"/>
                <w:highlight w:val="none"/>
              </w:rPr>
            </m:ctrlPr>
          </m:sub>
        </m:sSub>
      </m:oMath>
      <w:r>
        <w:rPr>
          <w:rFonts w:hint="eastAsia"/>
          <w:bCs/>
          <w:szCs w:val="21"/>
          <w:highlight w:val="none"/>
        </w:rPr>
        <w:t>——多年平均地下水可开采量</w:t>
      </w:r>
      <w:r>
        <w:rPr>
          <w:bCs/>
          <w:szCs w:val="21"/>
          <w:highlight w:val="none"/>
        </w:rPr>
        <w:t>（</w:t>
      </w:r>
      <w:r>
        <w:rPr>
          <w:rFonts w:hint="eastAsia"/>
          <w:bCs/>
          <w:szCs w:val="21"/>
          <w:highlight w:val="none"/>
        </w:rPr>
        <w:t>万m</w:t>
      </w:r>
      <w:r>
        <w:rPr>
          <w:rFonts w:hint="eastAsia"/>
          <w:bCs/>
          <w:szCs w:val="21"/>
          <w:highlight w:val="none"/>
          <w:vertAlign w:val="superscript"/>
        </w:rPr>
        <w:t>3</w:t>
      </w:r>
      <w:r>
        <w:rPr>
          <w:rFonts w:hint="eastAsia"/>
          <w:bCs/>
          <w:szCs w:val="21"/>
          <w:highlight w:val="none"/>
        </w:rPr>
        <w:t>/a</w:t>
      </w:r>
      <w:r>
        <w:rPr>
          <w:bCs/>
          <w:szCs w:val="21"/>
          <w:highlight w:val="none"/>
        </w:rPr>
        <w:t>）</w:t>
      </w:r>
      <w:r>
        <w:rPr>
          <w:rFonts w:hint="eastAsia"/>
          <w:szCs w:val="21"/>
          <w:highlight w:val="none"/>
        </w:rPr>
        <w:t>。</w:t>
      </w:r>
    </w:p>
    <w:p>
      <w:pPr>
        <w:pageBreakBefore w:val="0"/>
        <w:widowControl w:val="0"/>
        <w:kinsoku/>
        <w:wordWrap/>
        <w:overflowPunct/>
        <w:topLinePunct w:val="0"/>
        <w:bidi w:val="0"/>
        <w:adjustRightInd w:val="0"/>
        <w:snapToGrid w:val="0"/>
        <w:spacing w:line="360" w:lineRule="auto"/>
        <w:textAlignment w:val="auto"/>
        <w:outlineLvl w:val="2"/>
        <w:rPr>
          <w:rFonts w:ascii="黑体" w:eastAsia="黑体"/>
          <w:highlight w:val="none"/>
        </w:rPr>
      </w:pPr>
      <w:r>
        <w:rPr>
          <w:rFonts w:hint="eastAsia" w:ascii="黑体" w:eastAsia="黑体"/>
          <w:szCs w:val="20"/>
          <w:highlight w:val="none"/>
          <w:lang w:val="en-US" w:eastAsia="zh-CN"/>
        </w:rPr>
        <w:t>5.3.5</w:t>
      </w:r>
      <w:r>
        <w:rPr>
          <w:rFonts w:hint="eastAsia" w:ascii="黑体" w:eastAsia="黑体"/>
          <w:highlight w:val="none"/>
        </w:rPr>
        <w:t xml:space="preserve"> 引发问题情况</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jc w:val="left"/>
        <w:textAlignment w:val="auto"/>
        <w:rPr>
          <w:rFonts w:hint="eastAsia"/>
          <w:szCs w:val="21"/>
          <w:highlight w:val="none"/>
        </w:rPr>
      </w:pPr>
      <w:r>
        <w:rPr>
          <w:rFonts w:hint="eastAsia"/>
          <w:szCs w:val="21"/>
          <w:highlight w:val="none"/>
        </w:rPr>
        <w:t>评判生态与地质环境问题以《河北省生态环境质量状况公报》《河北省海洋生态环境状况公报》等统计数据为主要依据</w:t>
      </w:r>
      <w:r>
        <w:rPr>
          <w:rFonts w:hint="eastAsia"/>
          <w:szCs w:val="21"/>
          <w:highlight w:val="none"/>
          <w:lang w:eastAsia="zh-CN"/>
        </w:rPr>
        <w:t>，</w:t>
      </w:r>
      <w:r>
        <w:rPr>
          <w:rFonts w:hint="eastAsia"/>
          <w:szCs w:val="21"/>
          <w:highlight w:val="none"/>
          <w:lang w:val="en-US" w:eastAsia="zh-CN"/>
        </w:rPr>
        <w:t>具体根据</w:t>
      </w:r>
      <w:r>
        <w:rPr>
          <w:rFonts w:hint="eastAsia"/>
          <w:highlight w:val="none"/>
          <w:lang w:eastAsia="zh-CN"/>
        </w:rPr>
        <w:t>GB/T 34968</w:t>
      </w:r>
      <w:r>
        <w:rPr>
          <w:rFonts w:hint="eastAsia"/>
          <w:highlight w:val="none"/>
          <w:lang w:val="en-US" w:eastAsia="zh-CN"/>
        </w:rPr>
        <w:t>确定</w:t>
      </w:r>
      <w:r>
        <w:rPr>
          <w:rFonts w:hint="eastAsia"/>
          <w:szCs w:val="21"/>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outlineLvl w:val="1"/>
        <w:rPr>
          <w:rFonts w:hint="default" w:ascii="黑体" w:eastAsia="黑体"/>
          <w:highlight w:val="none"/>
          <w:lang w:val="en-US" w:eastAsia="zh-CN"/>
        </w:rPr>
      </w:pPr>
      <w:bookmarkStart w:id="45" w:name="_Toc19759"/>
      <w:r>
        <w:rPr>
          <w:rFonts w:hint="eastAsia" w:ascii="黑体" w:eastAsia="黑体"/>
          <w:szCs w:val="20"/>
          <w:highlight w:val="none"/>
          <w:lang w:val="en-US" w:eastAsia="zh-CN"/>
        </w:rPr>
        <w:t>5</w:t>
      </w:r>
      <w:r>
        <w:rPr>
          <w:rFonts w:hint="eastAsia" w:ascii="黑体" w:eastAsia="黑体"/>
          <w:highlight w:val="none"/>
          <w:lang w:val="en-US" w:eastAsia="zh-CN"/>
        </w:rPr>
        <w:t>.4超采区范围确定</w:t>
      </w:r>
      <w:bookmarkEnd w:id="45"/>
    </w:p>
    <w:p>
      <w:pPr>
        <w:pageBreakBefore w:val="0"/>
        <w:widowControl w:val="0"/>
        <w:kinsoku/>
        <w:wordWrap/>
        <w:overflowPunct/>
        <w:topLinePunct w:val="0"/>
        <w:bidi w:val="0"/>
        <w:adjustRightInd w:val="0"/>
        <w:snapToGrid w:val="0"/>
        <w:spacing w:line="360" w:lineRule="auto"/>
        <w:textAlignment w:val="auto"/>
        <w:outlineLvl w:val="2"/>
        <w:rPr>
          <w:rFonts w:hint="default" w:ascii="黑体" w:eastAsia="黑体"/>
          <w:highlight w:val="none"/>
          <w:lang w:val="en-US" w:eastAsia="zh-CN"/>
        </w:rPr>
      </w:pPr>
      <w:r>
        <w:rPr>
          <w:rFonts w:hint="eastAsia" w:ascii="黑体" w:eastAsia="黑体"/>
          <w:szCs w:val="20"/>
          <w:highlight w:val="none"/>
          <w:lang w:val="en-US" w:eastAsia="zh-CN"/>
        </w:rPr>
        <w:t>5.4.1</w:t>
      </w:r>
      <w:r>
        <w:rPr>
          <w:rFonts w:hint="eastAsia" w:ascii="黑体" w:eastAsia="黑体"/>
          <w:highlight w:val="none"/>
        </w:rPr>
        <w:t xml:space="preserve">  </w:t>
      </w:r>
      <w:r>
        <w:rPr>
          <w:rFonts w:hint="eastAsia" w:ascii="黑体" w:eastAsia="黑体"/>
          <w:highlight w:val="none"/>
          <w:lang w:val="en-US" w:eastAsia="zh-CN"/>
        </w:rPr>
        <w:t>初步划定超采区边界</w:t>
      </w:r>
    </w:p>
    <w:p>
      <w:pPr>
        <w:pageBreakBefore w:val="0"/>
        <w:kinsoku/>
        <w:wordWrap/>
        <w:overflowPunct/>
        <w:topLinePunct w:val="0"/>
        <w:bidi w:val="0"/>
        <w:adjustRightInd w:val="0"/>
        <w:snapToGrid w:val="0"/>
        <w:spacing w:line="360" w:lineRule="auto"/>
        <w:ind w:firstLine="420" w:firstLineChars="200"/>
        <w:jc w:val="left"/>
        <w:textAlignment w:val="auto"/>
        <w:rPr>
          <w:rFonts w:hint="eastAsia"/>
          <w:highlight w:val="none"/>
        </w:rPr>
      </w:pPr>
      <w:r>
        <w:rPr>
          <w:rFonts w:hint="eastAsia"/>
          <w:highlight w:val="none"/>
        </w:rPr>
        <w:t>根据G</w:t>
      </w:r>
      <w:r>
        <w:rPr>
          <w:highlight w:val="none"/>
        </w:rPr>
        <w:t>B/T 34968</w:t>
      </w:r>
      <w:r>
        <w:rPr>
          <w:rFonts w:hint="eastAsia"/>
          <w:highlight w:val="none"/>
        </w:rPr>
        <w:t>规定</w:t>
      </w:r>
      <w:r>
        <w:rPr>
          <w:rFonts w:hint="eastAsia"/>
          <w:highlight w:val="none"/>
          <w:lang w:eastAsia="zh-CN"/>
        </w:rPr>
        <w:t>，</w:t>
      </w:r>
      <w:r>
        <w:rPr>
          <w:rFonts w:hint="eastAsia"/>
          <w:highlight w:val="none"/>
          <w:lang w:val="en-US" w:eastAsia="zh-CN"/>
        </w:rPr>
        <w:t>根据上述4种指标评价结果，</w:t>
      </w:r>
      <w:r>
        <w:rPr>
          <w:rFonts w:hint="eastAsia"/>
          <w:highlight w:val="none"/>
        </w:rPr>
        <w:t>初步圈出超采</w:t>
      </w:r>
      <w:r>
        <w:rPr>
          <w:rFonts w:hint="eastAsia"/>
          <w:highlight w:val="none"/>
          <w:lang w:val="en-US" w:eastAsia="zh-CN"/>
        </w:rPr>
        <w:t>区</w:t>
      </w:r>
      <w:r>
        <w:rPr>
          <w:rFonts w:hint="eastAsia"/>
          <w:highlight w:val="none"/>
        </w:rPr>
        <w:t>边界</w:t>
      </w:r>
      <w:r>
        <w:rPr>
          <w:rFonts w:hint="eastAsia"/>
          <w:highlight w:val="none"/>
          <w:lang w:eastAsia="zh-CN"/>
        </w:rPr>
        <w:t>，</w:t>
      </w:r>
      <w:r>
        <w:rPr>
          <w:rFonts w:hint="eastAsia"/>
          <w:highlight w:val="none"/>
        </w:rPr>
        <w:t>并对采用不同评价指标及相应标准初步圈出的超采</w:t>
      </w:r>
      <w:r>
        <w:rPr>
          <w:rFonts w:hint="eastAsia"/>
          <w:highlight w:val="none"/>
          <w:lang w:val="en-US" w:eastAsia="zh-CN"/>
        </w:rPr>
        <w:t>区</w:t>
      </w:r>
      <w:r>
        <w:rPr>
          <w:rFonts w:hint="eastAsia"/>
          <w:highlight w:val="none"/>
        </w:rPr>
        <w:t>边界进行叠加</w:t>
      </w:r>
      <w:r>
        <w:rPr>
          <w:rFonts w:hint="eastAsia"/>
          <w:highlight w:val="none"/>
          <w:lang w:eastAsia="zh-CN"/>
        </w:rPr>
        <w:t>，</w:t>
      </w:r>
      <w:r>
        <w:rPr>
          <w:rFonts w:hint="eastAsia"/>
          <w:highlight w:val="none"/>
        </w:rPr>
        <w:t>圈出围括最大面积的外包线。</w:t>
      </w:r>
    </w:p>
    <w:p>
      <w:pPr>
        <w:pageBreakBefore w:val="0"/>
        <w:widowControl w:val="0"/>
        <w:kinsoku/>
        <w:wordWrap/>
        <w:overflowPunct/>
        <w:topLinePunct w:val="0"/>
        <w:bidi w:val="0"/>
        <w:adjustRightInd w:val="0"/>
        <w:snapToGrid w:val="0"/>
        <w:spacing w:line="360" w:lineRule="auto"/>
        <w:textAlignment w:val="auto"/>
        <w:outlineLvl w:val="2"/>
        <w:rPr>
          <w:rFonts w:hint="default" w:ascii="黑体" w:eastAsia="黑体"/>
          <w:highlight w:val="none"/>
          <w:lang w:val="en-US" w:eastAsia="zh-CN"/>
        </w:rPr>
      </w:pPr>
      <w:r>
        <w:rPr>
          <w:rFonts w:hint="eastAsia" w:ascii="黑体" w:eastAsia="黑体"/>
          <w:szCs w:val="20"/>
          <w:highlight w:val="none"/>
          <w:lang w:val="en-US" w:eastAsia="zh-CN"/>
        </w:rPr>
        <w:t>5.4.2</w:t>
      </w:r>
      <w:r>
        <w:rPr>
          <w:rFonts w:hint="eastAsia" w:ascii="黑体" w:eastAsia="黑体"/>
          <w:highlight w:val="none"/>
        </w:rPr>
        <w:t xml:space="preserve">  </w:t>
      </w:r>
      <w:r>
        <w:rPr>
          <w:rFonts w:hint="eastAsia" w:ascii="黑体" w:eastAsia="黑体"/>
          <w:highlight w:val="none"/>
          <w:lang w:val="en-US" w:eastAsia="zh-CN"/>
        </w:rPr>
        <w:t>超采区边界调整和修正</w:t>
      </w:r>
    </w:p>
    <w:p>
      <w:pPr>
        <w:pageBreakBefore w:val="0"/>
        <w:kinsoku/>
        <w:wordWrap/>
        <w:overflowPunct/>
        <w:topLinePunct w:val="0"/>
        <w:bidi w:val="0"/>
        <w:adjustRightInd w:val="0"/>
        <w:snapToGrid w:val="0"/>
        <w:spacing w:line="360" w:lineRule="auto"/>
        <w:ind w:firstLine="420" w:firstLineChars="200"/>
        <w:jc w:val="left"/>
        <w:textAlignment w:val="auto"/>
        <w:rPr>
          <w:rFonts w:hint="eastAsia"/>
          <w:highlight w:val="none"/>
        </w:rPr>
      </w:pPr>
      <w:r>
        <w:rPr>
          <w:rFonts w:hint="eastAsia"/>
          <w:highlight w:val="none"/>
        </w:rPr>
        <w:t>综合考虑地下水开发利用实际情况、水文地质条件</w:t>
      </w:r>
      <w:r>
        <w:rPr>
          <w:rFonts w:hint="eastAsia"/>
          <w:highlight w:val="none"/>
          <w:lang w:eastAsia="zh-CN"/>
        </w:rPr>
        <w:t>、</w:t>
      </w:r>
      <w:r>
        <w:rPr>
          <w:rFonts w:hint="eastAsia"/>
          <w:highlight w:val="none"/>
        </w:rPr>
        <w:t>超采区划分精度、基础资料的可靠性、评价期前地下水超采情况等因素</w:t>
      </w:r>
      <w:r>
        <w:rPr>
          <w:rFonts w:hint="eastAsia"/>
          <w:highlight w:val="none"/>
          <w:lang w:eastAsia="zh-CN"/>
        </w:rPr>
        <w:t>，</w:t>
      </w:r>
      <w:r>
        <w:rPr>
          <w:rFonts w:hint="eastAsia"/>
          <w:highlight w:val="none"/>
        </w:rPr>
        <w:t>对圈出的边界进行调整和修正</w:t>
      </w:r>
      <w:r>
        <w:rPr>
          <w:rFonts w:hint="eastAsia"/>
          <w:highlight w:val="none"/>
          <w:lang w:eastAsia="zh-CN"/>
        </w:rPr>
        <w:t>，</w:t>
      </w:r>
      <w:r>
        <w:rPr>
          <w:rFonts w:hint="eastAsia"/>
          <w:highlight w:val="none"/>
        </w:rPr>
        <w:t>确定超采区分布范围</w:t>
      </w:r>
      <w:r>
        <w:rPr>
          <w:rFonts w:hint="eastAsia"/>
          <w:highlight w:val="none"/>
          <w:lang w:eastAsia="zh-CN"/>
        </w:rPr>
        <w:t>，</w:t>
      </w:r>
      <w:r>
        <w:rPr>
          <w:rFonts w:hint="eastAsia"/>
          <w:highlight w:val="none"/>
          <w:lang w:val="en-US" w:eastAsia="zh-CN"/>
        </w:rPr>
        <w:t>确定</w:t>
      </w:r>
      <w:r>
        <w:rPr>
          <w:rFonts w:hint="eastAsia"/>
          <w:highlight w:val="none"/>
        </w:rPr>
        <w:t>一般超采区和严重超采区。</w:t>
      </w:r>
    </w:p>
    <w:p>
      <w:pPr>
        <w:pageBreakBefore w:val="0"/>
        <w:kinsoku/>
        <w:wordWrap/>
        <w:overflowPunct/>
        <w:topLinePunct w:val="0"/>
        <w:bidi w:val="0"/>
        <w:adjustRightInd/>
        <w:snapToGrid/>
        <w:spacing w:line="240" w:lineRule="auto"/>
        <w:ind w:firstLine="0" w:firstLineChars="0"/>
        <w:jc w:val="left"/>
        <w:textAlignment w:val="auto"/>
        <w:rPr>
          <w:rFonts w:hint="eastAsia"/>
          <w:highlight w:val="none"/>
        </w:rPr>
      </w:pPr>
    </w:p>
    <w:bookmarkEnd w:id="38"/>
    <w:p>
      <w:pPr>
        <w:pageBreakBefore w:val="0"/>
        <w:kinsoku/>
        <w:wordWrap/>
        <w:overflowPunct/>
        <w:topLinePunct w:val="0"/>
        <w:bidi w:val="0"/>
        <w:adjustRightInd w:val="0"/>
        <w:snapToGrid w:val="0"/>
        <w:spacing w:before="156" w:beforeLines="50" w:after="156" w:afterLines="50" w:line="360" w:lineRule="auto"/>
        <w:jc w:val="center"/>
        <w:textAlignment w:val="auto"/>
        <w:rPr>
          <w:rFonts w:hint="eastAsia" w:ascii="黑体" w:eastAsia="黑体"/>
          <w:kern w:val="0"/>
          <w:sz w:val="24"/>
          <w:szCs w:val="24"/>
          <w:highlight w:val="none"/>
        </w:rPr>
      </w:pPr>
      <w:bookmarkStart w:id="46" w:name="_Toc19462"/>
      <w:bookmarkStart w:id="47" w:name="_Toc30229"/>
      <w:r>
        <w:rPr>
          <w:rFonts w:hint="eastAsia" w:ascii="黑体" w:eastAsia="黑体"/>
          <w:kern w:val="0"/>
          <w:sz w:val="24"/>
          <w:szCs w:val="24"/>
          <w:highlight w:val="none"/>
        </w:rPr>
        <w:br w:type="page"/>
      </w:r>
    </w:p>
    <w:p>
      <w:pPr>
        <w:pStyle w:val="2"/>
        <w:pageBreakBefore w:val="0"/>
        <w:kinsoku/>
        <w:wordWrap/>
        <w:overflowPunct/>
        <w:topLinePunct w:val="0"/>
        <w:bidi w:val="0"/>
        <w:adjustRightInd w:val="0"/>
        <w:snapToGrid w:val="0"/>
        <w:spacing w:before="156" w:beforeLines="50" w:after="156" w:afterLines="50" w:line="360" w:lineRule="auto"/>
        <w:jc w:val="center"/>
        <w:textAlignment w:val="auto"/>
        <w:rPr>
          <w:rFonts w:ascii="黑体" w:eastAsia="黑体"/>
          <w:kern w:val="0"/>
          <w:sz w:val="24"/>
          <w:szCs w:val="24"/>
          <w:highlight w:val="none"/>
        </w:rPr>
      </w:pPr>
      <w:bookmarkStart w:id="48" w:name="_Toc27760"/>
      <w:r>
        <w:rPr>
          <w:rFonts w:hint="eastAsia" w:ascii="黑体" w:eastAsia="黑体"/>
          <w:kern w:val="0"/>
          <w:sz w:val="24"/>
          <w:szCs w:val="24"/>
          <w:highlight w:val="none"/>
        </w:rPr>
        <w:t>附 录 A</w:t>
      </w:r>
      <w:bookmarkEnd w:id="46"/>
      <w:bookmarkEnd w:id="47"/>
      <w:bookmarkEnd w:id="48"/>
    </w:p>
    <w:p>
      <w:pPr>
        <w:pageBreakBefore w:val="0"/>
        <w:kinsoku/>
        <w:wordWrap/>
        <w:overflowPunct/>
        <w:topLinePunct w:val="0"/>
        <w:autoSpaceDE w:val="0"/>
        <w:autoSpaceDN w:val="0"/>
        <w:bidi w:val="0"/>
        <w:adjustRightInd w:val="0"/>
        <w:snapToGrid w:val="0"/>
        <w:spacing w:line="360" w:lineRule="auto"/>
        <w:jc w:val="center"/>
        <w:textAlignment w:val="auto"/>
        <w:outlineLvl w:val="0"/>
        <w:rPr>
          <w:rFonts w:eastAsia="黑体"/>
          <w:b/>
          <w:szCs w:val="21"/>
          <w:highlight w:val="none"/>
        </w:rPr>
      </w:pPr>
      <w:bookmarkStart w:id="49" w:name="_Toc8676"/>
      <w:bookmarkStart w:id="50" w:name="_Toc6271"/>
      <w:bookmarkStart w:id="51" w:name="_Toc26514"/>
      <w:r>
        <w:rPr>
          <w:rFonts w:eastAsia="黑体"/>
          <w:b/>
          <w:szCs w:val="21"/>
          <w:highlight w:val="none"/>
        </w:rPr>
        <w:t>（规范性）</w:t>
      </w:r>
      <w:bookmarkEnd w:id="49"/>
      <w:bookmarkEnd w:id="50"/>
      <w:bookmarkEnd w:id="51"/>
    </w:p>
    <w:p>
      <w:pPr>
        <w:pageBreakBefore w:val="0"/>
        <w:kinsoku/>
        <w:wordWrap/>
        <w:overflowPunct/>
        <w:topLinePunct w:val="0"/>
        <w:autoSpaceDE w:val="0"/>
        <w:autoSpaceDN w:val="0"/>
        <w:bidi w:val="0"/>
        <w:adjustRightInd w:val="0"/>
        <w:snapToGrid w:val="0"/>
        <w:spacing w:line="360" w:lineRule="auto"/>
        <w:jc w:val="center"/>
        <w:textAlignment w:val="auto"/>
        <w:rPr>
          <w:rFonts w:eastAsia="黑体"/>
          <w:b/>
          <w:szCs w:val="21"/>
          <w:highlight w:val="none"/>
        </w:rPr>
      </w:pPr>
      <w:r>
        <w:rPr>
          <w:rFonts w:hint="eastAsia" w:eastAsia="黑体"/>
          <w:b/>
          <w:szCs w:val="21"/>
          <w:highlight w:val="none"/>
          <w:lang w:eastAsia="zh-CN"/>
        </w:rPr>
        <w:t>评估</w:t>
      </w:r>
      <w:r>
        <w:rPr>
          <w:rFonts w:hint="eastAsia" w:eastAsia="黑体"/>
          <w:b/>
          <w:szCs w:val="21"/>
          <w:highlight w:val="none"/>
        </w:rPr>
        <w:t>报告编写提纲</w:t>
      </w:r>
    </w:p>
    <w:p>
      <w:pPr>
        <w:pageBreakBefore w:val="0"/>
        <w:kinsoku/>
        <w:wordWrap/>
        <w:overflowPunct/>
        <w:topLinePunct w:val="0"/>
        <w:autoSpaceDE w:val="0"/>
        <w:autoSpaceDN w:val="0"/>
        <w:bidi w:val="0"/>
        <w:adjustRightInd w:val="0"/>
        <w:snapToGrid w:val="0"/>
        <w:spacing w:line="360" w:lineRule="auto"/>
        <w:ind w:firstLine="420" w:firstLineChars="200"/>
        <w:jc w:val="left"/>
        <w:textAlignment w:val="auto"/>
        <w:rPr>
          <w:rFonts w:ascii="黑体" w:hAnsi="黑体" w:eastAsia="黑体" w:cs="黑体"/>
          <w:bCs/>
          <w:szCs w:val="21"/>
          <w:highlight w:val="none"/>
        </w:rPr>
      </w:pPr>
      <w:r>
        <w:rPr>
          <w:rFonts w:hint="eastAsia" w:ascii="黑体" w:hAnsi="黑体" w:eastAsia="黑体" w:cs="黑体"/>
          <w:bCs/>
          <w:szCs w:val="21"/>
          <w:highlight w:val="none"/>
        </w:rPr>
        <w:t>A.1  概况</w:t>
      </w:r>
    </w:p>
    <w:p>
      <w:pPr>
        <w:pageBreakBefore w:val="0"/>
        <w:kinsoku/>
        <w:wordWrap/>
        <w:overflowPunct/>
        <w:topLinePunct w:val="0"/>
        <w:autoSpaceDE w:val="0"/>
        <w:autoSpaceDN w:val="0"/>
        <w:bidi w:val="0"/>
        <w:adjustRightInd w:val="0"/>
        <w:snapToGrid w:val="0"/>
        <w:spacing w:line="360" w:lineRule="auto"/>
        <w:ind w:firstLine="420" w:firstLineChars="200"/>
        <w:jc w:val="left"/>
        <w:textAlignment w:val="auto"/>
        <w:rPr>
          <w:rFonts w:eastAsiaTheme="minorEastAsia"/>
          <w:bCs/>
          <w:szCs w:val="21"/>
          <w:highlight w:val="none"/>
        </w:rPr>
      </w:pPr>
      <w:r>
        <w:rPr>
          <w:rFonts w:eastAsiaTheme="minorEastAsia"/>
          <w:bCs/>
          <w:szCs w:val="21"/>
          <w:highlight w:val="none"/>
        </w:rPr>
        <w:t>A.1.1</w:t>
      </w:r>
      <w:r>
        <w:rPr>
          <w:rFonts w:hint="eastAsia" w:eastAsiaTheme="minorEastAsia"/>
          <w:bCs/>
          <w:szCs w:val="21"/>
          <w:highlight w:val="none"/>
        </w:rPr>
        <w:t xml:space="preserve">  </w:t>
      </w:r>
      <w:r>
        <w:rPr>
          <w:rFonts w:eastAsiaTheme="minorEastAsia"/>
          <w:bCs/>
          <w:szCs w:val="21"/>
          <w:highlight w:val="none"/>
        </w:rPr>
        <w:t>项目背景</w:t>
      </w:r>
    </w:p>
    <w:p>
      <w:pPr>
        <w:pageBreakBefore w:val="0"/>
        <w:kinsoku/>
        <w:wordWrap/>
        <w:overflowPunct/>
        <w:topLinePunct w:val="0"/>
        <w:autoSpaceDE w:val="0"/>
        <w:autoSpaceDN w:val="0"/>
        <w:bidi w:val="0"/>
        <w:adjustRightInd w:val="0"/>
        <w:snapToGrid w:val="0"/>
        <w:spacing w:line="360" w:lineRule="auto"/>
        <w:ind w:firstLine="420" w:firstLineChars="200"/>
        <w:jc w:val="left"/>
        <w:textAlignment w:val="auto"/>
        <w:rPr>
          <w:rFonts w:eastAsiaTheme="minorEastAsia"/>
          <w:bCs/>
          <w:szCs w:val="21"/>
          <w:highlight w:val="none"/>
        </w:rPr>
      </w:pPr>
      <w:r>
        <w:rPr>
          <w:rFonts w:eastAsiaTheme="minorEastAsia"/>
          <w:bCs/>
          <w:szCs w:val="21"/>
          <w:highlight w:val="none"/>
        </w:rPr>
        <w:t>A.1.2</w:t>
      </w:r>
      <w:r>
        <w:rPr>
          <w:rFonts w:hint="eastAsia" w:eastAsiaTheme="minorEastAsia"/>
          <w:bCs/>
          <w:szCs w:val="21"/>
          <w:highlight w:val="none"/>
        </w:rPr>
        <w:t xml:space="preserve">  </w:t>
      </w:r>
      <w:r>
        <w:rPr>
          <w:rFonts w:eastAsiaTheme="minorEastAsia"/>
          <w:bCs/>
          <w:szCs w:val="21"/>
          <w:highlight w:val="none"/>
        </w:rPr>
        <w:t>治理目标任务</w:t>
      </w:r>
    </w:p>
    <w:p>
      <w:pPr>
        <w:pageBreakBefore w:val="0"/>
        <w:numPr>
          <w:ilvl w:val="0"/>
          <w:numId w:val="26"/>
        </w:numPr>
        <w:kinsoku/>
        <w:wordWrap/>
        <w:overflowPunct/>
        <w:topLinePunct w:val="0"/>
        <w:autoSpaceDE w:val="0"/>
        <w:autoSpaceDN w:val="0"/>
        <w:bidi w:val="0"/>
        <w:adjustRightInd w:val="0"/>
        <w:snapToGrid w:val="0"/>
        <w:spacing w:line="360" w:lineRule="auto"/>
        <w:ind w:firstLine="840" w:firstLineChars="400"/>
        <w:jc w:val="left"/>
        <w:textAlignment w:val="auto"/>
        <w:rPr>
          <w:rFonts w:eastAsiaTheme="minorEastAsia"/>
          <w:bCs/>
          <w:szCs w:val="21"/>
          <w:highlight w:val="none"/>
        </w:rPr>
      </w:pPr>
      <w:r>
        <w:rPr>
          <w:rFonts w:hint="eastAsia" w:eastAsiaTheme="minorEastAsia"/>
          <w:bCs/>
          <w:szCs w:val="21"/>
          <w:highlight w:val="none"/>
          <w:lang w:val="en-US" w:eastAsia="zh-CN"/>
        </w:rPr>
        <w:t xml:space="preserve"> </w:t>
      </w:r>
      <w:r>
        <w:rPr>
          <w:rFonts w:hint="eastAsia" w:eastAsiaTheme="minorEastAsia"/>
          <w:bCs/>
          <w:szCs w:val="21"/>
          <w:highlight w:val="none"/>
        </w:rPr>
        <w:t>超采区</w:t>
      </w:r>
      <w:r>
        <w:rPr>
          <w:rFonts w:eastAsiaTheme="minorEastAsia"/>
          <w:bCs/>
          <w:szCs w:val="21"/>
          <w:highlight w:val="none"/>
        </w:rPr>
        <w:t>治理目标</w:t>
      </w:r>
    </w:p>
    <w:p>
      <w:pPr>
        <w:pageBreakBefore w:val="0"/>
        <w:numPr>
          <w:ilvl w:val="0"/>
          <w:numId w:val="26"/>
        </w:numPr>
        <w:kinsoku/>
        <w:wordWrap/>
        <w:overflowPunct/>
        <w:topLinePunct w:val="0"/>
        <w:autoSpaceDE w:val="0"/>
        <w:autoSpaceDN w:val="0"/>
        <w:bidi w:val="0"/>
        <w:adjustRightInd w:val="0"/>
        <w:snapToGrid w:val="0"/>
        <w:spacing w:line="360" w:lineRule="auto"/>
        <w:ind w:firstLine="840" w:firstLineChars="400"/>
        <w:jc w:val="left"/>
        <w:textAlignment w:val="auto"/>
        <w:rPr>
          <w:rFonts w:eastAsiaTheme="minorEastAsia"/>
          <w:bCs/>
          <w:szCs w:val="21"/>
          <w:highlight w:val="none"/>
        </w:rPr>
      </w:pPr>
      <w:r>
        <w:rPr>
          <w:rFonts w:hint="eastAsia" w:eastAsiaTheme="minorEastAsia"/>
          <w:bCs/>
          <w:szCs w:val="21"/>
          <w:highlight w:val="none"/>
          <w:lang w:val="en-US" w:eastAsia="zh-CN"/>
        </w:rPr>
        <w:t xml:space="preserve"> 评估系列年</w:t>
      </w:r>
      <w:r>
        <w:rPr>
          <w:rFonts w:eastAsiaTheme="minorEastAsia"/>
          <w:bCs/>
          <w:szCs w:val="21"/>
          <w:highlight w:val="none"/>
        </w:rPr>
        <w:t>工作任务</w:t>
      </w:r>
    </w:p>
    <w:p>
      <w:pPr>
        <w:pageBreakBefore w:val="0"/>
        <w:kinsoku/>
        <w:wordWrap/>
        <w:overflowPunct/>
        <w:topLinePunct w:val="0"/>
        <w:autoSpaceDE w:val="0"/>
        <w:autoSpaceDN w:val="0"/>
        <w:bidi w:val="0"/>
        <w:adjustRightInd w:val="0"/>
        <w:snapToGrid w:val="0"/>
        <w:spacing w:line="360" w:lineRule="auto"/>
        <w:ind w:firstLine="420" w:firstLineChars="200"/>
        <w:jc w:val="left"/>
        <w:textAlignment w:val="auto"/>
        <w:rPr>
          <w:rFonts w:eastAsiaTheme="minorEastAsia"/>
          <w:bCs/>
          <w:szCs w:val="21"/>
          <w:highlight w:val="none"/>
        </w:rPr>
      </w:pPr>
      <w:r>
        <w:rPr>
          <w:rFonts w:eastAsiaTheme="minorEastAsia"/>
          <w:bCs/>
          <w:szCs w:val="21"/>
          <w:highlight w:val="none"/>
        </w:rPr>
        <w:t xml:space="preserve">A.1.3  </w:t>
      </w:r>
      <w:r>
        <w:rPr>
          <w:rFonts w:hint="eastAsia" w:eastAsiaTheme="minorEastAsia"/>
          <w:bCs/>
          <w:szCs w:val="21"/>
          <w:highlight w:val="none"/>
        </w:rPr>
        <w:t>区域概况</w:t>
      </w:r>
    </w:p>
    <w:p>
      <w:pPr>
        <w:pageBreakBefore w:val="0"/>
        <w:numPr>
          <w:ilvl w:val="0"/>
          <w:numId w:val="27"/>
        </w:numPr>
        <w:kinsoku/>
        <w:wordWrap/>
        <w:overflowPunct/>
        <w:topLinePunct w:val="0"/>
        <w:autoSpaceDE w:val="0"/>
        <w:autoSpaceDN w:val="0"/>
        <w:bidi w:val="0"/>
        <w:adjustRightInd w:val="0"/>
        <w:snapToGrid w:val="0"/>
        <w:spacing w:line="360" w:lineRule="auto"/>
        <w:ind w:firstLine="840" w:firstLineChars="400"/>
        <w:jc w:val="left"/>
        <w:textAlignment w:val="auto"/>
        <w:rPr>
          <w:rFonts w:eastAsiaTheme="minorEastAsia"/>
          <w:bCs/>
          <w:szCs w:val="21"/>
          <w:highlight w:val="none"/>
        </w:rPr>
      </w:pPr>
      <w:r>
        <w:rPr>
          <w:rFonts w:eastAsiaTheme="minorEastAsia"/>
          <w:bCs/>
          <w:szCs w:val="21"/>
          <w:highlight w:val="none"/>
        </w:rPr>
        <w:t>自然地理与社会经济概况</w:t>
      </w:r>
    </w:p>
    <w:p>
      <w:pPr>
        <w:pageBreakBefore w:val="0"/>
        <w:numPr>
          <w:ilvl w:val="0"/>
          <w:numId w:val="27"/>
        </w:numPr>
        <w:kinsoku/>
        <w:wordWrap/>
        <w:overflowPunct/>
        <w:topLinePunct w:val="0"/>
        <w:autoSpaceDE w:val="0"/>
        <w:autoSpaceDN w:val="0"/>
        <w:bidi w:val="0"/>
        <w:adjustRightInd w:val="0"/>
        <w:snapToGrid w:val="0"/>
        <w:spacing w:line="360" w:lineRule="auto"/>
        <w:ind w:firstLine="840" w:firstLineChars="400"/>
        <w:jc w:val="left"/>
        <w:textAlignment w:val="auto"/>
        <w:rPr>
          <w:rFonts w:eastAsiaTheme="minorEastAsia"/>
          <w:bCs/>
          <w:szCs w:val="21"/>
          <w:highlight w:val="none"/>
        </w:rPr>
      </w:pPr>
      <w:r>
        <w:rPr>
          <w:rFonts w:eastAsiaTheme="minorEastAsia"/>
          <w:bCs/>
          <w:szCs w:val="21"/>
          <w:highlight w:val="none"/>
        </w:rPr>
        <w:t>水文气象与水资源状况</w:t>
      </w:r>
    </w:p>
    <w:p>
      <w:pPr>
        <w:pageBreakBefore w:val="0"/>
        <w:numPr>
          <w:ilvl w:val="0"/>
          <w:numId w:val="27"/>
        </w:numPr>
        <w:kinsoku/>
        <w:wordWrap/>
        <w:overflowPunct/>
        <w:topLinePunct w:val="0"/>
        <w:autoSpaceDE w:val="0"/>
        <w:autoSpaceDN w:val="0"/>
        <w:bidi w:val="0"/>
        <w:adjustRightInd w:val="0"/>
        <w:snapToGrid w:val="0"/>
        <w:spacing w:line="360" w:lineRule="auto"/>
        <w:ind w:firstLine="840" w:firstLineChars="400"/>
        <w:jc w:val="left"/>
        <w:textAlignment w:val="auto"/>
        <w:rPr>
          <w:rFonts w:eastAsiaTheme="minorEastAsia"/>
          <w:bCs/>
          <w:szCs w:val="21"/>
          <w:highlight w:val="none"/>
        </w:rPr>
      </w:pPr>
      <w:r>
        <w:rPr>
          <w:rFonts w:eastAsiaTheme="minorEastAsia"/>
          <w:bCs/>
          <w:szCs w:val="21"/>
          <w:highlight w:val="none"/>
        </w:rPr>
        <w:t>地下水超采区概况</w:t>
      </w:r>
    </w:p>
    <w:p>
      <w:pPr>
        <w:pageBreakBefore w:val="0"/>
        <w:kinsoku/>
        <w:wordWrap/>
        <w:overflowPunct/>
        <w:topLinePunct w:val="0"/>
        <w:autoSpaceDE w:val="0"/>
        <w:autoSpaceDN w:val="0"/>
        <w:bidi w:val="0"/>
        <w:adjustRightInd w:val="0"/>
        <w:snapToGrid w:val="0"/>
        <w:spacing w:line="360" w:lineRule="auto"/>
        <w:ind w:firstLine="420" w:firstLineChars="200"/>
        <w:jc w:val="left"/>
        <w:textAlignment w:val="auto"/>
        <w:rPr>
          <w:rFonts w:ascii="黑体" w:hAnsi="黑体" w:eastAsia="黑体" w:cs="黑体"/>
          <w:bCs/>
          <w:szCs w:val="21"/>
          <w:highlight w:val="none"/>
        </w:rPr>
      </w:pPr>
      <w:r>
        <w:rPr>
          <w:rFonts w:ascii="黑体" w:hAnsi="黑体" w:eastAsia="黑体" w:cs="黑体"/>
          <w:bCs/>
          <w:szCs w:val="21"/>
          <w:highlight w:val="none"/>
        </w:rPr>
        <w:t>A.2</w:t>
      </w:r>
      <w:r>
        <w:rPr>
          <w:rFonts w:hint="eastAsia" w:ascii="黑体" w:hAnsi="黑体" w:eastAsia="黑体" w:cs="黑体"/>
          <w:bCs/>
          <w:szCs w:val="21"/>
          <w:highlight w:val="none"/>
        </w:rPr>
        <w:t xml:space="preserve">  </w:t>
      </w:r>
      <w:r>
        <w:rPr>
          <w:rFonts w:hint="eastAsia" w:ascii="黑体" w:hAnsi="黑体" w:eastAsia="黑体" w:cs="黑体"/>
          <w:bCs/>
          <w:szCs w:val="21"/>
          <w:highlight w:val="none"/>
          <w:lang w:eastAsia="zh-CN"/>
        </w:rPr>
        <w:t>评估</w:t>
      </w:r>
      <w:r>
        <w:rPr>
          <w:rFonts w:ascii="黑体" w:hAnsi="黑体" w:eastAsia="黑体" w:cs="黑体"/>
          <w:bCs/>
          <w:szCs w:val="21"/>
          <w:highlight w:val="none"/>
        </w:rPr>
        <w:t>依据及方法过程</w:t>
      </w:r>
    </w:p>
    <w:p>
      <w:pPr>
        <w:pageBreakBefore w:val="0"/>
        <w:kinsoku/>
        <w:wordWrap/>
        <w:overflowPunct/>
        <w:topLinePunct w:val="0"/>
        <w:autoSpaceDE w:val="0"/>
        <w:autoSpaceDN w:val="0"/>
        <w:bidi w:val="0"/>
        <w:adjustRightInd w:val="0"/>
        <w:snapToGrid w:val="0"/>
        <w:spacing w:line="360" w:lineRule="auto"/>
        <w:ind w:firstLine="420" w:firstLineChars="200"/>
        <w:jc w:val="left"/>
        <w:textAlignment w:val="auto"/>
        <w:rPr>
          <w:rFonts w:eastAsiaTheme="minorEastAsia"/>
          <w:bCs/>
          <w:szCs w:val="21"/>
          <w:highlight w:val="none"/>
        </w:rPr>
      </w:pPr>
      <w:r>
        <w:rPr>
          <w:rFonts w:eastAsiaTheme="minorEastAsia"/>
          <w:bCs/>
          <w:szCs w:val="21"/>
          <w:highlight w:val="none"/>
        </w:rPr>
        <w:t>A.2.1</w:t>
      </w:r>
      <w:r>
        <w:rPr>
          <w:rFonts w:hint="eastAsia" w:eastAsiaTheme="minorEastAsia"/>
          <w:bCs/>
          <w:szCs w:val="21"/>
          <w:highlight w:val="none"/>
        </w:rPr>
        <w:t xml:space="preserve">  评估</w:t>
      </w:r>
      <w:r>
        <w:rPr>
          <w:rFonts w:eastAsiaTheme="minorEastAsia"/>
          <w:bCs/>
          <w:szCs w:val="21"/>
          <w:highlight w:val="none"/>
        </w:rPr>
        <w:t>依据</w:t>
      </w:r>
    </w:p>
    <w:p>
      <w:pPr>
        <w:pageBreakBefore w:val="0"/>
        <w:kinsoku/>
        <w:wordWrap/>
        <w:overflowPunct/>
        <w:topLinePunct w:val="0"/>
        <w:autoSpaceDE w:val="0"/>
        <w:autoSpaceDN w:val="0"/>
        <w:bidi w:val="0"/>
        <w:adjustRightInd w:val="0"/>
        <w:snapToGrid w:val="0"/>
        <w:spacing w:line="360" w:lineRule="auto"/>
        <w:ind w:firstLine="420" w:firstLineChars="200"/>
        <w:jc w:val="left"/>
        <w:textAlignment w:val="auto"/>
        <w:rPr>
          <w:rFonts w:eastAsiaTheme="minorEastAsia"/>
          <w:bCs/>
          <w:szCs w:val="21"/>
          <w:highlight w:val="none"/>
        </w:rPr>
      </w:pPr>
      <w:r>
        <w:rPr>
          <w:rFonts w:eastAsiaTheme="minorEastAsia"/>
          <w:bCs/>
          <w:szCs w:val="21"/>
          <w:highlight w:val="none"/>
        </w:rPr>
        <w:t>A.2.2</w:t>
      </w:r>
      <w:r>
        <w:rPr>
          <w:rFonts w:hint="eastAsia" w:eastAsiaTheme="minorEastAsia"/>
          <w:bCs/>
          <w:szCs w:val="21"/>
          <w:highlight w:val="none"/>
        </w:rPr>
        <w:t xml:space="preserve">  评估</w:t>
      </w:r>
      <w:r>
        <w:rPr>
          <w:rFonts w:eastAsiaTheme="minorEastAsia"/>
          <w:bCs/>
          <w:szCs w:val="21"/>
          <w:highlight w:val="none"/>
        </w:rPr>
        <w:t>原则</w:t>
      </w:r>
    </w:p>
    <w:p>
      <w:pPr>
        <w:pageBreakBefore w:val="0"/>
        <w:kinsoku/>
        <w:wordWrap/>
        <w:overflowPunct/>
        <w:topLinePunct w:val="0"/>
        <w:autoSpaceDE w:val="0"/>
        <w:autoSpaceDN w:val="0"/>
        <w:bidi w:val="0"/>
        <w:adjustRightInd w:val="0"/>
        <w:snapToGrid w:val="0"/>
        <w:spacing w:line="360" w:lineRule="auto"/>
        <w:ind w:firstLine="420" w:firstLineChars="200"/>
        <w:jc w:val="left"/>
        <w:textAlignment w:val="auto"/>
        <w:rPr>
          <w:rFonts w:eastAsiaTheme="minorEastAsia"/>
          <w:bCs/>
          <w:szCs w:val="21"/>
          <w:highlight w:val="none"/>
        </w:rPr>
      </w:pPr>
      <w:r>
        <w:rPr>
          <w:rFonts w:eastAsiaTheme="minorEastAsia"/>
          <w:bCs/>
          <w:szCs w:val="21"/>
          <w:highlight w:val="none"/>
        </w:rPr>
        <w:t>A.2.3</w:t>
      </w:r>
      <w:r>
        <w:rPr>
          <w:rFonts w:hint="eastAsia" w:eastAsiaTheme="minorEastAsia"/>
          <w:bCs/>
          <w:szCs w:val="21"/>
          <w:highlight w:val="none"/>
        </w:rPr>
        <w:t xml:space="preserve">  评估</w:t>
      </w:r>
      <w:r>
        <w:rPr>
          <w:rFonts w:eastAsiaTheme="minorEastAsia"/>
          <w:bCs/>
          <w:szCs w:val="21"/>
          <w:highlight w:val="none"/>
        </w:rPr>
        <w:t>技术路线</w:t>
      </w:r>
    </w:p>
    <w:p>
      <w:pPr>
        <w:pageBreakBefore w:val="0"/>
        <w:kinsoku/>
        <w:wordWrap/>
        <w:overflowPunct/>
        <w:topLinePunct w:val="0"/>
        <w:autoSpaceDE w:val="0"/>
        <w:autoSpaceDN w:val="0"/>
        <w:bidi w:val="0"/>
        <w:adjustRightInd w:val="0"/>
        <w:snapToGrid w:val="0"/>
        <w:spacing w:line="360" w:lineRule="auto"/>
        <w:ind w:firstLine="420" w:firstLineChars="200"/>
        <w:jc w:val="left"/>
        <w:textAlignment w:val="auto"/>
        <w:rPr>
          <w:rFonts w:eastAsiaTheme="minorEastAsia"/>
          <w:bCs/>
          <w:szCs w:val="21"/>
          <w:highlight w:val="none"/>
        </w:rPr>
      </w:pPr>
      <w:r>
        <w:rPr>
          <w:rFonts w:eastAsiaTheme="minorEastAsia"/>
          <w:bCs/>
          <w:szCs w:val="21"/>
          <w:highlight w:val="none"/>
        </w:rPr>
        <w:t>A.2.4</w:t>
      </w:r>
      <w:r>
        <w:rPr>
          <w:rFonts w:hint="eastAsia" w:eastAsiaTheme="minorEastAsia"/>
          <w:bCs/>
          <w:szCs w:val="21"/>
          <w:highlight w:val="none"/>
        </w:rPr>
        <w:t xml:space="preserve">  评估</w:t>
      </w:r>
      <w:r>
        <w:rPr>
          <w:rFonts w:eastAsiaTheme="minorEastAsia"/>
          <w:bCs/>
          <w:szCs w:val="21"/>
          <w:highlight w:val="none"/>
        </w:rPr>
        <w:t>工作过程</w:t>
      </w:r>
    </w:p>
    <w:p>
      <w:pPr>
        <w:pageBreakBefore w:val="0"/>
        <w:kinsoku/>
        <w:wordWrap/>
        <w:overflowPunct/>
        <w:topLinePunct w:val="0"/>
        <w:autoSpaceDE w:val="0"/>
        <w:autoSpaceDN w:val="0"/>
        <w:bidi w:val="0"/>
        <w:adjustRightInd w:val="0"/>
        <w:snapToGrid w:val="0"/>
        <w:spacing w:line="360" w:lineRule="auto"/>
        <w:ind w:firstLine="420" w:firstLineChars="200"/>
        <w:jc w:val="left"/>
        <w:textAlignment w:val="auto"/>
        <w:rPr>
          <w:rFonts w:ascii="黑体" w:hAnsi="黑体" w:eastAsia="黑体" w:cs="黑体"/>
          <w:bCs/>
          <w:szCs w:val="21"/>
          <w:highlight w:val="none"/>
        </w:rPr>
      </w:pPr>
      <w:r>
        <w:rPr>
          <w:rFonts w:ascii="黑体" w:hAnsi="黑体" w:eastAsia="黑体" w:cs="黑体"/>
          <w:bCs/>
          <w:szCs w:val="21"/>
          <w:highlight w:val="none"/>
        </w:rPr>
        <w:t>A.</w:t>
      </w:r>
      <w:r>
        <w:rPr>
          <w:rFonts w:hint="eastAsia" w:ascii="黑体" w:hAnsi="黑体" w:eastAsia="黑体" w:cs="黑体"/>
          <w:bCs/>
          <w:szCs w:val="21"/>
          <w:highlight w:val="none"/>
        </w:rPr>
        <w:t>3  治理</w:t>
      </w:r>
      <w:r>
        <w:rPr>
          <w:rFonts w:hint="eastAsia" w:ascii="黑体" w:hAnsi="黑体" w:eastAsia="黑体" w:cs="黑体"/>
          <w:bCs/>
          <w:szCs w:val="21"/>
          <w:highlight w:val="none"/>
          <w:lang w:val="en-US" w:eastAsia="zh-CN"/>
        </w:rPr>
        <w:t>任务</w:t>
      </w:r>
      <w:r>
        <w:rPr>
          <w:rFonts w:hint="eastAsia" w:ascii="黑体" w:hAnsi="黑体" w:eastAsia="黑体" w:cs="黑体"/>
          <w:bCs/>
          <w:szCs w:val="21"/>
          <w:highlight w:val="none"/>
        </w:rPr>
        <w:t>评估</w:t>
      </w:r>
    </w:p>
    <w:p>
      <w:pPr>
        <w:pageBreakBefore w:val="0"/>
        <w:kinsoku/>
        <w:wordWrap/>
        <w:overflowPunct/>
        <w:topLinePunct w:val="0"/>
        <w:autoSpaceDE w:val="0"/>
        <w:autoSpaceDN w:val="0"/>
        <w:bidi w:val="0"/>
        <w:adjustRightInd w:val="0"/>
        <w:snapToGrid w:val="0"/>
        <w:spacing w:line="360" w:lineRule="auto"/>
        <w:ind w:firstLine="420" w:firstLineChars="200"/>
        <w:jc w:val="left"/>
        <w:textAlignment w:val="auto"/>
        <w:rPr>
          <w:rFonts w:eastAsiaTheme="minorEastAsia"/>
          <w:bCs/>
          <w:szCs w:val="21"/>
          <w:highlight w:val="none"/>
        </w:rPr>
      </w:pPr>
      <w:r>
        <w:rPr>
          <w:rFonts w:eastAsiaTheme="minorEastAsia"/>
          <w:bCs/>
          <w:szCs w:val="21"/>
          <w:highlight w:val="none"/>
        </w:rPr>
        <w:t>A.</w:t>
      </w:r>
      <w:r>
        <w:rPr>
          <w:rFonts w:hint="eastAsia" w:eastAsiaTheme="minorEastAsia"/>
          <w:bCs/>
          <w:szCs w:val="21"/>
          <w:highlight w:val="none"/>
        </w:rPr>
        <w:t>3</w:t>
      </w:r>
      <w:r>
        <w:rPr>
          <w:rFonts w:eastAsiaTheme="minorEastAsia"/>
          <w:bCs/>
          <w:szCs w:val="21"/>
          <w:highlight w:val="none"/>
        </w:rPr>
        <w:t xml:space="preserve">.1 </w:t>
      </w:r>
      <w:r>
        <w:rPr>
          <w:rFonts w:hint="eastAsia" w:eastAsiaTheme="minorEastAsia"/>
          <w:bCs/>
          <w:szCs w:val="21"/>
          <w:highlight w:val="none"/>
          <w:lang w:val="en-US" w:eastAsia="zh-CN"/>
        </w:rPr>
        <w:t xml:space="preserve"> </w:t>
      </w:r>
      <w:r>
        <w:rPr>
          <w:rFonts w:hint="eastAsia" w:eastAsiaTheme="minorEastAsia"/>
          <w:bCs/>
          <w:szCs w:val="21"/>
          <w:highlight w:val="none"/>
        </w:rPr>
        <w:t>节水措施评估</w:t>
      </w:r>
    </w:p>
    <w:p>
      <w:pPr>
        <w:pageBreakBefore w:val="0"/>
        <w:kinsoku/>
        <w:wordWrap/>
        <w:overflowPunct/>
        <w:topLinePunct w:val="0"/>
        <w:autoSpaceDE w:val="0"/>
        <w:autoSpaceDN w:val="0"/>
        <w:bidi w:val="0"/>
        <w:adjustRightInd w:val="0"/>
        <w:snapToGrid w:val="0"/>
        <w:spacing w:line="360" w:lineRule="auto"/>
        <w:ind w:firstLine="420" w:firstLineChars="200"/>
        <w:jc w:val="left"/>
        <w:textAlignment w:val="auto"/>
        <w:rPr>
          <w:rFonts w:eastAsiaTheme="minorEastAsia"/>
          <w:bCs/>
          <w:szCs w:val="21"/>
          <w:highlight w:val="none"/>
        </w:rPr>
      </w:pPr>
      <w:r>
        <w:rPr>
          <w:rFonts w:eastAsiaTheme="minorEastAsia"/>
          <w:bCs/>
          <w:szCs w:val="21"/>
          <w:highlight w:val="none"/>
        </w:rPr>
        <w:t>A.</w:t>
      </w:r>
      <w:r>
        <w:rPr>
          <w:rFonts w:hint="eastAsia" w:eastAsiaTheme="minorEastAsia"/>
          <w:bCs/>
          <w:szCs w:val="21"/>
          <w:highlight w:val="none"/>
        </w:rPr>
        <w:t>3</w:t>
      </w:r>
      <w:r>
        <w:rPr>
          <w:rFonts w:eastAsiaTheme="minorEastAsia"/>
          <w:bCs/>
          <w:szCs w:val="21"/>
          <w:highlight w:val="none"/>
        </w:rPr>
        <w:t xml:space="preserve">.2  </w:t>
      </w:r>
      <w:r>
        <w:rPr>
          <w:rFonts w:hint="eastAsia" w:eastAsiaTheme="minorEastAsia"/>
          <w:bCs/>
          <w:szCs w:val="21"/>
          <w:highlight w:val="none"/>
        </w:rPr>
        <w:t>结构调整措施评估</w:t>
      </w:r>
    </w:p>
    <w:p>
      <w:pPr>
        <w:pageBreakBefore w:val="0"/>
        <w:kinsoku/>
        <w:wordWrap/>
        <w:overflowPunct/>
        <w:topLinePunct w:val="0"/>
        <w:autoSpaceDE w:val="0"/>
        <w:autoSpaceDN w:val="0"/>
        <w:bidi w:val="0"/>
        <w:adjustRightInd w:val="0"/>
        <w:snapToGrid w:val="0"/>
        <w:spacing w:line="360" w:lineRule="auto"/>
        <w:ind w:firstLine="420" w:firstLineChars="200"/>
        <w:jc w:val="left"/>
        <w:textAlignment w:val="auto"/>
        <w:rPr>
          <w:rFonts w:hint="eastAsia" w:eastAsiaTheme="minorEastAsia"/>
          <w:bCs/>
          <w:szCs w:val="21"/>
          <w:highlight w:val="none"/>
        </w:rPr>
      </w:pPr>
      <w:r>
        <w:rPr>
          <w:rFonts w:eastAsiaTheme="minorEastAsia"/>
          <w:bCs/>
          <w:szCs w:val="21"/>
          <w:highlight w:val="none"/>
        </w:rPr>
        <w:t>A.</w:t>
      </w:r>
      <w:r>
        <w:rPr>
          <w:rFonts w:hint="eastAsia" w:eastAsiaTheme="minorEastAsia"/>
          <w:bCs/>
          <w:szCs w:val="21"/>
          <w:highlight w:val="none"/>
        </w:rPr>
        <w:t>3</w:t>
      </w:r>
      <w:r>
        <w:rPr>
          <w:rFonts w:eastAsiaTheme="minorEastAsia"/>
          <w:bCs/>
          <w:szCs w:val="21"/>
          <w:highlight w:val="none"/>
        </w:rPr>
        <w:t>.</w:t>
      </w:r>
      <w:r>
        <w:rPr>
          <w:rFonts w:hint="eastAsia" w:eastAsiaTheme="minorEastAsia"/>
          <w:bCs/>
          <w:szCs w:val="21"/>
          <w:highlight w:val="none"/>
        </w:rPr>
        <w:t>3</w:t>
      </w:r>
      <w:r>
        <w:rPr>
          <w:rFonts w:eastAsiaTheme="minorEastAsia"/>
          <w:bCs/>
          <w:szCs w:val="21"/>
          <w:highlight w:val="none"/>
        </w:rPr>
        <w:t xml:space="preserve">  </w:t>
      </w:r>
      <w:r>
        <w:rPr>
          <w:rFonts w:hint="eastAsia" w:eastAsiaTheme="minorEastAsia"/>
          <w:bCs/>
          <w:szCs w:val="21"/>
          <w:highlight w:val="none"/>
        </w:rPr>
        <w:t>水源置换措施评估</w:t>
      </w:r>
    </w:p>
    <w:p>
      <w:pPr>
        <w:pageBreakBefore w:val="0"/>
        <w:kinsoku/>
        <w:wordWrap/>
        <w:overflowPunct/>
        <w:topLinePunct w:val="0"/>
        <w:autoSpaceDE w:val="0"/>
        <w:autoSpaceDN w:val="0"/>
        <w:bidi w:val="0"/>
        <w:adjustRightInd w:val="0"/>
        <w:snapToGrid w:val="0"/>
        <w:spacing w:line="360" w:lineRule="auto"/>
        <w:ind w:firstLine="420" w:firstLineChars="200"/>
        <w:jc w:val="left"/>
        <w:textAlignment w:val="auto"/>
        <w:rPr>
          <w:rFonts w:hint="eastAsia" w:eastAsiaTheme="minorEastAsia"/>
          <w:bCs/>
          <w:szCs w:val="21"/>
          <w:highlight w:val="none"/>
        </w:rPr>
      </w:pPr>
      <w:r>
        <w:rPr>
          <w:rFonts w:eastAsiaTheme="minorEastAsia"/>
          <w:bCs/>
          <w:szCs w:val="21"/>
          <w:highlight w:val="none"/>
        </w:rPr>
        <w:t>A.</w:t>
      </w:r>
      <w:r>
        <w:rPr>
          <w:rFonts w:hint="eastAsia" w:eastAsiaTheme="minorEastAsia"/>
          <w:bCs/>
          <w:szCs w:val="21"/>
          <w:highlight w:val="none"/>
        </w:rPr>
        <w:t>3</w:t>
      </w:r>
      <w:r>
        <w:rPr>
          <w:rFonts w:eastAsiaTheme="minorEastAsia"/>
          <w:bCs/>
          <w:szCs w:val="21"/>
          <w:highlight w:val="none"/>
        </w:rPr>
        <w:t>.</w:t>
      </w:r>
      <w:r>
        <w:rPr>
          <w:rFonts w:hint="eastAsia" w:eastAsiaTheme="minorEastAsia"/>
          <w:bCs/>
          <w:szCs w:val="21"/>
          <w:highlight w:val="none"/>
          <w:lang w:val="en-US" w:eastAsia="zh-CN"/>
        </w:rPr>
        <w:t>4</w:t>
      </w:r>
      <w:r>
        <w:rPr>
          <w:rFonts w:eastAsiaTheme="minorEastAsia"/>
          <w:bCs/>
          <w:szCs w:val="21"/>
          <w:highlight w:val="none"/>
        </w:rPr>
        <w:t xml:space="preserve">  </w:t>
      </w:r>
      <w:r>
        <w:rPr>
          <w:rFonts w:hint="eastAsia" w:eastAsiaTheme="minorEastAsia"/>
          <w:bCs/>
          <w:szCs w:val="21"/>
          <w:highlight w:val="none"/>
          <w:lang w:val="en-US" w:eastAsia="zh-CN"/>
        </w:rPr>
        <w:t>生态补水</w:t>
      </w:r>
      <w:r>
        <w:rPr>
          <w:rFonts w:hint="eastAsia" w:eastAsiaTheme="minorEastAsia"/>
          <w:bCs/>
          <w:szCs w:val="21"/>
          <w:highlight w:val="none"/>
        </w:rPr>
        <w:t>措施评估</w:t>
      </w:r>
    </w:p>
    <w:p>
      <w:pPr>
        <w:pageBreakBefore w:val="0"/>
        <w:kinsoku/>
        <w:wordWrap/>
        <w:overflowPunct/>
        <w:topLinePunct w:val="0"/>
        <w:autoSpaceDE w:val="0"/>
        <w:autoSpaceDN w:val="0"/>
        <w:bidi w:val="0"/>
        <w:adjustRightInd w:val="0"/>
        <w:snapToGrid w:val="0"/>
        <w:spacing w:line="360" w:lineRule="auto"/>
        <w:ind w:firstLine="420" w:firstLineChars="200"/>
        <w:jc w:val="left"/>
        <w:textAlignment w:val="auto"/>
        <w:rPr>
          <w:rFonts w:eastAsiaTheme="minorEastAsia"/>
          <w:bCs/>
          <w:szCs w:val="21"/>
          <w:highlight w:val="none"/>
        </w:rPr>
      </w:pPr>
      <w:r>
        <w:rPr>
          <w:rFonts w:eastAsiaTheme="minorEastAsia"/>
          <w:bCs/>
          <w:szCs w:val="21"/>
          <w:highlight w:val="none"/>
        </w:rPr>
        <w:t>A.</w:t>
      </w:r>
      <w:r>
        <w:rPr>
          <w:rFonts w:hint="eastAsia" w:eastAsiaTheme="minorEastAsia"/>
          <w:bCs/>
          <w:szCs w:val="21"/>
          <w:highlight w:val="none"/>
        </w:rPr>
        <w:t>3</w:t>
      </w:r>
      <w:r>
        <w:rPr>
          <w:rFonts w:eastAsiaTheme="minorEastAsia"/>
          <w:bCs/>
          <w:szCs w:val="21"/>
          <w:highlight w:val="none"/>
        </w:rPr>
        <w:t>.</w:t>
      </w:r>
      <w:r>
        <w:rPr>
          <w:rFonts w:hint="eastAsia" w:eastAsiaTheme="minorEastAsia"/>
          <w:bCs/>
          <w:szCs w:val="21"/>
          <w:highlight w:val="none"/>
        </w:rPr>
        <w:t>5</w:t>
      </w:r>
      <w:r>
        <w:rPr>
          <w:rFonts w:eastAsiaTheme="minorEastAsia"/>
          <w:bCs/>
          <w:szCs w:val="21"/>
          <w:highlight w:val="none"/>
        </w:rPr>
        <w:t xml:space="preserve">  </w:t>
      </w:r>
      <w:r>
        <w:rPr>
          <w:rFonts w:hint="eastAsia" w:eastAsiaTheme="minorEastAsia"/>
          <w:bCs/>
          <w:szCs w:val="21"/>
          <w:highlight w:val="none"/>
        </w:rPr>
        <w:t>地下水管控措施评估</w:t>
      </w:r>
    </w:p>
    <w:p>
      <w:pPr>
        <w:pageBreakBefore w:val="0"/>
        <w:kinsoku/>
        <w:wordWrap/>
        <w:overflowPunct/>
        <w:topLinePunct w:val="0"/>
        <w:autoSpaceDE w:val="0"/>
        <w:autoSpaceDN w:val="0"/>
        <w:bidi w:val="0"/>
        <w:adjustRightInd w:val="0"/>
        <w:snapToGrid w:val="0"/>
        <w:spacing w:line="360" w:lineRule="auto"/>
        <w:ind w:firstLine="420" w:firstLineChars="200"/>
        <w:jc w:val="left"/>
        <w:textAlignment w:val="auto"/>
        <w:rPr>
          <w:rFonts w:eastAsiaTheme="minorEastAsia"/>
          <w:bCs/>
          <w:szCs w:val="21"/>
          <w:highlight w:val="none"/>
        </w:rPr>
      </w:pPr>
      <w:r>
        <w:rPr>
          <w:rFonts w:eastAsiaTheme="minorEastAsia"/>
          <w:bCs/>
          <w:szCs w:val="21"/>
          <w:highlight w:val="none"/>
        </w:rPr>
        <w:t>A.</w:t>
      </w:r>
      <w:r>
        <w:rPr>
          <w:rFonts w:hint="eastAsia" w:eastAsiaTheme="minorEastAsia"/>
          <w:bCs/>
          <w:szCs w:val="21"/>
          <w:highlight w:val="none"/>
        </w:rPr>
        <w:t>3</w:t>
      </w:r>
      <w:r>
        <w:rPr>
          <w:rFonts w:eastAsiaTheme="minorEastAsia"/>
          <w:bCs/>
          <w:szCs w:val="21"/>
          <w:highlight w:val="none"/>
        </w:rPr>
        <w:t>.</w:t>
      </w:r>
      <w:r>
        <w:rPr>
          <w:rFonts w:hint="eastAsia" w:eastAsiaTheme="minorEastAsia"/>
          <w:bCs/>
          <w:szCs w:val="21"/>
          <w:highlight w:val="none"/>
        </w:rPr>
        <w:t>6</w:t>
      </w:r>
      <w:r>
        <w:rPr>
          <w:rFonts w:eastAsiaTheme="minorEastAsia"/>
          <w:bCs/>
          <w:szCs w:val="21"/>
          <w:highlight w:val="none"/>
        </w:rPr>
        <w:t xml:space="preserve">  </w:t>
      </w:r>
      <w:r>
        <w:rPr>
          <w:rFonts w:hint="eastAsia" w:eastAsiaTheme="minorEastAsia"/>
          <w:bCs/>
          <w:szCs w:val="21"/>
          <w:highlight w:val="none"/>
        </w:rPr>
        <w:t>压采量完成情况评估</w:t>
      </w:r>
    </w:p>
    <w:p>
      <w:pPr>
        <w:pageBreakBefore w:val="0"/>
        <w:kinsoku/>
        <w:wordWrap/>
        <w:overflowPunct/>
        <w:topLinePunct w:val="0"/>
        <w:autoSpaceDE w:val="0"/>
        <w:autoSpaceDN w:val="0"/>
        <w:bidi w:val="0"/>
        <w:adjustRightInd w:val="0"/>
        <w:snapToGrid w:val="0"/>
        <w:spacing w:line="360" w:lineRule="auto"/>
        <w:ind w:firstLine="420" w:firstLineChars="200"/>
        <w:jc w:val="left"/>
        <w:textAlignment w:val="auto"/>
        <w:rPr>
          <w:rFonts w:ascii="黑体" w:hAnsi="黑体" w:eastAsia="黑体" w:cs="黑体"/>
          <w:bCs/>
          <w:szCs w:val="21"/>
          <w:highlight w:val="none"/>
        </w:rPr>
      </w:pPr>
      <w:r>
        <w:rPr>
          <w:rFonts w:ascii="黑体" w:hAnsi="黑体" w:eastAsia="黑体" w:cs="黑体"/>
          <w:bCs/>
          <w:szCs w:val="21"/>
          <w:highlight w:val="none"/>
        </w:rPr>
        <w:t>A.</w:t>
      </w:r>
      <w:r>
        <w:rPr>
          <w:rFonts w:hint="eastAsia" w:ascii="黑体" w:hAnsi="黑体" w:eastAsia="黑体" w:cs="黑体"/>
          <w:bCs/>
          <w:szCs w:val="21"/>
          <w:highlight w:val="none"/>
        </w:rPr>
        <w:t xml:space="preserve">4  </w:t>
      </w:r>
      <w:r>
        <w:rPr>
          <w:rFonts w:hint="eastAsia" w:ascii="黑体" w:hAnsi="黑体" w:eastAsia="黑体" w:cs="黑体"/>
          <w:bCs/>
          <w:szCs w:val="21"/>
          <w:highlight w:val="none"/>
          <w:lang w:val="en-US" w:eastAsia="zh-CN"/>
        </w:rPr>
        <w:t>治理</w:t>
      </w:r>
      <w:r>
        <w:rPr>
          <w:rFonts w:hint="eastAsia" w:ascii="黑体" w:hAnsi="黑体" w:eastAsia="黑体" w:cs="黑体"/>
          <w:bCs/>
          <w:szCs w:val="21"/>
          <w:highlight w:val="none"/>
        </w:rPr>
        <w:t>效果评估</w:t>
      </w:r>
    </w:p>
    <w:p>
      <w:pPr>
        <w:pageBreakBefore w:val="0"/>
        <w:kinsoku/>
        <w:wordWrap/>
        <w:overflowPunct/>
        <w:topLinePunct w:val="0"/>
        <w:autoSpaceDE w:val="0"/>
        <w:autoSpaceDN w:val="0"/>
        <w:bidi w:val="0"/>
        <w:adjustRightInd w:val="0"/>
        <w:snapToGrid w:val="0"/>
        <w:spacing w:line="360" w:lineRule="auto"/>
        <w:ind w:firstLine="420" w:firstLineChars="200"/>
        <w:jc w:val="left"/>
        <w:textAlignment w:val="auto"/>
        <w:rPr>
          <w:rFonts w:eastAsiaTheme="minorEastAsia"/>
          <w:bCs/>
          <w:szCs w:val="21"/>
          <w:highlight w:val="none"/>
        </w:rPr>
      </w:pPr>
      <w:r>
        <w:rPr>
          <w:rFonts w:eastAsiaTheme="minorEastAsia"/>
          <w:bCs/>
          <w:szCs w:val="21"/>
          <w:highlight w:val="none"/>
        </w:rPr>
        <w:t>A.</w:t>
      </w:r>
      <w:r>
        <w:rPr>
          <w:rFonts w:hint="eastAsia" w:eastAsiaTheme="minorEastAsia"/>
          <w:bCs/>
          <w:szCs w:val="21"/>
          <w:highlight w:val="none"/>
        </w:rPr>
        <w:t>4</w:t>
      </w:r>
      <w:r>
        <w:rPr>
          <w:rFonts w:eastAsiaTheme="minorEastAsia"/>
          <w:bCs/>
          <w:szCs w:val="21"/>
          <w:highlight w:val="none"/>
        </w:rPr>
        <w:t>.</w:t>
      </w:r>
      <w:r>
        <w:rPr>
          <w:rFonts w:hint="eastAsia" w:eastAsiaTheme="minorEastAsia"/>
          <w:bCs/>
          <w:szCs w:val="21"/>
          <w:highlight w:val="none"/>
        </w:rPr>
        <w:t xml:space="preserve">1  </w:t>
      </w:r>
      <w:r>
        <w:rPr>
          <w:rFonts w:eastAsiaTheme="minorEastAsia"/>
          <w:bCs/>
          <w:szCs w:val="21"/>
          <w:highlight w:val="none"/>
        </w:rPr>
        <w:t>地下水水位</w:t>
      </w:r>
      <w:r>
        <w:rPr>
          <w:rFonts w:hint="eastAsia" w:eastAsiaTheme="minorEastAsia"/>
          <w:bCs/>
          <w:szCs w:val="21"/>
          <w:highlight w:val="none"/>
        </w:rPr>
        <w:t>变化情况评估</w:t>
      </w:r>
    </w:p>
    <w:p>
      <w:pPr>
        <w:pageBreakBefore w:val="0"/>
        <w:kinsoku/>
        <w:wordWrap/>
        <w:overflowPunct/>
        <w:topLinePunct w:val="0"/>
        <w:autoSpaceDE w:val="0"/>
        <w:autoSpaceDN w:val="0"/>
        <w:bidi w:val="0"/>
        <w:adjustRightInd w:val="0"/>
        <w:snapToGrid w:val="0"/>
        <w:spacing w:line="360" w:lineRule="auto"/>
        <w:ind w:firstLine="420" w:firstLineChars="200"/>
        <w:jc w:val="left"/>
        <w:textAlignment w:val="auto"/>
        <w:rPr>
          <w:rFonts w:eastAsiaTheme="minorEastAsia"/>
          <w:bCs/>
          <w:szCs w:val="21"/>
          <w:highlight w:val="none"/>
        </w:rPr>
      </w:pPr>
      <w:r>
        <w:rPr>
          <w:rFonts w:eastAsiaTheme="minorEastAsia"/>
          <w:bCs/>
          <w:szCs w:val="21"/>
          <w:highlight w:val="none"/>
        </w:rPr>
        <w:t>A.</w:t>
      </w:r>
      <w:r>
        <w:rPr>
          <w:rFonts w:hint="eastAsia" w:eastAsiaTheme="minorEastAsia"/>
          <w:bCs/>
          <w:szCs w:val="21"/>
          <w:highlight w:val="none"/>
        </w:rPr>
        <w:t>4</w:t>
      </w:r>
      <w:r>
        <w:rPr>
          <w:rFonts w:eastAsiaTheme="minorEastAsia"/>
          <w:bCs/>
          <w:szCs w:val="21"/>
          <w:highlight w:val="none"/>
        </w:rPr>
        <w:t>.</w:t>
      </w:r>
      <w:r>
        <w:rPr>
          <w:rFonts w:hint="eastAsia" w:eastAsiaTheme="minorEastAsia"/>
          <w:bCs/>
          <w:szCs w:val="21"/>
          <w:highlight w:val="none"/>
        </w:rPr>
        <w:t xml:space="preserve">2  </w:t>
      </w:r>
      <w:r>
        <w:rPr>
          <w:rFonts w:eastAsiaTheme="minorEastAsia"/>
          <w:bCs/>
          <w:szCs w:val="21"/>
          <w:highlight w:val="none"/>
        </w:rPr>
        <w:t>地下水</w:t>
      </w:r>
      <w:r>
        <w:rPr>
          <w:rFonts w:hint="eastAsia" w:eastAsiaTheme="minorEastAsia"/>
          <w:bCs/>
          <w:szCs w:val="21"/>
          <w:highlight w:val="none"/>
        </w:rPr>
        <w:t>开发利用</w:t>
      </w:r>
      <w:r>
        <w:rPr>
          <w:rFonts w:hint="eastAsia" w:eastAsiaTheme="minorEastAsia"/>
          <w:bCs/>
          <w:szCs w:val="21"/>
          <w:highlight w:val="none"/>
          <w:lang w:val="en-US" w:eastAsia="zh-CN"/>
        </w:rPr>
        <w:t>程度</w:t>
      </w:r>
      <w:r>
        <w:rPr>
          <w:rFonts w:hint="eastAsia" w:eastAsiaTheme="minorEastAsia"/>
          <w:bCs/>
          <w:szCs w:val="21"/>
          <w:highlight w:val="none"/>
        </w:rPr>
        <w:t>评估</w:t>
      </w:r>
    </w:p>
    <w:p>
      <w:pPr>
        <w:pageBreakBefore w:val="0"/>
        <w:kinsoku/>
        <w:wordWrap/>
        <w:overflowPunct/>
        <w:topLinePunct w:val="0"/>
        <w:autoSpaceDE w:val="0"/>
        <w:autoSpaceDN w:val="0"/>
        <w:bidi w:val="0"/>
        <w:adjustRightInd w:val="0"/>
        <w:snapToGrid w:val="0"/>
        <w:spacing w:line="360" w:lineRule="auto"/>
        <w:ind w:firstLine="420" w:firstLineChars="200"/>
        <w:jc w:val="left"/>
        <w:textAlignment w:val="auto"/>
        <w:rPr>
          <w:rFonts w:eastAsiaTheme="minorEastAsia"/>
          <w:bCs/>
          <w:szCs w:val="21"/>
          <w:highlight w:val="none"/>
        </w:rPr>
      </w:pPr>
      <w:r>
        <w:rPr>
          <w:rFonts w:eastAsiaTheme="minorEastAsia"/>
          <w:bCs/>
          <w:szCs w:val="21"/>
          <w:highlight w:val="none"/>
        </w:rPr>
        <w:t>A.</w:t>
      </w:r>
      <w:r>
        <w:rPr>
          <w:rFonts w:hint="eastAsia" w:eastAsiaTheme="minorEastAsia"/>
          <w:bCs/>
          <w:szCs w:val="21"/>
          <w:highlight w:val="none"/>
        </w:rPr>
        <w:t>4</w:t>
      </w:r>
      <w:r>
        <w:rPr>
          <w:rFonts w:eastAsiaTheme="minorEastAsia"/>
          <w:bCs/>
          <w:szCs w:val="21"/>
          <w:highlight w:val="none"/>
        </w:rPr>
        <w:t>.</w:t>
      </w:r>
      <w:r>
        <w:rPr>
          <w:rFonts w:hint="eastAsia" w:eastAsiaTheme="minorEastAsia"/>
          <w:bCs/>
          <w:szCs w:val="21"/>
          <w:highlight w:val="none"/>
        </w:rPr>
        <w:t xml:space="preserve">3  </w:t>
      </w:r>
      <w:r>
        <w:rPr>
          <w:rFonts w:eastAsiaTheme="minorEastAsia"/>
          <w:bCs/>
          <w:szCs w:val="21"/>
          <w:highlight w:val="none"/>
        </w:rPr>
        <w:t>地下水</w:t>
      </w:r>
      <w:r>
        <w:rPr>
          <w:rFonts w:hint="eastAsia" w:eastAsiaTheme="minorEastAsia"/>
          <w:bCs/>
          <w:szCs w:val="21"/>
          <w:highlight w:val="none"/>
        </w:rPr>
        <w:t>开采引发的环境地质问题评估</w:t>
      </w:r>
    </w:p>
    <w:p>
      <w:pPr>
        <w:pageBreakBefore w:val="0"/>
        <w:kinsoku/>
        <w:wordWrap/>
        <w:overflowPunct/>
        <w:topLinePunct w:val="0"/>
        <w:autoSpaceDE w:val="0"/>
        <w:autoSpaceDN w:val="0"/>
        <w:bidi w:val="0"/>
        <w:adjustRightInd w:val="0"/>
        <w:snapToGrid w:val="0"/>
        <w:spacing w:line="360" w:lineRule="auto"/>
        <w:ind w:firstLine="420" w:firstLineChars="200"/>
        <w:jc w:val="left"/>
        <w:textAlignment w:val="auto"/>
        <w:rPr>
          <w:rFonts w:ascii="黑体" w:hAnsi="黑体" w:eastAsia="黑体" w:cs="黑体"/>
          <w:bCs/>
          <w:szCs w:val="21"/>
          <w:highlight w:val="none"/>
        </w:rPr>
      </w:pPr>
      <w:r>
        <w:rPr>
          <w:rFonts w:ascii="黑体" w:hAnsi="黑体" w:eastAsia="黑体" w:cs="黑体"/>
          <w:bCs/>
          <w:szCs w:val="21"/>
          <w:highlight w:val="none"/>
        </w:rPr>
        <w:t>A.</w:t>
      </w:r>
      <w:r>
        <w:rPr>
          <w:rFonts w:hint="eastAsia" w:ascii="黑体" w:hAnsi="黑体" w:eastAsia="黑体" w:cs="黑体"/>
          <w:bCs/>
          <w:szCs w:val="21"/>
          <w:highlight w:val="none"/>
        </w:rPr>
        <w:t xml:space="preserve">5  </w:t>
      </w:r>
      <w:r>
        <w:rPr>
          <w:rFonts w:ascii="黑体" w:hAnsi="黑体" w:eastAsia="黑体" w:cs="黑体"/>
          <w:bCs/>
          <w:szCs w:val="21"/>
          <w:highlight w:val="none"/>
        </w:rPr>
        <w:t>综合</w:t>
      </w:r>
      <w:r>
        <w:rPr>
          <w:rFonts w:hint="eastAsia" w:ascii="黑体" w:hAnsi="黑体" w:eastAsia="黑体" w:cs="黑体"/>
          <w:bCs/>
          <w:szCs w:val="21"/>
          <w:highlight w:val="none"/>
        </w:rPr>
        <w:t>评估</w:t>
      </w:r>
    </w:p>
    <w:p>
      <w:pPr>
        <w:pageBreakBefore w:val="0"/>
        <w:kinsoku/>
        <w:wordWrap/>
        <w:overflowPunct/>
        <w:topLinePunct w:val="0"/>
        <w:autoSpaceDE w:val="0"/>
        <w:autoSpaceDN w:val="0"/>
        <w:bidi w:val="0"/>
        <w:adjustRightInd w:val="0"/>
        <w:snapToGrid w:val="0"/>
        <w:spacing w:line="360" w:lineRule="auto"/>
        <w:ind w:firstLine="420" w:firstLineChars="200"/>
        <w:jc w:val="left"/>
        <w:textAlignment w:val="auto"/>
        <w:rPr>
          <w:bCs/>
          <w:szCs w:val="21"/>
          <w:highlight w:val="none"/>
        </w:rPr>
      </w:pPr>
      <w:r>
        <w:rPr>
          <w:bCs/>
          <w:szCs w:val="21"/>
          <w:highlight w:val="none"/>
        </w:rPr>
        <w:t>A.</w:t>
      </w:r>
      <w:r>
        <w:rPr>
          <w:rFonts w:hint="eastAsia"/>
          <w:bCs/>
          <w:szCs w:val="21"/>
          <w:highlight w:val="none"/>
        </w:rPr>
        <w:t>5</w:t>
      </w:r>
      <w:r>
        <w:rPr>
          <w:bCs/>
          <w:szCs w:val="21"/>
          <w:highlight w:val="none"/>
        </w:rPr>
        <w:t>.1</w:t>
      </w:r>
      <w:r>
        <w:rPr>
          <w:rFonts w:hint="eastAsia"/>
          <w:bCs/>
          <w:szCs w:val="21"/>
          <w:highlight w:val="none"/>
        </w:rPr>
        <w:t xml:space="preserve">  </w:t>
      </w:r>
      <w:r>
        <w:rPr>
          <w:bCs/>
          <w:szCs w:val="21"/>
          <w:highlight w:val="none"/>
        </w:rPr>
        <w:t>结论</w:t>
      </w:r>
    </w:p>
    <w:p>
      <w:pPr>
        <w:pageBreakBefore w:val="0"/>
        <w:kinsoku/>
        <w:wordWrap/>
        <w:overflowPunct/>
        <w:topLinePunct w:val="0"/>
        <w:autoSpaceDE w:val="0"/>
        <w:autoSpaceDN w:val="0"/>
        <w:bidi w:val="0"/>
        <w:adjustRightInd w:val="0"/>
        <w:snapToGrid w:val="0"/>
        <w:spacing w:line="360" w:lineRule="auto"/>
        <w:ind w:firstLine="420" w:firstLineChars="200"/>
        <w:jc w:val="left"/>
        <w:textAlignment w:val="auto"/>
        <w:rPr>
          <w:bCs/>
          <w:szCs w:val="21"/>
          <w:highlight w:val="none"/>
        </w:rPr>
      </w:pPr>
      <w:r>
        <w:rPr>
          <w:bCs/>
          <w:szCs w:val="21"/>
          <w:highlight w:val="none"/>
        </w:rPr>
        <w:t>A.</w:t>
      </w:r>
      <w:r>
        <w:rPr>
          <w:rFonts w:hint="eastAsia"/>
          <w:bCs/>
          <w:szCs w:val="21"/>
          <w:highlight w:val="none"/>
        </w:rPr>
        <w:t>5</w:t>
      </w:r>
      <w:r>
        <w:rPr>
          <w:bCs/>
          <w:szCs w:val="21"/>
          <w:highlight w:val="none"/>
        </w:rPr>
        <w:t>.2</w:t>
      </w:r>
      <w:r>
        <w:rPr>
          <w:rFonts w:hint="eastAsia"/>
          <w:bCs/>
          <w:szCs w:val="21"/>
          <w:highlight w:val="none"/>
        </w:rPr>
        <w:t xml:space="preserve">  </w:t>
      </w:r>
      <w:r>
        <w:rPr>
          <w:bCs/>
          <w:szCs w:val="21"/>
          <w:highlight w:val="none"/>
        </w:rPr>
        <w:t>问题</w:t>
      </w:r>
      <w:r>
        <w:rPr>
          <w:rFonts w:hint="eastAsia"/>
          <w:bCs/>
          <w:szCs w:val="21"/>
          <w:highlight w:val="none"/>
        </w:rPr>
        <w:t>与</w:t>
      </w:r>
      <w:r>
        <w:rPr>
          <w:bCs/>
          <w:szCs w:val="21"/>
          <w:highlight w:val="none"/>
        </w:rPr>
        <w:t>建议</w:t>
      </w:r>
    </w:p>
    <w:p>
      <w:pPr>
        <w:pageBreakBefore w:val="0"/>
        <w:kinsoku/>
        <w:wordWrap/>
        <w:overflowPunct/>
        <w:topLinePunct w:val="0"/>
        <w:autoSpaceDE w:val="0"/>
        <w:autoSpaceDN w:val="0"/>
        <w:bidi w:val="0"/>
        <w:adjustRightInd w:val="0"/>
        <w:snapToGrid w:val="0"/>
        <w:spacing w:line="360" w:lineRule="auto"/>
        <w:ind w:firstLine="0" w:firstLineChars="0"/>
        <w:jc w:val="center"/>
        <w:textAlignment w:val="auto"/>
        <w:outlineLvl w:val="0"/>
        <w:rPr>
          <w:rFonts w:ascii="黑体" w:eastAsia="黑体"/>
          <w:b/>
          <w:bCs/>
          <w:kern w:val="0"/>
          <w:sz w:val="24"/>
          <w:szCs w:val="24"/>
          <w:highlight w:val="none"/>
        </w:rPr>
      </w:pPr>
      <w:bookmarkStart w:id="52" w:name="_Toc28271"/>
      <w:r>
        <w:rPr>
          <w:rFonts w:hint="eastAsia" w:ascii="黑体" w:eastAsia="黑体"/>
          <w:b/>
          <w:bCs/>
          <w:kern w:val="0"/>
          <w:sz w:val="24"/>
          <w:szCs w:val="24"/>
          <w:highlight w:val="none"/>
        </w:rPr>
        <w:t>附 录 B</w:t>
      </w:r>
      <w:bookmarkEnd w:id="52"/>
    </w:p>
    <w:p>
      <w:pPr>
        <w:pageBreakBefore w:val="0"/>
        <w:kinsoku/>
        <w:wordWrap/>
        <w:overflowPunct/>
        <w:topLinePunct w:val="0"/>
        <w:autoSpaceDE w:val="0"/>
        <w:autoSpaceDN w:val="0"/>
        <w:bidi w:val="0"/>
        <w:adjustRightInd w:val="0"/>
        <w:snapToGrid w:val="0"/>
        <w:spacing w:line="360" w:lineRule="auto"/>
        <w:jc w:val="center"/>
        <w:textAlignment w:val="auto"/>
        <w:rPr>
          <w:rFonts w:eastAsia="黑体"/>
          <w:b/>
          <w:szCs w:val="21"/>
          <w:highlight w:val="none"/>
        </w:rPr>
      </w:pPr>
      <w:r>
        <w:rPr>
          <w:rFonts w:eastAsia="黑体"/>
          <w:b/>
          <w:szCs w:val="21"/>
          <w:highlight w:val="none"/>
        </w:rPr>
        <w:t>（规范性）</w:t>
      </w:r>
    </w:p>
    <w:p>
      <w:pPr>
        <w:pageBreakBefore w:val="0"/>
        <w:kinsoku/>
        <w:wordWrap/>
        <w:overflowPunct/>
        <w:topLinePunct w:val="0"/>
        <w:autoSpaceDE w:val="0"/>
        <w:autoSpaceDN w:val="0"/>
        <w:bidi w:val="0"/>
        <w:adjustRightInd w:val="0"/>
        <w:snapToGrid w:val="0"/>
        <w:spacing w:line="360" w:lineRule="auto"/>
        <w:jc w:val="left"/>
        <w:textAlignment w:val="auto"/>
        <w:rPr>
          <w:rFonts w:ascii="黑体" w:hAnsi="黑体" w:eastAsia="黑体" w:cs="黑体"/>
          <w:bCs/>
          <w:szCs w:val="21"/>
          <w:highlight w:val="none"/>
        </w:rPr>
      </w:pPr>
      <w:r>
        <w:rPr>
          <w:rFonts w:hint="eastAsia" w:ascii="黑体" w:hAnsi="黑体" w:eastAsia="黑体" w:cs="黑体"/>
          <w:bCs/>
          <w:szCs w:val="21"/>
          <w:highlight w:val="none"/>
        </w:rPr>
        <w:t>B.1农业地下水开采量计算</w:t>
      </w:r>
    </w:p>
    <w:p>
      <w:pPr>
        <w:pageBreakBefore w:val="0"/>
        <w:kinsoku/>
        <w:wordWrap/>
        <w:overflowPunct/>
        <w:topLinePunct w:val="0"/>
        <w:autoSpaceDE w:val="0"/>
        <w:autoSpaceDN w:val="0"/>
        <w:bidi w:val="0"/>
        <w:adjustRightInd w:val="0"/>
        <w:snapToGrid w:val="0"/>
        <w:spacing w:line="360" w:lineRule="auto"/>
        <w:jc w:val="left"/>
        <w:textAlignment w:val="auto"/>
        <w:rPr>
          <w:rFonts w:ascii="黑体" w:hAnsi="黑体" w:eastAsia="黑体" w:cs="黑体"/>
          <w:bCs/>
          <w:szCs w:val="21"/>
          <w:highlight w:val="none"/>
        </w:rPr>
      </w:pPr>
      <w:r>
        <w:rPr>
          <w:rFonts w:hint="eastAsia" w:ascii="黑体" w:hAnsi="黑体" w:eastAsia="黑体" w:cs="黑体"/>
          <w:bCs/>
          <w:szCs w:val="21"/>
          <w:highlight w:val="none"/>
        </w:rPr>
        <w:t>B.1.1农业地下水开采量计算</w:t>
      </w:r>
    </w:p>
    <w:p>
      <w:pPr>
        <w:pStyle w:val="102"/>
        <w:pageBreakBefore w:val="0"/>
        <w:kinsoku/>
        <w:wordWrap/>
        <w:overflowPunct/>
        <w:topLinePunct w:val="0"/>
        <w:bidi w:val="0"/>
        <w:adjustRightInd w:val="0"/>
        <w:snapToGrid w:val="0"/>
        <w:spacing w:line="360" w:lineRule="auto"/>
        <w:ind w:firstLine="420"/>
        <w:jc w:val="left"/>
        <w:textAlignment w:val="auto"/>
        <w:rPr>
          <w:highlight w:val="none"/>
        </w:rPr>
      </w:pPr>
      <w:r>
        <w:rPr>
          <w:highlight w:val="none"/>
        </w:rPr>
        <w:t>农业地下水实际开采量计算优先采用地下水监测计量数据。在无监测计量数据时,可采用以电折水、直接调查统计等方法计算地下水开采量。</w:t>
      </w:r>
    </w:p>
    <w:p>
      <w:pPr>
        <w:pStyle w:val="102"/>
        <w:pageBreakBefore w:val="0"/>
        <w:kinsoku/>
        <w:wordWrap/>
        <w:overflowPunct/>
        <w:topLinePunct w:val="0"/>
        <w:bidi w:val="0"/>
        <w:adjustRightInd w:val="0"/>
        <w:snapToGrid w:val="0"/>
        <w:spacing w:line="360" w:lineRule="auto"/>
        <w:ind w:firstLine="420"/>
        <w:jc w:val="left"/>
        <w:textAlignment w:val="auto"/>
        <w:rPr>
          <w:rFonts w:ascii="Times New Roman"/>
          <w:highlight w:val="none"/>
        </w:rPr>
      </w:pPr>
      <w:r>
        <w:rPr>
          <w:highlight w:val="none"/>
        </w:rPr>
        <w:t>以电折水计算方法需在实地调研基础上，统筹考虑地下水开采层位、水文地质单元、地下水埋深及机井类型、灌溉方式等因素，对农田灌溉机井进行分类。从不同分类机井中选择具有代</w:t>
      </w:r>
      <w:r>
        <w:rPr>
          <w:rFonts w:ascii="Times New Roman"/>
          <w:highlight w:val="none"/>
        </w:rPr>
        <w:t>表性的典型机井进行单位用电量的取用水量实验观测，并统计调查不同分类机井的总用电量，两者相乘即为不同分类机井的总开采量，各类机井的总开采量之和为农业地下水实际开采量，按公式</w:t>
      </w:r>
      <w:r>
        <w:rPr>
          <w:rFonts w:hint="eastAsia" w:ascii="Times New Roman"/>
          <w:highlight w:val="none"/>
        </w:rPr>
        <w:t>（</w:t>
      </w:r>
      <w:r>
        <w:rPr>
          <w:rFonts w:ascii="Times New Roman"/>
          <w:highlight w:val="none"/>
        </w:rPr>
        <w:t>B.1）计算:</w:t>
      </w:r>
    </w:p>
    <w:p>
      <w:pPr>
        <w:pStyle w:val="102"/>
        <w:pageBreakBefore w:val="0"/>
        <w:kinsoku/>
        <w:wordWrap/>
        <w:overflowPunct/>
        <w:topLinePunct w:val="0"/>
        <w:bidi w:val="0"/>
        <w:adjustRightInd w:val="0"/>
        <w:snapToGrid w:val="0"/>
        <w:spacing w:line="360" w:lineRule="auto"/>
        <w:ind w:firstLine="0" w:firstLineChars="0"/>
        <w:jc w:val="right"/>
        <w:textAlignment w:val="auto"/>
        <w:rPr>
          <w:highlight w:val="none"/>
        </w:rPr>
      </w:pPr>
      <m:oMath>
        <m:sSub>
          <m:sSubPr>
            <m:ctrlPr>
              <w:rPr>
                <w:rFonts w:ascii="Cambria Math" w:hAnsi="Cambria Math"/>
                <w:highlight w:val="none"/>
              </w:rPr>
            </m:ctrlPr>
          </m:sSubPr>
          <m:e>
            <m:r>
              <m:rPr>
                <m:sty m:val="p"/>
              </m:rPr>
              <w:rPr>
                <w:rFonts w:ascii="Cambria Math" w:hAnsi="Cambria Math"/>
                <w:highlight w:val="none"/>
              </w:rPr>
              <m:t>Q</m:t>
            </m:r>
            <m:ctrlPr>
              <w:rPr>
                <w:rFonts w:ascii="Cambria Math" w:hAnsi="Cambria Math"/>
                <w:highlight w:val="none"/>
              </w:rPr>
            </m:ctrlPr>
          </m:e>
          <m:sub>
            <m:r>
              <m:rPr>
                <m:sty m:val="p"/>
              </m:rPr>
              <w:rPr>
                <w:rFonts w:hint="eastAsia" w:ascii="Cambria Math" w:hAnsi="Cambria Math"/>
                <w:highlight w:val="none"/>
              </w:rPr>
              <m:t>实际</m:t>
            </m:r>
            <m:ctrlPr>
              <w:rPr>
                <w:rFonts w:ascii="Cambria Math" w:hAnsi="Cambria Math"/>
                <w:highlight w:val="none"/>
              </w:rPr>
            </m:ctrlPr>
          </m:sub>
        </m:sSub>
        <m:r>
          <m:rPr>
            <m:sty m:val="p"/>
          </m:rPr>
          <w:rPr>
            <w:rFonts w:ascii="Cambria Math" w:hAnsi="Cambria Math"/>
            <w:highlight w:val="none"/>
          </w:rPr>
          <m:t>=</m:t>
        </m:r>
        <m:nary>
          <m:naryPr>
            <m:chr m:val="∑"/>
            <m:limLoc m:val="subSup"/>
            <m:ctrlPr>
              <w:rPr>
                <w:rFonts w:ascii="Cambria Math" w:hAnsi="Cambria Math"/>
                <w:highlight w:val="none"/>
              </w:rPr>
            </m:ctrlPr>
          </m:naryPr>
          <m:sub>
            <m:r>
              <m:rPr/>
              <w:rPr>
                <w:rFonts w:ascii="Cambria Math" w:hAnsi="Cambria Math"/>
                <w:highlight w:val="none"/>
              </w:rPr>
              <m:t>m</m:t>
            </m:r>
            <m:r>
              <m:rPr>
                <m:sty m:val="p"/>
              </m:rPr>
              <w:rPr>
                <w:rFonts w:ascii="Cambria Math" w:hAnsi="Cambria Math"/>
                <w:highlight w:val="none"/>
              </w:rPr>
              <m:t>=1</m:t>
            </m:r>
            <m:ctrlPr>
              <w:rPr>
                <w:rFonts w:ascii="Cambria Math" w:hAnsi="Cambria Math"/>
                <w:highlight w:val="none"/>
              </w:rPr>
            </m:ctrlPr>
          </m:sub>
          <m:sup>
            <m:r>
              <m:rPr/>
              <w:rPr>
                <w:rFonts w:ascii="Cambria Math" w:hAnsi="Cambria Math"/>
                <w:highlight w:val="none"/>
              </w:rPr>
              <m:t>M</m:t>
            </m:r>
            <m:ctrlPr>
              <w:rPr>
                <w:rFonts w:ascii="Cambria Math" w:hAnsi="Cambria Math"/>
                <w:highlight w:val="none"/>
              </w:rPr>
            </m:ctrlPr>
          </m:sup>
          <m:e>
            <m:r>
              <m:rPr>
                <m:sty m:val="p"/>
              </m:rPr>
              <w:rPr>
                <w:rFonts w:ascii="Cambria Math" w:hAnsi="Cambria Math"/>
                <w:highlight w:val="none"/>
              </w:rPr>
              <m:t>(</m:t>
            </m:r>
            <m:sSub>
              <m:sSubPr>
                <m:ctrlPr>
                  <w:rPr>
                    <w:rFonts w:ascii="Cambria Math" w:hAnsi="Cambria Math"/>
                    <w:i/>
                    <w:iCs/>
                    <w:highlight w:val="none"/>
                  </w:rPr>
                </m:ctrlPr>
              </m:sSubPr>
              <m:e>
                <m:r>
                  <m:rPr/>
                  <w:rPr>
                    <w:rFonts w:ascii="Cambria Math" w:hAnsi="Cambria Math"/>
                    <w:highlight w:val="none"/>
                  </w:rPr>
                  <m:t>q</m:t>
                </m:r>
                <m:ctrlPr>
                  <w:rPr>
                    <w:rFonts w:ascii="Cambria Math" w:hAnsi="Cambria Math"/>
                    <w:i/>
                    <w:iCs/>
                    <w:highlight w:val="none"/>
                  </w:rPr>
                </m:ctrlPr>
              </m:e>
              <m:sub>
                <m:r>
                  <m:rPr/>
                  <w:rPr>
                    <w:rFonts w:ascii="Cambria Math" w:hAnsi="Cambria Math"/>
                    <w:highlight w:val="none"/>
                  </w:rPr>
                  <m:t>m</m:t>
                </m:r>
                <m:ctrlPr>
                  <w:rPr>
                    <w:rFonts w:ascii="Cambria Math" w:hAnsi="Cambria Math"/>
                    <w:i/>
                    <w:iCs/>
                    <w:highlight w:val="none"/>
                  </w:rPr>
                </m:ctrlPr>
              </m:sub>
            </m:sSub>
            <m:r>
              <m:rPr>
                <m:sty m:val="p"/>
              </m:rPr>
              <w:rPr>
                <w:rFonts w:ascii="Cambria Math" w:hAnsi="Cambria Math"/>
                <w:highlight w:val="none"/>
              </w:rPr>
              <m:t>×</m:t>
            </m:r>
            <m:sSub>
              <m:sSubPr>
                <m:ctrlPr>
                  <w:rPr>
                    <w:rFonts w:ascii="Cambria Math" w:hAnsi="Cambria Math"/>
                    <w:i/>
                    <w:iCs/>
                    <w:highlight w:val="none"/>
                  </w:rPr>
                </m:ctrlPr>
              </m:sSubPr>
              <m:e>
                <m:r>
                  <m:rPr/>
                  <w:rPr>
                    <w:rFonts w:ascii="Cambria Math" w:hAnsi="Cambria Math"/>
                    <w:highlight w:val="none"/>
                  </w:rPr>
                  <m:t>a</m:t>
                </m:r>
                <m:ctrlPr>
                  <w:rPr>
                    <w:rFonts w:ascii="Cambria Math" w:hAnsi="Cambria Math"/>
                    <w:i/>
                    <w:iCs/>
                    <w:highlight w:val="none"/>
                  </w:rPr>
                </m:ctrlPr>
              </m:e>
              <m:sub>
                <m:r>
                  <m:rPr/>
                  <w:rPr>
                    <w:rFonts w:ascii="Cambria Math" w:hAnsi="Cambria Math"/>
                    <w:highlight w:val="none"/>
                  </w:rPr>
                  <m:t>m</m:t>
                </m:r>
                <m:ctrlPr>
                  <w:rPr>
                    <w:rFonts w:ascii="Cambria Math" w:hAnsi="Cambria Math"/>
                    <w:i/>
                    <w:iCs/>
                    <w:highlight w:val="none"/>
                  </w:rPr>
                </m:ctrlPr>
              </m:sub>
            </m:sSub>
            <m:r>
              <m:rPr>
                <m:sty m:val="p"/>
              </m:rPr>
              <w:rPr>
                <w:rFonts w:ascii="Cambria Math" w:hAnsi="Cambria Math"/>
                <w:highlight w:val="none"/>
              </w:rPr>
              <m:t>)</m:t>
            </m:r>
            <m:ctrlPr>
              <w:rPr>
                <w:rFonts w:ascii="Cambria Math" w:hAnsi="Cambria Math"/>
                <w:highlight w:val="none"/>
              </w:rPr>
            </m:ctrlPr>
          </m:e>
        </m:nary>
      </m:oMath>
      <w:r>
        <w:rPr>
          <w:rFonts w:hint="eastAsia" w:hAnsi="Cambria Math"/>
          <w:highlight w:val="none"/>
        </w:rPr>
        <w:t xml:space="preserve">   .....................（B.1）</w:t>
      </w:r>
    </w:p>
    <w:p>
      <w:pPr>
        <w:pStyle w:val="102"/>
        <w:pageBreakBefore w:val="0"/>
        <w:kinsoku/>
        <w:wordWrap/>
        <w:overflowPunct/>
        <w:topLinePunct w:val="0"/>
        <w:bidi w:val="0"/>
        <w:adjustRightInd w:val="0"/>
        <w:snapToGrid w:val="0"/>
        <w:spacing w:line="360" w:lineRule="auto"/>
        <w:ind w:firstLine="420"/>
        <w:jc w:val="left"/>
        <w:textAlignment w:val="auto"/>
        <w:rPr>
          <w:highlight w:val="none"/>
        </w:rPr>
      </w:pPr>
      <w:r>
        <w:rPr>
          <w:rFonts w:hint="eastAsia"/>
          <w:highlight w:val="none"/>
        </w:rPr>
        <w:t>式中：</w:t>
      </w:r>
    </w:p>
    <w:p>
      <w:pPr>
        <w:pStyle w:val="102"/>
        <w:pageBreakBefore w:val="0"/>
        <w:kinsoku/>
        <w:wordWrap/>
        <w:overflowPunct/>
        <w:topLinePunct w:val="0"/>
        <w:bidi w:val="0"/>
        <w:adjustRightInd w:val="0"/>
        <w:snapToGrid w:val="0"/>
        <w:spacing w:line="360" w:lineRule="auto"/>
        <w:ind w:firstLine="420"/>
        <w:jc w:val="left"/>
        <w:textAlignment w:val="auto"/>
        <w:rPr>
          <w:highlight w:val="none"/>
        </w:rPr>
      </w:pPr>
      <m:oMath>
        <m:sSub>
          <m:sSubPr>
            <m:ctrlPr>
              <w:rPr>
                <w:rFonts w:ascii="Cambria Math" w:hAnsi="Cambria Math"/>
                <w:highlight w:val="none"/>
              </w:rPr>
            </m:ctrlPr>
          </m:sSubPr>
          <m:e>
            <m:r>
              <m:rPr>
                <m:sty m:val="p"/>
              </m:rPr>
              <w:rPr>
                <w:rFonts w:ascii="Cambria Math" w:hAnsi="Cambria Math"/>
                <w:highlight w:val="none"/>
              </w:rPr>
              <m:t>Q</m:t>
            </m:r>
            <m:ctrlPr>
              <w:rPr>
                <w:rFonts w:ascii="Cambria Math" w:hAnsi="Cambria Math"/>
                <w:highlight w:val="none"/>
              </w:rPr>
            </m:ctrlPr>
          </m:e>
          <m:sub>
            <m:r>
              <m:rPr>
                <m:sty m:val="p"/>
              </m:rPr>
              <w:rPr>
                <w:rFonts w:hint="eastAsia" w:ascii="Cambria Math" w:hAnsi="Cambria Math"/>
                <w:highlight w:val="none"/>
              </w:rPr>
              <m:t>实际</m:t>
            </m:r>
            <m:ctrlPr>
              <w:rPr>
                <w:rFonts w:ascii="Cambria Math" w:hAnsi="Cambria Math"/>
                <w:highlight w:val="none"/>
              </w:rPr>
            </m:ctrlPr>
          </m:sub>
        </m:sSub>
      </m:oMath>
      <w:r>
        <w:rPr>
          <w:highlight w:val="none"/>
        </w:rPr>
        <w:t>——</w:t>
      </w:r>
      <w:r>
        <w:rPr>
          <w:rFonts w:hint="eastAsia"/>
          <w:highlight w:val="none"/>
        </w:rPr>
        <w:t>农业地下水实际开采量</w:t>
      </w:r>
      <w:r>
        <w:rPr>
          <w:rFonts w:hint="eastAsia" w:hAnsi="Cambria Math"/>
          <w:highlight w:val="none"/>
          <w:lang w:eastAsia="zh-CN"/>
        </w:rPr>
        <w:t>（</w:t>
      </w:r>
      <w:r>
        <w:rPr>
          <w:rFonts w:hint="eastAsia" w:hAnsi="Cambria Math"/>
          <w:highlight w:val="none"/>
          <w:lang w:val="en-US" w:eastAsia="zh-CN"/>
        </w:rPr>
        <w:t>万m³</w:t>
      </w:r>
      <w:r>
        <w:rPr>
          <w:rFonts w:hint="eastAsia" w:hAnsi="Cambria Math"/>
          <w:highlight w:val="none"/>
          <w:lang w:eastAsia="zh-CN"/>
        </w:rPr>
        <w:t>）</w:t>
      </w:r>
      <w:r>
        <w:rPr>
          <w:rFonts w:hint="eastAsia"/>
          <w:highlight w:val="none"/>
        </w:rPr>
        <w:t>；</w:t>
      </w:r>
    </w:p>
    <w:p>
      <w:pPr>
        <w:pStyle w:val="102"/>
        <w:pageBreakBefore w:val="0"/>
        <w:kinsoku/>
        <w:wordWrap/>
        <w:overflowPunct/>
        <w:topLinePunct w:val="0"/>
        <w:bidi w:val="0"/>
        <w:adjustRightInd w:val="0"/>
        <w:snapToGrid w:val="0"/>
        <w:spacing w:line="360" w:lineRule="auto"/>
        <w:ind w:firstLine="420"/>
        <w:jc w:val="left"/>
        <w:textAlignment w:val="auto"/>
        <w:rPr>
          <w:highlight w:val="none"/>
        </w:rPr>
      </w:pPr>
      <m:oMath>
        <m:r>
          <m:rPr/>
          <w:rPr>
            <w:rFonts w:ascii="Cambria Math" w:hAnsi="Cambria Math"/>
            <w:highlight w:val="none"/>
          </w:rPr>
          <m:t>M</m:t>
        </m:r>
      </m:oMath>
      <w:r>
        <w:rPr>
          <w:highlight w:val="none"/>
        </w:rPr>
        <w:t>——</w:t>
      </w:r>
      <w:r>
        <w:rPr>
          <w:rFonts w:hint="eastAsia"/>
          <w:highlight w:val="none"/>
          <w:lang w:val="en-US" w:eastAsia="zh-CN"/>
        </w:rPr>
        <w:t>评价</w:t>
      </w:r>
      <w:r>
        <w:rPr>
          <w:rFonts w:hint="eastAsia"/>
          <w:highlight w:val="none"/>
        </w:rPr>
        <w:t>区域内农田灌溉机井共分为M类；</w:t>
      </w:r>
    </w:p>
    <w:p>
      <w:pPr>
        <w:pStyle w:val="102"/>
        <w:pageBreakBefore w:val="0"/>
        <w:kinsoku/>
        <w:wordWrap/>
        <w:overflowPunct/>
        <w:topLinePunct w:val="0"/>
        <w:bidi w:val="0"/>
        <w:adjustRightInd w:val="0"/>
        <w:snapToGrid w:val="0"/>
        <w:spacing w:line="360" w:lineRule="auto"/>
        <w:ind w:firstLine="420"/>
        <w:jc w:val="left"/>
        <w:textAlignment w:val="auto"/>
        <w:rPr>
          <w:highlight w:val="none"/>
        </w:rPr>
      </w:pPr>
      <m:oMath>
        <m:sSub>
          <m:sSubPr>
            <m:ctrlPr>
              <w:rPr>
                <w:rFonts w:ascii="Cambria Math" w:hAnsi="Cambria Math"/>
                <w:i/>
                <w:iCs/>
                <w:highlight w:val="none"/>
              </w:rPr>
            </m:ctrlPr>
          </m:sSubPr>
          <m:e>
            <m:r>
              <m:rPr/>
              <w:rPr>
                <w:rFonts w:ascii="Cambria Math" w:hAnsi="Cambria Math"/>
                <w:highlight w:val="none"/>
              </w:rPr>
              <m:t>q</m:t>
            </m:r>
            <m:ctrlPr>
              <w:rPr>
                <w:rFonts w:ascii="Cambria Math" w:hAnsi="Cambria Math"/>
                <w:i/>
                <w:iCs/>
                <w:highlight w:val="none"/>
              </w:rPr>
            </m:ctrlPr>
          </m:e>
          <m:sub>
            <m:r>
              <m:rPr/>
              <w:rPr>
                <w:rFonts w:ascii="Cambria Math" w:hAnsi="Cambria Math"/>
                <w:highlight w:val="none"/>
              </w:rPr>
              <m:t>m</m:t>
            </m:r>
            <m:ctrlPr>
              <w:rPr>
                <w:rFonts w:ascii="Cambria Math" w:hAnsi="Cambria Math"/>
                <w:i/>
                <w:iCs/>
                <w:highlight w:val="none"/>
              </w:rPr>
            </m:ctrlPr>
          </m:sub>
        </m:sSub>
      </m:oMath>
      <w:r>
        <w:rPr>
          <w:highlight w:val="none"/>
        </w:rPr>
        <w:t>——</w:t>
      </w:r>
      <w:r>
        <w:rPr>
          <w:rFonts w:hint="eastAsia"/>
          <w:highlight w:val="none"/>
        </w:rPr>
        <w:t>第</w:t>
      </w:r>
      <w:r>
        <w:rPr>
          <w:rFonts w:hint="default" w:ascii="Times New Roman" w:hAnsi="Times New Roman" w:cs="Times New Roman"/>
          <w:i/>
          <w:iCs/>
          <w:highlight w:val="none"/>
        </w:rPr>
        <w:t>m</w:t>
      </w:r>
      <w:r>
        <w:rPr>
          <w:rFonts w:hint="eastAsia"/>
          <w:highlight w:val="none"/>
        </w:rPr>
        <w:t>类典型机井单位用电量的取用水量</w:t>
      </w:r>
      <w:r>
        <w:rPr>
          <w:rFonts w:hint="eastAsia" w:hAnsi="Cambria Math"/>
          <w:highlight w:val="none"/>
          <w:lang w:eastAsia="zh-CN"/>
        </w:rPr>
        <w:t>（</w:t>
      </w:r>
      <w:r>
        <w:rPr>
          <w:rFonts w:hint="eastAsia" w:hAnsi="Cambria Math"/>
          <w:highlight w:val="none"/>
          <w:lang w:val="en-US" w:eastAsia="zh-CN"/>
        </w:rPr>
        <w:t>万m³</w:t>
      </w:r>
      <w:r>
        <w:rPr>
          <w:rFonts w:hint="eastAsia" w:hAnsi="Cambria Math"/>
          <w:highlight w:val="none"/>
          <w:lang w:eastAsia="zh-CN"/>
        </w:rPr>
        <w:t>）</w:t>
      </w:r>
      <w:r>
        <w:rPr>
          <w:rFonts w:hint="eastAsia"/>
          <w:highlight w:val="none"/>
        </w:rPr>
        <w:t>；</w:t>
      </w:r>
    </w:p>
    <w:p>
      <w:pPr>
        <w:pStyle w:val="102"/>
        <w:pageBreakBefore w:val="0"/>
        <w:kinsoku/>
        <w:wordWrap/>
        <w:overflowPunct/>
        <w:topLinePunct w:val="0"/>
        <w:bidi w:val="0"/>
        <w:adjustRightInd w:val="0"/>
        <w:snapToGrid w:val="0"/>
        <w:spacing w:line="360" w:lineRule="auto"/>
        <w:ind w:firstLine="420"/>
        <w:jc w:val="left"/>
        <w:textAlignment w:val="auto"/>
        <w:rPr>
          <w:highlight w:val="none"/>
        </w:rPr>
      </w:pPr>
      <m:oMath>
        <m:sSub>
          <m:sSubPr>
            <m:ctrlPr>
              <w:rPr>
                <w:rFonts w:ascii="Cambria Math" w:hAnsi="Cambria Math"/>
                <w:i/>
                <w:iCs/>
                <w:highlight w:val="none"/>
              </w:rPr>
            </m:ctrlPr>
          </m:sSubPr>
          <m:e>
            <m:r>
              <m:rPr/>
              <w:rPr>
                <w:rFonts w:ascii="Cambria Math" w:hAnsi="Cambria Math"/>
                <w:highlight w:val="none"/>
              </w:rPr>
              <m:t>a</m:t>
            </m:r>
            <m:ctrlPr>
              <w:rPr>
                <w:rFonts w:ascii="Cambria Math" w:hAnsi="Cambria Math"/>
                <w:i/>
                <w:iCs/>
                <w:highlight w:val="none"/>
              </w:rPr>
            </m:ctrlPr>
          </m:e>
          <m:sub>
            <m:r>
              <m:rPr/>
              <w:rPr>
                <w:rFonts w:ascii="Cambria Math" w:hAnsi="Cambria Math"/>
                <w:highlight w:val="none"/>
              </w:rPr>
              <m:t>m</m:t>
            </m:r>
            <m:ctrlPr>
              <w:rPr>
                <w:rFonts w:ascii="Cambria Math" w:hAnsi="Cambria Math"/>
                <w:i/>
                <w:iCs/>
                <w:highlight w:val="none"/>
              </w:rPr>
            </m:ctrlPr>
          </m:sub>
        </m:sSub>
      </m:oMath>
      <w:r>
        <w:rPr>
          <w:highlight w:val="none"/>
        </w:rPr>
        <w:t>——</w:t>
      </w:r>
      <w:r>
        <w:rPr>
          <w:rFonts w:hint="eastAsia"/>
          <w:highlight w:val="none"/>
        </w:rPr>
        <w:t>第</w:t>
      </w:r>
      <w:r>
        <w:rPr>
          <w:rFonts w:hint="default" w:ascii="Times New Roman" w:hAnsi="Times New Roman" w:cs="Times New Roman"/>
          <w:i/>
          <w:iCs/>
          <w:highlight w:val="none"/>
        </w:rPr>
        <w:t>m</w:t>
      </w:r>
      <w:r>
        <w:rPr>
          <w:rFonts w:hint="eastAsia"/>
          <w:highlight w:val="none"/>
        </w:rPr>
        <w:t>类典型机井总用电量</w:t>
      </w:r>
      <w:r>
        <w:rPr>
          <w:rFonts w:hint="eastAsia" w:hAnsi="Cambria Math"/>
          <w:highlight w:val="none"/>
          <w:lang w:eastAsia="zh-CN"/>
        </w:rPr>
        <w:t>（</w:t>
      </w:r>
      <w:r>
        <w:rPr>
          <w:rFonts w:hint="eastAsia" w:hAnsi="Cambria Math"/>
          <w:highlight w:val="none"/>
          <w:lang w:val="en-US" w:eastAsia="zh-CN"/>
        </w:rPr>
        <w:t>万m³</w:t>
      </w:r>
      <w:r>
        <w:rPr>
          <w:rFonts w:hint="eastAsia" w:hAnsi="Cambria Math"/>
          <w:highlight w:val="none"/>
          <w:lang w:eastAsia="zh-CN"/>
        </w:rPr>
        <w:t>）</w:t>
      </w:r>
      <w:r>
        <w:rPr>
          <w:highlight w:val="none"/>
        </w:rPr>
        <w:t>。</w:t>
      </w:r>
    </w:p>
    <w:p>
      <w:pPr>
        <w:pStyle w:val="102"/>
        <w:pageBreakBefore w:val="0"/>
        <w:kinsoku/>
        <w:wordWrap/>
        <w:overflowPunct/>
        <w:topLinePunct w:val="0"/>
        <w:bidi w:val="0"/>
        <w:adjustRightInd w:val="0"/>
        <w:snapToGrid w:val="0"/>
        <w:spacing w:line="360" w:lineRule="auto"/>
        <w:ind w:firstLine="420"/>
        <w:jc w:val="left"/>
        <w:textAlignment w:val="auto"/>
        <w:rPr>
          <w:highlight w:val="none"/>
        </w:rPr>
      </w:pPr>
      <w:r>
        <w:rPr>
          <w:highlight w:val="none"/>
        </w:rPr>
        <w:t>直接调查统计计算方法需在实地调研基础上,调查统计各类作物单位面积农业地下水年取用水量和相应灌溉面积，推算各类作物地下水用水量，各类作物地下水用水量之和即为农业地下水实际开采量</w:t>
      </w:r>
      <w:r>
        <w:rPr>
          <w:rFonts w:ascii="Times New Roman"/>
          <w:highlight w:val="none"/>
        </w:rPr>
        <w:t>，按公式</w:t>
      </w:r>
      <w:r>
        <w:rPr>
          <w:rFonts w:hint="eastAsia" w:ascii="Times New Roman"/>
          <w:highlight w:val="none"/>
        </w:rPr>
        <w:t>（</w:t>
      </w:r>
      <w:r>
        <w:rPr>
          <w:rFonts w:ascii="Times New Roman"/>
          <w:highlight w:val="none"/>
        </w:rPr>
        <w:t>B.2）</w:t>
      </w:r>
      <w:r>
        <w:rPr>
          <w:highlight w:val="none"/>
        </w:rPr>
        <w:t>计算</w:t>
      </w:r>
      <w:r>
        <w:rPr>
          <w:rFonts w:hint="eastAsia"/>
          <w:highlight w:val="none"/>
        </w:rPr>
        <w:t>：</w:t>
      </w:r>
    </w:p>
    <w:p>
      <w:pPr>
        <w:pStyle w:val="102"/>
        <w:pageBreakBefore w:val="0"/>
        <w:kinsoku/>
        <w:wordWrap/>
        <w:overflowPunct/>
        <w:topLinePunct w:val="0"/>
        <w:bidi w:val="0"/>
        <w:adjustRightInd w:val="0"/>
        <w:snapToGrid w:val="0"/>
        <w:spacing w:line="360" w:lineRule="auto"/>
        <w:ind w:firstLine="0" w:firstLineChars="0"/>
        <w:jc w:val="right"/>
        <w:textAlignment w:val="auto"/>
        <w:rPr>
          <w:highlight w:val="none"/>
        </w:rPr>
      </w:pPr>
      <m:oMath>
        <m:sSub>
          <m:sSubPr>
            <m:ctrlPr>
              <w:rPr>
                <w:rFonts w:ascii="Cambria Math" w:hAnsi="Cambria Math"/>
                <w:highlight w:val="none"/>
              </w:rPr>
            </m:ctrlPr>
          </m:sSubPr>
          <m:e>
            <m:r>
              <m:rPr>
                <m:sty m:val="p"/>
              </m:rPr>
              <w:rPr>
                <w:rFonts w:ascii="Cambria Math" w:hAnsi="Cambria Math"/>
                <w:highlight w:val="none"/>
              </w:rPr>
              <m:t>Q</m:t>
            </m:r>
            <m:ctrlPr>
              <w:rPr>
                <w:rFonts w:ascii="Cambria Math" w:hAnsi="Cambria Math"/>
                <w:highlight w:val="none"/>
              </w:rPr>
            </m:ctrlPr>
          </m:e>
          <m:sub>
            <m:r>
              <m:rPr>
                <m:sty m:val="p"/>
              </m:rPr>
              <w:rPr>
                <w:rFonts w:hint="eastAsia" w:ascii="Cambria Math" w:hAnsi="Cambria Math"/>
                <w:highlight w:val="none"/>
              </w:rPr>
              <m:t>实际</m:t>
            </m:r>
            <m:ctrlPr>
              <w:rPr>
                <w:rFonts w:ascii="Cambria Math" w:hAnsi="Cambria Math"/>
                <w:highlight w:val="none"/>
              </w:rPr>
            </m:ctrlPr>
          </m:sub>
        </m:sSub>
        <m:r>
          <m:rPr>
            <m:sty m:val="p"/>
          </m:rPr>
          <w:rPr>
            <w:rFonts w:ascii="Cambria Math" w:hAnsi="Cambria Math"/>
            <w:highlight w:val="none"/>
          </w:rPr>
          <m:t>=</m:t>
        </m:r>
        <m:nary>
          <m:naryPr>
            <m:chr m:val="∑"/>
            <m:limLoc m:val="subSup"/>
            <m:ctrlPr>
              <w:rPr>
                <w:rFonts w:ascii="Cambria Math" w:hAnsi="Cambria Math"/>
                <w:highlight w:val="none"/>
              </w:rPr>
            </m:ctrlPr>
          </m:naryPr>
          <m:sub>
            <m:r>
              <m:rPr/>
              <w:rPr>
                <w:rFonts w:ascii="Cambria Math" w:hAnsi="Cambria Math"/>
                <w:highlight w:val="none"/>
              </w:rPr>
              <m:t>n</m:t>
            </m:r>
            <m:r>
              <m:rPr>
                <m:sty m:val="p"/>
              </m:rPr>
              <w:rPr>
                <w:rFonts w:ascii="Cambria Math" w:hAnsi="Cambria Math"/>
                <w:highlight w:val="none"/>
              </w:rPr>
              <m:t>=1</m:t>
            </m:r>
            <m:ctrlPr>
              <w:rPr>
                <w:rFonts w:ascii="Cambria Math" w:hAnsi="Cambria Math"/>
                <w:highlight w:val="none"/>
              </w:rPr>
            </m:ctrlPr>
          </m:sub>
          <m:sup>
            <m:r>
              <m:rPr/>
              <w:rPr>
                <w:rFonts w:ascii="Cambria Math" w:hAnsi="Cambria Math"/>
                <w:highlight w:val="none"/>
              </w:rPr>
              <m:t>N</m:t>
            </m:r>
            <m:ctrlPr>
              <w:rPr>
                <w:rFonts w:ascii="Cambria Math" w:hAnsi="Cambria Math"/>
                <w:highlight w:val="none"/>
              </w:rPr>
            </m:ctrlPr>
          </m:sup>
          <m:e>
            <m:r>
              <m:rPr>
                <m:sty m:val="p"/>
              </m:rPr>
              <w:rPr>
                <w:rFonts w:ascii="Cambria Math" w:hAnsi="Cambria Math"/>
                <w:highlight w:val="none"/>
              </w:rPr>
              <m:t>(</m:t>
            </m:r>
            <m:sSub>
              <m:sSubPr>
                <m:ctrlPr>
                  <w:rPr>
                    <w:rFonts w:ascii="Cambria Math" w:hAnsi="Cambria Math"/>
                    <w:i/>
                    <w:iCs/>
                    <w:highlight w:val="none"/>
                  </w:rPr>
                </m:ctrlPr>
              </m:sSubPr>
              <m:e>
                <m:r>
                  <m:rPr/>
                  <w:rPr>
                    <w:rFonts w:ascii="Cambria Math" w:hAnsi="Cambria Math"/>
                    <w:highlight w:val="none"/>
                  </w:rPr>
                  <m:t>q</m:t>
                </m:r>
                <m:ctrlPr>
                  <w:rPr>
                    <w:rFonts w:ascii="Cambria Math" w:hAnsi="Cambria Math"/>
                    <w:i/>
                    <w:iCs/>
                    <w:highlight w:val="none"/>
                  </w:rPr>
                </m:ctrlPr>
              </m:e>
              <m:sub>
                <m:r>
                  <m:rPr/>
                  <w:rPr>
                    <w:rFonts w:ascii="Cambria Math" w:hAnsi="Cambria Math"/>
                    <w:highlight w:val="none"/>
                  </w:rPr>
                  <m:t>n</m:t>
                </m:r>
                <m:ctrlPr>
                  <w:rPr>
                    <w:rFonts w:ascii="Cambria Math" w:hAnsi="Cambria Math"/>
                    <w:i/>
                    <w:iCs/>
                    <w:highlight w:val="none"/>
                  </w:rPr>
                </m:ctrlPr>
              </m:sub>
            </m:sSub>
            <m:r>
              <m:rPr>
                <m:sty m:val="p"/>
              </m:rPr>
              <w:rPr>
                <w:rFonts w:ascii="Cambria Math" w:hAnsi="Cambria Math"/>
                <w:highlight w:val="none"/>
              </w:rPr>
              <m:t>×</m:t>
            </m:r>
            <m:sSub>
              <m:sSubPr>
                <m:ctrlPr>
                  <w:rPr>
                    <w:rFonts w:ascii="Cambria Math" w:hAnsi="Cambria Math"/>
                    <w:i/>
                    <w:iCs/>
                    <w:highlight w:val="none"/>
                  </w:rPr>
                </m:ctrlPr>
              </m:sSubPr>
              <m:e>
                <m:r>
                  <m:rPr/>
                  <w:rPr>
                    <w:rFonts w:ascii="Cambria Math" w:hAnsi="Cambria Math"/>
                    <w:highlight w:val="none"/>
                  </w:rPr>
                  <m:t>a</m:t>
                </m:r>
                <m:ctrlPr>
                  <w:rPr>
                    <w:rFonts w:ascii="Cambria Math" w:hAnsi="Cambria Math"/>
                    <w:i/>
                    <w:iCs/>
                    <w:highlight w:val="none"/>
                  </w:rPr>
                </m:ctrlPr>
              </m:e>
              <m:sub>
                <m:r>
                  <m:rPr/>
                  <w:rPr>
                    <w:rFonts w:ascii="Cambria Math" w:hAnsi="Cambria Math"/>
                    <w:highlight w:val="none"/>
                  </w:rPr>
                  <m:t>n</m:t>
                </m:r>
                <m:ctrlPr>
                  <w:rPr>
                    <w:rFonts w:ascii="Cambria Math" w:hAnsi="Cambria Math"/>
                    <w:i/>
                    <w:iCs/>
                    <w:highlight w:val="none"/>
                  </w:rPr>
                </m:ctrlPr>
              </m:sub>
            </m:sSub>
            <m:r>
              <m:rPr>
                <m:sty m:val="p"/>
              </m:rPr>
              <w:rPr>
                <w:rFonts w:ascii="Cambria Math" w:hAnsi="Cambria Math"/>
                <w:highlight w:val="none"/>
              </w:rPr>
              <m:t>)</m:t>
            </m:r>
            <m:ctrlPr>
              <w:rPr>
                <w:rFonts w:ascii="Cambria Math" w:hAnsi="Cambria Math"/>
                <w:highlight w:val="none"/>
              </w:rPr>
            </m:ctrlPr>
          </m:e>
        </m:nary>
      </m:oMath>
      <w:r>
        <w:rPr>
          <w:rFonts w:ascii="Cambria Math" w:hAnsi="Cambria Math"/>
          <w:highlight w:val="none"/>
        </w:rPr>
        <w:t xml:space="preserve"> </w:t>
      </w:r>
      <w:r>
        <w:rPr>
          <w:rFonts w:hint="eastAsia" w:hAnsi="Cambria Math"/>
          <w:highlight w:val="none"/>
        </w:rPr>
        <w:t xml:space="preserve"> .....................（B.2）</w:t>
      </w:r>
    </w:p>
    <w:p>
      <w:pPr>
        <w:pStyle w:val="102"/>
        <w:pageBreakBefore w:val="0"/>
        <w:kinsoku/>
        <w:wordWrap/>
        <w:overflowPunct/>
        <w:topLinePunct w:val="0"/>
        <w:bidi w:val="0"/>
        <w:adjustRightInd w:val="0"/>
        <w:snapToGrid w:val="0"/>
        <w:spacing w:line="360" w:lineRule="auto"/>
        <w:ind w:firstLine="420"/>
        <w:jc w:val="left"/>
        <w:textAlignment w:val="auto"/>
        <w:rPr>
          <w:highlight w:val="none"/>
        </w:rPr>
      </w:pPr>
      <w:r>
        <w:rPr>
          <w:rFonts w:hint="eastAsia"/>
          <w:highlight w:val="none"/>
        </w:rPr>
        <w:t>式中：</w:t>
      </w:r>
    </w:p>
    <w:p>
      <w:pPr>
        <w:pStyle w:val="102"/>
        <w:pageBreakBefore w:val="0"/>
        <w:kinsoku/>
        <w:wordWrap/>
        <w:overflowPunct/>
        <w:topLinePunct w:val="0"/>
        <w:bidi w:val="0"/>
        <w:adjustRightInd w:val="0"/>
        <w:snapToGrid w:val="0"/>
        <w:spacing w:line="360" w:lineRule="auto"/>
        <w:ind w:firstLine="420"/>
        <w:jc w:val="left"/>
        <w:textAlignment w:val="auto"/>
        <w:rPr>
          <w:highlight w:val="none"/>
        </w:rPr>
      </w:pPr>
      <m:oMath>
        <m:r>
          <m:rPr/>
          <w:rPr>
            <w:rFonts w:ascii="Cambria Math" w:hAnsi="Cambria Math"/>
            <w:highlight w:val="none"/>
          </w:rPr>
          <m:t>N</m:t>
        </m:r>
      </m:oMath>
      <w:r>
        <w:rPr>
          <w:highlight w:val="none"/>
        </w:rPr>
        <w:t>——</w:t>
      </w:r>
      <w:r>
        <w:rPr>
          <w:rFonts w:hint="eastAsia"/>
          <w:highlight w:val="none"/>
          <w:lang w:eastAsia="zh-CN"/>
        </w:rPr>
        <w:t>评价</w:t>
      </w:r>
      <w:r>
        <w:rPr>
          <w:rFonts w:hint="eastAsia"/>
          <w:highlight w:val="none"/>
        </w:rPr>
        <w:t>区域共种植N类作物；</w:t>
      </w:r>
    </w:p>
    <w:p>
      <w:pPr>
        <w:pStyle w:val="102"/>
        <w:pageBreakBefore w:val="0"/>
        <w:kinsoku/>
        <w:wordWrap/>
        <w:overflowPunct/>
        <w:topLinePunct w:val="0"/>
        <w:bidi w:val="0"/>
        <w:adjustRightInd w:val="0"/>
        <w:snapToGrid w:val="0"/>
        <w:spacing w:line="360" w:lineRule="auto"/>
        <w:ind w:firstLine="420"/>
        <w:jc w:val="left"/>
        <w:textAlignment w:val="auto"/>
        <w:rPr>
          <w:rFonts w:ascii="Times New Roman"/>
          <w:highlight w:val="none"/>
        </w:rPr>
      </w:pPr>
      <m:oMath>
        <m:sSub>
          <m:sSubPr>
            <m:ctrlPr>
              <w:rPr>
                <w:rFonts w:ascii="Cambria Math" w:hAnsi="Cambria Math"/>
                <w:i/>
                <w:iCs/>
                <w:highlight w:val="none"/>
              </w:rPr>
            </m:ctrlPr>
          </m:sSubPr>
          <m:e>
            <m:r>
              <m:rPr/>
              <w:rPr>
                <w:rFonts w:ascii="Cambria Math" w:hAnsi="Cambria Math"/>
                <w:highlight w:val="none"/>
              </w:rPr>
              <m:t>q</m:t>
            </m:r>
            <m:ctrlPr>
              <w:rPr>
                <w:rFonts w:ascii="Cambria Math" w:hAnsi="Cambria Math"/>
                <w:i/>
                <w:iCs/>
                <w:highlight w:val="none"/>
              </w:rPr>
            </m:ctrlPr>
          </m:e>
          <m:sub>
            <m:r>
              <m:rPr/>
              <w:rPr>
                <w:rFonts w:ascii="Cambria Math" w:hAnsi="Cambria Math"/>
                <w:highlight w:val="none"/>
              </w:rPr>
              <m:t>n</m:t>
            </m:r>
            <m:ctrlPr>
              <w:rPr>
                <w:rFonts w:ascii="Cambria Math" w:hAnsi="Cambria Math"/>
                <w:i/>
                <w:iCs/>
                <w:highlight w:val="none"/>
              </w:rPr>
            </m:ctrlPr>
          </m:sub>
        </m:sSub>
      </m:oMath>
      <w:r>
        <w:rPr>
          <w:highlight w:val="none"/>
        </w:rPr>
        <w:t>——</w:t>
      </w:r>
      <w:r>
        <w:rPr>
          <w:rFonts w:ascii="Times New Roman"/>
          <w:highlight w:val="none"/>
        </w:rPr>
        <w:t>第</w:t>
      </w:r>
      <w:r>
        <w:rPr>
          <w:rFonts w:ascii="Times New Roman"/>
          <w:i/>
          <w:iCs/>
          <w:highlight w:val="none"/>
        </w:rPr>
        <w:t>n</w:t>
      </w:r>
      <w:r>
        <w:rPr>
          <w:rFonts w:ascii="Times New Roman"/>
          <w:highlight w:val="none"/>
        </w:rPr>
        <w:t>类</w:t>
      </w:r>
      <w:r>
        <w:rPr>
          <w:rFonts w:hint="eastAsia" w:ascii="Times New Roman"/>
          <w:highlight w:val="none"/>
        </w:rPr>
        <w:t>作物单位面积农业地下水年</w:t>
      </w:r>
      <w:r>
        <w:rPr>
          <w:rFonts w:ascii="Times New Roman"/>
          <w:highlight w:val="none"/>
        </w:rPr>
        <w:t>取用水量</w:t>
      </w:r>
      <w:r>
        <w:rPr>
          <w:rFonts w:hint="eastAsia" w:hAnsi="Cambria Math"/>
          <w:highlight w:val="none"/>
          <w:lang w:eastAsia="zh-CN"/>
        </w:rPr>
        <w:t>（</w:t>
      </w:r>
      <w:r>
        <w:rPr>
          <w:rFonts w:hint="eastAsia" w:hAnsi="Cambria Math"/>
          <w:highlight w:val="none"/>
          <w:lang w:val="en-US" w:eastAsia="zh-CN"/>
        </w:rPr>
        <w:t>万m³</w:t>
      </w:r>
      <w:r>
        <w:rPr>
          <w:rFonts w:hint="eastAsia" w:hAnsi="Cambria Math"/>
          <w:highlight w:val="none"/>
          <w:lang w:eastAsia="zh-CN"/>
        </w:rPr>
        <w:t>）</w:t>
      </w:r>
      <w:r>
        <w:rPr>
          <w:rFonts w:ascii="Times New Roman"/>
          <w:highlight w:val="none"/>
        </w:rPr>
        <w:t>；</w:t>
      </w:r>
    </w:p>
    <w:p>
      <w:pPr>
        <w:pStyle w:val="102"/>
        <w:pageBreakBefore w:val="0"/>
        <w:kinsoku/>
        <w:wordWrap/>
        <w:overflowPunct/>
        <w:topLinePunct w:val="0"/>
        <w:bidi w:val="0"/>
        <w:adjustRightInd w:val="0"/>
        <w:snapToGrid w:val="0"/>
        <w:spacing w:line="360" w:lineRule="auto"/>
        <w:ind w:firstLine="420"/>
        <w:jc w:val="left"/>
        <w:textAlignment w:val="auto"/>
        <w:rPr>
          <w:highlight w:val="none"/>
        </w:rPr>
      </w:pPr>
      <m:oMath>
        <m:sSub>
          <m:sSubPr>
            <m:ctrlPr>
              <w:rPr>
                <w:rFonts w:ascii="Cambria Math" w:hAnsi="Cambria Math"/>
                <w:i/>
                <w:iCs/>
                <w:highlight w:val="none"/>
              </w:rPr>
            </m:ctrlPr>
          </m:sSubPr>
          <m:e>
            <m:r>
              <m:rPr/>
              <w:rPr>
                <w:rFonts w:ascii="Cambria Math" w:hAnsi="Cambria Math"/>
                <w:highlight w:val="none"/>
              </w:rPr>
              <m:t>a</m:t>
            </m:r>
            <m:ctrlPr>
              <w:rPr>
                <w:rFonts w:ascii="Cambria Math" w:hAnsi="Cambria Math"/>
                <w:i/>
                <w:iCs/>
                <w:highlight w:val="none"/>
              </w:rPr>
            </m:ctrlPr>
          </m:e>
          <m:sub>
            <m:r>
              <m:rPr/>
              <w:rPr>
                <w:rFonts w:ascii="Cambria Math" w:hAnsi="Cambria Math"/>
                <w:highlight w:val="none"/>
              </w:rPr>
              <m:t>n</m:t>
            </m:r>
            <m:ctrlPr>
              <w:rPr>
                <w:rFonts w:ascii="Cambria Math" w:hAnsi="Cambria Math"/>
                <w:i/>
                <w:iCs/>
                <w:highlight w:val="none"/>
              </w:rPr>
            </m:ctrlPr>
          </m:sub>
        </m:sSub>
      </m:oMath>
      <w:r>
        <w:rPr>
          <w:rFonts w:ascii="Times New Roman"/>
          <w:highlight w:val="none"/>
        </w:rPr>
        <w:t>——第</w:t>
      </w:r>
      <w:r>
        <w:rPr>
          <w:rFonts w:ascii="Times New Roman"/>
          <w:i/>
          <w:iCs/>
          <w:highlight w:val="none"/>
        </w:rPr>
        <w:t>n</w:t>
      </w:r>
      <w:r>
        <w:rPr>
          <w:rFonts w:ascii="Times New Roman"/>
          <w:highlight w:val="none"/>
        </w:rPr>
        <w:t>类</w:t>
      </w:r>
      <w:r>
        <w:rPr>
          <w:rFonts w:hint="eastAsia" w:ascii="Times New Roman"/>
          <w:highlight w:val="none"/>
        </w:rPr>
        <w:t>作物灌溉面积</w:t>
      </w:r>
      <w:r>
        <w:rPr>
          <w:rFonts w:hint="eastAsia" w:hAnsi="Cambria Math"/>
          <w:highlight w:val="none"/>
          <w:lang w:eastAsia="zh-CN"/>
        </w:rPr>
        <w:t>（</w:t>
      </w:r>
      <w:r>
        <w:rPr>
          <w:rFonts w:hint="eastAsia" w:hAnsi="Cambria Math"/>
          <w:highlight w:val="none"/>
          <w:lang w:val="en-US" w:eastAsia="zh-CN"/>
        </w:rPr>
        <w:t>万m³</w:t>
      </w:r>
      <w:r>
        <w:rPr>
          <w:rFonts w:hint="eastAsia" w:hAnsi="Cambria Math"/>
          <w:highlight w:val="none"/>
          <w:lang w:eastAsia="zh-CN"/>
        </w:rPr>
        <w:t>）</w:t>
      </w:r>
      <w:r>
        <w:rPr>
          <w:highlight w:val="none"/>
        </w:rPr>
        <w:t>。</w:t>
      </w:r>
    </w:p>
    <w:p>
      <w:pPr>
        <w:pageBreakBefore w:val="0"/>
        <w:kinsoku/>
        <w:wordWrap/>
        <w:overflowPunct/>
        <w:topLinePunct w:val="0"/>
        <w:autoSpaceDE w:val="0"/>
        <w:autoSpaceDN w:val="0"/>
        <w:bidi w:val="0"/>
        <w:adjustRightInd w:val="0"/>
        <w:snapToGrid w:val="0"/>
        <w:spacing w:line="360" w:lineRule="auto"/>
        <w:jc w:val="left"/>
        <w:textAlignment w:val="auto"/>
        <w:rPr>
          <w:rFonts w:ascii="黑体" w:hAnsi="黑体" w:eastAsia="黑体" w:cs="黑体"/>
          <w:bCs/>
          <w:szCs w:val="21"/>
          <w:highlight w:val="none"/>
        </w:rPr>
      </w:pPr>
      <w:r>
        <w:rPr>
          <w:rFonts w:hint="eastAsia" w:ascii="黑体" w:hAnsi="黑体" w:eastAsia="黑体" w:cs="黑体"/>
          <w:bCs/>
          <w:szCs w:val="21"/>
          <w:highlight w:val="none"/>
        </w:rPr>
        <mc:AlternateContent>
          <mc:Choice Requires="wps">
            <w:drawing>
              <wp:anchor distT="0" distB="0" distL="114300" distR="114300" simplePos="0" relativeHeight="251668480" behindDoc="0" locked="0" layoutInCell="1" allowOverlap="1">
                <wp:simplePos x="0" y="0"/>
                <wp:positionH relativeFrom="column">
                  <wp:posOffset>5694045</wp:posOffset>
                </wp:positionH>
                <wp:positionV relativeFrom="paragraph">
                  <wp:posOffset>190500</wp:posOffset>
                </wp:positionV>
                <wp:extent cx="381000" cy="1650365"/>
                <wp:effectExtent l="0" t="0" r="0" b="0"/>
                <wp:wrapNone/>
                <wp:docPr id="13" name="Rectangle 173"/>
                <wp:cNvGraphicFramePr/>
                <a:graphic xmlns:a="http://schemas.openxmlformats.org/drawingml/2006/main">
                  <a:graphicData uri="http://schemas.microsoft.com/office/word/2010/wordprocessingShape">
                    <wps:wsp>
                      <wps:cNvSpPr>
                        <a:spLocks noChangeArrowheads="1"/>
                      </wps:cNvSpPr>
                      <wps:spPr bwMode="auto">
                        <a:xfrm>
                          <a:off x="0" y="0"/>
                          <a:ext cx="381000" cy="1650365"/>
                        </a:xfrm>
                        <a:prstGeom prst="rect">
                          <a:avLst/>
                        </a:prstGeom>
                        <a:noFill/>
                        <a:ln>
                          <a:noFill/>
                        </a:ln>
                      </wps:spPr>
                      <wps:txbx>
                        <w:txbxContent>
                          <w:p>
                            <w:r>
                              <w:rPr>
                                <w:rFonts w:hint="eastAsia"/>
                              </w:rPr>
                              <w:t>DB1</w:t>
                            </w:r>
                            <w:r>
                              <w:t>3</w:t>
                            </w:r>
                            <w:r>
                              <w:rPr>
                                <w:rFonts w:hint="eastAsia"/>
                              </w:rPr>
                              <w:t xml:space="preserve">/T </w:t>
                            </w:r>
                            <w:r>
                              <w:t>××××—202</w:t>
                            </w:r>
                            <w:r>
                              <w:rPr>
                                <w:rFonts w:hint="eastAsia"/>
                              </w:rPr>
                              <w:t>2</w:t>
                            </w:r>
                          </w:p>
                        </w:txbxContent>
                      </wps:txbx>
                      <wps:bodyPr rot="0" vert="vert270" wrap="square" lIns="91440" tIns="45720" rIns="91440" bIns="45720" anchor="t" anchorCtr="0" upright="1">
                        <a:noAutofit/>
                      </wps:bodyPr>
                    </wps:wsp>
                  </a:graphicData>
                </a:graphic>
              </wp:anchor>
            </w:drawing>
          </mc:Choice>
          <mc:Fallback>
            <w:pict>
              <v:rect id="Rectangle 173" o:spid="_x0000_s1026" o:spt="1" style="position:absolute;left:0pt;margin-left:448.35pt;margin-top:15pt;height:129.95pt;width:30pt;z-index:251668480;mso-width-relative:page;mso-height-relative:page;" filled="f" stroked="f" coordsize="21600,21600" o:gfxdata="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tkCJDNkAAAAKAQAADwAAAAAAAAABACAAAAAiAAAA&#10;ZHJzL2Rvd25yZXYueG1sUEsBAhQAFAAAAAgAh07iQOMYKw4GAgAAEQQAAA4AAAAAAAAAAQAgAAAA&#10;KAEAAGRycy9lMm9Eb2MueG1sUEsFBgAAAAAGAAYAWQEAAKAFAAAAAA==&#10;">
                <v:fill on="f" focussize="0,0"/>
                <v:stroke on="f"/>
                <v:imagedata o:title=""/>
                <o:lock v:ext="edit" aspectratio="f"/>
                <v:textbox style="layout-flow:vertical;mso-layout-flow-alt:bottom-to-top;">
                  <w:txbxContent>
                    <w:p>
                      <w:r>
                        <w:rPr>
                          <w:rFonts w:hint="eastAsia"/>
                        </w:rPr>
                        <w:t>DB1</w:t>
                      </w:r>
                      <w:r>
                        <w:t>3</w:t>
                      </w:r>
                      <w:r>
                        <w:rPr>
                          <w:rFonts w:hint="eastAsia"/>
                        </w:rPr>
                        <w:t xml:space="preserve">/T </w:t>
                      </w:r>
                      <w:r>
                        <w:t>××××—202</w:t>
                      </w:r>
                      <w:r>
                        <w:rPr>
                          <w:rFonts w:hint="eastAsia"/>
                        </w:rPr>
                        <w:t>2</w:t>
                      </w:r>
                    </w:p>
                  </w:txbxContent>
                </v:textbox>
              </v:rect>
            </w:pict>
          </mc:Fallback>
        </mc:AlternateContent>
      </w:r>
      <w:r>
        <w:rPr>
          <w:rFonts w:hint="eastAsia" w:ascii="黑体" w:hAnsi="黑体" w:eastAsia="黑体" w:cs="黑体"/>
          <w:bCs/>
          <w:szCs w:val="21"/>
          <w:highlight w:val="none"/>
        </w:rPr>
        <w:t>B.1.2平水条件下农业地下水开采量折算</w:t>
      </w:r>
    </w:p>
    <w:p>
      <w:pPr>
        <w:pStyle w:val="102"/>
        <w:pageBreakBefore w:val="0"/>
        <w:kinsoku/>
        <w:wordWrap/>
        <w:overflowPunct/>
        <w:topLinePunct w:val="0"/>
        <w:bidi w:val="0"/>
        <w:adjustRightInd w:val="0"/>
        <w:snapToGrid w:val="0"/>
        <w:spacing w:before="156" w:after="156" w:line="360" w:lineRule="auto"/>
        <w:ind w:firstLine="0" w:firstLineChars="0"/>
        <w:jc w:val="left"/>
        <w:textAlignment w:val="auto"/>
        <w:rPr>
          <w:rFonts w:hAnsi="Cambria Math"/>
          <w:highlight w:val="none"/>
        </w:rPr>
      </w:pPr>
      <w:r>
        <w:rPr>
          <w:rFonts w:hAnsi="Cambria Math"/>
          <w:highlight w:val="none"/>
        </w:rPr>
        <w:t>平水条件下农业地下水开采量按公式(B.</w:t>
      </w:r>
      <w:r>
        <w:rPr>
          <w:rFonts w:hint="eastAsia" w:hAnsi="Cambria Math"/>
          <w:highlight w:val="none"/>
        </w:rPr>
        <w:t>3</w:t>
      </w:r>
      <w:r>
        <w:rPr>
          <w:rFonts w:hAnsi="Cambria Math"/>
          <w:highlight w:val="none"/>
        </w:rPr>
        <w:t>）折算</w:t>
      </w:r>
      <w:r>
        <w:rPr>
          <w:rFonts w:hint="eastAsia" w:hAnsi="Cambria Math"/>
          <w:highlight w:val="none"/>
        </w:rPr>
        <w:t>:</w:t>
      </w:r>
    </w:p>
    <w:p>
      <w:pPr>
        <w:pStyle w:val="102"/>
        <w:pageBreakBefore w:val="0"/>
        <w:kinsoku/>
        <w:wordWrap/>
        <w:overflowPunct/>
        <w:topLinePunct w:val="0"/>
        <w:bidi w:val="0"/>
        <w:adjustRightInd w:val="0"/>
        <w:snapToGrid w:val="0"/>
        <w:spacing w:line="360" w:lineRule="auto"/>
        <w:ind w:firstLine="0" w:firstLineChars="0"/>
        <w:jc w:val="right"/>
        <w:textAlignment w:val="auto"/>
        <w:rPr>
          <w:highlight w:val="none"/>
        </w:rPr>
      </w:pPr>
      <m:oMath>
        <m:sSub>
          <m:sSubPr>
            <m:ctrlPr>
              <w:rPr>
                <w:rFonts w:ascii="Cambria Math" w:hAnsi="Cambria Math"/>
                <w:highlight w:val="none"/>
              </w:rPr>
            </m:ctrlPr>
          </m:sSubPr>
          <m:e>
            <m:r>
              <m:rPr/>
              <w:rPr>
                <w:rFonts w:ascii="Cambria Math" w:hAnsi="Cambria Math"/>
                <w:highlight w:val="none"/>
              </w:rPr>
              <m:t>Q</m:t>
            </m:r>
            <m:ctrlPr>
              <w:rPr>
                <w:rFonts w:ascii="Cambria Math" w:hAnsi="Cambria Math"/>
                <w:highlight w:val="none"/>
              </w:rPr>
            </m:ctrlPr>
          </m:e>
          <m:sub>
            <m:r>
              <m:rPr>
                <m:sty m:val="p"/>
              </m:rPr>
              <w:rPr>
                <w:rFonts w:hint="eastAsia" w:ascii="Cambria Math" w:hAnsi="Cambria Math"/>
                <w:highlight w:val="none"/>
              </w:rPr>
              <m:t>平水</m:t>
            </m:r>
            <m:ctrlPr>
              <w:rPr>
                <w:rFonts w:ascii="Cambria Math" w:hAnsi="Cambria Math"/>
                <w:highlight w:val="none"/>
              </w:rPr>
            </m:ctrlPr>
          </m:sub>
        </m:sSub>
        <m:r>
          <m:rPr>
            <m:sty m:val="p"/>
          </m:rPr>
          <w:rPr>
            <w:rFonts w:ascii="Cambria Math" w:hAnsi="Cambria Math"/>
            <w:highlight w:val="none"/>
          </w:rPr>
          <m:t>=</m:t>
        </m:r>
        <m:sSub>
          <m:sSubPr>
            <m:ctrlPr>
              <w:rPr>
                <w:rFonts w:ascii="Cambria Math" w:hAnsi="Cambria Math"/>
                <w:highlight w:val="none"/>
              </w:rPr>
            </m:ctrlPr>
          </m:sSubPr>
          <m:e>
            <m:r>
              <m:rPr/>
              <w:rPr>
                <w:rFonts w:ascii="Cambria Math" w:hAnsi="Cambria Math"/>
                <w:highlight w:val="none"/>
              </w:rPr>
              <m:t>Q</m:t>
            </m:r>
            <m:ctrlPr>
              <w:rPr>
                <w:rFonts w:ascii="Cambria Math" w:hAnsi="Cambria Math"/>
                <w:highlight w:val="none"/>
              </w:rPr>
            </m:ctrlPr>
          </m:e>
          <m:sub>
            <m:r>
              <m:rPr>
                <m:sty m:val="p"/>
              </m:rPr>
              <w:rPr>
                <w:rFonts w:hint="eastAsia" w:ascii="Cambria Math" w:hAnsi="Cambria Math"/>
                <w:highlight w:val="none"/>
              </w:rPr>
              <m:t>实际</m:t>
            </m:r>
            <m:ctrlPr>
              <w:rPr>
                <w:rFonts w:ascii="Cambria Math" w:hAnsi="Cambria Math"/>
                <w:highlight w:val="none"/>
              </w:rPr>
            </m:ctrlPr>
          </m:sub>
        </m:sSub>
        <m:r>
          <m:rPr>
            <m:sty m:val="p"/>
          </m:rPr>
          <w:rPr>
            <w:rFonts w:ascii="Cambria Math" w:hAnsi="Cambria Math"/>
            <w:highlight w:val="none"/>
          </w:rPr>
          <m:t>+σ∙</m:t>
        </m:r>
        <m:r>
          <m:rPr>
            <m:sty m:val="p"/>
          </m:rPr>
          <w:rPr>
            <w:rFonts w:hint="eastAsia" w:ascii="Cambria Math" w:hAnsi="Cambria Math"/>
            <w:highlight w:val="none"/>
          </w:rPr>
          <m:t>（</m:t>
        </m:r>
        <m:r>
          <m:rPr/>
          <w:rPr>
            <w:rFonts w:ascii="Cambria Math" w:hAnsi="Cambria Math"/>
            <w:highlight w:val="none"/>
          </w:rPr>
          <m:t>P</m:t>
        </m:r>
        <m:r>
          <m:rPr>
            <m:sty m:val="p"/>
          </m:rPr>
          <w:rPr>
            <w:rFonts w:ascii="Cambria Math" w:hAnsi="Cambria Math"/>
            <w:highlight w:val="none"/>
          </w:rPr>
          <m:t>−</m:t>
        </m:r>
        <m:sSub>
          <m:sSubPr>
            <m:ctrlPr>
              <w:rPr>
                <w:rFonts w:ascii="Cambria Math" w:hAnsi="Cambria Math"/>
                <w:i/>
                <w:iCs/>
                <w:highlight w:val="none"/>
              </w:rPr>
            </m:ctrlPr>
          </m:sSubPr>
          <m:e>
            <m:r>
              <m:rPr/>
              <w:rPr>
                <w:rFonts w:ascii="Cambria Math" w:hAnsi="Cambria Math"/>
                <w:highlight w:val="none"/>
              </w:rPr>
              <m:t>P</m:t>
            </m:r>
            <m:ctrlPr>
              <w:rPr>
                <w:rFonts w:ascii="Cambria Math" w:hAnsi="Cambria Math"/>
                <w:i/>
                <w:iCs/>
                <w:highlight w:val="none"/>
              </w:rPr>
            </m:ctrlPr>
          </m:e>
          <m:sub>
            <m:r>
              <m:rPr/>
              <w:rPr>
                <w:rFonts w:ascii="Cambria Math" w:hAnsi="Cambria Math"/>
                <w:highlight w:val="none"/>
              </w:rPr>
              <m:t>50</m:t>
            </m:r>
            <m:ctrlPr>
              <w:rPr>
                <w:rFonts w:ascii="Cambria Math" w:hAnsi="Cambria Math"/>
                <w:i/>
                <w:iCs/>
                <w:highlight w:val="none"/>
              </w:rPr>
            </m:ctrlPr>
          </m:sub>
        </m:sSub>
        <m:r>
          <m:rPr>
            <m:sty m:val="p"/>
          </m:rPr>
          <w:rPr>
            <w:rFonts w:hint="eastAsia" w:ascii="Cambria Math" w:hAnsi="Cambria Math"/>
            <w:highlight w:val="none"/>
          </w:rPr>
          <m:t>）</m:t>
        </m:r>
        <m:r>
          <m:rPr>
            <m:sty m:val="p"/>
          </m:rPr>
          <w:rPr>
            <w:rFonts w:ascii="Cambria Math" w:hAnsi="Cambria Math"/>
            <w:highlight w:val="none"/>
          </w:rPr>
          <m:t>∙</m:t>
        </m:r>
        <m:r>
          <m:rPr/>
          <w:rPr>
            <w:rFonts w:ascii="Cambria Math" w:hAnsi="Cambria Math"/>
            <w:highlight w:val="none"/>
          </w:rPr>
          <m:t>F</m:t>
        </m:r>
      </m:oMath>
      <w:r>
        <w:rPr>
          <w:rFonts w:hint="eastAsia" w:hAnsi="Cambria Math"/>
          <w:iCs/>
          <w:highlight w:val="none"/>
        </w:rPr>
        <w:t xml:space="preserve">                   </w:t>
      </w:r>
      <w:r>
        <w:rPr>
          <w:rFonts w:hint="eastAsia"/>
          <w:highlight w:val="none"/>
        </w:rPr>
        <w:t>(B.3)</w:t>
      </w:r>
    </w:p>
    <w:p>
      <w:pPr>
        <w:pStyle w:val="102"/>
        <w:pageBreakBefore w:val="0"/>
        <w:kinsoku/>
        <w:wordWrap/>
        <w:overflowPunct/>
        <w:topLinePunct w:val="0"/>
        <w:bidi w:val="0"/>
        <w:adjustRightInd w:val="0"/>
        <w:snapToGrid w:val="0"/>
        <w:spacing w:line="360" w:lineRule="auto"/>
        <w:ind w:firstLine="420"/>
        <w:jc w:val="left"/>
        <w:textAlignment w:val="auto"/>
        <w:rPr>
          <w:highlight w:val="none"/>
        </w:rPr>
      </w:pPr>
      <w:r>
        <w:rPr>
          <w:rFonts w:hint="eastAsia"/>
          <w:highlight w:val="none"/>
        </w:rPr>
        <w:t>式中：</w:t>
      </w:r>
    </w:p>
    <w:p>
      <w:pPr>
        <w:pStyle w:val="102"/>
        <w:pageBreakBefore w:val="0"/>
        <w:kinsoku/>
        <w:wordWrap/>
        <w:overflowPunct/>
        <w:topLinePunct w:val="0"/>
        <w:bidi w:val="0"/>
        <w:adjustRightInd w:val="0"/>
        <w:snapToGrid w:val="0"/>
        <w:spacing w:line="360" w:lineRule="auto"/>
        <w:ind w:firstLine="420"/>
        <w:jc w:val="left"/>
        <w:textAlignment w:val="auto"/>
        <w:rPr>
          <w:highlight w:val="none"/>
        </w:rPr>
      </w:pPr>
      <m:oMath>
        <m:sSub>
          <m:sSubPr>
            <m:ctrlPr>
              <w:rPr>
                <w:rFonts w:ascii="Cambria Math" w:hAnsi="Cambria Math"/>
                <w:highlight w:val="none"/>
              </w:rPr>
            </m:ctrlPr>
          </m:sSubPr>
          <m:e>
            <m:r>
              <m:rPr/>
              <w:rPr>
                <w:rFonts w:ascii="Cambria Math" w:hAnsi="Cambria Math"/>
                <w:highlight w:val="none"/>
              </w:rPr>
              <m:t>Q</m:t>
            </m:r>
            <m:ctrlPr>
              <w:rPr>
                <w:rFonts w:ascii="Cambria Math" w:hAnsi="Cambria Math"/>
                <w:highlight w:val="none"/>
              </w:rPr>
            </m:ctrlPr>
          </m:e>
          <m:sub>
            <m:r>
              <m:rPr>
                <m:sty m:val="p"/>
              </m:rPr>
              <w:rPr>
                <w:rFonts w:hint="eastAsia" w:ascii="Cambria Math" w:hAnsi="Cambria Math"/>
                <w:highlight w:val="none"/>
              </w:rPr>
              <m:t>平水</m:t>
            </m:r>
            <m:ctrlPr>
              <w:rPr>
                <w:rFonts w:ascii="Cambria Math" w:hAnsi="Cambria Math"/>
                <w:highlight w:val="none"/>
              </w:rPr>
            </m:ctrlPr>
          </m:sub>
        </m:sSub>
      </m:oMath>
      <w:r>
        <w:rPr>
          <w:highlight w:val="none"/>
        </w:rPr>
        <w:t>——</w:t>
      </w:r>
      <w:r>
        <w:rPr>
          <w:rFonts w:hint="eastAsia"/>
          <w:highlight w:val="none"/>
        </w:rPr>
        <w:t>平水条件下农业地下水开采量</w:t>
      </w:r>
      <w:r>
        <w:rPr>
          <w:rFonts w:hint="eastAsia" w:hAnsi="Cambria Math"/>
          <w:highlight w:val="none"/>
          <w:lang w:eastAsia="zh-CN"/>
        </w:rPr>
        <w:t>（</w:t>
      </w:r>
      <w:r>
        <w:rPr>
          <w:rFonts w:hint="eastAsia" w:hAnsi="Cambria Math"/>
          <w:highlight w:val="none"/>
          <w:lang w:val="en-US" w:eastAsia="zh-CN"/>
        </w:rPr>
        <w:t>万m³</w:t>
      </w:r>
      <w:r>
        <w:rPr>
          <w:rFonts w:hint="eastAsia" w:hAnsi="Cambria Math"/>
          <w:highlight w:val="none"/>
          <w:lang w:eastAsia="zh-CN"/>
        </w:rPr>
        <w:t>）</w:t>
      </w:r>
      <w:r>
        <w:rPr>
          <w:rFonts w:hint="eastAsia"/>
          <w:highlight w:val="none"/>
        </w:rPr>
        <w:t>；</w:t>
      </w:r>
    </w:p>
    <w:p>
      <w:pPr>
        <w:pStyle w:val="102"/>
        <w:pageBreakBefore w:val="0"/>
        <w:kinsoku/>
        <w:wordWrap/>
        <w:overflowPunct/>
        <w:topLinePunct w:val="0"/>
        <w:bidi w:val="0"/>
        <w:adjustRightInd w:val="0"/>
        <w:snapToGrid w:val="0"/>
        <w:spacing w:line="360" w:lineRule="auto"/>
        <w:ind w:firstLine="420"/>
        <w:jc w:val="left"/>
        <w:textAlignment w:val="auto"/>
        <w:rPr>
          <w:highlight w:val="none"/>
        </w:rPr>
      </w:pPr>
      <m:oMath>
        <m:r>
          <m:rPr>
            <m:sty m:val="p"/>
          </m:rPr>
          <w:rPr>
            <w:rFonts w:ascii="Cambria Math" w:hAnsi="Cambria Math"/>
            <w:highlight w:val="none"/>
          </w:rPr>
          <m:t>σ</m:t>
        </m:r>
      </m:oMath>
      <w:r>
        <w:rPr>
          <w:highlight w:val="none"/>
        </w:rPr>
        <w:t>——</w:t>
      </w:r>
      <w:r>
        <w:rPr>
          <w:rFonts w:hint="eastAsia"/>
          <w:highlight w:val="none"/>
        </w:rPr>
        <w:t>降水有效利用系数，可根据实验资料或已有成果确定；</w:t>
      </w:r>
    </w:p>
    <w:p>
      <w:pPr>
        <w:pStyle w:val="102"/>
        <w:pageBreakBefore w:val="0"/>
        <w:kinsoku/>
        <w:wordWrap/>
        <w:overflowPunct/>
        <w:topLinePunct w:val="0"/>
        <w:bidi w:val="0"/>
        <w:adjustRightInd w:val="0"/>
        <w:snapToGrid w:val="0"/>
        <w:spacing w:line="360" w:lineRule="auto"/>
        <w:ind w:firstLine="420"/>
        <w:jc w:val="left"/>
        <w:textAlignment w:val="auto"/>
        <w:rPr>
          <w:highlight w:val="none"/>
        </w:rPr>
      </w:pPr>
      <m:oMath>
        <m:r>
          <m:rPr/>
          <w:rPr>
            <w:rFonts w:ascii="Cambria Math" w:hAnsi="Cambria Math"/>
            <w:highlight w:val="none"/>
          </w:rPr>
          <m:t>P</m:t>
        </m:r>
      </m:oMath>
      <w:r>
        <w:rPr>
          <w:highlight w:val="none"/>
        </w:rPr>
        <w:t>——</w:t>
      </w:r>
      <w:r>
        <w:rPr>
          <w:rFonts w:hint="eastAsia"/>
          <w:highlight w:val="none"/>
        </w:rPr>
        <w:t>实际降水量</w:t>
      </w:r>
      <w:r>
        <w:rPr>
          <w:rFonts w:hint="eastAsia" w:hAnsi="Cambria Math"/>
          <w:highlight w:val="none"/>
          <w:lang w:eastAsia="zh-CN"/>
        </w:rPr>
        <w:t>（</w:t>
      </w:r>
      <w:r>
        <w:rPr>
          <w:rFonts w:hint="eastAsia" w:hAnsi="Cambria Math"/>
          <w:highlight w:val="none"/>
          <w:lang w:val="en-US" w:eastAsia="zh-CN"/>
        </w:rPr>
        <w:t>mm</w:t>
      </w:r>
      <w:r>
        <w:rPr>
          <w:rFonts w:hint="eastAsia" w:hAnsi="Cambria Math"/>
          <w:highlight w:val="none"/>
          <w:lang w:eastAsia="zh-CN"/>
        </w:rPr>
        <w:t>）</w:t>
      </w:r>
      <w:r>
        <w:rPr>
          <w:rFonts w:hint="eastAsia"/>
          <w:highlight w:val="none"/>
        </w:rPr>
        <w:t>；</w:t>
      </w:r>
    </w:p>
    <w:p>
      <w:pPr>
        <w:pStyle w:val="102"/>
        <w:pageBreakBefore w:val="0"/>
        <w:kinsoku/>
        <w:wordWrap/>
        <w:overflowPunct/>
        <w:topLinePunct w:val="0"/>
        <w:bidi w:val="0"/>
        <w:adjustRightInd w:val="0"/>
        <w:snapToGrid w:val="0"/>
        <w:spacing w:line="360" w:lineRule="auto"/>
        <w:ind w:firstLine="420"/>
        <w:jc w:val="left"/>
        <w:textAlignment w:val="auto"/>
        <w:rPr>
          <w:highlight w:val="none"/>
        </w:rPr>
      </w:pPr>
      <m:oMath>
        <m:sSub>
          <m:sSubPr>
            <m:ctrlPr>
              <w:rPr>
                <w:rFonts w:ascii="Cambria Math" w:hAnsi="Cambria Math"/>
                <w:i/>
                <w:iCs/>
                <w:highlight w:val="none"/>
              </w:rPr>
            </m:ctrlPr>
          </m:sSubPr>
          <m:e>
            <m:r>
              <m:rPr/>
              <w:rPr>
                <w:rFonts w:ascii="Cambria Math" w:hAnsi="Cambria Math"/>
                <w:highlight w:val="none"/>
              </w:rPr>
              <m:t>P</m:t>
            </m:r>
            <m:ctrlPr>
              <w:rPr>
                <w:rFonts w:ascii="Cambria Math" w:hAnsi="Cambria Math"/>
                <w:i/>
                <w:iCs/>
                <w:highlight w:val="none"/>
              </w:rPr>
            </m:ctrlPr>
          </m:e>
          <m:sub>
            <m:r>
              <m:rPr/>
              <w:rPr>
                <w:rFonts w:ascii="Cambria Math" w:hAnsi="Cambria Math"/>
                <w:highlight w:val="none"/>
              </w:rPr>
              <m:t>50</m:t>
            </m:r>
            <m:ctrlPr>
              <w:rPr>
                <w:rFonts w:ascii="Cambria Math" w:hAnsi="Cambria Math"/>
                <w:i/>
                <w:iCs/>
                <w:highlight w:val="none"/>
              </w:rPr>
            </m:ctrlPr>
          </m:sub>
        </m:sSub>
      </m:oMath>
      <w:r>
        <w:rPr>
          <w:highlight w:val="none"/>
        </w:rPr>
        <w:t>——</w:t>
      </w:r>
      <w:r>
        <w:rPr>
          <w:rFonts w:hint="eastAsia"/>
          <w:highlight w:val="none"/>
        </w:rPr>
        <w:t>平水条件下的降水量，即长系列降水资料中频率为50%的降水量</w:t>
      </w:r>
      <w:r>
        <w:rPr>
          <w:rFonts w:hint="eastAsia" w:hAnsi="Cambria Math"/>
          <w:highlight w:val="none"/>
          <w:lang w:eastAsia="zh-CN"/>
        </w:rPr>
        <w:t>（</w:t>
      </w:r>
      <w:r>
        <w:rPr>
          <w:rFonts w:hint="eastAsia" w:hAnsi="Cambria Math"/>
          <w:highlight w:val="none"/>
          <w:lang w:val="en-US" w:eastAsia="zh-CN"/>
        </w:rPr>
        <w:t>mm</w:t>
      </w:r>
      <w:r>
        <w:rPr>
          <w:rFonts w:hint="eastAsia" w:hAnsi="Cambria Math"/>
          <w:highlight w:val="none"/>
          <w:lang w:eastAsia="zh-CN"/>
        </w:rPr>
        <w:t>）</w:t>
      </w:r>
      <w:r>
        <w:rPr>
          <w:rFonts w:hint="eastAsia"/>
          <w:highlight w:val="none"/>
        </w:rPr>
        <w:t>。对30年以上的长系列降水资料进行排频，并采用皮尔逊III型进行适配，在频率曲线中查找降水频率为50%的降水量；</w:t>
      </w:r>
    </w:p>
    <w:p>
      <w:pPr>
        <w:pStyle w:val="102"/>
        <w:pageBreakBefore w:val="0"/>
        <w:kinsoku/>
        <w:wordWrap/>
        <w:overflowPunct/>
        <w:topLinePunct w:val="0"/>
        <w:bidi w:val="0"/>
        <w:adjustRightInd w:val="0"/>
        <w:snapToGrid w:val="0"/>
        <w:spacing w:line="360" w:lineRule="auto"/>
        <w:ind w:firstLine="420"/>
        <w:jc w:val="left"/>
        <w:textAlignment w:val="auto"/>
        <w:rPr>
          <w:highlight w:val="none"/>
        </w:rPr>
      </w:pPr>
      <w:r>
        <w:rPr>
          <w:rFonts w:hint="eastAsia"/>
          <w:highlight w:val="none"/>
        </w:rPr>
        <w:t>F</w:t>
      </w:r>
      <w:r>
        <w:rPr>
          <w:highlight w:val="none"/>
        </w:rPr>
        <w:t>——</w:t>
      </w:r>
      <w:r>
        <w:rPr>
          <w:rFonts w:hint="eastAsia"/>
          <w:highlight w:val="none"/>
        </w:rPr>
        <w:t>农作物井灌面积</w:t>
      </w:r>
      <w:r>
        <w:rPr>
          <w:rFonts w:hint="eastAsia" w:hAnsi="Cambria Math"/>
          <w:highlight w:val="none"/>
          <w:lang w:eastAsia="zh-CN"/>
        </w:rPr>
        <w:t>（</w:t>
      </w:r>
      <w:r>
        <w:rPr>
          <w:rFonts w:hint="eastAsia" w:hAnsi="Cambria Math"/>
          <w:highlight w:val="none"/>
          <w:lang w:val="en-US" w:eastAsia="zh-CN"/>
        </w:rPr>
        <w:t>万亩</w:t>
      </w:r>
      <w:r>
        <w:rPr>
          <w:rFonts w:hint="eastAsia" w:hAnsi="Cambria Math"/>
          <w:highlight w:val="none"/>
          <w:lang w:eastAsia="zh-CN"/>
        </w:rPr>
        <w:t>）</w:t>
      </w:r>
      <w:r>
        <w:rPr>
          <w:rFonts w:hint="eastAsia"/>
          <w:highlight w:val="none"/>
        </w:rPr>
        <w:t>。</w:t>
      </w:r>
    </w:p>
    <w:p>
      <w:pPr>
        <w:pageBreakBefore w:val="0"/>
        <w:kinsoku/>
        <w:wordWrap/>
        <w:overflowPunct/>
        <w:topLinePunct w:val="0"/>
        <w:autoSpaceDE w:val="0"/>
        <w:autoSpaceDN w:val="0"/>
        <w:bidi w:val="0"/>
        <w:adjustRightInd w:val="0"/>
        <w:snapToGrid w:val="0"/>
        <w:spacing w:line="360" w:lineRule="auto"/>
        <w:jc w:val="left"/>
        <w:textAlignment w:val="auto"/>
        <w:rPr>
          <w:rFonts w:ascii="黑体" w:hAnsi="黑体" w:eastAsia="黑体" w:cs="黑体"/>
          <w:bCs/>
          <w:szCs w:val="21"/>
          <w:highlight w:val="none"/>
        </w:rPr>
      </w:pPr>
      <w:r>
        <w:rPr>
          <w:rFonts w:hint="eastAsia" w:ascii="黑体" w:hAnsi="黑体" w:eastAsia="黑体" w:cs="黑体"/>
          <w:bCs/>
          <w:szCs w:val="21"/>
          <w:highlight w:val="none"/>
        </w:rPr>
        <mc:AlternateContent>
          <mc:Choice Requires="wps">
            <w:drawing>
              <wp:anchor distT="0" distB="0" distL="114300" distR="114300" simplePos="0" relativeHeight="251669504" behindDoc="0" locked="0" layoutInCell="1" allowOverlap="1">
                <wp:simplePos x="0" y="0"/>
                <wp:positionH relativeFrom="column">
                  <wp:posOffset>5694045</wp:posOffset>
                </wp:positionH>
                <wp:positionV relativeFrom="paragraph">
                  <wp:posOffset>190500</wp:posOffset>
                </wp:positionV>
                <wp:extent cx="381000" cy="1650365"/>
                <wp:effectExtent l="0" t="0" r="0" b="0"/>
                <wp:wrapNone/>
                <wp:docPr id="12" name="Rectangle 173"/>
                <wp:cNvGraphicFramePr/>
                <a:graphic xmlns:a="http://schemas.openxmlformats.org/drawingml/2006/main">
                  <a:graphicData uri="http://schemas.microsoft.com/office/word/2010/wordprocessingShape">
                    <wps:wsp>
                      <wps:cNvSpPr>
                        <a:spLocks noChangeArrowheads="1"/>
                      </wps:cNvSpPr>
                      <wps:spPr bwMode="auto">
                        <a:xfrm>
                          <a:off x="0" y="0"/>
                          <a:ext cx="381000" cy="1650365"/>
                        </a:xfrm>
                        <a:prstGeom prst="rect">
                          <a:avLst/>
                        </a:prstGeom>
                        <a:noFill/>
                        <a:ln>
                          <a:noFill/>
                        </a:ln>
                      </wps:spPr>
                      <wps:txbx>
                        <w:txbxContent>
                          <w:p>
                            <w:r>
                              <w:rPr>
                                <w:rFonts w:hint="eastAsia"/>
                              </w:rPr>
                              <w:t>DB1</w:t>
                            </w:r>
                            <w:r>
                              <w:t>3</w:t>
                            </w:r>
                            <w:r>
                              <w:rPr>
                                <w:rFonts w:hint="eastAsia"/>
                              </w:rPr>
                              <w:t xml:space="preserve">/T </w:t>
                            </w:r>
                            <w:r>
                              <w:t>××××—202</w:t>
                            </w:r>
                            <w:r>
                              <w:rPr>
                                <w:rFonts w:hint="eastAsia"/>
                              </w:rPr>
                              <w:t>2</w:t>
                            </w:r>
                          </w:p>
                        </w:txbxContent>
                      </wps:txbx>
                      <wps:bodyPr rot="0" vert="vert270" wrap="square" lIns="91440" tIns="45720" rIns="91440" bIns="45720" anchor="t" anchorCtr="0" upright="1">
                        <a:noAutofit/>
                      </wps:bodyPr>
                    </wps:wsp>
                  </a:graphicData>
                </a:graphic>
              </wp:anchor>
            </w:drawing>
          </mc:Choice>
          <mc:Fallback>
            <w:pict>
              <v:rect id="Rectangle 173" o:spid="_x0000_s1026" o:spt="1" style="position:absolute;left:0pt;margin-left:448.35pt;margin-top:15pt;height:129.95pt;width:30pt;z-index:251669504;mso-width-relative:page;mso-height-relative:page;" filled="f" stroked="f" coordsize="21600,21600" o:gfxdata="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tkCJDNkAAAAKAQAADwAAAAAAAAABACAAAAAiAAAA&#10;ZHJzL2Rvd25yZXYueG1sUEsBAhQAFAAAAAgAh07iQCg9xYgGAgAAEQQAAA4AAAAAAAAAAQAgAAAA&#10;KAEAAGRycy9lMm9Eb2MueG1sUEsFBgAAAAAGAAYAWQEAAKAFAAAAAA==&#10;">
                <v:fill on="f" focussize="0,0"/>
                <v:stroke on="f"/>
                <v:imagedata o:title=""/>
                <o:lock v:ext="edit" aspectratio="f"/>
                <v:textbox style="layout-flow:vertical;mso-layout-flow-alt:bottom-to-top;">
                  <w:txbxContent>
                    <w:p>
                      <w:r>
                        <w:rPr>
                          <w:rFonts w:hint="eastAsia"/>
                        </w:rPr>
                        <w:t>DB1</w:t>
                      </w:r>
                      <w:r>
                        <w:t>3</w:t>
                      </w:r>
                      <w:r>
                        <w:rPr>
                          <w:rFonts w:hint="eastAsia"/>
                        </w:rPr>
                        <w:t xml:space="preserve">/T </w:t>
                      </w:r>
                      <w:r>
                        <w:t>××××—202</w:t>
                      </w:r>
                      <w:r>
                        <w:rPr>
                          <w:rFonts w:hint="eastAsia"/>
                        </w:rPr>
                        <w:t>2</w:t>
                      </w:r>
                    </w:p>
                  </w:txbxContent>
                </v:textbox>
              </v:rect>
            </w:pict>
          </mc:Fallback>
        </mc:AlternateContent>
      </w:r>
      <w:r>
        <w:rPr>
          <w:rFonts w:hint="eastAsia" w:ascii="黑体" w:hAnsi="黑体" w:eastAsia="黑体" w:cs="黑体"/>
          <w:bCs/>
          <w:szCs w:val="21"/>
          <w:highlight w:val="none"/>
        </w:rPr>
        <w:t>B.2平水条件下地下水水位折算</w:t>
      </w:r>
    </w:p>
    <w:p>
      <w:pPr>
        <w:pageBreakBefore w:val="0"/>
        <w:kinsoku/>
        <w:wordWrap/>
        <w:overflowPunct/>
        <w:topLinePunct w:val="0"/>
        <w:bidi w:val="0"/>
        <w:adjustRightInd w:val="0"/>
        <w:snapToGrid w:val="0"/>
        <w:spacing w:line="360" w:lineRule="auto"/>
        <w:ind w:firstLine="420" w:firstLineChars="200"/>
        <w:jc w:val="left"/>
        <w:textAlignment w:val="auto"/>
        <w:rPr>
          <w:rFonts w:ascii="宋体"/>
          <w:kern w:val="0"/>
          <w:highlight w:val="none"/>
        </w:rPr>
      </w:pPr>
      <w:r>
        <w:rPr>
          <w:rFonts w:hint="eastAsia" w:ascii="宋体"/>
          <w:kern w:val="0"/>
          <w:highlight w:val="none"/>
        </w:rPr>
        <w:t>平水条件下地下水水位折算按公式(B.4)计算:</w:t>
      </w:r>
    </w:p>
    <w:p>
      <w:pPr>
        <w:pStyle w:val="102"/>
        <w:pageBreakBefore w:val="0"/>
        <w:kinsoku/>
        <w:wordWrap/>
        <w:overflowPunct/>
        <w:topLinePunct w:val="0"/>
        <w:bidi w:val="0"/>
        <w:adjustRightInd w:val="0"/>
        <w:snapToGrid w:val="0"/>
        <w:spacing w:line="360" w:lineRule="auto"/>
        <w:ind w:firstLine="0" w:firstLineChars="0"/>
        <w:jc w:val="right"/>
        <w:textAlignment w:val="auto"/>
        <w:rPr>
          <w:highlight w:val="none"/>
        </w:rPr>
      </w:pPr>
      <m:oMath>
        <m:sSub>
          <m:sSubPr>
            <m:ctrlPr>
              <w:rPr>
                <w:rFonts w:ascii="Cambria Math" w:hAnsi="Cambria Math"/>
                <w:highlight w:val="none"/>
              </w:rPr>
            </m:ctrlPr>
          </m:sSubPr>
          <m:e>
            <m:r>
              <m:rPr/>
              <w:rPr>
                <w:rFonts w:ascii="Cambria Math" w:hAnsi="Cambria Math"/>
                <w:highlight w:val="none"/>
              </w:rPr>
              <m:t>H</m:t>
            </m:r>
            <m:ctrlPr>
              <w:rPr>
                <w:rFonts w:ascii="Cambria Math" w:hAnsi="Cambria Math"/>
                <w:highlight w:val="none"/>
              </w:rPr>
            </m:ctrlPr>
          </m:e>
          <m:sub>
            <m:r>
              <m:rPr>
                <m:sty m:val="p"/>
              </m:rPr>
              <w:rPr>
                <w:rFonts w:hint="eastAsia" w:ascii="Cambria Math" w:hAnsi="Cambria Math"/>
                <w:highlight w:val="none"/>
              </w:rPr>
              <m:t>平水</m:t>
            </m:r>
            <m:ctrlPr>
              <w:rPr>
                <w:rFonts w:ascii="Cambria Math" w:hAnsi="Cambria Math"/>
                <w:highlight w:val="none"/>
              </w:rPr>
            </m:ctrlPr>
          </m:sub>
        </m:sSub>
        <m:r>
          <m:rPr>
            <m:sty m:val="p"/>
          </m:rPr>
          <w:rPr>
            <w:rFonts w:ascii="Cambria Math" w:hAnsi="Cambria Math"/>
            <w:highlight w:val="none"/>
          </w:rPr>
          <m:t>=</m:t>
        </m:r>
        <m:sSub>
          <m:sSubPr>
            <m:ctrlPr>
              <w:rPr>
                <w:rFonts w:ascii="Cambria Math" w:hAnsi="Cambria Math"/>
                <w:highlight w:val="none"/>
              </w:rPr>
            </m:ctrlPr>
          </m:sSubPr>
          <m:e>
            <m:r>
              <m:rPr/>
              <w:rPr>
                <w:rFonts w:ascii="Cambria Math" w:hAnsi="Cambria Math"/>
                <w:highlight w:val="none"/>
              </w:rPr>
              <m:t>H</m:t>
            </m:r>
            <m:ctrlPr>
              <w:rPr>
                <w:rFonts w:ascii="Cambria Math" w:hAnsi="Cambria Math"/>
                <w:highlight w:val="none"/>
              </w:rPr>
            </m:ctrlPr>
          </m:e>
          <m:sub>
            <m:r>
              <m:rPr>
                <m:sty m:val="p"/>
              </m:rPr>
              <w:rPr>
                <w:rFonts w:hint="eastAsia" w:ascii="Cambria Math" w:hAnsi="Cambria Math"/>
                <w:highlight w:val="none"/>
              </w:rPr>
              <m:t>实际</m:t>
            </m:r>
            <m:ctrlPr>
              <w:rPr>
                <w:rFonts w:ascii="Cambria Math" w:hAnsi="Cambria Math"/>
                <w:highlight w:val="none"/>
              </w:rPr>
            </m:ctrlPr>
          </m:sub>
        </m:sSub>
        <m:r>
          <m:rPr>
            <m:sty m:val="p"/>
          </m:rPr>
          <w:rPr>
            <w:rFonts w:ascii="Cambria Math" w:hAnsi="Cambria Math"/>
            <w:highlight w:val="none"/>
          </w:rPr>
          <m:t>+</m:t>
        </m:r>
        <m:f>
          <m:fPr>
            <m:ctrlPr>
              <w:rPr>
                <w:rFonts w:ascii="Cambria Math" w:hAnsi="Cambria Math"/>
                <w:highlight w:val="none"/>
              </w:rPr>
            </m:ctrlPr>
          </m:fPr>
          <m:num>
            <m:r>
              <m:rPr>
                <m:sty m:val="p"/>
              </m:rPr>
              <w:rPr>
                <w:rFonts w:ascii="Cambria Math" w:hAnsi="Cambria Math"/>
                <w:highlight w:val="none"/>
              </w:rPr>
              <m:t>α∙</m:t>
            </m:r>
            <m:r>
              <m:rPr>
                <m:sty m:val="p"/>
              </m:rPr>
              <w:rPr>
                <w:rFonts w:hint="eastAsia" w:ascii="Cambria Math" w:hAnsi="Cambria Math"/>
                <w:highlight w:val="none"/>
              </w:rPr>
              <m:t>（</m:t>
            </m:r>
            <m:sSub>
              <m:sSubPr>
                <m:ctrlPr>
                  <w:rPr>
                    <w:rFonts w:ascii="Cambria Math" w:hAnsi="Cambria Math"/>
                    <w:i/>
                    <w:iCs/>
                    <w:highlight w:val="none"/>
                  </w:rPr>
                </m:ctrlPr>
              </m:sSubPr>
              <m:e>
                <m:r>
                  <m:rPr/>
                  <w:rPr>
                    <w:rFonts w:ascii="Cambria Math" w:hAnsi="Cambria Math"/>
                    <w:highlight w:val="none"/>
                  </w:rPr>
                  <m:t>P</m:t>
                </m:r>
                <m:ctrlPr>
                  <w:rPr>
                    <w:rFonts w:ascii="Cambria Math" w:hAnsi="Cambria Math"/>
                    <w:i/>
                    <w:iCs/>
                    <w:highlight w:val="none"/>
                  </w:rPr>
                </m:ctrlPr>
              </m:e>
              <m:sub>
                <m:r>
                  <m:rPr/>
                  <w:rPr>
                    <w:rFonts w:ascii="Cambria Math" w:hAnsi="Cambria Math"/>
                    <w:highlight w:val="none"/>
                  </w:rPr>
                  <m:t>50</m:t>
                </m:r>
                <m:ctrlPr>
                  <w:rPr>
                    <w:rFonts w:ascii="Cambria Math" w:hAnsi="Cambria Math"/>
                    <w:i/>
                    <w:iCs/>
                    <w:highlight w:val="none"/>
                  </w:rPr>
                </m:ctrlPr>
              </m:sub>
            </m:sSub>
            <m:r>
              <m:rPr/>
              <w:rPr>
                <w:rFonts w:ascii="Cambria Math" w:hAnsi="Cambria Math"/>
                <w:highlight w:val="none"/>
              </w:rPr>
              <m:t>−P</m:t>
            </m:r>
            <m:r>
              <m:rPr>
                <m:sty m:val="p"/>
              </m:rPr>
              <w:rPr>
                <w:rFonts w:hint="eastAsia" w:ascii="Cambria Math" w:hAnsi="Cambria Math"/>
                <w:highlight w:val="none"/>
              </w:rPr>
              <m:t>）</m:t>
            </m:r>
            <m:ctrlPr>
              <w:rPr>
                <w:rFonts w:ascii="Cambria Math" w:hAnsi="Cambria Math"/>
                <w:highlight w:val="none"/>
              </w:rPr>
            </m:ctrlPr>
          </m:num>
          <m:den>
            <m:r>
              <m:rPr/>
              <w:rPr>
                <w:rFonts w:ascii="Cambria Math" w:hAnsi="Cambria Math"/>
                <w:highlight w:val="none"/>
              </w:rPr>
              <m:t>μ</m:t>
            </m:r>
            <m:ctrlPr>
              <w:rPr>
                <w:rFonts w:ascii="Cambria Math" w:hAnsi="Cambria Math"/>
                <w:highlight w:val="none"/>
              </w:rPr>
            </m:ctrlPr>
          </m:den>
        </m:f>
      </m:oMath>
      <w:r>
        <w:rPr>
          <w:rFonts w:hint="eastAsia" w:hAnsi="Cambria Math"/>
          <w:iCs/>
          <w:highlight w:val="none"/>
        </w:rPr>
        <w:t xml:space="preserve">                        </w:t>
      </w:r>
      <w:r>
        <w:rPr>
          <w:rFonts w:hint="eastAsia"/>
          <w:highlight w:val="none"/>
        </w:rPr>
        <w:t>(B.4)</w:t>
      </w:r>
    </w:p>
    <w:p>
      <w:pPr>
        <w:pStyle w:val="102"/>
        <w:pageBreakBefore w:val="0"/>
        <w:kinsoku/>
        <w:wordWrap/>
        <w:overflowPunct/>
        <w:topLinePunct w:val="0"/>
        <w:bidi w:val="0"/>
        <w:adjustRightInd w:val="0"/>
        <w:snapToGrid w:val="0"/>
        <w:spacing w:line="360" w:lineRule="auto"/>
        <w:ind w:firstLine="420"/>
        <w:jc w:val="left"/>
        <w:textAlignment w:val="auto"/>
        <w:rPr>
          <w:highlight w:val="none"/>
        </w:rPr>
      </w:pPr>
      <w:r>
        <w:rPr>
          <w:rFonts w:hint="eastAsia"/>
          <w:highlight w:val="none"/>
        </w:rPr>
        <w:t>式中：</w:t>
      </w:r>
    </w:p>
    <w:p>
      <w:pPr>
        <w:pStyle w:val="102"/>
        <w:pageBreakBefore w:val="0"/>
        <w:kinsoku/>
        <w:wordWrap/>
        <w:overflowPunct/>
        <w:topLinePunct w:val="0"/>
        <w:bidi w:val="0"/>
        <w:adjustRightInd w:val="0"/>
        <w:snapToGrid w:val="0"/>
        <w:spacing w:line="360" w:lineRule="auto"/>
        <w:ind w:firstLine="420"/>
        <w:jc w:val="left"/>
        <w:textAlignment w:val="auto"/>
        <w:rPr>
          <w:highlight w:val="none"/>
        </w:rPr>
      </w:pPr>
      <m:oMath>
        <m:sSub>
          <m:sSubPr>
            <m:ctrlPr>
              <w:rPr>
                <w:rFonts w:ascii="Cambria Math" w:hAnsi="Cambria Math"/>
                <w:highlight w:val="none"/>
              </w:rPr>
            </m:ctrlPr>
          </m:sSubPr>
          <m:e>
            <m:r>
              <m:rPr/>
              <w:rPr>
                <w:rFonts w:ascii="Cambria Math" w:hAnsi="Cambria Math"/>
                <w:highlight w:val="none"/>
              </w:rPr>
              <m:t>H</m:t>
            </m:r>
            <m:ctrlPr>
              <w:rPr>
                <w:rFonts w:ascii="Cambria Math" w:hAnsi="Cambria Math"/>
                <w:highlight w:val="none"/>
              </w:rPr>
            </m:ctrlPr>
          </m:e>
          <m:sub>
            <m:r>
              <m:rPr>
                <m:sty m:val="p"/>
              </m:rPr>
              <w:rPr>
                <w:rFonts w:hint="eastAsia" w:ascii="Cambria Math" w:hAnsi="Cambria Math"/>
                <w:highlight w:val="none"/>
              </w:rPr>
              <m:t>平水</m:t>
            </m:r>
            <m:ctrlPr>
              <w:rPr>
                <w:rFonts w:ascii="Cambria Math" w:hAnsi="Cambria Math"/>
                <w:highlight w:val="none"/>
              </w:rPr>
            </m:ctrlPr>
          </m:sub>
        </m:sSub>
      </m:oMath>
      <w:r>
        <w:rPr>
          <w:highlight w:val="none"/>
        </w:rPr>
        <w:t>——</w:t>
      </w:r>
      <w:r>
        <w:rPr>
          <w:rFonts w:hint="eastAsia"/>
          <w:highlight w:val="none"/>
        </w:rPr>
        <w:t>平水条件下地下水水位</w:t>
      </w:r>
      <w:r>
        <w:rPr>
          <w:rFonts w:hint="eastAsia" w:hAnsi="Cambria Math"/>
          <w:highlight w:val="none"/>
          <w:lang w:eastAsia="zh-CN"/>
        </w:rPr>
        <w:t>（</w:t>
      </w:r>
      <w:r>
        <w:rPr>
          <w:rFonts w:hint="eastAsia" w:hAnsi="Cambria Math"/>
          <w:highlight w:val="none"/>
          <w:lang w:val="en-US" w:eastAsia="zh-CN"/>
        </w:rPr>
        <w:t>m</w:t>
      </w:r>
      <w:r>
        <w:rPr>
          <w:rFonts w:hint="eastAsia" w:hAnsi="Cambria Math"/>
          <w:highlight w:val="none"/>
          <w:lang w:eastAsia="zh-CN"/>
        </w:rPr>
        <w:t>）</w:t>
      </w:r>
      <w:r>
        <w:rPr>
          <w:rFonts w:hint="eastAsia"/>
          <w:highlight w:val="none"/>
        </w:rPr>
        <w:t>；</w:t>
      </w:r>
    </w:p>
    <w:p>
      <w:pPr>
        <w:pageBreakBefore w:val="0"/>
        <w:kinsoku/>
        <w:wordWrap/>
        <w:overflowPunct/>
        <w:topLinePunct w:val="0"/>
        <w:bidi w:val="0"/>
        <w:adjustRightInd w:val="0"/>
        <w:snapToGrid w:val="0"/>
        <w:spacing w:line="360" w:lineRule="auto"/>
        <w:ind w:firstLine="420" w:firstLineChars="200"/>
        <w:jc w:val="left"/>
        <w:textAlignment w:val="auto"/>
        <w:rPr>
          <w:highlight w:val="none"/>
        </w:rPr>
      </w:pPr>
      <m:oMath>
        <m:sSub>
          <m:sSubPr>
            <m:ctrlPr>
              <w:rPr>
                <w:rFonts w:ascii="Cambria Math" w:hAnsi="Cambria Math"/>
                <w:highlight w:val="none"/>
              </w:rPr>
            </m:ctrlPr>
          </m:sSubPr>
          <m:e>
            <m:r>
              <m:rPr/>
              <w:rPr>
                <w:rFonts w:ascii="Cambria Math" w:hAnsi="Cambria Math"/>
                <w:highlight w:val="none"/>
              </w:rPr>
              <m:t>H</m:t>
            </m:r>
            <m:ctrlPr>
              <w:rPr>
                <w:rFonts w:ascii="Cambria Math" w:hAnsi="Cambria Math"/>
                <w:highlight w:val="none"/>
              </w:rPr>
            </m:ctrlPr>
          </m:e>
          <m:sub>
            <m:r>
              <m:rPr>
                <m:sty m:val="p"/>
              </m:rPr>
              <w:rPr>
                <w:rFonts w:hint="eastAsia" w:ascii="Cambria Math" w:hAnsi="Cambria Math"/>
                <w:highlight w:val="none"/>
              </w:rPr>
              <m:t>实际</m:t>
            </m:r>
            <m:ctrlPr>
              <w:rPr>
                <w:rFonts w:ascii="Cambria Math" w:hAnsi="Cambria Math"/>
                <w:highlight w:val="none"/>
              </w:rPr>
            </m:ctrlPr>
          </m:sub>
        </m:sSub>
      </m:oMath>
      <w:r>
        <w:rPr>
          <w:highlight w:val="none"/>
        </w:rPr>
        <w:t>——</w:t>
      </w:r>
      <w:r>
        <w:rPr>
          <w:rFonts w:hint="eastAsia"/>
          <w:highlight w:val="none"/>
        </w:rPr>
        <w:t>实际地下水水位</w:t>
      </w:r>
      <w:r>
        <w:rPr>
          <w:rFonts w:hint="eastAsia" w:hAnsi="Cambria Math"/>
          <w:highlight w:val="none"/>
          <w:lang w:eastAsia="zh-CN"/>
        </w:rPr>
        <w:t>（</w:t>
      </w:r>
      <w:r>
        <w:rPr>
          <w:rFonts w:hint="eastAsia" w:hAnsi="Cambria Math"/>
          <w:highlight w:val="none"/>
          <w:lang w:val="en-US" w:eastAsia="zh-CN"/>
        </w:rPr>
        <w:t>m</w:t>
      </w:r>
      <w:r>
        <w:rPr>
          <w:rFonts w:hint="eastAsia" w:hAnsi="Cambria Math"/>
          <w:highlight w:val="none"/>
          <w:lang w:eastAsia="zh-CN"/>
        </w:rPr>
        <w:t>）</w:t>
      </w:r>
      <w:r>
        <w:rPr>
          <w:rFonts w:hint="eastAsia"/>
          <w:highlight w:val="none"/>
        </w:rPr>
        <w:t>；</w:t>
      </w:r>
    </w:p>
    <w:p>
      <w:pPr>
        <w:pageBreakBefore w:val="0"/>
        <w:kinsoku/>
        <w:wordWrap/>
        <w:overflowPunct/>
        <w:topLinePunct w:val="0"/>
        <w:bidi w:val="0"/>
        <w:adjustRightInd w:val="0"/>
        <w:snapToGrid w:val="0"/>
        <w:spacing w:line="360" w:lineRule="auto"/>
        <w:ind w:firstLine="420" w:firstLineChars="200"/>
        <w:jc w:val="left"/>
        <w:textAlignment w:val="auto"/>
        <w:rPr>
          <w:rFonts w:ascii="宋体"/>
          <w:kern w:val="0"/>
          <w:highlight w:val="none"/>
        </w:rPr>
      </w:pPr>
      <m:oMath>
        <m:r>
          <m:rPr>
            <m:sty m:val="p"/>
          </m:rPr>
          <w:rPr>
            <w:rFonts w:ascii="Cambria Math" w:hAnsi="Cambria Math"/>
            <w:highlight w:val="none"/>
          </w:rPr>
          <m:t>α</m:t>
        </m:r>
      </m:oMath>
      <w:r>
        <w:rPr>
          <w:highlight w:val="none"/>
        </w:rPr>
        <w:t>——</w:t>
      </w:r>
      <w:r>
        <w:rPr>
          <w:rFonts w:hint="eastAsia" w:ascii="宋体"/>
          <w:kern w:val="0"/>
          <w:highlight w:val="none"/>
        </w:rPr>
        <w:t>降水入渗补给系数，可根据实验资料或已有成果确定；</w:t>
      </w:r>
    </w:p>
    <w:p>
      <w:pPr>
        <w:pageBreakBefore w:val="0"/>
        <w:kinsoku/>
        <w:wordWrap/>
        <w:overflowPunct/>
        <w:topLinePunct w:val="0"/>
        <w:bidi w:val="0"/>
        <w:adjustRightInd w:val="0"/>
        <w:snapToGrid w:val="0"/>
        <w:spacing w:line="360" w:lineRule="auto"/>
        <w:ind w:firstLine="420" w:firstLineChars="200"/>
        <w:jc w:val="left"/>
        <w:textAlignment w:val="auto"/>
        <w:rPr>
          <w:rFonts w:eastAsia="黑体"/>
          <w:b/>
          <w:szCs w:val="21"/>
          <w:highlight w:val="none"/>
        </w:rPr>
      </w:pPr>
      <m:oMath>
        <m:r>
          <m:rPr/>
          <w:rPr>
            <w:rFonts w:hint="default" w:ascii="Cambria Math" w:hAnsi="Cambria Math" w:cs="Times New Roman"/>
            <w:highlight w:val="none"/>
          </w:rPr>
          <m:t>μ</m:t>
        </m:r>
      </m:oMath>
      <w:r>
        <w:rPr>
          <w:highlight w:val="none"/>
        </w:rPr>
        <w:t>——</w:t>
      </w:r>
      <w:r>
        <w:rPr>
          <w:rFonts w:hint="eastAsia" w:ascii="宋体"/>
          <w:kern w:val="0"/>
          <w:highlight w:val="none"/>
        </w:rPr>
        <w:t>给水度，可根据实验资料或已有成果确定。</w:t>
      </w:r>
    </w:p>
    <w:p>
      <w:pPr>
        <w:pageBreakBefore w:val="0"/>
        <w:kinsoku/>
        <w:wordWrap/>
        <w:overflowPunct/>
        <w:topLinePunct w:val="0"/>
        <w:bidi w:val="0"/>
        <w:adjustRightInd w:val="0"/>
        <w:snapToGrid w:val="0"/>
        <w:spacing w:line="360" w:lineRule="auto"/>
        <w:ind w:firstLine="422" w:firstLineChars="200"/>
        <w:jc w:val="center"/>
        <w:textAlignment w:val="auto"/>
        <w:rPr>
          <w:rFonts w:eastAsia="黑体"/>
          <w:b/>
          <w:szCs w:val="21"/>
          <w:highlight w:val="none"/>
        </w:rPr>
      </w:pPr>
    </w:p>
    <w:p>
      <w:pPr>
        <w:pageBreakBefore w:val="0"/>
        <w:kinsoku/>
        <w:wordWrap/>
        <w:overflowPunct/>
        <w:topLinePunct w:val="0"/>
        <w:bidi w:val="0"/>
        <w:adjustRightInd w:val="0"/>
        <w:snapToGrid w:val="0"/>
        <w:spacing w:line="360" w:lineRule="auto"/>
        <w:textAlignment w:val="auto"/>
        <w:rPr>
          <w:highlight w:val="none"/>
        </w:rPr>
      </w:pPr>
    </w:p>
    <w:sectPr>
      <w:footerReference r:id="rId9" w:type="default"/>
      <w:pgSz w:w="11907" w:h="16839"/>
      <w:pgMar w:top="2098" w:right="1644" w:bottom="1928" w:left="1757" w:header="1418" w:footer="1191"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Arial Unicode MS">
    <w:panose1 w:val="020B0604020202020204"/>
    <w:charset w:val="86"/>
    <w:family w:val="swiss"/>
    <w:pitch w:val="default"/>
    <w:sig w:usb0="FFFFFFFF" w:usb1="E9FFFFFF" w:usb2="0000003F" w:usb3="00000000" w:csb0="603F01FF" w:csb1="FFFF0000"/>
  </w:font>
  <w:font w:name="Verdana">
    <w:panose1 w:val="020B0604030504040204"/>
    <w:charset w:val="00"/>
    <w:family w:val="swiss"/>
    <w:pitch w:val="default"/>
    <w:sig w:usb0="A00006FF" w:usb1="4000205B" w:usb2="00000010" w:usb3="00000000" w:csb0="2000019F"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6"/>
      <w:rPr>
        <w:rStyle w:val="78"/>
      </w:rPr>
    </w:pPr>
    <w:r>
      <w:rPr>
        <w:rStyle w:val="78"/>
      </w:rPr>
      <w:fldChar w:fldCharType="begin"/>
    </w:r>
    <w:r>
      <w:rPr>
        <w:rStyle w:val="78"/>
      </w:rPr>
      <w:instrText xml:space="preserve">PAGE  </w:instrText>
    </w:r>
    <w:r>
      <w:rPr>
        <w:rStyle w:val="78"/>
      </w:rPr>
      <w:fldChar w:fldCharType="separate"/>
    </w:r>
    <w:r>
      <w:rPr>
        <w:rStyle w:val="78"/>
      </w:rPr>
      <w:t>1</w:t>
    </w:r>
    <w:r>
      <w:rPr>
        <w:rStyle w:val="7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framePr w:wrap="around" w:vAnchor="text" w:hAnchor="margin" w:xAlign="right" w:y="1"/>
      <w:rPr>
        <w:rStyle w:val="78"/>
      </w:rPr>
    </w:pPr>
    <w:r>
      <w:rPr>
        <w:rStyle w:val="78"/>
      </w:rPr>
      <w:fldChar w:fldCharType="begin"/>
    </w:r>
    <w:r>
      <w:rPr>
        <w:rStyle w:val="78"/>
      </w:rPr>
      <w:instrText xml:space="preserve">PAGE  </w:instrText>
    </w:r>
    <w:r>
      <w:rPr>
        <w:rStyle w:val="78"/>
      </w:rPr>
      <w:fldChar w:fldCharType="separate"/>
    </w:r>
    <w:r>
      <w:rPr>
        <w:rStyle w:val="78"/>
      </w:rPr>
      <w:t>2</w:t>
    </w:r>
    <w:r>
      <w:rPr>
        <w:rStyle w:val="78"/>
      </w:rPr>
      <w:fldChar w:fldCharType="end"/>
    </w:r>
  </w:p>
  <w:p>
    <w:pPr>
      <w:pStyle w:val="4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6"/>
      <w:jc w:val="center"/>
      <w:rPr>
        <w:rStyle w:val="78"/>
      </w:rPr>
    </w:pPr>
    <w:r>
      <w:rPr>
        <w:rStyle w:val="78"/>
      </w:rPr>
      <w:fldChar w:fldCharType="begin"/>
    </w:r>
    <w:r>
      <w:rPr>
        <w:rStyle w:val="78"/>
      </w:rPr>
      <w:instrText xml:space="preserve">PAGE  </w:instrText>
    </w:r>
    <w:r>
      <w:rPr>
        <w:rStyle w:val="78"/>
      </w:rPr>
      <w:fldChar w:fldCharType="separate"/>
    </w:r>
    <w:r>
      <w:rPr>
        <w:rStyle w:val="78"/>
      </w:rPr>
      <w:t>II</w:t>
    </w:r>
    <w:r>
      <w:rPr>
        <w:rStyle w:val="78"/>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6"/>
      <w:jc w:val="center"/>
      <w:rPr>
        <w:rStyle w:val="78"/>
      </w:rPr>
    </w:pPr>
    <w:r>
      <w:rPr>
        <w:rStyle w:val="78"/>
      </w:rPr>
      <w:fldChar w:fldCharType="begin"/>
    </w:r>
    <w:r>
      <w:rPr>
        <w:rStyle w:val="78"/>
      </w:rPr>
      <w:instrText xml:space="preserve">PAGE  </w:instrText>
    </w:r>
    <w:r>
      <w:rPr>
        <w:rStyle w:val="78"/>
      </w:rPr>
      <w:fldChar w:fldCharType="separate"/>
    </w:r>
    <w:r>
      <w:rPr>
        <w:rStyle w:val="78"/>
      </w:rPr>
      <w:t>10</w:t>
    </w:r>
    <w:r>
      <w:rPr>
        <w:rStyle w:val="78"/>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7"/>
    </w:pPr>
    <w:r>
      <w:t>DB13/T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9"/>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7"/>
      <w:wordWrap w:val="0"/>
    </w:pPr>
    <w:r>
      <w:t>DB</w:t>
    </w:r>
    <w:r>
      <w:rPr>
        <w:rFonts w:hint="eastAsia" w:ascii="黑体"/>
      </w:rPr>
      <w:t>13</w:t>
    </w:r>
    <w:r>
      <w:t>/T</w:t>
    </w:r>
    <w:r>
      <w:rPr>
        <w:rFonts w:hint="eastAsia"/>
      </w:rPr>
      <w:t xml:space="preserve">   </w:t>
    </w:r>
    <w:r>
      <w:t>—</w:t>
    </w:r>
    <w:r>
      <w:rPr>
        <w:rFonts w:hint="eastAsia"/>
      </w:rPr>
      <w:t>20</w:t>
    </w:r>
    <w:r>
      <w:t>22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E751F1"/>
    <w:multiLevelType w:val="singleLevel"/>
    <w:tmpl w:val="84E751F1"/>
    <w:lvl w:ilvl="0" w:tentative="0">
      <w:start w:val="1"/>
      <w:numFmt w:val="lowerLetter"/>
      <w:lvlText w:val="%1)"/>
      <w:lvlJc w:val="left"/>
      <w:pPr>
        <w:tabs>
          <w:tab w:val="left" w:pos="312"/>
        </w:tabs>
      </w:pPr>
    </w:lvl>
  </w:abstractNum>
  <w:abstractNum w:abstractNumId="1">
    <w:nsid w:val="8B302DB1"/>
    <w:multiLevelType w:val="singleLevel"/>
    <w:tmpl w:val="8B302DB1"/>
    <w:lvl w:ilvl="0" w:tentative="0">
      <w:start w:val="1"/>
      <w:numFmt w:val="lowerLetter"/>
      <w:lvlText w:val="%1)"/>
      <w:lvlJc w:val="left"/>
      <w:pPr>
        <w:tabs>
          <w:tab w:val="left" w:pos="312"/>
        </w:tabs>
      </w:pPr>
    </w:lvl>
  </w:abstractNum>
  <w:abstractNum w:abstractNumId="2">
    <w:nsid w:val="9750A9A4"/>
    <w:multiLevelType w:val="singleLevel"/>
    <w:tmpl w:val="9750A9A4"/>
    <w:lvl w:ilvl="0" w:tentative="0">
      <w:start w:val="1"/>
      <w:numFmt w:val="lowerLetter"/>
      <w:lvlText w:val="%1)"/>
      <w:lvlJc w:val="left"/>
      <w:pPr>
        <w:tabs>
          <w:tab w:val="left" w:pos="312"/>
        </w:tabs>
      </w:pPr>
    </w:lvl>
  </w:abstractNum>
  <w:abstractNum w:abstractNumId="3">
    <w:nsid w:val="C6BB3CEE"/>
    <w:multiLevelType w:val="singleLevel"/>
    <w:tmpl w:val="C6BB3CEE"/>
    <w:lvl w:ilvl="0" w:tentative="0">
      <w:start w:val="1"/>
      <w:numFmt w:val="lowerLetter"/>
      <w:suff w:val="space"/>
      <w:lvlText w:val="%1)"/>
      <w:lvlJc w:val="left"/>
    </w:lvl>
  </w:abstractNum>
  <w:abstractNum w:abstractNumId="4">
    <w:nsid w:val="FFFFFF7C"/>
    <w:multiLevelType w:val="singleLevel"/>
    <w:tmpl w:val="FFFFFF7C"/>
    <w:lvl w:ilvl="0" w:tentative="0">
      <w:start w:val="1"/>
      <w:numFmt w:val="decimal"/>
      <w:pStyle w:val="37"/>
      <w:lvlText w:val="%1."/>
      <w:lvlJc w:val="left"/>
      <w:pPr>
        <w:tabs>
          <w:tab w:val="left" w:pos="2040"/>
        </w:tabs>
        <w:ind w:left="2040" w:leftChars="800" w:hanging="360" w:hangingChars="200"/>
      </w:pPr>
    </w:lvl>
  </w:abstractNum>
  <w:abstractNum w:abstractNumId="5">
    <w:nsid w:val="FFFFFF7D"/>
    <w:multiLevelType w:val="singleLevel"/>
    <w:tmpl w:val="FFFFFF7D"/>
    <w:lvl w:ilvl="0" w:tentative="0">
      <w:start w:val="1"/>
      <w:numFmt w:val="decimal"/>
      <w:pStyle w:val="55"/>
      <w:lvlText w:val="%1."/>
      <w:lvlJc w:val="left"/>
      <w:pPr>
        <w:tabs>
          <w:tab w:val="left" w:pos="1620"/>
        </w:tabs>
        <w:ind w:left="1620" w:leftChars="600" w:hanging="360" w:hangingChars="200"/>
      </w:pPr>
    </w:lvl>
  </w:abstractNum>
  <w:abstractNum w:abstractNumId="6">
    <w:nsid w:val="FFFFFF7E"/>
    <w:multiLevelType w:val="singleLevel"/>
    <w:tmpl w:val="FFFFFF7E"/>
    <w:lvl w:ilvl="0" w:tentative="0">
      <w:start w:val="1"/>
      <w:numFmt w:val="decimal"/>
      <w:pStyle w:val="43"/>
      <w:lvlText w:val="%1."/>
      <w:lvlJc w:val="left"/>
      <w:pPr>
        <w:tabs>
          <w:tab w:val="left" w:pos="1200"/>
        </w:tabs>
        <w:ind w:left="1200" w:leftChars="400" w:hanging="360" w:hangingChars="200"/>
      </w:pPr>
    </w:lvl>
  </w:abstractNum>
  <w:abstractNum w:abstractNumId="7">
    <w:nsid w:val="FFFFFF7F"/>
    <w:multiLevelType w:val="singleLevel"/>
    <w:tmpl w:val="FFFFFF7F"/>
    <w:lvl w:ilvl="0" w:tentative="0">
      <w:start w:val="1"/>
      <w:numFmt w:val="decimal"/>
      <w:pStyle w:val="35"/>
      <w:lvlText w:val="%1."/>
      <w:lvlJc w:val="left"/>
      <w:pPr>
        <w:tabs>
          <w:tab w:val="left" w:pos="780"/>
        </w:tabs>
        <w:ind w:left="780" w:leftChars="200" w:hanging="360" w:hangingChars="200"/>
      </w:pPr>
    </w:lvl>
  </w:abstractNum>
  <w:abstractNum w:abstractNumId="8">
    <w:nsid w:val="FFFFFF80"/>
    <w:multiLevelType w:val="singleLevel"/>
    <w:tmpl w:val="FFFFFF80"/>
    <w:lvl w:ilvl="0" w:tentative="0">
      <w:start w:val="1"/>
      <w:numFmt w:val="bullet"/>
      <w:pStyle w:val="66"/>
      <w:lvlText w:val=""/>
      <w:lvlJc w:val="left"/>
      <w:pPr>
        <w:tabs>
          <w:tab w:val="left" w:pos="2040"/>
        </w:tabs>
        <w:ind w:left="2040" w:leftChars="800" w:hanging="360" w:hangingChars="200"/>
      </w:pPr>
      <w:rPr>
        <w:rFonts w:hint="default" w:ascii="Wingdings" w:hAnsi="Wingdings"/>
      </w:rPr>
    </w:lvl>
  </w:abstractNum>
  <w:abstractNum w:abstractNumId="9">
    <w:nsid w:val="FFFFFF81"/>
    <w:multiLevelType w:val="singleLevel"/>
    <w:tmpl w:val="FFFFFF81"/>
    <w:lvl w:ilvl="0" w:tentative="0">
      <w:start w:val="1"/>
      <w:numFmt w:val="bullet"/>
      <w:pStyle w:val="42"/>
      <w:lvlText w:val=""/>
      <w:lvlJc w:val="left"/>
      <w:pPr>
        <w:tabs>
          <w:tab w:val="left" w:pos="1620"/>
        </w:tabs>
        <w:ind w:left="1620" w:leftChars="600" w:hanging="360" w:hangingChars="200"/>
      </w:pPr>
      <w:rPr>
        <w:rFonts w:hint="default" w:ascii="Wingdings" w:hAnsi="Wingdings"/>
      </w:rPr>
    </w:lvl>
  </w:abstractNum>
  <w:abstractNum w:abstractNumId="10">
    <w:nsid w:val="FFFFFF82"/>
    <w:multiLevelType w:val="singleLevel"/>
    <w:tmpl w:val="FFFFFF82"/>
    <w:lvl w:ilvl="0" w:tentative="0">
      <w:start w:val="1"/>
      <w:numFmt w:val="bullet"/>
      <w:pStyle w:val="21"/>
      <w:lvlText w:val=""/>
      <w:lvlJc w:val="left"/>
      <w:pPr>
        <w:tabs>
          <w:tab w:val="left" w:pos="1200"/>
        </w:tabs>
        <w:ind w:left="1200" w:leftChars="400" w:hanging="360" w:hangingChars="200"/>
      </w:pPr>
      <w:rPr>
        <w:rFonts w:hint="default" w:ascii="Wingdings" w:hAnsi="Wingdings"/>
      </w:rPr>
    </w:lvl>
  </w:abstractNum>
  <w:abstractNum w:abstractNumId="11">
    <w:nsid w:val="FFFFFF83"/>
    <w:multiLevelType w:val="singleLevel"/>
    <w:tmpl w:val="FFFFFF83"/>
    <w:lvl w:ilvl="0" w:tentative="0">
      <w:start w:val="1"/>
      <w:numFmt w:val="bullet"/>
      <w:pStyle w:val="32"/>
      <w:lvlText w:val=""/>
      <w:lvlJc w:val="left"/>
      <w:pPr>
        <w:tabs>
          <w:tab w:val="left" w:pos="780"/>
        </w:tabs>
        <w:ind w:left="780" w:leftChars="200" w:hanging="360" w:hangingChars="200"/>
      </w:pPr>
      <w:rPr>
        <w:rFonts w:hint="default" w:ascii="Wingdings" w:hAnsi="Wingdings"/>
      </w:rPr>
    </w:lvl>
  </w:abstractNum>
  <w:abstractNum w:abstractNumId="12">
    <w:nsid w:val="FFFFFF88"/>
    <w:multiLevelType w:val="singleLevel"/>
    <w:tmpl w:val="FFFFFF88"/>
    <w:lvl w:ilvl="0" w:tentative="0">
      <w:start w:val="1"/>
      <w:numFmt w:val="decimal"/>
      <w:pStyle w:val="19"/>
      <w:lvlText w:val="%1."/>
      <w:lvlJc w:val="left"/>
      <w:pPr>
        <w:tabs>
          <w:tab w:val="left" w:pos="360"/>
        </w:tabs>
        <w:ind w:left="360" w:hanging="360" w:hangingChars="200"/>
      </w:pPr>
    </w:lvl>
  </w:abstractNum>
  <w:abstractNum w:abstractNumId="13">
    <w:nsid w:val="FFFFFF89"/>
    <w:multiLevelType w:val="singleLevel"/>
    <w:tmpl w:val="FFFFFF89"/>
    <w:lvl w:ilvl="0" w:tentative="0">
      <w:start w:val="1"/>
      <w:numFmt w:val="bullet"/>
      <w:pStyle w:val="39"/>
      <w:lvlText w:val=""/>
      <w:lvlJc w:val="left"/>
      <w:pPr>
        <w:tabs>
          <w:tab w:val="left" w:pos="360"/>
        </w:tabs>
        <w:ind w:left="360" w:hanging="360" w:hangingChars="200"/>
      </w:pPr>
      <w:rPr>
        <w:rFonts w:hint="default" w:ascii="Wingdings" w:hAnsi="Wingdings"/>
      </w:rPr>
    </w:lvl>
  </w:abstractNum>
  <w:abstractNum w:abstractNumId="14">
    <w:nsid w:val="0AE367E9"/>
    <w:multiLevelType w:val="multilevel"/>
    <w:tmpl w:val="0AE367E9"/>
    <w:lvl w:ilvl="0" w:tentative="0">
      <w:start w:val="1"/>
      <w:numFmt w:val="none"/>
      <w:pStyle w:val="137"/>
      <w:lvlText w:val="%1示例"/>
      <w:lvlJc w:val="left"/>
      <w:pPr>
        <w:tabs>
          <w:tab w:val="left" w:pos="1120"/>
        </w:tabs>
        <w:ind w:left="0" w:firstLine="400"/>
      </w:pPr>
      <w:rPr>
        <w:rFonts w:hint="eastAsia" w:ascii="宋体" w:eastAsia="宋体"/>
        <w:b w:val="0"/>
        <w:i w:val="0"/>
        <w:sz w:val="18"/>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5">
    <w:nsid w:val="407E65F9"/>
    <w:multiLevelType w:val="multilevel"/>
    <w:tmpl w:val="407E65F9"/>
    <w:lvl w:ilvl="0" w:tentative="0">
      <w:start w:val="1"/>
      <w:numFmt w:val="none"/>
      <w:pStyle w:val="25"/>
      <w:lvlText w:val="%1●　"/>
      <w:lvlJc w:val="left"/>
      <w:pPr>
        <w:tabs>
          <w:tab w:val="left" w:pos="560"/>
        </w:tabs>
        <w:ind w:left="517" w:hanging="317"/>
      </w:pPr>
      <w:rPr>
        <w:rFonts w:hint="eastAsia" w:ascii="宋体" w:hAnsi="Times New Roman" w:eastAsia="宋体"/>
        <w:b w:val="0"/>
        <w:i w:val="0"/>
        <w:sz w:val="13"/>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6">
    <w:nsid w:val="46806F7D"/>
    <w:multiLevelType w:val="multilevel"/>
    <w:tmpl w:val="46806F7D"/>
    <w:lvl w:ilvl="0" w:tentative="0">
      <w:start w:val="1"/>
      <w:numFmt w:val="none"/>
      <w:pStyle w:val="125"/>
      <w:lvlText w:val="图"/>
      <w:lvlJc w:val="left"/>
      <w:pPr>
        <w:tabs>
          <w:tab w:val="left" w:pos="360"/>
        </w:tabs>
        <w:ind w:left="0" w:firstLine="0"/>
      </w:pPr>
      <w:rPr>
        <w:rFonts w:hint="eastAsia" w:ascii="黑体" w:eastAsia="黑体"/>
        <w:b w:val="0"/>
        <w:i w:val="0"/>
        <w:sz w:val="21"/>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46D22D8F"/>
    <w:multiLevelType w:val="multilevel"/>
    <w:tmpl w:val="46D22D8F"/>
    <w:lvl w:ilvl="0" w:tentative="0">
      <w:start w:val="1"/>
      <w:numFmt w:val="none"/>
      <w:pStyle w:val="150"/>
      <w:lvlText w:val="%1◆　"/>
      <w:lvlJc w:val="left"/>
      <w:pPr>
        <w:tabs>
          <w:tab w:val="left" w:pos="960"/>
        </w:tabs>
        <w:ind w:left="917" w:hanging="317"/>
      </w:pPr>
      <w:rPr>
        <w:rFonts w:hint="eastAsia" w:ascii="宋体" w:hAnsi="Times New Roman" w:eastAsia="宋体"/>
        <w:b w:val="0"/>
        <w:i w:val="0"/>
        <w:position w:val="4"/>
        <w:sz w:val="11"/>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8">
    <w:nsid w:val="496E4D7B"/>
    <w:multiLevelType w:val="multilevel"/>
    <w:tmpl w:val="496E4D7B"/>
    <w:lvl w:ilvl="0" w:tentative="0">
      <w:start w:val="1"/>
      <w:numFmt w:val="none"/>
      <w:pStyle w:val="148"/>
      <w:lvlText w:val="%1注"/>
      <w:lvlJc w:val="left"/>
      <w:pPr>
        <w:tabs>
          <w:tab w:val="left" w:pos="900"/>
        </w:tabs>
        <w:ind w:left="900" w:hanging="500"/>
      </w:pPr>
      <w:rPr>
        <w:rFonts w:hint="eastAsia" w:ascii="宋体" w:hAnsi="Times New Roman" w:eastAsia="宋体"/>
        <w:b w:val="0"/>
        <w:i w:val="0"/>
        <w:sz w:val="18"/>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9">
    <w:nsid w:val="4F302902"/>
    <w:multiLevelType w:val="multilevel"/>
    <w:tmpl w:val="4F302902"/>
    <w:lvl w:ilvl="0" w:tentative="0">
      <w:start w:val="1"/>
      <w:numFmt w:val="none"/>
      <w:pStyle w:val="119"/>
      <w:lvlText w:val="表"/>
      <w:lvlJc w:val="left"/>
      <w:pPr>
        <w:tabs>
          <w:tab w:val="left" w:pos="360"/>
        </w:tabs>
        <w:ind w:left="0" w:firstLine="0"/>
      </w:pPr>
      <w:rPr>
        <w:rFonts w:hint="eastAsia" w:ascii="黑体" w:eastAsia="黑体"/>
        <w:b w:val="0"/>
        <w:i w:val="0"/>
        <w:sz w:val="21"/>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557C2AF5"/>
    <w:multiLevelType w:val="multilevel"/>
    <w:tmpl w:val="557C2AF5"/>
    <w:lvl w:ilvl="0" w:tentative="0">
      <w:start w:val="1"/>
      <w:numFmt w:val="decimal"/>
      <w:pStyle w:val="146"/>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1">
    <w:nsid w:val="6350366A"/>
    <w:multiLevelType w:val="multilevel"/>
    <w:tmpl w:val="6350366A"/>
    <w:lvl w:ilvl="0" w:tentative="0">
      <w:start w:val="1"/>
      <w:numFmt w:val="none"/>
      <w:pStyle w:val="130"/>
      <w:lvlText w:val="%1●　"/>
      <w:lvlJc w:val="left"/>
      <w:pPr>
        <w:tabs>
          <w:tab w:val="left" w:pos="760"/>
        </w:tabs>
        <w:ind w:left="717" w:hanging="317"/>
      </w:pPr>
      <w:rPr>
        <w:rFonts w:hint="eastAsia" w:ascii="宋体" w:hAnsi="Times New Roman" w:eastAsia="宋体"/>
        <w:b w:val="0"/>
        <w:i w:val="0"/>
        <w:position w:val="4"/>
        <w:sz w:val="13"/>
      </w:rPr>
    </w:lvl>
    <w:lvl w:ilvl="1" w:tentative="0">
      <w:start w:val="1"/>
      <w:numFmt w:val="lowerLetter"/>
      <w:lvlText w:val="%2)"/>
      <w:lvlJc w:val="left"/>
      <w:pPr>
        <w:tabs>
          <w:tab w:val="left" w:pos="780"/>
        </w:tabs>
        <w:ind w:left="780" w:hanging="360"/>
      </w:pPr>
      <w:rPr>
        <w:rFonts w:hint="eastAsia"/>
      </w:rPr>
    </w:lvl>
    <w:lvl w:ilvl="2" w:tentative="0">
      <w:start w:val="1"/>
      <w:numFmt w:val="decimal"/>
      <w:lvlText w:val="%3)"/>
      <w:lvlJc w:val="left"/>
      <w:pPr>
        <w:tabs>
          <w:tab w:val="left" w:pos="1200"/>
        </w:tabs>
        <w:ind w:left="1200" w:hanging="360"/>
      </w:pPr>
      <w:rPr>
        <w:rFonts w:hint="eastAsia"/>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2">
    <w:nsid w:val="646260FA"/>
    <w:multiLevelType w:val="multilevel"/>
    <w:tmpl w:val="646260FA"/>
    <w:lvl w:ilvl="0" w:tentative="0">
      <w:start w:val="1"/>
      <w:numFmt w:val="decimal"/>
      <w:pStyle w:val="145"/>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3">
    <w:nsid w:val="657D3FBC"/>
    <w:multiLevelType w:val="multilevel"/>
    <w:tmpl w:val="657D3FBC"/>
    <w:lvl w:ilvl="0" w:tentative="0">
      <w:start w:val="1"/>
      <w:numFmt w:val="upperLetter"/>
      <w:pStyle w:val="118"/>
      <w:suff w:val="nothing"/>
      <w:lvlText w:val="附　录　%1"/>
      <w:lvlJc w:val="left"/>
      <w:pPr>
        <w:ind w:left="0" w:firstLine="0"/>
      </w:pPr>
      <w:rPr>
        <w:rFonts w:hint="eastAsia" w:ascii="黑体" w:hAnsi="Times New Roman" w:eastAsia="黑体"/>
        <w:b w:val="0"/>
        <w:i w:val="0"/>
        <w:sz w:val="24"/>
        <w:szCs w:val="24"/>
      </w:rPr>
    </w:lvl>
    <w:lvl w:ilvl="1" w:tentative="0">
      <w:start w:val="1"/>
      <w:numFmt w:val="decimal"/>
      <w:pStyle w:val="120"/>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pStyle w:val="126"/>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CEA2025"/>
    <w:multiLevelType w:val="multilevel"/>
    <w:tmpl w:val="6CEA2025"/>
    <w:lvl w:ilvl="0" w:tentative="0">
      <w:start w:val="1"/>
      <w:numFmt w:val="none"/>
      <w:pStyle w:val="100"/>
      <w:suff w:val="nothing"/>
      <w:lvlText w:val="%1"/>
      <w:lvlJc w:val="left"/>
      <w:pPr>
        <w:ind w:left="0" w:firstLine="0"/>
      </w:pPr>
      <w:rPr>
        <w:rFonts w:hint="default" w:ascii="Times New Roman" w:hAnsi="Times New Roman"/>
        <w:b/>
        <w:i w:val="0"/>
        <w:sz w:val="21"/>
      </w:rPr>
    </w:lvl>
    <w:lvl w:ilvl="1" w:tentative="0">
      <w:start w:val="1"/>
      <w:numFmt w:val="decimal"/>
      <w:pStyle w:val="103"/>
      <w:suff w:val="nothing"/>
      <w:lvlText w:val="%1%2　"/>
      <w:lvlJc w:val="left"/>
      <w:pPr>
        <w:ind w:left="315" w:firstLine="0"/>
      </w:pPr>
      <w:rPr>
        <w:rFonts w:hint="eastAsia" w:ascii="黑体" w:hAnsi="Times New Roman" w:eastAsia="黑体"/>
        <w:b w:val="0"/>
        <w:i w:val="0"/>
        <w:sz w:val="24"/>
        <w:szCs w:val="24"/>
      </w:rPr>
    </w:lvl>
    <w:lvl w:ilvl="2" w:tentative="0">
      <w:start w:val="1"/>
      <w:numFmt w:val="decimal"/>
      <w:pStyle w:val="104"/>
      <w:suff w:val="nothing"/>
      <w:lvlText w:val="%1%2.%3　"/>
      <w:lvlJc w:val="left"/>
      <w:pPr>
        <w:ind w:left="0" w:firstLine="0"/>
      </w:pPr>
      <w:rPr>
        <w:rFonts w:hint="default" w:ascii="Times New Roman" w:hAnsi="Times New Roman" w:eastAsia="黑体" w:cs="Times New Roman"/>
        <w:b w:val="0"/>
        <w:i w:val="0"/>
        <w:sz w:val="21"/>
      </w:rPr>
    </w:lvl>
    <w:lvl w:ilvl="3" w:tentative="0">
      <w:start w:val="1"/>
      <w:numFmt w:val="decimal"/>
      <w:pStyle w:val="105"/>
      <w:suff w:val="nothing"/>
      <w:lvlText w:val="%1%2.%3.%4　"/>
      <w:lvlJc w:val="left"/>
      <w:pPr>
        <w:ind w:left="840" w:firstLine="0"/>
      </w:pPr>
      <w:rPr>
        <w:rFonts w:hint="default" w:ascii="Times New Roman" w:hAnsi="Times New Roman" w:eastAsia="黑体" w:cs="Times New Roman"/>
        <w:b w:val="0"/>
        <w:i w:val="0"/>
        <w:sz w:val="21"/>
      </w:rPr>
    </w:lvl>
    <w:lvl w:ilvl="4" w:tentative="0">
      <w:start w:val="1"/>
      <w:numFmt w:val="decimal"/>
      <w:pStyle w:val="135"/>
      <w:suff w:val="nothing"/>
      <w:lvlText w:val="%1%2.%3.%4.%5　"/>
      <w:lvlJc w:val="left"/>
      <w:pPr>
        <w:ind w:left="0" w:firstLine="0"/>
      </w:pPr>
      <w:rPr>
        <w:rFonts w:hint="eastAsia" w:ascii="黑体" w:hAnsi="Times New Roman" w:eastAsia="黑体"/>
        <w:b w:val="0"/>
        <w:i w:val="0"/>
        <w:sz w:val="21"/>
      </w:rPr>
    </w:lvl>
    <w:lvl w:ilvl="5" w:tentative="0">
      <w:start w:val="1"/>
      <w:numFmt w:val="decimal"/>
      <w:pStyle w:val="139"/>
      <w:suff w:val="nothing"/>
      <w:lvlText w:val="%1%2.%3.%4.%5.%6　"/>
      <w:lvlJc w:val="left"/>
      <w:pPr>
        <w:ind w:left="0" w:firstLine="0"/>
      </w:pPr>
      <w:rPr>
        <w:rFonts w:hint="eastAsia" w:ascii="黑体" w:hAnsi="Times New Roman" w:eastAsia="黑体"/>
        <w:b w:val="0"/>
        <w:i w:val="0"/>
        <w:sz w:val="21"/>
      </w:rPr>
    </w:lvl>
    <w:lvl w:ilvl="6" w:tentative="0">
      <w:start w:val="1"/>
      <w:numFmt w:val="decimal"/>
      <w:pStyle w:val="144"/>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5">
    <w:nsid w:val="6DBF04F4"/>
    <w:multiLevelType w:val="multilevel"/>
    <w:tmpl w:val="6DBF04F4"/>
    <w:lvl w:ilvl="0" w:tentative="0">
      <w:start w:val="1"/>
      <w:numFmt w:val="none"/>
      <w:pStyle w:val="147"/>
      <w:lvlText w:val="%1注："/>
      <w:lvlJc w:val="left"/>
      <w:pPr>
        <w:tabs>
          <w:tab w:val="left" w:pos="1140"/>
        </w:tabs>
        <w:ind w:left="840" w:hanging="420"/>
      </w:pPr>
      <w:rPr>
        <w:rFonts w:hint="eastAsia" w:ascii="宋体" w:hAnsi="Times New Roman" w:eastAsia="宋体"/>
        <w:b w:val="0"/>
        <w:i w:val="0"/>
        <w:sz w:val="18"/>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76933334"/>
    <w:multiLevelType w:val="multilevel"/>
    <w:tmpl w:val="76933334"/>
    <w:lvl w:ilvl="0" w:tentative="0">
      <w:start w:val="1"/>
      <w:numFmt w:val="none"/>
      <w:pStyle w:val="129"/>
      <w:lvlText w:val="%1——"/>
      <w:lvlJc w:val="left"/>
      <w:pPr>
        <w:tabs>
          <w:tab w:val="left" w:pos="1140"/>
        </w:tabs>
        <w:ind w:left="84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2"/>
  </w:num>
  <w:num w:numId="2">
    <w:abstractNumId w:val="10"/>
  </w:num>
  <w:num w:numId="3">
    <w:abstractNumId w:val="15"/>
  </w:num>
  <w:num w:numId="4">
    <w:abstractNumId w:val="11"/>
  </w:num>
  <w:num w:numId="5">
    <w:abstractNumId w:val="7"/>
  </w:num>
  <w:num w:numId="6">
    <w:abstractNumId w:val="4"/>
  </w:num>
  <w:num w:numId="7">
    <w:abstractNumId w:val="13"/>
  </w:num>
  <w:num w:numId="8">
    <w:abstractNumId w:val="9"/>
  </w:num>
  <w:num w:numId="9">
    <w:abstractNumId w:val="6"/>
  </w:num>
  <w:num w:numId="10">
    <w:abstractNumId w:val="5"/>
  </w:num>
  <w:num w:numId="11">
    <w:abstractNumId w:val="8"/>
  </w:num>
  <w:num w:numId="12">
    <w:abstractNumId w:val="24"/>
  </w:num>
  <w:num w:numId="13">
    <w:abstractNumId w:val="23"/>
  </w:num>
  <w:num w:numId="14">
    <w:abstractNumId w:val="19"/>
  </w:num>
  <w:num w:numId="15">
    <w:abstractNumId w:val="16"/>
  </w:num>
  <w:num w:numId="16">
    <w:abstractNumId w:val="26"/>
  </w:num>
  <w:num w:numId="17">
    <w:abstractNumId w:val="21"/>
  </w:num>
  <w:num w:numId="18">
    <w:abstractNumId w:val="14"/>
  </w:num>
  <w:num w:numId="19">
    <w:abstractNumId w:val="22"/>
  </w:num>
  <w:num w:numId="20">
    <w:abstractNumId w:val="20"/>
  </w:num>
  <w:num w:numId="21">
    <w:abstractNumId w:val="25"/>
  </w:num>
  <w:num w:numId="22">
    <w:abstractNumId w:val="18"/>
  </w:num>
  <w:num w:numId="23">
    <w:abstractNumId w:val="17"/>
  </w:num>
  <w:num w:numId="24">
    <w:abstractNumId w:val="1"/>
  </w:num>
  <w:num w:numId="25">
    <w:abstractNumId w:val="0"/>
  </w:num>
  <w:num w:numId="26">
    <w:abstractNumId w:val="3"/>
  </w:num>
  <w:num w:numId="2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Y0MjZhMGRkMjRkYTIyYmMxYzYwODZiYzAwNGNhZTkifQ=="/>
  </w:docVars>
  <w:rsids>
    <w:rsidRoot w:val="00172A27"/>
    <w:rsid w:val="000015D9"/>
    <w:rsid w:val="000022D9"/>
    <w:rsid w:val="00003317"/>
    <w:rsid w:val="00005FCB"/>
    <w:rsid w:val="00007928"/>
    <w:rsid w:val="000079F4"/>
    <w:rsid w:val="00007D6F"/>
    <w:rsid w:val="0001019C"/>
    <w:rsid w:val="0001210B"/>
    <w:rsid w:val="0001321C"/>
    <w:rsid w:val="00016FC0"/>
    <w:rsid w:val="00017D75"/>
    <w:rsid w:val="000245AB"/>
    <w:rsid w:val="00024BF4"/>
    <w:rsid w:val="000257D0"/>
    <w:rsid w:val="0003430B"/>
    <w:rsid w:val="000362DA"/>
    <w:rsid w:val="000369E1"/>
    <w:rsid w:val="0004098A"/>
    <w:rsid w:val="00051819"/>
    <w:rsid w:val="0005363E"/>
    <w:rsid w:val="00053A50"/>
    <w:rsid w:val="00054892"/>
    <w:rsid w:val="00054940"/>
    <w:rsid w:val="00055AE5"/>
    <w:rsid w:val="00057F91"/>
    <w:rsid w:val="00062346"/>
    <w:rsid w:val="00062394"/>
    <w:rsid w:val="00062A2C"/>
    <w:rsid w:val="0006590C"/>
    <w:rsid w:val="000660F7"/>
    <w:rsid w:val="00066821"/>
    <w:rsid w:val="00070A9D"/>
    <w:rsid w:val="000724AF"/>
    <w:rsid w:val="000724EC"/>
    <w:rsid w:val="00072F09"/>
    <w:rsid w:val="00075651"/>
    <w:rsid w:val="00075E08"/>
    <w:rsid w:val="0007616C"/>
    <w:rsid w:val="00077628"/>
    <w:rsid w:val="000776F5"/>
    <w:rsid w:val="00077728"/>
    <w:rsid w:val="00080156"/>
    <w:rsid w:val="00083AD7"/>
    <w:rsid w:val="00087910"/>
    <w:rsid w:val="00087C1F"/>
    <w:rsid w:val="00087FBD"/>
    <w:rsid w:val="0009025A"/>
    <w:rsid w:val="000936E8"/>
    <w:rsid w:val="000939AB"/>
    <w:rsid w:val="00093A9C"/>
    <w:rsid w:val="00093EB3"/>
    <w:rsid w:val="00094C10"/>
    <w:rsid w:val="00097F3F"/>
    <w:rsid w:val="000A01F7"/>
    <w:rsid w:val="000A03F5"/>
    <w:rsid w:val="000A05BC"/>
    <w:rsid w:val="000A0FFC"/>
    <w:rsid w:val="000A222C"/>
    <w:rsid w:val="000A5C19"/>
    <w:rsid w:val="000B011D"/>
    <w:rsid w:val="000B0327"/>
    <w:rsid w:val="000B04FC"/>
    <w:rsid w:val="000B14EA"/>
    <w:rsid w:val="000B2735"/>
    <w:rsid w:val="000B2FE9"/>
    <w:rsid w:val="000B77AA"/>
    <w:rsid w:val="000C13F9"/>
    <w:rsid w:val="000C22C3"/>
    <w:rsid w:val="000C51AA"/>
    <w:rsid w:val="000C51F0"/>
    <w:rsid w:val="000C6D2F"/>
    <w:rsid w:val="000D0ABF"/>
    <w:rsid w:val="000D1709"/>
    <w:rsid w:val="000D2276"/>
    <w:rsid w:val="000D2A83"/>
    <w:rsid w:val="000D37F4"/>
    <w:rsid w:val="000D451C"/>
    <w:rsid w:val="000D51EA"/>
    <w:rsid w:val="000D56E2"/>
    <w:rsid w:val="000D5882"/>
    <w:rsid w:val="000D7176"/>
    <w:rsid w:val="000E1046"/>
    <w:rsid w:val="000E10B3"/>
    <w:rsid w:val="000E13F4"/>
    <w:rsid w:val="000E224D"/>
    <w:rsid w:val="000E2E37"/>
    <w:rsid w:val="000E4B5D"/>
    <w:rsid w:val="000E6AC4"/>
    <w:rsid w:val="000F0066"/>
    <w:rsid w:val="000F0228"/>
    <w:rsid w:val="000F0BE8"/>
    <w:rsid w:val="000F4D36"/>
    <w:rsid w:val="000F5F8F"/>
    <w:rsid w:val="000F6509"/>
    <w:rsid w:val="001003F3"/>
    <w:rsid w:val="0010083C"/>
    <w:rsid w:val="001013B1"/>
    <w:rsid w:val="001015E5"/>
    <w:rsid w:val="00101FD2"/>
    <w:rsid w:val="001026DB"/>
    <w:rsid w:val="00103A9D"/>
    <w:rsid w:val="00104921"/>
    <w:rsid w:val="00104C81"/>
    <w:rsid w:val="00106767"/>
    <w:rsid w:val="0011029A"/>
    <w:rsid w:val="00110340"/>
    <w:rsid w:val="0011254C"/>
    <w:rsid w:val="0011621C"/>
    <w:rsid w:val="0012053D"/>
    <w:rsid w:val="00121704"/>
    <w:rsid w:val="00121BA4"/>
    <w:rsid w:val="00123222"/>
    <w:rsid w:val="00123B7F"/>
    <w:rsid w:val="00124225"/>
    <w:rsid w:val="00124BA3"/>
    <w:rsid w:val="0013286B"/>
    <w:rsid w:val="00133BB0"/>
    <w:rsid w:val="001352EA"/>
    <w:rsid w:val="0013555E"/>
    <w:rsid w:val="001361EB"/>
    <w:rsid w:val="00136D8C"/>
    <w:rsid w:val="001429E9"/>
    <w:rsid w:val="001439BF"/>
    <w:rsid w:val="00143AAE"/>
    <w:rsid w:val="00145C6B"/>
    <w:rsid w:val="001542A6"/>
    <w:rsid w:val="00155F51"/>
    <w:rsid w:val="001562D0"/>
    <w:rsid w:val="001571DC"/>
    <w:rsid w:val="00157CDA"/>
    <w:rsid w:val="00157E75"/>
    <w:rsid w:val="00157F5B"/>
    <w:rsid w:val="00160488"/>
    <w:rsid w:val="00161051"/>
    <w:rsid w:val="00161334"/>
    <w:rsid w:val="00164E04"/>
    <w:rsid w:val="001663C8"/>
    <w:rsid w:val="00167936"/>
    <w:rsid w:val="00172A27"/>
    <w:rsid w:val="00174E33"/>
    <w:rsid w:val="00174ECF"/>
    <w:rsid w:val="00175179"/>
    <w:rsid w:val="00175A5A"/>
    <w:rsid w:val="001767BD"/>
    <w:rsid w:val="001817F6"/>
    <w:rsid w:val="00185508"/>
    <w:rsid w:val="001922F9"/>
    <w:rsid w:val="00193F1B"/>
    <w:rsid w:val="00193FA1"/>
    <w:rsid w:val="00194561"/>
    <w:rsid w:val="00194CDF"/>
    <w:rsid w:val="00194E11"/>
    <w:rsid w:val="001958DC"/>
    <w:rsid w:val="001967CC"/>
    <w:rsid w:val="001A030B"/>
    <w:rsid w:val="001A058C"/>
    <w:rsid w:val="001A1FE9"/>
    <w:rsid w:val="001A2400"/>
    <w:rsid w:val="001A255D"/>
    <w:rsid w:val="001A3765"/>
    <w:rsid w:val="001B05AA"/>
    <w:rsid w:val="001B0643"/>
    <w:rsid w:val="001B162A"/>
    <w:rsid w:val="001B245B"/>
    <w:rsid w:val="001B425B"/>
    <w:rsid w:val="001B431B"/>
    <w:rsid w:val="001B4813"/>
    <w:rsid w:val="001B48F2"/>
    <w:rsid w:val="001B53BE"/>
    <w:rsid w:val="001B5F3A"/>
    <w:rsid w:val="001B67B8"/>
    <w:rsid w:val="001C0985"/>
    <w:rsid w:val="001C24C0"/>
    <w:rsid w:val="001C3427"/>
    <w:rsid w:val="001C3BD4"/>
    <w:rsid w:val="001C5F45"/>
    <w:rsid w:val="001C75F2"/>
    <w:rsid w:val="001D0E65"/>
    <w:rsid w:val="001D2EAA"/>
    <w:rsid w:val="001D34BF"/>
    <w:rsid w:val="001D4053"/>
    <w:rsid w:val="001D51BF"/>
    <w:rsid w:val="001D5561"/>
    <w:rsid w:val="001D59AA"/>
    <w:rsid w:val="001E1562"/>
    <w:rsid w:val="001E3E6E"/>
    <w:rsid w:val="001E4DCC"/>
    <w:rsid w:val="001E56DC"/>
    <w:rsid w:val="001E59EE"/>
    <w:rsid w:val="001E5D73"/>
    <w:rsid w:val="001E7050"/>
    <w:rsid w:val="001E7B09"/>
    <w:rsid w:val="001F0578"/>
    <w:rsid w:val="001F3F3C"/>
    <w:rsid w:val="001F5E12"/>
    <w:rsid w:val="002002C5"/>
    <w:rsid w:val="00200391"/>
    <w:rsid w:val="0020575E"/>
    <w:rsid w:val="002065E9"/>
    <w:rsid w:val="00206AA1"/>
    <w:rsid w:val="00207E83"/>
    <w:rsid w:val="00213879"/>
    <w:rsid w:val="00214899"/>
    <w:rsid w:val="00215E64"/>
    <w:rsid w:val="00215F01"/>
    <w:rsid w:val="002160EF"/>
    <w:rsid w:val="00216E4E"/>
    <w:rsid w:val="0022092A"/>
    <w:rsid w:val="00221320"/>
    <w:rsid w:val="00221C08"/>
    <w:rsid w:val="00222099"/>
    <w:rsid w:val="002246DA"/>
    <w:rsid w:val="00232F90"/>
    <w:rsid w:val="002345C5"/>
    <w:rsid w:val="00237D0E"/>
    <w:rsid w:val="00240E50"/>
    <w:rsid w:val="0024138F"/>
    <w:rsid w:val="00241703"/>
    <w:rsid w:val="00244D2C"/>
    <w:rsid w:val="00247469"/>
    <w:rsid w:val="00247F1F"/>
    <w:rsid w:val="0025081E"/>
    <w:rsid w:val="00251849"/>
    <w:rsid w:val="00252810"/>
    <w:rsid w:val="00253A8C"/>
    <w:rsid w:val="00256766"/>
    <w:rsid w:val="002572EC"/>
    <w:rsid w:val="00257321"/>
    <w:rsid w:val="00260C28"/>
    <w:rsid w:val="00261A5A"/>
    <w:rsid w:val="00261FC8"/>
    <w:rsid w:val="002625C4"/>
    <w:rsid w:val="00262DEA"/>
    <w:rsid w:val="00262EC7"/>
    <w:rsid w:val="00263514"/>
    <w:rsid w:val="00264007"/>
    <w:rsid w:val="00265298"/>
    <w:rsid w:val="002655A8"/>
    <w:rsid w:val="00273E98"/>
    <w:rsid w:val="00274B45"/>
    <w:rsid w:val="00275B08"/>
    <w:rsid w:val="00276EB7"/>
    <w:rsid w:val="00276F1C"/>
    <w:rsid w:val="00277160"/>
    <w:rsid w:val="0028036F"/>
    <w:rsid w:val="002805A8"/>
    <w:rsid w:val="0028095C"/>
    <w:rsid w:val="002825B8"/>
    <w:rsid w:val="002835B0"/>
    <w:rsid w:val="002851E1"/>
    <w:rsid w:val="00285CE8"/>
    <w:rsid w:val="00286617"/>
    <w:rsid w:val="00286D47"/>
    <w:rsid w:val="00286F40"/>
    <w:rsid w:val="00287483"/>
    <w:rsid w:val="00290E5F"/>
    <w:rsid w:val="0029194E"/>
    <w:rsid w:val="00292024"/>
    <w:rsid w:val="0029256E"/>
    <w:rsid w:val="00293EEA"/>
    <w:rsid w:val="002951E8"/>
    <w:rsid w:val="00295602"/>
    <w:rsid w:val="00297C1C"/>
    <w:rsid w:val="002A11F1"/>
    <w:rsid w:val="002A26F1"/>
    <w:rsid w:val="002A2CF1"/>
    <w:rsid w:val="002A4E3B"/>
    <w:rsid w:val="002B19ED"/>
    <w:rsid w:val="002B1B33"/>
    <w:rsid w:val="002B2C7B"/>
    <w:rsid w:val="002B6CD4"/>
    <w:rsid w:val="002B6ED0"/>
    <w:rsid w:val="002B6FC1"/>
    <w:rsid w:val="002C007D"/>
    <w:rsid w:val="002C6E49"/>
    <w:rsid w:val="002C750B"/>
    <w:rsid w:val="002D44BA"/>
    <w:rsid w:val="002D6438"/>
    <w:rsid w:val="002D6DA0"/>
    <w:rsid w:val="002E1E3D"/>
    <w:rsid w:val="002E677B"/>
    <w:rsid w:val="002F255B"/>
    <w:rsid w:val="002F3CE0"/>
    <w:rsid w:val="002F4655"/>
    <w:rsid w:val="002F5063"/>
    <w:rsid w:val="00300CA4"/>
    <w:rsid w:val="00301A32"/>
    <w:rsid w:val="00302264"/>
    <w:rsid w:val="00302A17"/>
    <w:rsid w:val="0030520B"/>
    <w:rsid w:val="003068E0"/>
    <w:rsid w:val="00312559"/>
    <w:rsid w:val="00312C94"/>
    <w:rsid w:val="0031602E"/>
    <w:rsid w:val="003166FD"/>
    <w:rsid w:val="00320AB1"/>
    <w:rsid w:val="00323ABF"/>
    <w:rsid w:val="00327655"/>
    <w:rsid w:val="00330298"/>
    <w:rsid w:val="003306CC"/>
    <w:rsid w:val="00330759"/>
    <w:rsid w:val="00330F65"/>
    <w:rsid w:val="00333067"/>
    <w:rsid w:val="003346CE"/>
    <w:rsid w:val="003359CB"/>
    <w:rsid w:val="00335ADD"/>
    <w:rsid w:val="00337F74"/>
    <w:rsid w:val="00340116"/>
    <w:rsid w:val="003419FA"/>
    <w:rsid w:val="00343B7E"/>
    <w:rsid w:val="003457CE"/>
    <w:rsid w:val="00346768"/>
    <w:rsid w:val="0034691A"/>
    <w:rsid w:val="00346F21"/>
    <w:rsid w:val="0034725E"/>
    <w:rsid w:val="003478A4"/>
    <w:rsid w:val="00347D90"/>
    <w:rsid w:val="00350028"/>
    <w:rsid w:val="00351DFC"/>
    <w:rsid w:val="003520A0"/>
    <w:rsid w:val="00352B38"/>
    <w:rsid w:val="0035400C"/>
    <w:rsid w:val="00355063"/>
    <w:rsid w:val="00362265"/>
    <w:rsid w:val="003623E7"/>
    <w:rsid w:val="00363216"/>
    <w:rsid w:val="00364B87"/>
    <w:rsid w:val="00365E88"/>
    <w:rsid w:val="0036680B"/>
    <w:rsid w:val="0037359C"/>
    <w:rsid w:val="0037490D"/>
    <w:rsid w:val="003776C7"/>
    <w:rsid w:val="00377814"/>
    <w:rsid w:val="0038117E"/>
    <w:rsid w:val="00381852"/>
    <w:rsid w:val="00381DD0"/>
    <w:rsid w:val="00382CD8"/>
    <w:rsid w:val="00383D32"/>
    <w:rsid w:val="00386B36"/>
    <w:rsid w:val="00386D17"/>
    <w:rsid w:val="00394B88"/>
    <w:rsid w:val="003958C2"/>
    <w:rsid w:val="00396F86"/>
    <w:rsid w:val="00397998"/>
    <w:rsid w:val="003A2575"/>
    <w:rsid w:val="003A59C9"/>
    <w:rsid w:val="003A74E7"/>
    <w:rsid w:val="003B1205"/>
    <w:rsid w:val="003B2446"/>
    <w:rsid w:val="003B485A"/>
    <w:rsid w:val="003B4A48"/>
    <w:rsid w:val="003B68AA"/>
    <w:rsid w:val="003C1F77"/>
    <w:rsid w:val="003C21D5"/>
    <w:rsid w:val="003C2B28"/>
    <w:rsid w:val="003C3943"/>
    <w:rsid w:val="003C41C8"/>
    <w:rsid w:val="003C4547"/>
    <w:rsid w:val="003C514D"/>
    <w:rsid w:val="003C525B"/>
    <w:rsid w:val="003C6F59"/>
    <w:rsid w:val="003C702D"/>
    <w:rsid w:val="003D03D3"/>
    <w:rsid w:val="003E0346"/>
    <w:rsid w:val="003E5304"/>
    <w:rsid w:val="003E598E"/>
    <w:rsid w:val="003E6438"/>
    <w:rsid w:val="003F01E5"/>
    <w:rsid w:val="003F01EA"/>
    <w:rsid w:val="003F07E6"/>
    <w:rsid w:val="003F0D16"/>
    <w:rsid w:val="003F0EA8"/>
    <w:rsid w:val="003F129D"/>
    <w:rsid w:val="003F211B"/>
    <w:rsid w:val="003F5586"/>
    <w:rsid w:val="004006E5"/>
    <w:rsid w:val="00401EDA"/>
    <w:rsid w:val="004032C3"/>
    <w:rsid w:val="004038D7"/>
    <w:rsid w:val="00404BBB"/>
    <w:rsid w:val="00405831"/>
    <w:rsid w:val="00405BA7"/>
    <w:rsid w:val="004109E4"/>
    <w:rsid w:val="004128C2"/>
    <w:rsid w:val="00412F82"/>
    <w:rsid w:val="0041340A"/>
    <w:rsid w:val="00413A3C"/>
    <w:rsid w:val="00413B15"/>
    <w:rsid w:val="00413CBF"/>
    <w:rsid w:val="00414A34"/>
    <w:rsid w:val="0041600F"/>
    <w:rsid w:val="00421360"/>
    <w:rsid w:val="00421C7A"/>
    <w:rsid w:val="004222D7"/>
    <w:rsid w:val="0042382C"/>
    <w:rsid w:val="00423B83"/>
    <w:rsid w:val="00424048"/>
    <w:rsid w:val="004241E1"/>
    <w:rsid w:val="00425F8F"/>
    <w:rsid w:val="004302EF"/>
    <w:rsid w:val="00430336"/>
    <w:rsid w:val="0043069E"/>
    <w:rsid w:val="0043338F"/>
    <w:rsid w:val="004353AD"/>
    <w:rsid w:val="00440BA6"/>
    <w:rsid w:val="00440E3E"/>
    <w:rsid w:val="0044491C"/>
    <w:rsid w:val="0044596E"/>
    <w:rsid w:val="00447976"/>
    <w:rsid w:val="0045002E"/>
    <w:rsid w:val="00450167"/>
    <w:rsid w:val="00452112"/>
    <w:rsid w:val="00453AD5"/>
    <w:rsid w:val="00453C5B"/>
    <w:rsid w:val="00453E54"/>
    <w:rsid w:val="00454DFC"/>
    <w:rsid w:val="0045592C"/>
    <w:rsid w:val="00455D48"/>
    <w:rsid w:val="004562F2"/>
    <w:rsid w:val="004575B9"/>
    <w:rsid w:val="00460711"/>
    <w:rsid w:val="00460932"/>
    <w:rsid w:val="00463A2A"/>
    <w:rsid w:val="0046417E"/>
    <w:rsid w:val="00464766"/>
    <w:rsid w:val="00464A5B"/>
    <w:rsid w:val="00464BAE"/>
    <w:rsid w:val="004675F1"/>
    <w:rsid w:val="00470C85"/>
    <w:rsid w:val="004743F4"/>
    <w:rsid w:val="00480E68"/>
    <w:rsid w:val="004818C2"/>
    <w:rsid w:val="00481C07"/>
    <w:rsid w:val="004835A1"/>
    <w:rsid w:val="00485F8C"/>
    <w:rsid w:val="00486132"/>
    <w:rsid w:val="00486212"/>
    <w:rsid w:val="00495236"/>
    <w:rsid w:val="0049595D"/>
    <w:rsid w:val="004974E7"/>
    <w:rsid w:val="004A073C"/>
    <w:rsid w:val="004A1B73"/>
    <w:rsid w:val="004A1F10"/>
    <w:rsid w:val="004A2965"/>
    <w:rsid w:val="004A37F2"/>
    <w:rsid w:val="004A5111"/>
    <w:rsid w:val="004A6023"/>
    <w:rsid w:val="004A68B2"/>
    <w:rsid w:val="004B4661"/>
    <w:rsid w:val="004B4A5C"/>
    <w:rsid w:val="004B5821"/>
    <w:rsid w:val="004B7CB8"/>
    <w:rsid w:val="004C0A9C"/>
    <w:rsid w:val="004C2DAE"/>
    <w:rsid w:val="004C7E66"/>
    <w:rsid w:val="004D0B77"/>
    <w:rsid w:val="004D2053"/>
    <w:rsid w:val="004D518C"/>
    <w:rsid w:val="004D5CC8"/>
    <w:rsid w:val="004D60CD"/>
    <w:rsid w:val="004D69B5"/>
    <w:rsid w:val="004E07BE"/>
    <w:rsid w:val="004E2FF6"/>
    <w:rsid w:val="004E773D"/>
    <w:rsid w:val="004E7A9F"/>
    <w:rsid w:val="004E7F99"/>
    <w:rsid w:val="004F0625"/>
    <w:rsid w:val="004F2D9F"/>
    <w:rsid w:val="004F355E"/>
    <w:rsid w:val="004F47AC"/>
    <w:rsid w:val="004F6AF8"/>
    <w:rsid w:val="00500A2E"/>
    <w:rsid w:val="00503421"/>
    <w:rsid w:val="005039E7"/>
    <w:rsid w:val="0050588D"/>
    <w:rsid w:val="00507BB6"/>
    <w:rsid w:val="0051367B"/>
    <w:rsid w:val="00514272"/>
    <w:rsid w:val="00515225"/>
    <w:rsid w:val="005160F4"/>
    <w:rsid w:val="00516ACF"/>
    <w:rsid w:val="0052003E"/>
    <w:rsid w:val="00523894"/>
    <w:rsid w:val="005245D0"/>
    <w:rsid w:val="00526EDF"/>
    <w:rsid w:val="00527E8A"/>
    <w:rsid w:val="00527F15"/>
    <w:rsid w:val="00530449"/>
    <w:rsid w:val="00531ECD"/>
    <w:rsid w:val="00533C1D"/>
    <w:rsid w:val="00535B7E"/>
    <w:rsid w:val="00537062"/>
    <w:rsid w:val="0053706C"/>
    <w:rsid w:val="00537208"/>
    <w:rsid w:val="00537E01"/>
    <w:rsid w:val="0054173D"/>
    <w:rsid w:val="00543B48"/>
    <w:rsid w:val="00543F5D"/>
    <w:rsid w:val="00544AE3"/>
    <w:rsid w:val="0055418B"/>
    <w:rsid w:val="00554614"/>
    <w:rsid w:val="00554B2A"/>
    <w:rsid w:val="00557027"/>
    <w:rsid w:val="00561873"/>
    <w:rsid w:val="00561CE7"/>
    <w:rsid w:val="005626D0"/>
    <w:rsid w:val="00563E6E"/>
    <w:rsid w:val="00565989"/>
    <w:rsid w:val="005668BB"/>
    <w:rsid w:val="00570EC6"/>
    <w:rsid w:val="00571AEF"/>
    <w:rsid w:val="005725D2"/>
    <w:rsid w:val="00573250"/>
    <w:rsid w:val="00573A6B"/>
    <w:rsid w:val="00575D4B"/>
    <w:rsid w:val="00577BB1"/>
    <w:rsid w:val="00580D31"/>
    <w:rsid w:val="00581918"/>
    <w:rsid w:val="00585D48"/>
    <w:rsid w:val="00585D7C"/>
    <w:rsid w:val="00585F87"/>
    <w:rsid w:val="00592C70"/>
    <w:rsid w:val="00592DBB"/>
    <w:rsid w:val="00592E95"/>
    <w:rsid w:val="00597A3A"/>
    <w:rsid w:val="005A0700"/>
    <w:rsid w:val="005A0F05"/>
    <w:rsid w:val="005A242F"/>
    <w:rsid w:val="005A257E"/>
    <w:rsid w:val="005A3EC9"/>
    <w:rsid w:val="005B207D"/>
    <w:rsid w:val="005B46F9"/>
    <w:rsid w:val="005B4B6A"/>
    <w:rsid w:val="005B6821"/>
    <w:rsid w:val="005B6C8C"/>
    <w:rsid w:val="005B7039"/>
    <w:rsid w:val="005C0187"/>
    <w:rsid w:val="005C06B8"/>
    <w:rsid w:val="005C0734"/>
    <w:rsid w:val="005C1D3A"/>
    <w:rsid w:val="005C52CC"/>
    <w:rsid w:val="005C6761"/>
    <w:rsid w:val="005C68E8"/>
    <w:rsid w:val="005C6E41"/>
    <w:rsid w:val="005D0225"/>
    <w:rsid w:val="005D0499"/>
    <w:rsid w:val="005D14C0"/>
    <w:rsid w:val="005D2571"/>
    <w:rsid w:val="005D2C41"/>
    <w:rsid w:val="005D398A"/>
    <w:rsid w:val="005D3E1D"/>
    <w:rsid w:val="005D576A"/>
    <w:rsid w:val="005D7CAB"/>
    <w:rsid w:val="005E01E8"/>
    <w:rsid w:val="005E11F8"/>
    <w:rsid w:val="005E1607"/>
    <w:rsid w:val="005E20A2"/>
    <w:rsid w:val="005E38A2"/>
    <w:rsid w:val="005E7B35"/>
    <w:rsid w:val="005F0E19"/>
    <w:rsid w:val="005F0FD4"/>
    <w:rsid w:val="005F1176"/>
    <w:rsid w:val="005F67FB"/>
    <w:rsid w:val="005F7984"/>
    <w:rsid w:val="00605BAF"/>
    <w:rsid w:val="0060684D"/>
    <w:rsid w:val="00612590"/>
    <w:rsid w:val="0062014F"/>
    <w:rsid w:val="00620332"/>
    <w:rsid w:val="00621204"/>
    <w:rsid w:val="00623650"/>
    <w:rsid w:val="006252A5"/>
    <w:rsid w:val="00625C4C"/>
    <w:rsid w:val="0062706F"/>
    <w:rsid w:val="00627AFE"/>
    <w:rsid w:val="0063120A"/>
    <w:rsid w:val="006314B9"/>
    <w:rsid w:val="00634908"/>
    <w:rsid w:val="00636699"/>
    <w:rsid w:val="00637EEA"/>
    <w:rsid w:val="00642A27"/>
    <w:rsid w:val="00644492"/>
    <w:rsid w:val="00647BB1"/>
    <w:rsid w:val="00650C0F"/>
    <w:rsid w:val="00651A0D"/>
    <w:rsid w:val="00653CF0"/>
    <w:rsid w:val="00654268"/>
    <w:rsid w:val="006553FD"/>
    <w:rsid w:val="0066128C"/>
    <w:rsid w:val="006626CC"/>
    <w:rsid w:val="00662A4D"/>
    <w:rsid w:val="00662C14"/>
    <w:rsid w:val="00665BF4"/>
    <w:rsid w:val="00665DEE"/>
    <w:rsid w:val="0066648D"/>
    <w:rsid w:val="00667BA0"/>
    <w:rsid w:val="00670633"/>
    <w:rsid w:val="00672033"/>
    <w:rsid w:val="00672F18"/>
    <w:rsid w:val="00673A44"/>
    <w:rsid w:val="006742D2"/>
    <w:rsid w:val="00674656"/>
    <w:rsid w:val="006749A3"/>
    <w:rsid w:val="0067513D"/>
    <w:rsid w:val="006756F9"/>
    <w:rsid w:val="006768DE"/>
    <w:rsid w:val="00677740"/>
    <w:rsid w:val="00682A06"/>
    <w:rsid w:val="00684B62"/>
    <w:rsid w:val="00685DC1"/>
    <w:rsid w:val="00687256"/>
    <w:rsid w:val="00690197"/>
    <w:rsid w:val="00691472"/>
    <w:rsid w:val="00691A12"/>
    <w:rsid w:val="00692DAF"/>
    <w:rsid w:val="0069375A"/>
    <w:rsid w:val="00694294"/>
    <w:rsid w:val="006945F8"/>
    <w:rsid w:val="0069606A"/>
    <w:rsid w:val="006A04BA"/>
    <w:rsid w:val="006A4211"/>
    <w:rsid w:val="006A4889"/>
    <w:rsid w:val="006A609B"/>
    <w:rsid w:val="006A642D"/>
    <w:rsid w:val="006A7CF3"/>
    <w:rsid w:val="006B0B8A"/>
    <w:rsid w:val="006B2EE1"/>
    <w:rsid w:val="006B5A37"/>
    <w:rsid w:val="006B7259"/>
    <w:rsid w:val="006C02AE"/>
    <w:rsid w:val="006C1A71"/>
    <w:rsid w:val="006C1C27"/>
    <w:rsid w:val="006C20E4"/>
    <w:rsid w:val="006C292A"/>
    <w:rsid w:val="006C3564"/>
    <w:rsid w:val="006C3565"/>
    <w:rsid w:val="006C3C44"/>
    <w:rsid w:val="006C3E0D"/>
    <w:rsid w:val="006C5A7C"/>
    <w:rsid w:val="006C77B9"/>
    <w:rsid w:val="006D02EF"/>
    <w:rsid w:val="006D2939"/>
    <w:rsid w:val="006D29D7"/>
    <w:rsid w:val="006D3757"/>
    <w:rsid w:val="006D7BE4"/>
    <w:rsid w:val="006D7DA8"/>
    <w:rsid w:val="006E11BD"/>
    <w:rsid w:val="006E5B68"/>
    <w:rsid w:val="006E672D"/>
    <w:rsid w:val="006F00CB"/>
    <w:rsid w:val="006F3362"/>
    <w:rsid w:val="006F41D9"/>
    <w:rsid w:val="006F4654"/>
    <w:rsid w:val="006F605E"/>
    <w:rsid w:val="006F6341"/>
    <w:rsid w:val="00703DAD"/>
    <w:rsid w:val="0070551D"/>
    <w:rsid w:val="007060F0"/>
    <w:rsid w:val="00707D47"/>
    <w:rsid w:val="00710828"/>
    <w:rsid w:val="007109EA"/>
    <w:rsid w:val="00710DB7"/>
    <w:rsid w:val="007116B0"/>
    <w:rsid w:val="0071263E"/>
    <w:rsid w:val="00712E6D"/>
    <w:rsid w:val="007133D2"/>
    <w:rsid w:val="00716E94"/>
    <w:rsid w:val="00716FB5"/>
    <w:rsid w:val="0072155C"/>
    <w:rsid w:val="0072196F"/>
    <w:rsid w:val="00724D43"/>
    <w:rsid w:val="00732958"/>
    <w:rsid w:val="00732EF6"/>
    <w:rsid w:val="0073309A"/>
    <w:rsid w:val="00733746"/>
    <w:rsid w:val="00733B71"/>
    <w:rsid w:val="007417EF"/>
    <w:rsid w:val="0074240E"/>
    <w:rsid w:val="00742E9C"/>
    <w:rsid w:val="00743FD7"/>
    <w:rsid w:val="007468FE"/>
    <w:rsid w:val="00746A72"/>
    <w:rsid w:val="00747C67"/>
    <w:rsid w:val="007509EE"/>
    <w:rsid w:val="00750AE8"/>
    <w:rsid w:val="007519DF"/>
    <w:rsid w:val="00753A54"/>
    <w:rsid w:val="007545ED"/>
    <w:rsid w:val="00754989"/>
    <w:rsid w:val="007554FA"/>
    <w:rsid w:val="00755E11"/>
    <w:rsid w:val="00755EB2"/>
    <w:rsid w:val="007629B4"/>
    <w:rsid w:val="00766248"/>
    <w:rsid w:val="007700E5"/>
    <w:rsid w:val="0077155E"/>
    <w:rsid w:val="007729BC"/>
    <w:rsid w:val="00777701"/>
    <w:rsid w:val="00777DC9"/>
    <w:rsid w:val="0078030E"/>
    <w:rsid w:val="007806BD"/>
    <w:rsid w:val="0078138F"/>
    <w:rsid w:val="00781CCC"/>
    <w:rsid w:val="00785054"/>
    <w:rsid w:val="007870A4"/>
    <w:rsid w:val="00790677"/>
    <w:rsid w:val="00794567"/>
    <w:rsid w:val="00796C08"/>
    <w:rsid w:val="007974AC"/>
    <w:rsid w:val="007A01B9"/>
    <w:rsid w:val="007A1116"/>
    <w:rsid w:val="007A3986"/>
    <w:rsid w:val="007A4212"/>
    <w:rsid w:val="007A439E"/>
    <w:rsid w:val="007A46A0"/>
    <w:rsid w:val="007A5F7F"/>
    <w:rsid w:val="007B1325"/>
    <w:rsid w:val="007B217E"/>
    <w:rsid w:val="007B4054"/>
    <w:rsid w:val="007B50F4"/>
    <w:rsid w:val="007B5232"/>
    <w:rsid w:val="007B5E22"/>
    <w:rsid w:val="007B6F2D"/>
    <w:rsid w:val="007B761F"/>
    <w:rsid w:val="007B7E97"/>
    <w:rsid w:val="007C0C2F"/>
    <w:rsid w:val="007C64B1"/>
    <w:rsid w:val="007D125F"/>
    <w:rsid w:val="007D12A7"/>
    <w:rsid w:val="007D22D9"/>
    <w:rsid w:val="007D246C"/>
    <w:rsid w:val="007D3F46"/>
    <w:rsid w:val="007D4812"/>
    <w:rsid w:val="007D5EB0"/>
    <w:rsid w:val="007D788D"/>
    <w:rsid w:val="007D7C4C"/>
    <w:rsid w:val="007E185F"/>
    <w:rsid w:val="007E29B9"/>
    <w:rsid w:val="007E2E64"/>
    <w:rsid w:val="007E3ECB"/>
    <w:rsid w:val="007F1FE4"/>
    <w:rsid w:val="007F429C"/>
    <w:rsid w:val="007F53DC"/>
    <w:rsid w:val="007F5924"/>
    <w:rsid w:val="007F7380"/>
    <w:rsid w:val="007F753B"/>
    <w:rsid w:val="007F7AE7"/>
    <w:rsid w:val="007F7FD4"/>
    <w:rsid w:val="008000C7"/>
    <w:rsid w:val="0080119E"/>
    <w:rsid w:val="00803138"/>
    <w:rsid w:val="0080447B"/>
    <w:rsid w:val="0080478E"/>
    <w:rsid w:val="00805E72"/>
    <w:rsid w:val="008066B2"/>
    <w:rsid w:val="008079E3"/>
    <w:rsid w:val="008132CD"/>
    <w:rsid w:val="00814E17"/>
    <w:rsid w:val="00820604"/>
    <w:rsid w:val="00822605"/>
    <w:rsid w:val="00824B4B"/>
    <w:rsid w:val="00825C1D"/>
    <w:rsid w:val="008268A0"/>
    <w:rsid w:val="00831EF4"/>
    <w:rsid w:val="00832AF0"/>
    <w:rsid w:val="00835888"/>
    <w:rsid w:val="00840804"/>
    <w:rsid w:val="008416C4"/>
    <w:rsid w:val="008417F0"/>
    <w:rsid w:val="00841C83"/>
    <w:rsid w:val="008432C9"/>
    <w:rsid w:val="0084381B"/>
    <w:rsid w:val="00843F4C"/>
    <w:rsid w:val="00843F51"/>
    <w:rsid w:val="00845F7B"/>
    <w:rsid w:val="00851932"/>
    <w:rsid w:val="008519D4"/>
    <w:rsid w:val="00853900"/>
    <w:rsid w:val="008546BB"/>
    <w:rsid w:val="008555DA"/>
    <w:rsid w:val="00856FED"/>
    <w:rsid w:val="00861857"/>
    <w:rsid w:val="008629F4"/>
    <w:rsid w:val="0086794D"/>
    <w:rsid w:val="008700F3"/>
    <w:rsid w:val="0087126E"/>
    <w:rsid w:val="008712B6"/>
    <w:rsid w:val="00873C45"/>
    <w:rsid w:val="00880BA5"/>
    <w:rsid w:val="00881EC8"/>
    <w:rsid w:val="008834C9"/>
    <w:rsid w:val="00883511"/>
    <w:rsid w:val="00884455"/>
    <w:rsid w:val="00885643"/>
    <w:rsid w:val="00886961"/>
    <w:rsid w:val="00886A6F"/>
    <w:rsid w:val="008901B8"/>
    <w:rsid w:val="00891110"/>
    <w:rsid w:val="00891553"/>
    <w:rsid w:val="008924F8"/>
    <w:rsid w:val="00895C93"/>
    <w:rsid w:val="00896622"/>
    <w:rsid w:val="00896866"/>
    <w:rsid w:val="00896ADD"/>
    <w:rsid w:val="008A1B6E"/>
    <w:rsid w:val="008A2169"/>
    <w:rsid w:val="008A41A5"/>
    <w:rsid w:val="008A5729"/>
    <w:rsid w:val="008A6362"/>
    <w:rsid w:val="008A76D9"/>
    <w:rsid w:val="008A7819"/>
    <w:rsid w:val="008B110F"/>
    <w:rsid w:val="008B1DE1"/>
    <w:rsid w:val="008B23F8"/>
    <w:rsid w:val="008B4E64"/>
    <w:rsid w:val="008B63C6"/>
    <w:rsid w:val="008B6A26"/>
    <w:rsid w:val="008C02F3"/>
    <w:rsid w:val="008C083F"/>
    <w:rsid w:val="008C181D"/>
    <w:rsid w:val="008C34C4"/>
    <w:rsid w:val="008C41EA"/>
    <w:rsid w:val="008C4F76"/>
    <w:rsid w:val="008C564F"/>
    <w:rsid w:val="008C62BF"/>
    <w:rsid w:val="008D02D8"/>
    <w:rsid w:val="008D2A29"/>
    <w:rsid w:val="008D4B0A"/>
    <w:rsid w:val="008D4D47"/>
    <w:rsid w:val="008D5C04"/>
    <w:rsid w:val="008D5E7C"/>
    <w:rsid w:val="008D6485"/>
    <w:rsid w:val="008D6546"/>
    <w:rsid w:val="008E4549"/>
    <w:rsid w:val="008E6CCD"/>
    <w:rsid w:val="008F13E8"/>
    <w:rsid w:val="008F1DAC"/>
    <w:rsid w:val="008F310A"/>
    <w:rsid w:val="008F3D22"/>
    <w:rsid w:val="008F4473"/>
    <w:rsid w:val="008F4740"/>
    <w:rsid w:val="008F5755"/>
    <w:rsid w:val="008F5B3F"/>
    <w:rsid w:val="008F5C4D"/>
    <w:rsid w:val="008F6EB1"/>
    <w:rsid w:val="00900CB8"/>
    <w:rsid w:val="00900E0D"/>
    <w:rsid w:val="00901AF9"/>
    <w:rsid w:val="00904652"/>
    <w:rsid w:val="009046C2"/>
    <w:rsid w:val="00906123"/>
    <w:rsid w:val="00906A84"/>
    <w:rsid w:val="00911804"/>
    <w:rsid w:val="00911924"/>
    <w:rsid w:val="00913F13"/>
    <w:rsid w:val="00914023"/>
    <w:rsid w:val="009145C0"/>
    <w:rsid w:val="00916626"/>
    <w:rsid w:val="00916C88"/>
    <w:rsid w:val="009203A4"/>
    <w:rsid w:val="00920BBB"/>
    <w:rsid w:val="009219A4"/>
    <w:rsid w:val="00924491"/>
    <w:rsid w:val="009259CA"/>
    <w:rsid w:val="009260BC"/>
    <w:rsid w:val="00926ED0"/>
    <w:rsid w:val="0092791E"/>
    <w:rsid w:val="0093371C"/>
    <w:rsid w:val="00934A54"/>
    <w:rsid w:val="00934AD4"/>
    <w:rsid w:val="00936857"/>
    <w:rsid w:val="00951EED"/>
    <w:rsid w:val="00952257"/>
    <w:rsid w:val="0095446A"/>
    <w:rsid w:val="00955079"/>
    <w:rsid w:val="0095538B"/>
    <w:rsid w:val="00956449"/>
    <w:rsid w:val="009613E2"/>
    <w:rsid w:val="00961BF5"/>
    <w:rsid w:val="00963CCF"/>
    <w:rsid w:val="00963F14"/>
    <w:rsid w:val="009655C5"/>
    <w:rsid w:val="0096564B"/>
    <w:rsid w:val="00970852"/>
    <w:rsid w:val="009714DB"/>
    <w:rsid w:val="00974A2C"/>
    <w:rsid w:val="00975954"/>
    <w:rsid w:val="00976099"/>
    <w:rsid w:val="00977919"/>
    <w:rsid w:val="00980B29"/>
    <w:rsid w:val="00983425"/>
    <w:rsid w:val="009847D3"/>
    <w:rsid w:val="00985EC7"/>
    <w:rsid w:val="00987F99"/>
    <w:rsid w:val="00993748"/>
    <w:rsid w:val="0099416F"/>
    <w:rsid w:val="00995362"/>
    <w:rsid w:val="00996A87"/>
    <w:rsid w:val="00997ADF"/>
    <w:rsid w:val="009A2120"/>
    <w:rsid w:val="009A2857"/>
    <w:rsid w:val="009A31C6"/>
    <w:rsid w:val="009A47A9"/>
    <w:rsid w:val="009A6366"/>
    <w:rsid w:val="009A709E"/>
    <w:rsid w:val="009A70C6"/>
    <w:rsid w:val="009A75EC"/>
    <w:rsid w:val="009A763B"/>
    <w:rsid w:val="009A7964"/>
    <w:rsid w:val="009B0C57"/>
    <w:rsid w:val="009B0F24"/>
    <w:rsid w:val="009B1B1D"/>
    <w:rsid w:val="009B438F"/>
    <w:rsid w:val="009B5E8D"/>
    <w:rsid w:val="009B6211"/>
    <w:rsid w:val="009B7936"/>
    <w:rsid w:val="009C02E8"/>
    <w:rsid w:val="009C2872"/>
    <w:rsid w:val="009C5003"/>
    <w:rsid w:val="009C52F6"/>
    <w:rsid w:val="009C6622"/>
    <w:rsid w:val="009D1225"/>
    <w:rsid w:val="009D209B"/>
    <w:rsid w:val="009D298C"/>
    <w:rsid w:val="009D29DE"/>
    <w:rsid w:val="009D2DF9"/>
    <w:rsid w:val="009D5A5C"/>
    <w:rsid w:val="009D782A"/>
    <w:rsid w:val="009E41E0"/>
    <w:rsid w:val="009E45F9"/>
    <w:rsid w:val="009E4656"/>
    <w:rsid w:val="009E4932"/>
    <w:rsid w:val="009E4E0C"/>
    <w:rsid w:val="009E5AF6"/>
    <w:rsid w:val="009E5E7C"/>
    <w:rsid w:val="009E7A08"/>
    <w:rsid w:val="009F0FCE"/>
    <w:rsid w:val="009F1FF7"/>
    <w:rsid w:val="009F39CE"/>
    <w:rsid w:val="009F5668"/>
    <w:rsid w:val="00A03069"/>
    <w:rsid w:val="00A03568"/>
    <w:rsid w:val="00A03A25"/>
    <w:rsid w:val="00A04B86"/>
    <w:rsid w:val="00A0757F"/>
    <w:rsid w:val="00A110D0"/>
    <w:rsid w:val="00A12888"/>
    <w:rsid w:val="00A12EC2"/>
    <w:rsid w:val="00A14A33"/>
    <w:rsid w:val="00A16649"/>
    <w:rsid w:val="00A203A8"/>
    <w:rsid w:val="00A213F1"/>
    <w:rsid w:val="00A21E38"/>
    <w:rsid w:val="00A23C3E"/>
    <w:rsid w:val="00A2753E"/>
    <w:rsid w:val="00A32899"/>
    <w:rsid w:val="00A33BC6"/>
    <w:rsid w:val="00A35A2E"/>
    <w:rsid w:val="00A37C9C"/>
    <w:rsid w:val="00A41681"/>
    <w:rsid w:val="00A41D0D"/>
    <w:rsid w:val="00A41FE9"/>
    <w:rsid w:val="00A4543C"/>
    <w:rsid w:val="00A45D64"/>
    <w:rsid w:val="00A46DE7"/>
    <w:rsid w:val="00A566AA"/>
    <w:rsid w:val="00A57A4A"/>
    <w:rsid w:val="00A60D03"/>
    <w:rsid w:val="00A6220C"/>
    <w:rsid w:val="00A64FF7"/>
    <w:rsid w:val="00A662D2"/>
    <w:rsid w:val="00A703F6"/>
    <w:rsid w:val="00A71DDA"/>
    <w:rsid w:val="00A74B3A"/>
    <w:rsid w:val="00A87B1A"/>
    <w:rsid w:val="00A90931"/>
    <w:rsid w:val="00A9155A"/>
    <w:rsid w:val="00A93B50"/>
    <w:rsid w:val="00A9458F"/>
    <w:rsid w:val="00A97954"/>
    <w:rsid w:val="00A97D04"/>
    <w:rsid w:val="00AA124E"/>
    <w:rsid w:val="00AA2518"/>
    <w:rsid w:val="00AA5063"/>
    <w:rsid w:val="00AA6796"/>
    <w:rsid w:val="00AB1039"/>
    <w:rsid w:val="00AB1280"/>
    <w:rsid w:val="00AB269B"/>
    <w:rsid w:val="00AB4C65"/>
    <w:rsid w:val="00AB54B6"/>
    <w:rsid w:val="00AB55C5"/>
    <w:rsid w:val="00AB7609"/>
    <w:rsid w:val="00AB76D3"/>
    <w:rsid w:val="00AC2902"/>
    <w:rsid w:val="00AD2357"/>
    <w:rsid w:val="00AD2E77"/>
    <w:rsid w:val="00AD4085"/>
    <w:rsid w:val="00AD4657"/>
    <w:rsid w:val="00AD5244"/>
    <w:rsid w:val="00AD6A15"/>
    <w:rsid w:val="00AD7585"/>
    <w:rsid w:val="00AE041B"/>
    <w:rsid w:val="00AE0D13"/>
    <w:rsid w:val="00AE45E7"/>
    <w:rsid w:val="00AE69F8"/>
    <w:rsid w:val="00AE6F45"/>
    <w:rsid w:val="00AE71D1"/>
    <w:rsid w:val="00AF0764"/>
    <w:rsid w:val="00AF088D"/>
    <w:rsid w:val="00AF21C3"/>
    <w:rsid w:val="00AF26DE"/>
    <w:rsid w:val="00AF2D9F"/>
    <w:rsid w:val="00AF395B"/>
    <w:rsid w:val="00AF3DFC"/>
    <w:rsid w:val="00AF3EE7"/>
    <w:rsid w:val="00AF5451"/>
    <w:rsid w:val="00AF7D4A"/>
    <w:rsid w:val="00B01667"/>
    <w:rsid w:val="00B02244"/>
    <w:rsid w:val="00B03A88"/>
    <w:rsid w:val="00B073F3"/>
    <w:rsid w:val="00B1185B"/>
    <w:rsid w:val="00B12109"/>
    <w:rsid w:val="00B129FA"/>
    <w:rsid w:val="00B13CDD"/>
    <w:rsid w:val="00B14811"/>
    <w:rsid w:val="00B16DC6"/>
    <w:rsid w:val="00B17294"/>
    <w:rsid w:val="00B223FA"/>
    <w:rsid w:val="00B238BA"/>
    <w:rsid w:val="00B25AA9"/>
    <w:rsid w:val="00B26C13"/>
    <w:rsid w:val="00B275AE"/>
    <w:rsid w:val="00B30093"/>
    <w:rsid w:val="00B31950"/>
    <w:rsid w:val="00B33608"/>
    <w:rsid w:val="00B352D5"/>
    <w:rsid w:val="00B3675F"/>
    <w:rsid w:val="00B37A7B"/>
    <w:rsid w:val="00B37E4E"/>
    <w:rsid w:val="00B42D1F"/>
    <w:rsid w:val="00B44288"/>
    <w:rsid w:val="00B44B3E"/>
    <w:rsid w:val="00B45BE5"/>
    <w:rsid w:val="00B46277"/>
    <w:rsid w:val="00B46DDD"/>
    <w:rsid w:val="00B4782A"/>
    <w:rsid w:val="00B503EB"/>
    <w:rsid w:val="00B51290"/>
    <w:rsid w:val="00B52AA2"/>
    <w:rsid w:val="00B52E73"/>
    <w:rsid w:val="00B5601B"/>
    <w:rsid w:val="00B56BD0"/>
    <w:rsid w:val="00B573DD"/>
    <w:rsid w:val="00B60E4E"/>
    <w:rsid w:val="00B61EBC"/>
    <w:rsid w:val="00B6685E"/>
    <w:rsid w:val="00B674F7"/>
    <w:rsid w:val="00B711BE"/>
    <w:rsid w:val="00B717CA"/>
    <w:rsid w:val="00B71CD1"/>
    <w:rsid w:val="00B74FF3"/>
    <w:rsid w:val="00B75948"/>
    <w:rsid w:val="00B76839"/>
    <w:rsid w:val="00B77874"/>
    <w:rsid w:val="00B77BBB"/>
    <w:rsid w:val="00B8023D"/>
    <w:rsid w:val="00B808CB"/>
    <w:rsid w:val="00B809FD"/>
    <w:rsid w:val="00B81B84"/>
    <w:rsid w:val="00B848AC"/>
    <w:rsid w:val="00B84AE1"/>
    <w:rsid w:val="00B90721"/>
    <w:rsid w:val="00B91253"/>
    <w:rsid w:val="00B92300"/>
    <w:rsid w:val="00B92927"/>
    <w:rsid w:val="00B9297E"/>
    <w:rsid w:val="00B92AE2"/>
    <w:rsid w:val="00B931CF"/>
    <w:rsid w:val="00B93AD2"/>
    <w:rsid w:val="00B94348"/>
    <w:rsid w:val="00B95459"/>
    <w:rsid w:val="00BA08C6"/>
    <w:rsid w:val="00BA0D25"/>
    <w:rsid w:val="00BA13A1"/>
    <w:rsid w:val="00BA3B89"/>
    <w:rsid w:val="00BA5012"/>
    <w:rsid w:val="00BA64C4"/>
    <w:rsid w:val="00BA6E48"/>
    <w:rsid w:val="00BB0883"/>
    <w:rsid w:val="00BB2205"/>
    <w:rsid w:val="00BB293B"/>
    <w:rsid w:val="00BB2D49"/>
    <w:rsid w:val="00BB4CDB"/>
    <w:rsid w:val="00BB71B4"/>
    <w:rsid w:val="00BC06EC"/>
    <w:rsid w:val="00BC28F7"/>
    <w:rsid w:val="00BC2CC3"/>
    <w:rsid w:val="00BC3836"/>
    <w:rsid w:val="00BC47B1"/>
    <w:rsid w:val="00BC7F5D"/>
    <w:rsid w:val="00BD09D6"/>
    <w:rsid w:val="00BD0A55"/>
    <w:rsid w:val="00BD0E2E"/>
    <w:rsid w:val="00BD4E30"/>
    <w:rsid w:val="00BD4F4D"/>
    <w:rsid w:val="00BD562F"/>
    <w:rsid w:val="00BE1A94"/>
    <w:rsid w:val="00BE5E1C"/>
    <w:rsid w:val="00BE786B"/>
    <w:rsid w:val="00BF0847"/>
    <w:rsid w:val="00BF10F2"/>
    <w:rsid w:val="00BF15ED"/>
    <w:rsid w:val="00BF2B7D"/>
    <w:rsid w:val="00BF3D70"/>
    <w:rsid w:val="00BF6624"/>
    <w:rsid w:val="00C04953"/>
    <w:rsid w:val="00C05463"/>
    <w:rsid w:val="00C05CD3"/>
    <w:rsid w:val="00C10178"/>
    <w:rsid w:val="00C14B77"/>
    <w:rsid w:val="00C17271"/>
    <w:rsid w:val="00C17281"/>
    <w:rsid w:val="00C1762D"/>
    <w:rsid w:val="00C209F7"/>
    <w:rsid w:val="00C22AB3"/>
    <w:rsid w:val="00C34589"/>
    <w:rsid w:val="00C34B5A"/>
    <w:rsid w:val="00C352EC"/>
    <w:rsid w:val="00C35433"/>
    <w:rsid w:val="00C37E40"/>
    <w:rsid w:val="00C41687"/>
    <w:rsid w:val="00C43A84"/>
    <w:rsid w:val="00C44DA7"/>
    <w:rsid w:val="00C44F55"/>
    <w:rsid w:val="00C4554B"/>
    <w:rsid w:val="00C527B6"/>
    <w:rsid w:val="00C53256"/>
    <w:rsid w:val="00C53587"/>
    <w:rsid w:val="00C61759"/>
    <w:rsid w:val="00C61CDB"/>
    <w:rsid w:val="00C61F69"/>
    <w:rsid w:val="00C624AF"/>
    <w:rsid w:val="00C63B3C"/>
    <w:rsid w:val="00C66CCB"/>
    <w:rsid w:val="00C7124E"/>
    <w:rsid w:val="00C7273C"/>
    <w:rsid w:val="00C73D56"/>
    <w:rsid w:val="00C82056"/>
    <w:rsid w:val="00C8320E"/>
    <w:rsid w:val="00C83F36"/>
    <w:rsid w:val="00C844F2"/>
    <w:rsid w:val="00C8482F"/>
    <w:rsid w:val="00C85D63"/>
    <w:rsid w:val="00C86741"/>
    <w:rsid w:val="00C87AD6"/>
    <w:rsid w:val="00C903B0"/>
    <w:rsid w:val="00C90E16"/>
    <w:rsid w:val="00C94A5C"/>
    <w:rsid w:val="00C95D98"/>
    <w:rsid w:val="00C960DC"/>
    <w:rsid w:val="00C96E31"/>
    <w:rsid w:val="00C96E37"/>
    <w:rsid w:val="00C9731B"/>
    <w:rsid w:val="00CA2B86"/>
    <w:rsid w:val="00CA621E"/>
    <w:rsid w:val="00CA644C"/>
    <w:rsid w:val="00CA64F3"/>
    <w:rsid w:val="00CA7098"/>
    <w:rsid w:val="00CA76BE"/>
    <w:rsid w:val="00CB208D"/>
    <w:rsid w:val="00CB3511"/>
    <w:rsid w:val="00CB438C"/>
    <w:rsid w:val="00CB4E6E"/>
    <w:rsid w:val="00CB76FC"/>
    <w:rsid w:val="00CC02F1"/>
    <w:rsid w:val="00CC16C4"/>
    <w:rsid w:val="00CC1927"/>
    <w:rsid w:val="00CC3948"/>
    <w:rsid w:val="00CC46E0"/>
    <w:rsid w:val="00CC4A87"/>
    <w:rsid w:val="00CC4F9D"/>
    <w:rsid w:val="00CC5449"/>
    <w:rsid w:val="00CC5A61"/>
    <w:rsid w:val="00CC5C56"/>
    <w:rsid w:val="00CC611E"/>
    <w:rsid w:val="00CD0248"/>
    <w:rsid w:val="00CD320E"/>
    <w:rsid w:val="00CD6085"/>
    <w:rsid w:val="00CE47C0"/>
    <w:rsid w:val="00CE5219"/>
    <w:rsid w:val="00CE6EDE"/>
    <w:rsid w:val="00CE7DDA"/>
    <w:rsid w:val="00CF02CB"/>
    <w:rsid w:val="00CF0762"/>
    <w:rsid w:val="00CF44F8"/>
    <w:rsid w:val="00CF5397"/>
    <w:rsid w:val="00CF5A81"/>
    <w:rsid w:val="00CF5D4D"/>
    <w:rsid w:val="00CF608F"/>
    <w:rsid w:val="00CF7435"/>
    <w:rsid w:val="00D038BB"/>
    <w:rsid w:val="00D0649C"/>
    <w:rsid w:val="00D075E6"/>
    <w:rsid w:val="00D10A92"/>
    <w:rsid w:val="00D10B13"/>
    <w:rsid w:val="00D10DB1"/>
    <w:rsid w:val="00D2177B"/>
    <w:rsid w:val="00D22687"/>
    <w:rsid w:val="00D23670"/>
    <w:rsid w:val="00D237DB"/>
    <w:rsid w:val="00D23EC1"/>
    <w:rsid w:val="00D2430D"/>
    <w:rsid w:val="00D24EA6"/>
    <w:rsid w:val="00D252E2"/>
    <w:rsid w:val="00D267EF"/>
    <w:rsid w:val="00D30881"/>
    <w:rsid w:val="00D34158"/>
    <w:rsid w:val="00D352BD"/>
    <w:rsid w:val="00D360C7"/>
    <w:rsid w:val="00D37C6F"/>
    <w:rsid w:val="00D4137B"/>
    <w:rsid w:val="00D44F3C"/>
    <w:rsid w:val="00D50E74"/>
    <w:rsid w:val="00D51406"/>
    <w:rsid w:val="00D52486"/>
    <w:rsid w:val="00D535EB"/>
    <w:rsid w:val="00D53D17"/>
    <w:rsid w:val="00D54ED6"/>
    <w:rsid w:val="00D554E8"/>
    <w:rsid w:val="00D600B2"/>
    <w:rsid w:val="00D60D6C"/>
    <w:rsid w:val="00D629B5"/>
    <w:rsid w:val="00D65502"/>
    <w:rsid w:val="00D6659F"/>
    <w:rsid w:val="00D72CB8"/>
    <w:rsid w:val="00D72F7D"/>
    <w:rsid w:val="00D7315B"/>
    <w:rsid w:val="00D7412E"/>
    <w:rsid w:val="00D7469F"/>
    <w:rsid w:val="00D768C1"/>
    <w:rsid w:val="00D82F8E"/>
    <w:rsid w:val="00D8761E"/>
    <w:rsid w:val="00D952C5"/>
    <w:rsid w:val="00D95FA0"/>
    <w:rsid w:val="00D9780A"/>
    <w:rsid w:val="00DA0203"/>
    <w:rsid w:val="00DA183C"/>
    <w:rsid w:val="00DA1F1E"/>
    <w:rsid w:val="00DA37A0"/>
    <w:rsid w:val="00DA3DFE"/>
    <w:rsid w:val="00DA4E4E"/>
    <w:rsid w:val="00DA5A55"/>
    <w:rsid w:val="00DA720C"/>
    <w:rsid w:val="00DB0DE4"/>
    <w:rsid w:val="00DB2C45"/>
    <w:rsid w:val="00DB2C91"/>
    <w:rsid w:val="00DB4016"/>
    <w:rsid w:val="00DB430C"/>
    <w:rsid w:val="00DB4590"/>
    <w:rsid w:val="00DB6949"/>
    <w:rsid w:val="00DB6F95"/>
    <w:rsid w:val="00DB7081"/>
    <w:rsid w:val="00DC0469"/>
    <w:rsid w:val="00DC09B5"/>
    <w:rsid w:val="00DC2BEA"/>
    <w:rsid w:val="00DC3953"/>
    <w:rsid w:val="00DC54BF"/>
    <w:rsid w:val="00DC5B31"/>
    <w:rsid w:val="00DC5CEA"/>
    <w:rsid w:val="00DC7288"/>
    <w:rsid w:val="00DD3435"/>
    <w:rsid w:val="00DD44E5"/>
    <w:rsid w:val="00DD5279"/>
    <w:rsid w:val="00DD5315"/>
    <w:rsid w:val="00DE3C5E"/>
    <w:rsid w:val="00DE4FAD"/>
    <w:rsid w:val="00DE6892"/>
    <w:rsid w:val="00DF1C07"/>
    <w:rsid w:val="00DF2142"/>
    <w:rsid w:val="00DF43C3"/>
    <w:rsid w:val="00DF55DF"/>
    <w:rsid w:val="00DF7289"/>
    <w:rsid w:val="00E03C7A"/>
    <w:rsid w:val="00E040EE"/>
    <w:rsid w:val="00E07924"/>
    <w:rsid w:val="00E10B03"/>
    <w:rsid w:val="00E10C63"/>
    <w:rsid w:val="00E11C4C"/>
    <w:rsid w:val="00E11F13"/>
    <w:rsid w:val="00E126B9"/>
    <w:rsid w:val="00E12FAC"/>
    <w:rsid w:val="00E16901"/>
    <w:rsid w:val="00E16AAA"/>
    <w:rsid w:val="00E17BFB"/>
    <w:rsid w:val="00E21987"/>
    <w:rsid w:val="00E21C6C"/>
    <w:rsid w:val="00E24030"/>
    <w:rsid w:val="00E24A98"/>
    <w:rsid w:val="00E25439"/>
    <w:rsid w:val="00E25677"/>
    <w:rsid w:val="00E27726"/>
    <w:rsid w:val="00E328A0"/>
    <w:rsid w:val="00E32EAF"/>
    <w:rsid w:val="00E33115"/>
    <w:rsid w:val="00E344FE"/>
    <w:rsid w:val="00E34BE6"/>
    <w:rsid w:val="00E37496"/>
    <w:rsid w:val="00E423EB"/>
    <w:rsid w:val="00E430BF"/>
    <w:rsid w:val="00E43D65"/>
    <w:rsid w:val="00E442AB"/>
    <w:rsid w:val="00E44B02"/>
    <w:rsid w:val="00E44E97"/>
    <w:rsid w:val="00E45940"/>
    <w:rsid w:val="00E45A04"/>
    <w:rsid w:val="00E46208"/>
    <w:rsid w:val="00E46B3C"/>
    <w:rsid w:val="00E52319"/>
    <w:rsid w:val="00E529FB"/>
    <w:rsid w:val="00E55797"/>
    <w:rsid w:val="00E62988"/>
    <w:rsid w:val="00E64217"/>
    <w:rsid w:val="00E64437"/>
    <w:rsid w:val="00E6511A"/>
    <w:rsid w:val="00E65E40"/>
    <w:rsid w:val="00E661FF"/>
    <w:rsid w:val="00E66F49"/>
    <w:rsid w:val="00E67F93"/>
    <w:rsid w:val="00E70D7F"/>
    <w:rsid w:val="00E74996"/>
    <w:rsid w:val="00E75AD6"/>
    <w:rsid w:val="00E75F70"/>
    <w:rsid w:val="00E76E01"/>
    <w:rsid w:val="00E82617"/>
    <w:rsid w:val="00E832F7"/>
    <w:rsid w:val="00E83C74"/>
    <w:rsid w:val="00E87411"/>
    <w:rsid w:val="00E922B3"/>
    <w:rsid w:val="00E923A0"/>
    <w:rsid w:val="00E93E1F"/>
    <w:rsid w:val="00E94699"/>
    <w:rsid w:val="00E94840"/>
    <w:rsid w:val="00E95C48"/>
    <w:rsid w:val="00E963DD"/>
    <w:rsid w:val="00E96722"/>
    <w:rsid w:val="00EA2926"/>
    <w:rsid w:val="00EA3FDB"/>
    <w:rsid w:val="00EA4ABB"/>
    <w:rsid w:val="00EA5B14"/>
    <w:rsid w:val="00EA68FD"/>
    <w:rsid w:val="00EA703C"/>
    <w:rsid w:val="00EA7072"/>
    <w:rsid w:val="00EB1B7F"/>
    <w:rsid w:val="00EB2190"/>
    <w:rsid w:val="00EB4C8A"/>
    <w:rsid w:val="00EB5328"/>
    <w:rsid w:val="00EB79CB"/>
    <w:rsid w:val="00EC0DCB"/>
    <w:rsid w:val="00EC1D42"/>
    <w:rsid w:val="00EC1DC0"/>
    <w:rsid w:val="00EC48BF"/>
    <w:rsid w:val="00EC4923"/>
    <w:rsid w:val="00EC4FD9"/>
    <w:rsid w:val="00EC6419"/>
    <w:rsid w:val="00ED024C"/>
    <w:rsid w:val="00ED0EE5"/>
    <w:rsid w:val="00ED2F53"/>
    <w:rsid w:val="00ED3EA6"/>
    <w:rsid w:val="00ED475D"/>
    <w:rsid w:val="00ED6299"/>
    <w:rsid w:val="00ED6979"/>
    <w:rsid w:val="00ED6BAF"/>
    <w:rsid w:val="00EE109B"/>
    <w:rsid w:val="00EE52B0"/>
    <w:rsid w:val="00EE5E76"/>
    <w:rsid w:val="00EF0A07"/>
    <w:rsid w:val="00EF4A6D"/>
    <w:rsid w:val="00EF70B5"/>
    <w:rsid w:val="00F00EB1"/>
    <w:rsid w:val="00F01F45"/>
    <w:rsid w:val="00F0293D"/>
    <w:rsid w:val="00F03046"/>
    <w:rsid w:val="00F05063"/>
    <w:rsid w:val="00F0520F"/>
    <w:rsid w:val="00F06A8E"/>
    <w:rsid w:val="00F07F86"/>
    <w:rsid w:val="00F12CFA"/>
    <w:rsid w:val="00F1390E"/>
    <w:rsid w:val="00F1406D"/>
    <w:rsid w:val="00F163A3"/>
    <w:rsid w:val="00F20E9D"/>
    <w:rsid w:val="00F20F86"/>
    <w:rsid w:val="00F20FD2"/>
    <w:rsid w:val="00F2387A"/>
    <w:rsid w:val="00F245B2"/>
    <w:rsid w:val="00F26252"/>
    <w:rsid w:val="00F268BF"/>
    <w:rsid w:val="00F27ED8"/>
    <w:rsid w:val="00F3168A"/>
    <w:rsid w:val="00F35989"/>
    <w:rsid w:val="00F403A4"/>
    <w:rsid w:val="00F40D1E"/>
    <w:rsid w:val="00F41EF5"/>
    <w:rsid w:val="00F4278D"/>
    <w:rsid w:val="00F441F4"/>
    <w:rsid w:val="00F45EAF"/>
    <w:rsid w:val="00F45EF8"/>
    <w:rsid w:val="00F51B2C"/>
    <w:rsid w:val="00F51FE5"/>
    <w:rsid w:val="00F522B7"/>
    <w:rsid w:val="00F53341"/>
    <w:rsid w:val="00F53824"/>
    <w:rsid w:val="00F55E73"/>
    <w:rsid w:val="00F575FE"/>
    <w:rsid w:val="00F6595C"/>
    <w:rsid w:val="00F671E4"/>
    <w:rsid w:val="00F71777"/>
    <w:rsid w:val="00F71A3D"/>
    <w:rsid w:val="00F76675"/>
    <w:rsid w:val="00F77473"/>
    <w:rsid w:val="00F8230D"/>
    <w:rsid w:val="00F83013"/>
    <w:rsid w:val="00F832F7"/>
    <w:rsid w:val="00F83407"/>
    <w:rsid w:val="00F834C2"/>
    <w:rsid w:val="00F85106"/>
    <w:rsid w:val="00F86AA0"/>
    <w:rsid w:val="00F90F59"/>
    <w:rsid w:val="00F916FB"/>
    <w:rsid w:val="00F92901"/>
    <w:rsid w:val="00F94757"/>
    <w:rsid w:val="00F95BD9"/>
    <w:rsid w:val="00F97DBC"/>
    <w:rsid w:val="00FA02E7"/>
    <w:rsid w:val="00FA1179"/>
    <w:rsid w:val="00FA1487"/>
    <w:rsid w:val="00FA154B"/>
    <w:rsid w:val="00FA18F7"/>
    <w:rsid w:val="00FA20E3"/>
    <w:rsid w:val="00FA398C"/>
    <w:rsid w:val="00FA42CB"/>
    <w:rsid w:val="00FA42F2"/>
    <w:rsid w:val="00FA64BD"/>
    <w:rsid w:val="00FA6D20"/>
    <w:rsid w:val="00FA6D95"/>
    <w:rsid w:val="00FA7861"/>
    <w:rsid w:val="00FA7DEB"/>
    <w:rsid w:val="00FB0ACC"/>
    <w:rsid w:val="00FB5ADD"/>
    <w:rsid w:val="00FC0C26"/>
    <w:rsid w:val="00FD1A36"/>
    <w:rsid w:val="00FD1B68"/>
    <w:rsid w:val="00FD1BB5"/>
    <w:rsid w:val="00FD3721"/>
    <w:rsid w:val="00FD49C3"/>
    <w:rsid w:val="00FD5851"/>
    <w:rsid w:val="00FD63E4"/>
    <w:rsid w:val="00FD7B03"/>
    <w:rsid w:val="00FE0076"/>
    <w:rsid w:val="00FE10E4"/>
    <w:rsid w:val="00FE2773"/>
    <w:rsid w:val="00FE392D"/>
    <w:rsid w:val="00FE5B51"/>
    <w:rsid w:val="00FE5D3C"/>
    <w:rsid w:val="00FE5E2B"/>
    <w:rsid w:val="00FF0CCA"/>
    <w:rsid w:val="00FF3D61"/>
    <w:rsid w:val="00FF434E"/>
    <w:rsid w:val="00FF7178"/>
    <w:rsid w:val="01B22428"/>
    <w:rsid w:val="0410127A"/>
    <w:rsid w:val="04353305"/>
    <w:rsid w:val="04E9514B"/>
    <w:rsid w:val="07674C66"/>
    <w:rsid w:val="081F3FCA"/>
    <w:rsid w:val="0878022B"/>
    <w:rsid w:val="09297B5E"/>
    <w:rsid w:val="09AE0CCF"/>
    <w:rsid w:val="0A67333E"/>
    <w:rsid w:val="0B987A9D"/>
    <w:rsid w:val="0BA01C3B"/>
    <w:rsid w:val="0BAA5579"/>
    <w:rsid w:val="0BB5238C"/>
    <w:rsid w:val="0DA47D15"/>
    <w:rsid w:val="0DAA3DF6"/>
    <w:rsid w:val="0F02359C"/>
    <w:rsid w:val="0F273897"/>
    <w:rsid w:val="0FBF2767"/>
    <w:rsid w:val="0FC71A98"/>
    <w:rsid w:val="0FEA546F"/>
    <w:rsid w:val="106E4B7E"/>
    <w:rsid w:val="112B1231"/>
    <w:rsid w:val="11F0239D"/>
    <w:rsid w:val="12FC7CAB"/>
    <w:rsid w:val="13C61724"/>
    <w:rsid w:val="13D36C5E"/>
    <w:rsid w:val="14552CE9"/>
    <w:rsid w:val="14836622"/>
    <w:rsid w:val="152C2AC9"/>
    <w:rsid w:val="15621D86"/>
    <w:rsid w:val="165C73DE"/>
    <w:rsid w:val="16AE5760"/>
    <w:rsid w:val="171657DF"/>
    <w:rsid w:val="18235DE7"/>
    <w:rsid w:val="1A3D5848"/>
    <w:rsid w:val="1B8F65AD"/>
    <w:rsid w:val="1BC5023D"/>
    <w:rsid w:val="1C6159E5"/>
    <w:rsid w:val="1C7F7983"/>
    <w:rsid w:val="1D681A07"/>
    <w:rsid w:val="1EDD11BB"/>
    <w:rsid w:val="20A953AC"/>
    <w:rsid w:val="21F4667D"/>
    <w:rsid w:val="221B7C92"/>
    <w:rsid w:val="22BE6D2B"/>
    <w:rsid w:val="234641F4"/>
    <w:rsid w:val="236105AC"/>
    <w:rsid w:val="23832BC5"/>
    <w:rsid w:val="23F02367"/>
    <w:rsid w:val="260F7848"/>
    <w:rsid w:val="26AB75C6"/>
    <w:rsid w:val="28616AD6"/>
    <w:rsid w:val="287405B8"/>
    <w:rsid w:val="28CB21A2"/>
    <w:rsid w:val="2A394E09"/>
    <w:rsid w:val="2A5B20FF"/>
    <w:rsid w:val="2A670F52"/>
    <w:rsid w:val="2A6F34AB"/>
    <w:rsid w:val="2A7202CD"/>
    <w:rsid w:val="2BFD51B3"/>
    <w:rsid w:val="2D3D2B42"/>
    <w:rsid w:val="2D426A1A"/>
    <w:rsid w:val="2E1E0B44"/>
    <w:rsid w:val="2F761F3F"/>
    <w:rsid w:val="2FF40230"/>
    <w:rsid w:val="30874C00"/>
    <w:rsid w:val="31085671"/>
    <w:rsid w:val="339E298D"/>
    <w:rsid w:val="342A174E"/>
    <w:rsid w:val="344D7D5A"/>
    <w:rsid w:val="34594316"/>
    <w:rsid w:val="346F257B"/>
    <w:rsid w:val="348C3304"/>
    <w:rsid w:val="351C3CFC"/>
    <w:rsid w:val="35ED7BFB"/>
    <w:rsid w:val="35F24F62"/>
    <w:rsid w:val="36D85E5A"/>
    <w:rsid w:val="37087EA2"/>
    <w:rsid w:val="383814A0"/>
    <w:rsid w:val="38A50319"/>
    <w:rsid w:val="39617356"/>
    <w:rsid w:val="3A064DE8"/>
    <w:rsid w:val="3A87611E"/>
    <w:rsid w:val="3B3018F3"/>
    <w:rsid w:val="3B8643C3"/>
    <w:rsid w:val="3B897169"/>
    <w:rsid w:val="3C1B39A0"/>
    <w:rsid w:val="3C20028C"/>
    <w:rsid w:val="3CC50F8A"/>
    <w:rsid w:val="3CFE058D"/>
    <w:rsid w:val="3D204622"/>
    <w:rsid w:val="3E067624"/>
    <w:rsid w:val="3E577E33"/>
    <w:rsid w:val="3F1B55AC"/>
    <w:rsid w:val="3FB6105E"/>
    <w:rsid w:val="3FBB0028"/>
    <w:rsid w:val="3FDB6D16"/>
    <w:rsid w:val="404D395B"/>
    <w:rsid w:val="408E5B37"/>
    <w:rsid w:val="41712D7C"/>
    <w:rsid w:val="41F51131"/>
    <w:rsid w:val="422A3B49"/>
    <w:rsid w:val="4243599A"/>
    <w:rsid w:val="42E770D4"/>
    <w:rsid w:val="43C23C6C"/>
    <w:rsid w:val="440E76BA"/>
    <w:rsid w:val="475B5A29"/>
    <w:rsid w:val="481D73CF"/>
    <w:rsid w:val="49C754EE"/>
    <w:rsid w:val="4A5017A7"/>
    <w:rsid w:val="4A566EE4"/>
    <w:rsid w:val="4ABC3495"/>
    <w:rsid w:val="4B4E2A92"/>
    <w:rsid w:val="4C1E4213"/>
    <w:rsid w:val="4DD049FB"/>
    <w:rsid w:val="4E8040C0"/>
    <w:rsid w:val="4F5911C8"/>
    <w:rsid w:val="4FC84BD9"/>
    <w:rsid w:val="50BD049E"/>
    <w:rsid w:val="51044128"/>
    <w:rsid w:val="51197768"/>
    <w:rsid w:val="51755C75"/>
    <w:rsid w:val="5185202D"/>
    <w:rsid w:val="51F02498"/>
    <w:rsid w:val="52320A18"/>
    <w:rsid w:val="52854FEC"/>
    <w:rsid w:val="5311136F"/>
    <w:rsid w:val="53141653"/>
    <w:rsid w:val="541505F1"/>
    <w:rsid w:val="562E614B"/>
    <w:rsid w:val="56DA342C"/>
    <w:rsid w:val="572F2B1A"/>
    <w:rsid w:val="57686BFE"/>
    <w:rsid w:val="58D7036B"/>
    <w:rsid w:val="58DF1647"/>
    <w:rsid w:val="59C80D84"/>
    <w:rsid w:val="5AE335F1"/>
    <w:rsid w:val="5B2673E2"/>
    <w:rsid w:val="5B914CCD"/>
    <w:rsid w:val="5BEC66A8"/>
    <w:rsid w:val="5CEE5E83"/>
    <w:rsid w:val="5D221F41"/>
    <w:rsid w:val="5D3024BA"/>
    <w:rsid w:val="5DCF78D2"/>
    <w:rsid w:val="5DE10898"/>
    <w:rsid w:val="5DE21EAB"/>
    <w:rsid w:val="5DFA38AA"/>
    <w:rsid w:val="5EEF46A4"/>
    <w:rsid w:val="5EF84D97"/>
    <w:rsid w:val="5EFA0B0F"/>
    <w:rsid w:val="5F3E0D71"/>
    <w:rsid w:val="5F5B78AA"/>
    <w:rsid w:val="5F7563E8"/>
    <w:rsid w:val="5FB732B8"/>
    <w:rsid w:val="60934D78"/>
    <w:rsid w:val="61C66D04"/>
    <w:rsid w:val="62055750"/>
    <w:rsid w:val="635D166D"/>
    <w:rsid w:val="63D17DBE"/>
    <w:rsid w:val="641A130C"/>
    <w:rsid w:val="64E266D6"/>
    <w:rsid w:val="65FF07B9"/>
    <w:rsid w:val="66007C8F"/>
    <w:rsid w:val="66D90F26"/>
    <w:rsid w:val="67244BA5"/>
    <w:rsid w:val="677156E7"/>
    <w:rsid w:val="687A35AA"/>
    <w:rsid w:val="68FB472D"/>
    <w:rsid w:val="6A9406F3"/>
    <w:rsid w:val="6D0D6542"/>
    <w:rsid w:val="6FFC235D"/>
    <w:rsid w:val="70B75331"/>
    <w:rsid w:val="70E7076F"/>
    <w:rsid w:val="719B0027"/>
    <w:rsid w:val="72367C59"/>
    <w:rsid w:val="73A3131E"/>
    <w:rsid w:val="73A874E5"/>
    <w:rsid w:val="74130252"/>
    <w:rsid w:val="74A40CAB"/>
    <w:rsid w:val="75272B9C"/>
    <w:rsid w:val="754163F9"/>
    <w:rsid w:val="756A1679"/>
    <w:rsid w:val="757F1917"/>
    <w:rsid w:val="75D05CCE"/>
    <w:rsid w:val="75D70729"/>
    <w:rsid w:val="76151B9E"/>
    <w:rsid w:val="77177C67"/>
    <w:rsid w:val="779C67B0"/>
    <w:rsid w:val="794A0718"/>
    <w:rsid w:val="79562DC0"/>
    <w:rsid w:val="796F70A3"/>
    <w:rsid w:val="7A49604F"/>
    <w:rsid w:val="7C162C10"/>
    <w:rsid w:val="7C5C02BC"/>
    <w:rsid w:val="7D004A09"/>
    <w:rsid w:val="7D4F1BCF"/>
    <w:rsid w:val="7D842E63"/>
    <w:rsid w:val="7DC507E5"/>
    <w:rsid w:val="7DE20C95"/>
    <w:rsid w:val="7E65271E"/>
    <w:rsid w:val="7F131853"/>
    <w:rsid w:val="7F963A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f">
      <v:fill on="t" focussize="0,0"/>
      <v:stroke on="f"/>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qFormat="1" w:unhideWhenUsed="0"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qFormat="1" w:unhideWhenUsed="0"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qFormat="1" w:unhideWhenUsed="0" w:uiPriority="0" w:semiHidden="0" w:name="envelope address"/>
    <w:lsdException w:qFormat="1" w:unhideWhenUsed="0" w:uiPriority="0" w:semiHidden="0" w:name="envelope return"/>
    <w:lsdException w:qFormat="1" w:unhideWhenUsed="0"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9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qFormat/>
    <w:uiPriority w:val="0"/>
    <w:pPr>
      <w:keepNext/>
      <w:keepLines/>
      <w:spacing w:before="280" w:after="290" w:line="376" w:lineRule="auto"/>
      <w:outlineLvl w:val="4"/>
    </w:pPr>
    <w:rPr>
      <w:b/>
      <w:bCs/>
      <w:sz w:val="28"/>
      <w:szCs w:val="28"/>
    </w:rPr>
  </w:style>
  <w:style w:type="paragraph" w:styleId="7">
    <w:name w:val="heading 6"/>
    <w:basedOn w:val="1"/>
    <w:next w:val="1"/>
    <w:link w:val="167"/>
    <w:qFormat/>
    <w:uiPriority w:val="0"/>
    <w:pPr>
      <w:keepNext/>
      <w:keepLines/>
      <w:spacing w:before="240" w:after="64" w:line="320" w:lineRule="auto"/>
      <w:outlineLvl w:val="5"/>
    </w:pPr>
    <w:rPr>
      <w:rFonts w:ascii="Arial" w:hAnsi="Arial" w:eastAsia="黑体"/>
      <w:b/>
      <w:bCs/>
      <w:sz w:val="24"/>
    </w:rPr>
  </w:style>
  <w:style w:type="paragraph" w:styleId="8">
    <w:name w:val="heading 7"/>
    <w:basedOn w:val="1"/>
    <w:next w:val="1"/>
    <w:qFormat/>
    <w:uiPriority w:val="0"/>
    <w:pPr>
      <w:keepNext/>
      <w:keepLines/>
      <w:spacing w:before="240" w:after="64" w:line="320" w:lineRule="auto"/>
      <w:outlineLvl w:val="6"/>
    </w:pPr>
    <w:rPr>
      <w:b/>
      <w:bCs/>
      <w:sz w:val="24"/>
    </w:rPr>
  </w:style>
  <w:style w:type="paragraph" w:styleId="9">
    <w:name w:val="heading 8"/>
    <w:basedOn w:val="1"/>
    <w:next w:val="1"/>
    <w:qFormat/>
    <w:uiPriority w:val="0"/>
    <w:pPr>
      <w:keepNext/>
      <w:keepLines/>
      <w:spacing w:before="240" w:after="64" w:line="320" w:lineRule="auto"/>
      <w:outlineLvl w:val="7"/>
    </w:pPr>
    <w:rPr>
      <w:rFonts w:ascii="Arial" w:hAnsi="Arial" w:eastAsia="黑体"/>
      <w:sz w:val="24"/>
    </w:rPr>
  </w:style>
  <w:style w:type="paragraph" w:styleId="10">
    <w:name w:val="heading 9"/>
    <w:basedOn w:val="1"/>
    <w:next w:val="1"/>
    <w:qFormat/>
    <w:uiPriority w:val="0"/>
    <w:pPr>
      <w:keepNext/>
      <w:keepLines/>
      <w:spacing w:before="240" w:after="64" w:line="320" w:lineRule="auto"/>
      <w:outlineLvl w:val="8"/>
    </w:pPr>
    <w:rPr>
      <w:rFonts w:ascii="Arial" w:hAnsi="Arial" w:eastAsia="黑体"/>
      <w:szCs w:val="21"/>
    </w:rPr>
  </w:style>
  <w:style w:type="character" w:default="1" w:styleId="76">
    <w:name w:val="Default Paragraph Font"/>
    <w:semiHidden/>
    <w:unhideWhenUsed/>
    <w:qFormat/>
    <w:uiPriority w:val="1"/>
  </w:style>
  <w:style w:type="table" w:default="1" w:styleId="74">
    <w:name w:val="Normal Table"/>
    <w:semiHidden/>
    <w:unhideWhenUsed/>
    <w:qFormat/>
    <w:uiPriority w:val="99"/>
    <w:tblPr>
      <w:tblCellMar>
        <w:top w:w="0" w:type="dxa"/>
        <w:left w:w="108" w:type="dxa"/>
        <w:bottom w:w="0" w:type="dxa"/>
        <w:right w:w="108" w:type="dxa"/>
      </w:tblCellMar>
    </w:tblPr>
  </w:style>
  <w:style w:type="paragraph" w:styleId="11">
    <w:name w:val="List 3"/>
    <w:basedOn w:val="1"/>
    <w:qFormat/>
    <w:uiPriority w:val="0"/>
    <w:pPr>
      <w:ind w:left="100" w:leftChars="400" w:hanging="200" w:hangingChars="200"/>
    </w:pPr>
    <w:rPr>
      <w:szCs w:val="24"/>
    </w:rPr>
  </w:style>
  <w:style w:type="paragraph" w:styleId="12">
    <w:name w:val="toc 7"/>
    <w:basedOn w:val="13"/>
    <w:next w:val="1"/>
    <w:semiHidden/>
    <w:qFormat/>
    <w:uiPriority w:val="0"/>
    <w:pPr>
      <w:tabs>
        <w:tab w:val="right" w:leader="dot" w:pos="9345"/>
      </w:tabs>
    </w:pPr>
  </w:style>
  <w:style w:type="paragraph" w:styleId="13">
    <w:name w:val="toc 6"/>
    <w:basedOn w:val="14"/>
    <w:next w:val="1"/>
    <w:semiHidden/>
    <w:qFormat/>
    <w:uiPriority w:val="0"/>
    <w:pPr>
      <w:tabs>
        <w:tab w:val="right" w:leader="dot" w:pos="9345"/>
      </w:tabs>
    </w:pPr>
  </w:style>
  <w:style w:type="paragraph" w:styleId="14">
    <w:name w:val="toc 5"/>
    <w:basedOn w:val="15"/>
    <w:next w:val="1"/>
    <w:semiHidden/>
    <w:qFormat/>
    <w:uiPriority w:val="0"/>
    <w:pPr>
      <w:tabs>
        <w:tab w:val="right" w:leader="dot" w:pos="9345"/>
      </w:tabs>
    </w:pPr>
  </w:style>
  <w:style w:type="paragraph" w:styleId="15">
    <w:name w:val="toc 4"/>
    <w:basedOn w:val="16"/>
    <w:next w:val="1"/>
    <w:semiHidden/>
    <w:qFormat/>
    <w:uiPriority w:val="0"/>
    <w:pPr>
      <w:tabs>
        <w:tab w:val="right" w:leader="dot" w:pos="9345"/>
      </w:tabs>
    </w:pPr>
  </w:style>
  <w:style w:type="paragraph" w:styleId="16">
    <w:name w:val="toc 3"/>
    <w:basedOn w:val="17"/>
    <w:next w:val="1"/>
    <w:semiHidden/>
    <w:qFormat/>
    <w:uiPriority w:val="0"/>
    <w:pPr>
      <w:tabs>
        <w:tab w:val="right" w:leader="dot" w:pos="9345"/>
      </w:tabs>
    </w:pPr>
  </w:style>
  <w:style w:type="paragraph" w:styleId="17">
    <w:name w:val="toc 2"/>
    <w:basedOn w:val="18"/>
    <w:next w:val="1"/>
    <w:semiHidden/>
    <w:qFormat/>
    <w:uiPriority w:val="0"/>
    <w:pPr>
      <w:tabs>
        <w:tab w:val="right" w:leader="dot" w:pos="9345"/>
      </w:tabs>
    </w:pPr>
    <w:rPr>
      <w:color w:val="000000"/>
    </w:rPr>
  </w:style>
  <w:style w:type="paragraph" w:styleId="18">
    <w:name w:val="toc 1"/>
    <w:next w:val="1"/>
    <w:qFormat/>
    <w:uiPriority w:val="39"/>
    <w:pPr>
      <w:tabs>
        <w:tab w:val="right" w:leader="dot" w:pos="9345"/>
      </w:tabs>
      <w:jc w:val="both"/>
    </w:pPr>
    <w:rPr>
      <w:rFonts w:ascii="宋体" w:hAnsi="Times New Roman" w:eastAsia="宋体" w:cs="Times New Roman"/>
      <w:sz w:val="21"/>
      <w:lang w:val="en-US" w:eastAsia="zh-CN" w:bidi="ar-SA"/>
    </w:rPr>
  </w:style>
  <w:style w:type="paragraph" w:styleId="19">
    <w:name w:val="List Number 2"/>
    <w:basedOn w:val="1"/>
    <w:qFormat/>
    <w:uiPriority w:val="0"/>
    <w:pPr>
      <w:numPr>
        <w:ilvl w:val="0"/>
        <w:numId w:val="1"/>
      </w:numPr>
      <w:tabs>
        <w:tab w:val="left" w:pos="780"/>
        <w:tab w:val="clear" w:pos="360"/>
      </w:tabs>
      <w:ind w:left="780" w:leftChars="200"/>
    </w:pPr>
    <w:rPr>
      <w:szCs w:val="24"/>
    </w:rPr>
  </w:style>
  <w:style w:type="paragraph" w:styleId="20">
    <w:name w:val="Note Heading"/>
    <w:basedOn w:val="1"/>
    <w:next w:val="1"/>
    <w:qFormat/>
    <w:uiPriority w:val="0"/>
    <w:pPr>
      <w:jc w:val="center"/>
    </w:pPr>
    <w:rPr>
      <w:szCs w:val="24"/>
    </w:rPr>
  </w:style>
  <w:style w:type="paragraph" w:styleId="21">
    <w:name w:val="List Bullet 4"/>
    <w:basedOn w:val="1"/>
    <w:qFormat/>
    <w:uiPriority w:val="0"/>
    <w:pPr>
      <w:numPr>
        <w:ilvl w:val="0"/>
        <w:numId w:val="2"/>
      </w:numPr>
      <w:tabs>
        <w:tab w:val="left" w:pos="1620"/>
        <w:tab w:val="clear" w:pos="1200"/>
      </w:tabs>
      <w:ind w:left="1620" w:leftChars="600"/>
    </w:pPr>
    <w:rPr>
      <w:szCs w:val="24"/>
    </w:rPr>
  </w:style>
  <w:style w:type="paragraph" w:styleId="22">
    <w:name w:val="E-mail Signature"/>
    <w:basedOn w:val="1"/>
    <w:qFormat/>
    <w:uiPriority w:val="0"/>
    <w:rPr>
      <w:szCs w:val="24"/>
    </w:rPr>
  </w:style>
  <w:style w:type="paragraph" w:styleId="23">
    <w:name w:val="List Number"/>
    <w:basedOn w:val="1"/>
    <w:qFormat/>
    <w:uiPriority w:val="0"/>
    <w:rPr>
      <w:szCs w:val="24"/>
    </w:rPr>
  </w:style>
  <w:style w:type="paragraph" w:styleId="24">
    <w:name w:val="Normal Indent"/>
    <w:basedOn w:val="1"/>
    <w:qFormat/>
    <w:uiPriority w:val="0"/>
    <w:pPr>
      <w:ind w:firstLine="420" w:firstLineChars="200"/>
    </w:pPr>
    <w:rPr>
      <w:szCs w:val="24"/>
    </w:rPr>
  </w:style>
  <w:style w:type="paragraph" w:styleId="25">
    <w:name w:val="List Bullet"/>
    <w:basedOn w:val="1"/>
    <w:qFormat/>
    <w:uiPriority w:val="0"/>
    <w:pPr>
      <w:numPr>
        <w:ilvl w:val="0"/>
        <w:numId w:val="3"/>
      </w:numPr>
    </w:pPr>
    <w:rPr>
      <w:szCs w:val="24"/>
    </w:rPr>
  </w:style>
  <w:style w:type="paragraph" w:styleId="26">
    <w:name w:val="envelope address"/>
    <w:basedOn w:val="1"/>
    <w:qFormat/>
    <w:uiPriority w:val="0"/>
    <w:pPr>
      <w:framePr w:w="7920" w:h="1980" w:hRule="exact" w:hSpace="180" w:wrap="auto" w:vAnchor="margin" w:hAnchor="page" w:xAlign="center" w:yAlign="bottom"/>
      <w:snapToGrid w:val="0"/>
      <w:ind w:left="100" w:leftChars="1400"/>
    </w:pPr>
    <w:rPr>
      <w:rFonts w:ascii="Arial" w:hAnsi="Arial" w:cs="Arial"/>
      <w:sz w:val="24"/>
      <w:szCs w:val="24"/>
    </w:rPr>
  </w:style>
  <w:style w:type="paragraph" w:styleId="27">
    <w:name w:val="Document Map"/>
    <w:basedOn w:val="1"/>
    <w:semiHidden/>
    <w:qFormat/>
    <w:uiPriority w:val="0"/>
    <w:pPr>
      <w:shd w:val="clear" w:color="auto" w:fill="000080"/>
    </w:pPr>
  </w:style>
  <w:style w:type="paragraph" w:styleId="28">
    <w:name w:val="annotation text"/>
    <w:basedOn w:val="1"/>
    <w:semiHidden/>
    <w:qFormat/>
    <w:uiPriority w:val="0"/>
    <w:pPr>
      <w:jc w:val="left"/>
    </w:pPr>
    <w:rPr>
      <w:szCs w:val="24"/>
    </w:rPr>
  </w:style>
  <w:style w:type="paragraph" w:styleId="29">
    <w:name w:val="Salutation"/>
    <w:basedOn w:val="1"/>
    <w:next w:val="1"/>
    <w:qFormat/>
    <w:uiPriority w:val="0"/>
    <w:rPr>
      <w:szCs w:val="24"/>
    </w:rPr>
  </w:style>
  <w:style w:type="paragraph" w:styleId="30">
    <w:name w:val="Body Text 3"/>
    <w:basedOn w:val="1"/>
    <w:qFormat/>
    <w:uiPriority w:val="0"/>
    <w:pPr>
      <w:spacing w:after="120"/>
    </w:pPr>
    <w:rPr>
      <w:sz w:val="16"/>
      <w:szCs w:val="16"/>
    </w:rPr>
  </w:style>
  <w:style w:type="paragraph" w:styleId="31">
    <w:name w:val="Closing"/>
    <w:basedOn w:val="1"/>
    <w:qFormat/>
    <w:uiPriority w:val="0"/>
    <w:pPr>
      <w:ind w:left="100" w:leftChars="2100"/>
    </w:pPr>
    <w:rPr>
      <w:szCs w:val="24"/>
    </w:rPr>
  </w:style>
  <w:style w:type="paragraph" w:styleId="32">
    <w:name w:val="List Bullet 3"/>
    <w:basedOn w:val="1"/>
    <w:qFormat/>
    <w:uiPriority w:val="0"/>
    <w:pPr>
      <w:numPr>
        <w:ilvl w:val="0"/>
        <w:numId w:val="4"/>
      </w:numPr>
      <w:tabs>
        <w:tab w:val="left" w:pos="1200"/>
        <w:tab w:val="clear" w:pos="780"/>
      </w:tabs>
      <w:ind w:left="1200" w:leftChars="400"/>
    </w:pPr>
    <w:rPr>
      <w:szCs w:val="24"/>
    </w:rPr>
  </w:style>
  <w:style w:type="paragraph" w:styleId="33">
    <w:name w:val="Body Text"/>
    <w:basedOn w:val="1"/>
    <w:qFormat/>
    <w:uiPriority w:val="0"/>
    <w:pPr>
      <w:wordWrap w:val="0"/>
      <w:spacing w:line="480" w:lineRule="exact"/>
      <w:jc w:val="right"/>
    </w:pPr>
    <w:rPr>
      <w:color w:val="000000"/>
      <w:position w:val="-10"/>
      <w:sz w:val="18"/>
    </w:rPr>
  </w:style>
  <w:style w:type="paragraph" w:styleId="34">
    <w:name w:val="Body Text Indent"/>
    <w:basedOn w:val="1"/>
    <w:qFormat/>
    <w:uiPriority w:val="0"/>
    <w:pPr>
      <w:spacing w:after="120"/>
      <w:ind w:left="420" w:leftChars="200"/>
    </w:pPr>
  </w:style>
  <w:style w:type="paragraph" w:styleId="35">
    <w:name w:val="List Number 3"/>
    <w:basedOn w:val="1"/>
    <w:qFormat/>
    <w:uiPriority w:val="0"/>
    <w:pPr>
      <w:numPr>
        <w:ilvl w:val="0"/>
        <w:numId w:val="5"/>
      </w:numPr>
      <w:tabs>
        <w:tab w:val="left" w:pos="1200"/>
        <w:tab w:val="clear" w:pos="780"/>
      </w:tabs>
      <w:ind w:left="1200" w:leftChars="400"/>
    </w:pPr>
    <w:rPr>
      <w:szCs w:val="24"/>
    </w:rPr>
  </w:style>
  <w:style w:type="paragraph" w:styleId="36">
    <w:name w:val="List 2"/>
    <w:basedOn w:val="1"/>
    <w:qFormat/>
    <w:uiPriority w:val="0"/>
    <w:pPr>
      <w:ind w:left="100" w:leftChars="200" w:hanging="200" w:hangingChars="200"/>
    </w:pPr>
    <w:rPr>
      <w:szCs w:val="24"/>
    </w:rPr>
  </w:style>
  <w:style w:type="paragraph" w:styleId="37">
    <w:name w:val="List Continue"/>
    <w:basedOn w:val="1"/>
    <w:qFormat/>
    <w:uiPriority w:val="0"/>
    <w:pPr>
      <w:numPr>
        <w:ilvl w:val="0"/>
        <w:numId w:val="6"/>
      </w:numPr>
      <w:tabs>
        <w:tab w:val="clear" w:pos="2040"/>
      </w:tabs>
      <w:spacing w:after="120"/>
      <w:ind w:left="420" w:leftChars="200" w:firstLine="0" w:firstLineChars="0"/>
    </w:pPr>
    <w:rPr>
      <w:szCs w:val="24"/>
    </w:rPr>
  </w:style>
  <w:style w:type="paragraph" w:styleId="38">
    <w:name w:val="Block Text"/>
    <w:basedOn w:val="1"/>
    <w:qFormat/>
    <w:uiPriority w:val="0"/>
    <w:pPr>
      <w:spacing w:after="120"/>
      <w:ind w:left="1440" w:leftChars="700" w:right="1440" w:rightChars="700"/>
    </w:pPr>
    <w:rPr>
      <w:szCs w:val="24"/>
    </w:rPr>
  </w:style>
  <w:style w:type="paragraph" w:styleId="39">
    <w:name w:val="List Bullet 2"/>
    <w:basedOn w:val="1"/>
    <w:qFormat/>
    <w:uiPriority w:val="0"/>
    <w:pPr>
      <w:numPr>
        <w:ilvl w:val="0"/>
        <w:numId w:val="7"/>
      </w:numPr>
      <w:tabs>
        <w:tab w:val="left" w:pos="780"/>
        <w:tab w:val="clear" w:pos="360"/>
      </w:tabs>
      <w:ind w:left="780" w:leftChars="200"/>
    </w:pPr>
    <w:rPr>
      <w:szCs w:val="24"/>
    </w:rPr>
  </w:style>
  <w:style w:type="paragraph" w:styleId="40">
    <w:name w:val="HTML Address"/>
    <w:basedOn w:val="1"/>
    <w:qFormat/>
    <w:uiPriority w:val="0"/>
    <w:rPr>
      <w:i/>
      <w:iCs/>
    </w:rPr>
  </w:style>
  <w:style w:type="paragraph" w:styleId="41">
    <w:name w:val="Plain Text"/>
    <w:basedOn w:val="1"/>
    <w:qFormat/>
    <w:uiPriority w:val="0"/>
    <w:rPr>
      <w:rFonts w:ascii="宋体" w:hAnsi="Courier New" w:cs="Courier New"/>
      <w:szCs w:val="21"/>
    </w:rPr>
  </w:style>
  <w:style w:type="paragraph" w:styleId="42">
    <w:name w:val="List Bullet 5"/>
    <w:basedOn w:val="1"/>
    <w:qFormat/>
    <w:uiPriority w:val="0"/>
    <w:pPr>
      <w:numPr>
        <w:ilvl w:val="0"/>
        <w:numId w:val="8"/>
      </w:numPr>
      <w:tabs>
        <w:tab w:val="left" w:pos="2040"/>
        <w:tab w:val="clear" w:pos="1620"/>
      </w:tabs>
      <w:ind w:left="2040" w:leftChars="800"/>
    </w:pPr>
    <w:rPr>
      <w:szCs w:val="24"/>
    </w:rPr>
  </w:style>
  <w:style w:type="paragraph" w:styleId="43">
    <w:name w:val="List Number 4"/>
    <w:basedOn w:val="1"/>
    <w:qFormat/>
    <w:uiPriority w:val="0"/>
    <w:pPr>
      <w:numPr>
        <w:ilvl w:val="0"/>
        <w:numId w:val="9"/>
      </w:numPr>
      <w:tabs>
        <w:tab w:val="left" w:pos="1620"/>
        <w:tab w:val="clear" w:pos="1200"/>
      </w:tabs>
      <w:ind w:left="1620" w:leftChars="600"/>
    </w:pPr>
    <w:rPr>
      <w:szCs w:val="24"/>
    </w:rPr>
  </w:style>
  <w:style w:type="paragraph" w:styleId="44">
    <w:name w:val="toc 8"/>
    <w:basedOn w:val="12"/>
    <w:next w:val="1"/>
    <w:semiHidden/>
    <w:qFormat/>
    <w:uiPriority w:val="0"/>
  </w:style>
  <w:style w:type="paragraph" w:styleId="45">
    <w:name w:val="Date"/>
    <w:basedOn w:val="1"/>
    <w:next w:val="1"/>
    <w:qFormat/>
    <w:uiPriority w:val="0"/>
    <w:pPr>
      <w:ind w:left="100" w:leftChars="2500"/>
    </w:pPr>
    <w:rPr>
      <w:b/>
      <w:color w:val="0000FF"/>
      <w:szCs w:val="21"/>
    </w:rPr>
  </w:style>
  <w:style w:type="paragraph" w:styleId="46">
    <w:name w:val="Body Text Indent 2"/>
    <w:basedOn w:val="1"/>
    <w:link w:val="143"/>
    <w:qFormat/>
    <w:uiPriority w:val="0"/>
    <w:pPr>
      <w:spacing w:line="360" w:lineRule="auto"/>
      <w:ind w:firstLine="480"/>
    </w:pPr>
    <w:rPr>
      <w:color w:val="FF0000"/>
      <w:kern w:val="0"/>
      <w:sz w:val="24"/>
    </w:rPr>
  </w:style>
  <w:style w:type="paragraph" w:styleId="47">
    <w:name w:val="List Continue 5"/>
    <w:basedOn w:val="1"/>
    <w:qFormat/>
    <w:uiPriority w:val="0"/>
    <w:pPr>
      <w:spacing w:after="120"/>
      <w:ind w:left="2100" w:leftChars="1000"/>
    </w:pPr>
    <w:rPr>
      <w:szCs w:val="24"/>
    </w:rPr>
  </w:style>
  <w:style w:type="paragraph" w:styleId="48">
    <w:name w:val="Balloon Text"/>
    <w:basedOn w:val="1"/>
    <w:semiHidden/>
    <w:qFormat/>
    <w:uiPriority w:val="0"/>
    <w:rPr>
      <w:sz w:val="18"/>
      <w:szCs w:val="18"/>
    </w:rPr>
  </w:style>
  <w:style w:type="paragraph" w:styleId="49">
    <w:name w:val="footer"/>
    <w:basedOn w:val="1"/>
    <w:qFormat/>
    <w:uiPriority w:val="0"/>
    <w:pPr>
      <w:tabs>
        <w:tab w:val="center" w:pos="4153"/>
        <w:tab w:val="right" w:pos="8306"/>
      </w:tabs>
      <w:snapToGrid w:val="0"/>
      <w:ind w:right="210" w:rightChars="100"/>
      <w:jc w:val="right"/>
    </w:pPr>
    <w:rPr>
      <w:sz w:val="18"/>
      <w:szCs w:val="18"/>
    </w:rPr>
  </w:style>
  <w:style w:type="paragraph" w:styleId="50">
    <w:name w:val="envelope return"/>
    <w:basedOn w:val="1"/>
    <w:qFormat/>
    <w:uiPriority w:val="0"/>
    <w:pPr>
      <w:snapToGrid w:val="0"/>
    </w:pPr>
    <w:rPr>
      <w:rFonts w:ascii="Arial" w:hAnsi="Arial" w:cs="Arial"/>
      <w:szCs w:val="24"/>
    </w:rPr>
  </w:style>
  <w:style w:type="paragraph" w:styleId="5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52">
    <w:name w:val="Signature"/>
    <w:basedOn w:val="1"/>
    <w:qFormat/>
    <w:uiPriority w:val="0"/>
    <w:pPr>
      <w:ind w:left="100" w:leftChars="2100"/>
    </w:pPr>
    <w:rPr>
      <w:szCs w:val="24"/>
    </w:rPr>
  </w:style>
  <w:style w:type="paragraph" w:styleId="53">
    <w:name w:val="List Continue 4"/>
    <w:basedOn w:val="1"/>
    <w:qFormat/>
    <w:uiPriority w:val="0"/>
    <w:pPr>
      <w:spacing w:after="120"/>
      <w:ind w:left="1680" w:leftChars="800"/>
    </w:pPr>
    <w:rPr>
      <w:szCs w:val="24"/>
    </w:rPr>
  </w:style>
  <w:style w:type="paragraph" w:styleId="54">
    <w:name w:val="Subtitle"/>
    <w:basedOn w:val="1"/>
    <w:qFormat/>
    <w:uiPriority w:val="0"/>
    <w:pPr>
      <w:spacing w:before="240" w:after="60" w:line="312" w:lineRule="auto"/>
      <w:jc w:val="center"/>
      <w:outlineLvl w:val="1"/>
    </w:pPr>
    <w:rPr>
      <w:rFonts w:ascii="Arial" w:hAnsi="Arial" w:cs="Arial"/>
      <w:b/>
      <w:bCs/>
      <w:kern w:val="28"/>
      <w:sz w:val="32"/>
      <w:szCs w:val="32"/>
    </w:rPr>
  </w:style>
  <w:style w:type="paragraph" w:styleId="55">
    <w:name w:val="List Number 5"/>
    <w:basedOn w:val="1"/>
    <w:qFormat/>
    <w:uiPriority w:val="0"/>
    <w:pPr>
      <w:numPr>
        <w:ilvl w:val="0"/>
        <w:numId w:val="10"/>
      </w:numPr>
      <w:tabs>
        <w:tab w:val="left" w:pos="2040"/>
        <w:tab w:val="clear" w:pos="1620"/>
      </w:tabs>
      <w:ind w:left="2040" w:leftChars="800"/>
    </w:pPr>
    <w:rPr>
      <w:szCs w:val="24"/>
    </w:rPr>
  </w:style>
  <w:style w:type="paragraph" w:styleId="56">
    <w:name w:val="List"/>
    <w:basedOn w:val="1"/>
    <w:qFormat/>
    <w:uiPriority w:val="0"/>
    <w:pPr>
      <w:ind w:left="200" w:hanging="200" w:hangingChars="200"/>
    </w:pPr>
    <w:rPr>
      <w:szCs w:val="24"/>
    </w:rPr>
  </w:style>
  <w:style w:type="paragraph" w:styleId="57">
    <w:name w:val="footnote text"/>
    <w:basedOn w:val="1"/>
    <w:semiHidden/>
    <w:qFormat/>
    <w:uiPriority w:val="0"/>
    <w:pPr>
      <w:snapToGrid w:val="0"/>
      <w:jc w:val="left"/>
    </w:pPr>
    <w:rPr>
      <w:sz w:val="18"/>
      <w:szCs w:val="18"/>
    </w:rPr>
  </w:style>
  <w:style w:type="paragraph" w:styleId="58">
    <w:name w:val="List 5"/>
    <w:basedOn w:val="1"/>
    <w:qFormat/>
    <w:uiPriority w:val="0"/>
    <w:pPr>
      <w:ind w:left="100" w:leftChars="800" w:hanging="200" w:hangingChars="200"/>
    </w:pPr>
    <w:rPr>
      <w:szCs w:val="24"/>
    </w:rPr>
  </w:style>
  <w:style w:type="paragraph" w:styleId="59">
    <w:name w:val="Body Text Indent 3"/>
    <w:basedOn w:val="1"/>
    <w:qFormat/>
    <w:uiPriority w:val="0"/>
    <w:pPr>
      <w:spacing w:line="360" w:lineRule="auto"/>
    </w:pPr>
    <w:rPr>
      <w:rFonts w:ascii="宋体" w:hAnsi="宋体"/>
      <w:szCs w:val="24"/>
    </w:rPr>
  </w:style>
  <w:style w:type="paragraph" w:styleId="60">
    <w:name w:val="toc 9"/>
    <w:basedOn w:val="44"/>
    <w:next w:val="1"/>
    <w:semiHidden/>
    <w:qFormat/>
    <w:uiPriority w:val="0"/>
  </w:style>
  <w:style w:type="paragraph" w:styleId="61">
    <w:name w:val="Body Text 2"/>
    <w:basedOn w:val="1"/>
    <w:qFormat/>
    <w:uiPriority w:val="0"/>
    <w:pPr>
      <w:spacing w:after="120" w:line="480" w:lineRule="auto"/>
    </w:pPr>
    <w:rPr>
      <w:szCs w:val="24"/>
    </w:rPr>
  </w:style>
  <w:style w:type="paragraph" w:styleId="62">
    <w:name w:val="List 4"/>
    <w:basedOn w:val="1"/>
    <w:qFormat/>
    <w:uiPriority w:val="0"/>
    <w:pPr>
      <w:ind w:left="100" w:leftChars="600" w:hanging="200" w:hangingChars="200"/>
    </w:pPr>
    <w:rPr>
      <w:szCs w:val="24"/>
    </w:rPr>
  </w:style>
  <w:style w:type="paragraph" w:styleId="63">
    <w:name w:val="List Continue 2"/>
    <w:basedOn w:val="1"/>
    <w:qFormat/>
    <w:uiPriority w:val="0"/>
    <w:pPr>
      <w:spacing w:after="120"/>
      <w:ind w:left="840" w:leftChars="400"/>
    </w:pPr>
    <w:rPr>
      <w:szCs w:val="24"/>
    </w:rPr>
  </w:style>
  <w:style w:type="paragraph" w:styleId="64">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sz w:val="24"/>
      <w:szCs w:val="24"/>
    </w:rPr>
  </w:style>
  <w:style w:type="paragraph" w:styleId="65">
    <w:name w:val="HTML Preformatted"/>
    <w:basedOn w:val="1"/>
    <w:qFormat/>
    <w:uiPriority w:val="0"/>
    <w:rPr>
      <w:rFonts w:ascii="Courier New" w:hAnsi="Courier New" w:cs="Courier New"/>
      <w:sz w:val="20"/>
    </w:rPr>
  </w:style>
  <w:style w:type="paragraph" w:styleId="66">
    <w:name w:val="Normal (Web)"/>
    <w:basedOn w:val="1"/>
    <w:qFormat/>
    <w:uiPriority w:val="0"/>
    <w:pPr>
      <w:numPr>
        <w:ilvl w:val="0"/>
        <w:numId w:val="11"/>
      </w:numPr>
      <w:tabs>
        <w:tab w:val="clear" w:pos="2040"/>
      </w:tabs>
      <w:ind w:left="0" w:leftChars="0" w:firstLine="0" w:firstLineChars="0"/>
    </w:pPr>
    <w:rPr>
      <w:sz w:val="24"/>
      <w:szCs w:val="24"/>
    </w:rPr>
  </w:style>
  <w:style w:type="paragraph" w:styleId="67">
    <w:name w:val="List Continue 3"/>
    <w:basedOn w:val="1"/>
    <w:qFormat/>
    <w:uiPriority w:val="0"/>
    <w:pPr>
      <w:spacing w:after="120"/>
      <w:ind w:left="1260" w:leftChars="600"/>
    </w:pPr>
    <w:rPr>
      <w:szCs w:val="24"/>
    </w:rPr>
  </w:style>
  <w:style w:type="paragraph" w:styleId="68">
    <w:name w:val="index 1"/>
    <w:basedOn w:val="1"/>
    <w:next w:val="1"/>
    <w:semiHidden/>
    <w:qFormat/>
    <w:uiPriority w:val="0"/>
    <w:rPr>
      <w:szCs w:val="24"/>
    </w:rPr>
  </w:style>
  <w:style w:type="paragraph" w:styleId="69">
    <w:name w:val="index 2"/>
    <w:basedOn w:val="1"/>
    <w:next w:val="1"/>
    <w:semiHidden/>
    <w:qFormat/>
    <w:uiPriority w:val="0"/>
    <w:pPr>
      <w:ind w:left="200" w:leftChars="200"/>
    </w:pPr>
    <w:rPr>
      <w:szCs w:val="24"/>
    </w:rPr>
  </w:style>
  <w:style w:type="paragraph" w:styleId="70">
    <w:name w:val="Title"/>
    <w:basedOn w:val="1"/>
    <w:qFormat/>
    <w:uiPriority w:val="0"/>
    <w:pPr>
      <w:spacing w:before="240" w:after="60"/>
      <w:jc w:val="center"/>
      <w:outlineLvl w:val="0"/>
    </w:pPr>
    <w:rPr>
      <w:rFonts w:ascii="Arial" w:hAnsi="Arial" w:cs="Arial"/>
      <w:b/>
      <w:bCs/>
      <w:sz w:val="32"/>
      <w:szCs w:val="32"/>
    </w:rPr>
  </w:style>
  <w:style w:type="paragraph" w:styleId="71">
    <w:name w:val="annotation subject"/>
    <w:basedOn w:val="28"/>
    <w:next w:val="28"/>
    <w:semiHidden/>
    <w:qFormat/>
    <w:uiPriority w:val="0"/>
    <w:rPr>
      <w:b/>
      <w:bCs/>
    </w:rPr>
  </w:style>
  <w:style w:type="paragraph" w:styleId="72">
    <w:name w:val="Body Text First Indent"/>
    <w:basedOn w:val="33"/>
    <w:qFormat/>
    <w:uiPriority w:val="0"/>
    <w:pPr>
      <w:wordWrap/>
      <w:spacing w:after="120" w:line="240" w:lineRule="auto"/>
      <w:ind w:firstLine="420" w:firstLineChars="100"/>
      <w:jc w:val="both"/>
    </w:pPr>
    <w:rPr>
      <w:color w:val="auto"/>
      <w:position w:val="0"/>
      <w:sz w:val="21"/>
      <w:szCs w:val="24"/>
    </w:rPr>
  </w:style>
  <w:style w:type="paragraph" w:styleId="73">
    <w:name w:val="Body Text First Indent 2"/>
    <w:basedOn w:val="34"/>
    <w:qFormat/>
    <w:uiPriority w:val="0"/>
    <w:pPr>
      <w:ind w:firstLine="420" w:firstLineChars="200"/>
    </w:pPr>
    <w:rPr>
      <w:szCs w:val="24"/>
    </w:rPr>
  </w:style>
  <w:style w:type="table" w:styleId="75">
    <w:name w:val="Table Grid"/>
    <w:basedOn w:val="7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7">
    <w:name w:val="Strong"/>
    <w:qFormat/>
    <w:uiPriority w:val="0"/>
    <w:rPr>
      <w:rFonts w:ascii="仿宋_GB2312" w:eastAsia="仿宋_GB2312"/>
      <w:b/>
      <w:bCs/>
      <w:sz w:val="28"/>
      <w:szCs w:val="28"/>
      <w:lang w:val="en-US" w:eastAsia="zh-CN" w:bidi="ar-SA"/>
    </w:rPr>
  </w:style>
  <w:style w:type="character" w:styleId="78">
    <w:name w:val="page number"/>
    <w:qFormat/>
    <w:uiPriority w:val="0"/>
    <w:rPr>
      <w:rFonts w:ascii="Times New Roman" w:hAnsi="Times New Roman" w:eastAsia="宋体"/>
      <w:sz w:val="18"/>
    </w:rPr>
  </w:style>
  <w:style w:type="character" w:styleId="79">
    <w:name w:val="Emphasis"/>
    <w:basedOn w:val="76"/>
    <w:qFormat/>
    <w:uiPriority w:val="0"/>
    <w:rPr>
      <w:i/>
    </w:rPr>
  </w:style>
  <w:style w:type="character" w:styleId="80">
    <w:name w:val="HTML Definition"/>
    <w:qFormat/>
    <w:uiPriority w:val="0"/>
    <w:rPr>
      <w:i/>
      <w:iCs/>
    </w:rPr>
  </w:style>
  <w:style w:type="character" w:styleId="81">
    <w:name w:val="HTML Typewriter"/>
    <w:qFormat/>
    <w:uiPriority w:val="0"/>
    <w:rPr>
      <w:rFonts w:ascii="Courier New" w:hAnsi="Courier New"/>
      <w:sz w:val="20"/>
      <w:szCs w:val="20"/>
    </w:rPr>
  </w:style>
  <w:style w:type="character" w:styleId="82">
    <w:name w:val="HTML Acronym"/>
    <w:basedOn w:val="76"/>
    <w:qFormat/>
    <w:uiPriority w:val="0"/>
  </w:style>
  <w:style w:type="character" w:styleId="83">
    <w:name w:val="HTML Variable"/>
    <w:qFormat/>
    <w:uiPriority w:val="0"/>
    <w:rPr>
      <w:i/>
      <w:iCs/>
    </w:rPr>
  </w:style>
  <w:style w:type="character" w:styleId="84">
    <w:name w:val="Hyperlink"/>
    <w:qFormat/>
    <w:uiPriority w:val="99"/>
    <w:rPr>
      <w:rFonts w:ascii="Times New Roman" w:hAnsi="Times New Roman" w:eastAsia="宋体"/>
      <w:color w:val="auto"/>
      <w:spacing w:val="0"/>
      <w:w w:val="100"/>
      <w:position w:val="0"/>
      <w:sz w:val="21"/>
      <w:u w:val="none"/>
      <w:vertAlign w:val="baseline"/>
    </w:rPr>
  </w:style>
  <w:style w:type="character" w:styleId="85">
    <w:name w:val="HTML Code"/>
    <w:qFormat/>
    <w:uiPriority w:val="0"/>
    <w:rPr>
      <w:rFonts w:ascii="Courier New" w:hAnsi="Courier New"/>
      <w:sz w:val="20"/>
      <w:szCs w:val="20"/>
    </w:rPr>
  </w:style>
  <w:style w:type="character" w:styleId="86">
    <w:name w:val="annotation reference"/>
    <w:basedOn w:val="76"/>
    <w:qFormat/>
    <w:uiPriority w:val="0"/>
    <w:rPr>
      <w:sz w:val="21"/>
      <w:szCs w:val="21"/>
    </w:rPr>
  </w:style>
  <w:style w:type="character" w:styleId="87">
    <w:name w:val="HTML Cite"/>
    <w:qFormat/>
    <w:uiPriority w:val="0"/>
    <w:rPr>
      <w:i/>
      <w:iCs/>
    </w:rPr>
  </w:style>
  <w:style w:type="character" w:styleId="88">
    <w:name w:val="footnote reference"/>
    <w:semiHidden/>
    <w:qFormat/>
    <w:uiPriority w:val="0"/>
    <w:rPr>
      <w:vertAlign w:val="superscript"/>
    </w:rPr>
  </w:style>
  <w:style w:type="character" w:styleId="89">
    <w:name w:val="HTML Keyboard"/>
    <w:qFormat/>
    <w:uiPriority w:val="0"/>
    <w:rPr>
      <w:rFonts w:ascii="Courier New" w:hAnsi="Courier New"/>
      <w:sz w:val="20"/>
      <w:szCs w:val="20"/>
    </w:rPr>
  </w:style>
  <w:style w:type="character" w:styleId="90">
    <w:name w:val="HTML Sample"/>
    <w:qFormat/>
    <w:uiPriority w:val="0"/>
    <w:rPr>
      <w:rFonts w:ascii="Courier New" w:hAnsi="Courier New"/>
    </w:rPr>
  </w:style>
  <w:style w:type="character" w:customStyle="1" w:styleId="91">
    <w:name w:val="标题 2 字符"/>
    <w:link w:val="3"/>
    <w:qFormat/>
    <w:uiPriority w:val="0"/>
    <w:rPr>
      <w:rFonts w:ascii="Arial" w:hAnsi="Arial" w:eastAsia="黑体"/>
      <w:b/>
      <w:bCs/>
      <w:kern w:val="2"/>
      <w:sz w:val="32"/>
      <w:szCs w:val="32"/>
      <w:lang w:val="en-US" w:eastAsia="zh-CN" w:bidi="ar-SA"/>
    </w:rPr>
  </w:style>
  <w:style w:type="paragraph" w:customStyle="1" w:styleId="92">
    <w:name w:val="Char Char Char1 Char"/>
    <w:basedOn w:val="1"/>
    <w:qFormat/>
    <w:uiPriority w:val="0"/>
    <w:pPr>
      <w:spacing w:line="360" w:lineRule="auto"/>
    </w:pPr>
    <w:rPr>
      <w:rFonts w:ascii="Tahoma" w:hAnsi="Tahoma"/>
      <w:sz w:val="24"/>
    </w:rPr>
  </w:style>
  <w:style w:type="paragraph" w:customStyle="1" w:styleId="93">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94">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52"/>
      <w:lang w:val="en-US" w:eastAsia="zh-CN" w:bidi="ar-SA"/>
    </w:rPr>
  </w:style>
  <w:style w:type="paragraph" w:customStyle="1" w:styleId="95">
    <w:name w:val="标准书脚_偶数页"/>
    <w:qFormat/>
    <w:uiPriority w:val="0"/>
    <w:pPr>
      <w:spacing w:before="120"/>
    </w:pPr>
    <w:rPr>
      <w:rFonts w:ascii="Times New Roman" w:hAnsi="Times New Roman" w:eastAsia="宋体" w:cs="Times New Roman"/>
      <w:sz w:val="18"/>
      <w:lang w:val="en-US" w:eastAsia="zh-CN" w:bidi="ar-SA"/>
    </w:rPr>
  </w:style>
  <w:style w:type="paragraph" w:customStyle="1" w:styleId="96">
    <w:name w:val="标准书脚_奇数页"/>
    <w:qFormat/>
    <w:uiPriority w:val="0"/>
    <w:pPr>
      <w:spacing w:before="120"/>
      <w:jc w:val="right"/>
    </w:pPr>
    <w:rPr>
      <w:rFonts w:ascii="Times New Roman" w:hAnsi="Times New Roman" w:eastAsia="宋体" w:cs="Times New Roman"/>
      <w:sz w:val="18"/>
      <w:lang w:val="en-US" w:eastAsia="zh-CN" w:bidi="ar-SA"/>
    </w:rPr>
  </w:style>
  <w:style w:type="paragraph" w:customStyle="1" w:styleId="97">
    <w:name w:val="标准书眉_奇数页"/>
    <w:next w:val="1"/>
    <w:qFormat/>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98">
    <w:name w:val="标准书眉_偶数页"/>
    <w:basedOn w:val="97"/>
    <w:next w:val="1"/>
    <w:qFormat/>
    <w:uiPriority w:val="0"/>
    <w:pPr>
      <w:jc w:val="left"/>
    </w:pPr>
  </w:style>
  <w:style w:type="paragraph" w:customStyle="1" w:styleId="99">
    <w:name w:val="标准书眉一"/>
    <w:qFormat/>
    <w:uiPriority w:val="0"/>
    <w:pPr>
      <w:jc w:val="both"/>
    </w:pPr>
    <w:rPr>
      <w:rFonts w:ascii="Times New Roman" w:hAnsi="Times New Roman" w:eastAsia="宋体" w:cs="Times New Roman"/>
      <w:lang w:val="en-US" w:eastAsia="zh-CN" w:bidi="ar-SA"/>
    </w:rPr>
  </w:style>
  <w:style w:type="paragraph" w:customStyle="1" w:styleId="100">
    <w:name w:val="前言、引言标题"/>
    <w:next w:val="1"/>
    <w:qFormat/>
    <w:uiPriority w:val="0"/>
    <w:pPr>
      <w:numPr>
        <w:ilvl w:val="0"/>
        <w:numId w:val="12"/>
      </w:num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01">
    <w:name w:val="参考文献、索引标题"/>
    <w:basedOn w:val="100"/>
    <w:next w:val="1"/>
    <w:qFormat/>
    <w:uiPriority w:val="0"/>
    <w:pPr>
      <w:numPr>
        <w:numId w:val="0"/>
      </w:numPr>
      <w:spacing w:after="200"/>
    </w:pPr>
    <w:rPr>
      <w:sz w:val="21"/>
    </w:rPr>
  </w:style>
  <w:style w:type="paragraph" w:customStyle="1" w:styleId="102">
    <w:name w:val="段"/>
    <w:link w:val="170"/>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03">
    <w:name w:val="章标题"/>
    <w:next w:val="102"/>
    <w:qFormat/>
    <w:uiPriority w:val="0"/>
    <w:pPr>
      <w:numPr>
        <w:ilvl w:val="1"/>
        <w:numId w:val="12"/>
      </w:numPr>
      <w:spacing w:before="50" w:beforeLines="50" w:after="50" w:afterLines="50"/>
      <w:jc w:val="both"/>
      <w:outlineLvl w:val="1"/>
    </w:pPr>
    <w:rPr>
      <w:rFonts w:ascii="黑体" w:hAnsi="Times New Roman" w:eastAsia="黑体" w:cs="Times New Roman"/>
      <w:sz w:val="21"/>
      <w:lang w:val="en-US" w:eastAsia="zh-CN" w:bidi="ar-SA"/>
    </w:rPr>
  </w:style>
  <w:style w:type="paragraph" w:customStyle="1" w:styleId="104">
    <w:name w:val="一级条标题"/>
    <w:next w:val="102"/>
    <w:qFormat/>
    <w:uiPriority w:val="0"/>
    <w:pPr>
      <w:numPr>
        <w:ilvl w:val="2"/>
        <w:numId w:val="12"/>
      </w:numPr>
      <w:outlineLvl w:val="2"/>
    </w:pPr>
    <w:rPr>
      <w:rFonts w:ascii="Times New Roman" w:hAnsi="Times New Roman" w:eastAsia="黑体" w:cs="Times New Roman"/>
      <w:sz w:val="21"/>
      <w:lang w:val="en-US" w:eastAsia="zh-CN" w:bidi="ar-SA"/>
    </w:rPr>
  </w:style>
  <w:style w:type="paragraph" w:customStyle="1" w:styleId="105">
    <w:name w:val="二级条标题"/>
    <w:basedOn w:val="104"/>
    <w:next w:val="102"/>
    <w:qFormat/>
    <w:uiPriority w:val="0"/>
    <w:pPr>
      <w:numPr>
        <w:ilvl w:val="3"/>
      </w:numPr>
      <w:outlineLvl w:val="3"/>
    </w:pPr>
  </w:style>
  <w:style w:type="character" w:customStyle="1" w:styleId="106">
    <w:name w:val="发布"/>
    <w:qFormat/>
    <w:uiPriority w:val="0"/>
    <w:rPr>
      <w:rFonts w:ascii="黑体" w:eastAsia="黑体"/>
      <w:spacing w:val="22"/>
      <w:w w:val="100"/>
      <w:position w:val="3"/>
      <w:sz w:val="28"/>
    </w:rPr>
  </w:style>
  <w:style w:type="paragraph" w:customStyle="1" w:styleId="107">
    <w:name w:val="发布部门"/>
    <w:next w:val="102"/>
    <w:qFormat/>
    <w:uiPriority w:val="0"/>
    <w:pPr>
      <w:framePr w:w="7433" w:h="585" w:hRule="exact" w:hSpace="180" w:vSpace="180" w:wrap="around" w:vAnchor="margin" w:hAnchor="margin" w:xAlign="center" w:y="14401" w:anchorLock="1"/>
      <w:jc w:val="center"/>
    </w:pPr>
    <w:rPr>
      <w:rFonts w:ascii="宋体" w:hAnsi="Times New Roman" w:eastAsia="宋体" w:cs="Times New Roman"/>
      <w:b/>
      <w:spacing w:val="20"/>
      <w:w w:val="135"/>
      <w:sz w:val="36"/>
      <w:lang w:val="en-US" w:eastAsia="zh-CN" w:bidi="ar-SA"/>
    </w:rPr>
  </w:style>
  <w:style w:type="paragraph" w:customStyle="1" w:styleId="108">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09">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110">
    <w:name w:val="封面标准号2"/>
    <w:basedOn w:val="109"/>
    <w:qFormat/>
    <w:uiPriority w:val="0"/>
    <w:pPr>
      <w:framePr w:w="9138" w:h="1244" w:hRule="exact" w:wrap="auto" w:vAnchor="page" w:hAnchor="margin" w:y="2908"/>
      <w:adjustRightInd w:val="0"/>
      <w:spacing w:before="357" w:line="280" w:lineRule="exact"/>
    </w:pPr>
  </w:style>
  <w:style w:type="paragraph" w:customStyle="1" w:styleId="111">
    <w:name w:val="封面标准代替信息"/>
    <w:basedOn w:val="110"/>
    <w:qFormat/>
    <w:uiPriority w:val="0"/>
    <w:pPr>
      <w:spacing w:before="57"/>
    </w:pPr>
    <w:rPr>
      <w:rFonts w:ascii="宋体"/>
      <w:sz w:val="21"/>
    </w:rPr>
  </w:style>
  <w:style w:type="paragraph" w:customStyle="1" w:styleId="112">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13">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14">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15">
    <w:name w:val="封面标准英文名称"/>
    <w:qFormat/>
    <w:uiPriority w:val="0"/>
    <w:pPr>
      <w:widowControl w:val="0"/>
      <w:spacing w:before="370" w:line="400" w:lineRule="exact"/>
      <w:jc w:val="center"/>
    </w:pPr>
    <w:rPr>
      <w:rFonts w:ascii="Times New Roman" w:hAnsi="Times New Roman" w:eastAsia="宋体" w:cs="Times New Roman"/>
      <w:sz w:val="28"/>
      <w:lang w:val="en-US" w:eastAsia="zh-CN" w:bidi="ar-SA"/>
    </w:rPr>
  </w:style>
  <w:style w:type="paragraph" w:customStyle="1" w:styleId="116">
    <w:name w:val="封面一致性程度标识"/>
    <w:qFormat/>
    <w:uiPriority w:val="0"/>
    <w:pPr>
      <w:spacing w:before="440" w:line="400" w:lineRule="exact"/>
      <w:jc w:val="center"/>
    </w:pPr>
    <w:rPr>
      <w:rFonts w:ascii="宋体" w:hAnsi="Times New Roman" w:eastAsia="宋体" w:cs="Times New Roman"/>
      <w:sz w:val="28"/>
      <w:lang w:val="en-US" w:eastAsia="zh-CN" w:bidi="ar-SA"/>
    </w:rPr>
  </w:style>
  <w:style w:type="paragraph" w:customStyle="1" w:styleId="117">
    <w:name w:val="封面正文"/>
    <w:qFormat/>
    <w:uiPriority w:val="0"/>
    <w:pPr>
      <w:jc w:val="both"/>
    </w:pPr>
    <w:rPr>
      <w:rFonts w:ascii="Times New Roman" w:hAnsi="Times New Roman" w:eastAsia="宋体" w:cs="Times New Roman"/>
      <w:lang w:val="en-US" w:eastAsia="zh-CN" w:bidi="ar-SA"/>
    </w:rPr>
  </w:style>
  <w:style w:type="paragraph" w:customStyle="1" w:styleId="118">
    <w:name w:val="附录标识"/>
    <w:basedOn w:val="100"/>
    <w:qFormat/>
    <w:uiPriority w:val="0"/>
    <w:pPr>
      <w:numPr>
        <w:ilvl w:val="0"/>
        <w:numId w:val="13"/>
      </w:numPr>
      <w:tabs>
        <w:tab w:val="left" w:pos="6405"/>
      </w:tabs>
      <w:spacing w:after="200"/>
    </w:pPr>
    <w:rPr>
      <w:sz w:val="21"/>
    </w:rPr>
  </w:style>
  <w:style w:type="paragraph" w:customStyle="1" w:styleId="119">
    <w:name w:val="附录表标题"/>
    <w:next w:val="102"/>
    <w:qFormat/>
    <w:uiPriority w:val="0"/>
    <w:pPr>
      <w:numPr>
        <w:ilvl w:val="0"/>
        <w:numId w:val="14"/>
      </w:numPr>
      <w:jc w:val="center"/>
      <w:textAlignment w:val="baseline"/>
    </w:pPr>
    <w:rPr>
      <w:rFonts w:ascii="黑体" w:hAnsi="Times New Roman" w:eastAsia="黑体" w:cs="Times New Roman"/>
      <w:kern w:val="21"/>
      <w:sz w:val="21"/>
      <w:lang w:val="en-US" w:eastAsia="zh-CN" w:bidi="ar-SA"/>
    </w:rPr>
  </w:style>
  <w:style w:type="paragraph" w:customStyle="1" w:styleId="120">
    <w:name w:val="附录章标题"/>
    <w:next w:val="102"/>
    <w:qFormat/>
    <w:uiPriority w:val="0"/>
    <w:pPr>
      <w:numPr>
        <w:ilvl w:val="1"/>
        <w:numId w:val="13"/>
      </w:numPr>
      <w:wordWrap w:val="0"/>
      <w:overflowPunct w:val="0"/>
      <w:autoSpaceDE w:val="0"/>
      <w:spacing w:before="50" w:beforeLines="50" w:after="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121">
    <w:name w:val="附录一级条标题"/>
    <w:basedOn w:val="120"/>
    <w:next w:val="102"/>
    <w:qFormat/>
    <w:uiPriority w:val="0"/>
    <w:pPr>
      <w:numPr>
        <w:ilvl w:val="0"/>
        <w:numId w:val="0"/>
      </w:numPr>
      <w:autoSpaceDN w:val="0"/>
      <w:spacing w:before="0" w:beforeLines="0" w:after="0" w:afterLines="0"/>
      <w:outlineLvl w:val="2"/>
    </w:pPr>
  </w:style>
  <w:style w:type="paragraph" w:customStyle="1" w:styleId="122">
    <w:name w:val="附录二级条标题"/>
    <w:basedOn w:val="121"/>
    <w:next w:val="102"/>
    <w:qFormat/>
    <w:uiPriority w:val="0"/>
    <w:pPr>
      <w:outlineLvl w:val="3"/>
    </w:pPr>
  </w:style>
  <w:style w:type="paragraph" w:customStyle="1" w:styleId="123">
    <w:name w:val="附录三级条标题"/>
    <w:basedOn w:val="122"/>
    <w:next w:val="102"/>
    <w:qFormat/>
    <w:uiPriority w:val="0"/>
    <w:pPr>
      <w:outlineLvl w:val="4"/>
    </w:pPr>
  </w:style>
  <w:style w:type="paragraph" w:customStyle="1" w:styleId="124">
    <w:name w:val="附录四级条标题"/>
    <w:basedOn w:val="123"/>
    <w:next w:val="102"/>
    <w:qFormat/>
    <w:uiPriority w:val="0"/>
    <w:pPr>
      <w:outlineLvl w:val="5"/>
    </w:pPr>
  </w:style>
  <w:style w:type="paragraph" w:customStyle="1" w:styleId="125">
    <w:name w:val="附录图标题"/>
    <w:next w:val="102"/>
    <w:qFormat/>
    <w:uiPriority w:val="0"/>
    <w:pPr>
      <w:numPr>
        <w:ilvl w:val="0"/>
        <w:numId w:val="15"/>
      </w:numPr>
      <w:jc w:val="center"/>
    </w:pPr>
    <w:rPr>
      <w:rFonts w:ascii="黑体" w:hAnsi="Times New Roman" w:eastAsia="黑体" w:cs="Times New Roman"/>
      <w:sz w:val="21"/>
      <w:lang w:val="en-US" w:eastAsia="zh-CN" w:bidi="ar-SA"/>
    </w:rPr>
  </w:style>
  <w:style w:type="paragraph" w:customStyle="1" w:styleId="126">
    <w:name w:val="附录五级条标题"/>
    <w:basedOn w:val="124"/>
    <w:next w:val="102"/>
    <w:qFormat/>
    <w:uiPriority w:val="0"/>
    <w:pPr>
      <w:numPr>
        <w:ilvl w:val="6"/>
        <w:numId w:val="13"/>
      </w:numPr>
      <w:outlineLvl w:val="6"/>
    </w:pPr>
  </w:style>
  <w:style w:type="character" w:customStyle="1" w:styleId="127">
    <w:name w:val="个人答复风格"/>
    <w:qFormat/>
    <w:uiPriority w:val="0"/>
    <w:rPr>
      <w:rFonts w:ascii="Arial" w:hAnsi="Arial" w:eastAsia="宋体" w:cs="Arial"/>
      <w:color w:val="auto"/>
      <w:sz w:val="20"/>
    </w:rPr>
  </w:style>
  <w:style w:type="character" w:customStyle="1" w:styleId="128">
    <w:name w:val="个人撰写风格"/>
    <w:qFormat/>
    <w:uiPriority w:val="0"/>
    <w:rPr>
      <w:rFonts w:ascii="Arial" w:hAnsi="Arial" w:eastAsia="宋体" w:cs="Arial"/>
      <w:color w:val="auto"/>
      <w:sz w:val="20"/>
    </w:rPr>
  </w:style>
  <w:style w:type="paragraph" w:customStyle="1" w:styleId="129">
    <w:name w:val="列项——（一级）"/>
    <w:qFormat/>
    <w:uiPriority w:val="0"/>
    <w:pPr>
      <w:widowControl w:val="0"/>
      <w:numPr>
        <w:ilvl w:val="0"/>
        <w:numId w:val="16"/>
      </w:numPr>
      <w:tabs>
        <w:tab w:val="left" w:pos="854"/>
        <w:tab w:val="clear" w:pos="1140"/>
      </w:tabs>
      <w:ind w:left="200" w:leftChars="200" w:hanging="200" w:hangingChars="200"/>
      <w:jc w:val="both"/>
    </w:pPr>
    <w:rPr>
      <w:rFonts w:ascii="宋体" w:hAnsi="Times New Roman" w:eastAsia="宋体" w:cs="Times New Roman"/>
      <w:sz w:val="21"/>
      <w:lang w:val="en-US" w:eastAsia="zh-CN" w:bidi="ar-SA"/>
    </w:rPr>
  </w:style>
  <w:style w:type="paragraph" w:customStyle="1" w:styleId="130">
    <w:name w:val="列项●（二级）"/>
    <w:qFormat/>
    <w:uiPriority w:val="0"/>
    <w:pPr>
      <w:numPr>
        <w:ilvl w:val="0"/>
        <w:numId w:val="17"/>
      </w:numPr>
      <w:tabs>
        <w:tab w:val="left" w:pos="840"/>
      </w:tabs>
      <w:ind w:left="600" w:leftChars="400" w:hanging="200" w:hangingChars="200"/>
      <w:jc w:val="both"/>
    </w:pPr>
    <w:rPr>
      <w:rFonts w:ascii="宋体" w:hAnsi="Times New Roman" w:eastAsia="宋体" w:cs="Times New Roman"/>
      <w:sz w:val="21"/>
      <w:lang w:val="en-US" w:eastAsia="zh-CN" w:bidi="ar-SA"/>
    </w:rPr>
  </w:style>
  <w:style w:type="paragraph" w:customStyle="1" w:styleId="131">
    <w:name w:val="目次、标准名称标题"/>
    <w:basedOn w:val="100"/>
    <w:next w:val="102"/>
    <w:qFormat/>
    <w:uiPriority w:val="0"/>
    <w:pPr>
      <w:numPr>
        <w:numId w:val="0"/>
      </w:numPr>
      <w:spacing w:line="460" w:lineRule="exact"/>
    </w:pPr>
  </w:style>
  <w:style w:type="paragraph" w:customStyle="1" w:styleId="132">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33">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34">
    <w:name w:val="其他发布部门"/>
    <w:basedOn w:val="107"/>
    <w:qFormat/>
    <w:uiPriority w:val="0"/>
    <w:pPr>
      <w:framePr w:wrap="around"/>
      <w:spacing w:line="0" w:lineRule="atLeast"/>
    </w:pPr>
    <w:rPr>
      <w:rFonts w:ascii="黑体" w:eastAsia="黑体"/>
      <w:b w:val="0"/>
    </w:rPr>
  </w:style>
  <w:style w:type="paragraph" w:customStyle="1" w:styleId="135">
    <w:name w:val="三级条标题"/>
    <w:basedOn w:val="105"/>
    <w:next w:val="102"/>
    <w:qFormat/>
    <w:uiPriority w:val="0"/>
    <w:pPr>
      <w:numPr>
        <w:ilvl w:val="4"/>
      </w:numPr>
      <w:outlineLvl w:val="4"/>
    </w:pPr>
  </w:style>
  <w:style w:type="paragraph" w:customStyle="1" w:styleId="136">
    <w:name w:val="实施日期"/>
    <w:basedOn w:val="108"/>
    <w:qFormat/>
    <w:uiPriority w:val="0"/>
    <w:pPr>
      <w:framePr w:hSpace="0" w:wrap="around" w:xAlign="right"/>
      <w:jc w:val="right"/>
    </w:pPr>
  </w:style>
  <w:style w:type="paragraph" w:customStyle="1" w:styleId="137">
    <w:name w:val="示例"/>
    <w:next w:val="102"/>
    <w:qFormat/>
    <w:uiPriority w:val="0"/>
    <w:pPr>
      <w:numPr>
        <w:ilvl w:val="0"/>
        <w:numId w:val="18"/>
      </w:numPr>
      <w:tabs>
        <w:tab w:val="left" w:pos="816"/>
        <w:tab w:val="clear" w:pos="1120"/>
      </w:tabs>
      <w:ind w:firstLine="419" w:firstLineChars="233"/>
      <w:jc w:val="both"/>
    </w:pPr>
    <w:rPr>
      <w:rFonts w:ascii="宋体" w:hAnsi="Times New Roman" w:eastAsia="宋体" w:cs="Times New Roman"/>
      <w:sz w:val="18"/>
      <w:lang w:val="en-US" w:eastAsia="zh-CN" w:bidi="ar-SA"/>
    </w:rPr>
  </w:style>
  <w:style w:type="paragraph" w:customStyle="1" w:styleId="138">
    <w:name w:val="数字编号列项（二级）"/>
    <w:qFormat/>
    <w:uiPriority w:val="0"/>
    <w:pPr>
      <w:ind w:left="1260" w:leftChars="400" w:hanging="420" w:hangingChars="200"/>
      <w:jc w:val="both"/>
    </w:pPr>
    <w:rPr>
      <w:rFonts w:ascii="宋体" w:hAnsi="Times New Roman" w:eastAsia="宋体" w:cs="Times New Roman"/>
      <w:sz w:val="21"/>
      <w:lang w:val="en-US" w:eastAsia="zh-CN" w:bidi="ar-SA"/>
    </w:rPr>
  </w:style>
  <w:style w:type="paragraph" w:customStyle="1" w:styleId="139">
    <w:name w:val="四级条标题"/>
    <w:basedOn w:val="135"/>
    <w:next w:val="102"/>
    <w:qFormat/>
    <w:uiPriority w:val="0"/>
    <w:pPr>
      <w:numPr>
        <w:ilvl w:val="5"/>
      </w:numPr>
      <w:outlineLvl w:val="5"/>
    </w:pPr>
  </w:style>
  <w:style w:type="paragraph" w:customStyle="1" w:styleId="140">
    <w:name w:val="条文脚注"/>
    <w:basedOn w:val="57"/>
    <w:qFormat/>
    <w:uiPriority w:val="0"/>
    <w:pPr>
      <w:ind w:left="780" w:leftChars="200" w:hanging="360" w:hangingChars="200"/>
      <w:jc w:val="both"/>
    </w:pPr>
    <w:rPr>
      <w:rFonts w:ascii="宋体"/>
    </w:rPr>
  </w:style>
  <w:style w:type="paragraph" w:customStyle="1" w:styleId="141">
    <w:name w:val="图表脚注"/>
    <w:next w:val="102"/>
    <w:qFormat/>
    <w:uiPriority w:val="0"/>
    <w:pPr>
      <w:ind w:left="300" w:leftChars="200" w:hanging="100" w:hangingChars="100"/>
      <w:jc w:val="both"/>
    </w:pPr>
    <w:rPr>
      <w:rFonts w:ascii="宋体" w:hAnsi="Times New Roman" w:eastAsia="宋体" w:cs="Times New Roman"/>
      <w:sz w:val="18"/>
      <w:lang w:val="en-US" w:eastAsia="zh-CN" w:bidi="ar-SA"/>
    </w:rPr>
  </w:style>
  <w:style w:type="paragraph" w:customStyle="1" w:styleId="142">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character" w:customStyle="1" w:styleId="143">
    <w:name w:val="正文文本缩进 2 字符"/>
    <w:link w:val="46"/>
    <w:qFormat/>
    <w:uiPriority w:val="0"/>
    <w:rPr>
      <w:rFonts w:eastAsia="宋体"/>
      <w:color w:val="FF0000"/>
      <w:sz w:val="24"/>
      <w:lang w:val="en-US" w:eastAsia="zh-CN" w:bidi="ar-SA"/>
    </w:rPr>
  </w:style>
  <w:style w:type="paragraph" w:customStyle="1" w:styleId="144">
    <w:name w:val="五级条标题"/>
    <w:basedOn w:val="139"/>
    <w:next w:val="102"/>
    <w:qFormat/>
    <w:uiPriority w:val="0"/>
    <w:pPr>
      <w:numPr>
        <w:ilvl w:val="6"/>
      </w:numPr>
      <w:outlineLvl w:val="6"/>
    </w:pPr>
  </w:style>
  <w:style w:type="paragraph" w:customStyle="1" w:styleId="145">
    <w:name w:val="正文表标题"/>
    <w:next w:val="102"/>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46">
    <w:name w:val="正文图标题"/>
    <w:next w:val="102"/>
    <w:qFormat/>
    <w:uiPriority w:val="0"/>
    <w:pPr>
      <w:numPr>
        <w:ilvl w:val="0"/>
        <w:numId w:val="20"/>
      </w:numPr>
      <w:jc w:val="center"/>
    </w:pPr>
    <w:rPr>
      <w:rFonts w:ascii="黑体" w:hAnsi="Times New Roman" w:eastAsia="黑体" w:cs="Times New Roman"/>
      <w:sz w:val="21"/>
      <w:lang w:val="en-US" w:eastAsia="zh-CN" w:bidi="ar-SA"/>
    </w:rPr>
  </w:style>
  <w:style w:type="paragraph" w:customStyle="1" w:styleId="147">
    <w:name w:val="注："/>
    <w:next w:val="102"/>
    <w:qFormat/>
    <w:uiPriority w:val="0"/>
    <w:pPr>
      <w:widowControl w:val="0"/>
      <w:numPr>
        <w:ilvl w:val="0"/>
        <w:numId w:val="21"/>
      </w:numPr>
      <w:tabs>
        <w:tab w:val="clear" w:pos="1140"/>
      </w:tabs>
      <w:autoSpaceDE w:val="0"/>
      <w:autoSpaceDN w:val="0"/>
      <w:jc w:val="both"/>
    </w:pPr>
    <w:rPr>
      <w:rFonts w:ascii="宋体" w:hAnsi="Times New Roman" w:eastAsia="宋体" w:cs="Times New Roman"/>
      <w:sz w:val="18"/>
      <w:lang w:val="en-US" w:eastAsia="zh-CN" w:bidi="ar-SA"/>
    </w:rPr>
  </w:style>
  <w:style w:type="paragraph" w:customStyle="1" w:styleId="148">
    <w:name w:val="注×："/>
    <w:qFormat/>
    <w:uiPriority w:val="0"/>
    <w:pPr>
      <w:widowControl w:val="0"/>
      <w:numPr>
        <w:ilvl w:val="0"/>
        <w:numId w:val="22"/>
      </w:numPr>
      <w:tabs>
        <w:tab w:val="left" w:pos="630"/>
        <w:tab w:val="clear" w:pos="900"/>
      </w:tabs>
      <w:autoSpaceDE w:val="0"/>
      <w:autoSpaceDN w:val="0"/>
      <w:jc w:val="both"/>
    </w:pPr>
    <w:rPr>
      <w:rFonts w:ascii="宋体" w:hAnsi="Times New Roman" w:eastAsia="宋体" w:cs="Times New Roman"/>
      <w:sz w:val="18"/>
      <w:lang w:val="en-US" w:eastAsia="zh-CN" w:bidi="ar-SA"/>
    </w:rPr>
  </w:style>
  <w:style w:type="paragraph" w:customStyle="1" w:styleId="149">
    <w:name w:val="字母编号列项（一级）"/>
    <w:qFormat/>
    <w:uiPriority w:val="0"/>
    <w:pPr>
      <w:ind w:left="840" w:leftChars="200" w:hanging="420" w:hangingChars="200"/>
      <w:jc w:val="both"/>
    </w:pPr>
    <w:rPr>
      <w:rFonts w:ascii="宋体" w:hAnsi="Times New Roman" w:eastAsia="宋体" w:cs="Times New Roman"/>
      <w:sz w:val="21"/>
      <w:lang w:val="en-US" w:eastAsia="zh-CN" w:bidi="ar-SA"/>
    </w:rPr>
  </w:style>
  <w:style w:type="paragraph" w:customStyle="1" w:styleId="150">
    <w:name w:val="列项◆（三级）"/>
    <w:qFormat/>
    <w:uiPriority w:val="0"/>
    <w:pPr>
      <w:numPr>
        <w:ilvl w:val="0"/>
        <w:numId w:val="23"/>
      </w:numPr>
      <w:ind w:left="800" w:leftChars="600" w:hanging="200" w:hangingChars="200"/>
    </w:pPr>
    <w:rPr>
      <w:rFonts w:ascii="宋体" w:hAnsi="Times New Roman" w:eastAsia="宋体" w:cs="Times New Roman"/>
      <w:sz w:val="21"/>
      <w:lang w:val="en-US" w:eastAsia="zh-CN" w:bidi="ar-SA"/>
    </w:rPr>
  </w:style>
  <w:style w:type="paragraph" w:customStyle="1" w:styleId="151">
    <w:name w:val="编号列项（三级）"/>
    <w:qFormat/>
    <w:uiPriority w:val="0"/>
    <w:pPr>
      <w:ind w:left="800" w:leftChars="600" w:hanging="200" w:hangingChars="200"/>
    </w:pPr>
    <w:rPr>
      <w:rFonts w:ascii="宋体" w:hAnsi="Times New Roman" w:eastAsia="宋体" w:cs="Times New Roman"/>
      <w:sz w:val="21"/>
      <w:lang w:val="en-US" w:eastAsia="zh-CN" w:bidi="ar-SA"/>
    </w:rPr>
  </w:style>
  <w:style w:type="paragraph" w:customStyle="1" w:styleId="152">
    <w:name w:val="Char Char Char Char Char Char Char Char Char Char Char Char Char Char Char Char Char Char Char"/>
    <w:basedOn w:val="1"/>
    <w:qFormat/>
    <w:uiPriority w:val="0"/>
    <w:pPr>
      <w:tabs>
        <w:tab w:val="left" w:pos="6083"/>
      </w:tabs>
      <w:snapToGrid w:val="0"/>
      <w:spacing w:line="360" w:lineRule="auto"/>
      <w:ind w:firstLine="200" w:firstLineChars="200"/>
    </w:pPr>
    <w:rPr>
      <w:rFonts w:ascii="仿宋_GB2312" w:eastAsia="仿宋_GB2312"/>
      <w:kern w:val="0"/>
      <w:sz w:val="28"/>
      <w:szCs w:val="28"/>
    </w:rPr>
  </w:style>
  <w:style w:type="paragraph" w:customStyle="1" w:styleId="153">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54">
    <w:name w:val="已访问的超链接1"/>
    <w:qFormat/>
    <w:uiPriority w:val="0"/>
    <w:rPr>
      <w:rFonts w:ascii="仿宋_GB2312" w:eastAsia="仿宋_GB2312"/>
      <w:color w:val="800080"/>
      <w:sz w:val="28"/>
      <w:szCs w:val="28"/>
      <w:u w:val="single"/>
      <w:lang w:val="en-US" w:eastAsia="zh-CN" w:bidi="ar-SA"/>
    </w:rPr>
  </w:style>
  <w:style w:type="paragraph" w:customStyle="1" w:styleId="155">
    <w:name w:val="xl24"/>
    <w:basedOn w:val="1"/>
    <w:qFormat/>
    <w:uiPriority w:val="0"/>
    <w:pPr>
      <w:widowControl/>
      <w:pBdr>
        <w:left w:val="single" w:color="auto" w:sz="4" w:space="0"/>
        <w:bottom w:val="single" w:color="auto" w:sz="4" w:space="0"/>
        <w:right w:val="single" w:color="auto" w:sz="4" w:space="0"/>
      </w:pBdr>
      <w:spacing w:before="100" w:beforeAutospacing="1" w:after="100" w:afterAutospacing="1"/>
    </w:pPr>
    <w:rPr>
      <w:rFonts w:ascii="Arial Unicode MS" w:hAnsi="Arial Unicode MS" w:eastAsia="Arial Unicode MS" w:cs="Arial Unicode MS"/>
      <w:kern w:val="0"/>
      <w:szCs w:val="21"/>
    </w:rPr>
  </w:style>
  <w:style w:type="character" w:customStyle="1" w:styleId="156">
    <w:name w:val="图名 Char Char Char Char Char Char Char Char Char Char"/>
    <w:qFormat/>
    <w:uiPriority w:val="0"/>
    <w:rPr>
      <w:rFonts w:ascii="黑体" w:hAnsi="Arial" w:eastAsia="黑体" w:cs="Arial"/>
    </w:rPr>
  </w:style>
  <w:style w:type="character" w:customStyle="1" w:styleId="157">
    <w:name w:val="样式 宋体 小四 Char"/>
    <w:qFormat/>
    <w:uiPriority w:val="0"/>
    <w:rPr>
      <w:rFonts w:ascii="宋体" w:hAnsi="宋体" w:eastAsia="宋体"/>
      <w:kern w:val="2"/>
      <w:sz w:val="24"/>
      <w:szCs w:val="24"/>
      <w:lang w:val="en-US" w:eastAsia="zh-CN" w:bidi="ar-SA"/>
    </w:rPr>
  </w:style>
  <w:style w:type="paragraph" w:customStyle="1" w:styleId="158">
    <w:name w:val="1"/>
    <w:basedOn w:val="1"/>
    <w:next w:val="46"/>
    <w:qFormat/>
    <w:uiPriority w:val="0"/>
    <w:pPr>
      <w:spacing w:before="60" w:line="400" w:lineRule="exact"/>
      <w:ind w:firstLine="420" w:firstLineChars="200"/>
    </w:pPr>
    <w:rPr>
      <w:rFonts w:ascii="宋体" w:hAnsi="宋体"/>
      <w:kern w:val="0"/>
      <w:szCs w:val="24"/>
    </w:rPr>
  </w:style>
  <w:style w:type="character" w:customStyle="1" w:styleId="159">
    <w:name w:val="biaozhun"/>
    <w:qFormat/>
    <w:uiPriority w:val="0"/>
    <w:rPr>
      <w:rFonts w:ascii="仿宋_GB2312" w:eastAsia="仿宋_GB2312"/>
      <w:sz w:val="28"/>
      <w:szCs w:val="28"/>
      <w:lang w:val="en-US" w:eastAsia="zh-CN" w:bidi="ar-SA"/>
    </w:rPr>
  </w:style>
  <w:style w:type="character" w:customStyle="1" w:styleId="160">
    <w:name w:val="gb"/>
    <w:qFormat/>
    <w:uiPriority w:val="0"/>
    <w:rPr>
      <w:rFonts w:ascii="仿宋_GB2312" w:eastAsia="仿宋_GB2312"/>
      <w:sz w:val="28"/>
      <w:szCs w:val="28"/>
      <w:lang w:val="en-US" w:eastAsia="zh-CN" w:bidi="ar-SA"/>
    </w:rPr>
  </w:style>
  <w:style w:type="paragraph" w:customStyle="1" w:styleId="161">
    <w:name w:val="小注"/>
    <w:basedOn w:val="46"/>
    <w:qFormat/>
    <w:uiPriority w:val="0"/>
    <w:pPr>
      <w:spacing w:before="60" w:line="240" w:lineRule="auto"/>
      <w:ind w:firstLine="360"/>
    </w:pPr>
    <w:rPr>
      <w:rFonts w:ascii="Arial" w:hAnsi="Arial" w:cs="Arial"/>
      <w:color w:val="auto"/>
      <w:sz w:val="18"/>
      <w:szCs w:val="18"/>
    </w:rPr>
  </w:style>
  <w:style w:type="paragraph" w:customStyle="1" w:styleId="162">
    <w:name w:val="第3级标题"/>
    <w:basedOn w:val="1"/>
    <w:next w:val="1"/>
    <w:qFormat/>
    <w:uiPriority w:val="0"/>
    <w:pPr>
      <w:spacing w:before="156" w:line="360" w:lineRule="auto"/>
    </w:pPr>
    <w:rPr>
      <w:rFonts w:ascii="黑体" w:eastAsia="黑体"/>
      <w:szCs w:val="24"/>
    </w:rPr>
  </w:style>
  <w:style w:type="paragraph" w:customStyle="1" w:styleId="163">
    <w:name w:val="Char"/>
    <w:basedOn w:val="1"/>
    <w:qFormat/>
    <w:uiPriority w:val="0"/>
    <w:pPr>
      <w:widowControl/>
      <w:spacing w:after="160" w:line="240" w:lineRule="exact"/>
      <w:jc w:val="left"/>
    </w:pPr>
    <w:rPr>
      <w:rFonts w:ascii="Arial" w:hAnsi="Arial" w:eastAsia="Times New Roman" w:cs="Verdana"/>
      <w:b/>
      <w:kern w:val="0"/>
      <w:sz w:val="24"/>
      <w:szCs w:val="24"/>
      <w:lang w:eastAsia="en-US"/>
    </w:rPr>
  </w:style>
  <w:style w:type="paragraph" w:customStyle="1" w:styleId="164">
    <w:name w:val="表内文字"/>
    <w:basedOn w:val="1"/>
    <w:qFormat/>
    <w:uiPriority w:val="0"/>
    <w:pPr>
      <w:autoSpaceDE w:val="0"/>
      <w:autoSpaceDN w:val="0"/>
      <w:adjustRightInd w:val="0"/>
      <w:snapToGrid w:val="0"/>
      <w:jc w:val="center"/>
    </w:pPr>
    <w:rPr>
      <w:sz w:val="18"/>
      <w:szCs w:val="18"/>
    </w:rPr>
  </w:style>
  <w:style w:type="paragraph" w:customStyle="1" w:styleId="165">
    <w:name w:val="表注"/>
    <w:next w:val="33"/>
    <w:qFormat/>
    <w:uiPriority w:val="0"/>
    <w:pPr>
      <w:ind w:firstLine="362"/>
    </w:pPr>
    <w:rPr>
      <w:rFonts w:ascii="Arial" w:hAnsi="Arial" w:eastAsia="宋体" w:cs="Arial"/>
      <w:color w:val="000000"/>
      <w:sz w:val="18"/>
      <w:szCs w:val="18"/>
      <w:lang w:val="en-US" w:eastAsia="zh-CN" w:bidi="ar-SA"/>
    </w:rPr>
  </w:style>
  <w:style w:type="paragraph" w:customStyle="1" w:styleId="166">
    <w:name w:val="Char Char Char1 Char1"/>
    <w:basedOn w:val="1"/>
    <w:qFormat/>
    <w:uiPriority w:val="0"/>
    <w:pPr>
      <w:spacing w:line="360" w:lineRule="auto"/>
    </w:pPr>
    <w:rPr>
      <w:rFonts w:ascii="Tahoma" w:hAnsi="Tahoma"/>
      <w:sz w:val="24"/>
    </w:rPr>
  </w:style>
  <w:style w:type="character" w:customStyle="1" w:styleId="167">
    <w:name w:val="标题 6 字符"/>
    <w:link w:val="7"/>
    <w:qFormat/>
    <w:uiPriority w:val="0"/>
    <w:rPr>
      <w:rFonts w:ascii="Arial" w:hAnsi="Arial" w:eastAsia="黑体"/>
      <w:b/>
      <w:bCs/>
      <w:kern w:val="2"/>
      <w:sz w:val="24"/>
      <w:lang w:val="en-US" w:eastAsia="zh-CN" w:bidi="ar-SA"/>
    </w:rPr>
  </w:style>
  <w:style w:type="paragraph" w:customStyle="1" w:styleId="168">
    <w:name w:val="公式说明"/>
    <w:basedOn w:val="102"/>
    <w:qFormat/>
    <w:uiPriority w:val="0"/>
    <w:pPr>
      <w:tabs>
        <w:tab w:val="center" w:pos="4201"/>
        <w:tab w:val="right" w:leader="dot" w:pos="9298"/>
      </w:tabs>
      <w:ind w:firstLine="420"/>
    </w:pPr>
  </w:style>
  <w:style w:type="paragraph" w:customStyle="1" w:styleId="169">
    <w:name w:val="公式编号"/>
    <w:basedOn w:val="1"/>
    <w:qFormat/>
    <w:uiPriority w:val="0"/>
    <w:pPr>
      <w:jc w:val="right"/>
    </w:pPr>
    <w:rPr>
      <w:rFonts w:cs="宋体"/>
      <w:kern w:val="0"/>
      <w:szCs w:val="21"/>
    </w:rPr>
  </w:style>
  <w:style w:type="character" w:customStyle="1" w:styleId="170">
    <w:name w:val="段 Char"/>
    <w:link w:val="102"/>
    <w:qFormat/>
    <w:uiPriority w:val="0"/>
    <w:rPr>
      <w:rFonts w:ascii="宋体"/>
      <w:sz w:val="21"/>
      <w:lang w:val="en-US" w:eastAsia="zh-CN" w:bidi="ar-SA"/>
    </w:rPr>
  </w:style>
  <w:style w:type="paragraph" w:customStyle="1" w:styleId="171">
    <w:name w:val="表中文字"/>
    <w:basedOn w:val="1"/>
    <w:qFormat/>
    <w:uiPriority w:val="0"/>
    <w:pPr>
      <w:tabs>
        <w:tab w:val="left" w:pos="6195"/>
      </w:tabs>
      <w:autoSpaceDE w:val="0"/>
      <w:autoSpaceDN w:val="0"/>
      <w:adjustRightInd w:val="0"/>
      <w:jc w:val="center"/>
    </w:pPr>
    <w:rPr>
      <w:position w:val="-10"/>
      <w:sz w:val="18"/>
      <w:szCs w:val="18"/>
    </w:rPr>
  </w:style>
  <w:style w:type="paragraph" w:customStyle="1" w:styleId="172">
    <w:name w:val="7表名"/>
    <w:basedOn w:val="1"/>
    <w:next w:val="1"/>
    <w:qFormat/>
    <w:uiPriority w:val="0"/>
    <w:pPr>
      <w:spacing w:line="360" w:lineRule="auto"/>
      <w:jc w:val="center"/>
      <w:outlineLvl w:val="4"/>
    </w:pPr>
    <w:rPr>
      <w:rFonts w:ascii="黑体" w:eastAsia="黑体"/>
      <w:szCs w:val="21"/>
    </w:rPr>
  </w:style>
  <w:style w:type="character" w:customStyle="1" w:styleId="173">
    <w:name w:val="font31"/>
    <w:qFormat/>
    <w:uiPriority w:val="0"/>
    <w:rPr>
      <w:rFonts w:hint="eastAsia" w:ascii="宋体" w:hAnsi="宋体" w:eastAsia="宋体" w:cs="宋体"/>
      <w:color w:val="000000"/>
      <w:sz w:val="24"/>
      <w:szCs w:val="24"/>
      <w:u w:val="none"/>
    </w:rPr>
  </w:style>
  <w:style w:type="character" w:customStyle="1" w:styleId="174">
    <w:name w:val="font51"/>
    <w:qFormat/>
    <w:uiPriority w:val="0"/>
    <w:rPr>
      <w:rFonts w:hint="default" w:ascii="Times New Roman" w:hAnsi="Times New Roman" w:cs="Times New Roman"/>
      <w:color w:val="000000"/>
      <w:sz w:val="24"/>
      <w:szCs w:val="24"/>
      <w:u w:val="none"/>
    </w:rPr>
  </w:style>
  <w:style w:type="character" w:customStyle="1" w:styleId="175">
    <w:name w:val="font01"/>
    <w:qFormat/>
    <w:uiPriority w:val="0"/>
    <w:rPr>
      <w:rFonts w:hint="eastAsia" w:ascii="宋体" w:hAnsi="宋体" w:eastAsia="宋体" w:cs="宋体"/>
      <w:color w:val="000000"/>
      <w:sz w:val="24"/>
      <w:szCs w:val="24"/>
      <w:u w:val="none"/>
    </w:rPr>
  </w:style>
  <w:style w:type="character" w:customStyle="1" w:styleId="176">
    <w:name w:val="font11"/>
    <w:qFormat/>
    <w:uiPriority w:val="0"/>
    <w:rPr>
      <w:rFonts w:hint="default" w:ascii="Times New Roman" w:hAnsi="Times New Roman" w:cs="Times New Roman"/>
      <w:color w:val="000000"/>
      <w:sz w:val="24"/>
      <w:szCs w:val="24"/>
      <w:u w:val="none"/>
    </w:rPr>
  </w:style>
  <w:style w:type="character" w:styleId="177">
    <w:name w:val="Placeholder Text"/>
    <w:basedOn w:val="76"/>
    <w:semiHidden/>
    <w:qFormat/>
    <w:uiPriority w:val="99"/>
    <w:rPr>
      <w:color w:val="808080"/>
    </w:rPr>
  </w:style>
  <w:style w:type="paragraph" w:customStyle="1" w:styleId="178">
    <w:name w:val="修订1"/>
    <w:hidden/>
    <w:semiHidden/>
    <w:qFormat/>
    <w:uiPriority w:val="99"/>
    <w:rPr>
      <w:rFonts w:ascii="Times New Roman" w:hAnsi="Times New Roman" w:eastAsia="宋体" w:cs="Times New Roman"/>
      <w:kern w:val="2"/>
      <w:sz w:val="21"/>
      <w:lang w:val="en-US" w:eastAsia="zh-CN" w:bidi="ar-SA"/>
    </w:rPr>
  </w:style>
  <w:style w:type="paragraph" w:customStyle="1" w:styleId="179">
    <w:name w:val="Revision"/>
    <w:hidden/>
    <w:semiHidden/>
    <w:qFormat/>
    <w:uiPriority w:val="99"/>
    <w:rPr>
      <w:rFonts w:ascii="Times New Roman" w:hAnsi="Times New Roman" w:eastAsia="宋体" w:cs="Times New Roman"/>
      <w:kern w:val="2"/>
      <w:sz w:val="21"/>
      <w:lang w:val="en-US" w:eastAsia="zh-CN" w:bidi="ar-SA"/>
    </w:rPr>
  </w:style>
  <w:style w:type="paragraph" w:customStyle="1" w:styleId="180">
    <w:name w:val="WPSOffice手动目录 1"/>
    <w:qFormat/>
    <w:uiPriority w:val="0"/>
    <w:pPr>
      <w:ind w:leftChars="0"/>
    </w:pPr>
    <w:rPr>
      <w:rFonts w:ascii="Times New Roman" w:hAnsi="Times New Roman" w:eastAsia="宋体" w:cs="Times New Roman"/>
      <w:sz w:val="20"/>
      <w:szCs w:val="20"/>
    </w:rPr>
  </w:style>
  <w:style w:type="paragraph" w:customStyle="1" w:styleId="181">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14F8B34-D135-41C2-9571-05571659EC90}">
  <ds:schemaRefs/>
</ds:datastoreItem>
</file>

<file path=docProps/app.xml><?xml version="1.0" encoding="utf-8"?>
<Properties xmlns="http://schemas.openxmlformats.org/officeDocument/2006/extended-properties" xmlns:vt="http://schemas.openxmlformats.org/officeDocument/2006/docPropsVTypes">
  <Template>Normal</Template>
  <Company>CNIS</Company>
  <Pages>14</Pages>
  <Words>6318</Words>
  <Characters>7294</Characters>
  <Lines>76</Lines>
  <Paragraphs>21</Paragraphs>
  <TotalTime>2</TotalTime>
  <ScaleCrop>false</ScaleCrop>
  <LinksUpToDate>false</LinksUpToDate>
  <CharactersWithSpaces>7661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2022-11-11T08:44:00Z</dcterms:created>
  <dc:creator>CSH</dc:creator>
  <cp:lastModifiedBy>银环</cp:lastModifiedBy>
  <cp:lastPrinted>2022-11-10T04:53:00Z</cp:lastPrinted>
  <dcterms:modified xsi:type="dcterms:W3CDTF">2023-02-13T09:18:30Z</dcterms:modified>
  <dc:title> </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DS属性">
    <vt:lpwstr>TDS 2.0 Document</vt:lpwstr>
  </property>
  <property fmtid="{D5CDD505-2E9C-101B-9397-08002B2CF9AE}" pid="3" name="KSOProductBuildVer">
    <vt:lpwstr>2052-11.1.0.13703</vt:lpwstr>
  </property>
  <property fmtid="{D5CDD505-2E9C-101B-9397-08002B2CF9AE}" pid="4" name="ICV">
    <vt:lpwstr>A9326C6DFEE942EB8A268C737319B47D</vt:lpwstr>
  </property>
</Properties>
</file>