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设施</w:t>
      </w:r>
      <w:r>
        <w:rPr>
          <w:rFonts w:hint="eastAsia"/>
          <w:lang w:eastAsia="zh-CN"/>
        </w:rPr>
        <w:t>蔬菜</w:t>
      </w:r>
      <w:r>
        <w:t>田间管理机器人运行条件</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点击此处添加标准名称的英文译名</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（本草案完成时间：11月3日）</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1"/>
      <w:r>
        <w:rPr>
          <w:spacing w:val="320"/>
        </w:rPr>
        <w:t>目</w:t>
      </w:r>
      <w: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"标准文件_一级条标题,2,标准文件_二级条标题,3,标准文件_附录一级条标题,2,标准文件_附录二级条标题,3," </w:instrText>
      </w:r>
      <w:r>
        <w:fldChar w:fldCharType="separate"/>
      </w:r>
      <w:r>
        <w:fldChar w:fldCharType="begin"/>
      </w:r>
      <w:r>
        <w:instrText xml:space="preserve"> HYPERLINK \l "_Toc118365259" </w:instrText>
      </w:r>
      <w:r>
        <w:fldChar w:fldCharType="separate"/>
      </w:r>
      <w:r>
        <w:rPr>
          <w:rStyle w:val="32"/>
        </w:rPr>
        <w:t xml:space="preserve">1 </w:t>
      </w:r>
      <w:r>
        <w:rPr>
          <w:rStyle w:val="32"/>
          <w:rFonts w:hint="eastAsia"/>
        </w:rPr>
        <w:t xml:space="preserve"> 范围</w:t>
      </w:r>
      <w:r>
        <w:tab/>
      </w:r>
      <w:r>
        <w:fldChar w:fldCharType="begin"/>
      </w:r>
      <w:r>
        <w:instrText xml:space="preserve"> PAGEREF _Toc118365259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"_Toc118365260"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_Toc118365260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"_Toc118365261"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_Toc118365261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"_Toc118365262" </w:instrText>
      </w:r>
      <w:r>
        <w:fldChar w:fldCharType="separate"/>
      </w:r>
      <w:r>
        <w:rPr>
          <w:rStyle w:val="32"/>
          <w14:scene3d w14:prst="orthographicFront">
            <w14:lightRig w14:rig="threePt" w14:dir="t">
              <w14:rot w14:lat="0" w14:lon="0" w14:rev="0"/>
            </w14:lightRig>
          </w14:scene3d>
        </w:rPr>
        <w:t xml:space="preserve">3.1 </w:t>
      </w:r>
      <w:r>
        <w:rPr>
          <w:rStyle w:val="32"/>
          <w:rFonts w:hint="eastAsia"/>
        </w:rPr>
        <w:t xml:space="preserve"> </w:t>
      </w:r>
      <w:r>
        <w:rPr>
          <w:rStyle w:val="32"/>
          <w:rFonts w:hint="eastAsia"/>
          <w:lang w:eastAsia="zh-CN"/>
        </w:rPr>
        <w:t>蔬菜</w:t>
      </w:r>
      <w:r>
        <w:rPr>
          <w:rStyle w:val="32"/>
          <w:rFonts w:hint="eastAsia"/>
        </w:rPr>
        <w:t>田间管理机器人</w:t>
      </w:r>
      <w:r>
        <w:tab/>
      </w:r>
      <w:r>
        <w:fldChar w:fldCharType="begin"/>
      </w:r>
      <w:r>
        <w:instrText xml:space="preserve"> PAGEREF _Toc118365262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"_Toc118365263" </w:instrText>
      </w:r>
      <w:r>
        <w:fldChar w:fldCharType="separate"/>
      </w:r>
      <w:r>
        <w:rPr>
          <w:rStyle w:val="32"/>
        </w:rPr>
        <w:t xml:space="preserve">4 </w:t>
      </w:r>
      <w:r>
        <w:rPr>
          <w:rStyle w:val="32"/>
          <w:rFonts w:hint="eastAsia"/>
        </w:rPr>
        <w:t xml:space="preserve"> 基本要求</w:t>
      </w:r>
      <w:r>
        <w:tab/>
      </w:r>
      <w:r>
        <w:fldChar w:fldCharType="begin"/>
      </w:r>
      <w:r>
        <w:instrText xml:space="preserve"> PAGEREF _Toc118365263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"_Toc118365264" </w:instrText>
      </w:r>
      <w:r>
        <w:fldChar w:fldCharType="separate"/>
      </w:r>
      <w:r>
        <w:rPr>
          <w:rStyle w:val="32"/>
          <w14:scene3d w14:prst="orthographicFront">
            <w14:lightRig w14:rig="threePt" w14:dir="t">
              <w14:rot w14:lat="0" w14:lon="0" w14:rev="0"/>
            </w14:lightRig>
          </w14:scene3d>
        </w:rPr>
        <w:t xml:space="preserve">4.1 </w:t>
      </w:r>
      <w:r>
        <w:rPr>
          <w:rStyle w:val="32"/>
          <w:rFonts w:hint="eastAsia"/>
        </w:rPr>
        <w:t xml:space="preserve"> 作业区域需覆盖</w:t>
      </w:r>
      <w:r>
        <w:rPr>
          <w:rStyle w:val="32"/>
        </w:rPr>
        <w:t>4G</w:t>
      </w:r>
      <w:r>
        <w:rPr>
          <w:rStyle w:val="32"/>
          <w:rFonts w:hint="eastAsia"/>
        </w:rPr>
        <w:t>～</w:t>
      </w:r>
      <w:r>
        <w:rPr>
          <w:rStyle w:val="32"/>
        </w:rPr>
        <w:t>5G</w:t>
      </w:r>
      <w:r>
        <w:rPr>
          <w:rStyle w:val="32"/>
          <w:rFonts w:hint="eastAsia"/>
        </w:rPr>
        <w:t>局域网</w:t>
      </w:r>
      <w:r>
        <w:rPr>
          <w:rStyle w:val="32"/>
        </w:rPr>
        <w:t>;</w:t>
      </w:r>
      <w:r>
        <w:tab/>
      </w:r>
      <w:r>
        <w:fldChar w:fldCharType="begin"/>
      </w:r>
      <w:r>
        <w:instrText xml:space="preserve"> PAGEREF _Toc118365264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"_Toc118365265" </w:instrText>
      </w:r>
      <w:r>
        <w:fldChar w:fldCharType="separate"/>
      </w:r>
      <w:r>
        <w:rPr>
          <w:rStyle w:val="32"/>
          <w14:scene3d w14:prst="orthographicFront">
            <w14:lightRig w14:rig="threePt" w14:dir="t">
              <w14:rot w14:lat="0" w14:lon="0" w14:rev="0"/>
            </w14:lightRig>
          </w14:scene3d>
        </w:rPr>
        <w:t xml:space="preserve">4.2 </w:t>
      </w:r>
      <w:r>
        <w:rPr>
          <w:rStyle w:val="32"/>
          <w:rFonts w:hint="eastAsia"/>
        </w:rPr>
        <w:t xml:space="preserve"> 机器人运行区域满足履带式机械行走通行道。</w:t>
      </w:r>
      <w:r>
        <w:tab/>
      </w:r>
      <w:r>
        <w:fldChar w:fldCharType="begin"/>
      </w:r>
      <w:r>
        <w:instrText xml:space="preserve"> PAGEREF _Toc118365265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"_Toc118365266" </w:instrText>
      </w:r>
      <w:r>
        <w:fldChar w:fldCharType="separate"/>
      </w:r>
      <w:r>
        <w:rPr>
          <w:rStyle w:val="32"/>
        </w:rPr>
        <w:t xml:space="preserve">5 </w:t>
      </w:r>
      <w:r>
        <w:rPr>
          <w:rStyle w:val="32"/>
          <w:rFonts w:hint="eastAsia"/>
        </w:rPr>
        <w:t xml:space="preserve"> 管理机器人选择</w:t>
      </w:r>
      <w:r>
        <w:tab/>
      </w:r>
      <w:r>
        <w:fldChar w:fldCharType="begin"/>
      </w:r>
      <w:r>
        <w:instrText xml:space="preserve"> PAGEREF _Toc118365266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"_Toc118365267" </w:instrText>
      </w:r>
      <w:r>
        <w:fldChar w:fldCharType="separate"/>
      </w:r>
      <w:r>
        <w:rPr>
          <w:rStyle w:val="32"/>
        </w:rPr>
        <w:t xml:space="preserve">6 </w:t>
      </w:r>
      <w:r>
        <w:rPr>
          <w:rStyle w:val="32"/>
          <w:rFonts w:hint="eastAsia"/>
        </w:rPr>
        <w:t xml:space="preserve"> 作业环境条件要求</w:t>
      </w:r>
      <w:r>
        <w:tab/>
      </w:r>
      <w:r>
        <w:fldChar w:fldCharType="begin"/>
      </w:r>
      <w:r>
        <w:instrText xml:space="preserve"> PAGEREF _Toc118365267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"_Toc118365268" </w:instrText>
      </w:r>
      <w:r>
        <w:fldChar w:fldCharType="separate"/>
      </w:r>
      <w:r>
        <w:rPr>
          <w:rStyle w:val="32"/>
          <w14:scene3d w14:prst="orthographicFront">
            <w14:lightRig w14:rig="threePt" w14:dir="t">
              <w14:rot w14:lat="0" w14:lon="0" w14:rev="0"/>
            </w14:lightRig>
          </w14:scene3d>
        </w:rPr>
        <w:t xml:space="preserve">6.1 </w:t>
      </w:r>
      <w:r>
        <w:rPr>
          <w:rStyle w:val="32"/>
          <w:rFonts w:hint="eastAsia"/>
        </w:rPr>
        <w:t xml:space="preserve"> 生产设施要求</w:t>
      </w:r>
      <w:r>
        <w:tab/>
      </w:r>
      <w:r>
        <w:fldChar w:fldCharType="begin"/>
      </w:r>
      <w:r>
        <w:instrText xml:space="preserve"> PAGEREF _Toc118365268 \h </w:instrText>
      </w:r>
      <w:r>
        <w:fldChar w:fldCharType="separate"/>
      </w:r>
      <w:r>
        <w:t>2</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"_Toc118365269" </w:instrText>
      </w:r>
      <w:r>
        <w:fldChar w:fldCharType="separate"/>
      </w:r>
      <w:r>
        <w:rPr>
          <w:rStyle w:val="32"/>
        </w:rPr>
        <w:t xml:space="preserve">6.1.1 </w:t>
      </w:r>
      <w:r>
        <w:rPr>
          <w:rStyle w:val="32"/>
          <w:rFonts w:hint="eastAsia"/>
        </w:rPr>
        <w:t xml:space="preserve"> 栽培</w:t>
      </w:r>
      <w:r>
        <w:rPr>
          <w:rStyle w:val="32"/>
          <w:rFonts w:hint="eastAsia"/>
          <w:lang w:eastAsia="zh-CN"/>
        </w:rPr>
        <w:t>蔬菜</w:t>
      </w:r>
      <w:r>
        <w:rPr>
          <w:rStyle w:val="32"/>
          <w:rFonts w:hint="eastAsia"/>
        </w:rPr>
        <w:t>的操作行及操作行之间无立柱、灌溉沟渠等阻碍行程的障碍物。</w:t>
      </w:r>
      <w:r>
        <w:tab/>
      </w:r>
      <w:r>
        <w:fldChar w:fldCharType="begin"/>
      </w:r>
      <w:r>
        <w:instrText xml:space="preserve"> PAGEREF _Toc118365269 \h </w:instrText>
      </w:r>
      <w:r>
        <w:fldChar w:fldCharType="separate"/>
      </w:r>
      <w:r>
        <w:t>2</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"_Toc118365270" </w:instrText>
      </w:r>
      <w:r>
        <w:fldChar w:fldCharType="separate"/>
      </w:r>
      <w:r>
        <w:rPr>
          <w:rStyle w:val="32"/>
        </w:rPr>
        <w:t xml:space="preserve">6.1.2 </w:t>
      </w:r>
      <w:r>
        <w:rPr>
          <w:rStyle w:val="32"/>
          <w:rFonts w:hint="eastAsia"/>
        </w:rPr>
        <w:t xml:space="preserve"> 栽培设施内需要作业的空间最低高度大于</w:t>
      </w:r>
      <w:r>
        <w:rPr>
          <w:rStyle w:val="32"/>
        </w:rPr>
        <w:t>1.5m</w:t>
      </w:r>
      <w:r>
        <w:rPr>
          <w:rStyle w:val="32"/>
          <w:rFonts w:hint="eastAsia"/>
        </w:rPr>
        <w:t>。</w:t>
      </w:r>
      <w:r>
        <w:tab/>
      </w:r>
      <w:r>
        <w:fldChar w:fldCharType="begin"/>
      </w:r>
      <w:r>
        <w:instrText xml:space="preserve"> PAGEREF _Toc118365270 \h </w:instrText>
      </w:r>
      <w:r>
        <w:fldChar w:fldCharType="separate"/>
      </w:r>
      <w:r>
        <w:t>2</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"_Toc118365271" </w:instrText>
      </w:r>
      <w:r>
        <w:fldChar w:fldCharType="separate"/>
      </w:r>
      <w:r>
        <w:rPr>
          <w:rStyle w:val="32"/>
        </w:rPr>
        <w:t xml:space="preserve">6.1.3 </w:t>
      </w:r>
      <w:r>
        <w:rPr>
          <w:rStyle w:val="32"/>
          <w:rFonts w:hint="eastAsia"/>
        </w:rPr>
        <w:t xml:space="preserve"> 栽培设施配备物联网水肥一体化、温湿度及视频采集传输等监控系统。</w:t>
      </w:r>
      <w:r>
        <w:tab/>
      </w:r>
      <w:r>
        <w:fldChar w:fldCharType="begin"/>
      </w:r>
      <w:r>
        <w:instrText xml:space="preserve"> PAGEREF _Toc118365271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"_Toc118365272" </w:instrText>
      </w:r>
      <w:r>
        <w:fldChar w:fldCharType="separate"/>
      </w:r>
      <w:r>
        <w:rPr>
          <w:rStyle w:val="32"/>
          <w14:scene3d w14:prst="orthographicFront">
            <w14:lightRig w14:rig="threePt" w14:dir="t">
              <w14:rot w14:lat="0" w14:lon="0" w14:rev="0"/>
            </w14:lightRig>
          </w14:scene3d>
        </w:rPr>
        <w:t xml:space="preserve">6.2 </w:t>
      </w:r>
      <w:r>
        <w:rPr>
          <w:rStyle w:val="32"/>
          <w:rFonts w:hint="eastAsia"/>
        </w:rPr>
        <w:t xml:space="preserve"> 栽培模式的要求</w:t>
      </w:r>
      <w:r>
        <w:tab/>
      </w:r>
      <w:r>
        <w:fldChar w:fldCharType="begin"/>
      </w:r>
      <w:r>
        <w:instrText xml:space="preserve"> PAGEREF _Toc118365272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"_Toc118365273" </w:instrText>
      </w:r>
      <w:r>
        <w:fldChar w:fldCharType="separate"/>
      </w:r>
      <w:r>
        <w:rPr>
          <w:rStyle w:val="32"/>
        </w:rPr>
        <w:t xml:space="preserve">6.2.1 </w:t>
      </w:r>
      <w:r>
        <w:rPr>
          <w:rStyle w:val="32"/>
          <w:rFonts w:hint="eastAsia"/>
        </w:rPr>
        <w:t xml:space="preserve"> 设定栽培行</w:t>
      </w:r>
      <w:r>
        <w:tab/>
      </w:r>
      <w:r>
        <w:fldChar w:fldCharType="begin"/>
      </w:r>
      <w:r>
        <w:instrText xml:space="preserve"> PAGEREF _Toc118365273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"_Toc118365274" </w:instrText>
      </w:r>
      <w:r>
        <w:fldChar w:fldCharType="separate"/>
      </w:r>
      <w:r>
        <w:rPr>
          <w:rStyle w:val="32"/>
        </w:rPr>
        <w:t xml:space="preserve">6.2.2 </w:t>
      </w:r>
      <w:r>
        <w:rPr>
          <w:rStyle w:val="32"/>
          <w:rFonts w:hint="eastAsia"/>
        </w:rPr>
        <w:t xml:space="preserve"> 确定栽培株行距</w:t>
      </w:r>
      <w:r>
        <w:tab/>
      </w:r>
      <w:r>
        <w:fldChar w:fldCharType="begin"/>
      </w:r>
      <w:r>
        <w:instrText xml:space="preserve"> PAGEREF _Toc118365274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"_Toc118365275" </w:instrText>
      </w:r>
      <w:r>
        <w:fldChar w:fldCharType="separate"/>
      </w:r>
      <w:r>
        <w:rPr>
          <w:rStyle w:val="32"/>
        </w:rPr>
        <w:t xml:space="preserve">6.2.3 </w:t>
      </w:r>
      <w:r>
        <w:rPr>
          <w:rStyle w:val="32"/>
          <w:rFonts w:hint="eastAsia"/>
        </w:rPr>
        <w:t xml:space="preserve"> 安装水肥一体化</w:t>
      </w:r>
      <w:r>
        <w:tab/>
      </w:r>
      <w:r>
        <w:fldChar w:fldCharType="begin"/>
      </w:r>
      <w:r>
        <w:instrText xml:space="preserve"> PAGEREF _Toc118365275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"_Toc118365276" </w:instrText>
      </w:r>
      <w:r>
        <w:fldChar w:fldCharType="separate"/>
      </w:r>
      <w:r>
        <w:rPr>
          <w:rStyle w:val="32"/>
        </w:rPr>
        <w:t xml:space="preserve">6.2.4 </w:t>
      </w:r>
      <w:r>
        <w:rPr>
          <w:rStyle w:val="32"/>
          <w:rFonts w:hint="eastAsia"/>
        </w:rPr>
        <w:t xml:space="preserve"> 定植</w:t>
      </w:r>
      <w:r>
        <w:tab/>
      </w:r>
      <w:r>
        <w:fldChar w:fldCharType="begin"/>
      </w:r>
      <w:r>
        <w:instrText xml:space="preserve"> PAGEREF _Toc118365276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"_Toc118365277" </w:instrText>
      </w:r>
      <w:r>
        <w:fldChar w:fldCharType="separate"/>
      </w:r>
      <w:r>
        <w:rPr>
          <w:rStyle w:val="32"/>
          <w14:scene3d w14:prst="orthographicFront">
            <w14:lightRig w14:rig="threePt" w14:dir="t">
              <w14:rot w14:lat="0" w14:lon="0" w14:rev="0"/>
            </w14:lightRig>
          </w14:scene3d>
        </w:rPr>
        <w:t xml:space="preserve">6.3 </w:t>
      </w:r>
      <w:r>
        <w:rPr>
          <w:rStyle w:val="32"/>
          <w:rFonts w:hint="eastAsia"/>
        </w:rPr>
        <w:t xml:space="preserve"> 田间管理要求</w:t>
      </w:r>
      <w:r>
        <w:tab/>
      </w:r>
      <w:r>
        <w:fldChar w:fldCharType="begin"/>
      </w:r>
      <w:r>
        <w:instrText xml:space="preserve"> PAGEREF _Toc118365277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"_Toc118365278" </w:instrText>
      </w:r>
      <w:r>
        <w:fldChar w:fldCharType="separate"/>
      </w:r>
      <w:r>
        <w:rPr>
          <w:rStyle w:val="32"/>
        </w:rPr>
        <w:t xml:space="preserve">6.3.1 </w:t>
      </w:r>
      <w:r>
        <w:rPr>
          <w:rStyle w:val="32"/>
          <w:rFonts w:hint="eastAsia"/>
        </w:rPr>
        <w:t xml:space="preserve"> 选择吊绳</w:t>
      </w:r>
      <w:r>
        <w:tab/>
      </w:r>
      <w:r>
        <w:fldChar w:fldCharType="begin"/>
      </w:r>
      <w:r>
        <w:instrText xml:space="preserve"> PAGEREF _Toc118365278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"_Toc118365279" </w:instrText>
      </w:r>
      <w:r>
        <w:fldChar w:fldCharType="separate"/>
      </w:r>
      <w:r>
        <w:rPr>
          <w:rStyle w:val="32"/>
        </w:rPr>
        <w:t xml:space="preserve">6.3.2 </w:t>
      </w:r>
      <w:r>
        <w:rPr>
          <w:rStyle w:val="32"/>
          <w:rFonts w:hint="eastAsia"/>
        </w:rPr>
        <w:t xml:space="preserve"> 绕秧</w:t>
      </w:r>
      <w:r>
        <w:tab/>
      </w:r>
      <w:r>
        <w:fldChar w:fldCharType="begin"/>
      </w:r>
      <w:r>
        <w:instrText xml:space="preserve"> PAGEREF _Toc118365279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"_Toc118365280" </w:instrText>
      </w:r>
      <w:r>
        <w:fldChar w:fldCharType="separate"/>
      </w:r>
      <w:r>
        <w:rPr>
          <w:rStyle w:val="32"/>
        </w:rPr>
        <w:t xml:space="preserve">6.3.3 </w:t>
      </w:r>
      <w:r>
        <w:rPr>
          <w:rStyle w:val="32"/>
          <w:rFonts w:hint="eastAsia"/>
        </w:rPr>
        <w:t xml:space="preserve"> 灌溉量</w:t>
      </w:r>
      <w:r>
        <w:tab/>
      </w:r>
      <w:r>
        <w:fldChar w:fldCharType="begin"/>
      </w:r>
      <w:r>
        <w:instrText xml:space="preserve"> PAGEREF _Toc118365280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"_Toc118365281" </w:instrText>
      </w:r>
      <w:r>
        <w:fldChar w:fldCharType="separate"/>
      </w:r>
      <w:r>
        <w:rPr>
          <w:rStyle w:val="32"/>
          <w14:scene3d w14:prst="orthographicFront">
            <w14:lightRig w14:rig="threePt" w14:dir="t">
              <w14:rot w14:lat="0" w14:lon="0" w14:rev="0"/>
            </w14:lightRig>
          </w14:scene3d>
        </w:rPr>
        <w:t xml:space="preserve">6.4 </w:t>
      </w:r>
      <w:r>
        <w:rPr>
          <w:rStyle w:val="32"/>
          <w:rFonts w:hint="eastAsia"/>
        </w:rPr>
        <w:t xml:space="preserve"> 预警监测要求</w:t>
      </w:r>
      <w:r>
        <w:tab/>
      </w:r>
      <w:r>
        <w:fldChar w:fldCharType="begin"/>
      </w:r>
      <w:r>
        <w:instrText xml:space="preserve"> PAGEREF _Toc118365281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"_Toc118365282" </w:instrText>
      </w:r>
      <w:r>
        <w:fldChar w:fldCharType="separate"/>
      </w:r>
      <w:r>
        <w:rPr>
          <w:rStyle w:val="32"/>
        </w:rPr>
        <w:t xml:space="preserve">6.4.1 </w:t>
      </w:r>
      <w:r>
        <w:rPr>
          <w:rStyle w:val="32"/>
          <w:rFonts w:hint="eastAsia"/>
        </w:rPr>
        <w:t xml:space="preserve"> 栽植诱虫植物</w:t>
      </w:r>
      <w:r>
        <w:tab/>
      </w:r>
      <w:r>
        <w:fldChar w:fldCharType="begin"/>
      </w:r>
      <w:r>
        <w:instrText xml:space="preserve"> PAGEREF _Toc118365282 \h </w:instrText>
      </w:r>
      <w:r>
        <w:fldChar w:fldCharType="separate"/>
      </w:r>
      <w:r>
        <w:t>3</w:t>
      </w:r>
      <w:r>
        <w:fldChar w:fldCharType="end"/>
      </w:r>
      <w:r>
        <w:fldChar w:fldCharType="end"/>
      </w:r>
    </w:p>
    <w:p>
      <w:pPr>
        <w:pStyle w:val="15"/>
        <w:tabs>
          <w:tab w:val="right" w:leader="dot" w:pos="9344"/>
        </w:tabs>
        <w:rPr>
          <w:rFonts w:asciiTheme="minorHAnsi" w:hAnsiTheme="minorHAnsi" w:eastAsiaTheme="minorEastAsia" w:cstheme="minorBidi"/>
          <w:szCs w:val="22"/>
        </w:rPr>
      </w:pPr>
      <w:r>
        <w:fldChar w:fldCharType="begin"/>
      </w:r>
      <w:r>
        <w:instrText xml:space="preserve"> HYPERLINK \l "_Toc118365283" </w:instrText>
      </w:r>
      <w:r>
        <w:fldChar w:fldCharType="separate"/>
      </w:r>
      <w:r>
        <w:rPr>
          <w:rStyle w:val="32"/>
        </w:rPr>
        <w:t xml:space="preserve">6.4.2 </w:t>
      </w:r>
      <w:r>
        <w:rPr>
          <w:rStyle w:val="32"/>
          <w:rFonts w:hint="eastAsia"/>
        </w:rPr>
        <w:t xml:space="preserve"> 设定病害观测点</w:t>
      </w:r>
      <w:r>
        <w:tab/>
      </w:r>
      <w:r>
        <w:fldChar w:fldCharType="begin"/>
      </w:r>
      <w:r>
        <w:instrText xml:space="preserve"> PAGEREF _Toc118365283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"_Toc118365284" </w:instrText>
      </w:r>
      <w:r>
        <w:fldChar w:fldCharType="separate"/>
      </w:r>
      <w:r>
        <w:rPr>
          <w:rStyle w:val="32"/>
        </w:rPr>
        <w:t xml:space="preserve">7 </w:t>
      </w:r>
      <w:r>
        <w:rPr>
          <w:rStyle w:val="32"/>
          <w:rFonts w:hint="eastAsia"/>
        </w:rPr>
        <w:t xml:space="preserve"> 存放环境条件要求</w:t>
      </w:r>
      <w:r>
        <w:tab/>
      </w:r>
      <w:r>
        <w:fldChar w:fldCharType="begin"/>
      </w:r>
      <w:r>
        <w:instrText xml:space="preserve"> PAGEREF _Toc118365284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"_Toc118365285" </w:instrText>
      </w:r>
      <w:r>
        <w:fldChar w:fldCharType="separate"/>
      </w:r>
      <w:r>
        <w:rPr>
          <w:rStyle w:val="32"/>
          <w:rFonts w:hint="eastAsia"/>
        </w:rPr>
        <w:t>附录A（规范性）</w:t>
      </w:r>
      <w:r>
        <w:rPr>
          <w:rStyle w:val="32"/>
        </w:rPr>
        <w:t xml:space="preserve">  </w:t>
      </w:r>
      <w:r>
        <w:rPr>
          <w:rStyle w:val="32"/>
          <w:rFonts w:hint="eastAsia"/>
        </w:rPr>
        <w:t>附录</w:t>
      </w:r>
      <w:r>
        <w:rPr>
          <w:rStyle w:val="32"/>
        </w:rPr>
        <w:t xml:space="preserve">A </w:t>
      </w:r>
      <w:r>
        <w:rPr>
          <w:rStyle w:val="32"/>
          <w:rFonts w:hint="eastAsia"/>
        </w:rPr>
        <w:t>设施</w:t>
      </w:r>
      <w:r>
        <w:rPr>
          <w:rStyle w:val="32"/>
          <w:rFonts w:hint="eastAsia"/>
          <w:lang w:eastAsia="zh-CN"/>
        </w:rPr>
        <w:t>蔬菜</w:t>
      </w:r>
      <w:r>
        <w:rPr>
          <w:rStyle w:val="32"/>
          <w:rFonts w:hint="eastAsia"/>
        </w:rPr>
        <w:t>田间管理机器人产品技术要求</w:t>
      </w:r>
      <w:r>
        <w:tab/>
      </w:r>
      <w:r>
        <w:fldChar w:fldCharType="begin"/>
      </w:r>
      <w:r>
        <w:instrText xml:space="preserve"> PAGEREF _Toc118365285 \h </w:instrText>
      </w:r>
      <w:r>
        <w:fldChar w:fldCharType="separate"/>
      </w:r>
      <w:r>
        <w:t>5</w:t>
      </w:r>
      <w:r>
        <w:fldChar w:fldCharType="end"/>
      </w:r>
      <w:r>
        <w:fldChar w:fldCharType="end"/>
      </w:r>
    </w:p>
    <w:p>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A84B86A06EB741C8A7F2232B82E8E7DC"/>
        </w:placeholder>
      </w:sdtPr>
      <w:sdtContent>
        <w:p>
          <w:pPr>
            <w:pStyle w:val="177"/>
            <w:spacing w:before="3" w:beforeLines="1" w:after="686" w:afterLines="220"/>
          </w:pPr>
          <w:bookmarkStart w:id="23" w:name="NEW_STAND_NAME"/>
          <w:r>
            <w:rPr>
              <w:rFonts w:hint="eastAsia"/>
            </w:rPr>
            <w:t>设施</w:t>
          </w:r>
          <w:r>
            <w:rPr>
              <w:rFonts w:hint="eastAsia"/>
              <w:lang w:eastAsia="zh-CN"/>
            </w:rPr>
            <w:t>蔬菜</w:t>
          </w:r>
          <w:r>
            <w:rPr>
              <w:rFonts w:hint="eastAsia"/>
            </w:rPr>
            <w:t>田间管理机器人运行条件</w:t>
          </w:r>
        </w:p>
      </w:sdtContent>
    </w:sdt>
    <w:bookmarkEnd w:id="23"/>
    <w:p>
      <w:pPr>
        <w:pStyle w:val="104"/>
        <w:spacing w:before="312" w:after="312"/>
      </w:pPr>
      <w:bookmarkStart w:id="24" w:name="_Toc17233325"/>
      <w:bookmarkStart w:id="25" w:name="_Toc24884211"/>
      <w:bookmarkStart w:id="26" w:name="_Toc26718930"/>
      <w:bookmarkStart w:id="27" w:name="_Toc26986530"/>
      <w:bookmarkStart w:id="28" w:name="_Toc26986771"/>
      <w:bookmarkStart w:id="29" w:name="_Toc17233333"/>
      <w:bookmarkStart w:id="30" w:name="_Toc97191423"/>
      <w:bookmarkStart w:id="31" w:name="_Toc118365259"/>
      <w:bookmarkStart w:id="32" w:name="_Toc26648465"/>
      <w:bookmarkStart w:id="33" w:name="_Toc24884218"/>
      <w:r>
        <w:rPr>
          <w:rFonts w:hint="eastAsia"/>
        </w:rPr>
        <w:t>范围</w:t>
      </w:r>
      <w:bookmarkEnd w:id="24"/>
      <w:bookmarkEnd w:id="25"/>
      <w:bookmarkEnd w:id="26"/>
      <w:bookmarkEnd w:id="27"/>
      <w:bookmarkEnd w:id="28"/>
      <w:bookmarkEnd w:id="29"/>
      <w:bookmarkEnd w:id="30"/>
      <w:bookmarkEnd w:id="31"/>
      <w:bookmarkEnd w:id="32"/>
      <w:bookmarkEnd w:id="33"/>
    </w:p>
    <w:p>
      <w:pPr>
        <w:pStyle w:val="56"/>
        <w:ind w:firstLine="420"/>
      </w:pPr>
      <w:bookmarkStart w:id="34" w:name="_Toc17233334"/>
      <w:bookmarkStart w:id="35" w:name="_Toc17233326"/>
      <w:bookmarkStart w:id="36" w:name="_Toc24884219"/>
      <w:bookmarkStart w:id="37" w:name="_Toc24884212"/>
      <w:bookmarkStart w:id="38" w:name="_Toc26648466"/>
      <w:r>
        <w:t>本文件</w:t>
      </w:r>
      <w:r>
        <w:rPr>
          <w:rFonts w:hint="eastAsia"/>
        </w:rPr>
        <w:t>规定了</w:t>
      </w:r>
      <w:r>
        <w:rPr>
          <w:rFonts w:hint="eastAsia"/>
          <w:lang w:eastAsia="zh-CN"/>
        </w:rPr>
        <w:t>蔬菜</w:t>
      </w:r>
      <w:r>
        <w:rPr>
          <w:rFonts w:hint="eastAsia"/>
        </w:rPr>
        <w:t>田间管理机器人作业中基本要求、管理机器人选择、作业环境条件及存放环境等条件。</w:t>
      </w:r>
    </w:p>
    <w:p>
      <w:pPr>
        <w:pStyle w:val="56"/>
        <w:ind w:firstLine="420"/>
      </w:pPr>
      <w:r>
        <w:rPr>
          <w:rFonts w:hint="eastAsia"/>
        </w:rPr>
        <w:t>本文件适用于设施番茄田间管理机器人的运行</w:t>
      </w:r>
      <w:r>
        <w:rPr>
          <w:rFonts w:hint="eastAsia"/>
          <w:lang w:eastAsia="zh-CN"/>
        </w:rPr>
        <w:t>，其他同类蔬菜可参照该标准执行</w:t>
      </w:r>
      <w:r>
        <w:rPr>
          <w:rFonts w:hint="eastAsia"/>
        </w:rPr>
        <w:t>。</w:t>
      </w:r>
    </w:p>
    <w:p>
      <w:pPr>
        <w:pStyle w:val="104"/>
        <w:spacing w:before="312" w:after="312"/>
      </w:pPr>
      <w:bookmarkStart w:id="39" w:name="_Toc97191424"/>
      <w:bookmarkStart w:id="40" w:name="_Toc118365260"/>
      <w:bookmarkStart w:id="41" w:name="_Toc26986772"/>
      <w:bookmarkStart w:id="42" w:name="_Toc26986531"/>
      <w:bookmarkStart w:id="43" w:name="_Toc26718931"/>
      <w:r>
        <w:rPr>
          <w:rFonts w:hint="eastAsia"/>
        </w:rPr>
        <w:t>规范性引用文件</w:t>
      </w:r>
      <w:bookmarkEnd w:id="34"/>
      <w:bookmarkEnd w:id="35"/>
      <w:bookmarkEnd w:id="36"/>
      <w:bookmarkEnd w:id="37"/>
      <w:bookmarkEnd w:id="38"/>
      <w:bookmarkEnd w:id="39"/>
      <w:bookmarkEnd w:id="40"/>
      <w:bookmarkEnd w:id="41"/>
      <w:bookmarkEnd w:id="42"/>
      <w:bookmarkEnd w:id="43"/>
    </w:p>
    <w:sdt>
      <w:sdtPr>
        <w:rPr>
          <w:rFonts w:hint="eastAsia"/>
        </w:rPr>
        <w:id w:val="715848253"/>
        <w:placeholder>
          <w:docPart w:val="947940C3285543B3B9126955B22ACEC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36013-2018 锄草机器人安全要求</w:t>
      </w:r>
    </w:p>
    <w:p>
      <w:pPr>
        <w:pStyle w:val="56"/>
        <w:ind w:firstLine="420"/>
      </w:pPr>
      <w:r>
        <w:rPr>
          <w:rFonts w:hint="eastAsia"/>
        </w:rPr>
        <w:t>GB/T 39005-2020 工业机器人视觉集成系统通用技术要求</w:t>
      </w:r>
    </w:p>
    <w:p>
      <w:pPr>
        <w:pStyle w:val="104"/>
        <w:spacing w:before="312" w:after="312"/>
      </w:pPr>
      <w:bookmarkStart w:id="44" w:name="_Toc97191425"/>
      <w:bookmarkStart w:id="45" w:name="_Toc118365261"/>
      <w:r>
        <w:rPr>
          <w:rFonts w:hint="eastAsia"/>
          <w:szCs w:val="21"/>
        </w:rPr>
        <w:t>术语和定义</w:t>
      </w:r>
      <w:bookmarkEnd w:id="44"/>
      <w:bookmarkEnd w:id="45"/>
    </w:p>
    <w:sdt>
      <w:sdtPr>
        <w:id w:val="-1909835108"/>
        <w:placeholder>
          <w:docPart w:val="7CE1499ED15C49029C0157FBF656CFC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46" w:name="_Toc26986532"/>
          <w:bookmarkEnd w:id="46"/>
          <w:r>
            <w:t>下列术语和定义适用于本文件。</w:t>
          </w:r>
        </w:p>
      </w:sdtContent>
    </w:sdt>
    <w:p>
      <w:pPr>
        <w:pStyle w:val="105"/>
        <w:spacing w:before="156" w:after="156"/>
        <w:rPr>
          <w:rFonts w:hAnsi="黑体"/>
        </w:rPr>
      </w:pPr>
      <w:bookmarkStart w:id="47" w:name="_Toc118365262"/>
      <w:r>
        <w:t>田间管理机器人</w:t>
      </w:r>
      <w:bookmarkEnd w:id="47"/>
    </w:p>
    <w:p>
      <w:pPr>
        <w:pStyle w:val="56"/>
        <w:ind w:firstLine="420"/>
      </w:pPr>
      <w:r>
        <w:rPr>
          <w:rFonts w:hint="eastAsia"/>
        </w:rPr>
        <w:t>一种能够利用传感技术（如激光雷达等传感器技术）自动感知番茄生长中管理目标，并能替代人工自主控制末端执行机构实现对植株整理（采摘、侧枝裁剪等）的可编程智能设备。</w:t>
      </w:r>
    </w:p>
    <w:p>
      <w:pPr>
        <w:pStyle w:val="104"/>
        <w:spacing w:before="312" w:after="312"/>
      </w:pPr>
      <w:bookmarkStart w:id="48" w:name="_Toc118365263"/>
      <w:r>
        <w:t>基本要求</w:t>
      </w:r>
      <w:bookmarkEnd w:id="48"/>
    </w:p>
    <w:p>
      <w:pPr>
        <w:pStyle w:val="105"/>
        <w:spacing w:before="156" w:after="156"/>
      </w:pPr>
      <w:bookmarkStart w:id="49" w:name="_Toc118365264"/>
      <w:r>
        <w:rPr>
          <w:rFonts w:hint="eastAsia"/>
        </w:rPr>
        <w:t>作业区域需覆盖4G～5G局域网;</w:t>
      </w:r>
      <w:bookmarkEnd w:id="49"/>
    </w:p>
    <w:p>
      <w:pPr>
        <w:pStyle w:val="105"/>
        <w:spacing w:before="156" w:after="156"/>
      </w:pPr>
      <w:bookmarkStart w:id="50" w:name="_Toc118365265"/>
      <w:r>
        <w:rPr>
          <w:rFonts w:hint="eastAsia"/>
        </w:rPr>
        <w:t>机器人运行区域满足履带式机械行走通行道。</w:t>
      </w:r>
      <w:bookmarkEnd w:id="50"/>
    </w:p>
    <w:p>
      <w:pPr>
        <w:pStyle w:val="104"/>
        <w:spacing w:before="312" w:after="312"/>
      </w:pPr>
      <w:bookmarkStart w:id="51" w:name="_Toc118365266"/>
      <w:r>
        <w:t>管理机器人选择</w:t>
      </w:r>
      <w:bookmarkEnd w:id="51"/>
    </w:p>
    <w:p>
      <w:pPr>
        <w:pStyle w:val="56"/>
        <w:ind w:firstLine="420"/>
      </w:pPr>
      <w:r>
        <w:rPr>
          <w:rFonts w:hint="eastAsia"/>
        </w:rPr>
        <w:t>能实现集</w:t>
      </w:r>
      <w:r>
        <w:rPr>
          <w:rFonts w:hint="eastAsia"/>
          <w:lang w:eastAsia="zh-CN"/>
        </w:rPr>
        <w:t>蔬菜</w:t>
      </w:r>
      <w:r>
        <w:rPr>
          <w:rFonts w:hint="eastAsia"/>
        </w:rPr>
        <w:t>生产中田间巡查预警、防护打药、植株整理、果实采摘等功能为一体的多功能、可组合、能自主作业的</w:t>
      </w:r>
      <w:r>
        <w:rPr>
          <w:rFonts w:hint="eastAsia"/>
          <w:lang w:eastAsia="zh-CN"/>
        </w:rPr>
        <w:t>蔬菜</w:t>
      </w:r>
      <w:r>
        <w:rPr>
          <w:rFonts w:hint="eastAsia"/>
        </w:rPr>
        <w:t>生产管理装备，性能要求见附录A。</w:t>
      </w:r>
    </w:p>
    <w:p>
      <w:pPr>
        <w:pStyle w:val="104"/>
        <w:spacing w:before="312" w:after="312"/>
      </w:pPr>
      <w:bookmarkStart w:id="52" w:name="_Toc118365267"/>
      <w:r>
        <w:t>作业环境条件要求</w:t>
      </w:r>
      <w:bookmarkEnd w:id="52"/>
    </w:p>
    <w:p>
      <w:pPr>
        <w:pStyle w:val="105"/>
        <w:spacing w:before="156" w:after="156"/>
      </w:pPr>
      <w:bookmarkStart w:id="53" w:name="_Toc118365268"/>
      <w:r>
        <w:rPr>
          <w:rFonts w:hint="eastAsia"/>
        </w:rPr>
        <w:t>生产设施要求</w:t>
      </w:r>
      <w:bookmarkEnd w:id="53"/>
    </w:p>
    <w:p>
      <w:pPr>
        <w:pStyle w:val="65"/>
        <w:spacing w:before="156" w:after="156"/>
      </w:pPr>
      <w:bookmarkStart w:id="54" w:name="_Toc118365269"/>
      <w:r>
        <w:rPr>
          <w:rFonts w:hint="eastAsia"/>
        </w:rPr>
        <w:t>栽培</w:t>
      </w:r>
      <w:r>
        <w:rPr>
          <w:rFonts w:hint="eastAsia"/>
          <w:lang w:eastAsia="zh-CN"/>
        </w:rPr>
        <w:t>蔬菜</w:t>
      </w:r>
      <w:r>
        <w:rPr>
          <w:rFonts w:hint="eastAsia"/>
        </w:rPr>
        <w:t>的操作行及操作行之间无立柱、灌溉沟渠等阻碍行程的障碍物。</w:t>
      </w:r>
      <w:bookmarkEnd w:id="54"/>
    </w:p>
    <w:p>
      <w:pPr>
        <w:pStyle w:val="65"/>
        <w:spacing w:before="156" w:after="156"/>
      </w:pPr>
      <w:bookmarkStart w:id="55" w:name="_Toc118365270"/>
      <w:r>
        <w:rPr>
          <w:rFonts w:hint="eastAsia"/>
        </w:rPr>
        <w:t>栽培设施内需要作业的空间最低高度大于1.5m。</w:t>
      </w:r>
      <w:bookmarkEnd w:id="55"/>
    </w:p>
    <w:p>
      <w:pPr>
        <w:pStyle w:val="65"/>
        <w:spacing w:before="156" w:after="156"/>
      </w:pPr>
      <w:bookmarkStart w:id="56" w:name="_Toc118365271"/>
      <w:r>
        <w:rPr>
          <w:rFonts w:hint="eastAsia"/>
        </w:rPr>
        <w:t>栽培设施配备物联网水肥一体化、温湿度及视频采集传输等监控系统。</w:t>
      </w:r>
      <w:bookmarkEnd w:id="56"/>
    </w:p>
    <w:p>
      <w:pPr>
        <w:pStyle w:val="105"/>
        <w:spacing w:before="156" w:after="156"/>
      </w:pPr>
      <w:bookmarkStart w:id="57" w:name="_Toc118365272"/>
      <w:r>
        <w:t>栽培模式的要求</w:t>
      </w:r>
      <w:bookmarkEnd w:id="57"/>
    </w:p>
    <w:p>
      <w:pPr>
        <w:pStyle w:val="65"/>
        <w:spacing w:before="156" w:after="156"/>
      </w:pPr>
      <w:bookmarkStart w:id="58" w:name="_Toc118365273"/>
      <w:r>
        <w:rPr>
          <w:rFonts w:hint="eastAsia"/>
        </w:rPr>
        <w:t>设定栽培行</w:t>
      </w:r>
      <w:bookmarkEnd w:id="58"/>
    </w:p>
    <w:p>
      <w:pPr>
        <w:pStyle w:val="56"/>
        <w:ind w:firstLine="420"/>
      </w:pPr>
      <w:r>
        <w:rPr>
          <w:rFonts w:hint="eastAsia"/>
        </w:rPr>
        <w:t>按照栽培设施的长方向做栽培行，栽培行的两端预留1m～1.5m操作道。</w:t>
      </w:r>
    </w:p>
    <w:p>
      <w:pPr>
        <w:pStyle w:val="65"/>
        <w:spacing w:before="156" w:after="156"/>
      </w:pPr>
      <w:bookmarkStart w:id="59" w:name="_Toc118365274"/>
      <w:r>
        <w:rPr>
          <w:rFonts w:hint="eastAsia"/>
        </w:rPr>
        <w:t>确定栽培株行距</w:t>
      </w:r>
      <w:bookmarkEnd w:id="59"/>
    </w:p>
    <w:p>
      <w:pPr>
        <w:pStyle w:val="56"/>
        <w:ind w:firstLine="420"/>
      </w:pPr>
      <w:r>
        <w:rPr>
          <w:rFonts w:hint="eastAsia"/>
        </w:rPr>
        <w:t>采用等行距栽培，行距大于管理机器人行走装置宽度的20cm～30cm，一般在90cm～100cm。株距25cm～30cm。</w:t>
      </w:r>
    </w:p>
    <w:p>
      <w:pPr>
        <w:pStyle w:val="65"/>
        <w:spacing w:before="156" w:after="156"/>
      </w:pPr>
      <w:bookmarkStart w:id="60" w:name="_Toc118365275"/>
      <w:r>
        <w:rPr>
          <w:rFonts w:hint="eastAsia"/>
        </w:rPr>
        <w:t>安装水肥一体化</w:t>
      </w:r>
      <w:bookmarkEnd w:id="60"/>
    </w:p>
    <w:p>
      <w:pPr>
        <w:pStyle w:val="56"/>
        <w:ind w:firstLine="420"/>
      </w:pPr>
      <w:r>
        <w:rPr>
          <w:rFonts w:hint="eastAsia"/>
        </w:rPr>
        <w:t>定植前安装水肥一体化滴灌装置，相邻滴头间距25cm～30cm。相邻两条滴灌带同一位滴头形成纵向直线与滴灌带无限接近垂直。</w:t>
      </w:r>
    </w:p>
    <w:p>
      <w:pPr>
        <w:pStyle w:val="65"/>
        <w:spacing w:before="156" w:after="156"/>
      </w:pPr>
      <w:bookmarkStart w:id="61" w:name="_Toc118365276"/>
      <w:r>
        <w:rPr>
          <w:rFonts w:hint="eastAsia"/>
        </w:rPr>
        <w:t>定植</w:t>
      </w:r>
      <w:bookmarkEnd w:id="61"/>
    </w:p>
    <w:p>
      <w:pPr>
        <w:pStyle w:val="56"/>
        <w:ind w:firstLine="420"/>
      </w:pPr>
      <w:r>
        <w:rPr>
          <w:rFonts w:hint="eastAsia"/>
        </w:rPr>
        <w:t>按照“一孔（滴灌孔）一苗”原则平地定植，将滴灌带放置种苗同侧，距离种苗3cm～5cm处，缓苗后幼苗基部覆盖滴灌带培土，形成宽3cm～5cm、高6cm～10cm的小高垄。</w:t>
      </w:r>
    </w:p>
    <w:p>
      <w:pPr>
        <w:pStyle w:val="105"/>
        <w:spacing w:before="156" w:after="156"/>
      </w:pPr>
      <w:bookmarkStart w:id="62" w:name="_Toc118365277"/>
      <w:r>
        <w:t>田间管理要求</w:t>
      </w:r>
      <w:bookmarkEnd w:id="62"/>
    </w:p>
    <w:p>
      <w:pPr>
        <w:pStyle w:val="65"/>
        <w:spacing w:before="156" w:after="156"/>
      </w:pPr>
      <w:bookmarkStart w:id="63" w:name="_Toc118365278"/>
      <w:r>
        <w:rPr>
          <w:rFonts w:hint="eastAsia"/>
        </w:rPr>
        <w:t>选择吊绳</w:t>
      </w:r>
      <w:bookmarkEnd w:id="63"/>
    </w:p>
    <w:p>
      <w:pPr>
        <w:pStyle w:val="56"/>
        <w:ind w:firstLine="420"/>
      </w:pPr>
      <w:r>
        <w:rPr>
          <w:rFonts w:hint="eastAsia"/>
        </w:rPr>
        <w:t>选择与</w:t>
      </w:r>
      <w:r>
        <w:rPr>
          <w:rFonts w:hint="eastAsia"/>
          <w:lang w:eastAsia="zh-CN"/>
        </w:rPr>
        <w:t>蔬菜</w:t>
      </w:r>
      <w:r>
        <w:rPr>
          <w:rFonts w:hint="eastAsia"/>
        </w:rPr>
        <w:t>植株色差大的材料吊绳，一般为蓝色、黑色、红色或者棕色，吊绳宽度0.8cm～1cm以上。</w:t>
      </w:r>
    </w:p>
    <w:p>
      <w:pPr>
        <w:pStyle w:val="65"/>
        <w:spacing w:before="156" w:after="156"/>
      </w:pPr>
      <w:bookmarkStart w:id="64" w:name="_Toc118365279"/>
      <w:r>
        <w:rPr>
          <w:rFonts w:hint="eastAsia"/>
        </w:rPr>
        <w:t>绕秧</w:t>
      </w:r>
      <w:bookmarkEnd w:id="64"/>
      <w:r>
        <w:rPr>
          <w:rFonts w:hint="eastAsia"/>
        </w:rPr>
        <w:t xml:space="preserve">  </w:t>
      </w:r>
    </w:p>
    <w:p>
      <w:pPr>
        <w:pStyle w:val="56"/>
        <w:ind w:firstLine="420"/>
      </w:pPr>
      <w:r>
        <w:rPr>
          <w:rFonts w:hint="eastAsia"/>
        </w:rPr>
        <w:t>植株开始生长后及时绕秧，植株1m高度内，绕秧密度做到一叶一绕，吊绳绕秧处在每片叶柄与主茎交汇处。</w:t>
      </w:r>
    </w:p>
    <w:p>
      <w:pPr>
        <w:pStyle w:val="65"/>
        <w:spacing w:before="156" w:after="156"/>
      </w:pPr>
      <w:bookmarkStart w:id="65" w:name="_Toc118365280"/>
      <w:r>
        <w:rPr>
          <w:rFonts w:hint="eastAsia"/>
        </w:rPr>
        <w:t>灌溉量</w:t>
      </w:r>
      <w:bookmarkEnd w:id="65"/>
    </w:p>
    <w:p>
      <w:pPr>
        <w:pStyle w:val="56"/>
        <w:ind w:firstLine="420"/>
      </w:pPr>
      <w:r>
        <w:rPr>
          <w:rFonts w:hint="eastAsia"/>
        </w:rPr>
        <w:t>依据土壤湿度确定开始灌溉时间，地表灌溉湿润直径20cm～25cm结束。</w:t>
      </w:r>
    </w:p>
    <w:p>
      <w:pPr>
        <w:pStyle w:val="105"/>
        <w:spacing w:before="156" w:after="156"/>
      </w:pPr>
      <w:bookmarkStart w:id="66" w:name="_Toc118365281"/>
      <w:r>
        <w:rPr>
          <w:rFonts w:hint="eastAsia"/>
        </w:rPr>
        <w:t>预警监测要求</w:t>
      </w:r>
      <w:bookmarkEnd w:id="66"/>
    </w:p>
    <w:p>
      <w:pPr>
        <w:pStyle w:val="65"/>
        <w:spacing w:before="156" w:after="156"/>
      </w:pPr>
      <w:bookmarkStart w:id="67" w:name="_Toc118365282"/>
      <w:r>
        <w:rPr>
          <w:rFonts w:hint="eastAsia"/>
        </w:rPr>
        <w:t>栽植诱虫植物</w:t>
      </w:r>
      <w:bookmarkEnd w:id="67"/>
      <w:r>
        <w:rPr>
          <w:rFonts w:hint="eastAsia"/>
        </w:rPr>
        <w:t xml:space="preserve"> </w:t>
      </w:r>
    </w:p>
    <w:p>
      <w:pPr>
        <w:pStyle w:val="56"/>
        <w:ind w:firstLine="420"/>
      </w:pPr>
      <w:r>
        <w:rPr>
          <w:rFonts w:hint="eastAsia"/>
        </w:rPr>
        <w:t>在栽培行边缘（接近放风口处）定植烟草幼苗，每点2～4株，相邻两点距离20m～25m。在诱导植物傍安装可调控的视频监测设备2～3处，镜头观测点在诱导植物的心叶处或者叶片背面，定时观测并上报诱导植物上粉虱、蚜虫虫口数或现场图片。</w:t>
      </w:r>
    </w:p>
    <w:p>
      <w:pPr>
        <w:pStyle w:val="65"/>
        <w:spacing w:before="156" w:after="156"/>
      </w:pPr>
      <w:bookmarkStart w:id="68" w:name="_Toc118365283"/>
      <w:r>
        <w:rPr>
          <w:rFonts w:hint="eastAsia"/>
        </w:rPr>
        <w:t>设定病害观测点</w:t>
      </w:r>
      <w:bookmarkEnd w:id="68"/>
    </w:p>
    <w:p>
      <w:pPr>
        <w:pStyle w:val="56"/>
        <w:ind w:firstLine="420"/>
      </w:pPr>
      <w:r>
        <w:rPr>
          <w:rFonts w:hint="eastAsia"/>
        </w:rPr>
        <w:t>在栽培设施在接近防风口的位置设定能实现视频监测的病害预警观测点2～3处，结合生产环境参数及时发现植株异常并上传图片。</w:t>
      </w:r>
    </w:p>
    <w:p>
      <w:pPr>
        <w:pStyle w:val="104"/>
        <w:spacing w:before="312" w:after="312"/>
      </w:pPr>
      <w:bookmarkStart w:id="69" w:name="_Toc118365284"/>
      <w:r>
        <w:rPr>
          <w:rFonts w:hint="eastAsia"/>
        </w:rPr>
        <w:t>存放环境条件要求</w:t>
      </w:r>
      <w:bookmarkEnd w:id="69"/>
    </w:p>
    <w:p>
      <w:pPr>
        <w:pStyle w:val="56"/>
        <w:ind w:firstLine="420"/>
      </w:pPr>
      <w:r>
        <w:rPr>
          <w:rFonts w:hint="eastAsia"/>
        </w:rPr>
        <w:t>机器人应当储存与干燥、防潮、防腐、无易燃气体、无强烈震动、无强磁场的仓库，产品说明书或产品标签上应注明安全储存条件和储存维护方法。</w:t>
      </w:r>
    </w:p>
    <w:p>
      <w:pPr>
        <w:pStyle w:val="56"/>
        <w:ind w:firstLine="420"/>
      </w:pPr>
    </w:p>
    <w:p>
      <w:pPr>
        <w:pStyle w:val="56"/>
        <w:ind w:firstLine="420"/>
      </w:pPr>
    </w:p>
    <w:p>
      <w:pPr>
        <w:pStyle w:val="56"/>
        <w:ind w:firstLine="0" w:firstLineChars="0"/>
        <w:jc w:val="center"/>
      </w:pPr>
      <w:bookmarkStart w:id="70" w:name="BookMark8"/>
      <w:r>
        <w:rPr>
          <w:rFonts w:hint="eastAsia"/>
        </w:rPr>
        <w:drawing>
          <wp:inline distT="0" distB="0" distL="0" distR="0">
            <wp:extent cx="1485900" cy="317500"/>
            <wp:effectExtent l="0" t="0" r="0" b="635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6"/>
                    <a:stretch>
                      <a:fillRect/>
                    </a:stretch>
                  </pic:blipFill>
                  <pic:spPr>
                    <a:xfrm>
                      <a:off x="0" y="0"/>
                      <a:ext cx="1485900" cy="317500"/>
                    </a:xfrm>
                    <a:prstGeom prst="rect">
                      <a:avLst/>
                    </a:prstGeom>
                  </pic:spPr>
                </pic:pic>
              </a:graphicData>
            </a:graphic>
          </wp:inline>
        </w:drawing>
      </w:r>
      <w:bookmarkEnd w:id="70"/>
    </w:p>
    <w:p>
      <w:pPr>
        <w:pStyle w:val="56"/>
        <w:ind w:firstLine="420"/>
      </w:pPr>
    </w:p>
    <w:p>
      <w:pPr>
        <w:pStyle w:val="56"/>
        <w:ind w:firstLine="420"/>
        <w:sectPr>
          <w:pgSz w:w="11906" w:h="16838"/>
          <w:pgMar w:top="1928" w:right="1134" w:bottom="1134" w:left="1134" w:header="1418" w:footer="1134" w:gutter="284"/>
          <w:cols w:space="425" w:num="1"/>
          <w:formProt w:val="0"/>
          <w:docGrid w:type="lines" w:linePitch="312" w:charSpace="0"/>
        </w:sectPr>
      </w:pPr>
    </w:p>
    <w:bookmarkEnd w:id="22"/>
    <w:p>
      <w:pPr>
        <w:pStyle w:val="198"/>
        <w:rPr>
          <w:vanish w:val="0"/>
        </w:rPr>
      </w:pPr>
      <w:bookmarkStart w:id="71" w:name="BookMark5"/>
    </w:p>
    <w:p>
      <w:pPr>
        <w:pStyle w:val="199"/>
        <w:rPr>
          <w:vanish w:val="0"/>
        </w:rPr>
      </w:pPr>
    </w:p>
    <w:p>
      <w:pPr>
        <w:pStyle w:val="76"/>
        <w:spacing w:after="156"/>
      </w:pPr>
      <w:r>
        <w:br w:type="textWrapping"/>
      </w:r>
      <w:bookmarkStart w:id="72" w:name="_Toc118365285"/>
      <w:r>
        <w:rPr>
          <w:rFonts w:hint="eastAsia"/>
        </w:rPr>
        <w:t>（规范性）</w:t>
      </w:r>
      <w:r>
        <w:br w:type="textWrapping"/>
      </w:r>
      <w:r>
        <w:rPr>
          <w:rFonts w:hint="eastAsia"/>
        </w:rPr>
        <w:t>设施</w:t>
      </w:r>
      <w:r>
        <w:rPr>
          <w:rFonts w:hint="eastAsia"/>
          <w:lang w:eastAsia="zh-CN"/>
        </w:rPr>
        <w:t>蔬菜</w:t>
      </w:r>
      <w:r>
        <w:rPr>
          <w:rFonts w:hint="eastAsia"/>
        </w:rPr>
        <w:t>田间管理机器人产品技术要求</w:t>
      </w:r>
      <w:bookmarkEnd w:id="72"/>
    </w:p>
    <w:p>
      <w:pPr>
        <w:pStyle w:val="56"/>
        <w:ind w:firstLine="0" w:firstLineChars="0"/>
      </w:pPr>
    </w:p>
    <w:p>
      <w:pPr>
        <w:pStyle w:val="56"/>
        <w:ind w:firstLine="0" w:firstLineChars="0"/>
      </w:pPr>
      <w:r>
        <w:rPr>
          <w:rFonts w:hint="eastAsia"/>
        </w:rPr>
        <w:t>1.产品组成</w:t>
      </w:r>
    </w:p>
    <w:p>
      <w:pPr>
        <w:pStyle w:val="56"/>
        <w:ind w:firstLine="0" w:firstLineChars="0"/>
      </w:pPr>
      <w:r>
        <w:rPr>
          <w:rFonts w:hint="eastAsia"/>
        </w:rPr>
        <w:t>1.1 组成概述</w:t>
      </w:r>
    </w:p>
    <w:p>
      <w:pPr>
        <w:pStyle w:val="56"/>
        <w:ind w:firstLine="420"/>
      </w:pPr>
      <w:r>
        <w:rPr>
          <w:rFonts w:hint="eastAsia"/>
        </w:rPr>
        <w:t>设施</w:t>
      </w:r>
      <w:r>
        <w:rPr>
          <w:rFonts w:hint="eastAsia"/>
          <w:lang w:eastAsia="zh-CN"/>
        </w:rPr>
        <w:t>蔬菜</w:t>
      </w:r>
      <w:r>
        <w:rPr>
          <w:rFonts w:hint="eastAsia"/>
        </w:rPr>
        <w:t>田间机器人主要由主控单元、视觉单元、行走单元、采摘单元、防护单元等组成。其中主控单元负责信号处理、功能控制、功能选择等，协调各部件顺畅运行；行走单元负责承载设备装置与供电，在设施中前进、后退和转向等功能；视觉单元负责作物图像视觉信息处理；采摘单元负责执行采摘动作，防护单元负责喷施打药。</w:t>
      </w:r>
    </w:p>
    <w:p>
      <w:pPr>
        <w:pStyle w:val="56"/>
        <w:ind w:firstLine="0" w:firstLineChars="0"/>
      </w:pPr>
      <w:r>
        <w:rPr>
          <w:rFonts w:hint="eastAsia"/>
        </w:rPr>
        <w:t>1.2 主控单元</w:t>
      </w:r>
    </w:p>
    <w:p>
      <w:pPr>
        <w:pStyle w:val="56"/>
        <w:ind w:firstLine="420"/>
      </w:pPr>
      <w:r>
        <w:rPr>
          <w:rFonts w:hint="eastAsia"/>
        </w:rPr>
        <w:t xml:space="preserve">主控单元参照GB/T 39005-2020工业机器人视觉集成系统通用技术要求中的5.2主控单元。 </w:t>
      </w:r>
    </w:p>
    <w:p>
      <w:pPr>
        <w:pStyle w:val="56"/>
        <w:ind w:firstLine="0" w:firstLineChars="0"/>
      </w:pPr>
      <w:r>
        <w:rPr>
          <w:rFonts w:hint="eastAsia"/>
        </w:rPr>
        <w:t>1.3 视觉单元</w:t>
      </w:r>
    </w:p>
    <w:p>
      <w:pPr>
        <w:pStyle w:val="56"/>
        <w:ind w:firstLine="420"/>
      </w:pPr>
      <w:r>
        <w:rPr>
          <w:rFonts w:hint="eastAsia"/>
        </w:rPr>
        <w:t>视觉单元应提供与主控单元、机械臂之间进行信息传递的通信接口，以及用户二次开发等功能的可编程接口。</w:t>
      </w:r>
    </w:p>
    <w:p>
      <w:pPr>
        <w:pStyle w:val="56"/>
        <w:ind w:firstLine="0" w:firstLineChars="0"/>
      </w:pPr>
      <w:r>
        <w:rPr>
          <w:rFonts w:hint="eastAsia"/>
        </w:rPr>
        <w:t>1.4 行走单元</w:t>
      </w:r>
    </w:p>
    <w:p>
      <w:pPr>
        <w:pStyle w:val="56"/>
        <w:ind w:firstLine="420"/>
      </w:pPr>
      <w:r>
        <w:rPr>
          <w:rFonts w:hint="eastAsia"/>
        </w:rPr>
        <w:t xml:space="preserve">行走单元应提供与主控单元之间进行信息传递的通信接口，以及用户进行行走定制、 参数修改、二次开发等功能的可编程接口。 </w:t>
      </w:r>
    </w:p>
    <w:p>
      <w:pPr>
        <w:pStyle w:val="56"/>
        <w:ind w:firstLine="0" w:firstLineChars="0"/>
      </w:pPr>
      <w:r>
        <w:rPr>
          <w:rFonts w:hint="eastAsia"/>
        </w:rPr>
        <w:t>1.5 采摘单元</w:t>
      </w:r>
    </w:p>
    <w:p>
      <w:pPr>
        <w:pStyle w:val="56"/>
        <w:ind w:firstLine="420"/>
      </w:pPr>
      <w:r>
        <w:rPr>
          <w:rFonts w:hint="eastAsia"/>
        </w:rPr>
        <w:t>采摘单元主要为柔性夹爪，采用驱控一体式设计。</w:t>
      </w:r>
    </w:p>
    <w:p>
      <w:pPr>
        <w:pStyle w:val="56"/>
        <w:ind w:firstLine="0" w:firstLineChars="0"/>
      </w:pPr>
      <w:r>
        <w:rPr>
          <w:rFonts w:hint="eastAsia"/>
        </w:rPr>
        <w:t>1.6 防护单元</w:t>
      </w:r>
    </w:p>
    <w:p>
      <w:pPr>
        <w:pStyle w:val="56"/>
        <w:ind w:firstLine="420"/>
      </w:pPr>
      <w:r>
        <w:rPr>
          <w:rFonts w:hint="eastAsia"/>
        </w:rPr>
        <w:t>采用“双臂六头”对向喷施打药装置，手动或自动调节打药高度、角度及压力，双臂采用PVC管材制作，六头采用可调喷头。</w:t>
      </w:r>
    </w:p>
    <w:p>
      <w:pPr>
        <w:pStyle w:val="56"/>
        <w:ind w:firstLine="0" w:firstLineChars="0"/>
      </w:pPr>
      <w:r>
        <w:rPr>
          <w:rFonts w:hint="eastAsia"/>
        </w:rPr>
        <w:t>2.技术要求</w:t>
      </w:r>
    </w:p>
    <w:p>
      <w:pPr>
        <w:pStyle w:val="56"/>
        <w:ind w:firstLine="420"/>
      </w:pPr>
      <w:r>
        <w:rPr>
          <w:rFonts w:hint="eastAsia"/>
        </w:rPr>
        <w:t>设施</w:t>
      </w:r>
      <w:r>
        <w:rPr>
          <w:rFonts w:hint="eastAsia"/>
          <w:lang w:eastAsia="zh-CN"/>
        </w:rPr>
        <w:t>蔬菜</w:t>
      </w:r>
      <w:r>
        <w:rPr>
          <w:rFonts w:hint="eastAsia"/>
        </w:rPr>
        <w:t>田间管理机器人应按照规定程序设计图样和工艺文件进行制造。制造机器人所用材料及元器件、部件需经检验部门复检，应具备以下要求：</w:t>
      </w:r>
    </w:p>
    <w:p>
      <w:pPr>
        <w:pStyle w:val="56"/>
        <w:ind w:firstLine="0" w:firstLineChars="0"/>
      </w:pPr>
      <w:r>
        <w:rPr>
          <w:rFonts w:hint="eastAsia"/>
        </w:rPr>
        <w:t xml:space="preserve">2.1 主控单元：主要采用Linux系统，兼容ROS开发； </w:t>
      </w:r>
    </w:p>
    <w:p>
      <w:pPr>
        <w:pStyle w:val="56"/>
        <w:ind w:firstLine="0" w:firstLineChars="0"/>
      </w:pPr>
      <w:r>
        <w:rPr>
          <w:rFonts w:hint="eastAsia"/>
        </w:rPr>
        <w:t>2.2 视觉单元：主要采用深度双目摄像头，搭配有安装机构；</w:t>
      </w:r>
    </w:p>
    <w:p>
      <w:pPr>
        <w:pStyle w:val="56"/>
        <w:ind w:firstLine="0" w:firstLineChars="0"/>
      </w:pPr>
      <w:r>
        <w:rPr>
          <w:rFonts w:hint="eastAsia"/>
        </w:rPr>
        <w:t>2.3 行走单元：主要采用履带式机器人底座，通过性强；</w:t>
      </w:r>
    </w:p>
    <w:p>
      <w:pPr>
        <w:pStyle w:val="56"/>
        <w:ind w:firstLine="0" w:firstLineChars="0"/>
      </w:pPr>
      <w:r>
        <w:rPr>
          <w:rFonts w:hint="eastAsia"/>
        </w:rPr>
        <w:t>2.4 采摘单元：主要采用驱控一体式设计，力控柔性执行器；</w:t>
      </w:r>
    </w:p>
    <w:p>
      <w:pPr>
        <w:pStyle w:val="56"/>
        <w:ind w:firstLine="0" w:firstLineChars="0"/>
      </w:pPr>
      <w:r>
        <w:rPr>
          <w:rFonts w:hint="eastAsia"/>
        </w:rPr>
        <w:t>2.5 防护单元：主要采用可调节对向喷施打药设计，覆盖面广；</w:t>
      </w:r>
    </w:p>
    <w:p>
      <w:pPr>
        <w:pStyle w:val="56"/>
        <w:ind w:firstLine="0" w:firstLineChars="0"/>
      </w:pPr>
      <w:r>
        <w:rPr>
          <w:rFonts w:hint="eastAsia"/>
        </w:rPr>
        <w:t>2.6 传感单元：主要用于避障导航的传感器，如雷达、激光、红外等。</w:t>
      </w:r>
    </w:p>
    <w:p>
      <w:pPr>
        <w:pStyle w:val="56"/>
        <w:ind w:firstLine="0" w:firstLineChars="0"/>
      </w:pPr>
      <w:r>
        <w:rPr>
          <w:rFonts w:hint="eastAsia"/>
        </w:rPr>
        <w:t>3 机械结构</w:t>
      </w:r>
    </w:p>
    <w:p>
      <w:pPr>
        <w:pStyle w:val="56"/>
        <w:ind w:firstLine="420"/>
      </w:pPr>
      <w:r>
        <w:rPr>
          <w:rFonts w:hint="eastAsia"/>
        </w:rPr>
        <w:t>机器人的机械结构应当参照制图手册和标准进行设计和制造，应满足以下要求：3.1 机器人的底座与机械臂、打药装置尽可能采用模块化结构，可根据管理项目进行调整和布置，适应不同的作业模式；</w:t>
      </w:r>
    </w:p>
    <w:p>
      <w:pPr>
        <w:pStyle w:val="56"/>
        <w:ind w:firstLine="0" w:firstLineChars="0"/>
      </w:pPr>
      <w:r>
        <w:rPr>
          <w:rFonts w:hint="eastAsia"/>
        </w:rPr>
        <w:t>3.2 机器人防护打药结构装置以及底座宽度要小于植株行间距，保持不受枝叶影响；</w:t>
      </w:r>
    </w:p>
    <w:p>
      <w:pPr>
        <w:pStyle w:val="56"/>
        <w:ind w:firstLine="0" w:firstLineChars="0"/>
      </w:pPr>
      <w:r>
        <w:rPr>
          <w:rFonts w:hint="eastAsia"/>
        </w:rPr>
        <w:t>3.3 机器人工作时，采摘执行器和打药结构能适应地面的起伏，保持作业稳定施行。</w:t>
      </w:r>
    </w:p>
    <w:p>
      <w:pPr>
        <w:pStyle w:val="56"/>
        <w:ind w:firstLine="0" w:firstLineChars="0"/>
      </w:pPr>
      <w:r>
        <w:rPr>
          <w:rFonts w:hint="eastAsia"/>
        </w:rPr>
        <w:t>4 性能</w:t>
      </w:r>
    </w:p>
    <w:p>
      <w:pPr>
        <w:pStyle w:val="56"/>
        <w:ind w:firstLine="0" w:firstLineChars="0"/>
      </w:pPr>
      <w:r>
        <w:rPr>
          <w:rFonts w:hint="eastAsia"/>
        </w:rPr>
        <w:t>机器人作业性能应满足：</w:t>
      </w:r>
    </w:p>
    <w:p>
      <w:pPr>
        <w:pStyle w:val="56"/>
        <w:ind w:firstLine="0" w:firstLineChars="0"/>
      </w:pPr>
      <w:r>
        <w:rPr>
          <w:rFonts w:hint="eastAsia"/>
        </w:rPr>
        <w:t>4.1 机器人成熟</w:t>
      </w:r>
      <w:r>
        <w:rPr>
          <w:rFonts w:hint="eastAsia"/>
          <w:lang w:eastAsia="zh-CN"/>
        </w:rPr>
        <w:t>果实</w:t>
      </w:r>
      <w:r>
        <w:rPr>
          <w:rFonts w:hint="eastAsia"/>
        </w:rPr>
        <w:t>识别正确率90%以上；</w:t>
      </w:r>
    </w:p>
    <w:p>
      <w:pPr>
        <w:pStyle w:val="56"/>
        <w:ind w:firstLine="0" w:firstLineChars="0"/>
      </w:pPr>
      <w:r>
        <w:rPr>
          <w:rFonts w:hint="eastAsia"/>
        </w:rPr>
        <w:t>4.2 机器人植株侧枝识别率85%以上；</w:t>
      </w:r>
    </w:p>
    <w:p>
      <w:pPr>
        <w:pStyle w:val="56"/>
        <w:ind w:firstLine="0" w:firstLineChars="0"/>
      </w:pPr>
      <w:r>
        <w:rPr>
          <w:rFonts w:hint="eastAsia"/>
        </w:rPr>
        <w:t>4.3 机器人打药覆盖率90%以上。</w:t>
      </w:r>
    </w:p>
    <w:p>
      <w:pPr>
        <w:pStyle w:val="56"/>
        <w:ind w:firstLine="0" w:firstLineChars="0"/>
      </w:pPr>
      <w:r>
        <w:rPr>
          <w:rFonts w:hint="eastAsia"/>
        </w:rPr>
        <w:t>5 功能</w:t>
      </w:r>
    </w:p>
    <w:p>
      <w:pPr>
        <w:pStyle w:val="56"/>
        <w:ind w:firstLine="420"/>
      </w:pPr>
      <w:r>
        <w:rPr>
          <w:rFonts w:hint="eastAsia"/>
        </w:rPr>
        <w:t>为满足田间管理的要求，机器人应当具备以下功能：</w:t>
      </w:r>
    </w:p>
    <w:p>
      <w:pPr>
        <w:pStyle w:val="56"/>
        <w:ind w:firstLine="0" w:firstLineChars="0"/>
      </w:pPr>
      <w:r>
        <w:rPr>
          <w:rFonts w:hint="eastAsia"/>
        </w:rPr>
        <w:t>5.1 机器人能够实现对成熟</w:t>
      </w:r>
      <w:r>
        <w:rPr>
          <w:rFonts w:hint="eastAsia"/>
          <w:lang w:eastAsia="zh-CN"/>
        </w:rPr>
        <w:t>果实</w:t>
      </w:r>
      <w:r>
        <w:rPr>
          <w:rFonts w:hint="eastAsia"/>
        </w:rPr>
        <w:t>、植株侧枝作业目标及作物的识别与定位；</w:t>
      </w:r>
    </w:p>
    <w:p>
      <w:pPr>
        <w:pStyle w:val="56"/>
        <w:ind w:firstLine="0" w:firstLineChars="0"/>
      </w:pPr>
      <w:r>
        <w:rPr>
          <w:rFonts w:hint="eastAsia"/>
        </w:rPr>
        <w:t>5.2 机器人自动完成</w:t>
      </w:r>
      <w:r>
        <w:rPr>
          <w:rFonts w:hint="eastAsia"/>
          <w:lang w:eastAsia="zh-CN"/>
        </w:rPr>
        <w:t>果实</w:t>
      </w:r>
      <w:r>
        <w:rPr>
          <w:rFonts w:hint="eastAsia"/>
        </w:rPr>
        <w:t>采摘，并能够根据</w:t>
      </w:r>
      <w:r>
        <w:rPr>
          <w:rFonts w:hint="eastAsia"/>
          <w:lang w:eastAsia="zh-CN"/>
        </w:rPr>
        <w:t>果实</w:t>
      </w:r>
      <w:bookmarkStart w:id="73" w:name="_GoBack"/>
      <w:bookmarkEnd w:id="73"/>
      <w:r>
        <w:rPr>
          <w:rFonts w:hint="eastAsia"/>
        </w:rPr>
        <w:t>大小分级收纳；</w:t>
      </w:r>
    </w:p>
    <w:p>
      <w:pPr>
        <w:pStyle w:val="56"/>
        <w:ind w:firstLine="0" w:firstLineChars="0"/>
      </w:pPr>
      <w:r>
        <w:rPr>
          <w:rFonts w:hint="eastAsia"/>
        </w:rPr>
        <w:t>5.3 机器人能够实现行走导航，遇到障碍物自动避障，灵活多变；</w:t>
      </w:r>
    </w:p>
    <w:p>
      <w:pPr>
        <w:pStyle w:val="56"/>
        <w:ind w:firstLine="0" w:firstLineChars="0"/>
      </w:pPr>
      <w:r>
        <w:rPr>
          <w:rFonts w:hint="eastAsia"/>
        </w:rPr>
        <w:t>5.4 机器人能够自动行走智能喷施打药，根据打药高度、压力、角度等调节。</w:t>
      </w:r>
    </w:p>
    <w:p>
      <w:pPr>
        <w:pStyle w:val="56"/>
        <w:ind w:firstLine="0" w:firstLineChars="0"/>
      </w:pPr>
      <w:r>
        <w:rPr>
          <w:rFonts w:hint="eastAsia"/>
        </w:rPr>
        <w:t>6 安全</w:t>
      </w:r>
    </w:p>
    <w:p>
      <w:pPr>
        <w:pStyle w:val="56"/>
        <w:ind w:firstLine="420"/>
      </w:pPr>
      <w:r>
        <w:rPr>
          <w:rFonts w:hint="eastAsia"/>
        </w:rPr>
        <w:t>机器人安全技术要求应符合GB/T 36013-2018的相关规定。</w:t>
      </w:r>
    </w:p>
    <w:p>
      <w:pPr>
        <w:pStyle w:val="56"/>
        <w:ind w:firstLine="0" w:firstLineChars="0"/>
      </w:pPr>
      <w:r>
        <w:rPr>
          <w:rFonts w:hint="eastAsia"/>
        </w:rPr>
        <w:t>7 可靠性</w:t>
      </w:r>
    </w:p>
    <w:p>
      <w:pPr>
        <w:pStyle w:val="56"/>
        <w:ind w:firstLine="420"/>
      </w:pPr>
      <w:r>
        <w:rPr>
          <w:rFonts w:hint="eastAsia"/>
        </w:rPr>
        <w:t>经可靠性试验后，机器人的主要承载结构不应有可见的裂纹和断裂现象，且各连接件不应有松动或分离，机器人能正常作业。</w:t>
      </w:r>
    </w:p>
    <w:p>
      <w:pPr>
        <w:pStyle w:val="56"/>
        <w:ind w:firstLine="420"/>
      </w:pPr>
    </w:p>
    <w:p>
      <w:pPr>
        <w:pStyle w:val="56"/>
        <w:ind w:firstLine="420"/>
      </w:pPr>
    </w:p>
    <w:bookmarkEnd w:id="71"/>
    <w:p>
      <w:pPr>
        <w:pStyle w:val="56"/>
        <w:ind w:firstLine="0" w:firstLineChars="0"/>
        <w:jc w:val="center"/>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Light">
    <w:altName w:val="宋体"/>
    <w:panose1 w:val="00000000000000000000"/>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RdWoYYiGDrywrkpyCEFOR9Zh3oQyB1h96KjMtqINWnOQuuEiHaZ97UndLvMHb1LwTM4e/A3pETY8ByZsNYcmGw==" w:salt="+1RE4Kp/eTG2YN0HcnZSL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YTAxYjU4ZTE0MWNlMDdhZWRhOWQ4N2UxNDZkN2EifQ=="/>
  </w:docVars>
  <w:rsids>
    <w:rsidRoot w:val="00D95121"/>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54C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1C0B"/>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362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37"/>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12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137C69FA"/>
    <w:rsid w:val="1CAE0268"/>
    <w:rsid w:val="38CA4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b/>
      <w:bCs/>
      <w:kern w:val="44"/>
      <w:sz w:val="44"/>
      <w:szCs w:val="44"/>
    </w:rPr>
  </w:style>
  <w:style w:type="character" w:customStyle="1" w:styleId="35">
    <w:name w:val="标题 2 Char"/>
    <w:link w:val="3"/>
    <w:qFormat/>
    <w:uiPriority w:val="0"/>
    <w:rPr>
      <w:rFonts w:ascii="Arial" w:hAnsi="Arial" w:eastAsia="黑体"/>
      <w:b/>
      <w:bCs/>
      <w:kern w:val="2"/>
      <w:sz w:val="32"/>
      <w:szCs w:val="32"/>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uiPriority w:val="0"/>
    <w:pPr>
      <w:outlineLvl w:val="4"/>
    </w:pPr>
  </w:style>
  <w:style w:type="paragraph" w:customStyle="1" w:styleId="130">
    <w:name w:val="附录四级无标题条"/>
    <w:basedOn w:val="129"/>
    <w:next w:val="56"/>
    <w:uiPriority w:val="0"/>
    <w:pPr>
      <w:outlineLvl w:val="5"/>
    </w:pPr>
  </w:style>
  <w:style w:type="paragraph" w:customStyle="1" w:styleId="131">
    <w:name w:val="附录图"/>
    <w:next w:val="56"/>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uiPriority w:val="0"/>
    <w:pPr>
      <w:outlineLvl w:val="6"/>
    </w:pPr>
  </w:style>
  <w:style w:type="paragraph" w:customStyle="1" w:styleId="134">
    <w:name w:val="附录性质"/>
    <w:basedOn w:val="1"/>
    <w:uiPriority w:val="0"/>
    <w:pPr>
      <w:widowControl/>
      <w:adjustRightInd/>
      <w:jc w:val="center"/>
    </w:pPr>
    <w:rPr>
      <w:rFonts w:ascii="黑体" w:eastAsia="黑体"/>
    </w:rPr>
  </w:style>
  <w:style w:type="paragraph" w:customStyle="1" w:styleId="135">
    <w:name w:val="附录一级无标题条"/>
    <w:basedOn w:val="87"/>
    <w:next w:val="56"/>
    <w:uiPriority w:val="0"/>
    <w:pPr>
      <w:autoSpaceDN w:val="0"/>
      <w:outlineLvl w:val="2"/>
    </w:pPr>
    <w:rPr>
      <w:rFonts w:ascii="宋体" w:hAnsi="宋体" w:eastAsia="宋体"/>
    </w:rPr>
  </w:style>
  <w:style w:type="character" w:customStyle="1" w:styleId="136">
    <w:name w:val="个人答复风格"/>
    <w:uiPriority w:val="0"/>
    <w:rPr>
      <w:rFonts w:ascii="Arial" w:hAnsi="Arial" w:eastAsia="宋体" w:cs="Arial"/>
      <w:color w:val="auto"/>
      <w:spacing w:val="0"/>
      <w:sz w:val="20"/>
    </w:rPr>
  </w:style>
  <w:style w:type="character" w:customStyle="1" w:styleId="137">
    <w:name w:val="个人撰写风格"/>
    <w:uiPriority w:val="0"/>
    <w:rPr>
      <w:rFonts w:ascii="Arial" w:hAnsi="Arial" w:eastAsia="宋体" w:cs="Arial"/>
      <w:color w:val="auto"/>
      <w:spacing w:val="0"/>
      <w:sz w:val="20"/>
    </w:rPr>
  </w:style>
  <w:style w:type="paragraph" w:customStyle="1" w:styleId="138">
    <w:name w:val="脚注后续"/>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uiPriority w:val="0"/>
    <w:pPr>
      <w:adjustRightInd/>
      <w:spacing w:line="240" w:lineRule="auto"/>
      <w:jc w:val="left"/>
    </w:pPr>
  </w:style>
  <w:style w:type="paragraph" w:customStyle="1" w:styleId="147">
    <w:name w:val="目录 71"/>
    <w:basedOn w:val="146"/>
    <w:semiHidden/>
    <w:uiPriority w:val="0"/>
    <w:pPr>
      <w:ind w:left="1260"/>
    </w:pPr>
  </w:style>
  <w:style w:type="paragraph" w:customStyle="1" w:styleId="148">
    <w:name w:val="目录 81"/>
    <w:basedOn w:val="147"/>
    <w:semiHidden/>
    <w:uiPriority w:val="0"/>
    <w:pPr>
      <w:ind w:left="1470"/>
    </w:pPr>
  </w:style>
  <w:style w:type="paragraph" w:customStyle="1" w:styleId="149">
    <w:name w:val="目录 91"/>
    <w:basedOn w:val="148"/>
    <w:semiHidden/>
    <w:uiPriority w:val="0"/>
    <w:pPr>
      <w:ind w:left="1680"/>
    </w:pPr>
  </w:style>
  <w:style w:type="paragraph" w:customStyle="1" w:styleId="15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uiPriority w:val="0"/>
    <w:pPr>
      <w:framePr w:wrap="around"/>
      <w:spacing w:line="0" w:lineRule="atLeast"/>
    </w:pPr>
    <w:rPr>
      <w:rFonts w:ascii="黑体" w:eastAsia="黑体"/>
      <w:b w:val="0"/>
    </w:rPr>
  </w:style>
  <w:style w:type="paragraph" w:customStyle="1" w:styleId="152">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glossaryDocument" Target="glossary/document.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A84B86A06EB741C8A7F2232B82E8E7DC"/>
        <w:style w:val=""/>
        <w:category>
          <w:name w:val="常规"/>
          <w:gallery w:val="placeholder"/>
        </w:category>
        <w:types>
          <w:type w:val="bbPlcHdr"/>
        </w:types>
        <w:behaviors>
          <w:behavior w:val="content"/>
        </w:behaviors>
        <w:description w:val=""/>
        <w:guid w:val="{6B78BA25-F745-4B49-B9A2-319531A07713}"/>
      </w:docPartPr>
      <w:docPartBody>
        <w:p>
          <w:pPr>
            <w:pStyle w:val="5"/>
          </w:pPr>
          <w:r>
            <w:rPr>
              <w:rStyle w:val="4"/>
              <w:rFonts w:hint="eastAsia"/>
            </w:rPr>
            <w:t>单击或点击此处输入文字。</w:t>
          </w:r>
        </w:p>
      </w:docPartBody>
    </w:docPart>
    <w:docPart>
      <w:docPartPr>
        <w:name w:val="947940C3285543B3B9126955B22ACECE"/>
        <w:style w:val=""/>
        <w:category>
          <w:name w:val="常规"/>
          <w:gallery w:val="placeholder"/>
        </w:category>
        <w:types>
          <w:type w:val="bbPlcHdr"/>
        </w:types>
        <w:behaviors>
          <w:behavior w:val="content"/>
        </w:behaviors>
        <w:description w:val=""/>
        <w:guid w:val="{0157F086-9FC4-48D2-B730-9AC0D3842EC7}"/>
      </w:docPartPr>
      <w:docPartBody>
        <w:p>
          <w:pPr>
            <w:pStyle w:val="6"/>
          </w:pPr>
          <w:r>
            <w:rPr>
              <w:rStyle w:val="4"/>
              <w:rFonts w:hint="eastAsia"/>
            </w:rPr>
            <w:t>选择一项。</w:t>
          </w:r>
        </w:p>
      </w:docPartBody>
    </w:docPart>
    <w:docPart>
      <w:docPartPr>
        <w:name w:val="7CE1499ED15C49029C0157FBF656CFCB"/>
        <w:style w:val=""/>
        <w:category>
          <w:name w:val="常规"/>
          <w:gallery w:val="placeholder"/>
        </w:category>
        <w:types>
          <w:type w:val="bbPlcHdr"/>
        </w:types>
        <w:behaviors>
          <w:behavior w:val="content"/>
        </w:behaviors>
        <w:description w:val=""/>
        <w:guid w:val="{96059DF4-261D-40F8-8624-65D0CD02CC6C}"/>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CFD"/>
    <w:rsid w:val="001B62DE"/>
    <w:rsid w:val="00D64CFD"/>
    <w:rsid w:val="00DB2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A84B86A06EB741C8A7F2232B82E8E7DC"/>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947940C3285543B3B9126955B22ACECE"/>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CE1499ED15C49029C0157FBF656CFCB"/>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7FBB5C-AA65-4A91-892C-F164A1D8769B}">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7</Pages>
  <Words>2653</Words>
  <Characters>2935</Characters>
  <Lines>37</Lines>
  <Paragraphs>10</Paragraphs>
  <TotalTime>26</TotalTime>
  <ScaleCrop>false</ScaleCrop>
  <LinksUpToDate>false</LinksUpToDate>
  <CharactersWithSpaces>3397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2022-11-03T02:39:00Z</dcterms:created>
  <dc:creator>Concise</dc:creator>
  <dc:description>&lt;config cover="true" show_menu="true" version="1.0.0" doctype="SDKXY"&gt;_x000d_
&lt;/config&gt;</dc:description>
  <cp:lastModifiedBy>柳泉听月</cp:lastModifiedBy>
  <cp:lastPrinted>2020-08-30T10:00:00Z</cp:lastPrinted>
  <dcterms:modified xsi:type="dcterms:W3CDTF">2022-12-05T03:57:13Z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2052-11.1.0.12598</vt:lpwstr>
  </property>
  <property fmtid="{D5CDD505-2E9C-101B-9397-08002B2CF9AE}" pid="15" name="ICV">
    <vt:lpwstr>F6E85CC986EA45F990FE8FE8E4E4DC9C</vt:lpwstr>
  </property>
</Properties>
</file>