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ectPr>
          <w:headerReference r:id="rId4" w:type="first"/>
          <w:footerReference r:id="rId7" w:type="first"/>
          <w:headerReference r:id="rId3" w:type="default"/>
          <w:footerReference r:id="rId5" w:type="default"/>
          <w:footerReference r:id="rId6" w:type="even"/>
          <w:pgSz w:w="11907" w:h="16839"/>
          <w:pgMar w:top="567" w:right="851" w:bottom="1361" w:left="1418" w:header="0" w:footer="0" w:gutter="0"/>
          <w:pgNumType w:fmt="numberInDash" w:start="1"/>
          <w:cols w:space="720" w:num="1"/>
          <w:titlePg/>
          <w:docGrid w:type="lines" w:linePitch="312" w:charSpace="0"/>
        </w:sectPr>
      </w:pPr>
      <w:r>
        <w:rPr>
          <w:rFonts w:hint="eastAsia"/>
          <w:b/>
          <w:bCs/>
          <w:sz w:val="52"/>
        </w:rPr>
        <w:t xml:space="preserve">      </w:t>
      </w:r>
      <w:bookmarkStart w:id="0" w:name="SectionMark0"/>
      <w:r>
        <mc:AlternateContent>
          <mc:Choice Requires="wps">
            <w:drawing>
              <wp:anchor distT="0" distB="0" distL="114300" distR="114300" simplePos="0" relativeHeight="251669504" behindDoc="0" locked="1" layoutInCell="1" allowOverlap="1">
                <wp:simplePos x="0" y="0"/>
                <wp:positionH relativeFrom="column">
                  <wp:posOffset>0</wp:posOffset>
                </wp:positionH>
                <wp:positionV relativeFrom="paragraph">
                  <wp:posOffset>8890000</wp:posOffset>
                </wp:positionV>
                <wp:extent cx="6121400" cy="0"/>
                <wp:effectExtent l="0" t="6350" r="0" b="6350"/>
                <wp:wrapNone/>
                <wp:docPr id="10" name="直接连接符 10"/>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a:effectLst/>
                      </wps:spPr>
                      <wps:bodyPr/>
                    </wps:wsp>
                  </a:graphicData>
                </a:graphic>
              </wp:anchor>
            </w:drawing>
          </mc:Choice>
          <mc:Fallback>
            <w:pict>
              <v:line id="_x0000_s1026" o:spid="_x0000_s1026" o:spt="20" style="position:absolute;left:0pt;margin-left:0pt;margin-top:700pt;height:0pt;width:482pt;z-index:251669504;mso-width-relative:page;mso-height-relative:page;" filled="f" stroked="t" coordsize="21600,21600" o:gfxdata="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69IlP1QAA&#10;AAoBAAAPAAAAAAAAAAEAIAAAACIAAABkcnMvZG93bnJldi54bWxQSwECFAAUAAAACACHTuJAVJxk&#10;xegBAAC7AwAADgAAAAAAAAABACAAAAAkAQAAZHJzL2Uyb0RvYy54bWxQSwUGAAAAAAYABgBZAQAA&#10;fgUAAAAA&#10;">
                <v:fill on="f" focussize="0,0"/>
                <v:stroke weight="1pt" color="#080000" joinstyle="round"/>
                <v:imagedata o:title=""/>
                <o:lock v:ext="edit" aspectratio="f"/>
                <w10:anchorlock/>
              </v:line>
            </w:pict>
          </mc:Fallback>
        </mc:AlternateContent>
      </w:r>
      <w:r>
        <mc:AlternateContent>
          <mc:Choice Requires="wps">
            <w:drawing>
              <wp:anchor distT="0" distB="0" distL="114300" distR="114300" simplePos="0" relativeHeight="251668480" behindDoc="0" locked="1" layoutInCell="1" allowOverlap="1">
                <wp:simplePos x="0" y="0"/>
                <wp:positionH relativeFrom="column">
                  <wp:posOffset>0</wp:posOffset>
                </wp:positionH>
                <wp:positionV relativeFrom="paragraph">
                  <wp:posOffset>2273300</wp:posOffset>
                </wp:positionV>
                <wp:extent cx="6121400" cy="0"/>
                <wp:effectExtent l="0" t="6350" r="0" b="6350"/>
                <wp:wrapNone/>
                <wp:docPr id="13" name="直接连接符 13"/>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a:effectLst/>
                      </wps:spPr>
                      <wps:bodyPr/>
                    </wps:wsp>
                  </a:graphicData>
                </a:graphic>
              </wp:anchor>
            </w:drawing>
          </mc:Choice>
          <mc:Fallback>
            <w:pict>
              <v:line id="_x0000_s1026" o:spid="_x0000_s1026" o:spt="20" style="position:absolute;left:0pt;margin-left:0pt;margin-top:179pt;height:0pt;width:482pt;z-index:251668480;mso-width-relative:page;mso-height-relative:page;" filled="f" stroked="t" coordsize="21600,21600" o:gfxdata="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DTueDHW&#10;AAAACAEAAA8AAAAAAAAAAQAgAAAAIgAAAGRycy9kb3ducmV2LnhtbFBLAQIUABQAAAAIAIdO4kDR&#10;L1zr6QEAALsDAAAOAAAAAAAAAAEAIAAAACUBAABkcnMvZTJvRG9jLnhtbFBLBQYAAAAABgAGAFkB&#10;AACABQAAAAA=&#10;">
                <v:fill on="f" focussize="0,0"/>
                <v:stroke weight="1pt" color="#080000" joinstyle="round"/>
                <v:imagedata o:title=""/>
                <o:lock v:ext="edit" aspectratio="f"/>
                <w10:anchorlock/>
              </v:line>
            </w:pict>
          </mc:Fallback>
        </mc:AlternateContent>
      </w:r>
      <w:r>
        <mc:AlternateContent>
          <mc:Choice Requires="wps">
            <w:drawing>
              <wp:anchor distT="0" distB="0" distL="114300" distR="114300" simplePos="0" relativeHeight="251667456" behindDoc="0" locked="1" layoutInCell="1" allowOverlap="1">
                <wp:simplePos x="0" y="0"/>
                <wp:positionH relativeFrom="margin">
                  <wp:posOffset>0</wp:posOffset>
                </wp:positionH>
                <wp:positionV relativeFrom="margin">
                  <wp:posOffset>9108440</wp:posOffset>
                </wp:positionV>
                <wp:extent cx="6120130" cy="363220"/>
                <wp:effectExtent l="0" t="0" r="1270" b="508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6120130" cy="363220"/>
                        </a:xfrm>
                        <a:prstGeom prst="rect">
                          <a:avLst/>
                        </a:prstGeom>
                        <a:solidFill>
                          <a:srgbClr val="FFFFFF"/>
                        </a:solidFill>
                        <a:ln>
                          <a:noFill/>
                        </a:ln>
                        <a:effectLst/>
                      </wps:spPr>
                      <wps:txbx>
                        <w:txbxContent>
                          <w:p>
                            <w:pPr>
                              <w:pStyle w:val="16"/>
                            </w:pPr>
                            <w:r>
                              <w:rPr>
                                <w:rFonts w:hint="eastAsia"/>
                              </w:rPr>
                              <w:t>河北省市场监督管理局</w:t>
                            </w:r>
                            <w:r>
                              <w:rPr>
                                <w:rStyle w:val="17"/>
                                <w:rFonts w:hint="eastAsia"/>
                              </w:rPr>
                              <w:t xml:space="preserve"> 发布</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0pt;margin-top:717.2pt;height:28.6pt;width:481.9pt;mso-position-horizontal-relative:margin;mso-position-vertical-relative:margin;z-index:251667456;mso-width-relative:page;mso-height-relative:page;" fillcolor="#FFFFFF" filled="t" stroked="f" coordsize="21600,21600" o:gfxdata="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J&#10;Vgbr2AAAAAoBAAAPAAAAAAAAAAEAIAAAACIAAABkcnMvZG93bnJldi54bWxQSwECFAAUAAAACACH&#10;TuJAHNQh3iQCAAA8BAAADgAAAAAAAAABACAAAAAnAQAAZHJzL2Uyb0RvYy54bWxQSwUGAAAAAAYA&#10;BgBZAQAAvQUAAAAA&#10;">
                <v:fill on="t" focussize="0,0"/>
                <v:stroke on="f"/>
                <v:imagedata o:title=""/>
                <o:lock v:ext="edit" aspectratio="f"/>
                <v:textbox inset="0mm,0mm,0mm,0mm">
                  <w:txbxContent>
                    <w:p>
                      <w:pPr>
                        <w:pStyle w:val="16"/>
                      </w:pPr>
                      <w:r>
                        <w:rPr>
                          <w:rFonts w:hint="eastAsia"/>
                        </w:rPr>
                        <w:t>河北省市场监督管理局</w:t>
                      </w:r>
                      <w:r>
                        <w:rPr>
                          <w:rStyle w:val="17"/>
                          <w:rFonts w:hint="eastAsia"/>
                        </w:rPr>
                        <w:t xml:space="preserve"> 发布</w:t>
                      </w:r>
                    </w:p>
                  </w:txbxContent>
                </v:textbox>
                <w10:anchorlock/>
              </v:shape>
            </w:pict>
          </mc:Fallback>
        </mc:AlternateContent>
      </w:r>
      <w:r>
        <mc:AlternateContent>
          <mc:Choice Requires="wps">
            <w:drawing>
              <wp:anchor distT="0" distB="0" distL="114300" distR="114300" simplePos="0" relativeHeight="251666432" behindDoc="0" locked="1" layoutInCell="1" allowOverlap="1">
                <wp:simplePos x="0" y="0"/>
                <wp:positionH relativeFrom="margin">
                  <wp:posOffset>4100830</wp:posOffset>
                </wp:positionH>
                <wp:positionV relativeFrom="margin">
                  <wp:posOffset>8563610</wp:posOffset>
                </wp:positionV>
                <wp:extent cx="2019300" cy="312420"/>
                <wp:effectExtent l="0" t="0" r="0" b="508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ffectLst/>
                      </wps:spPr>
                      <wps:txbx>
                        <w:txbxContent>
                          <w:p>
                            <w:pPr>
                              <w:pStyle w:val="18"/>
                              <w:numPr>
                                <w:ilvl w:val="0"/>
                                <w:numId w:val="0"/>
                              </w:numPr>
                            </w:pPr>
                            <w:r>
                              <w:rPr>
                                <w:rFonts w:hint="eastAsia"/>
                              </w:rPr>
                              <w:t>202×-××-××实施</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322.9pt;margin-top:674.3pt;height:24.6pt;width:159pt;mso-position-horizontal-relative:margin;mso-position-vertical-relative:margin;z-index:251666432;mso-width-relative:page;mso-height-relative:page;" fillcolor="#FFFFFF" filled="t" stroked="f" coordsize="21600,21600" o:gfxdata="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C/arX2gAAAA0BAAAPAAAAAAAAAAEAIAAAACIAAABkcnMvZG93bnJldi54bWxQSwECFAAUAAAA&#10;CACHTuJACIUxVSUCAAA8BAAADgAAAAAAAAABACAAAAApAQAAZHJzL2Uyb0RvYy54bWxQSwUGAAAA&#10;AAYABgBZAQAAwAUAAAAA&#10;">
                <v:fill on="t" focussize="0,0"/>
                <v:stroke on="f"/>
                <v:imagedata o:title=""/>
                <o:lock v:ext="edit" aspectratio="f"/>
                <v:textbox inset="0mm,0mm,0mm,0mm">
                  <w:txbxContent>
                    <w:p>
                      <w:pPr>
                        <w:pStyle w:val="18"/>
                        <w:numPr>
                          <w:ilvl w:val="0"/>
                          <w:numId w:val="0"/>
                        </w:numPr>
                      </w:pPr>
                      <w:r>
                        <w:rPr>
                          <w:rFonts w:hint="eastAsia"/>
                        </w:rPr>
                        <w:t>202×-××-××实施</w:t>
                      </w:r>
                    </w:p>
                  </w:txbxContent>
                </v:textbox>
                <w10:anchorlock/>
              </v:shape>
            </w:pict>
          </mc:Fallback>
        </mc:AlternateContent>
      </w:r>
      <w:r>
        <mc:AlternateContent>
          <mc:Choice Requires="wps">
            <w:drawing>
              <wp:anchor distT="0" distB="0" distL="114300" distR="114300" simplePos="0" relativeHeight="251665408" behindDoc="0" locked="1" layoutInCell="1" allowOverlap="1">
                <wp:simplePos x="0" y="0"/>
                <wp:positionH relativeFrom="margin">
                  <wp:posOffset>0</wp:posOffset>
                </wp:positionH>
                <wp:positionV relativeFrom="margin">
                  <wp:posOffset>8563610</wp:posOffset>
                </wp:positionV>
                <wp:extent cx="2019300" cy="312420"/>
                <wp:effectExtent l="0" t="0" r="0" b="508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ffectLst/>
                      </wps:spPr>
                      <wps:txbx>
                        <w:txbxContent>
                          <w:p>
                            <w:pPr>
                              <w:pStyle w:val="19"/>
                            </w:pPr>
                            <w:r>
                              <w:rPr>
                                <w:rFonts w:hint="eastAsia"/>
                              </w:rPr>
                              <w:t>202×-</w:t>
                            </w:r>
                            <w:bookmarkStart w:id="2" w:name="_Hlk108255167"/>
                            <w:r>
                              <w:rPr>
                                <w:rFonts w:hint="eastAsia"/>
                              </w:rPr>
                              <w:t>×</w:t>
                            </w:r>
                            <w:bookmarkEnd w:id="2"/>
                            <w:r>
                              <w:rPr>
                                <w:rFonts w:hint="eastAsia"/>
                              </w:rPr>
                              <w:t>×-××发布</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0pt;margin-top:674.3pt;height:24.6pt;width:159pt;mso-position-horizontal-relative:margin;mso-position-vertical-relative:margin;z-index:251665408;mso-width-relative:page;mso-height-relative:page;" fillcolor="#FFFFFF" filled="t" stroked="f" coordsize="21600,21600" o:gfxdata="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F82yojYAAAACgEAAA8AAAAAAAAAAQAgAAAAIgAAAGRycy9kb3ducmV2LnhtbFBLAQIUABQAAAAI&#10;AIdO4kAr3NY1JgIAAD4EAAAOAAAAAAAAAAEAIAAAACcBAABkcnMvZTJvRG9jLnhtbFBLBQYAAAAA&#10;BgAGAFkBAAC/BQAAAAA=&#10;">
                <v:fill on="t" focussize="0,0"/>
                <v:stroke on="f"/>
                <v:imagedata o:title=""/>
                <o:lock v:ext="edit" aspectratio="f"/>
                <v:textbox inset="0mm,0mm,0mm,0mm">
                  <w:txbxContent>
                    <w:p>
                      <w:pPr>
                        <w:pStyle w:val="19"/>
                      </w:pPr>
                      <w:r>
                        <w:rPr>
                          <w:rFonts w:hint="eastAsia"/>
                        </w:rPr>
                        <w:t>202×-</w:t>
                      </w:r>
                      <w:bookmarkStart w:id="2" w:name="_Hlk108255167"/>
                      <w:r>
                        <w:rPr>
                          <w:rFonts w:hint="eastAsia"/>
                        </w:rPr>
                        <w:t>×</w:t>
                      </w:r>
                      <w:bookmarkEnd w:id="2"/>
                      <w:r>
                        <w:rPr>
                          <w:rFonts w:hint="eastAsia"/>
                        </w:rPr>
                        <w:t>×-××发布</w:t>
                      </w:r>
                    </w:p>
                  </w:txbxContent>
                </v:textbox>
                <w10:anchorlock/>
              </v:shape>
            </w:pict>
          </mc:Fallback>
        </mc:AlternateContent>
      </w:r>
      <w:r>
        <mc:AlternateContent>
          <mc:Choice Requires="wps">
            <w:drawing>
              <wp:anchor distT="0" distB="0" distL="114300" distR="114300" simplePos="0" relativeHeight="251664384" behindDoc="0" locked="1" layoutInCell="1" allowOverlap="1">
                <wp:simplePos x="0" y="0"/>
                <wp:positionH relativeFrom="margin">
                  <wp:posOffset>0</wp:posOffset>
                </wp:positionH>
                <wp:positionV relativeFrom="margin">
                  <wp:posOffset>3635375</wp:posOffset>
                </wp:positionV>
                <wp:extent cx="5969000" cy="4681220"/>
                <wp:effectExtent l="0" t="0" r="0" b="508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5969000" cy="4681220"/>
                        </a:xfrm>
                        <a:prstGeom prst="rect">
                          <a:avLst/>
                        </a:prstGeom>
                        <a:solidFill>
                          <a:srgbClr val="FFFFFF"/>
                        </a:solidFill>
                        <a:ln>
                          <a:noFill/>
                        </a:ln>
                        <a:effectLst/>
                      </wps:spPr>
                      <wps:txbx>
                        <w:txbxContent>
                          <w:p>
                            <w:pPr>
                              <w:jc w:val="center"/>
                              <w:rPr>
                                <w:rFonts w:ascii="黑体" w:eastAsia="黑体" w:cs="黑体"/>
                                <w:kern w:val="0"/>
                                <w:sz w:val="52"/>
                                <w:szCs w:val="52"/>
                              </w:rPr>
                            </w:pPr>
                            <w:r>
                              <w:rPr>
                                <w:rFonts w:hint="eastAsia" w:ascii="黑体" w:eastAsia="黑体" w:cs="黑体"/>
                                <w:kern w:val="0"/>
                                <w:sz w:val="52"/>
                                <w:szCs w:val="52"/>
                              </w:rPr>
                              <w:t>张杂谷全株青贮制作技术规程</w:t>
                            </w:r>
                          </w:p>
                          <w:p>
                            <w:pPr>
                              <w:jc w:val="center"/>
                              <w:rPr>
                                <w:rFonts w:eastAsia="黑体"/>
                                <w:b/>
                                <w:bCs/>
                                <w:kern w:val="0"/>
                                <w:sz w:val="32"/>
                                <w:szCs w:val="32"/>
                              </w:rPr>
                            </w:pPr>
                            <w:r>
                              <w:rPr>
                                <w:rFonts w:eastAsia="黑体"/>
                                <w:b/>
                                <w:bCs/>
                                <w:kern w:val="0"/>
                                <w:sz w:val="32"/>
                                <w:szCs w:val="32"/>
                              </w:rPr>
                              <w:t>Technical regulation for the ensiling and processing of whole-plant Zhang Hybrid Millet</w:t>
                            </w:r>
                          </w:p>
                          <w:p>
                            <w:pPr>
                              <w:jc w:val="center"/>
                              <w:rPr>
                                <w:sz w:val="32"/>
                                <w:szCs w:val="32"/>
                              </w:rPr>
                            </w:pPr>
                            <w:r>
                              <w:rPr>
                                <w:rFonts w:hint="eastAsia"/>
                                <w:sz w:val="32"/>
                                <w:szCs w:val="32"/>
                              </w:rPr>
                              <w:t>（送审稿）</w:t>
                            </w:r>
                          </w:p>
                          <w:p>
                            <w:pPr>
                              <w:pStyle w:val="22"/>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0pt;margin-top:286.25pt;height:368.6pt;width:470pt;mso-position-horizontal-relative:margin;mso-position-vertical-relative:margin;z-index:251664384;mso-width-relative:page;mso-height-relative:page;" fillcolor="#FFFFFF" filled="t" stroked="f" coordsize="21600,21600" o:gfxdata="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UV59x2AAAAAkBAAAPAAAAAAAAAAEAIAAAACIAAABkcnMvZG93bnJldi54bWxQSwECFAAUAAAA&#10;CACHTuJAXoLhDicCAAA9BAAADgAAAAAAAAABACAAAAAnAQAAZHJzL2Uyb0RvYy54bWxQSwUGAAAA&#10;AAYABgBZAQAAwAUAAAAA&#10;">
                <v:fill on="t" focussize="0,0"/>
                <v:stroke on="f"/>
                <v:imagedata o:title=""/>
                <o:lock v:ext="edit" aspectratio="f"/>
                <v:textbox inset="0mm,0mm,0mm,0mm">
                  <w:txbxContent>
                    <w:p>
                      <w:pPr>
                        <w:jc w:val="center"/>
                        <w:rPr>
                          <w:rFonts w:ascii="黑体" w:eastAsia="黑体" w:cs="黑体"/>
                          <w:kern w:val="0"/>
                          <w:sz w:val="52"/>
                          <w:szCs w:val="52"/>
                        </w:rPr>
                      </w:pPr>
                      <w:r>
                        <w:rPr>
                          <w:rFonts w:hint="eastAsia" w:ascii="黑体" w:eastAsia="黑体" w:cs="黑体"/>
                          <w:kern w:val="0"/>
                          <w:sz w:val="52"/>
                          <w:szCs w:val="52"/>
                        </w:rPr>
                        <w:t>张杂谷全株青贮制作技术规程</w:t>
                      </w:r>
                    </w:p>
                    <w:p>
                      <w:pPr>
                        <w:jc w:val="center"/>
                        <w:rPr>
                          <w:rFonts w:eastAsia="黑体"/>
                          <w:b/>
                          <w:bCs/>
                          <w:kern w:val="0"/>
                          <w:sz w:val="32"/>
                          <w:szCs w:val="32"/>
                        </w:rPr>
                      </w:pPr>
                      <w:r>
                        <w:rPr>
                          <w:rFonts w:eastAsia="黑体"/>
                          <w:b/>
                          <w:bCs/>
                          <w:kern w:val="0"/>
                          <w:sz w:val="32"/>
                          <w:szCs w:val="32"/>
                        </w:rPr>
                        <w:t>Technical regulation for the ensiling and processing of whole-plant Zhang Hybrid Millet</w:t>
                      </w:r>
                    </w:p>
                    <w:p>
                      <w:pPr>
                        <w:jc w:val="center"/>
                        <w:rPr>
                          <w:sz w:val="32"/>
                          <w:szCs w:val="32"/>
                        </w:rPr>
                      </w:pPr>
                      <w:r>
                        <w:rPr>
                          <w:rFonts w:hint="eastAsia"/>
                          <w:sz w:val="32"/>
                          <w:szCs w:val="32"/>
                        </w:rPr>
                        <w:t>（送审稿）</w:t>
                      </w:r>
                    </w:p>
                    <w:p>
                      <w:pPr>
                        <w:pStyle w:val="22"/>
                      </w:pPr>
                    </w:p>
                  </w:txbxContent>
                </v:textbox>
                <w10:anchorlock/>
              </v:shape>
            </w:pict>
          </mc:Fallback>
        </mc:AlternateContent>
      </w:r>
      <w:r>
        <mc:AlternateContent>
          <mc:Choice Requires="wps">
            <w:drawing>
              <wp:anchor distT="0" distB="0" distL="114300" distR="114300" simplePos="0" relativeHeight="251663360" behindDoc="0" locked="1" layoutInCell="1" allowOverlap="1">
                <wp:simplePos x="0" y="0"/>
                <wp:positionH relativeFrom="margin">
                  <wp:posOffset>0</wp:posOffset>
                </wp:positionH>
                <wp:positionV relativeFrom="margin">
                  <wp:posOffset>1592580</wp:posOffset>
                </wp:positionV>
                <wp:extent cx="5802630" cy="669290"/>
                <wp:effectExtent l="0" t="0" r="1270" b="381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5802630" cy="669290"/>
                        </a:xfrm>
                        <a:prstGeom prst="rect">
                          <a:avLst/>
                        </a:prstGeom>
                        <a:solidFill>
                          <a:srgbClr val="FFFFFF"/>
                        </a:solidFill>
                        <a:ln>
                          <a:noFill/>
                        </a:ln>
                        <a:effectLst/>
                      </wps:spPr>
                      <wps:txbx>
                        <w:txbxContent>
                          <w:p>
                            <w:pPr>
                              <w:jc w:val="right"/>
                            </w:pPr>
                            <w:r>
                              <w:rPr>
                                <w:kern w:val="0"/>
                                <w:sz w:val="28"/>
                                <w:szCs w:val="20"/>
                              </w:rPr>
                              <w:t>DB13/T XXXX.1 —XXXX</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0pt;margin-top:125.4pt;height:52.7pt;width:456.9pt;mso-position-horizontal-relative:margin;mso-position-vertical-relative:margin;z-index:251663360;mso-width-relative:page;mso-height-relative:page;" fillcolor="#FFFFFF" filled="t" stroked="f" coordsize="21600,21600" o:gfxdata="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rx/iHYAAAACAEAAA8AAAAAAAAAAQAgAAAAIgAAAGRycy9kb3ducmV2LnhtbFBLAQIUABQAAAAI&#10;AIdO4kDa9dBaJgIAADwEAAAOAAAAAAAAAAEAIAAAACcBAABkcnMvZTJvRG9jLnhtbFBLBQYAAAAA&#10;BgAGAFkBAAC/BQAAAAA=&#10;">
                <v:fill on="t" focussize="0,0"/>
                <v:stroke on="f"/>
                <v:imagedata o:title=""/>
                <o:lock v:ext="edit" aspectratio="f"/>
                <v:textbox inset="0mm,0mm,0mm,0mm">
                  <w:txbxContent>
                    <w:p>
                      <w:pPr>
                        <w:jc w:val="right"/>
                      </w:pPr>
                      <w:r>
                        <w:rPr>
                          <w:kern w:val="0"/>
                          <w:sz w:val="28"/>
                          <w:szCs w:val="20"/>
                        </w:rPr>
                        <w:t>DB13/T XXXX.1 —XXXX</w:t>
                      </w:r>
                    </w:p>
                  </w:txbxContent>
                </v:textbox>
                <w10:anchorlock/>
              </v:shape>
            </w:pict>
          </mc:Fallback>
        </mc:AlternateContent>
      </w:r>
      <w:r>
        <mc:AlternateContent>
          <mc:Choice Requires="wps">
            <w:drawing>
              <wp:anchor distT="0" distB="0" distL="114300" distR="114300" simplePos="0" relativeHeight="251662336" behindDoc="0" locked="1" layoutInCell="1" allowOverlap="1">
                <wp:simplePos x="0" y="0"/>
                <wp:positionH relativeFrom="margin">
                  <wp:posOffset>2549525</wp:posOffset>
                </wp:positionH>
                <wp:positionV relativeFrom="margin">
                  <wp:posOffset>99695</wp:posOffset>
                </wp:positionV>
                <wp:extent cx="3175000" cy="720090"/>
                <wp:effectExtent l="0" t="0" r="0" b="381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3175000" cy="720090"/>
                        </a:xfrm>
                        <a:prstGeom prst="rect">
                          <a:avLst/>
                        </a:prstGeom>
                        <a:solidFill>
                          <a:srgbClr val="FFFFFF"/>
                        </a:solidFill>
                        <a:ln>
                          <a:noFill/>
                        </a:ln>
                        <a:effectLst/>
                      </wps:spPr>
                      <wps:txbx>
                        <w:txbxContent>
                          <w:p>
                            <w:pPr>
                              <w:pStyle w:val="13"/>
                            </w:pPr>
                            <w:r>
                              <w:t>DB13</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00.75pt;margin-top:7.85pt;height:56.7pt;width:250pt;mso-position-horizontal-relative:margin;mso-position-vertical-relative:margin;z-index:251662336;mso-width-relative:page;mso-height-relative:page;" fillcolor="#FFFFFF" filled="t" stroked="f" coordsize="21600,21600" o:gfxdata="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C+JlCtgAAAAKAQAADwAAAAAAAAABACAAAAAiAAAAZHJzL2Rvd25yZXYueG1sUEsBAhQAFAAAAAgA&#10;h07iQKbTy2wlAgAAPAQAAA4AAAAAAAAAAQAgAAAAJwEAAGRycy9lMm9Eb2MueG1sUEsFBgAAAAAG&#10;AAYAWQEAAL4FAAAAAA==&#10;">
                <v:fill on="t" focussize="0,0"/>
                <v:stroke on="f"/>
                <v:imagedata o:title=""/>
                <o:lock v:ext="edit" aspectratio="f"/>
                <v:textbox inset="0mm,0mm,0mm,0mm">
                  <w:txbxContent>
                    <w:p>
                      <w:pPr>
                        <w:pStyle w:val="13"/>
                      </w:pPr>
                      <w:r>
                        <w:t>DB13</w:t>
                      </w:r>
                    </w:p>
                  </w:txbxContent>
                </v:textbox>
                <w10:anchorlock/>
              </v:shape>
            </w:pict>
          </mc:Fallback>
        </mc:AlternateContent>
      </w:r>
      <w:r>
        <mc:AlternateContent>
          <mc:Choice Requires="wps">
            <w:drawing>
              <wp:anchor distT="0" distB="0" distL="114300" distR="114300" simplePos="0" relativeHeight="251661312" behindDoc="0" locked="1" layoutInCell="1" allowOverlap="1">
                <wp:simplePos x="0" y="0"/>
                <wp:positionH relativeFrom="margin">
                  <wp:posOffset>0</wp:posOffset>
                </wp:positionH>
                <wp:positionV relativeFrom="margin">
                  <wp:posOffset>1010920</wp:posOffset>
                </wp:positionV>
                <wp:extent cx="6120130" cy="391160"/>
                <wp:effectExtent l="0" t="0" r="1270" b="2540"/>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a:effectLst/>
                      </wps:spPr>
                      <wps:txbx>
                        <w:txbxContent>
                          <w:p>
                            <w:pPr>
                              <w:pStyle w:val="23"/>
                            </w:pPr>
                            <w:r>
                              <w:rPr>
                                <w:rFonts w:hint="eastAsia"/>
                              </w:rPr>
                              <w:t>河北省地方标准</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0pt;margin-top:79.6pt;height:30.8pt;width:481.9pt;mso-position-horizontal-relative:margin;mso-position-vertical-relative:margin;z-index:251661312;mso-width-relative:page;mso-height-relative:page;" fillcolor="#FFFFFF" filled="t" stroked="f" coordsize="21600,21600"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G&#10;DkcF1wAAAAgBAAAPAAAAAAAAAAEAIAAAACIAAABkcnMvZG93bnJldi54bWxQSwECFAAUAAAACACH&#10;TuJAcxI3KyUCAAA+BAAADgAAAAAAAAABACAAAAAmAQAAZHJzL2Uyb0RvYy54bWxQSwUGAAAAAAYA&#10;BgBZAQAAvQUAAAAA&#10;">
                <v:fill on="t" focussize="0,0"/>
                <v:stroke on="f"/>
                <v:imagedata o:title=""/>
                <o:lock v:ext="edit" aspectratio="f"/>
                <v:textbox inset="0mm,0mm,0mm,0mm">
                  <w:txbxContent>
                    <w:p>
                      <w:pPr>
                        <w:pStyle w:val="23"/>
                      </w:pPr>
                      <w:r>
                        <w:rPr>
                          <w:rFonts w:hint="eastAsia"/>
                        </w:rPr>
                        <w:t>河北省地方标准</w:t>
                      </w:r>
                    </w:p>
                  </w:txbxContent>
                </v:textbox>
                <w10:anchorlock/>
              </v:shape>
            </w:pict>
          </mc:Fallback>
        </mc:AlternateContent>
      </w:r>
      <w: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-7620</wp:posOffset>
                </wp:positionV>
                <wp:extent cx="2540000" cy="657860"/>
                <wp:effectExtent l="0" t="0" r="0" b="254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540000" cy="657860"/>
                        </a:xfrm>
                        <a:prstGeom prst="rect">
                          <a:avLst/>
                        </a:prstGeom>
                        <a:solidFill>
                          <a:srgbClr val="FFFFFF"/>
                        </a:solidFill>
                        <a:ln>
                          <a:noFill/>
                        </a:ln>
                        <a:effectLst/>
                      </wps:spPr>
                      <wps:txbx>
                        <w:txbxContent>
                          <w:p>
                            <w:pPr>
                              <w:pStyle w:val="12"/>
                              <w:rPr>
                                <w:szCs w:val="28"/>
                              </w:rPr>
                            </w:pPr>
                          </w:p>
                          <w:p>
                            <w:pPr>
                              <w:pStyle w:val="12"/>
                              <w:rPr>
                                <w:szCs w:val="28"/>
                              </w:rPr>
                            </w:pPr>
                            <w:r>
                              <w:rPr>
                                <w:rFonts w:hint="eastAsia"/>
                                <w:szCs w:val="28"/>
                              </w:rPr>
                              <w:t>ICS XXXX</w:t>
                            </w:r>
                          </w:p>
                          <w:p>
                            <w:pPr>
                              <w:pStyle w:val="12"/>
                            </w:pPr>
                            <w:r>
                              <w:rPr>
                                <w:rFonts w:hint="eastAsia"/>
                              </w:rPr>
                              <w:t xml:space="preserve">B </w:t>
                            </w:r>
                            <w:r>
                              <w:rPr>
                                <w:rFonts w:hint="eastAsia"/>
                                <w:szCs w:val="28"/>
                              </w:rPr>
                              <w:t>XX</w:t>
                            </w:r>
                          </w:p>
                          <w:p>
                            <w:pPr>
                              <w:pStyle w:val="12"/>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0pt;margin-top:-0.6pt;height:51.8pt;width:200pt;mso-position-horizontal-relative:margin;mso-position-vertical-relative:margin;z-index:251660288;mso-width-relative:page;mso-height-relative:page;" fillcolor="#FFFFFF" filled="t" stroked="f" coordsize="21600,21600" o:gfxdata="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FFO&#10;IfrWAAAABwEAAA8AAAAAAAAAAQAgAAAAIgAAAGRycy9kb3ducmV2LnhtbFBLAQIUABQAAAAIAIdO&#10;4kAkU9xDJQIAADwEAAAOAAAAAAAAAAEAIAAAACUBAABkcnMvZTJvRG9jLnhtbFBLBQYAAAAABgAG&#10;AFkBAAC8BQAAAAA=&#10;">
                <v:fill on="t" focussize="0,0"/>
                <v:stroke on="f"/>
                <v:imagedata o:title=""/>
                <o:lock v:ext="edit" aspectratio="f"/>
                <v:textbox inset="0mm,0mm,0mm,0mm">
                  <w:txbxContent>
                    <w:p>
                      <w:pPr>
                        <w:pStyle w:val="12"/>
                        <w:rPr>
                          <w:szCs w:val="28"/>
                        </w:rPr>
                      </w:pPr>
                    </w:p>
                    <w:p>
                      <w:pPr>
                        <w:pStyle w:val="12"/>
                        <w:rPr>
                          <w:szCs w:val="28"/>
                        </w:rPr>
                      </w:pPr>
                      <w:r>
                        <w:rPr>
                          <w:rFonts w:hint="eastAsia"/>
                          <w:szCs w:val="28"/>
                        </w:rPr>
                        <w:t>ICS XXXX</w:t>
                      </w:r>
                    </w:p>
                    <w:p>
                      <w:pPr>
                        <w:pStyle w:val="12"/>
                      </w:pPr>
                      <w:r>
                        <w:rPr>
                          <w:rFonts w:hint="eastAsia"/>
                        </w:rPr>
                        <w:t xml:space="preserve">B </w:t>
                      </w:r>
                      <w:r>
                        <w:rPr>
                          <w:rFonts w:hint="eastAsia"/>
                          <w:szCs w:val="28"/>
                        </w:rPr>
                        <w:t>XX</w:t>
                      </w:r>
                    </w:p>
                    <w:p>
                      <w:pPr>
                        <w:pStyle w:val="12"/>
                      </w:pPr>
                    </w:p>
                  </w:txbxContent>
                </v:textbox>
                <w10:anchorlock/>
              </v:shape>
            </w:pict>
          </mc:Fallback>
        </mc:AlternateContent>
      </w:r>
    </w:p>
    <w:bookmarkEnd w:id="0"/>
    <w:p>
      <w:pPr>
        <w:jc w:val="center"/>
        <w:outlineLvl w:val="0"/>
        <w:rPr>
          <w:rFonts w:ascii="黑体" w:hAnsi="黑体" w:eastAsia="黑体"/>
          <w:b/>
          <w:sz w:val="32"/>
        </w:rPr>
      </w:pPr>
      <w:r>
        <w:rPr>
          <w:rFonts w:hint="eastAsia" w:ascii="黑体" w:eastAsia="黑体"/>
          <w:kern w:val="0"/>
          <w:sz w:val="32"/>
          <w:szCs w:val="22"/>
        </w:rPr>
        <w:t>前  言</w:t>
      </w:r>
      <w:r>
        <w:rPr>
          <w:rFonts w:hint="eastAsia" w:ascii="黑体" w:hAnsi="黑体" w:eastAsia="黑体"/>
          <w:sz w:val="28"/>
        </w:rPr>
        <w:t xml:space="preserve"> </w:t>
      </w:r>
    </w:p>
    <w:p>
      <w:pPr>
        <w:spacing w:line="360" w:lineRule="auto"/>
        <w:ind w:right="-58" w:firstLine="420" w:firstLineChars="200"/>
        <w:rPr>
          <w:rFonts w:ascii="宋体" w:hAnsi="宋体"/>
          <w:szCs w:val="21"/>
        </w:rPr>
      </w:pPr>
    </w:p>
    <w:p>
      <w:pPr>
        <w:rPr>
          <w:rFonts w:ascii="宋体" w:hAnsi="宋体"/>
        </w:rPr>
      </w:pPr>
    </w:p>
    <w:p>
      <w:pPr>
        <w:ind w:firstLine="420" w:firstLineChars="200"/>
        <w:rPr>
          <w:rFonts w:eastAsia="宋体"/>
          <w:color w:val="000000"/>
        </w:rPr>
      </w:pPr>
      <w:r>
        <w:rPr>
          <w:rFonts w:eastAsia="宋体"/>
          <w:color w:val="000000"/>
        </w:rPr>
        <w:t>本标准按照GB/T 1.1-2020《标准化工作导则 第</w:t>
      </w:r>
      <w:r>
        <w:rPr>
          <w:rFonts w:hint="eastAsia" w:eastAsia="宋体"/>
          <w:color w:val="000000"/>
        </w:rPr>
        <w:t>1</w:t>
      </w:r>
      <w:r>
        <w:rPr>
          <w:rFonts w:eastAsia="宋体"/>
          <w:color w:val="000000"/>
        </w:rPr>
        <w:t>部分：标准化文件的结构和起草规则》的规定</w:t>
      </w:r>
      <w:r>
        <w:rPr>
          <w:rFonts w:hint="eastAsia" w:eastAsia="宋体"/>
          <w:color w:val="000000"/>
        </w:rPr>
        <w:t>要求规范标准全文</w:t>
      </w:r>
      <w:r>
        <w:rPr>
          <w:rFonts w:eastAsia="宋体"/>
          <w:color w:val="000000"/>
        </w:rPr>
        <w:t>。</w:t>
      </w:r>
    </w:p>
    <w:p>
      <w:pPr>
        <w:ind w:firstLine="420" w:firstLineChars="200"/>
        <w:rPr>
          <w:rFonts w:hAnsi="宋体" w:eastAsia="宋体"/>
          <w:color w:val="000000"/>
        </w:rPr>
      </w:pPr>
      <w:r>
        <w:rPr>
          <w:rFonts w:hint="eastAsia" w:hAnsi="宋体" w:eastAsia="宋体"/>
          <w:color w:val="000000"/>
        </w:rPr>
        <w:t>本标准由河北省农业农村厅提出并归口。</w:t>
      </w:r>
    </w:p>
    <w:p>
      <w:pPr>
        <w:ind w:firstLine="420" w:firstLineChars="200"/>
        <w:rPr>
          <w:rFonts w:hAnsi="宋体" w:eastAsia="宋体"/>
          <w:color w:val="000000"/>
        </w:rPr>
      </w:pPr>
      <w:r>
        <w:rPr>
          <w:rFonts w:hint="eastAsia" w:hAnsi="宋体" w:eastAsia="宋体"/>
          <w:color w:val="000000"/>
        </w:rPr>
        <w:t>本标准起草单位：河北北方学院、张家口市畜牧技术推广站、河北巡天草业科技有限公司。</w:t>
      </w:r>
    </w:p>
    <w:p>
      <w:pPr>
        <w:ind w:firstLine="420" w:firstLineChars="200"/>
        <w:rPr>
          <w:rFonts w:hint="eastAsia" w:hAnsi="宋体" w:eastAsia="宋体"/>
          <w:color w:val="000000"/>
        </w:rPr>
      </w:pPr>
      <w:r>
        <w:rPr>
          <w:rFonts w:hint="eastAsia" w:hAnsi="宋体" w:eastAsia="宋体"/>
          <w:color w:val="000000"/>
        </w:rPr>
        <w:t>本标准主要起草人：郭郁频</w:t>
      </w:r>
      <w:r>
        <w:rPr>
          <w:rFonts w:hint="eastAsia" w:hAnsi="宋体" w:eastAsia="宋体"/>
          <w:color w:val="000000"/>
          <w:lang w:eastAsia="zh-CN"/>
        </w:rPr>
        <w:t>、</w:t>
      </w:r>
      <w:r>
        <w:rPr>
          <w:rFonts w:hint="eastAsia" w:hAnsi="宋体" w:eastAsia="宋体"/>
          <w:color w:val="000000"/>
          <w:lang w:val="en-US" w:eastAsia="zh-CN"/>
        </w:rPr>
        <w:t>任永霞、薄玉琨、薛祝林、孙茂红、王茂森、李继连、姜凤琴、李林、冯瑞鑫</w:t>
      </w:r>
      <w:r>
        <w:rPr>
          <w:rFonts w:hint="eastAsia" w:hAnsi="宋体" w:eastAsia="宋体"/>
          <w:color w:val="000000"/>
        </w:rPr>
        <w:t>。</w:t>
      </w:r>
    </w:p>
    <w:p>
      <w:pPr>
        <w:ind w:firstLine="420" w:firstLineChars="200"/>
        <w:rPr>
          <w:rFonts w:hint="eastAsia" w:hAnsi="宋体" w:eastAsia="宋体"/>
          <w:color w:val="000000"/>
        </w:rPr>
        <w:sectPr>
          <w:footerReference r:id="rId8" w:type="default"/>
          <w:pgSz w:w="11906" w:h="16838"/>
          <w:pgMar w:top="1134" w:right="1134" w:bottom="1134" w:left="1418" w:header="0" w:footer="851" w:gutter="0"/>
          <w:pgNumType w:start="1" w:chapSep="emDash"/>
          <w:cols w:space="720" w:num="1"/>
          <w:docGrid w:type="lines" w:linePitch="312" w:charSpace="0"/>
        </w:sectPr>
      </w:pPr>
    </w:p>
    <w:p>
      <w:pPr>
        <w:jc w:val="center"/>
        <w:rPr>
          <w:rFonts w:ascii="黑体" w:eastAsia="黑体" w:cs="黑体"/>
          <w:kern w:val="0"/>
          <w:sz w:val="32"/>
          <w:szCs w:val="32"/>
        </w:rPr>
      </w:pPr>
      <w:r>
        <w:rPr>
          <w:rFonts w:hint="eastAsia" w:ascii="黑体" w:eastAsia="黑体" w:cs="黑体"/>
          <w:kern w:val="0"/>
          <w:sz w:val="32"/>
          <w:szCs w:val="32"/>
        </w:rPr>
        <w:t>张杂谷全株青贮制作技术规程</w:t>
      </w:r>
    </w:p>
    <w:p>
      <w:pPr>
        <w:spacing w:before="312" w:beforeLines="100" w:after="312" w:afterLines="100"/>
        <w:rPr>
          <w:rFonts w:ascii="黑体" w:eastAsia="黑体"/>
        </w:rPr>
      </w:pPr>
      <w:r>
        <w:rPr>
          <w:rFonts w:hint="eastAsia" w:ascii="黑体" w:eastAsia="黑体"/>
          <w:lang w:val="en-US" w:eastAsia="zh-CN"/>
        </w:rPr>
        <w:t xml:space="preserve">1  </w:t>
      </w:r>
      <w:r>
        <w:rPr>
          <w:rFonts w:hint="eastAsia" w:ascii="黑体" w:eastAsia="黑体"/>
        </w:rPr>
        <w:t>范围</w:t>
      </w:r>
    </w:p>
    <w:p>
      <w:pPr>
        <w:ind w:firstLine="420" w:firstLineChars="200"/>
        <w:rPr>
          <w:rFonts w:ascii="宋体" w:hAnsi="宋体" w:eastAsia="宋体" w:cs="宋体"/>
        </w:rPr>
      </w:pPr>
      <w:r>
        <w:rPr>
          <w:rFonts w:hint="eastAsia" w:ascii="宋体" w:hAnsi="宋体" w:eastAsia="宋体" w:cs="宋体"/>
        </w:rPr>
        <w:t>本</w:t>
      </w:r>
      <w:r>
        <w:rPr>
          <w:rFonts w:hint="eastAsia" w:ascii="宋体" w:hAnsi="宋体" w:eastAsia="宋体" w:cs="宋体"/>
          <w:lang w:val="en-US" w:eastAsia="zh-CN"/>
        </w:rPr>
        <w:t>标准</w:t>
      </w:r>
      <w:r>
        <w:rPr>
          <w:rFonts w:hint="eastAsia" w:ascii="宋体" w:hAnsi="宋体" w:eastAsia="宋体" w:cs="宋体"/>
        </w:rPr>
        <w:t>规定了张杂谷全株青贮制作过程中涉及到的</w:t>
      </w:r>
      <w:r>
        <w:rPr>
          <w:rFonts w:hint="eastAsia" w:ascii="宋体" w:hAnsi="宋体" w:eastAsia="宋体" w:cs="宋体"/>
          <w:lang w:val="en-US" w:eastAsia="zh-CN"/>
        </w:rPr>
        <w:t>收获期</w:t>
      </w:r>
      <w:r>
        <w:rPr>
          <w:rFonts w:hint="eastAsia" w:ascii="宋体" w:hAnsi="宋体" w:eastAsia="宋体" w:cs="宋体"/>
        </w:rPr>
        <w:t>、</w:t>
      </w:r>
      <w:r>
        <w:rPr>
          <w:rFonts w:hint="eastAsia" w:ascii="宋体" w:hAnsi="宋体" w:eastAsia="宋体" w:cs="宋体"/>
          <w:lang w:val="en-US" w:eastAsia="zh-CN"/>
        </w:rPr>
        <w:t>收获压扁</w:t>
      </w:r>
      <w:r>
        <w:rPr>
          <w:rFonts w:hint="eastAsia" w:ascii="宋体" w:hAnsi="宋体" w:eastAsia="宋体" w:cs="宋体"/>
        </w:rPr>
        <w:t>、</w:t>
      </w:r>
      <w:r>
        <w:rPr>
          <w:rFonts w:hint="eastAsia" w:ascii="宋体" w:hAnsi="宋体" w:eastAsia="宋体" w:cs="宋体"/>
          <w:lang w:val="en-US" w:eastAsia="zh-CN"/>
        </w:rPr>
        <w:t>晾晒</w:t>
      </w:r>
      <w:r>
        <w:rPr>
          <w:rFonts w:hint="eastAsia" w:ascii="宋体" w:hAnsi="宋体" w:eastAsia="宋体" w:cs="宋体"/>
        </w:rPr>
        <w:t>、切碎长度、压实、密封处理等各个环节的技术要点。</w:t>
      </w:r>
    </w:p>
    <w:p>
      <w:pPr>
        <w:ind w:firstLine="420" w:firstLineChars="200"/>
        <w:rPr>
          <w:rFonts w:ascii="宋体" w:hAnsi="宋体" w:eastAsia="宋体" w:cs="宋体"/>
        </w:rPr>
      </w:pPr>
      <w:r>
        <w:rPr>
          <w:rFonts w:hint="eastAsia" w:ascii="宋体" w:hAnsi="宋体" w:eastAsia="宋体" w:cs="宋体"/>
        </w:rPr>
        <w:t>本标准适用于张杂谷全株青贮料的制作及生产。</w:t>
      </w:r>
    </w:p>
    <w:p>
      <w:pPr>
        <w:spacing w:before="312" w:beforeLines="100" w:after="312" w:afterLines="100"/>
        <w:rPr>
          <w:rFonts w:ascii="黑体" w:eastAsia="黑体"/>
        </w:rPr>
      </w:pPr>
      <w:r>
        <w:rPr>
          <w:rFonts w:hint="eastAsia" w:ascii="黑体" w:eastAsia="黑体"/>
        </w:rPr>
        <w:t xml:space="preserve">2 </w:t>
      </w:r>
      <w:r>
        <w:rPr>
          <w:rFonts w:hint="eastAsia" w:ascii="黑体" w:eastAsia="黑体"/>
          <w:lang w:val="en-US" w:eastAsia="zh-CN"/>
        </w:rPr>
        <w:t xml:space="preserve"> </w:t>
      </w:r>
      <w:r>
        <w:rPr>
          <w:rFonts w:hint="eastAsia" w:ascii="黑体" w:eastAsia="黑体"/>
        </w:rPr>
        <w:t>规范性引用文件</w:t>
      </w:r>
    </w:p>
    <w:p>
      <w:pPr>
        <w:ind w:firstLine="420" w:firstLineChars="200"/>
        <w:rPr>
          <w:rFonts w:eastAsia="宋体"/>
        </w:rPr>
      </w:pPr>
      <w:r>
        <w:rPr>
          <w:rFonts w:eastAsia="宋体"/>
        </w:rPr>
        <w:t>下列文件对于本标准的应用是必不可少的。凡是注日期的引用文件，仅所注日期的版本适用于本标准。凡是不注日期的引用文件，其最新版本（包括所有的修改单）适用于本标准。</w:t>
      </w:r>
    </w:p>
    <w:p>
      <w:pPr>
        <w:ind w:firstLine="420" w:firstLineChars="200"/>
        <w:rPr>
          <w:rFonts w:eastAsia="宋体"/>
          <w:lang w:val="zh-CN"/>
        </w:rPr>
      </w:pPr>
      <w:r>
        <w:rPr>
          <w:rFonts w:eastAsia="宋体"/>
          <w:lang w:val="zh-CN"/>
        </w:rPr>
        <w:t xml:space="preserve">NY/T 1444 </w:t>
      </w:r>
      <w:r>
        <w:rPr>
          <w:rFonts w:hint="eastAsia" w:eastAsia="宋体"/>
          <w:lang w:val="zh-CN"/>
        </w:rPr>
        <w:t>微生物饲料添加剂技术通则</w:t>
      </w:r>
    </w:p>
    <w:p>
      <w:pPr>
        <w:ind w:firstLine="420" w:firstLineChars="200"/>
        <w:rPr>
          <w:rFonts w:eastAsia="宋体"/>
          <w:lang w:val="zh-CN"/>
        </w:rPr>
      </w:pPr>
      <w:r>
        <w:rPr>
          <w:rFonts w:eastAsia="宋体"/>
          <w:lang w:val="zh-CN"/>
        </w:rPr>
        <w:t xml:space="preserve">GB/T 23181 </w:t>
      </w:r>
      <w:r>
        <w:rPr>
          <w:rFonts w:hint="eastAsia" w:eastAsia="宋体"/>
          <w:lang w:val="zh-CN"/>
        </w:rPr>
        <w:t>微生物饲料添加剂通用要求</w:t>
      </w:r>
    </w:p>
    <w:p>
      <w:pPr>
        <w:ind w:firstLine="420" w:firstLineChars="200"/>
        <w:rPr>
          <w:rFonts w:eastAsia="宋体"/>
          <w:lang w:val="zh-CN"/>
        </w:rPr>
      </w:pPr>
      <w:r>
        <w:rPr>
          <w:rFonts w:eastAsia="宋体"/>
          <w:lang w:val="zh-CN"/>
        </w:rPr>
        <w:t>GB/T 22142</w:t>
      </w:r>
      <w:r>
        <w:rPr>
          <w:rFonts w:hint="eastAsia" w:eastAsia="宋体"/>
          <w:lang w:val="zh-CN"/>
        </w:rPr>
        <w:t>饲料添加剂</w:t>
      </w:r>
      <w:r>
        <w:rPr>
          <w:rFonts w:eastAsia="宋体"/>
          <w:lang w:val="zh-CN"/>
        </w:rPr>
        <w:t xml:space="preserve"> </w:t>
      </w:r>
      <w:r>
        <w:rPr>
          <w:rFonts w:hint="eastAsia" w:eastAsia="宋体"/>
          <w:lang w:val="zh-CN"/>
        </w:rPr>
        <w:t>有机酸通用要求</w:t>
      </w:r>
    </w:p>
    <w:p>
      <w:pPr>
        <w:ind w:firstLine="420" w:firstLineChars="200"/>
        <w:rPr>
          <w:rFonts w:eastAsia="宋体"/>
          <w:lang w:val="zh-CN"/>
        </w:rPr>
      </w:pPr>
      <w:r>
        <w:rPr>
          <w:rFonts w:eastAsia="宋体"/>
          <w:lang w:val="zh-CN"/>
        </w:rPr>
        <w:t xml:space="preserve">GB/T 22143 </w:t>
      </w:r>
      <w:r>
        <w:rPr>
          <w:rFonts w:hint="eastAsia" w:eastAsia="宋体"/>
          <w:lang w:val="zh-CN"/>
        </w:rPr>
        <w:t>饲料添加剂</w:t>
      </w:r>
      <w:r>
        <w:rPr>
          <w:rFonts w:eastAsia="宋体"/>
          <w:lang w:val="zh-CN"/>
        </w:rPr>
        <w:t xml:space="preserve"> </w:t>
      </w:r>
      <w:r>
        <w:rPr>
          <w:rFonts w:hint="eastAsia" w:eastAsia="宋体"/>
          <w:lang w:val="zh-CN"/>
        </w:rPr>
        <w:t>无机酸通用要求</w:t>
      </w:r>
    </w:p>
    <w:p>
      <w:pPr>
        <w:ind w:firstLine="420" w:firstLineChars="200"/>
        <w:rPr>
          <w:rFonts w:eastAsia="宋体"/>
          <w:lang w:val="zh-CN"/>
        </w:rPr>
      </w:pPr>
      <w:r>
        <w:rPr>
          <w:rFonts w:eastAsia="宋体"/>
          <w:lang w:val="zh-CN"/>
        </w:rPr>
        <w:t>NY/T 2698</w:t>
      </w:r>
      <w:r>
        <w:rPr>
          <w:rFonts w:hint="eastAsia" w:eastAsia="宋体"/>
          <w:lang w:val="zh-CN"/>
        </w:rPr>
        <w:t>青贮设施建设技术规范</w:t>
      </w:r>
      <w:r>
        <w:rPr>
          <w:rFonts w:eastAsia="宋体"/>
          <w:lang w:val="zh-CN"/>
        </w:rPr>
        <w:t xml:space="preserve"> </w:t>
      </w:r>
      <w:r>
        <w:rPr>
          <w:rFonts w:hint="eastAsia" w:eastAsia="宋体"/>
          <w:lang w:val="zh-CN"/>
        </w:rPr>
        <w:t>青贮窖</w:t>
      </w:r>
    </w:p>
    <w:p>
      <w:pPr>
        <w:ind w:firstLine="420" w:firstLineChars="200"/>
        <w:rPr>
          <w:rFonts w:eastAsia="宋体"/>
          <w:lang w:val="zh-CN"/>
        </w:rPr>
      </w:pPr>
      <w:r>
        <w:rPr>
          <w:rFonts w:hint="eastAsia" w:eastAsia="宋体"/>
          <w:lang w:val="en-US" w:eastAsia="zh-CN"/>
        </w:rPr>
        <w:t>BB/T0024</w:t>
      </w:r>
      <w:r>
        <w:rPr>
          <w:rFonts w:hint="eastAsia" w:eastAsia="宋体"/>
          <w:lang w:val="zh-CN"/>
        </w:rPr>
        <w:t>　运输包装用拉伸缠绕膜</w:t>
      </w:r>
    </w:p>
    <w:p>
      <w:pPr>
        <w:ind w:firstLine="420" w:firstLineChars="200"/>
        <w:rPr>
          <w:rFonts w:hint="eastAsia" w:eastAsia="宋体"/>
          <w:lang w:val="zh-CN"/>
        </w:rPr>
      </w:pPr>
      <w:r>
        <w:rPr>
          <w:rFonts w:eastAsia="宋体"/>
          <w:lang w:val="zh-CN"/>
        </w:rPr>
        <w:t>NY</w:t>
      </w:r>
      <w:r>
        <w:rPr>
          <w:rFonts w:hint="eastAsia" w:eastAsia="宋体"/>
          <w:lang w:val="zh-CN"/>
        </w:rPr>
        <w:t>/</w:t>
      </w:r>
      <w:r>
        <w:rPr>
          <w:rFonts w:eastAsia="宋体"/>
          <w:lang w:val="zh-CN"/>
        </w:rPr>
        <w:t xml:space="preserve">T 3121 </w:t>
      </w:r>
      <w:r>
        <w:rPr>
          <w:rFonts w:hint="eastAsia" w:eastAsia="宋体"/>
          <w:lang w:val="zh-CN"/>
        </w:rPr>
        <w:t>青贮饲料包膜机</w:t>
      </w:r>
      <w:r>
        <w:rPr>
          <w:rFonts w:eastAsia="宋体"/>
          <w:lang w:val="zh-CN"/>
        </w:rPr>
        <w:t xml:space="preserve"> </w:t>
      </w:r>
      <w:r>
        <w:rPr>
          <w:rFonts w:hint="eastAsia" w:eastAsia="宋体"/>
          <w:lang w:val="zh-CN"/>
        </w:rPr>
        <w:t>质量评价技术规范</w:t>
      </w:r>
    </w:p>
    <w:p>
      <w:pPr>
        <w:ind w:firstLine="420" w:firstLineChars="200"/>
        <w:rPr>
          <w:rFonts w:hint="eastAsia" w:eastAsia="宋体"/>
          <w:lang w:val="zh-CN"/>
        </w:rPr>
      </w:pPr>
      <w:r>
        <w:rPr>
          <w:rFonts w:hint="eastAsia" w:eastAsia="宋体"/>
          <w:lang w:val="zh-CN"/>
        </w:rPr>
        <w:t>NY/T2696</w:t>
      </w:r>
      <w:r>
        <w:rPr>
          <w:rFonts w:hint="eastAsia" w:eastAsia="宋体"/>
          <w:lang w:val="en-US" w:eastAsia="zh-CN"/>
        </w:rPr>
        <w:t xml:space="preserve"> </w:t>
      </w:r>
      <w:r>
        <w:rPr>
          <w:rFonts w:hint="eastAsia" w:eastAsia="宋体"/>
          <w:lang w:val="zh-CN"/>
        </w:rPr>
        <w:t>饲草青贮技术规程玉米</w:t>
      </w:r>
    </w:p>
    <w:p>
      <w:pPr>
        <w:spacing w:before="312" w:beforeLines="100" w:after="312" w:afterLines="100"/>
        <w:rPr>
          <w:rFonts w:hint="eastAsia" w:eastAsia="宋体"/>
          <w:lang w:val="en-US" w:eastAsia="zh-CN"/>
        </w:rPr>
      </w:pPr>
      <w:r>
        <w:rPr>
          <w:rFonts w:hint="eastAsia" w:ascii="黑体" w:eastAsia="黑体"/>
        </w:rPr>
        <w:t xml:space="preserve">3  </w:t>
      </w:r>
      <w:r>
        <w:rPr>
          <w:rFonts w:hint="eastAsia" w:ascii="黑体" w:eastAsia="黑体"/>
          <w:lang w:val="en-US" w:eastAsia="zh-CN"/>
        </w:rPr>
        <w:t>术语和定义</w:t>
      </w:r>
    </w:p>
    <w:p>
      <w:pPr>
        <w:spacing w:before="312" w:beforeLines="100" w:after="312" w:afterLines="100"/>
        <w:rPr>
          <w:rFonts w:hint="eastAsia" w:ascii="黑体" w:eastAsia="黑体"/>
          <w:lang w:val="en-US" w:eastAsia="zh-CN"/>
        </w:rPr>
      </w:pPr>
      <w:r>
        <w:rPr>
          <w:rFonts w:hint="eastAsia" w:ascii="黑体" w:eastAsia="黑体"/>
          <w:lang w:val="en-US" w:eastAsia="zh-CN"/>
        </w:rPr>
        <w:t>3.1 张杂谷 Zhang Hybrid millet</w:t>
      </w:r>
    </w:p>
    <w:p>
      <w:pPr>
        <w:spacing w:before="312" w:beforeLines="100" w:after="312" w:afterLines="100"/>
        <w:ind w:firstLine="420" w:firstLineChars="200"/>
        <w:rPr>
          <w:rFonts w:hint="eastAsia" w:eastAsia="宋体"/>
          <w:lang w:val="en-US" w:eastAsia="zh-CN"/>
        </w:rPr>
      </w:pPr>
      <w:r>
        <w:rPr>
          <w:rFonts w:hint="eastAsia" w:eastAsia="宋体"/>
          <w:lang w:val="en-US" w:eastAsia="zh-CN"/>
        </w:rPr>
        <w:t>张杂谷一年生禾本科草本植物，是张家口市农业科学院从 1969 年开始选育的谷子杂交品种，到目前已有6个以上品种，具有高产、节水、省肥、省药、且全株便于转化为饲草饲料。</w:t>
      </w:r>
    </w:p>
    <w:p>
      <w:pPr>
        <w:spacing w:before="312" w:beforeLines="100" w:after="312" w:afterLines="100"/>
        <w:rPr>
          <w:rFonts w:hint="eastAsia" w:ascii="黑体" w:eastAsia="黑体"/>
          <w:lang w:val="en-US" w:eastAsia="zh-CN"/>
        </w:rPr>
      </w:pPr>
      <w:r>
        <w:rPr>
          <w:rFonts w:hint="eastAsia" w:ascii="黑体" w:eastAsia="黑体"/>
          <w:lang w:val="en-US" w:eastAsia="zh-CN"/>
        </w:rPr>
        <w:t>3.2 张杂谷全株青贮Zhang Hybrid millet silage</w:t>
      </w:r>
      <w:bookmarkStart w:id="3" w:name="_GoBack"/>
      <w:bookmarkEnd w:id="3"/>
    </w:p>
    <w:p>
      <w:pPr>
        <w:spacing w:before="312" w:beforeLines="100" w:after="312" w:afterLines="100"/>
        <w:ind w:firstLine="420" w:firstLineChars="200"/>
        <w:rPr>
          <w:rFonts w:hint="eastAsia" w:eastAsia="宋体"/>
          <w:lang w:val="en-US" w:eastAsia="zh-CN"/>
        </w:rPr>
      </w:pPr>
      <w:r>
        <w:rPr>
          <w:rFonts w:hint="eastAsia" w:eastAsia="宋体"/>
          <w:lang w:val="en-US" w:eastAsia="zh-CN"/>
        </w:rPr>
        <w:t>将张杂谷全株在灌浆期适时收获切碎，晾晒至适宜水分下置于密封的青贮设施设备中，在厌氧环境下促进乳酸菌为主导的发酵，导致酸度下降而抑制微生物的存活，使张杂谷全株青绿饲料得以长期保存的饲草加工方法。</w:t>
      </w:r>
    </w:p>
    <w:p>
      <w:pPr>
        <w:spacing w:before="312" w:beforeLines="100" w:after="312" w:afterLines="100"/>
        <w:rPr>
          <w:rFonts w:hint="eastAsia" w:ascii="黑体" w:eastAsia="黑体"/>
          <w:lang w:val="en-US" w:eastAsia="zh-CN"/>
        </w:rPr>
      </w:pPr>
      <w:r>
        <w:rPr>
          <w:rFonts w:hint="eastAsia" w:ascii="黑体" w:eastAsia="黑体"/>
          <w:lang w:val="en-US" w:eastAsia="zh-CN"/>
        </w:rPr>
        <w:t>3.3 青贮添加剂 silage additives</w:t>
      </w:r>
    </w:p>
    <w:p>
      <w:pPr>
        <w:spacing w:before="312" w:beforeLines="100" w:after="312" w:afterLines="100"/>
        <w:ind w:firstLine="420" w:firstLineChars="200"/>
        <w:rPr>
          <w:rFonts w:hint="eastAsia" w:eastAsia="宋体"/>
          <w:lang w:val="en-US" w:eastAsia="zh-CN"/>
        </w:rPr>
      </w:pPr>
      <w:r>
        <w:rPr>
          <w:rFonts w:hint="eastAsia" w:eastAsia="宋体"/>
          <w:lang w:val="en-US" w:eastAsia="zh-CN"/>
        </w:rPr>
        <w:t>用于改善青贮饲料发酵品质，减少养分损失的添加剂。</w:t>
      </w:r>
    </w:p>
    <w:p>
      <w:pPr>
        <w:spacing w:before="312" w:beforeLines="100" w:after="312" w:afterLines="100"/>
        <w:rPr>
          <w:rFonts w:hint="eastAsia" w:ascii="黑体" w:eastAsia="黑体"/>
          <w:lang w:val="en-US" w:eastAsia="zh-CN"/>
        </w:rPr>
      </w:pPr>
      <w:r>
        <w:rPr>
          <w:rFonts w:hint="eastAsia" w:ascii="黑体" w:eastAsia="黑体"/>
          <w:lang w:val="en-US" w:eastAsia="zh-CN"/>
        </w:rPr>
        <w:t>3.4 灌浆期 filling stage</w:t>
      </w:r>
    </w:p>
    <w:p>
      <w:pPr>
        <w:spacing w:before="312" w:beforeLines="100" w:after="312" w:afterLines="100"/>
        <w:ind w:firstLine="420" w:firstLineChars="200"/>
        <w:rPr>
          <w:rFonts w:hint="default" w:eastAsia="宋体"/>
          <w:lang w:val="en-US" w:eastAsia="zh-CN"/>
        </w:rPr>
      </w:pPr>
      <w:r>
        <w:rPr>
          <w:rFonts w:hint="default" w:eastAsia="宋体"/>
          <w:lang w:val="en-US" w:eastAsia="zh-CN"/>
        </w:rPr>
        <w:t>农作物通过光合作用产生的有机物质通过同化作用将它们储存在籽粒里生长时期</w:t>
      </w:r>
      <w:r>
        <w:rPr>
          <w:rFonts w:hint="eastAsia" w:eastAsia="宋体"/>
          <w:lang w:val="en-US" w:eastAsia="zh-CN"/>
        </w:rPr>
        <w:t>。</w:t>
      </w:r>
    </w:p>
    <w:p>
      <w:pPr>
        <w:spacing w:before="312" w:beforeLines="100" w:after="312" w:afterLines="100"/>
        <w:rPr>
          <w:rFonts w:hint="eastAsia" w:ascii="黑体" w:eastAsia="黑体"/>
          <w:lang w:val="en-US" w:eastAsia="zh-CN"/>
        </w:rPr>
      </w:pPr>
      <w:r>
        <w:rPr>
          <w:rFonts w:hint="eastAsia" w:ascii="黑体" w:eastAsia="黑体"/>
          <w:lang w:val="en-US" w:eastAsia="zh-CN"/>
        </w:rPr>
        <w:t>4 青贮方式</w:t>
      </w:r>
    </w:p>
    <w:p>
      <w:pPr>
        <w:spacing w:before="312" w:beforeLines="100" w:after="312" w:afterLines="100"/>
        <w:ind w:firstLine="420" w:firstLineChars="200"/>
        <w:rPr>
          <w:rFonts w:hint="default" w:eastAsia="宋体"/>
          <w:lang w:val="en-US" w:eastAsia="zh-CN"/>
        </w:rPr>
      </w:pPr>
      <w:r>
        <w:rPr>
          <w:rFonts w:hint="default" w:eastAsia="宋体"/>
          <w:lang w:val="en-US" w:eastAsia="zh-CN"/>
        </w:rPr>
        <w:t>窖贮：利用壕式青贮窖进行青贮的方式</w:t>
      </w:r>
      <w:r>
        <w:rPr>
          <w:rFonts w:hint="eastAsia" w:eastAsia="宋体"/>
          <w:lang w:val="en-US" w:eastAsia="zh-CN"/>
        </w:rPr>
        <w:t>，</w:t>
      </w:r>
      <w:r>
        <w:rPr>
          <w:rFonts w:hint="eastAsia" w:eastAsia="宋体"/>
        </w:rPr>
        <w:t>青贮窖施工技术按照</w:t>
      </w:r>
      <w:r>
        <w:rPr>
          <w:rFonts w:eastAsia="宋体"/>
        </w:rPr>
        <w:t>NY/T 2698-2015</w:t>
      </w:r>
      <w:r>
        <w:rPr>
          <w:rFonts w:hint="eastAsia" w:eastAsia="宋体"/>
        </w:rPr>
        <w:t>执行。</w:t>
      </w:r>
    </w:p>
    <w:p>
      <w:pPr>
        <w:spacing w:before="312" w:beforeLines="100" w:after="312" w:afterLines="100"/>
        <w:ind w:firstLine="420" w:firstLineChars="200"/>
        <w:rPr>
          <w:rFonts w:hint="default" w:eastAsia="宋体"/>
          <w:lang w:val="en-US" w:eastAsia="zh-CN"/>
        </w:rPr>
      </w:pPr>
      <w:r>
        <w:rPr>
          <w:rFonts w:hint="default" w:eastAsia="宋体"/>
          <w:lang w:val="en-US" w:eastAsia="zh-CN"/>
        </w:rPr>
        <w:t>裹包青贮：将</w:t>
      </w:r>
      <w:r>
        <w:rPr>
          <w:rFonts w:hint="eastAsia" w:eastAsia="宋体"/>
          <w:lang w:val="en-US" w:eastAsia="zh-CN"/>
        </w:rPr>
        <w:t>原料</w:t>
      </w:r>
      <w:r>
        <w:rPr>
          <w:rFonts w:hint="default" w:eastAsia="宋体"/>
          <w:lang w:val="en-US" w:eastAsia="zh-CN"/>
        </w:rPr>
        <w:t>刈割、切短、打捆后，使用具有拉伸和黏着性能的薄膜将其缠绕裹包后形成密封厌氧环境进行青贮的方式。</w:t>
      </w:r>
    </w:p>
    <w:p>
      <w:pPr>
        <w:spacing w:before="312" w:beforeLines="100" w:after="312" w:afterLines="100"/>
        <w:rPr>
          <w:rFonts w:hint="eastAsia" w:ascii="黑体" w:eastAsia="黑体"/>
          <w:lang w:val="en-US" w:eastAsia="zh-CN"/>
        </w:rPr>
      </w:pPr>
      <w:r>
        <w:rPr>
          <w:rFonts w:hint="eastAsia" w:ascii="黑体" w:eastAsia="黑体"/>
          <w:lang w:val="en-US" w:eastAsia="zh-CN"/>
        </w:rPr>
        <w:t>5  贮前准备</w:t>
      </w:r>
    </w:p>
    <w:p>
      <w:pPr>
        <w:spacing w:before="312" w:beforeLines="100" w:after="312" w:afterLines="100"/>
        <w:ind w:firstLine="420" w:firstLineChars="200"/>
        <w:rPr>
          <w:rFonts w:hint="eastAsia" w:eastAsia="宋体"/>
          <w:lang w:val="en-US" w:eastAsia="zh-CN"/>
        </w:rPr>
      </w:pPr>
      <w:r>
        <w:rPr>
          <w:rFonts w:hint="eastAsia" w:eastAsia="宋体"/>
          <w:lang w:val="en-US" w:eastAsia="zh-CN"/>
        </w:rPr>
        <w:t>5.1清理青贮设施内的杂物，检查青贮设施的质量，如有损坏及时修复。</w:t>
      </w:r>
    </w:p>
    <w:p>
      <w:pPr>
        <w:spacing w:before="312" w:beforeLines="100" w:after="312" w:afterLines="100"/>
        <w:ind w:firstLine="420" w:firstLineChars="200"/>
        <w:rPr>
          <w:rFonts w:hint="eastAsia" w:eastAsia="宋体"/>
          <w:lang w:val="en-US" w:eastAsia="zh-CN"/>
        </w:rPr>
      </w:pPr>
      <w:r>
        <w:rPr>
          <w:rFonts w:hint="eastAsia" w:eastAsia="宋体"/>
          <w:lang w:val="en-US" w:eastAsia="zh-CN"/>
        </w:rPr>
        <w:t>5.2常用机械设备选型配套。</w:t>
      </w:r>
    </w:p>
    <w:p>
      <w:pPr>
        <w:spacing w:before="312" w:beforeLines="100" w:after="312" w:afterLines="100"/>
        <w:ind w:firstLine="420" w:firstLineChars="200"/>
        <w:rPr>
          <w:rFonts w:hint="eastAsia" w:eastAsia="宋体"/>
          <w:lang w:val="en-US" w:eastAsia="zh-CN"/>
        </w:rPr>
      </w:pPr>
      <w:r>
        <w:rPr>
          <w:rFonts w:hint="eastAsia" w:eastAsia="宋体"/>
          <w:lang w:val="en-US" w:eastAsia="zh-CN"/>
        </w:rPr>
        <w:t>5.3准备好青贮作业所需的各种材料。</w:t>
      </w:r>
    </w:p>
    <w:p>
      <w:pPr>
        <w:spacing w:before="312" w:beforeLines="100" w:after="312" w:afterLines="100"/>
        <w:rPr>
          <w:rFonts w:ascii="黑体" w:eastAsia="黑体"/>
        </w:rPr>
      </w:pPr>
      <w:r>
        <w:rPr>
          <w:rFonts w:hint="eastAsia" w:eastAsia="宋体"/>
          <w:lang w:val="en-US" w:eastAsia="zh-CN"/>
        </w:rPr>
        <w:t xml:space="preserve">6  </w:t>
      </w:r>
      <w:r>
        <w:rPr>
          <w:rFonts w:hint="eastAsia" w:ascii="黑体" w:eastAsia="黑体"/>
        </w:rPr>
        <w:t>原料准备</w:t>
      </w:r>
    </w:p>
    <w:p>
      <w:pPr>
        <w:spacing w:before="312" w:beforeLines="100" w:after="312" w:afterLines="100"/>
        <w:ind w:firstLine="420" w:firstLineChars="200"/>
        <w:rPr>
          <w:rFonts w:hint="default" w:eastAsia="宋体"/>
          <w:lang w:val="en-US" w:eastAsia="zh-CN"/>
        </w:rPr>
      </w:pPr>
      <w:r>
        <w:rPr>
          <w:rFonts w:hint="eastAsia" w:eastAsia="宋体"/>
          <w:lang w:val="en-US" w:eastAsia="zh-CN"/>
        </w:rPr>
        <w:t>6.1最佳</w:t>
      </w:r>
      <w:r>
        <w:rPr>
          <w:rFonts w:eastAsia="宋体"/>
        </w:rPr>
        <w:t>收获</w:t>
      </w:r>
      <w:r>
        <w:rPr>
          <w:rFonts w:hint="eastAsia" w:eastAsia="宋体"/>
          <w:lang w:val="en-US" w:eastAsia="zh-CN"/>
        </w:rPr>
        <w:t>期：</w:t>
      </w:r>
      <w:r>
        <w:rPr>
          <w:rFonts w:eastAsia="宋体"/>
        </w:rPr>
        <w:t>原料的适宜收获时期为</w:t>
      </w:r>
      <w:r>
        <w:rPr>
          <w:rFonts w:hint="eastAsia" w:eastAsia="宋体"/>
          <w:lang w:val="en-US" w:eastAsia="zh-CN"/>
        </w:rPr>
        <w:t>灌浆期</w:t>
      </w:r>
    </w:p>
    <w:p>
      <w:pPr>
        <w:spacing w:before="312" w:beforeLines="100" w:after="312" w:afterLines="100"/>
        <w:ind w:left="420" w:leftChars="200"/>
        <w:rPr>
          <w:rFonts w:hint="eastAsia" w:eastAsia="宋体"/>
          <w:lang w:eastAsia="zh-CN"/>
        </w:rPr>
      </w:pPr>
      <w:r>
        <w:rPr>
          <w:rFonts w:hint="eastAsia" w:ascii="黑体" w:eastAsia="黑体"/>
          <w:lang w:val="en-US" w:eastAsia="zh-CN"/>
        </w:rPr>
        <w:t>6.2</w:t>
      </w:r>
      <w:r>
        <w:rPr>
          <w:rFonts w:hint="eastAsia" w:eastAsia="宋体"/>
          <w:lang w:val="en-US" w:eastAsia="zh-CN"/>
        </w:rPr>
        <w:t>收获压扁：利用带压扁装置的收割机收获，</w:t>
      </w:r>
      <w:r>
        <w:rPr>
          <w:rFonts w:eastAsia="宋体"/>
        </w:rPr>
        <w:t>留茬高度在</w:t>
      </w:r>
      <w:r>
        <w:rPr>
          <w:rFonts w:hint="eastAsia" w:eastAsia="宋体"/>
          <w:lang w:val="en-US" w:eastAsia="zh-CN"/>
        </w:rPr>
        <w:t>8</w:t>
      </w:r>
      <w:r>
        <w:rPr>
          <w:rFonts w:eastAsia="宋体"/>
        </w:rPr>
        <w:t>cm</w:t>
      </w:r>
      <w:r>
        <w:rPr>
          <w:rFonts w:hint="eastAsia" w:eastAsia="宋体"/>
        </w:rPr>
        <w:t>～</w:t>
      </w:r>
      <w:r>
        <w:rPr>
          <w:rFonts w:eastAsia="宋体"/>
        </w:rPr>
        <w:t>10cm</w:t>
      </w:r>
      <w:r>
        <w:rPr>
          <w:rFonts w:hint="eastAsia" w:eastAsia="宋体"/>
          <w:lang w:eastAsia="zh-CN"/>
        </w:rPr>
        <w:t>。</w:t>
      </w:r>
    </w:p>
    <w:p>
      <w:pPr>
        <w:spacing w:before="312" w:beforeLines="100" w:after="312" w:afterLines="100"/>
        <w:ind w:firstLine="420" w:firstLineChars="200"/>
        <w:rPr>
          <w:rFonts w:eastAsia="宋体"/>
        </w:rPr>
      </w:pPr>
      <w:r>
        <w:rPr>
          <w:rFonts w:hint="eastAsia" w:eastAsia="宋体"/>
          <w:lang w:val="en-US" w:eastAsia="zh-CN"/>
        </w:rPr>
        <w:t>6.3</w:t>
      </w:r>
      <w:r>
        <w:rPr>
          <w:rFonts w:hint="eastAsia" w:eastAsia="宋体"/>
        </w:rPr>
        <w:t>晾晒</w:t>
      </w:r>
      <w:r>
        <w:rPr>
          <w:rFonts w:hint="eastAsia" w:eastAsia="宋体"/>
          <w:lang w:eastAsia="zh-CN"/>
        </w:rPr>
        <w:t>：</w:t>
      </w:r>
      <w:r>
        <w:rPr>
          <w:rFonts w:hint="eastAsia" w:eastAsia="宋体"/>
        </w:rPr>
        <w:t>原料</w:t>
      </w:r>
      <w:r>
        <w:rPr>
          <w:rFonts w:hint="eastAsia" w:eastAsia="宋体"/>
          <w:lang w:val="en-US" w:eastAsia="zh-CN"/>
        </w:rPr>
        <w:t>收获</w:t>
      </w:r>
      <w:r>
        <w:rPr>
          <w:rFonts w:hint="eastAsia" w:eastAsia="宋体"/>
        </w:rPr>
        <w:t>后，</w:t>
      </w:r>
      <w:r>
        <w:rPr>
          <w:rFonts w:hint="eastAsia" w:eastAsia="宋体"/>
          <w:lang w:val="en-US" w:eastAsia="zh-CN"/>
        </w:rPr>
        <w:t>就地</w:t>
      </w:r>
      <w:r>
        <w:rPr>
          <w:rFonts w:hint="eastAsia" w:eastAsia="宋体"/>
        </w:rPr>
        <w:t>进行适当晾晒，</w:t>
      </w:r>
      <w:r>
        <w:rPr>
          <w:rFonts w:hint="eastAsia" w:eastAsia="宋体"/>
          <w:lang w:val="en-US" w:eastAsia="zh-CN"/>
        </w:rPr>
        <w:t>当</w:t>
      </w:r>
      <w:r>
        <w:rPr>
          <w:rFonts w:hint="eastAsia" w:eastAsia="宋体"/>
        </w:rPr>
        <w:t>原料用力捏成团约5～10秒后放开，以草团不能立即散开，手指间无液汁渗出或渗出很少液汁为宜，此时含水量</w:t>
      </w:r>
      <w:r>
        <w:rPr>
          <w:rFonts w:hint="eastAsia" w:eastAsia="宋体"/>
          <w:lang w:val="en-US" w:eastAsia="zh-CN"/>
        </w:rPr>
        <w:t>应</w:t>
      </w:r>
      <w:r>
        <w:rPr>
          <w:rFonts w:hint="eastAsia" w:eastAsia="宋体"/>
        </w:rPr>
        <w:t>为65</w:t>
      </w:r>
      <w:r>
        <w:rPr>
          <w:rFonts w:hint="eastAsia" w:eastAsia="宋体"/>
          <w:lang w:val="en-US" w:eastAsia="zh-CN"/>
        </w:rPr>
        <w:t>%</w:t>
      </w:r>
      <w:r>
        <w:rPr>
          <w:rFonts w:hint="eastAsia" w:eastAsia="宋体"/>
        </w:rPr>
        <w:t>～7</w:t>
      </w:r>
      <w:r>
        <w:rPr>
          <w:rFonts w:hint="eastAsia" w:eastAsia="宋体"/>
          <w:lang w:val="en-US" w:eastAsia="zh-CN"/>
        </w:rPr>
        <w:t>0</w:t>
      </w:r>
      <w:r>
        <w:rPr>
          <w:rFonts w:hint="eastAsia" w:eastAsia="宋体"/>
        </w:rPr>
        <w:t>％。</w:t>
      </w:r>
    </w:p>
    <w:p>
      <w:pPr>
        <w:spacing w:before="312" w:beforeLines="100" w:after="312" w:afterLines="100"/>
        <w:ind w:firstLine="420" w:firstLineChars="200"/>
        <w:rPr>
          <w:rFonts w:eastAsia="黑体"/>
        </w:rPr>
      </w:pPr>
      <w:r>
        <w:rPr>
          <w:rFonts w:hint="eastAsia" w:eastAsia="宋体"/>
          <w:lang w:val="en-US" w:eastAsia="zh-CN"/>
        </w:rPr>
        <w:t>6.4切碎：</w:t>
      </w:r>
      <w:bookmarkStart w:id="1" w:name="_Hlk108260495"/>
      <w:r>
        <w:rPr>
          <w:rFonts w:hint="eastAsia" w:eastAsia="宋体"/>
          <w:lang w:val="en-US" w:eastAsia="zh-CN"/>
        </w:rPr>
        <w:t>窖贮原料切碎长度为2</w:t>
      </w:r>
      <w:r>
        <w:rPr>
          <w:rFonts w:hint="eastAsia" w:eastAsia="宋体"/>
        </w:rPr>
        <w:t>～</w:t>
      </w:r>
      <w:r>
        <w:rPr>
          <w:rFonts w:eastAsia="宋体"/>
        </w:rPr>
        <w:t>3</w:t>
      </w:r>
      <w:r>
        <w:rPr>
          <w:rFonts w:hint="eastAsia" w:eastAsia="宋体"/>
        </w:rPr>
        <w:t>c</w:t>
      </w:r>
      <w:r>
        <w:rPr>
          <w:rFonts w:eastAsia="宋体"/>
        </w:rPr>
        <w:t>m</w:t>
      </w:r>
      <w:r>
        <w:rPr>
          <w:rFonts w:hint="eastAsia" w:eastAsia="宋体"/>
          <w:lang w:eastAsia="zh-CN"/>
        </w:rPr>
        <w:t>；</w:t>
      </w:r>
      <w:r>
        <w:rPr>
          <w:rFonts w:hint="eastAsia" w:eastAsia="宋体"/>
        </w:rPr>
        <w:t>裹包青贮原料切碎长度</w:t>
      </w:r>
      <w:r>
        <w:rPr>
          <w:rFonts w:hint="eastAsia" w:eastAsia="宋体"/>
          <w:lang w:val="en-US" w:eastAsia="zh-CN"/>
        </w:rPr>
        <w:t>为3</w:t>
      </w:r>
      <w:r>
        <w:rPr>
          <w:rFonts w:hint="eastAsia" w:eastAsia="宋体"/>
        </w:rPr>
        <w:t>～</w:t>
      </w:r>
      <w:r>
        <w:rPr>
          <w:rFonts w:hint="eastAsia" w:eastAsia="宋体"/>
          <w:lang w:val="en-US" w:eastAsia="zh-CN"/>
        </w:rPr>
        <w:t>5</w:t>
      </w:r>
      <w:r>
        <w:rPr>
          <w:rFonts w:hint="eastAsia" w:eastAsia="宋体"/>
        </w:rPr>
        <w:t>c</w:t>
      </w:r>
      <w:r>
        <w:rPr>
          <w:rFonts w:eastAsia="宋体"/>
        </w:rPr>
        <w:t>m</w:t>
      </w:r>
      <w:r>
        <w:rPr>
          <w:rFonts w:hint="eastAsia" w:eastAsia="宋体"/>
          <w:lang w:eastAsia="zh-CN"/>
        </w:rPr>
        <w:t>。</w:t>
      </w:r>
      <w:r>
        <w:rPr>
          <w:rFonts w:hint="eastAsia" w:eastAsia="宋体"/>
        </w:rPr>
        <w:t>切短和装填</w:t>
      </w:r>
      <w:r>
        <w:rPr>
          <w:rFonts w:hint="eastAsia" w:eastAsia="宋体"/>
          <w:lang w:val="en-US" w:eastAsia="zh-CN"/>
        </w:rPr>
        <w:t>应</w:t>
      </w:r>
      <w:r>
        <w:rPr>
          <w:rFonts w:hint="eastAsia" w:eastAsia="宋体"/>
        </w:rPr>
        <w:t>同步进行最佳。</w:t>
      </w:r>
    </w:p>
    <w:bookmarkEnd w:id="1"/>
    <w:p>
      <w:pPr>
        <w:spacing w:before="312" w:beforeLines="100" w:after="312" w:afterLines="100"/>
        <w:ind w:firstLine="420" w:firstLineChars="200"/>
        <w:rPr>
          <w:rFonts w:hint="default" w:eastAsia="宋体"/>
          <w:lang w:val="en-US" w:eastAsia="zh-CN"/>
        </w:rPr>
      </w:pPr>
      <w:r>
        <w:rPr>
          <w:rFonts w:hint="eastAsia" w:eastAsia="宋体"/>
          <w:lang w:val="en-US" w:eastAsia="zh-CN"/>
        </w:rPr>
        <w:t>6.5青贮添加剂使用</w:t>
      </w:r>
    </w:p>
    <w:p>
      <w:pPr>
        <w:spacing w:before="312" w:beforeLines="100" w:after="312" w:afterLines="100"/>
        <w:ind w:firstLine="420" w:firstLineChars="200"/>
        <w:rPr>
          <w:rFonts w:hint="eastAsia" w:eastAsia="宋体"/>
        </w:rPr>
      </w:pPr>
      <w:r>
        <w:rPr>
          <w:rFonts w:hint="eastAsia" w:eastAsia="宋体"/>
          <w:lang w:val="en-US" w:eastAsia="zh-CN"/>
        </w:rPr>
        <w:t>6.5.1</w:t>
      </w:r>
      <w:r>
        <w:rPr>
          <w:rFonts w:hint="eastAsia" w:eastAsia="宋体"/>
        </w:rPr>
        <w:t>在原料切碎或装填过程中，可选择性地添加糖蜜</w:t>
      </w:r>
      <w:r>
        <w:rPr>
          <w:rFonts w:hint="eastAsia" w:eastAsia="宋体"/>
          <w:lang w:val="en-US" w:eastAsia="zh-CN"/>
        </w:rPr>
        <w:t>或</w:t>
      </w:r>
      <w:r>
        <w:rPr>
          <w:rFonts w:hint="eastAsia" w:eastAsia="宋体"/>
        </w:rPr>
        <w:t>可选择性加入促进乳酸菌发酵、保证青贮成功的各种添加剂，在捡拾切碎时喷洒。</w:t>
      </w:r>
    </w:p>
    <w:p>
      <w:pPr>
        <w:spacing w:before="312" w:beforeLines="100" w:after="312" w:afterLines="100"/>
        <w:ind w:firstLine="420" w:firstLineChars="200"/>
        <w:rPr>
          <w:rFonts w:eastAsia="黑体"/>
        </w:rPr>
      </w:pPr>
      <w:r>
        <w:rPr>
          <w:rFonts w:hint="eastAsia" w:eastAsia="宋体"/>
          <w:lang w:val="en-US" w:eastAsia="zh-CN"/>
        </w:rPr>
        <w:t>6.5.2</w:t>
      </w:r>
      <w:r>
        <w:rPr>
          <w:rFonts w:hint="eastAsia" w:eastAsia="宋体"/>
        </w:rPr>
        <w:t>添加剂的使用</w:t>
      </w:r>
      <w:r>
        <w:rPr>
          <w:rFonts w:hint="eastAsia" w:eastAsia="宋体"/>
          <w:lang w:eastAsia="zh-CN"/>
        </w:rPr>
        <w:t>：</w:t>
      </w:r>
      <w:r>
        <w:rPr>
          <w:rFonts w:hint="eastAsia" w:eastAsia="宋体"/>
        </w:rPr>
        <w:t>参照</w:t>
      </w:r>
      <w:r>
        <w:rPr>
          <w:rFonts w:eastAsia="宋体"/>
        </w:rPr>
        <w:t xml:space="preserve"> </w:t>
      </w:r>
      <w:r>
        <w:rPr>
          <w:rFonts w:hint="eastAsia" w:eastAsia="宋体"/>
        </w:rPr>
        <w:t xml:space="preserve">NY/T 1444 </w:t>
      </w:r>
      <w:r>
        <w:rPr>
          <w:rFonts w:hint="eastAsia" w:eastAsia="宋体"/>
          <w:lang w:eastAsia="zh-CN"/>
        </w:rPr>
        <w:t>、</w:t>
      </w:r>
      <w:r>
        <w:rPr>
          <w:rFonts w:hint="eastAsia" w:eastAsia="宋体"/>
        </w:rPr>
        <w:t>GB/T 23181</w:t>
      </w:r>
      <w:r>
        <w:rPr>
          <w:rFonts w:hint="eastAsia" w:eastAsia="宋体"/>
          <w:lang w:eastAsia="zh-CN"/>
        </w:rPr>
        <w:t>、</w:t>
      </w:r>
      <w:r>
        <w:rPr>
          <w:rFonts w:hint="eastAsia" w:eastAsia="宋体"/>
        </w:rPr>
        <w:t xml:space="preserve"> GB/T 22142</w:t>
      </w:r>
      <w:r>
        <w:rPr>
          <w:rFonts w:hint="eastAsia" w:eastAsia="宋体"/>
          <w:lang w:eastAsia="zh-CN"/>
        </w:rPr>
        <w:t>、</w:t>
      </w:r>
      <w:r>
        <w:rPr>
          <w:rFonts w:hint="eastAsia" w:eastAsia="宋体"/>
        </w:rPr>
        <w:t>GB/T 22143等的规定执行。</w:t>
      </w:r>
    </w:p>
    <w:p>
      <w:pPr>
        <w:spacing w:before="312" w:beforeLines="100" w:after="312" w:afterLines="100"/>
        <w:rPr>
          <w:rFonts w:hint="eastAsia" w:ascii="黑体" w:eastAsia="黑体"/>
        </w:rPr>
      </w:pPr>
      <w:r>
        <w:rPr>
          <w:rFonts w:hint="eastAsia" w:ascii="黑体" w:eastAsia="黑体"/>
          <w:lang w:val="en-US" w:eastAsia="zh-CN"/>
        </w:rPr>
        <w:t xml:space="preserve">7 </w:t>
      </w:r>
      <w:r>
        <w:rPr>
          <w:rFonts w:hint="eastAsia" w:ascii="黑体" w:eastAsia="黑体"/>
        </w:rPr>
        <w:t>青贮</w:t>
      </w:r>
    </w:p>
    <w:p>
      <w:pPr>
        <w:spacing w:before="312" w:beforeLines="100" w:after="312" w:afterLines="100"/>
        <w:ind w:firstLine="420" w:firstLineChars="200"/>
        <w:rPr>
          <w:rFonts w:hint="eastAsia" w:eastAsia="宋体"/>
          <w:lang w:val="en-US" w:eastAsia="zh-CN"/>
        </w:rPr>
      </w:pPr>
      <w:r>
        <w:rPr>
          <w:rFonts w:hint="eastAsia" w:eastAsia="宋体"/>
          <w:lang w:val="en-US" w:eastAsia="zh-CN"/>
        </w:rPr>
        <w:t>7.1 青贮窖青贮</w:t>
      </w:r>
    </w:p>
    <w:p>
      <w:pPr>
        <w:spacing w:before="312" w:beforeLines="100" w:after="312" w:afterLines="100"/>
        <w:ind w:firstLine="420" w:firstLineChars="200"/>
        <w:rPr>
          <w:rFonts w:eastAsia="宋体"/>
        </w:rPr>
      </w:pPr>
      <w:r>
        <w:rPr>
          <w:rFonts w:hint="eastAsia" w:eastAsia="宋体"/>
          <w:lang w:val="en-US" w:eastAsia="zh-CN"/>
        </w:rPr>
        <w:t>7.1.1装窖和压实</w:t>
      </w:r>
      <w:r>
        <w:rPr>
          <w:rFonts w:hint="eastAsia" w:ascii="黑体" w:eastAsia="黑体"/>
          <w:lang w:val="en-US" w:eastAsia="zh-CN"/>
        </w:rPr>
        <w:t>;</w:t>
      </w:r>
      <w:r>
        <w:rPr>
          <w:rFonts w:hint="eastAsia" w:eastAsia="宋体"/>
        </w:rPr>
        <w:t>原料装填时，要迅速、均匀，与压实作业交替进行，原料逐层装入窖内，每层装填厚度不宜超过</w:t>
      </w:r>
      <w:r>
        <w:rPr>
          <w:rFonts w:hint="eastAsia" w:eastAsia="宋体"/>
          <w:lang w:val="en-US" w:eastAsia="zh-CN"/>
        </w:rPr>
        <w:t>15</w:t>
      </w:r>
      <w:r>
        <w:rPr>
          <w:rFonts w:hint="eastAsia" w:eastAsia="宋体"/>
        </w:rPr>
        <w:t>cm</w:t>
      </w:r>
      <w:r>
        <w:rPr>
          <w:rFonts w:hint="eastAsia" w:eastAsia="宋体"/>
          <w:lang w:eastAsia="zh-CN"/>
        </w:rPr>
        <w:t>，</w:t>
      </w:r>
      <w:r>
        <w:rPr>
          <w:rFonts w:hint="eastAsia" w:eastAsia="宋体"/>
          <w:lang w:val="en-US" w:eastAsia="zh-CN"/>
        </w:rPr>
        <w:t>随装随压。</w:t>
      </w:r>
      <w:r>
        <w:rPr>
          <w:rFonts w:hint="eastAsia" w:eastAsia="宋体"/>
        </w:rPr>
        <w:t>如需运输，间隔时间不超过</w:t>
      </w:r>
      <w:r>
        <w:rPr>
          <w:rFonts w:eastAsia="宋体"/>
        </w:rPr>
        <w:t>4</w:t>
      </w:r>
      <w:r>
        <w:rPr>
          <w:rFonts w:hint="eastAsia" w:eastAsia="宋体"/>
        </w:rPr>
        <w:t>个小时为宜，切碎原料须当日填装</w:t>
      </w:r>
      <w:r>
        <w:rPr>
          <w:rFonts w:hint="eastAsia" w:eastAsia="宋体"/>
          <w:lang w:val="en-US" w:eastAsia="zh-CN"/>
        </w:rPr>
        <w:t>完成</w:t>
      </w:r>
      <w:r>
        <w:rPr>
          <w:rFonts w:hint="eastAsia" w:eastAsia="宋体"/>
        </w:rPr>
        <w:t>。</w:t>
      </w:r>
    </w:p>
    <w:p>
      <w:pPr>
        <w:spacing w:before="312" w:beforeLines="100" w:after="312" w:afterLines="100"/>
        <w:ind w:firstLine="420" w:firstLineChars="200"/>
        <w:rPr>
          <w:rFonts w:eastAsia="宋体"/>
        </w:rPr>
      </w:pPr>
      <w:r>
        <w:rPr>
          <w:rFonts w:hint="eastAsia" w:eastAsia="宋体"/>
          <w:lang w:val="en-US" w:eastAsia="zh-CN"/>
        </w:rPr>
        <w:t>7.1.2 封窖：</w:t>
      </w:r>
      <w:r>
        <w:rPr>
          <w:rFonts w:hint="eastAsia" w:eastAsia="宋体"/>
        </w:rPr>
        <w:t>原料装</w:t>
      </w:r>
      <w:r>
        <w:rPr>
          <w:rFonts w:hint="eastAsia" w:eastAsia="宋体"/>
          <w:lang w:val="en-US" w:eastAsia="zh-CN"/>
        </w:rPr>
        <w:t>填</w:t>
      </w:r>
      <w:r>
        <w:rPr>
          <w:rFonts w:hint="eastAsia" w:eastAsia="宋体"/>
        </w:rPr>
        <w:t>高出窖</w:t>
      </w:r>
      <w:r>
        <w:rPr>
          <w:rFonts w:hint="eastAsia" w:eastAsia="宋体"/>
          <w:lang w:val="en-US" w:eastAsia="zh-CN"/>
        </w:rPr>
        <w:t>壁</w:t>
      </w:r>
      <w:r>
        <w:rPr>
          <w:rFonts w:hint="eastAsia" w:eastAsia="宋体"/>
        </w:rPr>
        <w:t>30</w:t>
      </w:r>
      <w:r>
        <w:rPr>
          <w:rFonts w:hint="eastAsia" w:ascii="黑体" w:eastAsia="黑体"/>
          <w:lang w:val="en-US" w:eastAsia="zh-CN"/>
        </w:rPr>
        <w:t>～</w:t>
      </w:r>
      <w:r>
        <w:rPr>
          <w:rFonts w:hint="eastAsia" w:eastAsia="宋体"/>
        </w:rPr>
        <w:t>50c</w:t>
      </w:r>
      <w:r>
        <w:rPr>
          <w:rFonts w:eastAsia="宋体"/>
        </w:rPr>
        <w:t>m</w:t>
      </w:r>
      <w:r>
        <w:rPr>
          <w:rFonts w:hint="eastAsia" w:eastAsia="宋体"/>
        </w:rPr>
        <w:t>后，密度达到650kg/m</w:t>
      </w:r>
      <w:r>
        <w:rPr>
          <w:rFonts w:hint="eastAsia" w:eastAsia="宋体"/>
          <w:vertAlign w:val="superscript"/>
        </w:rPr>
        <w:t>3</w:t>
      </w:r>
      <w:r>
        <w:rPr>
          <w:rFonts w:hint="eastAsia" w:eastAsia="宋体"/>
        </w:rPr>
        <w:t>以上</w:t>
      </w:r>
      <w:r>
        <w:rPr>
          <w:rFonts w:hint="eastAsia" w:eastAsia="宋体"/>
          <w:lang w:eastAsia="zh-CN"/>
        </w:rPr>
        <w:t>，</w:t>
      </w:r>
      <w:r>
        <w:rPr>
          <w:rFonts w:hint="eastAsia" w:eastAsia="宋体"/>
          <w:lang w:val="en-US" w:eastAsia="zh-CN"/>
        </w:rPr>
        <w:t>采用专用青贮塑料薄膜立即密封，其上采用其他重物覆盖压实保护。</w:t>
      </w:r>
    </w:p>
    <w:p>
      <w:pPr>
        <w:spacing w:before="312" w:beforeLines="100" w:after="312" w:afterLines="100"/>
        <w:ind w:firstLine="420" w:firstLineChars="200"/>
        <w:rPr>
          <w:rFonts w:hint="eastAsia" w:eastAsia="宋体"/>
          <w:lang w:val="en-US" w:eastAsia="zh-CN"/>
        </w:rPr>
      </w:pPr>
      <w:r>
        <w:rPr>
          <w:rFonts w:hint="eastAsia" w:eastAsia="宋体"/>
          <w:lang w:val="en-US" w:eastAsia="zh-CN"/>
        </w:rPr>
        <w:t>7.2 裹包青贮</w:t>
      </w:r>
    </w:p>
    <w:p>
      <w:pPr>
        <w:spacing w:before="312" w:beforeLines="100" w:after="312" w:afterLines="100"/>
        <w:ind w:firstLine="420" w:firstLineChars="200"/>
        <w:rPr>
          <w:rFonts w:hint="eastAsia" w:eastAsia="宋体"/>
          <w:lang w:val="en-US" w:eastAsia="zh-CN"/>
        </w:rPr>
      </w:pPr>
      <w:r>
        <w:rPr>
          <w:rFonts w:hint="eastAsia" w:eastAsia="宋体"/>
          <w:lang w:val="en-US" w:eastAsia="zh-CN"/>
        </w:rPr>
        <w:t xml:space="preserve">7.2.1 </w:t>
      </w:r>
      <w:r>
        <w:rPr>
          <w:rFonts w:hint="eastAsia" w:eastAsia="宋体"/>
        </w:rPr>
        <w:t>青贮膜与包膜机</w:t>
      </w:r>
      <w:r>
        <w:rPr>
          <w:rFonts w:hint="eastAsia" w:eastAsia="宋体"/>
          <w:lang w:eastAsia="zh-CN"/>
        </w:rPr>
        <w:t>：</w:t>
      </w:r>
      <w:r>
        <w:rPr>
          <w:rFonts w:hint="eastAsia" w:eastAsia="宋体"/>
        </w:rPr>
        <w:t>青贮</w:t>
      </w:r>
      <w:r>
        <w:rPr>
          <w:rFonts w:hint="eastAsia" w:eastAsia="宋体"/>
          <w:lang w:val="en-US" w:eastAsia="zh-CN"/>
        </w:rPr>
        <w:t>拉伸膜</w:t>
      </w:r>
      <w:r>
        <w:rPr>
          <w:rFonts w:hint="eastAsia" w:eastAsia="宋体"/>
        </w:rPr>
        <w:t>应符合</w:t>
      </w:r>
      <w:r>
        <w:rPr>
          <w:rFonts w:hint="eastAsia" w:eastAsia="宋体"/>
          <w:lang w:val="en-US" w:eastAsia="zh-CN"/>
        </w:rPr>
        <w:t>BB/T0024</w:t>
      </w:r>
      <w:r>
        <w:rPr>
          <w:rFonts w:hint="eastAsia" w:eastAsia="宋体"/>
        </w:rPr>
        <w:t>的规定</w:t>
      </w:r>
      <w:r>
        <w:rPr>
          <w:rFonts w:hint="eastAsia" w:eastAsia="宋体"/>
          <w:lang w:eastAsia="zh-CN"/>
        </w:rPr>
        <w:t>；</w:t>
      </w:r>
      <w:r>
        <w:rPr>
          <w:rFonts w:hint="eastAsia" w:eastAsia="宋体"/>
        </w:rPr>
        <w:t>青贮饲料包膜机的基本要求应符合</w:t>
      </w:r>
      <w:r>
        <w:rPr>
          <w:rFonts w:eastAsia="宋体"/>
        </w:rPr>
        <w:t>NY/T 3121</w:t>
      </w:r>
      <w:r>
        <w:rPr>
          <w:rFonts w:hint="eastAsia" w:eastAsia="宋体"/>
          <w:lang w:val="en-US" w:eastAsia="zh-CN"/>
        </w:rPr>
        <w:t>质量评价技术规范</w:t>
      </w:r>
    </w:p>
    <w:p>
      <w:pPr>
        <w:spacing w:before="312" w:beforeLines="100" w:after="312" w:afterLines="100"/>
        <w:ind w:firstLine="420" w:firstLineChars="200"/>
        <w:rPr>
          <w:rFonts w:hint="eastAsia" w:eastAsia="宋体"/>
          <w:lang w:val="en-US" w:eastAsia="zh-CN"/>
        </w:rPr>
      </w:pPr>
      <w:r>
        <w:rPr>
          <w:rFonts w:hint="eastAsia" w:eastAsia="宋体"/>
          <w:lang w:val="en-US" w:eastAsia="zh-CN"/>
        </w:rPr>
        <w:t>7.2.2 裹包密度：草捆裹包后的密度大于550kg/m³以上。</w:t>
      </w:r>
    </w:p>
    <w:p>
      <w:pPr>
        <w:spacing w:before="312" w:beforeLines="100" w:after="312" w:afterLines="100"/>
        <w:ind w:firstLine="420" w:firstLineChars="200"/>
        <w:rPr>
          <w:rFonts w:hint="eastAsia" w:eastAsia="宋体"/>
          <w:lang w:val="en-US" w:eastAsia="zh-CN"/>
        </w:rPr>
      </w:pPr>
      <w:r>
        <w:rPr>
          <w:rFonts w:hint="eastAsia" w:eastAsia="宋体"/>
          <w:lang w:val="en-US" w:eastAsia="zh-CN"/>
        </w:rPr>
        <w:t>7.23 裹包层数：打捆后迅速利用拉伸膜裹包机对其完成裹包处理，按目前市场流通的裹包内膜及拉伸膜强度，裹包时最好内膜4层、外膜拉伸膜层数应在6层以上。</w:t>
      </w:r>
    </w:p>
    <w:p>
      <w:pPr>
        <w:spacing w:before="312" w:beforeLines="100" w:after="312" w:afterLines="100"/>
        <w:ind w:firstLine="420" w:firstLineChars="200"/>
        <w:rPr>
          <w:rFonts w:hint="eastAsia" w:eastAsia="宋体"/>
          <w:lang w:val="en-US" w:eastAsia="zh-CN"/>
        </w:rPr>
      </w:pPr>
      <w:r>
        <w:rPr>
          <w:rFonts w:hint="eastAsia" w:eastAsia="宋体"/>
          <w:lang w:val="en-US" w:eastAsia="zh-CN"/>
        </w:rPr>
        <w:t>7.2.4 堆放：堆放时，柱体一面的圆形底面朝下，码放裹包以2层为宜。</w:t>
      </w:r>
    </w:p>
    <w:p>
      <w:pPr>
        <w:spacing w:before="312" w:beforeLines="100" w:after="312" w:afterLines="100"/>
        <w:rPr>
          <w:rFonts w:hint="default" w:ascii="黑体" w:eastAsia="黑体"/>
          <w:lang w:val="en-US" w:eastAsia="zh-CN"/>
        </w:rPr>
      </w:pPr>
      <w:r>
        <w:rPr>
          <w:rFonts w:hint="eastAsia" w:ascii="黑体" w:eastAsia="黑体"/>
          <w:lang w:val="en-US" w:eastAsia="zh-CN"/>
        </w:rPr>
        <w:t>8</w:t>
      </w:r>
      <w:r>
        <w:rPr>
          <w:rFonts w:hint="eastAsia" w:ascii="黑体" w:eastAsia="黑体"/>
        </w:rPr>
        <w:t xml:space="preserve"> </w:t>
      </w:r>
      <w:r>
        <w:rPr>
          <w:rFonts w:hint="eastAsia" w:ascii="黑体" w:eastAsia="黑体"/>
          <w:lang w:val="en-US" w:eastAsia="zh-CN"/>
        </w:rPr>
        <w:t>后期管理</w:t>
      </w:r>
    </w:p>
    <w:p>
      <w:pPr>
        <w:spacing w:before="312" w:beforeLines="100" w:after="312" w:afterLines="100"/>
        <w:ind w:firstLine="420" w:firstLineChars="200"/>
        <w:rPr>
          <w:rFonts w:hint="eastAsia" w:eastAsiaTheme="minorEastAsia"/>
          <w:lang w:val="en-US" w:eastAsia="zh-CN"/>
        </w:rPr>
      </w:pPr>
      <w:r>
        <w:rPr>
          <w:rFonts w:hint="eastAsia" w:eastAsia="宋体"/>
          <w:lang w:val="en-US" w:eastAsia="zh-CN"/>
        </w:rPr>
        <w:t>应经常检查青贮窖、裹包，出现破损及时修补。存放地点应</w:t>
      </w:r>
      <w:r>
        <w:rPr>
          <w:rFonts w:hint="eastAsia" w:asciiTheme="minorEastAsia" w:hAnsiTheme="minorEastAsia" w:eastAsiaTheme="minorEastAsia"/>
        </w:rPr>
        <w:t>清洁、干燥、通风、排水良好</w:t>
      </w:r>
      <w:r>
        <w:rPr>
          <w:rFonts w:hint="eastAsia" w:asciiTheme="minorEastAsia" w:hAnsiTheme="minorEastAsia" w:eastAsiaTheme="minorEastAsia"/>
          <w:lang w:eastAsia="zh-CN"/>
        </w:rPr>
        <w:t>、</w:t>
      </w:r>
      <w:r>
        <w:rPr>
          <w:rFonts w:hint="eastAsia" w:asciiTheme="minorEastAsia" w:hAnsiTheme="minorEastAsia" w:eastAsiaTheme="minorEastAsia"/>
        </w:rPr>
        <w:t>无鼠虫害</w:t>
      </w:r>
      <w:r>
        <w:rPr>
          <w:rFonts w:hint="eastAsia" w:asciiTheme="minorEastAsia" w:hAnsiTheme="minorEastAsia" w:eastAsiaTheme="minorEastAsia"/>
          <w:lang w:eastAsia="zh-CN"/>
        </w:rPr>
        <w:t>。</w:t>
      </w:r>
    </w:p>
    <w:p>
      <w:pPr>
        <w:spacing w:before="312" w:beforeLines="100" w:after="312" w:afterLines="100"/>
        <w:rPr>
          <w:rFonts w:hint="eastAsia" w:ascii="黑体" w:eastAsia="黑体"/>
          <w:lang w:val="en-US" w:eastAsia="zh-CN"/>
        </w:rPr>
      </w:pPr>
      <w:r>
        <w:rPr>
          <w:rFonts w:hint="eastAsia" w:ascii="黑体" w:eastAsia="黑体"/>
          <w:lang w:val="en-US" w:eastAsia="zh-CN"/>
        </w:rPr>
        <w:t>9 利用</w:t>
      </w:r>
    </w:p>
    <w:p>
      <w:pPr>
        <w:spacing w:before="312" w:beforeLines="100" w:after="312" w:afterLines="100"/>
        <w:ind w:firstLine="210" w:firstLineChars="100"/>
        <w:rPr>
          <w:rFonts w:hint="eastAsia" w:eastAsia="宋体"/>
          <w:lang w:val="en-US" w:eastAsia="zh-CN"/>
        </w:rPr>
      </w:pPr>
      <w:r>
        <w:rPr>
          <w:rFonts w:hint="eastAsia" w:ascii="黑体" w:eastAsia="黑体"/>
          <w:lang w:val="en-US" w:eastAsia="zh-CN"/>
        </w:rPr>
        <w:t xml:space="preserve"> </w:t>
      </w:r>
      <w:r>
        <w:rPr>
          <w:rFonts w:hint="eastAsia" w:eastAsia="宋体"/>
          <w:lang w:val="en-US" w:eastAsia="zh-CN"/>
        </w:rPr>
        <w:t>取饲宜在贮藏45天以上进行。参照NY/T2696-2015《饲草青贮技术规程玉米》执行。</w:t>
      </w:r>
    </w:p>
    <w:p>
      <w:pPr>
        <w:pStyle w:val="11"/>
        <w:ind w:firstLine="0" w:firstLineChars="0"/>
        <w:jc w:val="left"/>
        <w:rPr>
          <w:rFonts w:ascii="Times New Roman"/>
          <w:kern w:val="2"/>
          <w:szCs w:val="24"/>
        </w:rPr>
      </w:pPr>
      <w:r>
        <w:rPr>
          <w:rFonts w:hint="eastAsia"/>
        </w:rPr>
        <w:t>_________________________</w:t>
      </w:r>
    </w:p>
    <w:sectPr>
      <w:pgSz w:w="11906" w:h="16838"/>
      <w:pgMar w:top="1134" w:right="1134" w:bottom="1134" w:left="1418" w:header="0" w:footer="851" w:gutter="0"/>
      <w:pgNumType w:start="1" w:chapSep="em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rPr>
        <w:rStyle w:val="8"/>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6"/>
                          </w:pPr>
                          <w:r>
                            <w:fldChar w:fldCharType="begin"/>
                          </w:r>
                          <w:r>
                            <w:rPr>
                              <w:rStyle w:val="8"/>
                            </w:rPr>
                            <w:instrText xml:space="preserve">PAGE  </w:instrText>
                          </w:r>
                          <w:r>
                            <w:fldChar w:fldCharType="separate"/>
                          </w:r>
                          <w:r>
                            <w:rPr>
                              <w:rStyle w:val="8"/>
                            </w:rPr>
                            <w:t>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pPr>
                      <w:pStyle w:val="26"/>
                    </w:pPr>
                    <w:r>
                      <w:fldChar w:fldCharType="begin"/>
                    </w:r>
                    <w:r>
                      <w:rPr>
                        <w:rStyle w:val="8"/>
                      </w:rPr>
                      <w:instrText xml:space="preserve">PAGE  </w:instrText>
                    </w:r>
                    <w:r>
                      <w:fldChar w:fldCharType="separate"/>
                    </w:r>
                    <w:r>
                      <w:rPr>
                        <w:rStyle w:val="8"/>
                      </w:rP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fldChar w:fldCharType="begin"/>
    </w:r>
    <w:r>
      <w:rPr>
        <w:rStyle w:val="8"/>
      </w:rPr>
      <w:instrText xml:space="preserve">PAGE  </w:instrText>
    </w:r>
    <w:r>
      <w:fldChar w:fldCharType="separate"/>
    </w:r>
    <w:r>
      <w:rPr>
        <w:rStyle w:val="8"/>
      </w:rPr>
      <w:t>6</w:t>
    </w:r>
    <w: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tJtqMIBAACPAwAADgAAAGRycy9lMm9Eb2MueG1srVPNjtMwEL6vxDtY&#10;vlNnK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lvKHHc4sTPP3+cfz2eH74T&#10;9KFAfYAa8+4CZqbhvR8wefYDOjPvQUWbv8iIYBzlPV3klUMiIj9aLVerCkMCY/MF8dnT8xAhfZDe&#10;kmw0NOL8iqz8+AnSmDqn5GrO32pjygyN+8uBmNnDcu9jj9lKw26YCO18e0I+PY6+oQ43nRLz0aGy&#10;eUtmI87GbjJyDQjvDgkLl34y6gg1FcM5FUbTTuVF+PNesp7+o81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BLSbajCAQAAjwMAAA4AAAAAAAAAAQAgAAAAHgEAAGRycy9lMm9Eb2MueG1sUEsF&#10;BgAAAAAGAAYAWQEAAFI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Style w:val="8"/>
      </w:rPr>
    </w:pPr>
  </w:p>
  <w:p>
    <w:pPr>
      <w:pStyle w:val="3"/>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eastAsia="宋体"/>
                            </w:rPr>
                          </w:pP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hint="eastAsia" w:eastAsia="宋体"/>
                            </w:rPr>
                            <w:t>3</w:t>
                          </w:r>
                          <w:r>
                            <w:rPr>
                              <w:rFonts w:hint="eastAsia" w:eastAsia="宋体"/>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pPr>
                      <w:pStyle w:val="3"/>
                      <w:rPr>
                        <w:rFonts w:eastAsia="宋体"/>
                      </w:rPr>
                    </w:pP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rPr>
                        <w:rFonts w:hint="eastAsia" w:eastAsia="宋体"/>
                      </w:rPr>
                      <w:t>3</w:t>
                    </w:r>
                    <w:r>
                      <w:rPr>
                        <w:rFonts w:hint="eastAsia" w:eastAsia="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t>DB××/T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EA2025"/>
    <w:multiLevelType w:val="multilevel"/>
    <w:tmpl w:val="6CEA2025"/>
    <w:lvl w:ilvl="0" w:tentative="0">
      <w:start w:val="1"/>
      <w:numFmt w:val="none"/>
      <w:pStyle w:val="15"/>
      <w:suff w:val="nothing"/>
      <w:lvlText w:val="%1"/>
      <w:lvlJc w:val="left"/>
      <w:pPr>
        <w:ind w:left="0" w:firstLine="0"/>
      </w:pPr>
      <w:rPr>
        <w:rFonts w:hint="default" w:ascii="Times New Roman" w:hAnsi="Times New Roman"/>
        <w:b/>
        <w:i w:val="0"/>
        <w:sz w:val="21"/>
      </w:rPr>
    </w:lvl>
    <w:lvl w:ilvl="1" w:tentative="0">
      <w:start w:val="1"/>
      <w:numFmt w:val="decimal"/>
      <w:pStyle w:val="10"/>
      <w:suff w:val="nothing"/>
      <w:lvlText w:val="%1%2　"/>
      <w:lvlJc w:val="left"/>
      <w:pPr>
        <w:ind w:left="0" w:firstLine="0"/>
      </w:pPr>
    </w:lvl>
    <w:lvl w:ilvl="2" w:tentative="0">
      <w:start w:val="1"/>
      <w:numFmt w:val="decimal"/>
      <w:suff w:val="nothing"/>
      <w:lvlText w:val="%1%2.%3　"/>
      <w:lvlJc w:val="left"/>
      <w:pPr>
        <w:ind w:left="900" w:firstLine="0"/>
      </w:pPr>
      <w:rPr>
        <w:rFonts w:hint="eastAsia" w:ascii="黑体" w:hAnsi="Times New Roman" w:eastAsia="黑体"/>
        <w:b w:val="0"/>
        <w:i w:val="0"/>
        <w:sz w:val="21"/>
      </w:rPr>
    </w:lvl>
    <w:lvl w:ilvl="3" w:tentative="0">
      <w:start w:val="1"/>
      <w:numFmt w:val="decimal"/>
      <w:suff w:val="nothing"/>
      <w:lvlText w:val="%1%2.%3.%4　"/>
      <w:lvlJc w:val="left"/>
      <w:pPr>
        <w:ind w:left="540" w:firstLine="0"/>
      </w:pPr>
      <w:rPr>
        <w:rFonts w:hint="eastAsia" w:ascii="黑体" w:hAnsi="Times New Roman" w:eastAsia="黑体"/>
        <w:b w:val="0"/>
        <w:i w:val="0"/>
        <w:sz w:val="21"/>
      </w:rPr>
    </w:lvl>
    <w:lvl w:ilvl="4" w:tentative="0">
      <w:start w:val="1"/>
      <w:numFmt w:val="decimal"/>
      <w:pStyle w:val="18"/>
      <w:suff w:val="nothing"/>
      <w:lvlText w:val="%1%2.%3.%4.%5　"/>
      <w:lvlJc w:val="left"/>
      <w:pPr>
        <w:ind w:left="3060" w:firstLine="0"/>
      </w:pPr>
      <w:rPr>
        <w:rFonts w:hint="eastAsia" w:ascii="黑体" w:hAnsi="Times New Roman" w:eastAsia="黑体"/>
        <w:b w:val="0"/>
        <w:i w:val="0"/>
        <w:sz w:val="21"/>
      </w:rPr>
    </w:lvl>
    <w:lvl w:ilvl="5" w:tentative="0">
      <w:start w:val="1"/>
      <w:numFmt w:val="decimal"/>
      <w:suff w:val="nothing"/>
      <w:lvlText w:val="%1%2.%3.%4.%5.%6　"/>
      <w:lvlJc w:val="left"/>
      <w:pPr>
        <w:ind w:left="1260" w:firstLine="0"/>
      </w:pPr>
      <w:rPr>
        <w:rFonts w:hint="eastAsia" w:ascii="黑体" w:hAnsi="Times New Roman" w:eastAsia="黑体"/>
        <w:b w:val="0"/>
        <w:i w:val="0"/>
        <w:color w:val="auto"/>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iNzhjNzM1MDE3MjZjZjdjOGMyY2Q4ZWI3MzBiZmIifQ=="/>
  </w:docVars>
  <w:rsids>
    <w:rsidRoot w:val="00A00FA8"/>
    <w:rsid w:val="00025B10"/>
    <w:rsid w:val="000301DA"/>
    <w:rsid w:val="000752EC"/>
    <w:rsid w:val="00081509"/>
    <w:rsid w:val="000A5912"/>
    <w:rsid w:val="000B446D"/>
    <w:rsid w:val="000B744F"/>
    <w:rsid w:val="000E430A"/>
    <w:rsid w:val="000F23EC"/>
    <w:rsid w:val="00103C85"/>
    <w:rsid w:val="0010752E"/>
    <w:rsid w:val="001256CE"/>
    <w:rsid w:val="00126AE9"/>
    <w:rsid w:val="00131CEE"/>
    <w:rsid w:val="00157183"/>
    <w:rsid w:val="00157F15"/>
    <w:rsid w:val="00165CE6"/>
    <w:rsid w:val="00174955"/>
    <w:rsid w:val="00174E3F"/>
    <w:rsid w:val="001813A1"/>
    <w:rsid w:val="001B071A"/>
    <w:rsid w:val="001B79F5"/>
    <w:rsid w:val="001F6240"/>
    <w:rsid w:val="001F74B0"/>
    <w:rsid w:val="00200ACC"/>
    <w:rsid w:val="00205958"/>
    <w:rsid w:val="002158DE"/>
    <w:rsid w:val="002168F3"/>
    <w:rsid w:val="00217063"/>
    <w:rsid w:val="002271FE"/>
    <w:rsid w:val="00230F17"/>
    <w:rsid w:val="00234159"/>
    <w:rsid w:val="00234724"/>
    <w:rsid w:val="00236339"/>
    <w:rsid w:val="0024013C"/>
    <w:rsid w:val="0025371D"/>
    <w:rsid w:val="002700A2"/>
    <w:rsid w:val="0029321C"/>
    <w:rsid w:val="00297305"/>
    <w:rsid w:val="002C2E7E"/>
    <w:rsid w:val="002D1130"/>
    <w:rsid w:val="002E0790"/>
    <w:rsid w:val="00305197"/>
    <w:rsid w:val="00325A1B"/>
    <w:rsid w:val="00342A06"/>
    <w:rsid w:val="0034721E"/>
    <w:rsid w:val="0036761F"/>
    <w:rsid w:val="0037399C"/>
    <w:rsid w:val="003A1668"/>
    <w:rsid w:val="003A7899"/>
    <w:rsid w:val="003C60BB"/>
    <w:rsid w:val="003F5361"/>
    <w:rsid w:val="00400E01"/>
    <w:rsid w:val="00402D0B"/>
    <w:rsid w:val="004070C8"/>
    <w:rsid w:val="00410848"/>
    <w:rsid w:val="004154DA"/>
    <w:rsid w:val="004562C6"/>
    <w:rsid w:val="00467CD3"/>
    <w:rsid w:val="004C26D3"/>
    <w:rsid w:val="004C75F8"/>
    <w:rsid w:val="004D6894"/>
    <w:rsid w:val="004E0918"/>
    <w:rsid w:val="005178FA"/>
    <w:rsid w:val="00536B2E"/>
    <w:rsid w:val="00544C4C"/>
    <w:rsid w:val="005451D7"/>
    <w:rsid w:val="005A06FD"/>
    <w:rsid w:val="005A7B57"/>
    <w:rsid w:val="005C59E8"/>
    <w:rsid w:val="005E316D"/>
    <w:rsid w:val="005F1CD5"/>
    <w:rsid w:val="005F40C1"/>
    <w:rsid w:val="006161ED"/>
    <w:rsid w:val="006610BB"/>
    <w:rsid w:val="006708D3"/>
    <w:rsid w:val="006908D4"/>
    <w:rsid w:val="006A6779"/>
    <w:rsid w:val="006B3178"/>
    <w:rsid w:val="006C1FC5"/>
    <w:rsid w:val="006C2C51"/>
    <w:rsid w:val="006C4F37"/>
    <w:rsid w:val="006D0F77"/>
    <w:rsid w:val="006D3B0C"/>
    <w:rsid w:val="006D466D"/>
    <w:rsid w:val="006E3AB8"/>
    <w:rsid w:val="006E7BE3"/>
    <w:rsid w:val="0075625A"/>
    <w:rsid w:val="00761AE7"/>
    <w:rsid w:val="0078346F"/>
    <w:rsid w:val="00785175"/>
    <w:rsid w:val="00792C13"/>
    <w:rsid w:val="007C5FE2"/>
    <w:rsid w:val="007C642C"/>
    <w:rsid w:val="007C65B5"/>
    <w:rsid w:val="007D0237"/>
    <w:rsid w:val="007D2717"/>
    <w:rsid w:val="007D41DE"/>
    <w:rsid w:val="007F2649"/>
    <w:rsid w:val="0080521E"/>
    <w:rsid w:val="00832DE4"/>
    <w:rsid w:val="008502BD"/>
    <w:rsid w:val="00866309"/>
    <w:rsid w:val="00874D24"/>
    <w:rsid w:val="0087643A"/>
    <w:rsid w:val="008948BE"/>
    <w:rsid w:val="008A64D5"/>
    <w:rsid w:val="008B4A3B"/>
    <w:rsid w:val="008B4E79"/>
    <w:rsid w:val="008C2835"/>
    <w:rsid w:val="008D5E4D"/>
    <w:rsid w:val="008E4A59"/>
    <w:rsid w:val="008E77A6"/>
    <w:rsid w:val="008F39D6"/>
    <w:rsid w:val="008F5718"/>
    <w:rsid w:val="008F61CB"/>
    <w:rsid w:val="00905485"/>
    <w:rsid w:val="00905B73"/>
    <w:rsid w:val="00920A3D"/>
    <w:rsid w:val="00933DFA"/>
    <w:rsid w:val="0093533D"/>
    <w:rsid w:val="00960093"/>
    <w:rsid w:val="009B663C"/>
    <w:rsid w:val="009D434F"/>
    <w:rsid w:val="009D5D5E"/>
    <w:rsid w:val="009D6862"/>
    <w:rsid w:val="009F3006"/>
    <w:rsid w:val="00A00FA8"/>
    <w:rsid w:val="00A0205C"/>
    <w:rsid w:val="00A0443D"/>
    <w:rsid w:val="00A11955"/>
    <w:rsid w:val="00A135F3"/>
    <w:rsid w:val="00A1528E"/>
    <w:rsid w:val="00A27D04"/>
    <w:rsid w:val="00A31001"/>
    <w:rsid w:val="00A31D10"/>
    <w:rsid w:val="00A55DD4"/>
    <w:rsid w:val="00A64382"/>
    <w:rsid w:val="00A93E42"/>
    <w:rsid w:val="00AB0B1F"/>
    <w:rsid w:val="00AB1536"/>
    <w:rsid w:val="00AB1599"/>
    <w:rsid w:val="00AB2AF0"/>
    <w:rsid w:val="00AB365B"/>
    <w:rsid w:val="00AB37BF"/>
    <w:rsid w:val="00AC5851"/>
    <w:rsid w:val="00AE4C8D"/>
    <w:rsid w:val="00AF55CE"/>
    <w:rsid w:val="00AF673D"/>
    <w:rsid w:val="00B12A28"/>
    <w:rsid w:val="00B33436"/>
    <w:rsid w:val="00B34E25"/>
    <w:rsid w:val="00BA2F4C"/>
    <w:rsid w:val="00BA4B5F"/>
    <w:rsid w:val="00BB338A"/>
    <w:rsid w:val="00BC7FF1"/>
    <w:rsid w:val="00BE0B0D"/>
    <w:rsid w:val="00BF0A01"/>
    <w:rsid w:val="00BF45A4"/>
    <w:rsid w:val="00BF659D"/>
    <w:rsid w:val="00C355FA"/>
    <w:rsid w:val="00C8672D"/>
    <w:rsid w:val="00CA35BF"/>
    <w:rsid w:val="00CA7DC8"/>
    <w:rsid w:val="00CF16C4"/>
    <w:rsid w:val="00D126D0"/>
    <w:rsid w:val="00D32C0C"/>
    <w:rsid w:val="00D47BCA"/>
    <w:rsid w:val="00D62E43"/>
    <w:rsid w:val="00D63E72"/>
    <w:rsid w:val="00D66D4B"/>
    <w:rsid w:val="00D73362"/>
    <w:rsid w:val="00D855A3"/>
    <w:rsid w:val="00DB2364"/>
    <w:rsid w:val="00DD37BB"/>
    <w:rsid w:val="00DE7273"/>
    <w:rsid w:val="00DF2475"/>
    <w:rsid w:val="00E00BD0"/>
    <w:rsid w:val="00E035B4"/>
    <w:rsid w:val="00E47DC9"/>
    <w:rsid w:val="00E5414F"/>
    <w:rsid w:val="00E82142"/>
    <w:rsid w:val="00E826B7"/>
    <w:rsid w:val="00E907C2"/>
    <w:rsid w:val="00E9313F"/>
    <w:rsid w:val="00E94CD6"/>
    <w:rsid w:val="00EC7860"/>
    <w:rsid w:val="00ED246C"/>
    <w:rsid w:val="00ED2DFB"/>
    <w:rsid w:val="00EE1945"/>
    <w:rsid w:val="00EF0036"/>
    <w:rsid w:val="00EF5499"/>
    <w:rsid w:val="00F16E9A"/>
    <w:rsid w:val="00F3156E"/>
    <w:rsid w:val="00F53CFE"/>
    <w:rsid w:val="00F544AD"/>
    <w:rsid w:val="00F85AB3"/>
    <w:rsid w:val="00F92F20"/>
    <w:rsid w:val="00FA5451"/>
    <w:rsid w:val="00FB7716"/>
    <w:rsid w:val="00FC2C8A"/>
    <w:rsid w:val="00FE6B92"/>
    <w:rsid w:val="00FF4703"/>
    <w:rsid w:val="023D638D"/>
    <w:rsid w:val="029C1412"/>
    <w:rsid w:val="032141F7"/>
    <w:rsid w:val="04575450"/>
    <w:rsid w:val="09377D1C"/>
    <w:rsid w:val="0C1E7B98"/>
    <w:rsid w:val="10085D2B"/>
    <w:rsid w:val="19C92266"/>
    <w:rsid w:val="309D4424"/>
    <w:rsid w:val="3D2739F3"/>
    <w:rsid w:val="40963D94"/>
    <w:rsid w:val="44483C6E"/>
    <w:rsid w:val="450E5DB7"/>
    <w:rsid w:val="46C422B2"/>
    <w:rsid w:val="4735011B"/>
    <w:rsid w:val="482A18C2"/>
    <w:rsid w:val="4C7E0ECF"/>
    <w:rsid w:val="4E676CFF"/>
    <w:rsid w:val="4F3A0E37"/>
    <w:rsid w:val="528F7C7F"/>
    <w:rsid w:val="55B07ACC"/>
    <w:rsid w:val="5870229A"/>
    <w:rsid w:val="59830D4D"/>
    <w:rsid w:val="5D5C6D57"/>
    <w:rsid w:val="5FA016B7"/>
    <w:rsid w:val="61AC672F"/>
    <w:rsid w:val="649111F2"/>
    <w:rsid w:val="66B51987"/>
    <w:rsid w:val="67917ABB"/>
    <w:rsid w:val="69FA755B"/>
    <w:rsid w:val="6A3E7B68"/>
    <w:rsid w:val="713C6D66"/>
    <w:rsid w:val="74C843D0"/>
    <w:rsid w:val="785B58B0"/>
    <w:rsid w:val="79F24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imes New Roman"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42"/>
      <w:szCs w:val="42"/>
      <w:lang w:val="zh-CN" w:bidi="zh-CN"/>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paragraph" w:customStyle="1" w:styleId="9">
    <w:name w:val="Default Text"/>
    <w:basedOn w:val="1"/>
    <w:qFormat/>
    <w:uiPriority w:val="0"/>
    <w:pPr>
      <w:widowControl/>
      <w:overflowPunct w:val="0"/>
      <w:autoSpaceDE w:val="0"/>
      <w:autoSpaceDN w:val="0"/>
      <w:adjustRightInd w:val="0"/>
      <w:jc w:val="left"/>
      <w:textAlignment w:val="baseline"/>
    </w:pPr>
    <w:rPr>
      <w:kern w:val="0"/>
      <w:sz w:val="24"/>
      <w:szCs w:val="20"/>
    </w:rPr>
  </w:style>
  <w:style w:type="paragraph" w:customStyle="1" w:styleId="10">
    <w:name w:val="章标题"/>
    <w:next w:val="11"/>
    <w:qFormat/>
    <w:uiPriority w:val="0"/>
    <w:pPr>
      <w:numPr>
        <w:ilvl w:val="1"/>
        <w:numId w:val="1"/>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11">
    <w:name w:val="段"/>
    <w:qFormat/>
    <w:uiPriority w:val="1"/>
    <w:pPr>
      <w:autoSpaceDE w:val="0"/>
      <w:autoSpaceDN w:val="0"/>
      <w:ind w:firstLine="200" w:firstLineChars="200"/>
      <w:jc w:val="both"/>
    </w:pPr>
    <w:rPr>
      <w:rFonts w:ascii="宋体" w:hAnsi="Times New Roman" w:eastAsia="Times New Roman" w:cs="Times New Roman"/>
      <w:sz w:val="21"/>
      <w:lang w:val="en-US" w:eastAsia="zh-CN" w:bidi="ar-SA"/>
    </w:rPr>
  </w:style>
  <w:style w:type="paragraph" w:customStyle="1" w:styleId="12">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3">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14">
    <w:name w:val="封面正文"/>
    <w:qFormat/>
    <w:uiPriority w:val="0"/>
    <w:pPr>
      <w:jc w:val="both"/>
    </w:pPr>
    <w:rPr>
      <w:rFonts w:ascii="Times New Roman" w:hAnsi="Times New Roman" w:eastAsia="宋体" w:cs="Times New Roman"/>
      <w:lang w:val="en-US" w:eastAsia="zh-CN" w:bidi="ar-SA"/>
    </w:rPr>
  </w:style>
  <w:style w:type="paragraph" w:customStyle="1" w:styleId="15">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6">
    <w:name w:val="其他发布部门"/>
    <w:basedOn w:val="1"/>
    <w:qFormat/>
    <w:uiPriority w:val="0"/>
    <w:pPr>
      <w:framePr w:w="7433" w:h="585" w:hRule="exact" w:hSpace="180" w:vSpace="180" w:wrap="around" w:vAnchor="margin" w:hAnchor="margin" w:xAlign="center" w:y="14401" w:anchorLock="1"/>
      <w:widowControl/>
      <w:spacing w:line="0" w:lineRule="atLeast"/>
      <w:jc w:val="center"/>
    </w:pPr>
    <w:rPr>
      <w:rFonts w:ascii="黑体" w:eastAsia="黑体"/>
      <w:spacing w:val="20"/>
      <w:w w:val="135"/>
      <w:kern w:val="0"/>
      <w:sz w:val="36"/>
      <w:szCs w:val="20"/>
    </w:rPr>
  </w:style>
  <w:style w:type="character" w:customStyle="1" w:styleId="17">
    <w:name w:val="发布"/>
    <w:qFormat/>
    <w:uiPriority w:val="0"/>
    <w:rPr>
      <w:rFonts w:ascii="黑体" w:eastAsia="黑体"/>
      <w:spacing w:val="22"/>
      <w:w w:val="100"/>
      <w:position w:val="3"/>
      <w:sz w:val="28"/>
    </w:rPr>
  </w:style>
  <w:style w:type="paragraph" w:customStyle="1" w:styleId="18">
    <w:name w:val="实施日期"/>
    <w:basedOn w:val="19"/>
    <w:qFormat/>
    <w:uiPriority w:val="0"/>
    <w:pPr>
      <w:framePr w:hSpace="0" w:wrap="around" w:xAlign="right"/>
      <w:numPr>
        <w:ilvl w:val="4"/>
        <w:numId w:val="1"/>
      </w:numPr>
      <w:jc w:val="right"/>
    </w:pPr>
  </w:style>
  <w:style w:type="paragraph" w:customStyle="1" w:styleId="19">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20">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1">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22">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3">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24">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25">
    <w:name w:val="标准书眉一"/>
    <w:qFormat/>
    <w:uiPriority w:val="0"/>
    <w:pPr>
      <w:jc w:val="both"/>
    </w:pPr>
    <w:rPr>
      <w:rFonts w:ascii="Times New Roman" w:hAnsi="Times New Roman" w:eastAsia="宋体" w:cs="Times New Roman"/>
      <w:lang w:val="en-US" w:eastAsia="zh-CN" w:bidi="ar-SA"/>
    </w:rPr>
  </w:style>
  <w:style w:type="paragraph" w:customStyle="1" w:styleId="26">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styleId="27">
    <w:name w:val="List Paragraph"/>
    <w:basedOn w:val="1"/>
    <w:qFormat/>
    <w:uiPriority w:val="1"/>
    <w:pPr>
      <w:ind w:left="1661" w:hanging="661"/>
    </w:pPr>
    <w:rPr>
      <w:rFonts w:ascii="宋体" w:hAnsi="宋体" w:eastAsia="宋体" w:cs="宋体"/>
      <w:lang w:val="zh-CN" w:bidi="zh-CN"/>
    </w:rPr>
  </w:style>
  <w:style w:type="paragraph" w:customStyle="1" w:styleId="28">
    <w:name w:val="Heading #4|1"/>
    <w:basedOn w:val="1"/>
    <w:qFormat/>
    <w:uiPriority w:val="0"/>
    <w:pPr>
      <w:spacing w:line="584" w:lineRule="exact"/>
      <w:ind w:firstLine="240"/>
      <w:outlineLvl w:val="3"/>
    </w:pPr>
    <w:rPr>
      <w:rFonts w:ascii="宋体" w:hAnsi="宋体" w:eastAsia="宋体" w:cs="宋体"/>
      <w:sz w:val="32"/>
      <w:szCs w:val="32"/>
      <w:lang w:val="zh-TW" w:eastAsia="zh-TW" w:bidi="zh-TW"/>
    </w:rPr>
  </w:style>
  <w:style w:type="paragraph" w:customStyle="1" w:styleId="29">
    <w:name w:val="列出段落"/>
    <w:basedOn w:val="1"/>
    <w:qFormat/>
    <w:uiPriority w:val="34"/>
    <w:pPr>
      <w:ind w:firstLine="420" w:firstLineChars="200"/>
    </w:pPr>
  </w:style>
  <w:style w:type="paragraph" w:customStyle="1" w:styleId="30">
    <w:name w:val="Body text|1"/>
    <w:basedOn w:val="1"/>
    <w:qFormat/>
    <w:uiPriority w:val="0"/>
    <w:pPr>
      <w:spacing w:line="444" w:lineRule="auto"/>
      <w:ind w:firstLine="400"/>
    </w:pPr>
    <w:rPr>
      <w:rFonts w:ascii="宋体" w:hAnsi="宋体" w:eastAsia="宋体" w:cs="宋体"/>
      <w:sz w:val="26"/>
      <w:szCs w:val="26"/>
      <w:lang w:val="zh-TW" w:eastAsia="zh-TW" w:bidi="zh-TW"/>
    </w:rPr>
  </w:style>
  <w:style w:type="paragraph" w:customStyle="1" w:styleId="31">
    <w:name w:val="Heading #2|1"/>
    <w:basedOn w:val="1"/>
    <w:qFormat/>
    <w:uiPriority w:val="0"/>
    <w:pPr>
      <w:spacing w:line="605" w:lineRule="exact"/>
      <w:outlineLvl w:val="1"/>
    </w:pPr>
    <w:rPr>
      <w:rFonts w:ascii="宋体" w:hAnsi="宋体" w:eastAsia="宋体" w:cs="宋体"/>
      <w:sz w:val="38"/>
      <w:szCs w:val="38"/>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F9A4F9-092C-4590-A0DB-47D9C7DFBD5C}">
  <ds:schemaRefs/>
</ds:datastoreItem>
</file>

<file path=docProps/app.xml><?xml version="1.0" encoding="utf-8"?>
<Properties xmlns="http://schemas.openxmlformats.org/officeDocument/2006/extended-properties" xmlns:vt="http://schemas.openxmlformats.org/officeDocument/2006/docPropsVTypes">
  <Template>Normal</Template>
  <Pages>5</Pages>
  <Words>1550</Words>
  <Characters>1841</Characters>
  <Lines>20</Lines>
  <Paragraphs>5</Paragraphs>
  <TotalTime>2</TotalTime>
  <ScaleCrop>false</ScaleCrop>
  <LinksUpToDate>false</LinksUpToDate>
  <CharactersWithSpaces>1913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2021-01-27T15:42:00Z</dcterms:created>
  <dc:creator>boyuk</dc:creator>
  <cp:lastModifiedBy>牧人</cp:lastModifiedBy>
  <dcterms:modified xsi:type="dcterms:W3CDTF">2022-12-03T07:34:28Z</dcterms:modified>
  <cp:revision>278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A4D5261A55764AFA913BB382C1F28662</vt:lpwstr>
  </property>
</Properties>
</file>