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5"/>
        <w:framePr w:wrap="around"/>
      </w:pPr>
      <w:bookmarkStart w:id="0" w:name="WXFLH"/>
      <w:r>
        <w:rPr>
          <w:rFonts w:ascii="Times New Roman"/>
        </w:rPr>
        <w:t>ICS</w:t>
      </w:r>
      <w:r>
        <w:rPr>
          <w:rFonts w:hAnsi="黑体"/>
        </w:rPr>
        <w:t> </w:t>
      </w:r>
      <w:r>
        <w:t xml:space="preserve">03.100.01 </w:t>
      </w:r>
    </w:p>
    <w:p>
      <w:pPr>
        <w:pStyle w:val="125"/>
        <w:framePr w:wrap="around"/>
      </w:pPr>
      <w:r>
        <w:t>A 02</w:t>
      </w:r>
      <w:bookmarkEnd w:id="0"/>
      <w:r>
        <w:t xml:space="preserve"> </w:t>
      </w:r>
    </w:p>
    <w:p>
      <w:pPr>
        <w:pStyle w:val="125"/>
        <w:framePr w:wrap="around"/>
      </w:pPr>
    </w:p>
    <w:p>
      <w:pPr>
        <w:pStyle w:val="111"/>
        <w:framePr w:wrap="around"/>
      </w:pPr>
      <w:r>
        <w:t>DB</w:t>
      </w:r>
      <w:bookmarkStart w:id="1" w:name="c3"/>
      <w:r>
        <w:t>13</w:t>
      </w:r>
      <w:bookmarkEnd w:id="1"/>
    </w:p>
    <w:p>
      <w:pPr>
        <w:pStyle w:val="112"/>
        <w:framePr w:wrap="around"/>
      </w:pPr>
      <w:bookmarkStart w:id="2" w:name="c4"/>
      <w:r>
        <w:rPr>
          <w:rFonts w:hint="eastAsia"/>
        </w:rPr>
        <w:t>河北省</w:t>
      </w:r>
      <w:bookmarkEnd w:id="2"/>
      <w:r>
        <w:rPr>
          <w:rFonts w:hint="eastAsia"/>
        </w:rPr>
        <w:t>地方标准</w:t>
      </w:r>
    </w:p>
    <w:p>
      <w:pPr>
        <w:pStyle w:val="49"/>
        <w:framePr w:wrap="around"/>
        <w:rPr>
          <w:rFonts w:hAnsi="黑体"/>
        </w:rPr>
      </w:pPr>
      <w:r>
        <w:rPr>
          <w:rFonts w:ascii="Times New Roman"/>
        </w:rPr>
        <w:t xml:space="preserve">DB </w:t>
      </w:r>
      <w:bookmarkStart w:id="3" w:name="StdNo0"/>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bookmarkEnd w:id="3"/>
      <w:r>
        <w:rPr>
          <w:rFonts w:hAnsi="黑体"/>
        </w:rPr>
        <w:t xml:space="preserve">/T </w:t>
      </w:r>
      <w:r>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r>
        <w:rPr>
          <w:rFonts w:hAnsi="黑体"/>
        </w:rPr>
        <w:t>—</w:t>
      </w:r>
      <w:bookmarkStart w:id="5"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5"/>
    </w:p>
    <w:tbl>
      <w:tblPr>
        <w:tblStyle w:val="35"/>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8"/>
              <w:framePr w:wrap="around"/>
            </w:pPr>
            <w:bookmarkStart w:id="6"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6"/>
          </w:p>
        </w:tc>
      </w:tr>
    </w:tbl>
    <w:p>
      <w:pPr>
        <w:pStyle w:val="49"/>
        <w:framePr w:wrap="around"/>
        <w:rPr>
          <w:rFonts w:hAnsi="黑体"/>
        </w:rPr>
      </w:pPr>
    </w:p>
    <w:p>
      <w:pPr>
        <w:pStyle w:val="49"/>
        <w:framePr w:wrap="around"/>
        <w:rPr>
          <w:rFonts w:hAnsi="黑体"/>
        </w:rPr>
      </w:pPr>
    </w:p>
    <w:p>
      <w:pPr>
        <w:pStyle w:val="80"/>
        <w:framePr w:wrap="around"/>
        <w:rPr>
          <w:rFonts w:hint="eastAsia" w:eastAsia="黑体"/>
          <w:lang w:eastAsia="zh-CN"/>
        </w:rPr>
      </w:pPr>
      <w:r>
        <w:rPr>
          <w:rFonts w:hint="eastAsia"/>
        </w:rPr>
        <w:t>行政许可事项受理、勘验和审查</w:t>
      </w:r>
    </w:p>
    <w:p>
      <w:pPr>
        <w:pStyle w:val="80"/>
        <w:framePr w:wrap="around"/>
      </w:pPr>
      <w:r>
        <w:rPr>
          <w:rFonts w:hint="eastAsia"/>
        </w:rPr>
        <w:t>协同运行规范</w:t>
      </w:r>
    </w:p>
    <w:p>
      <w:pPr>
        <w:pStyle w:val="81"/>
        <w:framePr w:wrap="around"/>
      </w:pPr>
    </w:p>
    <w:p>
      <w:pPr>
        <w:pStyle w:val="82"/>
        <w:framePr w:wrap="around"/>
      </w:pPr>
    </w:p>
    <w:tbl>
      <w:tblPr>
        <w:tblStyle w:val="35"/>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rPr>
              <w:t>（</w:t>
            </w:r>
            <w:r>
              <w:rPr>
                <w:rFonts w:hint="eastAsia"/>
                <w:lang w:eastAsia="zh-CN"/>
              </w:rPr>
              <w:t>征求意见</w:t>
            </w:r>
            <w:bookmarkStart w:id="34" w:name="_GoBack"/>
            <w:bookmarkEnd w:id="34"/>
            <w:r>
              <w:t>稿</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4"/>
              <w:framePr w:wrap="around"/>
            </w:pPr>
          </w:p>
        </w:tc>
      </w:tr>
    </w:tbl>
    <w:p>
      <w:pPr>
        <w:pStyle w:val="133"/>
        <w:framePr w:wrap="around" w:hAnchor="page" w:x="1396" w:y="14191"/>
      </w:pPr>
      <w:bookmarkStart w:id="7"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7"/>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8"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p>
    <w:p>
      <w:pPr>
        <w:pStyle w:val="134"/>
        <w:framePr w:wrap="around" w:hAnchor="page" w:x="7066" w:y="14116"/>
      </w:pPr>
      <w:bookmarkStart w:id="9"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bookmarkStart w:id="10"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bookmarkStart w:id="11"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hint="eastAsia"/>
        </w:rPr>
        <w:t>实施</w:t>
      </w:r>
    </w:p>
    <w:p>
      <w:pPr>
        <w:pStyle w:val="113"/>
        <w:framePr w:wrap="around"/>
      </w:pPr>
      <w:bookmarkStart w:id="12" w:name="fm"/>
      <w:r>
        <w:rPr>
          <w:rFonts w:hint="eastAsia"/>
        </w:rPr>
        <w:t>河北省市场监督</w:t>
      </w:r>
      <w:r>
        <w:t>管理局</w:t>
      </w:r>
      <w:bookmarkEnd w:id="12"/>
      <w:r>
        <w:rPr>
          <w:rFonts w:hAnsi="黑体"/>
        </w:rPr>
        <w:t>   </w:t>
      </w:r>
      <w:r>
        <w:rPr>
          <w:rStyle w:val="75"/>
          <w:rFonts w:hint="eastAsia"/>
        </w:rPr>
        <w:t>发布</w:t>
      </w:r>
    </w:p>
    <w:p>
      <w:pPr>
        <w:pStyle w:val="25"/>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3360;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2"/>
      </w:pPr>
      <w:r>
        <w:rPr>
          <w:rFonts w:hint="eastAsia"/>
        </w:rPr>
        <w:t>目</w:t>
      </w:r>
      <w:r>
        <w:rPr>
          <w:rFonts w:hAnsi="黑体"/>
        </w:rPr>
        <w:t>  </w:t>
      </w:r>
      <w:r>
        <w:rPr>
          <w:rFonts w:hint="eastAsia"/>
        </w:rPr>
        <w:t>次</w:t>
      </w:r>
    </w:p>
    <w:p>
      <w:pPr>
        <w:pStyle w:val="21"/>
        <w:spacing w:before="78" w:after="78"/>
        <w:rPr>
          <w:rFonts w:asciiTheme="minorHAnsi" w:hAnsiTheme="minorHAnsi" w:eastAsiaTheme="minorEastAsia" w:cstheme="minorBidi"/>
          <w:szCs w:val="22"/>
        </w:rPr>
      </w:pPr>
      <w:r>
        <w:rPr>
          <w:rFonts w:hAnsi="宋体"/>
          <w:szCs w:val="28"/>
        </w:rPr>
        <w:fldChar w:fldCharType="begin"/>
      </w:r>
      <w:r>
        <w:rPr>
          <w:rFonts w:hAnsi="宋体"/>
          <w:szCs w:val="28"/>
        </w:rPr>
        <w:instrText xml:space="preserve"> TOC \h \z \t "一级条标题,2,章标题,1,参考文献、索引标题,1,附录标识,1,附录标题,1,附录章标题,2,前言、引言标题,1" </w:instrText>
      </w:r>
      <w:r>
        <w:rPr>
          <w:rFonts w:hAnsi="宋体"/>
          <w:szCs w:val="28"/>
        </w:rPr>
        <w:fldChar w:fldCharType="separate"/>
      </w:r>
      <w:r>
        <w:fldChar w:fldCharType="begin"/>
      </w:r>
      <w:r>
        <w:instrText xml:space="preserve"> HYPERLINK \l "_Toc120655609" </w:instrText>
      </w:r>
      <w:r>
        <w:fldChar w:fldCharType="separate"/>
      </w:r>
      <w:r>
        <w:rPr>
          <w:rStyle w:val="41"/>
          <w:rFonts w:hint="eastAsia"/>
        </w:rPr>
        <w:t>前</w:t>
      </w:r>
      <w:r>
        <w:rPr>
          <w:rStyle w:val="41"/>
          <w:rFonts w:hAnsi="黑体"/>
        </w:rPr>
        <w:t>  </w:t>
      </w:r>
      <w:r>
        <w:rPr>
          <w:rStyle w:val="41"/>
          <w:rFonts w:hint="eastAsia"/>
        </w:rPr>
        <w:t>言</w:t>
      </w:r>
      <w:r>
        <w:tab/>
      </w:r>
      <w:r>
        <w:fldChar w:fldCharType="begin"/>
      </w:r>
      <w:r>
        <w:instrText xml:space="preserve"> PAGEREF _Toc120655609 \h </w:instrText>
      </w:r>
      <w:r>
        <w:fldChar w:fldCharType="separate"/>
      </w:r>
      <w:r>
        <w:t>II</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"_Toc120655610" </w:instrText>
      </w:r>
      <w:r>
        <w:fldChar w:fldCharType="separate"/>
      </w:r>
      <w:r>
        <w:rPr>
          <w:rStyle w:val="41"/>
        </w:rPr>
        <w:t>1</w:t>
      </w:r>
      <w:r>
        <w:rPr>
          <w:rStyle w:val="41"/>
          <w:rFonts w:hint="eastAsia"/>
        </w:rPr>
        <w:t xml:space="preserve"> 范围</w:t>
      </w:r>
      <w:r>
        <w:tab/>
      </w:r>
      <w:r>
        <w:fldChar w:fldCharType="begin"/>
      </w:r>
      <w:r>
        <w:instrText xml:space="preserve"> PAGEREF _Toc120655610 \h </w:instrText>
      </w:r>
      <w:r>
        <w:fldChar w:fldCharType="separate"/>
      </w:r>
      <w:r>
        <w:t>1</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"_Toc120655611" </w:instrText>
      </w:r>
      <w:r>
        <w:fldChar w:fldCharType="separate"/>
      </w:r>
      <w:r>
        <w:rPr>
          <w:rStyle w:val="41"/>
        </w:rPr>
        <w:t>2</w:t>
      </w:r>
      <w:r>
        <w:rPr>
          <w:rStyle w:val="41"/>
          <w:rFonts w:hint="eastAsia"/>
        </w:rPr>
        <w:t xml:space="preserve"> 规范性引用文件</w:t>
      </w:r>
      <w:r>
        <w:tab/>
      </w:r>
      <w:r>
        <w:fldChar w:fldCharType="begin"/>
      </w:r>
      <w:r>
        <w:instrText xml:space="preserve"> PAGEREF _Toc120655611 \h </w:instrText>
      </w:r>
      <w:r>
        <w:fldChar w:fldCharType="separate"/>
      </w:r>
      <w:r>
        <w:t>1</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"_Toc120655612" </w:instrText>
      </w:r>
      <w:r>
        <w:fldChar w:fldCharType="separate"/>
      </w:r>
      <w:r>
        <w:rPr>
          <w:rStyle w:val="41"/>
        </w:rPr>
        <w:t>3</w:t>
      </w:r>
      <w:r>
        <w:rPr>
          <w:rStyle w:val="41"/>
          <w:rFonts w:hint="eastAsia"/>
        </w:rPr>
        <w:t xml:space="preserve"> 术语和定义</w:t>
      </w:r>
      <w:r>
        <w:tab/>
      </w:r>
      <w:r>
        <w:fldChar w:fldCharType="begin"/>
      </w:r>
      <w:r>
        <w:instrText xml:space="preserve"> PAGEREF _Toc120655612 \h </w:instrText>
      </w:r>
      <w:r>
        <w:fldChar w:fldCharType="separate"/>
      </w:r>
      <w:r>
        <w:t>1</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"_Toc120655613" </w:instrText>
      </w:r>
      <w:r>
        <w:fldChar w:fldCharType="separate"/>
      </w:r>
      <w:r>
        <w:rPr>
          <w:rStyle w:val="41"/>
        </w:rPr>
        <w:t>4</w:t>
      </w:r>
      <w:r>
        <w:rPr>
          <w:rStyle w:val="41"/>
          <w:rFonts w:hint="eastAsia"/>
        </w:rPr>
        <w:t xml:space="preserve"> 总体原则</w:t>
      </w:r>
      <w:r>
        <w:tab/>
      </w:r>
      <w:r>
        <w:fldChar w:fldCharType="begin"/>
      </w:r>
      <w:r>
        <w:instrText xml:space="preserve"> PAGEREF _Toc120655613 \h </w:instrText>
      </w:r>
      <w:r>
        <w:fldChar w:fldCharType="separate"/>
      </w:r>
      <w:r>
        <w:t>1</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"_Toc120655614" </w:instrText>
      </w:r>
      <w:r>
        <w:fldChar w:fldCharType="separate"/>
      </w:r>
      <w:r>
        <w:rPr>
          <w:rStyle w:val="41"/>
        </w:rPr>
        <w:t>5</w:t>
      </w:r>
      <w:r>
        <w:rPr>
          <w:rStyle w:val="41"/>
          <w:rFonts w:hint="eastAsia"/>
        </w:rPr>
        <w:t xml:space="preserve"> 运行过程</w:t>
      </w:r>
      <w:r>
        <w:tab/>
      </w:r>
      <w:r>
        <w:fldChar w:fldCharType="begin"/>
      </w:r>
      <w:r>
        <w:instrText xml:space="preserve"> PAGEREF _Toc120655614 \h </w:instrText>
      </w:r>
      <w:r>
        <w:fldChar w:fldCharType="separate"/>
      </w:r>
      <w:r>
        <w:t>2</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"_Toc120655615" </w:instrText>
      </w:r>
      <w:r>
        <w:fldChar w:fldCharType="separate"/>
      </w:r>
      <w:r>
        <w:rPr>
          <w:rStyle w:val="41"/>
        </w:rPr>
        <w:t>6</w:t>
      </w:r>
      <w:r>
        <w:rPr>
          <w:rStyle w:val="41"/>
          <w:rFonts w:hint="eastAsia"/>
        </w:rPr>
        <w:t xml:space="preserve"> 受理</w:t>
      </w:r>
      <w:r>
        <w:tab/>
      </w:r>
      <w:r>
        <w:fldChar w:fldCharType="begin"/>
      </w:r>
      <w:r>
        <w:instrText xml:space="preserve"> PAGEREF _Toc120655615 \h </w:instrText>
      </w:r>
      <w:r>
        <w:fldChar w:fldCharType="separate"/>
      </w:r>
      <w:r>
        <w:t>2</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"_Toc120655616" </w:instrText>
      </w:r>
      <w:r>
        <w:fldChar w:fldCharType="separate"/>
      </w:r>
      <w:r>
        <w:rPr>
          <w:rStyle w:val="41"/>
        </w:rPr>
        <w:t>7</w:t>
      </w:r>
      <w:r>
        <w:rPr>
          <w:rStyle w:val="41"/>
          <w:rFonts w:hint="eastAsia"/>
        </w:rPr>
        <w:t xml:space="preserve"> 勘验</w:t>
      </w:r>
      <w:r>
        <w:tab/>
      </w:r>
      <w:r>
        <w:fldChar w:fldCharType="begin"/>
      </w:r>
      <w:r>
        <w:instrText xml:space="preserve"> PAGEREF _Toc120655616 \h </w:instrText>
      </w:r>
      <w:r>
        <w:fldChar w:fldCharType="separate"/>
      </w:r>
      <w:r>
        <w:t>2</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"_Toc120655617" </w:instrText>
      </w:r>
      <w:r>
        <w:fldChar w:fldCharType="separate"/>
      </w:r>
      <w:r>
        <w:rPr>
          <w:rStyle w:val="41"/>
          <w:rFonts w:hAnsi="黑体"/>
        </w:rPr>
        <w:t>7.1</w:t>
      </w:r>
      <w:r>
        <w:rPr>
          <w:rStyle w:val="41"/>
          <w:rFonts w:hint="eastAsia"/>
        </w:rPr>
        <w:t xml:space="preserve"> 分类</w:t>
      </w:r>
      <w:r>
        <w:tab/>
      </w:r>
      <w:r>
        <w:fldChar w:fldCharType="begin"/>
      </w:r>
      <w:r>
        <w:instrText xml:space="preserve"> PAGEREF _Toc120655617 \h </w:instrText>
      </w:r>
      <w:r>
        <w:fldChar w:fldCharType="separate"/>
      </w:r>
      <w:r>
        <w:t>2</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"_Toc120655618" </w:instrText>
      </w:r>
      <w:r>
        <w:fldChar w:fldCharType="separate"/>
      </w:r>
      <w:r>
        <w:rPr>
          <w:rStyle w:val="41"/>
          <w:rFonts w:hAnsi="黑体"/>
        </w:rPr>
        <w:t>7.2</w:t>
      </w:r>
      <w:r>
        <w:rPr>
          <w:rStyle w:val="41"/>
          <w:rFonts w:hint="eastAsia"/>
        </w:rPr>
        <w:t xml:space="preserve"> 时限</w:t>
      </w:r>
      <w:r>
        <w:tab/>
      </w:r>
      <w:r>
        <w:fldChar w:fldCharType="begin"/>
      </w:r>
      <w:r>
        <w:instrText xml:space="preserve"> PAGEREF _Toc120655618 \h </w:instrText>
      </w:r>
      <w:r>
        <w:fldChar w:fldCharType="separate"/>
      </w:r>
      <w:r>
        <w:t>3</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"_Toc120655619" </w:instrText>
      </w:r>
      <w:r>
        <w:fldChar w:fldCharType="separate"/>
      </w:r>
      <w:r>
        <w:rPr>
          <w:rStyle w:val="41"/>
          <w:rFonts w:hAnsi="黑体"/>
        </w:rPr>
        <w:t>7.3</w:t>
      </w:r>
      <w:r>
        <w:rPr>
          <w:rStyle w:val="41"/>
          <w:rFonts w:hint="eastAsia"/>
        </w:rPr>
        <w:t xml:space="preserve"> 流程</w:t>
      </w:r>
      <w:r>
        <w:tab/>
      </w:r>
      <w:r>
        <w:fldChar w:fldCharType="begin"/>
      </w:r>
      <w:r>
        <w:instrText xml:space="preserve"> PAGEREF _Toc120655619 \h </w:instrText>
      </w:r>
      <w:r>
        <w:fldChar w:fldCharType="separate"/>
      </w:r>
      <w:r>
        <w:t>3</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"_Toc120655620" </w:instrText>
      </w:r>
      <w:r>
        <w:fldChar w:fldCharType="separate"/>
      </w:r>
      <w:r>
        <w:rPr>
          <w:rStyle w:val="41"/>
          <w:rFonts w:hAnsi="黑体"/>
        </w:rPr>
        <w:t>7.4</w:t>
      </w:r>
      <w:r>
        <w:rPr>
          <w:rStyle w:val="41"/>
          <w:rFonts w:hint="eastAsia"/>
        </w:rPr>
        <w:t xml:space="preserve"> 结果</w:t>
      </w:r>
      <w:r>
        <w:tab/>
      </w:r>
      <w:r>
        <w:fldChar w:fldCharType="begin"/>
      </w:r>
      <w:r>
        <w:instrText xml:space="preserve"> PAGEREF _Toc120655620 \h </w:instrText>
      </w:r>
      <w:r>
        <w:fldChar w:fldCharType="separate"/>
      </w:r>
      <w:r>
        <w:t>3</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"_Toc120655621" </w:instrText>
      </w:r>
      <w:r>
        <w:fldChar w:fldCharType="separate"/>
      </w:r>
      <w:r>
        <w:rPr>
          <w:rStyle w:val="41"/>
        </w:rPr>
        <w:t>8</w:t>
      </w:r>
      <w:r>
        <w:rPr>
          <w:rStyle w:val="41"/>
          <w:rFonts w:hint="eastAsia"/>
        </w:rPr>
        <w:t xml:space="preserve"> 审查</w:t>
      </w:r>
      <w:r>
        <w:tab/>
      </w:r>
      <w:r>
        <w:fldChar w:fldCharType="begin"/>
      </w:r>
      <w:r>
        <w:instrText xml:space="preserve"> PAGEREF _Toc120655621 \h </w:instrText>
      </w:r>
      <w:r>
        <w:fldChar w:fldCharType="separate"/>
      </w:r>
      <w:r>
        <w:t>3</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"_Toc120655622" </w:instrText>
      </w:r>
      <w:r>
        <w:fldChar w:fldCharType="separate"/>
      </w:r>
      <w:r>
        <w:rPr>
          <w:rStyle w:val="41"/>
          <w:rFonts w:hAnsi="黑体"/>
        </w:rPr>
        <w:t>8.1</w:t>
      </w:r>
      <w:r>
        <w:rPr>
          <w:rStyle w:val="41"/>
          <w:rFonts w:hint="eastAsia"/>
        </w:rPr>
        <w:t xml:space="preserve"> 一般要求</w:t>
      </w:r>
      <w:r>
        <w:tab/>
      </w:r>
      <w:r>
        <w:fldChar w:fldCharType="begin"/>
      </w:r>
      <w:r>
        <w:instrText xml:space="preserve"> PAGEREF _Toc120655622 \h </w:instrText>
      </w:r>
      <w:r>
        <w:fldChar w:fldCharType="separate"/>
      </w:r>
      <w:r>
        <w:t>3</w:t>
      </w:r>
      <w:r>
        <w:fldChar w:fldCharType="end"/>
      </w:r>
      <w:r>
        <w:fldChar w:fldCharType="end"/>
      </w:r>
    </w:p>
    <w:p>
      <w:pPr>
        <w:pStyle w:val="30"/>
        <w:ind w:left="210"/>
        <w:rPr>
          <w:rFonts w:asciiTheme="minorHAnsi" w:hAnsiTheme="minorHAnsi" w:eastAsiaTheme="minorEastAsia" w:cstheme="minorBidi"/>
          <w:szCs w:val="22"/>
        </w:rPr>
      </w:pPr>
      <w:r>
        <w:fldChar w:fldCharType="begin"/>
      </w:r>
      <w:r>
        <w:instrText xml:space="preserve"> HYPERLINK \l "_Toc120655623" </w:instrText>
      </w:r>
      <w:r>
        <w:fldChar w:fldCharType="separate"/>
      </w:r>
      <w:r>
        <w:rPr>
          <w:rStyle w:val="41"/>
          <w:rFonts w:hAnsi="黑体"/>
        </w:rPr>
        <w:t>8.2</w:t>
      </w:r>
      <w:r>
        <w:rPr>
          <w:rStyle w:val="41"/>
          <w:rFonts w:hint="eastAsia"/>
        </w:rPr>
        <w:t xml:space="preserve"> 结果</w:t>
      </w:r>
      <w:r>
        <w:tab/>
      </w:r>
      <w:r>
        <w:fldChar w:fldCharType="begin"/>
      </w:r>
      <w:r>
        <w:instrText xml:space="preserve"> PAGEREF _Toc120655623 \h </w:instrText>
      </w:r>
      <w:r>
        <w:fldChar w:fldCharType="separate"/>
      </w:r>
      <w:r>
        <w:t>4</w:t>
      </w:r>
      <w:r>
        <w:fldChar w:fldCharType="end"/>
      </w:r>
      <w:r>
        <w:fldChar w:fldCharType="end"/>
      </w:r>
    </w:p>
    <w:p>
      <w:pPr>
        <w:pStyle w:val="21"/>
        <w:spacing w:before="78" w:after="78"/>
        <w:rPr>
          <w:rFonts w:asciiTheme="minorHAnsi" w:hAnsiTheme="minorHAnsi" w:eastAsiaTheme="minorEastAsia" w:cstheme="minorBidi"/>
          <w:szCs w:val="22"/>
        </w:rPr>
      </w:pPr>
      <w:r>
        <w:fldChar w:fldCharType="begin"/>
      </w:r>
      <w:r>
        <w:instrText xml:space="preserve"> HYPERLINK \l "_Toc120655624" </w:instrText>
      </w:r>
      <w:r>
        <w:fldChar w:fldCharType="separate"/>
      </w:r>
      <w:r>
        <w:rPr>
          <w:rStyle w:val="41"/>
        </w:rPr>
        <w:t>9</w:t>
      </w:r>
      <w:r>
        <w:rPr>
          <w:rStyle w:val="41"/>
          <w:rFonts w:hint="eastAsia"/>
        </w:rPr>
        <w:t xml:space="preserve"> 协同机制</w:t>
      </w:r>
      <w:r>
        <w:tab/>
      </w:r>
      <w:r>
        <w:fldChar w:fldCharType="begin"/>
      </w:r>
      <w:r>
        <w:instrText xml:space="preserve"> PAGEREF _Toc120655624 \h </w:instrText>
      </w:r>
      <w:r>
        <w:fldChar w:fldCharType="separate"/>
      </w:r>
      <w:r>
        <w:t>4</w:t>
      </w:r>
      <w:r>
        <w:fldChar w:fldCharType="end"/>
      </w:r>
      <w:r>
        <w:fldChar w:fldCharType="end"/>
      </w:r>
    </w:p>
    <w:p>
      <w:pPr>
        <w:tabs>
          <w:tab w:val="left" w:pos="8647"/>
        </w:tabs>
        <w:ind w:firstLine="420" w:firstLineChars="200"/>
        <w:rPr>
          <w:rFonts w:ascii="宋体" w:hAnsi="宋体"/>
          <w:szCs w:val="28"/>
        </w:rPr>
      </w:pPr>
      <w:r>
        <w:rPr>
          <w:rFonts w:ascii="宋体" w:hAnsi="宋体"/>
          <w:szCs w:val="28"/>
        </w:rPr>
        <w:fldChar w:fldCharType="end"/>
      </w:r>
    </w:p>
    <w:p>
      <w:pPr>
        <w:pStyle w:val="114"/>
      </w:pPr>
      <w:bookmarkStart w:id="13" w:name="_Toc120655609"/>
      <w:bookmarkStart w:id="14" w:name="_Toc475694823"/>
      <w:r>
        <w:rPr>
          <w:rFonts w:hint="eastAsia"/>
        </w:rPr>
        <w:t>前</w:t>
      </w:r>
      <w:bookmarkStart w:id="15" w:name="BKQY"/>
      <w:r>
        <w:rPr>
          <w:rFonts w:hAnsi="黑体"/>
        </w:rPr>
        <w:t>  </w:t>
      </w:r>
      <w:r>
        <w:rPr>
          <w:rFonts w:hint="eastAsia"/>
        </w:rPr>
        <w:t>言</w:t>
      </w:r>
      <w:bookmarkEnd w:id="13"/>
      <w:bookmarkEnd w:id="14"/>
      <w:bookmarkEnd w:id="15"/>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ascii="宋体" w:hAnsi="宋体"/>
          <w:szCs w:val="28"/>
        </w:rPr>
      </w:pPr>
      <w:r>
        <w:rPr>
          <w:rFonts w:hint="eastAsia" w:ascii="宋体" w:hAnsi="宋体"/>
          <w:szCs w:val="28"/>
        </w:rPr>
        <w:t>本</w:t>
      </w:r>
      <w:r>
        <w:rPr>
          <w:rFonts w:hint="eastAsia"/>
        </w:rPr>
        <w:t>文件</w:t>
      </w:r>
      <w:r>
        <w:rPr>
          <w:rFonts w:hint="eastAsia" w:ascii="宋体" w:hAnsi="宋体"/>
          <w:szCs w:val="28"/>
        </w:rPr>
        <w:t>由河北省政务服务管理办公室提出并归口。</w:t>
      </w:r>
    </w:p>
    <w:p>
      <w:pPr>
        <w:ind w:firstLine="420" w:firstLineChars="200"/>
        <w:rPr>
          <w:rFonts w:ascii="宋体" w:hAnsi="宋体"/>
          <w:szCs w:val="28"/>
        </w:rPr>
      </w:pPr>
      <w:r>
        <w:rPr>
          <w:rFonts w:hint="eastAsia" w:ascii="宋体" w:hAnsi="宋体"/>
          <w:szCs w:val="28"/>
        </w:rPr>
        <w:t>本</w:t>
      </w:r>
      <w:r>
        <w:rPr>
          <w:rFonts w:hint="eastAsia"/>
        </w:rPr>
        <w:t>文件</w:t>
      </w:r>
      <w:r>
        <w:rPr>
          <w:rFonts w:ascii="宋体" w:hAnsi="宋体"/>
          <w:szCs w:val="28"/>
        </w:rPr>
        <w:t>起草单位：</w:t>
      </w:r>
      <w:r>
        <w:rPr>
          <w:rFonts w:hint="eastAsia" w:ascii="宋体" w:hAnsi="宋体"/>
          <w:szCs w:val="28"/>
        </w:rPr>
        <w:t>石家庄市行政审批局。</w:t>
      </w:r>
    </w:p>
    <w:p>
      <w:pPr>
        <w:ind w:firstLine="420" w:firstLineChars="200"/>
        <w:rPr>
          <w:rFonts w:ascii="宋体" w:hAnsi="宋体"/>
          <w:szCs w:val="28"/>
        </w:rPr>
      </w:pPr>
      <w:r>
        <w:rPr>
          <w:rFonts w:hint="eastAsia" w:ascii="宋体" w:hAnsi="宋体"/>
          <w:szCs w:val="28"/>
        </w:rPr>
        <w:t>本</w:t>
      </w:r>
      <w:r>
        <w:rPr>
          <w:rFonts w:hint="eastAsia"/>
        </w:rPr>
        <w:t>文件</w:t>
      </w:r>
      <w:r>
        <w:rPr>
          <w:rFonts w:hint="eastAsia" w:ascii="宋体" w:hAnsi="宋体"/>
          <w:szCs w:val="28"/>
        </w:rPr>
        <w:t>主要起草人：ＸＸＸ、ＸＸＸ。</w:t>
      </w:r>
    </w:p>
    <w:p>
      <w:pPr>
        <w:ind w:firstLine="420" w:firstLineChars="200"/>
      </w:pPr>
      <w:r>
        <w:br w:type="page"/>
      </w:r>
    </w:p>
    <w:p>
      <w:pPr>
        <w:pStyle w:val="25"/>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2"/>
      </w:pPr>
      <w:r>
        <w:rPr>
          <w:rFonts w:hint="eastAsia"/>
        </w:rPr>
        <w:t>行政许可事项受理、勘验和审查协同运行规范</w:t>
      </w:r>
    </w:p>
    <w:p>
      <w:pPr>
        <w:pStyle w:val="47"/>
        <w:numPr>
          <w:ilvl w:val="0"/>
          <w:numId w:val="19"/>
        </w:numPr>
        <w:spacing w:before="312" w:after="312"/>
      </w:pPr>
      <w:bookmarkStart w:id="16" w:name="_Toc475694825"/>
      <w:bookmarkStart w:id="17" w:name="_Toc120655610"/>
      <w:r>
        <w:rPr>
          <w:rFonts w:hint="eastAsia"/>
        </w:rPr>
        <w:t>范围</w:t>
      </w:r>
      <w:bookmarkEnd w:id="16"/>
      <w:bookmarkEnd w:id="17"/>
    </w:p>
    <w:p>
      <w:pPr>
        <w:pStyle w:val="25"/>
      </w:pPr>
      <w:r>
        <w:rPr>
          <w:rFonts w:hint="eastAsia"/>
        </w:rPr>
        <w:t>本文件规定了行政审批</w:t>
      </w:r>
      <w:r>
        <w:t>事项</w:t>
      </w:r>
      <w:r>
        <w:rPr>
          <w:rFonts w:hint="eastAsia"/>
        </w:rPr>
        <w:t>受理、勘验和审查协同</w:t>
      </w:r>
      <w:r>
        <w:t>作业</w:t>
      </w:r>
      <w:r>
        <w:rPr>
          <w:rFonts w:hint="eastAsia"/>
        </w:rPr>
        <w:t>的总体原则</w:t>
      </w:r>
      <w:r>
        <w:t>、</w:t>
      </w:r>
      <w:r>
        <w:rPr>
          <w:rFonts w:hint="eastAsia"/>
        </w:rPr>
        <w:t>运行</w:t>
      </w:r>
      <w:r>
        <w:t>过程、受理、勘验、审查和</w:t>
      </w:r>
      <w:r>
        <w:rPr>
          <w:rFonts w:hint="eastAsia"/>
        </w:rPr>
        <w:t>协同机制。</w:t>
      </w:r>
    </w:p>
    <w:p>
      <w:pPr>
        <w:pStyle w:val="25"/>
      </w:pPr>
      <w:r>
        <w:rPr>
          <w:rFonts w:hint="eastAsia"/>
        </w:rPr>
        <w:t>本文件适用于行政许可事项受理、勘验和审查事项办理的协同运行。</w:t>
      </w:r>
    </w:p>
    <w:p>
      <w:pPr>
        <w:pStyle w:val="47"/>
        <w:spacing w:before="312" w:after="312"/>
      </w:pPr>
      <w:bookmarkStart w:id="18" w:name="_Toc475694826"/>
      <w:bookmarkStart w:id="19" w:name="_Toc120655611"/>
      <w:r>
        <w:rPr>
          <w:rFonts w:hint="eastAsia"/>
        </w:rPr>
        <w:t>规范性引用文件</w:t>
      </w:r>
      <w:bookmarkEnd w:id="18"/>
      <w:bookmarkEnd w:id="19"/>
    </w:p>
    <w:p>
      <w:pPr>
        <w:pStyle w:val="25"/>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5"/>
      </w:pPr>
      <w:r>
        <w:rPr>
          <w:rFonts w:hint="eastAsia"/>
        </w:rPr>
        <w:t>GB/T 38544-2020  行政许可申请与受理规范</w:t>
      </w:r>
    </w:p>
    <w:p>
      <w:pPr>
        <w:pStyle w:val="25"/>
      </w:pPr>
      <w:r>
        <w:rPr>
          <w:rFonts w:hint="eastAsia"/>
        </w:rPr>
        <w:t>GB/T 38543-2020  行政许可审查与决定规范</w:t>
      </w:r>
    </w:p>
    <w:p>
      <w:pPr>
        <w:pStyle w:val="47"/>
        <w:spacing w:before="312" w:after="312"/>
      </w:pPr>
      <w:bookmarkStart w:id="20" w:name="_Toc475694827"/>
      <w:bookmarkStart w:id="21" w:name="_Toc120655612"/>
      <w:r>
        <w:rPr>
          <w:rFonts w:hint="eastAsia"/>
        </w:rPr>
        <w:t>术语和定义</w:t>
      </w:r>
      <w:bookmarkEnd w:id="20"/>
      <w:bookmarkEnd w:id="21"/>
    </w:p>
    <w:p>
      <w:pPr>
        <w:pStyle w:val="25"/>
      </w:pPr>
      <w:r>
        <w:rPr>
          <w:rFonts w:hint="eastAsia"/>
        </w:rPr>
        <w:t>下列术语和定义适用于本文件。</w:t>
      </w:r>
    </w:p>
    <w:p>
      <w:pPr>
        <w:pStyle w:val="127"/>
        <w:spacing w:before="156" w:beforeLines="50" w:after="156" w:afterLines="50"/>
      </w:pPr>
    </w:p>
    <w:p>
      <w:pPr>
        <w:pStyle w:val="25"/>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受理 acceptance </w:t>
      </w:r>
      <w:r>
        <w:rPr>
          <w:rFonts w:ascii="黑体" w:hAnsi="黑体" w:eastAsia="黑体"/>
        </w:rPr>
        <w:t>of administrative license</w:t>
      </w:r>
    </w:p>
    <w:p>
      <w:pPr>
        <w:pStyle w:val="25"/>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行政许可实施机构对行政相对人的申请进行审查后</w:t>
      </w:r>
      <w:r>
        <w:rPr>
          <w:rFonts w:hint="eastAsia" w:cs="Tahoma" w:asciiTheme="minorEastAsia" w:hAnsiTheme="minorEastAsia" w:eastAsiaTheme="minorEastAsia"/>
          <w:color w:val="000000" w:themeColor="text1"/>
          <w14:textFill>
            <w14:solidFill>
              <w14:schemeClr w14:val="tx1"/>
            </w14:solidFill>
          </w14:textFill>
        </w:rPr>
        <w:t>，</w:t>
      </w:r>
      <w:r>
        <w:rPr>
          <w:rFonts w:hint="eastAsia" w:asciiTheme="minorEastAsia" w:hAnsiTheme="minorEastAsia" w:eastAsiaTheme="minorEastAsia"/>
          <w:color w:val="000000" w:themeColor="text1"/>
          <w14:textFill>
            <w14:solidFill>
              <w14:schemeClr w14:val="tx1"/>
            </w14:solidFill>
          </w14:textFill>
        </w:rPr>
        <w:t>对符合法定受理条件的申请予以接受的行为。</w:t>
      </w:r>
    </w:p>
    <w:p>
      <w:pPr>
        <w:pStyle w:val="25"/>
      </w:pPr>
      <w:r>
        <w:rPr>
          <w:rFonts w:hint="eastAsia"/>
        </w:rPr>
        <w:t>[来源：</w:t>
      </w:r>
      <w:r>
        <w:t>GB/T 38544-2020</w:t>
      </w:r>
      <w:r>
        <w:rPr>
          <w:rFonts w:hint="eastAsia"/>
        </w:rPr>
        <w:t>，3.</w:t>
      </w:r>
      <w:r>
        <w:t>4</w:t>
      </w:r>
      <w:r>
        <w:rPr>
          <w:rFonts w:hint="eastAsia"/>
        </w:rPr>
        <w:t>]</w:t>
      </w:r>
    </w:p>
    <w:p>
      <w:pPr>
        <w:pStyle w:val="127"/>
        <w:spacing w:before="156" w:beforeLines="50" w:after="156" w:afterLines="50"/>
      </w:pPr>
    </w:p>
    <w:p>
      <w:pPr>
        <w:pStyle w:val="25"/>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勘验 </w:t>
      </w:r>
      <w:r>
        <w:rPr>
          <w:rFonts w:ascii="黑体" w:hAnsi="黑体" w:eastAsia="黑体"/>
          <w:color w:val="000000" w:themeColor="text1"/>
          <w14:textFill>
            <w14:solidFill>
              <w14:schemeClr w14:val="tx1"/>
            </w14:solidFill>
          </w14:textFill>
        </w:rPr>
        <w:t>Investigation</w:t>
      </w:r>
      <w:r>
        <w:rPr>
          <w:rFonts w:hint="eastAsia" w:ascii="黑体" w:hAnsi="黑体" w:eastAsia="黑体"/>
          <w:color w:val="000000" w:themeColor="text1"/>
          <w14:textFill>
            <w14:solidFill>
              <w14:schemeClr w14:val="tx1"/>
            </w14:solidFill>
          </w14:textFill>
        </w:rPr>
        <w:t xml:space="preserve"> </w:t>
      </w:r>
      <w:r>
        <w:rPr>
          <w:rFonts w:ascii="黑体" w:hAnsi="黑体" w:eastAsia="黑体"/>
          <w:color w:val="000000" w:themeColor="text1"/>
          <w14:textFill>
            <w14:solidFill>
              <w14:schemeClr w14:val="tx1"/>
            </w14:solidFill>
          </w14:textFill>
        </w:rPr>
        <w:t>of administrative license</w:t>
      </w:r>
    </w:p>
    <w:p>
      <w:pPr>
        <w:pStyle w:val="25"/>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行政许可实施机构根据法定条件和程序对申请材料的实质内容进行现场调查、核实、确认和检查的行为。</w:t>
      </w:r>
    </w:p>
    <w:p>
      <w:pPr>
        <w:pStyle w:val="127"/>
        <w:spacing w:before="156" w:beforeLines="50" w:after="156" w:afterLines="50"/>
        <w:rPr>
          <w:rFonts w:ascii="黑体" w:hAnsi="黑体" w:eastAsia="黑体"/>
          <w:color w:val="FF0000"/>
        </w:rPr>
      </w:pPr>
    </w:p>
    <w:p>
      <w:pPr>
        <w:pStyle w:val="25"/>
        <w:rPr>
          <w:rFonts w:ascii="黑体" w:hAnsi="黑体" w:eastAsia="黑体"/>
        </w:rPr>
      </w:pPr>
      <w:r>
        <w:rPr>
          <w:rFonts w:hint="eastAsia" w:ascii="黑体" w:hAnsi="黑体" w:eastAsia="黑体"/>
        </w:rPr>
        <w:t xml:space="preserve">审查 </w:t>
      </w:r>
      <w:r>
        <w:rPr>
          <w:rFonts w:ascii="黑体" w:hAnsi="黑体" w:eastAsia="黑体"/>
        </w:rPr>
        <w:t>examination of administrative license</w:t>
      </w:r>
    </w:p>
    <w:p>
      <w:pPr>
        <w:pStyle w:val="25"/>
      </w:pPr>
      <w:r>
        <w:rPr>
          <w:rFonts w:hint="eastAsia"/>
        </w:rPr>
        <w:t>行政许可实施机构在受理行政许可申请后对申请材料的内容是否符合法定条件和标准进行检查和核实的行为 。</w:t>
      </w:r>
    </w:p>
    <w:p>
      <w:pPr>
        <w:pStyle w:val="25"/>
        <w:rPr>
          <w:color w:val="FF0000"/>
          <w:szCs w:val="21"/>
        </w:rPr>
      </w:pPr>
      <w:r>
        <w:rPr>
          <w:rFonts w:hint="eastAsia"/>
        </w:rPr>
        <w:t>[来源：</w:t>
      </w:r>
      <w:r>
        <w:t>GB/T 38543-2020</w:t>
      </w:r>
      <w:r>
        <w:rPr>
          <w:rFonts w:hint="eastAsia"/>
        </w:rPr>
        <w:t>，3.1]</w:t>
      </w:r>
    </w:p>
    <w:p>
      <w:pPr>
        <w:pStyle w:val="47"/>
        <w:spacing w:before="312" w:after="312"/>
      </w:pPr>
      <w:bookmarkStart w:id="22" w:name="_Toc120655613"/>
      <w:r>
        <w:rPr>
          <w:rFonts w:hint="eastAsia"/>
        </w:rPr>
        <w:t>总体原则</w:t>
      </w:r>
      <w:bookmarkEnd w:id="22"/>
    </w:p>
    <w:p>
      <w:pPr>
        <w:pStyle w:val="127"/>
      </w:pPr>
      <w:r>
        <w:rPr>
          <w:rFonts w:hint="eastAsia"/>
        </w:rPr>
        <w:t>行政许可实施机构实施行政许可遵循高效、公开、公平、公正、廉洁的原则。</w:t>
      </w:r>
    </w:p>
    <w:p>
      <w:pPr>
        <w:pStyle w:val="127"/>
      </w:pPr>
      <w:r>
        <w:rPr>
          <w:rFonts w:hint="eastAsia"/>
        </w:rPr>
        <w:t>行政许可实施机构实施行政许可遵循综合管理、统一调动的原则，建立受理、勘验和审查协同运行机制。</w:t>
      </w:r>
    </w:p>
    <w:p>
      <w:pPr>
        <w:pStyle w:val="127"/>
      </w:pPr>
      <w:r>
        <w:rPr>
          <w:rFonts w:hint="eastAsia"/>
        </w:rPr>
        <w:t>行政许可实施机构及其工作人员在与所作行政许可有利害关系的，应当回避。</w:t>
      </w:r>
    </w:p>
    <w:p>
      <w:pPr>
        <w:pStyle w:val="47"/>
        <w:spacing w:before="312" w:after="312"/>
      </w:pPr>
      <w:bookmarkStart w:id="23" w:name="_Toc120655614"/>
      <w:r>
        <w:t>运行过程</w:t>
      </w:r>
      <w:bookmarkEnd w:id="23"/>
    </w:p>
    <w:p>
      <w:pPr>
        <w:pStyle w:val="127"/>
      </w:pPr>
      <w:r>
        <w:rPr>
          <w:rFonts w:hint="eastAsia"/>
        </w:rPr>
        <w:t>行政许可实施机构受理行政相对人申请后，受理人员通过纸质或网络平台将受理结果推送至审批人员。</w:t>
      </w:r>
    </w:p>
    <w:p>
      <w:pPr>
        <w:pStyle w:val="127"/>
      </w:pPr>
      <w:r>
        <w:rPr>
          <w:rFonts w:hint="eastAsia"/>
        </w:rPr>
        <w:t>审批人员通过纸质或网络平台推送勘验任务至勘验部门。</w:t>
      </w:r>
    </w:p>
    <w:p>
      <w:pPr>
        <w:pStyle w:val="127"/>
      </w:pPr>
      <w:r>
        <w:rPr>
          <w:rFonts w:hint="eastAsia"/>
        </w:rPr>
        <w:t>勘验人员将勘验结果在规定时间内反馈给审批人员。</w:t>
      </w:r>
    </w:p>
    <w:p>
      <w:pPr>
        <w:pStyle w:val="127"/>
      </w:pPr>
      <w:r>
        <w:rPr>
          <w:rFonts w:hint="eastAsia"/>
        </w:rPr>
        <w:t>行政许可实施机构审批人员结合勘验结果依法对申请材料的完整性、真实性等材料的审查。</w:t>
      </w:r>
    </w:p>
    <w:p>
      <w:pPr>
        <w:pStyle w:val="47"/>
        <w:spacing w:before="312" w:after="312"/>
      </w:pPr>
      <w:bookmarkStart w:id="24" w:name="_Toc120655615"/>
      <w:r>
        <w:rPr>
          <w:rFonts w:hint="eastAsia"/>
        </w:rPr>
        <w:t>受理</w:t>
      </w:r>
      <w:bookmarkEnd w:id="24"/>
    </w:p>
    <w:p>
      <w:pPr>
        <w:pStyle w:val="127"/>
      </w:pPr>
      <w:r>
        <w:rPr>
          <w:rFonts w:hint="eastAsia"/>
        </w:rPr>
        <w:t>受理审查的主要工作是接收申请材料，并对以下方面进行审查：</w:t>
      </w:r>
    </w:p>
    <w:p>
      <w:pPr>
        <w:pStyle w:val="50"/>
      </w:pPr>
      <w:r>
        <w:rPr>
          <w:rFonts w:hint="eastAsia"/>
        </w:rPr>
        <w:t>申请事项是否依法需要取得行政许可；</w:t>
      </w:r>
    </w:p>
    <w:p>
      <w:pPr>
        <w:pStyle w:val="50"/>
      </w:pPr>
      <w:r>
        <w:rPr>
          <w:rFonts w:hint="eastAsia"/>
        </w:rPr>
        <w:t>申请事项是否依法属于本行政许可实施机构职权范围；</w:t>
      </w:r>
    </w:p>
    <w:p>
      <w:pPr>
        <w:pStyle w:val="50"/>
      </w:pPr>
      <w:r>
        <w:rPr>
          <w:rFonts w:hint="eastAsia"/>
        </w:rPr>
        <w:t>材料是否齐全 、 是否符合法定形式等。</w:t>
      </w:r>
    </w:p>
    <w:p>
      <w:pPr>
        <w:pStyle w:val="127"/>
      </w:pPr>
      <w:r>
        <w:rPr>
          <w:rFonts w:hint="eastAsia"/>
        </w:rPr>
        <w:t>行政许可实施机构对申请人提出的行政许可申请，应根据下列情况分别作出处理：</w:t>
      </w:r>
    </w:p>
    <w:p>
      <w:pPr>
        <w:pStyle w:val="50"/>
      </w:pPr>
      <w:r>
        <w:rPr>
          <w:rFonts w:hint="eastAsia"/>
        </w:rPr>
        <w:t>申请事项依法不需要取得行政许可的，应即时告知申请人不受理；</w:t>
      </w:r>
    </w:p>
    <w:p>
      <w:pPr>
        <w:pStyle w:val="50"/>
      </w:pPr>
      <w:r>
        <w:rPr>
          <w:rFonts w:hint="eastAsia"/>
        </w:rPr>
        <w:t>申请事项依法不属于本行政机关职权范围的，应即时作出不予受理的决定，并告知申请人向有关行政机关申请；</w:t>
      </w:r>
    </w:p>
    <w:p>
      <w:pPr>
        <w:pStyle w:val="50"/>
      </w:pPr>
      <w:r>
        <w:rPr>
          <w:rFonts w:hint="eastAsia"/>
        </w:rPr>
        <w:t>申请材料存在可以当场更正的错误的，应允许申请人当场更正；</w:t>
      </w:r>
    </w:p>
    <w:p>
      <w:pPr>
        <w:pStyle w:val="50"/>
      </w:pPr>
      <w:r>
        <w:rPr>
          <w:rFonts w:hint="eastAsia"/>
        </w:rPr>
        <w:t>申请材料不齐全或者不符合法定形式的，应当场或者在五日内一次告知申请人需要补正的全部内容，逾期不告知的，自收到申请材料之日起即为受理；</w:t>
      </w:r>
    </w:p>
    <w:p>
      <w:pPr>
        <w:pStyle w:val="50"/>
      </w:pPr>
      <w:r>
        <w:rPr>
          <w:rFonts w:hint="eastAsia"/>
        </w:rPr>
        <w:t>申请事项属于本行政机关职权范围，申请材料齐全、符合法定形式，或者申请人按照本行政机关的要求提交全部补正申请材料的，应受理行政许可申请；</w:t>
      </w:r>
    </w:p>
    <w:p>
      <w:pPr>
        <w:pStyle w:val="50"/>
      </w:pPr>
      <w:r>
        <w:rPr>
          <w:rFonts w:hint="eastAsia"/>
        </w:rPr>
        <w:t>行政机关受理或者不予受理行政许可申请，应出具加盖本行政机关专用印章和注明日期的书面凭证。</w:t>
      </w:r>
    </w:p>
    <w:p>
      <w:pPr>
        <w:pStyle w:val="127"/>
      </w:pPr>
      <w:r>
        <w:t>受理决定和不予受理决定应按照GB/T 38544-2020中</w:t>
      </w:r>
      <w:r>
        <w:rPr>
          <w:rFonts w:hint="eastAsia"/>
        </w:rPr>
        <w:t>7</w:t>
      </w:r>
      <w:r>
        <w:t>.3和</w:t>
      </w:r>
      <w:r>
        <w:rPr>
          <w:rFonts w:hint="eastAsia"/>
        </w:rPr>
        <w:t>7</w:t>
      </w:r>
      <w:r>
        <w:t>.4的要求执行。</w:t>
      </w:r>
    </w:p>
    <w:p>
      <w:pPr>
        <w:pStyle w:val="47"/>
        <w:spacing w:before="312" w:after="312"/>
      </w:pPr>
      <w:bookmarkStart w:id="25" w:name="_Toc120655616"/>
      <w:r>
        <w:rPr>
          <w:rFonts w:hint="eastAsia"/>
        </w:rPr>
        <w:t>勘验</w:t>
      </w:r>
      <w:bookmarkEnd w:id="25"/>
    </w:p>
    <w:p>
      <w:pPr>
        <w:pStyle w:val="44"/>
      </w:pPr>
      <w:bookmarkStart w:id="26" w:name="_Toc120655617"/>
      <w:r>
        <w:rPr>
          <w:rFonts w:hint="eastAsia"/>
        </w:rPr>
        <w:t>分类</w:t>
      </w:r>
      <w:bookmarkEnd w:id="26"/>
    </w:p>
    <w:p>
      <w:pPr>
        <w:pStyle w:val="65"/>
      </w:pPr>
      <w:r>
        <w:rPr>
          <w:rFonts w:hint="eastAsia"/>
        </w:rPr>
        <w:t>独立勘验。行政许可实施机构根据相关法律法规要求，自行组织实施，派2名及以上正式工作人员独立对勘验现场做出调查意见的过程。</w:t>
      </w:r>
    </w:p>
    <w:p>
      <w:pPr>
        <w:pStyle w:val="65"/>
      </w:pPr>
      <w:r>
        <w:rPr>
          <w:rFonts w:hint="eastAsia"/>
        </w:rPr>
        <w:t>委托勘验。对专业性、技术性较强的现场勘验工作，按行政许可实施机构与行政审批事项划转部门签订的交接书规定，由行政许可实施机构负责组织，相关部门出具现场勘验技术意见的，以及依照相关法规可委托专家或专业第三方机构出具现场勘验意见的勘验方式。</w:t>
      </w:r>
    </w:p>
    <w:p>
      <w:pPr>
        <w:pStyle w:val="65"/>
      </w:pPr>
      <w:r>
        <w:rPr>
          <w:rFonts w:hint="eastAsia"/>
        </w:rPr>
        <w:t>联合勘验。按行政许可实施机构与行政审批事项划转部门签订的交接书规定的联合勘验的审批项目，和对进入“联审联办”“一链办理”“联合验收”的审批项目，以及同一行政相对人办理多个行政审批事项中有两个以上行政审批事项涉及现场勘验的，开展联合现场勘验。由行政许可实施机构作为业务组织单位，确定具体勘验时间并做好保障工作，协调各相关勘验部门按时限出具勘验意见。</w:t>
      </w:r>
    </w:p>
    <w:p>
      <w:pPr>
        <w:pStyle w:val="65"/>
      </w:pPr>
      <w:r>
        <w:rPr>
          <w:rFonts w:hint="eastAsia"/>
        </w:rPr>
        <w:t>远程勘验。对于简易低风险审批项目的现场勘验，通过使用在线视频实时传输、影像资料传递等方式，完成对申请材料实质内容的现场调查、核实等工作，实现“不见面”勘验。</w:t>
      </w:r>
    </w:p>
    <w:p>
      <w:pPr>
        <w:pStyle w:val="44"/>
      </w:pPr>
      <w:bookmarkStart w:id="27" w:name="_Toc120655618"/>
      <w:r>
        <w:t>时限</w:t>
      </w:r>
      <w:bookmarkEnd w:id="27"/>
    </w:p>
    <w:p>
      <w:pPr>
        <w:pStyle w:val="65"/>
      </w:pPr>
      <w:r>
        <w:rPr>
          <w:rFonts w:hint="eastAsia"/>
        </w:rPr>
        <w:t>勘验承诺时限是从接到勘验任务到提交勘验结论完成的时间。</w:t>
      </w:r>
    </w:p>
    <w:p>
      <w:pPr>
        <w:pStyle w:val="65"/>
      </w:pPr>
      <w:r>
        <w:rPr>
          <w:rFonts w:hint="eastAsia"/>
        </w:rPr>
        <w:t>勘验工作应在勘验承诺时限内完成勘验任务。</w:t>
      </w:r>
    </w:p>
    <w:p>
      <w:pPr>
        <w:pStyle w:val="65"/>
      </w:pPr>
      <w:r>
        <w:rPr>
          <w:rFonts w:hint="eastAsia"/>
        </w:rPr>
        <w:t>因申请人整改、不可抗力因素等原因占用的时间，不计算在勘验承诺时限内。</w:t>
      </w:r>
    </w:p>
    <w:p>
      <w:pPr>
        <w:pStyle w:val="44"/>
      </w:pPr>
      <w:bookmarkStart w:id="28" w:name="_Toc120655619"/>
      <w:r>
        <w:rPr>
          <w:rFonts w:hint="eastAsia"/>
        </w:rPr>
        <w:t>流程</w:t>
      </w:r>
      <w:bookmarkEnd w:id="28"/>
    </w:p>
    <w:p>
      <w:pPr>
        <w:pStyle w:val="65"/>
      </w:pPr>
      <w:r>
        <w:rPr>
          <w:rFonts w:hint="eastAsia"/>
        </w:rPr>
        <w:t>明确勘验任务。受理并初审合格后，按照勘验目录清单，1个工作日内向勘验部提交行政审批事项现场勘验任务单，并提供现场勘验需要的材料。</w:t>
      </w:r>
    </w:p>
    <w:p>
      <w:pPr>
        <w:pStyle w:val="65"/>
      </w:pPr>
      <w:r>
        <w:rPr>
          <w:rFonts w:hint="eastAsia"/>
        </w:rPr>
        <w:t xml:space="preserve">确定勘验时间。勘验部根据行政审批事项现场勘验任务单和勘验法定条件等确定勘验类型，勘验时间，勘验成员，做好现场勘验准备工作。          </w:t>
      </w:r>
    </w:p>
    <w:p>
      <w:pPr>
        <w:pStyle w:val="65"/>
      </w:pPr>
      <w:r>
        <w:rPr>
          <w:rFonts w:hint="eastAsia"/>
        </w:rPr>
        <w:t>依法现场勘验。现场勘验工作人员在确定的时间抵达勘验现场，按照行政审批事项现场勘验任务单的有关要求，逐一调查、核实、确认、检查、勘验现场情况，并以文字、录像、图片等其他形式记录现场勘验情况。依法需要组织专家实施核查的，须明确专家类型、专家人数，由专家库随机抽取确定专家名单，核查过程使用视频踏勘记录仪或远程勘验系统对行政执法全过程记录。</w:t>
      </w:r>
    </w:p>
    <w:p>
      <w:pPr>
        <w:pStyle w:val="65"/>
      </w:pPr>
      <w:r>
        <w:rPr>
          <w:rFonts w:hint="eastAsia"/>
        </w:rPr>
        <w:t>形成勘验结果。核查过程使用视频踏勘记录仪或远程勘验系统对行政执法全过程记录，根据核查情况形成核查结果，承诺时限内出具勘验报告。</w:t>
      </w:r>
      <w:r>
        <w:rPr>
          <w:rFonts w:hint="eastAsia" w:asciiTheme="minorEastAsia" w:hAnsiTheme="minorEastAsia" w:eastAsiaTheme="minorEastAsia" w:cstheme="minorEastAsia"/>
        </w:rPr>
        <w:t>勘验人员在核查报告单上签署意见并签字，不签字视为无效。</w:t>
      </w:r>
    </w:p>
    <w:p>
      <w:pPr>
        <w:pStyle w:val="65"/>
      </w:pPr>
      <w:r>
        <w:rPr>
          <w:rFonts w:hint="eastAsia"/>
        </w:rPr>
        <w:t>提交勘验结论。现场勘验完成后，勘验服务部应当在规定时间内将勘验结论推送审批科室，并将记录现场勘验情况的文字、录像、图片等资料按照归档范围收集齐全，进行整理、归档立卷。</w:t>
      </w:r>
    </w:p>
    <w:p>
      <w:pPr>
        <w:pStyle w:val="44"/>
      </w:pPr>
      <w:bookmarkStart w:id="29" w:name="_Toc120655620"/>
      <w:r>
        <w:rPr>
          <w:rFonts w:hint="eastAsia"/>
        </w:rPr>
        <w:t>结果</w:t>
      </w:r>
      <w:bookmarkEnd w:id="29"/>
    </w:p>
    <w:p>
      <w:pPr>
        <w:pStyle w:val="65"/>
      </w:pPr>
      <w:r>
        <w:rPr>
          <w:rFonts w:hint="eastAsia"/>
        </w:rPr>
        <w:t>首次现场勘验意见为“合格”“不合格”或“不合格但同意复勘”三类。</w:t>
      </w:r>
    </w:p>
    <w:p>
      <w:pPr>
        <w:pStyle w:val="65"/>
      </w:pPr>
      <w:r>
        <w:rPr>
          <w:rFonts w:hint="eastAsia"/>
        </w:rPr>
        <w:t>对“不合格但同意复勘”的事项，勘验小组最迟应在整改期限前一天按程序进行二次派单，复勘仍按原流程继续开展。</w:t>
      </w:r>
    </w:p>
    <w:p>
      <w:pPr>
        <w:pStyle w:val="65"/>
      </w:pPr>
      <w:r>
        <w:rPr>
          <w:rFonts w:hint="eastAsia"/>
        </w:rPr>
        <w:t>复勘只可申请一次，复勘意见只能是“合格”或“不合格”。</w:t>
      </w:r>
    </w:p>
    <w:p>
      <w:pPr>
        <w:pStyle w:val="47"/>
        <w:spacing w:before="312" w:after="312"/>
      </w:pPr>
      <w:bookmarkStart w:id="30" w:name="_Toc120655621"/>
      <w:r>
        <w:rPr>
          <w:rFonts w:hint="eastAsia"/>
        </w:rPr>
        <w:t>审查</w:t>
      </w:r>
      <w:bookmarkEnd w:id="30"/>
    </w:p>
    <w:p>
      <w:pPr>
        <w:pStyle w:val="44"/>
      </w:pPr>
      <w:bookmarkStart w:id="31" w:name="_Toc120655622"/>
      <w:r>
        <w:rPr>
          <w:rFonts w:hint="eastAsia"/>
        </w:rPr>
        <w:t>一般</w:t>
      </w:r>
      <w:r>
        <w:t>要求</w:t>
      </w:r>
      <w:bookmarkEnd w:id="31"/>
    </w:p>
    <w:p>
      <w:pPr>
        <w:pStyle w:val="65"/>
      </w:pPr>
      <w:r>
        <w:rPr>
          <w:rFonts w:hint="eastAsia"/>
        </w:rPr>
        <w:t>结合勘验结果，行政许可实施机构审批人员依法对申请材料的完整性、真实性进行审查。</w:t>
      </w:r>
    </w:p>
    <w:p>
      <w:pPr>
        <w:pStyle w:val="65"/>
      </w:pPr>
      <w:r>
        <w:t>审查的要求、情形和方式应符合GB/T 38543-2020第</w:t>
      </w:r>
      <w:r>
        <w:rPr>
          <w:rFonts w:hint="eastAsia"/>
        </w:rPr>
        <w:t>5章的要求。</w:t>
      </w:r>
    </w:p>
    <w:p>
      <w:pPr>
        <w:pStyle w:val="65"/>
        <w:rPr>
          <w:rFonts w:ascii="仿宋_GB2312" w:hAnsi="仿宋"/>
          <w:szCs w:val="32"/>
        </w:rPr>
      </w:pPr>
      <w:r>
        <w:rPr>
          <w:rFonts w:hint="eastAsia" w:ascii="仿宋_GB2312" w:hAnsi="仿宋"/>
          <w:szCs w:val="32"/>
        </w:rPr>
        <w:t>对于共同审批的，由牵头</w:t>
      </w:r>
      <w:r>
        <w:rPr>
          <w:rFonts w:hint="eastAsia" w:ascii="仿宋_GB2312" w:hAnsi="黑体"/>
          <w:szCs w:val="32"/>
        </w:rPr>
        <w:t>的行政许可实施</w:t>
      </w:r>
      <w:r>
        <w:rPr>
          <w:rFonts w:hint="eastAsia" w:ascii="仿宋_GB2312" w:hAnsi="仿宋"/>
          <w:szCs w:val="32"/>
        </w:rPr>
        <w:t>机关（或最终决定机关）负责组织协调，根据工作需要明确牵头</w:t>
      </w:r>
      <w:r>
        <w:rPr>
          <w:rFonts w:hint="eastAsia" w:ascii="仿宋_GB2312" w:hAnsi="黑体"/>
          <w:szCs w:val="32"/>
        </w:rPr>
        <w:t>的行政许可实施</w:t>
      </w:r>
      <w:r>
        <w:rPr>
          <w:rFonts w:hint="eastAsia" w:ascii="仿宋_GB2312" w:hAnsi="仿宋"/>
          <w:szCs w:val="32"/>
        </w:rPr>
        <w:t>机关与其他</w:t>
      </w:r>
      <w:r>
        <w:rPr>
          <w:rFonts w:hint="eastAsia" w:ascii="仿宋_GB2312" w:hAnsi="黑体"/>
          <w:szCs w:val="32"/>
        </w:rPr>
        <w:t>行政许可实施</w:t>
      </w:r>
      <w:r>
        <w:rPr>
          <w:rFonts w:hint="eastAsia" w:ascii="仿宋_GB2312" w:hAnsi="仿宋"/>
          <w:szCs w:val="32"/>
        </w:rPr>
        <w:t>机关各自的职责、配合节点、材料流转需满足的具体要求、返回意见的要求和时限等。</w:t>
      </w:r>
    </w:p>
    <w:p>
      <w:pPr>
        <w:pStyle w:val="65"/>
        <w:rPr>
          <w:rFonts w:ascii="仿宋_GB2312" w:hAnsi="仿宋"/>
          <w:szCs w:val="32"/>
        </w:rPr>
      </w:pPr>
      <w:r>
        <w:rPr>
          <w:rFonts w:hint="eastAsia" w:ascii="仿宋_GB2312" w:hAnsi="仿宋"/>
          <w:szCs w:val="32"/>
        </w:rPr>
        <w:t>对于需要逐级审核的行政许可事项，各级审查人员应依据法定条件、程序和职责对行政相对人提交的材料进行审核，提出是否准予许可意见。</w:t>
      </w:r>
    </w:p>
    <w:p>
      <w:pPr>
        <w:pStyle w:val="65"/>
      </w:pPr>
      <w:r>
        <w:rPr>
          <w:rFonts w:hint="eastAsia" w:ascii="仿宋_GB2312" w:hAnsi="仿宋"/>
          <w:szCs w:val="32"/>
        </w:rPr>
        <w:t>依法经下级行政机关审查后报上级行政许可实施机关决定的行政许可事项，下级行政机关在法定期限内审查并出具初步审查意见后及时上报。上报材料应包含全部申请材料和初步审查意见。</w:t>
      </w:r>
    </w:p>
    <w:p>
      <w:pPr>
        <w:pStyle w:val="44"/>
      </w:pPr>
      <w:bookmarkStart w:id="32" w:name="_Toc120655623"/>
      <w:r>
        <w:rPr>
          <w:rFonts w:hint="eastAsia"/>
        </w:rPr>
        <w:t>结果</w:t>
      </w:r>
      <w:bookmarkEnd w:id="32"/>
    </w:p>
    <w:p>
      <w:pPr>
        <w:pStyle w:val="65"/>
      </w:pPr>
      <w:r>
        <w:rPr>
          <w:rFonts w:hint="eastAsia"/>
        </w:rPr>
        <w:t>申请材料齐全、符合法定形式且勘验合格的，应当在法定期限内按照规定程序作出行政许可决定。</w:t>
      </w:r>
    </w:p>
    <w:p>
      <w:pPr>
        <w:pStyle w:val="65"/>
      </w:pPr>
      <w:r>
        <w:rPr>
          <w:rFonts w:hint="eastAsia"/>
        </w:rPr>
        <w:t>申请材料齐全、符合法定形式，经过勘验需要整改后经整改合格的，应当在法定期限内按照规定程序作出行政许可决定。</w:t>
      </w:r>
    </w:p>
    <w:p>
      <w:pPr>
        <w:pStyle w:val="65"/>
      </w:pPr>
      <w:r>
        <w:rPr>
          <w:rFonts w:hint="eastAsia"/>
        </w:rPr>
        <w:t>申请材料齐全、符合法定形式，但勘验不合格的，应当在法定期限内按照规定程序作出不予行政许可决定。</w:t>
      </w:r>
    </w:p>
    <w:p>
      <w:pPr>
        <w:pStyle w:val="47"/>
        <w:spacing w:before="312" w:after="312"/>
      </w:pPr>
      <w:bookmarkStart w:id="33" w:name="_Toc120655624"/>
      <w:r>
        <w:rPr>
          <w:rFonts w:hint="eastAsia"/>
        </w:rPr>
        <w:t>协同机制</w:t>
      </w:r>
      <w:bookmarkEnd w:id="33"/>
    </w:p>
    <w:p>
      <w:pPr>
        <w:pStyle w:val="127"/>
      </w:pPr>
      <w:r>
        <w:t>根据审批事项特点，建立受理、勘验和审查各个环节的流程，明确</w:t>
      </w:r>
      <w:r>
        <w:rPr>
          <w:rFonts w:hint="eastAsia" w:cs="黑体" w:asciiTheme="minorEastAsia" w:hAnsiTheme="minorEastAsia" w:eastAsiaTheme="minorEastAsia"/>
        </w:rPr>
        <w:t>每个环节的前后置条件，避免功能雷同的重复审查。</w:t>
      </w:r>
    </w:p>
    <w:p>
      <w:pPr>
        <w:pStyle w:val="127"/>
      </w:pPr>
      <w:r>
        <w:rPr>
          <w:rFonts w:hint="eastAsia"/>
        </w:rPr>
        <w:t>按照不同事项制定规程，明确受理、勘验和审查要点，受理人员、勘验人员和审查人员应按照规程进行受理、勘验和审查。</w:t>
      </w:r>
    </w:p>
    <w:p>
      <w:pPr>
        <w:pStyle w:val="127"/>
      </w:pPr>
      <w:r>
        <w:t>宜建立</w:t>
      </w:r>
      <w:r>
        <w:rPr>
          <w:rFonts w:hint="eastAsia"/>
        </w:rPr>
        <w:t>行政许可事项勘验目录清单。凡进入勘验目录的事项，在受理过程中，勘验部门宜协助受理部门共同对申请材料的完整性进行确认。</w:t>
      </w:r>
    </w:p>
    <w:p>
      <w:pPr>
        <w:pStyle w:val="127"/>
      </w:pPr>
      <w:r>
        <w:t>在审批事项的勘验环节，审查人员宜作为观察员全程</w:t>
      </w:r>
      <w:r>
        <w:rPr>
          <w:rFonts w:hint="eastAsia"/>
        </w:rPr>
        <w:t>参与</w:t>
      </w:r>
      <w:r>
        <w:t>勘验过程，提高审查效率，避免重复审查。</w:t>
      </w:r>
    </w:p>
    <w:p>
      <w:pPr>
        <w:pStyle w:val="127"/>
      </w:pPr>
      <w:r>
        <w:rPr>
          <w:rFonts w:hint="eastAsia"/>
        </w:rPr>
        <w:t>负责同一事项的受理、勘验和审查人员应定期进行经验交流，因法律法规发生改变或其它因素导致的规程需要修改的要及时修改完善。</w:t>
      </w:r>
    </w:p>
    <w:p>
      <w:pPr>
        <w:pStyle w:val="25"/>
        <w:ind w:firstLine="0" w:firstLineChars="0"/>
      </w:pPr>
    </w:p>
    <w:p>
      <w:pPr>
        <w:pStyle w:val="25"/>
        <w:ind w:firstLine="0" w:firstLineChars="0"/>
      </w:pPr>
    </w:p>
    <w:p>
      <w:pPr>
        <w:pStyle w:val="25"/>
      </w:pPr>
    </w:p>
    <w:p>
      <w:pPr>
        <w:pStyle w:val="25"/>
      </w:pPr>
    </w:p>
    <w:p>
      <w:pPr>
        <w:pStyle w:val="88"/>
        <w:tabs>
          <w:tab w:val="clear" w:pos="0"/>
        </w:tabs>
      </w:pPr>
    </w:p>
    <w:p>
      <w:pPr>
        <w:pStyle w:val="88"/>
        <w:tabs>
          <w:tab w:val="clear" w:pos="0"/>
        </w:tabs>
      </w:pPr>
    </w:p>
    <w:p>
      <w:pPr>
        <w:pStyle w:val="25"/>
        <w:ind w:firstLineChars="0"/>
      </w:pPr>
    </w:p>
    <w:p>
      <w:pPr>
        <w:pStyle w:val="25"/>
        <w:ind w:firstLineChars="0"/>
      </w:pPr>
      <w:r>
        <mc:AlternateContent>
          <mc:Choice Requires="wps">
            <w:drawing>
              <wp:anchor distT="0" distB="0" distL="114300" distR="114300" simplePos="0" relativeHeight="251664384" behindDoc="0" locked="0" layoutInCell="1" allowOverlap="1">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8.35pt;margin-top:25pt;height:0pt;width:190.5pt;z-index:251664384;mso-width-relative:page;mso-height-relative:page;" filled="f" stroked="t" coordsize="21600,21600" o:gfxdata="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crnJx1QAAAAkBAAAP&#10;AAAAAAAAAAEAIAAAACIAAABkcnMvZG93bnJldi54bWxQSwECFAAUAAAACACHTuJAJKzVmuIBAACz&#10;AwAADgAAAAAAAAABACAAAAAkAQAAZHJzL2Uyb0RvYy54bWxQSwUGAAAAAAYABgBZAQAAeAUAAAAA&#10;">
                <v:fill on="f" focussize="0,0"/>
                <v:stroke weight="0.5pt" color="#000000 [3213]" miterlimit="8" joinstyle="miter"/>
                <v:imagedata o:title=""/>
                <o:lock v:ext="edit" aspectratio="f"/>
              </v:line>
            </w:pict>
          </mc:Fallback>
        </mc:AlternateContent>
      </w:r>
    </w:p>
    <w:p>
      <w:pPr>
        <w:pStyle w:val="132"/>
        <w:framePr w:wrap="around"/>
      </w:pP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9" w:usb3="00000000" w:csb0="0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0"/>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1"/>
      <w:lvlText w:val="%1)"/>
      <w:lvlJc w:val="left"/>
      <w:pPr>
        <w:tabs>
          <w:tab w:val="left" w:pos="840"/>
        </w:tabs>
        <w:ind w:left="839" w:hanging="419"/>
      </w:pPr>
      <w:rPr>
        <w:rFonts w:hint="eastAsia"/>
        <w:b w:val="0"/>
        <w:i w:val="0"/>
        <w:sz w:val="21"/>
        <w:szCs w:val="21"/>
      </w:rPr>
    </w:lvl>
    <w:lvl w:ilvl="1" w:tentative="0">
      <w:start w:val="1"/>
      <w:numFmt w:val="decimal"/>
      <w:pStyle w:val="5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6"/>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100"/>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0"/>
      <w:suff w:val="nothing"/>
      <w:lvlText w:val="%1——"/>
      <w:lvlJc w:val="left"/>
      <w:pPr>
        <w:ind w:left="833" w:hanging="408"/>
      </w:pPr>
      <w:rPr>
        <w:rFonts w:hint="eastAsia"/>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47"/>
      <w:suff w:val="space"/>
      <w:lvlText w:val="%1 "/>
      <w:lvlJc w:val="left"/>
      <w:pPr>
        <w:ind w:left="0" w:firstLine="0"/>
      </w:pPr>
      <w:rPr>
        <w:rFonts w:hint="eastAsia" w:eastAsia="黑体"/>
        <w:sz w:val="21"/>
      </w:rPr>
    </w:lvl>
    <w:lvl w:ilvl="1" w:tentative="0">
      <w:start w:val="1"/>
      <w:numFmt w:val="decimal"/>
      <w:pStyle w:val="44"/>
      <w:suff w:val="space"/>
      <w:lvlText w:val="%1.%2 "/>
      <w:lvlJc w:val="left"/>
      <w:pPr>
        <w:ind w:left="0" w:firstLine="0"/>
      </w:pPr>
      <w:rPr>
        <w:rFonts w:hint="eastAsia" w:ascii="黑体" w:hAnsi="黑体" w:eastAsia="黑体"/>
        <w:color w:val="auto"/>
      </w:rPr>
    </w:lvl>
    <w:lvl w:ilvl="2" w:tentative="0">
      <w:start w:val="1"/>
      <w:numFmt w:val="decimal"/>
      <w:pStyle w:val="48"/>
      <w:suff w:val="space"/>
      <w:lvlText w:val="%1.%2.%3 "/>
      <w:lvlJc w:val="left"/>
      <w:pPr>
        <w:ind w:left="0" w:firstLine="0"/>
      </w:pPr>
      <w:rPr>
        <w:rFonts w:hint="eastAsia" w:ascii="黑体" w:hAnsi="黑体" w:eastAsia="黑体"/>
      </w:rPr>
    </w:lvl>
    <w:lvl w:ilvl="3" w:tentative="0">
      <w:start w:val="1"/>
      <w:numFmt w:val="decimal"/>
      <w:pStyle w:val="53"/>
      <w:suff w:val="space"/>
      <w:lvlText w:val="%1.%2.%3.%4 "/>
      <w:lvlJc w:val="left"/>
      <w:pPr>
        <w:ind w:left="0" w:firstLine="0"/>
      </w:pPr>
      <w:rPr>
        <w:rFonts w:hint="eastAsia"/>
      </w:rPr>
    </w:lvl>
    <w:lvl w:ilvl="4" w:tentative="0">
      <w:start w:val="1"/>
      <w:numFmt w:val="decimal"/>
      <w:pStyle w:val="57"/>
      <w:suff w:val="space"/>
      <w:lvlText w:val="%1.%2.%3.%4.%5 "/>
      <w:lvlJc w:val="left"/>
      <w:pPr>
        <w:ind w:left="0" w:firstLine="0"/>
      </w:pPr>
      <w:rPr>
        <w:rFonts w:hint="eastAsia"/>
      </w:rPr>
    </w:lvl>
    <w:lvl w:ilvl="5" w:tentative="0">
      <w:start w:val="1"/>
      <w:numFmt w:val="decimal"/>
      <w:pStyle w:val="58"/>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8"/>
      <w:lvlText w:val="%1"/>
      <w:lvlJc w:val="left"/>
      <w:pPr>
        <w:tabs>
          <w:tab w:val="left" w:pos="0"/>
        </w:tabs>
        <w:ind w:left="0" w:hanging="425"/>
      </w:pPr>
      <w:rPr>
        <w:rFonts w:hint="eastAsia"/>
      </w:rPr>
    </w:lvl>
    <w:lvl w:ilvl="1" w:tentative="0">
      <w:start w:val="1"/>
      <w:numFmt w:val="decimal"/>
      <w:pStyle w:val="8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5"/>
      <w:suff w:val="nothing"/>
      <w:lvlText w:val="%1.%2.%3　"/>
      <w:lvlJc w:val="left"/>
      <w:pPr>
        <w:ind w:left="993" w:firstLine="0"/>
      </w:pPr>
      <w:rPr>
        <w:rFonts w:hint="eastAsia" w:ascii="黑体" w:hAnsi="Times New Roman" w:eastAsia="黑体"/>
        <w:b w:val="0"/>
        <w:i w:val="0"/>
        <w:sz w:val="21"/>
      </w:rPr>
    </w:lvl>
    <w:lvl w:ilvl="3" w:tentative="0">
      <w:start w:val="1"/>
      <w:numFmt w:val="decimal"/>
      <w:pStyle w:val="90"/>
      <w:suff w:val="nothing"/>
      <w:lvlText w:val="%1.%2.%3.%4　"/>
      <w:lvlJc w:val="left"/>
      <w:pPr>
        <w:ind w:left="0" w:firstLine="0"/>
      </w:pPr>
      <w:rPr>
        <w:rFonts w:hint="eastAsia" w:ascii="黑体" w:hAnsi="Times New Roman" w:eastAsia="黑体"/>
        <w:b w:val="0"/>
        <w:i w:val="0"/>
        <w:sz w:val="21"/>
      </w:rPr>
    </w:lvl>
    <w:lvl w:ilvl="4" w:tentative="0">
      <w:start w:val="1"/>
      <w:numFmt w:val="decimal"/>
      <w:pStyle w:val="95"/>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07"/>
      <w:lvlText w:val="%1)"/>
      <w:lvlJc w:val="left"/>
      <w:pPr>
        <w:tabs>
          <w:tab w:val="left" w:pos="839"/>
        </w:tabs>
        <w:ind w:left="839" w:hanging="419"/>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1" w:tentative="0">
      <w:start w:val="1"/>
      <w:numFmt w:val="decimal"/>
      <w:pStyle w:val="9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zNDZlOGU5NDFmZGQ2MTM5ZDg2OWJjNWI5ODZkN2YifQ=="/>
  </w:docVars>
  <w:rsids>
    <w:rsidRoot w:val="005451C8"/>
    <w:rsid w:val="00000244"/>
    <w:rsid w:val="0000185F"/>
    <w:rsid w:val="000053B0"/>
    <w:rsid w:val="0000586F"/>
    <w:rsid w:val="00006A6E"/>
    <w:rsid w:val="00010C6E"/>
    <w:rsid w:val="0001233B"/>
    <w:rsid w:val="00013D86"/>
    <w:rsid w:val="00013E02"/>
    <w:rsid w:val="0002121F"/>
    <w:rsid w:val="0002143C"/>
    <w:rsid w:val="000215FE"/>
    <w:rsid w:val="00025A65"/>
    <w:rsid w:val="00026C31"/>
    <w:rsid w:val="00027280"/>
    <w:rsid w:val="00027869"/>
    <w:rsid w:val="000320A7"/>
    <w:rsid w:val="0003578B"/>
    <w:rsid w:val="00035925"/>
    <w:rsid w:val="000378F3"/>
    <w:rsid w:val="0004077A"/>
    <w:rsid w:val="000432E5"/>
    <w:rsid w:val="000456E4"/>
    <w:rsid w:val="00050549"/>
    <w:rsid w:val="00053025"/>
    <w:rsid w:val="00055016"/>
    <w:rsid w:val="0005676A"/>
    <w:rsid w:val="00056891"/>
    <w:rsid w:val="00060186"/>
    <w:rsid w:val="00061BD7"/>
    <w:rsid w:val="000651BA"/>
    <w:rsid w:val="00066E9E"/>
    <w:rsid w:val="00067CDF"/>
    <w:rsid w:val="00070887"/>
    <w:rsid w:val="00074FBE"/>
    <w:rsid w:val="00081D80"/>
    <w:rsid w:val="00082A7E"/>
    <w:rsid w:val="00083640"/>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0F347D"/>
    <w:rsid w:val="000F58B9"/>
    <w:rsid w:val="000F7BF5"/>
    <w:rsid w:val="001000A1"/>
    <w:rsid w:val="00100680"/>
    <w:rsid w:val="00104F16"/>
    <w:rsid w:val="001056DE"/>
    <w:rsid w:val="001124C0"/>
    <w:rsid w:val="001230FD"/>
    <w:rsid w:val="00125A8B"/>
    <w:rsid w:val="0013175F"/>
    <w:rsid w:val="0013332E"/>
    <w:rsid w:val="0013554D"/>
    <w:rsid w:val="00137A49"/>
    <w:rsid w:val="00140C93"/>
    <w:rsid w:val="00142131"/>
    <w:rsid w:val="0014319E"/>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3C89"/>
    <w:rsid w:val="001840D3"/>
    <w:rsid w:val="00185E08"/>
    <w:rsid w:val="00186C51"/>
    <w:rsid w:val="00187759"/>
    <w:rsid w:val="001900F8"/>
    <w:rsid w:val="00191258"/>
    <w:rsid w:val="00192680"/>
    <w:rsid w:val="00193037"/>
    <w:rsid w:val="00193A2C"/>
    <w:rsid w:val="00195A71"/>
    <w:rsid w:val="001A288E"/>
    <w:rsid w:val="001B0AA8"/>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719B"/>
    <w:rsid w:val="00215F0E"/>
    <w:rsid w:val="00215F95"/>
    <w:rsid w:val="002245D5"/>
    <w:rsid w:val="00225C8E"/>
    <w:rsid w:val="00226814"/>
    <w:rsid w:val="00234467"/>
    <w:rsid w:val="002346F0"/>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3468"/>
    <w:rsid w:val="002C6126"/>
    <w:rsid w:val="002C72D8"/>
    <w:rsid w:val="002D11FA"/>
    <w:rsid w:val="002D1BE0"/>
    <w:rsid w:val="002D6055"/>
    <w:rsid w:val="002E0DDF"/>
    <w:rsid w:val="002E2906"/>
    <w:rsid w:val="002E363B"/>
    <w:rsid w:val="002E4928"/>
    <w:rsid w:val="002E50A6"/>
    <w:rsid w:val="002E5635"/>
    <w:rsid w:val="002E64C3"/>
    <w:rsid w:val="002E6A2C"/>
    <w:rsid w:val="002E6EBC"/>
    <w:rsid w:val="002F1D8C"/>
    <w:rsid w:val="002F21DA"/>
    <w:rsid w:val="002F2C49"/>
    <w:rsid w:val="002F3489"/>
    <w:rsid w:val="00301F39"/>
    <w:rsid w:val="00304C5F"/>
    <w:rsid w:val="00310A54"/>
    <w:rsid w:val="00315E5D"/>
    <w:rsid w:val="00325926"/>
    <w:rsid w:val="003277B3"/>
    <w:rsid w:val="00327A8A"/>
    <w:rsid w:val="00336610"/>
    <w:rsid w:val="00343F73"/>
    <w:rsid w:val="00344F93"/>
    <w:rsid w:val="00345060"/>
    <w:rsid w:val="00346FE0"/>
    <w:rsid w:val="00351B28"/>
    <w:rsid w:val="0035323B"/>
    <w:rsid w:val="0035378A"/>
    <w:rsid w:val="00353DD0"/>
    <w:rsid w:val="00356F97"/>
    <w:rsid w:val="003609D2"/>
    <w:rsid w:val="00363F22"/>
    <w:rsid w:val="003654C4"/>
    <w:rsid w:val="003674EB"/>
    <w:rsid w:val="00375564"/>
    <w:rsid w:val="00382EAB"/>
    <w:rsid w:val="00383191"/>
    <w:rsid w:val="00386DED"/>
    <w:rsid w:val="003912E7"/>
    <w:rsid w:val="0039273A"/>
    <w:rsid w:val="00393947"/>
    <w:rsid w:val="00394EAA"/>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E1867"/>
    <w:rsid w:val="003E5729"/>
    <w:rsid w:val="003E5EAE"/>
    <w:rsid w:val="003E6A28"/>
    <w:rsid w:val="003E7514"/>
    <w:rsid w:val="003F2AF5"/>
    <w:rsid w:val="003F3E91"/>
    <w:rsid w:val="003F4EE0"/>
    <w:rsid w:val="003F5AC7"/>
    <w:rsid w:val="003F7207"/>
    <w:rsid w:val="004009C8"/>
    <w:rsid w:val="00400E9E"/>
    <w:rsid w:val="00402153"/>
    <w:rsid w:val="00402FC1"/>
    <w:rsid w:val="004035C7"/>
    <w:rsid w:val="004046C4"/>
    <w:rsid w:val="004100FE"/>
    <w:rsid w:val="0041188B"/>
    <w:rsid w:val="00421E5E"/>
    <w:rsid w:val="00425082"/>
    <w:rsid w:val="00427D04"/>
    <w:rsid w:val="00431DEB"/>
    <w:rsid w:val="0043263E"/>
    <w:rsid w:val="00433082"/>
    <w:rsid w:val="00436B51"/>
    <w:rsid w:val="00446B29"/>
    <w:rsid w:val="00453F9A"/>
    <w:rsid w:val="00455CE5"/>
    <w:rsid w:val="00462CEC"/>
    <w:rsid w:val="00471E91"/>
    <w:rsid w:val="00474675"/>
    <w:rsid w:val="0047470C"/>
    <w:rsid w:val="00481DE2"/>
    <w:rsid w:val="00485BDC"/>
    <w:rsid w:val="00492D95"/>
    <w:rsid w:val="00493BC3"/>
    <w:rsid w:val="0049613A"/>
    <w:rsid w:val="004969B2"/>
    <w:rsid w:val="004A35F9"/>
    <w:rsid w:val="004A7F6F"/>
    <w:rsid w:val="004B15D8"/>
    <w:rsid w:val="004B24C1"/>
    <w:rsid w:val="004C292F"/>
    <w:rsid w:val="004C5C89"/>
    <w:rsid w:val="004C711D"/>
    <w:rsid w:val="004D4F0A"/>
    <w:rsid w:val="004D56B9"/>
    <w:rsid w:val="004E3212"/>
    <w:rsid w:val="004F49A3"/>
    <w:rsid w:val="004F49F6"/>
    <w:rsid w:val="005008F7"/>
    <w:rsid w:val="00501F7B"/>
    <w:rsid w:val="00510280"/>
    <w:rsid w:val="00512F3E"/>
    <w:rsid w:val="00513D73"/>
    <w:rsid w:val="00514A43"/>
    <w:rsid w:val="005160E3"/>
    <w:rsid w:val="00516C20"/>
    <w:rsid w:val="005174E5"/>
    <w:rsid w:val="00522393"/>
    <w:rsid w:val="00522620"/>
    <w:rsid w:val="00525656"/>
    <w:rsid w:val="0053046D"/>
    <w:rsid w:val="00532043"/>
    <w:rsid w:val="00532518"/>
    <w:rsid w:val="00534C02"/>
    <w:rsid w:val="00535E75"/>
    <w:rsid w:val="00540BCD"/>
    <w:rsid w:val="00541050"/>
    <w:rsid w:val="00541D7D"/>
    <w:rsid w:val="0054264B"/>
    <w:rsid w:val="00543786"/>
    <w:rsid w:val="0054387C"/>
    <w:rsid w:val="005451C8"/>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3C11"/>
    <w:rsid w:val="005B4FF9"/>
    <w:rsid w:val="005B5A19"/>
    <w:rsid w:val="005C1706"/>
    <w:rsid w:val="005C1C28"/>
    <w:rsid w:val="005C53B2"/>
    <w:rsid w:val="005C6DB5"/>
    <w:rsid w:val="005D39B7"/>
    <w:rsid w:val="005E19E7"/>
    <w:rsid w:val="005E232A"/>
    <w:rsid w:val="005E259F"/>
    <w:rsid w:val="005E59DE"/>
    <w:rsid w:val="005E60CE"/>
    <w:rsid w:val="005F0D35"/>
    <w:rsid w:val="005F3A96"/>
    <w:rsid w:val="005F7640"/>
    <w:rsid w:val="005F7E9E"/>
    <w:rsid w:val="0060413E"/>
    <w:rsid w:val="00604B74"/>
    <w:rsid w:val="00607EC9"/>
    <w:rsid w:val="006126C0"/>
    <w:rsid w:val="006128E9"/>
    <w:rsid w:val="006149F1"/>
    <w:rsid w:val="0061716C"/>
    <w:rsid w:val="006243A1"/>
    <w:rsid w:val="006278EC"/>
    <w:rsid w:val="0063162D"/>
    <w:rsid w:val="00631E62"/>
    <w:rsid w:val="00632E56"/>
    <w:rsid w:val="00635CBA"/>
    <w:rsid w:val="006407B5"/>
    <w:rsid w:val="0064338B"/>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87003"/>
    <w:rsid w:val="00692368"/>
    <w:rsid w:val="00692DB1"/>
    <w:rsid w:val="00693782"/>
    <w:rsid w:val="00693C38"/>
    <w:rsid w:val="006A0055"/>
    <w:rsid w:val="006A01CA"/>
    <w:rsid w:val="006A2EBC"/>
    <w:rsid w:val="006A5EA0"/>
    <w:rsid w:val="006A783B"/>
    <w:rsid w:val="006A7B33"/>
    <w:rsid w:val="006B204A"/>
    <w:rsid w:val="006B4E13"/>
    <w:rsid w:val="006B75DD"/>
    <w:rsid w:val="006C08B7"/>
    <w:rsid w:val="006C62D5"/>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E7E7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5F0F"/>
    <w:rsid w:val="00756A6C"/>
    <w:rsid w:val="00762B7C"/>
    <w:rsid w:val="00763502"/>
    <w:rsid w:val="0076597F"/>
    <w:rsid w:val="00766ABD"/>
    <w:rsid w:val="00774FCA"/>
    <w:rsid w:val="007823C1"/>
    <w:rsid w:val="007913AB"/>
    <w:rsid w:val="007914F7"/>
    <w:rsid w:val="007972CC"/>
    <w:rsid w:val="00797409"/>
    <w:rsid w:val="007A6D6B"/>
    <w:rsid w:val="007B1625"/>
    <w:rsid w:val="007B2949"/>
    <w:rsid w:val="007B5A52"/>
    <w:rsid w:val="007B65F0"/>
    <w:rsid w:val="007B6C5B"/>
    <w:rsid w:val="007B706E"/>
    <w:rsid w:val="007B71EB"/>
    <w:rsid w:val="007B7457"/>
    <w:rsid w:val="007C1A4D"/>
    <w:rsid w:val="007C6205"/>
    <w:rsid w:val="007C6359"/>
    <w:rsid w:val="007C686A"/>
    <w:rsid w:val="007C728E"/>
    <w:rsid w:val="007C7F3F"/>
    <w:rsid w:val="007D2C53"/>
    <w:rsid w:val="007D3D60"/>
    <w:rsid w:val="007D66C9"/>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3900"/>
    <w:rsid w:val="00814471"/>
    <w:rsid w:val="00815D7E"/>
    <w:rsid w:val="00817A00"/>
    <w:rsid w:val="0082108D"/>
    <w:rsid w:val="00821CAE"/>
    <w:rsid w:val="00823BF8"/>
    <w:rsid w:val="00825DC3"/>
    <w:rsid w:val="00831AA2"/>
    <w:rsid w:val="00835DB3"/>
    <w:rsid w:val="0083617B"/>
    <w:rsid w:val="008370D2"/>
    <w:rsid w:val="008371BD"/>
    <w:rsid w:val="0084297F"/>
    <w:rsid w:val="008446E3"/>
    <w:rsid w:val="008447FF"/>
    <w:rsid w:val="008504A8"/>
    <w:rsid w:val="0085202D"/>
    <w:rsid w:val="00852108"/>
    <w:rsid w:val="0085282E"/>
    <w:rsid w:val="008652BC"/>
    <w:rsid w:val="0087198C"/>
    <w:rsid w:val="00872C1F"/>
    <w:rsid w:val="008735C6"/>
    <w:rsid w:val="00873B42"/>
    <w:rsid w:val="00873F6C"/>
    <w:rsid w:val="008768B0"/>
    <w:rsid w:val="00885446"/>
    <w:rsid w:val="008856D8"/>
    <w:rsid w:val="0089069C"/>
    <w:rsid w:val="00892E82"/>
    <w:rsid w:val="00893D49"/>
    <w:rsid w:val="00896411"/>
    <w:rsid w:val="008A1536"/>
    <w:rsid w:val="008A236D"/>
    <w:rsid w:val="008A4CCE"/>
    <w:rsid w:val="008A753A"/>
    <w:rsid w:val="008B276C"/>
    <w:rsid w:val="008C06EB"/>
    <w:rsid w:val="008C1B4A"/>
    <w:rsid w:val="008C1B58"/>
    <w:rsid w:val="008C39AE"/>
    <w:rsid w:val="008C590D"/>
    <w:rsid w:val="008C67C7"/>
    <w:rsid w:val="008D0215"/>
    <w:rsid w:val="008D2FAF"/>
    <w:rsid w:val="008D3E2C"/>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10FC"/>
    <w:rsid w:val="009040DD"/>
    <w:rsid w:val="00904828"/>
    <w:rsid w:val="00905B47"/>
    <w:rsid w:val="00911190"/>
    <w:rsid w:val="0091331C"/>
    <w:rsid w:val="00913C85"/>
    <w:rsid w:val="00915E33"/>
    <w:rsid w:val="0092233A"/>
    <w:rsid w:val="009279DE"/>
    <w:rsid w:val="00930116"/>
    <w:rsid w:val="00930D34"/>
    <w:rsid w:val="00935495"/>
    <w:rsid w:val="0094212C"/>
    <w:rsid w:val="009438A2"/>
    <w:rsid w:val="0094647C"/>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8F"/>
    <w:rsid w:val="009951DC"/>
    <w:rsid w:val="009959BB"/>
    <w:rsid w:val="00997158"/>
    <w:rsid w:val="009A1324"/>
    <w:rsid w:val="009A2D72"/>
    <w:rsid w:val="009A3A7C"/>
    <w:rsid w:val="009A6F7F"/>
    <w:rsid w:val="009B2293"/>
    <w:rsid w:val="009B2ADB"/>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46F1"/>
    <w:rsid w:val="00A05ACB"/>
    <w:rsid w:val="00A065F9"/>
    <w:rsid w:val="00A07F34"/>
    <w:rsid w:val="00A16306"/>
    <w:rsid w:val="00A22154"/>
    <w:rsid w:val="00A24CA6"/>
    <w:rsid w:val="00A25C38"/>
    <w:rsid w:val="00A27CA2"/>
    <w:rsid w:val="00A31C69"/>
    <w:rsid w:val="00A32C9E"/>
    <w:rsid w:val="00A3328C"/>
    <w:rsid w:val="00A3618A"/>
    <w:rsid w:val="00A36B07"/>
    <w:rsid w:val="00A36BBE"/>
    <w:rsid w:val="00A40DA4"/>
    <w:rsid w:val="00A4307A"/>
    <w:rsid w:val="00A45884"/>
    <w:rsid w:val="00A47EBB"/>
    <w:rsid w:val="00A51890"/>
    <w:rsid w:val="00A51CDD"/>
    <w:rsid w:val="00A549BD"/>
    <w:rsid w:val="00A54FD3"/>
    <w:rsid w:val="00A5714F"/>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977ED"/>
    <w:rsid w:val="00AA038C"/>
    <w:rsid w:val="00AA3705"/>
    <w:rsid w:val="00AA7A09"/>
    <w:rsid w:val="00AB3235"/>
    <w:rsid w:val="00AB3B50"/>
    <w:rsid w:val="00AB5E69"/>
    <w:rsid w:val="00AB6075"/>
    <w:rsid w:val="00AB78F9"/>
    <w:rsid w:val="00AC05B1"/>
    <w:rsid w:val="00AC08AB"/>
    <w:rsid w:val="00AC5220"/>
    <w:rsid w:val="00AC63DF"/>
    <w:rsid w:val="00AD356C"/>
    <w:rsid w:val="00AD5177"/>
    <w:rsid w:val="00AD7634"/>
    <w:rsid w:val="00AD7D5B"/>
    <w:rsid w:val="00AE0EE4"/>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1718F"/>
    <w:rsid w:val="00B23A84"/>
    <w:rsid w:val="00B242BD"/>
    <w:rsid w:val="00B269C4"/>
    <w:rsid w:val="00B26FAF"/>
    <w:rsid w:val="00B353EB"/>
    <w:rsid w:val="00B3550C"/>
    <w:rsid w:val="00B439C4"/>
    <w:rsid w:val="00B4535E"/>
    <w:rsid w:val="00B52554"/>
    <w:rsid w:val="00B52A8C"/>
    <w:rsid w:val="00B57EF4"/>
    <w:rsid w:val="00B61351"/>
    <w:rsid w:val="00B61764"/>
    <w:rsid w:val="00B636A8"/>
    <w:rsid w:val="00B665C6"/>
    <w:rsid w:val="00B71E88"/>
    <w:rsid w:val="00B7534A"/>
    <w:rsid w:val="00B805AF"/>
    <w:rsid w:val="00B82543"/>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5F18"/>
    <w:rsid w:val="00BF617A"/>
    <w:rsid w:val="00BF6FCE"/>
    <w:rsid w:val="00C0379D"/>
    <w:rsid w:val="00C038E9"/>
    <w:rsid w:val="00C03931"/>
    <w:rsid w:val="00C04D89"/>
    <w:rsid w:val="00C05A76"/>
    <w:rsid w:val="00C05FE3"/>
    <w:rsid w:val="00C13CE0"/>
    <w:rsid w:val="00C153C6"/>
    <w:rsid w:val="00C2136D"/>
    <w:rsid w:val="00C214EE"/>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769AF"/>
    <w:rsid w:val="00C8340D"/>
    <w:rsid w:val="00C85A67"/>
    <w:rsid w:val="00C8691C"/>
    <w:rsid w:val="00C8772C"/>
    <w:rsid w:val="00C97F28"/>
    <w:rsid w:val="00CA15B9"/>
    <w:rsid w:val="00CA168A"/>
    <w:rsid w:val="00CA3025"/>
    <w:rsid w:val="00CA357E"/>
    <w:rsid w:val="00CA44F9"/>
    <w:rsid w:val="00CA49C9"/>
    <w:rsid w:val="00CA4A69"/>
    <w:rsid w:val="00CB2D56"/>
    <w:rsid w:val="00CB6968"/>
    <w:rsid w:val="00CB6E9C"/>
    <w:rsid w:val="00CC3E0C"/>
    <w:rsid w:val="00CC4599"/>
    <w:rsid w:val="00CC56E2"/>
    <w:rsid w:val="00CC58D3"/>
    <w:rsid w:val="00CC6BC3"/>
    <w:rsid w:val="00CC784D"/>
    <w:rsid w:val="00CD11F7"/>
    <w:rsid w:val="00CD2656"/>
    <w:rsid w:val="00CE095F"/>
    <w:rsid w:val="00CE2DDE"/>
    <w:rsid w:val="00CE50BB"/>
    <w:rsid w:val="00CE5BF1"/>
    <w:rsid w:val="00CE6557"/>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04CA"/>
    <w:rsid w:val="00D54CC3"/>
    <w:rsid w:val="00D57710"/>
    <w:rsid w:val="00D603DE"/>
    <w:rsid w:val="00D6041A"/>
    <w:rsid w:val="00D62B03"/>
    <w:rsid w:val="00D633EB"/>
    <w:rsid w:val="00D650D8"/>
    <w:rsid w:val="00D66B2B"/>
    <w:rsid w:val="00D7362E"/>
    <w:rsid w:val="00D815B6"/>
    <w:rsid w:val="00D81822"/>
    <w:rsid w:val="00D82FF7"/>
    <w:rsid w:val="00D847FE"/>
    <w:rsid w:val="00D87922"/>
    <w:rsid w:val="00D9055F"/>
    <w:rsid w:val="00D9070D"/>
    <w:rsid w:val="00D9262C"/>
    <w:rsid w:val="00D9303B"/>
    <w:rsid w:val="00D964EA"/>
    <w:rsid w:val="00D966D0"/>
    <w:rsid w:val="00DA0C59"/>
    <w:rsid w:val="00DA10B3"/>
    <w:rsid w:val="00DA3991"/>
    <w:rsid w:val="00DA40E3"/>
    <w:rsid w:val="00DA79E0"/>
    <w:rsid w:val="00DB0990"/>
    <w:rsid w:val="00DB2C4C"/>
    <w:rsid w:val="00DB7A00"/>
    <w:rsid w:val="00DB7E6C"/>
    <w:rsid w:val="00DC296C"/>
    <w:rsid w:val="00DC7916"/>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36BA6"/>
    <w:rsid w:val="00E44E1F"/>
    <w:rsid w:val="00E46282"/>
    <w:rsid w:val="00E5216E"/>
    <w:rsid w:val="00E61C4F"/>
    <w:rsid w:val="00E65B56"/>
    <w:rsid w:val="00E67142"/>
    <w:rsid w:val="00E72DCE"/>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D7F55"/>
    <w:rsid w:val="00EE2BED"/>
    <w:rsid w:val="00EE374B"/>
    <w:rsid w:val="00EE430A"/>
    <w:rsid w:val="00EE62B1"/>
    <w:rsid w:val="00EE7AF7"/>
    <w:rsid w:val="00EF1500"/>
    <w:rsid w:val="00EF508D"/>
    <w:rsid w:val="00EF76AB"/>
    <w:rsid w:val="00F04D4C"/>
    <w:rsid w:val="00F11BB5"/>
    <w:rsid w:val="00F12B73"/>
    <w:rsid w:val="00F1417B"/>
    <w:rsid w:val="00F20367"/>
    <w:rsid w:val="00F2605B"/>
    <w:rsid w:val="00F327DD"/>
    <w:rsid w:val="00F328CE"/>
    <w:rsid w:val="00F34311"/>
    <w:rsid w:val="00F34B99"/>
    <w:rsid w:val="00F363DC"/>
    <w:rsid w:val="00F40985"/>
    <w:rsid w:val="00F42F3E"/>
    <w:rsid w:val="00F44DB6"/>
    <w:rsid w:val="00F47529"/>
    <w:rsid w:val="00F512B5"/>
    <w:rsid w:val="00F51DFB"/>
    <w:rsid w:val="00F52DAB"/>
    <w:rsid w:val="00F5325B"/>
    <w:rsid w:val="00F53E88"/>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91C4D"/>
    <w:rsid w:val="00F92DCA"/>
    <w:rsid w:val="00F92FD9"/>
    <w:rsid w:val="00FA190C"/>
    <w:rsid w:val="00FA2BE5"/>
    <w:rsid w:val="00FA46F4"/>
    <w:rsid w:val="00FA6684"/>
    <w:rsid w:val="00FA731E"/>
    <w:rsid w:val="00FB0F2B"/>
    <w:rsid w:val="00FB2B38"/>
    <w:rsid w:val="00FC6358"/>
    <w:rsid w:val="00FD01CF"/>
    <w:rsid w:val="00FD229E"/>
    <w:rsid w:val="00FD320D"/>
    <w:rsid w:val="00FE1C50"/>
    <w:rsid w:val="00FE23DE"/>
    <w:rsid w:val="00FF04A9"/>
    <w:rsid w:val="02F311B8"/>
    <w:rsid w:val="032C309D"/>
    <w:rsid w:val="06001693"/>
    <w:rsid w:val="066B0554"/>
    <w:rsid w:val="07CA51DB"/>
    <w:rsid w:val="096E55E3"/>
    <w:rsid w:val="0BBE444F"/>
    <w:rsid w:val="0C636538"/>
    <w:rsid w:val="0C843706"/>
    <w:rsid w:val="0CED79A2"/>
    <w:rsid w:val="0E0855B8"/>
    <w:rsid w:val="0F144AD3"/>
    <w:rsid w:val="116E1428"/>
    <w:rsid w:val="12F134EF"/>
    <w:rsid w:val="13630F6F"/>
    <w:rsid w:val="17A16DF2"/>
    <w:rsid w:val="17DC5F94"/>
    <w:rsid w:val="189453BB"/>
    <w:rsid w:val="199F181F"/>
    <w:rsid w:val="1A09380B"/>
    <w:rsid w:val="1A4825C5"/>
    <w:rsid w:val="1D764E4B"/>
    <w:rsid w:val="1E9D71FD"/>
    <w:rsid w:val="1F354DB8"/>
    <w:rsid w:val="1F6C2237"/>
    <w:rsid w:val="20105796"/>
    <w:rsid w:val="22832C98"/>
    <w:rsid w:val="22B3510A"/>
    <w:rsid w:val="23701BB8"/>
    <w:rsid w:val="23A1258D"/>
    <w:rsid w:val="23BD7040"/>
    <w:rsid w:val="23DD6E35"/>
    <w:rsid w:val="250946AF"/>
    <w:rsid w:val="252D59C9"/>
    <w:rsid w:val="261675D1"/>
    <w:rsid w:val="26453C12"/>
    <w:rsid w:val="266A6098"/>
    <w:rsid w:val="26C06662"/>
    <w:rsid w:val="28455401"/>
    <w:rsid w:val="2AC46A34"/>
    <w:rsid w:val="2B8030CF"/>
    <w:rsid w:val="2CB05014"/>
    <w:rsid w:val="2EA8435B"/>
    <w:rsid w:val="301C4D5C"/>
    <w:rsid w:val="327E03E2"/>
    <w:rsid w:val="32D37FDA"/>
    <w:rsid w:val="32D94931"/>
    <w:rsid w:val="33251C93"/>
    <w:rsid w:val="33480561"/>
    <w:rsid w:val="34233A19"/>
    <w:rsid w:val="352D291F"/>
    <w:rsid w:val="37AB0F29"/>
    <w:rsid w:val="383B5E79"/>
    <w:rsid w:val="38610732"/>
    <w:rsid w:val="3CB53989"/>
    <w:rsid w:val="3EE14F60"/>
    <w:rsid w:val="3F7D5397"/>
    <w:rsid w:val="4157547D"/>
    <w:rsid w:val="415C5D19"/>
    <w:rsid w:val="41C30E1D"/>
    <w:rsid w:val="425356B7"/>
    <w:rsid w:val="42D32A4F"/>
    <w:rsid w:val="42F80FC8"/>
    <w:rsid w:val="449A51E7"/>
    <w:rsid w:val="456048F4"/>
    <w:rsid w:val="4590011C"/>
    <w:rsid w:val="48B95C9A"/>
    <w:rsid w:val="48F4694C"/>
    <w:rsid w:val="4B000CDD"/>
    <w:rsid w:val="4B103732"/>
    <w:rsid w:val="4BAE76D2"/>
    <w:rsid w:val="4CCA1247"/>
    <w:rsid w:val="4F1A2D5E"/>
    <w:rsid w:val="52331739"/>
    <w:rsid w:val="52AF596A"/>
    <w:rsid w:val="52C51553"/>
    <w:rsid w:val="53EA3889"/>
    <w:rsid w:val="54A16F35"/>
    <w:rsid w:val="58571CD1"/>
    <w:rsid w:val="5BEB5519"/>
    <w:rsid w:val="5D35792E"/>
    <w:rsid w:val="603D1935"/>
    <w:rsid w:val="606E1084"/>
    <w:rsid w:val="62A55239"/>
    <w:rsid w:val="62B62DC0"/>
    <w:rsid w:val="63C010B6"/>
    <w:rsid w:val="651A4533"/>
    <w:rsid w:val="65416CEB"/>
    <w:rsid w:val="65470580"/>
    <w:rsid w:val="66454B86"/>
    <w:rsid w:val="67205B86"/>
    <w:rsid w:val="677D44D1"/>
    <w:rsid w:val="6A216B25"/>
    <w:rsid w:val="6B194C79"/>
    <w:rsid w:val="6BE11EF2"/>
    <w:rsid w:val="6D2C372F"/>
    <w:rsid w:val="6DD80D0A"/>
    <w:rsid w:val="6E87103D"/>
    <w:rsid w:val="711E0169"/>
    <w:rsid w:val="73500405"/>
    <w:rsid w:val="740C41B2"/>
    <w:rsid w:val="744B2E90"/>
    <w:rsid w:val="773F7620"/>
    <w:rsid w:val="77A26632"/>
    <w:rsid w:val="77AB7132"/>
    <w:rsid w:val="77DB36E8"/>
    <w:rsid w:val="77F06B41"/>
    <w:rsid w:val="79094AAF"/>
    <w:rsid w:val="7B38343D"/>
    <w:rsid w:val="7B762AED"/>
    <w:rsid w:val="7C4A0607"/>
    <w:rsid w:val="7ED62F16"/>
    <w:rsid w:val="7ED87F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semiHidden="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41"/>
    <w:unhideWhenUsed/>
    <w:qFormat/>
    <w:uiPriority w:val="9"/>
    <w:pPr>
      <w:keepNext/>
      <w:keepLines/>
      <w:spacing w:before="260" w:after="260" w:line="416" w:lineRule="auto"/>
      <w:outlineLvl w:val="1"/>
    </w:pPr>
    <w:rPr>
      <w:rFonts w:ascii="Cambria" w:hAnsi="Cambria"/>
      <w:b/>
      <w:bCs/>
      <w:sz w:val="32"/>
      <w:szCs w:val="32"/>
      <w:lang w:val="zh-CN"/>
    </w:rPr>
  </w:style>
  <w:style w:type="paragraph" w:styleId="5">
    <w:name w:val="heading 3"/>
    <w:basedOn w:val="1"/>
    <w:next w:val="1"/>
    <w:link w:val="142"/>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7">
    <w:name w:val="Default Paragraph Font"/>
    <w:semiHidden/>
    <w:unhideWhenUsed/>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rPr>
      <w:rFonts w:ascii="宋体" w:hAnsi="Courier New"/>
      <w:kern w:val="0"/>
      <w:sz w:val="20"/>
      <w:szCs w:val="20"/>
    </w:rPr>
  </w:style>
  <w:style w:type="paragraph" w:styleId="6">
    <w:name w:val="toc 7"/>
    <w:basedOn w:val="1"/>
    <w:next w:val="1"/>
    <w:semiHidden/>
    <w:qFormat/>
    <w:uiPriority w:val="0"/>
    <w:pPr>
      <w:tabs>
        <w:tab w:val="right" w:leader="dot" w:pos="9241"/>
      </w:tabs>
      <w:ind w:firstLine="50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caption"/>
    <w:basedOn w:val="1"/>
    <w:next w:val="1"/>
    <w:qFormat/>
    <w:uiPriority w:val="0"/>
    <w:pPr>
      <w:spacing w:before="152" w:after="160"/>
    </w:pPr>
    <w:rPr>
      <w:rFonts w:ascii="Arial" w:hAnsi="Arial" w:eastAsia="黑体" w:cs="Arial"/>
      <w:sz w:val="20"/>
      <w:szCs w:val="20"/>
    </w:rPr>
  </w:style>
  <w:style w:type="paragraph" w:styleId="9">
    <w:name w:val="index 5"/>
    <w:basedOn w:val="1"/>
    <w:next w:val="1"/>
    <w:qFormat/>
    <w:uiPriority w:val="0"/>
    <w:pPr>
      <w:ind w:left="1050" w:hanging="210"/>
      <w:jc w:val="left"/>
    </w:pPr>
    <w:rPr>
      <w:rFonts w:ascii="Calibri" w:hAnsi="Calibri"/>
      <w:sz w:val="20"/>
      <w:szCs w:val="20"/>
    </w:rPr>
  </w:style>
  <w:style w:type="paragraph" w:styleId="10">
    <w:name w:val="Document Map"/>
    <w:basedOn w:val="1"/>
    <w:semiHidden/>
    <w:qFormat/>
    <w:uiPriority w:val="0"/>
    <w:pPr>
      <w:shd w:val="clear" w:color="auto" w:fill="000080"/>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143"/>
    <w:qFormat/>
    <w:uiPriority w:val="0"/>
    <w:rPr>
      <w:sz w:val="18"/>
      <w:szCs w:val="18"/>
    </w:rPr>
  </w:style>
  <w:style w:type="paragraph" w:styleId="19">
    <w:name w:val="footer"/>
    <w:basedOn w:val="1"/>
    <w:qFormat/>
    <w:uiPriority w:val="0"/>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2"/>
      </w:tabs>
      <w:spacing w:beforeLines="25" w:afterLines="25"/>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ind w:left="100" w:leftChars="100"/>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Title"/>
    <w:basedOn w:val="1"/>
    <w:next w:val="1"/>
    <w:link w:val="147"/>
    <w:qFormat/>
    <w:uiPriority w:val="0"/>
    <w:pPr>
      <w:spacing w:before="240" w:after="60"/>
      <w:jc w:val="center"/>
      <w:outlineLvl w:val="0"/>
    </w:pPr>
    <w:rPr>
      <w:rFonts w:asciiTheme="majorHAnsi" w:hAnsiTheme="majorHAnsi" w:eastAsiaTheme="majorEastAsia" w:cstheme="majorBidi"/>
      <w:b/>
      <w:bCs/>
      <w:sz w:val="32"/>
      <w:szCs w:val="32"/>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8">
    <w:name w:val="Strong"/>
    <w:qFormat/>
    <w:uiPriority w:val="22"/>
    <w:rPr>
      <w:b/>
      <w:bCs/>
    </w:rPr>
  </w:style>
  <w:style w:type="character" w:styleId="39">
    <w:name w:val="endnote reference"/>
    <w:semiHidden/>
    <w:qFormat/>
    <w:uiPriority w:val="0"/>
    <w:rPr>
      <w:vertAlign w:val="superscript"/>
    </w:rPr>
  </w:style>
  <w:style w:type="character" w:styleId="40">
    <w:name w:val="page number"/>
    <w:qFormat/>
    <w:uiPriority w:val="0"/>
    <w:rPr>
      <w:rFonts w:ascii="Times New Roman" w:hAnsi="Times New Roman" w:eastAsia="宋体"/>
      <w:sz w:val="18"/>
    </w:rPr>
  </w:style>
  <w:style w:type="character" w:styleId="41">
    <w:name w:val="Hyperlink"/>
    <w:qFormat/>
    <w:uiPriority w:val="99"/>
    <w:rPr>
      <w:color w:val="0000FF"/>
      <w:spacing w:val="0"/>
      <w:w w:val="100"/>
      <w:szCs w:val="21"/>
      <w:u w:val="single"/>
    </w:rPr>
  </w:style>
  <w:style w:type="character" w:styleId="42">
    <w:name w:val="footnote reference"/>
    <w:semiHidden/>
    <w:qFormat/>
    <w:uiPriority w:val="0"/>
    <w:rPr>
      <w:vertAlign w:val="superscript"/>
    </w:rPr>
  </w:style>
  <w:style w:type="character" w:customStyle="1" w:styleId="43">
    <w:name w:val="段 Char"/>
    <w:link w:val="25"/>
    <w:qFormat/>
    <w:uiPriority w:val="0"/>
    <w:rPr>
      <w:rFonts w:ascii="宋体"/>
      <w:sz w:val="21"/>
      <w:lang w:val="en-US" w:eastAsia="zh-CN" w:bidi="ar-SA"/>
    </w:rPr>
  </w:style>
  <w:style w:type="paragraph" w:customStyle="1" w:styleId="44">
    <w:name w:val="一级条标题"/>
    <w:next w:val="25"/>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5"/>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4"/>
    <w:next w:val="25"/>
    <w:qFormat/>
    <w:uiPriority w:val="0"/>
    <w:pPr>
      <w:numPr>
        <w:ilvl w:val="2"/>
      </w:numPr>
      <w:outlineLvl w:val="3"/>
    </w:pPr>
  </w:style>
  <w:style w:type="paragraph" w:customStyle="1" w:styleId="4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5"/>
    <w:qFormat/>
    <w:uiPriority w:val="0"/>
    <w:pPr>
      <w:numPr>
        <w:ilvl w:val="3"/>
      </w:numPr>
      <w:outlineLvl w:val="4"/>
    </w:pPr>
  </w:style>
  <w:style w:type="paragraph" w:customStyle="1" w:styleId="54">
    <w:name w:val="示例"/>
    <w:next w:val="55"/>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7">
    <w:name w:val="四级条标题"/>
    <w:basedOn w:val="53"/>
    <w:next w:val="25"/>
    <w:qFormat/>
    <w:uiPriority w:val="0"/>
    <w:pPr>
      <w:numPr>
        <w:ilvl w:val="4"/>
      </w:numPr>
      <w:outlineLvl w:val="5"/>
    </w:pPr>
  </w:style>
  <w:style w:type="paragraph" w:customStyle="1" w:styleId="58">
    <w:name w:val="五级条标题"/>
    <w:basedOn w:val="57"/>
    <w:next w:val="25"/>
    <w:qFormat/>
    <w:uiPriority w:val="0"/>
    <w:pPr>
      <w:numPr>
        <w:ilvl w:val="5"/>
      </w:numPr>
      <w:outlineLvl w:val="6"/>
    </w:pPr>
  </w:style>
  <w:style w:type="paragraph" w:customStyle="1" w:styleId="59">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0">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1">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2">
    <w:name w:val="列项◆（三级）"/>
    <w:basedOn w:val="1"/>
    <w:qFormat/>
    <w:uiPriority w:val="0"/>
    <w:pPr>
      <w:numPr>
        <w:ilvl w:val="2"/>
        <w:numId w:val="3"/>
      </w:numPr>
    </w:pPr>
    <w:rPr>
      <w:rFonts w:ascii="宋体"/>
      <w:szCs w:val="21"/>
    </w:rPr>
  </w:style>
  <w:style w:type="paragraph" w:customStyle="1" w:styleId="63">
    <w:name w:val="编号列项（三级）"/>
    <w:qFormat/>
    <w:uiPriority w:val="0"/>
    <w:rPr>
      <w:rFonts w:ascii="宋体" w:hAnsi="Times New Roman" w:eastAsia="宋体" w:cs="Times New Roman"/>
      <w:sz w:val="21"/>
      <w:lang w:val="en-US" w:eastAsia="zh-CN" w:bidi="ar-SA"/>
    </w:rPr>
  </w:style>
  <w:style w:type="paragraph" w:customStyle="1" w:styleId="64">
    <w:name w:val="示例×："/>
    <w:basedOn w:val="47"/>
    <w:qFormat/>
    <w:uiPriority w:val="0"/>
    <w:pPr>
      <w:numPr>
        <w:numId w:val="8"/>
      </w:numPr>
      <w:spacing w:beforeLines="0" w:afterLines="0"/>
      <w:outlineLvl w:val="9"/>
    </w:pPr>
    <w:rPr>
      <w:rFonts w:ascii="宋体" w:eastAsia="宋体"/>
      <w:sz w:val="18"/>
      <w:szCs w:val="18"/>
    </w:rPr>
  </w:style>
  <w:style w:type="paragraph" w:customStyle="1" w:styleId="65">
    <w:name w:val="二级无"/>
    <w:basedOn w:val="48"/>
    <w:qFormat/>
    <w:uiPriority w:val="0"/>
    <w:pPr>
      <w:spacing w:before="0" w:beforeLines="0" w:after="0" w:afterLines="0"/>
    </w:pPr>
    <w:rPr>
      <w:rFonts w:ascii="宋体" w:eastAsia="宋体"/>
    </w:rPr>
  </w:style>
  <w:style w:type="paragraph" w:customStyle="1" w:styleId="66">
    <w:name w:val="注：（正文）"/>
    <w:basedOn w:val="59"/>
    <w:next w:val="25"/>
    <w:uiPriority w:val="0"/>
    <w:pPr>
      <w:numPr>
        <w:ilvl w:val="0"/>
        <w:numId w:val="9"/>
      </w:numPr>
    </w:pPr>
  </w:style>
  <w:style w:type="paragraph" w:customStyle="1" w:styleId="67">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1">
    <w:name w:val="标准书眉_偶数页"/>
    <w:basedOn w:val="46"/>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paragraph" w:customStyle="1" w:styleId="73">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4">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5">
    <w:name w:val="发布"/>
    <w:qFormat/>
    <w:uiPriority w:val="0"/>
    <w:rPr>
      <w:rFonts w:ascii="黑体" w:eastAsia="黑体"/>
      <w:spacing w:val="85"/>
      <w:w w:val="100"/>
      <w:position w:val="3"/>
      <w:sz w:val="28"/>
      <w:szCs w:val="28"/>
    </w:rPr>
  </w:style>
  <w:style w:type="paragraph" w:customStyle="1" w:styleId="76">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8">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1">
    <w:name w:val="封面标准英文名称"/>
    <w:basedOn w:val="80"/>
    <w:qFormat/>
    <w:uiPriority w:val="0"/>
    <w:pPr>
      <w:framePr w:wrap="around"/>
      <w:spacing w:before="370" w:line="400" w:lineRule="exact"/>
    </w:pPr>
    <w:rPr>
      <w:rFonts w:ascii="Times New Roman"/>
      <w:sz w:val="28"/>
      <w:szCs w:val="28"/>
    </w:rPr>
  </w:style>
  <w:style w:type="paragraph" w:customStyle="1" w:styleId="82">
    <w:name w:val="封面一致性程度标识"/>
    <w:basedOn w:val="81"/>
    <w:qFormat/>
    <w:uiPriority w:val="0"/>
    <w:pPr>
      <w:framePr w:wrap="around"/>
      <w:spacing w:before="440"/>
    </w:pPr>
    <w:rPr>
      <w:rFonts w:ascii="宋体" w:eastAsia="宋体"/>
    </w:rPr>
  </w:style>
  <w:style w:type="paragraph" w:customStyle="1" w:styleId="83">
    <w:name w:val="封面标准文稿类别"/>
    <w:basedOn w:val="82"/>
    <w:uiPriority w:val="0"/>
    <w:pPr>
      <w:framePr w:wrap="around"/>
      <w:spacing w:after="160" w:line="240" w:lineRule="auto"/>
    </w:pPr>
    <w:rPr>
      <w:sz w:val="24"/>
    </w:rPr>
  </w:style>
  <w:style w:type="paragraph" w:customStyle="1" w:styleId="84">
    <w:name w:val="封面标准文稿编辑信息"/>
    <w:basedOn w:val="83"/>
    <w:qFormat/>
    <w:uiPriority w:val="0"/>
    <w:pPr>
      <w:framePr w:wrap="around"/>
      <w:spacing w:before="180" w:line="180" w:lineRule="exact"/>
    </w:pPr>
    <w:rPr>
      <w:sz w:val="21"/>
    </w:rPr>
  </w:style>
  <w:style w:type="paragraph" w:customStyle="1" w:styleId="85">
    <w:name w:val="封面正文"/>
    <w:qFormat/>
    <w:uiPriority w:val="0"/>
    <w:pPr>
      <w:jc w:val="both"/>
    </w:pPr>
    <w:rPr>
      <w:rFonts w:ascii="Times New Roman" w:hAnsi="Times New Roman" w:eastAsia="宋体" w:cs="Times New Roman"/>
      <w:lang w:val="en-US" w:eastAsia="zh-CN" w:bidi="ar-SA"/>
    </w:rPr>
  </w:style>
  <w:style w:type="paragraph" w:customStyle="1" w:styleId="86">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7">
    <w:name w:val="附录标题"/>
    <w:basedOn w:val="25"/>
    <w:next w:val="25"/>
    <w:qFormat/>
    <w:uiPriority w:val="0"/>
    <w:pPr>
      <w:ind w:firstLine="0" w:firstLineChars="0"/>
      <w:jc w:val="center"/>
    </w:pPr>
    <w:rPr>
      <w:rFonts w:ascii="黑体" w:eastAsia="黑体"/>
    </w:rPr>
  </w:style>
  <w:style w:type="paragraph" w:customStyle="1" w:styleId="88">
    <w:name w:val="附录表标号"/>
    <w:basedOn w:val="1"/>
    <w:next w:val="25"/>
    <w:qFormat/>
    <w:uiPriority w:val="0"/>
    <w:pPr>
      <w:numPr>
        <w:ilvl w:val="0"/>
        <w:numId w:val="12"/>
      </w:numPr>
      <w:spacing w:line="14" w:lineRule="exact"/>
      <w:ind w:left="811" w:hanging="448"/>
      <w:jc w:val="center"/>
      <w:outlineLvl w:val="0"/>
    </w:pPr>
    <w:rPr>
      <w:color w:val="FFFFFF"/>
    </w:rPr>
  </w:style>
  <w:style w:type="paragraph" w:customStyle="1" w:styleId="89">
    <w:name w:val="附录表标题"/>
    <w:basedOn w:val="1"/>
    <w:next w:val="25"/>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90">
    <w:name w:val="附录二级条标题"/>
    <w:basedOn w:val="1"/>
    <w:next w:val="25"/>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1">
    <w:name w:val="附录二级无"/>
    <w:basedOn w:val="90"/>
    <w:qFormat/>
    <w:uiPriority w:val="0"/>
    <w:pPr>
      <w:tabs>
        <w:tab w:val="clear" w:pos="360"/>
      </w:tabs>
      <w:spacing w:beforeLines="0" w:afterLines="0"/>
    </w:pPr>
    <w:rPr>
      <w:rFonts w:ascii="宋体" w:eastAsia="宋体"/>
      <w:szCs w:val="21"/>
    </w:rPr>
  </w:style>
  <w:style w:type="paragraph" w:customStyle="1" w:styleId="92">
    <w:name w:val="附录公式"/>
    <w:basedOn w:val="25"/>
    <w:next w:val="25"/>
    <w:link w:val="93"/>
    <w:qFormat/>
    <w:uiPriority w:val="0"/>
  </w:style>
  <w:style w:type="character" w:customStyle="1" w:styleId="93">
    <w:name w:val="附录公式 Char"/>
    <w:basedOn w:val="43"/>
    <w:link w:val="92"/>
    <w:qFormat/>
    <w:uiPriority w:val="0"/>
    <w:rPr>
      <w:rFonts w:ascii="宋体"/>
      <w:sz w:val="21"/>
      <w:lang w:val="en-US" w:eastAsia="zh-CN" w:bidi="ar-SA"/>
    </w:rPr>
  </w:style>
  <w:style w:type="paragraph" w:customStyle="1" w:styleId="94">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5">
    <w:name w:val="附录三级条标题"/>
    <w:basedOn w:val="90"/>
    <w:next w:val="25"/>
    <w:uiPriority w:val="0"/>
    <w:pPr>
      <w:numPr>
        <w:ilvl w:val="4"/>
      </w:numPr>
      <w:outlineLvl w:val="4"/>
    </w:pPr>
  </w:style>
  <w:style w:type="paragraph" w:customStyle="1" w:styleId="96">
    <w:name w:val="附录三级无"/>
    <w:basedOn w:val="95"/>
    <w:qFormat/>
    <w:uiPriority w:val="0"/>
    <w:pPr>
      <w:tabs>
        <w:tab w:val="clear" w:pos="360"/>
      </w:tabs>
      <w:spacing w:beforeLines="0" w:afterLines="0"/>
    </w:pPr>
    <w:rPr>
      <w:rFonts w:ascii="宋体" w:eastAsia="宋体"/>
      <w:szCs w:val="21"/>
    </w:rPr>
  </w:style>
  <w:style w:type="paragraph" w:customStyle="1" w:styleId="97">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8">
    <w:name w:val="附录四级条标题"/>
    <w:basedOn w:val="95"/>
    <w:next w:val="25"/>
    <w:qFormat/>
    <w:uiPriority w:val="0"/>
    <w:pPr>
      <w:numPr>
        <w:ilvl w:val="5"/>
      </w:numPr>
      <w:outlineLvl w:val="5"/>
    </w:pPr>
  </w:style>
  <w:style w:type="paragraph" w:customStyle="1" w:styleId="99">
    <w:name w:val="附录四级无"/>
    <w:basedOn w:val="98"/>
    <w:qFormat/>
    <w:uiPriority w:val="0"/>
    <w:pPr>
      <w:tabs>
        <w:tab w:val="clear" w:pos="360"/>
      </w:tabs>
      <w:spacing w:beforeLines="0" w:afterLines="0"/>
    </w:pPr>
    <w:rPr>
      <w:rFonts w:ascii="宋体" w:eastAsia="宋体"/>
      <w:szCs w:val="21"/>
    </w:rPr>
  </w:style>
  <w:style w:type="paragraph" w:customStyle="1" w:styleId="100">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1">
    <w:name w:val="附录图标题"/>
    <w:basedOn w:val="1"/>
    <w:next w:val="25"/>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2">
    <w:name w:val="附录五级条标题"/>
    <w:basedOn w:val="98"/>
    <w:next w:val="25"/>
    <w:qFormat/>
    <w:uiPriority w:val="0"/>
    <w:pPr>
      <w:numPr>
        <w:ilvl w:val="6"/>
      </w:numPr>
      <w:outlineLvl w:val="6"/>
    </w:pPr>
  </w:style>
  <w:style w:type="paragraph" w:customStyle="1" w:styleId="103">
    <w:name w:val="附录五级无"/>
    <w:basedOn w:val="102"/>
    <w:qFormat/>
    <w:uiPriority w:val="0"/>
    <w:pPr>
      <w:tabs>
        <w:tab w:val="clear" w:pos="360"/>
      </w:tabs>
      <w:spacing w:beforeLines="0" w:afterLines="0"/>
    </w:pPr>
    <w:rPr>
      <w:rFonts w:ascii="宋体" w:eastAsia="宋体"/>
      <w:szCs w:val="21"/>
    </w:rPr>
  </w:style>
  <w:style w:type="paragraph" w:customStyle="1" w:styleId="104">
    <w:name w:val="附录章标题"/>
    <w:next w:val="25"/>
    <w:qFormat/>
    <w:uiPriority w:val="0"/>
    <w:pPr>
      <w:numPr>
        <w:ilvl w:val="1"/>
        <w:numId w:val="11"/>
      </w:numPr>
      <w:tabs>
        <w:tab w:val="left" w:pos="360"/>
      </w:tabs>
      <w:wordWrap w:val="0"/>
      <w:overflowPunct w:val="0"/>
      <w:autoSpaceDE w:val="0"/>
      <w:spacing w:before="312" w:beforeLines="100" w:after="312"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一级条标题"/>
    <w:basedOn w:val="104"/>
    <w:next w:val="25"/>
    <w:qFormat/>
    <w:uiPriority w:val="0"/>
    <w:pPr>
      <w:numPr>
        <w:ilvl w:val="2"/>
      </w:numPr>
      <w:autoSpaceDN w:val="0"/>
      <w:spacing w:before="50" w:beforeLines="50" w:after="50" w:afterLines="50"/>
      <w:ind w:left="0"/>
      <w:outlineLvl w:val="2"/>
    </w:pPr>
  </w:style>
  <w:style w:type="paragraph" w:customStyle="1" w:styleId="106">
    <w:name w:val="附录一级无"/>
    <w:basedOn w:val="105"/>
    <w:qFormat/>
    <w:uiPriority w:val="0"/>
    <w:pPr>
      <w:tabs>
        <w:tab w:val="clear" w:pos="360"/>
      </w:tabs>
      <w:spacing w:beforeLines="0" w:afterLines="0"/>
    </w:pPr>
    <w:rPr>
      <w:rFonts w:ascii="宋体" w:eastAsia="宋体"/>
      <w:szCs w:val="21"/>
    </w:rPr>
  </w:style>
  <w:style w:type="paragraph" w:customStyle="1" w:styleId="107">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1">
    <w:name w:val="其他标准标志"/>
    <w:basedOn w:val="68"/>
    <w:uiPriority w:val="0"/>
    <w:pPr>
      <w:framePr w:w="6101" w:wrap="around" w:vAnchor="page" w:hAnchor="page" w:x="4673" w:y="942"/>
    </w:pPr>
    <w:rPr>
      <w:w w:val="130"/>
    </w:rPr>
  </w:style>
  <w:style w:type="paragraph" w:customStyle="1" w:styleId="11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3">
    <w:name w:val="其他发布部门"/>
    <w:basedOn w:val="76"/>
    <w:qFormat/>
    <w:uiPriority w:val="0"/>
    <w:pPr>
      <w:framePr w:wrap="around" w:y="15310"/>
      <w:spacing w:line="0" w:lineRule="atLeast"/>
    </w:pPr>
    <w:rPr>
      <w:rFonts w:ascii="黑体" w:eastAsia="黑体"/>
      <w:b w:val="0"/>
    </w:rPr>
  </w:style>
  <w:style w:type="paragraph" w:customStyle="1" w:styleId="114">
    <w:name w:val="前言、引言标题"/>
    <w:next w:val="25"/>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5">
    <w:name w:val="三级无"/>
    <w:basedOn w:val="53"/>
    <w:qFormat/>
    <w:uiPriority w:val="0"/>
    <w:pPr>
      <w:spacing w:before="0" w:beforeLines="0" w:after="0" w:afterLines="0"/>
    </w:pPr>
    <w:rPr>
      <w:rFonts w:asciiTheme="minorEastAsia" w:hAnsiTheme="minorEastAsia" w:eastAsiaTheme="minorEastAsia"/>
    </w:rPr>
  </w:style>
  <w:style w:type="paragraph" w:customStyle="1" w:styleId="116">
    <w:name w:val="实施日期"/>
    <w:basedOn w:val="77"/>
    <w:uiPriority w:val="0"/>
    <w:pPr>
      <w:framePr w:wrap="around" w:vAnchor="page" w:hAnchor="text"/>
      <w:jc w:val="right"/>
    </w:pPr>
  </w:style>
  <w:style w:type="paragraph" w:customStyle="1" w:styleId="117">
    <w:name w:val="示例后文字"/>
    <w:basedOn w:val="25"/>
    <w:next w:val="25"/>
    <w:qFormat/>
    <w:uiPriority w:val="0"/>
    <w:pPr>
      <w:ind w:firstLine="360"/>
    </w:pPr>
    <w:rPr>
      <w:sz w:val="18"/>
    </w:rPr>
  </w:style>
  <w:style w:type="paragraph" w:customStyle="1" w:styleId="118">
    <w:name w:val="首示例"/>
    <w:next w:val="25"/>
    <w:link w:val="119"/>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9">
    <w:name w:val="首示例 Char"/>
    <w:link w:val="118"/>
    <w:qFormat/>
    <w:uiPriority w:val="0"/>
    <w:rPr>
      <w:rFonts w:ascii="宋体" w:hAnsi="宋体"/>
      <w:kern w:val="2"/>
      <w:sz w:val="18"/>
      <w:szCs w:val="18"/>
    </w:rPr>
  </w:style>
  <w:style w:type="paragraph" w:customStyle="1" w:styleId="120">
    <w:name w:val="四级无"/>
    <w:basedOn w:val="57"/>
    <w:qFormat/>
    <w:uiPriority w:val="0"/>
    <w:pPr>
      <w:spacing w:before="0" w:beforeLines="0" w:after="0" w:afterLines="0"/>
    </w:pPr>
    <w:rPr>
      <w:rFonts w:asciiTheme="minorEastAsia" w:hAnsiTheme="minorEastAsia" w:eastAsiaTheme="minorEastAsia"/>
    </w:rPr>
  </w:style>
  <w:style w:type="paragraph" w:customStyle="1" w:styleId="121">
    <w:name w:val="条文脚注"/>
    <w:basedOn w:val="26"/>
    <w:qFormat/>
    <w:uiPriority w:val="0"/>
    <w:pPr>
      <w:numPr>
        <w:numId w:val="0"/>
      </w:numPr>
      <w:jc w:val="both"/>
    </w:pPr>
  </w:style>
  <w:style w:type="paragraph" w:customStyle="1" w:styleId="122">
    <w:name w:val="图标脚注说明"/>
    <w:basedOn w:val="25"/>
    <w:uiPriority w:val="0"/>
    <w:pPr>
      <w:ind w:left="840" w:hanging="420" w:firstLineChars="0"/>
    </w:pPr>
    <w:rPr>
      <w:sz w:val="18"/>
      <w:szCs w:val="18"/>
    </w:rPr>
  </w:style>
  <w:style w:type="paragraph" w:customStyle="1" w:styleId="123">
    <w:name w:val="图表脚注说明"/>
    <w:basedOn w:val="1"/>
    <w:uiPriority w:val="0"/>
    <w:pPr>
      <w:numPr>
        <w:ilvl w:val="0"/>
        <w:numId w:val="16"/>
      </w:numPr>
    </w:pPr>
    <w:rPr>
      <w:rFonts w:ascii="宋体"/>
      <w:sz w:val="18"/>
      <w:szCs w:val="18"/>
    </w:rPr>
  </w:style>
  <w:style w:type="paragraph" w:customStyle="1" w:styleId="124">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6">
    <w:name w:val="五级无"/>
    <w:basedOn w:val="58"/>
    <w:qFormat/>
    <w:uiPriority w:val="0"/>
    <w:pPr>
      <w:spacing w:before="0" w:beforeLines="0" w:after="0" w:afterLines="0"/>
    </w:pPr>
    <w:rPr>
      <w:rFonts w:asciiTheme="minorEastAsia" w:hAnsiTheme="minorEastAsia" w:eastAsiaTheme="minorEastAsia"/>
    </w:rPr>
  </w:style>
  <w:style w:type="paragraph" w:customStyle="1" w:styleId="127">
    <w:name w:val="一级无"/>
    <w:basedOn w:val="44"/>
    <w:qFormat/>
    <w:uiPriority w:val="0"/>
    <w:pPr>
      <w:spacing w:before="0" w:beforeLines="0" w:after="0" w:afterLines="0"/>
    </w:pPr>
    <w:rPr>
      <w:rFonts w:ascii="宋体" w:eastAsia="宋体"/>
    </w:rPr>
  </w:style>
  <w:style w:type="character" w:customStyle="1" w:styleId="128">
    <w:name w:val="已访问的超链接1"/>
    <w:qFormat/>
    <w:uiPriority w:val="0"/>
    <w:rPr>
      <w:color w:val="800080"/>
      <w:u w:val="single"/>
    </w:rPr>
  </w:style>
  <w:style w:type="paragraph" w:customStyle="1" w:styleId="129">
    <w:name w:val="正文表标题"/>
    <w:next w:val="25"/>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0">
    <w:name w:val="正文公式编号制表符"/>
    <w:basedOn w:val="25"/>
    <w:next w:val="25"/>
    <w:qFormat/>
    <w:uiPriority w:val="0"/>
    <w:pPr>
      <w:ind w:firstLine="0" w:firstLineChars="0"/>
    </w:pPr>
  </w:style>
  <w:style w:type="paragraph" w:customStyle="1" w:styleId="131">
    <w:name w:val="正文图标题"/>
    <w:next w:val="25"/>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2">
    <w:name w:val="终结线"/>
    <w:basedOn w:val="1"/>
    <w:qFormat/>
    <w:uiPriority w:val="0"/>
    <w:pPr>
      <w:framePr w:hSpace="181" w:vSpace="181" w:wrap="around" w:vAnchor="text" w:hAnchor="margin" w:xAlign="center" w:y="285"/>
    </w:pPr>
  </w:style>
  <w:style w:type="paragraph" w:customStyle="1" w:styleId="133">
    <w:name w:val="其他发布日期"/>
    <w:basedOn w:val="77"/>
    <w:qFormat/>
    <w:uiPriority w:val="0"/>
    <w:pPr>
      <w:framePr w:wrap="around" w:vAnchor="page" w:hAnchor="text" w:x="1419"/>
    </w:pPr>
  </w:style>
  <w:style w:type="paragraph" w:customStyle="1" w:styleId="134">
    <w:name w:val="其他实施日期"/>
    <w:basedOn w:val="116"/>
    <w:qFormat/>
    <w:uiPriority w:val="0"/>
    <w:pPr>
      <w:framePr w:wrap="around"/>
    </w:pPr>
  </w:style>
  <w:style w:type="paragraph" w:customStyle="1" w:styleId="135">
    <w:name w:val="封面标准名称2"/>
    <w:basedOn w:val="80"/>
    <w:qFormat/>
    <w:uiPriority w:val="0"/>
    <w:pPr>
      <w:framePr w:wrap="around" w:y="4469"/>
      <w:spacing w:beforeLines="630"/>
    </w:pPr>
  </w:style>
  <w:style w:type="paragraph" w:customStyle="1" w:styleId="136">
    <w:name w:val="封面标准英文名称2"/>
    <w:basedOn w:val="81"/>
    <w:qFormat/>
    <w:uiPriority w:val="0"/>
    <w:pPr>
      <w:framePr w:wrap="around" w:y="4469"/>
    </w:pPr>
  </w:style>
  <w:style w:type="paragraph" w:customStyle="1" w:styleId="137">
    <w:name w:val="封面一致性程度标识2"/>
    <w:basedOn w:val="82"/>
    <w:qFormat/>
    <w:uiPriority w:val="0"/>
    <w:pPr>
      <w:framePr w:wrap="around" w:y="4469"/>
    </w:pPr>
  </w:style>
  <w:style w:type="paragraph" w:customStyle="1" w:styleId="138">
    <w:name w:val="封面标准文稿类别2"/>
    <w:basedOn w:val="83"/>
    <w:qFormat/>
    <w:uiPriority w:val="0"/>
    <w:pPr>
      <w:framePr w:wrap="around" w:y="4469"/>
    </w:pPr>
  </w:style>
  <w:style w:type="paragraph" w:customStyle="1" w:styleId="139">
    <w:name w:val="封面标准文稿编辑信息2"/>
    <w:basedOn w:val="84"/>
    <w:qFormat/>
    <w:uiPriority w:val="0"/>
    <w:pPr>
      <w:framePr w:wrap="around" w:y="4469"/>
    </w:pPr>
  </w:style>
  <w:style w:type="paragraph" w:customStyle="1" w:styleId="140">
    <w:name w:val="列出段落1"/>
    <w:basedOn w:val="1"/>
    <w:qFormat/>
    <w:uiPriority w:val="34"/>
    <w:pPr>
      <w:ind w:firstLine="420" w:firstLineChars="200"/>
    </w:pPr>
    <w:rPr>
      <w:rFonts w:ascii="Calibri" w:hAnsi="Calibri"/>
      <w:sz w:val="28"/>
      <w:szCs w:val="22"/>
    </w:rPr>
  </w:style>
  <w:style w:type="character" w:customStyle="1" w:styleId="141">
    <w:name w:val="标题 2 Char"/>
    <w:link w:val="4"/>
    <w:qFormat/>
    <w:uiPriority w:val="9"/>
    <w:rPr>
      <w:rFonts w:ascii="Cambria" w:hAnsi="Cambria" w:eastAsia="宋体" w:cs="Times New Roman"/>
      <w:b/>
      <w:bCs/>
      <w:kern w:val="2"/>
      <w:sz w:val="32"/>
      <w:szCs w:val="32"/>
    </w:rPr>
  </w:style>
  <w:style w:type="character" w:customStyle="1" w:styleId="142">
    <w:name w:val="标题 3 Char"/>
    <w:link w:val="5"/>
    <w:qFormat/>
    <w:uiPriority w:val="9"/>
    <w:rPr>
      <w:rFonts w:ascii="Calibri" w:hAnsi="Calibri" w:eastAsia="宋体" w:cs="Times New Roman"/>
      <w:b/>
      <w:bCs/>
      <w:kern w:val="2"/>
      <w:sz w:val="32"/>
      <w:szCs w:val="32"/>
    </w:rPr>
  </w:style>
  <w:style w:type="character" w:customStyle="1" w:styleId="143">
    <w:name w:val="批注框文本 Char"/>
    <w:link w:val="18"/>
    <w:qFormat/>
    <w:uiPriority w:val="0"/>
    <w:rPr>
      <w:kern w:val="2"/>
      <w:sz w:val="18"/>
      <w:szCs w:val="18"/>
    </w:rPr>
  </w:style>
  <w:style w:type="character" w:customStyle="1" w:styleId="144">
    <w:name w:val="标题 1 Char"/>
    <w:link w:val="3"/>
    <w:qFormat/>
    <w:uiPriority w:val="0"/>
    <w:rPr>
      <w:b/>
      <w:bCs/>
      <w:kern w:val="44"/>
      <w:sz w:val="44"/>
      <w:szCs w:val="44"/>
    </w:rPr>
  </w:style>
  <w:style w:type="paragraph" w:customStyle="1" w:styleId="145">
    <w:name w:val="TOC 标题1"/>
    <w:basedOn w:val="3"/>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6">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47">
    <w:name w:val="标题 Char"/>
    <w:basedOn w:val="37"/>
    <w:link w:val="34"/>
    <w:qFormat/>
    <w:uiPriority w:val="0"/>
    <w:rPr>
      <w:rFonts w:asciiTheme="majorHAnsi" w:hAnsiTheme="majorHAnsi" w:eastAsiaTheme="majorEastAsia" w:cstheme="majorBidi"/>
      <w:b/>
      <w:bCs/>
      <w:kern w:val="2"/>
      <w:sz w:val="32"/>
      <w:szCs w:val="32"/>
    </w:rPr>
  </w:style>
  <w:style w:type="character" w:customStyle="1" w:styleId="148">
    <w:name w:val="15"/>
    <w:basedOn w:val="37"/>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33258;&#23450;&#20041;%20Office%20&#27169;&#26495;\&#27827;&#21271;&#30465;&#22320;&#26041;&#26631;&#20934;&#65288;&#24066;&#22330;&#30417;&#31649;&#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EA50C9-22F7-42A6-97F5-515D6853A32C}">
  <ds:schemaRefs/>
</ds:datastoreItem>
</file>

<file path=docProps/app.xml><?xml version="1.0" encoding="utf-8"?>
<Properties xmlns="http://schemas.openxmlformats.org/officeDocument/2006/extended-properties" xmlns:vt="http://schemas.openxmlformats.org/officeDocument/2006/docPropsVTypes">
  <Template>河北省地方标准（市场监管局 2020版）</Template>
  <Company>zle</Company>
  <Pages>7</Pages>
  <Words>3189</Words>
  <Characters>3428</Characters>
  <Lines>34</Lines>
  <Paragraphs>9</Paragraphs>
  <TotalTime>341</TotalTime>
  <ScaleCrop>false</ScaleCrop>
  <LinksUpToDate>false</LinksUpToDate>
  <CharactersWithSpaces>3510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2022-11-29T08:42:00Z</dcterms:created>
  <dc:creator>路源</dc:creator>
  <cp:lastModifiedBy>lxz</cp:lastModifiedBy>
  <cp:lastPrinted>2017-03-02T02:34:00Z</cp:lastPrinted>
  <dcterms:modified xsi:type="dcterms:W3CDTF">2022-12-06T07:32:00Z</dcterms:modified>
  <dc:title>标准名称</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D428F564F61F4C53B7489219761373F1</vt:lpwstr>
  </property>
</Properties>
</file>