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0"/>
      </w:pPr>
      <w:r>
        <w:rPr>
          <w:rFonts w:hint="eastAsia"/>
          <w:sz w:val="18"/>
        </w:rPr>
        <w:t>ICS xx.xx.xx</w:t>
      </w:r>
    </w:p>
    <w:p>
      <w:pPr>
        <w:ind w:firstLine="360"/>
        <w:rPr>
          <w:sz w:val="18"/>
        </w:rPr>
      </w:pPr>
      <w:r>
        <w:rPr>
          <w:rFonts w:hint="eastAsia"/>
          <w:sz w:val="18"/>
        </w:rPr>
        <w:t>B xx</w:t>
      </w:r>
    </w:p>
    <w:p>
      <w:pPr>
        <w:ind w:right="842" w:firstLine="1687"/>
        <w:jc w:val="right"/>
      </w:pPr>
      <w:r>
        <w:rPr>
          <w:rFonts w:hint="eastAsia"/>
          <w:b/>
          <w:sz w:val="84"/>
          <w:szCs w:val="84"/>
        </w:rPr>
        <w:t>DB</w:t>
      </w:r>
    </w:p>
    <w:p>
      <w:pPr>
        <w:ind w:firstLine="540"/>
        <w:jc w:val="distribute"/>
      </w:pPr>
      <w:r>
        <w:rPr>
          <w:rFonts w:hint="eastAsia" w:ascii="黑体" w:eastAsia="黑体"/>
          <w:sz w:val="44"/>
          <w:szCs w:val="44"/>
        </w:rPr>
        <w:t>河北省地方标准</w:t>
      </w:r>
    </w:p>
    <w:p>
      <w:pPr>
        <w:spacing w:before="312" w:beforeLines="100"/>
        <w:ind w:right="420" w:firstLine="560"/>
        <w:jc w:val="right"/>
      </w:pPr>
      <w:r>
        <w:rPr>
          <w:rFonts w:hint="eastAsia"/>
        </w:rPr>
        <w:t>DB　/T　　-20</w:t>
      </w:r>
      <w:r>
        <w:t>22</w:t>
      </w:r>
    </w:p>
    <w:p>
      <w:pPr>
        <w:ind w:firstLine="560"/>
        <w:rPr>
          <w:rFonts w:ascii="仿宋_GB2312" w:hAnsi="宋体"/>
        </w:rPr>
      </w:pPr>
      <w:r>
        <w:t>_________________________________________________________________________</w:t>
      </w: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滨海湿地生态廊道生态修复技术规程</w:t>
      </w:r>
    </w:p>
    <w:p>
      <w:pPr>
        <w:jc w:val="center"/>
        <w:rPr>
          <w:sz w:val="24"/>
          <w:szCs w:val="24"/>
        </w:rPr>
      </w:pPr>
      <w:r>
        <w:rPr>
          <w:sz w:val="24"/>
          <w:szCs w:val="24"/>
        </w:rPr>
        <w:t>Technical regulation for ecological restoration of wetland ecological corridor in coastal area</w:t>
      </w:r>
    </w:p>
    <w:p>
      <w:pPr>
        <w:jc w:val="left"/>
        <w:rPr>
          <w:sz w:val="24"/>
          <w:szCs w:val="24"/>
        </w:rPr>
      </w:pPr>
    </w:p>
    <w:p>
      <w:pPr>
        <w:spacing w:after="4992" w:afterLines="160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（网上征求意见稿）</w:t>
      </w:r>
    </w:p>
    <w:p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20</w:t>
      </w:r>
      <w:r>
        <w:rPr>
          <w:sz w:val="28"/>
          <w:szCs w:val="28"/>
          <w:u w:val="single"/>
        </w:rPr>
        <w:t>2X</w:t>
      </w:r>
      <w:r>
        <w:rPr>
          <w:rFonts w:hint="eastAsia"/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>XX</w:t>
      </w:r>
      <w:r>
        <w:rPr>
          <w:rFonts w:hint="eastAsia"/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>XX</w:t>
      </w:r>
      <w:r>
        <w:rPr>
          <w:rFonts w:hint="eastAsia" w:ascii="黑体" w:eastAsia="黑体"/>
          <w:sz w:val="28"/>
          <w:szCs w:val="28"/>
          <w:u w:val="single"/>
        </w:rPr>
        <w:t>发布</w:t>
      </w:r>
      <w:r>
        <w:rPr>
          <w:rFonts w:hint="eastAsia"/>
          <w:sz w:val="28"/>
          <w:szCs w:val="28"/>
          <w:u w:val="single"/>
        </w:rPr>
        <w:t>　　　　　　　　　　　　　</w:t>
      </w:r>
      <w:bookmarkStart w:id="1" w:name="_GoBack"/>
      <w:bookmarkEnd w:id="1"/>
      <w:r>
        <w:rPr>
          <w:rFonts w:hint="eastAsia"/>
          <w:sz w:val="28"/>
          <w:szCs w:val="28"/>
          <w:u w:val="single"/>
        </w:rPr>
        <w:t>20</w:t>
      </w:r>
      <w:r>
        <w:rPr>
          <w:sz w:val="28"/>
          <w:szCs w:val="28"/>
          <w:u w:val="single"/>
        </w:rPr>
        <w:t>2X</w:t>
      </w:r>
      <w:r>
        <w:rPr>
          <w:rFonts w:hint="eastAsia"/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>XX</w:t>
      </w:r>
      <w:r>
        <w:rPr>
          <w:rFonts w:hint="eastAsia"/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>XX</w:t>
      </w:r>
      <w:r>
        <w:rPr>
          <w:rFonts w:hint="eastAsia" w:ascii="黑体" w:eastAsia="黑体"/>
          <w:sz w:val="28"/>
          <w:szCs w:val="28"/>
          <w:u w:val="single"/>
        </w:rPr>
        <w:t>实施</w:t>
      </w:r>
    </w:p>
    <w:p>
      <w:pPr>
        <w:ind w:firstLine="642"/>
        <w:jc w:val="center"/>
        <w:rPr>
          <w:rFonts w:ascii="黑体" w:eastAsia="黑体"/>
          <w:szCs w:val="21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rPr>
          <w:rFonts w:hint="eastAsia" w:ascii="黑体" w:eastAsia="黑体"/>
          <w:b/>
          <w:spacing w:val="20"/>
          <w:sz w:val="28"/>
          <w:szCs w:val="28"/>
        </w:rPr>
        <w:t>河北省市场监督管理局</w:t>
      </w:r>
      <w:r>
        <w:rPr>
          <w:rFonts w:hint="eastAsia" w:ascii="仿宋_GB2312" w:eastAsia="仿宋_GB2312"/>
          <w:sz w:val="28"/>
          <w:szCs w:val="28"/>
        </w:rPr>
        <w:t>　　</w:t>
      </w:r>
      <w:r>
        <w:rPr>
          <w:rFonts w:hint="eastAsia" w:ascii="黑体" w:eastAsia="黑体"/>
          <w:bCs/>
          <w:spacing w:val="20"/>
          <w:sz w:val="28"/>
          <w:szCs w:val="28"/>
        </w:rPr>
        <w:t>发 布</w:t>
      </w:r>
    </w:p>
    <w:p>
      <w:pPr>
        <w:ind w:firstLine="420" w:firstLineChars="200"/>
        <w:jc w:val="left"/>
        <w:rPr>
          <w:szCs w:val="21"/>
        </w:rPr>
      </w:pPr>
      <w:bookmarkStart w:id="0" w:name="_Hlk117603956"/>
      <w:r>
        <w:rPr>
          <w:szCs w:val="21"/>
        </w:rPr>
        <w:t>本标准按照GB/T 1. 1—2020给出的规则起草。</w:t>
      </w: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本标准由河北省自然资源厅提出并归口</w:t>
      </w:r>
      <w:r>
        <w:rPr>
          <w:szCs w:val="21"/>
        </w:rPr>
        <w:t>。</w:t>
      </w:r>
    </w:p>
    <w:p>
      <w:pPr>
        <w:ind w:firstLine="420" w:firstLineChars="200"/>
        <w:jc w:val="left"/>
        <w:rPr>
          <w:szCs w:val="21"/>
        </w:rPr>
      </w:pPr>
      <w:r>
        <w:rPr>
          <w:szCs w:val="21"/>
        </w:rPr>
        <w:t>本标准起草单位：</w:t>
      </w:r>
      <w:r>
        <w:rPr>
          <w:rFonts w:hint="eastAsia"/>
          <w:szCs w:val="21"/>
        </w:rPr>
        <w:t>河北省国土整治中心、</w:t>
      </w:r>
      <w:r>
        <w:rPr>
          <w:szCs w:val="21"/>
        </w:rPr>
        <w:t>中国科学院遗传与发育生物学研究所农业资源研究中心。</w:t>
      </w:r>
    </w:p>
    <w:p>
      <w:pPr>
        <w:ind w:firstLine="420" w:firstLineChars="200"/>
        <w:rPr>
          <w:szCs w:val="21"/>
        </w:rPr>
      </w:pPr>
      <w:r>
        <w:rPr>
          <w:szCs w:val="21"/>
        </w:rPr>
        <w:t>本标准主要起草人：</w:t>
      </w:r>
      <w:r>
        <w:rPr>
          <w:rFonts w:hint="eastAsia"/>
          <w:szCs w:val="21"/>
        </w:rPr>
        <w:t>司会庚、张志谭、刘国珍、郭伟志、张文宇、付同刚、高会、王晨刚、刘卫苹、蒋春晖、赵维全、郑艳东、何东娟、张婷、房艳美、赵敏、郭秉正、任东辉、张莹、杜亚娟、刘丽丽、李敬伟、赵利华、刘金铜、齐菲、王丰、张美、李彦鑫、赵亮、李东哲、徐洋。</w:t>
      </w:r>
    </w:p>
    <w:p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bookmarkEnd w:id="0"/>
    <w:p>
      <w:pPr>
        <w:spacing w:before="240" w:after="240"/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滨海湿地生态廊道生态修复技术规程</w:t>
      </w:r>
    </w:p>
    <w:p>
      <w:pPr>
        <w:pStyle w:val="13"/>
        <w:numPr>
          <w:ilvl w:val="0"/>
          <w:numId w:val="1"/>
        </w:numPr>
        <w:spacing w:before="312" w:beforeLines="100" w:after="312" w:afterLines="100"/>
        <w:ind w:left="357" w:hanging="357" w:firstLineChars="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Times New Roman" w:hAnsi="Times New Roman" w:eastAsia="黑体"/>
          <w:sz w:val="24"/>
          <w:szCs w:val="24"/>
        </w:rPr>
        <w:t>范围</w:t>
      </w:r>
    </w:p>
    <w:p>
      <w:pPr>
        <w:pStyle w:val="13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本标准规定了河北省滨海湿地生态廊道植被、土壤、水体等要素生态修复所涉及的术语和定义、修复原则与技术要求。</w:t>
      </w:r>
    </w:p>
    <w:p>
      <w:pPr>
        <w:pStyle w:val="13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本标准适用于河北省滨海湿地生态廊道的生态修复</w:t>
      </w:r>
      <w:r>
        <w:rPr>
          <w:rFonts w:hint="eastAsia" w:ascii="Times New Roman" w:hAnsi="Times New Roman" w:eastAsia="仿宋"/>
          <w:szCs w:val="21"/>
        </w:rPr>
        <w:t>。</w:t>
      </w:r>
    </w:p>
    <w:p>
      <w:pPr>
        <w:pStyle w:val="13"/>
        <w:numPr>
          <w:ilvl w:val="0"/>
          <w:numId w:val="1"/>
        </w:numPr>
        <w:spacing w:before="312" w:beforeLines="100" w:after="312" w:afterLines="100"/>
        <w:ind w:left="357" w:hanging="357" w:firstLineChars="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Times New Roman" w:hAnsi="Times New Roman" w:eastAsia="黑体"/>
          <w:sz w:val="24"/>
          <w:szCs w:val="24"/>
        </w:rPr>
        <w:t>规范性引用文件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>
      <w:pPr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GB 3838 </w:t>
      </w:r>
      <w:r>
        <w:rPr>
          <w:rFonts w:hint="eastAsia" w:ascii="Times New Roman" w:hAnsi="Times New Roman"/>
          <w:szCs w:val="21"/>
        </w:rPr>
        <w:t>地表水环境质量标准</w:t>
      </w:r>
    </w:p>
    <w:p>
      <w:pPr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GB 50707 河道整治设计规范</w:t>
      </w:r>
    </w:p>
    <w:p>
      <w:pPr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GB/T 27648 重要湿地监测指标体系</w:t>
      </w:r>
    </w:p>
    <w:p>
      <w:pPr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HY/T 080 滨海湿地生态监测技术规程</w:t>
      </w:r>
    </w:p>
    <w:p>
      <w:pPr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LY/T 2639 华北地区河溪植被缓冲带建设技术规程</w:t>
      </w:r>
    </w:p>
    <w:p>
      <w:pPr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SL/T 800 河湖生态系统保护与修复工程技术导则</w:t>
      </w:r>
    </w:p>
    <w:p>
      <w:pPr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DB 13/T 1692 </w:t>
      </w:r>
      <w:r>
        <w:rPr>
          <w:rFonts w:hint="eastAsia" w:ascii="Times New Roman" w:hAnsi="Times New Roman"/>
          <w:szCs w:val="21"/>
        </w:rPr>
        <w:t>滨海区暗管排水排盐技术规程</w:t>
      </w:r>
    </w:p>
    <w:p>
      <w:pPr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DB 13/T 2784 </w:t>
      </w:r>
      <w:r>
        <w:rPr>
          <w:rFonts w:hint="eastAsia" w:ascii="Times New Roman" w:hAnsi="Times New Roman"/>
          <w:szCs w:val="21"/>
        </w:rPr>
        <w:t>湿地生态系统服务评估规范</w:t>
      </w:r>
    </w:p>
    <w:p>
      <w:pPr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DB 13</w:t>
      </w:r>
      <w:r>
        <w:rPr>
          <w:rFonts w:hint="eastAsia" w:ascii="Times New Roman" w:hAnsi="Times New Roman"/>
          <w:szCs w:val="21"/>
        </w:rPr>
        <w:t>/</w:t>
      </w:r>
      <w:r>
        <w:rPr>
          <w:rFonts w:ascii="Times New Roman" w:hAnsi="Times New Roman"/>
          <w:szCs w:val="21"/>
        </w:rPr>
        <w:t>T 5405</w:t>
      </w:r>
      <w:r>
        <w:rPr>
          <w:rFonts w:hint="eastAsia" w:ascii="Times New Roman" w:hAnsi="Times New Roman"/>
          <w:szCs w:val="21"/>
        </w:rPr>
        <w:t>滨海区盐碱地暗管改良土壤培肥技术规程</w:t>
      </w:r>
    </w:p>
    <w:p>
      <w:pPr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DB 13</w:t>
      </w:r>
      <w:r>
        <w:rPr>
          <w:rFonts w:ascii="Times New Roman" w:hAnsi="Times New Roman"/>
          <w:szCs w:val="21"/>
        </w:rPr>
        <w:t>/</w:t>
      </w:r>
      <w:r>
        <w:rPr>
          <w:rFonts w:hint="eastAsia" w:ascii="Times New Roman" w:hAnsi="Times New Roman"/>
          <w:szCs w:val="21"/>
        </w:rPr>
        <w:t>T 5587省级重要湿地和一般湿地监测与评价技术规程</w:t>
      </w:r>
    </w:p>
    <w:p>
      <w:pPr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DB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13</w:t>
      </w:r>
      <w:r>
        <w:rPr>
          <w:rFonts w:ascii="Times New Roman" w:hAnsi="Times New Roman"/>
          <w:szCs w:val="21"/>
        </w:rPr>
        <w:t>/</w:t>
      </w:r>
      <w:r>
        <w:rPr>
          <w:rFonts w:hint="eastAsia" w:ascii="Times New Roman" w:hAnsi="Times New Roman"/>
          <w:szCs w:val="21"/>
        </w:rPr>
        <w:t>T 5606 河湖生态清淤工程技术规程</w:t>
      </w:r>
    </w:p>
    <w:p>
      <w:pPr>
        <w:pStyle w:val="13"/>
        <w:numPr>
          <w:ilvl w:val="0"/>
          <w:numId w:val="1"/>
        </w:numPr>
        <w:spacing w:before="312" w:beforeLines="100" w:after="312" w:afterLines="100"/>
        <w:ind w:left="357" w:hanging="357" w:firstLineChars="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Times New Roman" w:hAnsi="Times New Roman" w:eastAsia="黑体"/>
          <w:sz w:val="24"/>
          <w:szCs w:val="24"/>
        </w:rPr>
        <w:t>术语和定义</w:t>
      </w:r>
    </w:p>
    <w:p>
      <w:pPr>
        <w:pStyle w:val="14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下面术语和定义适用于本标准。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3.1 </w:t>
      </w:r>
    </w:p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滨海湿地生态廊道</w:t>
      </w:r>
    </w:p>
    <w:p>
      <w:pPr>
        <w:pStyle w:val="14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滨海湿地生态廊道是位于滨海地区，由植被、土壤、水体等要素组成，能使物质、能量、信息等流动，具有重要的栖息地、过滤和阻抑污染物、物质源汇等功能的条带状通道。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3.2 </w:t>
      </w:r>
    </w:p>
    <w:p>
      <w:pPr>
        <w:pStyle w:val="14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湿地生态廊道生态修复</w:t>
      </w:r>
    </w:p>
    <w:p>
      <w:pPr>
        <w:pStyle w:val="14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对湿地生态廊道停止过度人为干扰，减轻负荷压力，利用生态系统的自我恢复能力，辅以人工措施，使遭到破坏的湿地生态廊道逐步恢复并向良性循环方向发展。</w:t>
      </w:r>
    </w:p>
    <w:p>
      <w:pPr>
        <w:pStyle w:val="13"/>
        <w:numPr>
          <w:ilvl w:val="0"/>
          <w:numId w:val="1"/>
        </w:numPr>
        <w:spacing w:before="312" w:beforeLines="100" w:after="312" w:afterLines="100"/>
        <w:ind w:left="357" w:hanging="357" w:firstLineChars="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Times New Roman" w:hAnsi="Times New Roman" w:eastAsia="黑体"/>
          <w:sz w:val="24"/>
          <w:szCs w:val="24"/>
        </w:rPr>
        <w:t>修复原则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4.1 </w:t>
      </w:r>
      <w:r>
        <w:rPr>
          <w:rFonts w:hint="eastAsia" w:ascii="黑体" w:hAnsi="黑体" w:eastAsia="黑体"/>
          <w:szCs w:val="21"/>
        </w:rPr>
        <w:t>坚持保护优先，尊重自然和顺应自然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以基于自然的解决方案为指导，落实“节约优先、保护优先、自然恢复为主”的生态文明建设基本方针，全面提升湿地生态廊道的稳定性、多样性及持续性。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4.2 </w:t>
      </w:r>
      <w:r>
        <w:rPr>
          <w:rFonts w:hint="eastAsia" w:ascii="黑体" w:hAnsi="黑体" w:eastAsia="黑体"/>
          <w:szCs w:val="21"/>
        </w:rPr>
        <w:t>坚持生物、土壤、水体协同修复原则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湿地生态廊道是生物、土壤、水体等要素的有机体，单独修复其中一个要素很难从根本上完成生态修复，必须坚持各要素协同修复。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4.3 </w:t>
      </w:r>
      <w:r>
        <w:rPr>
          <w:rFonts w:hint="eastAsia" w:ascii="黑体" w:hAnsi="黑体" w:eastAsia="黑体"/>
          <w:szCs w:val="21"/>
        </w:rPr>
        <w:t>坚持可持续发展原则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湿地生态廊道生态修复后应防止生态问题反复。应不断提升湿地生态廊道调节、供给、支持、文化等生态系统服务功能，确保湿地生态廊道生态系统服务的可持续性。</w:t>
      </w:r>
    </w:p>
    <w:p>
      <w:pPr>
        <w:pStyle w:val="13"/>
        <w:numPr>
          <w:ilvl w:val="0"/>
          <w:numId w:val="1"/>
        </w:numPr>
        <w:spacing w:before="312" w:beforeLines="100" w:after="312" w:afterLines="100"/>
        <w:ind w:left="357" w:hanging="357" w:firstLineChars="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Times New Roman" w:hAnsi="Times New Roman" w:eastAsia="黑体"/>
          <w:sz w:val="24"/>
          <w:szCs w:val="24"/>
        </w:rPr>
        <w:t>现状调查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5.1 </w:t>
      </w:r>
      <w:r>
        <w:rPr>
          <w:rFonts w:hint="eastAsia" w:ascii="黑体" w:hAnsi="黑体" w:eastAsia="黑体"/>
          <w:szCs w:val="21"/>
        </w:rPr>
        <w:t>综合调查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利用遥感影像（分辨率应不大于</w:t>
      </w:r>
      <w:r>
        <w:rPr>
          <w:rFonts w:ascii="Times New Roman" w:hAnsi="Times New Roman" w:eastAsiaTheme="minorEastAsia"/>
          <w:szCs w:val="21"/>
        </w:rPr>
        <w:t>5m</w:t>
      </w:r>
      <w:r>
        <w:rPr>
          <w:rFonts w:hint="eastAsia" w:ascii="Times New Roman" w:hAnsi="Times New Roman" w:eastAsiaTheme="minorEastAsia"/>
          <w:szCs w:val="21"/>
        </w:rPr>
        <w:t>）及第三次国土调查数据，结合现场调查的方法，调查湿地生态廊道地形、长度、宽度、走向、水文连通性等指标。同时调查湿地生态廊道周围农田施肥、生活废弃物排放、工厂排污等情况。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>5.2</w:t>
      </w:r>
      <w:r>
        <w:rPr>
          <w:rFonts w:hint="eastAsia" w:ascii="黑体" w:hAnsi="黑体" w:eastAsia="黑体"/>
          <w:szCs w:val="21"/>
        </w:rPr>
        <w:t>植被调查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植被调查宜采用样方法。乔木样方为</w:t>
      </w:r>
      <w:r>
        <w:rPr>
          <w:rFonts w:ascii="Times New Roman" w:hAnsi="Times New Roman" w:eastAsiaTheme="minorEastAsia"/>
          <w:szCs w:val="21"/>
        </w:rPr>
        <w:t>10 m×10 m</w:t>
      </w:r>
      <w:r>
        <w:rPr>
          <w:rFonts w:hint="eastAsia" w:ascii="Times New Roman" w:hAnsi="Times New Roman" w:eastAsiaTheme="minorEastAsia"/>
          <w:szCs w:val="21"/>
        </w:rPr>
        <w:t>，灌木样方为</w:t>
      </w:r>
      <w:r>
        <w:rPr>
          <w:rFonts w:ascii="Times New Roman" w:hAnsi="Times New Roman" w:eastAsiaTheme="minorEastAsia"/>
          <w:szCs w:val="21"/>
        </w:rPr>
        <w:t>5 m×5 m</w:t>
      </w:r>
      <w:r>
        <w:rPr>
          <w:rFonts w:hint="eastAsia" w:ascii="Times New Roman" w:hAnsi="Times New Roman" w:eastAsiaTheme="minorEastAsia"/>
          <w:szCs w:val="21"/>
        </w:rPr>
        <w:t>，草本样方为</w:t>
      </w:r>
      <w:r>
        <w:rPr>
          <w:rFonts w:ascii="Times New Roman" w:hAnsi="Times New Roman" w:eastAsiaTheme="minorEastAsia"/>
          <w:szCs w:val="21"/>
        </w:rPr>
        <w:t>1 m×1 m</w:t>
      </w:r>
      <w:r>
        <w:rPr>
          <w:rFonts w:hint="eastAsia" w:ascii="Times New Roman" w:hAnsi="Times New Roman" w:eastAsiaTheme="minorEastAsia"/>
          <w:szCs w:val="21"/>
        </w:rPr>
        <w:t>。调查指标包括植物种类、多度、盖度、频度、生物量等，可参考</w:t>
      </w:r>
      <w:r>
        <w:rPr>
          <w:rFonts w:ascii="Times New Roman" w:hAnsi="Times New Roman" w:eastAsiaTheme="minorEastAsia"/>
          <w:szCs w:val="21"/>
        </w:rPr>
        <w:t>GB T 27648</w:t>
      </w:r>
      <w:r>
        <w:rPr>
          <w:rFonts w:hint="eastAsia" w:ascii="Times New Roman" w:hAnsi="Times New Roman" w:eastAsiaTheme="minorEastAsia"/>
          <w:szCs w:val="21"/>
        </w:rPr>
        <w:t>中5</w:t>
      </w:r>
      <w:r>
        <w:rPr>
          <w:rFonts w:ascii="Times New Roman" w:hAnsi="Times New Roman" w:eastAsiaTheme="minorEastAsia"/>
          <w:szCs w:val="21"/>
        </w:rPr>
        <w:t>.7</w:t>
      </w:r>
      <w:r>
        <w:rPr>
          <w:rFonts w:hint="eastAsia" w:ascii="Times New Roman" w:hAnsi="Times New Roman" w:eastAsiaTheme="minorEastAsia"/>
          <w:szCs w:val="21"/>
        </w:rPr>
        <w:t>的规定执行。样方数量根据湿地生态廊道长度确定，一般间隔不超过500 m。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>5.3</w:t>
      </w:r>
      <w:r>
        <w:rPr>
          <w:rFonts w:hint="eastAsia" w:ascii="黑体" w:hAnsi="黑体" w:eastAsia="黑体"/>
          <w:szCs w:val="21"/>
        </w:rPr>
        <w:t>土壤调查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土壤调查点位置与数量应与植被样方相一致。调查方法宜采用剖面法，土壤剖面深度应不小于</w:t>
      </w:r>
      <w:r>
        <w:rPr>
          <w:rFonts w:ascii="Times New Roman" w:hAnsi="Times New Roman" w:eastAsiaTheme="minorEastAsia"/>
          <w:szCs w:val="21"/>
        </w:rPr>
        <w:t>1 m</w:t>
      </w:r>
      <w:r>
        <w:rPr>
          <w:rFonts w:hint="eastAsia" w:ascii="Times New Roman" w:hAnsi="Times New Roman" w:eastAsiaTheme="minorEastAsia"/>
          <w:szCs w:val="21"/>
        </w:rPr>
        <w:t>。详细描述剖面特征，调查生物多样性情况。采取剖面原状土壤和扰动土壤样品，带回实验室测定理化性质。测定指标及方法参考</w:t>
      </w:r>
      <w:r>
        <w:rPr>
          <w:rFonts w:ascii="Times New Roman" w:hAnsi="Times New Roman" w:eastAsiaTheme="minorEastAsia"/>
          <w:szCs w:val="21"/>
        </w:rPr>
        <w:t>GB T 27648</w:t>
      </w:r>
      <w:r>
        <w:rPr>
          <w:rFonts w:hint="eastAsia" w:ascii="Times New Roman" w:hAnsi="Times New Roman" w:eastAsiaTheme="minorEastAsia"/>
          <w:szCs w:val="21"/>
        </w:rPr>
        <w:t>中5</w:t>
      </w:r>
      <w:r>
        <w:rPr>
          <w:rFonts w:ascii="Times New Roman" w:hAnsi="Times New Roman" w:eastAsiaTheme="minorEastAsia"/>
          <w:szCs w:val="21"/>
        </w:rPr>
        <w:t>.6</w:t>
      </w:r>
      <w:r>
        <w:rPr>
          <w:rFonts w:hint="eastAsia" w:ascii="Times New Roman" w:hAnsi="Times New Roman" w:eastAsiaTheme="minorEastAsia"/>
          <w:szCs w:val="21"/>
        </w:rPr>
        <w:t>的规定执行。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>5.4</w:t>
      </w:r>
      <w:r>
        <w:rPr>
          <w:rFonts w:hint="eastAsia" w:ascii="黑体" w:hAnsi="黑体" w:eastAsia="黑体"/>
          <w:szCs w:val="21"/>
        </w:rPr>
        <w:t>水体调查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水体调查点位置与数量应与植被样方一直。调查指标应包括水深、水面宽度、廊道淤堵情况等。同时采集水样，现场或室内测定相关理化性质。测定指标及分类标准按</w:t>
      </w:r>
      <w:r>
        <w:rPr>
          <w:rFonts w:ascii="Times New Roman" w:hAnsi="Times New Roman" w:eastAsiaTheme="minorEastAsia"/>
          <w:szCs w:val="21"/>
        </w:rPr>
        <w:t>GB 3838</w:t>
      </w:r>
      <w:r>
        <w:rPr>
          <w:rFonts w:hint="eastAsia" w:ascii="Times New Roman" w:hAnsi="Times New Roman" w:eastAsiaTheme="minorEastAsia"/>
          <w:szCs w:val="21"/>
        </w:rPr>
        <w:t>和</w:t>
      </w:r>
      <w:r>
        <w:rPr>
          <w:rFonts w:ascii="Times New Roman" w:hAnsi="Times New Roman" w:eastAsiaTheme="minorEastAsia"/>
          <w:szCs w:val="21"/>
        </w:rPr>
        <w:t>GB/T 27648</w:t>
      </w:r>
      <w:r>
        <w:rPr>
          <w:rFonts w:hint="eastAsia" w:ascii="Times New Roman" w:hAnsi="Times New Roman" w:eastAsiaTheme="minorEastAsia"/>
          <w:szCs w:val="21"/>
        </w:rPr>
        <w:t>的规定执行。</w:t>
      </w:r>
    </w:p>
    <w:p>
      <w:pPr>
        <w:pStyle w:val="13"/>
        <w:numPr>
          <w:ilvl w:val="0"/>
          <w:numId w:val="1"/>
        </w:numPr>
        <w:spacing w:before="312" w:beforeLines="100" w:after="312" w:afterLines="100"/>
        <w:ind w:left="357" w:hanging="357" w:firstLineChars="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Times New Roman" w:hAnsi="Times New Roman" w:eastAsia="黑体"/>
          <w:sz w:val="24"/>
          <w:szCs w:val="24"/>
        </w:rPr>
        <w:t>问题分析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6.1 </w:t>
      </w:r>
      <w:r>
        <w:rPr>
          <w:rFonts w:hint="eastAsia" w:ascii="黑体" w:hAnsi="黑体" w:eastAsia="黑体"/>
          <w:szCs w:val="21"/>
        </w:rPr>
        <w:t>生态要素问题分析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依据植被、土壤、水体等要素的调查结果，结合</w:t>
      </w:r>
      <w:r>
        <w:rPr>
          <w:rFonts w:ascii="Times New Roman" w:hAnsi="Times New Roman"/>
          <w:szCs w:val="21"/>
        </w:rPr>
        <w:t>GB 3838</w:t>
      </w:r>
      <w:r>
        <w:rPr>
          <w:rFonts w:hint="eastAsia" w:ascii="Times New Roman" w:hAnsi="Times New Roman"/>
          <w:szCs w:val="21"/>
        </w:rPr>
        <w:t>、DB 13</w:t>
      </w:r>
      <w:r>
        <w:rPr>
          <w:rFonts w:ascii="Times New Roman" w:hAnsi="Times New Roman"/>
          <w:szCs w:val="21"/>
        </w:rPr>
        <w:t>/</w:t>
      </w:r>
      <w:r>
        <w:rPr>
          <w:rFonts w:hint="eastAsia" w:ascii="Times New Roman" w:hAnsi="Times New Roman"/>
          <w:szCs w:val="21"/>
        </w:rPr>
        <w:t>T 5587</w:t>
      </w:r>
      <w:r>
        <w:rPr>
          <w:rFonts w:hint="eastAsia" w:ascii="Times New Roman" w:hAnsi="Times New Roman" w:eastAsiaTheme="minorEastAsia"/>
          <w:szCs w:val="21"/>
        </w:rPr>
        <w:t>等标准，分析湿地生态廊道各要素面临的主要生态问题。依据河北省滨海地区特征，应重点分析土壤盐渍化、土壤板结、土壤贫瘠、边坡坍塌、植物多样性、农业面源污染、水体富营养化与重金属污染等问题。相关评价指标和方法，可参考</w:t>
      </w:r>
      <w:r>
        <w:rPr>
          <w:rFonts w:ascii="Times New Roman" w:hAnsi="Times New Roman" w:eastAsiaTheme="minorEastAsia"/>
          <w:szCs w:val="21"/>
        </w:rPr>
        <w:t>HY/T 080</w:t>
      </w:r>
      <w:r>
        <w:rPr>
          <w:rFonts w:hint="eastAsia" w:ascii="Times New Roman" w:hAnsi="Times New Roman" w:eastAsiaTheme="minorEastAsia"/>
          <w:szCs w:val="21"/>
        </w:rPr>
        <w:t>的相关规定执行。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6.2 </w:t>
      </w:r>
      <w:r>
        <w:rPr>
          <w:rFonts w:hint="eastAsia" w:ascii="黑体" w:hAnsi="黑体" w:eastAsia="黑体"/>
          <w:szCs w:val="21"/>
        </w:rPr>
        <w:t>连通性相关问题分析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针对与湿地、近岸海域连通的湿地生态廊道，应分析其连通性。同时分析其对湿地或近海带来的环境问题。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6.3 </w:t>
      </w:r>
      <w:r>
        <w:rPr>
          <w:rFonts w:hint="eastAsia" w:ascii="黑体" w:hAnsi="黑体" w:eastAsia="黑体"/>
          <w:szCs w:val="21"/>
        </w:rPr>
        <w:t>生态系统服务问题分析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依照DB 13/T 2784规范，分析湿地生态廊道供给服务、调节服务、支持服务、文化服务等生态系统服务及各自的权衡与协同问题。</w:t>
      </w:r>
    </w:p>
    <w:p>
      <w:pPr>
        <w:pStyle w:val="13"/>
        <w:numPr>
          <w:ilvl w:val="0"/>
          <w:numId w:val="1"/>
        </w:numPr>
        <w:spacing w:before="312" w:beforeLines="100" w:after="312" w:afterLines="100"/>
        <w:ind w:left="357" w:hanging="357" w:firstLineChars="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Times New Roman" w:hAnsi="Times New Roman" w:eastAsia="黑体"/>
          <w:sz w:val="24"/>
          <w:szCs w:val="24"/>
        </w:rPr>
        <w:t>土壤生态修复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>7.1</w:t>
      </w:r>
      <w:r>
        <w:rPr>
          <w:rFonts w:hint="eastAsia" w:ascii="黑体" w:hAnsi="黑体" w:eastAsia="黑体"/>
          <w:szCs w:val="21"/>
        </w:rPr>
        <w:t>土壤盐渍化修复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重点对地形进行平整，同时采用暗管排水排盐方法进行修复。暗管埋设及维护按</w:t>
      </w:r>
      <w:r>
        <w:rPr>
          <w:rFonts w:ascii="Times New Roman" w:hAnsi="Times New Roman" w:eastAsiaTheme="minorEastAsia"/>
          <w:szCs w:val="21"/>
        </w:rPr>
        <w:t>DB 13/T 1692</w:t>
      </w:r>
      <w:r>
        <w:rPr>
          <w:rFonts w:hint="eastAsia" w:ascii="Times New Roman" w:hAnsi="Times New Roman" w:eastAsiaTheme="minorEastAsia"/>
          <w:szCs w:val="21"/>
        </w:rPr>
        <w:t>的规定执行。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7.2 </w:t>
      </w:r>
      <w:r>
        <w:rPr>
          <w:rFonts w:hint="eastAsia" w:ascii="黑体" w:hAnsi="黑体" w:eastAsia="黑体"/>
          <w:szCs w:val="21"/>
        </w:rPr>
        <w:t>土壤板结修复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宜采用翻耕、深松等方法进行修复，深松深度一般不小于</w:t>
      </w:r>
      <w:r>
        <w:rPr>
          <w:rFonts w:ascii="Times New Roman" w:hAnsi="Times New Roman" w:eastAsiaTheme="minorEastAsia"/>
          <w:szCs w:val="21"/>
        </w:rPr>
        <w:t>0.3 m</w:t>
      </w:r>
      <w:r>
        <w:rPr>
          <w:rFonts w:hint="eastAsia" w:ascii="Times New Roman" w:hAnsi="Times New Roman" w:eastAsiaTheme="minorEastAsia"/>
          <w:szCs w:val="21"/>
        </w:rPr>
        <w:t>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>7.3</w:t>
      </w:r>
      <w:r>
        <w:rPr>
          <w:rFonts w:hint="eastAsia" w:ascii="黑体" w:hAnsi="黑体" w:eastAsia="黑体"/>
          <w:szCs w:val="21"/>
        </w:rPr>
        <w:t>土壤贫瘠修复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需配合暗管排水排盐工程进行土壤培肥。具体方法依据</w:t>
      </w:r>
      <w:r>
        <w:rPr>
          <w:rFonts w:ascii="Times New Roman" w:hAnsi="Times New Roman" w:eastAsiaTheme="minorEastAsia"/>
          <w:szCs w:val="21"/>
        </w:rPr>
        <w:t>DB 13/T 5405</w:t>
      </w:r>
      <w:r>
        <w:rPr>
          <w:rFonts w:hint="eastAsia" w:ascii="Times New Roman" w:hAnsi="Times New Roman" w:eastAsiaTheme="minorEastAsia"/>
          <w:szCs w:val="21"/>
        </w:rPr>
        <w:t>的执行。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7.4 </w:t>
      </w:r>
      <w:r>
        <w:rPr>
          <w:rFonts w:hint="eastAsia" w:ascii="黑体" w:hAnsi="黑体" w:eastAsia="黑体"/>
          <w:szCs w:val="21"/>
        </w:rPr>
        <w:t>土壤坍塌修复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针对边坡土壤坍塌问题，应根据边坡坡度、边坡土质、水流特征等修建生态护岸。具体可参照SL/T</w:t>
      </w:r>
      <w:r>
        <w:rPr>
          <w:rFonts w:ascii="Times New Roman" w:hAnsi="Times New Roman" w:eastAsiaTheme="minorEastAsia"/>
          <w:szCs w:val="21"/>
        </w:rPr>
        <w:t xml:space="preserve"> </w:t>
      </w:r>
      <w:r>
        <w:rPr>
          <w:rFonts w:hint="eastAsia" w:ascii="Times New Roman" w:hAnsi="Times New Roman" w:eastAsiaTheme="minorEastAsia"/>
          <w:szCs w:val="21"/>
        </w:rPr>
        <w:t>800中7</w:t>
      </w:r>
      <w:r>
        <w:rPr>
          <w:rFonts w:ascii="Times New Roman" w:hAnsi="Times New Roman" w:eastAsiaTheme="minorEastAsia"/>
          <w:szCs w:val="21"/>
        </w:rPr>
        <w:t>.</w:t>
      </w:r>
      <w:r>
        <w:rPr>
          <w:rFonts w:hint="eastAsia" w:ascii="Times New Roman" w:hAnsi="Times New Roman" w:eastAsiaTheme="minorEastAsia"/>
          <w:szCs w:val="21"/>
        </w:rPr>
        <w:t>6以及GB50707－2011中8</w:t>
      </w:r>
      <w:r>
        <w:rPr>
          <w:rFonts w:ascii="Times New Roman" w:hAnsi="Times New Roman" w:eastAsiaTheme="minorEastAsia"/>
          <w:szCs w:val="21"/>
        </w:rPr>
        <w:t>.1</w:t>
      </w:r>
      <w:r>
        <w:rPr>
          <w:rFonts w:hint="eastAsia" w:ascii="Times New Roman" w:hAnsi="Times New Roman" w:eastAsiaTheme="minorEastAsia"/>
          <w:szCs w:val="21"/>
        </w:rPr>
        <w:t>的规定执行。</w:t>
      </w:r>
    </w:p>
    <w:p>
      <w:pPr>
        <w:pStyle w:val="13"/>
        <w:numPr>
          <w:ilvl w:val="0"/>
          <w:numId w:val="1"/>
        </w:numPr>
        <w:spacing w:before="312" w:beforeLines="100" w:after="312" w:afterLines="100"/>
        <w:ind w:left="357" w:hanging="357" w:firstLineChars="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Times New Roman" w:hAnsi="Times New Roman" w:eastAsia="黑体"/>
          <w:sz w:val="24"/>
          <w:szCs w:val="24"/>
        </w:rPr>
        <w:t>水体生态修复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8.1 </w:t>
      </w:r>
      <w:r>
        <w:rPr>
          <w:rFonts w:hint="eastAsia" w:ascii="黑体" w:hAnsi="黑体" w:eastAsia="黑体"/>
          <w:szCs w:val="21"/>
        </w:rPr>
        <w:t>污染源拦截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针对氮磷超标、重金属污染等问题，可在湿地生态廊道与农田的缓冲区种植宽度不小于6米的植物缓冲带，用于阻滞地表径流中的颗粒物，吸收氮、磷污染物。植物以本土草本、灌木为宜。草本可选择盐地碱蓬、羊草等，灌木可选择柽柳、紫穗槐等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8.2 </w:t>
      </w:r>
      <w:r>
        <w:rPr>
          <w:rFonts w:hint="eastAsia" w:ascii="黑体" w:hAnsi="黑体" w:eastAsia="黑体"/>
          <w:szCs w:val="21"/>
        </w:rPr>
        <w:t>水质修复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针对藻类、枯草、垃圾等污染，可利用人工打捞、化学除藻等方法；针对氮、磷等污染，可利用引水稀释、底泥处理、混凝沉淀等方法；对于重金属污染，可以利用调节pH、化学固定等方法。相关内容可参考</w:t>
      </w:r>
      <w:r>
        <w:rPr>
          <w:rFonts w:ascii="Times New Roman" w:hAnsi="Times New Roman" w:eastAsiaTheme="minorEastAsia"/>
          <w:szCs w:val="21"/>
        </w:rPr>
        <w:t>SL/T 800</w:t>
      </w:r>
      <w:r>
        <w:rPr>
          <w:rFonts w:hint="eastAsia" w:ascii="Times New Roman" w:hAnsi="Times New Roman" w:eastAsiaTheme="minorEastAsia"/>
          <w:szCs w:val="21"/>
        </w:rPr>
        <w:t>中第六条规定执行。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 xml:space="preserve">8.3 </w:t>
      </w:r>
      <w:r>
        <w:rPr>
          <w:rFonts w:hint="eastAsia" w:ascii="黑体" w:hAnsi="黑体" w:eastAsia="黑体"/>
          <w:szCs w:val="21"/>
        </w:rPr>
        <w:t>水体连通性修复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针对湿地生态廊道与湿地、近海等连通受阻或连通性差的问题，应及时进行清淤、疏通，确保水体的连通性及水文补给保障。清淤时间间隔一般以3—</w:t>
      </w:r>
      <w:r>
        <w:rPr>
          <w:rFonts w:ascii="Times New Roman" w:hAnsi="Times New Roman" w:eastAsiaTheme="minorEastAsia"/>
          <w:szCs w:val="21"/>
        </w:rPr>
        <w:t>5</w:t>
      </w:r>
      <w:r>
        <w:rPr>
          <w:rFonts w:hint="eastAsia" w:ascii="Times New Roman" w:hAnsi="Times New Roman" w:eastAsiaTheme="minorEastAsia"/>
          <w:szCs w:val="21"/>
        </w:rPr>
        <w:t>年为宜。清淤方法应采用生态清淤技术，具体可参考</w:t>
      </w:r>
      <w:r>
        <w:rPr>
          <w:rFonts w:ascii="Times New Roman" w:hAnsi="Times New Roman" w:eastAsiaTheme="minorEastAsia"/>
          <w:szCs w:val="21"/>
        </w:rPr>
        <w:t>DB 13/T 5606</w:t>
      </w:r>
      <w:r>
        <w:rPr>
          <w:rFonts w:hint="eastAsia" w:ascii="Times New Roman" w:hAnsi="Times New Roman" w:eastAsiaTheme="minorEastAsia"/>
          <w:szCs w:val="21"/>
        </w:rPr>
        <w:t>中第6条规定执行。</w:t>
      </w:r>
    </w:p>
    <w:p>
      <w:pPr>
        <w:pStyle w:val="13"/>
        <w:numPr>
          <w:ilvl w:val="0"/>
          <w:numId w:val="1"/>
        </w:numPr>
        <w:spacing w:before="312" w:beforeLines="100" w:after="312" w:afterLines="100"/>
        <w:ind w:left="357" w:hanging="357" w:firstLineChars="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Times New Roman" w:hAnsi="Times New Roman" w:eastAsia="黑体"/>
          <w:sz w:val="24"/>
          <w:szCs w:val="24"/>
        </w:rPr>
        <w:t>植被生态修复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9</w:t>
      </w:r>
      <w:r>
        <w:rPr>
          <w:rFonts w:ascii="黑体" w:hAnsi="黑体" w:eastAsia="黑体"/>
          <w:szCs w:val="21"/>
        </w:rPr>
        <w:t>.1</w:t>
      </w:r>
      <w:r>
        <w:rPr>
          <w:rFonts w:hint="eastAsia" w:ascii="黑体" w:hAnsi="黑体" w:eastAsia="黑体"/>
          <w:szCs w:val="21"/>
        </w:rPr>
        <w:t>本土植物保护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对湿地生态廊道已有的本土优势植物，修复过程以本土优势植物为主，采取适当的保护措施，确保修复过程中不对其造成过度损害。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>9.2</w:t>
      </w:r>
      <w:r>
        <w:rPr>
          <w:rFonts w:hint="eastAsia" w:ascii="黑体" w:hAnsi="黑体" w:eastAsia="黑体"/>
          <w:szCs w:val="21"/>
        </w:rPr>
        <w:t>适生植物引选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应根据环境特征，引进适生植物。对土壤盐分含量高的湿地生态廊道，宜选择柽柳、白蜡、紫穗槐等耐盐植物。当土壤盐分小于</w:t>
      </w:r>
      <w:r>
        <w:rPr>
          <w:rFonts w:ascii="Times New Roman" w:hAnsi="Times New Roman" w:eastAsiaTheme="minorEastAsia"/>
          <w:szCs w:val="21"/>
        </w:rPr>
        <w:t>0.3%</w:t>
      </w:r>
      <w:r>
        <w:rPr>
          <w:rFonts w:hint="eastAsia" w:ascii="Times New Roman" w:hAnsi="Times New Roman" w:eastAsiaTheme="minorEastAsia"/>
          <w:szCs w:val="21"/>
        </w:rPr>
        <w:t>时，宜种植白蜡；当土壤盐分在</w:t>
      </w:r>
      <w:r>
        <w:rPr>
          <w:rFonts w:ascii="Times New Roman" w:hAnsi="Times New Roman" w:eastAsiaTheme="minorEastAsia"/>
          <w:szCs w:val="21"/>
        </w:rPr>
        <w:t>0.3%</w:t>
      </w:r>
      <w:r>
        <w:rPr>
          <w:rFonts w:hint="eastAsia" w:ascii="Times New Roman" w:hAnsi="Times New Roman" w:eastAsiaTheme="minorEastAsia"/>
          <w:szCs w:val="21"/>
        </w:rPr>
        <w:t>—</w:t>
      </w:r>
      <w:r>
        <w:rPr>
          <w:rFonts w:ascii="Times New Roman" w:hAnsi="Times New Roman" w:eastAsiaTheme="minorEastAsia"/>
          <w:szCs w:val="21"/>
        </w:rPr>
        <w:t>0.5%</w:t>
      </w:r>
      <w:r>
        <w:rPr>
          <w:rFonts w:hint="eastAsia" w:ascii="Times New Roman" w:hAnsi="Times New Roman" w:eastAsiaTheme="minorEastAsia"/>
          <w:szCs w:val="21"/>
        </w:rPr>
        <w:t>时，宜种植紫穗槐；当土壤盐分大于</w:t>
      </w:r>
      <w:r>
        <w:rPr>
          <w:rFonts w:ascii="Times New Roman" w:hAnsi="Times New Roman" w:eastAsiaTheme="minorEastAsia"/>
          <w:szCs w:val="21"/>
        </w:rPr>
        <w:t>0.5%</w:t>
      </w:r>
      <w:r>
        <w:rPr>
          <w:rFonts w:hint="eastAsia" w:ascii="Times New Roman" w:hAnsi="Times New Roman" w:eastAsiaTheme="minorEastAsia"/>
          <w:szCs w:val="21"/>
        </w:rPr>
        <w:t>时，宜种植柽柳。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>9.3</w:t>
      </w:r>
      <w:r>
        <w:rPr>
          <w:rFonts w:hint="eastAsia" w:ascii="黑体" w:hAnsi="黑体" w:eastAsia="黑体"/>
          <w:szCs w:val="21"/>
        </w:rPr>
        <w:t>植物种植</w:t>
      </w:r>
    </w:p>
    <w:p>
      <w:pPr>
        <w:pStyle w:val="14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植物种植应与土壤、水体特征相适应。同时，应综合考虑乔、灌、草类型的搭配与空间布局，防止外来物种入侵。具体可参考</w:t>
      </w:r>
      <w:r>
        <w:rPr>
          <w:rFonts w:ascii="Times New Roman" w:hAnsi="Times New Roman" w:eastAsiaTheme="minorEastAsia"/>
          <w:szCs w:val="21"/>
        </w:rPr>
        <w:t>LY/T 2639</w:t>
      </w:r>
      <w:r>
        <w:rPr>
          <w:rFonts w:hint="eastAsia" w:ascii="Times New Roman" w:hAnsi="Times New Roman" w:eastAsiaTheme="minorEastAsia"/>
          <w:szCs w:val="21"/>
        </w:rPr>
        <w:t>中6</w:t>
      </w:r>
      <w:r>
        <w:rPr>
          <w:rFonts w:ascii="Times New Roman" w:hAnsi="Times New Roman" w:eastAsiaTheme="minorEastAsia"/>
          <w:szCs w:val="21"/>
        </w:rPr>
        <w:t>.1</w:t>
      </w:r>
      <w:r>
        <w:rPr>
          <w:rFonts w:hint="eastAsia" w:ascii="Times New Roman" w:hAnsi="Times New Roman" w:eastAsiaTheme="minorEastAsia"/>
          <w:szCs w:val="21"/>
        </w:rPr>
        <w:t>的相关规定执行。</w:t>
      </w:r>
    </w:p>
    <w:p>
      <w:pPr>
        <w:pStyle w:val="13"/>
        <w:numPr>
          <w:ilvl w:val="0"/>
          <w:numId w:val="1"/>
        </w:numPr>
        <w:spacing w:before="312" w:beforeLines="100" w:after="312" w:afterLines="100"/>
        <w:ind w:left="357" w:hanging="357" w:firstLineChars="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Times New Roman" w:hAnsi="Times New Roman" w:eastAsia="黑体"/>
          <w:sz w:val="24"/>
          <w:szCs w:val="24"/>
        </w:rPr>
        <w:t>生态修复评价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>10.1</w:t>
      </w:r>
      <w:r>
        <w:rPr>
          <w:rFonts w:hint="eastAsia" w:ascii="黑体" w:hAnsi="黑体" w:eastAsia="黑体"/>
          <w:szCs w:val="21"/>
        </w:rPr>
        <w:t>生态要素修复评价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对比土壤、植被、水体等要素修复前后关键指标的差异，明确各生态要素的修复程度。根据河北省滨海湿地生态廊道具体条件，评价指标可选取土壤含盐量、土壤养分含量、土壤有机质、水体总氮、总磷、总钾、植物多样性等。</w:t>
      </w:r>
    </w:p>
    <w:p>
      <w:pPr>
        <w:spacing w:before="156" w:beforeLines="50" w:after="156" w:afterLines="5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>10.2</w:t>
      </w:r>
      <w:r>
        <w:rPr>
          <w:rFonts w:hint="eastAsia" w:ascii="黑体" w:hAnsi="黑体" w:eastAsia="黑体"/>
          <w:szCs w:val="21"/>
        </w:rPr>
        <w:t>生态系统服务综合评价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按照</w:t>
      </w:r>
      <w:r>
        <w:rPr>
          <w:rFonts w:ascii="Times New Roman" w:hAnsi="Times New Roman" w:eastAsiaTheme="minorEastAsia"/>
          <w:szCs w:val="21"/>
        </w:rPr>
        <w:t>DB 13</w:t>
      </w:r>
      <w:r>
        <w:rPr>
          <w:rFonts w:hint="eastAsia" w:ascii="Times New Roman" w:hAnsi="Times New Roman" w:eastAsiaTheme="minorEastAsia"/>
          <w:szCs w:val="21"/>
        </w:rPr>
        <w:t>/</w:t>
      </w:r>
      <w:r>
        <w:rPr>
          <w:rFonts w:ascii="Times New Roman" w:hAnsi="Times New Roman" w:eastAsiaTheme="minorEastAsia"/>
          <w:szCs w:val="21"/>
        </w:rPr>
        <w:t>T 5587</w:t>
      </w:r>
      <w:r>
        <w:rPr>
          <w:rFonts w:hint="eastAsia" w:ascii="Times New Roman" w:hAnsi="Times New Roman" w:eastAsiaTheme="minorEastAsia"/>
          <w:szCs w:val="21"/>
        </w:rPr>
        <w:t>的相关规定，对湿地生态廊道修复后的效果进行评估。评估湿地生态廊道生态系统服务提升程度。生态系统服务评估指标及计算，参照</w:t>
      </w:r>
      <w:r>
        <w:rPr>
          <w:rFonts w:ascii="Times New Roman" w:hAnsi="Times New Roman" w:eastAsiaTheme="minorEastAsia"/>
          <w:szCs w:val="21"/>
        </w:rPr>
        <w:t xml:space="preserve">DB 13/T 2784 </w:t>
      </w:r>
      <w:r>
        <w:rPr>
          <w:rFonts w:hint="eastAsia" w:ascii="Times New Roman" w:hAnsi="Times New Roman" w:eastAsiaTheme="minorEastAsia"/>
          <w:szCs w:val="21"/>
        </w:rPr>
        <w:t>的规定执行。</w:t>
      </w:r>
    </w:p>
    <w:p>
      <w:pPr>
        <w:pStyle w:val="13"/>
        <w:numPr>
          <w:ilvl w:val="0"/>
          <w:numId w:val="1"/>
        </w:numPr>
        <w:spacing w:before="312" w:beforeLines="100" w:after="312" w:afterLines="100"/>
        <w:ind w:left="357" w:hanging="357" w:firstLineChars="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Times New Roman" w:hAnsi="Times New Roman" w:eastAsia="黑体"/>
          <w:sz w:val="24"/>
          <w:szCs w:val="24"/>
        </w:rPr>
        <w:t>后期养护与管理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  <w:r>
        <w:rPr>
          <w:rFonts w:hint="eastAsia" w:ascii="Times New Roman" w:hAnsi="Times New Roman" w:eastAsiaTheme="minorEastAsia"/>
          <w:szCs w:val="21"/>
        </w:rPr>
        <w:t>对生态修复内容跟踪监测，每年检查暗管是否运行，对于有淤堵的暗管及时疏通；对植被进行管理修剪，保证其正常生长；</w:t>
      </w:r>
      <w:r>
        <w:rPr>
          <w:rFonts w:ascii="Times New Roman" w:hAnsi="Times New Roman" w:eastAsiaTheme="minorEastAsia"/>
          <w:szCs w:val="21"/>
        </w:rPr>
        <w:t>打捞水体上漂浮的垃圾和影响水质的其他杂物，对水体进行水质监管。</w:t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</w:p>
    <w:p>
      <w:pPr>
        <w:ind w:firstLine="420" w:firstLineChars="200"/>
        <w:jc w:val="center"/>
        <w:rPr>
          <w:rFonts w:ascii="Times New Roman" w:hAnsi="Times New Roman" w:eastAsiaTheme="minorEastAsia"/>
          <w:szCs w:val="21"/>
        </w:rPr>
      </w:pPr>
    </w:p>
    <w:p>
      <w:pPr>
        <w:ind w:firstLine="420" w:firstLineChars="200"/>
        <w:jc w:val="center"/>
      </w:pPr>
      <w:r>
        <w:rPr>
          <w:rFonts w:hint="eastAsia"/>
        </w:rPr>
        <w:t>_____________________________</w:t>
      </w:r>
      <w:r>
        <w:fldChar w:fldCharType="begin"/>
      </w:r>
      <w:r>
        <w:instrText xml:space="preserve"> ADDIN EN.REFLIST </w:instrText>
      </w:r>
      <w:r>
        <w:fldChar w:fldCharType="end"/>
      </w:r>
    </w:p>
    <w:p>
      <w:pPr>
        <w:ind w:firstLine="420" w:firstLineChars="200"/>
        <w:rPr>
          <w:rFonts w:ascii="Times New Roman" w:hAnsi="Times New Roman" w:eastAsiaTheme="minorEastAsia"/>
          <w:szCs w:val="21"/>
        </w:rPr>
      </w:pPr>
    </w:p>
    <w:sectPr>
      <w:footerReference r:id="rId5" w:type="default"/>
      <w:pgSz w:w="11906" w:h="16838"/>
      <w:pgMar w:top="1985" w:right="1416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10</w:t>
    </w:r>
    <w:r>
      <w:rPr>
        <w:rStyle w:val="8"/>
      </w:rPr>
      <w:fldChar w:fldCharType="end"/>
    </w:r>
  </w:p>
  <w:p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891288"/>
    <w:multiLevelType w:val="multilevel"/>
    <w:tmpl w:val="10891288"/>
    <w:lvl w:ilvl="0" w:tentative="0">
      <w:start w:val="1"/>
      <w:numFmt w:val="decimal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1500" w:hanging="72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8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2580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3300" w:hanging="144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4020" w:hanging="180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4740" w:hanging="216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5100" w:hanging="216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5820" w:hanging="25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174"/>
    <w:rsid w:val="00005DA5"/>
    <w:rsid w:val="00011309"/>
    <w:rsid w:val="000132ED"/>
    <w:rsid w:val="00024665"/>
    <w:rsid w:val="00036C34"/>
    <w:rsid w:val="000420CD"/>
    <w:rsid w:val="00047B2D"/>
    <w:rsid w:val="0007716B"/>
    <w:rsid w:val="00090FAE"/>
    <w:rsid w:val="000979CD"/>
    <w:rsid w:val="000C3902"/>
    <w:rsid w:val="000D3A03"/>
    <w:rsid w:val="000D5837"/>
    <w:rsid w:val="000F418B"/>
    <w:rsid w:val="0011013B"/>
    <w:rsid w:val="00116599"/>
    <w:rsid w:val="00120BCD"/>
    <w:rsid w:val="00122480"/>
    <w:rsid w:val="00122DBE"/>
    <w:rsid w:val="00124626"/>
    <w:rsid w:val="00125A44"/>
    <w:rsid w:val="00133B6E"/>
    <w:rsid w:val="00145097"/>
    <w:rsid w:val="00145B96"/>
    <w:rsid w:val="00152F12"/>
    <w:rsid w:val="001556B5"/>
    <w:rsid w:val="00164245"/>
    <w:rsid w:val="00164501"/>
    <w:rsid w:val="00167697"/>
    <w:rsid w:val="00184334"/>
    <w:rsid w:val="001A4EB3"/>
    <w:rsid w:val="001A523B"/>
    <w:rsid w:val="001C0741"/>
    <w:rsid w:val="001D37F0"/>
    <w:rsid w:val="001E7F6F"/>
    <w:rsid w:val="001F0D8E"/>
    <w:rsid w:val="001F6949"/>
    <w:rsid w:val="001F7DBC"/>
    <w:rsid w:val="00212E1E"/>
    <w:rsid w:val="0023016E"/>
    <w:rsid w:val="00232EF8"/>
    <w:rsid w:val="00250AC4"/>
    <w:rsid w:val="00252CB7"/>
    <w:rsid w:val="002575BE"/>
    <w:rsid w:val="00295B07"/>
    <w:rsid w:val="002D6B85"/>
    <w:rsid w:val="002F1C84"/>
    <w:rsid w:val="00303302"/>
    <w:rsid w:val="003106D2"/>
    <w:rsid w:val="00310EF7"/>
    <w:rsid w:val="00322451"/>
    <w:rsid w:val="003262AC"/>
    <w:rsid w:val="00330BC9"/>
    <w:rsid w:val="00332743"/>
    <w:rsid w:val="00335A04"/>
    <w:rsid w:val="00343BBD"/>
    <w:rsid w:val="00345F73"/>
    <w:rsid w:val="00361C60"/>
    <w:rsid w:val="00376E4D"/>
    <w:rsid w:val="003E0F5A"/>
    <w:rsid w:val="003E101D"/>
    <w:rsid w:val="003E6632"/>
    <w:rsid w:val="003F1545"/>
    <w:rsid w:val="00400A7A"/>
    <w:rsid w:val="00412FCB"/>
    <w:rsid w:val="004438DC"/>
    <w:rsid w:val="00453D19"/>
    <w:rsid w:val="00466D34"/>
    <w:rsid w:val="00474608"/>
    <w:rsid w:val="004756CE"/>
    <w:rsid w:val="00486F4C"/>
    <w:rsid w:val="00487800"/>
    <w:rsid w:val="004B30D6"/>
    <w:rsid w:val="004D6C3E"/>
    <w:rsid w:val="004F1F1D"/>
    <w:rsid w:val="00505C19"/>
    <w:rsid w:val="00515657"/>
    <w:rsid w:val="0052167F"/>
    <w:rsid w:val="00522E10"/>
    <w:rsid w:val="005252CE"/>
    <w:rsid w:val="00534932"/>
    <w:rsid w:val="00537F85"/>
    <w:rsid w:val="0054256E"/>
    <w:rsid w:val="00546933"/>
    <w:rsid w:val="005929EF"/>
    <w:rsid w:val="005B153F"/>
    <w:rsid w:val="005B2CEE"/>
    <w:rsid w:val="005E0801"/>
    <w:rsid w:val="0060108E"/>
    <w:rsid w:val="00605851"/>
    <w:rsid w:val="00605A7E"/>
    <w:rsid w:val="00611338"/>
    <w:rsid w:val="00631E26"/>
    <w:rsid w:val="00635578"/>
    <w:rsid w:val="00646B80"/>
    <w:rsid w:val="00655586"/>
    <w:rsid w:val="00687BB9"/>
    <w:rsid w:val="006A1E9B"/>
    <w:rsid w:val="006C30F5"/>
    <w:rsid w:val="006E1B6E"/>
    <w:rsid w:val="006E1C87"/>
    <w:rsid w:val="006E45CE"/>
    <w:rsid w:val="006E6ECF"/>
    <w:rsid w:val="006E7734"/>
    <w:rsid w:val="00742994"/>
    <w:rsid w:val="00746A08"/>
    <w:rsid w:val="007521C5"/>
    <w:rsid w:val="007608B9"/>
    <w:rsid w:val="00777B1D"/>
    <w:rsid w:val="007873B2"/>
    <w:rsid w:val="00790E6B"/>
    <w:rsid w:val="00792A9B"/>
    <w:rsid w:val="007933D0"/>
    <w:rsid w:val="00794FD6"/>
    <w:rsid w:val="007A5641"/>
    <w:rsid w:val="007D10D1"/>
    <w:rsid w:val="007D1647"/>
    <w:rsid w:val="00805559"/>
    <w:rsid w:val="00815B8B"/>
    <w:rsid w:val="00846134"/>
    <w:rsid w:val="00856FE9"/>
    <w:rsid w:val="00862961"/>
    <w:rsid w:val="0086562F"/>
    <w:rsid w:val="00872CC5"/>
    <w:rsid w:val="008932FD"/>
    <w:rsid w:val="008B50A3"/>
    <w:rsid w:val="008D26D5"/>
    <w:rsid w:val="008E0702"/>
    <w:rsid w:val="008F1E61"/>
    <w:rsid w:val="008F352A"/>
    <w:rsid w:val="00901766"/>
    <w:rsid w:val="00905369"/>
    <w:rsid w:val="00935C24"/>
    <w:rsid w:val="00965402"/>
    <w:rsid w:val="00977644"/>
    <w:rsid w:val="00986E2A"/>
    <w:rsid w:val="009B0EDF"/>
    <w:rsid w:val="009C2B73"/>
    <w:rsid w:val="009C41BA"/>
    <w:rsid w:val="009D07DC"/>
    <w:rsid w:val="009E1C82"/>
    <w:rsid w:val="009F1999"/>
    <w:rsid w:val="009F19E0"/>
    <w:rsid w:val="009F2D7B"/>
    <w:rsid w:val="00A01746"/>
    <w:rsid w:val="00A225A8"/>
    <w:rsid w:val="00A4278E"/>
    <w:rsid w:val="00A63E9E"/>
    <w:rsid w:val="00A642A5"/>
    <w:rsid w:val="00A66F22"/>
    <w:rsid w:val="00A71470"/>
    <w:rsid w:val="00A73F95"/>
    <w:rsid w:val="00A928B9"/>
    <w:rsid w:val="00AB6143"/>
    <w:rsid w:val="00AC7AAB"/>
    <w:rsid w:val="00AD31E9"/>
    <w:rsid w:val="00AD73AE"/>
    <w:rsid w:val="00AF5BF8"/>
    <w:rsid w:val="00B0251E"/>
    <w:rsid w:val="00B02962"/>
    <w:rsid w:val="00B16D49"/>
    <w:rsid w:val="00B44822"/>
    <w:rsid w:val="00B45E4F"/>
    <w:rsid w:val="00B63B9A"/>
    <w:rsid w:val="00B65F45"/>
    <w:rsid w:val="00B74048"/>
    <w:rsid w:val="00B7557B"/>
    <w:rsid w:val="00B81A00"/>
    <w:rsid w:val="00B94DC4"/>
    <w:rsid w:val="00BA1FB8"/>
    <w:rsid w:val="00BA3A8B"/>
    <w:rsid w:val="00BB0A1D"/>
    <w:rsid w:val="00BD6C80"/>
    <w:rsid w:val="00BE0800"/>
    <w:rsid w:val="00BE5A15"/>
    <w:rsid w:val="00BE692D"/>
    <w:rsid w:val="00BF03E8"/>
    <w:rsid w:val="00C010BB"/>
    <w:rsid w:val="00C030DC"/>
    <w:rsid w:val="00C06AC2"/>
    <w:rsid w:val="00C12378"/>
    <w:rsid w:val="00C25924"/>
    <w:rsid w:val="00C2691B"/>
    <w:rsid w:val="00C269DE"/>
    <w:rsid w:val="00C47ADC"/>
    <w:rsid w:val="00C57661"/>
    <w:rsid w:val="00C6462D"/>
    <w:rsid w:val="00C83017"/>
    <w:rsid w:val="00CB211E"/>
    <w:rsid w:val="00CC5906"/>
    <w:rsid w:val="00CC7CA2"/>
    <w:rsid w:val="00CD191C"/>
    <w:rsid w:val="00CD39A5"/>
    <w:rsid w:val="00CE2BE0"/>
    <w:rsid w:val="00CE4CBD"/>
    <w:rsid w:val="00CF0E17"/>
    <w:rsid w:val="00CF10B2"/>
    <w:rsid w:val="00CF5CC6"/>
    <w:rsid w:val="00D050DD"/>
    <w:rsid w:val="00D13084"/>
    <w:rsid w:val="00D13692"/>
    <w:rsid w:val="00D15F30"/>
    <w:rsid w:val="00D4734A"/>
    <w:rsid w:val="00D510C3"/>
    <w:rsid w:val="00D53625"/>
    <w:rsid w:val="00D54ED6"/>
    <w:rsid w:val="00D57103"/>
    <w:rsid w:val="00D64826"/>
    <w:rsid w:val="00D8355F"/>
    <w:rsid w:val="00D90E0A"/>
    <w:rsid w:val="00DA0381"/>
    <w:rsid w:val="00DA28BA"/>
    <w:rsid w:val="00DA42CB"/>
    <w:rsid w:val="00DA4B38"/>
    <w:rsid w:val="00DC0869"/>
    <w:rsid w:val="00DC1352"/>
    <w:rsid w:val="00DE1D8E"/>
    <w:rsid w:val="00DE2A50"/>
    <w:rsid w:val="00DF7DF5"/>
    <w:rsid w:val="00E000E9"/>
    <w:rsid w:val="00E03D6B"/>
    <w:rsid w:val="00E10644"/>
    <w:rsid w:val="00E26725"/>
    <w:rsid w:val="00E51ADD"/>
    <w:rsid w:val="00E5306B"/>
    <w:rsid w:val="00E623D0"/>
    <w:rsid w:val="00E62988"/>
    <w:rsid w:val="00E6419A"/>
    <w:rsid w:val="00EB5137"/>
    <w:rsid w:val="00EC2AD2"/>
    <w:rsid w:val="00EC481D"/>
    <w:rsid w:val="00EE1C6A"/>
    <w:rsid w:val="00EE507C"/>
    <w:rsid w:val="00EE68DF"/>
    <w:rsid w:val="00EE7D94"/>
    <w:rsid w:val="00EF3659"/>
    <w:rsid w:val="00EF4DE6"/>
    <w:rsid w:val="00F15EA6"/>
    <w:rsid w:val="00F34E96"/>
    <w:rsid w:val="00F432A0"/>
    <w:rsid w:val="00F82D12"/>
    <w:rsid w:val="00F82F1D"/>
    <w:rsid w:val="00F90BD6"/>
    <w:rsid w:val="00FA5174"/>
    <w:rsid w:val="00FB1AD5"/>
    <w:rsid w:val="00FC40D5"/>
    <w:rsid w:val="00FD5AC3"/>
    <w:rsid w:val="00FE3C06"/>
    <w:rsid w:val="0BEF1A6C"/>
    <w:rsid w:val="67BA6A08"/>
    <w:rsid w:val="7CEA1F5E"/>
    <w:rsid w:val="EBFE8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spacing w:line="255" w:lineRule="auto"/>
      <w:jc w:val="left"/>
    </w:pPr>
    <w:rPr>
      <w:rFonts w:ascii="Times New Roman" w:hAnsi="Times New Roman"/>
      <w:szCs w:val="18"/>
    </w:r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styleId="10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4"/>
    <w:qFormat/>
    <w:uiPriority w:val="99"/>
    <w:rPr>
      <w:sz w:val="18"/>
      <w:szCs w:val="18"/>
    </w:rPr>
  </w:style>
  <w:style w:type="paragraph" w:customStyle="1" w:styleId="13">
    <w:name w:val="_Style 7"/>
    <w:basedOn w:val="1"/>
    <w:next w:val="14"/>
    <w:qFormat/>
    <w:uiPriority w:val="34"/>
    <w:pPr>
      <w:ind w:firstLine="420" w:firstLineChars="200"/>
    </w:p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脚 Char"/>
    <w:qFormat/>
    <w:uiPriority w:val="99"/>
    <w:rPr>
      <w:kern w:val="2"/>
      <w:sz w:val="18"/>
      <w:szCs w:val="18"/>
    </w:rPr>
  </w:style>
  <w:style w:type="character" w:customStyle="1" w:styleId="16">
    <w:name w:val="批注框文本 字符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批注文字 字符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21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528</Words>
  <Characters>3013</Characters>
  <Lines>25</Lines>
  <Paragraphs>7</Paragraphs>
  <TotalTime>1288</TotalTime>
  <ScaleCrop>false</ScaleCrop>
  <LinksUpToDate>false</LinksUpToDate>
  <CharactersWithSpaces>3534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2021-01-26T18:58:00Z</dcterms:created>
  <dc:creator>高 会</dc:creator>
  <cp:lastModifiedBy>uos</cp:lastModifiedBy>
  <dcterms:modified xsi:type="dcterms:W3CDTF">2022-11-14T17:31:23Z</dcterms:modified>
  <cp:revision>137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