
<file path=[Content_Types].xml><?xml version="1.0" encoding="utf-8"?>
<Types xmlns="http://schemas.openxmlformats.org/package/2006/content-types">
  <Default Extension="xml" ContentType="application/xml"/>
  <Default Extension="jpeg" ContentType="image/jpeg"/>
  <Default Extension="JPG" ContentType="image/.jpg"/>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1</w:t>
            </w:r>
            <w:r>
              <w:rPr>
                <w:rFonts w:ascii="黑体" w:hAnsi="黑体" w:eastAsia="黑体"/>
                <w:sz w:val="21"/>
                <w:szCs w:val="21"/>
              </w:rPr>
              <w:t>3.100</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hint="eastAsia" w:ascii="宋体" w:hAnsi="宋体"/>
                <w:sz w:val="28"/>
                <w:szCs w:val="28"/>
              </w:rPr>
              <w:drawing>
                <wp:anchor distT="0" distB="0" distL="114300" distR="114300" simplePos="0" relativeHeight="251661312" behindDoc="0" locked="0" layoutInCell="1" allowOverlap="1">
                  <wp:simplePos x="0" y="0"/>
                  <wp:positionH relativeFrom="column">
                    <wp:posOffset>3797300</wp:posOffset>
                  </wp:positionH>
                  <wp:positionV relativeFrom="paragraph">
                    <wp:posOffset>53975</wp:posOffset>
                  </wp:positionV>
                  <wp:extent cx="901700" cy="487680"/>
                  <wp:effectExtent l="0" t="0" r="0" b="762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01700" cy="487680"/>
                          </a:xfrm>
                          <a:prstGeom prst="rect">
                            <a:avLst/>
                          </a:prstGeom>
                        </pic:spPr>
                      </pic:pic>
                    </a:graphicData>
                  </a:graphic>
                </wp:anchor>
              </w:drawing>
            </w: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C75</w:t>
            </w:r>
          </w:p>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end"/>
            </w:r>
            <w:bookmarkEnd w:id="1"/>
          </w:p>
        </w:tc>
      </w:tr>
    </w:tbl>
    <w:p>
      <w:pPr>
        <w:pStyle w:val="50"/>
        <w:framePr w:w="9639" w:h="624" w:hRule="exact" w:hSpace="181" w:vSpace="181" w:wrap="around" w:hAnchor="page" w:x="1305" w:y="2269"/>
        <w:rPr>
          <w:rFonts w:ascii="黑体" w:hAnsi="黑体" w:eastAsia="黑体"/>
          <w:b w:val="0"/>
          <w:bCs w:val="0"/>
          <w:w w:val="100"/>
          <w:sz w:val="48"/>
          <w:szCs w:val="48"/>
        </w:rPr>
      </w:pPr>
      <w:bookmarkStart w:id="2" w:name="_Hlk26473981"/>
      <w:r>
        <w:rPr>
          <w:rFonts w:ascii="黑体" w:eastAsia="黑体"/>
          <w:b w:val="0"/>
          <w:w w:val="100"/>
          <w:sz w:val="48"/>
        </w:rPr>
        <w:fldChar w:fldCharType="begin">
          <w:ffData>
            <w:name w:val="c2"/>
            <w:enabled/>
            <w:calcOnExit w:val="0"/>
            <w:textInput/>
          </w:ffData>
        </w:fldChar>
      </w:r>
      <w:bookmarkStart w:id="3"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3"/>
      <w:r>
        <w:rPr>
          <w:rFonts w:hint="eastAsia" w:ascii="黑体" w:hAnsi="黑体" w:eastAsia="黑体"/>
          <w:b w:val="0"/>
          <w:bCs w:val="0"/>
          <w:w w:val="100"/>
          <w:sz w:val="48"/>
          <w:szCs w:val="48"/>
        </w:rPr>
        <w:t>地方标准</w:t>
      </w:r>
    </w:p>
    <w:bookmarkEnd w:id="2"/>
    <w:p>
      <w:pPr>
        <w:pStyle w:val="195"/>
        <w:framePr/>
      </w:pPr>
      <w:r>
        <w:fldChar w:fldCharType="begin">
          <w:ffData>
            <w:name w:val="文字1"/>
            <w:enabled/>
            <w:calcOnExit w:val="0"/>
            <w:textInput>
              <w:default w:val="GB "/>
            </w:textInput>
          </w:ffData>
        </w:fldChar>
      </w:r>
      <w:bookmarkStart w:id="4" w:name="文字1"/>
      <w:r>
        <w:instrText xml:space="preserve"> FORMTEXT </w:instrText>
      </w:r>
      <w:r>
        <w:fldChar w:fldCharType="separate"/>
      </w:r>
      <w:r>
        <w:t xml:space="preserve">DB </w:t>
      </w:r>
      <w:r>
        <w:rPr>
          <w:rFonts w:hint="eastAsia"/>
        </w:rPr>
        <w:t>13</w:t>
      </w:r>
      <w:r>
        <w:t xml:space="preserve">/T </w:t>
      </w:r>
      <w:r>
        <w:fldChar w:fldCharType="end"/>
      </w:r>
      <w:bookmarkEnd w:id="4"/>
      <w:r>
        <w:fldChar w:fldCharType="begin">
          <w:ffData>
            <w:name w:val="NSTD_CODE_F"/>
            <w:enabled/>
            <w:calcOnExit w:val="0"/>
            <w:textInput>
              <w:default w:val="XXXXX"/>
            </w:textInput>
          </w:ffData>
        </w:fldChar>
      </w:r>
      <w:bookmarkStart w:id="5" w:name="NSTD_CODE_F"/>
      <w:r>
        <w:instrText xml:space="preserve"> FORMTEXT </w:instrText>
      </w:r>
      <w:r>
        <w:fldChar w:fldCharType="separate"/>
      </w:r>
      <w:r>
        <w:t>XXXXX</w:t>
      </w:r>
      <w:r>
        <w:fldChar w:fldCharType="end"/>
      </w:r>
      <w:bookmarkEnd w:id="5"/>
      <w:r>
        <w:rPr>
          <w:rFonts w:hAnsi="黑体"/>
        </w:rPr>
        <w:t>—</w:t>
      </w:r>
      <w:r>
        <w:fldChar w:fldCharType="begin">
          <w:ffData>
            <w:name w:val="NSTD_CODE_B"/>
            <w:enabled/>
            <w:calcOnExit w:val="0"/>
            <w:textInput>
              <w:default w:val="XXXX"/>
            </w:textInput>
          </w:ffData>
        </w:fldChar>
      </w:r>
      <w:bookmarkStart w:id="6" w:name="NSTD_CODE_B"/>
      <w:r>
        <w:instrText xml:space="preserve"> FORMTEXT </w:instrText>
      </w:r>
      <w:r>
        <w:fldChar w:fldCharType="separate"/>
      </w:r>
      <w:r>
        <w:t>XXXX</w:t>
      </w:r>
      <w:r>
        <w:fldChar w:fldCharType="end"/>
      </w:r>
      <w:bookmarkEnd w:id="6"/>
    </w:p>
    <w:p>
      <w:pPr>
        <w:pStyle w:val="196"/>
        <w:framePr/>
        <w:rPr>
          <w:rFonts w:hAnsi="黑体"/>
        </w:rPr>
      </w:pPr>
      <w:r>
        <w:rPr>
          <w:rFonts w:hAnsi="黑体"/>
        </w:rPr>
        <w:fldChar w:fldCharType="begin">
          <w:ffData>
            <w:name w:val="OSTD_CODE"/>
            <w:enabled/>
            <w:calcOnExit w:val="0"/>
            <w:textInput/>
          </w:ffData>
        </w:fldChar>
      </w:r>
      <w:bookmarkStart w:id="7"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7"/>
    </w:p>
    <w:p>
      <w:pPr>
        <w:pStyle w:val="49"/>
        <w:framePr w:w="0" w:hRule="auto" w:wrap="around" w:x="5614" w:y="398"/>
        <w:ind w:firstLine="2304"/>
        <w:jc w:val="both"/>
      </w:pPr>
      <w:r>
        <w:fldChar w:fldCharType="begin">
          <w:ffData>
            <w:name w:val="c1"/>
            <w:enabled/>
            <w:calcOnExit w:val="0"/>
            <w:textInput>
              <w:maxLength w:val="2"/>
            </w:textInput>
          </w:ffData>
        </w:fldChar>
      </w:r>
      <w:bookmarkStart w:id="8" w:name="c1"/>
      <w:r>
        <w:instrText xml:space="preserve"> FORMTEXT </w:instrText>
      </w:r>
      <w:r>
        <w:fldChar w:fldCharType="separate"/>
      </w:r>
      <w:r>
        <w:rPr>
          <w:rFonts w:hint="eastAsia"/>
        </w:rPr>
        <w:t>13</w:t>
      </w:r>
      <w: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0"/>
        <w:framePr w:w="9639" w:h="6976" w:hRule="exact" w:hSpace="0" w:vSpace="0" w:wrap="around"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特种设备检验检测人员劳动保护</w:t>
      </w:r>
      <w:r>
        <w:cr/>
      </w:r>
      <w:r>
        <w:t>通用要求</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eastAsia="黑体"/>
          <w:szCs w:val="28"/>
        </w:rPr>
        <w:t>General requirements for labor protection of special equipment inspection and testing personnel</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IN_STD_CODE"/>
            <w:enabled/>
            <w:calcOnExit w:val="0"/>
            <w:textInput>
              <w:default w:val="(点击此处添加与国际标准一致性程度的标识)"/>
            </w:textInput>
          </w:ffData>
        </w:fldChar>
      </w:r>
      <w:bookmarkStart w:id="11" w:name="IN_STD_CODE"/>
      <w:r>
        <w:rPr>
          <w:rFonts w:eastAsia="黑体"/>
          <w:szCs w:val="28"/>
        </w:rPr>
        <w:instrText xml:space="preserve"> FORMTEXT </w:instrText>
      </w:r>
      <w:r>
        <w:rPr>
          <w:rFonts w:eastAsia="黑体"/>
          <w:szCs w:val="28"/>
        </w:rPr>
        <w:fldChar w:fldCharType="separate"/>
      </w:r>
      <w:r>
        <w:rPr>
          <w:rFonts w:hint="eastAsia" w:eastAsia="黑体"/>
          <w:szCs w:val="28"/>
        </w:rPr>
        <w:t>(</w:t>
      </w:r>
      <w:r>
        <w:rPr>
          <w:rFonts w:eastAsia="黑体"/>
          <w:szCs w:val="28"/>
        </w:rPr>
        <w:t>NEQ</w:t>
      </w:r>
      <w:r>
        <w:rPr>
          <w:rFonts w:hint="eastAsia" w:eastAsia="黑体"/>
          <w:szCs w:val="28"/>
        </w:rPr>
        <w:t>)</w:t>
      </w:r>
      <w:r>
        <w:rPr>
          <w:rFonts w:eastAsia="黑体"/>
          <w:szCs w:val="28"/>
        </w:rPr>
        <w:fldChar w:fldCharType="end"/>
      </w:r>
      <w:bookmarkEnd w:id="11"/>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2" w:name="下拉1"/>
      <w:r>
        <w:rPr>
          <w:sz w:val="24"/>
          <w:szCs w:val="28"/>
        </w:rPr>
        <w:instrText xml:space="preserve"> FORMDROPDOWN </w:instrText>
      </w:r>
      <w:r>
        <w:rPr>
          <w:sz w:val="24"/>
          <w:szCs w:val="28"/>
        </w:rPr>
        <w:fldChar w:fldCharType="separate"/>
      </w:r>
      <w:r>
        <w:rPr>
          <w:sz w:val="24"/>
          <w:szCs w:val="28"/>
        </w:rPr>
        <w:fldChar w:fldCharType="end"/>
      </w:r>
      <w:bookmarkEnd w:id="12"/>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3" w:name="CMPLSH_DATE"/>
      <w:r>
        <w:rPr>
          <w:sz w:val="21"/>
          <w:szCs w:val="28"/>
        </w:rPr>
        <w:instrText xml:space="preserve"> FORMTEXT </w:instrText>
      </w:r>
      <w:r>
        <w:rPr>
          <w:sz w:val="21"/>
          <w:szCs w:val="28"/>
        </w:rPr>
        <w:fldChar w:fldCharType="separate"/>
      </w:r>
      <w:r>
        <w:rPr>
          <w:rFonts w:hint="eastAsia"/>
          <w:sz w:val="21"/>
          <w:szCs w:val="28"/>
        </w:rPr>
        <w:t>（本草案完成时间：2022年9月29日）</w:t>
      </w:r>
      <w:r>
        <w:rPr>
          <w:sz w:val="21"/>
          <w:szCs w:val="28"/>
        </w:rPr>
        <w:fldChar w:fldCharType="end"/>
      </w:r>
      <w:bookmarkEnd w:id="13"/>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4" w:name="下拉2"/>
      <w:r>
        <w:rPr>
          <w:b/>
          <w:sz w:val="21"/>
          <w:szCs w:val="28"/>
        </w:rPr>
        <w:instrText xml:space="preserve"> FORMDROPDOWN </w:instrText>
      </w:r>
      <w:r>
        <w:rPr>
          <w:b/>
          <w:sz w:val="21"/>
          <w:szCs w:val="28"/>
        </w:rPr>
        <w:fldChar w:fldCharType="separate"/>
      </w:r>
      <w:r>
        <w:rPr>
          <w:b/>
          <w:sz w:val="21"/>
          <w:szCs w:val="28"/>
        </w:rPr>
        <w:fldChar w:fldCharType="end"/>
      </w:r>
      <w:bookmarkEnd w:id="14"/>
    </w:p>
    <w:p>
      <w:pPr>
        <w:pStyle w:val="193"/>
        <w:framePr w:wrap="around" w:y="14176"/>
      </w:pPr>
      <w:r>
        <w:rPr>
          <w:rFonts w:ascii="黑体"/>
        </w:rPr>
        <w:fldChar w:fldCharType="begin">
          <w:ffData>
            <w:name w:val="PLSH_DATE_Y"/>
            <w:enabled/>
            <w:calcOnExit w:val="0"/>
            <w:textInput>
              <w:default w:val="XXXX"/>
              <w:maxLength w:val="4"/>
            </w:textInput>
          </w:ffData>
        </w:fldChar>
      </w:r>
      <w:bookmarkStart w:id="15"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5"/>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6"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7"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rPr>
          <w:rFonts w:hint="eastAsia"/>
        </w:rPr>
        <w:t>发布</w:t>
      </w:r>
    </w:p>
    <w:p>
      <w:pPr>
        <w:pStyle w:val="194"/>
        <w:framePr w:wrap="around" w:y="14176"/>
      </w:pPr>
      <w:r>
        <w:rPr>
          <w:rFonts w:ascii="黑体"/>
        </w:rPr>
        <w:fldChar w:fldCharType="begin">
          <w:ffData>
            <w:name w:val="CROT_DATE_Y"/>
            <w:enabled/>
            <w:calcOnExit w:val="0"/>
            <w:textInput>
              <w:default w:val="XXXX"/>
              <w:maxLength w:val="4"/>
            </w:textInput>
          </w:ffData>
        </w:fldChar>
      </w:r>
      <w:bookmarkStart w:id="18"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8"/>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9"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20"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20"/>
      <w:r>
        <w:rPr>
          <w:rFonts w:hint="eastAsia"/>
        </w:rPr>
        <w:t>实施</w:t>
      </w:r>
    </w:p>
    <w:p>
      <w:pPr>
        <w:pStyle w:val="15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1"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21"/>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6" w:type="first"/>
          <w:footerReference r:id="rId8" w:type="first"/>
          <w:headerReference r:id="rId5" w:type="default"/>
          <w:footerReference r:id="rId7"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1"/>
        <w:spacing w:after="468"/>
      </w:pPr>
      <w:bookmarkStart w:id="22" w:name="BookMark1"/>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"_Toc115101288" </w:instrText>
      </w:r>
      <w:r>
        <w:fldChar w:fldCharType="separate"/>
      </w:r>
      <w:r>
        <w:rPr>
          <w:rStyle w:val="32"/>
          <w:rFonts w:hint="eastAsia"/>
        </w:rPr>
        <w:t>前言</w:t>
      </w:r>
      <w:r>
        <w:tab/>
      </w:r>
      <w:r>
        <w:fldChar w:fldCharType="begin"/>
      </w:r>
      <w:r>
        <w:instrText xml:space="preserve"> PAGEREF _Toc115101288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"_Toc115101289" </w:instrText>
      </w:r>
      <w:r>
        <w:fldChar w:fldCharType="separate"/>
      </w:r>
      <w:r>
        <w:rPr>
          <w:rStyle w:val="32"/>
        </w:rPr>
        <w:t xml:space="preserve">1 </w:t>
      </w:r>
      <w:r>
        <w:rPr>
          <w:rStyle w:val="32"/>
          <w:rFonts w:hint="eastAsia"/>
        </w:rPr>
        <w:t xml:space="preserve"> 范围</w:t>
      </w:r>
      <w:r>
        <w:tab/>
      </w:r>
      <w:r>
        <w:fldChar w:fldCharType="begin"/>
      </w:r>
      <w:r>
        <w:instrText xml:space="preserve"> PAGEREF _Toc115101289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"_Toc115101290" </w:instrText>
      </w:r>
      <w:r>
        <w:fldChar w:fldCharType="separate"/>
      </w:r>
      <w:r>
        <w:rPr>
          <w:rStyle w:val="32"/>
        </w:rPr>
        <w:t xml:space="preserve">2 </w:t>
      </w:r>
      <w:r>
        <w:rPr>
          <w:rStyle w:val="32"/>
          <w:rFonts w:hint="eastAsia"/>
        </w:rPr>
        <w:t xml:space="preserve"> 规范性引用文件</w:t>
      </w:r>
      <w:r>
        <w:tab/>
      </w:r>
      <w:r>
        <w:fldChar w:fldCharType="begin"/>
      </w:r>
      <w:r>
        <w:instrText xml:space="preserve"> PAGEREF _Toc115101290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"_Toc115101291" </w:instrText>
      </w:r>
      <w:r>
        <w:fldChar w:fldCharType="separate"/>
      </w:r>
      <w:r>
        <w:rPr>
          <w:rStyle w:val="32"/>
        </w:rPr>
        <w:t xml:space="preserve">3 </w:t>
      </w:r>
      <w:r>
        <w:rPr>
          <w:rStyle w:val="32"/>
          <w:rFonts w:hint="eastAsia"/>
        </w:rPr>
        <w:t xml:space="preserve"> 术语和定义</w:t>
      </w:r>
      <w:r>
        <w:tab/>
      </w:r>
      <w:r>
        <w:fldChar w:fldCharType="begin"/>
      </w:r>
      <w:r>
        <w:instrText xml:space="preserve"> PAGEREF _Toc115101291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"_Toc115101292" </w:instrText>
      </w:r>
      <w:r>
        <w:fldChar w:fldCharType="separate"/>
      </w:r>
      <w:r>
        <w:rPr>
          <w:rStyle w:val="32"/>
        </w:rPr>
        <w:t xml:space="preserve">4 </w:t>
      </w:r>
      <w:r>
        <w:rPr>
          <w:rStyle w:val="32"/>
          <w:rFonts w:hint="eastAsia"/>
        </w:rPr>
        <w:t xml:space="preserve"> 基本要求</w:t>
      </w:r>
      <w:r>
        <w:tab/>
      </w:r>
      <w:r>
        <w:fldChar w:fldCharType="begin"/>
      </w:r>
      <w:r>
        <w:instrText xml:space="preserve"> PAGEREF _Toc115101292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"_Toc115101293" </w:instrText>
      </w:r>
      <w:r>
        <w:fldChar w:fldCharType="separate"/>
      </w:r>
      <w:r>
        <w:rPr>
          <w:rStyle w:val="32"/>
        </w:rPr>
        <w:t xml:space="preserve">5 </w:t>
      </w:r>
      <w:r>
        <w:rPr>
          <w:rStyle w:val="32"/>
          <w:rFonts w:hint="eastAsia"/>
        </w:rPr>
        <w:t xml:space="preserve"> 管理制度</w:t>
      </w:r>
      <w:r>
        <w:tab/>
      </w:r>
      <w:r>
        <w:fldChar w:fldCharType="begin"/>
      </w:r>
      <w:r>
        <w:instrText xml:space="preserve"> PAGEREF _Toc115101293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"_Toc115101294" </w:instrText>
      </w:r>
      <w:r>
        <w:fldChar w:fldCharType="separate"/>
      </w:r>
      <w:r>
        <w:rPr>
          <w:rStyle w:val="32"/>
        </w:rPr>
        <w:t xml:space="preserve">6 </w:t>
      </w:r>
      <w:r>
        <w:rPr>
          <w:rStyle w:val="32"/>
          <w:rFonts w:hint="eastAsia"/>
        </w:rPr>
        <w:t xml:space="preserve"> 劳动安全</w:t>
      </w:r>
      <w:r>
        <w:tab/>
      </w:r>
      <w:r>
        <w:fldChar w:fldCharType="begin"/>
      </w:r>
      <w:r>
        <w:instrText xml:space="preserve"> PAGEREF _Toc115101294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"_Toc115101295" </w:instrText>
      </w:r>
      <w:r>
        <w:fldChar w:fldCharType="separate"/>
      </w:r>
      <w:r>
        <w:rPr>
          <w:rStyle w:val="32"/>
          <w14:scene3d w14:prst="orthographicFront">
            <w14:lightRig w14:rig="threePt" w14:dir="t">
              <w14:rot w14:lat="0" w14:lon="0" w14:rev="0"/>
            </w14:lightRig>
          </w14:scene3d>
        </w:rPr>
        <w:t xml:space="preserve">6.1 </w:t>
      </w:r>
      <w:r>
        <w:rPr>
          <w:rStyle w:val="32"/>
          <w:rFonts w:hint="eastAsia"/>
        </w:rPr>
        <w:t xml:space="preserve"> 总体要求</w:t>
      </w:r>
      <w:r>
        <w:tab/>
      </w:r>
      <w:r>
        <w:fldChar w:fldCharType="begin"/>
      </w:r>
      <w:r>
        <w:instrText xml:space="preserve"> PAGEREF _Toc115101295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"_Toc115101296" </w:instrText>
      </w:r>
      <w:r>
        <w:fldChar w:fldCharType="separate"/>
      </w:r>
      <w:r>
        <w:rPr>
          <w:rStyle w:val="32"/>
          <w14:scene3d w14:prst="orthographicFront">
            <w14:lightRig w14:rig="threePt" w14:dir="t">
              <w14:rot w14:lat="0" w14:lon="0" w14:rev="0"/>
            </w14:lightRig>
          </w14:scene3d>
        </w:rPr>
        <w:t xml:space="preserve">6.2 </w:t>
      </w:r>
      <w:r>
        <w:rPr>
          <w:rStyle w:val="32"/>
          <w:rFonts w:hint="eastAsia"/>
        </w:rPr>
        <w:t xml:space="preserve"> 自然环境</w:t>
      </w:r>
      <w:r>
        <w:tab/>
      </w:r>
      <w:r>
        <w:fldChar w:fldCharType="begin"/>
      </w:r>
      <w:r>
        <w:instrText xml:space="preserve"> PAGEREF _Toc115101296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"_Toc115101297" </w:instrText>
      </w:r>
      <w:r>
        <w:fldChar w:fldCharType="separate"/>
      </w:r>
      <w:r>
        <w:rPr>
          <w:rStyle w:val="32"/>
          <w14:scene3d w14:prst="orthographicFront">
            <w14:lightRig w14:rig="threePt" w14:dir="t">
              <w14:rot w14:lat="0" w14:lon="0" w14:rev="0"/>
            </w14:lightRig>
          </w14:scene3d>
        </w:rPr>
        <w:t xml:space="preserve">6.3 </w:t>
      </w:r>
      <w:r>
        <w:rPr>
          <w:rStyle w:val="32"/>
          <w:rFonts w:hint="eastAsia"/>
        </w:rPr>
        <w:t xml:space="preserve"> 检验设施设备</w:t>
      </w:r>
      <w:r>
        <w:tab/>
      </w:r>
      <w:r>
        <w:fldChar w:fldCharType="begin"/>
      </w:r>
      <w:r>
        <w:instrText xml:space="preserve"> PAGEREF _Toc115101297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"_Toc115101298" </w:instrText>
      </w:r>
      <w:r>
        <w:fldChar w:fldCharType="separate"/>
      </w:r>
      <w:r>
        <w:rPr>
          <w:rStyle w:val="32"/>
          <w14:scene3d w14:prst="orthographicFront">
            <w14:lightRig w14:rig="threePt" w14:dir="t">
              <w14:rot w14:lat="0" w14:lon="0" w14:rev="0"/>
            </w14:lightRig>
          </w14:scene3d>
        </w:rPr>
        <w:t xml:space="preserve">6.4 </w:t>
      </w:r>
      <w:r>
        <w:rPr>
          <w:rStyle w:val="32"/>
          <w:rFonts w:hint="eastAsia"/>
        </w:rPr>
        <w:t xml:space="preserve"> 劳动场所</w:t>
      </w:r>
      <w:r>
        <w:tab/>
      </w:r>
      <w:r>
        <w:fldChar w:fldCharType="begin"/>
      </w:r>
      <w:r>
        <w:instrText xml:space="preserve"> PAGEREF _Toc115101298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"_Toc115101299" </w:instrText>
      </w:r>
      <w:r>
        <w:fldChar w:fldCharType="separate"/>
      </w:r>
      <w:r>
        <w:rPr>
          <w:rStyle w:val="32"/>
        </w:rPr>
        <w:t xml:space="preserve">7 </w:t>
      </w:r>
      <w:r>
        <w:rPr>
          <w:rStyle w:val="32"/>
          <w:rFonts w:hint="eastAsia"/>
        </w:rPr>
        <w:t xml:space="preserve"> 职业卫生</w:t>
      </w:r>
      <w:r>
        <w:tab/>
      </w:r>
      <w:r>
        <w:fldChar w:fldCharType="begin"/>
      </w:r>
      <w:r>
        <w:instrText xml:space="preserve"> PAGEREF _Toc115101299 \h </w:instrText>
      </w:r>
      <w:r>
        <w:fldChar w:fldCharType="separate"/>
      </w:r>
      <w:r>
        <w:t>5</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"_Toc115101300" </w:instrText>
      </w:r>
      <w:r>
        <w:fldChar w:fldCharType="separate"/>
      </w:r>
      <w:r>
        <w:rPr>
          <w:rStyle w:val="32"/>
        </w:rPr>
        <w:t xml:space="preserve">8 </w:t>
      </w:r>
      <w:r>
        <w:rPr>
          <w:rStyle w:val="32"/>
          <w:rFonts w:hint="eastAsia"/>
        </w:rPr>
        <w:t xml:space="preserve"> 安全培训</w:t>
      </w:r>
      <w:r>
        <w:tab/>
      </w:r>
      <w:r>
        <w:fldChar w:fldCharType="begin"/>
      </w:r>
      <w:r>
        <w:instrText xml:space="preserve"> PAGEREF _Toc115101300 \h </w:instrText>
      </w:r>
      <w:r>
        <w:fldChar w:fldCharType="separate"/>
      </w:r>
      <w:r>
        <w:t>6</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"_Toc115101301" </w:instrText>
      </w:r>
      <w:r>
        <w:fldChar w:fldCharType="separate"/>
      </w:r>
      <w:r>
        <w:rPr>
          <w:rStyle w:val="32"/>
        </w:rPr>
        <w:t xml:space="preserve">9 </w:t>
      </w:r>
      <w:r>
        <w:rPr>
          <w:rStyle w:val="32"/>
          <w:rFonts w:hint="eastAsia"/>
        </w:rPr>
        <w:t xml:space="preserve"> 女职工保护</w:t>
      </w:r>
      <w:r>
        <w:tab/>
      </w:r>
      <w:r>
        <w:fldChar w:fldCharType="begin"/>
      </w:r>
      <w:r>
        <w:instrText xml:space="preserve"> PAGEREF _Toc115101301 \h </w:instrText>
      </w:r>
      <w:r>
        <w:fldChar w:fldCharType="separate"/>
      </w:r>
      <w:r>
        <w:t>6</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"_Toc115101302" </w:instrText>
      </w:r>
      <w:r>
        <w:fldChar w:fldCharType="separate"/>
      </w:r>
      <w:r>
        <w:rPr>
          <w:rStyle w:val="32"/>
          <w:rFonts w:hint="eastAsia"/>
        </w:rPr>
        <w:t>参考文献</w:t>
      </w:r>
      <w:r>
        <w:tab/>
      </w:r>
      <w:r>
        <w:fldChar w:fldCharType="begin"/>
      </w:r>
      <w:r>
        <w:instrText xml:space="preserve"> PAGEREF _Toc115101302 \h </w:instrText>
      </w:r>
      <w:r>
        <w:fldChar w:fldCharType="separate"/>
      </w:r>
      <w:r>
        <w:t>7</w:t>
      </w:r>
      <w:r>
        <w:fldChar w:fldCharType="end"/>
      </w:r>
      <w:r>
        <w:fldChar w:fldCharType="end"/>
      </w:r>
    </w:p>
    <w:p>
      <w:pPr>
        <w:pStyle w:val="91"/>
        <w:spacing w:after="468"/>
        <w:sectPr>
          <w:headerReference r:id="rId9" w:type="default"/>
          <w:footerReference r:id="rId11" w:type="default"/>
          <w:headerReference r:id="rId10" w:type="even"/>
          <w:pgSz w:w="11906" w:h="16838"/>
          <w:pgMar w:top="1871" w:right="1134" w:bottom="1134" w:left="1134" w:header="1418" w:footer="1134" w:gutter="284"/>
          <w:pgNumType w:fmt="upperRoman" w:start="1"/>
          <w:cols w:space="425" w:num="1"/>
          <w:formProt w:val="0"/>
          <w:docGrid w:type="lines" w:linePitch="312" w:charSpace="0"/>
        </w:sectPr>
      </w:pPr>
      <w:r>
        <w:fldChar w:fldCharType="end"/>
      </w:r>
    </w:p>
    <w:bookmarkEnd w:id="22"/>
    <w:p>
      <w:pPr>
        <w:pStyle w:val="89"/>
        <w:spacing w:after="468"/>
      </w:pPr>
      <w:bookmarkStart w:id="23" w:name="_Toc115101288"/>
      <w:bookmarkStart w:id="24" w:name="BookMark2"/>
      <w:r>
        <w:rPr>
          <w:spacing w:val="320"/>
        </w:rPr>
        <w:t>前</w:t>
      </w:r>
      <w:r>
        <w:t>言</w:t>
      </w:r>
      <w:bookmarkEnd w:id="23"/>
    </w:p>
    <w:p>
      <w:pPr>
        <w:pStyle w:val="56"/>
        <w:ind w:firstLine="420"/>
      </w:pPr>
      <w:r>
        <w:rPr>
          <w:rFonts w:hint="eastAsia"/>
        </w:rPr>
        <w:t>本文件按照GB/T 1.1—2020《标准化工作导则  第1部分：标准化文件的结构和起草规则》的规定起草。</w:t>
      </w:r>
    </w:p>
    <w:p>
      <w:pPr>
        <w:pStyle w:val="56"/>
        <w:ind w:firstLine="420"/>
      </w:pPr>
      <w:r>
        <w:rPr>
          <w:rFonts w:hint="eastAsia"/>
        </w:rPr>
        <w:t>本文件由河北省市场监督管理局提出。</w:t>
      </w:r>
    </w:p>
    <w:p>
      <w:pPr>
        <w:pStyle w:val="56"/>
        <w:ind w:firstLine="420"/>
      </w:pPr>
      <w:r>
        <w:rPr>
          <w:rFonts w:hint="eastAsia"/>
        </w:rPr>
        <w:t>本文件起草单位：河北省特种设备监督检验研究院。</w:t>
      </w:r>
    </w:p>
    <w:p>
      <w:pPr>
        <w:pStyle w:val="56"/>
        <w:ind w:firstLine="420"/>
      </w:pPr>
      <w:r>
        <w:rPr>
          <w:rFonts w:hint="eastAsia"/>
        </w:rPr>
        <w:t>本文件主要起草人：</w:t>
      </w:r>
      <w:bookmarkStart w:id="60" w:name="_GoBack"/>
      <w:bookmarkEnd w:id="60"/>
    </w:p>
    <w:p>
      <w:pPr>
        <w:pStyle w:val="56"/>
        <w:ind w:firstLine="420"/>
      </w:pPr>
    </w:p>
    <w:p>
      <w:pPr>
        <w:pStyle w:val="56"/>
        <w:ind w:firstLine="420"/>
        <w:sectPr>
          <w:pgSz w:w="11906" w:h="16838"/>
          <w:pgMar w:top="1871" w:right="1134" w:bottom="1134" w:left="1134" w:header="1418" w:footer="1134" w:gutter="284"/>
          <w:pgNumType w:fmt="upperRoman"/>
          <w:cols w:space="425" w:num="1"/>
          <w:formProt w:val="0"/>
          <w:docGrid w:type="lines" w:linePitch="312" w:charSpace="0"/>
        </w:sectPr>
      </w:pPr>
    </w:p>
    <w:bookmarkEnd w:id="24"/>
    <w:p>
      <w:pPr>
        <w:spacing w:line="20" w:lineRule="exact"/>
        <w:jc w:val="center"/>
        <w:rPr>
          <w:rFonts w:ascii="黑体" w:hAnsi="黑体" w:eastAsia="黑体"/>
          <w:sz w:val="32"/>
          <w:szCs w:val="32"/>
        </w:rPr>
      </w:pPr>
      <w:bookmarkStart w:id="25" w:name="BookMark4"/>
    </w:p>
    <w:p>
      <w:pPr>
        <w:spacing w:line="20" w:lineRule="exact"/>
        <w:jc w:val="center"/>
        <w:rPr>
          <w:rFonts w:ascii="黑体" w:hAnsi="黑体" w:eastAsia="黑体"/>
          <w:sz w:val="32"/>
          <w:szCs w:val="32"/>
        </w:rPr>
      </w:pPr>
    </w:p>
    <w:sdt>
      <w:sdtPr>
        <w:tag w:val="NEW_STAND_NAME"/>
        <w:id w:val="595910757"/>
        <w:lock w:val="sdtLocked"/>
        <w:placeholder>
          <w:docPart w:val="E8A31674C33340ECAAA97745EB5F4455"/>
        </w:placeholder>
      </w:sdtPr>
      <w:sdtContent>
        <w:p>
          <w:pPr>
            <w:pStyle w:val="177"/>
            <w:spacing w:before="567" w:beforeLines="182" w:after="3" w:afterLines="1"/>
          </w:pPr>
          <w:bookmarkStart w:id="26" w:name="NEW_STAND_NAME"/>
          <w:r>
            <w:rPr>
              <w:rFonts w:hint="eastAsia"/>
            </w:rPr>
            <w:t>特种设备检验检测人员劳动保护</w:t>
          </w:r>
        </w:p>
        <w:p>
          <w:pPr>
            <w:pStyle w:val="177"/>
            <w:spacing w:before="3" w:beforeLines="1" w:after="680"/>
          </w:pPr>
          <w:r>
            <w:rPr>
              <w:rFonts w:hint="eastAsia"/>
            </w:rPr>
            <w:t>通用要求</w:t>
          </w:r>
        </w:p>
      </w:sdtContent>
    </w:sdt>
    <w:bookmarkEnd w:id="26"/>
    <w:p>
      <w:pPr>
        <w:pStyle w:val="104"/>
        <w:spacing w:before="312" w:after="312"/>
      </w:pPr>
      <w:bookmarkStart w:id="27" w:name="_Toc26718930"/>
      <w:bookmarkStart w:id="28" w:name="_Toc115101289"/>
      <w:bookmarkStart w:id="29" w:name="_Toc26986771"/>
      <w:bookmarkStart w:id="30" w:name="_Toc26648465"/>
      <w:bookmarkStart w:id="31" w:name="_Toc24884218"/>
      <w:bookmarkStart w:id="32" w:name="_Toc24884211"/>
      <w:bookmarkStart w:id="33" w:name="_Toc17233333"/>
      <w:bookmarkStart w:id="34" w:name="_Toc17233325"/>
      <w:bookmarkStart w:id="35" w:name="_Toc26986530"/>
      <w:r>
        <w:rPr>
          <w:rFonts w:hint="eastAsia"/>
        </w:rPr>
        <w:t>范围</w:t>
      </w:r>
      <w:bookmarkEnd w:id="27"/>
      <w:bookmarkEnd w:id="28"/>
      <w:bookmarkEnd w:id="29"/>
      <w:bookmarkEnd w:id="30"/>
      <w:bookmarkEnd w:id="31"/>
      <w:bookmarkEnd w:id="32"/>
      <w:bookmarkEnd w:id="33"/>
      <w:bookmarkEnd w:id="34"/>
      <w:bookmarkEnd w:id="35"/>
    </w:p>
    <w:p>
      <w:pPr>
        <w:pStyle w:val="56"/>
        <w:ind w:firstLine="420"/>
      </w:pPr>
      <w:bookmarkStart w:id="36" w:name="_Toc26648466"/>
      <w:bookmarkStart w:id="37" w:name="_Toc24884219"/>
      <w:bookmarkStart w:id="38" w:name="_Toc17233334"/>
      <w:bookmarkStart w:id="39" w:name="_Toc17233326"/>
      <w:bookmarkStart w:id="40" w:name="_Toc24884212"/>
      <w:r>
        <w:rPr>
          <w:rFonts w:hint="eastAsia"/>
        </w:rPr>
        <w:t>本文件规定了特种设备检验检测人员劳动保护的基本要求、管理制度、劳动安全、职业卫生、安全培训、女职工保护。</w:t>
      </w:r>
    </w:p>
    <w:p>
      <w:pPr>
        <w:pStyle w:val="56"/>
        <w:ind w:firstLine="420"/>
      </w:pPr>
      <w:r>
        <w:rPr>
          <w:rFonts w:hint="eastAsia"/>
        </w:rPr>
        <w:t>本文件适用于从事特种设备检验检测人员的劳动保护。</w:t>
      </w:r>
    </w:p>
    <w:p>
      <w:pPr>
        <w:pStyle w:val="104"/>
        <w:spacing w:before="312" w:after="312"/>
      </w:pPr>
      <w:bookmarkStart w:id="41" w:name="_Toc26986772"/>
      <w:bookmarkStart w:id="42" w:name="_Toc26718931"/>
      <w:bookmarkStart w:id="43" w:name="_Toc26986531"/>
      <w:bookmarkStart w:id="44" w:name="_Toc115101290"/>
      <w:r>
        <w:rPr>
          <w:rFonts w:hint="eastAsia"/>
        </w:rPr>
        <w:t>规范性引用文件</w:t>
      </w:r>
      <w:bookmarkEnd w:id="36"/>
      <w:bookmarkEnd w:id="37"/>
      <w:bookmarkEnd w:id="38"/>
      <w:bookmarkEnd w:id="39"/>
      <w:bookmarkEnd w:id="40"/>
      <w:bookmarkEnd w:id="41"/>
      <w:bookmarkEnd w:id="42"/>
      <w:bookmarkEnd w:id="43"/>
      <w:bookmarkEnd w:id="44"/>
    </w:p>
    <w:sdt>
      <w:sdtPr>
        <w:rPr>
          <w:rFonts w:hint="eastAsia"/>
        </w:rPr>
        <w:id w:val="715848253"/>
        <w:placeholder>
          <w:docPart w:val="725B4F46BBDF470A9A69AD2B1EB0389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6"/>
        <w:ind w:firstLine="420"/>
      </w:pPr>
      <w:r>
        <w:rPr>
          <w:rFonts w:hint="eastAsia"/>
        </w:rPr>
        <w:t>GB 18871  电离辐射防护与辐射源安全基本标准</w:t>
      </w:r>
    </w:p>
    <w:p>
      <w:pPr>
        <w:pStyle w:val="56"/>
        <w:ind w:firstLine="420"/>
      </w:pPr>
      <w:r>
        <w:rPr>
          <w:rFonts w:hint="eastAsia"/>
        </w:rPr>
        <w:t>GBZ 1  工业企业设计卫生标准</w:t>
      </w:r>
    </w:p>
    <w:p>
      <w:pPr>
        <w:pStyle w:val="56"/>
        <w:ind w:firstLine="420"/>
      </w:pPr>
      <w:r>
        <w:rPr>
          <w:rFonts w:hint="eastAsia"/>
        </w:rPr>
        <w:t>GBZ 2.2  工作场所有害因素职业接触限值  第2部分：物理因素</w:t>
      </w:r>
    </w:p>
    <w:p>
      <w:pPr>
        <w:pStyle w:val="56"/>
        <w:ind w:firstLine="420"/>
      </w:pPr>
      <w:r>
        <w:rPr>
          <w:rFonts w:hint="eastAsia"/>
        </w:rPr>
        <w:t>GBZ 117  工业X射线探伤放射防护要求</w:t>
      </w:r>
    </w:p>
    <w:p>
      <w:pPr>
        <w:pStyle w:val="56"/>
        <w:ind w:firstLine="420"/>
      </w:pPr>
      <w:r>
        <w:rPr>
          <w:rFonts w:hint="eastAsia"/>
        </w:rPr>
        <w:t>GBZ 132  工业γ射线探伤放射防护标准</w:t>
      </w:r>
    </w:p>
    <w:p>
      <w:pPr>
        <w:pStyle w:val="56"/>
        <w:ind w:firstLine="420"/>
      </w:pPr>
      <w:r>
        <w:rPr>
          <w:rFonts w:hint="eastAsia"/>
        </w:rPr>
        <w:t>GBZ 188  职业健康监护技术规范</w:t>
      </w:r>
    </w:p>
    <w:p>
      <w:pPr>
        <w:pStyle w:val="56"/>
        <w:ind w:firstLine="420"/>
      </w:pPr>
      <w:r>
        <w:rPr>
          <w:rFonts w:hint="eastAsia"/>
        </w:rPr>
        <w:t>TSG 03  特种设备事故报告和调查处理导则</w:t>
      </w:r>
    </w:p>
    <w:p>
      <w:pPr>
        <w:pStyle w:val="56"/>
        <w:ind w:firstLine="420"/>
      </w:pPr>
      <w:r>
        <w:rPr>
          <w:rFonts w:hint="eastAsia"/>
        </w:rPr>
        <w:t>TSG 21-2016  固定式压力容器安全技术监察规程</w:t>
      </w:r>
    </w:p>
    <w:p>
      <w:pPr>
        <w:pStyle w:val="104"/>
        <w:spacing w:before="312" w:after="312"/>
      </w:pPr>
      <w:bookmarkStart w:id="45" w:name="_Toc115101291"/>
      <w:r>
        <w:rPr>
          <w:rFonts w:hint="eastAsia"/>
          <w:szCs w:val="21"/>
        </w:rPr>
        <w:t>术语和定义</w:t>
      </w:r>
      <w:bookmarkEnd w:id="45"/>
    </w:p>
    <w:sdt>
      <w:sdtPr>
        <w:id w:val="-1909835108"/>
        <w:placeholder>
          <w:docPart w:val="03873F4F76254357A2BD83D585B2BEE2"/>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46" w:name="_Toc26986532"/>
          <w:bookmarkEnd w:id="46"/>
          <w:r>
            <w:rPr>
              <w:rFonts w:hint="eastAsia"/>
            </w:rPr>
            <w:t>GBZ 1《工业企业设计卫生标准》</w:t>
          </w:r>
          <w:r>
            <w:t>界定的以及下列术语和定义适用于本文件。</w:t>
          </w:r>
        </w:p>
      </w:sdtContent>
    </w:sdt>
    <w:p>
      <w:pPr>
        <w:pStyle w:val="223"/>
        <w:ind w:left="420" w:hanging="420" w:hangingChars="200"/>
        <w:rPr>
          <w:rFonts w:ascii="黑体" w:hAnsi="黑体" w:eastAsia="黑体"/>
        </w:rPr>
      </w:pPr>
      <w:r>
        <w:rPr>
          <w:rFonts w:ascii="黑体" w:hAnsi="黑体" w:eastAsia="黑体"/>
        </w:rPr>
        <w:br w:type="textWrapping"/>
      </w:r>
      <w:r>
        <w:rPr>
          <w:rFonts w:ascii="黑体" w:hAnsi="黑体" w:eastAsia="黑体"/>
        </w:rPr>
        <w:t>高温作业</w:t>
      </w:r>
    </w:p>
    <w:p>
      <w:pPr>
        <w:pStyle w:val="56"/>
        <w:ind w:firstLine="420"/>
      </w:pPr>
      <w:r>
        <w:rPr>
          <w:rFonts w:hint="eastAsia"/>
        </w:rPr>
        <w:t>为保护检验检测人员在检验检测过程中的安全和健康所采取的措施。</w:t>
      </w:r>
    </w:p>
    <w:p>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劳动防护用品</w:t>
      </w:r>
    </w:p>
    <w:p>
      <w:pPr>
        <w:pStyle w:val="56"/>
        <w:ind w:firstLine="420"/>
      </w:pPr>
      <w:r>
        <w:rPr>
          <w:rFonts w:hint="eastAsia"/>
        </w:rPr>
        <w:t>为保护检验检测人员在检验检测过程中的安全与健康所必备的一种防御性裝备。</w:t>
      </w:r>
    </w:p>
    <w:p>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受限空间</w:t>
      </w:r>
    </w:p>
    <w:p>
      <w:pPr>
        <w:pStyle w:val="56"/>
        <w:ind w:firstLine="420"/>
      </w:pPr>
      <w:r>
        <w:rPr>
          <w:rFonts w:hint="eastAsia"/>
        </w:rPr>
        <w:t>特种设备或与特种设备相关的内部封闭、半封闭的设施及场所。</w:t>
      </w:r>
    </w:p>
    <w:p>
      <w:pPr>
        <w:pStyle w:val="104"/>
        <w:spacing w:before="312" w:after="312"/>
      </w:pPr>
      <w:bookmarkStart w:id="47" w:name="_Toc115101292"/>
      <w:r>
        <w:rPr>
          <w:rFonts w:hint="eastAsia"/>
        </w:rPr>
        <w:t>基本要求</w:t>
      </w:r>
      <w:bookmarkEnd w:id="47"/>
    </w:p>
    <w:p>
      <w:pPr>
        <w:pStyle w:val="162"/>
      </w:pPr>
      <w:r>
        <w:rPr>
          <w:rFonts w:hint="eastAsia"/>
        </w:rPr>
        <w:t>检验检测人员所在单位(以下简称“单位”)应确定一名领导分管劳动保护，并设置劳动保护管理部门，配备劳动保护管理工作人员。</w:t>
      </w:r>
    </w:p>
    <w:p>
      <w:pPr>
        <w:pStyle w:val="162"/>
      </w:pPr>
      <w:r>
        <w:rPr>
          <w:rFonts w:hint="eastAsia"/>
        </w:rPr>
        <w:t>单位应将劳动保护的实施效果纳入本单位考核。</w:t>
      </w:r>
    </w:p>
    <w:p>
      <w:pPr>
        <w:pStyle w:val="162"/>
      </w:pPr>
      <w:r>
        <w:rPr>
          <w:rFonts w:hint="eastAsia"/>
        </w:rPr>
        <w:t>单位应建立本标准第5章的有关管理制度，并实施、保持和持续改进。</w:t>
      </w:r>
    </w:p>
    <w:p>
      <w:pPr>
        <w:pStyle w:val="162"/>
      </w:pPr>
      <w:r>
        <w:rPr>
          <w:rFonts w:hint="eastAsia"/>
        </w:rPr>
        <w:t>单位应主动识别检验检测场所危险源，建立危险源清单，评价和控制风险，制定具体监控措施，制定劳动保护年度目标及实施方案，并逐级落实。</w:t>
      </w:r>
    </w:p>
    <w:p>
      <w:pPr>
        <w:pStyle w:val="104"/>
        <w:spacing w:before="312" w:after="312"/>
      </w:pPr>
      <w:bookmarkStart w:id="48" w:name="_Toc115101293"/>
      <w:r>
        <w:rPr>
          <w:rFonts w:hint="eastAsia"/>
        </w:rPr>
        <w:t>管理制度</w:t>
      </w:r>
      <w:bookmarkEnd w:id="48"/>
    </w:p>
    <w:p>
      <w:pPr>
        <w:pStyle w:val="56"/>
        <w:ind w:firstLine="420"/>
      </w:pPr>
      <w:r>
        <w:rPr>
          <w:rFonts w:hint="eastAsia"/>
        </w:rPr>
        <w:t>单位应建立各项劳动保护相关管理制度，应至少包括：</w:t>
      </w:r>
    </w:p>
    <w:p>
      <w:pPr>
        <w:pStyle w:val="132"/>
      </w:pPr>
      <w:r>
        <w:rPr>
          <w:rFonts w:hint="eastAsia"/>
        </w:rPr>
        <w:t>安全生产责任制及岗位责任制。包括岗位职责、考核要求、处罚要求等；</w:t>
      </w:r>
    </w:p>
    <w:p>
      <w:pPr>
        <w:pStyle w:val="132"/>
      </w:pPr>
      <w:r>
        <w:rPr>
          <w:rFonts w:hint="eastAsia"/>
        </w:rPr>
        <w:t>资金投入、管理和使用制度。包括资金的预算数额、使用范围、使用权限、管理要求等；</w:t>
      </w:r>
    </w:p>
    <w:p>
      <w:pPr>
        <w:pStyle w:val="132"/>
      </w:pPr>
      <w:r>
        <w:rPr>
          <w:rFonts w:hint="eastAsia"/>
        </w:rPr>
        <w:t>教育培训制度。包括培训时间、目的、内容、方式、层级及要求等；</w:t>
      </w:r>
    </w:p>
    <w:p>
      <w:pPr>
        <w:pStyle w:val="132"/>
      </w:pPr>
      <w:r>
        <w:rPr>
          <w:rFonts w:hint="eastAsia"/>
        </w:rPr>
        <w:t>会议制度。包括召开会议的目的、时间、形式、频率、主要内容；</w:t>
      </w:r>
    </w:p>
    <w:p>
      <w:pPr>
        <w:pStyle w:val="132"/>
      </w:pPr>
      <w:r>
        <w:rPr>
          <w:rFonts w:hint="eastAsia"/>
        </w:rPr>
        <w:t>劳动防护用品管理制度。包括劳动防护用品的采购、发放、使用、检査、报废、更换和回收的管理要求及配备标准；</w:t>
      </w:r>
    </w:p>
    <w:p>
      <w:pPr>
        <w:pStyle w:val="132"/>
      </w:pPr>
      <w:r>
        <w:rPr>
          <w:rFonts w:hint="eastAsia"/>
        </w:rPr>
        <w:t>仪器设备操作规程和检查制度。包括仪器设备的操作规程、检查期限、检查内容等；</w:t>
      </w:r>
    </w:p>
    <w:p>
      <w:pPr>
        <w:pStyle w:val="132"/>
      </w:pPr>
      <w:r>
        <w:rPr>
          <w:rFonts w:hint="eastAsia"/>
        </w:rPr>
        <w:t>档案管理制度。包括档案管理人员、存档内容、保存时限、借阅及销毁要求等；</w:t>
      </w:r>
    </w:p>
    <w:p>
      <w:pPr>
        <w:pStyle w:val="132"/>
      </w:pPr>
      <w:r>
        <w:rPr>
          <w:rFonts w:hint="eastAsia"/>
        </w:rPr>
        <w:t>应急预案管理和演练制度。包括应急预案的编制、更新、备案以及应急预案演练的内容、频率、目标；</w:t>
      </w:r>
    </w:p>
    <w:p>
      <w:pPr>
        <w:pStyle w:val="132"/>
      </w:pPr>
      <w:r>
        <w:rPr>
          <w:rFonts w:hint="eastAsia"/>
        </w:rPr>
        <w:t>检查和通报制度。包括检查的目的、人员、方式、频率以及通报的人员、内容、方式、时限等；</w:t>
      </w:r>
    </w:p>
    <w:p>
      <w:pPr>
        <w:pStyle w:val="132"/>
      </w:pPr>
      <w:r>
        <w:rPr>
          <w:rFonts w:hint="eastAsia"/>
        </w:rPr>
        <w:t>事故报告和调查处理制度。应按照TSG 03的规定提出有关要求。</w:t>
      </w:r>
    </w:p>
    <w:p>
      <w:pPr>
        <w:pStyle w:val="104"/>
        <w:spacing w:before="312" w:after="312"/>
      </w:pPr>
      <w:bookmarkStart w:id="49" w:name="_Toc115101294"/>
      <w:r>
        <w:rPr>
          <w:rFonts w:hint="eastAsia"/>
        </w:rPr>
        <w:t>劳动安全</w:t>
      </w:r>
      <w:bookmarkEnd w:id="49"/>
    </w:p>
    <w:p>
      <w:pPr>
        <w:pStyle w:val="105"/>
        <w:spacing w:before="156" w:after="156"/>
      </w:pPr>
      <w:bookmarkStart w:id="50" w:name="_Toc115101295"/>
      <w:r>
        <w:rPr>
          <w:rFonts w:hint="eastAsia"/>
        </w:rPr>
        <w:t>总体要求</w:t>
      </w:r>
      <w:bookmarkEnd w:id="50"/>
    </w:p>
    <w:p>
      <w:pPr>
        <w:pStyle w:val="165"/>
      </w:pPr>
      <w:r>
        <w:rPr>
          <w:rFonts w:hint="eastAsia"/>
        </w:rPr>
        <w:t>检验检测人员应对照安全技术规范、标准及本单位的安全管理制度，确认现场条件符合检验检测安全要求后，方可开展检验检测工作。检验检测人员还应遵守服务对象对外来人员的安全规定。</w:t>
      </w:r>
    </w:p>
    <w:p>
      <w:pPr>
        <w:pStyle w:val="165"/>
      </w:pPr>
      <w:r>
        <w:rPr>
          <w:rFonts w:hint="eastAsia"/>
        </w:rPr>
        <w:t>检验检测前，应做好以下准备工作：</w:t>
      </w:r>
    </w:p>
    <w:p>
      <w:pPr>
        <w:pStyle w:val="174"/>
      </w:pPr>
      <w:r>
        <w:rPr>
          <w:rFonts w:hint="eastAsia"/>
        </w:rPr>
        <w:t>检验检测人员审查技术资料，分析辨识检验检测过程中的危险，针对风险提出防控措施，并接受安全培训；</w:t>
      </w:r>
    </w:p>
    <w:p>
      <w:pPr>
        <w:pStyle w:val="174"/>
      </w:pPr>
      <w:r>
        <w:rPr>
          <w:rFonts w:hint="eastAsia"/>
        </w:rPr>
        <w:t>检验检测人员熟悉服务对象应急救援预案的要求；</w:t>
      </w:r>
    </w:p>
    <w:p>
      <w:pPr>
        <w:pStyle w:val="174"/>
      </w:pPr>
      <w:r>
        <w:rPr>
          <w:rFonts w:hint="eastAsia"/>
        </w:rPr>
        <w:t>按照检验检测的要求，清理或拆除影响检验检测的附属部件或者其他物体。</w:t>
      </w:r>
    </w:p>
    <w:p>
      <w:pPr>
        <w:pStyle w:val="165"/>
      </w:pPr>
      <w:r>
        <w:rPr>
          <w:rFonts w:hint="eastAsia"/>
        </w:rPr>
        <w:t>检验检测时，检验检测人员应根据检验检测条件，针对识别后的检验检测风险，配备劳动防护用品。</w:t>
      </w:r>
    </w:p>
    <w:p>
      <w:pPr>
        <w:pStyle w:val="165"/>
      </w:pPr>
      <w:r>
        <w:rPr>
          <w:rFonts w:hint="eastAsia"/>
        </w:rPr>
        <w:t>开展大型检验检测项目时，应设安全员，负责检验检测区域的安全工作。</w:t>
      </w:r>
    </w:p>
    <w:p>
      <w:pPr>
        <w:pStyle w:val="165"/>
      </w:pPr>
      <w:r>
        <w:rPr>
          <w:rFonts w:hint="eastAsia"/>
        </w:rPr>
        <w:t>劳动防护用品应具备产品质量合格证，并由使用单位验收合格。</w:t>
      </w:r>
    </w:p>
    <w:p>
      <w:pPr>
        <w:pStyle w:val="105"/>
        <w:spacing w:before="156" w:after="156"/>
      </w:pPr>
      <w:bookmarkStart w:id="51" w:name="_Toc115101296"/>
      <w:r>
        <w:rPr>
          <w:rFonts w:hint="eastAsia"/>
        </w:rPr>
        <w:t>自然环境</w:t>
      </w:r>
      <w:bookmarkEnd w:id="51"/>
    </w:p>
    <w:p>
      <w:pPr>
        <w:pStyle w:val="165"/>
      </w:pPr>
      <w:r>
        <w:rPr>
          <w:rFonts w:hint="eastAsia"/>
        </w:rPr>
        <w:t>环境温湿度、风速等应符合检验检测工作开展的条件，方可开展户外检验检测。台风、高温、暴雨等极端天气情况下，应停止一切户外检验检测。</w:t>
      </w:r>
    </w:p>
    <w:p>
      <w:pPr>
        <w:pStyle w:val="165"/>
      </w:pPr>
      <w:r>
        <w:rPr>
          <w:rFonts w:hint="eastAsia"/>
        </w:rPr>
        <w:t>开展运行检验检测时，检验检测环境的温湿度、风速等应符合设备运行条件和检验检测工作条件。</w:t>
      </w:r>
    </w:p>
    <w:p>
      <w:pPr>
        <w:pStyle w:val="105"/>
        <w:spacing w:before="156" w:after="156"/>
      </w:pPr>
      <w:bookmarkStart w:id="52" w:name="_Toc115101297"/>
      <w:r>
        <w:rPr>
          <w:rFonts w:hint="eastAsia"/>
        </w:rPr>
        <w:t>检验设施设备</w:t>
      </w:r>
      <w:bookmarkEnd w:id="52"/>
    </w:p>
    <w:p>
      <w:pPr>
        <w:pStyle w:val="65"/>
        <w:spacing w:before="156" w:after="156"/>
      </w:pPr>
      <w:r>
        <w:rPr>
          <w:rFonts w:hint="eastAsia"/>
        </w:rPr>
        <w:t>一般要求</w:t>
      </w:r>
    </w:p>
    <w:p>
      <w:pPr>
        <w:pStyle w:val="164"/>
      </w:pPr>
      <w:r>
        <w:rPr>
          <w:rFonts w:hint="eastAsia"/>
        </w:rPr>
        <w:t>检验检测仪器设备和主要器材应具备产品质量合格证，并由使用单位验收合格，使用条件应符合仪器设备自身安全要求和操作要求。</w:t>
      </w:r>
    </w:p>
    <w:p>
      <w:pPr>
        <w:pStyle w:val="164"/>
      </w:pPr>
      <w:r>
        <w:rPr>
          <w:rFonts w:hint="eastAsia"/>
        </w:rPr>
        <w:t>检验检测仪器设备的绝缘性能应符合要求，对地电阻每三个月至少进行一次核查。</w:t>
      </w:r>
    </w:p>
    <w:p>
      <w:pPr>
        <w:pStyle w:val="164"/>
      </w:pPr>
      <w:r>
        <w:rPr>
          <w:rFonts w:hint="eastAsia"/>
        </w:rPr>
        <w:t>检验检测耗材应选用低毒或无毒配方。</w:t>
      </w:r>
    </w:p>
    <w:p>
      <w:pPr>
        <w:pStyle w:val="164"/>
      </w:pPr>
      <w:r>
        <w:rPr>
          <w:rFonts w:hint="eastAsia"/>
        </w:rPr>
        <w:t>射线检测设备应按照规定通过环保部门的评估，进行年度监测。从事室内射线检测时，各类设施设备应通过环保部门的验收。</w:t>
      </w:r>
    </w:p>
    <w:p>
      <w:pPr>
        <w:pStyle w:val="164"/>
      </w:pPr>
      <w:r>
        <w:rPr>
          <w:rFonts w:hint="eastAsia"/>
        </w:rPr>
        <w:t>在防爆区域使用非防爆检验检测仪器工作时，应采取措施保证现场检验检测安全。</w:t>
      </w:r>
    </w:p>
    <w:p>
      <w:pPr>
        <w:pStyle w:val="65"/>
        <w:spacing w:before="156" w:after="156"/>
      </w:pPr>
      <w:r>
        <w:rPr>
          <w:rFonts w:hint="eastAsia"/>
        </w:rPr>
        <w:t>现场使用要求</w:t>
      </w:r>
    </w:p>
    <w:p>
      <w:pPr>
        <w:pStyle w:val="56"/>
        <w:ind w:firstLine="420"/>
      </w:pPr>
      <w:r>
        <w:rPr>
          <w:rFonts w:hint="eastAsia"/>
        </w:rPr>
        <w:t>检验检测人员应按设备操作规程及注意事项进行操作，并应符合以下要求：</w:t>
      </w:r>
    </w:p>
    <w:p>
      <w:pPr>
        <w:pStyle w:val="132"/>
      </w:pPr>
      <w:r>
        <w:rPr>
          <w:rFonts w:hint="eastAsia"/>
        </w:rPr>
        <w:t>使用交流电的仪器设备，应单独设置漏电保护开关，各漏电保护开关应并联连接；</w:t>
      </w:r>
    </w:p>
    <w:p>
      <w:pPr>
        <w:pStyle w:val="132"/>
      </w:pPr>
      <w:r>
        <w:rPr>
          <w:rFonts w:hint="eastAsia"/>
        </w:rPr>
        <w:t>使用激光仪器设备时，激光光源应避免对人眼直射；</w:t>
      </w:r>
    </w:p>
    <w:p>
      <w:pPr>
        <w:pStyle w:val="132"/>
      </w:pPr>
      <w:r>
        <w:rPr>
          <w:rFonts w:hint="eastAsia"/>
        </w:rPr>
        <w:t>打磨作业时，设备磨削方向不应朝向操作人员；</w:t>
      </w:r>
    </w:p>
    <w:p>
      <w:pPr>
        <w:pStyle w:val="132"/>
      </w:pPr>
      <w:r>
        <w:rPr>
          <w:rFonts w:hint="eastAsia"/>
        </w:rPr>
        <w:t>开展荧光磁粉检测或荧光渗透检测时，应检查黑光灯的滤光片和屏蔽罩不得有破裂，避免黑光灯对人眼和皮肤直射，防止黑光灯激发的黑光对眼睛和皮肤产生有害影响；</w:t>
      </w:r>
    </w:p>
    <w:p>
      <w:pPr>
        <w:pStyle w:val="132"/>
      </w:pPr>
      <w:r>
        <w:rPr>
          <w:rFonts w:hint="eastAsia"/>
        </w:rPr>
        <w:t>使用触头法和通电法开展磁粉检测时，应防止因接触不良或操作失误造成的火灾事故；</w:t>
      </w:r>
    </w:p>
    <w:p>
      <w:pPr>
        <w:pStyle w:val="132"/>
      </w:pPr>
      <w:r>
        <w:rPr>
          <w:rFonts w:hint="eastAsia"/>
        </w:rPr>
        <w:t>射线机放射源应由一人操作，一人监护；如发生卡源，应在采取防护措施后方可处理。Y射线检测时，每次放射源的运送与收回，应采用监测仪或警报器核实放射源是否处于正确位置。在高处进行γ射线检测时，应搭设工作平台，并采取防止放射源坠落的可靠措施；</w:t>
      </w:r>
    </w:p>
    <w:p>
      <w:pPr>
        <w:pStyle w:val="132"/>
      </w:pPr>
      <w:r>
        <w:rPr>
          <w:rFonts w:hint="eastAsia"/>
        </w:rPr>
        <w:t>X射线机控制箱和高压发生器均须可靠接地，以免漏电或感应电，使用电源电压不可超过额定值的±10%。</w:t>
      </w:r>
    </w:p>
    <w:p>
      <w:pPr>
        <w:pStyle w:val="105"/>
        <w:spacing w:before="156" w:after="156"/>
      </w:pPr>
      <w:bookmarkStart w:id="53" w:name="_Toc115101298"/>
      <w:r>
        <w:rPr>
          <w:rFonts w:hint="eastAsia"/>
        </w:rPr>
        <w:t>劳动场所</w:t>
      </w:r>
      <w:bookmarkEnd w:id="53"/>
    </w:p>
    <w:p>
      <w:pPr>
        <w:pStyle w:val="56"/>
        <w:ind w:firstLine="420"/>
      </w:pPr>
      <w:r>
        <w:rPr>
          <w:rFonts w:hint="eastAsia"/>
        </w:rPr>
        <w:t>应结合检验检测环境、设备、活动情况，做好防范措施并配备防护用品。在检验检测时，若以下类别同时存在，应采取相应防范措施并配备防护用品，见表1。</w:t>
      </w:r>
    </w:p>
    <w:p>
      <w:pPr>
        <w:pStyle w:val="112"/>
        <w:spacing w:before="156" w:after="156"/>
      </w:pPr>
      <w:r>
        <w:rPr>
          <w:rFonts w:hint="eastAsia"/>
        </w:rPr>
        <w:t>特种设备现场检验检测防范措施及防护用品要求</w:t>
      </w:r>
    </w:p>
    <w:tbl>
      <w:tblPr>
        <w:tblStyle w:val="26"/>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78"/>
        <w:gridCol w:w="1417"/>
        <w:gridCol w:w="3533"/>
        <w:gridCol w:w="38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序号</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类别</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防范措施</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防护用品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6" w:hRule="atLeast"/>
        </w:trPr>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1</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高空(≥2米）作业</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300" w:lineRule="exact"/>
              <w:rPr>
                <w:rFonts w:ascii="等线" w:hAnsi="等线" w:cs="宋体"/>
                <w:sz w:val="18"/>
                <w:szCs w:val="18"/>
              </w:rPr>
            </w:pPr>
            <w:r>
              <w:rPr>
                <w:rFonts w:hint="eastAsia" w:ascii="等线" w:hAnsi="等线" w:cs="宋体"/>
                <w:sz w:val="18"/>
                <w:szCs w:val="18"/>
              </w:rPr>
              <w:t>设置安全护栏或使用脚手架、轻便梯等设施。脚手架、轻便梯等设施应安全牢固（距离地面 2m 以上的脚手架应设置双层护栏及踢脚板），经确认合格并悬挂合格标识后方可使用。</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安全帽、护目镜、手套、劳保服、劳保鞋、安全带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9" w:hRule="atLeast"/>
        </w:trPr>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2</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野外检验检测</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至少由两名检验检测人员开展工作。检验检测人员应熟悉自 然地理环境、了解天气状况，做好虫蛇叮咬的风险防控，清理受检设备周边障碍物。</w:t>
            </w:r>
          </w:p>
          <w:p>
            <w:pPr>
              <w:adjustRightInd/>
              <w:spacing w:line="240" w:lineRule="auto"/>
              <w:rPr>
                <w:rFonts w:ascii="等线" w:hAnsi="等线" w:cs="宋体"/>
                <w:sz w:val="18"/>
                <w:szCs w:val="18"/>
              </w:rPr>
            </w:pPr>
            <w:r>
              <w:rPr>
                <w:rFonts w:hint="eastAsia" w:ascii="等线" w:hAnsi="等线" w:cs="宋体"/>
                <w:sz w:val="18"/>
                <w:szCs w:val="18"/>
              </w:rPr>
              <w:t>配备通讯设备。</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安全帽、护目镜、手套、劳保服、长筒劳保靴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vMerge w:val="restart"/>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3</w:t>
            </w:r>
          </w:p>
        </w:tc>
        <w:tc>
          <w:tcPr>
            <w:tcW w:w="1417" w:type="dxa"/>
            <w:vMerge w:val="restart"/>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受限空间检验检测</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应满足TSG 21-2016 8.2.3.1（4）的要求。</w:t>
            </w:r>
          </w:p>
        </w:tc>
        <w:tc>
          <w:tcPr>
            <w:tcW w:w="3828" w:type="dxa"/>
            <w:vMerge w:val="restart"/>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安全帽、护目镜、手套、劳保服、劳保鞋、安全绳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spacing w:line="240" w:lineRule="auto"/>
              <w:jc w:val="left"/>
              <w:rPr>
                <w:rFonts w:ascii="等线" w:hAnsi="等线" w:cs="宋体"/>
                <w:sz w:val="18"/>
                <w:szCs w:val="18"/>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spacing w:line="240" w:lineRule="auto"/>
              <w:jc w:val="left"/>
              <w:rPr>
                <w:rFonts w:ascii="等线" w:hAnsi="等线" w:cs="宋体"/>
                <w:sz w:val="18"/>
                <w:szCs w:val="18"/>
              </w:rPr>
            </w:pP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应满足TSG 21-2016 8.2.3.1（6）的要求。</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spacing w:line="240" w:lineRule="auto"/>
              <w:jc w:val="left"/>
              <w:rPr>
                <w:rFonts w:ascii="等线" w:hAnsi="等线"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spacing w:line="240" w:lineRule="auto"/>
              <w:jc w:val="left"/>
              <w:rPr>
                <w:rFonts w:ascii="等线" w:hAnsi="等线" w:cs="宋体"/>
                <w:sz w:val="18"/>
                <w:szCs w:val="18"/>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spacing w:line="240" w:lineRule="auto"/>
              <w:jc w:val="left"/>
              <w:rPr>
                <w:rFonts w:ascii="等线" w:hAnsi="等线" w:cs="宋体"/>
                <w:sz w:val="18"/>
                <w:szCs w:val="18"/>
              </w:rPr>
            </w:pP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检验检测时，设置专职受限空间监护人员。</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spacing w:line="240" w:lineRule="auto"/>
              <w:jc w:val="left"/>
              <w:rPr>
                <w:rFonts w:ascii="等线" w:hAnsi="等线"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spacing w:line="240" w:lineRule="auto"/>
              <w:jc w:val="left"/>
              <w:rPr>
                <w:rFonts w:ascii="等线" w:hAnsi="等线" w:cs="宋体"/>
                <w:sz w:val="18"/>
                <w:szCs w:val="18"/>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spacing w:line="240" w:lineRule="auto"/>
              <w:jc w:val="left"/>
              <w:rPr>
                <w:rFonts w:ascii="等线" w:hAnsi="等线" w:cs="宋体"/>
                <w:sz w:val="18"/>
                <w:szCs w:val="18"/>
              </w:rPr>
            </w:pP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300" w:lineRule="exact"/>
              <w:rPr>
                <w:rFonts w:ascii="等线" w:hAnsi="等线" w:cs="宋体"/>
                <w:sz w:val="18"/>
                <w:szCs w:val="18"/>
              </w:rPr>
            </w:pPr>
            <w:r>
              <w:rPr>
                <w:rFonts w:hint="eastAsia" w:ascii="等线" w:hAnsi="等线" w:cs="宋体"/>
                <w:sz w:val="18"/>
                <w:szCs w:val="18"/>
              </w:rPr>
              <w:t>检验检测时，照明电压应小于等于24V，在潮湿设备、狭小空间内作业电压应小于12V。引入受限空间内的电缆必须绝缘良好、接地可靠。</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spacing w:line="240" w:lineRule="auto"/>
              <w:jc w:val="left"/>
              <w:rPr>
                <w:rFonts w:ascii="等线" w:hAnsi="等线"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spacing w:line="240" w:lineRule="auto"/>
              <w:jc w:val="left"/>
              <w:rPr>
                <w:rFonts w:ascii="等线" w:hAnsi="等线" w:cs="宋体"/>
                <w:sz w:val="18"/>
                <w:szCs w:val="18"/>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spacing w:line="240" w:lineRule="auto"/>
              <w:jc w:val="left"/>
              <w:rPr>
                <w:rFonts w:ascii="等线" w:hAnsi="等线" w:cs="宋体"/>
                <w:sz w:val="18"/>
                <w:szCs w:val="18"/>
              </w:rPr>
            </w:pP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检验检测时，随时监测氧气含量。</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widowControl/>
              <w:adjustRightInd/>
              <w:spacing w:line="240" w:lineRule="auto"/>
              <w:jc w:val="left"/>
              <w:rPr>
                <w:rFonts w:ascii="等线" w:hAnsi="等线"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4</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进入盛装毒性或者窒息性介质设备内部进行检验检测</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应满足TSG 21-2016 8.2.3.1（5）的要求。</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 、劳保鞋、安全绳、过滤式呼吸防护装备、化学防护服（必要时）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5</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300" w:lineRule="exact"/>
              <w:rPr>
                <w:rFonts w:ascii="等线" w:hAnsi="等线" w:cs="宋体"/>
                <w:sz w:val="18"/>
                <w:szCs w:val="18"/>
              </w:rPr>
            </w:pPr>
            <w:r>
              <w:rPr>
                <w:rFonts w:hint="eastAsia" w:ascii="等线" w:hAnsi="等线" w:cs="宋体"/>
                <w:sz w:val="18"/>
                <w:szCs w:val="18"/>
              </w:rPr>
              <w:t>进入盛装易燃、易爆、助燃介质设备内部进行检验检测</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300" w:lineRule="exact"/>
              <w:rPr>
                <w:rFonts w:ascii="等线" w:hAnsi="等线" w:cs="宋体"/>
                <w:sz w:val="18"/>
                <w:szCs w:val="18"/>
              </w:rPr>
            </w:pPr>
            <w:r>
              <w:rPr>
                <w:rFonts w:hint="eastAsia" w:ascii="等线" w:hAnsi="等线" w:cs="宋体"/>
                <w:sz w:val="18"/>
                <w:szCs w:val="18"/>
              </w:rPr>
              <w:t>应满足TSG 21-2016 8.2.3.1（5）的要求。</w:t>
            </w:r>
          </w:p>
          <w:p>
            <w:pPr>
              <w:adjustRightInd/>
              <w:spacing w:line="300" w:lineRule="exact"/>
              <w:rPr>
                <w:rFonts w:ascii="等线" w:hAnsi="等线" w:cs="宋体"/>
                <w:sz w:val="18"/>
                <w:szCs w:val="18"/>
              </w:rPr>
            </w:pPr>
            <w:r>
              <w:rPr>
                <w:rFonts w:hint="eastAsia" w:ascii="等线" w:hAnsi="等线" w:cs="宋体"/>
                <w:sz w:val="18"/>
                <w:szCs w:val="18"/>
              </w:rPr>
              <w:t>检测时，应确认受检设备对地电阻满足安全要求，并使用可燃气体浓度探测仪测气。</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安全帽、护目镜、手套、劳保鞋、安全绳、防静电阻燃服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6</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在易燃易爆场所进行检验检测</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禁止携带火种、手机等进入，并采取必要的防静电措施。</w:t>
            </w:r>
          </w:p>
          <w:p>
            <w:pPr>
              <w:adjustRightInd/>
              <w:spacing w:line="240" w:lineRule="auto"/>
              <w:rPr>
                <w:rFonts w:ascii="等线" w:hAnsi="等线" w:cs="宋体"/>
                <w:sz w:val="18"/>
                <w:szCs w:val="18"/>
              </w:rPr>
            </w:pPr>
            <w:r>
              <w:rPr>
                <w:rFonts w:hint="eastAsia" w:ascii="等线" w:hAnsi="等线" w:cs="宋体"/>
                <w:sz w:val="18"/>
                <w:szCs w:val="18"/>
              </w:rPr>
              <w:t>机动车辆排气管应安装防火装置。</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安全帽、护目镜、手套、劳保鞋、防静电阻燃服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7</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高温或低温条件下运行设备的检验检测</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300" w:lineRule="exact"/>
              <w:rPr>
                <w:rFonts w:ascii="等线" w:hAnsi="等线" w:cs="宋体"/>
                <w:sz w:val="18"/>
                <w:szCs w:val="18"/>
              </w:rPr>
            </w:pPr>
            <w:r>
              <w:rPr>
                <w:rFonts w:hint="eastAsia" w:ascii="等线" w:hAnsi="等线" w:cs="宋体"/>
                <w:sz w:val="18"/>
                <w:szCs w:val="18"/>
              </w:rPr>
              <w:t>应满足TSG 21-2016 8.2.3.1（7）的要求。</w:t>
            </w:r>
          </w:p>
          <w:p>
            <w:pPr>
              <w:adjustRightInd/>
              <w:spacing w:line="300" w:lineRule="exact"/>
              <w:rPr>
                <w:rFonts w:ascii="等线" w:hAnsi="等线" w:cs="宋体"/>
                <w:sz w:val="18"/>
                <w:szCs w:val="18"/>
              </w:rPr>
            </w:pPr>
            <w:r>
              <w:rPr>
                <w:rFonts w:hint="eastAsia" w:ascii="等线" w:hAnsi="等线" w:cs="宋体"/>
                <w:sz w:val="18"/>
                <w:szCs w:val="18"/>
              </w:rPr>
              <w:t>如在运行状态下检验检测，应做好受检设备保护、检验检测仪器保护、检验检测人员保护。</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p>
          <w:p>
            <w:pPr>
              <w:adjustRightInd/>
              <w:spacing w:line="240" w:lineRule="auto"/>
              <w:rPr>
                <w:rFonts w:ascii="等线" w:hAnsi="等线" w:cs="宋体"/>
                <w:sz w:val="18"/>
                <w:szCs w:val="18"/>
              </w:rPr>
            </w:pPr>
            <w:r>
              <w:rPr>
                <w:rFonts w:hint="eastAsia" w:ascii="等线" w:hAnsi="等线" w:cs="宋体"/>
                <w:sz w:val="18"/>
                <w:szCs w:val="18"/>
              </w:rPr>
              <w:t>安全帽、护目镜、手套、劳保鞋、耐高温或防冻防护用具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8</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环境噪声</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300" w:lineRule="exact"/>
              <w:rPr>
                <w:rFonts w:ascii="等线" w:hAnsi="等线" w:cs="宋体"/>
                <w:sz w:val="18"/>
                <w:szCs w:val="18"/>
              </w:rPr>
            </w:pPr>
            <w:r>
              <w:rPr>
                <w:rFonts w:hint="eastAsia" w:ascii="等线" w:hAnsi="等线" w:cs="宋体"/>
                <w:sz w:val="18"/>
                <w:szCs w:val="18"/>
              </w:rPr>
              <w:t>可能产生危害时，检验检测过程中应对噪声进行测量。等效声级按照 GBZ  2.2计算。等效声级≥85dB 时，应佩戴护耳器。</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安全帽、护目镜、手套、劳保服、劳保鞋、护耳器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9</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粉尘</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300" w:lineRule="exact"/>
              <w:rPr>
                <w:rFonts w:ascii="等线" w:hAnsi="等线" w:cs="宋体"/>
                <w:sz w:val="18"/>
                <w:szCs w:val="18"/>
              </w:rPr>
            </w:pPr>
            <w:r>
              <w:rPr>
                <w:rFonts w:hint="eastAsia" w:ascii="等线" w:hAnsi="等线" w:cs="宋体"/>
                <w:sz w:val="18"/>
                <w:szCs w:val="18"/>
              </w:rPr>
              <w:t>检验检测区域内应注意通风，粉尘浓度应符合 GBZ 1 的相关要求。</w:t>
            </w:r>
          </w:p>
          <w:p>
            <w:pPr>
              <w:adjustRightInd/>
              <w:spacing w:line="300" w:lineRule="exact"/>
              <w:rPr>
                <w:rFonts w:ascii="等线" w:hAnsi="等线" w:cs="宋体"/>
                <w:sz w:val="18"/>
                <w:szCs w:val="18"/>
              </w:rPr>
            </w:pPr>
            <w:r>
              <w:rPr>
                <w:rFonts w:hint="eastAsia" w:ascii="等线" w:hAnsi="等线" w:cs="宋体"/>
                <w:sz w:val="18"/>
                <w:szCs w:val="18"/>
              </w:rPr>
              <w:t>避免明火。</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安全帽、护目镜、手套、劳保服、劳保鞋、防尘口罩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10</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电火花或强光</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避免直视。</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安全帽、防强光护目镜、手套、劳保服、劳保鞋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11</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能够转动或有可动部件设备的检验检测</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必须锁紧开关，固定牢靠。</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安全帽、护目镜、劳保服、劳保鞋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12</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移动式设备的检验检测</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采取有效措施防止设备移动。</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安全帽、护目镜、手套、劳保服、劳保鞋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13</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停机设备的检验检测</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切断与设备有关的电源，设置明显的用电安全警示标志。</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安全帽、护目镜、手套、劳保服、劳保鞋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14</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停电设备的检验检测</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采取防止触电的措施。</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安全帽、护目镜、绝缘手套、劳保服、劳保鞋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15</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耐压试验、气密试验</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设置隔离区，制定安全措施，防范泄露和爆炸。</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安全帽、护目镜、手套、劳保服、劳保鞋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16</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载荷试験</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设置隔离区，做好防倾覆措施。</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安全帽、护目镜、手套、劳保服、劳保鞋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17</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动火作业</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设置专职动火作业监护人员。</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安全帽、护目镜、手套、防静电阻燃服、劳保鞋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18</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错层实施检验检测</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检验检测人员应相互观察和呼应，避免垂直作业，在上方的检验检测人员应避免携带的检验检测仪器、工具和附属设施跌落。</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安全帽、护目镜、手套、劳保服、劳保鞋、安全带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19</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射线检测</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300" w:lineRule="exact"/>
              <w:rPr>
                <w:rFonts w:ascii="等线" w:hAnsi="等线" w:cs="宋体"/>
                <w:sz w:val="18"/>
                <w:szCs w:val="18"/>
              </w:rPr>
            </w:pPr>
            <w:r>
              <w:rPr>
                <w:rFonts w:hint="eastAsia" w:ascii="等线" w:hAnsi="等线" w:cs="宋体"/>
                <w:sz w:val="18"/>
                <w:szCs w:val="18"/>
              </w:rPr>
              <w:t>应按照 GB 18871、GBZ 117和GBZ  132的有关规定进行辐射安全防护。隔离出透照区，设置警示标志。</w:t>
            </w:r>
          </w:p>
          <w:p>
            <w:pPr>
              <w:adjustRightInd/>
              <w:spacing w:line="300" w:lineRule="exact"/>
              <w:rPr>
                <w:rFonts w:ascii="等线" w:hAnsi="等线" w:cs="宋体"/>
                <w:sz w:val="18"/>
                <w:szCs w:val="18"/>
              </w:rPr>
            </w:pPr>
            <w:r>
              <w:rPr>
                <w:rFonts w:hint="eastAsia" w:ascii="等线" w:hAnsi="等线" w:cs="宋体"/>
                <w:sz w:val="18"/>
                <w:szCs w:val="18"/>
              </w:rPr>
              <w:t>——进行现场Ｘ射线检测时，应按照GBZ 117 的规定划定控制区和管理区、设置警告标志。</w:t>
            </w:r>
          </w:p>
          <w:p>
            <w:pPr>
              <w:adjustRightInd/>
              <w:spacing w:line="300" w:lineRule="exact"/>
              <w:rPr>
                <w:rFonts w:ascii="等线" w:hAnsi="等线" w:cs="宋体"/>
                <w:sz w:val="18"/>
                <w:szCs w:val="18"/>
              </w:rPr>
            </w:pPr>
            <w:r>
              <w:rPr>
                <w:rFonts w:hint="eastAsia" w:ascii="等线" w:hAnsi="等线" w:cs="宋体"/>
                <w:sz w:val="18"/>
                <w:szCs w:val="18"/>
              </w:rPr>
              <w:t>——进行现场γ射线检测时，应按照GBZ 132的规定划定控制区和监督区、设置警告标志。</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安全帽、护目镜、手套、劳保服、防辐射服、劳保鞋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20</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磁粉检测</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去除磁粉时，应注意防止吸入。</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安全帽、护目镜、手套、劳保服、劳保鞋、耳塞、防尘口罩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21</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渗透检测</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配备可燃、有毒气体检测仪测定气体含量。</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安全帽、护目镜、手套、劳保服、劳保鞋、过滤式呼吸防护装备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22</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涡流检测</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采取防止触电的措施。</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安全帽、护目镜、绝缘手套、劳保服、劳保鞋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23</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漏磁检测</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不应携带磁性材料物体。</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安全帽、护目镜、绝缘手套、劳保服、劳保鞋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24</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理化试验现场检测</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应有更衣、喷淋等设施和中毒受伤急救设备、药品。</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安全帽、护目镜、手套、劳保服、劳保鞋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57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jc w:val="center"/>
              <w:rPr>
                <w:rFonts w:ascii="等线" w:hAnsi="等线" w:cs="宋体"/>
                <w:sz w:val="18"/>
                <w:szCs w:val="18"/>
              </w:rPr>
            </w:pPr>
            <w:r>
              <w:rPr>
                <w:rFonts w:hint="eastAsia" w:ascii="等线" w:hAnsi="等线" w:cs="宋体"/>
                <w:sz w:val="18"/>
                <w:szCs w:val="18"/>
              </w:rPr>
              <w:t>25</w:t>
            </w:r>
          </w:p>
        </w:tc>
        <w:tc>
          <w:tcPr>
            <w:tcW w:w="1417"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使用化学药剂</w:t>
            </w:r>
          </w:p>
        </w:tc>
        <w:tc>
          <w:tcPr>
            <w:tcW w:w="3533"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应有更衣、喷淋等设施和中毒受伤急救设备、药品。</w:t>
            </w:r>
          </w:p>
        </w:tc>
        <w:tc>
          <w:tcPr>
            <w:tcW w:w="3828" w:type="dxa"/>
            <w:tcBorders>
              <w:top w:val="single" w:color="000000" w:sz="4" w:space="0"/>
              <w:left w:val="single" w:color="000000" w:sz="4" w:space="0"/>
              <w:bottom w:val="single" w:color="000000" w:sz="4" w:space="0"/>
              <w:right w:val="single" w:color="000000" w:sz="4" w:space="0"/>
            </w:tcBorders>
            <w:vAlign w:val="center"/>
          </w:tcPr>
          <w:p>
            <w:pPr>
              <w:adjustRightInd/>
              <w:spacing w:line="240" w:lineRule="auto"/>
              <w:rPr>
                <w:rFonts w:ascii="等线" w:hAnsi="等线" w:cs="宋体"/>
                <w:sz w:val="18"/>
                <w:szCs w:val="18"/>
              </w:rPr>
            </w:pPr>
            <w:r>
              <w:rPr>
                <w:rFonts w:hint="eastAsia" w:ascii="等线" w:hAnsi="等线" w:cs="宋体"/>
                <w:sz w:val="18"/>
                <w:szCs w:val="18"/>
              </w:rPr>
              <w:t>护目镜、防腐蚀手套、劳保服、</w:t>
            </w:r>
          </w:p>
          <w:p>
            <w:pPr>
              <w:adjustRightInd/>
              <w:spacing w:line="240" w:lineRule="auto"/>
              <w:rPr>
                <w:rFonts w:ascii="等线" w:hAnsi="等线" w:cs="宋体"/>
                <w:sz w:val="18"/>
                <w:szCs w:val="18"/>
              </w:rPr>
            </w:pPr>
            <w:r>
              <w:rPr>
                <w:rFonts w:hint="eastAsia" w:ascii="等线" w:hAnsi="等线" w:cs="宋体"/>
                <w:sz w:val="18"/>
                <w:szCs w:val="18"/>
              </w:rPr>
              <w:t>劳保鞋</w:t>
            </w:r>
          </w:p>
        </w:tc>
      </w:tr>
    </w:tbl>
    <w:p>
      <w:pPr>
        <w:pStyle w:val="104"/>
        <w:spacing w:before="312" w:after="312"/>
      </w:pPr>
      <w:bookmarkStart w:id="54" w:name="_Toc115101299"/>
      <w:r>
        <w:rPr>
          <w:rFonts w:hint="eastAsia"/>
        </w:rPr>
        <w:t>职业卫生</w:t>
      </w:r>
      <w:bookmarkEnd w:id="54"/>
    </w:p>
    <w:p>
      <w:pPr>
        <w:pStyle w:val="162"/>
      </w:pPr>
      <w:r>
        <w:rPr>
          <w:rFonts w:hint="eastAsia"/>
        </w:rPr>
        <w:t>检验检测人员应具有完全民事能力，持续满足相关作业的健康要求。</w:t>
      </w:r>
    </w:p>
    <w:p>
      <w:pPr>
        <w:pStyle w:val="162"/>
      </w:pPr>
      <w:r>
        <w:rPr>
          <w:rFonts w:hint="eastAsia"/>
        </w:rPr>
        <w:t>单位应每年定期组织对检验检测人员体检。</w:t>
      </w:r>
    </w:p>
    <w:p>
      <w:pPr>
        <w:pStyle w:val="162"/>
      </w:pPr>
      <w:r>
        <w:rPr>
          <w:rFonts w:hint="eastAsia"/>
        </w:rPr>
        <w:t>体检项目应满足GBZ 188的要求，并能检岀潜在职业危害。体检时应重点检査：</w:t>
      </w:r>
    </w:p>
    <w:p>
      <w:pPr>
        <w:pStyle w:val="132"/>
      </w:pPr>
      <w:r>
        <w:rPr>
          <w:rFonts w:hint="eastAsia"/>
        </w:rPr>
        <w:t>直接受到射线辐射人员的身体部位；</w:t>
      </w:r>
    </w:p>
    <w:p>
      <w:pPr>
        <w:pStyle w:val="132"/>
      </w:pPr>
      <w:r>
        <w:rPr>
          <w:rFonts w:hint="eastAsia"/>
        </w:rPr>
        <w:t>从事磁粉检测人员的肺部和眼部：</w:t>
      </w:r>
    </w:p>
    <w:p>
      <w:pPr>
        <w:pStyle w:val="132"/>
      </w:pPr>
      <w:r>
        <w:rPr>
          <w:rFonts w:hint="eastAsia"/>
        </w:rPr>
        <w:t>从事渗透检测人员的血液；</w:t>
      </w:r>
    </w:p>
    <w:p>
      <w:pPr>
        <w:pStyle w:val="132"/>
      </w:pPr>
      <w:r>
        <w:rPr>
          <w:rFonts w:hint="eastAsia"/>
        </w:rPr>
        <w:t>在噪声环境下工作人员的听力。</w:t>
      </w:r>
    </w:p>
    <w:p>
      <w:pPr>
        <w:pStyle w:val="162"/>
      </w:pPr>
      <w:r>
        <w:rPr>
          <w:rFonts w:hint="eastAsia"/>
        </w:rPr>
        <w:t>检验检测人员体检结果表明不能从事检验检测时，应调整岗位。</w:t>
      </w:r>
    </w:p>
    <w:p>
      <w:pPr>
        <w:pStyle w:val="162"/>
      </w:pPr>
      <w:r>
        <w:rPr>
          <w:rFonts w:hint="eastAsia"/>
        </w:rPr>
        <w:t>单位应建立长期从事射线检测人员的健康档案，应包括以下内容：</w:t>
      </w:r>
    </w:p>
    <w:p>
      <w:pPr>
        <w:pStyle w:val="132"/>
      </w:pPr>
      <w:r>
        <w:rPr>
          <w:rFonts w:hint="eastAsia"/>
        </w:rPr>
        <w:t>从事射线和/或放射性同位素的工种、工龄及剂量；</w:t>
      </w:r>
    </w:p>
    <w:p>
      <w:pPr>
        <w:pStyle w:val="132"/>
      </w:pPr>
      <w:r>
        <w:rPr>
          <w:rFonts w:hint="eastAsia"/>
        </w:rPr>
        <w:t>对射线检测工作的适应情况；</w:t>
      </w:r>
    </w:p>
    <w:p>
      <w:pPr>
        <w:pStyle w:val="132"/>
      </w:pPr>
      <w:r>
        <w:rPr>
          <w:rFonts w:hint="eastAsia"/>
        </w:rPr>
        <w:t>从事射线检测工作后，患过何种疾病及治疗情况；</w:t>
      </w:r>
    </w:p>
    <w:p>
      <w:pPr>
        <w:pStyle w:val="132"/>
      </w:pPr>
      <w:r>
        <w:rPr>
          <w:rFonts w:hint="eastAsia"/>
        </w:rPr>
        <w:t>有无受过医疗照射、过量照射、应急照射、事故照射等情况；</w:t>
      </w:r>
    </w:p>
    <w:p>
      <w:pPr>
        <w:pStyle w:val="132"/>
      </w:pPr>
      <w:r>
        <w:rPr>
          <w:rFonts w:hint="eastAsia"/>
        </w:rPr>
        <w:t>就业后至当次检査累积受照剂量当量。</w:t>
      </w:r>
    </w:p>
    <w:p>
      <w:pPr>
        <w:pStyle w:val="104"/>
        <w:spacing w:before="312" w:after="312"/>
      </w:pPr>
      <w:bookmarkStart w:id="55" w:name="_Toc115101300"/>
      <w:r>
        <w:rPr>
          <w:rFonts w:hint="eastAsia"/>
        </w:rPr>
        <w:t>安全培训</w:t>
      </w:r>
      <w:bookmarkEnd w:id="55"/>
    </w:p>
    <w:p>
      <w:pPr>
        <w:pStyle w:val="162"/>
      </w:pPr>
      <w:r>
        <w:rPr>
          <w:rFonts w:hint="eastAsia"/>
        </w:rPr>
        <w:t>单位每年至少组织一次检验检测人员的安全培训，各部门每季度至少组织一次部门内人员安全培训。</w:t>
      </w:r>
    </w:p>
    <w:p>
      <w:pPr>
        <w:pStyle w:val="162"/>
      </w:pPr>
      <w:r>
        <w:rPr>
          <w:rFonts w:hint="eastAsia"/>
        </w:rPr>
        <w:t>检验检测人员应定期接受职业健康和安全培训，培训内容至少包括法律法规、安全制度、应急救援、劳动保护相关规定和要求，经考核合格后上岗。</w:t>
      </w:r>
    </w:p>
    <w:p>
      <w:pPr>
        <w:pStyle w:val="162"/>
      </w:pPr>
      <w:r>
        <w:rPr>
          <w:rFonts w:hint="eastAsia"/>
        </w:rPr>
        <w:t>新入职的检验检测人员上岗前必须接受单位内部三级安全培训，经考核合格后上岗。</w:t>
      </w:r>
    </w:p>
    <w:p>
      <w:pPr>
        <w:pStyle w:val="162"/>
      </w:pPr>
      <w:r>
        <w:rPr>
          <w:rFonts w:hint="eastAsia"/>
        </w:rPr>
        <w:t>培训方式可采取专题讲座、专题会议、专家授课、观看安全警示录像片、参观学习、交流经验等形式进行。</w:t>
      </w:r>
    </w:p>
    <w:p>
      <w:pPr>
        <w:pStyle w:val="104"/>
        <w:spacing w:before="312" w:after="312"/>
      </w:pPr>
      <w:bookmarkStart w:id="56" w:name="_Toc115101301"/>
      <w:r>
        <w:rPr>
          <w:rFonts w:hint="eastAsia"/>
        </w:rPr>
        <w:t>女职工保护</w:t>
      </w:r>
      <w:bookmarkEnd w:id="56"/>
    </w:p>
    <w:p>
      <w:pPr>
        <w:pStyle w:val="162"/>
      </w:pPr>
      <w:r>
        <w:rPr>
          <w:rFonts w:hint="eastAsia"/>
        </w:rPr>
        <w:t>女职工的劳动保护应遵循相关法规的规定，并应满足以下要求：</w:t>
      </w:r>
    </w:p>
    <w:p>
      <w:pPr>
        <w:pStyle w:val="132"/>
      </w:pPr>
      <w:r>
        <w:rPr>
          <w:rFonts w:hint="eastAsia"/>
        </w:rPr>
        <w:t>不应安排怀孕女职工、哺乳期女职工从事射线检测、渗透检测工作，以及可能接触有害有毒化学品的检测工作；</w:t>
      </w:r>
    </w:p>
    <w:p>
      <w:pPr>
        <w:pStyle w:val="132"/>
      </w:pPr>
      <w:r>
        <w:rPr>
          <w:rFonts w:hint="eastAsia"/>
        </w:rPr>
        <w:t>不应安排怀孕女职工、哺乳期女职工从事户外的超声、磁粉项目的检测工作；</w:t>
      </w:r>
    </w:p>
    <w:p>
      <w:pPr>
        <w:pStyle w:val="162"/>
      </w:pPr>
      <w:r>
        <w:rPr>
          <w:rFonts w:hint="eastAsia"/>
        </w:rPr>
        <w:t>女职工生理期时，如提出调整现场检验检测工作时间，单位宜给予安排。</w:t>
      </w:r>
    </w:p>
    <w:bookmarkEnd w:id="25"/>
    <w:p>
      <w:pPr>
        <w:pStyle w:val="162"/>
        <w:sectPr>
          <w:pgSz w:w="11906" w:h="16838"/>
          <w:pgMar w:top="1871" w:right="1134" w:bottom="1134" w:left="1134" w:header="1418" w:footer="1134" w:gutter="284"/>
          <w:pgNumType w:start="1"/>
          <w:cols w:space="425" w:num="1"/>
          <w:formProt w:val="0"/>
          <w:docGrid w:type="lines" w:linePitch="312" w:charSpace="0"/>
        </w:sectPr>
      </w:pPr>
      <w:bookmarkStart w:id="57" w:name="BookMark6"/>
    </w:p>
    <w:p>
      <w:pPr>
        <w:pStyle w:val="63"/>
        <w:spacing w:before="124" w:after="156"/>
      </w:pPr>
      <w:bookmarkStart w:id="58" w:name="_Toc115101302"/>
      <w:r>
        <w:rPr>
          <w:rFonts w:hint="eastAsia"/>
          <w:spacing w:val="105"/>
        </w:rPr>
        <w:t>参考文</w:t>
      </w:r>
      <w:r>
        <w:rPr>
          <w:rFonts w:hint="eastAsia"/>
        </w:rPr>
        <w:t>献</w:t>
      </w:r>
      <w:bookmarkEnd w:id="58"/>
    </w:p>
    <w:p>
      <w:pPr>
        <w:pStyle w:val="56"/>
        <w:ind w:firstLine="420"/>
      </w:pPr>
      <w:r>
        <w:rPr>
          <w:rFonts w:hint="eastAsia"/>
        </w:rPr>
        <w:t>[1]  中华人民共和国特种设备安全法（中华人民共和国主席令第4号）</w:t>
      </w:r>
    </w:p>
    <w:p>
      <w:pPr>
        <w:pStyle w:val="56"/>
        <w:ind w:firstLine="420"/>
      </w:pPr>
      <w:r>
        <w:rPr>
          <w:rFonts w:hint="eastAsia"/>
        </w:rPr>
        <w:t>[2]  特种设备安全监察条例（中华人民共和国国务院令第549号）</w:t>
      </w:r>
    </w:p>
    <w:p>
      <w:pPr>
        <w:pStyle w:val="56"/>
        <w:ind w:firstLine="420"/>
      </w:pPr>
      <w:r>
        <w:rPr>
          <w:rFonts w:hint="eastAsia"/>
        </w:rPr>
        <w:t>[3]  用人单位劳动防护用品管理规范（安监总厅安健〔2015〕124号）</w:t>
      </w:r>
    </w:p>
    <w:p>
      <w:pPr>
        <w:pStyle w:val="56"/>
        <w:ind w:firstLine="420"/>
      </w:pPr>
      <w:r>
        <w:rPr>
          <w:rFonts w:hint="eastAsia"/>
        </w:rPr>
        <w:t>[4]  女职工劳动保护特别规定（中华人民共和国国务院令第619号）</w:t>
      </w:r>
    </w:p>
    <w:p>
      <w:pPr>
        <w:pStyle w:val="56"/>
        <w:ind w:firstLine="420"/>
      </w:pPr>
    </w:p>
    <w:bookmarkEnd w:id="57"/>
    <w:p>
      <w:pPr>
        <w:pStyle w:val="56"/>
        <w:ind w:firstLine="0" w:firstLineChars="0"/>
        <w:jc w:val="center"/>
      </w:pPr>
      <w:bookmarkStart w:id="59" w:name="BookMark8"/>
      <w:r>
        <w:drawing>
          <wp:inline distT="0" distB="0" distL="0" distR="0">
            <wp:extent cx="1485900" cy="317500"/>
            <wp:effectExtent l="0" t="0" r="0" b="6350"/>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4"/>
                    <a:stretch>
                      <a:fillRect/>
                    </a:stretch>
                  </pic:blipFill>
                  <pic:spPr>
                    <a:xfrm>
                      <a:off x="0" y="0"/>
                      <a:ext cx="1485900" cy="317500"/>
                    </a:xfrm>
                    <a:prstGeom prst="rect">
                      <a:avLst/>
                    </a:prstGeom>
                  </pic:spPr>
                </pic:pic>
              </a:graphicData>
            </a:graphic>
          </wp:inline>
        </w:drawing>
      </w:r>
      <w:bookmarkEnd w:id="59"/>
    </w:p>
    <w:sectPr>
      <w:pgSz w:w="11906" w:h="16838"/>
      <w:pgMar w:top="1871"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13/T XXXXX—XXXX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pPr>
    <w:r>
      <w:fldChar w:fldCharType="begin"/>
    </w:r>
    <w:r>
      <w:instrText xml:space="preserve"> STYLEREF  标准文件_文件编号  \* MERGEFORMAT </w:instrText>
    </w:r>
    <w:r>
      <w:fldChar w:fldCharType="separate"/>
    </w:r>
    <w:r>
      <w:t>DB 13/T XXXXX—XXXX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1" w:cryptProviderType="rsaFull" w:cryptAlgorithmClass="hash" w:cryptAlgorithmType="typeAny" w:cryptAlgorithmSid="4" w:cryptSpinCount="100000" w:hash="1J65MKP6hTGvEWOdD9BDsIkkcj4=" w:salt="6X2Rf9j5PwLLsEZoQXnMNQ=="/>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E2NjcwOWQ0YzEyNWJjMTljMGU2NDIyOWY0ZjVkZWYifQ=="/>
  </w:docVars>
  <w:rsids>
    <w:rsidRoot w:val="003B1DD3"/>
    <w:rsid w:val="0000040A"/>
    <w:rsid w:val="00000A94"/>
    <w:rsid w:val="00001972"/>
    <w:rsid w:val="00001D9A"/>
    <w:rsid w:val="00007B3A"/>
    <w:rsid w:val="000107E0"/>
    <w:rsid w:val="00011FDE"/>
    <w:rsid w:val="00012FFD"/>
    <w:rsid w:val="00014162"/>
    <w:rsid w:val="00014340"/>
    <w:rsid w:val="00014938"/>
    <w:rsid w:val="00016A9C"/>
    <w:rsid w:val="00022184"/>
    <w:rsid w:val="00022762"/>
    <w:rsid w:val="000238E0"/>
    <w:rsid w:val="000249DB"/>
    <w:rsid w:val="0002595E"/>
    <w:rsid w:val="000303C3"/>
    <w:rsid w:val="000331D3"/>
    <w:rsid w:val="000346A5"/>
    <w:rsid w:val="000359C3"/>
    <w:rsid w:val="00035A7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41114"/>
    <w:rsid w:val="00142969"/>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E7FEA"/>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085"/>
    <w:rsid w:val="00337162"/>
    <w:rsid w:val="0034194F"/>
    <w:rsid w:val="00344605"/>
    <w:rsid w:val="003474AA"/>
    <w:rsid w:val="00350D1D"/>
    <w:rsid w:val="00352C83"/>
    <w:rsid w:val="003615D2"/>
    <w:rsid w:val="0036368A"/>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B09AD"/>
    <w:rsid w:val="003B1DD3"/>
    <w:rsid w:val="003B1F18"/>
    <w:rsid w:val="003B5BF0"/>
    <w:rsid w:val="003B60BF"/>
    <w:rsid w:val="003B6BE3"/>
    <w:rsid w:val="003C010C"/>
    <w:rsid w:val="003C0A6C"/>
    <w:rsid w:val="003C14F8"/>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049C"/>
    <w:rsid w:val="00541853"/>
    <w:rsid w:val="00543BDA"/>
    <w:rsid w:val="005441CC"/>
    <w:rsid w:val="005473DB"/>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6160"/>
    <w:rsid w:val="005966E2"/>
    <w:rsid w:val="00597007"/>
    <w:rsid w:val="005A0966"/>
    <w:rsid w:val="005A11B7"/>
    <w:rsid w:val="005A221C"/>
    <w:rsid w:val="005A260B"/>
    <w:rsid w:val="005A4A1B"/>
    <w:rsid w:val="005A7830"/>
    <w:rsid w:val="005A7FCE"/>
    <w:rsid w:val="005B0F3F"/>
    <w:rsid w:val="005B4903"/>
    <w:rsid w:val="005B4C4A"/>
    <w:rsid w:val="005B51CE"/>
    <w:rsid w:val="005B5885"/>
    <w:rsid w:val="005B5CD7"/>
    <w:rsid w:val="005B6CF6"/>
    <w:rsid w:val="005B7422"/>
    <w:rsid w:val="005C29B8"/>
    <w:rsid w:val="005C467E"/>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3FF1"/>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603CE"/>
    <w:rsid w:val="008620FC"/>
    <w:rsid w:val="008627A5"/>
    <w:rsid w:val="00863E05"/>
    <w:rsid w:val="00865ACA"/>
    <w:rsid w:val="00865D28"/>
    <w:rsid w:val="00865F85"/>
    <w:rsid w:val="00867C10"/>
    <w:rsid w:val="00870439"/>
    <w:rsid w:val="00870DA1"/>
    <w:rsid w:val="00876DFC"/>
    <w:rsid w:val="00883F93"/>
    <w:rsid w:val="00884DB3"/>
    <w:rsid w:val="00885A9D"/>
    <w:rsid w:val="008864F6"/>
    <w:rsid w:val="0089049D"/>
    <w:rsid w:val="008928C9"/>
    <w:rsid w:val="008938DC"/>
    <w:rsid w:val="00893FD1"/>
    <w:rsid w:val="00894836"/>
    <w:rsid w:val="00895172"/>
    <w:rsid w:val="00895680"/>
    <w:rsid w:val="00896DFF"/>
    <w:rsid w:val="0089762C"/>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37F7"/>
    <w:rsid w:val="00AD4126"/>
    <w:rsid w:val="00AD421C"/>
    <w:rsid w:val="00AD44FA"/>
    <w:rsid w:val="00AE070A"/>
    <w:rsid w:val="00AE101C"/>
    <w:rsid w:val="00AE37E5"/>
    <w:rsid w:val="00AE5EB4"/>
    <w:rsid w:val="00AF00E6"/>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BEE"/>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06F3A"/>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194"/>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4785"/>
    <w:rsid w:val="00F56511"/>
    <w:rsid w:val="00F5672C"/>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D2F"/>
    <w:rsid w:val="00FF3E7D"/>
    <w:rsid w:val="00FF5B99"/>
    <w:rsid w:val="00FF730C"/>
    <w:rsid w:val="00FF73F4"/>
    <w:rsid w:val="00FF7CE4"/>
    <w:rsid w:val="00FF7E39"/>
    <w:rsid w:val="5916679D"/>
    <w:rsid w:val="7BF84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0" w:name="toc 8"/>
    <w:lsdException w:uiPriority="0" w:name="toc 9"/>
    <w:lsdException w:unhideWhenUsed="0" w:uiPriority="0" w:semiHidden="0" w:name="Normal Indent"/>
    <w:lsdException w:unhideWhenUsed="0" w:uiPriority="0"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35" w:name="caption"/>
    <w:lsdException w:unhideWhenUsed="0" w:uiPriority="0" w:name="table of figures"/>
    <w:lsdException w:uiPriority="99" w:name="envelope address"/>
    <w:lsdException w:uiPriority="99" w:name="envelope return"/>
    <w:lsdException w:unhideWhenUsed="0" w:uiPriority="0"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uiPriority w:val="1"/>
  </w:style>
  <w:style w:type="table" w:default="1" w:styleId="26">
    <w:name w:val="Normal Table"/>
    <w:semiHidden/>
    <w:unhideWhenUsed/>
    <w:uiPriority w:val="99"/>
    <w:tblPr>
      <w:tblCellMar>
        <w:top w:w="0" w:type="dxa"/>
        <w:left w:w="108" w:type="dxa"/>
        <w:bottom w:w="0" w:type="dxa"/>
        <w:right w:w="108" w:type="dxa"/>
      </w:tblCellMar>
    </w:tblPr>
  </w:style>
  <w:style w:type="paragraph" w:styleId="11">
    <w:name w:val="toc 7"/>
    <w:basedOn w:val="1"/>
    <w:next w:val="1"/>
    <w:unhideWhenUsed/>
    <w:uiPriority w:val="39"/>
    <w:pPr>
      <w:tabs>
        <w:tab w:val="right" w:leader="dot" w:pos="9344"/>
      </w:tabs>
      <w:spacing w:line="300" w:lineRule="exact"/>
      <w:ind w:left="1259"/>
    </w:pPr>
    <w:rPr>
      <w:rFonts w:ascii="宋体"/>
    </w:rPr>
  </w:style>
  <w:style w:type="paragraph" w:styleId="12">
    <w:name w:val="Normal Indent"/>
    <w:basedOn w:val="1"/>
    <w:uiPriority w:val="0"/>
    <w:pPr>
      <w:ind w:firstLine="420"/>
    </w:pPr>
  </w:style>
  <w:style w:type="paragraph" w:styleId="13">
    <w:name w:val="Body Text"/>
    <w:basedOn w:val="1"/>
    <w:link w:val="86"/>
    <w:uiPriority w:val="0"/>
    <w:pPr>
      <w:spacing w:after="120"/>
    </w:pPr>
  </w:style>
  <w:style w:type="paragraph" w:styleId="14">
    <w:name w:val="toc 5"/>
    <w:basedOn w:val="1"/>
    <w:next w:val="1"/>
    <w:unhideWhenUsed/>
    <w:uiPriority w:val="39"/>
    <w:pPr>
      <w:ind w:left="839"/>
    </w:pPr>
    <w:rPr>
      <w:rFonts w:ascii="宋体"/>
    </w:rPr>
  </w:style>
  <w:style w:type="paragraph" w:styleId="15">
    <w:name w:val="toc 3"/>
    <w:basedOn w:val="1"/>
    <w:next w:val="1"/>
    <w:unhideWhenUsed/>
    <w:uiPriority w:val="39"/>
    <w:pPr>
      <w:spacing w:line="300" w:lineRule="exact"/>
      <w:ind w:left="420"/>
    </w:pPr>
    <w:rPr>
      <w:rFonts w:ascii="宋体"/>
    </w:rPr>
  </w:style>
  <w:style w:type="paragraph" w:styleId="16">
    <w:name w:val="Balloon Text"/>
    <w:basedOn w:val="1"/>
    <w:link w:val="45"/>
    <w:semiHidden/>
    <w:unhideWhenUsed/>
    <w:uiPriority w:val="99"/>
    <w:rPr>
      <w:sz w:val="18"/>
      <w:szCs w:val="18"/>
    </w:rPr>
  </w:style>
  <w:style w:type="paragraph" w:styleId="17">
    <w:name w:val="footer"/>
    <w:basedOn w:val="1"/>
    <w:link w:val="44"/>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uiPriority w:val="99"/>
    <w:pPr>
      <w:tabs>
        <w:tab w:val="center" w:pos="4153"/>
        <w:tab w:val="right" w:pos="8306"/>
      </w:tabs>
      <w:adjustRightInd/>
      <w:snapToGrid w:val="0"/>
      <w:jc w:val="center"/>
    </w:pPr>
    <w:rPr>
      <w:sz w:val="18"/>
      <w:szCs w:val="18"/>
    </w:rPr>
  </w:style>
  <w:style w:type="paragraph" w:styleId="19">
    <w:name w:val="toc 1"/>
    <w:basedOn w:val="1"/>
    <w:next w:val="1"/>
    <w:unhideWhenUsed/>
    <w:uiPriority w:val="39"/>
    <w:rPr>
      <w:rFonts w:ascii="宋体"/>
    </w:rPr>
  </w:style>
  <w:style w:type="paragraph" w:styleId="20">
    <w:name w:val="toc 4"/>
    <w:basedOn w:val="1"/>
    <w:next w:val="1"/>
    <w:unhideWhenUsed/>
    <w:uiPriority w:val="39"/>
    <w:pPr>
      <w:tabs>
        <w:tab w:val="right" w:leader="dot" w:pos="9344"/>
      </w:tabs>
      <w:spacing w:line="300" w:lineRule="exact"/>
      <w:ind w:left="629"/>
    </w:pPr>
    <w:rPr>
      <w:rFonts w:ascii="宋体"/>
    </w:rPr>
  </w:style>
  <w:style w:type="paragraph" w:styleId="21">
    <w:name w:val="footnote text"/>
    <w:basedOn w:val="1"/>
    <w:next w:val="1"/>
    <w:link w:val="99"/>
    <w:semiHidden/>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uiPriority w:val="39"/>
    <w:pPr>
      <w:spacing w:line="300" w:lineRule="exact"/>
      <w:ind w:left="1049"/>
    </w:pPr>
    <w:rPr>
      <w:rFonts w:ascii="宋体"/>
    </w:rPr>
  </w:style>
  <w:style w:type="paragraph" w:styleId="23">
    <w:name w:val="table of figures"/>
    <w:basedOn w:val="1"/>
    <w:next w:val="1"/>
    <w:semiHidden/>
    <w:uiPriority w:val="0"/>
    <w:pPr>
      <w:adjustRightInd/>
      <w:spacing w:line="240" w:lineRule="auto"/>
      <w:jc w:val="left"/>
    </w:pPr>
    <w:rPr>
      <w:szCs w:val="24"/>
    </w:rPr>
  </w:style>
  <w:style w:type="paragraph" w:styleId="24">
    <w:name w:val="toc 2"/>
    <w:basedOn w:val="1"/>
    <w:next w:val="1"/>
    <w:unhideWhenUsed/>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uiPriority w:val="0"/>
    <w:rPr>
      <w:rFonts w:ascii="宋体" w:hAnsi="Times New Roman" w:eastAsia="宋体"/>
      <w:sz w:val="18"/>
    </w:rPr>
  </w:style>
  <w:style w:type="character" w:styleId="31">
    <w:name w:val="Emphasis"/>
    <w:qFormat/>
    <w:uiPriority w:val="20"/>
    <w:rPr>
      <w:i/>
      <w:iCs/>
    </w:rPr>
  </w:style>
  <w:style w:type="character" w:styleId="32">
    <w:name w:val="Hyperlink"/>
    <w:uiPriority w:val="99"/>
    <w:rPr>
      <w:rFonts w:ascii="宋体" w:hAnsi="Times New Roman" w:eastAsia="宋体"/>
      <w:color w:val="auto"/>
      <w:spacing w:val="0"/>
      <w:w w:val="100"/>
      <w:position w:val="0"/>
      <w:sz w:val="21"/>
      <w:u w:val="none"/>
      <w:vertAlign w:val="baseline"/>
    </w:rPr>
  </w:style>
  <w:style w:type="character" w:styleId="33">
    <w:name w:val="footnote reference"/>
    <w:semiHidden/>
    <w:uiPriority w:val="0"/>
    <w:rPr>
      <w:rFonts w:ascii="宋体" w:hAnsi="宋体" w:eastAsia="宋体" w:cs="Times New Roman"/>
      <w:spacing w:val="0"/>
      <w:sz w:val="18"/>
      <w:vertAlign w:val="superscript"/>
    </w:rPr>
  </w:style>
  <w:style w:type="character" w:customStyle="1" w:styleId="34">
    <w:name w:val="标题 1 字符"/>
    <w:link w:val="2"/>
    <w:uiPriority w:val="0"/>
    <w:rPr>
      <w:rFonts w:ascii="Times New Roman" w:hAnsi="Times New Roman" w:eastAsia="宋体" w:cs="Times New Roman"/>
      <w:b/>
      <w:bCs/>
      <w:kern w:val="44"/>
      <w:sz w:val="44"/>
      <w:szCs w:val="44"/>
    </w:rPr>
  </w:style>
  <w:style w:type="character" w:customStyle="1" w:styleId="35">
    <w:name w:val="标题 2 字符"/>
    <w:link w:val="3"/>
    <w:uiPriority w:val="0"/>
    <w:rPr>
      <w:rFonts w:ascii="Arial" w:hAnsi="Arial" w:eastAsia="黑体" w:cs="Times New Roman"/>
      <w:b/>
      <w:bCs/>
      <w:sz w:val="32"/>
      <w:szCs w:val="32"/>
    </w:rPr>
  </w:style>
  <w:style w:type="character" w:customStyle="1" w:styleId="36">
    <w:name w:val="标题 3 字符"/>
    <w:link w:val="4"/>
    <w:uiPriority w:val="0"/>
    <w:rPr>
      <w:rFonts w:ascii="Times New Roman" w:hAnsi="Times New Roman" w:eastAsia="宋体" w:cs="Times New Roman"/>
      <w:b/>
      <w:bCs/>
      <w:sz w:val="32"/>
      <w:szCs w:val="32"/>
    </w:rPr>
  </w:style>
  <w:style w:type="character" w:customStyle="1" w:styleId="37">
    <w:name w:val="标题 4 字符"/>
    <w:link w:val="5"/>
    <w:uiPriority w:val="0"/>
    <w:rPr>
      <w:rFonts w:ascii="Arial" w:hAnsi="Arial" w:eastAsia="黑体" w:cs="Times New Roman"/>
      <w:b/>
      <w:bCs/>
      <w:sz w:val="28"/>
      <w:szCs w:val="28"/>
    </w:rPr>
  </w:style>
  <w:style w:type="character" w:customStyle="1" w:styleId="38">
    <w:name w:val="标题 5 字符"/>
    <w:link w:val="6"/>
    <w:uiPriority w:val="0"/>
    <w:rPr>
      <w:rFonts w:ascii="Times New Roman" w:hAnsi="Times New Roman" w:eastAsia="宋体" w:cs="Times New Roman"/>
      <w:b/>
      <w:bCs/>
      <w:sz w:val="28"/>
      <w:szCs w:val="28"/>
    </w:rPr>
  </w:style>
  <w:style w:type="character" w:customStyle="1" w:styleId="39">
    <w:name w:val="标题 6 字符"/>
    <w:link w:val="7"/>
    <w:uiPriority w:val="0"/>
    <w:rPr>
      <w:rFonts w:ascii="Arial" w:hAnsi="Arial" w:eastAsia="黑体" w:cs="Times New Roman"/>
      <w:b/>
      <w:bCs/>
      <w:sz w:val="24"/>
      <w:szCs w:val="24"/>
    </w:rPr>
  </w:style>
  <w:style w:type="character" w:customStyle="1" w:styleId="40">
    <w:name w:val="标题 7 字符"/>
    <w:link w:val="8"/>
    <w:uiPriority w:val="0"/>
    <w:rPr>
      <w:rFonts w:ascii="Times New Roman" w:hAnsi="Times New Roman" w:eastAsia="宋体" w:cs="Times New Roman"/>
      <w:b/>
      <w:bCs/>
      <w:sz w:val="24"/>
      <w:szCs w:val="24"/>
    </w:rPr>
  </w:style>
  <w:style w:type="character" w:customStyle="1" w:styleId="41">
    <w:name w:val="标题 8 字符"/>
    <w:link w:val="9"/>
    <w:uiPriority w:val="0"/>
    <w:rPr>
      <w:rFonts w:ascii="Arial" w:hAnsi="Arial" w:eastAsia="黑体" w:cs="Times New Roman"/>
      <w:sz w:val="24"/>
      <w:szCs w:val="24"/>
    </w:rPr>
  </w:style>
  <w:style w:type="character" w:customStyle="1" w:styleId="42">
    <w:name w:val="标题 9 字符"/>
    <w:link w:val="10"/>
    <w:uiPriority w:val="0"/>
    <w:rPr>
      <w:rFonts w:ascii="Arial" w:hAnsi="Arial" w:eastAsia="黑体" w:cs="Times New Roman"/>
      <w:szCs w:val="21"/>
    </w:rPr>
  </w:style>
  <w:style w:type="character" w:customStyle="1" w:styleId="43">
    <w:name w:val="页眉 字符"/>
    <w:link w:val="18"/>
    <w:uiPriority w:val="99"/>
    <w:rPr>
      <w:rFonts w:ascii="Times New Roman" w:hAnsi="Times New Roman" w:eastAsia="宋体" w:cs="Times New Roman"/>
      <w:sz w:val="18"/>
      <w:szCs w:val="18"/>
    </w:rPr>
  </w:style>
  <w:style w:type="character" w:customStyle="1" w:styleId="44">
    <w:name w:val="页脚 字符"/>
    <w:link w:val="17"/>
    <w:uiPriority w:val="99"/>
    <w:rPr>
      <w:rFonts w:ascii="宋体" w:hAnsi="Times New Roman" w:eastAsia="宋体" w:cs="Times New Roman"/>
      <w:sz w:val="18"/>
      <w:szCs w:val="18"/>
    </w:rPr>
  </w:style>
  <w:style w:type="character" w:customStyle="1" w:styleId="45">
    <w:name w:val="批注框文本 字符"/>
    <w:link w:val="16"/>
    <w:semiHidden/>
    <w:uiPriority w:val="99"/>
    <w:rPr>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uiPriority w:val="29"/>
    <w:rPr>
      <w:i/>
      <w:iCs/>
      <w:color w:val="000000"/>
    </w:rPr>
  </w:style>
  <w:style w:type="character" w:customStyle="1" w:styleId="48">
    <w:name w:val="标题 字符"/>
    <w:link w:val="25"/>
    <w:uiPriority w:val="0"/>
    <w:rPr>
      <w:rFonts w:ascii="Arial" w:hAnsi="Arial" w:eastAsia="宋体" w:cs="Arial"/>
      <w:b/>
      <w:bCs/>
      <w:sz w:val="32"/>
      <w:szCs w:val="32"/>
    </w:rPr>
  </w:style>
  <w:style w:type="paragraph" w:customStyle="1" w:styleId="49">
    <w:name w:val="标准标志"/>
    <w:next w:val="1"/>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uiPriority w:val="0"/>
    <w:pPr>
      <w:ind w:left="227"/>
    </w:pPr>
    <w:rPr>
      <w:rFonts w:ascii="宋体" w:hAnsi="Times New Roman" w:eastAsia="宋体" w:cs="Times New Roman"/>
      <w:sz w:val="18"/>
      <w:lang w:val="en-US" w:eastAsia="zh-CN" w:bidi="ar-SA"/>
    </w:rPr>
  </w:style>
  <w:style w:type="paragraph" w:customStyle="1" w:styleId="52">
    <w:name w:val="标准文件_页脚奇数页"/>
    <w:uiPriority w:val="0"/>
    <w:pPr>
      <w:ind w:right="227"/>
      <w:jc w:val="right"/>
    </w:pPr>
    <w:rPr>
      <w:rFonts w:ascii="宋体" w:hAnsi="Times New Roman" w:eastAsia="宋体" w:cs="Times New Roman"/>
      <w:sz w:val="18"/>
      <w:lang w:val="en-US" w:eastAsia="zh-CN" w:bidi="ar-SA"/>
    </w:rPr>
  </w:style>
  <w:style w:type="paragraph" w:customStyle="1" w:styleId="53">
    <w:name w:val="标准书眉一"/>
    <w:uiPriority w:val="0"/>
    <w:pPr>
      <w:jc w:val="both"/>
    </w:pPr>
    <w:rPr>
      <w:rFonts w:ascii="Times New Roman" w:hAnsi="Times New Roman" w:eastAsia="宋体" w:cs="Times New Roman"/>
      <w:lang w:val="en-US" w:eastAsia="zh-CN" w:bidi="ar-SA"/>
    </w:rPr>
  </w:style>
  <w:style w:type="paragraph" w:customStyle="1" w:styleId="54">
    <w:name w:val="标准文件_ICS"/>
    <w:basedOn w:val="1"/>
    <w:uiPriority w:val="0"/>
    <w:pPr>
      <w:spacing w:line="0" w:lineRule="atLeast"/>
    </w:pPr>
    <w:rPr>
      <w:rFonts w:ascii="黑体" w:hAnsi="宋体" w:eastAsia="黑体"/>
    </w:rPr>
  </w:style>
  <w:style w:type="paragraph" w:customStyle="1" w:styleId="55">
    <w:name w:val="标准文件_标准正文"/>
    <w:basedOn w:val="1"/>
    <w:next w:val="56"/>
    <w:uiPriority w:val="0"/>
    <w:pPr>
      <w:snapToGrid w:val="0"/>
      <w:ind w:firstLine="200" w:firstLineChars="200"/>
    </w:pPr>
    <w:rPr>
      <w:kern w:val="0"/>
    </w:rPr>
  </w:style>
  <w:style w:type="paragraph" w:customStyle="1" w:styleId="56">
    <w:name w:val="标准文件_段"/>
    <w:link w:val="184"/>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uiPriority w:val="0"/>
    <w:pPr>
      <w:adjustRightInd/>
      <w:snapToGrid/>
      <w:ind w:firstLine="0" w:firstLineChars="0"/>
    </w:pPr>
    <w:rPr>
      <w:rFonts w:ascii="宋体" w:hAnsi="宋体"/>
      <w:kern w:val="2"/>
    </w:rPr>
  </w:style>
  <w:style w:type="paragraph" w:customStyle="1" w:styleId="58">
    <w:name w:val="标准文件_标准部门"/>
    <w:basedOn w:val="1"/>
    <w:uiPriority w:val="0"/>
    <w:pPr>
      <w:jc w:val="center"/>
    </w:pPr>
    <w:rPr>
      <w:rFonts w:ascii="黑体" w:eastAsia="黑体"/>
      <w:kern w:val="0"/>
      <w:sz w:val="44"/>
    </w:rPr>
  </w:style>
  <w:style w:type="paragraph" w:customStyle="1" w:styleId="59">
    <w:name w:val="标准文件_标准代替"/>
    <w:basedOn w:val="1"/>
    <w:next w:val="1"/>
    <w:uiPriority w:val="0"/>
    <w:pPr>
      <w:spacing w:line="310" w:lineRule="exact"/>
      <w:jc w:val="right"/>
    </w:pPr>
    <w:rPr>
      <w:rFonts w:ascii="宋体" w:hAnsi="宋体"/>
      <w:kern w:val="0"/>
    </w:rPr>
  </w:style>
  <w:style w:type="paragraph" w:customStyle="1" w:styleId="60">
    <w:name w:val="标准文件_标准名称标题"/>
    <w:basedOn w:val="1"/>
    <w:next w:val="1"/>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uiPriority w:val="0"/>
    <w:pPr>
      <w:jc w:val="left"/>
    </w:pPr>
  </w:style>
  <w:style w:type="paragraph" w:customStyle="1" w:styleId="63">
    <w:name w:val="标准文件_参考文献标题"/>
    <w:basedOn w:val="1"/>
    <w:next w:val="1"/>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64">
    <w:name w:val="标准文件_参考文献条目"/>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uiPriority w:val="0"/>
    <w:rPr>
      <w:rFonts w:ascii="黑体" w:eastAsia="黑体"/>
      <w:spacing w:val="0"/>
      <w:w w:val="100"/>
      <w:position w:val="3"/>
      <w:sz w:val="28"/>
    </w:rPr>
  </w:style>
  <w:style w:type="paragraph" w:customStyle="1" w:styleId="67">
    <w:name w:val="标准文件_方框数字列项"/>
    <w:basedOn w:val="56"/>
    <w:uiPriority w:val="0"/>
    <w:pPr>
      <w:numPr>
        <w:ilvl w:val="0"/>
        <w:numId w:val="3"/>
      </w:numPr>
      <w:ind w:firstLine="0" w:firstLineChars="0"/>
    </w:pPr>
  </w:style>
  <w:style w:type="paragraph" w:customStyle="1" w:styleId="68">
    <w:name w:val="标准文件_封面标准编号"/>
    <w:basedOn w:val="1"/>
    <w:next w:val="59"/>
    <w:uiPriority w:val="0"/>
    <w:pPr>
      <w:spacing w:line="310" w:lineRule="exact"/>
      <w:jc w:val="right"/>
    </w:pPr>
    <w:rPr>
      <w:rFonts w:ascii="黑体" w:eastAsia="黑体"/>
      <w:kern w:val="0"/>
      <w:sz w:val="28"/>
    </w:rPr>
  </w:style>
  <w:style w:type="paragraph" w:customStyle="1" w:styleId="69">
    <w:name w:val="标准文件_封面标准分类号"/>
    <w:basedOn w:val="1"/>
    <w:uiPriority w:val="0"/>
    <w:rPr>
      <w:rFonts w:ascii="黑体" w:eastAsia="黑体"/>
      <w:b/>
      <w:kern w:val="0"/>
      <w:sz w:val="28"/>
    </w:rPr>
  </w:style>
  <w:style w:type="paragraph" w:customStyle="1" w:styleId="70">
    <w:name w:val="标准文件_封面标准名称"/>
    <w:basedOn w:val="1"/>
    <w:uiPriority w:val="0"/>
    <w:pPr>
      <w:spacing w:line="240" w:lineRule="auto"/>
      <w:jc w:val="center"/>
    </w:pPr>
    <w:rPr>
      <w:rFonts w:ascii="黑体" w:eastAsia="黑体"/>
      <w:kern w:val="0"/>
      <w:sz w:val="52"/>
    </w:rPr>
  </w:style>
  <w:style w:type="paragraph" w:customStyle="1" w:styleId="71">
    <w:name w:val="标准文件_封面标准英文名称"/>
    <w:basedOn w:val="1"/>
    <w:uiPriority w:val="0"/>
    <w:pPr>
      <w:spacing w:line="240" w:lineRule="auto"/>
      <w:jc w:val="center"/>
    </w:pPr>
    <w:rPr>
      <w:rFonts w:ascii="黑体" w:eastAsia="黑体"/>
      <w:b/>
      <w:sz w:val="28"/>
    </w:rPr>
  </w:style>
  <w:style w:type="paragraph" w:customStyle="1" w:styleId="72">
    <w:name w:val="标准文件_封面发布日期"/>
    <w:basedOn w:val="1"/>
    <w:uiPriority w:val="0"/>
    <w:pPr>
      <w:spacing w:line="310" w:lineRule="exact"/>
    </w:pPr>
    <w:rPr>
      <w:rFonts w:ascii="黑体" w:eastAsia="黑体"/>
      <w:kern w:val="0"/>
      <w:sz w:val="28"/>
    </w:rPr>
  </w:style>
  <w:style w:type="paragraph" w:customStyle="1" w:styleId="73">
    <w:name w:val="标准文件_封面密级"/>
    <w:basedOn w:val="1"/>
    <w:uiPriority w:val="0"/>
    <w:rPr>
      <w:rFonts w:eastAsia="黑体"/>
      <w:sz w:val="32"/>
    </w:rPr>
  </w:style>
  <w:style w:type="paragraph" w:customStyle="1" w:styleId="74">
    <w:name w:val="标准文件_封面实施日期"/>
    <w:basedOn w:val="1"/>
    <w:uiPriority w:val="0"/>
    <w:pPr>
      <w:spacing w:line="310" w:lineRule="exact"/>
      <w:jc w:val="right"/>
    </w:pPr>
    <w:rPr>
      <w:rFonts w:ascii="黑体" w:eastAsia="黑体"/>
      <w:sz w:val="28"/>
    </w:rPr>
  </w:style>
  <w:style w:type="paragraph" w:customStyle="1" w:styleId="75">
    <w:name w:val="标准文件_封面抬头"/>
    <w:basedOn w:val="56"/>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84">
    <w:name w:val="标准文件_附录五级条标题"/>
    <w:next w:val="56"/>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uiPriority w:val="0"/>
    <w:rPr>
      <w:rFonts w:ascii="Times New Roman" w:hAnsi="Times New Roman" w:eastAsia="宋体" w:cs="Times New Roman"/>
      <w:szCs w:val="20"/>
    </w:rPr>
  </w:style>
  <w:style w:type="paragraph" w:customStyle="1" w:styleId="87">
    <w:name w:val="标准文件_附录章标题"/>
    <w:next w:val="56"/>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uiPriority w:val="0"/>
    <w:pPr>
      <w:ind w:left="488" w:leftChars="200" w:hanging="289" w:hangingChars="290"/>
    </w:pPr>
  </w:style>
  <w:style w:type="paragraph" w:customStyle="1" w:styleId="89">
    <w:name w:val="标准文件_前言、引言标题"/>
    <w:next w:val="1"/>
    <w:uiPriority w:val="0"/>
    <w:pPr>
      <w:numPr>
        <w:ilvl w:val="0"/>
        <w:numId w:val="8"/>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uiPriority w:val="0"/>
    <w:pPr>
      <w:spacing w:line="460" w:lineRule="exact"/>
    </w:pPr>
  </w:style>
  <w:style w:type="paragraph" w:customStyle="1" w:styleId="91">
    <w:name w:val="标准文件_目录标题"/>
    <w:basedOn w:val="1"/>
    <w:uiPriority w:val="0"/>
    <w:pPr>
      <w:spacing w:after="150" w:afterLines="150" w:line="240" w:lineRule="auto"/>
      <w:jc w:val="center"/>
    </w:pPr>
    <w:rPr>
      <w:rFonts w:ascii="黑体" w:eastAsia="黑体"/>
      <w:sz w:val="32"/>
    </w:rPr>
  </w:style>
  <w:style w:type="paragraph" w:customStyle="1" w:styleId="92">
    <w:name w:val="标准文件_破折号列项"/>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uiPriority w:val="0"/>
    <w:pPr>
      <w:numPr>
        <w:numId w:val="10"/>
      </w:numPr>
      <w:ind w:left="0" w:firstLine="200"/>
    </w:pPr>
  </w:style>
  <w:style w:type="paragraph" w:customStyle="1" w:styleId="94">
    <w:name w:val="标准文件_三级条标题"/>
    <w:basedOn w:val="65"/>
    <w:next w:val="56"/>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uiPriority w:val="0"/>
    <w:pPr>
      <w:adjustRightInd/>
      <w:spacing w:line="240" w:lineRule="auto"/>
      <w:ind w:firstLine="200" w:firstLineChars="200"/>
    </w:pPr>
    <w:rPr>
      <w:sz w:val="18"/>
      <w:szCs w:val="24"/>
    </w:rPr>
  </w:style>
  <w:style w:type="paragraph" w:customStyle="1" w:styleId="97">
    <w:name w:val="标准文件_数字编号列项"/>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uiPriority w:val="0"/>
    <w:rPr>
      <w:rFonts w:ascii="宋体" w:hAnsi="Times New Roman" w:eastAsia="宋体" w:cs="Times New Roman"/>
      <w:sz w:val="18"/>
      <w:szCs w:val="18"/>
    </w:rPr>
  </w:style>
  <w:style w:type="paragraph" w:customStyle="1" w:styleId="100">
    <w:name w:val="标准文件_条文脚注"/>
    <w:basedOn w:val="21"/>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uiPriority w:val="0"/>
    <w:pPr>
      <w:numPr>
        <w:ilvl w:val="0"/>
        <w:numId w:val="12"/>
      </w:numPr>
      <w:spacing w:line="240" w:lineRule="auto"/>
      <w:jc w:val="left"/>
    </w:pPr>
    <w:rPr>
      <w:rFonts w:ascii="宋体" w:hAnsi="宋体"/>
      <w:sz w:val="18"/>
    </w:rPr>
  </w:style>
  <w:style w:type="character" w:customStyle="1" w:styleId="102">
    <w:name w:val="标准文件_图表脚注内容"/>
    <w:uiPriority w:val="0"/>
    <w:rPr>
      <w:rFonts w:ascii="宋体" w:hAnsi="宋体" w:eastAsia="宋体" w:cs="Times New Roman"/>
      <w:spacing w:val="0"/>
      <w:sz w:val="18"/>
      <w:vertAlign w:val="superscript"/>
    </w:rPr>
  </w:style>
  <w:style w:type="paragraph" w:customStyle="1" w:styleId="103">
    <w:name w:val="标准文件_五级条标题"/>
    <w:next w:val="56"/>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uiPriority w:val="0"/>
    <w:pPr>
      <w:numPr>
        <w:ilvl w:val="2"/>
      </w:numPr>
      <w:spacing w:before="50" w:beforeLines="50" w:after="50" w:afterLines="50"/>
      <w:outlineLvl w:val="1"/>
    </w:pPr>
  </w:style>
  <w:style w:type="paragraph" w:customStyle="1" w:styleId="106">
    <w:name w:val="标准文件_一致程度"/>
    <w:basedOn w:val="1"/>
    <w:uiPriority w:val="0"/>
    <w:pPr>
      <w:spacing w:line="440" w:lineRule="exact"/>
      <w:jc w:val="center"/>
    </w:pPr>
    <w:rPr>
      <w:sz w:val="28"/>
    </w:rPr>
  </w:style>
  <w:style w:type="paragraph" w:customStyle="1" w:styleId="107">
    <w:name w:val="标准文件_引言标题"/>
    <w:next w:val="1"/>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uiPriority w:val="0"/>
    <w:pPr>
      <w:numPr>
        <w:ilvl w:val="3"/>
        <w:numId w:val="20"/>
      </w:numPr>
      <w:adjustRightInd/>
      <w:spacing w:line="240" w:lineRule="auto"/>
    </w:pPr>
    <w:rPr>
      <w:rFonts w:ascii="宋体" w:hAnsi="宋体"/>
      <w:szCs w:val="24"/>
    </w:rPr>
  </w:style>
  <w:style w:type="paragraph" w:customStyle="1" w:styleId="119">
    <w:name w:val="发布部门"/>
    <w:next w:val="56"/>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uiPriority w:val="0"/>
    <w:pPr>
      <w:outlineLvl w:val="4"/>
    </w:pPr>
  </w:style>
  <w:style w:type="paragraph" w:customStyle="1" w:styleId="130">
    <w:name w:val="附录四级无标题条"/>
    <w:basedOn w:val="129"/>
    <w:next w:val="56"/>
    <w:uiPriority w:val="0"/>
    <w:pPr>
      <w:outlineLvl w:val="5"/>
    </w:pPr>
  </w:style>
  <w:style w:type="paragraph" w:customStyle="1" w:styleId="131">
    <w:name w:val="附录图"/>
    <w:next w:val="56"/>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uiPriority w:val="0"/>
    <w:pPr>
      <w:outlineLvl w:val="6"/>
    </w:pPr>
  </w:style>
  <w:style w:type="paragraph" w:customStyle="1" w:styleId="134">
    <w:name w:val="附录性质"/>
    <w:basedOn w:val="1"/>
    <w:uiPriority w:val="0"/>
    <w:pPr>
      <w:widowControl/>
      <w:adjustRightInd/>
      <w:jc w:val="center"/>
    </w:pPr>
    <w:rPr>
      <w:rFonts w:ascii="黑体" w:eastAsia="黑体"/>
    </w:rPr>
  </w:style>
  <w:style w:type="paragraph" w:customStyle="1" w:styleId="135">
    <w:name w:val="附录一级无标题条"/>
    <w:basedOn w:val="87"/>
    <w:next w:val="56"/>
    <w:uiPriority w:val="0"/>
    <w:pPr>
      <w:autoSpaceDN w:val="0"/>
      <w:outlineLvl w:val="2"/>
    </w:pPr>
    <w:rPr>
      <w:rFonts w:ascii="宋体" w:hAnsi="宋体" w:eastAsia="宋体"/>
    </w:rPr>
  </w:style>
  <w:style w:type="character" w:customStyle="1" w:styleId="136">
    <w:name w:val="个人答复风格"/>
    <w:uiPriority w:val="0"/>
    <w:rPr>
      <w:rFonts w:ascii="Arial" w:hAnsi="Arial" w:eastAsia="宋体" w:cs="Arial"/>
      <w:color w:val="auto"/>
      <w:spacing w:val="0"/>
      <w:sz w:val="20"/>
    </w:rPr>
  </w:style>
  <w:style w:type="character" w:customStyle="1" w:styleId="137">
    <w:name w:val="个人撰写风格"/>
    <w:uiPriority w:val="0"/>
    <w:rPr>
      <w:rFonts w:ascii="Arial" w:hAnsi="Arial" w:eastAsia="宋体" w:cs="Arial"/>
      <w:color w:val="auto"/>
      <w:spacing w:val="0"/>
      <w:sz w:val="20"/>
    </w:rPr>
  </w:style>
  <w:style w:type="paragraph" w:customStyle="1" w:styleId="138">
    <w:name w:val="脚注后续"/>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uiPriority w:val="0"/>
    <w:pPr>
      <w:tabs>
        <w:tab w:val="left" w:pos="840"/>
      </w:tabs>
    </w:pPr>
  </w:style>
  <w:style w:type="paragraph" w:customStyle="1" w:styleId="141">
    <w:name w:val="目次、索引正文"/>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uiPriority w:val="0"/>
    <w:pPr>
      <w:adjustRightInd/>
      <w:spacing w:line="240" w:lineRule="auto"/>
      <w:jc w:val="left"/>
    </w:pPr>
    <w:rPr>
      <w:bCs/>
      <w:iCs/>
    </w:rPr>
  </w:style>
  <w:style w:type="paragraph" w:customStyle="1" w:styleId="143">
    <w:name w:val="目录 31"/>
    <w:basedOn w:val="1"/>
    <w:next w:val="1"/>
    <w:semiHidden/>
    <w:uiPriority w:val="0"/>
    <w:pPr>
      <w:spacing w:line="240" w:lineRule="auto"/>
    </w:pPr>
    <w:rPr>
      <w:rFonts w:ascii="宋体" w:hAnsi="宋体"/>
      <w:iCs/>
    </w:rPr>
  </w:style>
  <w:style w:type="paragraph" w:customStyle="1" w:styleId="144">
    <w:name w:val="目录 41"/>
    <w:basedOn w:val="1"/>
    <w:next w:val="1"/>
    <w:semiHidden/>
    <w:uiPriority w:val="0"/>
    <w:pPr>
      <w:adjustRightInd/>
      <w:spacing w:line="240" w:lineRule="auto"/>
      <w:jc w:val="left"/>
    </w:pPr>
  </w:style>
  <w:style w:type="paragraph" w:customStyle="1" w:styleId="145">
    <w:name w:val="目录 51"/>
    <w:basedOn w:val="1"/>
    <w:next w:val="1"/>
    <w:semiHidden/>
    <w:uiPriority w:val="0"/>
    <w:pPr>
      <w:spacing w:line="240" w:lineRule="auto"/>
    </w:pPr>
    <w:rPr>
      <w:rFonts w:ascii="宋体" w:hAnsi="宋体"/>
    </w:rPr>
  </w:style>
  <w:style w:type="paragraph" w:customStyle="1" w:styleId="146">
    <w:name w:val="目录 61"/>
    <w:basedOn w:val="1"/>
    <w:next w:val="1"/>
    <w:semiHidden/>
    <w:uiPriority w:val="0"/>
    <w:pPr>
      <w:adjustRightInd/>
      <w:spacing w:line="240" w:lineRule="auto"/>
      <w:jc w:val="left"/>
    </w:pPr>
  </w:style>
  <w:style w:type="paragraph" w:customStyle="1" w:styleId="147">
    <w:name w:val="目录 71"/>
    <w:basedOn w:val="146"/>
    <w:semiHidden/>
    <w:uiPriority w:val="0"/>
    <w:pPr>
      <w:ind w:left="1260"/>
    </w:pPr>
  </w:style>
  <w:style w:type="paragraph" w:customStyle="1" w:styleId="148">
    <w:name w:val="目录 81"/>
    <w:basedOn w:val="147"/>
    <w:semiHidden/>
    <w:uiPriority w:val="0"/>
    <w:pPr>
      <w:ind w:left="1470"/>
    </w:pPr>
  </w:style>
  <w:style w:type="paragraph" w:customStyle="1" w:styleId="149">
    <w:name w:val="目录 91"/>
    <w:basedOn w:val="148"/>
    <w:semiHidden/>
    <w:uiPriority w:val="0"/>
    <w:pPr>
      <w:ind w:left="1680"/>
    </w:pPr>
  </w:style>
  <w:style w:type="paragraph" w:customStyle="1" w:styleId="150">
    <w:name w:val="其他标准称谓"/>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uiPriority w:val="0"/>
    <w:pPr>
      <w:framePr w:wrap="around"/>
      <w:spacing w:line="0" w:lineRule="atLeast"/>
    </w:pPr>
    <w:rPr>
      <w:rFonts w:ascii="黑体" w:eastAsia="黑体"/>
      <w:b w:val="0"/>
    </w:rPr>
  </w:style>
  <w:style w:type="paragraph" w:customStyle="1" w:styleId="152">
    <w:name w:val="前言标题"/>
    <w:next w:val="1"/>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uiPriority w:val="0"/>
    <w:pPr>
      <w:numPr>
        <w:ilvl w:val="4"/>
        <w:numId w:val="20"/>
      </w:numPr>
      <w:adjustRightInd/>
      <w:spacing w:line="240" w:lineRule="auto"/>
    </w:pPr>
    <w:rPr>
      <w:rFonts w:ascii="宋体" w:hAnsi="宋体"/>
      <w:szCs w:val="24"/>
    </w:rPr>
  </w:style>
  <w:style w:type="paragraph" w:customStyle="1" w:styleId="154">
    <w:name w:val="实施日期"/>
    <w:basedOn w:val="120"/>
    <w:uiPriority w:val="0"/>
    <w:pPr>
      <w:framePr w:hSpace="0" w:wrap="around" w:xAlign="right"/>
      <w:jc w:val="right"/>
    </w:pPr>
  </w:style>
  <w:style w:type="paragraph" w:customStyle="1" w:styleId="155">
    <w:name w:val="四级无标题条"/>
    <w:basedOn w:val="1"/>
    <w:uiPriority w:val="0"/>
    <w:pPr>
      <w:numPr>
        <w:ilvl w:val="5"/>
        <w:numId w:val="20"/>
      </w:numPr>
      <w:adjustRightInd/>
      <w:spacing w:line="240" w:lineRule="auto"/>
    </w:pPr>
    <w:rPr>
      <w:rFonts w:ascii="宋体" w:hAnsi="宋体"/>
      <w:szCs w:val="24"/>
    </w:rPr>
  </w:style>
  <w:style w:type="paragraph" w:customStyle="1" w:styleId="156">
    <w:name w:val="文献分类号"/>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uiPriority w:val="0"/>
    <w:pPr>
      <w:jc w:val="both"/>
    </w:pPr>
    <w:rPr>
      <w:rFonts w:ascii="宋体" w:hAnsi="宋体" w:eastAsia="宋体" w:cs="Times New Roman"/>
      <w:sz w:val="21"/>
      <w:lang w:val="en-US" w:eastAsia="zh-CN" w:bidi="ar-SA"/>
    </w:rPr>
  </w:style>
  <w:style w:type="paragraph" w:customStyle="1" w:styleId="158">
    <w:name w:val="五级无标题条"/>
    <w:basedOn w:val="1"/>
    <w:uiPriority w:val="0"/>
    <w:pPr>
      <w:numPr>
        <w:ilvl w:val="6"/>
        <w:numId w:val="20"/>
      </w:numPr>
      <w:adjustRightInd/>
    </w:pPr>
    <w:rPr>
      <w:szCs w:val="24"/>
    </w:rPr>
  </w:style>
  <w:style w:type="paragraph" w:customStyle="1" w:styleId="159">
    <w:name w:val="一级无标题条"/>
    <w:basedOn w:val="1"/>
    <w:uiPriority w:val="0"/>
    <w:pPr>
      <w:numPr>
        <w:ilvl w:val="2"/>
        <w:numId w:val="20"/>
      </w:numPr>
      <w:adjustRightInd/>
      <w:spacing w:before="10" w:after="10" w:line="240" w:lineRule="auto"/>
    </w:pPr>
    <w:rPr>
      <w:rFonts w:ascii="宋体" w:hAnsi="宋体"/>
      <w:szCs w:val="24"/>
    </w:rPr>
  </w:style>
  <w:style w:type="paragraph" w:customStyle="1" w:styleId="160">
    <w:name w:val="注:后续"/>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uiPriority w:val="0"/>
    <w:rPr>
      <w:rFonts w:ascii="宋体" w:hAnsi="Times New Roman" w:eastAsia="宋体" w:cs="Times New Roman"/>
      <w:sz w:val="21"/>
      <w:lang w:val="en-US" w:eastAsia="zh-CN" w:bidi="ar-SA"/>
    </w:rPr>
  </w:style>
  <w:style w:type="paragraph" w:customStyle="1" w:styleId="172">
    <w:name w:val="标准文件_三级项"/>
    <w:basedOn w:val="1"/>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uiPriority w:val="0"/>
    <w:pPr>
      <w:numPr>
        <w:ilvl w:val="0"/>
        <w:numId w:val="25"/>
      </w:numPr>
      <w:adjustRightInd/>
      <w:spacing w:line="240" w:lineRule="auto"/>
      <w:ind w:left="783"/>
    </w:pPr>
    <w:rPr>
      <w:rFonts w:ascii="宋体" w:hAnsi="Times New Roman"/>
      <w:sz w:val="18"/>
      <w:szCs w:val="18"/>
    </w:rPr>
  </w:style>
  <w:style w:type="paragraph" w:customStyle="1" w:styleId="174">
    <w:name w:val="标准文件_字母编号列项（一级）"/>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20" w:beforeLines="2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uiPriority w:val="99"/>
    <w:rPr>
      <w:color w:val="808080"/>
    </w:rPr>
  </w:style>
  <w:style w:type="paragraph" w:customStyle="1" w:styleId="187">
    <w:name w:val="标准文件_二级项2"/>
    <w:basedOn w:val="56"/>
    <w:qFormat/>
    <w:uiPriority w:val="0"/>
    <w:pPr>
      <w:numPr>
        <w:ilvl w:val="1"/>
        <w:numId w:val="21"/>
      </w:numPr>
      <w:ind w:left="1271" w:hanging="420" w:firstLineChars="0"/>
    </w:pPr>
  </w:style>
  <w:style w:type="paragraph" w:customStyle="1" w:styleId="188">
    <w:name w:val="标准文件_三级项2"/>
    <w:basedOn w:val="56"/>
    <w:qFormat/>
    <w:uiPriority w:val="0"/>
    <w:pPr>
      <w:numPr>
        <w:ilvl w:val="0"/>
        <w:numId w:val="30"/>
      </w:numPr>
      <w:spacing w:line="300" w:lineRule="exact"/>
      <w:ind w:left="1276" w:hanging="425" w:firstLineChars="0"/>
    </w:pPr>
    <w:rPr>
      <w:rFonts w:ascii="Times New Roman"/>
    </w:rPr>
  </w:style>
  <w:style w:type="paragraph" w:customStyle="1" w:styleId="189">
    <w:name w:val="标准文件_一级项2"/>
    <w:basedOn w:val="56"/>
    <w:qFormat/>
    <w:uiPriority w:val="0"/>
    <w:pPr>
      <w:numPr>
        <w:ilvl w:val="0"/>
        <w:numId w:val="31"/>
      </w:numPr>
      <w:spacing w:line="300" w:lineRule="exact"/>
      <w:ind w:left="1271" w:hanging="420"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uiPriority w:val="0"/>
    <w:pPr>
      <w:framePr w:w="3997" w:h="471" w:hRule="exact" w:hSpace="0" w:vSpace="181" w:wrap="around" w:vAnchor="page" w:hAnchor="page" w:x="1419" w:y="14097"/>
    </w:pPr>
  </w:style>
  <w:style w:type="paragraph" w:customStyle="1" w:styleId="194">
    <w:name w:val="其他实施日期"/>
    <w:basedOn w:val="154"/>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frame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next w:val="56"/>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glossaryDocument" Target="glossary/document.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jpeg"/><Relationship Id="rId13" Type="http://schemas.openxmlformats.org/officeDocument/2006/relationships/image" Target="media/image1.tiff"/><Relationship Id="rId12" Type="http://schemas.openxmlformats.org/officeDocument/2006/relationships/theme" Target="theme/theme1.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8A31674C33340ECAAA97745EB5F4455"/>
        <w:style w:val=""/>
        <w:category>
          <w:name w:val="常规"/>
          <w:gallery w:val="placeholder"/>
        </w:category>
        <w:types>
          <w:type w:val="bbPlcHdr"/>
        </w:types>
        <w:behaviors>
          <w:behavior w:val="content"/>
        </w:behaviors>
        <w:description w:val=""/>
        <w:guid w:val="{74F90140-DB89-400F-A988-A7B0FEF0C830}"/>
      </w:docPartPr>
      <w:docPartBody>
        <w:p>
          <w:pPr>
            <w:pStyle w:val="5"/>
          </w:pPr>
          <w:r>
            <w:rPr>
              <w:rStyle w:val="4"/>
              <w:rFonts w:hint="eastAsia"/>
            </w:rPr>
            <w:t>单击或点击此处输入文字。</w:t>
          </w:r>
        </w:p>
      </w:docPartBody>
    </w:docPart>
    <w:docPart>
      <w:docPartPr>
        <w:name w:val="725B4F46BBDF470A9A69AD2B1EB03894"/>
        <w:style w:val=""/>
        <w:category>
          <w:name w:val="常规"/>
          <w:gallery w:val="placeholder"/>
        </w:category>
        <w:types>
          <w:type w:val="bbPlcHdr"/>
        </w:types>
        <w:behaviors>
          <w:behavior w:val="content"/>
        </w:behaviors>
        <w:description w:val=""/>
        <w:guid w:val="{2EB1DD71-24AA-48DA-8BC2-82802CD9A558}"/>
      </w:docPartPr>
      <w:docPartBody>
        <w:p>
          <w:pPr>
            <w:pStyle w:val="6"/>
          </w:pPr>
          <w:r>
            <w:rPr>
              <w:rStyle w:val="4"/>
              <w:rFonts w:hint="eastAsia"/>
            </w:rPr>
            <w:t>选择一项。</w:t>
          </w:r>
        </w:p>
      </w:docPartBody>
    </w:docPart>
    <w:docPart>
      <w:docPartPr>
        <w:name w:val="03873F4F76254357A2BD83D585B2BEE2"/>
        <w:style w:val=""/>
        <w:category>
          <w:name w:val="常规"/>
          <w:gallery w:val="placeholder"/>
        </w:category>
        <w:types>
          <w:type w:val="bbPlcHdr"/>
        </w:types>
        <w:behaviors>
          <w:behavior w:val="content"/>
        </w:behaviors>
        <w:description w:val=""/>
        <w:guid w:val="{08B2A0A0-8D2A-4EAF-B0CA-A9D9E39557FD}"/>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273"/>
    <w:rsid w:val="003C716B"/>
    <w:rsid w:val="006266D8"/>
    <w:rsid w:val="00AE7273"/>
    <w:rsid w:val="00EB50CA"/>
    <w:rsid w:val="00EE6B78"/>
    <w:rsid w:val="00FD25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E8A31674C33340ECAAA97745EB5F445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725B4F46BBDF470A9A69AD2B1EB0389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03873F4F76254357A2BD83D585B2BEE2"/>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A704D1-5941-47F5-AEDA-584B3345F7E0}">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10</Pages>
  <Words>1046</Words>
  <Characters>5966</Characters>
  <Lines>49</Lines>
  <Paragraphs>13</Paragraphs>
  <TotalTime>14</TotalTime>
  <ScaleCrop>false</ScaleCrop>
  <LinksUpToDate>false</LinksUpToDate>
  <CharactersWithSpaces>6999</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2022-09-27T01:01:00Z</dcterms:created>
  <dc:creator>王亚东</dc:creator>
  <dc:description>&lt;config cover="true" show_menu="true" version="1.0.0" doctype="SDKXY"&gt;_x000d_
&lt;/config&gt;</dc:description>
  <cp:lastModifiedBy>86186</cp:lastModifiedBy>
  <cp:lastPrinted>2020-08-30T10:00:00Z</cp:lastPrinted>
  <dcterms:modified xsi:type="dcterms:W3CDTF">2022-10-18T06:54:23Z</dcterms:modified>
  <dc:title>地方标准</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2052-11.8.2.10912</vt:lpwstr>
  </property>
  <property fmtid="{D5CDD505-2E9C-101B-9397-08002B2CF9AE}" pid="15" name="ICV">
    <vt:lpwstr>F7B99103FE5C4FA3B6E835CB006643FD</vt:lpwstr>
  </property>
</Properties>
</file>