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5"/>
        <w:framePr w:wrap="around"/>
      </w:pPr>
      <w:r>
        <w:rPr>
          <w:rFonts w:ascii="Times New Roman"/>
        </w:rPr>
        <w:t>ICS</w:t>
      </w:r>
      <w:r>
        <w:rPr>
          <w:rFonts w:hint="eastAsia" w:ascii="MS Mincho" w:hAnsi="MS Mincho" w:eastAsia="MS Mincho" w:cs="MS Mincho"/>
        </w:rPr>
        <w:t> </w:t>
      </w:r>
      <w:r>
        <w:t>29.020</w:t>
      </w:r>
    </w:p>
    <w:p>
      <w:pPr>
        <w:pStyle w:val="145"/>
        <w:framePr w:wrap="around"/>
      </w:pPr>
      <w:r>
        <w:rPr>
          <w:rFonts w:hint="eastAsia"/>
        </w:rPr>
        <w:t>A91</w:t>
      </w:r>
    </w:p>
    <w:tbl>
      <w:tblPr>
        <w:tblStyle w:val="4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pPr>
              <w:pStyle w:val="145"/>
              <w:framePr w:wrap="around"/>
              <w:rPr>
                <w:color w:val="FF0000"/>
              </w:rPr>
            </w:pPr>
            <w:r>
              <w:rPr>
                <w:color w:val="FF0000"/>
              </w:rPr>
              <mc:AlternateContent>
                <mc:Choice Requires="wps">
                  <w:drawing>
                    <wp:anchor distT="0" distB="0" distL="114300" distR="114300" simplePos="0" relativeHeight="251662336" behindDoc="1" locked="0" layoutInCell="1" allowOverlap="1">
                      <wp:simplePos x="0" y="0"/>
                      <wp:positionH relativeFrom="column">
                        <wp:posOffset>-66675</wp:posOffset>
                      </wp:positionH>
                      <wp:positionV relativeFrom="paragraph">
                        <wp:posOffset>0</wp:posOffset>
                      </wp:positionV>
                      <wp:extent cx="866775" cy="198120"/>
                      <wp:effectExtent l="0" t="3810" r="4445" b="0"/>
                      <wp:wrapNone/>
                      <wp:docPr id="12" name="BAH"/>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BAH" o:spid="_x0000_s1026" o:spt="1" style="position:absolute;left:0pt;margin-left:-5.25pt;margin-top:0pt;height:15.6pt;width:68.25pt;z-index:-251654144;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iuL+zVAAAABwEAAA8AAAAAAAAAAQAgAAAA&#10;IgAAAGRycy9kb3ducmV2LnhtbFBLAQIUABQAAAAIAIdO4kAwosvTDgIAACEEAAAOAAAAAAAAAAEA&#10;IAAAACQBAABkcnMvZTJvRG9jLnhtbFBLBQYAAAAABgAGAFkBAACkBQAAAAA=&#10;">
                      <v:fill on="t" focussize="0,0"/>
                      <v:stroke on="f"/>
                      <v:imagedata o:title=""/>
                      <o:lock v:ext="edit" aspectratio="f"/>
                    </v:rect>
                  </w:pict>
                </mc:Fallback>
              </mc:AlternateContent>
            </w:r>
          </w:p>
        </w:tc>
      </w:tr>
    </w:tbl>
    <w:p>
      <w:pPr>
        <w:pStyle w:val="131"/>
        <w:framePr w:wrap="around" w:y="1051"/>
      </w:pPr>
      <w:r>
        <w:t>DB13</w:t>
      </w:r>
    </w:p>
    <w:p>
      <w:pPr>
        <w:pStyle w:val="132"/>
        <w:framePr w:wrap="around"/>
      </w:pPr>
      <w:r>
        <w:rPr>
          <w:rFonts w:hint="eastAsia"/>
        </w:rPr>
        <w:t>河北省地方标准</w:t>
      </w:r>
    </w:p>
    <w:p>
      <w:pPr>
        <w:pStyle w:val="69"/>
        <w:framePr w:wrap="around"/>
        <w:ind w:right="140"/>
        <w:rPr>
          <w:rFonts w:hint="eastAsia" w:hAnsi="黑体" w:eastAsia="黑体"/>
          <w:lang w:eastAsia="zh-CN"/>
        </w:rPr>
      </w:pPr>
      <w:r>
        <w:rPr>
          <w:rFonts w:ascii="Times New Roman"/>
        </w:rPr>
        <w:t>DB 1</w:t>
      </w:r>
      <w:r>
        <w:rPr>
          <w:rFonts w:hint="eastAsia" w:ascii="Times New Roman"/>
        </w:rPr>
        <w:t>3</w:t>
      </w:r>
      <w:r>
        <w:rPr>
          <w:rFonts w:hAnsi="黑体"/>
        </w:rPr>
        <w:t>/</w:t>
      </w:r>
      <w:r>
        <w:rPr>
          <w:rFonts w:hint="eastAsia" w:hAnsi="黑体"/>
        </w:rPr>
        <w:t>XXXX</w:t>
      </w:r>
      <w:r>
        <w:rPr>
          <w:rFonts w:hAnsi="黑体"/>
        </w:rPr>
        <w:t>—</w:t>
      </w:r>
      <w:r>
        <w:rPr>
          <w:rFonts w:hint="eastAsia" w:hAnsi="黑体"/>
        </w:rPr>
        <w:t>202</w:t>
      </w:r>
      <w:r>
        <w:rPr>
          <w:rFonts w:hint="eastAsia" w:hAnsi="黑体"/>
          <w:lang w:val="en-US" w:eastAsia="zh-CN"/>
        </w:rPr>
        <w:t>2</w:t>
      </w:r>
    </w:p>
    <w:tbl>
      <w:tblPr>
        <w:tblStyle w:val="4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98"/>
              <w:framePr w:wrap="around"/>
            </w:pPr>
            <w:bookmarkStart w:id="0" w:name="DT"/>
            <w:r>
              <mc:AlternateContent>
                <mc:Choice Requires="wps">
                  <w:drawing>
                    <wp:anchor distT="0" distB="0" distL="114300" distR="114300" simplePos="0" relativeHeight="251659264" behindDoc="1" locked="0" layoutInCell="1" allowOverlap="1">
                      <wp:simplePos x="0" y="0"/>
                      <wp:positionH relativeFrom="column">
                        <wp:posOffset>4734560</wp:posOffset>
                      </wp:positionH>
                      <wp:positionV relativeFrom="paragraph">
                        <wp:posOffset>34290</wp:posOffset>
                      </wp:positionV>
                      <wp:extent cx="1143000" cy="228600"/>
                      <wp:effectExtent l="0" t="0" r="3175" b="0"/>
                      <wp:wrapNone/>
                      <wp:docPr id="11" name="DT"/>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8pt;width:90pt;z-index:-251657216;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5g8svWAAAACAEAAA8AAAAAAAAAAQAgAAAAIgAA&#10;AGRycy9kb3ducmV2LnhtbFBLAQIUABQAAAAIAIdO4kARnrSFCgIAACEEAAAOAAAAAAAAAAEAIAAA&#10;ACUBAABkcnMvZTJvRG9jLnhtbFBLBQYAAAAABgAGAFkBAAChBQAAAAA=&#10;">
                      <v:fill on="t" focussize="0,0"/>
                      <v:stroke on="f"/>
                      <v:imagedata o:title=""/>
                      <o:lock v:ext="edit" aspectratio="f"/>
                    </v:rect>
                  </w:pict>
                </mc:Fallback>
              </mc:AlternateContent>
            </w:r>
            <w:bookmarkEnd w:id="0"/>
          </w:p>
        </w:tc>
      </w:tr>
    </w:tbl>
    <w:p>
      <w:pPr>
        <w:pStyle w:val="69"/>
        <w:framePr w:wrap="around"/>
        <w:rPr>
          <w:rFonts w:hAnsi="黑体"/>
        </w:rPr>
      </w:pPr>
    </w:p>
    <w:p>
      <w:pPr>
        <w:pStyle w:val="69"/>
        <w:framePr w:wrap="around"/>
        <w:rPr>
          <w:rFonts w:hAnsi="黑体"/>
        </w:rPr>
      </w:pPr>
    </w:p>
    <w:p>
      <w:pPr>
        <w:pStyle w:val="100"/>
        <w:framePr w:wrap="around"/>
        <w:ind w:left="210" w:leftChars="100"/>
        <w:rPr>
          <w:b/>
          <w:szCs w:val="52"/>
        </w:rPr>
      </w:pPr>
      <w:r>
        <w:rPr>
          <w:rFonts w:hint="eastAsia"/>
          <w:b/>
          <w:szCs w:val="52"/>
        </w:rPr>
        <w:t>双重预防机制信息管理平台</w:t>
      </w:r>
    </w:p>
    <w:p>
      <w:pPr>
        <w:pStyle w:val="100"/>
        <w:framePr w:wrap="around"/>
        <w:ind w:left="210" w:leftChars="100"/>
        <w:rPr>
          <w:szCs w:val="52"/>
        </w:rPr>
      </w:pPr>
      <w:r>
        <w:rPr>
          <w:rFonts w:hint="eastAsia"/>
          <w:b/>
          <w:szCs w:val="52"/>
        </w:rPr>
        <w:t>建设规范</w:t>
      </w:r>
    </w:p>
    <w:p>
      <w:pPr>
        <w:pStyle w:val="101"/>
        <w:framePr w:wrap="around"/>
        <w:rPr>
          <w:rFonts w:ascii="黑体" w:hAnsi="黑体"/>
        </w:rPr>
      </w:pPr>
    </w:p>
    <w:p>
      <w:pPr>
        <w:pStyle w:val="102"/>
        <w:framePr w:wrap="around"/>
      </w:pPr>
    </w:p>
    <w:tbl>
      <w:tblPr>
        <w:tblStyle w:val="4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103"/>
              <w:framePr w:wrap="around"/>
            </w:pPr>
            <w:r>
              <mc:AlternateContent>
                <mc:Choice Requires="wps">
                  <w:drawing>
                    <wp:anchor distT="0" distB="0" distL="114300" distR="114300" simplePos="0" relativeHeight="251661312" behindDoc="1" locked="1" layoutInCell="1" allowOverlap="1">
                      <wp:simplePos x="0" y="0"/>
                      <wp:positionH relativeFrom="column">
                        <wp:posOffset>2200910</wp:posOffset>
                      </wp:positionH>
                      <wp:positionV relativeFrom="paragraph">
                        <wp:posOffset>573405</wp:posOffset>
                      </wp:positionV>
                      <wp:extent cx="1905000" cy="254000"/>
                      <wp:effectExtent l="0" t="3175" r="3175" b="0"/>
                      <wp:wrapNone/>
                      <wp:docPr id="10" name="RQ"/>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20pt;width:150pt;z-index:-251655168;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Fia6S1QAAAAoBAAAPAAAAAAAAAAEAIAAAACIAAABk&#10;cnMvZG93bnJldi54bWxQSwECFAAUAAAACACHTuJAlIa1vAkCAAAhBAAADgAAAAAAAAABACAAAAAk&#10;AQAAZHJzL2Uyb0RvYy54bWxQSwUGAAAAAAYABgBZAQAAnwUAAAAA&#10;">
                      <v:fill on="t" focussize="0,0"/>
                      <v:stroke on="f"/>
                      <v:imagedata o:title=""/>
                      <o:lock v:ext="edit" aspectratio="f"/>
                      <w10:anchorlock/>
                    </v:rect>
                  </w:pict>
                </mc:Fallback>
              </mc:AlternateContent>
            </w:r>
            <w:r>
              <mc:AlternateContent>
                <mc:Choice Requires="wps">
                  <w:drawing>
                    <wp:anchor distT="0" distB="0" distL="114300" distR="114300" simplePos="0" relativeHeight="251660288" behindDoc="1" locked="0" layoutInCell="1" allowOverlap="1">
                      <wp:simplePos x="0" y="0"/>
                      <wp:positionH relativeFrom="column">
                        <wp:posOffset>2454910</wp:posOffset>
                      </wp:positionH>
                      <wp:positionV relativeFrom="paragraph">
                        <wp:posOffset>255905</wp:posOffset>
                      </wp:positionV>
                      <wp:extent cx="1270000" cy="304800"/>
                      <wp:effectExtent l="3175" t="0" r="3175" b="0"/>
                      <wp:wrapNone/>
                      <wp:docPr id="9" name="LB"/>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24pt;width:100pt;z-index:-251656192;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A+GL5dYAAAAJAQAADwAAAAAAAAABACAAAAAiAAAA&#10;ZHJzL2Rvd25yZXYueG1sUEsBAhQAFAAAAAgAh07iQKl8R3cJAgAAIAQAAA4AAAAAAAAAAQAgAAAA&#10;JQEAAGRycy9lMm9Eb2MueG1sUEsFBgAAAAAGAAYAWQEAAKAFAAAAAA==&#10;">
                      <v:fill on="t" focussize="0,0"/>
                      <v:stroke on="f"/>
                      <v:imagedata o:title=""/>
                      <o:lock v:ext="edit" aspectratio="f"/>
                    </v:rect>
                  </w:pict>
                </mc:Fallback>
              </mc:AlternateConten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104"/>
              <w:framePr w:wrap="around"/>
            </w:pPr>
          </w:p>
        </w:tc>
      </w:tr>
    </w:tbl>
    <w:p>
      <w:pPr>
        <w:pStyle w:val="152"/>
        <w:framePr w:wrap="around" w:hAnchor="page" w:x="2015" w:y="14028"/>
      </w:pPr>
      <w:r>
        <w:rPr>
          <w:rFonts w:hint="eastAsia" w:ascii="黑体"/>
        </w:rPr>
        <w:t>202</w:t>
      </w:r>
      <w:r>
        <w:rPr>
          <w:rFonts w:hint="eastAsia" w:ascii="黑体"/>
          <w:lang w:val="en-US" w:eastAsia="zh-CN"/>
        </w:rPr>
        <w:t>2</w:t>
      </w:r>
      <w:r>
        <w:rPr>
          <w:rFonts w:ascii="黑体"/>
        </w:rPr>
        <w:t>-</w:t>
      </w:r>
      <w:r>
        <w:t xml:space="preserve"> </w:t>
      </w:r>
      <w:r>
        <w:rPr>
          <w:rFonts w:hint="eastAsia"/>
        </w:rPr>
        <w:t>XX</w:t>
      </w:r>
      <w:r>
        <w:rPr>
          <w:rFonts w:ascii="黑体"/>
        </w:rPr>
        <w:t>-</w:t>
      </w:r>
      <w:r>
        <w:rPr>
          <w:rFonts w:hint="eastAsia" w:ascii="黑体"/>
        </w:rPr>
        <w:t>XX</w:t>
      </w:r>
      <w:r>
        <w:rPr>
          <w:rFonts w:hint="eastAsia"/>
        </w:rPr>
        <w:t>发布</w:t>
      </w:r>
    </w:p>
    <w:p>
      <w:pPr>
        <w:pStyle w:val="153"/>
        <w:framePr w:wrap="around" w:hAnchor="page" w:x="6815" w:y="14041"/>
      </w:pPr>
      <w:r>
        <w:rPr>
          <w:rFonts w:hint="eastAsia" w:ascii="黑体"/>
        </w:rPr>
        <w:t>202</w:t>
      </w:r>
      <w:r>
        <w:rPr>
          <w:rFonts w:hint="eastAsia" w:ascii="黑体"/>
          <w:lang w:val="en-US" w:eastAsia="zh-CN"/>
        </w:rPr>
        <w:t>2</w:t>
      </w:r>
      <w:r>
        <w:rPr>
          <w:rFonts w:ascii="黑体"/>
        </w:rPr>
        <w:t>-</w:t>
      </w:r>
      <w:r>
        <w:t xml:space="preserve"> </w:t>
      </w:r>
      <w:r>
        <w:rPr>
          <w:rFonts w:hint="eastAsia"/>
        </w:rPr>
        <w:t>XX</w:t>
      </w:r>
      <w:r>
        <w:rPr>
          <w:rFonts w:ascii="黑体"/>
        </w:rPr>
        <w:t>-</w:t>
      </w:r>
      <w:r>
        <w:rPr>
          <w:rFonts w:hint="eastAsia" w:ascii="黑体"/>
        </w:rPr>
        <w:t>XX</w:t>
      </w:r>
      <w:r>
        <w:rPr>
          <w:rFonts w:hint="eastAsia"/>
        </w:rPr>
        <w:t>实施</w:t>
      </w:r>
    </w:p>
    <w:p>
      <w:pPr>
        <w:pStyle w:val="133"/>
        <w:framePr w:wrap="around"/>
      </w:pPr>
      <w:r>
        <w:rPr>
          <w:rFonts w:hint="eastAsia" w:hAnsi="黑体" w:cs="MS Mincho"/>
        </w:rPr>
        <w:t>河北省市场监督管理局</w:t>
      </w:r>
      <w:r>
        <w:rPr>
          <w:rFonts w:hint="eastAsia" w:hAnsi="MS Mincho" w:eastAsia="MS Mincho" w:cs="MS Mincho"/>
        </w:rPr>
        <w:t>  </w:t>
      </w:r>
      <w:r>
        <w:rPr>
          <w:rStyle w:val="95"/>
          <w:rFonts w:hint="eastAsia"/>
        </w:rPr>
        <w:t>发布</w:t>
      </w:r>
    </w:p>
    <w:p>
      <w:pPr>
        <w:pStyle w:val="30"/>
        <w:ind w:firstLine="0" w:firstLineChars="0"/>
      </w:pPr>
      <w:r>
        <mc:AlternateContent>
          <mc:Choice Requires="wps">
            <w:drawing>
              <wp:anchor distT="0" distB="0" distL="114300" distR="114300" simplePos="0" relativeHeight="251663360" behindDoc="0" locked="0" layoutInCell="1" allowOverlap="1">
                <wp:simplePos x="0" y="0"/>
                <wp:positionH relativeFrom="column">
                  <wp:posOffset>-635</wp:posOffset>
                </wp:positionH>
                <wp:positionV relativeFrom="paragraph">
                  <wp:posOffset>2339975</wp:posOffset>
                </wp:positionV>
                <wp:extent cx="6120130" cy="0"/>
                <wp:effectExtent l="13970" t="13970" r="9525" b="5080"/>
                <wp:wrapNone/>
                <wp:docPr id="8" name="Line 11"/>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05pt;margin-top:184.25pt;height:0pt;width:481.9pt;z-index:251663360;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CQeJf1wAAAAkBAAAPAAAAAAAAAAEAIAAAACIAAABkcnMvZG93&#10;bnJldi54bWxQSwECFAAUAAAACACHTuJA5/9g1cgBAACgAwAADgAAAAAAAAABACAAAAAmAQAAZHJz&#10;L2Uyb0RvYy54bWxQSwUGAAAAAAYABgBZAQAAYAUAAAAA&#10;">
                <v:fill on="f" focussize="0,0"/>
                <v:stroke color="#000000" joinstyle="round"/>
                <v:imagedata o:title=""/>
                <o:lock v:ext="edit" aspectratio="f"/>
              </v:line>
            </w:pict>
          </mc:Fallback>
        </mc:AlternateContent>
      </w:r>
    </w:p>
    <w:p/>
    <w:p/>
    <w:p/>
    <w:p/>
    <w:p/>
    <w:p/>
    <w:p>
      <w:r>
        <mc:AlternateContent>
          <mc:Choice Requires="wps">
            <w:drawing>
              <wp:anchor distT="0" distB="0" distL="114300" distR="114300" simplePos="0" relativeHeight="251666432" behindDoc="0" locked="0" layoutInCell="1" allowOverlap="1">
                <wp:simplePos x="0" y="0"/>
                <wp:positionH relativeFrom="column">
                  <wp:posOffset>-635</wp:posOffset>
                </wp:positionH>
                <wp:positionV relativeFrom="paragraph">
                  <wp:posOffset>5539740</wp:posOffset>
                </wp:positionV>
                <wp:extent cx="6120130" cy="0"/>
                <wp:effectExtent l="13970" t="10795" r="9525" b="8255"/>
                <wp:wrapNone/>
                <wp:docPr id="7" name="Line 17"/>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17" o:spid="_x0000_s1026" o:spt="20" style="position:absolute;left:0pt;margin-left:-0.05pt;margin-top:436.2pt;height:0pt;width:481.9pt;z-index:251666432;mso-width-relative:page;mso-height-relative:page;" filled="f" stroked="t" coordsize="21600,21600" o:gfxdata="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ChDQynXAAAACQEAAA8AAAAAAAAAAQAgAAAAIgAAAGRycy9k&#10;b3ducmV2LnhtbFBLAQIUABQAAAAIAIdO4kD/SIXUygEAAKADAAAOAAAAAAAAAAEAIAAAACYBAABk&#10;cnMvZTJvRG9jLnhtbFBLBQYAAAAABgAGAFkBAABiBQAAAAA=&#10;">
                <v:fill on="f" focussize="0,0"/>
                <v:stroke color="#000000" joinstyle="round"/>
                <v:imagedata o:title=""/>
                <o:lock v:ext="edit" aspectratio="f"/>
              </v:line>
            </w:pict>
          </mc:Fallback>
        </mc:AlternateContent>
      </w:r>
    </w:p>
    <w:p>
      <w:pPr>
        <w:sectPr>
          <w:footerReference r:id="rId3" w:type="even"/>
          <w:pgSz w:w="11906" w:h="16838"/>
          <w:pgMar w:top="567" w:right="1134" w:bottom="1134" w:left="1418" w:header="0" w:footer="0" w:gutter="0"/>
          <w:pgNumType w:start="1"/>
          <w:cols w:space="720" w:num="1"/>
          <w:docGrid w:type="lines" w:linePitch="312" w:charSpace="0"/>
        </w:sectPr>
      </w:pPr>
    </w:p>
    <w:sdt>
      <w:sdtPr>
        <w:rPr>
          <w:rFonts w:ascii="Times New Roman" w:hAnsi="Times New Roman"/>
          <w:color w:val="auto"/>
          <w:kern w:val="2"/>
          <w:sz w:val="21"/>
          <w:szCs w:val="24"/>
          <w:lang w:val="zh-CN"/>
        </w:rPr>
        <w:id w:val="434772404"/>
        <w:docPartObj>
          <w:docPartGallery w:val="Table of Contents"/>
          <w:docPartUnique/>
        </w:docPartObj>
      </w:sdtPr>
      <w:sdtEndPr>
        <w:rPr>
          <w:rFonts w:ascii="Times New Roman" w:hAnsi="Times New Roman"/>
          <w:color w:val="auto"/>
          <w:kern w:val="2"/>
          <w:sz w:val="21"/>
          <w:szCs w:val="24"/>
          <w:lang w:val="en-US"/>
        </w:rPr>
      </w:sdtEndPr>
      <w:sdtContent>
        <w:p>
          <w:pPr>
            <w:pStyle w:val="165"/>
            <w:jc w:val="center"/>
            <w:rPr>
              <w:rFonts w:ascii="Times New Roman" w:hAnsi="Times New Roman"/>
              <w:color w:val="auto"/>
              <w:kern w:val="2"/>
              <w:sz w:val="21"/>
              <w:szCs w:val="24"/>
              <w:lang w:val="zh-CN"/>
            </w:rPr>
            <w:sectPr>
              <w:headerReference r:id="rId4" w:type="default"/>
              <w:footerReference r:id="rId5" w:type="default"/>
              <w:pgSz w:w="11906" w:h="16838"/>
              <w:pgMar w:top="567" w:right="1134" w:bottom="1134" w:left="1418" w:header="1418" w:footer="1134" w:gutter="0"/>
              <w:pgNumType w:fmt="upperRoman" w:start="1"/>
              <w:cols w:space="720" w:num="1"/>
              <w:formProt w:val="0"/>
              <w:docGrid w:type="lines" w:linePitch="312" w:charSpace="0"/>
            </w:sectPr>
          </w:pPr>
        </w:p>
        <w:p>
          <w:pPr>
            <w:pStyle w:val="165"/>
            <w:jc w:val="center"/>
            <w:rPr>
              <w:rFonts w:ascii="黑体" w:hAnsi="黑体" w:eastAsia="黑体"/>
            </w:rPr>
          </w:pPr>
          <w:r>
            <w:rPr>
              <w:rFonts w:ascii="黑体" w:hAnsi="黑体" w:eastAsia="黑体"/>
              <w:color w:val="auto"/>
              <w:lang w:val="zh-CN"/>
            </w:rPr>
            <w:t>目</w:t>
          </w:r>
          <w:r>
            <w:rPr>
              <w:rFonts w:hint="eastAsia" w:ascii="黑体" w:hAnsi="黑体" w:eastAsia="黑体"/>
              <w:color w:val="auto"/>
              <w:lang w:val="zh-CN"/>
            </w:rPr>
            <w:t>次</w:t>
          </w:r>
        </w:p>
        <w:p>
          <w:pPr>
            <w:pStyle w:val="26"/>
            <w:spacing w:before="78" w:after="78"/>
            <w:rPr>
              <w:rFonts w:asciiTheme="minorHAnsi" w:hAnsiTheme="minorHAnsi" w:eastAsiaTheme="minorEastAsia" w:cstheme="minorBidi"/>
              <w:szCs w:val="22"/>
            </w:rPr>
          </w:pPr>
          <w:r>
            <w:fldChar w:fldCharType="begin"/>
          </w:r>
          <w:r>
            <w:instrText xml:space="preserve"> TOC \o "1-3" \h \z \u </w:instrText>
          </w:r>
          <w:r>
            <w:fldChar w:fldCharType="separate"/>
          </w:r>
          <w:r>
            <w:fldChar w:fldCharType="begin"/>
          </w:r>
          <w:r>
            <w:instrText xml:space="preserve"> HYPERLINK \l "_Toc87515296" </w:instrText>
          </w:r>
          <w:r>
            <w:fldChar w:fldCharType="separate"/>
          </w:r>
          <w:r>
            <w:rPr>
              <w:rStyle w:val="48"/>
              <w:rFonts w:ascii="黑体" w:hAnsi="黑体" w:eastAsia="黑体"/>
            </w:rPr>
            <w:t>前言</w:t>
          </w:r>
          <w:r>
            <w:tab/>
          </w:r>
          <w:r>
            <w:fldChar w:fldCharType="begin"/>
          </w:r>
          <w:r>
            <w:instrText xml:space="preserve"> PAGEREF _Toc87515296 \h </w:instrText>
          </w:r>
          <w:r>
            <w:fldChar w:fldCharType="separate"/>
          </w:r>
          <w:r>
            <w:t>II</w:t>
          </w:r>
          <w:r>
            <w:fldChar w:fldCharType="end"/>
          </w:r>
          <w:r>
            <w:fldChar w:fldCharType="end"/>
          </w:r>
        </w:p>
        <w:p>
          <w:pPr>
            <w:pStyle w:val="26"/>
            <w:spacing w:before="78" w:after="78"/>
            <w:rPr>
              <w:rFonts w:asciiTheme="minorHAnsi" w:hAnsiTheme="minorHAnsi" w:eastAsiaTheme="minorEastAsia" w:cstheme="minorBidi"/>
              <w:szCs w:val="22"/>
            </w:rPr>
          </w:pPr>
          <w:r>
            <w:fldChar w:fldCharType="begin"/>
          </w:r>
          <w:r>
            <w:instrText xml:space="preserve"> HYPERLINK \l "_Toc87515297" </w:instrText>
          </w:r>
          <w:r>
            <w:fldChar w:fldCharType="separate"/>
          </w:r>
          <w:r>
            <w:rPr>
              <w:rStyle w:val="48"/>
              <w:rFonts w:ascii="黑体" w:hAnsi="黑体" w:eastAsia="黑体"/>
            </w:rPr>
            <w:t>1  范围</w:t>
          </w:r>
          <w:r>
            <w:tab/>
          </w:r>
          <w:r>
            <w:fldChar w:fldCharType="begin"/>
          </w:r>
          <w:r>
            <w:instrText xml:space="preserve"> PAGEREF _Toc87515297 \h </w:instrText>
          </w:r>
          <w:r>
            <w:fldChar w:fldCharType="separate"/>
          </w:r>
          <w:r>
            <w:t>1</w:t>
          </w:r>
          <w:r>
            <w:fldChar w:fldCharType="end"/>
          </w:r>
          <w:r>
            <w:fldChar w:fldCharType="end"/>
          </w:r>
        </w:p>
        <w:p>
          <w:pPr>
            <w:pStyle w:val="26"/>
            <w:spacing w:before="78" w:after="78"/>
            <w:rPr>
              <w:rFonts w:asciiTheme="minorHAnsi" w:hAnsiTheme="minorHAnsi" w:eastAsiaTheme="minorEastAsia" w:cstheme="minorBidi"/>
              <w:szCs w:val="22"/>
            </w:rPr>
          </w:pPr>
          <w:r>
            <w:fldChar w:fldCharType="begin"/>
          </w:r>
          <w:r>
            <w:instrText xml:space="preserve"> HYPERLINK \l "_Toc87515298" </w:instrText>
          </w:r>
          <w:r>
            <w:fldChar w:fldCharType="separate"/>
          </w:r>
          <w:r>
            <w:rPr>
              <w:rStyle w:val="48"/>
              <w:rFonts w:ascii="黑体" w:hAnsi="黑体" w:eastAsia="黑体"/>
            </w:rPr>
            <w:t>2  规范性引用文件</w:t>
          </w:r>
          <w:r>
            <w:tab/>
          </w:r>
          <w:r>
            <w:fldChar w:fldCharType="begin"/>
          </w:r>
          <w:r>
            <w:instrText xml:space="preserve"> PAGEREF _Toc87515298 \h </w:instrText>
          </w:r>
          <w:r>
            <w:fldChar w:fldCharType="separate"/>
          </w:r>
          <w:r>
            <w:t>1</w:t>
          </w:r>
          <w:r>
            <w:fldChar w:fldCharType="end"/>
          </w:r>
          <w:r>
            <w:fldChar w:fldCharType="end"/>
          </w:r>
        </w:p>
        <w:p>
          <w:pPr>
            <w:pStyle w:val="26"/>
            <w:spacing w:before="78" w:after="78"/>
            <w:rPr>
              <w:rFonts w:asciiTheme="minorHAnsi" w:hAnsiTheme="minorHAnsi" w:eastAsiaTheme="minorEastAsia" w:cstheme="minorBidi"/>
              <w:szCs w:val="22"/>
            </w:rPr>
          </w:pPr>
          <w:r>
            <w:fldChar w:fldCharType="begin"/>
          </w:r>
          <w:r>
            <w:instrText xml:space="preserve"> HYPERLINK \l "_Toc87515299" </w:instrText>
          </w:r>
          <w:r>
            <w:fldChar w:fldCharType="separate"/>
          </w:r>
          <w:r>
            <w:rPr>
              <w:rStyle w:val="48"/>
              <w:rFonts w:ascii="黑体" w:hAnsi="黑体" w:eastAsia="黑体"/>
            </w:rPr>
            <w:t>3  术语和定义</w:t>
          </w:r>
          <w:r>
            <w:tab/>
          </w:r>
          <w:r>
            <w:fldChar w:fldCharType="begin"/>
          </w:r>
          <w:r>
            <w:instrText xml:space="preserve"> PAGEREF _Toc87515299 \h </w:instrText>
          </w:r>
          <w:r>
            <w:fldChar w:fldCharType="separate"/>
          </w:r>
          <w:r>
            <w:t>1</w:t>
          </w:r>
          <w:r>
            <w:fldChar w:fldCharType="end"/>
          </w:r>
          <w:r>
            <w:fldChar w:fldCharType="end"/>
          </w:r>
        </w:p>
        <w:p>
          <w:pPr>
            <w:pStyle w:val="26"/>
            <w:spacing w:before="78" w:after="78"/>
            <w:rPr>
              <w:rFonts w:asciiTheme="minorHAnsi" w:hAnsiTheme="minorHAnsi" w:eastAsiaTheme="minorEastAsia" w:cstheme="minorBidi"/>
              <w:szCs w:val="22"/>
            </w:rPr>
          </w:pPr>
          <w:r>
            <w:fldChar w:fldCharType="begin"/>
          </w:r>
          <w:r>
            <w:instrText xml:space="preserve"> HYPERLINK \l "_Toc87515300" </w:instrText>
          </w:r>
          <w:r>
            <w:fldChar w:fldCharType="separate"/>
          </w:r>
          <w:r>
            <w:rPr>
              <w:rStyle w:val="48"/>
              <w:rFonts w:ascii="黑体" w:hAnsi="黑体" w:eastAsia="黑体"/>
            </w:rPr>
            <w:t>4  建设原则</w:t>
          </w:r>
          <w:r>
            <w:tab/>
          </w:r>
          <w:r>
            <w:fldChar w:fldCharType="begin"/>
          </w:r>
          <w:r>
            <w:instrText xml:space="preserve"> PAGEREF _Toc87515300 \h </w:instrText>
          </w:r>
          <w:r>
            <w:fldChar w:fldCharType="separate"/>
          </w:r>
          <w:r>
            <w:t>2</w:t>
          </w:r>
          <w:r>
            <w:fldChar w:fldCharType="end"/>
          </w:r>
          <w:r>
            <w:fldChar w:fldCharType="end"/>
          </w:r>
        </w:p>
        <w:p>
          <w:pPr>
            <w:pStyle w:val="26"/>
            <w:spacing w:before="78" w:after="78"/>
            <w:rPr>
              <w:rFonts w:asciiTheme="minorHAnsi" w:hAnsiTheme="minorHAnsi" w:eastAsiaTheme="minorEastAsia" w:cstheme="minorBidi"/>
              <w:szCs w:val="22"/>
            </w:rPr>
          </w:pPr>
          <w:r>
            <w:fldChar w:fldCharType="begin"/>
          </w:r>
          <w:r>
            <w:instrText xml:space="preserve"> HYPERLINK \l "_Toc87515301" </w:instrText>
          </w:r>
          <w:r>
            <w:fldChar w:fldCharType="separate"/>
          </w:r>
          <w:r>
            <w:rPr>
              <w:rStyle w:val="48"/>
              <w:rFonts w:ascii="黑体" w:hAnsi="黑体" w:eastAsia="黑体"/>
            </w:rPr>
            <w:t>5  双重预防信息管理平台基本要求</w:t>
          </w:r>
          <w:r>
            <w:tab/>
          </w:r>
          <w:r>
            <w:fldChar w:fldCharType="begin"/>
          </w:r>
          <w:r>
            <w:instrText xml:space="preserve"> PAGEREF _Toc87515301 \h </w:instrText>
          </w:r>
          <w:r>
            <w:fldChar w:fldCharType="separate"/>
          </w:r>
          <w:r>
            <w:t>2</w:t>
          </w:r>
          <w:r>
            <w:fldChar w:fldCharType="end"/>
          </w:r>
          <w:r>
            <w:fldChar w:fldCharType="end"/>
          </w:r>
        </w:p>
        <w:p>
          <w:pPr>
            <w:pStyle w:val="26"/>
            <w:spacing w:before="78" w:after="78"/>
            <w:rPr>
              <w:rFonts w:asciiTheme="minorHAnsi" w:hAnsiTheme="minorHAnsi" w:eastAsiaTheme="minorEastAsia" w:cstheme="minorBidi"/>
              <w:szCs w:val="22"/>
            </w:rPr>
          </w:pPr>
          <w:r>
            <w:fldChar w:fldCharType="begin"/>
          </w:r>
          <w:r>
            <w:instrText xml:space="preserve"> HYPERLINK \l "_Toc87515302" </w:instrText>
          </w:r>
          <w:r>
            <w:fldChar w:fldCharType="separate"/>
          </w:r>
          <w:r>
            <w:rPr>
              <w:rStyle w:val="48"/>
              <w:rFonts w:ascii="黑体" w:hAnsi="黑体" w:eastAsia="黑体"/>
            </w:rPr>
            <w:t>6  功能规范</w:t>
          </w:r>
          <w:r>
            <w:tab/>
          </w:r>
          <w:r>
            <w:fldChar w:fldCharType="begin"/>
          </w:r>
          <w:r>
            <w:instrText xml:space="preserve"> PAGEREF _Toc87515302 \h </w:instrText>
          </w:r>
          <w:r>
            <w:fldChar w:fldCharType="separate"/>
          </w:r>
          <w:r>
            <w:t>4</w:t>
          </w:r>
          <w:r>
            <w:fldChar w:fldCharType="end"/>
          </w:r>
          <w:r>
            <w:fldChar w:fldCharType="end"/>
          </w:r>
        </w:p>
        <w:p>
          <w:pPr>
            <w:pStyle w:val="26"/>
            <w:spacing w:before="78" w:after="78"/>
            <w:rPr>
              <w:rFonts w:asciiTheme="minorHAnsi" w:hAnsiTheme="minorHAnsi" w:eastAsiaTheme="minorEastAsia" w:cstheme="minorBidi"/>
              <w:szCs w:val="22"/>
            </w:rPr>
          </w:pPr>
          <w:r>
            <w:fldChar w:fldCharType="begin"/>
          </w:r>
          <w:r>
            <w:instrText xml:space="preserve"> HYPERLINK \l "_Toc87515303" </w:instrText>
          </w:r>
          <w:r>
            <w:fldChar w:fldCharType="separate"/>
          </w:r>
          <w:r>
            <w:rPr>
              <w:rStyle w:val="48"/>
              <w:rFonts w:ascii="黑体" w:hAnsi="黑体" w:eastAsia="黑体"/>
            </w:rPr>
            <w:t>7  数据</w:t>
          </w:r>
          <w:r>
            <w:rPr>
              <w:rStyle w:val="48"/>
              <w:rFonts w:hint="eastAsia" w:ascii="黑体" w:hAnsi="黑体" w:eastAsia="黑体"/>
              <w:lang w:val="en-US"/>
            </w:rPr>
            <w:t>交换</w:t>
          </w:r>
          <w:r>
            <w:rPr>
              <w:rStyle w:val="48"/>
              <w:rFonts w:ascii="黑体" w:hAnsi="黑体" w:eastAsia="黑体"/>
            </w:rPr>
            <w:t>规范</w:t>
          </w:r>
          <w:r>
            <w:tab/>
          </w:r>
          <w:r>
            <w:rPr>
              <w:rFonts w:hint="eastAsia"/>
              <w:lang w:val="en-US" w:eastAsia="zh-CN"/>
            </w:rPr>
            <w:t>8</w:t>
          </w:r>
          <w:r>
            <w:fldChar w:fldCharType="end"/>
          </w:r>
        </w:p>
        <w:p>
          <w:pPr>
            <w:pStyle w:val="26"/>
            <w:spacing w:before="78" w:after="78"/>
            <w:rPr>
              <w:rFonts w:asciiTheme="minorHAnsi" w:hAnsiTheme="minorHAnsi" w:eastAsiaTheme="minorEastAsia" w:cstheme="minorBidi"/>
              <w:szCs w:val="22"/>
            </w:rPr>
          </w:pPr>
          <w:r>
            <w:fldChar w:fldCharType="begin"/>
          </w:r>
          <w:r>
            <w:instrText xml:space="preserve"> HYPERLINK \l "_Toc87515304" </w:instrText>
          </w:r>
          <w:r>
            <w:fldChar w:fldCharType="separate"/>
          </w:r>
          <w:r>
            <w:rPr>
              <w:rStyle w:val="48"/>
              <w:rFonts w:ascii="黑体" w:hAnsi="黑体" w:eastAsia="黑体"/>
            </w:rPr>
            <w:t>8  运行指标</w:t>
          </w:r>
          <w:r>
            <w:tab/>
          </w:r>
          <w:r>
            <w:rPr>
              <w:rFonts w:hint="eastAsia"/>
              <w:lang w:val="en-US" w:eastAsia="zh-CN"/>
            </w:rPr>
            <w:t>8</w:t>
          </w:r>
          <w:r>
            <w:fldChar w:fldCharType="end"/>
          </w:r>
        </w:p>
        <w:p>
          <w:pPr>
            <w:pStyle w:val="26"/>
            <w:spacing w:before="78" w:after="78"/>
            <w:rPr>
              <w:rFonts w:asciiTheme="minorHAnsi" w:hAnsiTheme="minorHAnsi" w:eastAsiaTheme="minorEastAsia" w:cstheme="minorBidi"/>
              <w:szCs w:val="22"/>
            </w:rPr>
          </w:pPr>
          <w:r>
            <w:fldChar w:fldCharType="begin"/>
          </w:r>
          <w:r>
            <w:instrText xml:space="preserve"> HYPERLINK \l "_Toc87515305" </w:instrText>
          </w:r>
          <w:r>
            <w:fldChar w:fldCharType="separate"/>
          </w:r>
          <w:r>
            <w:rPr>
              <w:rStyle w:val="48"/>
              <w:rFonts w:ascii="黑体" w:hAnsi="黑体" w:eastAsia="黑体"/>
            </w:rPr>
            <w:t>9  信息安全要求</w:t>
          </w:r>
          <w:r>
            <w:tab/>
          </w:r>
          <w:r>
            <w:rPr>
              <w:rFonts w:hint="eastAsia"/>
              <w:lang w:val="en-US" w:eastAsia="zh-CN"/>
            </w:rPr>
            <w:t>8</w:t>
          </w:r>
          <w:r>
            <w:fldChar w:fldCharType="end"/>
          </w:r>
        </w:p>
        <w:p>
          <w:pPr>
            <w:pStyle w:val="26"/>
            <w:spacing w:before="78" w:after="78"/>
            <w:rPr>
              <w:rFonts w:hint="eastAsia" w:eastAsia="宋体" w:asciiTheme="minorHAnsi" w:hAnsiTheme="minorHAnsi" w:cstheme="minorBidi"/>
              <w:szCs w:val="22"/>
              <w:lang w:val="en-US" w:eastAsia="zh-CN"/>
            </w:rPr>
          </w:pPr>
          <w:r>
            <w:fldChar w:fldCharType="begin"/>
          </w:r>
          <w:r>
            <w:instrText xml:space="preserve"> HYPERLINK \l "_Toc87515306" </w:instrText>
          </w:r>
          <w:r>
            <w:fldChar w:fldCharType="separate"/>
          </w:r>
          <w:r>
            <w:rPr>
              <w:rStyle w:val="48"/>
              <w:rFonts w:ascii="黑体" w:hAnsi="黑体" w:eastAsia="黑体"/>
            </w:rPr>
            <w:t>参考文献</w:t>
          </w:r>
          <w:r>
            <w:tab/>
          </w:r>
          <w:r>
            <w:rPr>
              <w:rFonts w:hint="eastAsia"/>
              <w:lang w:val="en-US" w:eastAsia="zh-CN"/>
            </w:rPr>
            <w:t>1</w:t>
          </w:r>
          <w:r>
            <w:fldChar w:fldCharType="end"/>
          </w:r>
          <w:r>
            <w:rPr>
              <w:rFonts w:hint="eastAsia"/>
              <w:lang w:val="en-US" w:eastAsia="zh-CN"/>
            </w:rPr>
            <w:t>0</w:t>
          </w:r>
        </w:p>
        <w:p>
          <w:r>
            <w:fldChar w:fldCharType="end"/>
          </w:r>
        </w:p>
      </w:sdtContent>
    </w:sdt>
    <w:p>
      <w:pPr>
        <w:pStyle w:val="30"/>
      </w:pPr>
    </w:p>
    <w:p>
      <w:pPr>
        <w:pStyle w:val="30"/>
        <w:sectPr>
          <w:footerReference r:id="rId6" w:type="default"/>
          <w:pgSz w:w="11906" w:h="16838"/>
          <w:pgMar w:top="567" w:right="1134" w:bottom="1134" w:left="1418" w:header="1418" w:footer="1134" w:gutter="0"/>
          <w:pgNumType w:fmt="upperRoman" w:start="1"/>
          <w:cols w:space="720" w:num="1"/>
          <w:formProt w:val="0"/>
          <w:docGrid w:type="lines" w:linePitch="312" w:charSpace="0"/>
        </w:sectPr>
      </w:pPr>
    </w:p>
    <w:p>
      <w:pPr>
        <w:pStyle w:val="2"/>
        <w:jc w:val="center"/>
        <w:rPr>
          <w:rFonts w:ascii="黑体" w:hAnsi="黑体" w:eastAsia="黑体"/>
          <w:sz w:val="32"/>
          <w:szCs w:val="32"/>
        </w:rPr>
      </w:pPr>
      <w:bookmarkStart w:id="1" w:name="_Toc78954525"/>
      <w:bookmarkStart w:id="2" w:name="_Toc78976571"/>
      <w:bookmarkStart w:id="3" w:name="_Toc78977302"/>
      <w:bookmarkStart w:id="4" w:name="_Toc87515296"/>
      <w:bookmarkStart w:id="5" w:name="_Toc78964226"/>
      <w:bookmarkStart w:id="6" w:name="_Toc78964067"/>
      <w:bookmarkStart w:id="7" w:name="_Toc78954526"/>
      <w:bookmarkStart w:id="8" w:name="_Toc78924633"/>
      <w:bookmarkStart w:id="9" w:name="_Toc78924387"/>
      <w:bookmarkStart w:id="10" w:name="_Toc78742042"/>
      <w:bookmarkStart w:id="11" w:name="_Toc67855266"/>
      <w:bookmarkStart w:id="12" w:name="_Toc68166129"/>
      <w:bookmarkStart w:id="13" w:name="_Toc78809343"/>
      <w:r>
        <w:rPr>
          <w:rFonts w:hint="eastAsia" w:ascii="黑体" w:hAnsi="黑体" w:eastAsia="黑体"/>
          <w:sz w:val="32"/>
          <w:szCs w:val="32"/>
        </w:rPr>
        <w:t>前</w:t>
      </w:r>
      <w:bookmarkStart w:id="14" w:name="BKQY"/>
      <w:r>
        <w:rPr>
          <w:rFonts w:hint="eastAsia" w:ascii="黑体" w:hAnsi="黑体" w:eastAsia="黑体" w:cs="MS Mincho"/>
          <w:sz w:val="32"/>
          <w:szCs w:val="32"/>
        </w:rPr>
        <w:t> </w:t>
      </w:r>
      <w:r>
        <w:rPr>
          <w:rFonts w:hint="eastAsia" w:ascii="黑体" w:hAnsi="黑体" w:eastAsia="黑体"/>
          <w:sz w:val="32"/>
          <w:szCs w:val="32"/>
        </w:rPr>
        <w:t>言</w:t>
      </w:r>
      <w:bookmarkEnd w:id="1"/>
      <w:bookmarkEnd w:id="2"/>
      <w:bookmarkEnd w:id="3"/>
      <w:bookmarkEnd w:id="4"/>
      <w:bookmarkEnd w:id="5"/>
      <w:bookmarkEnd w:id="6"/>
      <w:bookmarkEnd w:id="14"/>
    </w:p>
    <w:p>
      <w:pPr>
        <w:pStyle w:val="30"/>
        <w:rPr>
          <w:rFonts w:hAnsi="宋体" w:cs="MS Mincho"/>
          <w:szCs w:val="21"/>
          <w:highlight w:val="red"/>
        </w:rPr>
      </w:pPr>
      <w:r>
        <w:rPr>
          <w:rFonts w:hint="eastAsia"/>
        </w:rPr>
        <w:t>本文件按</w:t>
      </w:r>
      <w:r>
        <w:rPr>
          <w:rFonts w:hint="eastAsia" w:ascii="Times New Roman" w:hAnsi="Times New Roman"/>
          <w:sz w:val="21"/>
        </w:rPr>
        <w:t>照</w:t>
      </w:r>
      <w:r>
        <w:rPr>
          <w:rFonts w:ascii="Times New Roman" w:hAnsi="Times New Roman"/>
          <w:sz w:val="21"/>
        </w:rPr>
        <w:t>GB/T 1.1</w:t>
      </w:r>
      <w:r>
        <w:rPr>
          <w:rFonts w:hint="eastAsia" w:ascii="Times New Roman" w:hAnsi="Times New Roman"/>
          <w:sz w:val="21"/>
        </w:rPr>
        <w:t>—</w:t>
      </w:r>
      <w:r>
        <w:rPr>
          <w:rFonts w:ascii="Times New Roman" w:hAnsi="Times New Roman"/>
          <w:sz w:val="21"/>
        </w:rPr>
        <w:t>20</w:t>
      </w:r>
      <w:r>
        <w:rPr>
          <w:rFonts w:hint="eastAsia" w:ascii="Times New Roman" w:hAnsi="Times New Roman"/>
          <w:sz w:val="21"/>
        </w:rPr>
        <w:t>20《标准</w:t>
      </w:r>
      <w:r>
        <w:rPr>
          <w:rFonts w:hint="eastAsia"/>
        </w:rPr>
        <w:t xml:space="preserve">化工作导则 </w:t>
      </w:r>
      <w:r>
        <w:rPr>
          <w:rFonts w:hint="eastAsia" w:ascii="Times New Roman" w:hAnsi="Times New Roman"/>
          <w:sz w:val="21"/>
        </w:rPr>
        <w:t xml:space="preserve"> 第1部分：</w:t>
      </w:r>
      <w:r>
        <w:rPr>
          <w:rFonts w:hint="eastAsia"/>
        </w:rPr>
        <w:t>标准化文件的结构和起草规则》的规定起草。</w:t>
      </w:r>
    </w:p>
    <w:p>
      <w:pPr>
        <w:pStyle w:val="30"/>
        <w:rPr>
          <w:rFonts w:hAnsi="宋体"/>
          <w:szCs w:val="21"/>
        </w:rPr>
      </w:pPr>
      <w:bookmarkStart w:id="15" w:name="_Toc63584098"/>
      <w:bookmarkStart w:id="16" w:name="_Toc65136377"/>
      <w:bookmarkStart w:id="17" w:name="_Toc64732678"/>
      <w:r>
        <w:rPr>
          <w:rFonts w:hint="eastAsia" w:hAnsi="宋体"/>
          <w:szCs w:val="21"/>
        </w:rPr>
        <w:t>本</w:t>
      </w:r>
      <w:r>
        <w:rPr>
          <w:rFonts w:hint="eastAsia" w:hAnsi="宋体" w:cs="HiddenHorzOCR"/>
          <w:szCs w:val="21"/>
        </w:rPr>
        <w:t>文件</w:t>
      </w:r>
      <w:r>
        <w:rPr>
          <w:rFonts w:hint="eastAsia" w:hAnsi="宋体"/>
          <w:szCs w:val="21"/>
        </w:rPr>
        <w:t>由河北省应急管理厅提出并归口。</w:t>
      </w:r>
      <w:bookmarkEnd w:id="15"/>
      <w:bookmarkEnd w:id="16"/>
      <w:bookmarkEnd w:id="17"/>
    </w:p>
    <w:p>
      <w:pPr>
        <w:pStyle w:val="30"/>
        <w:rPr>
          <w:rFonts w:hAnsi="宋体"/>
          <w:szCs w:val="21"/>
        </w:rPr>
      </w:pPr>
      <w:bookmarkStart w:id="18" w:name="_Toc63584099"/>
      <w:bookmarkStart w:id="19" w:name="_Toc65136378"/>
      <w:bookmarkStart w:id="20" w:name="_Toc64732679"/>
      <w:r>
        <w:rPr>
          <w:rFonts w:hint="eastAsia" w:hAnsi="宋体"/>
          <w:szCs w:val="21"/>
        </w:rPr>
        <w:t>本</w:t>
      </w:r>
      <w:r>
        <w:rPr>
          <w:rFonts w:hint="eastAsia" w:hAnsi="宋体" w:cs="HiddenHorzOCR"/>
          <w:szCs w:val="21"/>
        </w:rPr>
        <w:t>文件</w:t>
      </w:r>
      <w:r>
        <w:rPr>
          <w:rFonts w:hint="eastAsia" w:hAnsi="宋体"/>
          <w:szCs w:val="21"/>
        </w:rPr>
        <w:t>起草单位：</w:t>
      </w:r>
      <w:r>
        <w:rPr>
          <w:rFonts w:hint="eastAsia" w:hAnsi="宋体"/>
          <w:bCs/>
          <w:szCs w:val="21"/>
        </w:rPr>
        <w:t>河北省应急管理科学研究院</w:t>
      </w:r>
      <w:r>
        <w:rPr>
          <w:rFonts w:hint="eastAsia" w:hAnsi="宋体"/>
          <w:szCs w:val="21"/>
        </w:rPr>
        <w:t>。</w:t>
      </w:r>
      <w:bookmarkEnd w:id="18"/>
      <w:bookmarkEnd w:id="19"/>
      <w:bookmarkEnd w:id="20"/>
    </w:p>
    <w:p>
      <w:pPr>
        <w:pStyle w:val="30"/>
        <w:rPr>
          <w:rFonts w:hAnsi="宋体"/>
          <w:szCs w:val="21"/>
        </w:rPr>
      </w:pPr>
      <w:r>
        <w:rPr>
          <w:rFonts w:hint="eastAsia" w:hAnsi="宋体"/>
          <w:szCs w:val="21"/>
        </w:rPr>
        <w:t>本</w:t>
      </w:r>
      <w:r>
        <w:rPr>
          <w:rFonts w:hint="eastAsia" w:hAnsi="宋体" w:cs="HiddenHorzOCR"/>
          <w:szCs w:val="21"/>
        </w:rPr>
        <w:t>文件</w:t>
      </w:r>
      <w:r>
        <w:rPr>
          <w:rFonts w:hint="eastAsia" w:hAnsi="宋体"/>
          <w:szCs w:val="21"/>
        </w:rPr>
        <w:t>主要起草人：</w:t>
      </w:r>
    </w:p>
    <w:p>
      <w:pPr>
        <w:pStyle w:val="30"/>
      </w:pPr>
      <w:r>
        <w:rPr>
          <w:rFonts w:hint="eastAsia"/>
        </w:rPr>
        <w:t>本</w:t>
      </w:r>
      <w:r>
        <w:rPr>
          <w:rFonts w:hint="eastAsia" w:hAnsi="宋体" w:cs="HiddenHorzOCR"/>
          <w:szCs w:val="21"/>
        </w:rPr>
        <w:t>文件</w:t>
      </w:r>
      <w:r>
        <w:rPr>
          <w:rFonts w:hint="eastAsia"/>
        </w:rPr>
        <w:t>为首次发布。</w:t>
      </w:r>
    </w:p>
    <w:p>
      <w:pPr>
        <w:pStyle w:val="39"/>
      </w:pPr>
    </w:p>
    <w:p/>
    <w:p/>
    <w:p/>
    <w:p/>
    <w:p/>
    <w:p/>
    <w:p/>
    <w:p/>
    <w:p/>
    <w:p/>
    <w:p/>
    <w:p/>
    <w:p/>
    <w:p/>
    <w:p/>
    <w:p/>
    <w:p/>
    <w:p/>
    <w:p/>
    <w:p/>
    <w:p/>
    <w:p/>
    <w:p/>
    <w:p/>
    <w:p/>
    <w:p/>
    <w:p/>
    <w:p/>
    <w:p/>
    <w:p/>
    <w:p/>
    <w:p>
      <w:pPr>
        <w:jc w:val="center"/>
        <w:rPr>
          <w:rFonts w:hint="eastAsia" w:ascii="黑体" w:hAnsi="黑体" w:eastAsia="黑体"/>
          <w:sz w:val="32"/>
          <w:szCs w:val="32"/>
        </w:rPr>
        <w:sectPr>
          <w:footerReference r:id="rId7" w:type="default"/>
          <w:pgSz w:w="11906" w:h="16838"/>
          <w:pgMar w:top="1134" w:right="1134" w:bottom="1134" w:left="1418" w:header="1418" w:footer="1134" w:gutter="0"/>
          <w:pgNumType w:fmt="upperRoman"/>
          <w:cols w:space="720" w:num="1"/>
          <w:formProt w:val="0"/>
          <w:docGrid w:type="lines" w:linePitch="312" w:charSpace="0"/>
        </w:sectPr>
      </w:pPr>
      <w:bookmarkStart w:id="21" w:name="_Toc78964068"/>
    </w:p>
    <w:p>
      <w:pPr>
        <w:jc w:val="center"/>
        <w:rPr>
          <w:rFonts w:ascii="黑体" w:hAnsi="黑体" w:eastAsia="黑体"/>
          <w:sz w:val="32"/>
          <w:szCs w:val="32"/>
        </w:rPr>
      </w:pPr>
      <w:r>
        <w:rPr>
          <w:rFonts w:hint="eastAsia" w:ascii="黑体" w:hAnsi="黑体" w:eastAsia="黑体"/>
          <w:sz w:val="32"/>
          <w:szCs w:val="32"/>
        </w:rPr>
        <w:t>双重预防机制信息管理平台建设规范</w:t>
      </w:r>
      <w:bookmarkEnd w:id="7"/>
      <w:bookmarkEnd w:id="8"/>
      <w:bookmarkEnd w:id="9"/>
      <w:bookmarkEnd w:id="21"/>
    </w:p>
    <w:p>
      <w:pPr>
        <w:pStyle w:val="2"/>
        <w:rPr>
          <w:rFonts w:ascii="黑体" w:hAnsi="黑体" w:eastAsia="黑体"/>
          <w:sz w:val="21"/>
          <w:szCs w:val="21"/>
        </w:rPr>
      </w:pPr>
      <w:bookmarkStart w:id="22" w:name="_Toc78964069"/>
      <w:bookmarkStart w:id="23" w:name="_Toc78976572"/>
      <w:bookmarkStart w:id="24" w:name="_Toc78924388"/>
      <w:bookmarkStart w:id="25" w:name="_Toc78924634"/>
      <w:bookmarkStart w:id="26" w:name="_Toc78954527"/>
      <w:bookmarkStart w:id="27" w:name="_Toc87515297"/>
      <w:bookmarkStart w:id="28" w:name="_Toc78964227"/>
      <w:bookmarkStart w:id="29" w:name="_Toc78977303"/>
      <w:r>
        <w:rPr>
          <w:rFonts w:hint="eastAsia" w:ascii="黑体" w:hAnsi="黑体" w:eastAsia="黑体"/>
          <w:sz w:val="21"/>
          <w:szCs w:val="21"/>
        </w:rPr>
        <w:t>1</w:t>
      </w:r>
      <w:r>
        <w:rPr>
          <w:rFonts w:ascii="黑体" w:hAnsi="黑体" w:eastAsia="黑体"/>
          <w:sz w:val="21"/>
          <w:szCs w:val="21"/>
        </w:rPr>
        <w:t xml:space="preserve">  </w:t>
      </w:r>
      <w:r>
        <w:rPr>
          <w:rFonts w:hint="eastAsia" w:ascii="黑体" w:hAnsi="黑体" w:eastAsia="黑体"/>
          <w:sz w:val="21"/>
          <w:szCs w:val="21"/>
        </w:rPr>
        <w:t>范围</w:t>
      </w:r>
      <w:bookmarkEnd w:id="10"/>
      <w:bookmarkEnd w:id="11"/>
      <w:bookmarkEnd w:id="12"/>
      <w:bookmarkEnd w:id="13"/>
      <w:bookmarkEnd w:id="22"/>
      <w:bookmarkEnd w:id="23"/>
      <w:bookmarkEnd w:id="24"/>
      <w:bookmarkEnd w:id="25"/>
      <w:bookmarkEnd w:id="26"/>
      <w:bookmarkEnd w:id="27"/>
      <w:bookmarkEnd w:id="28"/>
      <w:bookmarkEnd w:id="29"/>
    </w:p>
    <w:p>
      <w:pPr>
        <w:spacing w:line="360" w:lineRule="auto"/>
        <w:ind w:firstLine="424" w:firstLineChars="202"/>
        <w:rPr>
          <w:rFonts w:ascii="宋体" w:hAnsi="宋体"/>
          <w:szCs w:val="21"/>
        </w:rPr>
      </w:pPr>
      <w:r>
        <w:rPr>
          <w:rFonts w:hint="eastAsia" w:ascii="宋体" w:hAnsi="宋体"/>
          <w:szCs w:val="21"/>
        </w:rPr>
        <w:t>本标准规定了双重预防机制信息管理平台的建设相关要求。</w:t>
      </w:r>
    </w:p>
    <w:p>
      <w:pPr>
        <w:spacing w:line="360" w:lineRule="auto"/>
        <w:ind w:firstLine="424" w:firstLineChars="202"/>
        <w:rPr>
          <w:rFonts w:ascii="宋体" w:hAnsi="宋体"/>
          <w:szCs w:val="21"/>
        </w:rPr>
      </w:pPr>
      <w:r>
        <w:rPr>
          <w:rFonts w:hint="eastAsia" w:ascii="宋体" w:hAnsi="宋体"/>
          <w:szCs w:val="21"/>
        </w:rPr>
        <w:t>本标准适用于企业</w:t>
      </w:r>
      <w:r>
        <w:rPr>
          <w:rFonts w:hint="eastAsia"/>
          <w:color w:val="000000"/>
          <w:szCs w:val="21"/>
        </w:rPr>
        <w:t>双重预防信息</w:t>
      </w:r>
      <w:r>
        <w:rPr>
          <w:rFonts w:hint="eastAsia" w:ascii="宋体" w:hAnsi="宋体"/>
          <w:szCs w:val="21"/>
        </w:rPr>
        <w:t>管理</w:t>
      </w:r>
      <w:r>
        <w:rPr>
          <w:rFonts w:hint="eastAsia"/>
          <w:color w:val="000000"/>
          <w:szCs w:val="21"/>
        </w:rPr>
        <w:t>平台的设计、实施、验收及运行维护</w:t>
      </w:r>
      <w:r>
        <w:rPr>
          <w:rFonts w:hint="eastAsia"/>
          <w:color w:val="000000"/>
          <w:szCs w:val="21"/>
          <w:lang w:eastAsia="zh-CN"/>
        </w:rPr>
        <w:t>，</w:t>
      </w:r>
      <w:r>
        <w:rPr>
          <w:rFonts w:hint="eastAsia"/>
          <w:color w:val="000000"/>
          <w:szCs w:val="21"/>
          <w:lang w:val="en-US" w:eastAsia="zh-CN"/>
        </w:rPr>
        <w:t>其他企事业单位可参照本标准建设</w:t>
      </w:r>
      <w:r>
        <w:rPr>
          <w:rFonts w:hint="eastAsia" w:ascii="宋体" w:hAnsi="宋体"/>
          <w:szCs w:val="21"/>
        </w:rPr>
        <w:t>。</w:t>
      </w:r>
    </w:p>
    <w:p>
      <w:pPr>
        <w:pStyle w:val="2"/>
        <w:rPr>
          <w:rFonts w:ascii="黑体" w:hAnsi="黑体" w:eastAsia="黑体"/>
          <w:sz w:val="21"/>
          <w:szCs w:val="21"/>
        </w:rPr>
      </w:pPr>
      <w:bookmarkStart w:id="30" w:name="_Toc78964228"/>
      <w:bookmarkStart w:id="31" w:name="_Toc78742043"/>
      <w:bookmarkStart w:id="32" w:name="_Toc67855267"/>
      <w:bookmarkStart w:id="33" w:name="_Toc78976573"/>
      <w:bookmarkStart w:id="34" w:name="_Toc87515298"/>
      <w:bookmarkStart w:id="35" w:name="_Toc78954528"/>
      <w:bookmarkStart w:id="36" w:name="_Toc78977304"/>
      <w:bookmarkStart w:id="37" w:name="_Toc78924635"/>
      <w:bookmarkStart w:id="38" w:name="_Toc78809344"/>
      <w:bookmarkStart w:id="39" w:name="_Toc78924389"/>
      <w:bookmarkStart w:id="40" w:name="_Toc78964070"/>
      <w:bookmarkStart w:id="41" w:name="_Toc68166130"/>
      <w:r>
        <w:rPr>
          <w:rFonts w:hint="eastAsia" w:ascii="黑体" w:hAnsi="黑体" w:eastAsia="黑体"/>
          <w:sz w:val="21"/>
          <w:szCs w:val="21"/>
        </w:rPr>
        <w:t>2</w:t>
      </w:r>
      <w:r>
        <w:rPr>
          <w:rFonts w:ascii="黑体" w:hAnsi="黑体" w:eastAsia="黑体"/>
          <w:sz w:val="21"/>
          <w:szCs w:val="21"/>
        </w:rPr>
        <w:t xml:space="preserve">  </w:t>
      </w:r>
      <w:r>
        <w:rPr>
          <w:rFonts w:hint="eastAsia" w:ascii="黑体" w:hAnsi="黑体" w:eastAsia="黑体"/>
          <w:sz w:val="21"/>
          <w:szCs w:val="21"/>
        </w:rPr>
        <w:t>规范性引用文件</w:t>
      </w:r>
      <w:bookmarkEnd w:id="30"/>
      <w:bookmarkEnd w:id="31"/>
      <w:bookmarkEnd w:id="32"/>
      <w:bookmarkEnd w:id="33"/>
      <w:bookmarkEnd w:id="34"/>
      <w:bookmarkEnd w:id="35"/>
      <w:bookmarkEnd w:id="36"/>
      <w:bookmarkEnd w:id="37"/>
      <w:bookmarkEnd w:id="38"/>
      <w:bookmarkEnd w:id="39"/>
      <w:bookmarkEnd w:id="40"/>
      <w:bookmarkEnd w:id="41"/>
    </w:p>
    <w:p>
      <w:pPr>
        <w:spacing w:line="360" w:lineRule="auto"/>
        <w:ind w:firstLine="424" w:firstLineChars="202"/>
        <w:rPr>
          <w:rFonts w:ascii="宋体" w:hAnsi="宋体"/>
          <w:szCs w:val="21"/>
        </w:rPr>
      </w:pPr>
      <w:r>
        <w:rPr>
          <w:rFonts w:hint="eastAsia" w:ascii="宋体" w:hAnsi="宋体"/>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pPr>
        <w:spacing w:line="360" w:lineRule="auto"/>
        <w:ind w:firstLine="424" w:firstLineChars="202"/>
        <w:rPr>
          <w:rFonts w:hint="eastAsia"/>
          <w:color w:val="000000"/>
          <w:szCs w:val="21"/>
        </w:rPr>
      </w:pPr>
      <w:r>
        <w:rPr>
          <w:rFonts w:hint="eastAsia"/>
          <w:color w:val="000000"/>
          <w:szCs w:val="21"/>
        </w:rPr>
        <w:t>GB 6441-86 企业职工伤亡事故分类标准</w:t>
      </w:r>
    </w:p>
    <w:p>
      <w:pPr>
        <w:spacing w:line="360" w:lineRule="auto"/>
        <w:ind w:firstLine="424" w:firstLineChars="202"/>
        <w:rPr>
          <w:rFonts w:hint="eastAsia"/>
          <w:color w:val="000000"/>
          <w:szCs w:val="21"/>
        </w:rPr>
      </w:pPr>
      <w:r>
        <w:rPr>
          <w:rFonts w:hint="eastAsia"/>
          <w:color w:val="000000"/>
          <w:szCs w:val="21"/>
        </w:rPr>
        <w:t>GB/T 13861-2009 生产过程危险和有害因素分类与代码</w:t>
      </w:r>
    </w:p>
    <w:p>
      <w:pPr>
        <w:spacing w:line="360" w:lineRule="auto"/>
        <w:ind w:firstLine="424" w:firstLineChars="202"/>
        <w:rPr>
          <w:rFonts w:hint="eastAsia"/>
          <w:color w:val="000000"/>
          <w:szCs w:val="21"/>
        </w:rPr>
      </w:pPr>
      <w:r>
        <w:rPr>
          <w:rFonts w:hint="eastAsia"/>
          <w:color w:val="000000"/>
          <w:szCs w:val="21"/>
        </w:rPr>
        <w:t>GB/T 23694-2009 风险管理 术语</w:t>
      </w:r>
    </w:p>
    <w:p>
      <w:pPr>
        <w:spacing w:line="360" w:lineRule="auto"/>
        <w:ind w:firstLine="424" w:firstLineChars="202"/>
        <w:rPr>
          <w:rFonts w:hint="eastAsia"/>
          <w:color w:val="000000"/>
          <w:szCs w:val="21"/>
        </w:rPr>
      </w:pPr>
      <w:r>
        <w:rPr>
          <w:rFonts w:hint="eastAsia"/>
          <w:color w:val="000000"/>
          <w:szCs w:val="21"/>
        </w:rPr>
        <w:t>DB13/T 2937—2019 非煤矿山双重预防机制建设规范</w:t>
      </w:r>
    </w:p>
    <w:p>
      <w:pPr>
        <w:spacing w:line="360" w:lineRule="auto"/>
        <w:ind w:firstLine="424" w:firstLineChars="202"/>
        <w:rPr>
          <w:rFonts w:hint="eastAsia" w:ascii="宋体" w:hAnsi="宋体"/>
          <w:szCs w:val="21"/>
        </w:rPr>
      </w:pPr>
      <w:r>
        <w:rPr>
          <w:rFonts w:hint="eastAsia"/>
          <w:color w:val="000000"/>
          <w:szCs w:val="21"/>
        </w:rPr>
        <w:t>AII/001-2021 工业互联网标</w:t>
      </w:r>
      <w:r>
        <w:rPr>
          <w:rFonts w:hint="eastAsia" w:ascii="宋体" w:hAnsi="宋体"/>
          <w:szCs w:val="21"/>
        </w:rPr>
        <w:t>识解析 二级节点技术要求</w:t>
      </w:r>
    </w:p>
    <w:p>
      <w:pPr>
        <w:pStyle w:val="2"/>
        <w:spacing w:line="360" w:lineRule="auto"/>
        <w:rPr>
          <w:rFonts w:ascii="黑体" w:hAnsi="黑体" w:eastAsia="黑体"/>
          <w:sz w:val="21"/>
          <w:szCs w:val="21"/>
        </w:rPr>
      </w:pPr>
      <w:bookmarkStart w:id="42" w:name="_Toc63584102"/>
      <w:bookmarkStart w:id="43" w:name="_Toc64732682"/>
      <w:bookmarkStart w:id="44" w:name="_Toc67855269"/>
      <w:bookmarkStart w:id="45" w:name="_Toc78809346"/>
      <w:bookmarkStart w:id="46" w:name="_Toc78742045"/>
      <w:bookmarkStart w:id="47" w:name="_Toc68166132"/>
      <w:bookmarkStart w:id="48" w:name="_Toc65136381"/>
      <w:bookmarkStart w:id="49" w:name="_Toc78924390"/>
      <w:bookmarkStart w:id="50" w:name="_Toc78964229"/>
      <w:bookmarkStart w:id="51" w:name="_Toc78924636"/>
      <w:bookmarkStart w:id="52" w:name="_Toc78954529"/>
      <w:bookmarkStart w:id="53" w:name="_Toc78976574"/>
      <w:bookmarkStart w:id="54" w:name="_Toc87515299"/>
      <w:bookmarkStart w:id="55" w:name="_Toc78964071"/>
      <w:bookmarkStart w:id="56" w:name="_Toc78977305"/>
      <w:r>
        <w:rPr>
          <w:rFonts w:hint="eastAsia" w:ascii="黑体" w:hAnsi="黑体" w:eastAsia="黑体"/>
          <w:sz w:val="21"/>
          <w:szCs w:val="21"/>
        </w:rPr>
        <w:t>3</w:t>
      </w:r>
      <w:r>
        <w:rPr>
          <w:rFonts w:ascii="黑体" w:hAnsi="黑体" w:eastAsia="黑体"/>
          <w:sz w:val="21"/>
          <w:szCs w:val="21"/>
        </w:rPr>
        <w:t xml:space="preserve">  </w:t>
      </w:r>
      <w:r>
        <w:rPr>
          <w:rFonts w:hint="eastAsia" w:ascii="黑体" w:hAnsi="黑体" w:eastAsia="黑体"/>
          <w:sz w:val="21"/>
          <w:szCs w:val="21"/>
        </w:rPr>
        <w:t>术语</w:t>
      </w:r>
      <w:bookmarkEnd w:id="42"/>
      <w:bookmarkEnd w:id="43"/>
      <w:bookmarkEnd w:id="44"/>
      <w:bookmarkEnd w:id="45"/>
      <w:bookmarkEnd w:id="46"/>
      <w:bookmarkEnd w:id="47"/>
      <w:bookmarkEnd w:id="48"/>
      <w:r>
        <w:rPr>
          <w:rFonts w:hint="eastAsia" w:ascii="黑体" w:hAnsi="黑体" w:eastAsia="黑体"/>
          <w:sz w:val="21"/>
          <w:szCs w:val="21"/>
        </w:rPr>
        <w:t>和定义</w:t>
      </w:r>
      <w:bookmarkEnd w:id="49"/>
      <w:bookmarkEnd w:id="50"/>
      <w:bookmarkEnd w:id="51"/>
      <w:bookmarkEnd w:id="52"/>
      <w:bookmarkEnd w:id="53"/>
      <w:bookmarkEnd w:id="54"/>
      <w:bookmarkEnd w:id="55"/>
      <w:bookmarkEnd w:id="56"/>
    </w:p>
    <w:p>
      <w:pPr>
        <w:spacing w:line="360" w:lineRule="auto"/>
        <w:ind w:firstLine="424" w:firstLineChars="202"/>
      </w:pPr>
      <w:r>
        <w:rPr>
          <w:rFonts w:hint="eastAsia"/>
          <w:color w:val="000000"/>
          <w:szCs w:val="21"/>
        </w:rPr>
        <w:t>GB/T 23694-2009中</w:t>
      </w:r>
      <w:r>
        <w:rPr>
          <w:rFonts w:hint="eastAsia"/>
          <w:szCs w:val="21"/>
        </w:rPr>
        <w:t>界定的以及下列术语和定义适用于本文件。</w:t>
      </w:r>
    </w:p>
    <w:p>
      <w:pPr>
        <w:spacing w:line="360" w:lineRule="auto"/>
        <w:rPr>
          <w:rFonts w:ascii="黑体" w:hAnsi="黑体" w:eastAsia="黑体" w:cs="黑体"/>
          <w:szCs w:val="21"/>
        </w:rPr>
      </w:pPr>
      <w:r>
        <w:rPr>
          <w:rFonts w:hint="eastAsia" w:ascii="黑体" w:hAnsi="黑体" w:eastAsia="黑体" w:cs="黑体"/>
          <w:szCs w:val="21"/>
        </w:rPr>
        <w:t xml:space="preserve">3.1 </w:t>
      </w:r>
    </w:p>
    <w:p>
      <w:pPr>
        <w:spacing w:line="360" w:lineRule="auto"/>
        <w:ind w:firstLine="424" w:firstLineChars="202"/>
        <w:rPr>
          <w:rFonts w:ascii="黑体" w:hAnsi="黑体" w:eastAsia="黑体"/>
          <w:color w:val="000000"/>
          <w:szCs w:val="21"/>
        </w:rPr>
      </w:pPr>
      <w:r>
        <w:rPr>
          <w:rFonts w:hint="eastAsia" w:ascii="黑体" w:hAnsi="黑体" w:eastAsia="黑体"/>
          <w:color w:val="000000"/>
          <w:szCs w:val="21"/>
        </w:rPr>
        <w:t xml:space="preserve">双重预防体系信息管理平台 </w:t>
      </w:r>
      <w:r>
        <w:rPr>
          <w:rFonts w:ascii="黑体" w:hAnsi="黑体" w:eastAsia="黑体"/>
          <w:color w:val="000000"/>
          <w:szCs w:val="21"/>
        </w:rPr>
        <w:t>Double prevention system information management platform</w:t>
      </w:r>
    </w:p>
    <w:p>
      <w:pPr>
        <w:spacing w:line="360" w:lineRule="auto"/>
        <w:ind w:firstLine="424" w:firstLineChars="202"/>
        <w:rPr>
          <w:rFonts w:hint="eastAsia" w:ascii="宋体" w:hAnsi="宋体" w:eastAsia="宋体"/>
          <w:szCs w:val="21"/>
          <w:lang w:eastAsia="zh-CN"/>
        </w:rPr>
      </w:pPr>
      <w:r>
        <w:rPr>
          <w:rFonts w:hint="eastAsia" w:ascii="宋体" w:hAnsi="宋体" w:cs="宋体"/>
          <w:color w:val="000000"/>
          <w:kern w:val="0"/>
          <w:szCs w:val="21"/>
        </w:rPr>
        <w:t>通过</w:t>
      </w:r>
      <w:r>
        <w:rPr>
          <w:rFonts w:hint="eastAsia" w:ascii="宋体" w:hAnsi="宋体" w:cs="宋体"/>
          <w:color w:val="000000"/>
          <w:kern w:val="0"/>
          <w:szCs w:val="21"/>
          <w:highlight w:val="none"/>
        </w:rPr>
        <w:t>信息化</w:t>
      </w:r>
      <w:r>
        <w:rPr>
          <w:rFonts w:hint="eastAsia" w:ascii="宋体" w:hAnsi="宋体" w:cs="宋体"/>
          <w:color w:val="000000"/>
          <w:kern w:val="0"/>
          <w:szCs w:val="21"/>
        </w:rPr>
        <w:t>技术实现对安全生产风险分级管控和隐患排查治理过程</w:t>
      </w:r>
      <w:r>
        <w:rPr>
          <w:rFonts w:hint="eastAsia" w:ascii="宋体" w:hAnsi="宋体" w:cs="宋体"/>
          <w:color w:val="000000"/>
          <w:kern w:val="0"/>
          <w:szCs w:val="21"/>
          <w:lang w:val="en-US" w:eastAsia="zh-CN"/>
        </w:rPr>
        <w:t>管理</w:t>
      </w:r>
      <w:r>
        <w:rPr>
          <w:rFonts w:hint="eastAsia" w:ascii="宋体" w:hAnsi="宋体"/>
          <w:szCs w:val="21"/>
        </w:rPr>
        <w:t>，</w:t>
      </w:r>
      <w:r>
        <w:rPr>
          <w:rFonts w:hint="eastAsia" w:ascii="宋体" w:hAnsi="宋体"/>
          <w:szCs w:val="21"/>
          <w:lang w:val="en-US" w:eastAsia="zh-CN"/>
        </w:rPr>
        <w:t>利用</w:t>
      </w:r>
      <w:r>
        <w:rPr>
          <w:rFonts w:hint="eastAsia" w:ascii="宋体" w:hAnsi="宋体"/>
          <w:szCs w:val="21"/>
        </w:rPr>
        <w:t>信息</w:t>
      </w:r>
      <w:r>
        <w:rPr>
          <w:rFonts w:hint="eastAsia" w:ascii="宋体" w:hAnsi="宋体"/>
          <w:szCs w:val="21"/>
          <w:lang w:val="en-US" w:eastAsia="zh-CN"/>
        </w:rPr>
        <w:t>管理</w:t>
      </w:r>
      <w:r>
        <w:rPr>
          <w:rFonts w:hint="eastAsia" w:ascii="宋体" w:hAnsi="宋体"/>
          <w:szCs w:val="21"/>
        </w:rPr>
        <w:t>平台的记录和控制机制实现双重预防体系的数据共享和业务协同。同时，</w:t>
      </w:r>
      <w:r>
        <w:rPr>
          <w:rFonts w:hint="eastAsia" w:ascii="宋体" w:hAnsi="宋体"/>
          <w:szCs w:val="21"/>
          <w:lang w:val="en-US" w:eastAsia="zh-CN"/>
        </w:rPr>
        <w:t>支持</w:t>
      </w:r>
      <w:r>
        <w:rPr>
          <w:rFonts w:hint="eastAsia" w:ascii="宋体" w:hAnsi="宋体"/>
          <w:szCs w:val="21"/>
        </w:rPr>
        <w:t>与其他信息化系统进行有机结合，实现与政府端数据互联互通</w:t>
      </w:r>
      <w:r>
        <w:rPr>
          <w:rFonts w:hint="eastAsia" w:ascii="宋体" w:hAnsi="宋体"/>
          <w:szCs w:val="21"/>
          <w:lang w:eastAsia="zh-CN"/>
        </w:rPr>
        <w:t>。</w:t>
      </w:r>
    </w:p>
    <w:p>
      <w:pPr>
        <w:spacing w:line="360" w:lineRule="auto"/>
        <w:rPr>
          <w:rFonts w:ascii="黑体" w:hAnsi="黑体" w:eastAsia="黑体" w:cs="黑体"/>
          <w:szCs w:val="21"/>
        </w:rPr>
      </w:pPr>
      <w:r>
        <w:rPr>
          <w:rFonts w:hint="eastAsia" w:ascii="黑体" w:hAnsi="黑体" w:eastAsia="黑体" w:cs="黑体"/>
          <w:szCs w:val="21"/>
        </w:rPr>
        <w:t>3.2</w:t>
      </w:r>
    </w:p>
    <w:p>
      <w:pPr>
        <w:spacing w:line="360" w:lineRule="auto"/>
        <w:ind w:firstLine="424" w:firstLineChars="202"/>
        <w:rPr>
          <w:rFonts w:ascii="黑体" w:hAnsi="黑体" w:eastAsia="黑体"/>
          <w:color w:val="000000"/>
          <w:szCs w:val="21"/>
        </w:rPr>
      </w:pPr>
      <w:r>
        <w:rPr>
          <w:rFonts w:hint="eastAsia" w:ascii="黑体" w:hAnsi="黑体" w:eastAsia="黑体"/>
          <w:color w:val="000000"/>
          <w:szCs w:val="21"/>
        </w:rPr>
        <w:t>双重预防机制 dual preventive mechanisms</w:t>
      </w:r>
    </w:p>
    <w:p>
      <w:pPr>
        <w:spacing w:line="360" w:lineRule="auto"/>
        <w:ind w:firstLine="424" w:firstLineChars="202"/>
        <w:rPr>
          <w:rFonts w:ascii="宋体" w:hAnsi="宋体"/>
          <w:szCs w:val="21"/>
        </w:rPr>
      </w:pPr>
      <w:r>
        <w:rPr>
          <w:rFonts w:hint="eastAsia" w:ascii="宋体" w:hAnsi="宋体"/>
          <w:szCs w:val="21"/>
        </w:rPr>
        <w:t>安全风险分级管控和事故隐患排查治理两个方面的预防性工作。</w:t>
      </w:r>
    </w:p>
    <w:p>
      <w:pPr>
        <w:spacing w:line="360" w:lineRule="auto"/>
        <w:rPr>
          <w:rFonts w:hint="eastAsia" w:ascii="黑体" w:hAnsi="黑体" w:eastAsia="黑体" w:cs="黑体"/>
          <w:szCs w:val="21"/>
          <w:lang w:eastAsia="zh-CN"/>
        </w:rPr>
      </w:pPr>
      <w:r>
        <w:rPr>
          <w:rFonts w:hint="eastAsia" w:ascii="黑体" w:hAnsi="黑体" w:eastAsia="黑体" w:cs="黑体"/>
          <w:szCs w:val="21"/>
        </w:rPr>
        <w:t>3.</w:t>
      </w:r>
      <w:r>
        <w:rPr>
          <w:rFonts w:hint="eastAsia" w:ascii="黑体" w:hAnsi="黑体" w:eastAsia="黑体" w:cs="黑体"/>
          <w:szCs w:val="21"/>
          <w:lang w:val="en-US" w:eastAsia="zh-CN"/>
        </w:rPr>
        <w:t>3</w:t>
      </w:r>
    </w:p>
    <w:p>
      <w:pPr>
        <w:spacing w:line="360" w:lineRule="auto"/>
        <w:ind w:firstLine="424" w:firstLineChars="202"/>
        <w:rPr>
          <w:rFonts w:ascii="黑体" w:hAnsi="黑体" w:eastAsia="黑体" w:cs="黑体"/>
          <w:szCs w:val="21"/>
        </w:rPr>
      </w:pPr>
      <w:r>
        <w:rPr>
          <w:rFonts w:hint="eastAsia" w:ascii="黑体" w:hAnsi="黑体" w:eastAsia="黑体"/>
          <w:color w:val="000000"/>
          <w:szCs w:val="21"/>
        </w:rPr>
        <w:t>安全风险 security risks</w:t>
      </w:r>
    </w:p>
    <w:p>
      <w:pPr>
        <w:widowControl/>
        <w:ind w:firstLine="420" w:firstLineChars="200"/>
        <w:jc w:val="left"/>
        <w:rPr>
          <w:rFonts w:ascii="宋体" w:hAnsi="宋体" w:cs="宋体"/>
          <w:kern w:val="0"/>
          <w:sz w:val="24"/>
        </w:rPr>
      </w:pPr>
      <w:r>
        <w:rPr>
          <w:rFonts w:hint="eastAsia" w:ascii="宋体" w:hAnsi="宋体" w:cs="宋体"/>
          <w:color w:val="000000"/>
          <w:kern w:val="0"/>
          <w:szCs w:val="21"/>
        </w:rPr>
        <w:t xml:space="preserve">生产安全事故或健康损害事件发生的可能性和严重性的组合。 </w:t>
      </w:r>
    </w:p>
    <w:p>
      <w:pPr>
        <w:spacing w:line="360" w:lineRule="auto"/>
        <w:rPr>
          <w:rFonts w:hint="eastAsia" w:ascii="黑体" w:hAnsi="黑体" w:eastAsia="黑体" w:cs="黑体"/>
          <w:szCs w:val="21"/>
          <w:lang w:eastAsia="zh-CN"/>
        </w:rPr>
      </w:pPr>
      <w:r>
        <w:rPr>
          <w:rFonts w:hint="eastAsia" w:ascii="黑体" w:hAnsi="黑体" w:eastAsia="黑体" w:cs="黑体"/>
          <w:szCs w:val="21"/>
        </w:rPr>
        <w:t>3.</w:t>
      </w:r>
      <w:r>
        <w:rPr>
          <w:rFonts w:hint="eastAsia" w:ascii="黑体" w:hAnsi="黑体" w:eastAsia="黑体" w:cs="黑体"/>
          <w:szCs w:val="21"/>
          <w:lang w:val="en-US" w:eastAsia="zh-CN"/>
        </w:rPr>
        <w:t>4</w:t>
      </w:r>
    </w:p>
    <w:p>
      <w:pPr>
        <w:spacing w:line="360" w:lineRule="auto"/>
        <w:ind w:firstLine="424" w:firstLineChars="202"/>
        <w:rPr>
          <w:rFonts w:ascii="黑体" w:hAnsi="黑体" w:eastAsia="黑体"/>
          <w:color w:val="000000"/>
          <w:szCs w:val="21"/>
        </w:rPr>
      </w:pPr>
      <w:r>
        <w:rPr>
          <w:rFonts w:hint="eastAsia" w:ascii="黑体" w:hAnsi="黑体" w:eastAsia="黑体"/>
          <w:color w:val="000000"/>
          <w:szCs w:val="21"/>
        </w:rPr>
        <w:t>事故隐患 hidden accident</w:t>
      </w:r>
    </w:p>
    <w:p>
      <w:pPr>
        <w:spacing w:line="360" w:lineRule="auto"/>
        <w:ind w:firstLine="424" w:firstLineChars="202"/>
        <w:rPr>
          <w:rFonts w:ascii="黑体" w:hAnsi="黑体" w:eastAsia="黑体"/>
          <w:color w:val="000000"/>
          <w:szCs w:val="21"/>
        </w:rPr>
      </w:pPr>
      <w:r>
        <w:rPr>
          <w:rFonts w:hint="eastAsia" w:ascii="宋体" w:hAnsi="宋体" w:cs="宋体"/>
          <w:color w:val="000000"/>
          <w:kern w:val="0"/>
          <w:szCs w:val="21"/>
        </w:rPr>
        <w:t>违反安全生产法律、法规、规章、标准、规程和安全生产管理制度的规定，或者因其他因素在生产经营活动中存在可能导致事故发生或导致事故后果扩大的物的不安全状态、人的不安全行为和管理上的缺陷</w:t>
      </w:r>
      <w:r>
        <w:rPr>
          <w:rFonts w:hint="eastAsia" w:ascii="宋体" w:hAnsi="宋体"/>
          <w:szCs w:val="21"/>
        </w:rPr>
        <w:t>。</w:t>
      </w:r>
    </w:p>
    <w:p>
      <w:pPr>
        <w:pStyle w:val="2"/>
        <w:spacing w:line="360" w:lineRule="auto"/>
        <w:rPr>
          <w:rFonts w:ascii="黑体" w:hAnsi="黑体" w:eastAsia="黑体"/>
          <w:sz w:val="21"/>
          <w:szCs w:val="21"/>
        </w:rPr>
      </w:pPr>
      <w:bookmarkStart w:id="57" w:name="_Toc78809347"/>
      <w:bookmarkStart w:id="58" w:name="_Toc78924391"/>
      <w:bookmarkStart w:id="59" w:name="_Toc78954530"/>
      <w:bookmarkStart w:id="60" w:name="_Toc67855270"/>
      <w:bookmarkStart w:id="61" w:name="_Toc78964072"/>
      <w:bookmarkStart w:id="62" w:name="_Toc63584103"/>
      <w:bookmarkStart w:id="63" w:name="_Toc65136382"/>
      <w:bookmarkStart w:id="64" w:name="_Toc78977306"/>
      <w:bookmarkStart w:id="65" w:name="_Toc78976575"/>
      <w:bookmarkStart w:id="66" w:name="_Toc78924637"/>
      <w:bookmarkStart w:id="67" w:name="_Toc78742046"/>
      <w:bookmarkStart w:id="68" w:name="_Toc78964230"/>
      <w:bookmarkStart w:id="69" w:name="_Toc64732683"/>
      <w:bookmarkStart w:id="70" w:name="_Toc68166133"/>
      <w:bookmarkStart w:id="71" w:name="_Toc87515300"/>
      <w:r>
        <w:rPr>
          <w:rFonts w:hint="eastAsia" w:ascii="黑体" w:hAnsi="黑体" w:eastAsia="黑体"/>
          <w:sz w:val="21"/>
          <w:szCs w:val="21"/>
        </w:rPr>
        <w:t>4</w:t>
      </w:r>
      <w:r>
        <w:rPr>
          <w:rFonts w:ascii="黑体" w:hAnsi="黑体" w:eastAsia="黑体"/>
          <w:sz w:val="21"/>
          <w:szCs w:val="21"/>
        </w:rPr>
        <w:t xml:space="preserve">  </w:t>
      </w:r>
      <w:bookmarkEnd w:id="57"/>
      <w:bookmarkEnd w:id="58"/>
      <w:bookmarkEnd w:id="59"/>
      <w:bookmarkEnd w:id="60"/>
      <w:bookmarkEnd w:id="61"/>
      <w:bookmarkEnd w:id="62"/>
      <w:bookmarkEnd w:id="63"/>
      <w:bookmarkEnd w:id="64"/>
      <w:bookmarkEnd w:id="65"/>
      <w:bookmarkEnd w:id="66"/>
      <w:bookmarkEnd w:id="67"/>
      <w:bookmarkEnd w:id="68"/>
      <w:bookmarkEnd w:id="69"/>
      <w:bookmarkEnd w:id="70"/>
      <w:r>
        <w:rPr>
          <w:rFonts w:hint="eastAsia" w:ascii="黑体" w:hAnsi="黑体" w:eastAsia="黑体"/>
          <w:sz w:val="21"/>
          <w:szCs w:val="21"/>
        </w:rPr>
        <w:t>建设原则</w:t>
      </w:r>
      <w:bookmarkEnd w:id="71"/>
    </w:p>
    <w:p>
      <w:pPr>
        <w:spacing w:line="360" w:lineRule="auto"/>
        <w:rPr>
          <w:rFonts w:hint="eastAsia" w:ascii="黑体" w:hAnsi="黑体" w:eastAsia="黑体"/>
          <w:color w:val="000000"/>
          <w:szCs w:val="21"/>
        </w:rPr>
      </w:pPr>
      <w:r>
        <w:rPr>
          <w:rFonts w:hint="eastAsia" w:ascii="黑体" w:hAnsi="黑体" w:eastAsia="黑体"/>
          <w:color w:val="000000"/>
          <w:szCs w:val="21"/>
        </w:rPr>
        <w:t xml:space="preserve">4.1 </w:t>
      </w:r>
      <w:r>
        <w:rPr>
          <w:rFonts w:ascii="宋体" w:hAnsi="宋体"/>
          <w:szCs w:val="21"/>
        </w:rPr>
        <w:t xml:space="preserve"> </w:t>
      </w:r>
      <w:r>
        <w:rPr>
          <w:rFonts w:hint="eastAsia" w:ascii="黑体" w:hAnsi="黑体" w:eastAsia="黑体"/>
          <w:color w:val="000000"/>
          <w:szCs w:val="21"/>
        </w:rPr>
        <w:t>实用性</w:t>
      </w:r>
    </w:p>
    <w:p>
      <w:pPr>
        <w:spacing w:line="360" w:lineRule="auto"/>
        <w:ind w:firstLine="424" w:firstLineChars="202"/>
        <w:rPr>
          <w:rFonts w:ascii="宋体" w:hAnsi="宋体"/>
          <w:szCs w:val="21"/>
        </w:rPr>
      </w:pPr>
      <w:r>
        <w:rPr>
          <w:rFonts w:hint="eastAsia" w:ascii="宋体" w:hAnsi="宋体"/>
          <w:szCs w:val="21"/>
        </w:rPr>
        <w:t>应实现信息集成、数据共享、动态管理、交互联动、分析决策等功能，满足</w:t>
      </w:r>
      <w:r>
        <w:rPr>
          <w:rFonts w:hint="eastAsia" w:ascii="宋体" w:hAnsi="宋体"/>
          <w:szCs w:val="21"/>
          <w:lang w:eastAsia="zh-CN"/>
        </w:rPr>
        <w:t>企业</w:t>
      </w:r>
      <w:r>
        <w:rPr>
          <w:rFonts w:hint="eastAsia" w:ascii="宋体" w:hAnsi="宋体"/>
          <w:szCs w:val="21"/>
        </w:rPr>
        <w:t>安全生产风险辨识管控与隐患排查治理信息化管理</w:t>
      </w:r>
      <w:r>
        <w:rPr>
          <w:rFonts w:hint="eastAsia" w:ascii="宋体" w:hAnsi="宋体"/>
          <w:szCs w:val="21"/>
          <w:lang w:val="en-US" w:eastAsia="zh-CN"/>
        </w:rPr>
        <w:t>流程覆盖</w:t>
      </w:r>
      <w:r>
        <w:rPr>
          <w:rFonts w:ascii="宋体" w:hAnsi="宋体"/>
          <w:szCs w:val="21"/>
        </w:rPr>
        <w:t>。</w:t>
      </w:r>
    </w:p>
    <w:p>
      <w:pPr>
        <w:spacing w:line="360" w:lineRule="auto"/>
        <w:rPr>
          <w:rFonts w:hint="eastAsia" w:ascii="黑体" w:hAnsi="黑体" w:eastAsia="黑体"/>
          <w:color w:val="000000"/>
          <w:szCs w:val="21"/>
        </w:rPr>
      </w:pPr>
      <w:r>
        <w:rPr>
          <w:rFonts w:hint="eastAsia" w:ascii="黑体" w:hAnsi="黑体" w:eastAsia="黑体"/>
          <w:color w:val="000000"/>
          <w:szCs w:val="21"/>
        </w:rPr>
        <w:t>4.2  适应性</w:t>
      </w:r>
    </w:p>
    <w:p>
      <w:pPr>
        <w:spacing w:line="360" w:lineRule="auto"/>
        <w:ind w:firstLine="424" w:firstLineChars="202"/>
        <w:rPr>
          <w:rFonts w:hint="default" w:ascii="宋体" w:hAnsi="宋体" w:eastAsia="宋体"/>
          <w:szCs w:val="21"/>
          <w:lang w:val="en-US" w:eastAsia="zh-CN"/>
        </w:rPr>
      </w:pPr>
      <w:r>
        <w:rPr>
          <w:rFonts w:hint="eastAsia"/>
          <w:color w:val="000000"/>
          <w:szCs w:val="21"/>
        </w:rPr>
        <w:t>架构层级与功能等级应根据</w:t>
      </w:r>
      <w:r>
        <w:rPr>
          <w:rFonts w:hint="eastAsia" w:ascii="宋体" w:hAnsi="宋体"/>
          <w:szCs w:val="21"/>
          <w:lang w:eastAsia="zh-CN"/>
        </w:rPr>
        <w:t>企业</w:t>
      </w:r>
      <w:r>
        <w:rPr>
          <w:rFonts w:hint="eastAsia"/>
          <w:color w:val="000000"/>
          <w:szCs w:val="21"/>
        </w:rPr>
        <w:t>的建设规模、生产设施自动化程度、所处行业等确定。</w:t>
      </w:r>
      <w:r>
        <w:rPr>
          <w:rFonts w:hint="eastAsia"/>
          <w:color w:val="000000"/>
          <w:szCs w:val="21"/>
          <w:lang w:val="en-US" w:eastAsia="zh-CN"/>
        </w:rPr>
        <w:t>具备与其他信息化系统有机融合。</w:t>
      </w:r>
    </w:p>
    <w:p>
      <w:pPr>
        <w:spacing w:line="360" w:lineRule="auto"/>
        <w:rPr>
          <w:rFonts w:ascii="宋体" w:hAnsi="宋体"/>
          <w:szCs w:val="21"/>
        </w:rPr>
      </w:pPr>
      <w:r>
        <w:rPr>
          <w:rFonts w:hint="eastAsia" w:ascii="黑体" w:hAnsi="黑体" w:eastAsia="黑体"/>
          <w:color w:val="000000"/>
          <w:szCs w:val="21"/>
        </w:rPr>
        <w:t xml:space="preserve">4.3  </w:t>
      </w:r>
      <w:r>
        <w:rPr>
          <w:rFonts w:hint="eastAsia" w:ascii="黑体" w:hAnsi="黑体" w:eastAsia="黑体"/>
          <w:color w:val="000000"/>
          <w:szCs w:val="21"/>
          <w:lang w:val="en-US" w:eastAsia="zh-CN"/>
        </w:rPr>
        <w:t>集成</w:t>
      </w:r>
      <w:r>
        <w:rPr>
          <w:rFonts w:hint="eastAsia" w:ascii="黑体" w:hAnsi="黑体" w:eastAsia="黑体"/>
          <w:color w:val="000000"/>
          <w:szCs w:val="21"/>
        </w:rPr>
        <w:t>性</w:t>
      </w:r>
    </w:p>
    <w:p>
      <w:pPr>
        <w:spacing w:line="360" w:lineRule="auto"/>
        <w:ind w:firstLine="424" w:firstLineChars="202"/>
        <w:rPr>
          <w:rFonts w:hint="eastAsia" w:ascii="宋体" w:hAnsi="宋体" w:eastAsia="宋体"/>
          <w:szCs w:val="21"/>
          <w:lang w:eastAsia="zh-CN"/>
        </w:rPr>
      </w:pPr>
      <w:r>
        <w:rPr>
          <w:rFonts w:hint="eastAsia" w:ascii="宋体" w:hAnsi="宋体"/>
          <w:szCs w:val="21"/>
        </w:rPr>
        <w:t>应预留与各专业配套监测监控系统、单位相关监测监控平台及</w:t>
      </w:r>
      <w:r>
        <w:rPr>
          <w:rFonts w:hint="eastAsia" w:ascii="宋体" w:hAnsi="宋体"/>
          <w:szCs w:val="21"/>
          <w:lang w:val="en-US" w:eastAsia="zh-CN"/>
        </w:rPr>
        <w:t>政府</w:t>
      </w:r>
      <w:r>
        <w:rPr>
          <w:rFonts w:hint="eastAsia" w:ascii="宋体" w:hAnsi="宋体"/>
          <w:szCs w:val="21"/>
        </w:rPr>
        <w:t>监管部门管理</w:t>
      </w:r>
      <w:r>
        <w:rPr>
          <w:rFonts w:hint="eastAsia" w:ascii="宋体" w:hAnsi="宋体"/>
          <w:szCs w:val="21"/>
          <w:lang w:val="en-US" w:eastAsia="zh-CN"/>
        </w:rPr>
        <w:t>平台</w:t>
      </w:r>
      <w:r>
        <w:rPr>
          <w:rFonts w:hint="eastAsia" w:ascii="宋体" w:hAnsi="宋体"/>
          <w:szCs w:val="21"/>
        </w:rPr>
        <w:t>连通的</w:t>
      </w:r>
      <w:r>
        <w:rPr>
          <w:rFonts w:hint="eastAsia" w:ascii="宋体" w:hAnsi="宋体"/>
          <w:szCs w:val="21"/>
          <w:lang w:val="en-US" w:eastAsia="zh-CN"/>
        </w:rPr>
        <w:t>数据</w:t>
      </w:r>
      <w:r>
        <w:rPr>
          <w:rFonts w:hint="eastAsia" w:ascii="宋体" w:hAnsi="宋体"/>
          <w:szCs w:val="21"/>
        </w:rPr>
        <w:t>接口</w:t>
      </w:r>
      <w:r>
        <w:rPr>
          <w:rFonts w:hint="eastAsia" w:ascii="宋体" w:hAnsi="宋体"/>
          <w:szCs w:val="21"/>
          <w:lang w:eastAsia="zh-CN"/>
        </w:rPr>
        <w:t>，</w:t>
      </w:r>
      <w:r>
        <w:t>便于与</w:t>
      </w:r>
      <w:r>
        <w:rPr>
          <w:rFonts w:hint="eastAsia"/>
          <w:lang w:val="en-US" w:eastAsia="zh-CN"/>
        </w:rPr>
        <w:t>其他</w:t>
      </w:r>
      <w:r>
        <w:t>信息系统对接集成</w:t>
      </w:r>
      <w:r>
        <w:rPr>
          <w:rFonts w:hint="eastAsia"/>
          <w:lang w:eastAsia="zh-CN"/>
        </w:rPr>
        <w:t>，</w:t>
      </w:r>
      <w:r>
        <w:t>实现功能互补，数据互联互通</w:t>
      </w:r>
      <w:r>
        <w:rPr>
          <w:rFonts w:hint="eastAsia"/>
          <w:lang w:eastAsia="zh-CN"/>
        </w:rPr>
        <w:t>。</w:t>
      </w:r>
    </w:p>
    <w:p>
      <w:pPr>
        <w:spacing w:line="360" w:lineRule="auto"/>
        <w:rPr>
          <w:rFonts w:hint="eastAsia" w:ascii="黑体" w:hAnsi="黑体" w:eastAsia="黑体"/>
          <w:color w:val="000000"/>
          <w:szCs w:val="21"/>
        </w:rPr>
      </w:pPr>
      <w:r>
        <w:rPr>
          <w:rFonts w:hint="eastAsia" w:ascii="黑体" w:hAnsi="黑体" w:eastAsia="黑体"/>
          <w:color w:val="000000"/>
          <w:szCs w:val="21"/>
        </w:rPr>
        <w:t xml:space="preserve">4.4  </w:t>
      </w:r>
      <w:r>
        <w:rPr>
          <w:rFonts w:hint="eastAsia" w:ascii="黑体" w:hAnsi="黑体" w:eastAsia="黑体"/>
          <w:color w:val="000000"/>
          <w:szCs w:val="21"/>
          <w:lang w:val="en-US" w:eastAsia="zh-CN"/>
        </w:rPr>
        <w:t>可扩展</w:t>
      </w:r>
      <w:r>
        <w:rPr>
          <w:rFonts w:hint="eastAsia" w:ascii="黑体" w:hAnsi="黑体" w:eastAsia="黑体"/>
          <w:color w:val="000000"/>
          <w:szCs w:val="21"/>
        </w:rPr>
        <w:t>性</w:t>
      </w:r>
    </w:p>
    <w:p>
      <w:pPr>
        <w:spacing w:line="360" w:lineRule="auto"/>
        <w:ind w:firstLine="424" w:firstLineChars="202"/>
        <w:rPr>
          <w:rFonts w:ascii="宋体" w:hAnsi="宋体"/>
          <w:szCs w:val="21"/>
        </w:rPr>
      </w:pPr>
      <w:r>
        <w:rPr>
          <w:rFonts w:hint="eastAsia"/>
          <w:lang w:val="en-US" w:eastAsia="zh-CN"/>
        </w:rPr>
        <w:t>应支持</w:t>
      </w:r>
      <w:r>
        <w:t>扩展创新应用场景</w:t>
      </w:r>
      <w:r>
        <w:rPr>
          <w:rFonts w:hint="eastAsia"/>
          <w:lang w:val="en-US" w:eastAsia="zh-CN"/>
        </w:rPr>
        <w:t>功能</w:t>
      </w:r>
      <w:r>
        <w:rPr>
          <w:rFonts w:ascii="宋体" w:hAnsi="宋体"/>
          <w:szCs w:val="21"/>
        </w:rPr>
        <w:t>。</w:t>
      </w:r>
    </w:p>
    <w:p>
      <w:pPr>
        <w:spacing w:line="360" w:lineRule="auto"/>
        <w:rPr>
          <w:rFonts w:ascii="黑体" w:hAnsi="黑体" w:eastAsia="黑体"/>
          <w:szCs w:val="21"/>
        </w:rPr>
      </w:pPr>
      <w:r>
        <w:rPr>
          <w:rFonts w:hint="eastAsia" w:ascii="黑体" w:hAnsi="黑体" w:eastAsia="黑体"/>
          <w:szCs w:val="21"/>
        </w:rPr>
        <w:t>4.5</w:t>
      </w:r>
      <w:r>
        <w:rPr>
          <w:rFonts w:ascii="黑体" w:hAnsi="黑体" w:eastAsia="黑体"/>
          <w:szCs w:val="21"/>
        </w:rPr>
        <w:t xml:space="preserve">  </w:t>
      </w:r>
      <w:r>
        <w:rPr>
          <w:rFonts w:hint="eastAsia" w:ascii="黑体" w:hAnsi="黑体" w:eastAsia="黑体"/>
          <w:szCs w:val="21"/>
        </w:rPr>
        <w:t>便捷性</w:t>
      </w:r>
    </w:p>
    <w:p>
      <w:pPr>
        <w:spacing w:line="360" w:lineRule="auto"/>
        <w:ind w:firstLine="424" w:firstLineChars="202"/>
        <w:rPr>
          <w:rFonts w:ascii="宋体" w:hAnsi="宋体"/>
          <w:szCs w:val="21"/>
        </w:rPr>
      </w:pPr>
      <w:r>
        <w:rPr>
          <w:rFonts w:hint="eastAsia" w:ascii="宋体" w:hAnsi="宋体"/>
          <w:szCs w:val="21"/>
          <w:lang w:val="en-US" w:eastAsia="zh-CN"/>
        </w:rPr>
        <w:t>应</w:t>
      </w:r>
      <w:r>
        <w:rPr>
          <w:rFonts w:hint="eastAsia" w:ascii="宋体" w:hAnsi="宋体"/>
          <w:szCs w:val="21"/>
        </w:rPr>
        <w:t>实现移动化应用，便于信息推送、数据采集及业务处理。</w:t>
      </w:r>
    </w:p>
    <w:p>
      <w:pPr>
        <w:pStyle w:val="2"/>
        <w:spacing w:line="360" w:lineRule="auto"/>
        <w:rPr>
          <w:rFonts w:ascii="黑体" w:hAnsi="黑体" w:eastAsia="黑体"/>
          <w:sz w:val="21"/>
          <w:szCs w:val="21"/>
        </w:rPr>
      </w:pPr>
      <w:bookmarkStart w:id="72" w:name="_Toc68166134"/>
      <w:bookmarkStart w:id="73" w:name="_Toc78924392"/>
      <w:bookmarkStart w:id="74" w:name="_Toc67855271"/>
      <w:bookmarkStart w:id="75" w:name="_Toc64732684"/>
      <w:bookmarkStart w:id="76" w:name="_Toc63584104"/>
      <w:bookmarkStart w:id="77" w:name="_Toc65136383"/>
      <w:bookmarkStart w:id="78" w:name="_Toc78977307"/>
      <w:bookmarkStart w:id="79" w:name="_Toc78976576"/>
      <w:bookmarkStart w:id="80" w:name="_Toc78954531"/>
      <w:bookmarkStart w:id="81" w:name="_Toc78809348"/>
      <w:bookmarkStart w:id="82" w:name="_Toc78964231"/>
      <w:bookmarkStart w:id="83" w:name="_Toc78924638"/>
      <w:bookmarkStart w:id="84" w:name="_Toc78964073"/>
      <w:bookmarkStart w:id="85" w:name="_Toc78742047"/>
      <w:bookmarkStart w:id="86" w:name="_Toc87515301"/>
      <w:r>
        <w:rPr>
          <w:rFonts w:hint="eastAsia" w:ascii="黑体" w:hAnsi="黑体" w:eastAsia="黑体"/>
          <w:sz w:val="21"/>
          <w:szCs w:val="21"/>
        </w:rPr>
        <w:t>5</w:t>
      </w:r>
      <w:r>
        <w:rPr>
          <w:rFonts w:ascii="黑体" w:hAnsi="黑体" w:eastAsia="黑体"/>
          <w:sz w:val="21"/>
          <w:szCs w:val="21"/>
        </w:rPr>
        <w:t xml:space="preserve">  </w:t>
      </w:r>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ascii="黑体" w:hAnsi="黑体" w:eastAsia="黑体"/>
          <w:color w:val="000000"/>
          <w:sz w:val="21"/>
          <w:szCs w:val="21"/>
        </w:rPr>
        <w:t>双重预防信息管理平台基本要求</w:t>
      </w:r>
      <w:bookmarkEnd w:id="86"/>
    </w:p>
    <w:p>
      <w:pPr>
        <w:spacing w:line="360" w:lineRule="auto"/>
        <w:rPr>
          <w:rFonts w:hint="eastAsia" w:ascii="黑体" w:hAnsi="黑体" w:eastAsia="黑体"/>
          <w:szCs w:val="21"/>
        </w:rPr>
      </w:pPr>
      <w:r>
        <w:rPr>
          <w:rFonts w:hint="eastAsia" w:ascii="黑体" w:hAnsi="黑体" w:eastAsia="黑体"/>
          <w:szCs w:val="21"/>
        </w:rPr>
        <w:t>5.1  建设基本要求</w:t>
      </w:r>
    </w:p>
    <w:p>
      <w:pPr>
        <w:spacing w:line="360" w:lineRule="auto"/>
        <w:ind w:firstLine="210" w:firstLineChars="100"/>
        <w:rPr>
          <w:color w:val="000000"/>
          <w:szCs w:val="21"/>
        </w:rPr>
      </w:pPr>
      <w:r>
        <w:rPr>
          <w:rFonts w:hint="eastAsia" w:ascii="宋体" w:hAnsi="宋体"/>
          <w:szCs w:val="21"/>
          <w:lang w:val="en-US" w:eastAsia="zh-CN"/>
        </w:rPr>
        <w:t xml:space="preserve">  </w:t>
      </w:r>
      <w:r>
        <w:rPr>
          <w:rFonts w:hint="eastAsia"/>
          <w:color w:val="000000"/>
          <w:szCs w:val="21"/>
          <w:lang w:eastAsia="zh-CN"/>
        </w:rPr>
        <w:t>企业</w:t>
      </w:r>
      <w:r>
        <w:rPr>
          <w:rFonts w:hint="eastAsia"/>
          <w:color w:val="000000"/>
          <w:szCs w:val="21"/>
          <w:lang w:val="en-US" w:eastAsia="zh-CN"/>
        </w:rPr>
        <w:t>应根据本规范开发或改造</w:t>
      </w:r>
      <w:r>
        <w:rPr>
          <w:rFonts w:hint="eastAsia"/>
          <w:color w:val="000000"/>
          <w:szCs w:val="21"/>
        </w:rPr>
        <w:t>双重预防信息管理平台，并进行维护更新</w:t>
      </w:r>
      <w:r>
        <w:rPr>
          <w:rFonts w:hint="eastAsia"/>
          <w:color w:val="000000"/>
          <w:szCs w:val="21"/>
          <w:lang w:eastAsia="zh-CN"/>
        </w:rPr>
        <w:t>。</w:t>
      </w:r>
    </w:p>
    <w:p>
      <w:pPr>
        <w:spacing w:line="360" w:lineRule="auto"/>
        <w:ind w:firstLine="420" w:firstLineChars="200"/>
        <w:rPr>
          <w:rFonts w:hint="eastAsia" w:ascii="宋体" w:hAnsi="宋体"/>
          <w:szCs w:val="21"/>
        </w:rPr>
      </w:pPr>
      <w:r>
        <w:rPr>
          <w:rFonts w:hint="eastAsia" w:ascii="宋体" w:hAnsi="宋体"/>
          <w:szCs w:val="21"/>
        </w:rPr>
        <w:t>平台</w:t>
      </w:r>
      <w:r>
        <w:rPr>
          <w:rFonts w:hint="eastAsia" w:ascii="宋体" w:hAnsi="宋体"/>
          <w:szCs w:val="21"/>
          <w:lang w:val="en-US" w:eastAsia="zh-CN"/>
        </w:rPr>
        <w:t>宜</w:t>
      </w:r>
      <w:r>
        <w:rPr>
          <w:rFonts w:hint="eastAsia" w:ascii="宋体" w:hAnsi="宋体"/>
          <w:szCs w:val="21"/>
        </w:rPr>
        <w:t>采用</w:t>
      </w:r>
      <w:r>
        <w:rPr>
          <w:rFonts w:ascii="宋体" w:hAnsi="宋体"/>
          <w:szCs w:val="21"/>
        </w:rPr>
        <w:t>B/S</w:t>
      </w:r>
      <w:r>
        <w:rPr>
          <w:rFonts w:hint="eastAsia" w:ascii="宋体" w:hAnsi="宋体"/>
          <w:szCs w:val="21"/>
        </w:rPr>
        <w:t>架构</w:t>
      </w:r>
      <w:r>
        <w:rPr>
          <w:rFonts w:hint="eastAsia" w:ascii="宋体" w:hAnsi="宋体"/>
          <w:szCs w:val="21"/>
          <w:lang w:val="en-US" w:eastAsia="zh-CN"/>
        </w:rPr>
        <w:t>和</w:t>
      </w:r>
      <w:r>
        <w:rPr>
          <w:rFonts w:hint="eastAsia" w:ascii="宋体" w:hAnsi="宋体"/>
          <w:szCs w:val="21"/>
        </w:rPr>
        <w:t>主流、开放的平台应用框架，支撑</w:t>
      </w:r>
      <w:r>
        <w:rPr>
          <w:rFonts w:hint="eastAsia"/>
          <w:color w:val="000000"/>
          <w:szCs w:val="21"/>
          <w:lang w:eastAsia="zh-CN"/>
        </w:rPr>
        <w:t>企业</w:t>
      </w:r>
      <w:r>
        <w:rPr>
          <w:rFonts w:hint="eastAsia" w:ascii="宋体" w:hAnsi="宋体"/>
          <w:szCs w:val="21"/>
        </w:rPr>
        <w:t>安全风险管控的信息化数字化应用需求。</w:t>
      </w:r>
    </w:p>
    <w:p>
      <w:pPr>
        <w:spacing w:line="360" w:lineRule="auto"/>
        <w:rPr>
          <w:rFonts w:hint="eastAsia" w:ascii="黑体" w:hAnsi="黑体" w:eastAsia="黑体"/>
          <w:szCs w:val="21"/>
        </w:rPr>
      </w:pPr>
      <w:r>
        <w:rPr>
          <w:rFonts w:hint="eastAsia" w:ascii="黑体" w:hAnsi="黑体" w:eastAsia="黑体"/>
          <w:szCs w:val="21"/>
        </w:rPr>
        <w:t>5.2  功能要求</w:t>
      </w:r>
    </w:p>
    <w:p>
      <w:pPr>
        <w:spacing w:line="360" w:lineRule="auto"/>
        <w:rPr>
          <w:rFonts w:hint="eastAsia" w:ascii="宋体" w:hAnsi="宋体" w:eastAsia="宋体"/>
          <w:szCs w:val="21"/>
          <w:lang w:eastAsia="zh-CN"/>
        </w:rPr>
      </w:pPr>
      <w:r>
        <w:rPr>
          <w:rFonts w:hint="eastAsia" w:ascii="黑体" w:hAnsi="黑体" w:eastAsia="黑体"/>
          <w:szCs w:val="21"/>
        </w:rPr>
        <w:t xml:space="preserve">5.2.1 </w:t>
      </w:r>
      <w:r>
        <w:rPr>
          <w:rFonts w:ascii="宋体" w:hAnsi="宋体"/>
          <w:szCs w:val="21"/>
        </w:rPr>
        <w:t xml:space="preserve"> </w:t>
      </w:r>
      <w:r>
        <w:rPr>
          <w:rFonts w:hint="eastAsia" w:ascii="宋体" w:hAnsi="宋体"/>
          <w:szCs w:val="21"/>
        </w:rPr>
        <w:t>应包含电脑管理端和移动端，</w:t>
      </w:r>
      <w:r>
        <w:rPr>
          <w:rFonts w:hint="eastAsia" w:ascii="宋体" w:hAnsi="宋体"/>
          <w:szCs w:val="21"/>
          <w:lang w:val="en-US" w:eastAsia="zh-CN"/>
        </w:rPr>
        <w:t>能</w:t>
      </w:r>
      <w:r>
        <w:rPr>
          <w:rFonts w:hint="eastAsia" w:ascii="宋体" w:hAnsi="宋体"/>
          <w:szCs w:val="21"/>
        </w:rPr>
        <w:t>利用移动化、信息化手段开展隐患排查</w:t>
      </w:r>
      <w:r>
        <w:rPr>
          <w:rFonts w:hint="eastAsia" w:ascii="宋体" w:hAnsi="宋体"/>
          <w:szCs w:val="21"/>
          <w:lang w:eastAsia="zh-CN"/>
        </w:rPr>
        <w:t>。</w:t>
      </w:r>
    </w:p>
    <w:p>
      <w:pPr>
        <w:spacing w:line="360" w:lineRule="auto"/>
        <w:rPr>
          <w:rFonts w:hint="default" w:ascii="宋体" w:hAnsi="宋体"/>
          <w:szCs w:val="21"/>
          <w:lang w:val="en-US" w:eastAsia="zh-CN"/>
        </w:rPr>
      </w:pPr>
      <w:r>
        <w:rPr>
          <w:rFonts w:hint="eastAsia" w:ascii="黑体" w:hAnsi="黑体" w:eastAsia="黑体"/>
          <w:szCs w:val="21"/>
        </w:rPr>
        <w:t xml:space="preserve">5.2.2 </w:t>
      </w:r>
      <w:r>
        <w:rPr>
          <w:rFonts w:hint="eastAsia" w:ascii="宋体" w:hAnsi="宋体"/>
          <w:szCs w:val="21"/>
          <w:lang w:val="en-US" w:eastAsia="zh-CN"/>
        </w:rPr>
        <w:t xml:space="preserve"> 电脑管理端应具备动态监控安全风险管控措施落实、隐患排查任务推送、隐患排查治理情况跟踪监督、机制运行效果评估、异常状态自动预警及考核奖惩等功能。</w:t>
      </w:r>
    </w:p>
    <w:p>
      <w:pPr>
        <w:spacing w:line="360" w:lineRule="auto"/>
        <w:rPr>
          <w:rFonts w:hint="default"/>
          <w:highlight w:val="none"/>
          <w:lang w:val="en-US" w:eastAsia="zh-CN"/>
        </w:rPr>
      </w:pPr>
      <w:r>
        <w:rPr>
          <w:rFonts w:hint="eastAsia" w:ascii="黑体" w:hAnsi="黑体" w:eastAsia="黑体"/>
          <w:szCs w:val="21"/>
        </w:rPr>
        <w:t>5.2.</w:t>
      </w:r>
      <w:r>
        <w:rPr>
          <w:rFonts w:hint="eastAsia" w:ascii="黑体" w:hAnsi="黑体" w:eastAsia="黑体"/>
          <w:szCs w:val="21"/>
          <w:lang w:val="en-US" w:eastAsia="zh-CN"/>
        </w:rPr>
        <w:t>3</w:t>
      </w:r>
      <w:r>
        <w:rPr>
          <w:rFonts w:ascii="宋体" w:hAnsi="宋体"/>
          <w:szCs w:val="21"/>
        </w:rPr>
        <w:t xml:space="preserve">  </w:t>
      </w:r>
      <w:r>
        <w:rPr>
          <w:rFonts w:hint="eastAsia"/>
          <w:highlight w:val="none"/>
          <w:lang w:val="en-US" w:eastAsia="zh-CN"/>
        </w:rPr>
        <w:t>应具备企业安全基础信息管理、风险分级管控、隐患排查治理、安全生产预警预测、动态安全风险空间分布图、风险告知、隐患随手拍模块。</w:t>
      </w:r>
    </w:p>
    <w:p>
      <w:pPr>
        <w:spacing w:line="360" w:lineRule="auto"/>
        <w:rPr>
          <w:rFonts w:hint="default" w:ascii="宋体" w:hAnsi="宋体"/>
          <w:szCs w:val="21"/>
          <w:lang w:val="en-US" w:eastAsia="zh-CN"/>
        </w:rPr>
      </w:pPr>
      <w:r>
        <w:rPr>
          <w:rFonts w:hint="eastAsia" w:ascii="黑体" w:hAnsi="黑体" w:eastAsia="黑体"/>
          <w:szCs w:val="21"/>
          <w:highlight w:val="none"/>
        </w:rPr>
        <w:t>5.2.</w:t>
      </w:r>
      <w:r>
        <w:rPr>
          <w:rFonts w:hint="eastAsia" w:ascii="黑体" w:hAnsi="黑体" w:eastAsia="黑体"/>
          <w:szCs w:val="21"/>
          <w:highlight w:val="none"/>
          <w:lang w:val="en-US" w:eastAsia="zh-CN"/>
        </w:rPr>
        <w:t>4</w:t>
      </w:r>
      <w:r>
        <w:rPr>
          <w:rFonts w:ascii="宋体" w:hAnsi="宋体"/>
          <w:szCs w:val="21"/>
          <w:highlight w:val="none"/>
        </w:rPr>
        <w:t xml:space="preserve">  </w:t>
      </w:r>
      <w:r>
        <w:rPr>
          <w:rFonts w:hint="eastAsia" w:ascii="宋体" w:hAnsi="宋体"/>
          <w:szCs w:val="21"/>
          <w:highlight w:val="none"/>
          <w:lang w:val="en-US" w:eastAsia="zh-CN"/>
        </w:rPr>
        <w:t>宜具备</w:t>
      </w:r>
      <w:r>
        <w:rPr>
          <w:rFonts w:hint="eastAsia"/>
          <w:highlight w:val="none"/>
          <w:lang w:val="en-US" w:eastAsia="zh-CN"/>
        </w:rPr>
        <w:t>个人安全绩效评估、应急资源管理、现场电子巡检、承包商信用管理、视频行为分析、</w:t>
      </w:r>
      <w:r>
        <w:rPr>
          <w:rFonts w:hint="eastAsia" w:ascii="宋体" w:hAnsi="宋体"/>
          <w:szCs w:val="21"/>
          <w:highlight w:val="none"/>
          <w:lang w:val="en-US" w:eastAsia="zh-CN"/>
        </w:rPr>
        <w:t>安</w:t>
      </w:r>
      <w:r>
        <w:rPr>
          <w:rFonts w:hint="eastAsia" w:ascii="宋体" w:hAnsi="宋体"/>
          <w:szCs w:val="21"/>
          <w:lang w:val="en-US" w:eastAsia="zh-CN"/>
        </w:rPr>
        <w:t>全教育培训考试、事故案例管理、人员定位统计管理、门禁管理、设备生命周期管理、电子作业票、重要生产数据实时监测管理、值班管理等模块。</w:t>
      </w:r>
    </w:p>
    <w:p>
      <w:pPr>
        <w:spacing w:line="360" w:lineRule="auto"/>
        <w:rPr>
          <w:rFonts w:hint="default" w:ascii="宋体" w:hAnsi="宋体" w:eastAsia="宋体"/>
          <w:szCs w:val="21"/>
          <w:highlight w:val="yellow"/>
          <w:lang w:val="en-US" w:eastAsia="zh-CN"/>
        </w:rPr>
      </w:pPr>
      <w:r>
        <w:rPr>
          <w:rFonts w:hint="eastAsia" w:ascii="黑体" w:hAnsi="黑体" w:eastAsia="黑体"/>
          <w:szCs w:val="21"/>
          <w:highlight w:val="none"/>
        </w:rPr>
        <w:t>5.2.</w:t>
      </w:r>
      <w:r>
        <w:rPr>
          <w:rFonts w:hint="eastAsia" w:ascii="黑体" w:hAnsi="黑体" w:eastAsia="黑体"/>
          <w:szCs w:val="21"/>
          <w:highlight w:val="none"/>
          <w:lang w:val="en-US" w:eastAsia="zh-CN"/>
        </w:rPr>
        <w:t>5</w:t>
      </w:r>
      <w:r>
        <w:rPr>
          <w:rFonts w:ascii="宋体" w:hAnsi="宋体"/>
          <w:szCs w:val="21"/>
          <w:highlight w:val="none"/>
        </w:rPr>
        <w:t xml:space="preserve">  </w:t>
      </w:r>
      <w:r>
        <w:rPr>
          <w:rFonts w:hint="eastAsia" w:ascii="宋体" w:hAnsi="宋体"/>
          <w:szCs w:val="21"/>
          <w:highlight w:val="none"/>
        </w:rPr>
        <w:t>移动端</w:t>
      </w:r>
      <w:r>
        <w:rPr>
          <w:rFonts w:hint="eastAsia" w:ascii="宋体" w:hAnsi="宋体"/>
          <w:szCs w:val="21"/>
          <w:highlight w:val="none"/>
          <w:lang w:val="en-US" w:eastAsia="zh-CN"/>
        </w:rPr>
        <w:t>应</w:t>
      </w:r>
      <w:r>
        <w:rPr>
          <w:rFonts w:hint="eastAsia" w:ascii="宋体" w:hAnsi="宋体"/>
          <w:szCs w:val="21"/>
          <w:highlight w:val="none"/>
        </w:rPr>
        <w:t>具备隐患排查任务和预警信息接收、现场隐患排查情况</w:t>
      </w:r>
      <w:r>
        <w:rPr>
          <w:rFonts w:hint="eastAsia" w:ascii="宋体" w:hAnsi="宋体"/>
          <w:szCs w:val="21"/>
          <w:highlight w:val="none"/>
          <w:lang w:val="en-US" w:eastAsia="zh-CN"/>
        </w:rPr>
        <w:t>离线</w:t>
      </w:r>
      <w:r>
        <w:rPr>
          <w:rFonts w:hint="eastAsia" w:ascii="宋体" w:hAnsi="宋体"/>
          <w:szCs w:val="21"/>
          <w:highlight w:val="none"/>
        </w:rPr>
        <w:t>上报、隐患治理全程跟踪等功能</w:t>
      </w:r>
      <w:r>
        <w:rPr>
          <w:rFonts w:hint="eastAsia" w:ascii="宋体" w:hAnsi="宋体"/>
          <w:szCs w:val="21"/>
          <w:highlight w:val="none"/>
          <w:lang w:eastAsia="zh-CN"/>
        </w:rPr>
        <w:t>。</w:t>
      </w:r>
      <w:r>
        <w:rPr>
          <w:rFonts w:hint="eastAsia" w:ascii="宋体" w:hAnsi="宋体"/>
          <w:szCs w:val="21"/>
          <w:lang w:val="en-US" w:eastAsia="zh-CN"/>
        </w:rPr>
        <w:t>移动</w:t>
      </w:r>
      <w:r>
        <w:rPr>
          <w:rFonts w:hint="eastAsia" w:ascii="Times New Roman" w:hAnsi="Times New Roman"/>
          <w:sz w:val="21"/>
          <w:szCs w:val="21"/>
          <w:lang w:val="en-US" w:eastAsia="zh-CN"/>
        </w:rPr>
        <w:t>端支持Android、IOS、鸿蒙系统APP及微信小程序</w:t>
      </w:r>
      <w:r>
        <w:rPr>
          <w:rFonts w:hint="eastAsia" w:ascii="宋体" w:hAnsi="宋体"/>
          <w:szCs w:val="21"/>
          <w:lang w:val="en-US" w:eastAsia="zh-CN"/>
        </w:rPr>
        <w:t>，支持无网络环境下离线缓存功能。</w:t>
      </w:r>
    </w:p>
    <w:p>
      <w:pPr>
        <w:spacing w:line="360" w:lineRule="auto"/>
        <w:rPr>
          <w:rFonts w:hint="eastAsia" w:ascii="宋体" w:hAnsi="宋体"/>
          <w:szCs w:val="21"/>
          <w:lang w:eastAsia="zh-CN"/>
        </w:rPr>
      </w:pPr>
      <w:r>
        <w:rPr>
          <w:rFonts w:hint="eastAsia" w:ascii="黑体" w:hAnsi="黑体" w:eastAsia="黑体"/>
          <w:szCs w:val="21"/>
        </w:rPr>
        <w:t>5.2.</w:t>
      </w:r>
      <w:r>
        <w:rPr>
          <w:rFonts w:hint="eastAsia" w:ascii="黑体" w:hAnsi="黑体" w:eastAsia="黑体"/>
          <w:szCs w:val="21"/>
          <w:lang w:val="en-US" w:eastAsia="zh-CN"/>
        </w:rPr>
        <w:t>6</w:t>
      </w:r>
      <w:r>
        <w:rPr>
          <w:rFonts w:ascii="宋体" w:hAnsi="宋体"/>
          <w:szCs w:val="21"/>
        </w:rPr>
        <w:t xml:space="preserve">  </w:t>
      </w:r>
      <w:r>
        <w:rPr>
          <w:rFonts w:hint="eastAsia" w:ascii="宋体" w:hAnsi="宋体"/>
          <w:szCs w:val="21"/>
          <w:lang w:val="en-US" w:eastAsia="zh-CN"/>
        </w:rPr>
        <w:t>应实现</w:t>
      </w:r>
      <w:r>
        <w:rPr>
          <w:rFonts w:hint="eastAsia" w:ascii="宋体" w:hAnsi="宋体"/>
          <w:szCs w:val="21"/>
        </w:rPr>
        <w:t>通过终端进行隐患</w:t>
      </w:r>
      <w:r>
        <w:rPr>
          <w:rFonts w:hint="eastAsia" w:ascii="宋体" w:hAnsi="宋体"/>
          <w:szCs w:val="21"/>
          <w:lang w:val="en-US" w:eastAsia="zh-CN"/>
        </w:rPr>
        <w:t>排查</w:t>
      </w:r>
      <w:r>
        <w:rPr>
          <w:rFonts w:hint="eastAsia" w:ascii="宋体" w:hAnsi="宋体"/>
          <w:szCs w:val="21"/>
        </w:rPr>
        <w:t>上报、审核评估指派、整改、</w:t>
      </w:r>
      <w:r>
        <w:rPr>
          <w:rFonts w:hint="eastAsia" w:ascii="宋体" w:hAnsi="宋体"/>
          <w:szCs w:val="21"/>
          <w:lang w:val="en-US" w:eastAsia="zh-CN"/>
        </w:rPr>
        <w:t>复查</w:t>
      </w:r>
      <w:r>
        <w:rPr>
          <w:rFonts w:hint="eastAsia" w:ascii="宋体" w:hAnsi="宋体"/>
          <w:szCs w:val="21"/>
        </w:rPr>
        <w:t>、验收的全过程闭环管理</w:t>
      </w:r>
      <w:r>
        <w:rPr>
          <w:rFonts w:hint="eastAsia" w:ascii="宋体" w:hAnsi="宋体"/>
          <w:szCs w:val="21"/>
          <w:lang w:eastAsia="zh-CN"/>
        </w:rPr>
        <w:t>，</w:t>
      </w:r>
      <w:r>
        <w:rPr>
          <w:rFonts w:hint="eastAsia" w:ascii="宋体" w:hAnsi="宋体"/>
          <w:szCs w:val="28"/>
        </w:rPr>
        <w:t>为满足不同企业的定制化需求，</w:t>
      </w:r>
      <w:r>
        <w:rPr>
          <w:rFonts w:hint="eastAsia" w:ascii="宋体" w:hAnsi="宋体"/>
          <w:szCs w:val="28"/>
          <w:lang w:val="en-US" w:eastAsia="zh-CN"/>
        </w:rPr>
        <w:t>支持</w:t>
      </w:r>
      <w:r>
        <w:rPr>
          <w:rFonts w:hint="eastAsia" w:ascii="宋体" w:hAnsi="宋体"/>
          <w:szCs w:val="28"/>
        </w:rPr>
        <w:t>根据企业实际工作流程进行流程灵活配置</w:t>
      </w:r>
      <w:r>
        <w:rPr>
          <w:rFonts w:hint="eastAsia" w:ascii="宋体" w:hAnsi="宋体"/>
          <w:szCs w:val="21"/>
          <w:lang w:eastAsia="zh-CN"/>
        </w:rPr>
        <w:t>。</w:t>
      </w:r>
    </w:p>
    <w:p>
      <w:pPr>
        <w:spacing w:line="360" w:lineRule="auto"/>
        <w:rPr>
          <w:rFonts w:hint="eastAsia" w:ascii="宋体" w:hAnsi="宋体"/>
          <w:szCs w:val="21"/>
          <w:lang w:val="en-US" w:eastAsia="zh-CN"/>
        </w:rPr>
      </w:pPr>
      <w:r>
        <w:rPr>
          <w:rFonts w:hint="eastAsia" w:ascii="黑体" w:hAnsi="黑体" w:eastAsia="黑体"/>
          <w:szCs w:val="21"/>
        </w:rPr>
        <w:t>5.2.</w:t>
      </w:r>
      <w:r>
        <w:rPr>
          <w:rFonts w:hint="eastAsia" w:ascii="黑体" w:hAnsi="黑体" w:eastAsia="黑体"/>
          <w:szCs w:val="21"/>
          <w:lang w:val="en-US" w:eastAsia="zh-CN"/>
        </w:rPr>
        <w:t>7</w:t>
      </w:r>
      <w:r>
        <w:rPr>
          <w:rFonts w:ascii="宋体" w:hAnsi="宋体"/>
          <w:szCs w:val="21"/>
        </w:rPr>
        <w:t xml:space="preserve">  </w:t>
      </w:r>
      <w:r>
        <w:rPr>
          <w:rFonts w:hint="eastAsia" w:ascii="宋体" w:hAnsi="宋体"/>
          <w:szCs w:val="21"/>
          <w:lang w:val="en-US" w:eastAsia="zh-CN"/>
        </w:rPr>
        <w:t>应实现风险分级管控和隐患排查治理有效衔接，要求隐患排查治理清单的数据与安全风险管控清单数据相关联。</w:t>
      </w:r>
    </w:p>
    <w:p>
      <w:pPr>
        <w:spacing w:line="360" w:lineRule="auto"/>
        <w:rPr>
          <w:rFonts w:hint="eastAsia" w:ascii="宋体" w:hAnsi="宋体"/>
          <w:szCs w:val="21"/>
          <w:lang w:val="en-US" w:eastAsia="zh-CN"/>
        </w:rPr>
      </w:pPr>
      <w:r>
        <w:rPr>
          <w:rFonts w:hint="eastAsia" w:ascii="黑体" w:hAnsi="黑体" w:eastAsia="黑体"/>
          <w:szCs w:val="21"/>
        </w:rPr>
        <w:t>5.2.</w:t>
      </w:r>
      <w:r>
        <w:rPr>
          <w:rFonts w:hint="eastAsia" w:ascii="黑体" w:hAnsi="黑体" w:eastAsia="黑体"/>
          <w:szCs w:val="21"/>
          <w:lang w:val="en-US" w:eastAsia="zh-CN"/>
        </w:rPr>
        <w:t>8</w:t>
      </w:r>
      <w:r>
        <w:rPr>
          <w:rFonts w:ascii="宋体" w:hAnsi="宋体"/>
          <w:szCs w:val="21"/>
        </w:rPr>
        <w:t xml:space="preserve">  </w:t>
      </w:r>
      <w:r>
        <w:rPr>
          <w:rFonts w:hint="eastAsia" w:ascii="宋体" w:hAnsi="宋体"/>
          <w:szCs w:val="21"/>
          <w:lang w:val="en-US" w:eastAsia="zh-CN"/>
        </w:rPr>
        <w:t>应根据双重预防机制运行效果，及时补充完善安全风险控制措施，更新安全风险管控清单，重新配置隐患排查任务。</w:t>
      </w:r>
    </w:p>
    <w:p>
      <w:pPr>
        <w:spacing w:line="360" w:lineRule="auto"/>
        <w:rPr>
          <w:rFonts w:hint="default" w:ascii="宋体" w:hAnsi="宋体"/>
          <w:szCs w:val="21"/>
          <w:lang w:val="en-US" w:eastAsia="zh-CN"/>
        </w:rPr>
      </w:pPr>
      <w:r>
        <w:rPr>
          <w:rFonts w:hint="eastAsia" w:ascii="黑体" w:hAnsi="黑体" w:eastAsia="黑体"/>
          <w:szCs w:val="21"/>
        </w:rPr>
        <w:t>5.2.</w:t>
      </w:r>
      <w:r>
        <w:rPr>
          <w:rFonts w:hint="eastAsia" w:ascii="黑体" w:hAnsi="黑体" w:eastAsia="黑体"/>
          <w:szCs w:val="21"/>
          <w:lang w:val="en-US" w:eastAsia="zh-CN"/>
        </w:rPr>
        <w:t>9</w:t>
      </w:r>
      <w:r>
        <w:rPr>
          <w:rFonts w:ascii="宋体" w:hAnsi="宋体"/>
          <w:szCs w:val="21"/>
        </w:rPr>
        <w:t xml:space="preserve">  </w:t>
      </w:r>
      <w:r>
        <w:rPr>
          <w:rFonts w:hint="eastAsia" w:ascii="宋体" w:hAnsi="宋体"/>
          <w:szCs w:val="21"/>
          <w:lang w:val="en-US" w:eastAsia="zh-CN"/>
        </w:rPr>
        <w:t>宜支持隐患排查治理流程相关负责人可配置，实现隐患排查治理全过程自动流转派单。</w:t>
      </w:r>
    </w:p>
    <w:p>
      <w:pPr>
        <w:spacing w:line="360" w:lineRule="auto"/>
        <w:rPr>
          <w:rFonts w:ascii="宋体" w:hAnsi="宋体"/>
          <w:szCs w:val="21"/>
        </w:rPr>
      </w:pPr>
      <w:r>
        <w:rPr>
          <w:rFonts w:hint="eastAsia" w:ascii="黑体" w:hAnsi="黑体" w:eastAsia="黑体"/>
          <w:szCs w:val="21"/>
        </w:rPr>
        <w:t>5.2.</w:t>
      </w:r>
      <w:r>
        <w:rPr>
          <w:rFonts w:hint="eastAsia" w:ascii="黑体" w:hAnsi="黑体" w:eastAsia="黑体"/>
          <w:szCs w:val="21"/>
          <w:lang w:val="en-US" w:eastAsia="zh-CN"/>
        </w:rPr>
        <w:t>10</w:t>
      </w:r>
      <w:r>
        <w:rPr>
          <w:rFonts w:ascii="宋体" w:hAnsi="宋体"/>
          <w:szCs w:val="21"/>
        </w:rPr>
        <w:t xml:space="preserve">  </w:t>
      </w:r>
      <w:r>
        <w:rPr>
          <w:rFonts w:hint="eastAsia"/>
          <w:color w:val="000000"/>
          <w:szCs w:val="21"/>
        </w:rPr>
        <w:t>应满足</w:t>
      </w:r>
      <w:r>
        <w:rPr>
          <w:rFonts w:hint="eastAsia"/>
          <w:color w:val="000000"/>
          <w:szCs w:val="21"/>
          <w:lang w:val="en-US" w:eastAsia="zh-CN"/>
        </w:rPr>
        <w:t>政府</w:t>
      </w:r>
      <w:r>
        <w:rPr>
          <w:rFonts w:hint="eastAsia"/>
          <w:color w:val="000000"/>
          <w:szCs w:val="21"/>
        </w:rPr>
        <w:t>监管部门的数据上报要求，应预留数据接口，具备与其他信息化系统有机融合，实现数据互联互通功能。</w:t>
      </w:r>
    </w:p>
    <w:p>
      <w:pPr>
        <w:spacing w:line="360" w:lineRule="auto"/>
        <w:rPr>
          <w:rFonts w:ascii="宋体" w:hAnsi="宋体"/>
          <w:szCs w:val="21"/>
        </w:rPr>
      </w:pPr>
      <w:r>
        <w:rPr>
          <w:rFonts w:hint="eastAsia" w:ascii="黑体" w:hAnsi="黑体" w:eastAsia="黑体"/>
          <w:szCs w:val="21"/>
        </w:rPr>
        <w:t>5.3  技术架构</w:t>
      </w:r>
    </w:p>
    <w:p>
      <w:pPr>
        <w:spacing w:line="360" w:lineRule="auto"/>
        <w:ind w:firstLine="424" w:firstLineChars="202"/>
        <w:rPr>
          <w:rFonts w:ascii="宋体" w:hAnsi="宋体"/>
          <w:szCs w:val="21"/>
        </w:rPr>
      </w:pPr>
      <w:r>
        <w:rPr>
          <w:rFonts w:hint="eastAsia" w:ascii="宋体" w:hAnsi="宋体"/>
          <w:szCs w:val="21"/>
        </w:rPr>
        <w:drawing>
          <wp:anchor distT="0" distB="0" distL="114300" distR="114300" simplePos="0" relativeHeight="251669504" behindDoc="0" locked="0" layoutInCell="1" allowOverlap="1">
            <wp:simplePos x="0" y="0"/>
            <wp:positionH relativeFrom="margin">
              <wp:posOffset>8890</wp:posOffset>
            </wp:positionH>
            <wp:positionV relativeFrom="margin">
              <wp:posOffset>4572000</wp:posOffset>
            </wp:positionV>
            <wp:extent cx="5918835" cy="3566795"/>
            <wp:effectExtent l="0" t="0" r="5715" b="14605"/>
            <wp:wrapSquare wrapText="bothSides"/>
            <wp:docPr id="3" name="图片 3" descr="E:\标准\微信图片_20220629101702.png微信图片_20220629101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标准\微信图片_20220629101702.png微信图片_20220629101702"/>
                    <pic:cNvPicPr>
                      <a:picLocks noChangeAspect="1"/>
                    </pic:cNvPicPr>
                  </pic:nvPicPr>
                  <pic:blipFill>
                    <a:blip r:embed="rId11"/>
                    <a:srcRect/>
                    <a:stretch>
                      <a:fillRect/>
                    </a:stretch>
                  </pic:blipFill>
                  <pic:spPr>
                    <a:xfrm>
                      <a:off x="0" y="0"/>
                      <a:ext cx="5918835" cy="3566795"/>
                    </a:xfrm>
                    <a:prstGeom prst="rect">
                      <a:avLst/>
                    </a:prstGeom>
                  </pic:spPr>
                </pic:pic>
              </a:graphicData>
            </a:graphic>
          </wp:anchor>
        </w:drawing>
      </w:r>
      <w:r>
        <w:rPr>
          <w:rFonts w:hint="eastAsia" w:ascii="宋体" w:hAnsi="宋体"/>
          <w:szCs w:val="21"/>
        </w:rPr>
        <w:t>双重预防信息平台</w:t>
      </w:r>
      <w:r>
        <w:rPr>
          <w:rFonts w:hint="eastAsia" w:ascii="宋体" w:hAnsi="宋体"/>
          <w:szCs w:val="21"/>
          <w:lang w:val="en-US" w:eastAsia="zh-CN"/>
        </w:rPr>
        <w:t>应</w:t>
      </w:r>
      <w:r>
        <w:rPr>
          <w:rFonts w:hint="eastAsia" w:ascii="宋体" w:hAnsi="宋体"/>
          <w:szCs w:val="21"/>
        </w:rPr>
        <w:t>在数据标准规范体系、安全运维保障体系两大体系的支撑下，按照综合展现层、服务层、支撑层、数据层、基础资源层五个层级进行技术架构设计，技术架构图见图</w:t>
      </w:r>
      <w:r>
        <w:rPr>
          <w:rFonts w:ascii="宋体" w:hAnsi="宋体"/>
          <w:szCs w:val="21"/>
        </w:rPr>
        <w:t>1。</w:t>
      </w:r>
    </w:p>
    <w:p>
      <w:pPr>
        <w:spacing w:line="360" w:lineRule="auto"/>
        <w:ind w:firstLine="424" w:firstLineChars="202"/>
        <w:jc w:val="center"/>
        <w:rPr>
          <w:rFonts w:ascii="黑体" w:hAnsi="黑体" w:eastAsia="黑体"/>
          <w:szCs w:val="21"/>
        </w:rPr>
      </w:pPr>
      <w:r>
        <w:rPr>
          <w:rFonts w:hint="eastAsia" w:ascii="黑体" w:hAnsi="黑体" w:eastAsia="黑体"/>
          <w:szCs w:val="21"/>
        </w:rPr>
        <w:t>图1</w:t>
      </w:r>
      <w:r>
        <w:rPr>
          <w:rFonts w:ascii="黑体" w:hAnsi="黑体" w:eastAsia="黑体"/>
          <w:szCs w:val="21"/>
        </w:rPr>
        <w:t xml:space="preserve"> </w:t>
      </w:r>
      <w:r>
        <w:rPr>
          <w:rFonts w:hint="eastAsia" w:ascii="黑体" w:hAnsi="黑体" w:eastAsia="黑体"/>
          <w:szCs w:val="21"/>
        </w:rPr>
        <w:t>技术架构图</w:t>
      </w:r>
    </w:p>
    <w:p>
      <w:pPr>
        <w:spacing w:line="360" w:lineRule="auto"/>
        <w:ind w:firstLine="424" w:firstLineChars="202"/>
        <w:rPr>
          <w:rFonts w:ascii="宋体" w:hAnsi="宋体"/>
          <w:szCs w:val="21"/>
        </w:rPr>
      </w:pPr>
    </w:p>
    <w:p>
      <w:pPr>
        <w:pStyle w:val="2"/>
        <w:spacing w:line="360" w:lineRule="auto"/>
        <w:rPr>
          <w:rFonts w:ascii="黑体" w:hAnsi="黑体" w:eastAsia="黑体"/>
          <w:sz w:val="21"/>
          <w:szCs w:val="21"/>
        </w:rPr>
      </w:pPr>
      <w:bookmarkStart w:id="87" w:name="_Toc63584105"/>
      <w:bookmarkStart w:id="88" w:name="_Toc65136384"/>
      <w:bookmarkStart w:id="89" w:name="_Toc78742048"/>
      <w:bookmarkStart w:id="90" w:name="_Toc78976577"/>
      <w:bookmarkStart w:id="91" w:name="_Toc67855272"/>
      <w:bookmarkStart w:id="92" w:name="_Toc78809349"/>
      <w:bookmarkStart w:id="93" w:name="_Toc78964074"/>
      <w:bookmarkStart w:id="94" w:name="_Toc78924393"/>
      <w:bookmarkStart w:id="95" w:name="_Toc78954532"/>
      <w:bookmarkStart w:id="96" w:name="_Toc68166135"/>
      <w:bookmarkStart w:id="97" w:name="_Toc78924639"/>
      <w:bookmarkStart w:id="98" w:name="_Toc64732685"/>
      <w:bookmarkStart w:id="99" w:name="_Toc78964232"/>
      <w:bookmarkStart w:id="100" w:name="_Toc78977308"/>
      <w:bookmarkStart w:id="101" w:name="_Toc87515302"/>
      <w:r>
        <w:rPr>
          <w:rFonts w:hint="eastAsia" w:ascii="黑体" w:hAnsi="黑体" w:eastAsia="黑体"/>
          <w:sz w:val="21"/>
          <w:szCs w:val="21"/>
        </w:rPr>
        <w:t>6</w:t>
      </w:r>
      <w:r>
        <w:rPr>
          <w:rFonts w:ascii="黑体" w:hAnsi="黑体" w:eastAsia="黑体"/>
          <w:sz w:val="21"/>
          <w:szCs w:val="21"/>
        </w:rPr>
        <w:t xml:space="preserve">  </w:t>
      </w:r>
      <w:bookmarkEnd w:id="87"/>
      <w:bookmarkEnd w:id="88"/>
      <w:bookmarkEnd w:id="89"/>
      <w:bookmarkEnd w:id="90"/>
      <w:bookmarkEnd w:id="91"/>
      <w:bookmarkEnd w:id="92"/>
      <w:bookmarkEnd w:id="93"/>
      <w:bookmarkEnd w:id="94"/>
      <w:bookmarkEnd w:id="95"/>
      <w:bookmarkEnd w:id="96"/>
      <w:bookmarkEnd w:id="97"/>
      <w:bookmarkEnd w:id="98"/>
      <w:bookmarkEnd w:id="99"/>
      <w:bookmarkEnd w:id="100"/>
      <w:r>
        <w:rPr>
          <w:rFonts w:hint="eastAsia" w:ascii="黑体" w:hAnsi="黑体" w:eastAsia="黑体"/>
          <w:sz w:val="21"/>
          <w:szCs w:val="21"/>
        </w:rPr>
        <w:t>功能规范</w:t>
      </w:r>
      <w:bookmarkEnd w:id="101"/>
    </w:p>
    <w:p>
      <w:pPr>
        <w:spacing w:line="360" w:lineRule="auto"/>
        <w:rPr>
          <w:rFonts w:ascii="黑体" w:hAnsi="黑体" w:eastAsia="黑体"/>
          <w:color w:val="000000"/>
          <w:szCs w:val="21"/>
        </w:rPr>
      </w:pPr>
      <w:r>
        <w:rPr>
          <w:rFonts w:hint="eastAsia" w:ascii="黑体" w:hAnsi="黑体" w:eastAsia="黑体" w:cs="Times New Roman"/>
          <w:kern w:val="2"/>
          <w:sz w:val="21"/>
          <w:szCs w:val="21"/>
          <w:lang w:val="en-US" w:eastAsia="zh-CN" w:bidi="ar-SA"/>
        </w:rPr>
        <w:t xml:space="preserve">6.1 </w:t>
      </w:r>
      <w:r>
        <w:rPr>
          <w:rFonts w:ascii="宋体" w:hAnsi="宋体"/>
          <w:szCs w:val="21"/>
        </w:rPr>
        <w:t xml:space="preserve"> </w:t>
      </w:r>
      <w:r>
        <w:rPr>
          <w:rFonts w:hint="eastAsia" w:ascii="黑体" w:hAnsi="黑体" w:eastAsia="黑体"/>
          <w:color w:val="000000"/>
          <w:szCs w:val="21"/>
        </w:rPr>
        <w:t>安全管理基础信息</w:t>
      </w:r>
    </w:p>
    <w:p>
      <w:pPr>
        <w:spacing w:line="360" w:lineRule="auto"/>
        <w:rPr>
          <w:rFonts w:hint="eastAsia" w:ascii="黑体" w:hAnsi="黑体" w:eastAsia="黑体" w:cs="Times New Roman"/>
          <w:kern w:val="2"/>
          <w:sz w:val="21"/>
          <w:szCs w:val="21"/>
          <w:lang w:val="en-US" w:eastAsia="zh-CN" w:bidi="ar-SA"/>
        </w:rPr>
      </w:pPr>
      <w:r>
        <w:rPr>
          <w:rFonts w:hint="eastAsia" w:ascii="黑体" w:hAnsi="黑体" w:eastAsia="黑体" w:cs="Times New Roman"/>
          <w:kern w:val="2"/>
          <w:sz w:val="21"/>
          <w:szCs w:val="21"/>
          <w:lang w:val="en-US" w:eastAsia="zh-CN" w:bidi="ar-SA"/>
        </w:rPr>
        <w:t>6.1.1  企业基础信息</w:t>
      </w:r>
    </w:p>
    <w:p>
      <w:pPr>
        <w:spacing w:line="360" w:lineRule="auto"/>
        <w:ind w:firstLine="420" w:firstLineChars="200"/>
        <w:rPr>
          <w:rFonts w:ascii="宋体" w:hAnsi="宋体"/>
          <w:szCs w:val="21"/>
        </w:rPr>
      </w:pPr>
      <w:r>
        <w:rPr>
          <w:rFonts w:hint="eastAsia"/>
          <w:color w:val="000000"/>
          <w:szCs w:val="21"/>
        </w:rPr>
        <w:t>应包含但不限于</w:t>
      </w:r>
      <w:r>
        <w:rPr>
          <w:rFonts w:hint="eastAsia"/>
          <w:color w:val="000000"/>
          <w:szCs w:val="21"/>
          <w:lang w:val="en-US" w:eastAsia="zh-CN"/>
        </w:rPr>
        <w:t>企业</w:t>
      </w:r>
      <w:r>
        <w:rPr>
          <w:rFonts w:hint="eastAsia"/>
          <w:color w:val="000000"/>
          <w:szCs w:val="21"/>
        </w:rPr>
        <w:t>名称、地址、所属区域、所属行业、企业在册从业人数、负责人、联系电话、安全生产许可相关证照等信息管理</w:t>
      </w:r>
      <w:r>
        <w:rPr>
          <w:rFonts w:ascii="宋体" w:hAnsi="宋体"/>
          <w:szCs w:val="21"/>
        </w:rPr>
        <w:t>。</w:t>
      </w:r>
    </w:p>
    <w:p>
      <w:pPr>
        <w:spacing w:line="360" w:lineRule="auto"/>
        <w:rPr>
          <w:rFonts w:hint="eastAsia" w:ascii="黑体" w:hAnsi="黑体" w:eastAsia="黑体" w:cs="Times New Roman"/>
          <w:kern w:val="2"/>
          <w:sz w:val="21"/>
          <w:szCs w:val="21"/>
          <w:lang w:val="en-US" w:eastAsia="zh-CN" w:bidi="ar-SA"/>
        </w:rPr>
      </w:pPr>
      <w:r>
        <w:rPr>
          <w:rFonts w:hint="eastAsia" w:ascii="黑体" w:hAnsi="黑体" w:eastAsia="黑体" w:cs="Times New Roman"/>
          <w:kern w:val="2"/>
          <w:sz w:val="21"/>
          <w:szCs w:val="21"/>
          <w:lang w:val="en-US" w:eastAsia="zh-CN" w:bidi="ar-SA"/>
        </w:rPr>
        <w:t>6.1.2  人员基础信息</w:t>
      </w:r>
    </w:p>
    <w:p>
      <w:pPr>
        <w:spacing w:line="360" w:lineRule="auto"/>
        <w:ind w:firstLine="420" w:firstLineChars="200"/>
        <w:rPr>
          <w:rFonts w:ascii="宋体" w:hAnsi="宋体"/>
          <w:color w:val="FF0000"/>
          <w:szCs w:val="21"/>
        </w:rPr>
      </w:pPr>
      <w:r>
        <w:rPr>
          <w:rFonts w:hint="eastAsia"/>
          <w:color w:val="000000"/>
          <w:szCs w:val="21"/>
        </w:rPr>
        <w:t>建立企业</w:t>
      </w:r>
      <w:r>
        <w:rPr>
          <w:rFonts w:hint="eastAsia"/>
          <w:color w:val="000000"/>
          <w:szCs w:val="21"/>
          <w:lang w:val="en-US" w:eastAsia="zh-CN"/>
        </w:rPr>
        <w:t>所有</w:t>
      </w:r>
      <w:r>
        <w:rPr>
          <w:rFonts w:hint="eastAsia"/>
          <w:color w:val="000000"/>
          <w:szCs w:val="21"/>
        </w:rPr>
        <w:t>人员基础信息电子档案及线上管理，</w:t>
      </w:r>
      <w:r>
        <w:rPr>
          <w:rFonts w:hint="eastAsia"/>
          <w:color w:val="000000"/>
          <w:szCs w:val="21"/>
          <w:lang w:val="en-US" w:eastAsia="zh-CN"/>
        </w:rPr>
        <w:t>支持按照组织架构分级设定，</w:t>
      </w:r>
      <w:r>
        <w:rPr>
          <w:rFonts w:hint="eastAsia"/>
          <w:color w:val="000000"/>
          <w:szCs w:val="21"/>
        </w:rPr>
        <w:t>应包含但不限于企业主要负责人、分管负责人、相关人员信息及职责</w:t>
      </w:r>
      <w:r>
        <w:rPr>
          <w:rFonts w:ascii="宋体" w:hAnsi="宋体"/>
          <w:szCs w:val="21"/>
        </w:rPr>
        <w:t>。</w:t>
      </w:r>
    </w:p>
    <w:p>
      <w:pPr>
        <w:spacing w:line="360" w:lineRule="auto"/>
        <w:rPr>
          <w:rFonts w:hint="eastAsia" w:ascii="黑体" w:hAnsi="黑体" w:eastAsia="黑体" w:cs="Times New Roman"/>
          <w:kern w:val="2"/>
          <w:sz w:val="21"/>
          <w:szCs w:val="21"/>
          <w:lang w:val="en-US" w:eastAsia="zh-CN" w:bidi="ar-SA"/>
        </w:rPr>
      </w:pPr>
      <w:r>
        <w:rPr>
          <w:rFonts w:hint="eastAsia" w:ascii="黑体" w:hAnsi="黑体" w:eastAsia="黑体" w:cs="Times New Roman"/>
          <w:kern w:val="2"/>
          <w:sz w:val="21"/>
          <w:szCs w:val="21"/>
          <w:lang w:val="en-US" w:eastAsia="zh-CN" w:bidi="ar-SA"/>
        </w:rPr>
        <w:t>6.1.3  体系制度管理</w:t>
      </w:r>
    </w:p>
    <w:p>
      <w:pPr>
        <w:spacing w:line="360" w:lineRule="auto"/>
        <w:ind w:firstLine="420" w:firstLineChars="200"/>
        <w:rPr>
          <w:rFonts w:ascii="宋体" w:hAnsi="宋体"/>
          <w:szCs w:val="21"/>
        </w:rPr>
      </w:pPr>
      <w:r>
        <w:rPr>
          <w:rFonts w:hint="eastAsia"/>
          <w:color w:val="000000"/>
          <w:szCs w:val="21"/>
        </w:rPr>
        <w:t>建立企业体系制度电子档案及线上管理，档案应包含但不限于安全风险分级管控制度、隐患排查治理制度、企业安全生产责任制、奖惩制度等制度管理和定期更新，具体要求参考河北省人民政府令〔2018〕第2号《河北省安全生产风险管控与隐患治理规定》。应具备下载、预览、废止功能</w:t>
      </w:r>
      <w:r>
        <w:rPr>
          <w:rFonts w:ascii="宋体" w:hAnsi="宋体"/>
          <w:szCs w:val="21"/>
        </w:rPr>
        <w:t>。</w:t>
      </w:r>
      <w:r>
        <w:rPr>
          <w:rFonts w:hint="eastAsia" w:ascii="宋体" w:hAnsi="宋体"/>
          <w:szCs w:val="21"/>
        </w:rPr>
        <w:t>支持相关证照到期自动提醒。</w:t>
      </w:r>
    </w:p>
    <w:p>
      <w:pPr>
        <w:spacing w:line="360" w:lineRule="auto"/>
        <w:ind w:firstLine="420" w:firstLineChars="200"/>
        <w:rPr>
          <w:color w:val="000000"/>
          <w:szCs w:val="21"/>
        </w:rPr>
      </w:pPr>
      <w:r>
        <w:rPr>
          <w:rFonts w:hint="eastAsia"/>
          <w:color w:val="000000"/>
          <w:szCs w:val="21"/>
        </w:rPr>
        <w:t>宜包含对公司及员工的资质证照设置过期提醒功能，支持相关人员从业证书、安全培训临期提示。</w:t>
      </w:r>
    </w:p>
    <w:p>
      <w:pPr>
        <w:spacing w:line="360" w:lineRule="auto"/>
        <w:rPr>
          <w:rFonts w:ascii="宋体" w:hAnsi="宋体"/>
          <w:szCs w:val="21"/>
        </w:rPr>
      </w:pPr>
      <w:r>
        <w:rPr>
          <w:rFonts w:hint="eastAsia" w:ascii="黑体" w:hAnsi="黑体" w:eastAsia="黑体"/>
          <w:color w:val="000000"/>
          <w:szCs w:val="21"/>
        </w:rPr>
        <w:t>6.2  风险</w:t>
      </w:r>
      <w:r>
        <w:rPr>
          <w:rFonts w:hint="eastAsia" w:ascii="黑体" w:hAnsi="黑体" w:eastAsia="黑体"/>
          <w:color w:val="000000"/>
          <w:szCs w:val="21"/>
          <w:lang w:val="en-US" w:eastAsia="zh-CN"/>
        </w:rPr>
        <w:t>分级</w:t>
      </w:r>
      <w:r>
        <w:rPr>
          <w:rFonts w:hint="eastAsia" w:ascii="黑体" w:hAnsi="黑体" w:eastAsia="黑体"/>
          <w:color w:val="000000"/>
          <w:szCs w:val="21"/>
        </w:rPr>
        <w:t>管控</w:t>
      </w:r>
    </w:p>
    <w:p>
      <w:pPr>
        <w:spacing w:line="360" w:lineRule="auto"/>
        <w:rPr>
          <w:rFonts w:ascii="宋体" w:hAnsi="宋体"/>
          <w:szCs w:val="21"/>
        </w:rPr>
      </w:pPr>
      <w:r>
        <w:rPr>
          <w:rFonts w:hint="eastAsia" w:ascii="黑体" w:hAnsi="黑体" w:eastAsia="黑体"/>
          <w:color w:val="000000"/>
          <w:szCs w:val="21"/>
        </w:rPr>
        <w:t xml:space="preserve">6.2.1 </w:t>
      </w:r>
      <w:r>
        <w:rPr>
          <w:rFonts w:ascii="宋体" w:hAnsi="宋体"/>
          <w:szCs w:val="21"/>
        </w:rPr>
        <w:t xml:space="preserve"> </w:t>
      </w:r>
      <w:r>
        <w:rPr>
          <w:rFonts w:hint="eastAsia" w:ascii="黑体" w:hAnsi="黑体" w:eastAsia="黑体"/>
          <w:color w:val="000000"/>
          <w:szCs w:val="21"/>
        </w:rPr>
        <w:t>评估单元</w:t>
      </w:r>
    </w:p>
    <w:p>
      <w:pPr>
        <w:spacing w:line="360" w:lineRule="auto"/>
        <w:ind w:firstLine="420" w:firstLineChars="200"/>
        <w:rPr>
          <w:rFonts w:ascii="宋体" w:hAnsi="宋体"/>
          <w:szCs w:val="21"/>
        </w:rPr>
      </w:pPr>
      <w:r>
        <w:rPr>
          <w:rFonts w:hint="eastAsia"/>
          <w:color w:val="000000"/>
          <w:szCs w:val="21"/>
        </w:rPr>
        <w:t>应按照</w:t>
      </w:r>
      <w:r>
        <w:rPr>
          <w:rFonts w:hint="eastAsia"/>
          <w:color w:val="000000"/>
          <w:szCs w:val="21"/>
          <w:lang w:eastAsia="zh-CN"/>
        </w:rPr>
        <w:t>企业</w:t>
      </w:r>
      <w:r>
        <w:rPr>
          <w:rFonts w:hint="eastAsia"/>
          <w:color w:val="000000"/>
          <w:szCs w:val="21"/>
          <w:lang w:val="en-US" w:eastAsia="zh-CN"/>
        </w:rPr>
        <w:t>实际情况将安全风险分析对象</w:t>
      </w:r>
      <w:r>
        <w:rPr>
          <w:rFonts w:hint="eastAsia"/>
          <w:color w:val="000000"/>
          <w:szCs w:val="21"/>
        </w:rPr>
        <w:t>划分</w:t>
      </w:r>
      <w:r>
        <w:rPr>
          <w:rFonts w:hint="eastAsia"/>
          <w:color w:val="000000"/>
          <w:szCs w:val="21"/>
          <w:lang w:val="en-US" w:eastAsia="zh-CN"/>
        </w:rPr>
        <w:t>为若干个相对独立的</w:t>
      </w:r>
      <w:r>
        <w:rPr>
          <w:rFonts w:hint="eastAsia"/>
          <w:color w:val="000000"/>
          <w:szCs w:val="21"/>
        </w:rPr>
        <w:t>评估单元，采用父子层架显示，应具备</w:t>
      </w:r>
      <w:r>
        <w:rPr>
          <w:rFonts w:hint="eastAsia"/>
          <w:color w:val="000000"/>
          <w:szCs w:val="21"/>
          <w:lang w:val="en-US" w:eastAsia="zh-CN"/>
        </w:rPr>
        <w:t>修改、删除、</w:t>
      </w:r>
      <w:r>
        <w:rPr>
          <w:rFonts w:hint="eastAsia"/>
          <w:color w:val="000000"/>
          <w:szCs w:val="21"/>
        </w:rPr>
        <w:t>导入、导出功能</w:t>
      </w:r>
      <w:r>
        <w:rPr>
          <w:rFonts w:ascii="宋体" w:hAnsi="宋体"/>
          <w:szCs w:val="21"/>
        </w:rPr>
        <w:t>。</w:t>
      </w:r>
    </w:p>
    <w:p>
      <w:pPr>
        <w:spacing w:line="360" w:lineRule="auto"/>
        <w:rPr>
          <w:rFonts w:ascii="宋体" w:hAnsi="宋体"/>
          <w:szCs w:val="21"/>
        </w:rPr>
      </w:pPr>
      <w:r>
        <w:rPr>
          <w:rFonts w:hint="eastAsia" w:ascii="黑体" w:hAnsi="黑体" w:eastAsia="黑体"/>
          <w:color w:val="000000"/>
          <w:szCs w:val="21"/>
        </w:rPr>
        <w:t>6.2.2  风险辨识</w:t>
      </w:r>
    </w:p>
    <w:p>
      <w:pPr>
        <w:spacing w:line="360" w:lineRule="auto"/>
        <w:rPr>
          <w:color w:val="000000"/>
          <w:szCs w:val="21"/>
        </w:rPr>
      </w:pPr>
      <w:r>
        <w:rPr>
          <w:rFonts w:hint="eastAsia" w:ascii="黑体" w:hAnsi="黑体" w:eastAsia="黑体"/>
          <w:color w:val="000000"/>
          <w:szCs w:val="21"/>
        </w:rPr>
        <w:t>6.2.2.1</w:t>
      </w:r>
      <w:r>
        <w:rPr>
          <w:rFonts w:hint="eastAsia"/>
          <w:color w:val="000000"/>
          <w:szCs w:val="21"/>
        </w:rPr>
        <w:t xml:space="preserve"> 依据评估单元进行辨识，</w:t>
      </w:r>
      <w:r>
        <w:rPr>
          <w:rFonts w:hint="eastAsia"/>
          <w:color w:val="000000"/>
          <w:szCs w:val="21"/>
          <w:lang w:val="en-US" w:eastAsia="zh-CN"/>
        </w:rPr>
        <w:t>为</w:t>
      </w:r>
      <w:r>
        <w:rPr>
          <w:rFonts w:hint="eastAsia"/>
          <w:color w:val="000000"/>
          <w:szCs w:val="21"/>
          <w:lang w:eastAsia="zh-CN"/>
        </w:rPr>
        <w:t>企业</w:t>
      </w:r>
      <w:r>
        <w:rPr>
          <w:rFonts w:hint="eastAsia"/>
          <w:color w:val="000000"/>
          <w:szCs w:val="21"/>
          <w:lang w:val="en-US" w:eastAsia="zh-CN"/>
        </w:rPr>
        <w:t>生成各评估单元的风险辨识数据库，对</w:t>
      </w:r>
      <w:r>
        <w:rPr>
          <w:rFonts w:hint="eastAsia"/>
          <w:color w:val="000000"/>
          <w:szCs w:val="21"/>
          <w:lang w:eastAsia="zh-CN"/>
        </w:rPr>
        <w:t>企业</w:t>
      </w:r>
      <w:r>
        <w:rPr>
          <w:rFonts w:hint="eastAsia"/>
          <w:color w:val="000000"/>
          <w:szCs w:val="21"/>
          <w:lang w:val="en-US" w:eastAsia="zh-CN"/>
        </w:rPr>
        <w:t>安全风险辨识资料进行统计、分析、整理和归档，不断丰富数据库资源，提高风险辨识的全面性和准确性</w:t>
      </w:r>
      <w:r>
        <w:rPr>
          <w:rFonts w:hint="eastAsia"/>
          <w:color w:val="000000"/>
          <w:szCs w:val="21"/>
        </w:rPr>
        <w:t>。</w:t>
      </w:r>
    </w:p>
    <w:p>
      <w:pPr>
        <w:spacing w:line="360" w:lineRule="auto"/>
        <w:rPr>
          <w:color w:val="000000"/>
          <w:szCs w:val="21"/>
        </w:rPr>
      </w:pPr>
      <w:r>
        <w:rPr>
          <w:rFonts w:hint="eastAsia" w:ascii="黑体" w:hAnsi="黑体" w:eastAsia="黑体"/>
          <w:color w:val="000000"/>
          <w:szCs w:val="21"/>
        </w:rPr>
        <w:t>6.2.2.2</w:t>
      </w:r>
      <w:r>
        <w:rPr>
          <w:rFonts w:hint="eastAsia"/>
          <w:color w:val="000000"/>
          <w:szCs w:val="21"/>
        </w:rPr>
        <w:t xml:space="preserve"> 应包括录入名称、</w:t>
      </w:r>
      <w:r>
        <w:rPr>
          <w:rFonts w:hint="eastAsia"/>
          <w:color w:val="000000"/>
          <w:szCs w:val="21"/>
          <w:lang w:val="en-US" w:eastAsia="zh-CN"/>
        </w:rPr>
        <w:t>辨识类型、</w:t>
      </w:r>
      <w:r>
        <w:rPr>
          <w:rFonts w:hint="eastAsia"/>
          <w:color w:val="000000"/>
          <w:szCs w:val="21"/>
        </w:rPr>
        <w:t>风险因素、日期、辨识对象、可能导致的事故类型、辨识人员、审核人员等信息</w:t>
      </w:r>
      <w:r>
        <w:rPr>
          <w:rFonts w:hint="eastAsia"/>
          <w:color w:val="000000"/>
          <w:szCs w:val="21"/>
          <w:lang w:val="en-US" w:eastAsia="zh-CN"/>
        </w:rPr>
        <w:t>，</w:t>
      </w:r>
      <w:r>
        <w:rPr>
          <w:rFonts w:hint="eastAsia"/>
          <w:color w:val="000000"/>
          <w:szCs w:val="21"/>
        </w:rPr>
        <w:t>风险类别、事故类型宜按照 GB/T 13861 和 GB 6441 进行分类。应具备导入、审核等功能。</w:t>
      </w:r>
    </w:p>
    <w:p>
      <w:pPr>
        <w:spacing w:line="360" w:lineRule="auto"/>
        <w:rPr>
          <w:rFonts w:hint="eastAsia" w:ascii="宋体" w:hAnsi="宋体" w:eastAsia="黑体"/>
          <w:szCs w:val="21"/>
          <w:lang w:val="en-US" w:eastAsia="zh-CN"/>
        </w:rPr>
      </w:pPr>
      <w:r>
        <w:rPr>
          <w:rFonts w:hint="eastAsia" w:ascii="黑体" w:hAnsi="黑体" w:eastAsia="黑体"/>
          <w:color w:val="000000"/>
          <w:szCs w:val="21"/>
        </w:rPr>
        <w:t xml:space="preserve">6.2.3 </w:t>
      </w:r>
      <w:r>
        <w:rPr>
          <w:rFonts w:ascii="宋体" w:hAnsi="宋体"/>
          <w:szCs w:val="21"/>
        </w:rPr>
        <w:t xml:space="preserve"> </w:t>
      </w:r>
      <w:r>
        <w:rPr>
          <w:rFonts w:hint="eastAsia" w:ascii="黑体" w:hAnsi="黑体" w:eastAsia="黑体"/>
          <w:color w:val="000000"/>
          <w:szCs w:val="21"/>
        </w:rPr>
        <w:t>风险</w:t>
      </w:r>
      <w:r>
        <w:rPr>
          <w:rFonts w:hint="eastAsia" w:ascii="黑体" w:hAnsi="黑体" w:eastAsia="黑体"/>
          <w:color w:val="000000"/>
          <w:szCs w:val="21"/>
          <w:lang w:val="en-US" w:eastAsia="zh-CN"/>
        </w:rPr>
        <w:t>评估</w:t>
      </w:r>
    </w:p>
    <w:p>
      <w:pPr>
        <w:spacing w:line="360" w:lineRule="auto"/>
        <w:rPr>
          <w:color w:val="000000"/>
          <w:szCs w:val="21"/>
        </w:rPr>
      </w:pPr>
      <w:r>
        <w:rPr>
          <w:rFonts w:hint="eastAsia" w:ascii="黑体" w:hAnsi="黑体" w:eastAsia="黑体"/>
          <w:color w:val="000000"/>
          <w:szCs w:val="21"/>
        </w:rPr>
        <w:t>6.2.3.1</w:t>
      </w:r>
      <w:r>
        <w:rPr>
          <w:rFonts w:hint="eastAsia"/>
          <w:color w:val="000000"/>
          <w:szCs w:val="21"/>
        </w:rPr>
        <w:t xml:space="preserve"> 应支持风险矩阵评价法（LS）、作业条件危险性评价法（LEC）、工作危害分析法（JHA）、安全检查表分析法（SCL）风险评价方法</w:t>
      </w:r>
      <w:r>
        <w:rPr>
          <w:rFonts w:hint="eastAsia"/>
          <w:color w:val="000000"/>
          <w:szCs w:val="21"/>
          <w:lang w:eastAsia="zh-CN"/>
        </w:rPr>
        <w:t>、</w:t>
      </w:r>
      <w:r>
        <w:rPr>
          <w:rFonts w:hint="eastAsia"/>
          <w:color w:val="000000"/>
          <w:szCs w:val="21"/>
        </w:rPr>
        <w:t>危险与可操作性评价法（HAZOP）风险</w:t>
      </w:r>
      <w:r>
        <w:rPr>
          <w:rFonts w:hint="eastAsia"/>
          <w:color w:val="000000"/>
          <w:szCs w:val="21"/>
          <w:lang w:val="en-US" w:eastAsia="zh-CN"/>
        </w:rPr>
        <w:t>评价法</w:t>
      </w:r>
      <w:r>
        <w:rPr>
          <w:rFonts w:hint="eastAsia"/>
          <w:color w:val="000000"/>
          <w:szCs w:val="21"/>
          <w:lang w:eastAsia="zh-CN"/>
        </w:rPr>
        <w:t>，</w:t>
      </w:r>
      <w:r>
        <w:rPr>
          <w:rFonts w:hint="eastAsia" w:ascii="宋体" w:hAnsi="宋体" w:eastAsia="宋体" w:cs="宋体"/>
          <w:color w:val="auto"/>
          <w:kern w:val="2"/>
          <w:sz w:val="21"/>
          <w:szCs w:val="21"/>
          <w:lang w:val="en-US" w:eastAsia="zh-CN" w:bidi="ar-SA"/>
        </w:rPr>
        <w:t>或多种风险评价方法的组合评估</w:t>
      </w:r>
      <w:r>
        <w:rPr>
          <w:rFonts w:hint="eastAsia"/>
          <w:color w:val="000000"/>
          <w:szCs w:val="21"/>
        </w:rPr>
        <w:t>，</w:t>
      </w:r>
      <w:r>
        <w:rPr>
          <w:rFonts w:hint="eastAsia"/>
          <w:color w:val="000000"/>
          <w:szCs w:val="21"/>
          <w:lang w:val="en-US" w:eastAsia="zh-CN"/>
        </w:rPr>
        <w:t>可</w:t>
      </w:r>
      <w:r>
        <w:rPr>
          <w:rFonts w:hint="eastAsia"/>
          <w:color w:val="000000"/>
          <w:szCs w:val="21"/>
        </w:rPr>
        <w:t>根据行业需求</w:t>
      </w:r>
      <w:r>
        <w:rPr>
          <w:rFonts w:hint="eastAsia"/>
          <w:color w:val="000000"/>
          <w:szCs w:val="21"/>
          <w:lang w:val="en-US" w:eastAsia="zh-CN"/>
        </w:rPr>
        <w:t>选定评估方法</w:t>
      </w:r>
      <w:r>
        <w:rPr>
          <w:rFonts w:hint="eastAsia"/>
          <w:color w:val="000000"/>
          <w:szCs w:val="21"/>
        </w:rPr>
        <w:t>，行业有规定的，选择评估方法时从其规定。</w:t>
      </w:r>
    </w:p>
    <w:p>
      <w:pPr>
        <w:spacing w:line="360" w:lineRule="auto"/>
        <w:rPr>
          <w:color w:val="000000"/>
          <w:szCs w:val="21"/>
        </w:rPr>
      </w:pPr>
      <w:r>
        <w:rPr>
          <w:rFonts w:hint="eastAsia" w:ascii="黑体" w:hAnsi="黑体" w:eastAsia="黑体"/>
          <w:color w:val="000000"/>
          <w:szCs w:val="21"/>
        </w:rPr>
        <w:t>6.2.3.2</w:t>
      </w:r>
      <w:r>
        <w:rPr>
          <w:rFonts w:hint="eastAsia"/>
          <w:color w:val="000000"/>
          <w:szCs w:val="21"/>
        </w:rPr>
        <w:t xml:space="preserve"> 评价的风险等级应对应显示红、橙、黄、蓝不同颜色，待评价的风险采用灰色显示</w:t>
      </w:r>
      <w:r>
        <w:rPr>
          <w:rFonts w:hint="eastAsia"/>
          <w:color w:val="000000"/>
          <w:szCs w:val="21"/>
          <w:lang w:eastAsia="zh-CN"/>
        </w:rPr>
        <w:t>，</w:t>
      </w:r>
      <w:r>
        <w:rPr>
          <w:rFonts w:hint="eastAsia"/>
          <w:color w:val="000000"/>
          <w:szCs w:val="21"/>
          <w:lang w:val="en-US" w:eastAsia="zh-CN"/>
        </w:rPr>
        <w:t>宜具备</w:t>
      </w:r>
      <w:r>
        <w:rPr>
          <w:rFonts w:hint="eastAsia" w:hAnsi="宋体" w:cs="宋体"/>
          <w:color w:val="auto"/>
          <w:kern w:val="2"/>
          <w:sz w:val="21"/>
          <w:szCs w:val="21"/>
          <w:lang w:val="en-US" w:eastAsia="zh-CN" w:bidi="ar-SA"/>
        </w:rPr>
        <w:t>风险管控动态评估内容</w:t>
      </w:r>
      <w:r>
        <w:rPr>
          <w:rFonts w:hint="eastAsia"/>
          <w:color w:val="000000"/>
          <w:szCs w:val="21"/>
        </w:rPr>
        <w:t>。</w:t>
      </w:r>
    </w:p>
    <w:p>
      <w:pPr>
        <w:spacing w:line="360" w:lineRule="auto"/>
        <w:rPr>
          <w:rFonts w:ascii="黑体" w:hAnsi="黑体" w:eastAsia="黑体"/>
          <w:color w:val="000000"/>
          <w:szCs w:val="21"/>
        </w:rPr>
      </w:pPr>
      <w:r>
        <w:rPr>
          <w:rFonts w:hint="eastAsia" w:ascii="黑体" w:hAnsi="黑体" w:eastAsia="黑体"/>
          <w:color w:val="000000"/>
          <w:szCs w:val="21"/>
        </w:rPr>
        <w:t>6.2.4</w:t>
      </w:r>
      <w:r>
        <w:rPr>
          <w:rFonts w:ascii="宋体" w:hAnsi="宋体"/>
          <w:szCs w:val="21"/>
        </w:rPr>
        <w:t xml:space="preserve">  </w:t>
      </w:r>
      <w:r>
        <w:rPr>
          <w:rFonts w:hint="eastAsia" w:ascii="黑体" w:hAnsi="黑体" w:eastAsia="黑体"/>
          <w:color w:val="000000"/>
          <w:szCs w:val="21"/>
        </w:rPr>
        <w:t>风险分级管控</w:t>
      </w:r>
    </w:p>
    <w:p>
      <w:pPr>
        <w:spacing w:line="360" w:lineRule="auto"/>
        <w:rPr>
          <w:rFonts w:ascii="黑体" w:hAnsi="黑体" w:eastAsia="黑体"/>
          <w:color w:val="000000"/>
          <w:szCs w:val="21"/>
        </w:rPr>
      </w:pPr>
      <w:r>
        <w:rPr>
          <w:rFonts w:hint="eastAsia" w:ascii="黑体" w:hAnsi="黑体" w:eastAsia="黑体"/>
          <w:color w:val="000000"/>
          <w:szCs w:val="21"/>
        </w:rPr>
        <w:t>6.2.4.1</w:t>
      </w:r>
      <w:r>
        <w:rPr>
          <w:rFonts w:hint="eastAsia"/>
          <w:color w:val="000000"/>
          <w:szCs w:val="21"/>
        </w:rPr>
        <w:t xml:space="preserve"> </w:t>
      </w:r>
      <w:r>
        <w:rPr>
          <w:rFonts w:hint="eastAsia"/>
          <w:color w:val="000000"/>
          <w:szCs w:val="21"/>
          <w:lang w:val="en-US" w:eastAsia="zh-CN"/>
        </w:rPr>
        <w:t xml:space="preserve"> </w:t>
      </w:r>
      <w:r>
        <w:rPr>
          <w:rFonts w:hint="eastAsia" w:ascii="黑体" w:hAnsi="黑体" w:eastAsia="黑体"/>
          <w:color w:val="000000"/>
          <w:szCs w:val="21"/>
        </w:rPr>
        <w:t>风险管控清单</w:t>
      </w:r>
    </w:p>
    <w:p>
      <w:pPr>
        <w:spacing w:line="360" w:lineRule="auto"/>
        <w:ind w:firstLine="420" w:firstLineChars="200"/>
        <w:rPr>
          <w:rFonts w:hint="eastAsia"/>
          <w:color w:val="000000"/>
          <w:szCs w:val="21"/>
          <w:lang w:val="en-US" w:eastAsia="zh-CN"/>
        </w:rPr>
      </w:pPr>
      <w:r>
        <w:rPr>
          <w:rFonts w:hint="eastAsia"/>
          <w:color w:val="000000"/>
          <w:szCs w:val="21"/>
          <w:lang w:val="en-US" w:eastAsia="zh-CN"/>
        </w:rPr>
        <w:t>风险管控清单应包括评价单元、风险因素、风险分级、管控层级、风险责任部门和责任人、主要管控措施，制定适应于各自行业的管控措施库，应具备批量导入、导出功能，支持导出专项风险台账，例如</w:t>
      </w:r>
      <w:r>
        <w:rPr>
          <w:rFonts w:hint="eastAsia" w:ascii="宋体" w:hAnsi="宋体" w:eastAsia="宋体" w:cs="Times New Roman"/>
          <w:kern w:val="2"/>
          <w:sz w:val="21"/>
          <w:szCs w:val="28"/>
          <w:lang w:val="en-US" w:eastAsia="zh-CN" w:bidi="ar"/>
        </w:rPr>
        <w:t>有限空间作业风险管控</w:t>
      </w:r>
      <w:r>
        <w:rPr>
          <w:rFonts w:hint="eastAsia" w:ascii="宋体" w:hAnsi="宋体" w:cs="Times New Roman"/>
          <w:kern w:val="2"/>
          <w:sz w:val="21"/>
          <w:szCs w:val="28"/>
          <w:lang w:val="en-US" w:eastAsia="zh-CN" w:bidi="ar"/>
        </w:rPr>
        <w:t>清单</w:t>
      </w:r>
      <w:r>
        <w:rPr>
          <w:rFonts w:hint="eastAsia" w:ascii="宋体" w:hAnsi="宋体" w:eastAsia="宋体" w:cs="Times New Roman"/>
          <w:kern w:val="2"/>
          <w:sz w:val="21"/>
          <w:szCs w:val="28"/>
          <w:lang w:val="en-US" w:eastAsia="zh-CN" w:bidi="ar"/>
        </w:rPr>
        <w:t>、涉爆粉尘风险管控</w:t>
      </w:r>
      <w:r>
        <w:rPr>
          <w:rFonts w:hint="eastAsia" w:ascii="宋体" w:hAnsi="宋体" w:cs="Times New Roman"/>
          <w:kern w:val="2"/>
          <w:sz w:val="21"/>
          <w:szCs w:val="28"/>
          <w:lang w:val="en-US" w:eastAsia="zh-CN" w:bidi="ar"/>
        </w:rPr>
        <w:t>清单</w:t>
      </w:r>
      <w:r>
        <w:rPr>
          <w:rFonts w:hint="eastAsia" w:ascii="宋体" w:hAnsi="宋体" w:eastAsia="宋体" w:cs="Times New Roman"/>
          <w:kern w:val="2"/>
          <w:sz w:val="21"/>
          <w:szCs w:val="28"/>
          <w:lang w:val="en-US" w:eastAsia="zh-CN" w:bidi="ar"/>
        </w:rPr>
        <w:t>、液氨制冷风险管控</w:t>
      </w:r>
      <w:r>
        <w:rPr>
          <w:rFonts w:hint="eastAsia" w:ascii="宋体" w:hAnsi="宋体" w:cs="Times New Roman"/>
          <w:kern w:val="2"/>
          <w:sz w:val="21"/>
          <w:szCs w:val="28"/>
          <w:lang w:val="en-US" w:eastAsia="zh-CN" w:bidi="ar"/>
        </w:rPr>
        <w:t>清单</w:t>
      </w:r>
      <w:r>
        <w:rPr>
          <w:rFonts w:hint="eastAsia" w:ascii="宋体" w:hAnsi="宋体" w:eastAsia="宋体" w:cs="Times New Roman"/>
          <w:kern w:val="2"/>
          <w:sz w:val="21"/>
          <w:szCs w:val="28"/>
          <w:lang w:val="en-US" w:eastAsia="zh-CN" w:bidi="ar"/>
        </w:rPr>
        <w:t>、涉煤气作业风险管控</w:t>
      </w:r>
      <w:r>
        <w:rPr>
          <w:rFonts w:hint="eastAsia" w:ascii="宋体" w:hAnsi="宋体" w:cs="Times New Roman"/>
          <w:kern w:val="2"/>
          <w:sz w:val="21"/>
          <w:szCs w:val="28"/>
          <w:lang w:val="en-US" w:eastAsia="zh-CN" w:bidi="ar"/>
        </w:rPr>
        <w:t>清单</w:t>
      </w:r>
      <w:r>
        <w:rPr>
          <w:rFonts w:hint="eastAsia"/>
          <w:color w:val="000000"/>
          <w:szCs w:val="21"/>
          <w:lang w:val="en-US" w:eastAsia="zh-CN"/>
        </w:rPr>
        <w:t>。</w:t>
      </w:r>
    </w:p>
    <w:p>
      <w:pPr>
        <w:spacing w:line="360" w:lineRule="auto"/>
        <w:ind w:firstLine="420" w:firstLineChars="200"/>
        <w:rPr>
          <w:color w:val="000000"/>
          <w:szCs w:val="21"/>
        </w:rPr>
      </w:pPr>
      <w:r>
        <w:rPr>
          <w:rFonts w:hint="eastAsia"/>
          <w:color w:val="000000"/>
          <w:szCs w:val="21"/>
          <w:lang w:val="en-US" w:eastAsia="zh-CN"/>
        </w:rPr>
        <w:t>应支持每项管控措施制定相应的隐患排查内容，支持</w:t>
      </w:r>
      <w:r>
        <w:rPr>
          <w:rFonts w:hint="eastAsia"/>
          <w:color w:val="000000"/>
          <w:szCs w:val="21"/>
        </w:rPr>
        <w:t>风险管控清单生成隐患排查清单功能。</w:t>
      </w:r>
    </w:p>
    <w:p>
      <w:pPr>
        <w:spacing w:line="360" w:lineRule="auto"/>
        <w:rPr>
          <w:rFonts w:ascii="黑体" w:hAnsi="黑体" w:eastAsia="黑体"/>
          <w:color w:val="000000"/>
          <w:szCs w:val="21"/>
        </w:rPr>
      </w:pPr>
      <w:r>
        <w:rPr>
          <w:rFonts w:hint="eastAsia" w:ascii="黑体" w:hAnsi="黑体" w:eastAsia="黑体"/>
          <w:color w:val="000000"/>
          <w:szCs w:val="21"/>
        </w:rPr>
        <w:t xml:space="preserve">6.2.4.2 </w:t>
      </w:r>
      <w:r>
        <w:rPr>
          <w:rFonts w:hint="eastAsia" w:ascii="黑体" w:hAnsi="黑体" w:eastAsia="黑体"/>
          <w:color w:val="000000"/>
          <w:szCs w:val="21"/>
          <w:lang w:val="en-US" w:eastAsia="zh-CN"/>
        </w:rPr>
        <w:t xml:space="preserve"> </w:t>
      </w:r>
      <w:r>
        <w:rPr>
          <w:rFonts w:hint="eastAsia" w:ascii="黑体" w:hAnsi="黑体" w:eastAsia="黑体"/>
          <w:color w:val="000000"/>
          <w:szCs w:val="21"/>
        </w:rPr>
        <w:t>风险分级管控历史</w:t>
      </w:r>
    </w:p>
    <w:p>
      <w:pPr>
        <w:spacing w:line="360" w:lineRule="auto"/>
        <w:ind w:firstLine="420" w:firstLineChars="200"/>
        <w:rPr>
          <w:color w:val="000000"/>
          <w:szCs w:val="21"/>
        </w:rPr>
      </w:pPr>
      <w:r>
        <w:rPr>
          <w:rFonts w:hint="eastAsia"/>
          <w:color w:val="000000"/>
          <w:szCs w:val="21"/>
          <w:lang w:val="en-US" w:eastAsia="zh-CN"/>
        </w:rPr>
        <w:t>支持对风险评估过程进行历史记录，</w:t>
      </w:r>
      <w:r>
        <w:rPr>
          <w:rFonts w:hint="eastAsia"/>
          <w:color w:val="000000"/>
          <w:szCs w:val="21"/>
        </w:rPr>
        <w:t>应包括评价单元、评估部门、评估人、评估方法、评估值、评估级别、评估时间、评估参数</w:t>
      </w:r>
      <w:r>
        <w:rPr>
          <w:rFonts w:hint="eastAsia"/>
          <w:color w:val="000000"/>
          <w:szCs w:val="21"/>
          <w:lang w:eastAsia="zh-CN"/>
        </w:rPr>
        <w:t>、</w:t>
      </w:r>
      <w:r>
        <w:rPr>
          <w:rFonts w:hint="eastAsia"/>
          <w:color w:val="000000"/>
          <w:szCs w:val="21"/>
          <w:lang w:val="en-US" w:eastAsia="zh-CN"/>
        </w:rPr>
        <w:t>风险复评、</w:t>
      </w:r>
      <w:r>
        <w:rPr>
          <w:rFonts w:hint="eastAsia" w:ascii="宋体" w:hAnsi="宋体" w:eastAsia="宋体" w:cs="宋体"/>
          <w:color w:val="auto"/>
          <w:kern w:val="2"/>
          <w:sz w:val="21"/>
          <w:szCs w:val="21"/>
          <w:lang w:val="en-US" w:eastAsia="zh-CN" w:bidi="ar-SA"/>
        </w:rPr>
        <w:t>管控人、管控时间、管控措施是否落实、管控不到位形成隐患问题描述等</w:t>
      </w:r>
      <w:r>
        <w:rPr>
          <w:rFonts w:hint="eastAsia"/>
          <w:color w:val="000000"/>
          <w:szCs w:val="21"/>
        </w:rPr>
        <w:t>。</w:t>
      </w:r>
    </w:p>
    <w:p>
      <w:pPr>
        <w:spacing w:line="360" w:lineRule="auto"/>
        <w:rPr>
          <w:rFonts w:ascii="宋体" w:hAnsi="宋体"/>
          <w:szCs w:val="21"/>
        </w:rPr>
      </w:pPr>
      <w:r>
        <w:rPr>
          <w:rFonts w:hint="eastAsia" w:ascii="黑体" w:hAnsi="黑体" w:eastAsia="黑体"/>
          <w:color w:val="000000"/>
          <w:szCs w:val="21"/>
        </w:rPr>
        <w:t xml:space="preserve">6.2.5 </w:t>
      </w:r>
      <w:r>
        <w:rPr>
          <w:rFonts w:ascii="宋体" w:hAnsi="宋体"/>
          <w:szCs w:val="21"/>
        </w:rPr>
        <w:t xml:space="preserve"> </w:t>
      </w:r>
      <w:r>
        <w:rPr>
          <w:rFonts w:hint="eastAsia" w:ascii="黑体" w:hAnsi="黑体" w:eastAsia="黑体"/>
          <w:color w:val="000000"/>
          <w:szCs w:val="21"/>
        </w:rPr>
        <w:t>风险告知</w:t>
      </w:r>
    </w:p>
    <w:p>
      <w:pPr>
        <w:spacing w:line="360" w:lineRule="auto"/>
        <w:rPr>
          <w:color w:val="000000"/>
          <w:szCs w:val="21"/>
        </w:rPr>
      </w:pPr>
      <w:r>
        <w:rPr>
          <w:rFonts w:hint="eastAsia" w:ascii="黑体" w:hAnsi="黑体" w:eastAsia="黑体"/>
          <w:color w:val="000000"/>
          <w:szCs w:val="21"/>
        </w:rPr>
        <w:t xml:space="preserve">6.2.5.1 </w:t>
      </w:r>
      <w:r>
        <w:rPr>
          <w:rFonts w:hint="eastAsia"/>
          <w:color w:val="000000"/>
          <w:szCs w:val="21"/>
        </w:rPr>
        <w:t>应包含风险告知卡、风险告知牌、风险告知栏等风险告知形式。</w:t>
      </w:r>
    </w:p>
    <w:p>
      <w:pPr>
        <w:spacing w:line="360" w:lineRule="auto"/>
        <w:rPr>
          <w:color w:val="000000"/>
          <w:szCs w:val="21"/>
        </w:rPr>
      </w:pPr>
      <w:r>
        <w:rPr>
          <w:rFonts w:hint="eastAsia" w:ascii="黑体" w:hAnsi="黑体" w:eastAsia="黑体"/>
          <w:color w:val="000000"/>
          <w:szCs w:val="21"/>
        </w:rPr>
        <w:t>6.2.5.2</w:t>
      </w:r>
      <w:r>
        <w:rPr>
          <w:rFonts w:hint="eastAsia"/>
          <w:color w:val="000000"/>
          <w:szCs w:val="21"/>
        </w:rPr>
        <w:t xml:space="preserve"> 应包含危险部位名称、编号、存在危险因素、可能伤及人员、紧急应对措施、应急处置方法、责任部门、责任人、救援电话以及安全警示标识等。</w:t>
      </w:r>
    </w:p>
    <w:p>
      <w:pPr>
        <w:spacing w:line="360" w:lineRule="auto"/>
        <w:rPr>
          <w:color w:val="000000"/>
          <w:szCs w:val="21"/>
        </w:rPr>
      </w:pPr>
      <w:r>
        <w:rPr>
          <w:rFonts w:hint="eastAsia" w:ascii="黑体" w:hAnsi="黑体" w:eastAsia="黑体"/>
          <w:color w:val="000000"/>
          <w:szCs w:val="21"/>
        </w:rPr>
        <w:t xml:space="preserve">6.2.5.3 </w:t>
      </w:r>
      <w:r>
        <w:rPr>
          <w:rFonts w:hint="eastAsia"/>
          <w:color w:val="000000"/>
          <w:szCs w:val="21"/>
        </w:rPr>
        <w:t>风险告知宜实现动态管理，应具备</w:t>
      </w:r>
      <w:r>
        <w:rPr>
          <w:rFonts w:hint="eastAsia"/>
          <w:color w:val="000000"/>
          <w:szCs w:val="21"/>
          <w:lang w:val="en-US" w:eastAsia="zh-CN"/>
        </w:rPr>
        <w:t>下载、</w:t>
      </w:r>
      <w:r>
        <w:rPr>
          <w:rFonts w:hint="eastAsia"/>
          <w:color w:val="000000"/>
          <w:szCs w:val="21"/>
        </w:rPr>
        <w:t>打印、导入、导出功能。</w:t>
      </w:r>
    </w:p>
    <w:p>
      <w:pPr>
        <w:spacing w:line="360" w:lineRule="auto"/>
        <w:rPr>
          <w:rFonts w:ascii="宋体" w:hAnsi="宋体"/>
          <w:szCs w:val="21"/>
        </w:rPr>
      </w:pPr>
      <w:r>
        <w:rPr>
          <w:rFonts w:hint="eastAsia" w:ascii="黑体" w:hAnsi="黑体" w:eastAsia="黑体"/>
          <w:color w:val="000000"/>
          <w:szCs w:val="21"/>
        </w:rPr>
        <w:t>6.2.6</w:t>
      </w:r>
      <w:r>
        <w:rPr>
          <w:rFonts w:ascii="宋体" w:hAnsi="宋体"/>
          <w:szCs w:val="21"/>
        </w:rPr>
        <w:t xml:space="preserve"> </w:t>
      </w:r>
      <w:r>
        <w:rPr>
          <w:rFonts w:hint="eastAsia" w:ascii="黑体" w:hAnsi="黑体" w:eastAsia="黑体"/>
          <w:color w:val="000000"/>
          <w:szCs w:val="21"/>
        </w:rPr>
        <w:t xml:space="preserve"> 安全生产承诺卡</w:t>
      </w:r>
    </w:p>
    <w:p>
      <w:pPr>
        <w:spacing w:line="360" w:lineRule="auto"/>
        <w:rPr>
          <w:color w:val="000000"/>
          <w:szCs w:val="21"/>
        </w:rPr>
      </w:pPr>
      <w:r>
        <w:rPr>
          <w:rFonts w:hint="eastAsia" w:ascii="黑体" w:hAnsi="黑体" w:eastAsia="黑体"/>
          <w:color w:val="000000"/>
          <w:szCs w:val="21"/>
        </w:rPr>
        <w:t>6.2.6.1</w:t>
      </w:r>
      <w:r>
        <w:rPr>
          <w:rFonts w:hint="eastAsia"/>
          <w:color w:val="000000"/>
          <w:szCs w:val="21"/>
        </w:rPr>
        <w:t xml:space="preserve"> 应生成签订《安全生产承诺卡》任务，承诺人确认无误后进行电子签名，生成签订《安全生产承诺卡》记录。</w:t>
      </w:r>
    </w:p>
    <w:p>
      <w:pPr>
        <w:spacing w:line="360" w:lineRule="auto"/>
        <w:rPr>
          <w:rFonts w:ascii="宋体" w:hAnsi="宋体" w:eastAsia="黑体"/>
          <w:szCs w:val="21"/>
        </w:rPr>
      </w:pPr>
      <w:r>
        <w:rPr>
          <w:rFonts w:hint="eastAsia" w:ascii="黑体" w:hAnsi="黑体" w:eastAsia="黑体"/>
          <w:color w:val="000000"/>
          <w:szCs w:val="21"/>
        </w:rPr>
        <w:t>6.2.7</w:t>
      </w:r>
      <w:r>
        <w:rPr>
          <w:rFonts w:ascii="宋体" w:hAnsi="宋体"/>
          <w:szCs w:val="21"/>
        </w:rPr>
        <w:t xml:space="preserve">  </w:t>
      </w:r>
      <w:r>
        <w:rPr>
          <w:rFonts w:hint="eastAsia" w:ascii="黑体" w:hAnsi="黑体" w:eastAsia="黑体"/>
          <w:color w:val="000000"/>
          <w:szCs w:val="21"/>
        </w:rPr>
        <w:t>应急处置卡</w:t>
      </w:r>
    </w:p>
    <w:p>
      <w:pPr>
        <w:spacing w:line="360" w:lineRule="auto"/>
        <w:rPr>
          <w:color w:val="000000"/>
          <w:szCs w:val="21"/>
        </w:rPr>
      </w:pPr>
      <w:r>
        <w:rPr>
          <w:rFonts w:hint="eastAsia" w:ascii="黑体" w:hAnsi="黑体" w:eastAsia="黑体"/>
          <w:color w:val="000000"/>
          <w:szCs w:val="21"/>
        </w:rPr>
        <w:t>6.2.7.1</w:t>
      </w:r>
      <w:r>
        <w:rPr>
          <w:rFonts w:hint="eastAsia"/>
          <w:color w:val="000000"/>
          <w:szCs w:val="21"/>
        </w:rPr>
        <w:t xml:space="preserve"> 应根据风险管控清单，生成应急处置卡，应具备</w:t>
      </w:r>
      <w:r>
        <w:rPr>
          <w:rFonts w:hint="eastAsia"/>
          <w:color w:val="000000"/>
          <w:szCs w:val="21"/>
          <w:lang w:val="en-US" w:eastAsia="zh-CN"/>
        </w:rPr>
        <w:t>下载、</w:t>
      </w:r>
      <w:r>
        <w:rPr>
          <w:rFonts w:hint="eastAsia"/>
          <w:color w:val="000000"/>
          <w:szCs w:val="21"/>
        </w:rPr>
        <w:t>打印、导入、导出功能。</w:t>
      </w:r>
    </w:p>
    <w:p>
      <w:pPr>
        <w:spacing w:line="360" w:lineRule="auto"/>
        <w:rPr>
          <w:color w:val="000000"/>
          <w:szCs w:val="21"/>
        </w:rPr>
      </w:pPr>
      <w:r>
        <w:rPr>
          <w:rFonts w:hint="eastAsia" w:ascii="黑体" w:hAnsi="黑体" w:eastAsia="黑体"/>
          <w:color w:val="000000"/>
          <w:szCs w:val="21"/>
        </w:rPr>
        <w:t xml:space="preserve">6.2.7.2 </w:t>
      </w:r>
      <w:r>
        <w:rPr>
          <w:rFonts w:hint="eastAsia"/>
          <w:color w:val="000000"/>
          <w:szCs w:val="21"/>
        </w:rPr>
        <w:t>应包含岗位易发生事故的类型、应急处置方法、注意事项及应急联系方式等。</w:t>
      </w:r>
    </w:p>
    <w:p>
      <w:pPr>
        <w:spacing w:line="360" w:lineRule="auto"/>
        <w:rPr>
          <w:rFonts w:ascii="宋体" w:hAnsi="宋体"/>
          <w:szCs w:val="21"/>
        </w:rPr>
      </w:pPr>
      <w:r>
        <w:rPr>
          <w:rFonts w:hint="eastAsia" w:ascii="黑体" w:hAnsi="黑体" w:eastAsia="黑体"/>
          <w:color w:val="000000"/>
          <w:szCs w:val="21"/>
        </w:rPr>
        <w:t xml:space="preserve">6.2.8 </w:t>
      </w:r>
      <w:r>
        <w:rPr>
          <w:rFonts w:ascii="宋体" w:hAnsi="宋体"/>
          <w:szCs w:val="21"/>
        </w:rPr>
        <w:t xml:space="preserve"> </w:t>
      </w:r>
      <w:r>
        <w:rPr>
          <w:rFonts w:hint="eastAsia" w:ascii="黑体" w:hAnsi="黑体" w:eastAsia="黑体"/>
          <w:color w:val="000000"/>
          <w:szCs w:val="21"/>
          <w:lang w:val="en-US" w:eastAsia="zh-CN"/>
        </w:rPr>
        <w:t>动态</w:t>
      </w:r>
      <w:r>
        <w:rPr>
          <w:rFonts w:hint="eastAsia" w:ascii="黑体" w:hAnsi="黑体" w:eastAsia="黑体"/>
          <w:color w:val="000000"/>
          <w:szCs w:val="21"/>
        </w:rPr>
        <w:t>风险</w:t>
      </w:r>
      <w:r>
        <w:rPr>
          <w:rFonts w:hint="eastAsia" w:ascii="黑体" w:hAnsi="黑体" w:eastAsia="黑体"/>
          <w:color w:val="000000"/>
          <w:szCs w:val="21"/>
          <w:lang w:val="en-US" w:eastAsia="zh-CN"/>
        </w:rPr>
        <w:t>空间分布</w:t>
      </w:r>
      <w:r>
        <w:rPr>
          <w:rFonts w:hint="eastAsia" w:ascii="黑体" w:hAnsi="黑体" w:eastAsia="黑体"/>
          <w:color w:val="000000"/>
          <w:szCs w:val="21"/>
        </w:rPr>
        <w:t>图</w:t>
      </w:r>
    </w:p>
    <w:p>
      <w:pPr>
        <w:spacing w:line="360" w:lineRule="auto"/>
        <w:rPr>
          <w:rFonts w:hint="eastAsia"/>
          <w:color w:val="000000"/>
          <w:szCs w:val="21"/>
          <w:lang w:eastAsia="zh-CN"/>
        </w:rPr>
      </w:pPr>
      <w:r>
        <w:rPr>
          <w:rFonts w:hint="eastAsia" w:ascii="黑体" w:hAnsi="黑体" w:eastAsia="黑体"/>
          <w:color w:val="000000"/>
          <w:szCs w:val="21"/>
        </w:rPr>
        <w:t>6.2.8.1</w:t>
      </w:r>
      <w:r>
        <w:rPr>
          <w:rFonts w:hint="eastAsia"/>
          <w:color w:val="000000"/>
          <w:szCs w:val="21"/>
        </w:rPr>
        <w:t xml:space="preserve"> 应</w:t>
      </w:r>
      <w:r>
        <w:rPr>
          <w:rFonts w:hint="eastAsia"/>
          <w:color w:val="000000"/>
          <w:szCs w:val="21"/>
          <w:lang w:val="en-US" w:eastAsia="zh-CN"/>
        </w:rPr>
        <w:t>支持企业在空间地图上绘制厂区、车间等区域图，平台</w:t>
      </w:r>
      <w:r>
        <w:rPr>
          <w:rFonts w:hint="eastAsia"/>
          <w:color w:val="000000"/>
          <w:szCs w:val="21"/>
        </w:rPr>
        <w:t>根据</w:t>
      </w:r>
      <w:r>
        <w:rPr>
          <w:rFonts w:hint="eastAsia"/>
          <w:color w:val="000000"/>
          <w:szCs w:val="21"/>
          <w:lang w:val="en-US" w:eastAsia="zh-CN"/>
        </w:rPr>
        <w:t>风险评估</w:t>
      </w:r>
      <w:r>
        <w:rPr>
          <w:rFonts w:hint="eastAsia"/>
          <w:color w:val="000000"/>
          <w:szCs w:val="21"/>
        </w:rPr>
        <w:t>识</w:t>
      </w:r>
      <w:r>
        <w:rPr>
          <w:rFonts w:hint="eastAsia"/>
          <w:color w:val="000000"/>
          <w:szCs w:val="21"/>
          <w:lang w:val="en-US" w:eastAsia="zh-CN"/>
        </w:rPr>
        <w:t>别出的</w:t>
      </w:r>
      <w:r>
        <w:rPr>
          <w:rFonts w:hint="eastAsia"/>
          <w:color w:val="000000"/>
          <w:szCs w:val="21"/>
        </w:rPr>
        <w:t>风险及其等级在</w:t>
      </w:r>
      <w:r>
        <w:rPr>
          <w:rFonts w:hint="eastAsia"/>
          <w:color w:val="000000"/>
          <w:szCs w:val="21"/>
          <w:lang w:val="en-US" w:eastAsia="zh-CN"/>
        </w:rPr>
        <w:t>企业地图</w:t>
      </w:r>
      <w:r>
        <w:rPr>
          <w:rFonts w:hint="eastAsia"/>
          <w:color w:val="000000"/>
          <w:szCs w:val="21"/>
        </w:rPr>
        <w:t>上以“四色图”的方式</w:t>
      </w:r>
      <w:r>
        <w:rPr>
          <w:rFonts w:hint="eastAsia"/>
          <w:color w:val="000000"/>
          <w:szCs w:val="21"/>
          <w:lang w:val="en-US" w:eastAsia="zh-CN"/>
        </w:rPr>
        <w:t>进行</w:t>
      </w:r>
      <w:r>
        <w:rPr>
          <w:rFonts w:hint="eastAsia"/>
          <w:color w:val="000000"/>
          <w:szCs w:val="21"/>
        </w:rPr>
        <w:t>展示</w:t>
      </w:r>
      <w:r>
        <w:rPr>
          <w:rFonts w:hint="eastAsia"/>
          <w:color w:val="000000"/>
          <w:szCs w:val="21"/>
          <w:lang w:val="en-US" w:eastAsia="zh-CN"/>
        </w:rPr>
        <w:t>风险空间分布图</w:t>
      </w:r>
      <w:r>
        <w:rPr>
          <w:rFonts w:hint="eastAsia"/>
          <w:color w:val="000000"/>
          <w:szCs w:val="21"/>
          <w:lang w:eastAsia="zh-CN"/>
        </w:rPr>
        <w:t>。</w:t>
      </w:r>
    </w:p>
    <w:p>
      <w:pPr>
        <w:spacing w:line="360" w:lineRule="auto"/>
        <w:rPr>
          <w:color w:val="000000"/>
          <w:szCs w:val="21"/>
        </w:rPr>
      </w:pPr>
      <w:r>
        <w:rPr>
          <w:rFonts w:hint="eastAsia" w:ascii="黑体" w:hAnsi="黑体" w:eastAsia="黑体"/>
          <w:color w:val="000000"/>
          <w:szCs w:val="21"/>
        </w:rPr>
        <w:t>6.2.8.</w:t>
      </w:r>
      <w:r>
        <w:rPr>
          <w:rFonts w:hint="eastAsia" w:ascii="黑体" w:hAnsi="黑体" w:eastAsia="黑体"/>
          <w:color w:val="000000"/>
          <w:szCs w:val="21"/>
          <w:lang w:val="en-US" w:eastAsia="zh-CN"/>
        </w:rPr>
        <w:t>2</w:t>
      </w:r>
      <w:r>
        <w:rPr>
          <w:rFonts w:hint="eastAsia"/>
          <w:color w:val="000000"/>
          <w:szCs w:val="21"/>
        </w:rPr>
        <w:t xml:space="preserve"> 可以根据区域风险数赋予区域不同警示色，</w:t>
      </w:r>
      <w:r>
        <w:rPr>
          <w:rFonts w:hint="eastAsia"/>
          <w:color w:val="000000"/>
          <w:szCs w:val="21"/>
          <w:lang w:val="en-US" w:eastAsia="zh-CN"/>
        </w:rPr>
        <w:t>支持根据企业风险等级变化动态显示区域风险空间分布图，</w:t>
      </w:r>
      <w:r>
        <w:rPr>
          <w:rFonts w:hint="eastAsia"/>
          <w:color w:val="000000"/>
          <w:szCs w:val="21"/>
        </w:rPr>
        <w:t>应具备编辑、下载、</w:t>
      </w:r>
      <w:r>
        <w:rPr>
          <w:rFonts w:hint="eastAsia"/>
          <w:color w:val="000000"/>
          <w:szCs w:val="21"/>
          <w:lang w:val="en-US" w:eastAsia="zh-CN"/>
        </w:rPr>
        <w:t>打印</w:t>
      </w:r>
      <w:r>
        <w:rPr>
          <w:rFonts w:hint="eastAsia"/>
          <w:color w:val="000000"/>
          <w:szCs w:val="21"/>
        </w:rPr>
        <w:t>功能。</w:t>
      </w:r>
    </w:p>
    <w:p>
      <w:pPr>
        <w:spacing w:line="360" w:lineRule="auto"/>
        <w:rPr>
          <w:rFonts w:hint="eastAsia" w:ascii="黑体" w:hAnsi="黑体" w:eastAsia="黑体"/>
          <w:color w:val="000000"/>
          <w:szCs w:val="21"/>
        </w:rPr>
      </w:pPr>
      <w:r>
        <w:rPr>
          <w:rFonts w:hint="eastAsia" w:ascii="黑体" w:hAnsi="黑体" w:eastAsia="黑体"/>
          <w:color w:val="000000"/>
          <w:szCs w:val="21"/>
        </w:rPr>
        <w:t>6.3  隐患排查治理</w:t>
      </w:r>
    </w:p>
    <w:p>
      <w:pPr>
        <w:spacing w:line="360" w:lineRule="auto"/>
        <w:rPr>
          <w:rFonts w:hint="eastAsia" w:ascii="黑体" w:hAnsi="黑体" w:eastAsia="黑体"/>
          <w:color w:val="000000"/>
          <w:szCs w:val="21"/>
        </w:rPr>
      </w:pPr>
      <w:r>
        <w:rPr>
          <w:rFonts w:hint="eastAsia" w:ascii="黑体" w:hAnsi="黑体" w:eastAsia="黑体"/>
          <w:color w:val="000000"/>
          <w:szCs w:val="21"/>
        </w:rPr>
        <w:t>6.3.1  隐患排查清单</w:t>
      </w:r>
    </w:p>
    <w:p>
      <w:pPr>
        <w:spacing w:line="360" w:lineRule="auto"/>
        <w:rPr>
          <w:color w:val="000000"/>
          <w:szCs w:val="21"/>
        </w:rPr>
      </w:pPr>
      <w:r>
        <w:rPr>
          <w:rFonts w:hint="eastAsia" w:ascii="黑体" w:hAnsi="黑体" w:eastAsia="黑体"/>
          <w:color w:val="000000"/>
          <w:szCs w:val="21"/>
        </w:rPr>
        <w:t xml:space="preserve">6.3.1.1 </w:t>
      </w:r>
      <w:r>
        <w:rPr>
          <w:rFonts w:hint="eastAsia"/>
          <w:color w:val="000000"/>
          <w:szCs w:val="21"/>
        </w:rPr>
        <w:t>应包含风险部位、风险因素、管控措施、管控部门、管控责任人、隐患排查部门、排查责任人、检查频次</w:t>
      </w:r>
      <w:r>
        <w:rPr>
          <w:rFonts w:hint="eastAsia"/>
          <w:color w:val="000000"/>
          <w:szCs w:val="21"/>
          <w:lang w:eastAsia="zh-CN"/>
        </w:rPr>
        <w:t>、</w:t>
      </w:r>
      <w:r>
        <w:rPr>
          <w:rFonts w:hint="eastAsia"/>
          <w:color w:val="000000"/>
          <w:szCs w:val="21"/>
          <w:lang w:val="en-US" w:eastAsia="zh-CN"/>
        </w:rPr>
        <w:t>是否构成重大隐患</w:t>
      </w:r>
      <w:r>
        <w:rPr>
          <w:rFonts w:hint="eastAsia"/>
          <w:color w:val="000000"/>
          <w:szCs w:val="21"/>
        </w:rPr>
        <w:t>等信息，具备导入、导出、查询等功能。</w:t>
      </w:r>
    </w:p>
    <w:p>
      <w:pPr>
        <w:spacing w:line="360" w:lineRule="auto"/>
        <w:rPr>
          <w:color w:val="000000"/>
          <w:szCs w:val="21"/>
        </w:rPr>
      </w:pPr>
      <w:r>
        <w:rPr>
          <w:rFonts w:hint="eastAsia" w:ascii="黑体" w:hAnsi="黑体" w:eastAsia="黑体"/>
          <w:color w:val="000000"/>
          <w:szCs w:val="21"/>
        </w:rPr>
        <w:t>6.3.1.2</w:t>
      </w:r>
      <w:r>
        <w:rPr>
          <w:color w:val="000000"/>
          <w:szCs w:val="21"/>
        </w:rPr>
        <w:t xml:space="preserve"> </w:t>
      </w:r>
      <w:r>
        <w:rPr>
          <w:rFonts w:hint="eastAsia"/>
          <w:color w:val="000000"/>
          <w:szCs w:val="21"/>
        </w:rPr>
        <w:t>应支持风险管控清单生成隐患排查清单。</w:t>
      </w:r>
    </w:p>
    <w:p>
      <w:pPr>
        <w:spacing w:line="360" w:lineRule="auto"/>
        <w:rPr>
          <w:rFonts w:ascii="宋体" w:hAnsi="宋体"/>
          <w:szCs w:val="21"/>
        </w:rPr>
      </w:pPr>
      <w:r>
        <w:rPr>
          <w:rFonts w:hint="eastAsia" w:ascii="黑体" w:hAnsi="黑体" w:eastAsia="黑体"/>
          <w:color w:val="000000"/>
          <w:szCs w:val="21"/>
        </w:rPr>
        <w:t xml:space="preserve">6.3.2 </w:t>
      </w:r>
      <w:r>
        <w:rPr>
          <w:rFonts w:ascii="宋体" w:hAnsi="宋体"/>
          <w:szCs w:val="21"/>
        </w:rPr>
        <w:t xml:space="preserve"> </w:t>
      </w:r>
      <w:r>
        <w:rPr>
          <w:rFonts w:hint="eastAsia" w:ascii="黑体" w:hAnsi="黑体" w:eastAsia="黑体"/>
          <w:color w:val="000000"/>
          <w:szCs w:val="21"/>
        </w:rPr>
        <w:t>隐患检查表</w:t>
      </w:r>
    </w:p>
    <w:p>
      <w:pPr>
        <w:spacing w:line="360" w:lineRule="auto"/>
        <w:rPr>
          <w:rFonts w:hint="default" w:eastAsia="宋体"/>
          <w:color w:val="000000"/>
          <w:szCs w:val="21"/>
          <w:lang w:val="en-US" w:eastAsia="zh-CN"/>
        </w:rPr>
      </w:pPr>
      <w:r>
        <w:rPr>
          <w:rFonts w:hint="eastAsia" w:ascii="黑体" w:hAnsi="黑体" w:eastAsia="黑体"/>
          <w:color w:val="000000"/>
          <w:szCs w:val="21"/>
        </w:rPr>
        <w:t>6.3.2.1</w:t>
      </w:r>
      <w:r>
        <w:rPr>
          <w:rFonts w:hint="eastAsia"/>
          <w:color w:val="000000"/>
          <w:szCs w:val="21"/>
        </w:rPr>
        <w:t xml:space="preserve"> </w:t>
      </w:r>
      <w:r>
        <w:rPr>
          <w:rFonts w:hint="eastAsia"/>
          <w:color w:val="000000"/>
          <w:szCs w:val="21"/>
          <w:lang w:val="en-US" w:eastAsia="zh-CN"/>
        </w:rPr>
        <w:t>应根据安全风险管控清单中的管控措施，制定隐患排查计划。</w:t>
      </w:r>
    </w:p>
    <w:p>
      <w:pPr>
        <w:spacing w:line="360" w:lineRule="auto"/>
        <w:rPr>
          <w:color w:val="000000"/>
          <w:szCs w:val="21"/>
        </w:rPr>
      </w:pPr>
      <w:r>
        <w:rPr>
          <w:rFonts w:hint="eastAsia" w:ascii="黑体" w:hAnsi="黑体" w:eastAsia="黑体"/>
          <w:color w:val="000000"/>
          <w:szCs w:val="21"/>
        </w:rPr>
        <w:t>6.3.2.</w:t>
      </w:r>
      <w:r>
        <w:rPr>
          <w:rFonts w:hint="eastAsia" w:ascii="黑体" w:hAnsi="黑体" w:eastAsia="黑体"/>
          <w:color w:val="000000"/>
          <w:szCs w:val="21"/>
          <w:lang w:val="en-US" w:eastAsia="zh-CN"/>
        </w:rPr>
        <w:t>2</w:t>
      </w:r>
      <w:r>
        <w:rPr>
          <w:rFonts w:hint="eastAsia"/>
          <w:color w:val="000000"/>
          <w:szCs w:val="21"/>
        </w:rPr>
        <w:t xml:space="preserve"> 应包含检查表名称、类型、状态、排查级别、检查部门、排查责任人、排查频次、检查地点、备注说明等信息。</w:t>
      </w:r>
    </w:p>
    <w:p>
      <w:pPr>
        <w:spacing w:line="360" w:lineRule="auto"/>
        <w:rPr>
          <w:color w:val="000000"/>
          <w:szCs w:val="21"/>
        </w:rPr>
      </w:pPr>
      <w:r>
        <w:rPr>
          <w:rFonts w:hint="eastAsia" w:ascii="黑体" w:hAnsi="黑体" w:eastAsia="黑体"/>
          <w:color w:val="000000"/>
          <w:szCs w:val="21"/>
        </w:rPr>
        <w:t>6.3.2.</w:t>
      </w:r>
      <w:r>
        <w:rPr>
          <w:rFonts w:hint="eastAsia" w:ascii="黑体" w:hAnsi="黑体" w:eastAsia="黑体"/>
          <w:color w:val="000000"/>
          <w:szCs w:val="21"/>
          <w:lang w:val="en-US" w:eastAsia="zh-CN"/>
        </w:rPr>
        <w:t>3</w:t>
      </w:r>
      <w:r>
        <w:rPr>
          <w:rFonts w:hint="eastAsia" w:ascii="黑体" w:hAnsi="黑体" w:eastAsia="黑体"/>
          <w:color w:val="000000"/>
          <w:szCs w:val="21"/>
        </w:rPr>
        <w:t xml:space="preserve"> </w:t>
      </w:r>
      <w:r>
        <w:rPr>
          <w:rFonts w:hint="eastAsia"/>
          <w:color w:val="000000"/>
          <w:szCs w:val="21"/>
        </w:rPr>
        <w:t>应支持从隐患排查清单中选择排查项功能。</w:t>
      </w:r>
    </w:p>
    <w:p>
      <w:pPr>
        <w:spacing w:line="360" w:lineRule="auto"/>
        <w:rPr>
          <w:rFonts w:hint="eastAsia" w:eastAsia="宋体"/>
          <w:color w:val="000000"/>
          <w:szCs w:val="21"/>
          <w:lang w:eastAsia="zh-CN"/>
        </w:rPr>
      </w:pPr>
      <w:r>
        <w:rPr>
          <w:rFonts w:hint="eastAsia" w:ascii="黑体" w:hAnsi="黑体" w:eastAsia="黑体"/>
          <w:color w:val="000000"/>
          <w:szCs w:val="21"/>
        </w:rPr>
        <w:t>6.3.2.</w:t>
      </w:r>
      <w:r>
        <w:rPr>
          <w:rFonts w:hint="eastAsia" w:ascii="黑体" w:hAnsi="黑体" w:eastAsia="黑体"/>
          <w:color w:val="000000"/>
          <w:szCs w:val="21"/>
          <w:lang w:val="en-US" w:eastAsia="zh-CN"/>
        </w:rPr>
        <w:t>4</w:t>
      </w:r>
      <w:r>
        <w:rPr>
          <w:rFonts w:hint="eastAsia" w:ascii="黑体" w:hAnsi="黑体" w:eastAsia="黑体"/>
          <w:color w:val="000000"/>
          <w:szCs w:val="21"/>
        </w:rPr>
        <w:t xml:space="preserve"> </w:t>
      </w:r>
      <w:r>
        <w:rPr>
          <w:rFonts w:hint="eastAsia"/>
          <w:color w:val="000000"/>
          <w:szCs w:val="21"/>
        </w:rPr>
        <w:t>应支持综合检查、专业检查、季节性检查、节假日检查、日常检查</w:t>
      </w:r>
      <w:r>
        <w:rPr>
          <w:rFonts w:hint="eastAsia"/>
          <w:color w:val="000000"/>
          <w:szCs w:val="21"/>
          <w:lang w:eastAsia="zh-CN"/>
        </w:rPr>
        <w:t>、</w:t>
      </w:r>
      <w:r>
        <w:rPr>
          <w:rFonts w:hint="eastAsia" w:ascii="宋体" w:hAnsi="宋体" w:eastAsia="宋体" w:cs="宋体"/>
          <w:color w:val="auto"/>
          <w:kern w:val="2"/>
          <w:sz w:val="21"/>
          <w:szCs w:val="21"/>
          <w:highlight w:val="none"/>
          <w:lang w:val="en-US" w:eastAsia="zh-CN" w:bidi="ar-SA"/>
        </w:rPr>
        <w:t>重点时段及节假日前排查、事故类比排查、复工复产前排查、外聘专家诊断式排查</w:t>
      </w:r>
      <w:r>
        <w:rPr>
          <w:rFonts w:hint="eastAsia"/>
          <w:color w:val="000000"/>
          <w:szCs w:val="21"/>
        </w:rPr>
        <w:t>等多种排查类型</w:t>
      </w:r>
      <w:r>
        <w:rPr>
          <w:rFonts w:hint="eastAsia"/>
          <w:color w:val="000000"/>
          <w:szCs w:val="21"/>
          <w:lang w:eastAsia="zh-CN"/>
        </w:rPr>
        <w:t>。</w:t>
      </w:r>
    </w:p>
    <w:p>
      <w:pPr>
        <w:spacing w:line="360" w:lineRule="auto"/>
        <w:rPr>
          <w:rFonts w:hint="eastAsia" w:ascii="黑体" w:hAnsi="黑体" w:eastAsia="黑体"/>
          <w:color w:val="000000"/>
          <w:szCs w:val="21"/>
        </w:rPr>
      </w:pPr>
      <w:r>
        <w:rPr>
          <w:rFonts w:hint="eastAsia" w:ascii="黑体" w:hAnsi="黑体" w:eastAsia="黑体"/>
          <w:color w:val="000000"/>
          <w:szCs w:val="21"/>
        </w:rPr>
        <w:t>6.3.3  隐患排查任务</w:t>
      </w:r>
    </w:p>
    <w:p>
      <w:pPr>
        <w:spacing w:line="360" w:lineRule="auto"/>
        <w:rPr>
          <w:rFonts w:hint="eastAsia"/>
          <w:color w:val="000000"/>
          <w:szCs w:val="21"/>
          <w:lang w:val="en-US" w:eastAsia="zh-CN"/>
        </w:rPr>
      </w:pPr>
      <w:r>
        <w:rPr>
          <w:rFonts w:hint="eastAsia" w:ascii="黑体" w:hAnsi="黑体" w:eastAsia="黑体"/>
          <w:color w:val="000000"/>
          <w:szCs w:val="21"/>
        </w:rPr>
        <w:t xml:space="preserve">6.3.3.1 </w:t>
      </w:r>
      <w:r>
        <w:rPr>
          <w:rFonts w:hint="eastAsia"/>
          <w:color w:val="000000"/>
          <w:szCs w:val="21"/>
          <w:lang w:val="en-US" w:eastAsia="zh-CN"/>
        </w:rPr>
        <w:t>根据隐患检查表周期性生成隐患排查任务，隐患排查责任人按照隐患排查任务开展隐患排查上报工作，支持提交任务、结果记录、导出等功能。</w:t>
      </w:r>
    </w:p>
    <w:p>
      <w:pPr>
        <w:spacing w:line="360" w:lineRule="auto"/>
        <w:rPr>
          <w:rFonts w:hint="default"/>
          <w:color w:val="000000"/>
          <w:szCs w:val="21"/>
          <w:lang w:val="en-US" w:eastAsia="zh-CN"/>
        </w:rPr>
      </w:pPr>
      <w:r>
        <w:rPr>
          <w:rFonts w:hint="eastAsia" w:ascii="黑体" w:hAnsi="黑体" w:eastAsia="黑体"/>
          <w:color w:val="000000"/>
          <w:szCs w:val="21"/>
        </w:rPr>
        <w:t>6.3.</w:t>
      </w:r>
      <w:r>
        <w:rPr>
          <w:rFonts w:hint="eastAsia" w:ascii="黑体" w:hAnsi="黑体" w:eastAsia="黑体"/>
          <w:color w:val="000000"/>
          <w:szCs w:val="21"/>
          <w:lang w:val="en-US" w:eastAsia="zh-CN"/>
        </w:rPr>
        <w:t>3</w:t>
      </w:r>
      <w:r>
        <w:rPr>
          <w:rFonts w:hint="eastAsia" w:ascii="黑体" w:hAnsi="黑体" w:eastAsia="黑体"/>
          <w:color w:val="000000"/>
          <w:szCs w:val="21"/>
        </w:rPr>
        <w:t>.</w:t>
      </w:r>
      <w:r>
        <w:rPr>
          <w:rFonts w:hint="eastAsia" w:ascii="黑体" w:hAnsi="黑体" w:eastAsia="黑体"/>
          <w:color w:val="000000"/>
          <w:szCs w:val="21"/>
          <w:lang w:val="en-US" w:eastAsia="zh-CN"/>
        </w:rPr>
        <w:t>2</w:t>
      </w:r>
      <w:r>
        <w:rPr>
          <w:rFonts w:hint="eastAsia"/>
          <w:color w:val="000000"/>
          <w:szCs w:val="21"/>
        </w:rPr>
        <w:t xml:space="preserve"> </w:t>
      </w:r>
      <w:r>
        <w:rPr>
          <w:rFonts w:hint="eastAsia"/>
          <w:color w:val="000000"/>
          <w:szCs w:val="21"/>
          <w:lang w:val="en-US" w:eastAsia="zh-CN"/>
        </w:rPr>
        <w:t>隐患排查任务即将到期，</w:t>
      </w:r>
      <w:r>
        <w:rPr>
          <w:rFonts w:hint="eastAsia"/>
          <w:color w:val="000000"/>
          <w:szCs w:val="21"/>
        </w:rPr>
        <w:t>支持</w:t>
      </w:r>
      <w:r>
        <w:rPr>
          <w:rFonts w:hint="eastAsia"/>
          <w:color w:val="000000"/>
          <w:szCs w:val="21"/>
          <w:lang w:val="en-US" w:eastAsia="zh-CN"/>
        </w:rPr>
        <w:t>通过移动端和电脑端进行消息</w:t>
      </w:r>
      <w:r>
        <w:rPr>
          <w:rFonts w:hint="eastAsia"/>
          <w:color w:val="000000"/>
          <w:szCs w:val="21"/>
        </w:rPr>
        <w:t>提醒功能</w:t>
      </w:r>
      <w:r>
        <w:rPr>
          <w:rFonts w:hint="eastAsia"/>
          <w:color w:val="000000"/>
          <w:szCs w:val="21"/>
          <w:lang w:eastAsia="zh-CN"/>
        </w:rPr>
        <w:t>，</w:t>
      </w:r>
      <w:r>
        <w:rPr>
          <w:rFonts w:hint="eastAsia"/>
          <w:color w:val="000000"/>
          <w:szCs w:val="21"/>
          <w:lang w:val="en-US" w:eastAsia="zh-CN"/>
        </w:rPr>
        <w:t>提醒方式</w:t>
      </w:r>
      <w:r>
        <w:rPr>
          <w:rFonts w:hint="eastAsia" w:ascii="宋体" w:hAnsi="宋体" w:eastAsia="宋体" w:cs="宋体"/>
          <w:color w:val="auto"/>
          <w:kern w:val="2"/>
          <w:sz w:val="21"/>
          <w:szCs w:val="21"/>
          <w:highlight w:val="none"/>
          <w:lang w:val="en-US" w:eastAsia="zh-CN" w:bidi="ar-SA"/>
        </w:rPr>
        <w:t>支持短信和声音提示功能</w:t>
      </w:r>
      <w:r>
        <w:rPr>
          <w:rFonts w:hint="eastAsia" w:ascii="宋体" w:hAnsi="宋体" w:cs="宋体"/>
          <w:color w:val="auto"/>
          <w:kern w:val="2"/>
          <w:sz w:val="21"/>
          <w:szCs w:val="21"/>
          <w:highlight w:val="none"/>
          <w:lang w:val="en-US" w:eastAsia="zh-CN" w:bidi="ar-SA"/>
        </w:rPr>
        <w:t>，</w:t>
      </w:r>
      <w:r>
        <w:rPr>
          <w:rFonts w:hint="eastAsia"/>
          <w:color w:val="000000"/>
          <w:szCs w:val="21"/>
          <w:lang w:val="en-US" w:eastAsia="zh-CN"/>
        </w:rPr>
        <w:t>对于逾期任务，进行统计记录</w:t>
      </w:r>
      <w:r>
        <w:rPr>
          <w:rFonts w:hint="eastAsia"/>
          <w:color w:val="000000"/>
          <w:szCs w:val="21"/>
        </w:rPr>
        <w:t>。</w:t>
      </w:r>
    </w:p>
    <w:p>
      <w:pPr>
        <w:spacing w:line="360" w:lineRule="auto"/>
        <w:rPr>
          <w:color w:val="000000"/>
          <w:szCs w:val="21"/>
        </w:rPr>
      </w:pPr>
      <w:r>
        <w:rPr>
          <w:rFonts w:hint="eastAsia" w:ascii="黑体" w:hAnsi="黑体" w:eastAsia="黑体"/>
          <w:color w:val="000000"/>
          <w:szCs w:val="21"/>
        </w:rPr>
        <w:t>6.3.3.</w:t>
      </w:r>
      <w:r>
        <w:rPr>
          <w:rFonts w:hint="eastAsia" w:ascii="黑体" w:hAnsi="黑体" w:eastAsia="黑体"/>
          <w:color w:val="000000"/>
          <w:szCs w:val="21"/>
          <w:lang w:val="en-US" w:eastAsia="zh-CN"/>
        </w:rPr>
        <w:t>3</w:t>
      </w:r>
      <w:r>
        <w:rPr>
          <w:rFonts w:hint="eastAsia" w:ascii="黑体" w:hAnsi="黑体" w:eastAsia="黑体"/>
          <w:color w:val="000000"/>
          <w:szCs w:val="21"/>
        </w:rPr>
        <w:t xml:space="preserve"> </w:t>
      </w:r>
      <w:r>
        <w:rPr>
          <w:rFonts w:hint="eastAsia"/>
          <w:color w:val="000000"/>
          <w:szCs w:val="21"/>
        </w:rPr>
        <w:t>应包含检查表名称、检查部位、管控措施、检查人、任务状态、计划开始时间、计划结束时间、提交操作等信息。</w:t>
      </w:r>
    </w:p>
    <w:p>
      <w:pPr>
        <w:spacing w:line="360" w:lineRule="auto"/>
        <w:rPr>
          <w:rFonts w:hint="eastAsia" w:ascii="黑体" w:hAnsi="黑体" w:eastAsia="黑体"/>
          <w:color w:val="000000"/>
          <w:szCs w:val="21"/>
        </w:rPr>
      </w:pPr>
      <w:r>
        <w:rPr>
          <w:rFonts w:hint="eastAsia" w:ascii="黑体" w:hAnsi="黑体" w:eastAsia="黑体"/>
          <w:color w:val="000000"/>
          <w:szCs w:val="21"/>
        </w:rPr>
        <w:t>6.3.4  隐患排查历史</w:t>
      </w:r>
    </w:p>
    <w:p>
      <w:pPr>
        <w:spacing w:line="360" w:lineRule="auto"/>
        <w:rPr>
          <w:color w:val="000000"/>
          <w:szCs w:val="21"/>
        </w:rPr>
      </w:pPr>
      <w:r>
        <w:rPr>
          <w:rFonts w:hint="eastAsia" w:ascii="黑体" w:hAnsi="黑体" w:eastAsia="黑体"/>
          <w:color w:val="000000"/>
          <w:szCs w:val="21"/>
          <w:lang w:val="en-US" w:eastAsia="zh-CN"/>
        </w:rPr>
        <w:t xml:space="preserve">   </w:t>
      </w:r>
      <w:r>
        <w:rPr>
          <w:rFonts w:hint="eastAsia"/>
          <w:color w:val="000000"/>
          <w:szCs w:val="21"/>
        </w:rPr>
        <w:t xml:space="preserve"> 应包含风险部位、管控措施、隐患检查人、隐患排查结果、隐患排查时间等信息，宜包含详情图片信息。</w:t>
      </w:r>
    </w:p>
    <w:p>
      <w:pPr>
        <w:spacing w:line="360" w:lineRule="auto"/>
        <w:rPr>
          <w:color w:val="000000"/>
          <w:szCs w:val="21"/>
        </w:rPr>
      </w:pPr>
      <w:r>
        <w:rPr>
          <w:rFonts w:hint="eastAsia" w:ascii="黑体" w:hAnsi="黑体" w:eastAsia="黑体"/>
          <w:color w:val="000000"/>
          <w:szCs w:val="21"/>
        </w:rPr>
        <w:t>6.3.4.2</w:t>
      </w:r>
      <w:r>
        <w:rPr>
          <w:rFonts w:hint="eastAsia"/>
          <w:color w:val="000000"/>
          <w:szCs w:val="21"/>
        </w:rPr>
        <w:t xml:space="preserve"> 应</w:t>
      </w:r>
      <w:r>
        <w:rPr>
          <w:rFonts w:hint="eastAsia" w:ascii="宋体" w:hAnsi="宋体" w:eastAsia="宋体" w:cs="宋体"/>
          <w:color w:val="auto"/>
          <w:kern w:val="2"/>
          <w:sz w:val="21"/>
          <w:szCs w:val="21"/>
          <w:lang w:val="en-US" w:eastAsia="zh-CN" w:bidi="ar-SA"/>
        </w:rPr>
        <w:t>支持自动生成隐患排查通报功能，支持对隐患排查流程中涉及的评估人、整改人、复查人等相关责任人员进行消息提醒功能</w:t>
      </w:r>
      <w:r>
        <w:rPr>
          <w:rFonts w:hint="eastAsia" w:ascii="宋体" w:hAnsi="宋体" w:cs="宋体"/>
          <w:color w:val="auto"/>
          <w:kern w:val="2"/>
          <w:sz w:val="21"/>
          <w:szCs w:val="21"/>
          <w:lang w:val="en-US" w:eastAsia="zh-CN" w:bidi="ar-SA"/>
        </w:rPr>
        <w:t>，</w:t>
      </w:r>
      <w:r>
        <w:rPr>
          <w:rFonts w:hint="eastAsia"/>
          <w:color w:val="000000"/>
          <w:szCs w:val="21"/>
        </w:rPr>
        <w:t>支持查询、删除、导出功能，支持图片</w:t>
      </w:r>
      <w:r>
        <w:rPr>
          <w:rFonts w:hint="eastAsia"/>
          <w:color w:val="000000"/>
          <w:szCs w:val="21"/>
          <w:lang w:val="en-US" w:eastAsia="zh-CN"/>
        </w:rPr>
        <w:t>现场拍摄</w:t>
      </w:r>
      <w:r>
        <w:rPr>
          <w:rFonts w:hint="eastAsia"/>
          <w:color w:val="000000"/>
          <w:szCs w:val="21"/>
        </w:rPr>
        <w:t>上传功能。</w:t>
      </w:r>
    </w:p>
    <w:p>
      <w:pPr>
        <w:spacing w:line="360" w:lineRule="auto"/>
        <w:rPr>
          <w:rFonts w:hint="eastAsia" w:ascii="黑体" w:hAnsi="黑体" w:eastAsia="黑体"/>
          <w:color w:val="000000"/>
          <w:szCs w:val="21"/>
          <w:lang w:val="en-US" w:eastAsia="zh-CN"/>
        </w:rPr>
      </w:pPr>
      <w:r>
        <w:rPr>
          <w:rFonts w:hint="eastAsia" w:ascii="黑体" w:hAnsi="黑体" w:eastAsia="黑体"/>
          <w:color w:val="000000"/>
          <w:szCs w:val="21"/>
        </w:rPr>
        <w:t>6.3.5  隐患治理</w:t>
      </w:r>
      <w:r>
        <w:rPr>
          <w:rFonts w:hint="eastAsia" w:ascii="黑体" w:hAnsi="黑体" w:eastAsia="黑体"/>
          <w:color w:val="000000"/>
          <w:szCs w:val="21"/>
          <w:lang w:val="en-US" w:eastAsia="zh-CN"/>
        </w:rPr>
        <w:t>流程</w:t>
      </w:r>
    </w:p>
    <w:p>
      <w:pPr>
        <w:spacing w:line="360" w:lineRule="auto"/>
        <w:rPr>
          <w:rFonts w:hint="eastAsia"/>
          <w:color w:val="000000"/>
          <w:szCs w:val="21"/>
          <w:lang w:val="en-US" w:eastAsia="zh-CN"/>
        </w:rPr>
      </w:pPr>
      <w:r>
        <w:rPr>
          <w:rFonts w:hint="eastAsia" w:ascii="黑体" w:hAnsi="黑体" w:eastAsia="黑体" w:cs="Times New Roman"/>
          <w:kern w:val="2"/>
          <w:sz w:val="21"/>
          <w:szCs w:val="21"/>
          <w:lang w:val="en-US" w:eastAsia="zh-CN" w:bidi="ar-SA"/>
        </w:rPr>
        <w:t>6.3.5.1</w:t>
      </w:r>
      <w:r>
        <w:rPr>
          <w:rFonts w:hint="eastAsia"/>
          <w:color w:val="000000"/>
          <w:szCs w:val="21"/>
        </w:rPr>
        <w:t xml:space="preserve"> </w:t>
      </w:r>
      <w:r>
        <w:rPr>
          <w:rFonts w:hint="eastAsia"/>
          <w:color w:val="000000"/>
          <w:szCs w:val="21"/>
          <w:lang w:val="en-US" w:eastAsia="zh-CN"/>
        </w:rPr>
        <w:t>隐患排查相关责任人在隐患排查过程中，提交排查内容点出现异常时，支持进行隐患上报、审核评估指派、整改、复查、验收的全过程闭环管理。</w:t>
      </w:r>
    </w:p>
    <w:p>
      <w:pPr>
        <w:spacing w:line="360" w:lineRule="auto"/>
        <w:rPr>
          <w:rFonts w:hint="eastAsia"/>
          <w:color w:val="000000"/>
          <w:szCs w:val="21"/>
        </w:rPr>
      </w:pPr>
      <w:r>
        <w:rPr>
          <w:rFonts w:hint="eastAsia" w:ascii="黑体" w:hAnsi="黑体" w:eastAsia="黑体" w:cs="Times New Roman"/>
          <w:kern w:val="2"/>
          <w:sz w:val="21"/>
          <w:szCs w:val="21"/>
          <w:lang w:val="en-US" w:eastAsia="zh-CN" w:bidi="ar-SA"/>
        </w:rPr>
        <w:t xml:space="preserve">6.3.5.2 </w:t>
      </w:r>
      <w:r>
        <w:rPr>
          <w:rFonts w:hint="eastAsia"/>
          <w:color w:val="000000"/>
          <w:szCs w:val="21"/>
          <w:lang w:val="en-US" w:eastAsia="zh-CN"/>
        </w:rPr>
        <w:t>隐患上报</w:t>
      </w:r>
      <w:r>
        <w:rPr>
          <w:rFonts w:hint="eastAsia"/>
          <w:color w:val="000000"/>
          <w:szCs w:val="21"/>
        </w:rPr>
        <w:t>应包含隐患描述、</w:t>
      </w:r>
      <w:r>
        <w:rPr>
          <w:rFonts w:hint="eastAsia"/>
          <w:color w:val="000000"/>
          <w:szCs w:val="21"/>
          <w:lang w:val="en-US" w:eastAsia="zh-CN"/>
        </w:rPr>
        <w:t>是否构成重大隐患、</w:t>
      </w:r>
      <w:r>
        <w:rPr>
          <w:rFonts w:hint="eastAsia"/>
          <w:color w:val="000000"/>
          <w:szCs w:val="21"/>
        </w:rPr>
        <w:t>治理部门、当前执行人、治理状态、治理来源、创建时间、完成时间、操作内容信息。</w:t>
      </w:r>
    </w:p>
    <w:p>
      <w:pPr>
        <w:spacing w:line="360" w:lineRule="auto"/>
        <w:rPr>
          <w:rFonts w:hint="eastAsia"/>
          <w:color w:val="000000"/>
          <w:szCs w:val="21"/>
        </w:rPr>
      </w:pPr>
      <w:r>
        <w:rPr>
          <w:rFonts w:hint="eastAsia" w:ascii="黑体" w:hAnsi="黑体" w:eastAsia="黑体" w:cs="Times New Roman"/>
          <w:kern w:val="2"/>
          <w:sz w:val="21"/>
          <w:szCs w:val="21"/>
          <w:lang w:val="en-US" w:eastAsia="zh-CN" w:bidi="ar-SA"/>
        </w:rPr>
        <w:t>6.3.5.3</w:t>
      </w:r>
      <w:r>
        <w:rPr>
          <w:rFonts w:hint="eastAsia"/>
          <w:color w:val="000000"/>
          <w:szCs w:val="21"/>
        </w:rPr>
        <w:t xml:space="preserve"> 应</w:t>
      </w:r>
      <w:r>
        <w:rPr>
          <w:rFonts w:hint="eastAsia"/>
          <w:color w:val="000000"/>
          <w:szCs w:val="21"/>
          <w:lang w:val="en-US" w:eastAsia="zh-CN"/>
        </w:rPr>
        <w:t>支持管理人员通过隐患上报信息进行识别判定，将评估结果派发给相关整改负责人，对于判定不是隐患的情况进行关闭</w:t>
      </w:r>
      <w:r>
        <w:rPr>
          <w:rFonts w:hint="eastAsia"/>
          <w:color w:val="000000"/>
          <w:szCs w:val="21"/>
        </w:rPr>
        <w:t>。</w:t>
      </w:r>
    </w:p>
    <w:p>
      <w:pPr>
        <w:spacing w:line="360" w:lineRule="auto"/>
        <w:rPr>
          <w:color w:val="000000"/>
          <w:szCs w:val="21"/>
        </w:rPr>
      </w:pPr>
      <w:r>
        <w:rPr>
          <w:rFonts w:hint="eastAsia" w:ascii="黑体" w:hAnsi="黑体" w:eastAsia="黑体" w:cs="Times New Roman"/>
          <w:kern w:val="2"/>
          <w:sz w:val="21"/>
          <w:szCs w:val="21"/>
          <w:lang w:val="en-US" w:eastAsia="zh-CN" w:bidi="ar-SA"/>
        </w:rPr>
        <w:t xml:space="preserve">6.3.5.4 </w:t>
      </w:r>
      <w:r>
        <w:rPr>
          <w:rFonts w:hint="eastAsia"/>
          <w:color w:val="000000"/>
          <w:szCs w:val="21"/>
        </w:rPr>
        <w:t>应支持安排整改功能，功能栏应包含整改部门、整改责任人、整改措施、整改期限、整改资金、应急措施等信息。</w:t>
      </w:r>
    </w:p>
    <w:p>
      <w:pPr>
        <w:spacing w:line="360" w:lineRule="auto"/>
        <w:rPr>
          <w:color w:val="000000"/>
          <w:szCs w:val="21"/>
        </w:rPr>
      </w:pPr>
      <w:r>
        <w:rPr>
          <w:rFonts w:hint="eastAsia" w:ascii="黑体" w:hAnsi="黑体" w:eastAsia="黑体" w:cs="Times New Roman"/>
          <w:kern w:val="2"/>
          <w:sz w:val="21"/>
          <w:szCs w:val="21"/>
          <w:lang w:val="en-US" w:eastAsia="zh-CN" w:bidi="ar-SA"/>
        </w:rPr>
        <w:t xml:space="preserve">6.3.5.5 </w:t>
      </w:r>
      <w:r>
        <w:rPr>
          <w:rFonts w:hint="eastAsia"/>
          <w:color w:val="000000"/>
          <w:szCs w:val="21"/>
        </w:rPr>
        <w:t>应支持安排复查功能，功能栏应包含复查部门、复查责任人、复查期限等信息。</w:t>
      </w:r>
    </w:p>
    <w:p>
      <w:pPr>
        <w:spacing w:line="360" w:lineRule="auto"/>
        <w:rPr>
          <w:rFonts w:hint="eastAsia"/>
          <w:color w:val="000000"/>
          <w:szCs w:val="21"/>
        </w:rPr>
      </w:pPr>
      <w:r>
        <w:rPr>
          <w:rFonts w:hint="eastAsia" w:ascii="黑体" w:hAnsi="黑体" w:eastAsia="黑体" w:cs="Times New Roman"/>
          <w:kern w:val="2"/>
          <w:sz w:val="21"/>
          <w:szCs w:val="21"/>
          <w:lang w:val="en-US" w:eastAsia="zh-CN" w:bidi="ar-SA"/>
        </w:rPr>
        <w:t>6.3.5.6</w:t>
      </w:r>
      <w:r>
        <w:rPr>
          <w:rFonts w:hint="eastAsia"/>
          <w:color w:val="000000"/>
          <w:szCs w:val="21"/>
        </w:rPr>
        <w:t xml:space="preserve"> 应支持</w:t>
      </w:r>
      <w:r>
        <w:rPr>
          <w:rFonts w:hint="eastAsia"/>
          <w:color w:val="000000"/>
          <w:szCs w:val="21"/>
          <w:lang w:val="en-US" w:eastAsia="zh-CN"/>
        </w:rPr>
        <w:t>验收</w:t>
      </w:r>
      <w:r>
        <w:rPr>
          <w:rFonts w:hint="eastAsia"/>
          <w:color w:val="000000"/>
          <w:szCs w:val="21"/>
        </w:rPr>
        <w:t>销号、关闭、查看功能。</w:t>
      </w:r>
    </w:p>
    <w:p>
      <w:pPr>
        <w:spacing w:line="360" w:lineRule="auto"/>
        <w:rPr>
          <w:rFonts w:hint="eastAsia"/>
          <w:color w:val="000000"/>
          <w:szCs w:val="21"/>
          <w:lang w:val="en-US" w:eastAsia="zh-CN"/>
        </w:rPr>
      </w:pPr>
      <w:r>
        <w:rPr>
          <w:rFonts w:hint="eastAsia" w:ascii="黑体" w:hAnsi="黑体" w:eastAsia="黑体" w:cs="Times New Roman"/>
          <w:kern w:val="2"/>
          <w:sz w:val="21"/>
          <w:szCs w:val="21"/>
          <w:lang w:val="en-US" w:eastAsia="zh-CN" w:bidi="ar-SA"/>
        </w:rPr>
        <w:t>6.3.5.7</w:t>
      </w:r>
      <w:r>
        <w:rPr>
          <w:rFonts w:hint="eastAsia"/>
          <w:color w:val="000000"/>
          <w:szCs w:val="21"/>
          <w:lang w:val="en-US" w:eastAsia="zh-CN"/>
        </w:rPr>
        <w:t xml:space="preserve"> 应支持隐患治理流程预设定整改、复查负责人，支持管理人员动态指定整改、复查负责人。</w:t>
      </w:r>
    </w:p>
    <w:p>
      <w:pPr>
        <w:spacing w:line="360" w:lineRule="auto"/>
        <w:rPr>
          <w:rFonts w:hint="default"/>
          <w:color w:val="000000"/>
          <w:szCs w:val="21"/>
          <w:lang w:val="en-US" w:eastAsia="zh-CN"/>
        </w:rPr>
      </w:pPr>
      <w:r>
        <w:rPr>
          <w:rFonts w:hint="eastAsia" w:ascii="黑体" w:hAnsi="黑体" w:eastAsia="黑体" w:cs="Times New Roman"/>
          <w:kern w:val="2"/>
          <w:sz w:val="21"/>
          <w:szCs w:val="21"/>
          <w:lang w:val="en-US" w:eastAsia="zh-CN" w:bidi="ar-SA"/>
        </w:rPr>
        <w:t>6.3.5.7</w:t>
      </w:r>
      <w:r>
        <w:rPr>
          <w:rFonts w:hint="eastAsia"/>
          <w:color w:val="000000"/>
          <w:szCs w:val="21"/>
          <w:lang w:val="en-US" w:eastAsia="zh-CN"/>
        </w:rPr>
        <w:t xml:space="preserve"> 应支持重大事故隐患治理功能，支持将重大事故隐患信息推送生产经营单位主要负责人，功能栏应支持上传事故隐患治理方案。</w:t>
      </w:r>
    </w:p>
    <w:p>
      <w:pPr>
        <w:spacing w:line="360" w:lineRule="auto"/>
        <w:rPr>
          <w:rFonts w:hint="eastAsia" w:ascii="黑体" w:hAnsi="黑体" w:eastAsia="黑体"/>
          <w:color w:val="000000"/>
          <w:szCs w:val="21"/>
        </w:rPr>
      </w:pPr>
      <w:r>
        <w:rPr>
          <w:rFonts w:hint="eastAsia" w:ascii="黑体" w:hAnsi="黑体" w:eastAsia="黑体"/>
          <w:color w:val="000000"/>
          <w:szCs w:val="21"/>
        </w:rPr>
        <w:t>6.3.6  隐患整改</w:t>
      </w:r>
    </w:p>
    <w:p>
      <w:pPr>
        <w:spacing w:line="360" w:lineRule="auto"/>
        <w:rPr>
          <w:color w:val="000000"/>
          <w:szCs w:val="21"/>
        </w:rPr>
      </w:pPr>
      <w:r>
        <w:rPr>
          <w:rFonts w:hint="eastAsia" w:ascii="黑体" w:hAnsi="黑体" w:eastAsia="黑体" w:cs="Times New Roman"/>
          <w:kern w:val="2"/>
          <w:sz w:val="21"/>
          <w:szCs w:val="21"/>
          <w:lang w:val="en-US" w:eastAsia="zh-CN" w:bidi="ar-SA"/>
        </w:rPr>
        <w:t>6.3.6.1</w:t>
      </w:r>
      <w:r>
        <w:rPr>
          <w:rFonts w:hint="eastAsia"/>
          <w:color w:val="000000"/>
          <w:szCs w:val="21"/>
        </w:rPr>
        <w:t xml:space="preserve"> 应包含整改部门、整改部位、整改责任人、整改措施、整改期限、整改资金、应急措施、创建人、接收人等信息。</w:t>
      </w:r>
    </w:p>
    <w:p>
      <w:pPr>
        <w:spacing w:line="360" w:lineRule="auto"/>
        <w:rPr>
          <w:rFonts w:ascii="宋体" w:hAnsi="宋体"/>
          <w:szCs w:val="21"/>
        </w:rPr>
      </w:pPr>
      <w:r>
        <w:rPr>
          <w:rFonts w:hint="eastAsia" w:ascii="黑体" w:hAnsi="黑体" w:eastAsia="黑体" w:cs="Times New Roman"/>
          <w:kern w:val="2"/>
          <w:sz w:val="21"/>
          <w:szCs w:val="21"/>
          <w:lang w:val="en-US" w:eastAsia="zh-CN" w:bidi="ar-SA"/>
        </w:rPr>
        <w:t>6.3.6.2</w:t>
      </w:r>
      <w:r>
        <w:rPr>
          <w:rFonts w:hint="eastAsia"/>
          <w:color w:val="000000"/>
          <w:szCs w:val="21"/>
        </w:rPr>
        <w:t xml:space="preserve"> 应支持签收人签收任务、整改完成提交、放弃整改等功能。</w:t>
      </w:r>
    </w:p>
    <w:p>
      <w:pPr>
        <w:spacing w:line="360" w:lineRule="auto"/>
        <w:rPr>
          <w:rFonts w:hint="eastAsia" w:ascii="黑体" w:hAnsi="黑体" w:eastAsia="黑体"/>
          <w:color w:val="000000"/>
          <w:szCs w:val="21"/>
        </w:rPr>
      </w:pPr>
      <w:r>
        <w:rPr>
          <w:rFonts w:hint="eastAsia" w:ascii="黑体" w:hAnsi="黑体" w:eastAsia="黑体"/>
          <w:color w:val="000000"/>
          <w:szCs w:val="21"/>
        </w:rPr>
        <w:t>6.3.7  隐患复查</w:t>
      </w:r>
    </w:p>
    <w:p>
      <w:pPr>
        <w:spacing w:line="360" w:lineRule="auto"/>
        <w:rPr>
          <w:color w:val="000000"/>
          <w:szCs w:val="21"/>
        </w:rPr>
      </w:pPr>
      <w:r>
        <w:rPr>
          <w:rFonts w:hint="eastAsia" w:ascii="黑体" w:hAnsi="黑体" w:eastAsia="黑体" w:cs="Times New Roman"/>
          <w:kern w:val="2"/>
          <w:sz w:val="21"/>
          <w:szCs w:val="21"/>
          <w:lang w:val="en-US" w:eastAsia="zh-CN" w:bidi="ar-SA"/>
        </w:rPr>
        <w:t>6.3.7.1</w:t>
      </w:r>
      <w:r>
        <w:rPr>
          <w:rFonts w:hint="eastAsia"/>
          <w:color w:val="000000"/>
          <w:szCs w:val="21"/>
        </w:rPr>
        <w:t xml:space="preserve"> 应包含复查部位、复查内容、复查部门、复查人、任务接收人、创建时间、复查期限、创建人等信息。</w:t>
      </w:r>
    </w:p>
    <w:p>
      <w:pPr>
        <w:spacing w:line="360" w:lineRule="auto"/>
        <w:rPr>
          <w:rFonts w:ascii="宋体" w:hAnsi="宋体"/>
          <w:szCs w:val="21"/>
        </w:rPr>
      </w:pPr>
      <w:r>
        <w:rPr>
          <w:rFonts w:hint="eastAsia" w:ascii="黑体" w:hAnsi="黑体" w:eastAsia="黑体" w:cs="Times New Roman"/>
          <w:kern w:val="2"/>
          <w:sz w:val="21"/>
          <w:szCs w:val="21"/>
          <w:lang w:val="en-US" w:eastAsia="zh-CN" w:bidi="ar-SA"/>
        </w:rPr>
        <w:t>6.3.7.2</w:t>
      </w:r>
      <w:r>
        <w:rPr>
          <w:rFonts w:hint="eastAsia"/>
          <w:color w:val="000000"/>
          <w:szCs w:val="21"/>
        </w:rPr>
        <w:t xml:space="preserve"> 应支持复查上报功能，功能栏应包含复查结果、复查情况、复查图片</w:t>
      </w:r>
      <w:r>
        <w:rPr>
          <w:rFonts w:hint="eastAsia"/>
          <w:color w:val="000000"/>
          <w:szCs w:val="21"/>
          <w:lang w:val="en-US" w:eastAsia="zh-CN"/>
        </w:rPr>
        <w:t>现场拍摄</w:t>
      </w:r>
      <w:r>
        <w:rPr>
          <w:rFonts w:hint="eastAsia"/>
          <w:color w:val="000000"/>
          <w:szCs w:val="21"/>
        </w:rPr>
        <w:t>上传等信息。</w:t>
      </w:r>
    </w:p>
    <w:p>
      <w:pPr>
        <w:spacing w:line="360" w:lineRule="auto"/>
        <w:rPr>
          <w:rFonts w:hint="eastAsia" w:ascii="黑体" w:hAnsi="黑体" w:eastAsia="黑体"/>
          <w:color w:val="000000"/>
          <w:szCs w:val="21"/>
        </w:rPr>
      </w:pPr>
      <w:r>
        <w:rPr>
          <w:rFonts w:hint="eastAsia" w:ascii="黑体" w:hAnsi="黑体" w:eastAsia="黑体"/>
          <w:color w:val="000000"/>
          <w:szCs w:val="21"/>
        </w:rPr>
        <w:t>6.3.8  隐患治理信息台账</w:t>
      </w:r>
    </w:p>
    <w:p>
      <w:pPr>
        <w:spacing w:line="360" w:lineRule="auto"/>
        <w:rPr>
          <w:color w:val="000000"/>
          <w:szCs w:val="21"/>
        </w:rPr>
      </w:pPr>
      <w:r>
        <w:rPr>
          <w:rFonts w:hint="eastAsia" w:ascii="黑体" w:hAnsi="黑体" w:eastAsia="黑体" w:cs="Times New Roman"/>
          <w:kern w:val="2"/>
          <w:sz w:val="21"/>
          <w:szCs w:val="21"/>
          <w:lang w:val="en-US" w:eastAsia="zh-CN" w:bidi="ar-SA"/>
        </w:rPr>
        <w:t>6.3.8.1</w:t>
      </w:r>
      <w:r>
        <w:rPr>
          <w:rFonts w:hint="eastAsia"/>
          <w:color w:val="000000"/>
          <w:szCs w:val="21"/>
        </w:rPr>
        <w:t xml:space="preserve"> 应包含排查时间、排查人、隐患部位、隐患名称、隐患级别、治理措施、完成时限、责任部门、责任人、复查时间、复查人、治理前后图片对比等信息。</w:t>
      </w:r>
    </w:p>
    <w:p>
      <w:pPr>
        <w:spacing w:line="360" w:lineRule="auto"/>
        <w:rPr>
          <w:rFonts w:ascii="宋体" w:hAnsi="宋体"/>
          <w:szCs w:val="21"/>
        </w:rPr>
      </w:pPr>
      <w:r>
        <w:rPr>
          <w:rFonts w:hint="eastAsia" w:ascii="黑体" w:hAnsi="黑体" w:eastAsia="黑体" w:cs="Times New Roman"/>
          <w:kern w:val="2"/>
          <w:sz w:val="21"/>
          <w:szCs w:val="21"/>
          <w:lang w:val="en-US" w:eastAsia="zh-CN" w:bidi="ar-SA"/>
        </w:rPr>
        <w:t>6.3.8.2</w:t>
      </w:r>
      <w:r>
        <w:rPr>
          <w:rFonts w:hint="eastAsia"/>
          <w:color w:val="000000"/>
          <w:szCs w:val="21"/>
        </w:rPr>
        <w:t xml:space="preserve"> 应支持查看、导出等功能。</w:t>
      </w:r>
    </w:p>
    <w:p>
      <w:pPr>
        <w:spacing w:line="360" w:lineRule="auto"/>
        <w:rPr>
          <w:rFonts w:ascii="宋体" w:hAnsi="宋体"/>
          <w:szCs w:val="21"/>
        </w:rPr>
      </w:pPr>
      <w:r>
        <w:rPr>
          <w:rFonts w:hint="eastAsia" w:ascii="黑体" w:hAnsi="黑体" w:eastAsia="黑体" w:cs="Times New Roman"/>
          <w:kern w:val="2"/>
          <w:sz w:val="21"/>
          <w:szCs w:val="21"/>
          <w:lang w:val="en-US" w:eastAsia="zh-CN" w:bidi="ar-SA"/>
        </w:rPr>
        <w:t>6.3.8.3</w:t>
      </w:r>
      <w:r>
        <w:rPr>
          <w:rFonts w:hint="eastAsia"/>
          <w:color w:val="000000"/>
          <w:szCs w:val="21"/>
        </w:rPr>
        <w:t xml:space="preserve"> 应支持从隐患治理</w:t>
      </w:r>
      <w:r>
        <w:rPr>
          <w:rFonts w:hint="eastAsia"/>
          <w:color w:val="000000"/>
          <w:szCs w:val="21"/>
          <w:lang w:val="en-US" w:eastAsia="zh-CN"/>
        </w:rPr>
        <w:t>结束后及时</w:t>
      </w:r>
      <w:r>
        <w:rPr>
          <w:rFonts w:hint="eastAsia"/>
          <w:color w:val="000000"/>
          <w:szCs w:val="21"/>
        </w:rPr>
        <w:t>更新</w:t>
      </w:r>
      <w:r>
        <w:rPr>
          <w:rFonts w:hint="eastAsia"/>
          <w:color w:val="000000"/>
          <w:szCs w:val="21"/>
          <w:lang w:val="en-US" w:eastAsia="zh-CN"/>
        </w:rPr>
        <w:t>风险</w:t>
      </w:r>
      <w:r>
        <w:rPr>
          <w:rFonts w:hint="eastAsia"/>
          <w:color w:val="000000"/>
          <w:szCs w:val="21"/>
        </w:rPr>
        <w:t>管控措施，</w:t>
      </w:r>
      <w:r>
        <w:rPr>
          <w:rFonts w:hint="eastAsia"/>
          <w:color w:val="000000"/>
          <w:szCs w:val="21"/>
          <w:lang w:val="en-US" w:eastAsia="zh-CN"/>
        </w:rPr>
        <w:t>更新内容</w:t>
      </w:r>
      <w:r>
        <w:rPr>
          <w:rFonts w:hint="eastAsia"/>
          <w:color w:val="000000"/>
          <w:szCs w:val="21"/>
        </w:rPr>
        <w:t>应包含风险因素、评价单元、风险级别、管控层级、风险责任部门、风险责任人、</w:t>
      </w:r>
      <w:r>
        <w:rPr>
          <w:rFonts w:hint="eastAsia"/>
          <w:color w:val="000000"/>
          <w:szCs w:val="21"/>
          <w:lang w:val="en-US" w:eastAsia="zh-CN"/>
        </w:rPr>
        <w:t>主要管控</w:t>
      </w:r>
      <w:r>
        <w:rPr>
          <w:rFonts w:hint="eastAsia"/>
          <w:color w:val="000000"/>
          <w:szCs w:val="21"/>
        </w:rPr>
        <w:t>措施等。</w:t>
      </w:r>
    </w:p>
    <w:p>
      <w:pPr>
        <w:spacing w:line="360" w:lineRule="auto"/>
        <w:rPr>
          <w:rFonts w:hint="eastAsia" w:ascii="黑体" w:hAnsi="黑体" w:eastAsia="黑体"/>
          <w:color w:val="000000"/>
          <w:szCs w:val="21"/>
        </w:rPr>
      </w:pPr>
      <w:r>
        <w:rPr>
          <w:rFonts w:hint="eastAsia" w:ascii="黑体" w:hAnsi="黑体" w:eastAsia="黑体"/>
          <w:color w:val="000000"/>
          <w:szCs w:val="21"/>
        </w:rPr>
        <w:t>6.3.9  隐患随手拍</w:t>
      </w:r>
    </w:p>
    <w:p>
      <w:pPr>
        <w:spacing w:line="360" w:lineRule="auto"/>
        <w:rPr>
          <w:color w:val="000000"/>
          <w:szCs w:val="21"/>
        </w:rPr>
      </w:pPr>
      <w:r>
        <w:rPr>
          <w:rFonts w:hint="eastAsia" w:ascii="黑体" w:hAnsi="黑体" w:eastAsia="黑体" w:cs="Times New Roman"/>
          <w:kern w:val="2"/>
          <w:sz w:val="21"/>
          <w:szCs w:val="21"/>
          <w:lang w:val="en-US" w:eastAsia="zh-CN" w:bidi="ar-SA"/>
        </w:rPr>
        <w:t>6.3.9.1</w:t>
      </w:r>
      <w:r>
        <w:rPr>
          <w:rFonts w:hint="eastAsia"/>
          <w:color w:val="000000"/>
          <w:szCs w:val="21"/>
        </w:rPr>
        <w:t xml:space="preserve"> </w:t>
      </w:r>
      <w:r>
        <w:rPr>
          <w:rFonts w:hint="eastAsia"/>
          <w:color w:val="000000"/>
          <w:szCs w:val="21"/>
          <w:lang w:val="en-US" w:eastAsia="zh-CN"/>
        </w:rPr>
        <w:t>支持对发现的隐患进行上报功能，</w:t>
      </w:r>
      <w:r>
        <w:rPr>
          <w:rFonts w:hint="eastAsia"/>
          <w:color w:val="000000"/>
          <w:szCs w:val="21"/>
        </w:rPr>
        <w:t>应包含上报人、上报部门、隐患归属部门、危险部位、描述、处理结果、整改前后图片、评价、上报时间等信息。</w:t>
      </w:r>
    </w:p>
    <w:p>
      <w:pPr>
        <w:spacing w:line="360" w:lineRule="auto"/>
        <w:rPr>
          <w:color w:val="000000"/>
          <w:szCs w:val="21"/>
        </w:rPr>
      </w:pPr>
      <w:r>
        <w:rPr>
          <w:rFonts w:hint="eastAsia" w:ascii="黑体" w:hAnsi="黑体" w:eastAsia="黑体" w:cs="Times New Roman"/>
          <w:kern w:val="2"/>
          <w:sz w:val="21"/>
          <w:szCs w:val="21"/>
          <w:lang w:val="en-US" w:eastAsia="zh-CN" w:bidi="ar-SA"/>
        </w:rPr>
        <w:t>6.3.9.2</w:t>
      </w:r>
      <w:r>
        <w:rPr>
          <w:rFonts w:hint="eastAsia"/>
          <w:color w:val="000000"/>
          <w:szCs w:val="21"/>
        </w:rPr>
        <w:t xml:space="preserve"> 应支持对上报内容进行审核功能，功能栏包含审核结果、评价。</w:t>
      </w:r>
    </w:p>
    <w:p>
      <w:pPr>
        <w:spacing w:line="360" w:lineRule="auto"/>
        <w:rPr>
          <w:color w:val="000000"/>
          <w:szCs w:val="21"/>
        </w:rPr>
      </w:pPr>
      <w:r>
        <w:rPr>
          <w:rFonts w:hint="eastAsia" w:ascii="黑体" w:hAnsi="黑体" w:eastAsia="黑体" w:cs="Times New Roman"/>
          <w:kern w:val="2"/>
          <w:sz w:val="21"/>
          <w:szCs w:val="21"/>
          <w:lang w:val="en-US" w:eastAsia="zh-CN" w:bidi="ar-SA"/>
        </w:rPr>
        <w:t>6.3.9.3</w:t>
      </w:r>
      <w:r>
        <w:rPr>
          <w:rFonts w:hint="eastAsia"/>
          <w:color w:val="000000"/>
          <w:szCs w:val="21"/>
        </w:rPr>
        <w:t xml:space="preserve"> 应支持整改辨识功能，</w:t>
      </w:r>
      <w:r>
        <w:rPr>
          <w:rFonts w:hint="eastAsia"/>
          <w:color w:val="000000"/>
          <w:szCs w:val="21"/>
          <w:lang w:val="en-US" w:eastAsia="zh-CN"/>
        </w:rPr>
        <w:t>辨识内容</w:t>
      </w:r>
      <w:r>
        <w:rPr>
          <w:rFonts w:hint="eastAsia"/>
          <w:color w:val="000000"/>
          <w:szCs w:val="21"/>
        </w:rPr>
        <w:t>包含风险因素、辨识对象、辨识来源、方位类型、过程类型、事故类型。</w:t>
      </w:r>
    </w:p>
    <w:p>
      <w:pPr>
        <w:spacing w:line="360" w:lineRule="auto"/>
        <w:rPr>
          <w:color w:val="000000"/>
          <w:szCs w:val="21"/>
        </w:rPr>
      </w:pPr>
      <w:r>
        <w:rPr>
          <w:rFonts w:hint="eastAsia" w:ascii="黑体" w:hAnsi="黑体" w:eastAsia="黑体" w:cs="Times New Roman"/>
          <w:kern w:val="2"/>
          <w:sz w:val="21"/>
          <w:szCs w:val="21"/>
          <w:lang w:val="en-US" w:eastAsia="zh-CN" w:bidi="ar-SA"/>
        </w:rPr>
        <w:t>6.3.9.4</w:t>
      </w:r>
      <w:r>
        <w:rPr>
          <w:rFonts w:hint="eastAsia"/>
          <w:color w:val="000000"/>
          <w:szCs w:val="21"/>
        </w:rPr>
        <w:t xml:space="preserve"> 应支持查看、删除、导出功能。</w:t>
      </w:r>
    </w:p>
    <w:p>
      <w:pPr>
        <w:spacing w:line="360" w:lineRule="auto"/>
        <w:rPr>
          <w:rFonts w:hint="eastAsia" w:ascii="黑体" w:hAnsi="黑体" w:eastAsia="黑体"/>
          <w:color w:val="000000"/>
          <w:szCs w:val="21"/>
        </w:rPr>
      </w:pPr>
      <w:r>
        <w:rPr>
          <w:rFonts w:hint="eastAsia" w:ascii="黑体" w:hAnsi="黑体" w:eastAsia="黑体"/>
          <w:color w:val="000000"/>
          <w:szCs w:val="21"/>
        </w:rPr>
        <w:t>6.</w:t>
      </w:r>
      <w:r>
        <w:rPr>
          <w:rFonts w:hint="eastAsia" w:ascii="黑体" w:hAnsi="黑体" w:eastAsia="黑体"/>
          <w:color w:val="000000"/>
          <w:szCs w:val="21"/>
          <w:lang w:val="en-US" w:eastAsia="zh-CN"/>
        </w:rPr>
        <w:t>4</w:t>
      </w:r>
      <w:r>
        <w:rPr>
          <w:rFonts w:hint="eastAsia" w:ascii="黑体" w:hAnsi="黑体" w:eastAsia="黑体"/>
          <w:color w:val="000000"/>
          <w:szCs w:val="21"/>
        </w:rPr>
        <w:t xml:space="preserve">  系统管理</w:t>
      </w:r>
    </w:p>
    <w:p>
      <w:pPr>
        <w:spacing w:line="360" w:lineRule="auto"/>
        <w:rPr>
          <w:rFonts w:hint="eastAsia"/>
          <w:color w:val="000000"/>
          <w:szCs w:val="21"/>
        </w:rPr>
      </w:pPr>
      <w:r>
        <w:rPr>
          <w:rFonts w:hint="eastAsia" w:ascii="黑体" w:hAnsi="黑体" w:eastAsia="黑体" w:cs="Times New Roman"/>
          <w:kern w:val="2"/>
          <w:sz w:val="21"/>
          <w:szCs w:val="21"/>
          <w:lang w:val="en-US" w:eastAsia="zh-CN" w:bidi="ar-SA"/>
        </w:rPr>
        <w:t>6.4.1</w:t>
      </w:r>
      <w:r>
        <w:rPr>
          <w:rFonts w:ascii="宋体" w:hAnsi="宋体"/>
          <w:szCs w:val="21"/>
        </w:rPr>
        <w:t xml:space="preserve"> </w:t>
      </w:r>
      <w:r>
        <w:rPr>
          <w:rFonts w:hint="eastAsia"/>
          <w:color w:val="000000"/>
          <w:szCs w:val="21"/>
        </w:rPr>
        <w:t>应</w:t>
      </w:r>
      <w:r>
        <w:rPr>
          <w:rFonts w:hint="eastAsia"/>
          <w:color w:val="000000"/>
          <w:szCs w:val="21"/>
          <w:lang w:val="en-US" w:eastAsia="zh-CN"/>
        </w:rPr>
        <w:t>实现企业</w:t>
      </w:r>
      <w:r>
        <w:rPr>
          <w:rFonts w:hint="eastAsia"/>
        </w:rPr>
        <w:t>人员、部门</w:t>
      </w:r>
      <w:r>
        <w:rPr>
          <w:rFonts w:hint="eastAsia"/>
          <w:lang w:eastAsia="zh-CN"/>
        </w:rPr>
        <w:t>、</w:t>
      </w:r>
      <w:r>
        <w:rPr>
          <w:rFonts w:hint="eastAsia"/>
          <w:lang w:val="en-US" w:eastAsia="zh-CN"/>
        </w:rPr>
        <w:t>领导机构</w:t>
      </w:r>
      <w:r>
        <w:rPr>
          <w:rFonts w:hint="eastAsia"/>
        </w:rPr>
        <w:t>、岗位等基础信息管理</w:t>
      </w:r>
      <w:r>
        <w:rPr>
          <w:rFonts w:hint="eastAsia"/>
          <w:lang w:eastAsia="zh-CN"/>
        </w:rPr>
        <w:t>，</w:t>
      </w:r>
      <w:r>
        <w:rPr>
          <w:rFonts w:hint="eastAsia"/>
          <w:lang w:val="en-US" w:eastAsia="zh-CN"/>
        </w:rPr>
        <w:t>支持对基本信息的增删改查和导入、导出</w:t>
      </w:r>
      <w:r>
        <w:rPr>
          <w:rFonts w:hint="eastAsia"/>
          <w:color w:val="000000"/>
          <w:szCs w:val="21"/>
        </w:rPr>
        <w:t>。</w:t>
      </w:r>
    </w:p>
    <w:p>
      <w:pPr>
        <w:spacing w:line="360" w:lineRule="auto"/>
        <w:rPr>
          <w:rFonts w:hint="eastAsia"/>
          <w:lang w:val="en-US" w:eastAsia="zh-CN"/>
        </w:rPr>
      </w:pPr>
      <w:r>
        <w:rPr>
          <w:rFonts w:hint="eastAsia" w:ascii="黑体" w:hAnsi="黑体" w:eastAsia="黑体" w:cs="Times New Roman"/>
          <w:kern w:val="2"/>
          <w:sz w:val="21"/>
          <w:szCs w:val="21"/>
          <w:lang w:val="en-US" w:eastAsia="zh-CN" w:bidi="ar-SA"/>
        </w:rPr>
        <w:t>6.4.2</w:t>
      </w:r>
      <w:r>
        <w:rPr>
          <w:rFonts w:ascii="宋体" w:hAnsi="宋体"/>
          <w:szCs w:val="21"/>
        </w:rPr>
        <w:t xml:space="preserve"> </w:t>
      </w:r>
      <w:r>
        <w:rPr>
          <w:rFonts w:hint="eastAsia" w:ascii="宋体" w:hAnsi="宋体"/>
          <w:szCs w:val="21"/>
          <w:lang w:val="en-US" w:eastAsia="zh-CN"/>
        </w:rPr>
        <w:t>应支持角色及权限</w:t>
      </w:r>
      <w:r>
        <w:rPr>
          <w:rFonts w:hint="eastAsia"/>
        </w:rPr>
        <w:t>分配与管理</w:t>
      </w:r>
      <w:r>
        <w:rPr>
          <w:rFonts w:hint="eastAsia" w:ascii="宋体" w:hAnsi="宋体"/>
          <w:szCs w:val="21"/>
          <w:lang w:val="en-US" w:eastAsia="zh-CN"/>
        </w:rPr>
        <w:t>功能，</w:t>
      </w:r>
      <w:r>
        <w:rPr>
          <w:rFonts w:hint="eastAsia"/>
        </w:rPr>
        <w:t>可以为角色</w:t>
      </w:r>
      <w:r>
        <w:rPr>
          <w:rFonts w:hint="eastAsia"/>
          <w:lang w:val="en-US" w:eastAsia="zh-CN"/>
        </w:rPr>
        <w:t>配置菜单、按钮、数据</w:t>
      </w:r>
      <w:r>
        <w:t>权限</w:t>
      </w:r>
      <w:r>
        <w:rPr>
          <w:rFonts w:hint="eastAsia"/>
        </w:rPr>
        <w:t>，可为角色分配用户。</w:t>
      </w:r>
    </w:p>
    <w:p>
      <w:pPr>
        <w:spacing w:line="360" w:lineRule="auto"/>
        <w:rPr>
          <w:rFonts w:hint="eastAsia"/>
        </w:rPr>
      </w:pPr>
      <w:r>
        <w:rPr>
          <w:rFonts w:hint="eastAsia" w:ascii="黑体" w:hAnsi="黑体" w:eastAsia="黑体" w:cs="Times New Roman"/>
          <w:kern w:val="2"/>
          <w:sz w:val="21"/>
          <w:szCs w:val="21"/>
          <w:lang w:val="en-US" w:eastAsia="zh-CN" w:bidi="ar-SA"/>
        </w:rPr>
        <w:t>6.4.3</w:t>
      </w:r>
      <w:r>
        <w:rPr>
          <w:rFonts w:ascii="宋体" w:hAnsi="宋体"/>
          <w:szCs w:val="21"/>
        </w:rPr>
        <w:t xml:space="preserve"> </w:t>
      </w:r>
      <w:r>
        <w:rPr>
          <w:rFonts w:hint="eastAsia" w:ascii="宋体" w:hAnsi="宋体"/>
          <w:szCs w:val="21"/>
          <w:lang w:val="en-US" w:eastAsia="zh-CN"/>
        </w:rPr>
        <w:t>应包含业务字典管理功能，</w:t>
      </w:r>
      <w:r>
        <w:rPr>
          <w:rFonts w:hint="eastAsia"/>
        </w:rPr>
        <w:t>由管理员对通用字典进行维护，供用户在信息录入时进行选择。</w:t>
      </w:r>
    </w:p>
    <w:p>
      <w:pPr>
        <w:spacing w:line="360" w:lineRule="auto"/>
        <w:rPr>
          <w:rFonts w:hint="eastAsia"/>
          <w:color w:val="000000"/>
          <w:szCs w:val="21"/>
          <w:lang w:val="en-US" w:eastAsia="zh-CN"/>
        </w:rPr>
      </w:pPr>
      <w:r>
        <w:rPr>
          <w:rFonts w:hint="eastAsia" w:ascii="黑体" w:hAnsi="黑体" w:eastAsia="黑体" w:cs="Times New Roman"/>
          <w:kern w:val="2"/>
          <w:sz w:val="21"/>
          <w:szCs w:val="21"/>
          <w:lang w:val="en-US" w:eastAsia="zh-CN" w:bidi="ar-SA"/>
        </w:rPr>
        <w:t xml:space="preserve">6.4.4 </w:t>
      </w:r>
      <w:r>
        <w:rPr>
          <w:rFonts w:hint="eastAsia"/>
          <w:color w:val="000000"/>
          <w:szCs w:val="21"/>
          <w:lang w:val="en-US" w:eastAsia="zh-CN"/>
        </w:rPr>
        <w:t>支持企业发布公告、查看、查询各类通知及公告功能。</w:t>
      </w:r>
    </w:p>
    <w:p>
      <w:pPr>
        <w:spacing w:line="360" w:lineRule="auto"/>
        <w:rPr>
          <w:rFonts w:hint="default"/>
          <w:color w:val="000000"/>
          <w:szCs w:val="21"/>
          <w:lang w:val="en-US" w:eastAsia="zh-CN"/>
        </w:rPr>
      </w:pPr>
      <w:r>
        <w:rPr>
          <w:rFonts w:hint="eastAsia" w:ascii="黑体" w:hAnsi="黑体" w:eastAsia="黑体" w:cs="Times New Roman"/>
          <w:kern w:val="2"/>
          <w:sz w:val="21"/>
          <w:szCs w:val="21"/>
          <w:lang w:val="en-US" w:eastAsia="zh-CN" w:bidi="ar-SA"/>
        </w:rPr>
        <w:t>6.4.5</w:t>
      </w:r>
      <w:r>
        <w:rPr>
          <w:rFonts w:hint="eastAsia" w:ascii="宋体" w:hAnsi="宋体"/>
          <w:szCs w:val="21"/>
          <w:lang w:val="en-US" w:eastAsia="zh-CN"/>
        </w:rPr>
        <w:t xml:space="preserve"> </w:t>
      </w:r>
      <w:r>
        <w:rPr>
          <w:rFonts w:hint="eastAsia"/>
          <w:color w:val="000000"/>
          <w:szCs w:val="21"/>
          <w:lang w:val="en-US" w:eastAsia="zh-CN"/>
        </w:rPr>
        <w:t>支持用户登录日志、操作日志、在线情况的查询、查看、导出功能。</w:t>
      </w:r>
    </w:p>
    <w:p>
      <w:pPr>
        <w:spacing w:line="360" w:lineRule="auto"/>
        <w:rPr>
          <w:rFonts w:hint="eastAsia" w:ascii="黑体" w:hAnsi="黑体" w:eastAsia="黑体" w:cs="Times New Roman"/>
          <w:kern w:val="2"/>
          <w:sz w:val="21"/>
          <w:szCs w:val="21"/>
          <w:lang w:val="en-US" w:eastAsia="zh-CN" w:bidi="ar-SA"/>
        </w:rPr>
      </w:pPr>
      <w:r>
        <w:rPr>
          <w:rFonts w:hint="eastAsia" w:ascii="黑体" w:hAnsi="黑体" w:eastAsia="黑体" w:cs="Times New Roman"/>
          <w:kern w:val="2"/>
          <w:sz w:val="21"/>
          <w:szCs w:val="21"/>
          <w:lang w:val="en-US" w:eastAsia="zh-CN" w:bidi="ar-SA"/>
        </w:rPr>
        <w:t>6.</w:t>
      </w:r>
      <w:bookmarkStart w:id="102" w:name="_Hlk65013521"/>
      <w:r>
        <w:rPr>
          <w:rFonts w:hint="eastAsia" w:ascii="黑体" w:hAnsi="黑体" w:eastAsia="黑体" w:cs="Times New Roman"/>
          <w:kern w:val="2"/>
          <w:sz w:val="21"/>
          <w:szCs w:val="21"/>
          <w:lang w:val="en-US" w:eastAsia="zh-CN" w:bidi="ar-SA"/>
        </w:rPr>
        <w:t>5  可扩展模块</w:t>
      </w:r>
    </w:p>
    <w:p>
      <w:pPr>
        <w:spacing w:line="360" w:lineRule="auto"/>
        <w:ind w:firstLine="420" w:firstLineChars="200"/>
        <w:rPr>
          <w:rFonts w:hint="eastAsia"/>
          <w:color w:val="000000"/>
          <w:szCs w:val="21"/>
          <w:lang w:val="en-US" w:eastAsia="zh-CN"/>
        </w:rPr>
      </w:pPr>
      <w:r>
        <w:rPr>
          <w:rFonts w:hint="eastAsia"/>
          <w:color w:val="000000"/>
          <w:szCs w:val="21"/>
          <w:lang w:val="en-US" w:eastAsia="zh-CN"/>
        </w:rPr>
        <w:t>可拓展安全</w:t>
      </w:r>
      <w:r>
        <w:rPr>
          <w:rFonts w:hint="eastAsia"/>
          <w:color w:val="000000"/>
          <w:szCs w:val="21"/>
        </w:rPr>
        <w:t>教育培训、在线考试</w:t>
      </w:r>
      <w:r>
        <w:rPr>
          <w:rFonts w:hint="eastAsia"/>
          <w:color w:val="000000"/>
          <w:szCs w:val="21"/>
          <w:lang w:eastAsia="zh-CN"/>
        </w:rPr>
        <w:t>、</w:t>
      </w:r>
      <w:r>
        <w:rPr>
          <w:rFonts w:hint="eastAsia"/>
          <w:color w:val="000000"/>
          <w:szCs w:val="21"/>
        </w:rPr>
        <w:t>应急管理</w:t>
      </w:r>
      <w:r>
        <w:rPr>
          <w:rFonts w:hint="eastAsia"/>
          <w:color w:val="000000"/>
          <w:szCs w:val="21"/>
          <w:lang w:eastAsia="zh-CN"/>
        </w:rPr>
        <w:t>、</w:t>
      </w:r>
      <w:r>
        <w:rPr>
          <w:rFonts w:hint="eastAsia"/>
          <w:color w:val="000000"/>
          <w:szCs w:val="21"/>
          <w:lang w:val="en-US" w:eastAsia="zh-CN"/>
        </w:rPr>
        <w:t>特种作业票等其他典型场景。</w:t>
      </w:r>
    </w:p>
    <w:p>
      <w:pPr>
        <w:spacing w:line="360" w:lineRule="auto"/>
        <w:ind w:firstLine="420" w:firstLineChars="200"/>
        <w:rPr>
          <w:rFonts w:hint="default"/>
          <w:color w:val="000000"/>
          <w:szCs w:val="21"/>
          <w:lang w:val="en-US" w:eastAsia="zh-CN"/>
        </w:rPr>
      </w:pPr>
      <w:r>
        <w:rPr>
          <w:rFonts w:hint="eastAsia"/>
          <w:color w:val="000000"/>
          <w:szCs w:val="21"/>
          <w:lang w:val="en-US" w:eastAsia="zh-CN"/>
        </w:rPr>
        <w:t>教育培训管理，支持培训资料、培训计划、在线学习、培训档案的管理功能。</w:t>
      </w:r>
    </w:p>
    <w:p>
      <w:pPr>
        <w:spacing w:line="360" w:lineRule="auto"/>
        <w:ind w:firstLine="420" w:firstLineChars="200"/>
        <w:rPr>
          <w:rFonts w:hint="default" w:eastAsia="宋体"/>
          <w:color w:val="000000"/>
          <w:szCs w:val="21"/>
          <w:lang w:val="en-US" w:eastAsia="zh-CN"/>
        </w:rPr>
      </w:pPr>
      <w:r>
        <w:rPr>
          <w:rFonts w:hint="eastAsia"/>
          <w:color w:val="000000"/>
          <w:szCs w:val="21"/>
        </w:rPr>
        <w:t>在线考试</w:t>
      </w:r>
      <w:r>
        <w:rPr>
          <w:rFonts w:hint="eastAsia"/>
          <w:color w:val="000000"/>
          <w:szCs w:val="21"/>
          <w:lang w:val="en-US" w:eastAsia="zh-CN"/>
        </w:rPr>
        <w:t>管理，支持题库、试题、试卷、评分的管理功能。</w:t>
      </w:r>
    </w:p>
    <w:p>
      <w:pPr>
        <w:spacing w:line="360" w:lineRule="auto"/>
        <w:ind w:firstLine="420" w:firstLineChars="200"/>
        <w:rPr>
          <w:rFonts w:hint="default" w:eastAsia="宋体"/>
          <w:color w:val="000000"/>
          <w:szCs w:val="21"/>
          <w:lang w:val="en-US" w:eastAsia="zh-CN"/>
        </w:rPr>
      </w:pPr>
      <w:r>
        <w:rPr>
          <w:rFonts w:hint="eastAsia"/>
          <w:color w:val="000000"/>
          <w:szCs w:val="21"/>
        </w:rPr>
        <w:t>应急管理</w:t>
      </w:r>
      <w:r>
        <w:rPr>
          <w:rFonts w:hint="eastAsia"/>
          <w:color w:val="000000"/>
          <w:szCs w:val="21"/>
          <w:lang w:eastAsia="zh-CN"/>
        </w:rPr>
        <w:t>，</w:t>
      </w:r>
      <w:r>
        <w:rPr>
          <w:rFonts w:hint="eastAsia"/>
          <w:color w:val="000000"/>
          <w:szCs w:val="21"/>
          <w:lang w:val="en-US" w:eastAsia="zh-CN"/>
        </w:rPr>
        <w:t>包括应急预案、应急演练计划及实施、应急物资、应急通讯、应急总结评估的内容。</w:t>
      </w:r>
    </w:p>
    <w:p>
      <w:pPr>
        <w:spacing w:line="360" w:lineRule="auto"/>
        <w:ind w:firstLine="420" w:firstLineChars="200"/>
        <w:rPr>
          <w:rFonts w:hint="default" w:ascii="宋体" w:hAnsi="宋体" w:eastAsia="宋体"/>
          <w:szCs w:val="21"/>
          <w:lang w:val="en-US" w:eastAsia="zh-CN"/>
        </w:rPr>
      </w:pPr>
      <w:r>
        <w:rPr>
          <w:rFonts w:hint="eastAsia"/>
          <w:color w:val="000000"/>
          <w:szCs w:val="21"/>
          <w:lang w:val="en-US" w:eastAsia="zh-CN"/>
        </w:rPr>
        <w:t>特种作业票管理，支持在线申请、审批及电子签名、导出、打印、归档各类特种作业票</w:t>
      </w:r>
      <w:r>
        <w:rPr>
          <w:rFonts w:ascii="宋体" w:hAnsi="宋体"/>
          <w:szCs w:val="21"/>
        </w:rPr>
        <w:t>。</w:t>
      </w:r>
    </w:p>
    <w:p>
      <w:pPr>
        <w:spacing w:line="360" w:lineRule="auto"/>
        <w:rPr>
          <w:rFonts w:hint="eastAsia" w:ascii="黑体" w:hAnsi="黑体" w:eastAsia="黑体" w:cs="Times New Roman"/>
          <w:kern w:val="2"/>
          <w:sz w:val="21"/>
          <w:szCs w:val="21"/>
          <w:lang w:val="en-US" w:eastAsia="zh-CN" w:bidi="ar-SA"/>
        </w:rPr>
      </w:pPr>
      <w:r>
        <w:rPr>
          <w:rFonts w:hint="eastAsia" w:ascii="黑体" w:hAnsi="黑体" w:eastAsia="黑体" w:cs="Times New Roman"/>
          <w:kern w:val="2"/>
          <w:sz w:val="21"/>
          <w:szCs w:val="21"/>
          <w:lang w:val="en-US" w:eastAsia="zh-CN" w:bidi="ar-SA"/>
        </w:rPr>
        <w:t>6.6  移动端</w:t>
      </w:r>
    </w:p>
    <w:p>
      <w:pPr>
        <w:spacing w:line="360" w:lineRule="auto"/>
        <w:rPr>
          <w:rFonts w:hint="eastAsia" w:ascii="宋体" w:hAnsi="宋体"/>
          <w:szCs w:val="21"/>
          <w:lang w:eastAsia="zh-CN"/>
        </w:rPr>
      </w:pPr>
      <w:r>
        <w:rPr>
          <w:rFonts w:hint="eastAsia" w:ascii="黑体" w:hAnsi="黑体" w:eastAsia="黑体" w:cs="Times New Roman"/>
          <w:kern w:val="2"/>
          <w:sz w:val="21"/>
          <w:szCs w:val="21"/>
          <w:lang w:val="en-US" w:eastAsia="zh-CN" w:bidi="ar-SA"/>
        </w:rPr>
        <w:t>6.6.1</w:t>
      </w:r>
      <w:r>
        <w:rPr>
          <w:rFonts w:ascii="宋体" w:hAnsi="宋体"/>
          <w:szCs w:val="21"/>
        </w:rPr>
        <w:t xml:space="preserve"> </w:t>
      </w:r>
      <w:r>
        <w:rPr>
          <w:rFonts w:hint="eastAsia" w:ascii="宋体" w:hAnsi="宋体"/>
          <w:szCs w:val="21"/>
          <w:lang w:val="en-US" w:eastAsia="zh-CN"/>
        </w:rPr>
        <w:t>应</w:t>
      </w:r>
      <w:r>
        <w:rPr>
          <w:rFonts w:hint="eastAsia" w:ascii="宋体" w:hAnsi="宋体"/>
          <w:szCs w:val="21"/>
        </w:rPr>
        <w:t>具备隐患排查任务和预警信息接收、现场隐患排查情况实时上报、隐患治理全程跟踪等功能</w:t>
      </w:r>
      <w:r>
        <w:rPr>
          <w:rFonts w:hint="eastAsia" w:ascii="宋体" w:hAnsi="宋体"/>
          <w:szCs w:val="21"/>
          <w:lang w:eastAsia="zh-CN"/>
        </w:rPr>
        <w:t>。</w:t>
      </w:r>
      <w:r>
        <w:rPr>
          <w:rFonts w:hint="eastAsia" w:ascii="宋体" w:hAnsi="宋体"/>
          <w:szCs w:val="21"/>
          <w:lang w:val="en-US" w:eastAsia="zh-CN"/>
        </w:rPr>
        <w:t>移动端</w:t>
      </w:r>
      <w:r>
        <w:rPr>
          <w:rFonts w:hint="eastAsia" w:ascii="Times New Roman" w:hAnsi="Times New Roman"/>
          <w:sz w:val="21"/>
          <w:szCs w:val="21"/>
          <w:lang w:val="en-US" w:eastAsia="zh-CN"/>
        </w:rPr>
        <w:t>支持Android、IOS、鸿蒙系统APP及</w:t>
      </w:r>
      <w:r>
        <w:rPr>
          <w:rFonts w:hint="eastAsia" w:ascii="宋体" w:hAnsi="宋体"/>
          <w:szCs w:val="21"/>
          <w:lang w:val="en-US" w:eastAsia="zh-CN"/>
        </w:rPr>
        <w:t>微信小程序，支持无网络环境下离线缓存功能。</w:t>
      </w:r>
    </w:p>
    <w:p>
      <w:pPr>
        <w:spacing w:line="360" w:lineRule="auto"/>
        <w:rPr>
          <w:rFonts w:ascii="宋体" w:hAnsi="宋体"/>
          <w:szCs w:val="21"/>
        </w:rPr>
      </w:pPr>
      <w:r>
        <w:rPr>
          <w:rFonts w:hint="eastAsia" w:ascii="黑体" w:hAnsi="黑体" w:eastAsia="黑体" w:cs="Times New Roman"/>
          <w:kern w:val="2"/>
          <w:sz w:val="21"/>
          <w:szCs w:val="21"/>
          <w:lang w:val="en-US" w:eastAsia="zh-CN" w:bidi="ar-SA"/>
        </w:rPr>
        <w:t xml:space="preserve">6.6.2 </w:t>
      </w:r>
      <w:r>
        <w:rPr>
          <w:rFonts w:hint="eastAsia" w:ascii="宋体" w:hAnsi="宋体"/>
          <w:szCs w:val="21"/>
          <w:lang w:val="en-US" w:eastAsia="zh-CN"/>
        </w:rPr>
        <w:t>应</w:t>
      </w:r>
      <w:r>
        <w:rPr>
          <w:rFonts w:hint="eastAsia" w:ascii="宋体" w:hAnsi="宋体"/>
          <w:szCs w:val="21"/>
        </w:rPr>
        <w:t>具备信息</w:t>
      </w:r>
      <w:r>
        <w:rPr>
          <w:rFonts w:hint="eastAsia" w:ascii="宋体" w:hAnsi="宋体"/>
          <w:szCs w:val="21"/>
          <w:lang w:val="en-US" w:eastAsia="zh-CN"/>
        </w:rPr>
        <w:t>通知、</w:t>
      </w:r>
      <w:r>
        <w:rPr>
          <w:rFonts w:hint="eastAsia" w:ascii="宋体" w:hAnsi="宋体"/>
          <w:szCs w:val="21"/>
        </w:rPr>
        <w:t>查询、上报、推送、数据采集及业务处理</w:t>
      </w:r>
      <w:r>
        <w:rPr>
          <w:rFonts w:hint="eastAsia" w:ascii="宋体" w:hAnsi="宋体"/>
          <w:szCs w:val="21"/>
          <w:lang w:val="en-US" w:eastAsia="zh-CN"/>
        </w:rPr>
        <w:t>基础</w:t>
      </w:r>
      <w:r>
        <w:rPr>
          <w:rFonts w:hint="eastAsia" w:ascii="宋体" w:hAnsi="宋体"/>
          <w:szCs w:val="21"/>
        </w:rPr>
        <w:t>功能。</w:t>
      </w:r>
    </w:p>
    <w:bookmarkEnd w:id="102"/>
    <w:p>
      <w:pPr>
        <w:pStyle w:val="2"/>
        <w:spacing w:line="360" w:lineRule="auto"/>
        <w:rPr>
          <w:rFonts w:ascii="黑体" w:hAnsi="黑体" w:eastAsia="黑体"/>
          <w:sz w:val="21"/>
          <w:szCs w:val="21"/>
        </w:rPr>
      </w:pPr>
      <w:bookmarkStart w:id="103" w:name="_Toc67855273"/>
      <w:bookmarkStart w:id="104" w:name="_Toc68166136"/>
      <w:bookmarkStart w:id="105" w:name="_Toc78809350"/>
      <w:bookmarkStart w:id="106" w:name="_Toc64732686"/>
      <w:bookmarkStart w:id="107" w:name="_Toc78924394"/>
      <w:bookmarkStart w:id="108" w:name="_Toc78964233"/>
      <w:bookmarkStart w:id="109" w:name="_Toc78976578"/>
      <w:bookmarkStart w:id="110" w:name="_Toc78964075"/>
      <w:bookmarkStart w:id="111" w:name="_Toc78924640"/>
      <w:bookmarkStart w:id="112" w:name="_Toc63584106"/>
      <w:bookmarkStart w:id="113" w:name="_Toc78954533"/>
      <w:bookmarkStart w:id="114" w:name="_Toc78977309"/>
      <w:bookmarkStart w:id="115" w:name="_Toc65136385"/>
      <w:bookmarkStart w:id="116" w:name="_Toc78742049"/>
      <w:bookmarkStart w:id="117" w:name="_Toc87515303"/>
      <w:r>
        <w:rPr>
          <w:rFonts w:hint="eastAsia" w:ascii="黑体" w:hAnsi="黑体" w:eastAsia="黑体"/>
          <w:sz w:val="21"/>
          <w:szCs w:val="21"/>
        </w:rPr>
        <w:t>7</w:t>
      </w:r>
      <w:r>
        <w:rPr>
          <w:rFonts w:ascii="黑体" w:hAnsi="黑体" w:eastAsia="黑体"/>
          <w:sz w:val="21"/>
          <w:szCs w:val="21"/>
        </w:rPr>
        <w:t xml:space="preserve">  </w:t>
      </w:r>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r>
        <w:rPr>
          <w:rFonts w:hint="eastAsia" w:ascii="黑体" w:hAnsi="黑体" w:eastAsia="黑体"/>
          <w:color w:val="000000"/>
          <w:sz w:val="21"/>
          <w:szCs w:val="21"/>
        </w:rPr>
        <w:t>数据</w:t>
      </w:r>
      <w:r>
        <w:rPr>
          <w:rFonts w:hint="eastAsia" w:ascii="黑体" w:hAnsi="黑体" w:eastAsia="黑体"/>
          <w:color w:val="000000"/>
          <w:sz w:val="21"/>
          <w:szCs w:val="21"/>
          <w:lang w:val="en-US" w:eastAsia="zh-CN"/>
        </w:rPr>
        <w:t>交换</w:t>
      </w:r>
      <w:r>
        <w:rPr>
          <w:rFonts w:hint="eastAsia" w:ascii="黑体" w:hAnsi="黑体" w:eastAsia="黑体"/>
          <w:color w:val="000000"/>
          <w:sz w:val="21"/>
          <w:szCs w:val="21"/>
        </w:rPr>
        <w:t>规范</w:t>
      </w:r>
      <w:bookmarkEnd w:id="117"/>
    </w:p>
    <w:p>
      <w:pPr>
        <w:spacing w:line="360" w:lineRule="auto"/>
        <w:rPr>
          <w:rFonts w:hint="eastAsia" w:ascii="黑体" w:hAnsi="黑体" w:eastAsia="黑体" w:cs="Times New Roman"/>
          <w:kern w:val="2"/>
          <w:sz w:val="21"/>
          <w:szCs w:val="21"/>
          <w:lang w:val="en-US" w:eastAsia="zh-CN" w:bidi="ar-SA"/>
        </w:rPr>
      </w:pPr>
      <w:r>
        <w:rPr>
          <w:rFonts w:hint="eastAsia" w:ascii="黑体" w:hAnsi="黑体" w:eastAsia="黑体" w:cs="Times New Roman"/>
          <w:kern w:val="2"/>
          <w:sz w:val="21"/>
          <w:szCs w:val="21"/>
          <w:lang w:val="en-US" w:eastAsia="zh-CN" w:bidi="ar-SA"/>
        </w:rPr>
        <w:t>7.1  企业内部数据交换</w:t>
      </w:r>
    </w:p>
    <w:p>
      <w:pPr>
        <w:spacing w:line="360" w:lineRule="auto"/>
        <w:ind w:firstLine="630" w:firstLineChars="300"/>
        <w:rPr>
          <w:rFonts w:asciiTheme="minorEastAsia" w:hAnsiTheme="minorEastAsia" w:eastAsiaTheme="minorEastAsia"/>
          <w:szCs w:val="21"/>
        </w:rPr>
      </w:pPr>
      <w:r>
        <w:rPr>
          <w:rFonts w:hint="eastAsia" w:asciiTheme="minorEastAsia" w:hAnsiTheme="minorEastAsia" w:eastAsiaTheme="minorEastAsia"/>
          <w:szCs w:val="21"/>
        </w:rPr>
        <w:t>应具备结构化数据、半结构化数据、非结构化数据的交换能力，支持以服务、接口、文件、消息等方式进行数据交换</w:t>
      </w:r>
      <w:r>
        <w:rPr>
          <w:rFonts w:hint="eastAsia" w:asciiTheme="minorEastAsia" w:hAnsiTheme="minorEastAsia" w:eastAsiaTheme="minorEastAsia"/>
          <w:szCs w:val="21"/>
          <w:lang w:eastAsia="zh-CN"/>
        </w:rPr>
        <w:t>，</w:t>
      </w:r>
      <w:r>
        <w:rPr>
          <w:rFonts w:hint="eastAsia" w:asciiTheme="minorEastAsia" w:hAnsiTheme="minorEastAsia" w:eastAsiaTheme="minorEastAsia"/>
          <w:szCs w:val="21"/>
          <w:lang w:val="en-US" w:eastAsia="zh-CN"/>
        </w:rPr>
        <w:t>支持与其他信息化系统进行有机结合</w:t>
      </w:r>
      <w:r>
        <w:rPr>
          <w:rFonts w:hint="eastAsia" w:asciiTheme="minorEastAsia" w:hAnsiTheme="minorEastAsia" w:eastAsiaTheme="minorEastAsia"/>
          <w:szCs w:val="21"/>
        </w:rPr>
        <w:t>。</w:t>
      </w:r>
    </w:p>
    <w:p>
      <w:pPr>
        <w:spacing w:line="360" w:lineRule="auto"/>
        <w:rPr>
          <w:rFonts w:hint="eastAsia" w:ascii="黑体" w:hAnsi="黑体" w:eastAsia="黑体" w:cs="Times New Roman"/>
          <w:kern w:val="2"/>
          <w:sz w:val="21"/>
          <w:szCs w:val="21"/>
          <w:lang w:val="en-US" w:eastAsia="zh-CN" w:bidi="ar-SA"/>
        </w:rPr>
      </w:pPr>
      <w:r>
        <w:rPr>
          <w:rFonts w:hint="eastAsia" w:ascii="黑体" w:hAnsi="黑体" w:eastAsia="黑体" w:cs="Times New Roman"/>
          <w:kern w:val="2"/>
          <w:sz w:val="21"/>
          <w:szCs w:val="21"/>
          <w:lang w:val="en-US" w:eastAsia="zh-CN" w:bidi="ar-SA"/>
        </w:rPr>
        <w:t>7.2  企业外部数据交换</w:t>
      </w:r>
    </w:p>
    <w:p>
      <w:pPr>
        <w:spacing w:line="360" w:lineRule="auto"/>
        <w:ind w:firstLine="420" w:firstLineChars="200"/>
        <w:rPr>
          <w:rFonts w:hint="eastAsia" w:asciiTheme="minorEastAsia" w:hAnsiTheme="minorEastAsia" w:eastAsiaTheme="minorEastAsia"/>
          <w:szCs w:val="21"/>
          <w:lang w:eastAsia="zh-CN"/>
        </w:rPr>
      </w:pPr>
      <w:r>
        <w:rPr>
          <w:rFonts w:hint="eastAsia" w:asciiTheme="minorEastAsia" w:hAnsiTheme="minorEastAsia" w:eastAsiaTheme="minorEastAsia"/>
          <w:szCs w:val="21"/>
        </w:rPr>
        <w:t>应</w:t>
      </w:r>
      <w:r>
        <w:rPr>
          <w:rFonts w:hint="eastAsia" w:asciiTheme="minorEastAsia" w:hAnsiTheme="minorEastAsia" w:eastAsiaTheme="minorEastAsia"/>
          <w:szCs w:val="21"/>
          <w:lang w:val="en-US" w:eastAsia="zh-CN"/>
        </w:rPr>
        <w:t>预留数据接口，支持以数据服务的形式封装数据，满足向</w:t>
      </w:r>
      <w:r>
        <w:rPr>
          <w:rFonts w:hint="eastAsia" w:asciiTheme="minorEastAsia" w:hAnsiTheme="minorEastAsia" w:eastAsiaTheme="minorEastAsia"/>
          <w:szCs w:val="21"/>
        </w:rPr>
        <w:t>监管部门的</w:t>
      </w:r>
      <w:r>
        <w:rPr>
          <w:rFonts w:hint="eastAsia" w:asciiTheme="minorEastAsia" w:hAnsiTheme="minorEastAsia" w:eastAsiaTheme="minorEastAsia"/>
          <w:szCs w:val="21"/>
          <w:lang w:val="en-US" w:eastAsia="zh-CN"/>
        </w:rPr>
        <w:t>数据上传</w:t>
      </w:r>
      <w:r>
        <w:rPr>
          <w:rFonts w:hint="eastAsia" w:asciiTheme="minorEastAsia" w:hAnsiTheme="minorEastAsia" w:eastAsiaTheme="minorEastAsia"/>
          <w:szCs w:val="21"/>
        </w:rPr>
        <w:t>要求</w:t>
      </w:r>
      <w:r>
        <w:rPr>
          <w:rFonts w:hint="eastAsia" w:asciiTheme="minorEastAsia" w:hAnsiTheme="minorEastAsia" w:eastAsiaTheme="minorEastAsia"/>
          <w:szCs w:val="21"/>
          <w:lang w:eastAsia="zh-CN"/>
        </w:rPr>
        <w:t>。</w:t>
      </w:r>
    </w:p>
    <w:p>
      <w:pPr>
        <w:pStyle w:val="2"/>
        <w:spacing w:line="360" w:lineRule="auto"/>
        <w:rPr>
          <w:rFonts w:ascii="黑体" w:hAnsi="黑体" w:eastAsia="黑体"/>
          <w:sz w:val="21"/>
          <w:szCs w:val="21"/>
        </w:rPr>
      </w:pPr>
      <w:bookmarkStart w:id="118" w:name="_Toc87515304"/>
      <w:r>
        <w:rPr>
          <w:rFonts w:ascii="黑体" w:hAnsi="黑体" w:eastAsia="黑体"/>
          <w:sz w:val="21"/>
          <w:szCs w:val="21"/>
        </w:rPr>
        <w:t xml:space="preserve">8  </w:t>
      </w:r>
      <w:r>
        <w:rPr>
          <w:rFonts w:hint="eastAsia" w:ascii="黑体" w:hAnsi="黑体" w:eastAsia="黑体"/>
          <w:color w:val="000000"/>
          <w:sz w:val="21"/>
          <w:szCs w:val="21"/>
        </w:rPr>
        <w:t>运行指标</w:t>
      </w:r>
      <w:bookmarkEnd w:id="118"/>
    </w:p>
    <w:p>
      <w:pPr>
        <w:spacing w:line="360" w:lineRule="auto"/>
        <w:rPr>
          <w:rFonts w:hint="eastAsia" w:ascii="黑体" w:hAnsi="黑体" w:eastAsia="黑体" w:cs="Times New Roman"/>
          <w:kern w:val="2"/>
          <w:sz w:val="21"/>
          <w:szCs w:val="21"/>
          <w:lang w:val="en-US" w:eastAsia="zh-CN" w:bidi="ar-SA"/>
        </w:rPr>
      </w:pPr>
      <w:r>
        <w:rPr>
          <w:rFonts w:hint="eastAsia" w:ascii="黑体" w:hAnsi="黑体" w:eastAsia="黑体" w:cs="Times New Roman"/>
          <w:kern w:val="2"/>
          <w:sz w:val="21"/>
          <w:szCs w:val="21"/>
          <w:lang w:val="en-US" w:eastAsia="zh-CN" w:bidi="ar-SA"/>
        </w:rPr>
        <w:t>8.1  数据量支持</w:t>
      </w:r>
    </w:p>
    <w:p>
      <w:pPr>
        <w:spacing w:line="360" w:lineRule="auto"/>
        <w:ind w:firstLine="420" w:firstLineChars="200"/>
        <w:rPr>
          <w:rFonts w:asciiTheme="minorEastAsia" w:hAnsiTheme="minorEastAsia" w:eastAsiaTheme="minorEastAsia"/>
          <w:szCs w:val="21"/>
        </w:rPr>
      </w:pPr>
      <w:r>
        <w:rPr>
          <w:rFonts w:hint="eastAsia"/>
          <w:color w:val="000000"/>
          <w:szCs w:val="21"/>
        </w:rPr>
        <w:t>支持大</w:t>
      </w:r>
      <w:r>
        <w:rPr>
          <w:rFonts w:hint="eastAsia" w:ascii="Times New Roman" w:hAnsi="Times New Roman"/>
          <w:sz w:val="21"/>
          <w:szCs w:val="21"/>
          <w:lang w:val="en-US" w:eastAsia="zh-CN"/>
        </w:rPr>
        <w:t>于1 TB数据</w:t>
      </w:r>
      <w:r>
        <w:rPr>
          <w:rFonts w:hint="eastAsia"/>
          <w:color w:val="000000"/>
          <w:szCs w:val="21"/>
        </w:rPr>
        <w:t>的展示和浏览</w:t>
      </w:r>
      <w:r>
        <w:rPr>
          <w:rFonts w:hint="eastAsia" w:asciiTheme="minorEastAsia" w:hAnsiTheme="minorEastAsia" w:eastAsiaTheme="minorEastAsia"/>
          <w:szCs w:val="21"/>
        </w:rPr>
        <w:t>。</w:t>
      </w:r>
    </w:p>
    <w:p>
      <w:pPr>
        <w:spacing w:line="360" w:lineRule="auto"/>
        <w:rPr>
          <w:rFonts w:hint="eastAsia" w:ascii="黑体" w:hAnsi="黑体" w:eastAsia="黑体" w:cs="Times New Roman"/>
          <w:kern w:val="2"/>
          <w:sz w:val="21"/>
          <w:szCs w:val="21"/>
          <w:lang w:val="en-US" w:eastAsia="zh-CN" w:bidi="ar-SA"/>
        </w:rPr>
      </w:pPr>
      <w:r>
        <w:rPr>
          <w:rFonts w:hint="eastAsia" w:ascii="黑体" w:hAnsi="黑体" w:eastAsia="黑体" w:cs="Times New Roman"/>
          <w:kern w:val="2"/>
          <w:sz w:val="21"/>
          <w:szCs w:val="21"/>
          <w:lang w:val="en-US" w:eastAsia="zh-CN" w:bidi="ar-SA"/>
        </w:rPr>
        <w:t>8.2  用户支持</w:t>
      </w:r>
    </w:p>
    <w:p>
      <w:pPr>
        <w:spacing w:line="360" w:lineRule="auto"/>
        <w:ind w:firstLine="420" w:firstLineChars="200"/>
        <w:rPr>
          <w:rFonts w:asciiTheme="minorEastAsia" w:hAnsiTheme="minorEastAsia" w:eastAsiaTheme="minorEastAsia"/>
          <w:szCs w:val="21"/>
        </w:rPr>
      </w:pPr>
      <w:r>
        <w:rPr>
          <w:rFonts w:hint="eastAsia"/>
          <w:color w:val="000000"/>
          <w:szCs w:val="21"/>
        </w:rPr>
        <w:t>支持不少于100个用户的同时在线</w:t>
      </w:r>
      <w:r>
        <w:rPr>
          <w:rFonts w:hint="eastAsia" w:asciiTheme="minorEastAsia" w:hAnsiTheme="minorEastAsia" w:eastAsiaTheme="minorEastAsia"/>
          <w:szCs w:val="21"/>
        </w:rPr>
        <w:t>。</w:t>
      </w:r>
    </w:p>
    <w:p>
      <w:pPr>
        <w:spacing w:line="360" w:lineRule="auto"/>
        <w:rPr>
          <w:rFonts w:hint="eastAsia" w:ascii="黑体" w:hAnsi="黑体" w:eastAsia="黑体" w:cs="Times New Roman"/>
          <w:kern w:val="2"/>
          <w:sz w:val="21"/>
          <w:szCs w:val="21"/>
          <w:lang w:val="en-US" w:eastAsia="zh-CN" w:bidi="ar-SA"/>
        </w:rPr>
      </w:pPr>
      <w:r>
        <w:rPr>
          <w:rFonts w:hint="eastAsia" w:ascii="黑体" w:hAnsi="黑体" w:eastAsia="黑体" w:cs="Times New Roman"/>
          <w:kern w:val="2"/>
          <w:sz w:val="21"/>
          <w:szCs w:val="21"/>
          <w:lang w:val="en-US" w:eastAsia="zh-CN" w:bidi="ar-SA"/>
        </w:rPr>
        <w:t>8.3  界面响应</w:t>
      </w:r>
    </w:p>
    <w:p>
      <w:pPr>
        <w:spacing w:line="360" w:lineRule="auto"/>
        <w:ind w:firstLine="630" w:firstLineChars="300"/>
        <w:rPr>
          <w:rFonts w:asciiTheme="minorEastAsia" w:hAnsiTheme="minorEastAsia" w:eastAsiaTheme="minorEastAsia"/>
          <w:szCs w:val="21"/>
        </w:rPr>
      </w:pPr>
      <w:r>
        <w:rPr>
          <w:rFonts w:hint="eastAsia"/>
          <w:color w:val="000000"/>
          <w:szCs w:val="21"/>
        </w:rPr>
        <w:t>用户操作的响应时间应小于2秒</w:t>
      </w:r>
      <w:r>
        <w:rPr>
          <w:rFonts w:hint="eastAsia" w:asciiTheme="minorEastAsia" w:hAnsiTheme="minorEastAsia" w:eastAsiaTheme="minorEastAsia"/>
          <w:szCs w:val="21"/>
        </w:rPr>
        <w:t>。</w:t>
      </w:r>
    </w:p>
    <w:p>
      <w:pPr>
        <w:spacing w:line="360" w:lineRule="auto"/>
        <w:rPr>
          <w:rFonts w:hint="eastAsia" w:ascii="黑体" w:hAnsi="黑体" w:eastAsia="黑体" w:cs="Times New Roman"/>
          <w:kern w:val="2"/>
          <w:sz w:val="21"/>
          <w:szCs w:val="21"/>
          <w:lang w:val="en-US" w:eastAsia="zh-CN" w:bidi="ar-SA"/>
        </w:rPr>
      </w:pPr>
      <w:r>
        <w:rPr>
          <w:rFonts w:hint="eastAsia" w:ascii="黑体" w:hAnsi="黑体" w:eastAsia="黑体" w:cs="Times New Roman"/>
          <w:kern w:val="2"/>
          <w:sz w:val="21"/>
          <w:szCs w:val="21"/>
          <w:lang w:val="en-US" w:eastAsia="zh-CN" w:bidi="ar-SA"/>
        </w:rPr>
        <w:t>8.4  数据交换效率</w:t>
      </w:r>
    </w:p>
    <w:p>
      <w:pPr>
        <w:spacing w:line="360" w:lineRule="auto"/>
        <w:ind w:firstLine="630" w:firstLineChars="300"/>
        <w:rPr>
          <w:rFonts w:asciiTheme="minorEastAsia" w:hAnsiTheme="minorEastAsia" w:eastAsiaTheme="minorEastAsia"/>
          <w:szCs w:val="21"/>
        </w:rPr>
      </w:pPr>
      <w:r>
        <w:rPr>
          <w:rFonts w:hint="eastAsia"/>
          <w:color w:val="000000"/>
          <w:szCs w:val="21"/>
        </w:rPr>
        <w:t>实时数据采集、上传数据响应时间应小于5秒</w:t>
      </w:r>
      <w:r>
        <w:rPr>
          <w:rFonts w:hint="eastAsia" w:asciiTheme="minorEastAsia" w:hAnsiTheme="minorEastAsia" w:eastAsiaTheme="minorEastAsia"/>
          <w:szCs w:val="21"/>
        </w:rPr>
        <w:t>。</w:t>
      </w:r>
    </w:p>
    <w:p>
      <w:pPr>
        <w:spacing w:line="360" w:lineRule="auto"/>
        <w:rPr>
          <w:rFonts w:hint="eastAsia" w:ascii="黑体" w:hAnsi="黑体" w:eastAsia="黑体" w:cs="Times New Roman"/>
          <w:kern w:val="2"/>
          <w:sz w:val="21"/>
          <w:szCs w:val="21"/>
          <w:lang w:val="en-US" w:eastAsia="zh-CN" w:bidi="ar-SA"/>
        </w:rPr>
      </w:pPr>
      <w:r>
        <w:rPr>
          <w:rFonts w:hint="eastAsia" w:ascii="黑体" w:hAnsi="黑体" w:eastAsia="黑体" w:cs="Times New Roman"/>
          <w:kern w:val="2"/>
          <w:sz w:val="21"/>
          <w:szCs w:val="21"/>
          <w:lang w:val="en-US" w:eastAsia="zh-CN" w:bidi="ar-SA"/>
        </w:rPr>
        <w:t>8.5  可扩展性</w:t>
      </w:r>
    </w:p>
    <w:p>
      <w:pPr>
        <w:spacing w:line="360" w:lineRule="auto"/>
        <w:ind w:firstLine="420" w:firstLineChars="200"/>
        <w:rPr>
          <w:rFonts w:asciiTheme="minorEastAsia" w:hAnsiTheme="minorEastAsia" w:eastAsiaTheme="minorEastAsia"/>
          <w:szCs w:val="21"/>
        </w:rPr>
      </w:pPr>
      <w:r>
        <w:rPr>
          <w:rFonts w:hint="eastAsia"/>
          <w:color w:val="000000"/>
          <w:szCs w:val="21"/>
        </w:rPr>
        <w:t>在保证信息传输完整性、保密性的前提下，系统宜具备开放性、共享性。</w:t>
      </w:r>
    </w:p>
    <w:p>
      <w:pPr>
        <w:pStyle w:val="2"/>
        <w:spacing w:line="360" w:lineRule="auto"/>
        <w:rPr>
          <w:rFonts w:ascii="黑体" w:hAnsi="黑体" w:eastAsia="黑体"/>
          <w:sz w:val="21"/>
          <w:szCs w:val="21"/>
        </w:rPr>
      </w:pPr>
      <w:bookmarkStart w:id="119" w:name="_Toc87515305"/>
      <w:r>
        <w:rPr>
          <w:rFonts w:ascii="黑体" w:hAnsi="黑体" w:eastAsia="黑体"/>
          <w:sz w:val="21"/>
          <w:szCs w:val="21"/>
        </w:rPr>
        <w:t xml:space="preserve">9  </w:t>
      </w:r>
      <w:r>
        <w:rPr>
          <w:rFonts w:hint="eastAsia" w:ascii="黑体" w:hAnsi="黑体" w:eastAsia="黑体"/>
          <w:color w:val="000000"/>
          <w:sz w:val="21"/>
          <w:szCs w:val="21"/>
        </w:rPr>
        <w:t>信息安全要求</w:t>
      </w:r>
      <w:bookmarkEnd w:id="119"/>
    </w:p>
    <w:p>
      <w:pPr>
        <w:spacing w:line="360" w:lineRule="auto"/>
        <w:rPr>
          <w:rFonts w:hint="eastAsia" w:asciiTheme="minorEastAsia" w:hAnsiTheme="minorEastAsia" w:eastAsiaTheme="minorEastAsia"/>
          <w:szCs w:val="21"/>
        </w:rPr>
      </w:pPr>
      <w:r>
        <w:rPr>
          <w:rFonts w:hint="eastAsia" w:ascii="黑体" w:hAnsi="黑体" w:eastAsia="黑体" w:cs="Times New Roman"/>
          <w:kern w:val="2"/>
          <w:sz w:val="21"/>
          <w:szCs w:val="21"/>
          <w:lang w:val="en-US" w:eastAsia="zh-CN" w:bidi="ar-SA"/>
        </w:rPr>
        <w:t>9.1</w:t>
      </w:r>
      <w:r>
        <w:rPr>
          <w:rFonts w:hint="eastAsia" w:asciiTheme="minorEastAsia" w:hAnsiTheme="minorEastAsia" w:eastAsiaTheme="minorEastAsia"/>
          <w:szCs w:val="21"/>
        </w:rPr>
        <w:t xml:space="preserve">  应实现对主机的身份鉴别、访问控制、安全审计和入侵防范，并配置防病毒软硬件设备，实现对恶意代码的防范。</w:t>
      </w:r>
    </w:p>
    <w:p>
      <w:pPr>
        <w:spacing w:line="360" w:lineRule="auto"/>
        <w:rPr>
          <w:rFonts w:hint="eastAsia" w:asciiTheme="minorEastAsia" w:hAnsiTheme="minorEastAsia" w:eastAsiaTheme="minorEastAsia"/>
          <w:szCs w:val="21"/>
        </w:rPr>
      </w:pPr>
      <w:r>
        <w:rPr>
          <w:rFonts w:hint="eastAsia" w:ascii="黑体" w:hAnsi="黑体" w:eastAsia="黑体" w:cs="Times New Roman"/>
          <w:kern w:val="2"/>
          <w:sz w:val="21"/>
          <w:szCs w:val="21"/>
          <w:lang w:val="en-US" w:eastAsia="zh-CN" w:bidi="ar-SA"/>
        </w:rPr>
        <w:t>9.2</w:t>
      </w:r>
      <w:r>
        <w:rPr>
          <w:rFonts w:hint="eastAsia" w:asciiTheme="minorEastAsia" w:hAnsiTheme="minorEastAsia" w:eastAsiaTheme="minorEastAsia"/>
          <w:szCs w:val="21"/>
        </w:rPr>
        <w:t xml:space="preserve">  应实现系统身份鉴别、访问控制、安全审计、通信完整性检查、通信过程加密及资源控制。故障发生时应具备容错功能。</w:t>
      </w:r>
    </w:p>
    <w:p>
      <w:pPr>
        <w:spacing w:line="360" w:lineRule="auto"/>
        <w:rPr>
          <w:rFonts w:hint="eastAsia" w:asciiTheme="minorEastAsia" w:hAnsiTheme="minorEastAsia" w:eastAsiaTheme="minorEastAsia"/>
          <w:szCs w:val="21"/>
        </w:rPr>
      </w:pPr>
      <w:r>
        <w:rPr>
          <w:rFonts w:hint="eastAsia" w:ascii="黑体" w:hAnsi="黑体" w:eastAsia="黑体" w:cs="Times New Roman"/>
          <w:kern w:val="2"/>
          <w:sz w:val="21"/>
          <w:szCs w:val="21"/>
          <w:lang w:val="en-US" w:eastAsia="zh-CN" w:bidi="ar-SA"/>
        </w:rPr>
        <w:t>9.3</w:t>
      </w:r>
      <w:r>
        <w:rPr>
          <w:rFonts w:hint="eastAsia" w:asciiTheme="minorEastAsia" w:hAnsiTheme="minorEastAsia" w:eastAsiaTheme="minorEastAsia"/>
          <w:szCs w:val="21"/>
        </w:rPr>
        <w:t xml:space="preserve">  应提供数据的本地数据备份与恢复功能；备份存储介质可以选用光盘、硬盘，并做好标识，宜设专人管理，做好数据备份的记录和档案整理工作</w:t>
      </w:r>
    </w:p>
    <w:p>
      <w:pPr>
        <w:spacing w:line="360" w:lineRule="auto"/>
        <w:rPr>
          <w:rFonts w:hint="eastAsia" w:asciiTheme="minorEastAsia" w:hAnsiTheme="minorEastAsia" w:eastAsiaTheme="minorEastAsia"/>
          <w:szCs w:val="21"/>
        </w:rPr>
      </w:pPr>
      <w:r>
        <w:rPr>
          <w:rFonts w:hint="eastAsia" w:ascii="黑体" w:hAnsi="黑体" w:eastAsia="黑体" w:cs="Times New Roman"/>
          <w:kern w:val="2"/>
          <w:sz w:val="21"/>
          <w:szCs w:val="21"/>
          <w:lang w:val="en-US" w:eastAsia="zh-CN" w:bidi="ar-SA"/>
        </w:rPr>
        <w:t>9.4</w:t>
      </w:r>
      <w:r>
        <w:rPr>
          <w:rFonts w:hint="eastAsia" w:asciiTheme="minorEastAsia" w:hAnsiTheme="minorEastAsia" w:eastAsiaTheme="minorEastAsia"/>
          <w:szCs w:val="21"/>
        </w:rPr>
        <w:t xml:space="preserve">  与外部接口系统通信宜采用校验码技术保证通信过程中数据的完整性。</w:t>
      </w:r>
    </w:p>
    <w:p>
      <w:pPr>
        <w:spacing w:line="360" w:lineRule="auto"/>
        <w:rPr>
          <w:rFonts w:hint="eastAsia" w:asciiTheme="minorEastAsia" w:hAnsiTheme="minorEastAsia" w:eastAsiaTheme="minorEastAsia"/>
          <w:szCs w:val="21"/>
        </w:rPr>
      </w:pPr>
      <w:r>
        <w:rPr>
          <w:rFonts w:hint="eastAsia" w:ascii="黑体" w:hAnsi="黑体" w:eastAsia="黑体" w:cs="Times New Roman"/>
          <w:kern w:val="2"/>
          <w:sz w:val="21"/>
          <w:szCs w:val="21"/>
          <w:lang w:val="en-US" w:eastAsia="zh-CN" w:bidi="ar-SA"/>
        </w:rPr>
        <w:t>9.5</w:t>
      </w:r>
      <w:r>
        <w:rPr>
          <w:rFonts w:hint="eastAsia" w:asciiTheme="minorEastAsia" w:hAnsiTheme="minorEastAsia" w:eastAsiaTheme="minorEastAsia"/>
          <w:szCs w:val="21"/>
        </w:rPr>
        <w:t xml:space="preserve">  与外部接口系统建立通信连接前，宜采用密码技术进行会话验证，并对通信过程中的敏感信息字 段进行加密。</w:t>
      </w:r>
    </w:p>
    <w:p>
      <w:pPr>
        <w:spacing w:line="360" w:lineRule="auto"/>
        <w:rPr>
          <w:rFonts w:hint="eastAsia" w:asciiTheme="minorEastAsia" w:hAnsiTheme="minorEastAsia" w:eastAsiaTheme="minorEastAsia"/>
          <w:szCs w:val="21"/>
        </w:rPr>
      </w:pPr>
      <w:r>
        <w:rPr>
          <w:rFonts w:hint="eastAsia" w:ascii="黑体" w:hAnsi="黑体" w:eastAsia="黑体" w:cs="Times New Roman"/>
          <w:kern w:val="2"/>
          <w:sz w:val="21"/>
          <w:szCs w:val="21"/>
          <w:lang w:val="en-US" w:eastAsia="zh-CN" w:bidi="ar-SA"/>
        </w:rPr>
        <w:t>9.6</w:t>
      </w:r>
      <w:r>
        <w:rPr>
          <w:rFonts w:hint="eastAsia" w:asciiTheme="minorEastAsia" w:hAnsiTheme="minorEastAsia" w:eastAsiaTheme="minorEastAsia"/>
          <w:szCs w:val="21"/>
        </w:rPr>
        <w:t xml:space="preserve">  宜建立信息安全管理制度、信息安全管理机构设置、信息安全管理人员权责分工、信息安全培训 </w:t>
      </w:r>
    </w:p>
    <w:p>
      <w:pPr>
        <w:spacing w:line="360" w:lineRule="auto"/>
        <w:rPr>
          <w:rFonts w:hint="eastAsia" w:asciiTheme="minorEastAsia" w:hAnsiTheme="minorEastAsia" w:eastAsiaTheme="minorEastAsia"/>
          <w:szCs w:val="21"/>
        </w:rPr>
      </w:pPr>
      <w:r>
        <w:rPr>
          <w:rFonts w:hint="eastAsia" w:asciiTheme="minorEastAsia" w:hAnsiTheme="minorEastAsia" w:eastAsiaTheme="minorEastAsia"/>
          <w:szCs w:val="21"/>
        </w:rPr>
        <w:t>等安全管理体系。</w:t>
      </w:r>
    </w:p>
    <w:p>
      <w:pPr>
        <w:spacing w:line="360" w:lineRule="auto"/>
        <w:rPr>
          <w:rFonts w:hint="eastAsia" w:asciiTheme="minorEastAsia" w:hAnsiTheme="minorEastAsia" w:eastAsiaTheme="minorEastAsia"/>
          <w:szCs w:val="21"/>
          <w:highlight w:val="none"/>
        </w:rPr>
      </w:pPr>
      <w:r>
        <w:rPr>
          <w:rFonts w:hint="eastAsia" w:ascii="黑体" w:hAnsi="黑体" w:eastAsia="黑体" w:cs="Times New Roman"/>
          <w:kern w:val="2"/>
          <w:sz w:val="21"/>
          <w:szCs w:val="21"/>
          <w:lang w:val="en-US" w:eastAsia="zh-CN" w:bidi="ar-SA"/>
        </w:rPr>
        <w:t>9.7</w:t>
      </w:r>
      <w:r>
        <w:rPr>
          <w:rFonts w:hint="eastAsia" w:asciiTheme="minorEastAsia" w:hAnsiTheme="minorEastAsia" w:eastAsiaTheme="minorEastAsia"/>
          <w:szCs w:val="21"/>
          <w:highlight w:val="none"/>
        </w:rPr>
        <w:t xml:space="preserve">  宜按</w:t>
      </w:r>
      <w:r>
        <w:rPr>
          <w:rFonts w:hint="eastAsia" w:ascii="Times New Roman" w:hAnsi="Times New Roman" w:eastAsiaTheme="minorEastAsia"/>
          <w:sz w:val="21"/>
          <w:szCs w:val="21"/>
          <w:highlight w:val="none"/>
        </w:rPr>
        <w:t xml:space="preserve"> GB/T 22239 规定的网</w:t>
      </w:r>
      <w:r>
        <w:rPr>
          <w:rFonts w:hint="eastAsia" w:asciiTheme="minorEastAsia" w:hAnsiTheme="minorEastAsia" w:eastAsiaTheme="minorEastAsia"/>
          <w:szCs w:val="21"/>
          <w:highlight w:val="none"/>
        </w:rPr>
        <w:t>络安全等级第</w:t>
      </w:r>
      <w:r>
        <w:rPr>
          <w:rFonts w:hint="eastAsia" w:asciiTheme="minorEastAsia" w:hAnsiTheme="minorEastAsia" w:eastAsiaTheme="minorEastAsia"/>
          <w:szCs w:val="21"/>
          <w:highlight w:val="none"/>
          <w:lang w:val="en-US" w:eastAsia="zh-CN"/>
        </w:rPr>
        <w:t>三</w:t>
      </w:r>
      <w:r>
        <w:rPr>
          <w:rFonts w:hint="eastAsia" w:asciiTheme="minorEastAsia" w:hAnsiTheme="minorEastAsia" w:eastAsiaTheme="minorEastAsia"/>
          <w:szCs w:val="21"/>
          <w:highlight w:val="none"/>
        </w:rPr>
        <w:t>级及以上的要求保护。</w:t>
      </w:r>
    </w:p>
    <w:p>
      <w:pPr>
        <w:pStyle w:val="30"/>
      </w:pPr>
      <w:bookmarkStart w:id="128" w:name="_GoBack"/>
      <w:bookmarkEnd w:id="128"/>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2"/>
        <w:jc w:val="center"/>
        <w:rPr>
          <w:rFonts w:ascii="黑体" w:hAnsi="黑体" w:eastAsia="黑体"/>
          <w:sz w:val="21"/>
          <w:szCs w:val="21"/>
        </w:rPr>
      </w:pPr>
      <w:bookmarkStart w:id="120" w:name="_Toc78964240"/>
      <w:bookmarkStart w:id="121" w:name="_Toc87515306"/>
      <w:bookmarkStart w:id="122" w:name="_Toc78964082"/>
      <w:bookmarkStart w:id="123" w:name="_Toc78977316"/>
      <w:bookmarkStart w:id="124" w:name="_Toc78976585"/>
      <w:bookmarkStart w:id="125" w:name="_Toc78924401"/>
      <w:bookmarkStart w:id="126" w:name="_Toc78924647"/>
      <w:bookmarkStart w:id="127" w:name="_Toc78954540"/>
      <w:r>
        <w:rPr>
          <w:rFonts w:hint="eastAsia" w:ascii="黑体" w:hAnsi="黑体" w:eastAsia="黑体"/>
          <w:sz w:val="21"/>
          <w:szCs w:val="21"/>
        </w:rPr>
        <w:t>参考文献</w:t>
      </w:r>
      <w:bookmarkEnd w:id="120"/>
      <w:bookmarkEnd w:id="121"/>
      <w:bookmarkEnd w:id="122"/>
      <w:bookmarkEnd w:id="123"/>
      <w:bookmarkEnd w:id="124"/>
      <w:bookmarkEnd w:id="125"/>
      <w:bookmarkEnd w:id="126"/>
      <w:bookmarkEnd w:id="127"/>
    </w:p>
    <w:p>
      <w:pPr>
        <w:pStyle w:val="30"/>
      </w:pPr>
    </w:p>
    <w:p>
      <w:pPr>
        <w:pStyle w:val="159"/>
        <w:numPr>
          <w:ilvl w:val="0"/>
          <w:numId w:val="1"/>
        </w:numPr>
        <w:ind w:firstLineChars="0"/>
        <w:rPr>
          <w:rFonts w:asciiTheme="minorEastAsia" w:hAnsiTheme="minorEastAsia" w:eastAsiaTheme="minorEastAsia"/>
          <w:szCs w:val="21"/>
        </w:rPr>
      </w:pPr>
      <w:r>
        <w:rPr>
          <w:rFonts w:hint="eastAsia" w:ascii="宋体" w:hAnsi="宋体"/>
          <w:szCs w:val="21"/>
        </w:rPr>
        <w:t>GB 18218 危险化学品重大危险源辨识</w:t>
      </w:r>
    </w:p>
    <w:p>
      <w:pPr>
        <w:pStyle w:val="159"/>
        <w:numPr>
          <w:ilvl w:val="0"/>
          <w:numId w:val="1"/>
        </w:numPr>
        <w:ind w:firstLineChars="0"/>
        <w:rPr>
          <w:rFonts w:asciiTheme="minorEastAsia" w:hAnsiTheme="minorEastAsia" w:eastAsiaTheme="minorEastAsia"/>
          <w:szCs w:val="21"/>
        </w:rPr>
      </w:pPr>
      <w:r>
        <w:rPr>
          <w:rFonts w:asciiTheme="minorEastAsia" w:hAnsiTheme="minorEastAsia" w:eastAsiaTheme="minorEastAsia"/>
        </w:rPr>
        <w:t>GB/T 1.1</w:t>
      </w:r>
      <w:r>
        <w:rPr>
          <w:rFonts w:hint="eastAsia" w:asciiTheme="minorEastAsia" w:hAnsiTheme="minorEastAsia" w:eastAsiaTheme="minorEastAsia"/>
        </w:rPr>
        <w:t xml:space="preserve"> 标准化工作导则 第1部分：标准化文件的结构和起草规则</w:t>
      </w:r>
    </w:p>
    <w:p>
      <w:pPr>
        <w:pStyle w:val="159"/>
        <w:numPr>
          <w:ilvl w:val="0"/>
          <w:numId w:val="1"/>
        </w:numPr>
        <w:ind w:firstLineChars="0"/>
        <w:rPr>
          <w:rFonts w:hint="eastAsia" w:ascii="宋体" w:hAnsi="宋体"/>
          <w:szCs w:val="21"/>
        </w:rPr>
      </w:pPr>
      <w:r>
        <w:rPr>
          <w:rFonts w:hint="eastAsia" w:ascii="宋体" w:hAnsi="宋体"/>
          <w:szCs w:val="21"/>
        </w:rPr>
        <w:t>GB/T 13861-2009 生产过程危险和有害因素分类与代码</w:t>
      </w:r>
    </w:p>
    <w:p>
      <w:pPr>
        <w:pStyle w:val="159"/>
        <w:numPr>
          <w:ilvl w:val="0"/>
          <w:numId w:val="1"/>
        </w:numPr>
        <w:ind w:firstLineChars="0"/>
        <w:rPr>
          <w:rFonts w:hint="eastAsia" w:ascii="宋体" w:hAnsi="宋体"/>
          <w:szCs w:val="21"/>
        </w:rPr>
      </w:pPr>
      <w:r>
        <w:rPr>
          <w:rFonts w:hint="eastAsia" w:ascii="宋体" w:hAnsi="宋体"/>
          <w:szCs w:val="21"/>
        </w:rPr>
        <w:t>GB/T 25070 信息安全技术 网络安全等级保护安全设计技术要求</w:t>
      </w:r>
    </w:p>
    <w:p>
      <w:pPr>
        <w:pStyle w:val="159"/>
        <w:numPr>
          <w:ilvl w:val="0"/>
          <w:numId w:val="1"/>
        </w:numPr>
        <w:ind w:firstLineChars="0"/>
        <w:rPr>
          <w:rFonts w:hint="eastAsia" w:ascii="宋体" w:hAnsi="宋体"/>
          <w:szCs w:val="21"/>
        </w:rPr>
      </w:pPr>
      <w:r>
        <w:rPr>
          <w:rFonts w:hint="eastAsia" w:ascii="宋体" w:hAnsi="宋体"/>
          <w:szCs w:val="21"/>
        </w:rPr>
        <w:t>AII/001-2021 工业互联网标识解析 二级节点技术要求</w:t>
      </w:r>
    </w:p>
    <w:p>
      <w:pPr>
        <w:pStyle w:val="159"/>
        <w:numPr>
          <w:ilvl w:val="0"/>
          <w:numId w:val="1"/>
        </w:numPr>
        <w:ind w:firstLineChars="0"/>
        <w:rPr>
          <w:rFonts w:ascii="宋体" w:hAnsi="宋体"/>
          <w:szCs w:val="21"/>
        </w:rPr>
      </w:pPr>
      <w:r>
        <w:rPr>
          <w:rFonts w:hint="eastAsia" w:ascii="宋体" w:hAnsi="宋体"/>
          <w:szCs w:val="21"/>
        </w:rPr>
        <w:t>河北省人民政府令〔2018〕 第2号《河北省安全生产风险管控与隐患治理规定》</w:t>
      </w:r>
    </w:p>
    <w:p>
      <w:pPr>
        <w:pStyle w:val="159"/>
        <w:numPr>
          <w:ilvl w:val="0"/>
          <w:numId w:val="1"/>
        </w:numPr>
        <w:ind w:firstLineChars="0"/>
        <w:rPr>
          <w:rFonts w:ascii="宋体" w:hAnsi="宋体"/>
          <w:szCs w:val="21"/>
        </w:rPr>
      </w:pPr>
      <w:r>
        <w:rPr>
          <w:rFonts w:hint="eastAsia" w:ascii="宋体" w:hAnsi="宋体"/>
          <w:szCs w:val="21"/>
        </w:rPr>
        <w:t>DB13/T 2937—2019 非煤矿山双重预防机制建设规范</w:t>
      </w:r>
    </w:p>
    <w:p>
      <w:pPr>
        <w:pStyle w:val="159"/>
        <w:numPr>
          <w:ilvl w:val="0"/>
          <w:numId w:val="1"/>
        </w:numPr>
        <w:ind w:firstLineChars="0"/>
        <w:rPr>
          <w:rFonts w:asciiTheme="minorEastAsia" w:hAnsiTheme="minorEastAsia" w:eastAsiaTheme="minorEastAsia"/>
        </w:rPr>
      </w:pPr>
      <w:r>
        <w:rPr>
          <w:rFonts w:hint="eastAsia" w:ascii="宋体" w:hAnsi="宋体"/>
          <w:szCs w:val="21"/>
          <w:lang w:val="en-US" w:eastAsia="zh-CN"/>
        </w:rPr>
        <w:t>应急管理部印发《</w:t>
      </w:r>
      <w:r>
        <w:rPr>
          <w:rFonts w:hint="eastAsia" w:ascii="宋体" w:hAnsi="宋体"/>
          <w:szCs w:val="21"/>
        </w:rPr>
        <w:t>危险化学品企业双重预防机制数字化建设工作指南（试行）</w:t>
      </w:r>
      <w:r>
        <w:rPr>
          <w:rFonts w:hint="eastAsia" w:ascii="宋体" w:hAnsi="宋体"/>
          <w:szCs w:val="21"/>
          <w:lang w:eastAsia="zh-CN"/>
        </w:rPr>
        <w:t>》</w:t>
      </w:r>
    </w:p>
    <w:p>
      <w:pPr>
        <w:pStyle w:val="159"/>
        <w:ind w:left="1150" w:firstLine="0" w:firstLineChars="0"/>
        <w:rPr>
          <w:rFonts w:asciiTheme="minorEastAsia" w:hAnsiTheme="minorEastAsia" w:eastAsiaTheme="minorEastAsia"/>
        </w:rPr>
      </w:pPr>
    </w:p>
    <w:p>
      <w:pPr>
        <w:pStyle w:val="30"/>
      </w:pPr>
    </w:p>
    <w:p>
      <w:pPr>
        <w:pStyle w:val="30"/>
      </w:pPr>
      <w:r>
        <mc:AlternateContent>
          <mc:Choice Requires="wps">
            <w:drawing>
              <wp:anchor distT="0" distB="0" distL="114300" distR="114300" simplePos="0" relativeHeight="251665408" behindDoc="0" locked="0" layoutInCell="1" allowOverlap="1">
                <wp:simplePos x="0" y="0"/>
                <wp:positionH relativeFrom="column">
                  <wp:posOffset>1741170</wp:posOffset>
                </wp:positionH>
                <wp:positionV relativeFrom="paragraph">
                  <wp:posOffset>157480</wp:posOffset>
                </wp:positionV>
                <wp:extent cx="1803400" cy="0"/>
                <wp:effectExtent l="22225" t="27305" r="22225" b="20320"/>
                <wp:wrapNone/>
                <wp:docPr id="6" name="AutoShape 16"/>
                <wp:cNvGraphicFramePr/>
                <a:graphic xmlns:a="http://schemas.openxmlformats.org/drawingml/2006/main">
                  <a:graphicData uri="http://schemas.microsoft.com/office/word/2010/wordprocessingShape">
                    <wps:wsp>
                      <wps:cNvCnPr>
                        <a:cxnSpLocks noChangeShapeType="1"/>
                      </wps:cNvCnPr>
                      <wps:spPr bwMode="auto">
                        <a:xfrm>
                          <a:off x="0" y="0"/>
                          <a:ext cx="1803400" cy="0"/>
                        </a:xfrm>
                        <a:prstGeom prst="straightConnector1">
                          <a:avLst/>
                        </a:prstGeom>
                        <a:noFill/>
                        <a:ln w="38100">
                          <a:solidFill>
                            <a:srgbClr val="000000"/>
                          </a:solidFill>
                          <a:round/>
                        </a:ln>
                      </wps:spPr>
                      <wps:bodyPr/>
                    </wps:wsp>
                  </a:graphicData>
                </a:graphic>
              </wp:anchor>
            </w:drawing>
          </mc:Choice>
          <mc:Fallback>
            <w:pict>
              <v:shape id="AutoShape 16" o:spid="_x0000_s1026" o:spt="32" type="#_x0000_t32" style="position:absolute;left:0pt;margin-left:137.1pt;margin-top:12.4pt;height:0pt;width:142pt;z-index:251665408;mso-width-relative:page;mso-height-relative:page;" filled="f" stroked="t" coordsize="21600,21600" o:gfxdata="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Z+v071QAAAAkBAAAPAAAAAAAAAAEAIAAAACIA&#10;AABkcnMvZG93bnJldi54bWxQSwECFAAUAAAACACHTuJA7GAoytMBAAC0AwAADgAAAAAAAAABACAA&#10;AAAkAQAAZHJzL2Uyb0RvYy54bWxQSwUGAAAAAAYABgBZAQAAaQUAAAAA&#10;">
                <v:fill on="f" focussize="0,0"/>
                <v:stroke weight="3pt" color="#000000" joinstyle="round"/>
                <v:imagedata o:title=""/>
                <o:lock v:ext="edit" aspectratio="f"/>
              </v:shape>
            </w:pict>
          </mc:Fallback>
        </mc:AlternateContent>
      </w:r>
      <w:r>
        <w:rPr>
          <w:rFonts w:hint="eastAsia"/>
        </w:rPr>
        <w:t xml:space="preserve">                   </w:t>
      </w: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pPr>
    </w:p>
    <w:p>
      <w:pPr>
        <w:pStyle w:val="30"/>
        <w:ind w:left="0" w:leftChars="0" w:firstLine="0" w:firstLineChars="0"/>
      </w:pPr>
    </w:p>
    <w:p>
      <w:pPr>
        <w:pStyle w:val="30"/>
      </w:pPr>
    </w:p>
    <w:p>
      <w:pPr>
        <w:pStyle w:val="30"/>
      </w:pPr>
    </w:p>
    <w:p>
      <w:pPr>
        <w:pStyle w:val="30"/>
      </w:pPr>
    </w:p>
    <w:p>
      <w:pPr>
        <w:pStyle w:val="30"/>
      </w:pPr>
    </w:p>
    <w:p>
      <w:pPr>
        <w:pStyle w:val="30"/>
        <w:ind w:firstLine="0" w:firstLineChars="0"/>
      </w:pPr>
      <w:r>
        <mc:AlternateContent>
          <mc:Choice Requires="wps">
            <w:drawing>
              <wp:anchor distT="0" distB="0" distL="114300" distR="114300" simplePos="0" relativeHeight="251667456" behindDoc="0" locked="0" layoutInCell="1" allowOverlap="1">
                <wp:simplePos x="0" y="0"/>
                <wp:positionH relativeFrom="column">
                  <wp:posOffset>5967095</wp:posOffset>
                </wp:positionH>
                <wp:positionV relativeFrom="paragraph">
                  <wp:posOffset>-334645</wp:posOffset>
                </wp:positionV>
                <wp:extent cx="571500" cy="1476375"/>
                <wp:effectExtent l="0" t="1905" r="0" b="0"/>
                <wp:wrapNone/>
                <wp:docPr id="5" name="Text Box 18"/>
                <wp:cNvGraphicFramePr/>
                <a:graphic xmlns:a="http://schemas.openxmlformats.org/drawingml/2006/main">
                  <a:graphicData uri="http://schemas.microsoft.com/office/word/2010/wordprocessingShape">
                    <wps:wsp>
                      <wps:cNvSpPr txBox="1">
                        <a:spLocks noChangeArrowheads="1"/>
                      </wps:cNvSpPr>
                      <wps:spPr bwMode="auto">
                        <a:xfrm>
                          <a:off x="0" y="0"/>
                          <a:ext cx="571500" cy="1476375"/>
                        </a:xfrm>
                        <a:prstGeom prst="rect">
                          <a:avLst/>
                        </a:prstGeom>
                        <a:solidFill>
                          <a:srgbClr val="FFFFFF"/>
                        </a:solidFill>
                        <a:ln>
                          <a:noFill/>
                        </a:ln>
                      </wps:spPr>
                      <wps:txbx>
                        <w:txbxContent>
                          <w:p>
                            <w:pPr>
                              <w:rPr>
                                <w:rFonts w:ascii="黑体" w:hAnsi="黑体" w:eastAsia="黑体"/>
                                <w:sz w:val="28"/>
                                <w:szCs w:val="28"/>
                              </w:rPr>
                            </w:pPr>
                            <w:r>
                              <w:rPr>
                                <w:rFonts w:hint="eastAsia" w:ascii="黑体" w:hAnsi="黑体" w:eastAsia="黑体"/>
                                <w:sz w:val="28"/>
                                <w:szCs w:val="28"/>
                              </w:rPr>
                              <w:t>DB13/XXXXX-2021</w:t>
                            </w:r>
                          </w:p>
                        </w:txbxContent>
                      </wps:txbx>
                      <wps:bodyPr rot="0" vert="vert270" wrap="square" lIns="91440" tIns="45720" rIns="91440" bIns="45720" anchor="t" anchorCtr="0" upright="1">
                        <a:noAutofit/>
                      </wps:bodyPr>
                    </wps:wsp>
                  </a:graphicData>
                </a:graphic>
              </wp:anchor>
            </w:drawing>
          </mc:Choice>
          <mc:Fallback>
            <w:pict>
              <v:shape id="Text Box 18" o:spid="_x0000_s1026" o:spt="202" type="#_x0000_t202" style="position:absolute;left:0pt;margin-left:469.85pt;margin-top:-26.35pt;height:116.25pt;width:45pt;z-index:251667456;mso-width-relative:page;mso-height-relative:page;" fillcolor="#FFFFFF" filled="t" stroked="f" coordsize="21600,21600" o:gfxdata="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OLlTPfZAAAA&#10;DAEAAA8AAAAAAAAAAQAgAAAAIgAAAGRycy9kb3ducmV2LnhtbFBLAQIUABQAAAAIAIdO4kAJjvL8&#10;HAIAAEEEAAAOAAAAAAAAAAEAIAAAACgBAABkcnMvZTJvRG9jLnhtbFBLBQYAAAAABgAGAFkBAAC2&#10;BQAAAAA=&#10;">
                <v:fill on="t" focussize="0,0"/>
                <v:stroke on="f"/>
                <v:imagedata o:title=""/>
                <o:lock v:ext="edit" aspectratio="f"/>
                <v:textbox style="layout-flow:vertical;mso-layout-flow-alt:bottom-to-top;">
                  <w:txbxContent>
                    <w:p>
                      <w:pPr>
                        <w:rPr>
                          <w:rFonts w:ascii="黑体" w:hAnsi="黑体" w:eastAsia="黑体"/>
                          <w:sz w:val="28"/>
                          <w:szCs w:val="28"/>
                        </w:rPr>
                      </w:pPr>
                      <w:r>
                        <w:rPr>
                          <w:rFonts w:hint="eastAsia" w:ascii="黑体" w:hAnsi="黑体" w:eastAsia="黑体"/>
                          <w:sz w:val="28"/>
                          <w:szCs w:val="28"/>
                        </w:rPr>
                        <w:t>DB13/XXXXX-2021</w:t>
                      </w:r>
                    </w:p>
                  </w:txbxContent>
                </v:textbox>
              </v:shape>
            </w:pict>
          </mc:Fallback>
        </mc:AlternateContent>
      </w:r>
    </w:p>
    <w:p>
      <w:pPr>
        <w:pStyle w:val="30"/>
        <w:ind w:firstLine="0" w:firstLineChars="0"/>
      </w:pPr>
    </w:p>
    <w:p>
      <w:pPr>
        <w:pStyle w:val="30"/>
        <w:ind w:firstLine="0" w:firstLineChars="0"/>
      </w:pPr>
    </w:p>
    <w:p>
      <w:pPr>
        <w:pStyle w:val="30"/>
        <w:ind w:firstLine="0" w:firstLineChars="0"/>
      </w:pPr>
    </w:p>
    <w:p/>
    <w:p/>
    <w:p/>
    <w:p/>
    <w:p/>
    <w:p/>
    <w:p/>
    <w:p/>
    <w:p/>
    <w:p/>
    <w:p/>
    <w:p/>
    <w:p/>
    <w:p/>
    <w:p/>
    <w:p/>
    <w:p/>
    <w:p>
      <w:pPr>
        <w:tabs>
          <w:tab w:val="left" w:pos="3480"/>
        </w:tabs>
      </w:pPr>
      <w:r>
        <w:tab/>
      </w:r>
    </w:p>
    <w:sectPr>
      <w:headerReference r:id="rId8" w:type="default"/>
      <w:footerReference r:id="rId9" w:type="default"/>
      <w:pgSz w:w="11906" w:h="16838"/>
      <w:pgMar w:top="1134" w:right="1134" w:bottom="1134" w:left="1418" w:header="1418" w:footer="1134" w:gutter="0"/>
      <w:pgNumType w:fmt="decimal" w:start="1"/>
      <w:cols w:space="72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S Mincho">
    <w:panose1 w:val="02020609040205080304"/>
    <w:charset w:val="80"/>
    <w:family w:val="modern"/>
    <w:pitch w:val="default"/>
    <w:sig w:usb0="A00002BF" w:usb1="68C7FCFB" w:usb2="00000010" w:usb3="00000000" w:csb0="4002009F" w:csb1="DFD70000"/>
  </w:font>
  <w:font w:name="HiddenHorzOCR">
    <w:altName w:val="Yu Gothic"/>
    <w:panose1 w:val="00000000000000000000"/>
    <w:charset w:val="80"/>
    <w:family w:val="auto"/>
    <w:pitch w:val="default"/>
    <w:sig w:usb0="00000000" w:usb1="00000000" w:usb2="00000010" w:usb3="00000000" w:csb0="00020000" w:csb1="00000000"/>
  </w:font>
  <w:font w:name="Yu Gothic">
    <w:panose1 w:val="020B0400000000000000"/>
    <w:charset w:val="80"/>
    <w:family w:val="auto"/>
    <w:pitch w:val="default"/>
    <w:sig w:usb0="E00002FF" w:usb1="2AC7FDFF" w:usb2="00000016" w:usb3="00000000" w:csb0="2002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4772388"/>
    </w:sdtPr>
    <w:sdtContent>
      <w:p>
        <w:pPr>
          <w:pStyle w:val="24"/>
        </w:pPr>
        <w:r>
          <w:fldChar w:fldCharType="begin"/>
        </w:r>
        <w:r>
          <w:instrText xml:space="preserve"> PAGE   \* MERGEFORMAT </w:instrText>
        </w:r>
        <w:r>
          <w:fldChar w:fldCharType="separate"/>
        </w:r>
        <w:r>
          <w:rPr>
            <w:lang w:val="zh-CN"/>
          </w:rPr>
          <w:t>14</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2</w:t>
                    </w:r>
                    <w:r>
                      <w:fldChar w:fldCharType="end"/>
                    </w:r>
                  </w:p>
                </w:txbxContent>
              </v:textbox>
            </v:shape>
          </w:pict>
        </mc:Fallback>
      </mc:AlternateContent>
    </w:r>
    <w:r>
      <w:rPr>
        <w:sz w:val="18"/>
      </w:rPr>
      <mc:AlternateContent>
        <mc:Choice Requires="wps">
          <w:drawing>
            <wp:anchor distT="0" distB="0" distL="114300" distR="114300" simplePos="0" relativeHeight="251665408" behindDoc="0" locked="0" layoutInCell="1" allowOverlap="1">
              <wp:simplePos x="0" y="0"/>
              <wp:positionH relativeFrom="margin">
                <wp:align>left</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24"/>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mc:AlternateContent>
        <mc:Choice Requires="wps">
          <w:drawing>
            <wp:anchor distT="0" distB="0" distL="114300" distR="114300" simplePos="0" relativeHeight="251667456" behindDoc="0" locked="0" layoutInCell="1" allowOverlap="1">
              <wp:simplePos x="0" y="0"/>
              <wp:positionH relativeFrom="margin">
                <wp:align>left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3</w:t>
                    </w:r>
                    <w:r>
                      <w:fldChar w:fldCharType="end"/>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91135" cy="284480"/>
              <wp:effectExtent l="635" t="2540" r="0" b="0"/>
              <wp:wrapNone/>
              <wp:docPr id="2" name="Text Box 3"/>
              <wp:cNvGraphicFramePr/>
              <a:graphic xmlns:a="http://schemas.openxmlformats.org/drawingml/2006/main">
                <a:graphicData uri="http://schemas.microsoft.com/office/word/2010/wordprocessingShape">
                  <wps:wsp>
                    <wps:cNvSpPr txBox="1">
                      <a:spLocks noChangeArrowheads="1"/>
                    </wps:cNvSpPr>
                    <wps:spPr bwMode="auto">
                      <a:xfrm>
                        <a:off x="0" y="0"/>
                        <a:ext cx="191135" cy="284480"/>
                      </a:xfrm>
                      <a:prstGeom prst="rect">
                        <a:avLst/>
                      </a:prstGeom>
                      <a:noFill/>
                      <a:ln>
                        <a:noFill/>
                      </a:ln>
                    </wps:spPr>
                    <wps:txbx>
                      <w:txbxContent>
                        <w:sdt>
                          <w:sdtPr>
                            <w:id w:val="550737838"/>
                            <w:showingPlcHdr/>
                          </w:sdtPr>
                          <w:sdtContent>
                            <w:p>
                              <w:pPr>
                                <w:pStyle w:val="24"/>
                              </w:pPr>
                              <w:r>
                                <w:t xml:space="preserve">     </w:t>
                              </w:r>
                            </w:p>
                          </w:sdtContent>
                        </w:sdt>
                        <w:p/>
                      </w:txbxContent>
                    </wps:txbx>
                    <wps:bodyPr rot="0" vert="horz" wrap="none" lIns="0" tIns="0" rIns="0" bIns="0" anchor="t" anchorCtr="0" upright="1">
                      <a:spAutoFit/>
                    </wps:bodyPr>
                  </wps:wsp>
                </a:graphicData>
              </a:graphic>
            </wp:anchor>
          </w:drawing>
        </mc:Choice>
        <mc:Fallback>
          <w:pict>
            <v:shape id="Text Box 3" o:spid="_x0000_s1026" o:spt="202" type="#_x0000_t202" style="position:absolute;left:0pt;margin-top:0pt;height:22.4pt;width:15.05pt;mso-position-horizontal:outside;mso-position-horizontal-relative:margin;mso-wrap-style:none;z-index:251664384;mso-width-relative:page;mso-height-relative:page;" filled="f" stroked="f" coordsize="21600,21600" o:gfxdata="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LHkXnRAAAAAwEAAA8AAAAAAAAAAQAgAAAAIgAAAGRycy9kb3ducmV2LnhtbFBLAQIU&#10;ABQAAAAIAIdO4kBG3B0w+gEAAAEEAAAOAAAAAAAAAAEAIAAAACABAABkcnMvZTJvRG9jLnhtbFBL&#10;BQYAAAAABgAGAFkBAACMBQAAAAA=&#10;">
              <v:fill on="f" focussize="0,0"/>
              <v:stroke on="f"/>
              <v:imagedata o:title=""/>
              <o:lock v:ext="edit" aspectratio="f"/>
              <v:textbox inset="0mm,0mm,0mm,0mm" style="mso-fit-shape-to-text:t;">
                <w:txbxContent>
                  <w:sdt>
                    <w:sdtPr>
                      <w:id w:val="550737838"/>
                      <w:showingPlcHdr/>
                    </w:sdtPr>
                    <w:sdtContent>
                      <w:p>
                        <w:pPr>
                          <w:pStyle w:val="24"/>
                        </w:pPr>
                        <w:r>
                          <w:t xml:space="preserve">     </w:t>
                        </w:r>
                      </w:p>
                    </w:sdtContent>
                  </w:sdt>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6"/>
      <w:rPr>
        <w:rFonts w:hint="eastAsia" w:eastAsia="黑体"/>
        <w:lang w:eastAsia="zh-CN"/>
      </w:rPr>
    </w:pPr>
    <w:r>
      <w:t>DB13/ XXXXX—202</w:t>
    </w:r>
    <w:r>
      <w:rPr>
        <w:rFonts w:hint="eastAsia"/>
        <w:lang w:val="en-US" w:eastAsia="zh-CN"/>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A8D54C5"/>
    <w:multiLevelType w:val="multilevel"/>
    <w:tmpl w:val="4A8D54C5"/>
    <w:lvl w:ilvl="0" w:tentative="0">
      <w:start w:val="1"/>
      <w:numFmt w:val="decimal"/>
      <w:lvlText w:val="【%1】"/>
      <w:lvlJc w:val="left"/>
      <w:pPr>
        <w:ind w:left="1150" w:hanging="73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attachedTemplate r:id="rId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E5NmFjZTkzZTI1MjBiZDQ2NjJmMjYzYzE1ZTExMzMifQ=="/>
  </w:docVars>
  <w:rsids>
    <w:rsidRoot w:val="00911650"/>
    <w:rsid w:val="00000244"/>
    <w:rsid w:val="0000185F"/>
    <w:rsid w:val="000029D3"/>
    <w:rsid w:val="00003EF3"/>
    <w:rsid w:val="00004A77"/>
    <w:rsid w:val="0000537B"/>
    <w:rsid w:val="0000586F"/>
    <w:rsid w:val="000069C2"/>
    <w:rsid w:val="000075D2"/>
    <w:rsid w:val="00011175"/>
    <w:rsid w:val="00013D86"/>
    <w:rsid w:val="00013E02"/>
    <w:rsid w:val="00017D96"/>
    <w:rsid w:val="0002143C"/>
    <w:rsid w:val="00022969"/>
    <w:rsid w:val="000233F8"/>
    <w:rsid w:val="00025A65"/>
    <w:rsid w:val="00026C31"/>
    <w:rsid w:val="00027280"/>
    <w:rsid w:val="00031458"/>
    <w:rsid w:val="000315E9"/>
    <w:rsid w:val="000320A7"/>
    <w:rsid w:val="00032185"/>
    <w:rsid w:val="000323CF"/>
    <w:rsid w:val="0003346B"/>
    <w:rsid w:val="00035925"/>
    <w:rsid w:val="000372E0"/>
    <w:rsid w:val="00037740"/>
    <w:rsid w:val="000402D5"/>
    <w:rsid w:val="000420FB"/>
    <w:rsid w:val="000444F1"/>
    <w:rsid w:val="000479CF"/>
    <w:rsid w:val="00052E32"/>
    <w:rsid w:val="000538DE"/>
    <w:rsid w:val="00055979"/>
    <w:rsid w:val="00062A2C"/>
    <w:rsid w:val="00063F5E"/>
    <w:rsid w:val="00064A24"/>
    <w:rsid w:val="00066C50"/>
    <w:rsid w:val="00067CDF"/>
    <w:rsid w:val="0007037C"/>
    <w:rsid w:val="00074FBE"/>
    <w:rsid w:val="0007532D"/>
    <w:rsid w:val="00083A09"/>
    <w:rsid w:val="0008467E"/>
    <w:rsid w:val="0008530D"/>
    <w:rsid w:val="0009005E"/>
    <w:rsid w:val="000901B6"/>
    <w:rsid w:val="00092857"/>
    <w:rsid w:val="00093172"/>
    <w:rsid w:val="000A0E4A"/>
    <w:rsid w:val="000A20A9"/>
    <w:rsid w:val="000A3D77"/>
    <w:rsid w:val="000A48B1"/>
    <w:rsid w:val="000A4FC7"/>
    <w:rsid w:val="000A7BE7"/>
    <w:rsid w:val="000B13FB"/>
    <w:rsid w:val="000B3143"/>
    <w:rsid w:val="000B6075"/>
    <w:rsid w:val="000C0449"/>
    <w:rsid w:val="000C6B05"/>
    <w:rsid w:val="000C6DD6"/>
    <w:rsid w:val="000C73D4"/>
    <w:rsid w:val="000D3D4C"/>
    <w:rsid w:val="000D448E"/>
    <w:rsid w:val="000D4F51"/>
    <w:rsid w:val="000D576F"/>
    <w:rsid w:val="000D5CFC"/>
    <w:rsid w:val="000D6069"/>
    <w:rsid w:val="000D6F1E"/>
    <w:rsid w:val="000D718B"/>
    <w:rsid w:val="000E0C46"/>
    <w:rsid w:val="000E4E5B"/>
    <w:rsid w:val="000F030C"/>
    <w:rsid w:val="000F129C"/>
    <w:rsid w:val="000F1460"/>
    <w:rsid w:val="000F3E10"/>
    <w:rsid w:val="000F3F89"/>
    <w:rsid w:val="0010359C"/>
    <w:rsid w:val="001056DE"/>
    <w:rsid w:val="00106B02"/>
    <w:rsid w:val="001124C0"/>
    <w:rsid w:val="00114560"/>
    <w:rsid w:val="00114B22"/>
    <w:rsid w:val="00120FA4"/>
    <w:rsid w:val="001258A3"/>
    <w:rsid w:val="00126639"/>
    <w:rsid w:val="00126F95"/>
    <w:rsid w:val="00127115"/>
    <w:rsid w:val="0013175F"/>
    <w:rsid w:val="00133113"/>
    <w:rsid w:val="00134AB0"/>
    <w:rsid w:val="0013740B"/>
    <w:rsid w:val="00140901"/>
    <w:rsid w:val="00140FC1"/>
    <w:rsid w:val="0014114B"/>
    <w:rsid w:val="00142D75"/>
    <w:rsid w:val="001445BD"/>
    <w:rsid w:val="001452CD"/>
    <w:rsid w:val="001457EF"/>
    <w:rsid w:val="001462EA"/>
    <w:rsid w:val="001467B6"/>
    <w:rsid w:val="00146806"/>
    <w:rsid w:val="001468B8"/>
    <w:rsid w:val="001512B4"/>
    <w:rsid w:val="00153EF6"/>
    <w:rsid w:val="001620A5"/>
    <w:rsid w:val="001628D2"/>
    <w:rsid w:val="00162FE7"/>
    <w:rsid w:val="00164E53"/>
    <w:rsid w:val="00165D4C"/>
    <w:rsid w:val="0016699D"/>
    <w:rsid w:val="0016703A"/>
    <w:rsid w:val="001673CE"/>
    <w:rsid w:val="00173716"/>
    <w:rsid w:val="001738C7"/>
    <w:rsid w:val="00173A89"/>
    <w:rsid w:val="00174B3C"/>
    <w:rsid w:val="00175159"/>
    <w:rsid w:val="00176208"/>
    <w:rsid w:val="0017691F"/>
    <w:rsid w:val="00181FD7"/>
    <w:rsid w:val="0018211B"/>
    <w:rsid w:val="00182D0A"/>
    <w:rsid w:val="00182FB5"/>
    <w:rsid w:val="001840D3"/>
    <w:rsid w:val="00185F7E"/>
    <w:rsid w:val="001900F8"/>
    <w:rsid w:val="001904D9"/>
    <w:rsid w:val="00191258"/>
    <w:rsid w:val="001923BE"/>
    <w:rsid w:val="00192680"/>
    <w:rsid w:val="00193037"/>
    <w:rsid w:val="00193A2C"/>
    <w:rsid w:val="001942F5"/>
    <w:rsid w:val="001A0261"/>
    <w:rsid w:val="001A0825"/>
    <w:rsid w:val="001A288E"/>
    <w:rsid w:val="001A3359"/>
    <w:rsid w:val="001A3471"/>
    <w:rsid w:val="001A5D5A"/>
    <w:rsid w:val="001A6D31"/>
    <w:rsid w:val="001A778F"/>
    <w:rsid w:val="001B0799"/>
    <w:rsid w:val="001B0A16"/>
    <w:rsid w:val="001B1281"/>
    <w:rsid w:val="001B34B2"/>
    <w:rsid w:val="001B6DC2"/>
    <w:rsid w:val="001B74A5"/>
    <w:rsid w:val="001C149C"/>
    <w:rsid w:val="001C21AC"/>
    <w:rsid w:val="001C3A22"/>
    <w:rsid w:val="001C46B0"/>
    <w:rsid w:val="001C47BA"/>
    <w:rsid w:val="001C59EA"/>
    <w:rsid w:val="001C5B53"/>
    <w:rsid w:val="001D1F4E"/>
    <w:rsid w:val="001D406C"/>
    <w:rsid w:val="001D41EE"/>
    <w:rsid w:val="001D7560"/>
    <w:rsid w:val="001E0380"/>
    <w:rsid w:val="001E075B"/>
    <w:rsid w:val="001E0883"/>
    <w:rsid w:val="001E13B1"/>
    <w:rsid w:val="001E161A"/>
    <w:rsid w:val="001E4610"/>
    <w:rsid w:val="001E5CFC"/>
    <w:rsid w:val="001E6691"/>
    <w:rsid w:val="001F106A"/>
    <w:rsid w:val="001F1E02"/>
    <w:rsid w:val="001F3A19"/>
    <w:rsid w:val="001F6813"/>
    <w:rsid w:val="002000E7"/>
    <w:rsid w:val="00201408"/>
    <w:rsid w:val="002024EE"/>
    <w:rsid w:val="00202F01"/>
    <w:rsid w:val="002124DE"/>
    <w:rsid w:val="00213426"/>
    <w:rsid w:val="00216590"/>
    <w:rsid w:val="00217BDD"/>
    <w:rsid w:val="00223B51"/>
    <w:rsid w:val="00225264"/>
    <w:rsid w:val="00225C4A"/>
    <w:rsid w:val="00226517"/>
    <w:rsid w:val="00227A08"/>
    <w:rsid w:val="002325FA"/>
    <w:rsid w:val="00234467"/>
    <w:rsid w:val="00235BCC"/>
    <w:rsid w:val="00237D8D"/>
    <w:rsid w:val="00241345"/>
    <w:rsid w:val="00241979"/>
    <w:rsid w:val="00241DA2"/>
    <w:rsid w:val="00245EC4"/>
    <w:rsid w:val="00245F0B"/>
    <w:rsid w:val="00246E0F"/>
    <w:rsid w:val="00247FEE"/>
    <w:rsid w:val="00250E7D"/>
    <w:rsid w:val="002565D5"/>
    <w:rsid w:val="002622C0"/>
    <w:rsid w:val="00264A7A"/>
    <w:rsid w:val="00270629"/>
    <w:rsid w:val="00272D0D"/>
    <w:rsid w:val="00273FAB"/>
    <w:rsid w:val="00276562"/>
    <w:rsid w:val="002778AE"/>
    <w:rsid w:val="00282198"/>
    <w:rsid w:val="0028269A"/>
    <w:rsid w:val="00283590"/>
    <w:rsid w:val="00283C0A"/>
    <w:rsid w:val="00283C6A"/>
    <w:rsid w:val="002865DF"/>
    <w:rsid w:val="00286973"/>
    <w:rsid w:val="00294E70"/>
    <w:rsid w:val="0029754D"/>
    <w:rsid w:val="002A1924"/>
    <w:rsid w:val="002A7420"/>
    <w:rsid w:val="002B092E"/>
    <w:rsid w:val="002B0F12"/>
    <w:rsid w:val="002B1308"/>
    <w:rsid w:val="002B2147"/>
    <w:rsid w:val="002B2260"/>
    <w:rsid w:val="002B4554"/>
    <w:rsid w:val="002B6435"/>
    <w:rsid w:val="002B6807"/>
    <w:rsid w:val="002B6C54"/>
    <w:rsid w:val="002C72D8"/>
    <w:rsid w:val="002D11FA"/>
    <w:rsid w:val="002D29A4"/>
    <w:rsid w:val="002D7524"/>
    <w:rsid w:val="002E0DDF"/>
    <w:rsid w:val="002E1ACA"/>
    <w:rsid w:val="002E2906"/>
    <w:rsid w:val="002E4EDF"/>
    <w:rsid w:val="002E5635"/>
    <w:rsid w:val="002E56F1"/>
    <w:rsid w:val="002E64C3"/>
    <w:rsid w:val="002E6A2C"/>
    <w:rsid w:val="002F05EF"/>
    <w:rsid w:val="002F10FE"/>
    <w:rsid w:val="002F1D8C"/>
    <w:rsid w:val="002F21DA"/>
    <w:rsid w:val="002F314E"/>
    <w:rsid w:val="002F3856"/>
    <w:rsid w:val="002F599C"/>
    <w:rsid w:val="00301F39"/>
    <w:rsid w:val="00302D25"/>
    <w:rsid w:val="0030500E"/>
    <w:rsid w:val="003106CF"/>
    <w:rsid w:val="0031599B"/>
    <w:rsid w:val="0031666C"/>
    <w:rsid w:val="00316909"/>
    <w:rsid w:val="0032090C"/>
    <w:rsid w:val="00325926"/>
    <w:rsid w:val="00327A8A"/>
    <w:rsid w:val="00331766"/>
    <w:rsid w:val="003359B5"/>
    <w:rsid w:val="00336610"/>
    <w:rsid w:val="00342FF5"/>
    <w:rsid w:val="00343AFB"/>
    <w:rsid w:val="00343F73"/>
    <w:rsid w:val="00345060"/>
    <w:rsid w:val="0034764D"/>
    <w:rsid w:val="00350177"/>
    <w:rsid w:val="0035323B"/>
    <w:rsid w:val="00355B52"/>
    <w:rsid w:val="00355DC6"/>
    <w:rsid w:val="00357BB2"/>
    <w:rsid w:val="003609D2"/>
    <w:rsid w:val="00363E07"/>
    <w:rsid w:val="00363F22"/>
    <w:rsid w:val="00370DAE"/>
    <w:rsid w:val="00375564"/>
    <w:rsid w:val="00376E89"/>
    <w:rsid w:val="00380AF0"/>
    <w:rsid w:val="00381FCA"/>
    <w:rsid w:val="00383191"/>
    <w:rsid w:val="0038342E"/>
    <w:rsid w:val="003847DB"/>
    <w:rsid w:val="003849D1"/>
    <w:rsid w:val="00386DED"/>
    <w:rsid w:val="003912E7"/>
    <w:rsid w:val="00393947"/>
    <w:rsid w:val="0039412C"/>
    <w:rsid w:val="00395209"/>
    <w:rsid w:val="003A2275"/>
    <w:rsid w:val="003A2343"/>
    <w:rsid w:val="003A3875"/>
    <w:rsid w:val="003A44A9"/>
    <w:rsid w:val="003A4C01"/>
    <w:rsid w:val="003A6A4F"/>
    <w:rsid w:val="003A7088"/>
    <w:rsid w:val="003A7AEA"/>
    <w:rsid w:val="003B00DF"/>
    <w:rsid w:val="003B0E7E"/>
    <w:rsid w:val="003B1275"/>
    <w:rsid w:val="003B157E"/>
    <w:rsid w:val="003B1778"/>
    <w:rsid w:val="003B25AD"/>
    <w:rsid w:val="003B2E65"/>
    <w:rsid w:val="003B5878"/>
    <w:rsid w:val="003B68C5"/>
    <w:rsid w:val="003B6912"/>
    <w:rsid w:val="003B7C78"/>
    <w:rsid w:val="003C007A"/>
    <w:rsid w:val="003C0A4D"/>
    <w:rsid w:val="003C11CB"/>
    <w:rsid w:val="003C3E9F"/>
    <w:rsid w:val="003C4A21"/>
    <w:rsid w:val="003C4D02"/>
    <w:rsid w:val="003C75F3"/>
    <w:rsid w:val="003C78A3"/>
    <w:rsid w:val="003C7E5A"/>
    <w:rsid w:val="003D6531"/>
    <w:rsid w:val="003D7812"/>
    <w:rsid w:val="003D7CCA"/>
    <w:rsid w:val="003E1867"/>
    <w:rsid w:val="003E4AB2"/>
    <w:rsid w:val="003E5729"/>
    <w:rsid w:val="003F39D9"/>
    <w:rsid w:val="003F4DE9"/>
    <w:rsid w:val="003F4EE0"/>
    <w:rsid w:val="00401DEF"/>
    <w:rsid w:val="00402153"/>
    <w:rsid w:val="004024E3"/>
    <w:rsid w:val="00402D8F"/>
    <w:rsid w:val="00402FC1"/>
    <w:rsid w:val="0041041B"/>
    <w:rsid w:val="00411B58"/>
    <w:rsid w:val="004238E8"/>
    <w:rsid w:val="00424699"/>
    <w:rsid w:val="00425082"/>
    <w:rsid w:val="00431AAA"/>
    <w:rsid w:val="00431C98"/>
    <w:rsid w:val="00431DEB"/>
    <w:rsid w:val="00437043"/>
    <w:rsid w:val="004371D9"/>
    <w:rsid w:val="00444067"/>
    <w:rsid w:val="00444069"/>
    <w:rsid w:val="004455D7"/>
    <w:rsid w:val="0044672B"/>
    <w:rsid w:val="00446B29"/>
    <w:rsid w:val="00452C51"/>
    <w:rsid w:val="00453F9A"/>
    <w:rsid w:val="004550DB"/>
    <w:rsid w:val="00456951"/>
    <w:rsid w:val="004629DE"/>
    <w:rsid w:val="00463668"/>
    <w:rsid w:val="00465DEE"/>
    <w:rsid w:val="00466983"/>
    <w:rsid w:val="00471392"/>
    <w:rsid w:val="00471E91"/>
    <w:rsid w:val="00474675"/>
    <w:rsid w:val="0047470C"/>
    <w:rsid w:val="00476BB0"/>
    <w:rsid w:val="00481029"/>
    <w:rsid w:val="00482309"/>
    <w:rsid w:val="0048311C"/>
    <w:rsid w:val="00487627"/>
    <w:rsid w:val="00492C59"/>
    <w:rsid w:val="00494B16"/>
    <w:rsid w:val="0049601C"/>
    <w:rsid w:val="00496E95"/>
    <w:rsid w:val="004978D9"/>
    <w:rsid w:val="004A0908"/>
    <w:rsid w:val="004A0B0E"/>
    <w:rsid w:val="004A35F9"/>
    <w:rsid w:val="004A4763"/>
    <w:rsid w:val="004A4850"/>
    <w:rsid w:val="004A52C1"/>
    <w:rsid w:val="004A58E3"/>
    <w:rsid w:val="004B067C"/>
    <w:rsid w:val="004B24C1"/>
    <w:rsid w:val="004B35C2"/>
    <w:rsid w:val="004C292F"/>
    <w:rsid w:val="004C47C4"/>
    <w:rsid w:val="004C53D8"/>
    <w:rsid w:val="004C7A13"/>
    <w:rsid w:val="004D373E"/>
    <w:rsid w:val="004D46C3"/>
    <w:rsid w:val="004D58B2"/>
    <w:rsid w:val="004D5CCE"/>
    <w:rsid w:val="004D7752"/>
    <w:rsid w:val="004E0735"/>
    <w:rsid w:val="004F0E13"/>
    <w:rsid w:val="004F3366"/>
    <w:rsid w:val="004F371C"/>
    <w:rsid w:val="004F778F"/>
    <w:rsid w:val="00501767"/>
    <w:rsid w:val="00503BEA"/>
    <w:rsid w:val="00504541"/>
    <w:rsid w:val="005062C8"/>
    <w:rsid w:val="00510280"/>
    <w:rsid w:val="00513D73"/>
    <w:rsid w:val="005145FD"/>
    <w:rsid w:val="00514A43"/>
    <w:rsid w:val="0051670A"/>
    <w:rsid w:val="005174E5"/>
    <w:rsid w:val="00522393"/>
    <w:rsid w:val="00522620"/>
    <w:rsid w:val="0052396A"/>
    <w:rsid w:val="00525656"/>
    <w:rsid w:val="005269A0"/>
    <w:rsid w:val="00527C45"/>
    <w:rsid w:val="00532496"/>
    <w:rsid w:val="00534C02"/>
    <w:rsid w:val="005369E3"/>
    <w:rsid w:val="0054264B"/>
    <w:rsid w:val="00542ACF"/>
    <w:rsid w:val="00543786"/>
    <w:rsid w:val="00543D95"/>
    <w:rsid w:val="00545B2F"/>
    <w:rsid w:val="00550CF1"/>
    <w:rsid w:val="005533D7"/>
    <w:rsid w:val="0056383C"/>
    <w:rsid w:val="005640FE"/>
    <w:rsid w:val="00565396"/>
    <w:rsid w:val="005655CD"/>
    <w:rsid w:val="0056794F"/>
    <w:rsid w:val="005703DE"/>
    <w:rsid w:val="005725D9"/>
    <w:rsid w:val="00573038"/>
    <w:rsid w:val="0058464E"/>
    <w:rsid w:val="00590D57"/>
    <w:rsid w:val="00594241"/>
    <w:rsid w:val="0059795D"/>
    <w:rsid w:val="005A01CB"/>
    <w:rsid w:val="005A0F73"/>
    <w:rsid w:val="005A2714"/>
    <w:rsid w:val="005A58FF"/>
    <w:rsid w:val="005A5EAF"/>
    <w:rsid w:val="005A64C0"/>
    <w:rsid w:val="005B1396"/>
    <w:rsid w:val="005B1C66"/>
    <w:rsid w:val="005B3C11"/>
    <w:rsid w:val="005B3F64"/>
    <w:rsid w:val="005C110F"/>
    <w:rsid w:val="005C19B6"/>
    <w:rsid w:val="005C1BAF"/>
    <w:rsid w:val="005C1C28"/>
    <w:rsid w:val="005C6DB5"/>
    <w:rsid w:val="005C7F7D"/>
    <w:rsid w:val="005D095E"/>
    <w:rsid w:val="005E1274"/>
    <w:rsid w:val="005E19E7"/>
    <w:rsid w:val="005E734A"/>
    <w:rsid w:val="005F1918"/>
    <w:rsid w:val="005F308A"/>
    <w:rsid w:val="005F49A3"/>
    <w:rsid w:val="00600627"/>
    <w:rsid w:val="00602D03"/>
    <w:rsid w:val="00610FC1"/>
    <w:rsid w:val="006140EC"/>
    <w:rsid w:val="0061716C"/>
    <w:rsid w:val="006179EF"/>
    <w:rsid w:val="00620C04"/>
    <w:rsid w:val="00621B66"/>
    <w:rsid w:val="006243A1"/>
    <w:rsid w:val="0062526E"/>
    <w:rsid w:val="00625695"/>
    <w:rsid w:val="00625DD6"/>
    <w:rsid w:val="00627107"/>
    <w:rsid w:val="006315CB"/>
    <w:rsid w:val="00632E56"/>
    <w:rsid w:val="006354EA"/>
    <w:rsid w:val="00635CBA"/>
    <w:rsid w:val="006378E3"/>
    <w:rsid w:val="00640342"/>
    <w:rsid w:val="0064080E"/>
    <w:rsid w:val="006422A4"/>
    <w:rsid w:val="006425D1"/>
    <w:rsid w:val="0064338B"/>
    <w:rsid w:val="00646542"/>
    <w:rsid w:val="006504F4"/>
    <w:rsid w:val="006523C8"/>
    <w:rsid w:val="00654BC9"/>
    <w:rsid w:val="006552FD"/>
    <w:rsid w:val="006577A5"/>
    <w:rsid w:val="00662BF4"/>
    <w:rsid w:val="00663AF3"/>
    <w:rsid w:val="006657C7"/>
    <w:rsid w:val="00666B6C"/>
    <w:rsid w:val="00667D7E"/>
    <w:rsid w:val="00670D65"/>
    <w:rsid w:val="00671AC8"/>
    <w:rsid w:val="006738E6"/>
    <w:rsid w:val="00676F78"/>
    <w:rsid w:val="00677928"/>
    <w:rsid w:val="00680CA1"/>
    <w:rsid w:val="00682682"/>
    <w:rsid w:val="00682702"/>
    <w:rsid w:val="00683F13"/>
    <w:rsid w:val="00686CC3"/>
    <w:rsid w:val="00692368"/>
    <w:rsid w:val="00692A19"/>
    <w:rsid w:val="00694262"/>
    <w:rsid w:val="006978DE"/>
    <w:rsid w:val="006A2C51"/>
    <w:rsid w:val="006A2EBC"/>
    <w:rsid w:val="006A41F0"/>
    <w:rsid w:val="006A4AB7"/>
    <w:rsid w:val="006A5EA0"/>
    <w:rsid w:val="006A6248"/>
    <w:rsid w:val="006A74EC"/>
    <w:rsid w:val="006A783B"/>
    <w:rsid w:val="006A7B33"/>
    <w:rsid w:val="006B4E13"/>
    <w:rsid w:val="006B5C77"/>
    <w:rsid w:val="006B75DD"/>
    <w:rsid w:val="006C0B55"/>
    <w:rsid w:val="006C11A3"/>
    <w:rsid w:val="006C1526"/>
    <w:rsid w:val="006C3CFB"/>
    <w:rsid w:val="006C6200"/>
    <w:rsid w:val="006C67E0"/>
    <w:rsid w:val="006C6C33"/>
    <w:rsid w:val="006C7ABA"/>
    <w:rsid w:val="006D0BEC"/>
    <w:rsid w:val="006D0D60"/>
    <w:rsid w:val="006D1122"/>
    <w:rsid w:val="006D1B38"/>
    <w:rsid w:val="006D1F9C"/>
    <w:rsid w:val="006D3C00"/>
    <w:rsid w:val="006D4880"/>
    <w:rsid w:val="006D4E85"/>
    <w:rsid w:val="006E0B62"/>
    <w:rsid w:val="006E3675"/>
    <w:rsid w:val="006E47D6"/>
    <w:rsid w:val="006E4A7F"/>
    <w:rsid w:val="006E5418"/>
    <w:rsid w:val="006F3D7A"/>
    <w:rsid w:val="006F3FF6"/>
    <w:rsid w:val="007038B6"/>
    <w:rsid w:val="00704DF6"/>
    <w:rsid w:val="007057CE"/>
    <w:rsid w:val="0070651C"/>
    <w:rsid w:val="007067CC"/>
    <w:rsid w:val="007117A9"/>
    <w:rsid w:val="007132A3"/>
    <w:rsid w:val="00716421"/>
    <w:rsid w:val="0071786B"/>
    <w:rsid w:val="00717EBA"/>
    <w:rsid w:val="00724EFB"/>
    <w:rsid w:val="0072525D"/>
    <w:rsid w:val="007419C3"/>
    <w:rsid w:val="0074650D"/>
    <w:rsid w:val="007467A7"/>
    <w:rsid w:val="007469DD"/>
    <w:rsid w:val="0074741B"/>
    <w:rsid w:val="0074759E"/>
    <w:rsid w:val="007478EA"/>
    <w:rsid w:val="007501A2"/>
    <w:rsid w:val="00750378"/>
    <w:rsid w:val="0075415C"/>
    <w:rsid w:val="00756191"/>
    <w:rsid w:val="00760155"/>
    <w:rsid w:val="00763502"/>
    <w:rsid w:val="00766E64"/>
    <w:rsid w:val="0077003C"/>
    <w:rsid w:val="00770693"/>
    <w:rsid w:val="007716AC"/>
    <w:rsid w:val="007719DA"/>
    <w:rsid w:val="00773903"/>
    <w:rsid w:val="007742BC"/>
    <w:rsid w:val="0077490A"/>
    <w:rsid w:val="00777C92"/>
    <w:rsid w:val="00781652"/>
    <w:rsid w:val="00787E7E"/>
    <w:rsid w:val="007913AB"/>
    <w:rsid w:val="0079148E"/>
    <w:rsid w:val="007914F7"/>
    <w:rsid w:val="00792EFD"/>
    <w:rsid w:val="0079377F"/>
    <w:rsid w:val="007951F2"/>
    <w:rsid w:val="00796AB5"/>
    <w:rsid w:val="00797237"/>
    <w:rsid w:val="007A2CD4"/>
    <w:rsid w:val="007A3C5E"/>
    <w:rsid w:val="007B09DE"/>
    <w:rsid w:val="007B0E33"/>
    <w:rsid w:val="007B1625"/>
    <w:rsid w:val="007B2A13"/>
    <w:rsid w:val="007B706E"/>
    <w:rsid w:val="007B71EB"/>
    <w:rsid w:val="007C01DF"/>
    <w:rsid w:val="007C0319"/>
    <w:rsid w:val="007C23BD"/>
    <w:rsid w:val="007C2ACD"/>
    <w:rsid w:val="007C33B0"/>
    <w:rsid w:val="007C33B9"/>
    <w:rsid w:val="007C3476"/>
    <w:rsid w:val="007C4982"/>
    <w:rsid w:val="007C498E"/>
    <w:rsid w:val="007C57A6"/>
    <w:rsid w:val="007C6205"/>
    <w:rsid w:val="007C686A"/>
    <w:rsid w:val="007C728E"/>
    <w:rsid w:val="007D2C53"/>
    <w:rsid w:val="007D3D60"/>
    <w:rsid w:val="007D6B69"/>
    <w:rsid w:val="007E09AC"/>
    <w:rsid w:val="007E1980"/>
    <w:rsid w:val="007E4512"/>
    <w:rsid w:val="007E4B76"/>
    <w:rsid w:val="007E5EA8"/>
    <w:rsid w:val="007E7263"/>
    <w:rsid w:val="007E735F"/>
    <w:rsid w:val="007F0CF1"/>
    <w:rsid w:val="007F12A5"/>
    <w:rsid w:val="007F3D40"/>
    <w:rsid w:val="007F405C"/>
    <w:rsid w:val="007F4CF1"/>
    <w:rsid w:val="007F758D"/>
    <w:rsid w:val="007F7D52"/>
    <w:rsid w:val="00800496"/>
    <w:rsid w:val="008020C8"/>
    <w:rsid w:val="00805472"/>
    <w:rsid w:val="0080654C"/>
    <w:rsid w:val="00806D09"/>
    <w:rsid w:val="008071C6"/>
    <w:rsid w:val="00812BB3"/>
    <w:rsid w:val="00817A00"/>
    <w:rsid w:val="008238AB"/>
    <w:rsid w:val="00824055"/>
    <w:rsid w:val="0082686D"/>
    <w:rsid w:val="00835DB3"/>
    <w:rsid w:val="0083617B"/>
    <w:rsid w:val="008371BD"/>
    <w:rsid w:val="0084470E"/>
    <w:rsid w:val="008449C6"/>
    <w:rsid w:val="00845775"/>
    <w:rsid w:val="008458FF"/>
    <w:rsid w:val="008504A8"/>
    <w:rsid w:val="0085282E"/>
    <w:rsid w:val="0085509E"/>
    <w:rsid w:val="0085731D"/>
    <w:rsid w:val="0086045C"/>
    <w:rsid w:val="00861121"/>
    <w:rsid w:val="0086230E"/>
    <w:rsid w:val="0086480A"/>
    <w:rsid w:val="00865181"/>
    <w:rsid w:val="008652D0"/>
    <w:rsid w:val="0087198C"/>
    <w:rsid w:val="00871D23"/>
    <w:rsid w:val="00872C1F"/>
    <w:rsid w:val="00873B42"/>
    <w:rsid w:val="008815E1"/>
    <w:rsid w:val="008856D8"/>
    <w:rsid w:val="0088748C"/>
    <w:rsid w:val="00887A7C"/>
    <w:rsid w:val="008900D3"/>
    <w:rsid w:val="00892546"/>
    <w:rsid w:val="00892E82"/>
    <w:rsid w:val="00895591"/>
    <w:rsid w:val="008A0E51"/>
    <w:rsid w:val="008A540D"/>
    <w:rsid w:val="008A6002"/>
    <w:rsid w:val="008A6678"/>
    <w:rsid w:val="008B4E8D"/>
    <w:rsid w:val="008B70D2"/>
    <w:rsid w:val="008C1B58"/>
    <w:rsid w:val="008C1FD1"/>
    <w:rsid w:val="008C39AE"/>
    <w:rsid w:val="008C4DCC"/>
    <w:rsid w:val="008C590D"/>
    <w:rsid w:val="008D0096"/>
    <w:rsid w:val="008D18E4"/>
    <w:rsid w:val="008D3B9F"/>
    <w:rsid w:val="008D48F2"/>
    <w:rsid w:val="008D5DC5"/>
    <w:rsid w:val="008D7F5D"/>
    <w:rsid w:val="008E031B"/>
    <w:rsid w:val="008E2017"/>
    <w:rsid w:val="008E2E70"/>
    <w:rsid w:val="008E61A8"/>
    <w:rsid w:val="008E7029"/>
    <w:rsid w:val="008E7EF6"/>
    <w:rsid w:val="008F0CC3"/>
    <w:rsid w:val="008F0D8E"/>
    <w:rsid w:val="008F1F98"/>
    <w:rsid w:val="008F6633"/>
    <w:rsid w:val="008F6758"/>
    <w:rsid w:val="008F690A"/>
    <w:rsid w:val="00902C55"/>
    <w:rsid w:val="009040DD"/>
    <w:rsid w:val="009042C3"/>
    <w:rsid w:val="009057C3"/>
    <w:rsid w:val="00905B47"/>
    <w:rsid w:val="00911650"/>
    <w:rsid w:val="00911DB5"/>
    <w:rsid w:val="0091331C"/>
    <w:rsid w:val="009142B8"/>
    <w:rsid w:val="00922B0F"/>
    <w:rsid w:val="009279DE"/>
    <w:rsid w:val="00930116"/>
    <w:rsid w:val="00931A1B"/>
    <w:rsid w:val="009329E7"/>
    <w:rsid w:val="00933CC3"/>
    <w:rsid w:val="009344A1"/>
    <w:rsid w:val="00936C29"/>
    <w:rsid w:val="00937643"/>
    <w:rsid w:val="0094212C"/>
    <w:rsid w:val="00952A15"/>
    <w:rsid w:val="00954689"/>
    <w:rsid w:val="009615B4"/>
    <w:rsid w:val="009617C9"/>
    <w:rsid w:val="00961C93"/>
    <w:rsid w:val="00962E93"/>
    <w:rsid w:val="009650CF"/>
    <w:rsid w:val="00965324"/>
    <w:rsid w:val="00965C8B"/>
    <w:rsid w:val="0097091E"/>
    <w:rsid w:val="0097292C"/>
    <w:rsid w:val="009760B5"/>
    <w:rsid w:val="009760D3"/>
    <w:rsid w:val="00976421"/>
    <w:rsid w:val="00977132"/>
    <w:rsid w:val="00981A4B"/>
    <w:rsid w:val="00982501"/>
    <w:rsid w:val="00982BDA"/>
    <w:rsid w:val="009877D3"/>
    <w:rsid w:val="00994E8F"/>
    <w:rsid w:val="009951DC"/>
    <w:rsid w:val="009959BB"/>
    <w:rsid w:val="00997158"/>
    <w:rsid w:val="009A3A7C"/>
    <w:rsid w:val="009A450C"/>
    <w:rsid w:val="009A5E30"/>
    <w:rsid w:val="009B0D3C"/>
    <w:rsid w:val="009B2ADB"/>
    <w:rsid w:val="009B3903"/>
    <w:rsid w:val="009B603A"/>
    <w:rsid w:val="009C1163"/>
    <w:rsid w:val="009C2D0E"/>
    <w:rsid w:val="009C3DAC"/>
    <w:rsid w:val="009C42E0"/>
    <w:rsid w:val="009C4496"/>
    <w:rsid w:val="009D001E"/>
    <w:rsid w:val="009D2660"/>
    <w:rsid w:val="009D5362"/>
    <w:rsid w:val="009E1415"/>
    <w:rsid w:val="009E40B2"/>
    <w:rsid w:val="009E602A"/>
    <w:rsid w:val="009E6116"/>
    <w:rsid w:val="009E6837"/>
    <w:rsid w:val="009E7148"/>
    <w:rsid w:val="009E7AE2"/>
    <w:rsid w:val="009F569D"/>
    <w:rsid w:val="009F732C"/>
    <w:rsid w:val="00A0153D"/>
    <w:rsid w:val="00A02E43"/>
    <w:rsid w:val="00A065F9"/>
    <w:rsid w:val="00A07F34"/>
    <w:rsid w:val="00A14913"/>
    <w:rsid w:val="00A152E6"/>
    <w:rsid w:val="00A1611C"/>
    <w:rsid w:val="00A16E1F"/>
    <w:rsid w:val="00A22154"/>
    <w:rsid w:val="00A22343"/>
    <w:rsid w:val="00A2591B"/>
    <w:rsid w:val="00A25C38"/>
    <w:rsid w:val="00A32AE7"/>
    <w:rsid w:val="00A34EFE"/>
    <w:rsid w:val="00A36BBE"/>
    <w:rsid w:val="00A40BC1"/>
    <w:rsid w:val="00A4307A"/>
    <w:rsid w:val="00A444FC"/>
    <w:rsid w:val="00A46E5B"/>
    <w:rsid w:val="00A47A95"/>
    <w:rsid w:val="00A47C31"/>
    <w:rsid w:val="00A47EBB"/>
    <w:rsid w:val="00A51CDD"/>
    <w:rsid w:val="00A5315C"/>
    <w:rsid w:val="00A53438"/>
    <w:rsid w:val="00A5360D"/>
    <w:rsid w:val="00A5778B"/>
    <w:rsid w:val="00A60603"/>
    <w:rsid w:val="00A646D3"/>
    <w:rsid w:val="00A6698F"/>
    <w:rsid w:val="00A6730D"/>
    <w:rsid w:val="00A67977"/>
    <w:rsid w:val="00A70A9D"/>
    <w:rsid w:val="00A71357"/>
    <w:rsid w:val="00A71625"/>
    <w:rsid w:val="00A71B9B"/>
    <w:rsid w:val="00A73716"/>
    <w:rsid w:val="00A7516A"/>
    <w:rsid w:val="00A751C7"/>
    <w:rsid w:val="00A758B5"/>
    <w:rsid w:val="00A76BDA"/>
    <w:rsid w:val="00A81BF6"/>
    <w:rsid w:val="00A8451B"/>
    <w:rsid w:val="00A869E1"/>
    <w:rsid w:val="00A87844"/>
    <w:rsid w:val="00A87B65"/>
    <w:rsid w:val="00A87C8B"/>
    <w:rsid w:val="00A9322D"/>
    <w:rsid w:val="00AA038C"/>
    <w:rsid w:val="00AA1F43"/>
    <w:rsid w:val="00AA4A17"/>
    <w:rsid w:val="00AA7A09"/>
    <w:rsid w:val="00AB07C8"/>
    <w:rsid w:val="00AB1019"/>
    <w:rsid w:val="00AB24C0"/>
    <w:rsid w:val="00AB2687"/>
    <w:rsid w:val="00AB36F8"/>
    <w:rsid w:val="00AB3B50"/>
    <w:rsid w:val="00AC05B1"/>
    <w:rsid w:val="00AC1921"/>
    <w:rsid w:val="00AC636E"/>
    <w:rsid w:val="00AC6C73"/>
    <w:rsid w:val="00AC75BC"/>
    <w:rsid w:val="00AD192A"/>
    <w:rsid w:val="00AD1C06"/>
    <w:rsid w:val="00AD2CF1"/>
    <w:rsid w:val="00AD356C"/>
    <w:rsid w:val="00AD6CCC"/>
    <w:rsid w:val="00AD711F"/>
    <w:rsid w:val="00AE04EB"/>
    <w:rsid w:val="00AE2914"/>
    <w:rsid w:val="00AE3380"/>
    <w:rsid w:val="00AE6D15"/>
    <w:rsid w:val="00AF7E8B"/>
    <w:rsid w:val="00B00E24"/>
    <w:rsid w:val="00B01068"/>
    <w:rsid w:val="00B02389"/>
    <w:rsid w:val="00B03267"/>
    <w:rsid w:val="00B036FD"/>
    <w:rsid w:val="00B04182"/>
    <w:rsid w:val="00B07AE3"/>
    <w:rsid w:val="00B11430"/>
    <w:rsid w:val="00B12307"/>
    <w:rsid w:val="00B12E37"/>
    <w:rsid w:val="00B15E65"/>
    <w:rsid w:val="00B165B0"/>
    <w:rsid w:val="00B21F2E"/>
    <w:rsid w:val="00B23460"/>
    <w:rsid w:val="00B24721"/>
    <w:rsid w:val="00B2535C"/>
    <w:rsid w:val="00B25531"/>
    <w:rsid w:val="00B27114"/>
    <w:rsid w:val="00B31799"/>
    <w:rsid w:val="00B326DF"/>
    <w:rsid w:val="00B35259"/>
    <w:rsid w:val="00B353EB"/>
    <w:rsid w:val="00B42195"/>
    <w:rsid w:val="00B439C4"/>
    <w:rsid w:val="00B44E92"/>
    <w:rsid w:val="00B4535E"/>
    <w:rsid w:val="00B51B6B"/>
    <w:rsid w:val="00B52A8C"/>
    <w:rsid w:val="00B55B64"/>
    <w:rsid w:val="00B636A8"/>
    <w:rsid w:val="00B665C6"/>
    <w:rsid w:val="00B72F47"/>
    <w:rsid w:val="00B74FE9"/>
    <w:rsid w:val="00B75C33"/>
    <w:rsid w:val="00B7687B"/>
    <w:rsid w:val="00B805AF"/>
    <w:rsid w:val="00B811B8"/>
    <w:rsid w:val="00B83842"/>
    <w:rsid w:val="00B84DA4"/>
    <w:rsid w:val="00B869EC"/>
    <w:rsid w:val="00B926CD"/>
    <w:rsid w:val="00B9397A"/>
    <w:rsid w:val="00B95F5F"/>
    <w:rsid w:val="00B9612F"/>
    <w:rsid w:val="00B96152"/>
    <w:rsid w:val="00B9633D"/>
    <w:rsid w:val="00BA030A"/>
    <w:rsid w:val="00BA2EBE"/>
    <w:rsid w:val="00BB0F28"/>
    <w:rsid w:val="00BB1542"/>
    <w:rsid w:val="00BB458A"/>
    <w:rsid w:val="00BB753D"/>
    <w:rsid w:val="00BB793C"/>
    <w:rsid w:val="00BC0585"/>
    <w:rsid w:val="00BC0AC2"/>
    <w:rsid w:val="00BC124A"/>
    <w:rsid w:val="00BC14EA"/>
    <w:rsid w:val="00BC4769"/>
    <w:rsid w:val="00BC640C"/>
    <w:rsid w:val="00BC7C32"/>
    <w:rsid w:val="00BD00D3"/>
    <w:rsid w:val="00BD1659"/>
    <w:rsid w:val="00BD22E3"/>
    <w:rsid w:val="00BD24C5"/>
    <w:rsid w:val="00BD3AA9"/>
    <w:rsid w:val="00BD3FD3"/>
    <w:rsid w:val="00BD48F9"/>
    <w:rsid w:val="00BD4A18"/>
    <w:rsid w:val="00BD4F66"/>
    <w:rsid w:val="00BD511D"/>
    <w:rsid w:val="00BD6DB2"/>
    <w:rsid w:val="00BD7B2F"/>
    <w:rsid w:val="00BE0475"/>
    <w:rsid w:val="00BE049A"/>
    <w:rsid w:val="00BE11CF"/>
    <w:rsid w:val="00BE21AB"/>
    <w:rsid w:val="00BE46C6"/>
    <w:rsid w:val="00BE55CB"/>
    <w:rsid w:val="00BE5B18"/>
    <w:rsid w:val="00BE71D2"/>
    <w:rsid w:val="00BE72A3"/>
    <w:rsid w:val="00BF0053"/>
    <w:rsid w:val="00BF4CCD"/>
    <w:rsid w:val="00BF5EAE"/>
    <w:rsid w:val="00BF617A"/>
    <w:rsid w:val="00BF7ED1"/>
    <w:rsid w:val="00C0379D"/>
    <w:rsid w:val="00C03931"/>
    <w:rsid w:val="00C04936"/>
    <w:rsid w:val="00C05FE3"/>
    <w:rsid w:val="00C10701"/>
    <w:rsid w:val="00C10C9F"/>
    <w:rsid w:val="00C11128"/>
    <w:rsid w:val="00C13A43"/>
    <w:rsid w:val="00C15E5E"/>
    <w:rsid w:val="00C2090C"/>
    <w:rsid w:val="00C2136D"/>
    <w:rsid w:val="00C214EE"/>
    <w:rsid w:val="00C2246F"/>
    <w:rsid w:val="00C22F70"/>
    <w:rsid w:val="00C2314B"/>
    <w:rsid w:val="00C2450E"/>
    <w:rsid w:val="00C24971"/>
    <w:rsid w:val="00C26374"/>
    <w:rsid w:val="00C26BE5"/>
    <w:rsid w:val="00C26E4D"/>
    <w:rsid w:val="00C27909"/>
    <w:rsid w:val="00C27B03"/>
    <w:rsid w:val="00C30292"/>
    <w:rsid w:val="00C314E1"/>
    <w:rsid w:val="00C3181C"/>
    <w:rsid w:val="00C329C9"/>
    <w:rsid w:val="00C34397"/>
    <w:rsid w:val="00C34B28"/>
    <w:rsid w:val="00C372C0"/>
    <w:rsid w:val="00C4095D"/>
    <w:rsid w:val="00C418A8"/>
    <w:rsid w:val="00C44068"/>
    <w:rsid w:val="00C46037"/>
    <w:rsid w:val="00C53551"/>
    <w:rsid w:val="00C53BA6"/>
    <w:rsid w:val="00C56323"/>
    <w:rsid w:val="00C56C0C"/>
    <w:rsid w:val="00C601D2"/>
    <w:rsid w:val="00C6094A"/>
    <w:rsid w:val="00C65A42"/>
    <w:rsid w:val="00C65BCC"/>
    <w:rsid w:val="00C66970"/>
    <w:rsid w:val="00C67820"/>
    <w:rsid w:val="00C71B8E"/>
    <w:rsid w:val="00C812A3"/>
    <w:rsid w:val="00C82558"/>
    <w:rsid w:val="00C83CCB"/>
    <w:rsid w:val="00C84F8D"/>
    <w:rsid w:val="00C862A6"/>
    <w:rsid w:val="00C8691C"/>
    <w:rsid w:val="00C87117"/>
    <w:rsid w:val="00C92320"/>
    <w:rsid w:val="00C94334"/>
    <w:rsid w:val="00C94B77"/>
    <w:rsid w:val="00CA0E96"/>
    <w:rsid w:val="00CA168A"/>
    <w:rsid w:val="00CA2098"/>
    <w:rsid w:val="00CA357E"/>
    <w:rsid w:val="00CA44F9"/>
    <w:rsid w:val="00CA4A69"/>
    <w:rsid w:val="00CB4F8E"/>
    <w:rsid w:val="00CC016E"/>
    <w:rsid w:val="00CC3AE5"/>
    <w:rsid w:val="00CC3CC3"/>
    <w:rsid w:val="00CC3E0C"/>
    <w:rsid w:val="00CC58D3"/>
    <w:rsid w:val="00CC784D"/>
    <w:rsid w:val="00CD07E1"/>
    <w:rsid w:val="00CD21C8"/>
    <w:rsid w:val="00CD2EE4"/>
    <w:rsid w:val="00CD3D01"/>
    <w:rsid w:val="00CE0915"/>
    <w:rsid w:val="00CE33C4"/>
    <w:rsid w:val="00CE535B"/>
    <w:rsid w:val="00CE5408"/>
    <w:rsid w:val="00CE75EB"/>
    <w:rsid w:val="00CF0111"/>
    <w:rsid w:val="00CF3B1D"/>
    <w:rsid w:val="00CF3CF3"/>
    <w:rsid w:val="00CF6FF1"/>
    <w:rsid w:val="00CF7316"/>
    <w:rsid w:val="00D0268C"/>
    <w:rsid w:val="00D0337B"/>
    <w:rsid w:val="00D079B2"/>
    <w:rsid w:val="00D10CF5"/>
    <w:rsid w:val="00D114E9"/>
    <w:rsid w:val="00D12AEA"/>
    <w:rsid w:val="00D13B3E"/>
    <w:rsid w:val="00D17F61"/>
    <w:rsid w:val="00D22FBE"/>
    <w:rsid w:val="00D2360A"/>
    <w:rsid w:val="00D238A9"/>
    <w:rsid w:val="00D33141"/>
    <w:rsid w:val="00D33AE1"/>
    <w:rsid w:val="00D355B3"/>
    <w:rsid w:val="00D36109"/>
    <w:rsid w:val="00D40FA4"/>
    <w:rsid w:val="00D422E8"/>
    <w:rsid w:val="00D429C6"/>
    <w:rsid w:val="00D42CF9"/>
    <w:rsid w:val="00D43E5F"/>
    <w:rsid w:val="00D47748"/>
    <w:rsid w:val="00D47B86"/>
    <w:rsid w:val="00D518BC"/>
    <w:rsid w:val="00D54CC3"/>
    <w:rsid w:val="00D6041A"/>
    <w:rsid w:val="00D60CB7"/>
    <w:rsid w:val="00D633EB"/>
    <w:rsid w:val="00D63563"/>
    <w:rsid w:val="00D6567E"/>
    <w:rsid w:val="00D65AB2"/>
    <w:rsid w:val="00D7127A"/>
    <w:rsid w:val="00D735D8"/>
    <w:rsid w:val="00D759E8"/>
    <w:rsid w:val="00D7656D"/>
    <w:rsid w:val="00D76A88"/>
    <w:rsid w:val="00D76B5C"/>
    <w:rsid w:val="00D82FF7"/>
    <w:rsid w:val="00D847FE"/>
    <w:rsid w:val="00D84AE2"/>
    <w:rsid w:val="00D84EA5"/>
    <w:rsid w:val="00D90FFA"/>
    <w:rsid w:val="00D948B5"/>
    <w:rsid w:val="00D94BCD"/>
    <w:rsid w:val="00D964EA"/>
    <w:rsid w:val="00D966D0"/>
    <w:rsid w:val="00D96AE2"/>
    <w:rsid w:val="00DA0246"/>
    <w:rsid w:val="00DA04F8"/>
    <w:rsid w:val="00DA0C59"/>
    <w:rsid w:val="00DA28A1"/>
    <w:rsid w:val="00DA2AE8"/>
    <w:rsid w:val="00DA36CC"/>
    <w:rsid w:val="00DA3991"/>
    <w:rsid w:val="00DA3AD8"/>
    <w:rsid w:val="00DA708F"/>
    <w:rsid w:val="00DB02F4"/>
    <w:rsid w:val="00DB3223"/>
    <w:rsid w:val="00DB391C"/>
    <w:rsid w:val="00DB4533"/>
    <w:rsid w:val="00DB7E6C"/>
    <w:rsid w:val="00DC4CA9"/>
    <w:rsid w:val="00DC4CB3"/>
    <w:rsid w:val="00DC7AA4"/>
    <w:rsid w:val="00DD5A29"/>
    <w:rsid w:val="00DD5D9D"/>
    <w:rsid w:val="00DD668A"/>
    <w:rsid w:val="00DD7FD4"/>
    <w:rsid w:val="00DE070F"/>
    <w:rsid w:val="00DE13CA"/>
    <w:rsid w:val="00DE14E5"/>
    <w:rsid w:val="00DE35CB"/>
    <w:rsid w:val="00DE43F6"/>
    <w:rsid w:val="00DF21E9"/>
    <w:rsid w:val="00DF5F16"/>
    <w:rsid w:val="00DF6ECA"/>
    <w:rsid w:val="00E00906"/>
    <w:rsid w:val="00E00EFE"/>
    <w:rsid w:val="00E00F14"/>
    <w:rsid w:val="00E017AD"/>
    <w:rsid w:val="00E03108"/>
    <w:rsid w:val="00E03E09"/>
    <w:rsid w:val="00E05772"/>
    <w:rsid w:val="00E06386"/>
    <w:rsid w:val="00E064B2"/>
    <w:rsid w:val="00E10B92"/>
    <w:rsid w:val="00E11D43"/>
    <w:rsid w:val="00E16D28"/>
    <w:rsid w:val="00E20A3F"/>
    <w:rsid w:val="00E223C7"/>
    <w:rsid w:val="00E241E2"/>
    <w:rsid w:val="00E2428B"/>
    <w:rsid w:val="00E245FC"/>
    <w:rsid w:val="00E24EB4"/>
    <w:rsid w:val="00E2565C"/>
    <w:rsid w:val="00E26284"/>
    <w:rsid w:val="00E26B46"/>
    <w:rsid w:val="00E276CD"/>
    <w:rsid w:val="00E30407"/>
    <w:rsid w:val="00E320ED"/>
    <w:rsid w:val="00E33AFB"/>
    <w:rsid w:val="00E34218"/>
    <w:rsid w:val="00E35D4C"/>
    <w:rsid w:val="00E37438"/>
    <w:rsid w:val="00E407CA"/>
    <w:rsid w:val="00E4290A"/>
    <w:rsid w:val="00E46282"/>
    <w:rsid w:val="00E46728"/>
    <w:rsid w:val="00E47D12"/>
    <w:rsid w:val="00E5216E"/>
    <w:rsid w:val="00E529F9"/>
    <w:rsid w:val="00E57FBD"/>
    <w:rsid w:val="00E62F4C"/>
    <w:rsid w:val="00E65054"/>
    <w:rsid w:val="00E65CF1"/>
    <w:rsid w:val="00E74597"/>
    <w:rsid w:val="00E82344"/>
    <w:rsid w:val="00E8390E"/>
    <w:rsid w:val="00E84C82"/>
    <w:rsid w:val="00E84D64"/>
    <w:rsid w:val="00E87408"/>
    <w:rsid w:val="00E914C4"/>
    <w:rsid w:val="00E92AF9"/>
    <w:rsid w:val="00E934F5"/>
    <w:rsid w:val="00E96961"/>
    <w:rsid w:val="00E974DD"/>
    <w:rsid w:val="00E9771E"/>
    <w:rsid w:val="00EA4C56"/>
    <w:rsid w:val="00EA6E81"/>
    <w:rsid w:val="00EA72EC"/>
    <w:rsid w:val="00EA7768"/>
    <w:rsid w:val="00EB0114"/>
    <w:rsid w:val="00EB0D93"/>
    <w:rsid w:val="00EB100F"/>
    <w:rsid w:val="00EB11CB"/>
    <w:rsid w:val="00EB275A"/>
    <w:rsid w:val="00EB4348"/>
    <w:rsid w:val="00EB786A"/>
    <w:rsid w:val="00EC1578"/>
    <w:rsid w:val="00EC1C72"/>
    <w:rsid w:val="00EC339F"/>
    <w:rsid w:val="00EC3CC9"/>
    <w:rsid w:val="00EC5B7F"/>
    <w:rsid w:val="00EC680A"/>
    <w:rsid w:val="00EC6F1C"/>
    <w:rsid w:val="00EC759F"/>
    <w:rsid w:val="00ED1385"/>
    <w:rsid w:val="00ED2772"/>
    <w:rsid w:val="00ED482D"/>
    <w:rsid w:val="00ED6EE7"/>
    <w:rsid w:val="00ED7FBB"/>
    <w:rsid w:val="00EE2BED"/>
    <w:rsid w:val="00EE374B"/>
    <w:rsid w:val="00EE5D0A"/>
    <w:rsid w:val="00EF01A0"/>
    <w:rsid w:val="00EF01AF"/>
    <w:rsid w:val="00EF038A"/>
    <w:rsid w:val="00EF133D"/>
    <w:rsid w:val="00EF2574"/>
    <w:rsid w:val="00EF3134"/>
    <w:rsid w:val="00EF41AB"/>
    <w:rsid w:val="00EF5CC5"/>
    <w:rsid w:val="00EF7CA4"/>
    <w:rsid w:val="00F05760"/>
    <w:rsid w:val="00F1189A"/>
    <w:rsid w:val="00F11BB5"/>
    <w:rsid w:val="00F120A2"/>
    <w:rsid w:val="00F1417B"/>
    <w:rsid w:val="00F165EA"/>
    <w:rsid w:val="00F17573"/>
    <w:rsid w:val="00F20634"/>
    <w:rsid w:val="00F25784"/>
    <w:rsid w:val="00F26955"/>
    <w:rsid w:val="00F275CF"/>
    <w:rsid w:val="00F30071"/>
    <w:rsid w:val="00F321DB"/>
    <w:rsid w:val="00F34644"/>
    <w:rsid w:val="00F34B99"/>
    <w:rsid w:val="00F3606C"/>
    <w:rsid w:val="00F36FC3"/>
    <w:rsid w:val="00F40BD2"/>
    <w:rsid w:val="00F41E8E"/>
    <w:rsid w:val="00F50184"/>
    <w:rsid w:val="00F5042C"/>
    <w:rsid w:val="00F5069A"/>
    <w:rsid w:val="00F50A46"/>
    <w:rsid w:val="00F50E63"/>
    <w:rsid w:val="00F52DAB"/>
    <w:rsid w:val="00F543F0"/>
    <w:rsid w:val="00F6477C"/>
    <w:rsid w:val="00F661E8"/>
    <w:rsid w:val="00F73FBC"/>
    <w:rsid w:val="00F7440F"/>
    <w:rsid w:val="00F81D29"/>
    <w:rsid w:val="00F85AB8"/>
    <w:rsid w:val="00F86533"/>
    <w:rsid w:val="00F91C4D"/>
    <w:rsid w:val="00F924DA"/>
    <w:rsid w:val="00F92FD9"/>
    <w:rsid w:val="00F944E9"/>
    <w:rsid w:val="00F946F6"/>
    <w:rsid w:val="00FA568C"/>
    <w:rsid w:val="00FA5AC7"/>
    <w:rsid w:val="00FA6684"/>
    <w:rsid w:val="00FA731E"/>
    <w:rsid w:val="00FA7E95"/>
    <w:rsid w:val="00FB0992"/>
    <w:rsid w:val="00FB213F"/>
    <w:rsid w:val="00FB2B38"/>
    <w:rsid w:val="00FC16F6"/>
    <w:rsid w:val="00FC1AB1"/>
    <w:rsid w:val="00FC1B44"/>
    <w:rsid w:val="00FC5237"/>
    <w:rsid w:val="00FC6358"/>
    <w:rsid w:val="00FD29FE"/>
    <w:rsid w:val="00FD320D"/>
    <w:rsid w:val="00FD57D6"/>
    <w:rsid w:val="00FE0A7D"/>
    <w:rsid w:val="00FE1B52"/>
    <w:rsid w:val="00FE23DE"/>
    <w:rsid w:val="00FE25C4"/>
    <w:rsid w:val="00FE31CF"/>
    <w:rsid w:val="00FE51C9"/>
    <w:rsid w:val="00FE603D"/>
    <w:rsid w:val="00FF0138"/>
    <w:rsid w:val="00FF6139"/>
    <w:rsid w:val="00FF654D"/>
    <w:rsid w:val="00FF6B86"/>
    <w:rsid w:val="00FF7601"/>
    <w:rsid w:val="032A118E"/>
    <w:rsid w:val="0339733A"/>
    <w:rsid w:val="04575C31"/>
    <w:rsid w:val="04C717D3"/>
    <w:rsid w:val="07585B24"/>
    <w:rsid w:val="07E67DC5"/>
    <w:rsid w:val="08031214"/>
    <w:rsid w:val="09677018"/>
    <w:rsid w:val="0A4869AA"/>
    <w:rsid w:val="0ACB1C3D"/>
    <w:rsid w:val="0B397F87"/>
    <w:rsid w:val="0C6D4F74"/>
    <w:rsid w:val="0C8A033D"/>
    <w:rsid w:val="0CE8154F"/>
    <w:rsid w:val="0D856408"/>
    <w:rsid w:val="0D9E1977"/>
    <w:rsid w:val="0E35244F"/>
    <w:rsid w:val="0EDD6457"/>
    <w:rsid w:val="0F911464"/>
    <w:rsid w:val="120538FB"/>
    <w:rsid w:val="147E35A0"/>
    <w:rsid w:val="15035321"/>
    <w:rsid w:val="15502D81"/>
    <w:rsid w:val="16CB72FE"/>
    <w:rsid w:val="17C279E4"/>
    <w:rsid w:val="19341F4D"/>
    <w:rsid w:val="19A32867"/>
    <w:rsid w:val="19D529A7"/>
    <w:rsid w:val="1AA912B1"/>
    <w:rsid w:val="1BA222D2"/>
    <w:rsid w:val="1C4614F2"/>
    <w:rsid w:val="1DC351C6"/>
    <w:rsid w:val="1E944404"/>
    <w:rsid w:val="1F09345F"/>
    <w:rsid w:val="1F5338A8"/>
    <w:rsid w:val="200C5DA5"/>
    <w:rsid w:val="204F58BE"/>
    <w:rsid w:val="20C87D15"/>
    <w:rsid w:val="21736351"/>
    <w:rsid w:val="21ED1793"/>
    <w:rsid w:val="222A1AD8"/>
    <w:rsid w:val="22425595"/>
    <w:rsid w:val="226A08F0"/>
    <w:rsid w:val="22E9795C"/>
    <w:rsid w:val="25A0313D"/>
    <w:rsid w:val="269639E3"/>
    <w:rsid w:val="27501D90"/>
    <w:rsid w:val="27644FA7"/>
    <w:rsid w:val="282B6001"/>
    <w:rsid w:val="2913264C"/>
    <w:rsid w:val="30087837"/>
    <w:rsid w:val="32CA3415"/>
    <w:rsid w:val="32D244EF"/>
    <w:rsid w:val="32D615B6"/>
    <w:rsid w:val="330E0FD6"/>
    <w:rsid w:val="334B63B9"/>
    <w:rsid w:val="347F753E"/>
    <w:rsid w:val="371D5DB7"/>
    <w:rsid w:val="37A370C1"/>
    <w:rsid w:val="3B356B7A"/>
    <w:rsid w:val="3C947723"/>
    <w:rsid w:val="3CF732E4"/>
    <w:rsid w:val="3D7145DD"/>
    <w:rsid w:val="3E2E5F73"/>
    <w:rsid w:val="3E4C2C21"/>
    <w:rsid w:val="3F335181"/>
    <w:rsid w:val="3F5703D2"/>
    <w:rsid w:val="42F72693"/>
    <w:rsid w:val="42F8098A"/>
    <w:rsid w:val="43B25A4C"/>
    <w:rsid w:val="48C301A1"/>
    <w:rsid w:val="4A6F3B44"/>
    <w:rsid w:val="4BC535EC"/>
    <w:rsid w:val="4D2058BE"/>
    <w:rsid w:val="506056FC"/>
    <w:rsid w:val="509D5E6F"/>
    <w:rsid w:val="532A4F62"/>
    <w:rsid w:val="53645A96"/>
    <w:rsid w:val="539634A3"/>
    <w:rsid w:val="56E44E96"/>
    <w:rsid w:val="58935F89"/>
    <w:rsid w:val="5A5671FB"/>
    <w:rsid w:val="5A9B293B"/>
    <w:rsid w:val="5BBB7A1A"/>
    <w:rsid w:val="5BC36B85"/>
    <w:rsid w:val="5D235B2D"/>
    <w:rsid w:val="5DB831B9"/>
    <w:rsid w:val="5E271D56"/>
    <w:rsid w:val="5E6E5560"/>
    <w:rsid w:val="5EA06CA6"/>
    <w:rsid w:val="6031230F"/>
    <w:rsid w:val="609046E9"/>
    <w:rsid w:val="61817F46"/>
    <w:rsid w:val="61D97713"/>
    <w:rsid w:val="61DF4561"/>
    <w:rsid w:val="623F3E0A"/>
    <w:rsid w:val="6602774A"/>
    <w:rsid w:val="6DE84A40"/>
    <w:rsid w:val="6E62667D"/>
    <w:rsid w:val="6F5074D0"/>
    <w:rsid w:val="70990F7D"/>
    <w:rsid w:val="70CB07EF"/>
    <w:rsid w:val="719D19A7"/>
    <w:rsid w:val="729D0443"/>
    <w:rsid w:val="73C606F4"/>
    <w:rsid w:val="74466055"/>
    <w:rsid w:val="74C1457A"/>
    <w:rsid w:val="74C7015D"/>
    <w:rsid w:val="756923C9"/>
    <w:rsid w:val="76492B3E"/>
    <w:rsid w:val="7662372F"/>
    <w:rsid w:val="768014A2"/>
    <w:rsid w:val="76C7633F"/>
    <w:rsid w:val="7B743123"/>
    <w:rsid w:val="7C3B55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1"/>
    <w:qFormat/>
    <w:uiPriority w:val="0"/>
    <w:pPr>
      <w:keepNext/>
      <w:outlineLvl w:val="0"/>
    </w:pPr>
    <w:rPr>
      <w:sz w:val="28"/>
      <w:szCs w:val="20"/>
    </w:rPr>
  </w:style>
  <w:style w:type="paragraph" w:styleId="3">
    <w:name w:val="heading 2"/>
    <w:basedOn w:val="1"/>
    <w:next w:val="4"/>
    <w:link w:val="52"/>
    <w:qFormat/>
    <w:uiPriority w:val="0"/>
    <w:pPr>
      <w:keepNext/>
      <w:outlineLvl w:val="1"/>
    </w:pPr>
    <w:rPr>
      <w:sz w:val="28"/>
      <w:szCs w:val="20"/>
      <w:u w:val="single"/>
    </w:rPr>
  </w:style>
  <w:style w:type="paragraph" w:styleId="5">
    <w:name w:val="heading 3"/>
    <w:basedOn w:val="1"/>
    <w:next w:val="1"/>
    <w:link w:val="53"/>
    <w:qFormat/>
    <w:uiPriority w:val="0"/>
    <w:pPr>
      <w:keepNext/>
      <w:jc w:val="right"/>
      <w:outlineLvl w:val="2"/>
    </w:pPr>
    <w:rPr>
      <w:sz w:val="28"/>
      <w:szCs w:val="20"/>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6">
    <w:name w:val="toc 7"/>
    <w:basedOn w:val="1"/>
    <w:next w:val="1"/>
    <w:semiHidden/>
    <w:qFormat/>
    <w:uiPriority w:val="0"/>
    <w:pPr>
      <w:tabs>
        <w:tab w:val="right" w:leader="dot" w:pos="9241"/>
      </w:tabs>
      <w:ind w:firstLine="500" w:firstLineChars="500"/>
      <w:jc w:val="left"/>
    </w:pPr>
    <w:rPr>
      <w:rFonts w:ascii="宋体"/>
      <w:szCs w:val="21"/>
    </w:rPr>
  </w:style>
  <w:style w:type="paragraph" w:styleId="7">
    <w:name w:val="index 8"/>
    <w:basedOn w:val="1"/>
    <w:next w:val="1"/>
    <w:qFormat/>
    <w:uiPriority w:val="0"/>
    <w:pPr>
      <w:ind w:left="1680" w:hanging="210"/>
      <w:jc w:val="left"/>
    </w:pPr>
    <w:rPr>
      <w:rFonts w:ascii="Calibri" w:hAnsi="Calibri"/>
      <w:sz w:val="20"/>
      <w:szCs w:val="20"/>
    </w:rPr>
  </w:style>
  <w:style w:type="paragraph" w:styleId="8">
    <w:name w:val="caption"/>
    <w:basedOn w:val="1"/>
    <w:next w:val="1"/>
    <w:qFormat/>
    <w:uiPriority w:val="0"/>
    <w:pPr>
      <w:spacing w:before="152" w:after="160"/>
    </w:pPr>
    <w:rPr>
      <w:rFonts w:ascii="Arial" w:hAnsi="Arial" w:eastAsia="黑体" w:cs="Arial"/>
      <w:sz w:val="20"/>
      <w:szCs w:val="20"/>
    </w:rPr>
  </w:style>
  <w:style w:type="paragraph" w:styleId="9">
    <w:name w:val="index 5"/>
    <w:basedOn w:val="1"/>
    <w:next w:val="1"/>
    <w:qFormat/>
    <w:uiPriority w:val="0"/>
    <w:pPr>
      <w:ind w:left="1050" w:hanging="210"/>
      <w:jc w:val="left"/>
    </w:pPr>
    <w:rPr>
      <w:rFonts w:ascii="Calibri" w:hAnsi="Calibri"/>
      <w:sz w:val="20"/>
      <w:szCs w:val="20"/>
    </w:rPr>
  </w:style>
  <w:style w:type="paragraph" w:styleId="10">
    <w:name w:val="Document Map"/>
    <w:basedOn w:val="1"/>
    <w:semiHidden/>
    <w:qFormat/>
    <w:uiPriority w:val="0"/>
    <w:pPr>
      <w:shd w:val="clear" w:color="auto" w:fill="000080"/>
    </w:pPr>
  </w:style>
  <w:style w:type="paragraph" w:styleId="11">
    <w:name w:val="annotation text"/>
    <w:basedOn w:val="1"/>
    <w:link w:val="54"/>
    <w:qFormat/>
    <w:uiPriority w:val="0"/>
    <w:pPr>
      <w:jc w:val="left"/>
    </w:pPr>
  </w:style>
  <w:style w:type="paragraph" w:styleId="12">
    <w:name w:val="index 6"/>
    <w:basedOn w:val="1"/>
    <w:next w:val="1"/>
    <w:qFormat/>
    <w:uiPriority w:val="0"/>
    <w:pPr>
      <w:ind w:left="1260" w:hanging="210"/>
      <w:jc w:val="left"/>
    </w:pPr>
    <w:rPr>
      <w:rFonts w:ascii="Calibri" w:hAnsi="Calibri"/>
      <w:sz w:val="20"/>
      <w:szCs w:val="20"/>
    </w:rPr>
  </w:style>
  <w:style w:type="paragraph" w:styleId="13">
    <w:name w:val="Body Text"/>
    <w:basedOn w:val="1"/>
    <w:link w:val="55"/>
    <w:qFormat/>
    <w:uiPriority w:val="0"/>
    <w:rPr>
      <w:rFonts w:ascii="宋体"/>
      <w:sz w:val="28"/>
    </w:rPr>
  </w:style>
  <w:style w:type="paragraph" w:styleId="14">
    <w:name w:val="Body Text Indent"/>
    <w:basedOn w:val="1"/>
    <w:link w:val="56"/>
    <w:qFormat/>
    <w:uiPriority w:val="0"/>
    <w:pPr>
      <w:spacing w:after="120"/>
      <w:ind w:left="420" w:leftChars="200"/>
    </w:pPr>
  </w:style>
  <w:style w:type="paragraph" w:styleId="15">
    <w:name w:val="index 4"/>
    <w:basedOn w:val="1"/>
    <w:next w:val="1"/>
    <w:qFormat/>
    <w:uiPriority w:val="0"/>
    <w:pPr>
      <w:ind w:left="840" w:hanging="210"/>
      <w:jc w:val="left"/>
    </w:pPr>
    <w:rPr>
      <w:rFonts w:ascii="Calibri" w:hAnsi="Calibri"/>
      <w:sz w:val="20"/>
      <w:szCs w:val="20"/>
    </w:rPr>
  </w:style>
  <w:style w:type="paragraph" w:styleId="16">
    <w:name w:val="toc 5"/>
    <w:basedOn w:val="1"/>
    <w:next w:val="1"/>
    <w:semiHidden/>
    <w:qFormat/>
    <w:uiPriority w:val="0"/>
    <w:pPr>
      <w:tabs>
        <w:tab w:val="right" w:leader="dot" w:pos="9241"/>
      </w:tabs>
      <w:ind w:firstLine="300" w:firstLineChars="300"/>
      <w:jc w:val="left"/>
    </w:pPr>
    <w:rPr>
      <w:rFonts w:ascii="宋体"/>
      <w:szCs w:val="21"/>
    </w:rPr>
  </w:style>
  <w:style w:type="paragraph" w:styleId="17">
    <w:name w:val="toc 3"/>
    <w:basedOn w:val="1"/>
    <w:next w:val="1"/>
    <w:semiHidden/>
    <w:qFormat/>
    <w:uiPriority w:val="0"/>
    <w:pPr>
      <w:tabs>
        <w:tab w:val="right" w:leader="dot" w:pos="9241"/>
      </w:tabs>
      <w:ind w:firstLine="100" w:firstLineChars="100"/>
      <w:jc w:val="left"/>
    </w:pPr>
    <w:rPr>
      <w:rFonts w:ascii="宋体"/>
      <w:szCs w:val="21"/>
    </w:rPr>
  </w:style>
  <w:style w:type="paragraph" w:styleId="18">
    <w:name w:val="toc 8"/>
    <w:basedOn w:val="1"/>
    <w:next w:val="1"/>
    <w:semiHidden/>
    <w:qFormat/>
    <w:uiPriority w:val="0"/>
    <w:pPr>
      <w:tabs>
        <w:tab w:val="right" w:leader="dot" w:pos="9241"/>
      </w:tabs>
      <w:ind w:firstLine="607" w:firstLineChars="600"/>
      <w:jc w:val="left"/>
    </w:pPr>
    <w:rPr>
      <w:rFonts w:ascii="宋体"/>
      <w:szCs w:val="21"/>
    </w:rPr>
  </w:style>
  <w:style w:type="paragraph" w:styleId="19">
    <w:name w:val="index 3"/>
    <w:basedOn w:val="1"/>
    <w:next w:val="1"/>
    <w:qFormat/>
    <w:uiPriority w:val="0"/>
    <w:pPr>
      <w:ind w:left="630" w:hanging="210"/>
      <w:jc w:val="left"/>
    </w:pPr>
    <w:rPr>
      <w:rFonts w:ascii="Calibri" w:hAnsi="Calibri"/>
      <w:sz w:val="20"/>
      <w:szCs w:val="20"/>
    </w:rPr>
  </w:style>
  <w:style w:type="paragraph" w:styleId="20">
    <w:name w:val="Date"/>
    <w:basedOn w:val="1"/>
    <w:next w:val="1"/>
    <w:link w:val="57"/>
    <w:qFormat/>
    <w:uiPriority w:val="0"/>
    <w:pPr>
      <w:ind w:left="100" w:leftChars="2500"/>
    </w:pPr>
  </w:style>
  <w:style w:type="paragraph" w:styleId="21">
    <w:name w:val="Body Text Indent 2"/>
    <w:basedOn w:val="1"/>
    <w:link w:val="58"/>
    <w:qFormat/>
    <w:uiPriority w:val="0"/>
    <w:pPr>
      <w:spacing w:after="120" w:line="480" w:lineRule="auto"/>
      <w:ind w:left="420" w:leftChars="200"/>
    </w:pPr>
  </w:style>
  <w:style w:type="paragraph" w:styleId="22">
    <w:name w:val="endnote text"/>
    <w:basedOn w:val="1"/>
    <w:semiHidden/>
    <w:qFormat/>
    <w:uiPriority w:val="0"/>
    <w:pPr>
      <w:snapToGrid w:val="0"/>
      <w:jc w:val="left"/>
    </w:pPr>
  </w:style>
  <w:style w:type="paragraph" w:styleId="23">
    <w:name w:val="Balloon Text"/>
    <w:basedOn w:val="1"/>
    <w:link w:val="59"/>
    <w:qFormat/>
    <w:uiPriority w:val="0"/>
    <w:rPr>
      <w:sz w:val="18"/>
      <w:szCs w:val="18"/>
    </w:rPr>
  </w:style>
  <w:style w:type="paragraph" w:styleId="24">
    <w:name w:val="footer"/>
    <w:basedOn w:val="1"/>
    <w:link w:val="60"/>
    <w:qFormat/>
    <w:uiPriority w:val="99"/>
    <w:pPr>
      <w:snapToGrid w:val="0"/>
      <w:ind w:right="210" w:rightChars="100"/>
      <w:jc w:val="right"/>
    </w:pPr>
    <w:rPr>
      <w:sz w:val="18"/>
      <w:szCs w:val="18"/>
    </w:rPr>
  </w:style>
  <w:style w:type="paragraph" w:styleId="25">
    <w:name w:val="header"/>
    <w:basedOn w:val="1"/>
    <w:qFormat/>
    <w:uiPriority w:val="0"/>
    <w:pPr>
      <w:snapToGrid w:val="0"/>
      <w:jc w:val="left"/>
    </w:pPr>
    <w:rPr>
      <w:sz w:val="18"/>
      <w:szCs w:val="18"/>
    </w:rPr>
  </w:style>
  <w:style w:type="paragraph" w:styleId="26">
    <w:name w:val="toc 1"/>
    <w:basedOn w:val="1"/>
    <w:next w:val="1"/>
    <w:qFormat/>
    <w:uiPriority w:val="39"/>
    <w:pPr>
      <w:tabs>
        <w:tab w:val="right" w:leader="dot" w:pos="9242"/>
      </w:tabs>
      <w:spacing w:beforeLines="25" w:afterLines="25"/>
      <w:jc w:val="left"/>
    </w:pPr>
    <w:rPr>
      <w:rFonts w:ascii="宋体"/>
      <w:szCs w:val="21"/>
    </w:rPr>
  </w:style>
  <w:style w:type="paragraph" w:styleId="27">
    <w:name w:val="toc 4"/>
    <w:basedOn w:val="1"/>
    <w:next w:val="1"/>
    <w:semiHidden/>
    <w:qFormat/>
    <w:uiPriority w:val="0"/>
    <w:pPr>
      <w:tabs>
        <w:tab w:val="right" w:leader="dot" w:pos="9241"/>
      </w:tabs>
      <w:ind w:firstLine="200" w:firstLineChars="200"/>
      <w:jc w:val="left"/>
    </w:pPr>
    <w:rPr>
      <w:rFonts w:ascii="宋体"/>
      <w:szCs w:val="21"/>
    </w:rPr>
  </w:style>
  <w:style w:type="paragraph" w:styleId="28">
    <w:name w:val="index heading"/>
    <w:basedOn w:val="1"/>
    <w:next w:val="29"/>
    <w:qFormat/>
    <w:uiPriority w:val="0"/>
    <w:pPr>
      <w:spacing w:before="120" w:after="120"/>
      <w:jc w:val="center"/>
    </w:pPr>
    <w:rPr>
      <w:rFonts w:ascii="Calibri" w:hAnsi="Calibri"/>
      <w:b/>
      <w:bCs/>
      <w:iCs/>
      <w:szCs w:val="20"/>
    </w:rPr>
  </w:style>
  <w:style w:type="paragraph" w:styleId="29">
    <w:name w:val="index 1"/>
    <w:basedOn w:val="1"/>
    <w:next w:val="30"/>
    <w:qFormat/>
    <w:uiPriority w:val="0"/>
    <w:pPr>
      <w:tabs>
        <w:tab w:val="right" w:leader="dot" w:pos="9299"/>
      </w:tabs>
      <w:jc w:val="left"/>
    </w:pPr>
    <w:rPr>
      <w:rFonts w:ascii="宋体"/>
      <w:szCs w:val="21"/>
    </w:rPr>
  </w:style>
  <w:style w:type="paragraph" w:customStyle="1" w:styleId="30">
    <w:name w:val="段"/>
    <w:link w:val="61"/>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31">
    <w:name w:val="footnote text"/>
    <w:basedOn w:val="1"/>
    <w:qFormat/>
    <w:uiPriority w:val="0"/>
    <w:pPr>
      <w:tabs>
        <w:tab w:val="left" w:pos="0"/>
      </w:tabs>
      <w:snapToGrid w:val="0"/>
      <w:ind w:left="720" w:hanging="357"/>
      <w:jc w:val="left"/>
    </w:pPr>
    <w:rPr>
      <w:rFonts w:ascii="宋体"/>
      <w:sz w:val="18"/>
      <w:szCs w:val="18"/>
    </w:rPr>
  </w:style>
  <w:style w:type="paragraph" w:styleId="32">
    <w:name w:val="toc 6"/>
    <w:basedOn w:val="1"/>
    <w:next w:val="1"/>
    <w:semiHidden/>
    <w:qFormat/>
    <w:uiPriority w:val="0"/>
    <w:pPr>
      <w:tabs>
        <w:tab w:val="right" w:leader="dot" w:pos="9241"/>
      </w:tabs>
      <w:ind w:firstLine="400" w:firstLineChars="400"/>
      <w:jc w:val="left"/>
    </w:pPr>
    <w:rPr>
      <w:rFonts w:ascii="宋体"/>
      <w:szCs w:val="21"/>
    </w:rPr>
  </w:style>
  <w:style w:type="paragraph" w:styleId="33">
    <w:name w:val="index 7"/>
    <w:basedOn w:val="1"/>
    <w:next w:val="1"/>
    <w:qFormat/>
    <w:uiPriority w:val="0"/>
    <w:pPr>
      <w:ind w:left="1470" w:hanging="210"/>
      <w:jc w:val="left"/>
    </w:pPr>
    <w:rPr>
      <w:rFonts w:ascii="Calibri" w:hAnsi="Calibri"/>
      <w:sz w:val="20"/>
      <w:szCs w:val="20"/>
    </w:rPr>
  </w:style>
  <w:style w:type="paragraph" w:styleId="34">
    <w:name w:val="index 9"/>
    <w:basedOn w:val="1"/>
    <w:next w:val="1"/>
    <w:qFormat/>
    <w:uiPriority w:val="0"/>
    <w:pPr>
      <w:ind w:left="1890" w:hanging="210"/>
      <w:jc w:val="left"/>
    </w:pPr>
    <w:rPr>
      <w:rFonts w:ascii="Calibri" w:hAnsi="Calibri"/>
      <w:sz w:val="20"/>
      <w:szCs w:val="20"/>
    </w:rPr>
  </w:style>
  <w:style w:type="paragraph" w:styleId="35">
    <w:name w:val="toc 2"/>
    <w:basedOn w:val="1"/>
    <w:next w:val="1"/>
    <w:qFormat/>
    <w:uiPriority w:val="39"/>
    <w:pPr>
      <w:tabs>
        <w:tab w:val="right" w:leader="dot" w:pos="9242"/>
      </w:tabs>
    </w:pPr>
    <w:rPr>
      <w:rFonts w:ascii="宋体"/>
      <w:szCs w:val="21"/>
    </w:rPr>
  </w:style>
  <w:style w:type="paragraph" w:styleId="36">
    <w:name w:val="toc 9"/>
    <w:basedOn w:val="1"/>
    <w:next w:val="1"/>
    <w:semiHidden/>
    <w:qFormat/>
    <w:uiPriority w:val="0"/>
    <w:pPr>
      <w:ind w:left="1470"/>
      <w:jc w:val="left"/>
    </w:pPr>
    <w:rPr>
      <w:sz w:val="20"/>
      <w:szCs w:val="20"/>
    </w:rPr>
  </w:style>
  <w:style w:type="paragraph" w:styleId="3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8">
    <w:name w:val="index 2"/>
    <w:basedOn w:val="1"/>
    <w:next w:val="1"/>
    <w:qFormat/>
    <w:uiPriority w:val="0"/>
    <w:pPr>
      <w:ind w:left="420" w:hanging="210"/>
      <w:jc w:val="left"/>
    </w:pPr>
    <w:rPr>
      <w:rFonts w:ascii="Calibri" w:hAnsi="Calibri"/>
      <w:sz w:val="20"/>
      <w:szCs w:val="20"/>
    </w:rPr>
  </w:style>
  <w:style w:type="paragraph" w:styleId="39">
    <w:name w:val="Title"/>
    <w:basedOn w:val="1"/>
    <w:next w:val="1"/>
    <w:link w:val="62"/>
    <w:qFormat/>
    <w:uiPriority w:val="0"/>
    <w:pPr>
      <w:spacing w:before="240" w:after="60"/>
      <w:jc w:val="center"/>
      <w:outlineLvl w:val="0"/>
    </w:pPr>
    <w:rPr>
      <w:rFonts w:ascii="Calibri Light" w:hAnsi="Calibri Light"/>
      <w:b/>
      <w:bCs/>
      <w:sz w:val="32"/>
      <w:szCs w:val="32"/>
    </w:rPr>
  </w:style>
  <w:style w:type="paragraph" w:styleId="40">
    <w:name w:val="annotation subject"/>
    <w:basedOn w:val="11"/>
    <w:next w:val="11"/>
    <w:link w:val="63"/>
    <w:qFormat/>
    <w:uiPriority w:val="0"/>
    <w:rPr>
      <w:b/>
      <w:bCs/>
    </w:rPr>
  </w:style>
  <w:style w:type="table" w:styleId="42">
    <w:name w:val="Table Grid"/>
    <w:basedOn w:val="41"/>
    <w:qFormat/>
    <w:uiPriority w:val="5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4">
    <w:name w:val="endnote reference"/>
    <w:semiHidden/>
    <w:qFormat/>
    <w:uiPriority w:val="0"/>
    <w:rPr>
      <w:vertAlign w:val="superscript"/>
    </w:rPr>
  </w:style>
  <w:style w:type="character" w:styleId="45">
    <w:name w:val="page number"/>
    <w:qFormat/>
    <w:uiPriority w:val="0"/>
    <w:rPr>
      <w:rFonts w:ascii="Times New Roman" w:hAnsi="Times New Roman" w:eastAsia="宋体"/>
      <w:sz w:val="18"/>
    </w:rPr>
  </w:style>
  <w:style w:type="character" w:styleId="46">
    <w:name w:val="FollowedHyperlink"/>
    <w:qFormat/>
    <w:uiPriority w:val="0"/>
    <w:rPr>
      <w:color w:val="800080"/>
      <w:u w:val="single"/>
    </w:rPr>
  </w:style>
  <w:style w:type="character" w:styleId="47">
    <w:name w:val="Emphasis"/>
    <w:qFormat/>
    <w:uiPriority w:val="20"/>
    <w:rPr>
      <w:i/>
      <w:iCs/>
    </w:rPr>
  </w:style>
  <w:style w:type="character" w:styleId="48">
    <w:name w:val="Hyperlink"/>
    <w:qFormat/>
    <w:uiPriority w:val="99"/>
    <w:rPr>
      <w:color w:val="0000FF"/>
      <w:spacing w:val="0"/>
      <w:w w:val="100"/>
      <w:szCs w:val="21"/>
      <w:u w:val="single"/>
      <w:lang w:val="en-US" w:eastAsia="zh-CN"/>
    </w:rPr>
  </w:style>
  <w:style w:type="character" w:styleId="49">
    <w:name w:val="annotation reference"/>
    <w:qFormat/>
    <w:uiPriority w:val="0"/>
    <w:rPr>
      <w:sz w:val="21"/>
      <w:szCs w:val="21"/>
    </w:rPr>
  </w:style>
  <w:style w:type="character" w:styleId="50">
    <w:name w:val="footnote reference"/>
    <w:semiHidden/>
    <w:qFormat/>
    <w:uiPriority w:val="0"/>
    <w:rPr>
      <w:vertAlign w:val="superscript"/>
    </w:rPr>
  </w:style>
  <w:style w:type="character" w:customStyle="1" w:styleId="51">
    <w:name w:val="标题 1 字符"/>
    <w:link w:val="2"/>
    <w:qFormat/>
    <w:uiPriority w:val="0"/>
    <w:rPr>
      <w:kern w:val="2"/>
      <w:sz w:val="28"/>
    </w:rPr>
  </w:style>
  <w:style w:type="character" w:customStyle="1" w:styleId="52">
    <w:name w:val="标题 2 字符"/>
    <w:link w:val="3"/>
    <w:qFormat/>
    <w:uiPriority w:val="0"/>
    <w:rPr>
      <w:kern w:val="2"/>
      <w:sz w:val="28"/>
      <w:u w:val="single"/>
    </w:rPr>
  </w:style>
  <w:style w:type="character" w:customStyle="1" w:styleId="53">
    <w:name w:val="标题 3 字符"/>
    <w:link w:val="5"/>
    <w:qFormat/>
    <w:uiPriority w:val="0"/>
    <w:rPr>
      <w:kern w:val="2"/>
      <w:sz w:val="28"/>
    </w:rPr>
  </w:style>
  <w:style w:type="character" w:customStyle="1" w:styleId="54">
    <w:name w:val="批注文字 字符"/>
    <w:link w:val="11"/>
    <w:qFormat/>
    <w:uiPriority w:val="0"/>
    <w:rPr>
      <w:kern w:val="2"/>
      <w:sz w:val="21"/>
      <w:szCs w:val="24"/>
    </w:rPr>
  </w:style>
  <w:style w:type="character" w:customStyle="1" w:styleId="55">
    <w:name w:val="正文文本 字符"/>
    <w:link w:val="13"/>
    <w:qFormat/>
    <w:uiPriority w:val="0"/>
    <w:rPr>
      <w:rFonts w:ascii="宋体"/>
      <w:kern w:val="2"/>
      <w:sz w:val="28"/>
      <w:szCs w:val="24"/>
    </w:rPr>
  </w:style>
  <w:style w:type="character" w:customStyle="1" w:styleId="56">
    <w:name w:val="正文文本缩进 字符"/>
    <w:link w:val="14"/>
    <w:qFormat/>
    <w:uiPriority w:val="0"/>
    <w:rPr>
      <w:kern w:val="2"/>
      <w:sz w:val="21"/>
      <w:szCs w:val="24"/>
    </w:rPr>
  </w:style>
  <w:style w:type="character" w:customStyle="1" w:styleId="57">
    <w:name w:val="日期 字符"/>
    <w:link w:val="20"/>
    <w:qFormat/>
    <w:uiPriority w:val="0"/>
    <w:rPr>
      <w:kern w:val="2"/>
      <w:sz w:val="21"/>
      <w:szCs w:val="24"/>
    </w:rPr>
  </w:style>
  <w:style w:type="character" w:customStyle="1" w:styleId="58">
    <w:name w:val="正文文本缩进 2 字符"/>
    <w:link w:val="21"/>
    <w:qFormat/>
    <w:uiPriority w:val="0"/>
    <w:rPr>
      <w:kern w:val="2"/>
      <w:sz w:val="21"/>
      <w:szCs w:val="24"/>
    </w:rPr>
  </w:style>
  <w:style w:type="character" w:customStyle="1" w:styleId="59">
    <w:name w:val="批注框文本 字符"/>
    <w:link w:val="23"/>
    <w:qFormat/>
    <w:uiPriority w:val="0"/>
    <w:rPr>
      <w:kern w:val="2"/>
      <w:sz w:val="18"/>
      <w:szCs w:val="18"/>
    </w:rPr>
  </w:style>
  <w:style w:type="character" w:customStyle="1" w:styleId="60">
    <w:name w:val="页脚 字符"/>
    <w:link w:val="24"/>
    <w:qFormat/>
    <w:uiPriority w:val="99"/>
    <w:rPr>
      <w:kern w:val="2"/>
      <w:sz w:val="18"/>
      <w:szCs w:val="18"/>
    </w:rPr>
  </w:style>
  <w:style w:type="character" w:customStyle="1" w:styleId="61">
    <w:name w:val="段 Char"/>
    <w:link w:val="30"/>
    <w:qFormat/>
    <w:uiPriority w:val="0"/>
    <w:rPr>
      <w:rFonts w:ascii="宋体"/>
      <w:sz w:val="21"/>
      <w:lang w:val="en-US" w:eastAsia="zh-CN" w:bidi="ar-SA"/>
    </w:rPr>
  </w:style>
  <w:style w:type="character" w:customStyle="1" w:styleId="62">
    <w:name w:val="标题 字符"/>
    <w:link w:val="39"/>
    <w:qFormat/>
    <w:uiPriority w:val="0"/>
    <w:rPr>
      <w:rFonts w:ascii="Calibri Light" w:hAnsi="Calibri Light"/>
      <w:b/>
      <w:bCs/>
      <w:kern w:val="2"/>
      <w:sz w:val="32"/>
      <w:szCs w:val="32"/>
    </w:rPr>
  </w:style>
  <w:style w:type="character" w:customStyle="1" w:styleId="63">
    <w:name w:val="批注主题 字符"/>
    <w:link w:val="40"/>
    <w:qFormat/>
    <w:uiPriority w:val="0"/>
    <w:rPr>
      <w:b/>
      <w:bCs/>
      <w:kern w:val="2"/>
      <w:sz w:val="21"/>
      <w:szCs w:val="24"/>
    </w:rPr>
  </w:style>
  <w:style w:type="paragraph" w:customStyle="1" w:styleId="64">
    <w:name w:val="一级条标题"/>
    <w:next w:val="30"/>
    <w:qFormat/>
    <w:uiPriority w:val="0"/>
    <w:pPr>
      <w:spacing w:beforeLines="50" w:afterLines="50"/>
      <w:ind w:left="426"/>
      <w:outlineLvl w:val="2"/>
    </w:pPr>
    <w:rPr>
      <w:rFonts w:ascii="黑体" w:hAnsi="Times New Roman" w:eastAsia="黑体" w:cs="Times New Roman"/>
      <w:sz w:val="21"/>
      <w:szCs w:val="21"/>
      <w:lang w:val="en-US" w:eastAsia="zh-CN" w:bidi="ar-SA"/>
    </w:rPr>
  </w:style>
  <w:style w:type="paragraph" w:customStyle="1" w:styleId="65">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66">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67">
    <w:name w:val="章标题"/>
    <w:next w:val="30"/>
    <w:qFormat/>
    <w:uiPriority w:val="0"/>
    <w:pPr>
      <w:spacing w:beforeLines="100" w:afterLines="100"/>
      <w:jc w:val="both"/>
      <w:outlineLvl w:val="1"/>
    </w:pPr>
    <w:rPr>
      <w:rFonts w:ascii="黑体" w:hAnsi="Times New Roman" w:eastAsia="黑体" w:cs="Times New Roman"/>
      <w:sz w:val="21"/>
      <w:lang w:val="en-US" w:eastAsia="zh-CN" w:bidi="ar-SA"/>
    </w:rPr>
  </w:style>
  <w:style w:type="paragraph" w:customStyle="1" w:styleId="68">
    <w:name w:val="二级条标题"/>
    <w:basedOn w:val="64"/>
    <w:next w:val="30"/>
    <w:qFormat/>
    <w:uiPriority w:val="0"/>
    <w:pPr>
      <w:spacing w:before="50" w:after="50"/>
      <w:outlineLvl w:val="3"/>
    </w:pPr>
  </w:style>
  <w:style w:type="paragraph" w:customStyle="1" w:styleId="69">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70">
    <w:name w:val="列项——（一级）"/>
    <w:qFormat/>
    <w:uiPriority w:val="0"/>
    <w:pPr>
      <w:widowControl w:val="0"/>
      <w:ind w:left="833" w:hanging="408"/>
      <w:jc w:val="both"/>
    </w:pPr>
    <w:rPr>
      <w:rFonts w:ascii="宋体" w:hAnsi="Times New Roman" w:eastAsia="宋体" w:cs="Times New Roman"/>
      <w:sz w:val="21"/>
      <w:lang w:val="en-US" w:eastAsia="zh-CN" w:bidi="ar-SA"/>
    </w:rPr>
  </w:style>
  <w:style w:type="paragraph" w:customStyle="1" w:styleId="71">
    <w:name w:val="列项●（二级）"/>
    <w:qFormat/>
    <w:uiPriority w:val="0"/>
    <w:pPr>
      <w:tabs>
        <w:tab w:val="left" w:pos="760"/>
        <w:tab w:val="left" w:pos="840"/>
      </w:tabs>
      <w:ind w:left="1264" w:hanging="413"/>
      <w:jc w:val="both"/>
    </w:pPr>
    <w:rPr>
      <w:rFonts w:ascii="宋体" w:hAnsi="Times New Roman" w:eastAsia="宋体" w:cs="Times New Roman"/>
      <w:sz w:val="21"/>
      <w:lang w:val="en-US" w:eastAsia="zh-CN" w:bidi="ar-SA"/>
    </w:rPr>
  </w:style>
  <w:style w:type="paragraph" w:customStyle="1" w:styleId="72">
    <w:name w:val="目次、标准名称标题"/>
    <w:basedOn w:val="1"/>
    <w:next w:val="30"/>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73">
    <w:name w:val="三级条标题"/>
    <w:basedOn w:val="68"/>
    <w:next w:val="30"/>
    <w:qFormat/>
    <w:uiPriority w:val="0"/>
    <w:pPr>
      <w:outlineLvl w:val="4"/>
    </w:pPr>
  </w:style>
  <w:style w:type="paragraph" w:customStyle="1" w:styleId="74">
    <w:name w:val="示例"/>
    <w:next w:val="75"/>
    <w:qFormat/>
    <w:uiPriority w:val="0"/>
    <w:pPr>
      <w:widowControl w:val="0"/>
      <w:ind w:firstLine="363"/>
      <w:jc w:val="both"/>
    </w:pPr>
    <w:rPr>
      <w:rFonts w:ascii="宋体" w:hAnsi="Times New Roman" w:eastAsia="宋体" w:cs="Times New Roman"/>
      <w:sz w:val="18"/>
      <w:szCs w:val="18"/>
      <w:lang w:val="en-US" w:eastAsia="zh-CN" w:bidi="ar-SA"/>
    </w:rPr>
  </w:style>
  <w:style w:type="paragraph" w:customStyle="1" w:styleId="75">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76">
    <w:name w:val="数字编号列项（二级）"/>
    <w:qFormat/>
    <w:uiPriority w:val="0"/>
    <w:pPr>
      <w:tabs>
        <w:tab w:val="left" w:pos="1260"/>
      </w:tabs>
      <w:ind w:left="1259" w:hanging="419"/>
      <w:jc w:val="both"/>
    </w:pPr>
    <w:rPr>
      <w:rFonts w:ascii="宋体" w:hAnsi="Times New Roman" w:eastAsia="宋体" w:cs="Times New Roman"/>
      <w:sz w:val="21"/>
      <w:lang w:val="en-US" w:eastAsia="zh-CN" w:bidi="ar-SA"/>
    </w:rPr>
  </w:style>
  <w:style w:type="paragraph" w:customStyle="1" w:styleId="77">
    <w:name w:val="四级条标题"/>
    <w:basedOn w:val="73"/>
    <w:next w:val="30"/>
    <w:qFormat/>
    <w:uiPriority w:val="0"/>
    <w:pPr>
      <w:outlineLvl w:val="5"/>
    </w:pPr>
  </w:style>
  <w:style w:type="paragraph" w:customStyle="1" w:styleId="78">
    <w:name w:val="五级条标题"/>
    <w:basedOn w:val="77"/>
    <w:next w:val="30"/>
    <w:qFormat/>
    <w:uiPriority w:val="0"/>
    <w:pPr>
      <w:outlineLvl w:val="6"/>
    </w:pPr>
  </w:style>
  <w:style w:type="paragraph" w:customStyle="1" w:styleId="79">
    <w:name w:val="注："/>
    <w:next w:val="30"/>
    <w:qFormat/>
    <w:uiPriority w:val="0"/>
    <w:pPr>
      <w:widowControl w:val="0"/>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80">
    <w:name w:val="注×："/>
    <w:qFormat/>
    <w:uiPriority w:val="0"/>
    <w:pPr>
      <w:widowControl w:val="0"/>
      <w:autoSpaceDE w:val="0"/>
      <w:autoSpaceDN w:val="0"/>
      <w:ind w:left="811" w:hanging="448"/>
      <w:jc w:val="both"/>
    </w:pPr>
    <w:rPr>
      <w:rFonts w:ascii="宋体" w:hAnsi="Times New Roman" w:eastAsia="宋体" w:cs="Times New Roman"/>
      <w:sz w:val="18"/>
      <w:szCs w:val="18"/>
      <w:lang w:val="en-US" w:eastAsia="zh-CN" w:bidi="ar-SA"/>
    </w:rPr>
  </w:style>
  <w:style w:type="paragraph" w:customStyle="1" w:styleId="81">
    <w:name w:val="字母编号列项（一级）"/>
    <w:qFormat/>
    <w:uiPriority w:val="0"/>
    <w:pPr>
      <w:tabs>
        <w:tab w:val="left" w:pos="840"/>
      </w:tabs>
      <w:ind w:left="839" w:hanging="419"/>
      <w:jc w:val="both"/>
    </w:pPr>
    <w:rPr>
      <w:rFonts w:ascii="宋体" w:hAnsi="Times New Roman" w:eastAsia="宋体" w:cs="Times New Roman"/>
      <w:sz w:val="21"/>
      <w:lang w:val="en-US" w:eastAsia="zh-CN" w:bidi="ar-SA"/>
    </w:rPr>
  </w:style>
  <w:style w:type="paragraph" w:customStyle="1" w:styleId="82">
    <w:name w:val="列项◆（三级）"/>
    <w:basedOn w:val="1"/>
    <w:qFormat/>
    <w:uiPriority w:val="0"/>
    <w:pPr>
      <w:tabs>
        <w:tab w:val="left" w:pos="1678"/>
      </w:tabs>
      <w:ind w:left="1678" w:hanging="414"/>
    </w:pPr>
    <w:rPr>
      <w:rFonts w:ascii="宋体"/>
      <w:szCs w:val="21"/>
    </w:rPr>
  </w:style>
  <w:style w:type="paragraph" w:customStyle="1" w:styleId="83">
    <w:name w:val="编号列项（三级）"/>
    <w:qFormat/>
    <w:uiPriority w:val="0"/>
    <w:pPr>
      <w:tabs>
        <w:tab w:val="left" w:pos="0"/>
      </w:tabs>
      <w:ind w:left="1679" w:hanging="420"/>
    </w:pPr>
    <w:rPr>
      <w:rFonts w:ascii="宋体" w:hAnsi="Times New Roman" w:eastAsia="宋体" w:cs="Times New Roman"/>
      <w:sz w:val="21"/>
      <w:lang w:val="en-US" w:eastAsia="zh-CN" w:bidi="ar-SA"/>
    </w:rPr>
  </w:style>
  <w:style w:type="paragraph" w:customStyle="1" w:styleId="84">
    <w:name w:val="示例×："/>
    <w:basedOn w:val="67"/>
    <w:qFormat/>
    <w:uiPriority w:val="0"/>
    <w:pPr>
      <w:spacing w:beforeLines="0" w:afterLines="0"/>
      <w:ind w:firstLine="363"/>
      <w:outlineLvl w:val="9"/>
    </w:pPr>
    <w:rPr>
      <w:rFonts w:ascii="宋体" w:eastAsia="宋体"/>
      <w:sz w:val="18"/>
      <w:szCs w:val="18"/>
    </w:rPr>
  </w:style>
  <w:style w:type="paragraph" w:customStyle="1" w:styleId="85">
    <w:name w:val="二级无"/>
    <w:basedOn w:val="68"/>
    <w:qFormat/>
    <w:uiPriority w:val="0"/>
    <w:pPr>
      <w:spacing w:beforeLines="0" w:afterLines="0"/>
    </w:pPr>
    <w:rPr>
      <w:rFonts w:ascii="宋体" w:eastAsia="宋体"/>
    </w:rPr>
  </w:style>
  <w:style w:type="paragraph" w:customStyle="1" w:styleId="86">
    <w:name w:val="注：（正文）"/>
    <w:basedOn w:val="79"/>
    <w:next w:val="30"/>
    <w:qFormat/>
    <w:uiPriority w:val="0"/>
  </w:style>
  <w:style w:type="paragraph" w:customStyle="1" w:styleId="87">
    <w:name w:val="注×：（正文）"/>
    <w:qFormat/>
    <w:uiPriority w:val="0"/>
    <w:pPr>
      <w:ind w:left="811" w:hanging="448"/>
      <w:jc w:val="both"/>
    </w:pPr>
    <w:rPr>
      <w:rFonts w:ascii="宋体" w:hAnsi="Times New Roman" w:eastAsia="宋体" w:cs="Times New Roman"/>
      <w:sz w:val="18"/>
      <w:szCs w:val="18"/>
      <w:lang w:val="en-US" w:eastAsia="zh-CN" w:bidi="ar-SA"/>
    </w:rPr>
  </w:style>
  <w:style w:type="paragraph" w:customStyle="1" w:styleId="88">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89">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90">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91">
    <w:name w:val="标准书眉_偶数页"/>
    <w:basedOn w:val="66"/>
    <w:next w:val="1"/>
    <w:qFormat/>
    <w:uiPriority w:val="0"/>
    <w:pPr>
      <w:jc w:val="left"/>
    </w:pPr>
  </w:style>
  <w:style w:type="paragraph" w:customStyle="1" w:styleId="92">
    <w:name w:val="标准书眉一"/>
    <w:qFormat/>
    <w:uiPriority w:val="0"/>
    <w:pPr>
      <w:jc w:val="both"/>
    </w:pPr>
    <w:rPr>
      <w:rFonts w:ascii="Times New Roman" w:hAnsi="Times New Roman" w:eastAsia="宋体" w:cs="Times New Roman"/>
      <w:lang w:val="en-US" w:eastAsia="zh-CN" w:bidi="ar-SA"/>
    </w:rPr>
  </w:style>
  <w:style w:type="paragraph" w:customStyle="1" w:styleId="93">
    <w:name w:val="参考文献"/>
    <w:basedOn w:val="1"/>
    <w:next w:val="30"/>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94">
    <w:name w:val="参考文献、索引标题"/>
    <w:basedOn w:val="1"/>
    <w:next w:val="30"/>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95">
    <w:name w:val="发布"/>
    <w:qFormat/>
    <w:uiPriority w:val="0"/>
    <w:rPr>
      <w:rFonts w:ascii="黑体" w:eastAsia="黑体"/>
      <w:spacing w:val="85"/>
      <w:w w:val="100"/>
      <w:position w:val="3"/>
      <w:sz w:val="28"/>
      <w:szCs w:val="28"/>
    </w:rPr>
  </w:style>
  <w:style w:type="paragraph" w:customStyle="1" w:styleId="96">
    <w:name w:val="发布部门"/>
    <w:next w:val="30"/>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97">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98">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99">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00">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01">
    <w:name w:val="封面标准英文名称"/>
    <w:basedOn w:val="100"/>
    <w:qFormat/>
    <w:uiPriority w:val="0"/>
    <w:pPr>
      <w:framePr w:wrap="around"/>
      <w:spacing w:before="370" w:line="400" w:lineRule="exact"/>
    </w:pPr>
    <w:rPr>
      <w:rFonts w:ascii="Times New Roman"/>
      <w:sz w:val="28"/>
      <w:szCs w:val="28"/>
    </w:rPr>
  </w:style>
  <w:style w:type="paragraph" w:customStyle="1" w:styleId="102">
    <w:name w:val="封面一致性程度标识"/>
    <w:basedOn w:val="101"/>
    <w:qFormat/>
    <w:uiPriority w:val="0"/>
    <w:pPr>
      <w:framePr w:wrap="around"/>
      <w:spacing w:before="440"/>
    </w:pPr>
    <w:rPr>
      <w:rFonts w:ascii="宋体" w:eastAsia="宋体"/>
    </w:rPr>
  </w:style>
  <w:style w:type="paragraph" w:customStyle="1" w:styleId="103">
    <w:name w:val="封面标准文稿类别"/>
    <w:basedOn w:val="102"/>
    <w:qFormat/>
    <w:uiPriority w:val="0"/>
    <w:pPr>
      <w:framePr w:wrap="around"/>
      <w:spacing w:after="160" w:line="240" w:lineRule="auto"/>
    </w:pPr>
    <w:rPr>
      <w:sz w:val="24"/>
    </w:rPr>
  </w:style>
  <w:style w:type="paragraph" w:customStyle="1" w:styleId="104">
    <w:name w:val="封面标准文稿编辑信息"/>
    <w:basedOn w:val="103"/>
    <w:qFormat/>
    <w:uiPriority w:val="0"/>
    <w:pPr>
      <w:framePr w:wrap="around"/>
      <w:spacing w:before="180" w:line="180" w:lineRule="exact"/>
    </w:pPr>
    <w:rPr>
      <w:sz w:val="21"/>
    </w:rPr>
  </w:style>
  <w:style w:type="paragraph" w:customStyle="1" w:styleId="105">
    <w:name w:val="封面正文"/>
    <w:qFormat/>
    <w:uiPriority w:val="0"/>
    <w:pPr>
      <w:jc w:val="both"/>
    </w:pPr>
    <w:rPr>
      <w:rFonts w:ascii="Times New Roman" w:hAnsi="Times New Roman" w:eastAsia="宋体" w:cs="Times New Roman"/>
      <w:lang w:val="en-US" w:eastAsia="zh-CN" w:bidi="ar-SA"/>
    </w:rPr>
  </w:style>
  <w:style w:type="paragraph" w:customStyle="1" w:styleId="106">
    <w:name w:val="附录标识"/>
    <w:basedOn w:val="1"/>
    <w:next w:val="30"/>
    <w:qFormat/>
    <w:uiPriority w:val="0"/>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07">
    <w:name w:val="附录标题"/>
    <w:basedOn w:val="30"/>
    <w:next w:val="30"/>
    <w:qFormat/>
    <w:uiPriority w:val="0"/>
    <w:pPr>
      <w:ind w:firstLine="0" w:firstLineChars="0"/>
      <w:jc w:val="center"/>
    </w:pPr>
    <w:rPr>
      <w:rFonts w:ascii="黑体" w:eastAsia="黑体"/>
    </w:rPr>
  </w:style>
  <w:style w:type="paragraph" w:customStyle="1" w:styleId="108">
    <w:name w:val="附录表标号"/>
    <w:basedOn w:val="1"/>
    <w:next w:val="30"/>
    <w:qFormat/>
    <w:uiPriority w:val="0"/>
    <w:pPr>
      <w:spacing w:line="14" w:lineRule="exact"/>
      <w:ind w:left="811" w:hanging="448"/>
      <w:jc w:val="center"/>
      <w:outlineLvl w:val="0"/>
    </w:pPr>
    <w:rPr>
      <w:color w:val="FFFFFF"/>
    </w:rPr>
  </w:style>
  <w:style w:type="paragraph" w:customStyle="1" w:styleId="109">
    <w:name w:val="附录表标题"/>
    <w:basedOn w:val="1"/>
    <w:next w:val="30"/>
    <w:qFormat/>
    <w:uiPriority w:val="0"/>
    <w:pPr>
      <w:tabs>
        <w:tab w:val="left" w:pos="180"/>
      </w:tabs>
      <w:spacing w:beforeLines="50" w:afterLines="50"/>
      <w:jc w:val="center"/>
    </w:pPr>
    <w:rPr>
      <w:rFonts w:ascii="黑体" w:eastAsia="黑体"/>
      <w:szCs w:val="21"/>
    </w:rPr>
  </w:style>
  <w:style w:type="paragraph" w:customStyle="1" w:styleId="110">
    <w:name w:val="附录二级条标题"/>
    <w:basedOn w:val="1"/>
    <w:next w:val="30"/>
    <w:qFormat/>
    <w:uiPriority w:val="0"/>
    <w:pPr>
      <w:widowControl/>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111">
    <w:name w:val="附录二级无"/>
    <w:basedOn w:val="110"/>
    <w:qFormat/>
    <w:uiPriority w:val="0"/>
    <w:pPr>
      <w:tabs>
        <w:tab w:val="clear" w:pos="360"/>
      </w:tabs>
      <w:spacing w:beforeLines="0" w:afterLines="0"/>
    </w:pPr>
    <w:rPr>
      <w:rFonts w:ascii="宋体" w:eastAsia="宋体"/>
      <w:szCs w:val="21"/>
    </w:rPr>
  </w:style>
  <w:style w:type="paragraph" w:customStyle="1" w:styleId="112">
    <w:name w:val="附录公式"/>
    <w:basedOn w:val="30"/>
    <w:next w:val="30"/>
    <w:link w:val="113"/>
    <w:qFormat/>
    <w:uiPriority w:val="0"/>
    <w:rPr>
      <w:rFonts w:ascii="Times New Roman"/>
      <w:sz w:val="20"/>
    </w:rPr>
  </w:style>
  <w:style w:type="character" w:customStyle="1" w:styleId="113">
    <w:name w:val="附录公式 Char"/>
    <w:link w:val="112"/>
    <w:qFormat/>
    <w:uiPriority w:val="0"/>
    <w:rPr>
      <w:lang w:val="en-US" w:eastAsia="zh-CN" w:bidi="ar-SA"/>
    </w:rPr>
  </w:style>
  <w:style w:type="paragraph" w:customStyle="1" w:styleId="114">
    <w:name w:val="附录公式编号制表符"/>
    <w:basedOn w:val="1"/>
    <w:next w:val="30"/>
    <w:qFormat/>
    <w:uiPriority w:val="0"/>
    <w:pPr>
      <w:widowControl/>
      <w:tabs>
        <w:tab w:val="center" w:pos="4201"/>
        <w:tab w:val="right" w:leader="dot" w:pos="9298"/>
      </w:tabs>
      <w:autoSpaceDE w:val="0"/>
      <w:autoSpaceDN w:val="0"/>
    </w:pPr>
    <w:rPr>
      <w:rFonts w:ascii="宋体"/>
      <w:kern w:val="0"/>
      <w:szCs w:val="20"/>
    </w:rPr>
  </w:style>
  <w:style w:type="paragraph" w:customStyle="1" w:styleId="115">
    <w:name w:val="附录三级条标题"/>
    <w:basedOn w:val="110"/>
    <w:next w:val="30"/>
    <w:qFormat/>
    <w:uiPriority w:val="0"/>
    <w:pPr>
      <w:outlineLvl w:val="4"/>
    </w:pPr>
  </w:style>
  <w:style w:type="paragraph" w:customStyle="1" w:styleId="116">
    <w:name w:val="附录三级无"/>
    <w:basedOn w:val="115"/>
    <w:qFormat/>
    <w:uiPriority w:val="0"/>
    <w:pPr>
      <w:tabs>
        <w:tab w:val="clear" w:pos="360"/>
      </w:tabs>
      <w:spacing w:beforeLines="0" w:afterLines="0"/>
    </w:pPr>
    <w:rPr>
      <w:rFonts w:ascii="宋体" w:eastAsia="宋体"/>
      <w:szCs w:val="21"/>
    </w:rPr>
  </w:style>
  <w:style w:type="paragraph" w:customStyle="1" w:styleId="117">
    <w:name w:val="附录数字编号列项（二级）"/>
    <w:qFormat/>
    <w:uiPriority w:val="0"/>
    <w:pPr>
      <w:tabs>
        <w:tab w:val="left" w:pos="840"/>
      </w:tabs>
      <w:ind w:left="839" w:hanging="419"/>
    </w:pPr>
    <w:rPr>
      <w:rFonts w:ascii="宋体" w:hAnsi="Times New Roman" w:eastAsia="宋体" w:cs="Times New Roman"/>
      <w:sz w:val="21"/>
      <w:lang w:val="en-US" w:eastAsia="zh-CN" w:bidi="ar-SA"/>
    </w:rPr>
  </w:style>
  <w:style w:type="paragraph" w:customStyle="1" w:styleId="118">
    <w:name w:val="附录四级条标题"/>
    <w:basedOn w:val="115"/>
    <w:next w:val="30"/>
    <w:qFormat/>
    <w:uiPriority w:val="0"/>
    <w:pPr>
      <w:outlineLvl w:val="5"/>
    </w:pPr>
  </w:style>
  <w:style w:type="paragraph" w:customStyle="1" w:styleId="119">
    <w:name w:val="附录四级无"/>
    <w:basedOn w:val="118"/>
    <w:qFormat/>
    <w:uiPriority w:val="0"/>
    <w:pPr>
      <w:tabs>
        <w:tab w:val="clear" w:pos="360"/>
      </w:tabs>
      <w:spacing w:beforeLines="0" w:afterLines="0"/>
    </w:pPr>
    <w:rPr>
      <w:rFonts w:ascii="宋体" w:eastAsia="宋体"/>
      <w:szCs w:val="21"/>
    </w:rPr>
  </w:style>
  <w:style w:type="paragraph" w:customStyle="1" w:styleId="120">
    <w:name w:val="附录图标号"/>
    <w:basedOn w:val="1"/>
    <w:qFormat/>
    <w:uiPriority w:val="0"/>
    <w:pPr>
      <w:keepNext/>
      <w:pageBreakBefore/>
      <w:widowControl/>
      <w:spacing w:line="14" w:lineRule="exact"/>
      <w:ind w:firstLine="363"/>
      <w:jc w:val="center"/>
      <w:outlineLvl w:val="0"/>
    </w:pPr>
    <w:rPr>
      <w:color w:val="FFFFFF"/>
    </w:rPr>
  </w:style>
  <w:style w:type="paragraph" w:customStyle="1" w:styleId="121">
    <w:name w:val="附录图标题"/>
    <w:basedOn w:val="1"/>
    <w:next w:val="30"/>
    <w:qFormat/>
    <w:uiPriority w:val="0"/>
    <w:pPr>
      <w:tabs>
        <w:tab w:val="left" w:pos="363"/>
      </w:tabs>
      <w:spacing w:beforeLines="50" w:afterLines="50"/>
      <w:jc w:val="center"/>
    </w:pPr>
    <w:rPr>
      <w:rFonts w:ascii="黑体" w:eastAsia="黑体"/>
      <w:szCs w:val="21"/>
    </w:rPr>
  </w:style>
  <w:style w:type="paragraph" w:customStyle="1" w:styleId="122">
    <w:name w:val="附录五级条标题"/>
    <w:basedOn w:val="118"/>
    <w:next w:val="30"/>
    <w:qFormat/>
    <w:uiPriority w:val="0"/>
    <w:pPr>
      <w:outlineLvl w:val="6"/>
    </w:pPr>
  </w:style>
  <w:style w:type="paragraph" w:customStyle="1" w:styleId="123">
    <w:name w:val="附录五级无"/>
    <w:basedOn w:val="122"/>
    <w:qFormat/>
    <w:uiPriority w:val="0"/>
    <w:pPr>
      <w:tabs>
        <w:tab w:val="clear" w:pos="360"/>
      </w:tabs>
      <w:spacing w:beforeLines="0" w:afterLines="0"/>
    </w:pPr>
    <w:rPr>
      <w:rFonts w:ascii="宋体" w:eastAsia="宋体"/>
      <w:szCs w:val="21"/>
    </w:rPr>
  </w:style>
  <w:style w:type="paragraph" w:customStyle="1" w:styleId="124">
    <w:name w:val="附录章标题"/>
    <w:next w:val="30"/>
    <w:qFormat/>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25">
    <w:name w:val="附录一级条标题"/>
    <w:basedOn w:val="124"/>
    <w:next w:val="30"/>
    <w:qFormat/>
    <w:uiPriority w:val="0"/>
    <w:pPr>
      <w:autoSpaceDN w:val="0"/>
      <w:spacing w:beforeLines="50" w:afterLines="50"/>
      <w:outlineLvl w:val="2"/>
    </w:pPr>
  </w:style>
  <w:style w:type="paragraph" w:customStyle="1" w:styleId="126">
    <w:name w:val="附录一级无"/>
    <w:basedOn w:val="125"/>
    <w:qFormat/>
    <w:uiPriority w:val="0"/>
    <w:pPr>
      <w:tabs>
        <w:tab w:val="clear" w:pos="360"/>
      </w:tabs>
      <w:spacing w:beforeLines="0" w:afterLines="0"/>
    </w:pPr>
    <w:rPr>
      <w:rFonts w:ascii="宋体" w:eastAsia="宋体"/>
      <w:szCs w:val="21"/>
    </w:rPr>
  </w:style>
  <w:style w:type="paragraph" w:customStyle="1" w:styleId="127">
    <w:name w:val="附录字母编号列项（一级）"/>
    <w:qFormat/>
    <w:uiPriority w:val="0"/>
    <w:pPr>
      <w:tabs>
        <w:tab w:val="left" w:pos="839"/>
      </w:tabs>
      <w:ind w:left="839" w:hanging="419"/>
    </w:pPr>
    <w:rPr>
      <w:rFonts w:ascii="宋体" w:hAnsi="Times New Roman" w:eastAsia="宋体" w:cs="Times New Roman"/>
      <w:sz w:val="21"/>
      <w:lang w:val="en-US" w:eastAsia="zh-CN" w:bidi="ar-SA"/>
    </w:rPr>
  </w:style>
  <w:style w:type="paragraph" w:customStyle="1" w:styleId="128">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29">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30">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31">
    <w:name w:val="其他标准标志"/>
    <w:basedOn w:val="88"/>
    <w:qFormat/>
    <w:uiPriority w:val="0"/>
    <w:pPr>
      <w:framePr w:w="6101" w:wrap="around" w:vAnchor="page" w:hAnchor="page" w:x="4673" w:y="942"/>
    </w:pPr>
    <w:rPr>
      <w:w w:val="130"/>
    </w:rPr>
  </w:style>
  <w:style w:type="paragraph" w:customStyle="1" w:styleId="132">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33">
    <w:name w:val="其他发布部门"/>
    <w:basedOn w:val="96"/>
    <w:qFormat/>
    <w:uiPriority w:val="0"/>
    <w:pPr>
      <w:framePr w:wrap="around" w:y="15310"/>
      <w:spacing w:line="0" w:lineRule="atLeast"/>
    </w:pPr>
    <w:rPr>
      <w:rFonts w:ascii="黑体" w:eastAsia="黑体"/>
      <w:b w:val="0"/>
    </w:rPr>
  </w:style>
  <w:style w:type="paragraph" w:customStyle="1" w:styleId="134">
    <w:name w:val="前言、引言标题"/>
    <w:next w:val="30"/>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35">
    <w:name w:val="三级无"/>
    <w:basedOn w:val="73"/>
    <w:qFormat/>
    <w:uiPriority w:val="0"/>
    <w:pPr>
      <w:spacing w:beforeLines="0" w:afterLines="0"/>
    </w:pPr>
    <w:rPr>
      <w:rFonts w:ascii="宋体" w:eastAsia="宋体"/>
    </w:rPr>
  </w:style>
  <w:style w:type="paragraph" w:customStyle="1" w:styleId="136">
    <w:name w:val="实施日期"/>
    <w:basedOn w:val="97"/>
    <w:qFormat/>
    <w:uiPriority w:val="0"/>
    <w:pPr>
      <w:framePr w:wrap="around" w:vAnchor="page" w:hAnchor="text"/>
      <w:jc w:val="right"/>
    </w:pPr>
  </w:style>
  <w:style w:type="paragraph" w:customStyle="1" w:styleId="137">
    <w:name w:val="示例后文字"/>
    <w:basedOn w:val="30"/>
    <w:next w:val="30"/>
    <w:qFormat/>
    <w:uiPriority w:val="0"/>
    <w:pPr>
      <w:ind w:firstLine="360"/>
    </w:pPr>
    <w:rPr>
      <w:sz w:val="18"/>
    </w:rPr>
  </w:style>
  <w:style w:type="paragraph" w:customStyle="1" w:styleId="138">
    <w:name w:val="首示例"/>
    <w:next w:val="30"/>
    <w:link w:val="139"/>
    <w:qFormat/>
    <w:uiPriority w:val="0"/>
    <w:pPr>
      <w:tabs>
        <w:tab w:val="left" w:pos="360"/>
      </w:tabs>
    </w:pPr>
    <w:rPr>
      <w:rFonts w:ascii="宋体" w:hAnsi="宋体" w:eastAsia="宋体" w:cs="Times New Roman"/>
      <w:kern w:val="2"/>
      <w:sz w:val="18"/>
      <w:szCs w:val="18"/>
      <w:lang w:val="en-US" w:eastAsia="zh-CN" w:bidi="ar-SA"/>
    </w:rPr>
  </w:style>
  <w:style w:type="character" w:customStyle="1" w:styleId="139">
    <w:name w:val="首示例 Char"/>
    <w:link w:val="138"/>
    <w:qFormat/>
    <w:uiPriority w:val="0"/>
    <w:rPr>
      <w:rFonts w:ascii="宋体" w:hAnsi="宋体"/>
      <w:kern w:val="2"/>
      <w:sz w:val="18"/>
      <w:szCs w:val="18"/>
    </w:rPr>
  </w:style>
  <w:style w:type="paragraph" w:customStyle="1" w:styleId="140">
    <w:name w:val="四级无"/>
    <w:basedOn w:val="77"/>
    <w:qFormat/>
    <w:uiPriority w:val="0"/>
    <w:pPr>
      <w:spacing w:beforeLines="0" w:afterLines="0"/>
    </w:pPr>
    <w:rPr>
      <w:rFonts w:ascii="宋体" w:eastAsia="宋体"/>
    </w:rPr>
  </w:style>
  <w:style w:type="paragraph" w:customStyle="1" w:styleId="141">
    <w:name w:val="条文脚注"/>
    <w:basedOn w:val="31"/>
    <w:qFormat/>
    <w:uiPriority w:val="0"/>
    <w:pPr>
      <w:ind w:left="0" w:firstLine="0"/>
      <w:jc w:val="both"/>
    </w:pPr>
  </w:style>
  <w:style w:type="paragraph" w:customStyle="1" w:styleId="142">
    <w:name w:val="图标脚注说明"/>
    <w:basedOn w:val="30"/>
    <w:qFormat/>
    <w:uiPriority w:val="0"/>
    <w:pPr>
      <w:ind w:left="840" w:hanging="420" w:firstLineChars="0"/>
    </w:pPr>
    <w:rPr>
      <w:sz w:val="18"/>
      <w:szCs w:val="18"/>
    </w:rPr>
  </w:style>
  <w:style w:type="paragraph" w:customStyle="1" w:styleId="143">
    <w:name w:val="图表脚注说明"/>
    <w:basedOn w:val="1"/>
    <w:qFormat/>
    <w:uiPriority w:val="0"/>
    <w:pPr>
      <w:ind w:left="544" w:hanging="181"/>
    </w:pPr>
    <w:rPr>
      <w:rFonts w:ascii="宋体"/>
      <w:sz w:val="18"/>
      <w:szCs w:val="18"/>
    </w:rPr>
  </w:style>
  <w:style w:type="paragraph" w:customStyle="1" w:styleId="144">
    <w:name w:val="图的脚注"/>
    <w:next w:val="30"/>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45">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46">
    <w:name w:val="五级无"/>
    <w:basedOn w:val="78"/>
    <w:qFormat/>
    <w:uiPriority w:val="0"/>
    <w:pPr>
      <w:spacing w:beforeLines="0" w:afterLines="0"/>
    </w:pPr>
    <w:rPr>
      <w:rFonts w:ascii="宋体" w:eastAsia="宋体"/>
    </w:rPr>
  </w:style>
  <w:style w:type="paragraph" w:customStyle="1" w:styleId="147">
    <w:name w:val="一级无"/>
    <w:basedOn w:val="64"/>
    <w:qFormat/>
    <w:uiPriority w:val="0"/>
    <w:pPr>
      <w:spacing w:beforeLines="0" w:afterLines="0"/>
    </w:pPr>
    <w:rPr>
      <w:rFonts w:ascii="宋体" w:eastAsia="宋体"/>
    </w:rPr>
  </w:style>
  <w:style w:type="paragraph" w:customStyle="1" w:styleId="148">
    <w:name w:val="正文表标题"/>
    <w:next w:val="30"/>
    <w:qFormat/>
    <w:uiPriority w:val="0"/>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49">
    <w:name w:val="正文公式编号制表符"/>
    <w:basedOn w:val="30"/>
    <w:next w:val="30"/>
    <w:qFormat/>
    <w:uiPriority w:val="0"/>
    <w:pPr>
      <w:ind w:firstLine="0" w:firstLineChars="0"/>
    </w:pPr>
  </w:style>
  <w:style w:type="paragraph" w:customStyle="1" w:styleId="150">
    <w:name w:val="正文图标题"/>
    <w:next w:val="30"/>
    <w:qFormat/>
    <w:uiPriority w:val="0"/>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51">
    <w:name w:val="终结线"/>
    <w:basedOn w:val="1"/>
    <w:qFormat/>
    <w:uiPriority w:val="0"/>
    <w:pPr>
      <w:framePr w:hSpace="181" w:vSpace="181" w:wrap="around" w:vAnchor="text" w:hAnchor="margin" w:xAlign="center" w:y="285"/>
    </w:pPr>
  </w:style>
  <w:style w:type="paragraph" w:customStyle="1" w:styleId="152">
    <w:name w:val="其他发布日期"/>
    <w:basedOn w:val="97"/>
    <w:qFormat/>
    <w:uiPriority w:val="0"/>
    <w:pPr>
      <w:framePr w:wrap="around" w:vAnchor="page" w:hAnchor="text" w:x="1419"/>
    </w:pPr>
  </w:style>
  <w:style w:type="paragraph" w:customStyle="1" w:styleId="153">
    <w:name w:val="其他实施日期"/>
    <w:basedOn w:val="136"/>
    <w:qFormat/>
    <w:uiPriority w:val="0"/>
    <w:pPr>
      <w:framePr w:wrap="around"/>
    </w:pPr>
  </w:style>
  <w:style w:type="paragraph" w:customStyle="1" w:styleId="154">
    <w:name w:val="封面标准名称2"/>
    <w:basedOn w:val="100"/>
    <w:qFormat/>
    <w:uiPriority w:val="0"/>
    <w:pPr>
      <w:framePr w:wrap="around" w:y="4469"/>
      <w:spacing w:beforeLines="630"/>
    </w:pPr>
  </w:style>
  <w:style w:type="paragraph" w:customStyle="1" w:styleId="155">
    <w:name w:val="封面标准英文名称2"/>
    <w:basedOn w:val="101"/>
    <w:qFormat/>
    <w:uiPriority w:val="0"/>
    <w:pPr>
      <w:framePr w:wrap="around" w:y="4469"/>
    </w:pPr>
  </w:style>
  <w:style w:type="paragraph" w:customStyle="1" w:styleId="156">
    <w:name w:val="封面一致性程度标识2"/>
    <w:basedOn w:val="102"/>
    <w:qFormat/>
    <w:uiPriority w:val="0"/>
    <w:pPr>
      <w:framePr w:wrap="around" w:y="4469"/>
    </w:pPr>
  </w:style>
  <w:style w:type="paragraph" w:customStyle="1" w:styleId="157">
    <w:name w:val="封面标准文稿类别2"/>
    <w:basedOn w:val="103"/>
    <w:qFormat/>
    <w:uiPriority w:val="0"/>
    <w:pPr>
      <w:framePr w:wrap="around" w:y="4469"/>
    </w:pPr>
  </w:style>
  <w:style w:type="paragraph" w:customStyle="1" w:styleId="158">
    <w:name w:val="封面标准文稿编辑信息2"/>
    <w:basedOn w:val="104"/>
    <w:qFormat/>
    <w:uiPriority w:val="0"/>
    <w:pPr>
      <w:framePr w:wrap="around" w:y="4469"/>
    </w:pPr>
  </w:style>
  <w:style w:type="paragraph" w:styleId="159">
    <w:name w:val="List Paragraph"/>
    <w:basedOn w:val="1"/>
    <w:qFormat/>
    <w:uiPriority w:val="34"/>
    <w:pPr>
      <w:ind w:firstLine="420" w:firstLineChars="200"/>
    </w:pPr>
    <w:rPr>
      <w:rFonts w:ascii="Calibri" w:hAnsi="Calibri"/>
      <w:szCs w:val="22"/>
    </w:rPr>
  </w:style>
  <w:style w:type="character" w:customStyle="1" w:styleId="160">
    <w:name w:val="apple-converted-space"/>
    <w:qFormat/>
    <w:uiPriority w:val="0"/>
  </w:style>
  <w:style w:type="character" w:customStyle="1" w:styleId="161">
    <w:name w:val="日期 Char"/>
    <w:qFormat/>
    <w:uiPriority w:val="0"/>
    <w:rPr>
      <w:kern w:val="2"/>
      <w:sz w:val="21"/>
      <w:szCs w:val="24"/>
    </w:rPr>
  </w:style>
  <w:style w:type="character" w:customStyle="1" w:styleId="162">
    <w:name w:val="批注文字 Char"/>
    <w:qFormat/>
    <w:uiPriority w:val="0"/>
    <w:rPr>
      <w:kern w:val="2"/>
      <w:sz w:val="21"/>
      <w:szCs w:val="24"/>
    </w:rPr>
  </w:style>
  <w:style w:type="character" w:customStyle="1" w:styleId="163">
    <w:name w:val="批注主题 Char"/>
    <w:qFormat/>
    <w:uiPriority w:val="0"/>
    <w:rPr>
      <w:b/>
      <w:bCs/>
      <w:kern w:val="2"/>
      <w:sz w:val="21"/>
      <w:szCs w:val="24"/>
    </w:rPr>
  </w:style>
  <w:style w:type="character" w:customStyle="1" w:styleId="164">
    <w:name w:val="标题 Char"/>
    <w:qFormat/>
    <w:uiPriority w:val="0"/>
    <w:rPr>
      <w:rFonts w:ascii="Cambria" w:hAnsi="Cambria" w:cs="Times New Roman"/>
      <w:b/>
      <w:bCs/>
      <w:kern w:val="2"/>
      <w:sz w:val="32"/>
      <w:szCs w:val="32"/>
    </w:rPr>
  </w:style>
  <w:style w:type="paragraph" w:customStyle="1" w:styleId="165">
    <w:name w:val="TOC 标题1"/>
    <w:basedOn w:val="2"/>
    <w:next w:val="1"/>
    <w:qFormat/>
    <w:uiPriority w:val="39"/>
    <w:pPr>
      <w:keepLines/>
      <w:widowControl/>
      <w:spacing w:before="240" w:line="259" w:lineRule="auto"/>
      <w:jc w:val="left"/>
      <w:outlineLvl w:val="9"/>
    </w:pPr>
    <w:rPr>
      <w:rFonts w:ascii="Calibri Light" w:hAnsi="Calibri Light"/>
      <w:color w:val="2E74B5"/>
      <w:kern w:val="0"/>
      <w:sz w:val="32"/>
      <w:szCs w:val="32"/>
    </w:rPr>
  </w:style>
  <w:style w:type="paragraph" w:customStyle="1" w:styleId="166">
    <w:name w:val="_Style 174"/>
    <w:basedOn w:val="1"/>
    <w:next w:val="1"/>
    <w:unhideWhenUsed/>
    <w:qFormat/>
    <w:uiPriority w:val="39"/>
    <w:pPr>
      <w:widowControl/>
      <w:spacing w:after="100" w:line="259" w:lineRule="auto"/>
      <w:ind w:left="440"/>
      <w:jc w:val="left"/>
    </w:pPr>
    <w:rPr>
      <w:rFonts w:ascii="Calibri" w:hAnsi="Calibri"/>
      <w:kern w:val="0"/>
      <w:sz w:val="22"/>
      <w:szCs w:val="22"/>
    </w:rPr>
  </w:style>
  <w:style w:type="paragraph" w:customStyle="1" w:styleId="167">
    <w:name w:val="_Style 2"/>
    <w:basedOn w:val="2"/>
    <w:next w:val="1"/>
    <w:qFormat/>
    <w:uiPriority w:val="39"/>
    <w:pPr>
      <w:keepLines/>
      <w:widowControl/>
      <w:spacing w:before="240" w:line="259" w:lineRule="auto"/>
      <w:jc w:val="left"/>
      <w:outlineLvl w:val="9"/>
    </w:pPr>
    <w:rPr>
      <w:rFonts w:ascii="Calibri Light" w:hAnsi="Calibri Light"/>
      <w:color w:val="2E74B5"/>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8014;&#39030;&#20648;&#32592;&#21450;&#27668;&#26588;&#36816;&#34892;&#21442;&#25968;&#22312;&#32447;&#30417;&#27979;&#31995;&#32479;&#25216;&#26415;&#35201;&#2771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26B6B0-BAB1-4CB2-89EC-63666A106B5D}">
  <ds:schemaRefs/>
</ds:datastoreItem>
</file>

<file path=docProps/app.xml><?xml version="1.0" encoding="utf-8"?>
<Properties xmlns="http://schemas.openxmlformats.org/officeDocument/2006/extended-properties" xmlns:vt="http://schemas.openxmlformats.org/officeDocument/2006/docPropsVTypes">
  <Template>浮顶储罐及气柜运行参数在线监测系统技术要求.dot</Template>
  <Company>zle</Company>
  <Pages>15</Pages>
  <Words>6135</Words>
  <Characters>6919</Characters>
  <Lines>53</Lines>
  <Paragraphs>14</Paragraphs>
  <TotalTime>1</TotalTime>
  <ScaleCrop>false</ScaleCrop>
  <LinksUpToDate>false</LinksUpToDate>
  <CharactersWithSpaces>7243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2022-03-28T02:58:00Z</dcterms:created>
  <dc:creator>戴尔</dc:creator>
  <cp:lastModifiedBy>复有笑容</cp:lastModifiedBy>
  <cp:lastPrinted>2022-09-27T00:38:00Z</cp:lastPrinted>
  <dcterms:modified xsi:type="dcterms:W3CDTF">2022-09-29T00:53:26Z</dcterms:modified>
  <dc:title>标准名称</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10F0F931874D4675A1AD99B40254E10A</vt:lpwstr>
  </property>
</Properties>
</file>