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3"/>
        <w:tblpPr w:leftFromText="180" w:rightFromText="180" w:vertAnchor="text" w:horzAnchor="page" w:tblpX="1263" w:tblpY="121"/>
        <w:tblOverlap w:val="never"/>
        <w:tblW w:w="0" w:type="auto"/>
        <w:tblInd w:w="0" w:type="dxa"/>
        <w:tblLayout w:type="fixed"/>
        <w:tblCellMar>
          <w:top w:w="0" w:type="dxa"/>
          <w:left w:w="108" w:type="dxa"/>
          <w:bottom w:w="0" w:type="dxa"/>
          <w:right w:w="108" w:type="dxa"/>
        </w:tblCellMar>
      </w:tblPr>
      <w:tblGrid>
        <w:gridCol w:w="1783"/>
        <w:gridCol w:w="3037"/>
        <w:gridCol w:w="1886"/>
        <w:gridCol w:w="2935"/>
      </w:tblGrid>
      <w:tr>
        <w:tblPrEx>
          <w:tblCellMar>
            <w:top w:w="0" w:type="dxa"/>
            <w:left w:w="108" w:type="dxa"/>
            <w:bottom w:w="0" w:type="dxa"/>
            <w:right w:w="108" w:type="dxa"/>
          </w:tblCellMar>
        </w:tblPrEx>
        <w:trPr>
          <w:trHeight w:val="1727" w:hRule="atLeast"/>
        </w:trPr>
        <w:tc>
          <w:tcPr>
            <w:tcW w:w="4820" w:type="dxa"/>
            <w:gridSpan w:val="2"/>
          </w:tcPr>
          <w:p>
            <w:pPr>
              <w:rPr>
                <w:rFonts w:hint="default" w:ascii="黑体" w:hAnsi="黑体" w:eastAsia="黑体"/>
              </w:rPr>
            </w:pPr>
            <w:r>
              <w:rPr>
                <w:rFonts w:hint="default" w:ascii="Times New Roman" w:hAnsi="Times New Roman" w:eastAsia="黑体"/>
              </w:rPr>
              <w:t xml:space="preserve">ICS </w:t>
            </w:r>
            <w:r>
              <w:rPr>
                <w:rFonts w:ascii="Times New Roman" w:hAnsi="Times New Roman" w:eastAsia="黑体"/>
              </w:rPr>
              <w:t xml:space="preserve"> </w:t>
            </w:r>
            <w:r>
              <w:rPr>
                <w:rFonts w:ascii="黑体" w:hAnsi="黑体" w:eastAsia="黑体"/>
              </w:rPr>
              <w:t xml:space="preserve">13.040.40 </w:t>
            </w:r>
          </w:p>
          <w:p>
            <w:pPr>
              <w:rPr>
                <w:rFonts w:hint="default" w:ascii="黑体" w:hAnsi="黑体" w:eastAsia="黑体" w:cs="仿宋"/>
                <w:kern w:val="0"/>
                <w:sz w:val="32"/>
                <w:szCs w:val="32"/>
              </w:rPr>
            </w:pPr>
            <w:r>
              <w:rPr>
                <w:rFonts w:ascii="黑体" w:hAnsi="黑体" w:eastAsia="黑体"/>
              </w:rPr>
              <w:t>Z 60</w:t>
            </w:r>
          </w:p>
          <w:p>
            <w:pPr>
              <w:pStyle w:val="44"/>
            </w:pPr>
          </w:p>
        </w:tc>
        <w:tc>
          <w:tcPr>
            <w:tcW w:w="4821" w:type="dxa"/>
            <w:gridSpan w:val="2"/>
          </w:tcPr>
          <w:p>
            <w:pPr>
              <w:pStyle w:val="44"/>
              <w:spacing w:line="900" w:lineRule="exact"/>
              <w:rPr>
                <w:rFonts w:ascii="Times New Roman" w:hAnsi="Times New Roman"/>
              </w:rPr>
            </w:pPr>
            <w:r>
              <w:rPr>
                <w:rFonts w:ascii="Times New Roman" w:hAnsi="Times New Roman"/>
              </w:rPr>
              <w:t>DB13</w:t>
            </w:r>
          </w:p>
        </w:tc>
      </w:tr>
      <w:tr>
        <w:tblPrEx>
          <w:tblCellMar>
            <w:top w:w="0" w:type="dxa"/>
            <w:left w:w="108" w:type="dxa"/>
            <w:bottom w:w="0" w:type="dxa"/>
            <w:right w:w="108" w:type="dxa"/>
          </w:tblCellMar>
        </w:tblPrEx>
        <w:trPr>
          <w:trHeight w:val="1407" w:hRule="atLeast"/>
        </w:trPr>
        <w:tc>
          <w:tcPr>
            <w:tcW w:w="9641" w:type="dxa"/>
            <w:gridSpan w:val="4"/>
            <w:tcBorders>
              <w:bottom w:val="single" w:color="000000" w:sz="4" w:space="0"/>
            </w:tcBorders>
          </w:tcPr>
          <w:p>
            <w:pPr>
              <w:pStyle w:val="39"/>
              <w:rPr>
                <w:rFonts w:ascii="Times New Roman" w:hAnsi="Times New Roman"/>
                <w:spacing w:val="0"/>
              </w:rPr>
            </w:pPr>
            <w:r>
              <w:rPr>
                <w:rFonts w:ascii="Times New Roman" w:hAnsi="Times New Roman"/>
                <w:spacing w:val="0"/>
              </w:rPr>
              <w:t>河北省地方标准</w:t>
            </w:r>
          </w:p>
          <w:p>
            <w:pPr>
              <w:pStyle w:val="38"/>
              <w:spacing w:before="100"/>
              <w:rPr>
                <w:rFonts w:ascii="Times New Roman"/>
              </w:rPr>
            </w:pPr>
          </w:p>
          <w:p>
            <w:pPr>
              <w:pStyle w:val="38"/>
              <w:spacing w:before="100"/>
              <w:rPr>
                <w:rFonts w:ascii="Times New Roman" w:hAnsi="Times New Roman"/>
              </w:rPr>
            </w:pPr>
            <w:r>
              <w:rPr>
                <w:rFonts w:ascii="Times New Roman" w:hAnsi="Times New Roman"/>
              </w:rPr>
              <w:t xml:space="preserve">DB 13/ </w:t>
            </w:r>
            <w:r>
              <w:rPr>
                <w:rFonts w:hint="eastAsia" w:ascii="Times New Roman" w:hAnsi="Times New Roman"/>
              </w:rPr>
              <w:t xml:space="preserve">    </w:t>
            </w:r>
            <w:r>
              <w:rPr>
                <w:rFonts w:ascii="Times New Roman" w:hAnsi="Times New Roman"/>
              </w:rPr>
              <w:t>-</w:t>
            </w:r>
            <w:r>
              <w:rPr>
                <w:rFonts w:hint="eastAsia" w:ascii="Times New Roman" w:hAnsi="Times New Roman"/>
              </w:rPr>
              <w:t>2022</w:t>
            </w:r>
          </w:p>
          <w:p>
            <w:pPr>
              <w:pStyle w:val="38"/>
              <w:spacing w:before="100"/>
              <w:rPr>
                <w:rFonts w:ascii="Times New Roman" w:hAnsi="Times New Roman"/>
                <w:sz w:val="21"/>
                <w:szCs w:val="21"/>
              </w:rPr>
            </w:pPr>
            <w:r>
              <w:rPr>
                <w:rFonts w:hint="eastAsia" w:ascii="Times New Roman" w:hAnsi="Times New Roman"/>
                <w:sz w:val="21"/>
                <w:szCs w:val="21"/>
              </w:rPr>
              <w:t>代替</w:t>
            </w:r>
            <w:r>
              <w:rPr>
                <w:rFonts w:ascii="Times New Roman" w:hAnsi="Times New Roman"/>
                <w:sz w:val="21"/>
                <w:szCs w:val="21"/>
              </w:rPr>
              <w:t>DB 13/ 1641-</w:t>
            </w:r>
            <w:r>
              <w:rPr>
                <w:rFonts w:hint="eastAsia" w:ascii="Times New Roman" w:hAnsi="Times New Roman"/>
                <w:sz w:val="21"/>
                <w:szCs w:val="21"/>
              </w:rPr>
              <w:t>2012</w:t>
            </w:r>
          </w:p>
        </w:tc>
      </w:tr>
      <w:tr>
        <w:tblPrEx>
          <w:tblCellMar>
            <w:top w:w="0" w:type="dxa"/>
            <w:left w:w="108" w:type="dxa"/>
            <w:bottom w:w="0" w:type="dxa"/>
            <w:right w:w="108" w:type="dxa"/>
          </w:tblCellMar>
        </w:tblPrEx>
        <w:trPr>
          <w:trHeight w:val="2001" w:hRule="atLeast"/>
        </w:trPr>
        <w:tc>
          <w:tcPr>
            <w:tcW w:w="9641" w:type="dxa"/>
            <w:gridSpan w:val="4"/>
            <w:tcBorders>
              <w:top w:val="single" w:color="000000" w:sz="4" w:space="0"/>
            </w:tcBorders>
          </w:tcPr>
          <w:p>
            <w:pPr>
              <w:pStyle w:val="45"/>
              <w:rPr>
                <w:rFonts w:ascii="Times New Roman"/>
              </w:rPr>
            </w:pPr>
          </w:p>
        </w:tc>
      </w:tr>
      <w:tr>
        <w:tblPrEx>
          <w:tblCellMar>
            <w:top w:w="0" w:type="dxa"/>
            <w:left w:w="108" w:type="dxa"/>
            <w:bottom w:w="0" w:type="dxa"/>
            <w:right w:w="108" w:type="dxa"/>
          </w:tblCellMar>
        </w:tblPrEx>
        <w:trPr>
          <w:trHeight w:val="6193" w:hRule="atLeast"/>
        </w:trPr>
        <w:tc>
          <w:tcPr>
            <w:tcW w:w="9641" w:type="dxa"/>
            <w:gridSpan w:val="4"/>
          </w:tcPr>
          <w:p>
            <w:pPr>
              <w:pStyle w:val="36"/>
              <w:rPr>
                <w:rFonts w:ascii="Times New Roman"/>
              </w:rPr>
            </w:pPr>
            <w:r>
              <w:rPr>
                <w:rFonts w:hint="eastAsia" w:ascii="Times New Roman"/>
              </w:rPr>
              <w:t>石灰工业</w:t>
            </w:r>
            <w:r>
              <w:rPr>
                <w:rFonts w:ascii="Times New Roman"/>
              </w:rPr>
              <w:t>大气污染物排放标准</w:t>
            </w:r>
          </w:p>
          <w:p>
            <w:pPr>
              <w:pStyle w:val="36"/>
              <w:rPr>
                <w:rFonts w:ascii="Times New Roman"/>
                <w:sz w:val="32"/>
              </w:rPr>
            </w:pPr>
            <w:r>
              <w:rPr>
                <w:rFonts w:ascii="Times New Roman"/>
                <w:sz w:val="32"/>
              </w:rPr>
              <w:t>（征求意见</w:t>
            </w:r>
            <w:r>
              <w:rPr>
                <w:rFonts w:hint="eastAsia" w:ascii="Times New Roman"/>
                <w:sz w:val="32"/>
              </w:rPr>
              <w:t>稿</w:t>
            </w:r>
            <w:r>
              <w:rPr>
                <w:rFonts w:ascii="Times New Roman"/>
                <w:sz w:val="32"/>
              </w:rPr>
              <w:t>）</w:t>
            </w:r>
          </w:p>
          <w:p>
            <w:pPr>
              <w:pStyle w:val="45"/>
              <w:rPr>
                <w:rFonts w:ascii="Times New Roman"/>
              </w:rPr>
            </w:pPr>
          </w:p>
        </w:tc>
      </w:tr>
      <w:tr>
        <w:tblPrEx>
          <w:tblCellMar>
            <w:top w:w="0" w:type="dxa"/>
            <w:left w:w="108" w:type="dxa"/>
            <w:bottom w:w="0" w:type="dxa"/>
            <w:right w:w="108" w:type="dxa"/>
          </w:tblCellMar>
        </w:tblPrEx>
        <w:trPr>
          <w:trHeight w:val="430" w:hRule="atLeast"/>
        </w:trPr>
        <w:tc>
          <w:tcPr>
            <w:tcW w:w="4820" w:type="dxa"/>
            <w:gridSpan w:val="2"/>
            <w:tcBorders>
              <w:bottom w:val="single" w:color="000000" w:sz="4" w:space="0"/>
            </w:tcBorders>
          </w:tcPr>
          <w:p>
            <w:pPr>
              <w:pStyle w:val="45"/>
              <w:rPr>
                <w:rFonts w:ascii="Times New Roman"/>
                <w:sz w:val="28"/>
                <w:szCs w:val="28"/>
              </w:rPr>
            </w:pPr>
            <w:r>
              <w:rPr>
                <w:rFonts w:hint="eastAsia"/>
                <w:sz w:val="28"/>
                <w:szCs w:val="28"/>
              </w:rPr>
              <w:t>2022</w:t>
            </w:r>
            <w:r>
              <w:rPr>
                <w:sz w:val="28"/>
                <w:szCs w:val="28"/>
              </w:rPr>
              <w:t>-</w:t>
            </w:r>
            <w:r>
              <w:rPr>
                <w:rFonts w:hint="eastAsia"/>
                <w:sz w:val="28"/>
                <w:szCs w:val="28"/>
              </w:rPr>
              <w:t>xx</w:t>
            </w:r>
            <w:r>
              <w:rPr>
                <w:sz w:val="28"/>
                <w:szCs w:val="28"/>
              </w:rPr>
              <w:t>-</w:t>
            </w:r>
            <w:r>
              <w:rPr>
                <w:rFonts w:hint="eastAsia"/>
                <w:sz w:val="28"/>
                <w:szCs w:val="28"/>
              </w:rPr>
              <w:t>xx</w:t>
            </w:r>
            <w:r>
              <w:rPr>
                <w:sz w:val="28"/>
                <w:szCs w:val="28"/>
              </w:rPr>
              <w:t>发布</w:t>
            </w:r>
          </w:p>
        </w:tc>
        <w:tc>
          <w:tcPr>
            <w:tcW w:w="4821" w:type="dxa"/>
            <w:gridSpan w:val="2"/>
            <w:tcBorders>
              <w:bottom w:val="single" w:color="000000" w:sz="4" w:space="0"/>
            </w:tcBorders>
          </w:tcPr>
          <w:p>
            <w:pPr>
              <w:pStyle w:val="45"/>
              <w:jc w:val="right"/>
              <w:rPr>
                <w:rFonts w:ascii="Times New Roman"/>
                <w:sz w:val="28"/>
                <w:szCs w:val="28"/>
              </w:rPr>
            </w:pPr>
            <w:r>
              <w:rPr>
                <w:rFonts w:hint="eastAsia"/>
                <w:sz w:val="28"/>
                <w:szCs w:val="28"/>
              </w:rPr>
              <w:t>2022</w:t>
            </w:r>
            <w:r>
              <w:rPr>
                <w:sz w:val="28"/>
                <w:szCs w:val="28"/>
              </w:rPr>
              <w:t>-</w:t>
            </w:r>
            <w:r>
              <w:rPr>
                <w:rFonts w:hint="eastAsia"/>
                <w:sz w:val="28"/>
                <w:szCs w:val="28"/>
              </w:rPr>
              <w:t>xx</w:t>
            </w:r>
            <w:r>
              <w:rPr>
                <w:sz w:val="28"/>
                <w:szCs w:val="28"/>
              </w:rPr>
              <w:t>-</w:t>
            </w:r>
            <w:r>
              <w:rPr>
                <w:rFonts w:hint="eastAsia"/>
                <w:sz w:val="28"/>
                <w:szCs w:val="28"/>
              </w:rPr>
              <w:t>xx实施</w:t>
            </w:r>
          </w:p>
        </w:tc>
      </w:tr>
      <w:tr>
        <w:tblPrEx>
          <w:tblCellMar>
            <w:top w:w="0" w:type="dxa"/>
            <w:left w:w="108" w:type="dxa"/>
            <w:bottom w:w="0" w:type="dxa"/>
            <w:right w:w="108" w:type="dxa"/>
          </w:tblCellMar>
        </w:tblPrEx>
        <w:trPr>
          <w:trHeight w:val="865" w:hRule="atLeast"/>
        </w:trPr>
        <w:tc>
          <w:tcPr>
            <w:tcW w:w="1783" w:type="dxa"/>
            <w:tcBorders>
              <w:top w:val="single" w:color="000000" w:sz="4" w:space="0"/>
            </w:tcBorders>
          </w:tcPr>
          <w:p>
            <w:pPr>
              <w:spacing w:line="440" w:lineRule="exact"/>
              <w:jc w:val="right"/>
              <w:rPr>
                <w:rFonts w:hint="default" w:ascii="黑体" w:eastAsia="黑体"/>
                <w:kern w:val="0"/>
                <w:sz w:val="36"/>
                <w:szCs w:val="36"/>
              </w:rPr>
            </w:pPr>
          </w:p>
        </w:tc>
        <w:tc>
          <w:tcPr>
            <w:tcW w:w="4923" w:type="dxa"/>
            <w:gridSpan w:val="2"/>
            <w:tcBorders>
              <w:top w:val="single" w:color="000000" w:sz="4" w:space="0"/>
            </w:tcBorders>
            <w:vAlign w:val="bottom"/>
          </w:tcPr>
          <w:p>
            <w:pPr>
              <w:spacing w:line="440" w:lineRule="exact"/>
              <w:jc w:val="distribute"/>
              <w:rPr>
                <w:rFonts w:hint="default" w:ascii="黑体" w:eastAsia="黑体"/>
                <w:kern w:val="0"/>
                <w:sz w:val="36"/>
                <w:szCs w:val="36"/>
              </w:rPr>
            </w:pPr>
            <w:r>
              <w:rPr>
                <w:rFonts w:ascii="黑体" w:eastAsia="黑体"/>
                <w:kern w:val="0"/>
                <w:sz w:val="36"/>
                <w:szCs w:val="36"/>
              </w:rPr>
              <w:t>河北省生态环境厅</w:t>
            </w:r>
          </w:p>
        </w:tc>
        <w:tc>
          <w:tcPr>
            <w:tcW w:w="2935" w:type="dxa"/>
            <w:vMerge w:val="restart"/>
            <w:tcBorders>
              <w:top w:val="single" w:color="000000" w:sz="4" w:space="0"/>
            </w:tcBorders>
            <w:vAlign w:val="center"/>
          </w:tcPr>
          <w:p>
            <w:pPr>
              <w:pStyle w:val="45"/>
              <w:rPr>
                <w:rFonts w:ascii="Times New Roman"/>
                <w:sz w:val="28"/>
                <w:szCs w:val="28"/>
              </w:rPr>
            </w:pPr>
            <w:r>
              <w:rPr>
                <w:rFonts w:hint="eastAsia" w:ascii="Times New Roman"/>
                <w:sz w:val="28"/>
                <w:szCs w:val="28"/>
              </w:rPr>
              <w:t>发布</w:t>
            </w:r>
          </w:p>
        </w:tc>
      </w:tr>
      <w:tr>
        <w:tblPrEx>
          <w:tblCellMar>
            <w:top w:w="0" w:type="dxa"/>
            <w:left w:w="108" w:type="dxa"/>
            <w:bottom w:w="0" w:type="dxa"/>
            <w:right w:w="108" w:type="dxa"/>
          </w:tblCellMar>
        </w:tblPrEx>
        <w:trPr>
          <w:trHeight w:val="829" w:hRule="atLeast"/>
        </w:trPr>
        <w:tc>
          <w:tcPr>
            <w:tcW w:w="1783" w:type="dxa"/>
          </w:tcPr>
          <w:p>
            <w:pPr>
              <w:spacing w:line="440" w:lineRule="exact"/>
              <w:jc w:val="right"/>
              <w:rPr>
                <w:rFonts w:hint="default" w:ascii="黑体" w:eastAsia="黑体"/>
                <w:kern w:val="0"/>
                <w:sz w:val="36"/>
                <w:szCs w:val="36"/>
              </w:rPr>
            </w:pPr>
          </w:p>
        </w:tc>
        <w:tc>
          <w:tcPr>
            <w:tcW w:w="4923" w:type="dxa"/>
            <w:gridSpan w:val="2"/>
          </w:tcPr>
          <w:p>
            <w:pPr>
              <w:spacing w:line="440" w:lineRule="exact"/>
              <w:jc w:val="distribute"/>
              <w:rPr>
                <w:rFonts w:hint="default" w:ascii="黑体" w:eastAsia="黑体"/>
                <w:kern w:val="0"/>
                <w:sz w:val="36"/>
                <w:szCs w:val="36"/>
              </w:rPr>
            </w:pPr>
            <w:r>
              <w:rPr>
                <w:rFonts w:ascii="黑体" w:eastAsia="黑体"/>
                <w:kern w:val="0"/>
                <w:sz w:val="36"/>
                <w:szCs w:val="36"/>
              </w:rPr>
              <w:t>河北省市场监督管理局</w:t>
            </w:r>
          </w:p>
        </w:tc>
        <w:tc>
          <w:tcPr>
            <w:tcW w:w="2935" w:type="dxa"/>
            <w:vMerge w:val="continue"/>
            <w:vAlign w:val="center"/>
          </w:tcPr>
          <w:p>
            <w:pPr>
              <w:pStyle w:val="45"/>
              <w:rPr>
                <w:rFonts w:ascii="Times New Roman"/>
                <w:sz w:val="28"/>
                <w:szCs w:val="28"/>
              </w:rPr>
            </w:pPr>
          </w:p>
        </w:tc>
      </w:tr>
    </w:tbl>
    <w:p>
      <w:pPr>
        <w:framePr w:hSpace="180" w:vSpace="180" w:wrap="around" w:vAnchor="margin" w:hAnchor="margin" w:y="1" w:anchorLock="1"/>
        <w:rPr>
          <w:rFonts w:hint="default" w:ascii="仿宋" w:hAnsi="仿宋" w:eastAsia="仿宋" w:cs="仿宋"/>
          <w:kern w:val="0"/>
          <w:sz w:val="32"/>
          <w:szCs w:val="32"/>
        </w:rPr>
      </w:pPr>
    </w:p>
    <w:p>
      <w:pPr>
        <w:spacing w:line="313" w:lineRule="exact"/>
        <w:ind w:right="192"/>
        <w:jc w:val="right"/>
        <w:rPr>
          <w:rFonts w:hint="default"/>
          <w:kern w:val="0"/>
        </w:rPr>
        <w:sectPr>
          <w:footerReference r:id="rId3" w:type="default"/>
          <w:footerReference r:id="rId4" w:type="even"/>
          <w:pgSz w:w="11920" w:h="16840"/>
          <w:pgMar w:top="1338" w:right="919" w:bottom="1338" w:left="1298" w:header="0" w:footer="1140" w:gutter="0"/>
          <w:pgNumType w:fmt="upperRoman" w:start="1"/>
          <w:cols w:space="720" w:num="1"/>
        </w:sectPr>
      </w:pPr>
      <w:bookmarkStart w:id="0" w:name="_Hlk15375674"/>
    </w:p>
    <w:p>
      <w:pPr>
        <w:spacing w:line="313" w:lineRule="exact"/>
        <w:ind w:right="192"/>
        <w:jc w:val="right"/>
        <w:rPr>
          <w:rFonts w:hint="default"/>
          <w:kern w:val="0"/>
        </w:rPr>
      </w:pPr>
      <w:r>
        <w:rPr>
          <w:rFonts w:hint="default"/>
          <w:kern w:val="0"/>
        </w:rPr>
        <w:t>DB13/</w:t>
      </w:r>
      <w:r>
        <w:rPr>
          <w:kern w:val="0"/>
        </w:rPr>
        <w:t xml:space="preserve">     </w:t>
      </w:r>
      <w:r>
        <w:rPr>
          <w:rFonts w:hint="default"/>
          <w:kern w:val="0"/>
        </w:rPr>
        <w:t>-</w:t>
      </w:r>
      <w:bookmarkEnd w:id="0"/>
      <w:r>
        <w:rPr>
          <w:kern w:val="0"/>
        </w:rPr>
        <w:t>2022</w:t>
      </w:r>
    </w:p>
    <w:p>
      <w:pPr>
        <w:jc w:val="center"/>
        <w:rPr>
          <w:rFonts w:hint="default" w:ascii="黑体" w:hAnsi="黑体" w:eastAsia="黑体"/>
          <w:bCs/>
          <w:sz w:val="32"/>
          <w:szCs w:val="32"/>
        </w:rPr>
      </w:pPr>
      <w:r>
        <w:rPr>
          <w:rFonts w:ascii="黑体" w:hAnsi="黑体" w:eastAsia="黑体"/>
          <w:bCs/>
          <w:sz w:val="32"/>
          <w:szCs w:val="32"/>
        </w:rPr>
        <w:t>目    次</w:t>
      </w:r>
    </w:p>
    <w:p>
      <w:pPr>
        <w:jc w:val="center"/>
        <w:rPr>
          <w:rFonts w:hint="default" w:ascii="黑体" w:hAnsi="黑体" w:eastAsia="黑体"/>
          <w:bCs/>
          <w:sz w:val="32"/>
          <w:szCs w:val="32"/>
        </w:rPr>
      </w:pPr>
    </w:p>
    <w:p>
      <w:pPr>
        <w:pStyle w:val="10"/>
        <w:tabs>
          <w:tab w:val="right" w:leader="dot" w:pos="9693"/>
        </w:tabs>
        <w:spacing w:line="360" w:lineRule="auto"/>
        <w:rPr>
          <w:rFonts w:ascii="黑体" w:hAnsi="黑体" w:eastAsia="黑体"/>
          <w:szCs w:val="22"/>
        </w:rPr>
      </w:pPr>
      <w:r>
        <w:rPr>
          <w:rFonts w:hint="eastAsia" w:ascii="黑体" w:hAnsi="黑体" w:eastAsia="黑体"/>
          <w:color w:val="FF0000"/>
          <w:szCs w:val="21"/>
        </w:rPr>
        <w:fldChar w:fldCharType="begin"/>
      </w:r>
      <w:r>
        <w:rPr>
          <w:rFonts w:ascii="黑体" w:hAnsi="黑体" w:eastAsia="黑体"/>
          <w:color w:val="FF0000"/>
          <w:szCs w:val="21"/>
        </w:rPr>
        <w:instrText xml:space="preserve"> TOC \o "1-3" \h \z \u </w:instrText>
      </w:r>
      <w:r>
        <w:rPr>
          <w:rFonts w:hint="eastAsia" w:ascii="黑体" w:hAnsi="黑体" w:eastAsia="黑体"/>
          <w:color w:val="FF0000"/>
          <w:szCs w:val="21"/>
        </w:rPr>
        <w:fldChar w:fldCharType="separate"/>
      </w:r>
      <w:r>
        <w:fldChar w:fldCharType="begin"/>
      </w:r>
      <w:r>
        <w:instrText xml:space="preserve"> HYPERLINK \l "_Toc66431573" </w:instrText>
      </w:r>
      <w:r>
        <w:fldChar w:fldCharType="separate"/>
      </w:r>
      <w:r>
        <w:rPr>
          <w:rStyle w:val="16"/>
          <w:rFonts w:hint="eastAsia" w:ascii="黑体" w:hAnsi="黑体" w:eastAsia="黑体"/>
          <w:kern w:val="0"/>
        </w:rPr>
        <w:t>前</w:t>
      </w:r>
      <w:r>
        <w:rPr>
          <w:rStyle w:val="16"/>
          <w:rFonts w:ascii="黑体" w:hAnsi="黑体" w:eastAsia="黑体"/>
          <w:kern w:val="0"/>
        </w:rPr>
        <w:t xml:space="preserve">  </w:t>
      </w:r>
      <w:r>
        <w:rPr>
          <w:rStyle w:val="16"/>
          <w:rFonts w:hint="eastAsia" w:ascii="黑体" w:hAnsi="黑体" w:eastAsia="黑体"/>
          <w:kern w:val="0"/>
        </w:rPr>
        <w:t>言</w:t>
      </w:r>
      <w:r>
        <w:rPr>
          <w:rFonts w:ascii="黑体" w:hAnsi="黑体" w:eastAsia="黑体"/>
        </w:rPr>
        <w:tab/>
      </w:r>
      <w:r>
        <w:rPr>
          <w:rFonts w:ascii="黑体" w:hAnsi="黑体" w:eastAsia="黑体"/>
        </w:rPr>
        <w:fldChar w:fldCharType="begin"/>
      </w:r>
      <w:r>
        <w:rPr>
          <w:rFonts w:ascii="黑体" w:hAnsi="黑体" w:eastAsia="黑体"/>
        </w:rPr>
        <w:instrText xml:space="preserve"> PAGEREF _Toc66431573 \h </w:instrText>
      </w:r>
      <w:r>
        <w:rPr>
          <w:rFonts w:ascii="黑体" w:hAnsi="黑体" w:eastAsia="黑体"/>
        </w:rPr>
        <w:fldChar w:fldCharType="separate"/>
      </w:r>
      <w:r>
        <w:rPr>
          <w:rFonts w:ascii="黑体" w:hAnsi="黑体" w:eastAsia="黑体"/>
        </w:rPr>
        <w:t>II</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"_Toc66431574" </w:instrText>
      </w:r>
      <w:r>
        <w:fldChar w:fldCharType="separate"/>
      </w:r>
      <w:r>
        <w:rPr>
          <w:rStyle w:val="16"/>
          <w:rFonts w:ascii="黑体" w:hAnsi="黑体" w:eastAsia="黑体"/>
        </w:rPr>
        <w:t xml:space="preserve">1  </w:t>
      </w:r>
      <w:r>
        <w:rPr>
          <w:rStyle w:val="16"/>
          <w:rFonts w:hint="eastAsia" w:ascii="黑体" w:hAnsi="黑体" w:eastAsia="黑体"/>
        </w:rPr>
        <w:t>适用范围</w:t>
      </w:r>
      <w:r>
        <w:rPr>
          <w:rFonts w:ascii="黑体" w:hAnsi="黑体" w:eastAsia="黑体"/>
        </w:rPr>
        <w:tab/>
      </w:r>
      <w:r>
        <w:rPr>
          <w:rFonts w:ascii="黑体" w:hAnsi="黑体" w:eastAsia="黑体"/>
        </w:rPr>
        <w:fldChar w:fldCharType="begin"/>
      </w:r>
      <w:r>
        <w:rPr>
          <w:rFonts w:ascii="黑体" w:hAnsi="黑体" w:eastAsia="黑体"/>
        </w:rPr>
        <w:instrText xml:space="preserve"> PAGEREF _Toc66431574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"_Toc66431575" </w:instrText>
      </w:r>
      <w:r>
        <w:fldChar w:fldCharType="separate"/>
      </w:r>
      <w:r>
        <w:rPr>
          <w:rStyle w:val="16"/>
          <w:rFonts w:ascii="黑体" w:hAnsi="黑体" w:eastAsia="黑体"/>
          <w:bCs/>
          <w:kern w:val="0"/>
        </w:rPr>
        <w:t xml:space="preserve">2  </w:t>
      </w:r>
      <w:r>
        <w:rPr>
          <w:rStyle w:val="16"/>
          <w:rFonts w:hint="eastAsia" w:ascii="黑体" w:hAnsi="黑体" w:eastAsia="黑体"/>
          <w:bCs/>
          <w:kern w:val="0"/>
        </w:rPr>
        <w:t>规范性引用文件</w:t>
      </w:r>
      <w:r>
        <w:rPr>
          <w:rFonts w:ascii="黑体" w:hAnsi="黑体" w:eastAsia="黑体"/>
        </w:rPr>
        <w:tab/>
      </w:r>
      <w:r>
        <w:rPr>
          <w:rFonts w:ascii="黑体" w:hAnsi="黑体" w:eastAsia="黑体"/>
        </w:rPr>
        <w:fldChar w:fldCharType="begin"/>
      </w:r>
      <w:r>
        <w:rPr>
          <w:rFonts w:ascii="黑体" w:hAnsi="黑体" w:eastAsia="黑体"/>
        </w:rPr>
        <w:instrText xml:space="preserve"> PAGEREF _Toc66431575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"_Toc66431576" </w:instrText>
      </w:r>
      <w:r>
        <w:fldChar w:fldCharType="separate"/>
      </w:r>
      <w:r>
        <w:rPr>
          <w:rStyle w:val="16"/>
          <w:rFonts w:ascii="黑体" w:hAnsi="黑体" w:eastAsia="黑体"/>
          <w:bCs/>
          <w:kern w:val="0"/>
        </w:rPr>
        <w:t xml:space="preserve">3  </w:t>
      </w:r>
      <w:r>
        <w:rPr>
          <w:rStyle w:val="16"/>
          <w:rFonts w:hint="eastAsia" w:ascii="黑体" w:hAnsi="黑体" w:eastAsia="黑体"/>
          <w:bCs/>
          <w:kern w:val="0"/>
        </w:rPr>
        <w:t>术语和定义</w:t>
      </w:r>
      <w:r>
        <w:rPr>
          <w:rFonts w:ascii="黑体" w:hAnsi="黑体" w:eastAsia="黑体"/>
        </w:rPr>
        <w:tab/>
      </w:r>
      <w:r>
        <w:rPr>
          <w:rFonts w:ascii="黑体" w:hAnsi="黑体" w:eastAsia="黑体"/>
        </w:rPr>
        <w:fldChar w:fldCharType="begin"/>
      </w:r>
      <w:r>
        <w:rPr>
          <w:rFonts w:ascii="黑体" w:hAnsi="黑体" w:eastAsia="黑体"/>
        </w:rPr>
        <w:instrText xml:space="preserve"> PAGEREF _Toc66431576 \h </w:instrText>
      </w:r>
      <w:r>
        <w:rPr>
          <w:rFonts w:ascii="黑体" w:hAnsi="黑体" w:eastAsia="黑体"/>
        </w:rPr>
        <w:fldChar w:fldCharType="separate"/>
      </w:r>
      <w:r>
        <w:rPr>
          <w:rFonts w:ascii="黑体" w:hAnsi="黑体" w:eastAsia="黑体"/>
        </w:rPr>
        <w:t>2</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"_Toc66431585" </w:instrText>
      </w:r>
      <w:r>
        <w:fldChar w:fldCharType="separate"/>
      </w:r>
      <w:r>
        <w:rPr>
          <w:rStyle w:val="16"/>
          <w:rFonts w:ascii="黑体" w:hAnsi="黑体" w:eastAsia="黑体"/>
          <w:bCs/>
          <w:kern w:val="0"/>
        </w:rPr>
        <w:t xml:space="preserve">4  </w:t>
      </w:r>
      <w:r>
        <w:rPr>
          <w:rStyle w:val="16"/>
          <w:rFonts w:hint="eastAsia" w:ascii="黑体" w:hAnsi="黑体" w:eastAsia="黑体"/>
          <w:bCs/>
          <w:kern w:val="0"/>
        </w:rPr>
        <w:t>大气污染物排放限值及控制要求</w:t>
      </w:r>
      <w:r>
        <w:rPr>
          <w:rFonts w:ascii="黑体" w:hAnsi="黑体" w:eastAsia="黑体"/>
        </w:rPr>
        <w:tab/>
      </w:r>
      <w:r>
        <w:rPr>
          <w:rFonts w:ascii="黑体" w:hAnsi="黑体" w:eastAsia="黑体"/>
        </w:rPr>
        <w:fldChar w:fldCharType="begin"/>
      </w:r>
      <w:r>
        <w:rPr>
          <w:rFonts w:ascii="黑体" w:hAnsi="黑体" w:eastAsia="黑体"/>
        </w:rPr>
        <w:instrText xml:space="preserve"> PAGEREF _Toc66431585 \h </w:instrText>
      </w:r>
      <w:r>
        <w:rPr>
          <w:rFonts w:ascii="黑体" w:hAnsi="黑体" w:eastAsia="黑体"/>
        </w:rPr>
        <w:fldChar w:fldCharType="separate"/>
      </w:r>
      <w:r>
        <w:rPr>
          <w:rFonts w:ascii="黑体" w:hAnsi="黑体" w:eastAsia="黑体"/>
        </w:rPr>
        <w:t>3</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"_Toc66431589" </w:instrText>
      </w:r>
      <w:r>
        <w:fldChar w:fldCharType="separate"/>
      </w:r>
      <w:r>
        <w:rPr>
          <w:rStyle w:val="16"/>
          <w:rFonts w:ascii="黑体" w:hAnsi="黑体" w:eastAsia="黑体"/>
          <w:bCs/>
          <w:kern w:val="0"/>
        </w:rPr>
        <w:t xml:space="preserve">5  </w:t>
      </w:r>
      <w:r>
        <w:rPr>
          <w:rStyle w:val="16"/>
          <w:rFonts w:hint="eastAsia" w:ascii="黑体" w:hAnsi="黑体" w:eastAsia="黑体"/>
          <w:bCs/>
          <w:kern w:val="0"/>
        </w:rPr>
        <w:t>污染物监测要求</w:t>
      </w:r>
      <w:r>
        <w:rPr>
          <w:rFonts w:ascii="黑体" w:hAnsi="黑体" w:eastAsia="黑体"/>
        </w:rPr>
        <w:tab/>
      </w:r>
      <w:r>
        <w:rPr>
          <w:rFonts w:ascii="黑体" w:hAnsi="黑体" w:eastAsia="黑体"/>
        </w:rPr>
        <w:fldChar w:fldCharType="begin"/>
      </w:r>
      <w:r>
        <w:rPr>
          <w:rFonts w:ascii="黑体" w:hAnsi="黑体" w:eastAsia="黑体"/>
        </w:rPr>
        <w:instrText xml:space="preserve"> PAGEREF _Toc66431589 \h </w:instrText>
      </w:r>
      <w:r>
        <w:rPr>
          <w:rFonts w:ascii="黑体" w:hAnsi="黑体" w:eastAsia="黑体"/>
        </w:rPr>
        <w:fldChar w:fldCharType="separate"/>
      </w:r>
      <w:r>
        <w:rPr>
          <w:rFonts w:ascii="黑体" w:hAnsi="黑体" w:eastAsia="黑体"/>
        </w:rPr>
        <w:t>4</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"_Toc66431592" </w:instrText>
      </w:r>
      <w:r>
        <w:fldChar w:fldCharType="separate"/>
      </w:r>
      <w:r>
        <w:rPr>
          <w:rStyle w:val="16"/>
          <w:rFonts w:ascii="黑体" w:hAnsi="黑体" w:eastAsia="黑体"/>
          <w:bCs/>
          <w:kern w:val="0"/>
        </w:rPr>
        <w:t xml:space="preserve">6  </w:t>
      </w:r>
      <w:r>
        <w:rPr>
          <w:rStyle w:val="16"/>
          <w:rFonts w:hint="eastAsia" w:ascii="黑体" w:hAnsi="黑体" w:eastAsia="黑体"/>
          <w:bCs/>
          <w:kern w:val="0"/>
        </w:rPr>
        <w:t>达标判定要求</w:t>
      </w:r>
      <w:r>
        <w:rPr>
          <w:rFonts w:ascii="黑体" w:hAnsi="黑体" w:eastAsia="黑体"/>
        </w:rPr>
        <w:tab/>
      </w:r>
      <w:r>
        <w:rPr>
          <w:rFonts w:ascii="黑体" w:hAnsi="黑体" w:eastAsia="黑体"/>
        </w:rPr>
        <w:fldChar w:fldCharType="begin"/>
      </w:r>
      <w:r>
        <w:rPr>
          <w:rFonts w:ascii="黑体" w:hAnsi="黑体" w:eastAsia="黑体"/>
        </w:rPr>
        <w:instrText xml:space="preserve"> PAGEREF _Toc66431592 \h </w:instrText>
      </w:r>
      <w:r>
        <w:rPr>
          <w:rFonts w:ascii="黑体" w:hAnsi="黑体" w:eastAsia="黑体"/>
        </w:rPr>
        <w:fldChar w:fldCharType="separate"/>
      </w:r>
      <w:r>
        <w:rPr>
          <w:rFonts w:ascii="黑体" w:hAnsi="黑体" w:eastAsia="黑体"/>
        </w:rPr>
        <w:t>5</w:t>
      </w:r>
      <w:r>
        <w:rPr>
          <w:rFonts w:ascii="黑体" w:hAnsi="黑体" w:eastAsia="黑体"/>
        </w:rPr>
        <w:fldChar w:fldCharType="end"/>
      </w:r>
      <w:r>
        <w:rPr>
          <w:rFonts w:ascii="黑体" w:hAnsi="黑体" w:eastAsia="黑体"/>
        </w:rPr>
        <w:fldChar w:fldCharType="end"/>
      </w:r>
    </w:p>
    <w:p>
      <w:pPr>
        <w:pStyle w:val="10"/>
        <w:tabs>
          <w:tab w:val="right" w:leader="dot" w:pos="9693"/>
        </w:tabs>
        <w:spacing w:line="360" w:lineRule="auto"/>
        <w:rPr>
          <w:rFonts w:ascii="黑体" w:hAnsi="黑体" w:eastAsia="黑体"/>
          <w:szCs w:val="22"/>
        </w:rPr>
      </w:pPr>
      <w:r>
        <w:fldChar w:fldCharType="begin"/>
      </w:r>
      <w:r>
        <w:instrText xml:space="preserve"> HYPERLINK \l "_Toc66431599" </w:instrText>
      </w:r>
      <w:r>
        <w:fldChar w:fldCharType="separate"/>
      </w:r>
      <w:r>
        <w:rPr>
          <w:rStyle w:val="16"/>
          <w:rFonts w:ascii="黑体" w:hAnsi="黑体" w:eastAsia="黑体"/>
          <w:bCs/>
          <w:kern w:val="0"/>
        </w:rPr>
        <w:t xml:space="preserve">7  </w:t>
      </w:r>
      <w:r>
        <w:rPr>
          <w:rStyle w:val="16"/>
          <w:rFonts w:hint="eastAsia" w:ascii="黑体" w:hAnsi="黑体" w:eastAsia="黑体"/>
          <w:bCs/>
          <w:kern w:val="0"/>
        </w:rPr>
        <w:t>实施与监督</w:t>
      </w:r>
      <w:r>
        <w:rPr>
          <w:rFonts w:ascii="黑体" w:hAnsi="黑体" w:eastAsia="黑体"/>
        </w:rPr>
        <w:tab/>
      </w:r>
      <w:r>
        <w:rPr>
          <w:rFonts w:ascii="黑体" w:hAnsi="黑体" w:eastAsia="黑体"/>
        </w:rPr>
        <w:fldChar w:fldCharType="begin"/>
      </w:r>
      <w:r>
        <w:rPr>
          <w:rFonts w:ascii="黑体" w:hAnsi="黑体" w:eastAsia="黑体"/>
        </w:rPr>
        <w:instrText xml:space="preserve"> PAGEREF _Toc66431599 \h </w:instrText>
      </w:r>
      <w:r>
        <w:rPr>
          <w:rFonts w:ascii="黑体" w:hAnsi="黑体" w:eastAsia="黑体"/>
        </w:rPr>
        <w:fldChar w:fldCharType="separate"/>
      </w:r>
      <w:r>
        <w:rPr>
          <w:rFonts w:ascii="黑体" w:hAnsi="黑体" w:eastAsia="黑体"/>
        </w:rPr>
        <w:t>5</w:t>
      </w:r>
      <w:r>
        <w:rPr>
          <w:rFonts w:ascii="黑体" w:hAnsi="黑体" w:eastAsia="黑体"/>
        </w:rPr>
        <w:fldChar w:fldCharType="end"/>
      </w:r>
      <w:r>
        <w:rPr>
          <w:rFonts w:ascii="黑体" w:hAnsi="黑体" w:eastAsia="黑体"/>
        </w:rPr>
        <w:fldChar w:fldCharType="end"/>
      </w:r>
    </w:p>
    <w:p>
      <w:pPr>
        <w:tabs>
          <w:tab w:val="left" w:pos="5060"/>
        </w:tabs>
        <w:spacing w:before="640" w:after="560" w:line="360" w:lineRule="auto"/>
        <w:jc w:val="center"/>
        <w:rPr>
          <w:rFonts w:hint="default"/>
          <w:sz w:val="24"/>
        </w:rPr>
      </w:pPr>
      <w:r>
        <w:rPr>
          <w:rFonts w:ascii="黑体" w:hAnsi="黑体" w:eastAsia="黑体"/>
          <w:color w:val="FF0000"/>
          <w:szCs w:val="21"/>
        </w:rPr>
        <w:fldChar w:fldCharType="end"/>
      </w:r>
    </w:p>
    <w:p>
      <w:pPr>
        <w:tabs>
          <w:tab w:val="left" w:pos="5060"/>
        </w:tabs>
        <w:spacing w:before="640" w:after="560"/>
        <w:jc w:val="center"/>
        <w:outlineLvl w:val="0"/>
        <w:rPr>
          <w:rFonts w:hint="default" w:ascii="黑体" w:hAnsi="黑体" w:eastAsia="黑体"/>
          <w:kern w:val="0"/>
          <w:sz w:val="32"/>
          <w:szCs w:val="32"/>
        </w:rPr>
      </w:pPr>
      <w:r>
        <w:rPr>
          <w:rFonts w:hint="default"/>
          <w:sz w:val="24"/>
        </w:rPr>
        <w:br w:type="page"/>
      </w:r>
      <w:bookmarkStart w:id="1" w:name="_Toc66112989"/>
      <w:bookmarkStart w:id="2" w:name="_Toc66431573"/>
      <w:r>
        <w:rPr>
          <w:rFonts w:ascii="黑体" w:hAnsi="黑体" w:eastAsia="黑体"/>
          <w:kern w:val="0"/>
          <w:sz w:val="32"/>
          <w:szCs w:val="32"/>
        </w:rPr>
        <w:t>前    言</w:t>
      </w:r>
      <w:bookmarkEnd w:id="1"/>
      <w:bookmarkEnd w:id="2"/>
    </w:p>
    <w:p>
      <w:pPr>
        <w:pStyle w:val="37"/>
        <w:spacing w:line="360" w:lineRule="auto"/>
        <w:rPr>
          <w:color w:val="000000"/>
          <w:sz w:val="21"/>
          <w:szCs w:val="21"/>
        </w:rPr>
      </w:pPr>
      <w:r>
        <w:rPr>
          <w:rFonts w:hint="eastAsia"/>
          <w:sz w:val="21"/>
          <w:szCs w:val="21"/>
        </w:rPr>
        <w:t>本标准按照</w:t>
      </w:r>
      <w:r>
        <w:rPr>
          <w:rFonts w:hint="eastAsia"/>
          <w:color w:val="000000"/>
          <w:sz w:val="21"/>
          <w:szCs w:val="21"/>
        </w:rPr>
        <w:t>GB/T 1.1-2020《标准化工作导则 第1部分：标准化文件的结构和起草规则》</w:t>
      </w:r>
      <w:r>
        <w:rPr>
          <w:rFonts w:ascii="Times New Roman" w:hAnsi="Times New Roman"/>
          <w:color w:val="000000"/>
          <w:sz w:val="21"/>
          <w:szCs w:val="21"/>
        </w:rPr>
        <w:t>给</w:t>
      </w:r>
      <w:r>
        <w:rPr>
          <w:rFonts w:hint="eastAsia"/>
          <w:color w:val="000000"/>
          <w:sz w:val="21"/>
          <w:szCs w:val="21"/>
        </w:rPr>
        <w:t>出的规则起草。</w:t>
      </w:r>
    </w:p>
    <w:p>
      <w:pPr>
        <w:pStyle w:val="37"/>
        <w:spacing w:line="360" w:lineRule="auto"/>
        <w:rPr>
          <w:color w:val="000000"/>
          <w:sz w:val="21"/>
          <w:szCs w:val="21"/>
        </w:rPr>
      </w:pPr>
      <w:r>
        <w:rPr>
          <w:color w:val="000000"/>
          <w:sz w:val="21"/>
          <w:szCs w:val="21"/>
        </w:rPr>
        <w:t xml:space="preserve">本标准代替DB13/ </w:t>
      </w:r>
      <w:r>
        <w:rPr>
          <w:rFonts w:hint="eastAsia"/>
          <w:color w:val="000000"/>
          <w:sz w:val="21"/>
          <w:szCs w:val="21"/>
        </w:rPr>
        <w:t>1641</w:t>
      </w:r>
      <w:r>
        <w:rPr>
          <w:color w:val="000000"/>
          <w:sz w:val="21"/>
          <w:szCs w:val="21"/>
        </w:rPr>
        <w:t>-201</w:t>
      </w:r>
      <w:r>
        <w:rPr>
          <w:rFonts w:hint="eastAsia"/>
          <w:color w:val="000000"/>
          <w:sz w:val="21"/>
          <w:szCs w:val="21"/>
        </w:rPr>
        <w:t>2</w:t>
      </w:r>
      <w:r>
        <w:rPr>
          <w:color w:val="000000"/>
          <w:sz w:val="21"/>
          <w:szCs w:val="21"/>
        </w:rPr>
        <w:t>《石灰行业大气污染物排放标准》。</w:t>
      </w:r>
      <w:r>
        <w:rPr>
          <w:rFonts w:ascii="Times New Roman" w:hAnsi="Times New Roman"/>
          <w:color w:val="000000"/>
          <w:sz w:val="21"/>
          <w:szCs w:val="21"/>
        </w:rPr>
        <w:t>与DB13/ 1641-2012相</w:t>
      </w:r>
      <w:r>
        <w:rPr>
          <w:color w:val="000000"/>
          <w:sz w:val="21"/>
          <w:szCs w:val="21"/>
        </w:rPr>
        <w:t>比，主要技术变化如下：</w:t>
      </w:r>
    </w:p>
    <w:p>
      <w:pPr>
        <w:pStyle w:val="37"/>
        <w:spacing w:line="360" w:lineRule="auto"/>
        <w:rPr>
          <w:color w:val="000000"/>
          <w:sz w:val="21"/>
          <w:szCs w:val="21"/>
        </w:rPr>
      </w:pPr>
      <w:r>
        <w:rPr>
          <w:color w:val="000000"/>
          <w:sz w:val="21"/>
          <w:szCs w:val="21"/>
        </w:rPr>
        <w:t>——修改了石灰窑颗粒物、二氧化硫、氮氧化物大气污染物排放限值</w:t>
      </w:r>
      <w:r>
        <w:rPr>
          <w:rFonts w:hint="eastAsia"/>
          <w:color w:val="000000"/>
          <w:sz w:val="21"/>
          <w:szCs w:val="21"/>
        </w:rPr>
        <w:t>，</w:t>
      </w:r>
      <w:r>
        <w:rPr>
          <w:color w:val="000000"/>
          <w:sz w:val="21"/>
          <w:szCs w:val="21"/>
        </w:rPr>
        <w:t>增加了石灰窑氨</w:t>
      </w:r>
      <w:r>
        <w:rPr>
          <w:rFonts w:hint="eastAsia"/>
          <w:color w:val="0000FF"/>
          <w:sz w:val="21"/>
          <w:szCs w:val="21"/>
        </w:rPr>
        <w:t>、</w:t>
      </w:r>
      <w:r>
        <w:rPr>
          <w:rFonts w:hint="eastAsia"/>
          <w:color w:val="auto"/>
          <w:sz w:val="21"/>
          <w:szCs w:val="21"/>
        </w:rPr>
        <w:t>烟气黑度</w:t>
      </w:r>
      <w:r>
        <w:rPr>
          <w:color w:val="auto"/>
          <w:sz w:val="21"/>
          <w:szCs w:val="21"/>
        </w:rPr>
        <w:t>排</w:t>
      </w:r>
      <w:r>
        <w:rPr>
          <w:color w:val="000000"/>
          <w:sz w:val="21"/>
          <w:szCs w:val="21"/>
        </w:rPr>
        <w:t>放限值；</w:t>
      </w:r>
    </w:p>
    <w:p>
      <w:pPr>
        <w:pStyle w:val="37"/>
        <w:spacing w:line="360" w:lineRule="auto"/>
        <w:rPr>
          <w:sz w:val="21"/>
          <w:szCs w:val="21"/>
        </w:rPr>
      </w:pPr>
      <w:r>
        <w:rPr>
          <w:sz w:val="21"/>
          <w:szCs w:val="21"/>
        </w:rPr>
        <w:t>——</w:t>
      </w:r>
      <w:r>
        <w:rPr>
          <w:rFonts w:hint="eastAsia"/>
          <w:sz w:val="21"/>
          <w:szCs w:val="21"/>
        </w:rPr>
        <w:t>修改了无组织排放控制要求；</w:t>
      </w:r>
    </w:p>
    <w:p>
      <w:pPr>
        <w:pStyle w:val="37"/>
        <w:spacing w:line="360" w:lineRule="auto"/>
        <w:rPr>
          <w:color w:val="auto"/>
          <w:sz w:val="21"/>
          <w:szCs w:val="21"/>
        </w:rPr>
      </w:pPr>
      <w:r>
        <w:rPr>
          <w:color w:val="000000"/>
          <w:sz w:val="21"/>
          <w:szCs w:val="21"/>
        </w:rPr>
        <w:t>——</w:t>
      </w:r>
      <w:r>
        <w:rPr>
          <w:rFonts w:hint="eastAsia"/>
          <w:color w:val="auto"/>
          <w:sz w:val="21"/>
          <w:szCs w:val="21"/>
        </w:rPr>
        <w:t>增加</w:t>
      </w:r>
      <w:r>
        <w:rPr>
          <w:color w:val="auto"/>
          <w:sz w:val="21"/>
          <w:szCs w:val="21"/>
        </w:rPr>
        <w:t>了</w:t>
      </w:r>
      <w:r>
        <w:rPr>
          <w:rFonts w:hint="eastAsia"/>
          <w:color w:val="auto"/>
          <w:sz w:val="21"/>
          <w:szCs w:val="21"/>
        </w:rPr>
        <w:t>企业厂区内大气污染物</w:t>
      </w:r>
      <w:r>
        <w:rPr>
          <w:color w:val="auto"/>
          <w:sz w:val="21"/>
          <w:szCs w:val="21"/>
        </w:rPr>
        <w:t>无组织排放限值；</w:t>
      </w:r>
    </w:p>
    <w:p>
      <w:pPr>
        <w:pStyle w:val="37"/>
        <w:spacing w:line="360" w:lineRule="auto"/>
        <w:rPr>
          <w:color w:val="auto"/>
          <w:sz w:val="21"/>
          <w:szCs w:val="21"/>
        </w:rPr>
      </w:pPr>
      <w:r>
        <w:rPr>
          <w:color w:val="auto"/>
          <w:sz w:val="21"/>
          <w:szCs w:val="21"/>
        </w:rPr>
        <w:t>——</w:t>
      </w:r>
      <w:r>
        <w:rPr>
          <w:rFonts w:hint="eastAsia"/>
          <w:color w:val="auto"/>
          <w:sz w:val="21"/>
          <w:szCs w:val="21"/>
        </w:rPr>
        <w:t>删除了厂界颗粒物无组织排放限值；</w:t>
      </w:r>
    </w:p>
    <w:p>
      <w:pPr>
        <w:pStyle w:val="37"/>
        <w:spacing w:line="360" w:lineRule="auto"/>
        <w:rPr>
          <w:color w:val="000000"/>
          <w:sz w:val="21"/>
          <w:szCs w:val="21"/>
        </w:rPr>
      </w:pPr>
      <w:r>
        <w:rPr>
          <w:color w:val="000000"/>
          <w:sz w:val="21"/>
          <w:szCs w:val="21"/>
        </w:rPr>
        <w:t>——修改了排气筒高度要求</w:t>
      </w:r>
      <w:r>
        <w:rPr>
          <w:rFonts w:hint="eastAsia"/>
          <w:color w:val="000000"/>
          <w:sz w:val="21"/>
          <w:szCs w:val="21"/>
        </w:rPr>
        <w:t>；</w:t>
      </w:r>
    </w:p>
    <w:p>
      <w:pPr>
        <w:pStyle w:val="37"/>
        <w:spacing w:line="360" w:lineRule="auto"/>
        <w:rPr>
          <w:color w:val="0000FF"/>
          <w:sz w:val="21"/>
          <w:szCs w:val="21"/>
        </w:rPr>
      </w:pPr>
      <w:r>
        <w:rPr>
          <w:rFonts w:ascii="Calibri" w:cs="Calibri"/>
          <w:color w:val="000000" w:themeColor="text1"/>
          <w:sz w:val="21"/>
          <w:szCs w:val="21"/>
          <w14:textFill>
            <w14:solidFill>
              <w14:schemeClr w14:val="tx1"/>
            </w14:solidFill>
          </w14:textFill>
        </w:rPr>
        <w:t>——</w:t>
      </w:r>
      <w:r>
        <w:rPr>
          <w:rFonts w:hint="eastAsia"/>
          <w:color w:val="000000"/>
          <w:sz w:val="21"/>
          <w:szCs w:val="21"/>
        </w:rPr>
        <w:t>修改了石灰窑基准氧含量；</w:t>
      </w:r>
    </w:p>
    <w:p>
      <w:pPr>
        <w:pStyle w:val="37"/>
        <w:spacing w:line="360" w:lineRule="auto"/>
        <w:rPr>
          <w:color w:val="000000"/>
          <w:sz w:val="21"/>
          <w:szCs w:val="21"/>
        </w:rPr>
      </w:pPr>
      <w:r>
        <w:rPr>
          <w:color w:val="000000"/>
          <w:sz w:val="21"/>
          <w:szCs w:val="21"/>
        </w:rPr>
        <w:t>——增加了大气污染物达标判定要求。</w:t>
      </w:r>
    </w:p>
    <w:p>
      <w:pPr>
        <w:pStyle w:val="37"/>
        <w:spacing w:line="360" w:lineRule="auto"/>
        <w:rPr>
          <w:sz w:val="21"/>
          <w:szCs w:val="21"/>
        </w:rPr>
      </w:pPr>
      <w:r>
        <w:rPr>
          <w:rFonts w:hint="eastAsia"/>
          <w:sz w:val="21"/>
          <w:szCs w:val="21"/>
        </w:rPr>
        <w:t>本标准由河北省生态环境厅提出并归口。</w:t>
      </w:r>
    </w:p>
    <w:p>
      <w:pPr>
        <w:pStyle w:val="37"/>
        <w:spacing w:line="360" w:lineRule="auto"/>
        <w:rPr>
          <w:color w:val="000000" w:themeColor="text1"/>
          <w:sz w:val="21"/>
          <w:szCs w:val="21"/>
          <w14:textFill>
            <w14:solidFill>
              <w14:schemeClr w14:val="tx1"/>
            </w14:solidFill>
          </w14:textFill>
        </w:rPr>
      </w:pPr>
      <w:r>
        <w:rPr>
          <w:rFonts w:hint="eastAsia"/>
          <w:sz w:val="21"/>
          <w:szCs w:val="21"/>
        </w:rPr>
        <w:t>本标准起草单位：</w:t>
      </w:r>
      <w:r>
        <w:rPr>
          <w:color w:val="000000" w:themeColor="text1"/>
          <w:sz w:val="21"/>
          <w:szCs w:val="21"/>
          <w14:textFill>
            <w14:solidFill>
              <w14:schemeClr w14:val="tx1"/>
            </w14:solidFill>
          </w14:textFill>
        </w:rPr>
        <w:t>河北省生态环境保护技术服务中心。</w:t>
      </w:r>
    </w:p>
    <w:p>
      <w:pPr>
        <w:pStyle w:val="37"/>
        <w:spacing w:line="360" w:lineRule="auto"/>
        <w:rPr>
          <w:rFonts w:ascii="Times New Roman"/>
          <w:sz w:val="21"/>
          <w:szCs w:val="21"/>
        </w:rPr>
      </w:pPr>
      <w:r>
        <w:rPr>
          <w:rFonts w:ascii="Times New Roman"/>
          <w:sz w:val="21"/>
          <w:szCs w:val="21"/>
        </w:rPr>
        <w:t>本标准主要起草人：</w:t>
      </w:r>
    </w:p>
    <w:p>
      <w:pPr>
        <w:pStyle w:val="37"/>
        <w:spacing w:line="360" w:lineRule="auto"/>
        <w:rPr>
          <w:rFonts w:ascii="Times New Roman"/>
          <w:sz w:val="21"/>
          <w:szCs w:val="21"/>
        </w:rPr>
      </w:pPr>
      <w:r>
        <w:rPr>
          <w:rFonts w:ascii="Times New Roman"/>
          <w:sz w:val="21"/>
          <w:szCs w:val="21"/>
        </w:rPr>
        <w:t>本标准所代替标准的历次版本发布情况：</w:t>
      </w:r>
    </w:p>
    <w:p>
      <w:pPr>
        <w:pStyle w:val="37"/>
        <w:spacing w:line="360" w:lineRule="auto"/>
        <w:rPr>
          <w:rFonts w:ascii="Times New Roman"/>
          <w:sz w:val="21"/>
          <w:szCs w:val="21"/>
        </w:rPr>
      </w:pPr>
      <w:r>
        <w:rPr>
          <w:rFonts w:ascii="Times New Roman"/>
          <w:sz w:val="21"/>
          <w:szCs w:val="21"/>
        </w:rPr>
        <w:t xml:space="preserve">——DB13/ </w:t>
      </w:r>
      <w:r>
        <w:rPr>
          <w:rFonts w:hint="eastAsia" w:ascii="Times New Roman"/>
          <w:sz w:val="21"/>
          <w:szCs w:val="21"/>
        </w:rPr>
        <w:t>1641</w:t>
      </w:r>
      <w:r>
        <w:rPr>
          <w:rFonts w:ascii="Times New Roman"/>
          <w:sz w:val="21"/>
          <w:szCs w:val="21"/>
        </w:rPr>
        <w:t>-201</w:t>
      </w:r>
      <w:r>
        <w:rPr>
          <w:rFonts w:hint="eastAsia" w:ascii="Times New Roman"/>
          <w:sz w:val="21"/>
          <w:szCs w:val="21"/>
        </w:rPr>
        <w:t>2</w:t>
      </w:r>
      <w:r>
        <w:rPr>
          <w:rFonts w:ascii="Times New Roman"/>
          <w:sz w:val="21"/>
          <w:szCs w:val="21"/>
        </w:rPr>
        <w:t>。</w:t>
      </w:r>
    </w:p>
    <w:p>
      <w:pPr>
        <w:ind w:firstLine="420" w:firstLineChars="200"/>
        <w:jc w:val="left"/>
        <w:rPr>
          <w:rFonts w:hint="default"/>
          <w:kern w:val="0"/>
        </w:rPr>
      </w:pPr>
      <w:r>
        <w:rPr>
          <w:szCs w:val="21"/>
        </w:rPr>
        <w:t>本标准由河北省人民政府于□□年□月□日批准。</w:t>
      </w:r>
    </w:p>
    <w:p>
      <w:pPr>
        <w:spacing w:line="303" w:lineRule="exact"/>
        <w:ind w:right="-20"/>
        <w:jc w:val="left"/>
        <w:rPr>
          <w:rFonts w:hint="default"/>
          <w:kern w:val="0"/>
        </w:rPr>
      </w:pPr>
    </w:p>
    <w:p>
      <w:pPr>
        <w:spacing w:line="303" w:lineRule="exact"/>
        <w:ind w:right="-20"/>
        <w:jc w:val="left"/>
        <w:rPr>
          <w:rFonts w:hint="default"/>
          <w:kern w:val="0"/>
        </w:rPr>
      </w:pPr>
    </w:p>
    <w:p>
      <w:pPr>
        <w:spacing w:line="303" w:lineRule="exact"/>
        <w:ind w:right="-20"/>
        <w:jc w:val="left"/>
        <w:rPr>
          <w:rFonts w:hint="default"/>
          <w:kern w:val="0"/>
        </w:rPr>
      </w:pPr>
    </w:p>
    <w:p>
      <w:pPr>
        <w:spacing w:line="303" w:lineRule="exact"/>
        <w:ind w:right="-20"/>
        <w:jc w:val="left"/>
        <w:rPr>
          <w:rFonts w:hint="default"/>
          <w:kern w:val="0"/>
        </w:rPr>
        <w:sectPr>
          <w:footerReference r:id="rId5" w:type="default"/>
          <w:pgSz w:w="11920" w:h="16840"/>
          <w:pgMar w:top="1338" w:right="919" w:bottom="1338" w:left="1298" w:header="0" w:footer="1140" w:gutter="0"/>
          <w:pgNumType w:fmt="upperRoman" w:start="1"/>
          <w:cols w:space="720" w:num="1"/>
        </w:sectPr>
      </w:pPr>
    </w:p>
    <w:p>
      <w:pPr>
        <w:spacing w:before="48" w:beforeLines="20" w:after="48" w:afterLines="20" w:line="340" w:lineRule="exact"/>
        <w:jc w:val="center"/>
        <w:rPr>
          <w:rFonts w:hint="default" w:ascii="黑体" w:hAnsi="黑体" w:eastAsia="黑体"/>
          <w:kern w:val="0"/>
          <w:sz w:val="30"/>
          <w:szCs w:val="30"/>
        </w:rPr>
      </w:pPr>
      <w:r>
        <w:rPr>
          <w:rFonts w:ascii="黑体" w:hAnsi="黑体" w:eastAsia="黑体"/>
          <w:kern w:val="0"/>
          <w:sz w:val="30"/>
          <w:szCs w:val="30"/>
        </w:rPr>
        <w:t>石灰工业</w:t>
      </w:r>
      <w:r>
        <w:rPr>
          <w:rFonts w:hint="default" w:ascii="黑体" w:hAnsi="黑体" w:eastAsia="黑体"/>
          <w:kern w:val="0"/>
          <w:sz w:val="30"/>
          <w:szCs w:val="30"/>
        </w:rPr>
        <w:t>大气污染物排放标准</w:t>
      </w:r>
    </w:p>
    <w:p>
      <w:pPr>
        <w:pStyle w:val="26"/>
        <w:tabs>
          <w:tab w:val="clear" w:pos="420"/>
        </w:tabs>
        <w:spacing w:before="240" w:after="240" w:line="340" w:lineRule="exact"/>
      </w:pPr>
      <w:bookmarkStart w:id="3" w:name="_Toc66431574"/>
      <w:r>
        <w:rPr>
          <w:rFonts w:hint="eastAsia"/>
        </w:rPr>
        <w:t xml:space="preserve">1  </w:t>
      </w:r>
      <w:r>
        <w:t>适用范围</w:t>
      </w:r>
      <w:bookmarkEnd w:id="3"/>
    </w:p>
    <w:p>
      <w:pPr>
        <w:spacing w:line="340" w:lineRule="exact"/>
        <w:ind w:firstLine="420" w:firstLineChars="200"/>
        <w:rPr>
          <w:rFonts w:hint="default"/>
          <w:kern w:val="0"/>
          <w:szCs w:val="21"/>
        </w:rPr>
      </w:pPr>
      <w:r>
        <w:rPr>
          <w:kern w:val="0"/>
          <w:szCs w:val="21"/>
        </w:rPr>
        <w:t>本标准规定了石灰工业大气污染物排放控制要求、监测和监督管理要求。</w:t>
      </w:r>
    </w:p>
    <w:p>
      <w:pPr>
        <w:spacing w:line="340" w:lineRule="exact"/>
        <w:ind w:firstLine="420" w:firstLineChars="200"/>
        <w:rPr>
          <w:rFonts w:hint="default"/>
          <w:kern w:val="0"/>
          <w:szCs w:val="21"/>
        </w:rPr>
      </w:pPr>
      <w:r>
        <w:rPr>
          <w:kern w:val="0"/>
          <w:szCs w:val="21"/>
        </w:rPr>
        <w:t>本标准适用于现有石灰工业企业或生产设施的大气污染物排放管理，以及新建、改扩建的石灰工业企业或生产设施建设项目的环境影响评价、环境保护设施设计、竣工环境保护</w:t>
      </w:r>
      <w:r>
        <w:rPr>
          <w:color w:val="auto"/>
          <w:kern w:val="0"/>
          <w:szCs w:val="21"/>
        </w:rPr>
        <w:t>设施</w:t>
      </w:r>
      <w:r>
        <w:rPr>
          <w:kern w:val="0"/>
          <w:szCs w:val="21"/>
        </w:rPr>
        <w:t>验收、排污许可</w:t>
      </w:r>
      <w:r>
        <w:rPr>
          <w:color w:val="auto"/>
          <w:kern w:val="0"/>
          <w:szCs w:val="21"/>
        </w:rPr>
        <w:t>证核发</w:t>
      </w:r>
      <w:r>
        <w:rPr>
          <w:kern w:val="0"/>
          <w:szCs w:val="21"/>
        </w:rPr>
        <w:t>及其投产后的大气污染物排放管理。</w:t>
      </w:r>
    </w:p>
    <w:p>
      <w:pPr>
        <w:spacing w:line="340" w:lineRule="exact"/>
        <w:ind w:firstLine="420" w:firstLineChars="200"/>
        <w:rPr>
          <w:rFonts w:hint="default" w:ascii="宋体" w:hAnsi="宋体"/>
          <w:kern w:val="0"/>
          <w:szCs w:val="21"/>
        </w:rPr>
      </w:pPr>
      <w:r>
        <w:rPr>
          <w:rFonts w:ascii="宋体" w:hAnsi="宋体"/>
          <w:kern w:val="0"/>
          <w:szCs w:val="21"/>
        </w:rPr>
        <w:t>本标准不适用于钢铁企业内部的石灰生产设施及将石灰窑尾气作为原料气生产化工产品的石灰生产设施。</w:t>
      </w:r>
    </w:p>
    <w:p>
      <w:pPr>
        <w:spacing w:before="240" w:beforeLines="100" w:after="240" w:afterLines="100" w:line="340" w:lineRule="exact"/>
        <w:outlineLvl w:val="0"/>
        <w:rPr>
          <w:rFonts w:hint="default" w:ascii="黑体" w:hAnsi="黑体" w:eastAsia="黑体"/>
          <w:bCs/>
          <w:kern w:val="0"/>
          <w:szCs w:val="21"/>
        </w:rPr>
      </w:pPr>
      <w:bookmarkStart w:id="4" w:name="_Toc66431575"/>
      <w:r>
        <w:rPr>
          <w:rFonts w:hint="default" w:ascii="黑体" w:hAnsi="黑体" w:eastAsia="黑体"/>
          <w:bCs/>
          <w:kern w:val="0"/>
          <w:szCs w:val="21"/>
        </w:rPr>
        <w:t xml:space="preserve">2  </w:t>
      </w:r>
      <w:r>
        <w:rPr>
          <w:rFonts w:ascii="黑体" w:hAnsi="黑体" w:eastAsia="黑体"/>
          <w:bCs/>
          <w:kern w:val="0"/>
          <w:szCs w:val="21"/>
        </w:rPr>
        <w:t>规范性引用文件</w:t>
      </w:r>
      <w:bookmarkEnd w:id="4"/>
    </w:p>
    <w:p>
      <w:pPr>
        <w:spacing w:line="340" w:lineRule="exact"/>
        <w:ind w:firstLine="420" w:firstLineChars="200"/>
        <w:rPr>
          <w:rFonts w:hint="default"/>
          <w:kern w:val="0"/>
          <w:szCs w:val="21"/>
        </w:rPr>
      </w:pPr>
      <w:r>
        <w:rPr>
          <w:kern w:val="0"/>
          <w:szCs w:val="21"/>
        </w:rPr>
        <w:t>本标准内容引用了下列文件或其中的条款。凡是注明日期的引用文件，仅注日期的版本适用于本标准。凡是未注明日期的引用文件，其最新版本（包括所有的修改单）适用于本标准。</w:t>
      </w:r>
    </w:p>
    <w:p>
      <w:pPr>
        <w:rPr>
          <w:rFonts w:hint="default"/>
        </w:rPr>
      </w:pPr>
    </w:p>
    <w:tbl>
      <w:tblPr>
        <w:tblStyle w:val="13"/>
        <w:tblW w:w="0" w:type="auto"/>
        <w:jc w:val="center"/>
        <w:tblLayout w:type="fixed"/>
        <w:tblCellMar>
          <w:top w:w="0" w:type="dxa"/>
          <w:left w:w="0" w:type="dxa"/>
          <w:bottom w:w="0" w:type="dxa"/>
          <w:right w:w="0" w:type="dxa"/>
        </w:tblCellMar>
      </w:tblPr>
      <w:tblGrid>
        <w:gridCol w:w="1682"/>
        <w:gridCol w:w="7686"/>
      </w:tblGrid>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GB/T 15432</w:t>
            </w:r>
          </w:p>
        </w:tc>
        <w:tc>
          <w:tcPr>
            <w:tcW w:w="7686" w:type="dxa"/>
            <w:vAlign w:val="center"/>
          </w:tcPr>
          <w:p>
            <w:pPr>
              <w:rPr>
                <w:rFonts w:hint="default" w:ascii="宋体" w:hAnsi="宋体"/>
                <w:kern w:val="0"/>
                <w:szCs w:val="21"/>
              </w:rPr>
            </w:pPr>
            <w:r>
              <w:rPr>
                <w:rFonts w:ascii="宋体" w:hAnsi="宋体"/>
                <w:kern w:val="0"/>
                <w:szCs w:val="21"/>
              </w:rPr>
              <w:t>环境空气  总悬浮颗粒物的测定  重量法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GB/T 16157</w:t>
            </w:r>
          </w:p>
        </w:tc>
        <w:tc>
          <w:tcPr>
            <w:tcW w:w="7686" w:type="dxa"/>
            <w:vAlign w:val="center"/>
          </w:tcPr>
          <w:p>
            <w:pPr>
              <w:rPr>
                <w:rFonts w:hint="default" w:ascii="宋体" w:hAnsi="宋体"/>
                <w:kern w:val="0"/>
                <w:szCs w:val="21"/>
              </w:rPr>
            </w:pPr>
            <w:r>
              <w:rPr>
                <w:rFonts w:ascii="宋体" w:hAnsi="宋体"/>
                <w:kern w:val="0"/>
                <w:szCs w:val="21"/>
              </w:rPr>
              <w:t>固定污染源排气中颗粒物测定与气态污染物采样方法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color w:val="auto"/>
                <w:kern w:val="0"/>
                <w:szCs w:val="21"/>
              </w:rPr>
            </w:pPr>
            <w:r>
              <w:rPr>
                <w:rFonts w:ascii="宋体" w:hAnsi="宋体"/>
                <w:color w:val="auto"/>
                <w:kern w:val="0"/>
                <w:szCs w:val="21"/>
              </w:rPr>
              <w:t>GB/T 14669</w:t>
            </w:r>
          </w:p>
        </w:tc>
        <w:tc>
          <w:tcPr>
            <w:tcW w:w="7686" w:type="dxa"/>
            <w:vAlign w:val="center"/>
          </w:tcPr>
          <w:p>
            <w:pPr>
              <w:rPr>
                <w:rFonts w:hint="default" w:ascii="宋体" w:hAnsi="宋体"/>
                <w:color w:val="auto"/>
                <w:kern w:val="0"/>
                <w:szCs w:val="21"/>
              </w:rPr>
            </w:pPr>
            <w:r>
              <w:rPr>
                <w:rFonts w:ascii="宋体" w:hAnsi="宋体"/>
                <w:color w:val="auto"/>
                <w:kern w:val="0"/>
                <w:szCs w:val="21"/>
              </w:rPr>
              <w:t>空气质量  氨的测定  离子选择电极法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HJ/T 42</w:t>
            </w:r>
          </w:p>
        </w:tc>
        <w:tc>
          <w:tcPr>
            <w:tcW w:w="7686" w:type="dxa"/>
            <w:vAlign w:val="center"/>
          </w:tcPr>
          <w:p>
            <w:pPr>
              <w:rPr>
                <w:rFonts w:hint="default" w:ascii="宋体" w:hAnsi="宋体"/>
                <w:kern w:val="0"/>
                <w:szCs w:val="21"/>
              </w:rPr>
            </w:pPr>
            <w:r>
              <w:rPr>
                <w:rFonts w:ascii="宋体" w:hAnsi="宋体"/>
                <w:kern w:val="0"/>
                <w:szCs w:val="21"/>
              </w:rPr>
              <w:t>固定污染源排气中氮氧化物的测定  紫外分光光度法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HJ/T 43</w:t>
            </w:r>
          </w:p>
        </w:tc>
        <w:tc>
          <w:tcPr>
            <w:tcW w:w="7686" w:type="dxa"/>
            <w:vAlign w:val="center"/>
          </w:tcPr>
          <w:p>
            <w:pPr>
              <w:rPr>
                <w:rFonts w:hint="default" w:ascii="宋体" w:hAnsi="宋体"/>
                <w:kern w:val="0"/>
                <w:szCs w:val="21"/>
              </w:rPr>
            </w:pPr>
            <w:r>
              <w:rPr>
                <w:rFonts w:ascii="宋体" w:hAnsi="宋体"/>
                <w:kern w:val="0"/>
                <w:szCs w:val="21"/>
              </w:rPr>
              <w:t>固定污染源排气中氮氧化物的测定  盐酸萘乙二胺分光光度法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HJ/T 55</w:t>
            </w:r>
          </w:p>
        </w:tc>
        <w:tc>
          <w:tcPr>
            <w:tcW w:w="7686" w:type="dxa"/>
            <w:vAlign w:val="center"/>
          </w:tcPr>
          <w:p>
            <w:pPr>
              <w:rPr>
                <w:rFonts w:hint="default" w:ascii="宋体" w:hAnsi="宋体"/>
                <w:kern w:val="0"/>
                <w:szCs w:val="21"/>
              </w:rPr>
            </w:pPr>
            <w:r>
              <w:rPr>
                <w:rFonts w:ascii="宋体" w:hAnsi="宋体"/>
                <w:kern w:val="0"/>
                <w:szCs w:val="21"/>
              </w:rPr>
              <w:t>大气污染物无组织排放监测技术导则</w:t>
            </w:r>
          </w:p>
        </w:tc>
      </w:tr>
      <w:tr>
        <w:tblPrEx>
          <w:tblCellMar>
            <w:top w:w="0" w:type="dxa"/>
            <w:left w:w="0" w:type="dxa"/>
            <w:bottom w:w="0" w:type="dxa"/>
            <w:right w:w="0" w:type="dxa"/>
          </w:tblCellMar>
        </w:tblPrEx>
        <w:trPr>
          <w:trHeight w:val="357" w:hRule="exact"/>
          <w:jc w:val="center"/>
        </w:trPr>
        <w:tc>
          <w:tcPr>
            <w:tcW w:w="1682" w:type="dxa"/>
            <w:vAlign w:val="center"/>
          </w:tcPr>
          <w:p>
            <w:pPr>
              <w:pStyle w:val="5"/>
              <w:kinsoku w:val="0"/>
              <w:overflowPunct w:val="0"/>
              <w:autoSpaceDE/>
              <w:autoSpaceDN/>
              <w:adjustRightInd/>
              <w:ind w:left="0" w:firstLine="416" w:firstLineChars="200"/>
              <w:jc w:val="both"/>
              <w:rPr>
                <w:rFonts w:hint="default" w:hAnsi="宋体"/>
                <w:sz w:val="21"/>
              </w:rPr>
            </w:pPr>
            <w:r>
              <w:rPr>
                <w:rFonts w:hint="default" w:hAnsi="宋体"/>
                <w:spacing w:val="-1"/>
                <w:sz w:val="21"/>
              </w:rPr>
              <w:t>HJ/T</w:t>
            </w:r>
            <w:r>
              <w:rPr>
                <w:rFonts w:hAnsi="宋体"/>
                <w:spacing w:val="-1"/>
                <w:sz w:val="21"/>
              </w:rPr>
              <w:t xml:space="preserve"> </w:t>
            </w:r>
            <w:r>
              <w:rPr>
                <w:rFonts w:hint="default" w:hAnsi="宋体"/>
                <w:sz w:val="21"/>
              </w:rPr>
              <w:t>56</w:t>
            </w:r>
          </w:p>
        </w:tc>
        <w:tc>
          <w:tcPr>
            <w:tcW w:w="7686" w:type="dxa"/>
            <w:vAlign w:val="center"/>
          </w:tcPr>
          <w:p>
            <w:pPr>
              <w:pStyle w:val="5"/>
              <w:kinsoku w:val="0"/>
              <w:overflowPunct w:val="0"/>
              <w:autoSpaceDE/>
              <w:autoSpaceDN/>
              <w:adjustRightInd/>
              <w:ind w:left="0"/>
              <w:jc w:val="both"/>
              <w:rPr>
                <w:rFonts w:hint="default" w:hAnsi="宋体"/>
              </w:rPr>
            </w:pPr>
            <w:r>
              <w:rPr>
                <w:rFonts w:hAnsi="宋体"/>
                <w:sz w:val="21"/>
              </w:rPr>
              <w:t>固定污染源排气中二氧化硫的测定  碘量法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HJ/T 373</w:t>
            </w:r>
          </w:p>
        </w:tc>
        <w:tc>
          <w:tcPr>
            <w:tcW w:w="7686" w:type="dxa"/>
            <w:vAlign w:val="center"/>
          </w:tcPr>
          <w:p>
            <w:pPr>
              <w:rPr>
                <w:rFonts w:hint="default" w:ascii="宋体" w:hAnsi="宋体"/>
                <w:kern w:val="0"/>
                <w:szCs w:val="21"/>
              </w:rPr>
            </w:pPr>
            <w:r>
              <w:rPr>
                <w:rFonts w:ascii="宋体" w:hAnsi="宋体"/>
                <w:kern w:val="0"/>
                <w:szCs w:val="21"/>
              </w:rPr>
              <w:t>固定污染源监测质量保证与质量控制技术规范（试行）</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HJ/T 397</w:t>
            </w:r>
          </w:p>
        </w:tc>
        <w:tc>
          <w:tcPr>
            <w:tcW w:w="7686" w:type="dxa"/>
            <w:vAlign w:val="center"/>
          </w:tcPr>
          <w:p>
            <w:pPr>
              <w:rPr>
                <w:rFonts w:hint="default" w:ascii="宋体" w:hAnsi="宋体"/>
                <w:kern w:val="0"/>
                <w:szCs w:val="21"/>
              </w:rPr>
            </w:pPr>
            <w:r>
              <w:rPr>
                <w:rFonts w:ascii="宋体" w:hAnsi="宋体"/>
                <w:kern w:val="0"/>
                <w:szCs w:val="21"/>
              </w:rPr>
              <w:t>固定源废气监测技术规范</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57</w:t>
            </w:r>
          </w:p>
        </w:tc>
        <w:tc>
          <w:tcPr>
            <w:tcW w:w="7686" w:type="dxa"/>
            <w:vAlign w:val="center"/>
          </w:tcPr>
          <w:p>
            <w:pPr>
              <w:rPr>
                <w:rFonts w:hint="default" w:ascii="宋体" w:hAnsi="宋体"/>
                <w:kern w:val="0"/>
                <w:szCs w:val="21"/>
              </w:rPr>
            </w:pPr>
            <w:r>
              <w:rPr>
                <w:rFonts w:ascii="宋体" w:hAnsi="宋体"/>
                <w:kern w:val="0"/>
                <w:szCs w:val="21"/>
              </w:rPr>
              <w:t>固定污染源废气  二氧化硫的测定  定电位电解法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75</w:t>
            </w:r>
          </w:p>
        </w:tc>
        <w:tc>
          <w:tcPr>
            <w:tcW w:w="7686" w:type="dxa"/>
            <w:vAlign w:val="center"/>
          </w:tcPr>
          <w:p>
            <w:pPr>
              <w:rPr>
                <w:rFonts w:hint="default" w:ascii="宋体" w:hAnsi="宋体"/>
                <w:kern w:val="0"/>
                <w:szCs w:val="21"/>
              </w:rPr>
            </w:pPr>
            <w:r>
              <w:rPr>
                <w:rFonts w:ascii="宋体" w:hAnsi="宋体"/>
                <w:kern w:val="0"/>
                <w:szCs w:val="21"/>
              </w:rPr>
              <w:t>固定污染源废气（SO</w:t>
            </w:r>
            <w:r>
              <w:rPr>
                <w:rFonts w:ascii="宋体" w:hAnsi="宋体"/>
                <w:kern w:val="0"/>
                <w:szCs w:val="21"/>
                <w:vertAlign w:val="subscript"/>
              </w:rPr>
              <w:t>2</w:t>
            </w:r>
            <w:r>
              <w:rPr>
                <w:rFonts w:ascii="宋体" w:hAnsi="宋体"/>
                <w:kern w:val="0"/>
                <w:szCs w:val="21"/>
              </w:rPr>
              <w:t>、NO</w:t>
            </w:r>
            <w:r>
              <w:rPr>
                <w:rFonts w:ascii="宋体" w:hAnsi="宋体"/>
                <w:kern w:val="0"/>
                <w:szCs w:val="21"/>
                <w:vertAlign w:val="subscript"/>
              </w:rPr>
              <w:t>X</w:t>
            </w:r>
            <w:r>
              <w:rPr>
                <w:rFonts w:ascii="宋体" w:hAnsi="宋体"/>
                <w:kern w:val="0"/>
                <w:szCs w:val="21"/>
              </w:rPr>
              <w:t>、颗粒物）排放连续监测技术规范</w:t>
            </w:r>
          </w:p>
        </w:tc>
      </w:tr>
      <w:tr>
        <w:tblPrEx>
          <w:tblCellMar>
            <w:top w:w="0" w:type="dxa"/>
            <w:left w:w="0" w:type="dxa"/>
            <w:bottom w:w="0" w:type="dxa"/>
            <w:right w:w="0" w:type="dxa"/>
          </w:tblCellMar>
        </w:tblPrEx>
        <w:trPr>
          <w:trHeight w:val="357" w:hRule="exact"/>
          <w:jc w:val="center"/>
        </w:trPr>
        <w:tc>
          <w:tcPr>
            <w:tcW w:w="1682" w:type="dxa"/>
            <w:vAlign w:val="center"/>
          </w:tcPr>
          <w:p>
            <w:pPr>
              <w:pStyle w:val="5"/>
              <w:kinsoku w:val="0"/>
              <w:overflowPunct w:val="0"/>
              <w:ind w:left="0" w:firstLine="420" w:firstLineChars="200"/>
              <w:rPr>
                <w:rFonts w:hint="default" w:hAnsi="宋体"/>
                <w:sz w:val="21"/>
              </w:rPr>
            </w:pPr>
            <w:r>
              <w:rPr>
                <w:rFonts w:hint="default" w:hAnsi="宋体"/>
                <w:sz w:val="21"/>
              </w:rPr>
              <w:t>HJ</w:t>
            </w:r>
            <w:r>
              <w:rPr>
                <w:rFonts w:hAnsi="宋体"/>
                <w:sz w:val="21"/>
              </w:rPr>
              <w:t xml:space="preserve"> </w:t>
            </w:r>
            <w:r>
              <w:rPr>
                <w:rFonts w:hint="default" w:hAnsi="宋体"/>
                <w:sz w:val="21"/>
              </w:rPr>
              <w:t>482</w:t>
            </w:r>
          </w:p>
        </w:tc>
        <w:tc>
          <w:tcPr>
            <w:tcW w:w="7686" w:type="dxa"/>
            <w:vAlign w:val="center"/>
          </w:tcPr>
          <w:p>
            <w:pPr>
              <w:pStyle w:val="5"/>
              <w:kinsoku w:val="0"/>
              <w:overflowPunct w:val="0"/>
              <w:autoSpaceDE/>
              <w:autoSpaceDN/>
              <w:adjustRightInd/>
              <w:ind w:left="0"/>
              <w:jc w:val="both"/>
              <w:rPr>
                <w:rFonts w:hint="default" w:hAnsi="宋体"/>
              </w:rPr>
            </w:pPr>
            <w:r>
              <w:rPr>
                <w:rFonts w:hAnsi="宋体"/>
                <w:sz w:val="21"/>
              </w:rPr>
              <w:t xml:space="preserve">环境空气 </w:t>
            </w:r>
            <w:r>
              <w:rPr>
                <w:rFonts w:hAnsi="宋体"/>
                <w:spacing w:val="96"/>
                <w:sz w:val="21"/>
              </w:rPr>
              <w:t xml:space="preserve"> </w:t>
            </w:r>
            <w:r>
              <w:rPr>
                <w:rFonts w:hAnsi="宋体"/>
                <w:sz w:val="21"/>
              </w:rPr>
              <w:t xml:space="preserve">二氧化硫的测定 </w:t>
            </w:r>
            <w:r>
              <w:rPr>
                <w:rFonts w:hAnsi="宋体"/>
                <w:spacing w:val="97"/>
                <w:sz w:val="21"/>
              </w:rPr>
              <w:t xml:space="preserve"> </w:t>
            </w:r>
            <w:r>
              <w:rPr>
                <w:rFonts w:hAnsi="宋体"/>
                <w:sz w:val="21"/>
              </w:rPr>
              <w:t>甲醛吸收</w:t>
            </w:r>
            <w:r>
              <w:rPr>
                <w:rFonts w:hint="default" w:hAnsi="宋体"/>
                <w:sz w:val="21"/>
              </w:rPr>
              <w:t>-</w:t>
            </w:r>
            <w:r>
              <w:rPr>
                <w:rFonts w:hAnsi="宋体"/>
                <w:sz w:val="21"/>
              </w:rPr>
              <w:t>副玫瑰苯胺分光光度法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hint="default" w:ascii="宋体" w:hAnsi="宋体"/>
                <w:szCs w:val="21"/>
              </w:rPr>
              <w:t>HJ</w:t>
            </w:r>
            <w:r>
              <w:rPr>
                <w:rFonts w:hint="default" w:ascii="宋体" w:hAnsi="宋体"/>
                <w:spacing w:val="-3"/>
                <w:szCs w:val="21"/>
              </w:rPr>
              <w:t xml:space="preserve"> </w:t>
            </w:r>
            <w:r>
              <w:rPr>
                <w:rFonts w:hint="default" w:ascii="宋体" w:hAnsi="宋体"/>
                <w:szCs w:val="21"/>
              </w:rPr>
              <w:t>483</w:t>
            </w:r>
          </w:p>
        </w:tc>
        <w:tc>
          <w:tcPr>
            <w:tcW w:w="7686" w:type="dxa"/>
            <w:vAlign w:val="center"/>
          </w:tcPr>
          <w:p>
            <w:pPr>
              <w:pStyle w:val="5"/>
              <w:kinsoku w:val="0"/>
              <w:overflowPunct w:val="0"/>
              <w:autoSpaceDE/>
              <w:autoSpaceDN/>
              <w:adjustRightInd/>
              <w:ind w:left="0"/>
              <w:jc w:val="both"/>
              <w:rPr>
                <w:rFonts w:hint="default" w:hAnsi="宋体"/>
              </w:rPr>
            </w:pPr>
            <w:r>
              <w:rPr>
                <w:rFonts w:hAnsi="宋体"/>
                <w:sz w:val="21"/>
              </w:rPr>
              <w:t xml:space="preserve">环境空气 </w:t>
            </w:r>
            <w:r>
              <w:rPr>
                <w:rFonts w:hAnsi="宋体"/>
                <w:spacing w:val="96"/>
                <w:sz w:val="21"/>
              </w:rPr>
              <w:t xml:space="preserve"> </w:t>
            </w:r>
            <w:r>
              <w:rPr>
                <w:rFonts w:hAnsi="宋体"/>
                <w:sz w:val="21"/>
              </w:rPr>
              <w:t xml:space="preserve">二氧化硫的测定 </w:t>
            </w:r>
            <w:r>
              <w:rPr>
                <w:rFonts w:hAnsi="宋体"/>
                <w:spacing w:val="96"/>
                <w:sz w:val="21"/>
              </w:rPr>
              <w:t xml:space="preserve"> </w:t>
            </w:r>
            <w:r>
              <w:rPr>
                <w:rFonts w:hAnsi="宋体"/>
                <w:sz w:val="21"/>
              </w:rPr>
              <w:t>四氯汞盐吸收</w:t>
            </w:r>
            <w:r>
              <w:rPr>
                <w:rFonts w:hint="default" w:hAnsi="宋体"/>
                <w:sz w:val="21"/>
              </w:rPr>
              <w:t>-</w:t>
            </w:r>
            <w:r>
              <w:rPr>
                <w:rFonts w:hAnsi="宋体"/>
                <w:sz w:val="21"/>
              </w:rPr>
              <w:t>副玫瑰苯胺分光光度法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color w:val="000000" w:themeColor="text1"/>
                <w:kern w:val="0"/>
                <w:szCs w:val="21"/>
                <w14:textFill>
                  <w14:solidFill>
                    <w14:schemeClr w14:val="tx1"/>
                  </w14:solidFill>
                </w14:textFill>
              </w:rPr>
            </w:pPr>
            <w:r>
              <w:rPr>
                <w:rFonts w:ascii="宋体" w:hAnsi="宋体"/>
                <w:color w:val="000000" w:themeColor="text1"/>
                <w:kern w:val="0"/>
                <w:szCs w:val="21"/>
                <w14:textFill>
                  <w14:solidFill>
                    <w14:schemeClr w14:val="tx1"/>
                  </w14:solidFill>
                </w14:textFill>
              </w:rPr>
              <w:t>HJ 533</w:t>
            </w:r>
          </w:p>
        </w:tc>
        <w:tc>
          <w:tcPr>
            <w:tcW w:w="7686" w:type="dxa"/>
            <w:vAlign w:val="center"/>
          </w:tcPr>
          <w:p>
            <w:pPr>
              <w:rPr>
                <w:rFonts w:hint="default" w:ascii="宋体" w:hAnsi="宋体"/>
                <w:color w:val="000000" w:themeColor="text1"/>
                <w:kern w:val="0"/>
                <w:szCs w:val="21"/>
                <w14:textFill>
                  <w14:solidFill>
                    <w14:schemeClr w14:val="tx1"/>
                  </w14:solidFill>
                </w14:textFill>
              </w:rPr>
            </w:pPr>
            <w:r>
              <w:rPr>
                <w:rFonts w:ascii="宋体" w:hAnsi="宋体"/>
                <w:color w:val="000000" w:themeColor="text1"/>
                <w:kern w:val="0"/>
                <w:szCs w:val="21"/>
                <w14:textFill>
                  <w14:solidFill>
                    <w14:schemeClr w14:val="tx1"/>
                  </w14:solidFill>
                </w14:textFill>
              </w:rPr>
              <w:t>环境空气和废气  氨的测定  纳氏试剂分光光度法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629</w:t>
            </w:r>
          </w:p>
        </w:tc>
        <w:tc>
          <w:tcPr>
            <w:tcW w:w="7686" w:type="dxa"/>
            <w:vAlign w:val="center"/>
          </w:tcPr>
          <w:p>
            <w:pPr>
              <w:rPr>
                <w:rFonts w:hint="default" w:ascii="宋体" w:hAnsi="宋体"/>
                <w:kern w:val="0"/>
                <w:szCs w:val="21"/>
              </w:rPr>
            </w:pPr>
            <w:r>
              <w:rPr>
                <w:rFonts w:ascii="宋体" w:hAnsi="宋体"/>
                <w:kern w:val="0"/>
                <w:szCs w:val="21"/>
              </w:rPr>
              <w:t>固定污染源废气  二氧化硫的测定  非分散红外吸收法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692</w:t>
            </w:r>
          </w:p>
        </w:tc>
        <w:tc>
          <w:tcPr>
            <w:tcW w:w="7686" w:type="dxa"/>
            <w:vAlign w:val="center"/>
          </w:tcPr>
          <w:p>
            <w:pPr>
              <w:rPr>
                <w:rFonts w:hint="default" w:ascii="宋体" w:hAnsi="宋体"/>
                <w:kern w:val="0"/>
                <w:szCs w:val="21"/>
              </w:rPr>
            </w:pPr>
            <w:r>
              <w:rPr>
                <w:rFonts w:ascii="宋体" w:hAnsi="宋体"/>
                <w:kern w:val="0"/>
                <w:szCs w:val="21"/>
              </w:rPr>
              <w:t>固定污染源废气  氮氧化物的测定  非分散红外吸收法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693</w:t>
            </w:r>
          </w:p>
        </w:tc>
        <w:tc>
          <w:tcPr>
            <w:tcW w:w="7686" w:type="dxa"/>
            <w:vAlign w:val="center"/>
          </w:tcPr>
          <w:p>
            <w:pPr>
              <w:rPr>
                <w:rFonts w:hint="default" w:ascii="宋体" w:hAnsi="宋体"/>
                <w:kern w:val="0"/>
                <w:szCs w:val="21"/>
              </w:rPr>
            </w:pPr>
            <w:r>
              <w:rPr>
                <w:rFonts w:ascii="宋体" w:hAnsi="宋体"/>
                <w:kern w:val="0"/>
                <w:szCs w:val="21"/>
              </w:rPr>
              <w:t>固定污染源废气  氮氧化物的测定  定电位电解法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819</w:t>
            </w:r>
          </w:p>
        </w:tc>
        <w:tc>
          <w:tcPr>
            <w:tcW w:w="7686" w:type="dxa"/>
            <w:vAlign w:val="center"/>
          </w:tcPr>
          <w:p>
            <w:pPr>
              <w:rPr>
                <w:rFonts w:hint="default" w:ascii="宋体" w:hAnsi="宋体"/>
                <w:kern w:val="0"/>
                <w:szCs w:val="21"/>
              </w:rPr>
            </w:pPr>
            <w:r>
              <w:rPr>
                <w:rFonts w:ascii="宋体" w:hAnsi="宋体"/>
                <w:kern w:val="0"/>
                <w:szCs w:val="21"/>
              </w:rPr>
              <w:t>排污单位自行监测技术指南  总则</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836</w:t>
            </w:r>
          </w:p>
        </w:tc>
        <w:tc>
          <w:tcPr>
            <w:tcW w:w="7686" w:type="dxa"/>
            <w:vAlign w:val="center"/>
          </w:tcPr>
          <w:p>
            <w:pPr>
              <w:rPr>
                <w:rFonts w:hint="default" w:ascii="宋体" w:hAnsi="宋体"/>
                <w:kern w:val="0"/>
                <w:szCs w:val="21"/>
              </w:rPr>
            </w:pPr>
            <w:r>
              <w:rPr>
                <w:rFonts w:ascii="宋体" w:hAnsi="宋体"/>
                <w:kern w:val="0"/>
                <w:szCs w:val="21"/>
              </w:rPr>
              <w:t>固定污染源废气  低浓度颗粒物的测定  重量法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hint="default" w:ascii="宋体" w:hAnsi="宋体"/>
                <w:szCs w:val="21"/>
              </w:rPr>
              <w:t>HJ</w:t>
            </w:r>
            <w:r>
              <w:rPr>
                <w:rFonts w:hint="default" w:ascii="宋体" w:hAnsi="宋体"/>
                <w:spacing w:val="-4"/>
                <w:szCs w:val="21"/>
              </w:rPr>
              <w:t xml:space="preserve"> </w:t>
            </w:r>
            <w:r>
              <w:rPr>
                <w:rFonts w:hint="default" w:ascii="宋体" w:hAnsi="宋体"/>
                <w:szCs w:val="21"/>
              </w:rPr>
              <w:t xml:space="preserve">944 </w:t>
            </w:r>
          </w:p>
        </w:tc>
        <w:tc>
          <w:tcPr>
            <w:tcW w:w="7686" w:type="dxa"/>
            <w:vAlign w:val="center"/>
          </w:tcPr>
          <w:p>
            <w:pPr>
              <w:rPr>
                <w:rFonts w:hint="default" w:ascii="宋体" w:hAnsi="宋体"/>
                <w:kern w:val="0"/>
                <w:szCs w:val="21"/>
              </w:rPr>
            </w:pPr>
            <w:r>
              <w:rPr>
                <w:rFonts w:ascii="宋体" w:hAnsi="宋体"/>
                <w:szCs w:val="21"/>
              </w:rPr>
              <w:t>排污单位环境管理台账及排污许可证执行报告技术规范  总则（试行）</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szCs w:val="21"/>
              </w:rPr>
            </w:pPr>
            <w:r>
              <w:rPr>
                <w:rFonts w:hint="default" w:ascii="宋体" w:hAnsi="宋体"/>
                <w:szCs w:val="21"/>
              </w:rPr>
              <w:t>HJ 945.1</w:t>
            </w:r>
          </w:p>
        </w:tc>
        <w:tc>
          <w:tcPr>
            <w:tcW w:w="7686" w:type="dxa"/>
            <w:vAlign w:val="center"/>
          </w:tcPr>
          <w:p>
            <w:pPr>
              <w:rPr>
                <w:rFonts w:hint="default" w:ascii="宋体" w:hAnsi="宋体"/>
                <w:szCs w:val="21"/>
              </w:rPr>
            </w:pPr>
            <w:r>
              <w:rPr>
                <w:rFonts w:ascii="宋体" w:hAnsi="宋体"/>
                <w:szCs w:val="21"/>
              </w:rPr>
              <w:t>国家大气污染物排放标准制订技术导则</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kern w:val="0"/>
                <w:szCs w:val="21"/>
              </w:rPr>
              <w:t>HJ 1131</w:t>
            </w:r>
          </w:p>
        </w:tc>
        <w:tc>
          <w:tcPr>
            <w:tcW w:w="7686" w:type="dxa"/>
            <w:vAlign w:val="center"/>
          </w:tcPr>
          <w:p>
            <w:pPr>
              <w:rPr>
                <w:rFonts w:hint="default" w:ascii="宋体" w:hAnsi="宋体"/>
                <w:kern w:val="0"/>
                <w:szCs w:val="21"/>
              </w:rPr>
            </w:pPr>
            <w:r>
              <w:rPr>
                <w:rFonts w:ascii="宋体" w:hAnsi="宋体"/>
                <w:kern w:val="0"/>
                <w:szCs w:val="21"/>
              </w:rPr>
              <w:t>固定污染源废气  二氧化硫的测定  便携式紫外吸收法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color w:val="000000"/>
                <w:kern w:val="0"/>
                <w:szCs w:val="21"/>
              </w:rPr>
            </w:pPr>
            <w:r>
              <w:rPr>
                <w:rFonts w:ascii="宋体" w:hAnsi="宋体"/>
                <w:kern w:val="0"/>
                <w:szCs w:val="21"/>
              </w:rPr>
              <w:t>HJ 1132</w:t>
            </w:r>
          </w:p>
        </w:tc>
        <w:tc>
          <w:tcPr>
            <w:tcW w:w="7686" w:type="dxa"/>
            <w:vAlign w:val="center"/>
          </w:tcPr>
          <w:p>
            <w:pPr>
              <w:rPr>
                <w:rFonts w:hint="default" w:ascii="宋体" w:hAnsi="宋体"/>
                <w:color w:val="000000"/>
                <w:kern w:val="0"/>
                <w:szCs w:val="21"/>
              </w:rPr>
            </w:pPr>
            <w:r>
              <w:rPr>
                <w:rFonts w:ascii="宋体" w:hAnsi="宋体"/>
                <w:kern w:val="0"/>
                <w:szCs w:val="21"/>
              </w:rPr>
              <w:t>固定污染源废气  氮氧化物的测定  便携式紫外吸收法</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kern w:val="0"/>
                <w:szCs w:val="21"/>
              </w:rPr>
            </w:pPr>
            <w:r>
              <w:rPr>
                <w:rFonts w:ascii="宋体" w:hAnsi="宋体"/>
                <w:color w:val="000000"/>
                <w:kern w:val="0"/>
                <w:szCs w:val="21"/>
              </w:rPr>
              <w:t>HJ 945.1</w:t>
            </w:r>
          </w:p>
        </w:tc>
        <w:tc>
          <w:tcPr>
            <w:tcW w:w="7686" w:type="dxa"/>
            <w:vAlign w:val="center"/>
          </w:tcPr>
          <w:p>
            <w:pPr>
              <w:rPr>
                <w:rFonts w:hint="default" w:ascii="宋体" w:hAnsi="宋体"/>
                <w:kern w:val="0"/>
                <w:szCs w:val="21"/>
              </w:rPr>
            </w:pPr>
            <w:r>
              <w:rPr>
                <w:rFonts w:ascii="宋体" w:hAnsi="宋体"/>
                <w:color w:val="000000"/>
                <w:kern w:val="0"/>
                <w:szCs w:val="21"/>
              </w:rPr>
              <w:t>国家大气污染物排放标准制定技术导则</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ascii="宋体" w:hAnsi="宋体"/>
                <w:color w:val="000000"/>
                <w:kern w:val="0"/>
                <w:szCs w:val="21"/>
              </w:rPr>
            </w:pPr>
            <w:r>
              <w:rPr>
                <w:rFonts w:ascii="宋体" w:hAnsi="宋体"/>
                <w:color w:val="000000"/>
                <w:kern w:val="0"/>
                <w:szCs w:val="21"/>
              </w:rPr>
              <w:t>DB13/1641</w:t>
            </w:r>
          </w:p>
        </w:tc>
        <w:tc>
          <w:tcPr>
            <w:tcW w:w="7686" w:type="dxa"/>
            <w:vAlign w:val="center"/>
          </w:tcPr>
          <w:p>
            <w:pPr>
              <w:rPr>
                <w:rFonts w:hint="default" w:ascii="宋体" w:hAnsi="宋体"/>
                <w:color w:val="000000"/>
                <w:kern w:val="0"/>
                <w:szCs w:val="21"/>
              </w:rPr>
            </w:pPr>
            <w:r>
              <w:rPr>
                <w:rFonts w:ascii="宋体" w:hAnsi="宋体"/>
                <w:color w:val="000000"/>
                <w:kern w:val="0"/>
                <w:szCs w:val="21"/>
              </w:rPr>
              <w:t>石灰行业大气污染物排放标准</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kern w:val="0"/>
                <w:szCs w:val="21"/>
              </w:rPr>
            </w:pPr>
            <w:r>
              <w:rPr>
                <w:rFonts w:ascii="宋体" w:hAnsi="宋体"/>
                <w:color w:val="000000"/>
                <w:kern w:val="0"/>
                <w:szCs w:val="21"/>
              </w:rPr>
              <w:t>DB13/5161</w:t>
            </w:r>
          </w:p>
        </w:tc>
        <w:tc>
          <w:tcPr>
            <w:tcW w:w="7686" w:type="dxa"/>
            <w:vAlign w:val="center"/>
          </w:tcPr>
          <w:p>
            <w:pPr>
              <w:rPr>
                <w:rFonts w:hint="default"/>
                <w:kern w:val="0"/>
                <w:szCs w:val="21"/>
              </w:rPr>
            </w:pPr>
            <w:r>
              <w:rPr>
                <w:kern w:val="0"/>
                <w:szCs w:val="21"/>
              </w:rPr>
              <w:t>锅炉大气污染物排放标准</w:t>
            </w:r>
          </w:p>
        </w:tc>
      </w:tr>
      <w:tr>
        <w:tblPrEx>
          <w:tblCellMar>
            <w:top w:w="0" w:type="dxa"/>
            <w:left w:w="0" w:type="dxa"/>
            <w:bottom w:w="0" w:type="dxa"/>
            <w:right w:w="0" w:type="dxa"/>
          </w:tblCellMar>
        </w:tblPrEx>
        <w:trPr>
          <w:trHeight w:val="357" w:hRule="exact"/>
          <w:jc w:val="center"/>
        </w:trPr>
        <w:tc>
          <w:tcPr>
            <w:tcW w:w="1682" w:type="dxa"/>
            <w:vAlign w:val="center"/>
          </w:tcPr>
          <w:p>
            <w:pPr>
              <w:ind w:firstLine="420" w:firstLineChars="200"/>
              <w:rPr>
                <w:rFonts w:hint="default"/>
                <w:kern w:val="0"/>
                <w:szCs w:val="21"/>
              </w:rPr>
            </w:pPr>
            <w:r>
              <w:rPr>
                <w:rFonts w:ascii="宋体" w:hAnsi="宋体"/>
                <w:color w:val="000000"/>
                <w:kern w:val="0"/>
                <w:szCs w:val="21"/>
              </w:rPr>
              <w:t>DB13/5214</w:t>
            </w:r>
          </w:p>
        </w:tc>
        <w:tc>
          <w:tcPr>
            <w:tcW w:w="7686" w:type="dxa"/>
            <w:vAlign w:val="center"/>
          </w:tcPr>
          <w:p>
            <w:pPr>
              <w:rPr>
                <w:rFonts w:hint="default"/>
                <w:kern w:val="0"/>
                <w:szCs w:val="21"/>
              </w:rPr>
            </w:pPr>
            <w:r>
              <w:rPr>
                <w:kern w:val="0"/>
                <w:szCs w:val="21"/>
              </w:rPr>
              <w:t>陶瓷工业大气污染物排放标准</w:t>
            </w:r>
          </w:p>
        </w:tc>
      </w:tr>
      <w:tr>
        <w:tblPrEx>
          <w:tblCellMar>
            <w:top w:w="0" w:type="dxa"/>
            <w:left w:w="0" w:type="dxa"/>
            <w:bottom w:w="0" w:type="dxa"/>
            <w:right w:w="0" w:type="dxa"/>
          </w:tblCellMar>
        </w:tblPrEx>
        <w:trPr>
          <w:trHeight w:val="357" w:hRule="exact"/>
          <w:jc w:val="center"/>
        </w:trPr>
        <w:tc>
          <w:tcPr>
            <w:tcW w:w="1682" w:type="dxa"/>
            <w:vAlign w:val="center"/>
          </w:tcPr>
          <w:p>
            <w:pPr>
              <w:tabs>
                <w:tab w:val="center" w:pos="920"/>
              </w:tabs>
              <w:rPr>
                <w:rFonts w:hint="default" w:ascii="宋体" w:hAnsi="宋体"/>
                <w:color w:val="000000"/>
                <w:kern w:val="0"/>
                <w:szCs w:val="21"/>
              </w:rPr>
            </w:pPr>
          </w:p>
          <w:p>
            <w:pPr>
              <w:ind w:firstLine="1890" w:firstLineChars="900"/>
              <w:rPr>
                <w:rFonts w:hint="default"/>
                <w:kern w:val="0"/>
                <w:szCs w:val="21"/>
              </w:rPr>
            </w:pPr>
          </w:p>
        </w:tc>
        <w:tc>
          <w:tcPr>
            <w:tcW w:w="7686" w:type="dxa"/>
            <w:vAlign w:val="center"/>
          </w:tcPr>
          <w:p>
            <w:pPr>
              <w:rPr>
                <w:rFonts w:hint="default"/>
                <w:kern w:val="0"/>
                <w:szCs w:val="21"/>
              </w:rPr>
            </w:pPr>
            <w:r>
              <w:rPr>
                <w:rFonts w:ascii="宋体" w:hAnsi="宋体"/>
                <w:color w:val="000000"/>
                <w:kern w:val="0"/>
                <w:szCs w:val="21"/>
              </w:rPr>
              <w:t>《污染源自动监控管理办法》（国家环境保护总局令 第</w:t>
            </w:r>
            <w:r>
              <w:rPr>
                <w:rFonts w:hint="default" w:ascii="宋体" w:hAnsi="宋体"/>
                <w:color w:val="000000"/>
                <w:kern w:val="0"/>
                <w:szCs w:val="21"/>
              </w:rPr>
              <w:t>28</w:t>
            </w:r>
            <w:r>
              <w:rPr>
                <w:rFonts w:ascii="宋体" w:hAnsi="宋体"/>
                <w:color w:val="000000"/>
                <w:kern w:val="0"/>
                <w:szCs w:val="21"/>
              </w:rPr>
              <w:t>号）</w:t>
            </w:r>
          </w:p>
        </w:tc>
      </w:tr>
      <w:tr>
        <w:tblPrEx>
          <w:tblCellMar>
            <w:top w:w="0" w:type="dxa"/>
            <w:left w:w="0" w:type="dxa"/>
            <w:bottom w:w="0" w:type="dxa"/>
            <w:right w:w="0" w:type="dxa"/>
          </w:tblCellMar>
        </w:tblPrEx>
        <w:trPr>
          <w:trHeight w:val="357" w:hRule="exact"/>
          <w:jc w:val="center"/>
        </w:trPr>
        <w:tc>
          <w:tcPr>
            <w:tcW w:w="9368" w:type="dxa"/>
            <w:gridSpan w:val="2"/>
            <w:vAlign w:val="center"/>
          </w:tcPr>
          <w:p>
            <w:pPr>
              <w:ind w:firstLine="1680" w:firstLineChars="800"/>
              <w:rPr>
                <w:rFonts w:hint="default" w:ascii="宋体" w:hAnsi="宋体"/>
                <w:color w:val="000000"/>
                <w:kern w:val="0"/>
                <w:szCs w:val="21"/>
              </w:rPr>
            </w:pPr>
            <w:r>
              <w:rPr>
                <w:rFonts w:ascii="宋体" w:hAnsi="宋体"/>
                <w:color w:val="000000"/>
                <w:kern w:val="0"/>
                <w:szCs w:val="21"/>
              </w:rPr>
              <w:t>《环境监测管理办法》（国家环境保护总局令 第</w:t>
            </w:r>
            <w:r>
              <w:rPr>
                <w:rFonts w:hint="default" w:ascii="宋体" w:hAnsi="宋体"/>
                <w:color w:val="000000"/>
                <w:kern w:val="0"/>
                <w:szCs w:val="21"/>
              </w:rPr>
              <w:t>39</w:t>
            </w:r>
            <w:r>
              <w:rPr>
                <w:rFonts w:ascii="宋体" w:hAnsi="宋体"/>
                <w:color w:val="000000"/>
                <w:kern w:val="0"/>
                <w:szCs w:val="21"/>
              </w:rPr>
              <w:t>号）</w:t>
            </w:r>
          </w:p>
        </w:tc>
      </w:tr>
      <w:tr>
        <w:tblPrEx>
          <w:tblCellMar>
            <w:top w:w="0" w:type="dxa"/>
            <w:left w:w="0" w:type="dxa"/>
            <w:bottom w:w="0" w:type="dxa"/>
            <w:right w:w="0" w:type="dxa"/>
          </w:tblCellMar>
        </w:tblPrEx>
        <w:trPr>
          <w:trHeight w:val="357" w:hRule="exact"/>
          <w:jc w:val="center"/>
        </w:trPr>
        <w:tc>
          <w:tcPr>
            <w:tcW w:w="9368" w:type="dxa"/>
            <w:gridSpan w:val="2"/>
            <w:vAlign w:val="center"/>
          </w:tcPr>
          <w:p>
            <w:pPr>
              <w:ind w:firstLine="1680" w:firstLineChars="800"/>
              <w:rPr>
                <w:rFonts w:hint="default" w:ascii="宋体" w:hAnsi="宋体"/>
                <w:color w:val="FF0000"/>
                <w:kern w:val="0"/>
                <w:szCs w:val="21"/>
              </w:rPr>
            </w:pPr>
            <w:r>
              <w:rPr>
                <w:rFonts w:ascii="宋体" w:hAnsi="宋体"/>
                <w:color w:val="000000" w:themeColor="text1"/>
                <w:kern w:val="0"/>
                <w:szCs w:val="21"/>
                <w14:textFill>
                  <w14:solidFill>
                    <w14:schemeClr w14:val="tx1"/>
                  </w14:solidFill>
                </w14:textFill>
              </w:rPr>
              <w:t>《排污许可管理条例》（中华人民共和国国务院令 第736号）</w:t>
            </w:r>
          </w:p>
        </w:tc>
      </w:tr>
    </w:tbl>
    <w:p>
      <w:pPr>
        <w:spacing w:before="240" w:beforeLines="100" w:after="240" w:afterLines="100" w:line="340" w:lineRule="exact"/>
        <w:outlineLvl w:val="0"/>
        <w:rPr>
          <w:rFonts w:hint="default" w:ascii="黑体" w:hAnsi="黑体" w:eastAsia="黑体"/>
          <w:bCs/>
          <w:kern w:val="0"/>
          <w:szCs w:val="21"/>
        </w:rPr>
      </w:pPr>
      <w:bookmarkStart w:id="5" w:name="_Toc66431576"/>
      <w:bookmarkStart w:id="6" w:name="_Hlk30357601"/>
      <w:r>
        <w:rPr>
          <w:rFonts w:hint="default" w:ascii="黑体" w:hAnsi="黑体" w:eastAsia="黑体"/>
          <w:bCs/>
          <w:kern w:val="0"/>
          <w:szCs w:val="21"/>
        </w:rPr>
        <w:t>3  术语和定义</w:t>
      </w:r>
      <w:bookmarkEnd w:id="5"/>
    </w:p>
    <w:bookmarkEnd w:id="6"/>
    <w:p>
      <w:pPr>
        <w:widowControl w:val="0"/>
        <w:tabs>
          <w:tab w:val="left" w:pos="1360"/>
        </w:tabs>
        <w:spacing w:line="340" w:lineRule="exact"/>
        <w:ind w:firstLine="420" w:firstLineChars="200"/>
        <w:rPr>
          <w:rFonts w:hint="default" w:ascii="宋体" w:hAnsi="宋体"/>
          <w:kern w:val="0"/>
          <w:szCs w:val="21"/>
        </w:rPr>
      </w:pPr>
      <w:r>
        <w:rPr>
          <w:rFonts w:ascii="宋体" w:hAnsi="宋体"/>
          <w:kern w:val="0"/>
          <w:szCs w:val="21"/>
        </w:rPr>
        <w:t>HJ 945.1</w:t>
      </w:r>
      <w:r>
        <w:rPr>
          <w:rFonts w:ascii="宋体" w:hAnsi="宋体"/>
        </w:rPr>
        <w:t>、</w:t>
      </w:r>
      <w:r>
        <w:rPr>
          <w:rFonts w:hint="default" w:ascii="宋体" w:hAnsi="宋体"/>
        </w:rPr>
        <w:t>DB13/5161</w:t>
      </w:r>
      <w:r>
        <w:rPr>
          <w:rFonts w:ascii="宋体" w:hAnsi="宋体"/>
        </w:rPr>
        <w:t>、DB13/5214</w:t>
      </w:r>
      <w:r>
        <w:rPr>
          <w:rFonts w:hint="default" w:ascii="宋体" w:hAnsi="宋体"/>
          <w:kern w:val="0"/>
          <w:szCs w:val="21"/>
        </w:rPr>
        <w:t>界定的</w:t>
      </w:r>
      <w:r>
        <w:rPr>
          <w:rFonts w:ascii="宋体" w:hAnsi="宋体"/>
          <w:kern w:val="0"/>
          <w:szCs w:val="21"/>
        </w:rPr>
        <w:t>下列</w:t>
      </w:r>
      <w:r>
        <w:rPr>
          <w:rFonts w:hint="default" w:ascii="宋体" w:hAnsi="宋体"/>
          <w:kern w:val="0"/>
          <w:szCs w:val="21"/>
        </w:rPr>
        <w:t>术语和定义适用于本</w:t>
      </w:r>
      <w:r>
        <w:rPr>
          <w:rFonts w:ascii="宋体" w:hAnsi="宋体"/>
          <w:kern w:val="0"/>
          <w:szCs w:val="21"/>
        </w:rPr>
        <w:t>标准</w:t>
      </w:r>
      <w:r>
        <w:rPr>
          <w:rFonts w:hint="default" w:ascii="宋体" w:hAnsi="宋体"/>
          <w:kern w:val="0"/>
          <w:szCs w:val="21"/>
        </w:rPr>
        <w:t>。为了便于使用，以下重复列出了</w:t>
      </w:r>
      <w:r>
        <w:rPr>
          <w:rFonts w:ascii="宋体" w:hAnsi="宋体"/>
          <w:kern w:val="0"/>
          <w:szCs w:val="21"/>
        </w:rPr>
        <w:t>HJ 945.1、</w:t>
      </w:r>
      <w:r>
        <w:rPr>
          <w:rFonts w:hint="default" w:ascii="宋体" w:hAnsi="宋体"/>
        </w:rPr>
        <w:t>DB13/5161</w:t>
      </w:r>
      <w:r>
        <w:rPr>
          <w:rFonts w:ascii="宋体" w:hAnsi="宋体"/>
        </w:rPr>
        <w:t>、</w:t>
      </w:r>
      <w:r>
        <w:rPr>
          <w:rFonts w:hint="default" w:ascii="宋体" w:hAnsi="宋体"/>
        </w:rPr>
        <w:t>DB13/5214</w:t>
      </w:r>
      <w:r>
        <w:rPr>
          <w:rFonts w:hint="default" w:ascii="宋体" w:hAnsi="宋体"/>
          <w:kern w:val="0"/>
          <w:szCs w:val="21"/>
        </w:rPr>
        <w:t>中的某些术语和定义。</w:t>
      </w:r>
    </w:p>
    <w:p>
      <w:pPr>
        <w:pStyle w:val="19"/>
        <w:widowControl w:val="0"/>
        <w:spacing w:before="120" w:after="120" w:line="340" w:lineRule="exact"/>
        <w:rPr>
          <w:rFonts w:ascii="黑体" w:hAnsi="黑体"/>
        </w:rPr>
      </w:pPr>
      <w:bookmarkStart w:id="7" w:name="_Toc59087520"/>
      <w:bookmarkStart w:id="8" w:name="_Toc66431577"/>
      <w:bookmarkStart w:id="9" w:name="_Toc66112993"/>
      <w:r>
        <w:rPr>
          <w:rFonts w:ascii="黑体" w:hAnsi="黑体"/>
        </w:rPr>
        <w:t xml:space="preserve">3.1  </w:t>
      </w:r>
      <w:bookmarkEnd w:id="7"/>
      <w:r>
        <w:rPr>
          <w:rFonts w:hint="eastAsia" w:ascii="黑体" w:hAnsi="黑体"/>
        </w:rPr>
        <w:t>石灰工业</w:t>
      </w:r>
      <w:bookmarkEnd w:id="8"/>
      <w:bookmarkEnd w:id="9"/>
    </w:p>
    <w:p>
      <w:pPr>
        <w:widowControl w:val="0"/>
        <w:tabs>
          <w:tab w:val="left" w:pos="1360"/>
        </w:tabs>
        <w:spacing w:line="340" w:lineRule="exact"/>
        <w:ind w:firstLine="420" w:firstLineChars="200"/>
        <w:rPr>
          <w:rFonts w:hint="default"/>
        </w:rPr>
      </w:pPr>
      <w:bookmarkStart w:id="10" w:name="_Hlk30536091"/>
      <w:r>
        <w:t>以石灰石、白云石为原料，经过高温反应、水解消化等工艺生产石灰产品的工业。</w:t>
      </w:r>
    </w:p>
    <w:bookmarkEnd w:id="10"/>
    <w:p>
      <w:pPr>
        <w:widowControl w:val="0"/>
        <w:tabs>
          <w:tab w:val="left" w:pos="1360"/>
        </w:tabs>
        <w:spacing w:before="120" w:beforeLines="50" w:after="120" w:afterLines="50" w:line="340" w:lineRule="exact"/>
        <w:outlineLvl w:val="1"/>
        <w:rPr>
          <w:rFonts w:hint="default" w:ascii="黑体" w:hAnsi="黑体" w:eastAsia="黑体"/>
          <w:bCs/>
          <w:szCs w:val="22"/>
        </w:rPr>
      </w:pPr>
      <w:r>
        <w:rPr>
          <w:rFonts w:hint="default" w:ascii="黑体" w:hAnsi="黑体" w:eastAsia="黑体"/>
          <w:kern w:val="0"/>
          <w:szCs w:val="21"/>
        </w:rPr>
        <w:t>3.</w:t>
      </w:r>
      <w:r>
        <w:rPr>
          <w:rFonts w:ascii="黑体" w:hAnsi="黑体" w:eastAsia="黑体"/>
          <w:kern w:val="0"/>
          <w:szCs w:val="21"/>
        </w:rPr>
        <w:t>2</w:t>
      </w:r>
      <w:r>
        <w:rPr>
          <w:rFonts w:hint="default" w:ascii="黑体" w:hAnsi="黑体" w:eastAsia="黑体"/>
          <w:kern w:val="0"/>
          <w:szCs w:val="21"/>
        </w:rPr>
        <w:t xml:space="preserve"> </w:t>
      </w:r>
      <w:r>
        <w:rPr>
          <w:rFonts w:ascii="黑体" w:hAnsi="黑体" w:eastAsia="黑体"/>
          <w:kern w:val="0"/>
          <w:szCs w:val="21"/>
        </w:rPr>
        <w:t xml:space="preserve"> 现有企业</w:t>
      </w:r>
    </w:p>
    <w:p>
      <w:pPr>
        <w:pStyle w:val="5"/>
        <w:widowControl w:val="0"/>
        <w:kinsoku w:val="0"/>
        <w:overflowPunct w:val="0"/>
        <w:spacing w:line="340" w:lineRule="exact"/>
        <w:ind w:left="0" w:firstLine="420" w:firstLineChars="200"/>
        <w:jc w:val="both"/>
        <w:rPr>
          <w:rFonts w:hint="default" w:ascii="Calibri"/>
          <w:kern w:val="2"/>
          <w:sz w:val="21"/>
          <w:szCs w:val="22"/>
        </w:rPr>
      </w:pPr>
      <w:r>
        <w:rPr>
          <w:rFonts w:ascii="Calibri"/>
          <w:kern w:val="2"/>
          <w:sz w:val="21"/>
          <w:szCs w:val="22"/>
        </w:rPr>
        <w:t>在本标准实施之日前，建成投产或环境影响评价文件已通过审批的生产企业或设施。</w:t>
      </w:r>
    </w:p>
    <w:p>
      <w:pPr>
        <w:widowControl w:val="0"/>
        <w:tabs>
          <w:tab w:val="left" w:pos="1360"/>
        </w:tabs>
        <w:spacing w:before="120" w:beforeLines="50" w:after="120" w:afterLines="50" w:line="340" w:lineRule="exact"/>
        <w:outlineLvl w:val="1"/>
        <w:rPr>
          <w:rFonts w:hint="default" w:ascii="黑体" w:hAnsi="黑体" w:eastAsia="黑体"/>
          <w:kern w:val="0"/>
          <w:szCs w:val="21"/>
        </w:rPr>
      </w:pPr>
      <w:r>
        <w:rPr>
          <w:rFonts w:hint="default" w:ascii="黑体" w:hAnsi="黑体" w:eastAsia="黑体"/>
          <w:kern w:val="0"/>
          <w:szCs w:val="21"/>
        </w:rPr>
        <w:t>3.</w:t>
      </w:r>
      <w:r>
        <w:rPr>
          <w:rFonts w:ascii="黑体" w:hAnsi="黑体" w:eastAsia="黑体"/>
          <w:kern w:val="0"/>
          <w:szCs w:val="21"/>
        </w:rPr>
        <w:t>3</w:t>
      </w:r>
      <w:r>
        <w:rPr>
          <w:rFonts w:hint="default" w:ascii="黑体" w:hAnsi="黑体" w:eastAsia="黑体"/>
          <w:kern w:val="0"/>
          <w:szCs w:val="21"/>
        </w:rPr>
        <w:t xml:space="preserve"> </w:t>
      </w:r>
      <w:r>
        <w:rPr>
          <w:rFonts w:ascii="黑体" w:hAnsi="黑体" w:eastAsia="黑体"/>
          <w:kern w:val="0"/>
          <w:szCs w:val="21"/>
        </w:rPr>
        <w:t xml:space="preserve"> 新建企业</w:t>
      </w:r>
    </w:p>
    <w:p>
      <w:pPr>
        <w:pStyle w:val="5"/>
        <w:widowControl w:val="0"/>
        <w:kinsoku w:val="0"/>
        <w:overflowPunct w:val="0"/>
        <w:spacing w:line="340" w:lineRule="exact"/>
        <w:ind w:left="0" w:firstLine="420" w:firstLineChars="200"/>
        <w:jc w:val="both"/>
        <w:rPr>
          <w:rFonts w:hint="default" w:ascii="Times New Roman"/>
          <w:sz w:val="21"/>
        </w:rPr>
      </w:pPr>
      <w:r>
        <w:rPr>
          <w:rFonts w:ascii="Calibri"/>
          <w:kern w:val="2"/>
          <w:sz w:val="21"/>
          <w:szCs w:val="22"/>
        </w:rPr>
        <w:t>本标准实施之日起，环境影响评价文件通过审批的新、改、扩建生产企业或设施。</w:t>
      </w:r>
    </w:p>
    <w:p>
      <w:pPr>
        <w:pStyle w:val="19"/>
        <w:widowControl w:val="0"/>
        <w:spacing w:before="120" w:after="120" w:line="340" w:lineRule="exact"/>
        <w:rPr>
          <w:rFonts w:ascii="黑体" w:hAnsi="黑体"/>
        </w:rPr>
      </w:pPr>
      <w:r>
        <w:rPr>
          <w:rFonts w:hint="eastAsia" w:ascii="黑体" w:hAnsi="黑体"/>
        </w:rPr>
        <w:t xml:space="preserve">3.4  </w:t>
      </w:r>
      <w:r>
        <w:rPr>
          <w:rFonts w:ascii="黑体" w:hAnsi="黑体"/>
        </w:rPr>
        <w:t>选择性非催化还原（SNCR）工艺</w:t>
      </w:r>
    </w:p>
    <w:p>
      <w:pPr>
        <w:pStyle w:val="5"/>
        <w:widowControl w:val="0"/>
        <w:kinsoku w:val="0"/>
        <w:overflowPunct w:val="0"/>
        <w:spacing w:line="340" w:lineRule="exact"/>
        <w:ind w:left="0" w:firstLine="420" w:firstLineChars="200"/>
        <w:jc w:val="both"/>
        <w:rPr>
          <w:rFonts w:hint="default"/>
          <w:sz w:val="21"/>
        </w:rPr>
      </w:pPr>
      <w:r>
        <w:rPr>
          <w:sz w:val="21"/>
        </w:rPr>
        <w:t>利用还原剂在不需要催化剂的情况下有选择性地与烟气中的氮氧化物（主要是NO和NO</w:t>
      </w:r>
      <w:r>
        <w:rPr>
          <w:sz w:val="21"/>
          <w:vertAlign w:val="subscript"/>
        </w:rPr>
        <w:t>2</w:t>
      </w:r>
      <w:r>
        <w:rPr>
          <w:sz w:val="21"/>
        </w:rPr>
        <w:t>）发生化学 反应，生成氮气和水的一种脱硝工艺。</w:t>
      </w:r>
    </w:p>
    <w:p>
      <w:pPr>
        <w:widowControl w:val="0"/>
        <w:tabs>
          <w:tab w:val="left" w:pos="1360"/>
        </w:tabs>
        <w:spacing w:line="340" w:lineRule="exact"/>
        <w:ind w:firstLine="420" w:firstLineChars="200"/>
        <w:rPr>
          <w:rFonts w:hint="default" w:ascii="Times New Roman" w:hAnsi="Times New Roman"/>
        </w:rPr>
      </w:pPr>
      <w:r>
        <w:t>[</w:t>
      </w:r>
      <w:r>
        <w:rPr>
          <w:rFonts w:hint="default" w:ascii="Times New Roman" w:hAnsi="Times New Roman"/>
        </w:rPr>
        <w:t>DB13/ 5161-2020</w:t>
      </w:r>
      <w:r>
        <w:t>，术语和定</w:t>
      </w:r>
      <w:r>
        <w:rPr>
          <w:rFonts w:hint="default" w:ascii="Times New Roman" w:hAnsi="Times New Roman"/>
        </w:rPr>
        <w:t>义3.8]</w:t>
      </w:r>
    </w:p>
    <w:p>
      <w:pPr>
        <w:pStyle w:val="19"/>
        <w:widowControl w:val="0"/>
        <w:spacing w:before="120" w:after="120" w:line="340" w:lineRule="exact"/>
        <w:rPr>
          <w:rFonts w:ascii="黑体" w:hAnsi="黑体"/>
        </w:rPr>
      </w:pPr>
      <w:r>
        <w:rPr>
          <w:rFonts w:hint="eastAsia" w:ascii="黑体" w:hAnsi="黑体"/>
        </w:rPr>
        <w:t xml:space="preserve">3.5  </w:t>
      </w:r>
      <w:r>
        <w:rPr>
          <w:rFonts w:ascii="黑体" w:hAnsi="黑体"/>
        </w:rPr>
        <w:t>选择性催化还原（SCR）工艺</w:t>
      </w:r>
    </w:p>
    <w:p>
      <w:pPr>
        <w:widowControl w:val="0"/>
        <w:tabs>
          <w:tab w:val="left" w:pos="1360"/>
        </w:tabs>
        <w:spacing w:line="340" w:lineRule="exact"/>
        <w:ind w:firstLine="420" w:firstLineChars="200"/>
        <w:rPr>
          <w:rFonts w:hint="default"/>
          <w:szCs w:val="21"/>
        </w:rPr>
      </w:pPr>
      <w:r>
        <w:rPr>
          <w:szCs w:val="21"/>
        </w:rPr>
        <w:t>利用还原剂在催化剂作用下有选择性地与烟气中的氮氧化物（主</w:t>
      </w:r>
      <w:r>
        <w:rPr>
          <w:rFonts w:hint="default" w:ascii="Times New Roman" w:hAnsi="Times New Roman"/>
          <w:szCs w:val="21"/>
        </w:rPr>
        <w:t>要</w:t>
      </w:r>
      <w:r>
        <w:rPr>
          <w:rFonts w:hint="default" w:ascii="宋体" w:hAnsi="宋体"/>
          <w:szCs w:val="21"/>
        </w:rPr>
        <w:t>是NO和NO</w:t>
      </w:r>
      <w:r>
        <w:rPr>
          <w:rFonts w:hint="default" w:ascii="宋体" w:hAnsi="宋体"/>
          <w:szCs w:val="21"/>
          <w:vertAlign w:val="subscript"/>
        </w:rPr>
        <w:t>2</w:t>
      </w:r>
      <w:r>
        <w:rPr>
          <w:rFonts w:ascii="宋体" w:hAnsi="宋体"/>
          <w:szCs w:val="21"/>
        </w:rPr>
        <w:t>）</w:t>
      </w:r>
      <w:r>
        <w:rPr>
          <w:szCs w:val="21"/>
        </w:rPr>
        <w:t>发生化学反应，生成氮气和水的一种脱硝工艺。</w:t>
      </w:r>
    </w:p>
    <w:p>
      <w:pPr>
        <w:widowControl w:val="0"/>
        <w:tabs>
          <w:tab w:val="left" w:pos="1360"/>
        </w:tabs>
        <w:spacing w:line="340" w:lineRule="exact"/>
        <w:ind w:firstLine="420" w:firstLineChars="200"/>
        <w:rPr>
          <w:rFonts w:hint="default" w:ascii="Times New Roman" w:hAnsi="Times New Roman"/>
        </w:rPr>
      </w:pPr>
      <w:r>
        <w:t>[</w:t>
      </w:r>
      <w:r>
        <w:rPr>
          <w:rFonts w:hint="default" w:ascii="Times New Roman" w:hAnsi="Times New Roman"/>
        </w:rPr>
        <w:t>DB13/ 5161-2020</w:t>
      </w:r>
      <w:r>
        <w:t>，术语和定</w:t>
      </w:r>
      <w:r>
        <w:rPr>
          <w:rFonts w:hint="default" w:ascii="Times New Roman" w:hAnsi="Times New Roman"/>
        </w:rPr>
        <w:t>义3.</w:t>
      </w:r>
      <w:r>
        <w:rPr>
          <w:rFonts w:ascii="Times New Roman" w:hAnsi="Times New Roman"/>
        </w:rPr>
        <w:t>7</w:t>
      </w:r>
      <w:r>
        <w:rPr>
          <w:rFonts w:hint="default" w:ascii="Times New Roman" w:hAnsi="Times New Roman"/>
        </w:rPr>
        <w:t>]</w:t>
      </w:r>
    </w:p>
    <w:p>
      <w:pPr>
        <w:pStyle w:val="19"/>
        <w:widowControl w:val="0"/>
        <w:spacing w:before="120" w:after="120" w:line="340" w:lineRule="exact"/>
        <w:rPr>
          <w:rFonts w:ascii="黑体" w:hAnsi="黑体"/>
        </w:rPr>
      </w:pPr>
      <w:r>
        <w:rPr>
          <w:rFonts w:ascii="黑体" w:hAnsi="黑体"/>
        </w:rPr>
        <w:t>3.6  标准状态</w:t>
      </w:r>
    </w:p>
    <w:p>
      <w:pPr>
        <w:spacing w:line="340" w:lineRule="exact"/>
        <w:ind w:firstLine="420" w:firstLineChars="200"/>
        <w:jc w:val="left"/>
        <w:rPr>
          <w:rFonts w:hint="default" w:asciiTheme="minorEastAsia" w:hAnsiTheme="minorEastAsia" w:eastAsiaTheme="minorEastAsia"/>
          <w:color w:val="000000" w:themeColor="text1"/>
          <w:szCs w:val="22"/>
          <w14:textFill>
            <w14:solidFill>
              <w14:schemeClr w14:val="tx1"/>
            </w14:solidFill>
          </w14:textFill>
        </w:rPr>
      </w:pPr>
      <w:r>
        <w:rPr>
          <w:rFonts w:asciiTheme="minorEastAsia" w:hAnsiTheme="minorEastAsia" w:eastAsiaTheme="minorEastAsia"/>
          <w:color w:val="000000" w:themeColor="text1"/>
          <w:szCs w:val="22"/>
          <w14:textFill>
            <w14:solidFill>
              <w14:schemeClr w14:val="tx1"/>
            </w14:solidFill>
          </w14:textFill>
        </w:rPr>
        <w:t>温度为273.15 K，压力为101 325 Pa时的状态，简称“标态”。本标准规定的大气污染物排放浓度限值均以标准状态下的干气体为基准。</w:t>
      </w:r>
    </w:p>
    <w:p>
      <w:pPr>
        <w:widowControl w:val="0"/>
        <w:tabs>
          <w:tab w:val="left" w:pos="1360"/>
        </w:tabs>
        <w:spacing w:before="120" w:beforeLines="50" w:after="120" w:afterLines="50" w:line="340" w:lineRule="exact"/>
        <w:outlineLvl w:val="1"/>
        <w:rPr>
          <w:rFonts w:hint="default" w:ascii="黑体" w:hAnsi="黑体" w:eastAsia="黑体"/>
          <w:kern w:val="0"/>
          <w:szCs w:val="21"/>
        </w:rPr>
      </w:pPr>
      <w:r>
        <w:rPr>
          <w:rFonts w:hint="default" w:ascii="黑体" w:hAnsi="黑体" w:eastAsia="黑体"/>
          <w:kern w:val="0"/>
          <w:szCs w:val="21"/>
        </w:rPr>
        <w:t>3.</w:t>
      </w:r>
      <w:r>
        <w:rPr>
          <w:rFonts w:ascii="黑体" w:hAnsi="黑体" w:eastAsia="黑体"/>
          <w:kern w:val="0"/>
          <w:szCs w:val="21"/>
        </w:rPr>
        <w:t>7</w:t>
      </w:r>
      <w:r>
        <w:rPr>
          <w:rFonts w:hint="default" w:ascii="黑体" w:hAnsi="黑体" w:eastAsia="黑体"/>
          <w:kern w:val="0"/>
          <w:szCs w:val="21"/>
        </w:rPr>
        <w:t xml:space="preserve"> </w:t>
      </w:r>
      <w:r>
        <w:rPr>
          <w:rFonts w:ascii="黑体" w:hAnsi="黑体" w:eastAsia="黑体"/>
          <w:kern w:val="0"/>
          <w:szCs w:val="21"/>
        </w:rPr>
        <w:t xml:space="preserve"> 无组织排放</w:t>
      </w:r>
    </w:p>
    <w:p>
      <w:pPr>
        <w:pStyle w:val="19"/>
        <w:widowControl w:val="0"/>
        <w:spacing w:beforeLines="0" w:afterLines="0" w:line="340" w:lineRule="exact"/>
        <w:ind w:firstLine="420" w:firstLineChars="200"/>
        <w:outlineLvl w:val="9"/>
      </w:pPr>
      <w:r>
        <w:rPr>
          <w:rFonts w:hint="eastAsia" w:eastAsia="宋体"/>
          <w:kern w:val="2"/>
          <w:szCs w:val="22"/>
        </w:rPr>
        <w:t>大气污染物不经过排气筒的无规则排放，包括开放式作业场所逸散，以及通过缝隙、通风口、敞开门窗和类似开口（孔）的排放等。</w:t>
      </w:r>
    </w:p>
    <w:p>
      <w:pPr>
        <w:pStyle w:val="5"/>
        <w:widowControl w:val="0"/>
        <w:kinsoku w:val="0"/>
        <w:overflowPunct w:val="0"/>
        <w:spacing w:line="340" w:lineRule="exact"/>
        <w:ind w:left="0" w:firstLine="420" w:firstLineChars="200"/>
        <w:jc w:val="both"/>
        <w:rPr>
          <w:rFonts w:hint="default" w:ascii="Times New Roman"/>
          <w:sz w:val="21"/>
        </w:rPr>
      </w:pPr>
      <w:r>
        <w:rPr>
          <w:rFonts w:ascii="Times New Roman"/>
          <w:sz w:val="21"/>
        </w:rPr>
        <w:t>[DB13/ 5214-2020，术语和定义3.13]</w:t>
      </w:r>
    </w:p>
    <w:p>
      <w:pPr>
        <w:widowControl w:val="0"/>
        <w:tabs>
          <w:tab w:val="left" w:pos="1360"/>
        </w:tabs>
        <w:spacing w:before="120" w:beforeLines="50" w:after="120" w:afterLines="50" w:line="340" w:lineRule="exact"/>
        <w:outlineLvl w:val="1"/>
        <w:rPr>
          <w:rFonts w:hint="default" w:ascii="黑体" w:hAnsi="黑体" w:eastAsia="黑体"/>
          <w:kern w:val="0"/>
          <w:szCs w:val="21"/>
        </w:rPr>
      </w:pPr>
      <w:r>
        <w:rPr>
          <w:rFonts w:hint="default" w:ascii="黑体" w:hAnsi="黑体" w:eastAsia="黑体"/>
          <w:kern w:val="0"/>
          <w:szCs w:val="21"/>
        </w:rPr>
        <w:t>3.</w:t>
      </w:r>
      <w:r>
        <w:rPr>
          <w:rFonts w:ascii="黑体" w:hAnsi="黑体" w:eastAsia="黑体"/>
          <w:kern w:val="0"/>
          <w:szCs w:val="21"/>
        </w:rPr>
        <w:t>8</w:t>
      </w:r>
      <w:r>
        <w:rPr>
          <w:rFonts w:hint="default" w:ascii="黑体" w:hAnsi="黑体" w:eastAsia="黑体"/>
          <w:kern w:val="0"/>
          <w:szCs w:val="21"/>
        </w:rPr>
        <w:t xml:space="preserve">  </w:t>
      </w:r>
      <w:r>
        <w:rPr>
          <w:rFonts w:ascii="黑体" w:hAnsi="黑体" w:eastAsia="黑体"/>
          <w:kern w:val="0"/>
          <w:szCs w:val="21"/>
        </w:rPr>
        <w:t>排气筒高度</w:t>
      </w:r>
    </w:p>
    <w:p>
      <w:pPr>
        <w:spacing w:line="340" w:lineRule="exact"/>
        <w:ind w:firstLine="420" w:firstLineChars="200"/>
        <w:jc w:val="left"/>
        <w:rPr>
          <w:rFonts w:hint="default" w:ascii="Times New Roman" w:hAnsi="宋体"/>
          <w:szCs w:val="22"/>
        </w:rPr>
      </w:pPr>
      <w:r>
        <w:rPr>
          <w:rFonts w:ascii="Times New Roman" w:hAnsi="宋体"/>
          <w:szCs w:val="22"/>
        </w:rPr>
        <w:t>指自排气筒（或其主体建筑构造）所在地平面至排气筒出口计的高度。</w:t>
      </w:r>
    </w:p>
    <w:p>
      <w:pPr>
        <w:pStyle w:val="5"/>
        <w:widowControl w:val="0"/>
        <w:kinsoku w:val="0"/>
        <w:overflowPunct w:val="0"/>
        <w:spacing w:line="340" w:lineRule="exact"/>
        <w:ind w:left="0" w:firstLine="420" w:firstLineChars="200"/>
        <w:jc w:val="both"/>
        <w:rPr>
          <w:rFonts w:hint="default" w:eastAsia="黑体"/>
        </w:rPr>
      </w:pPr>
      <w:r>
        <w:rPr>
          <w:rFonts w:ascii="Times New Roman"/>
          <w:sz w:val="21"/>
        </w:rPr>
        <w:t>[DB13/ 5214-2020，术语和定义3.7]</w:t>
      </w:r>
    </w:p>
    <w:p>
      <w:pPr>
        <w:pStyle w:val="19"/>
        <w:widowControl w:val="0"/>
        <w:spacing w:before="120" w:after="120" w:line="340" w:lineRule="exact"/>
        <w:rPr>
          <w:rFonts w:ascii="黑体" w:hAnsi="黑体"/>
        </w:rPr>
      </w:pPr>
      <w:bookmarkStart w:id="11" w:name="_Toc66431578"/>
      <w:bookmarkStart w:id="12" w:name="_Toc66112994"/>
      <w:bookmarkStart w:id="13" w:name="_Toc59087523"/>
      <w:bookmarkStart w:id="14" w:name="_Toc59087522"/>
      <w:bookmarkStart w:id="15" w:name="_Toc59087521"/>
      <w:r>
        <w:rPr>
          <w:rFonts w:ascii="黑体" w:hAnsi="黑体"/>
        </w:rPr>
        <w:t>3.</w:t>
      </w:r>
      <w:r>
        <w:rPr>
          <w:rFonts w:hint="eastAsia" w:ascii="黑体" w:hAnsi="黑体"/>
        </w:rPr>
        <w:t>9  基准氧含量</w:t>
      </w:r>
      <w:bookmarkEnd w:id="11"/>
      <w:bookmarkEnd w:id="12"/>
    </w:p>
    <w:p>
      <w:pPr>
        <w:pStyle w:val="19"/>
        <w:widowControl w:val="0"/>
        <w:spacing w:beforeLines="0" w:afterLines="0" w:line="340" w:lineRule="exact"/>
        <w:ind w:firstLine="420" w:firstLineChars="200"/>
        <w:outlineLvl w:val="9"/>
        <w:rPr>
          <w:rFonts w:ascii="宋体" w:hAnsi="宋体" w:eastAsia="宋体"/>
          <w:kern w:val="2"/>
          <w:szCs w:val="22"/>
        </w:rPr>
      </w:pPr>
      <w:r>
        <w:rPr>
          <w:rFonts w:hint="eastAsia" w:ascii="宋体" w:hAnsi="宋体" w:eastAsia="宋体"/>
          <w:kern w:val="2"/>
          <w:szCs w:val="22"/>
        </w:rPr>
        <w:t>用于折算燃烧源大气污染物排放浓度而规定的氧含量的基准值。</w:t>
      </w:r>
    </w:p>
    <w:p>
      <w:pPr>
        <w:pStyle w:val="19"/>
        <w:widowControl w:val="0"/>
        <w:spacing w:beforeLines="0" w:afterLines="0" w:line="340" w:lineRule="exact"/>
        <w:ind w:firstLine="420" w:firstLineChars="200"/>
        <w:outlineLvl w:val="9"/>
        <w:rPr>
          <w:rFonts w:ascii="Times New Roman" w:hAnsi="Times New Roman" w:eastAsia="宋体"/>
          <w:kern w:val="2"/>
          <w:szCs w:val="22"/>
        </w:rPr>
      </w:pPr>
      <w:r>
        <w:rPr>
          <w:rFonts w:ascii="Times New Roman" w:hAnsi="Times New Roman" w:eastAsia="宋体"/>
          <w:kern w:val="2"/>
          <w:szCs w:val="22"/>
        </w:rPr>
        <w:t>[HJ 945.1-2018，术语和定义3.12]</w:t>
      </w:r>
    </w:p>
    <w:bookmarkEnd w:id="13"/>
    <w:bookmarkEnd w:id="14"/>
    <w:bookmarkEnd w:id="15"/>
    <w:p>
      <w:pPr>
        <w:spacing w:before="240" w:beforeLines="100" w:after="240" w:afterLines="100" w:line="340" w:lineRule="exact"/>
        <w:outlineLvl w:val="0"/>
        <w:rPr>
          <w:rFonts w:hint="default" w:ascii="黑体" w:hAnsi="黑体" w:eastAsia="黑体"/>
          <w:bCs/>
          <w:kern w:val="0"/>
          <w:szCs w:val="21"/>
        </w:rPr>
      </w:pPr>
      <w:bookmarkStart w:id="16" w:name="_Toc66431585"/>
      <w:r>
        <w:rPr>
          <w:rFonts w:hint="default" w:ascii="黑体" w:hAnsi="黑体" w:eastAsia="黑体"/>
          <w:bCs/>
          <w:kern w:val="0"/>
          <w:szCs w:val="21"/>
        </w:rPr>
        <w:t>4  大气污染物排放限值及控制要求</w:t>
      </w:r>
      <w:bookmarkEnd w:id="16"/>
    </w:p>
    <w:p>
      <w:pPr>
        <w:pStyle w:val="19"/>
        <w:widowControl w:val="0"/>
        <w:spacing w:before="120" w:after="120" w:line="340" w:lineRule="exact"/>
        <w:rPr>
          <w:rFonts w:ascii="黑体" w:hAnsi="黑体"/>
        </w:rPr>
      </w:pPr>
      <w:bookmarkStart w:id="17" w:name="_Toc66431586"/>
      <w:bookmarkStart w:id="18" w:name="_Toc66113002"/>
      <w:bookmarkStart w:id="19" w:name="_Toc59087530"/>
      <w:r>
        <w:rPr>
          <w:rFonts w:ascii="黑体" w:hAnsi="黑体"/>
        </w:rPr>
        <w:t>4.1  有组织排放限值</w:t>
      </w:r>
      <w:bookmarkEnd w:id="17"/>
      <w:bookmarkEnd w:id="18"/>
    </w:p>
    <w:p>
      <w:pPr>
        <w:spacing w:line="340" w:lineRule="exact"/>
        <w:jc w:val="left"/>
        <w:rPr>
          <w:rFonts w:hint="default" w:ascii="宋体" w:hAnsi="宋体"/>
        </w:rPr>
      </w:pPr>
      <w:r>
        <w:rPr>
          <w:rFonts w:hint="default" w:ascii="黑体" w:hAnsi="黑体" w:eastAsia="黑体"/>
        </w:rPr>
        <w:t>4.</w:t>
      </w:r>
      <w:r>
        <w:rPr>
          <w:rFonts w:ascii="黑体" w:hAnsi="黑体" w:eastAsia="黑体"/>
        </w:rPr>
        <w:t>1.</w:t>
      </w:r>
      <w:r>
        <w:rPr>
          <w:rFonts w:hint="default" w:ascii="黑体" w:hAnsi="黑体" w:eastAsia="黑体"/>
        </w:rPr>
        <w:t xml:space="preserve">1 </w:t>
      </w:r>
      <w:bookmarkStart w:id="20" w:name="_Hlk17466784"/>
      <w:r>
        <w:rPr>
          <w:rFonts w:hint="default" w:ascii="黑体" w:hAnsi="黑体" w:eastAsia="黑体"/>
        </w:rPr>
        <w:t xml:space="preserve"> </w:t>
      </w:r>
      <w:r>
        <w:rPr>
          <w:rFonts w:hint="default" w:ascii="宋体" w:hAnsi="宋体"/>
        </w:rPr>
        <w:t>新建</w:t>
      </w:r>
      <w:r>
        <w:rPr>
          <w:rFonts w:ascii="宋体" w:hAnsi="宋体"/>
        </w:rPr>
        <w:t>企业自本</w:t>
      </w:r>
      <w:r>
        <w:rPr>
          <w:rFonts w:hint="default" w:ascii="宋体" w:hAnsi="宋体"/>
        </w:rPr>
        <w:t>标准实施之日起，执行表1规定的大气污染物排放限值</w:t>
      </w:r>
      <w:r>
        <w:rPr>
          <w:rFonts w:ascii="宋体" w:hAnsi="宋体"/>
        </w:rPr>
        <w:t>及其他污染控制要求。</w:t>
      </w:r>
      <w:bookmarkEnd w:id="19"/>
    </w:p>
    <w:p>
      <w:pPr>
        <w:spacing w:line="340" w:lineRule="exact"/>
        <w:jc w:val="left"/>
        <w:rPr>
          <w:rFonts w:hint="default" w:ascii="宋体" w:hAnsi="宋体"/>
        </w:rPr>
      </w:pPr>
      <w:r>
        <w:rPr>
          <w:rFonts w:hint="default" w:ascii="黑体" w:hAnsi="黑体" w:eastAsia="黑体"/>
        </w:rPr>
        <w:t>4.</w:t>
      </w:r>
      <w:r>
        <w:rPr>
          <w:rFonts w:ascii="黑体" w:hAnsi="黑体" w:eastAsia="黑体"/>
        </w:rPr>
        <w:t>1.</w:t>
      </w:r>
      <w:r>
        <w:rPr>
          <w:rFonts w:hint="default" w:ascii="黑体" w:hAnsi="黑体" w:eastAsia="黑体"/>
        </w:rPr>
        <w:t xml:space="preserve">2  </w:t>
      </w:r>
      <w:bookmarkEnd w:id="20"/>
      <w:r>
        <w:rPr>
          <w:rFonts w:hint="default" w:ascii="宋体" w:hAnsi="宋体"/>
        </w:rPr>
        <w:t>现有</w:t>
      </w:r>
      <w:r>
        <w:rPr>
          <w:rFonts w:ascii="宋体" w:hAnsi="宋体"/>
        </w:rPr>
        <w:t>企业</w:t>
      </w:r>
      <w:r>
        <w:rPr>
          <w:rFonts w:hint="default" w:ascii="宋体" w:hAnsi="宋体"/>
        </w:rPr>
        <w:t>自</w:t>
      </w:r>
      <w:r>
        <w:rPr>
          <w:rFonts w:ascii="宋体" w:hAnsi="宋体"/>
          <w:color w:val="000000" w:themeColor="text1"/>
          <w14:textFill>
            <w14:solidFill>
              <w14:schemeClr w14:val="tx1"/>
            </w14:solidFill>
          </w14:textFill>
        </w:rPr>
        <w:t>2024</w:t>
      </w:r>
      <w:r>
        <w:rPr>
          <w:rFonts w:hint="default" w:ascii="宋体" w:hAnsi="宋体"/>
          <w:color w:val="000000" w:themeColor="text1"/>
          <w14:textFill>
            <w14:solidFill>
              <w14:schemeClr w14:val="tx1"/>
            </w14:solidFill>
          </w14:textFill>
        </w:rPr>
        <w:t>年</w:t>
      </w:r>
      <w:r>
        <w:rPr>
          <w:rFonts w:ascii="宋体" w:hAnsi="宋体"/>
          <w:color w:val="000000" w:themeColor="text1"/>
          <w14:textFill>
            <w14:solidFill>
              <w14:schemeClr w14:val="tx1"/>
            </w14:solidFill>
          </w14:textFill>
        </w:rPr>
        <w:t>1</w:t>
      </w:r>
      <w:r>
        <w:rPr>
          <w:rFonts w:hint="default" w:ascii="宋体" w:hAnsi="宋体"/>
          <w:color w:val="000000" w:themeColor="text1"/>
          <w14:textFill>
            <w14:solidFill>
              <w14:schemeClr w14:val="tx1"/>
            </w14:solidFill>
          </w14:textFill>
        </w:rPr>
        <w:t>月</w:t>
      </w:r>
      <w:r>
        <w:rPr>
          <w:rFonts w:ascii="宋体" w:hAnsi="宋体"/>
          <w:color w:val="000000" w:themeColor="text1"/>
          <w14:textFill>
            <w14:solidFill>
              <w14:schemeClr w14:val="tx1"/>
            </w14:solidFill>
          </w14:textFill>
        </w:rPr>
        <w:t>1</w:t>
      </w:r>
      <w:r>
        <w:rPr>
          <w:rFonts w:hint="default" w:ascii="宋体" w:hAnsi="宋体"/>
          <w:color w:val="000000" w:themeColor="text1"/>
          <w14:textFill>
            <w14:solidFill>
              <w14:schemeClr w14:val="tx1"/>
            </w14:solidFill>
          </w14:textFill>
        </w:rPr>
        <w:t>日</w:t>
      </w:r>
      <w:r>
        <w:rPr>
          <w:rFonts w:hint="default" w:ascii="宋体" w:hAnsi="宋体"/>
        </w:rPr>
        <w:t>起，执行表1规定的大气污染物排放限值</w:t>
      </w:r>
      <w:r>
        <w:rPr>
          <w:rFonts w:ascii="宋体" w:hAnsi="宋体"/>
        </w:rPr>
        <w:t>及其他污染控制要求</w:t>
      </w:r>
      <w:r>
        <w:rPr>
          <w:rFonts w:hint="default" w:ascii="宋体" w:hAnsi="宋体"/>
        </w:rPr>
        <w:t>。</w:t>
      </w:r>
    </w:p>
    <w:p>
      <w:pPr>
        <w:spacing w:before="120" w:beforeLines="50" w:line="340" w:lineRule="exact"/>
        <w:jc w:val="center"/>
        <w:rPr>
          <w:rFonts w:hint="default" w:ascii="黑体" w:hAnsi="黑体" w:eastAsia="黑体"/>
          <w:kern w:val="0"/>
        </w:rPr>
      </w:pPr>
      <w:r>
        <w:rPr>
          <w:rFonts w:ascii="黑体" w:hAnsi="黑体" w:eastAsia="黑体"/>
          <w:kern w:val="0"/>
        </w:rPr>
        <w:t xml:space="preserve">表1  </w:t>
      </w:r>
      <w:r>
        <w:rPr>
          <w:rFonts w:ascii="黑体" w:hAnsi="黑体" w:eastAsia="黑体" w:cs="黑体"/>
          <w:bCs/>
        </w:rPr>
        <w:t>大气污染物排放浓度限值</w:t>
      </w:r>
    </w:p>
    <w:p>
      <w:pPr>
        <w:spacing w:before="4" w:line="240" w:lineRule="exact"/>
        <w:jc w:val="right"/>
        <w:rPr>
          <w:rFonts w:hint="default"/>
          <w:kern w:val="0"/>
        </w:rPr>
      </w:pPr>
      <w:r>
        <w:rPr>
          <w:kern w:val="0"/>
        </w:rPr>
        <w:t>单位：</w:t>
      </w:r>
      <w:r>
        <w:rPr>
          <w:rFonts w:hint="default"/>
          <w:kern w:val="0"/>
        </w:rPr>
        <w:t>mg/m</w:t>
      </w:r>
      <w:r>
        <w:rPr>
          <w:rFonts w:hint="default"/>
          <w:kern w:val="0"/>
          <w:vertAlign w:val="superscript"/>
        </w:rPr>
        <w:t>3</w:t>
      </w:r>
    </w:p>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595"/>
        <w:gridCol w:w="2685"/>
        <w:gridCol w:w="980"/>
        <w:gridCol w:w="1050"/>
        <w:gridCol w:w="910"/>
        <w:gridCol w:w="650"/>
        <w:gridCol w:w="1380"/>
        <w:gridCol w:w="11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80" w:hRule="atLeast"/>
        </w:trPr>
        <w:tc>
          <w:tcPr>
            <w:tcW w:w="595" w:type="dxa"/>
            <w:vAlign w:val="center"/>
          </w:tcPr>
          <w:p>
            <w:pPr>
              <w:pStyle w:val="5"/>
              <w:kinsoku w:val="0"/>
              <w:overflowPunct w:val="0"/>
              <w:spacing w:line="0" w:lineRule="atLeast"/>
              <w:ind w:left="0"/>
              <w:jc w:val="center"/>
              <w:rPr>
                <w:rFonts w:hint="default" w:hAnsi="宋体" w:cs="宋体"/>
                <w:color w:val="000000" w:themeColor="text1"/>
                <w:sz w:val="18"/>
                <w:szCs w:val="18"/>
                <w:shd w:val="clear" w:color="auto" w:fill="FFFFFF"/>
                <w:lang w:val="zh-TW" w:bidi="zh-TW"/>
                <w14:textFill>
                  <w14:solidFill>
                    <w14:schemeClr w14:val="tx1"/>
                  </w14:solidFill>
                </w14:textFill>
              </w:rPr>
            </w:pPr>
            <w:r>
              <w:rPr>
                <w:rFonts w:hAnsi="宋体" w:cs="宋体"/>
                <w:color w:val="000000" w:themeColor="text1"/>
                <w:sz w:val="18"/>
                <w:szCs w:val="18"/>
                <w14:textFill>
                  <w14:solidFill>
                    <w14:schemeClr w14:val="tx1"/>
                  </w14:solidFill>
                </w14:textFill>
              </w:rPr>
              <w:t>序号</w:t>
            </w:r>
          </w:p>
        </w:tc>
        <w:tc>
          <w:tcPr>
            <w:tcW w:w="2685" w:type="dxa"/>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污染物排放环节</w:t>
            </w:r>
          </w:p>
        </w:tc>
        <w:tc>
          <w:tcPr>
            <w:tcW w:w="980" w:type="dxa"/>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颗粒物</w:t>
            </w:r>
          </w:p>
        </w:tc>
        <w:tc>
          <w:tcPr>
            <w:tcW w:w="1050" w:type="dxa"/>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二氧化硫</w:t>
            </w:r>
          </w:p>
        </w:tc>
        <w:tc>
          <w:tcPr>
            <w:tcW w:w="910" w:type="dxa"/>
            <w:tcBorders>
              <w:right w:val="single" w:color="auto" w:sz="4" w:space="0"/>
            </w:tcBorders>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氮氧化物</w:t>
            </w:r>
          </w:p>
        </w:tc>
        <w:tc>
          <w:tcPr>
            <w:tcW w:w="650" w:type="dxa"/>
            <w:tcBorders>
              <w:left w:val="single" w:color="auto" w:sz="4" w:space="0"/>
              <w:right w:val="single" w:color="auto" w:sz="4" w:space="0"/>
            </w:tcBorders>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氨</w:t>
            </w:r>
          </w:p>
        </w:tc>
        <w:tc>
          <w:tcPr>
            <w:tcW w:w="1380" w:type="dxa"/>
            <w:tcBorders>
              <w:left w:val="single" w:color="auto" w:sz="4" w:space="0"/>
            </w:tcBorders>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烟气黑度（林格曼黑度，级）</w:t>
            </w:r>
          </w:p>
        </w:tc>
        <w:tc>
          <w:tcPr>
            <w:tcW w:w="1174" w:type="dxa"/>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污染物排放</w:t>
            </w:r>
          </w:p>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监控位置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80" w:hRule="atLeast"/>
        </w:trPr>
        <w:tc>
          <w:tcPr>
            <w:tcW w:w="595" w:type="dxa"/>
            <w:vAlign w:val="center"/>
          </w:tcPr>
          <w:p>
            <w:pPr>
              <w:pStyle w:val="5"/>
              <w:kinsoku w:val="0"/>
              <w:overflowPunct w:val="0"/>
              <w:spacing w:line="0" w:lineRule="atLeast"/>
              <w:ind w:left="0"/>
              <w:jc w:val="center"/>
              <w:rPr>
                <w:rFonts w:hint="default" w:hAnsi="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1</w:t>
            </w:r>
          </w:p>
        </w:tc>
        <w:tc>
          <w:tcPr>
            <w:tcW w:w="2685" w:type="dxa"/>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石灰窑</w:t>
            </w:r>
          </w:p>
        </w:tc>
        <w:tc>
          <w:tcPr>
            <w:tcW w:w="980" w:type="dxa"/>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w:t>
            </w:r>
          </w:p>
        </w:tc>
        <w:tc>
          <w:tcPr>
            <w:tcW w:w="1050" w:type="dxa"/>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50</w:t>
            </w:r>
          </w:p>
        </w:tc>
        <w:tc>
          <w:tcPr>
            <w:tcW w:w="910" w:type="dxa"/>
            <w:tcBorders>
              <w:right w:val="single" w:color="auto" w:sz="4" w:space="0"/>
            </w:tcBorders>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150</w:t>
            </w:r>
          </w:p>
        </w:tc>
        <w:tc>
          <w:tcPr>
            <w:tcW w:w="650" w:type="dxa"/>
            <w:tcBorders>
              <w:left w:val="single" w:color="auto" w:sz="4" w:space="0"/>
              <w:right w:val="single" w:color="auto" w:sz="4" w:space="0"/>
            </w:tcBorders>
            <w:vAlign w:val="center"/>
          </w:tcPr>
          <w:p>
            <w:pPr>
              <w:pStyle w:val="5"/>
              <w:kinsoku w:val="0"/>
              <w:overflowPunct w:val="0"/>
              <w:spacing w:line="0" w:lineRule="atLeast"/>
              <w:ind w:left="0"/>
              <w:jc w:val="center"/>
              <w:rPr>
                <w:rFonts w:hint="default"/>
                <w:color w:val="000000" w:themeColor="text1"/>
                <w:sz w:val="18"/>
                <w:szCs w:val="18"/>
                <w:vertAlign w:val="superscript"/>
                <w14:textFill>
                  <w14:solidFill>
                    <w14:schemeClr w14:val="tx1"/>
                  </w14:solidFill>
                </w14:textFill>
              </w:rPr>
            </w:pPr>
            <w:r>
              <w:rPr>
                <w:color w:val="000000" w:themeColor="text1"/>
                <w:sz w:val="18"/>
                <w:szCs w:val="18"/>
                <w14:textFill>
                  <w14:solidFill>
                    <w14:schemeClr w14:val="tx1"/>
                  </w14:solidFill>
                </w14:textFill>
              </w:rPr>
              <w:t>8</w:t>
            </w:r>
            <w:r>
              <w:rPr>
                <w:color w:val="000000" w:themeColor="text1"/>
                <w:sz w:val="18"/>
                <w:szCs w:val="18"/>
                <w:vertAlign w:val="superscript"/>
                <w14:textFill>
                  <w14:solidFill>
                    <w14:schemeClr w14:val="tx1"/>
                  </w14:solidFill>
                </w14:textFill>
              </w:rPr>
              <w:t>a</w:t>
            </w:r>
          </w:p>
        </w:tc>
        <w:tc>
          <w:tcPr>
            <w:tcW w:w="1380" w:type="dxa"/>
            <w:tcBorders>
              <w:left w:val="single" w:color="auto" w:sz="4" w:space="0"/>
            </w:tcBorders>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w:t>
            </w:r>
          </w:p>
        </w:tc>
        <w:tc>
          <w:tcPr>
            <w:tcW w:w="1174" w:type="dxa"/>
            <w:vMerge w:val="restart"/>
            <w:vAlign w:val="center"/>
          </w:tcPr>
          <w:p>
            <w:pPr>
              <w:pStyle w:val="5"/>
              <w:kinsoku w:val="0"/>
              <w:overflowPunct w:val="0"/>
              <w:spacing w:line="0" w:lineRule="atLeast"/>
              <w:ind w:left="0"/>
              <w:jc w:val="center"/>
              <w:rPr>
                <w:rFonts w:hint="default"/>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车间或生产</w:t>
            </w:r>
          </w:p>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设施排气筒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80" w:hRule="atLeast"/>
        </w:trPr>
        <w:tc>
          <w:tcPr>
            <w:tcW w:w="595" w:type="dxa"/>
            <w:vAlign w:val="center"/>
          </w:tcPr>
          <w:p>
            <w:pPr>
              <w:pStyle w:val="5"/>
              <w:kinsoku w:val="0"/>
              <w:overflowPunct w:val="0"/>
              <w:spacing w:line="0" w:lineRule="atLeast"/>
              <w:ind w:left="0"/>
              <w:jc w:val="center"/>
              <w:rPr>
                <w:rFonts w:hint="default" w:hAnsi="宋体"/>
                <w:color w:val="000000" w:themeColor="text1"/>
                <w:sz w:val="18"/>
                <w:szCs w:val="18"/>
                <w14:textFill>
                  <w14:solidFill>
                    <w14:schemeClr w14:val="tx1"/>
                  </w14:solidFill>
                </w14:textFill>
              </w:rPr>
            </w:pPr>
            <w:r>
              <w:rPr>
                <w:rFonts w:hAnsi="宋体" w:cs="宋体"/>
                <w:color w:val="000000" w:themeColor="text1"/>
                <w:sz w:val="18"/>
                <w:szCs w:val="18"/>
                <w14:textFill>
                  <w14:solidFill>
                    <w14:schemeClr w14:val="tx1"/>
                  </w14:solidFill>
                </w14:textFill>
              </w:rPr>
              <w:t>2</w:t>
            </w:r>
          </w:p>
        </w:tc>
        <w:tc>
          <w:tcPr>
            <w:tcW w:w="2685" w:type="dxa"/>
            <w:vAlign w:val="center"/>
          </w:tcPr>
          <w:p>
            <w:pPr>
              <w:pStyle w:val="5"/>
              <w:kinsoku w:val="0"/>
              <w:overflowPunct w:val="0"/>
              <w:spacing w:line="0" w:lineRule="atLeast"/>
              <w:ind w:left="0"/>
              <w:jc w:val="center"/>
              <w:rPr>
                <w:rFonts w:hint="default" w:hAnsi="宋体" w:cs="宋体"/>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物料处理输送过程、破碎、筛分、粉磨、干燥、石灰仓、包装、散料装车区及其他通风生产设备</w:t>
            </w:r>
          </w:p>
        </w:tc>
        <w:tc>
          <w:tcPr>
            <w:tcW w:w="980" w:type="dxa"/>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r>
              <w:rPr>
                <w:rFonts w:ascii="宋体" w:hAnsi="宋体" w:cs="宋体"/>
                <w:color w:val="000000" w:themeColor="text1"/>
                <w:sz w:val="18"/>
                <w:szCs w:val="18"/>
                <w14:textFill>
                  <w14:solidFill>
                    <w14:schemeClr w14:val="tx1"/>
                  </w14:solidFill>
                </w14:textFill>
              </w:rPr>
              <w:t>10</w:t>
            </w:r>
          </w:p>
        </w:tc>
        <w:tc>
          <w:tcPr>
            <w:tcW w:w="1050" w:type="dxa"/>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r>
              <w:rPr>
                <w:rFonts w:ascii="宋体" w:hAnsi="宋体" w:cs="宋体"/>
                <w:color w:val="000000" w:themeColor="text1"/>
                <w:sz w:val="18"/>
                <w:szCs w:val="18"/>
                <w14:textFill>
                  <w14:solidFill>
                    <w14:schemeClr w14:val="tx1"/>
                  </w14:solidFill>
                </w14:textFill>
              </w:rPr>
              <w:t>--</w:t>
            </w:r>
          </w:p>
        </w:tc>
        <w:tc>
          <w:tcPr>
            <w:tcW w:w="910" w:type="dxa"/>
            <w:tcBorders>
              <w:right w:val="single" w:color="auto" w:sz="4" w:space="0"/>
            </w:tcBorders>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r>
              <w:rPr>
                <w:rFonts w:ascii="宋体" w:hAnsi="宋体" w:cs="宋体"/>
                <w:color w:val="000000" w:themeColor="text1"/>
                <w:sz w:val="18"/>
                <w:szCs w:val="18"/>
                <w14:textFill>
                  <w14:solidFill>
                    <w14:schemeClr w14:val="tx1"/>
                  </w14:solidFill>
                </w14:textFill>
              </w:rPr>
              <w:t>--</w:t>
            </w:r>
          </w:p>
        </w:tc>
        <w:tc>
          <w:tcPr>
            <w:tcW w:w="650" w:type="dxa"/>
            <w:tcBorders>
              <w:left w:val="single" w:color="auto" w:sz="4" w:space="0"/>
              <w:right w:val="single" w:color="auto" w:sz="4" w:space="0"/>
            </w:tcBorders>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r>
              <w:rPr>
                <w:rFonts w:ascii="宋体" w:hAnsi="宋体" w:cs="宋体"/>
                <w:color w:val="000000" w:themeColor="text1"/>
                <w:sz w:val="18"/>
                <w:szCs w:val="18"/>
                <w14:textFill>
                  <w14:solidFill>
                    <w14:schemeClr w14:val="tx1"/>
                  </w14:solidFill>
                </w14:textFill>
              </w:rPr>
              <w:t>--</w:t>
            </w:r>
          </w:p>
        </w:tc>
        <w:tc>
          <w:tcPr>
            <w:tcW w:w="1380" w:type="dxa"/>
            <w:tcBorders>
              <w:left w:val="single" w:color="auto" w:sz="4" w:space="0"/>
            </w:tcBorders>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p>
        </w:tc>
        <w:tc>
          <w:tcPr>
            <w:tcW w:w="1174" w:type="dxa"/>
            <w:vMerge w:val="continue"/>
            <w:vAlign w:val="center"/>
          </w:tcPr>
          <w:p>
            <w:pPr>
              <w:spacing w:line="0" w:lineRule="atLeast"/>
              <w:jc w:val="center"/>
              <w:rPr>
                <w:rFonts w:hint="default" w:ascii="宋体" w:hAnsi="宋体" w:cs="宋体"/>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29" w:hRule="atLeast"/>
        </w:trPr>
        <w:tc>
          <w:tcPr>
            <w:tcW w:w="9424" w:type="dxa"/>
            <w:gridSpan w:val="8"/>
            <w:vAlign w:val="center"/>
          </w:tcPr>
          <w:p>
            <w:pPr>
              <w:spacing w:line="0" w:lineRule="atLeast"/>
              <w:ind w:firstLine="360" w:firstLineChars="200"/>
              <w:jc w:val="left"/>
              <w:rPr>
                <w:rFonts w:hint="default" w:ascii="宋体" w:hAnsi="宋体" w:cs="宋体"/>
                <w:color w:val="000000" w:themeColor="text1"/>
                <w:sz w:val="18"/>
                <w:szCs w:val="18"/>
                <w14:textFill>
                  <w14:solidFill>
                    <w14:schemeClr w14:val="tx1"/>
                  </w14:solidFill>
                </w14:textFill>
              </w:rPr>
            </w:pPr>
            <w:r>
              <w:rPr>
                <w:rFonts w:ascii="宋体" w:hAnsi="宋体" w:cs="宋体"/>
                <w:color w:val="000000" w:themeColor="text1"/>
                <w:sz w:val="18"/>
                <w:szCs w:val="18"/>
                <w14:textFill>
                  <w14:solidFill>
                    <w14:schemeClr w14:val="tx1"/>
                  </w14:solidFill>
                </w14:textFill>
              </w:rPr>
              <w:t>a：适用于烟气处理使用氨水、尿素等含氨物质。</w:t>
            </w:r>
          </w:p>
        </w:tc>
      </w:tr>
    </w:tbl>
    <w:p>
      <w:pPr>
        <w:pStyle w:val="19"/>
        <w:widowControl w:val="0"/>
        <w:spacing w:before="240" w:beforeLines="100" w:after="120" w:line="340" w:lineRule="exact"/>
        <w:rPr>
          <w:rFonts w:ascii="黑体" w:hAnsi="黑体"/>
        </w:rPr>
      </w:pPr>
      <w:bookmarkStart w:id="21" w:name="_Toc66431587"/>
      <w:bookmarkStart w:id="22" w:name="_Toc66113003"/>
      <w:r>
        <w:rPr>
          <w:rFonts w:ascii="黑体" w:hAnsi="黑体"/>
        </w:rPr>
        <w:t>4.2  无组织排放控制要求</w:t>
      </w:r>
      <w:bookmarkEnd w:id="21"/>
      <w:bookmarkEnd w:id="22"/>
    </w:p>
    <w:p>
      <w:pPr>
        <w:tabs>
          <w:tab w:val="left" w:pos="840"/>
        </w:tabs>
        <w:spacing w:line="340" w:lineRule="exact"/>
        <w:rPr>
          <w:rFonts w:hint="default" w:ascii="宋体" w:hAnsi="宋体"/>
          <w:kern w:val="0"/>
          <w:szCs w:val="21"/>
          <w:highlight w:val="yellow"/>
        </w:rPr>
      </w:pPr>
      <w:r>
        <w:rPr>
          <w:rFonts w:ascii="黑体" w:hAnsi="黑体" w:eastAsia="黑体"/>
          <w:kern w:val="0"/>
          <w:szCs w:val="21"/>
        </w:rPr>
        <w:t xml:space="preserve">4.2.1  </w:t>
      </w:r>
      <w:r>
        <w:rPr>
          <w:rFonts w:ascii="宋体" w:hAnsi="宋体"/>
          <w:kern w:val="0"/>
          <w:szCs w:val="21"/>
        </w:rPr>
        <w:t>石灰石、煤等块状物料应储存于密闭或封闭料场中，并对物料采取覆盖、喷淋（雾）等抑尘措施。</w:t>
      </w:r>
    </w:p>
    <w:p>
      <w:pPr>
        <w:tabs>
          <w:tab w:val="left" w:pos="840"/>
        </w:tabs>
        <w:spacing w:line="340" w:lineRule="exact"/>
        <w:rPr>
          <w:rFonts w:hint="default" w:ascii="宋体" w:hAnsi="宋体"/>
          <w:color w:val="000000"/>
          <w:kern w:val="0"/>
          <w:szCs w:val="21"/>
        </w:rPr>
      </w:pPr>
      <w:r>
        <w:rPr>
          <w:rFonts w:ascii="黑体" w:hAnsi="黑体" w:eastAsia="黑体"/>
          <w:color w:val="000000"/>
          <w:kern w:val="0"/>
          <w:szCs w:val="21"/>
        </w:rPr>
        <w:t xml:space="preserve">4.2.2  </w:t>
      </w:r>
      <w:r>
        <w:rPr>
          <w:rFonts w:ascii="宋体" w:hAnsi="宋体"/>
          <w:color w:val="000000"/>
          <w:kern w:val="0"/>
          <w:szCs w:val="21"/>
        </w:rPr>
        <w:t>在保障生产安全的前提下，煤粉、石灰等粉状物料应密闭储存、输送。</w:t>
      </w:r>
    </w:p>
    <w:p>
      <w:pPr>
        <w:tabs>
          <w:tab w:val="left" w:pos="840"/>
        </w:tabs>
        <w:spacing w:line="340" w:lineRule="exact"/>
        <w:rPr>
          <w:rFonts w:hint="default" w:ascii="宋体" w:hAnsi="宋体"/>
          <w:color w:val="000000"/>
          <w:kern w:val="0"/>
          <w:szCs w:val="21"/>
        </w:rPr>
      </w:pPr>
      <w:r>
        <w:rPr>
          <w:rFonts w:ascii="黑体" w:hAnsi="黑体" w:eastAsia="黑体"/>
          <w:color w:val="000000"/>
          <w:kern w:val="0"/>
          <w:szCs w:val="21"/>
        </w:rPr>
        <w:t xml:space="preserve">4.2.3  </w:t>
      </w:r>
      <w:r>
        <w:rPr>
          <w:rFonts w:ascii="宋体" w:hAnsi="宋体"/>
          <w:color w:val="000000"/>
          <w:kern w:val="0"/>
          <w:szCs w:val="21"/>
        </w:rPr>
        <w:t>各种物料的破碎、筛分应在封闭厂房内进行。石灰等破碎筛分设备，在进、出料口等产尘点应设置集气罩，并配备除尘设施。在物料转运、配料、混料、投加等过程的产尘点应设置集气罩，并配备除尘设施。</w:t>
      </w:r>
    </w:p>
    <w:p>
      <w:pPr>
        <w:tabs>
          <w:tab w:val="left" w:pos="840"/>
        </w:tabs>
        <w:spacing w:line="340" w:lineRule="exact"/>
        <w:rPr>
          <w:rFonts w:hint="default" w:ascii="宋体" w:hAnsi="宋体"/>
          <w:color w:val="000000"/>
          <w:kern w:val="0"/>
          <w:szCs w:val="21"/>
        </w:rPr>
      </w:pPr>
      <w:r>
        <w:rPr>
          <w:rFonts w:ascii="黑体" w:hAnsi="黑体" w:eastAsia="黑体"/>
          <w:color w:val="000000"/>
          <w:kern w:val="0"/>
          <w:szCs w:val="21"/>
        </w:rPr>
        <w:t xml:space="preserve">4.2.4  </w:t>
      </w:r>
      <w:r>
        <w:rPr>
          <w:rFonts w:ascii="宋体" w:hAnsi="宋体"/>
          <w:color w:val="000000"/>
          <w:kern w:val="0"/>
          <w:szCs w:val="21"/>
        </w:rPr>
        <w:t>除尘器应设置密闭灰仓并及时卸灰，除尘器清灰产生的灰尘不得直接落地。</w:t>
      </w:r>
    </w:p>
    <w:p>
      <w:pPr>
        <w:tabs>
          <w:tab w:val="left" w:pos="840"/>
        </w:tabs>
        <w:spacing w:line="340" w:lineRule="exact"/>
        <w:rPr>
          <w:rFonts w:hint="default" w:ascii="宋体" w:hAnsi="宋体"/>
          <w:kern w:val="0"/>
          <w:szCs w:val="21"/>
        </w:rPr>
      </w:pPr>
      <w:r>
        <w:rPr>
          <w:rFonts w:ascii="黑体" w:hAnsi="黑体" w:eastAsia="黑体"/>
          <w:kern w:val="0"/>
          <w:szCs w:val="21"/>
        </w:rPr>
        <w:t xml:space="preserve">4.2.5  </w:t>
      </w:r>
      <w:r>
        <w:rPr>
          <w:rFonts w:ascii="宋体" w:hAnsi="宋体"/>
          <w:kern w:val="0"/>
          <w:szCs w:val="21"/>
        </w:rPr>
        <w:t>氨的储存、卸载、输送、制备等过程应密闭，并采取氨气泄漏检测措施。</w:t>
      </w:r>
    </w:p>
    <w:p>
      <w:pPr>
        <w:tabs>
          <w:tab w:val="left" w:pos="840"/>
        </w:tabs>
        <w:spacing w:line="340" w:lineRule="exact"/>
        <w:rPr>
          <w:rFonts w:hint="default" w:ascii="宋体" w:hAnsi="宋体"/>
          <w:color w:val="000000" w:themeColor="text1"/>
          <w:kern w:val="0"/>
          <w:szCs w:val="21"/>
          <w14:textFill>
            <w14:solidFill>
              <w14:schemeClr w14:val="tx1"/>
            </w14:solidFill>
          </w14:textFill>
        </w:rPr>
      </w:pPr>
      <w:r>
        <w:rPr>
          <w:rFonts w:ascii="黑体" w:hAnsi="黑体" w:eastAsia="黑体"/>
          <w:color w:val="000000"/>
          <w:kern w:val="0"/>
          <w:szCs w:val="21"/>
        </w:rPr>
        <w:t xml:space="preserve">4.2.6  </w:t>
      </w:r>
      <w:r>
        <w:rPr>
          <w:rFonts w:ascii="宋体" w:hAnsi="宋体"/>
          <w:color w:val="000000"/>
          <w:kern w:val="0"/>
          <w:szCs w:val="21"/>
        </w:rPr>
        <w:t>厂区道路应硬化，并采取清扫、洒水等措施保持清洁。进厂运输车辆应采用封闭车厢或苫盖严密。</w:t>
      </w:r>
      <w:r>
        <w:rPr>
          <w:rFonts w:ascii="宋体" w:hAnsi="宋体"/>
          <w:color w:val="000000" w:themeColor="text1"/>
          <w:kern w:val="0"/>
          <w:szCs w:val="21"/>
          <w14:textFill>
            <w14:solidFill>
              <w14:schemeClr w14:val="tx1"/>
            </w14:solidFill>
          </w14:textFill>
        </w:rPr>
        <w:t>料场出口应设置车轮和车身清洗装置，或采取其他控制措施。</w:t>
      </w:r>
    </w:p>
    <w:p>
      <w:pPr>
        <w:tabs>
          <w:tab w:val="left" w:pos="840"/>
        </w:tabs>
        <w:spacing w:line="340" w:lineRule="exact"/>
        <w:rPr>
          <w:rFonts w:hint="default" w:ascii="宋体" w:hAnsi="宋体"/>
          <w:color w:val="000000" w:themeColor="text1"/>
          <w:kern w:val="0"/>
          <w:szCs w:val="21"/>
          <w14:textFill>
            <w14:solidFill>
              <w14:schemeClr w14:val="tx1"/>
            </w14:solidFill>
          </w14:textFill>
        </w:rPr>
      </w:pPr>
      <w:r>
        <w:rPr>
          <w:rFonts w:ascii="黑体" w:hAnsi="黑体" w:eastAsia="黑体"/>
          <w:color w:val="000000" w:themeColor="text1"/>
          <w:kern w:val="0"/>
          <w:szCs w:val="21"/>
          <w14:textFill>
            <w14:solidFill>
              <w14:schemeClr w14:val="tx1"/>
            </w14:solidFill>
          </w14:textFill>
        </w:rPr>
        <w:t xml:space="preserve">4.2.7  </w:t>
      </w:r>
      <w:r>
        <w:rPr>
          <w:rFonts w:ascii="宋体" w:hAnsi="宋体"/>
          <w:color w:val="000000" w:themeColor="text1"/>
          <w:kern w:val="0"/>
          <w:szCs w:val="21"/>
          <w14:textFill>
            <w14:solidFill>
              <w14:schemeClr w14:val="tx1"/>
            </w14:solidFill>
          </w14:textFill>
        </w:rPr>
        <w:t>新建企业自本标准实施之日起，执行表2规定的企业厂区内大气污染物无组织排放限值。</w:t>
      </w:r>
    </w:p>
    <w:p>
      <w:pPr>
        <w:tabs>
          <w:tab w:val="left" w:pos="840"/>
        </w:tabs>
        <w:spacing w:line="340" w:lineRule="exact"/>
        <w:rPr>
          <w:rFonts w:hint="default" w:ascii="宋体" w:hAnsi="宋体"/>
          <w:color w:val="000000" w:themeColor="text1"/>
          <w:kern w:val="0"/>
          <w:szCs w:val="21"/>
          <w14:textFill>
            <w14:solidFill>
              <w14:schemeClr w14:val="tx1"/>
            </w14:solidFill>
          </w14:textFill>
        </w:rPr>
      </w:pPr>
      <w:r>
        <w:rPr>
          <w:rFonts w:ascii="黑体" w:hAnsi="黑体" w:eastAsia="黑体"/>
          <w:color w:val="000000" w:themeColor="text1"/>
          <w:kern w:val="0"/>
          <w:szCs w:val="21"/>
          <w14:textFill>
            <w14:solidFill>
              <w14:schemeClr w14:val="tx1"/>
            </w14:solidFill>
          </w14:textFill>
        </w:rPr>
        <w:t xml:space="preserve">4.2.8  </w:t>
      </w:r>
      <w:r>
        <w:rPr>
          <w:rFonts w:ascii="宋体" w:hAnsi="宋体"/>
          <w:color w:val="000000" w:themeColor="text1"/>
          <w:kern w:val="0"/>
          <w:szCs w:val="21"/>
          <w14:textFill>
            <w14:solidFill>
              <w14:schemeClr w14:val="tx1"/>
            </w14:solidFill>
          </w14:textFill>
        </w:rPr>
        <w:t>现有企业自2024年1月1日起，执行表2规定的企业厂区内大气污染物无组织排放限值。</w:t>
      </w:r>
    </w:p>
    <w:p>
      <w:pPr>
        <w:spacing w:before="120" w:beforeLines="50" w:after="120" w:afterLines="50" w:line="340" w:lineRule="exact"/>
        <w:jc w:val="center"/>
        <w:rPr>
          <w:rFonts w:hint="default" w:ascii="黑体" w:hAnsi="黑体" w:eastAsia="黑体"/>
          <w:color w:val="000000" w:themeColor="text1"/>
          <w:kern w:val="0"/>
          <w14:textFill>
            <w14:solidFill>
              <w14:schemeClr w14:val="tx1"/>
            </w14:solidFill>
          </w14:textFill>
        </w:rPr>
      </w:pPr>
      <w:r>
        <w:rPr>
          <w:rFonts w:ascii="黑体" w:hAnsi="黑体" w:eastAsia="黑体"/>
          <w:color w:val="000000" w:themeColor="text1"/>
          <w:kern w:val="0"/>
          <w14:textFill>
            <w14:solidFill>
              <w14:schemeClr w14:val="tx1"/>
            </w14:solidFill>
          </w14:textFill>
        </w:rPr>
        <w:t>表2  企业厂区内大气污染物无组织排放限值</w:t>
      </w:r>
    </w:p>
    <w:p>
      <w:pPr>
        <w:spacing w:before="48" w:beforeLines="20" w:line="240" w:lineRule="exact"/>
        <w:jc w:val="right"/>
        <w:rPr>
          <w:rFonts w:hint="default" w:ascii="黑体" w:hAnsi="黑体" w:eastAsia="黑体"/>
          <w:color w:val="000000" w:themeColor="text1"/>
          <w:kern w:val="0"/>
          <w:szCs w:val="21"/>
          <w14:textFill>
            <w14:solidFill>
              <w14:schemeClr w14:val="tx1"/>
            </w14:solidFill>
          </w14:textFill>
        </w:rPr>
      </w:pPr>
      <w:r>
        <w:rPr>
          <w:rFonts w:ascii="宋体" w:hAnsi="宋体"/>
          <w:color w:val="000000" w:themeColor="text1"/>
          <w:kern w:val="0"/>
          <w:szCs w:val="21"/>
          <w14:textFill>
            <w14:solidFill>
              <w14:schemeClr w14:val="tx1"/>
            </w14:solidFill>
          </w14:textFill>
        </w:rPr>
        <w:t>单位：</w:t>
      </w:r>
      <w:r>
        <w:rPr>
          <w:rFonts w:hint="default" w:cs="Calibri"/>
          <w:color w:val="000000" w:themeColor="text1"/>
          <w:kern w:val="0"/>
          <w:szCs w:val="21"/>
          <w14:textFill>
            <w14:solidFill>
              <w14:schemeClr w14:val="tx1"/>
            </w14:solidFill>
          </w14:textFill>
        </w:rPr>
        <w:t>mg/m</w:t>
      </w:r>
      <w:r>
        <w:rPr>
          <w:rFonts w:hint="default" w:cs="Calibri"/>
          <w:color w:val="000000" w:themeColor="text1"/>
          <w:kern w:val="0"/>
          <w:szCs w:val="21"/>
          <w:vertAlign w:val="superscript"/>
          <w14:textFill>
            <w14:solidFill>
              <w14:schemeClr w14:val="tx1"/>
            </w14:solidFill>
          </w14:textFill>
        </w:rPr>
        <w:t>3</w:t>
      </w:r>
    </w:p>
    <w:tbl>
      <w:tblPr>
        <w:tblStyle w:val="13"/>
        <w:tblW w:w="50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70"/>
        <w:gridCol w:w="1272"/>
        <w:gridCol w:w="2996"/>
        <w:gridCol w:w="3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673"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bookmarkStart w:id="23" w:name="_Toc66113004"/>
            <w:bookmarkStart w:id="24" w:name="_Toc66431588"/>
            <w:r>
              <w:rPr>
                <w:rFonts w:ascii="宋体" w:hAnsi="宋体"/>
                <w:color w:val="000000" w:themeColor="text1"/>
                <w:kern w:val="0"/>
                <w:sz w:val="18"/>
                <w:szCs w:val="18"/>
                <w14:textFill>
                  <w14:solidFill>
                    <w14:schemeClr w14:val="tx1"/>
                  </w14:solidFill>
                </w14:textFill>
              </w:rPr>
              <w:t>污染物项目</w:t>
            </w:r>
          </w:p>
        </w:tc>
        <w:tc>
          <w:tcPr>
            <w:tcW w:w="674"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排放限值</w:t>
            </w:r>
          </w:p>
        </w:tc>
        <w:tc>
          <w:tcPr>
            <w:tcW w:w="1587"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限值含义</w:t>
            </w:r>
          </w:p>
        </w:tc>
        <w:tc>
          <w:tcPr>
            <w:tcW w:w="2064"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6" w:hRule="atLeast"/>
          <w:jc w:val="center"/>
        </w:trPr>
        <w:tc>
          <w:tcPr>
            <w:tcW w:w="673"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颗粒物</w:t>
            </w:r>
          </w:p>
        </w:tc>
        <w:tc>
          <w:tcPr>
            <w:tcW w:w="674"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3</w:t>
            </w:r>
          </w:p>
        </w:tc>
        <w:tc>
          <w:tcPr>
            <w:tcW w:w="1587"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监控点处1 h平均浓度值</w:t>
            </w:r>
          </w:p>
        </w:tc>
        <w:tc>
          <w:tcPr>
            <w:tcW w:w="2064" w:type="pct"/>
            <w:vAlign w:val="center"/>
          </w:tcPr>
          <w:p>
            <w:pPr>
              <w:spacing w:line="0" w:lineRule="atLeast"/>
              <w:jc w:val="center"/>
              <w:rPr>
                <w:rFonts w:hint="default"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在厂房外或其他代表点设置监控点</w:t>
            </w:r>
          </w:p>
        </w:tc>
      </w:tr>
    </w:tbl>
    <w:p>
      <w:pPr>
        <w:pStyle w:val="19"/>
        <w:widowControl w:val="0"/>
        <w:spacing w:before="240" w:beforeLines="100" w:after="120" w:line="340" w:lineRule="exact"/>
        <w:rPr>
          <w:rFonts w:ascii="黑体" w:hAnsi="黑体"/>
          <w:bCs/>
        </w:rPr>
      </w:pPr>
      <w:r>
        <w:rPr>
          <w:rFonts w:ascii="黑体" w:hAnsi="黑体"/>
        </w:rPr>
        <w:t xml:space="preserve">4.3  </w:t>
      </w:r>
      <w:bookmarkEnd w:id="23"/>
      <w:r>
        <w:rPr>
          <w:rFonts w:hint="eastAsia" w:ascii="黑体" w:hAnsi="黑体"/>
          <w:bCs/>
        </w:rPr>
        <w:t>大气污染物收集与排放</w:t>
      </w:r>
      <w:bookmarkEnd w:id="24"/>
    </w:p>
    <w:p>
      <w:pPr>
        <w:tabs>
          <w:tab w:val="left" w:pos="840"/>
        </w:tabs>
        <w:spacing w:line="340" w:lineRule="exact"/>
        <w:rPr>
          <w:rFonts w:hint="default" w:ascii="宋体" w:hAnsi="宋体"/>
          <w:szCs w:val="22"/>
        </w:rPr>
      </w:pPr>
      <w:r>
        <w:rPr>
          <w:rFonts w:ascii="黑体" w:hAnsi="黑体" w:eastAsia="黑体"/>
        </w:rPr>
        <w:t xml:space="preserve">4.3.1  </w:t>
      </w:r>
      <w:r>
        <w:rPr>
          <w:rFonts w:ascii="宋体" w:hAnsi="宋体"/>
          <w:szCs w:val="22"/>
        </w:rPr>
        <w:t>产生大气污染物的生产工艺和装置应设立局部或整体气体收集系统和净化处理装置。</w:t>
      </w:r>
    </w:p>
    <w:p>
      <w:pPr>
        <w:tabs>
          <w:tab w:val="left" w:pos="840"/>
        </w:tabs>
        <w:spacing w:line="340" w:lineRule="exact"/>
        <w:rPr>
          <w:rFonts w:hint="default" w:ascii="Times New Roman" w:hAnsi="Times New Roman"/>
          <w:color w:val="000000" w:themeColor="text1"/>
          <w:kern w:val="0"/>
          <w:szCs w:val="22"/>
          <w14:textFill>
            <w14:solidFill>
              <w14:schemeClr w14:val="tx1"/>
            </w14:solidFill>
          </w14:textFill>
        </w:rPr>
      </w:pPr>
      <w:r>
        <w:rPr>
          <w:rFonts w:ascii="黑体" w:hAnsi="黑体" w:eastAsia="黑体"/>
        </w:rPr>
        <w:t xml:space="preserve">4.3.2  </w:t>
      </w:r>
      <w:r>
        <w:rPr>
          <w:rFonts w:ascii="宋体" w:hAnsi="宋体"/>
        </w:rPr>
        <w:t>废气收集处理系统应与生产工艺设备同步运行。废气收集处理系统</w:t>
      </w:r>
      <w:r>
        <w:rPr>
          <w:rFonts w:ascii="宋体" w:hAnsi="宋体"/>
          <w:color w:val="000000" w:themeColor="text1"/>
          <w14:textFill>
            <w14:solidFill>
              <w14:schemeClr w14:val="tx1"/>
            </w14:solidFill>
          </w14:textFill>
        </w:rPr>
        <w:t>停止运行时，对应的生产工艺设备应停止运行；生产工艺设备不能停止运行或不能及时停止运行的，应设置废气应急处理设施或采取其他替代措施。故障情况应及时报送属地生态环境部门，逾期未报送视为未正常运行废气收集系统或污染治理设施。</w:t>
      </w:r>
    </w:p>
    <w:p>
      <w:pPr>
        <w:spacing w:line="340" w:lineRule="exact"/>
        <w:jc w:val="left"/>
        <w:rPr>
          <w:rFonts w:hint="default" w:ascii="宋体" w:hAnsi="宋体"/>
        </w:rPr>
      </w:pPr>
      <w:r>
        <w:rPr>
          <w:rFonts w:ascii="黑体" w:hAnsi="黑体" w:eastAsia="黑体"/>
        </w:rPr>
        <w:t xml:space="preserve">4.3.3  </w:t>
      </w:r>
      <w:r>
        <w:rPr>
          <w:rFonts w:ascii="宋体" w:hAnsi="宋体"/>
        </w:rPr>
        <w:t>排气筒高度不低于15 m，具体高度以及与周围建筑物的相对高度关系应根据环境影响评价文件确定。</w:t>
      </w:r>
    </w:p>
    <w:p>
      <w:pPr>
        <w:spacing w:before="240" w:beforeLines="100" w:after="240" w:afterLines="100" w:line="340" w:lineRule="exact"/>
        <w:outlineLvl w:val="0"/>
        <w:rPr>
          <w:rFonts w:hint="default" w:ascii="黑体" w:hAnsi="黑体" w:eastAsia="黑体"/>
          <w:bCs/>
          <w:kern w:val="0"/>
          <w:szCs w:val="21"/>
        </w:rPr>
      </w:pPr>
      <w:bookmarkStart w:id="25" w:name="_Toc66431589"/>
      <w:r>
        <w:rPr>
          <w:rFonts w:ascii="黑体" w:hAnsi="黑体" w:eastAsia="黑体"/>
          <w:bCs/>
          <w:kern w:val="0"/>
          <w:szCs w:val="21"/>
        </w:rPr>
        <w:t>5  污染物监测要求</w:t>
      </w:r>
      <w:bookmarkEnd w:id="25"/>
    </w:p>
    <w:p>
      <w:pPr>
        <w:pStyle w:val="19"/>
        <w:widowControl w:val="0"/>
        <w:spacing w:before="120" w:after="120" w:line="340" w:lineRule="exact"/>
        <w:rPr>
          <w:rFonts w:ascii="黑体" w:hAnsi="黑体"/>
        </w:rPr>
      </w:pPr>
      <w:bookmarkStart w:id="26" w:name="_Toc66431590"/>
      <w:bookmarkStart w:id="27" w:name="_Toc66113006"/>
      <w:r>
        <w:rPr>
          <w:rFonts w:ascii="黑体" w:hAnsi="黑体"/>
        </w:rPr>
        <w:t>5.1  一般要求</w:t>
      </w:r>
      <w:bookmarkEnd w:id="26"/>
      <w:bookmarkEnd w:id="27"/>
    </w:p>
    <w:p>
      <w:pPr>
        <w:widowControl w:val="0"/>
        <w:tabs>
          <w:tab w:val="left" w:pos="420"/>
        </w:tabs>
        <w:spacing w:line="340" w:lineRule="exact"/>
        <w:rPr>
          <w:rFonts w:hint="default" w:ascii="宋体" w:hAnsi="宋体"/>
          <w:bCs/>
          <w:color w:val="000000" w:themeColor="text1"/>
          <w:kern w:val="0"/>
          <w:szCs w:val="21"/>
          <w14:textFill>
            <w14:solidFill>
              <w14:schemeClr w14:val="tx1"/>
            </w14:solidFill>
          </w14:textFill>
        </w:rPr>
      </w:pPr>
      <w:r>
        <w:rPr>
          <w:rFonts w:ascii="黑体" w:hAnsi="黑体" w:eastAsia="黑体"/>
          <w:bCs/>
          <w:kern w:val="0"/>
          <w:szCs w:val="21"/>
        </w:rPr>
        <w:t xml:space="preserve">5.1.1 </w:t>
      </w:r>
      <w:r>
        <w:rPr>
          <w:rFonts w:ascii="黑体" w:hAnsi="黑体" w:eastAsia="黑体"/>
          <w:bCs/>
          <w:color w:val="000000" w:themeColor="text1"/>
          <w:kern w:val="0"/>
          <w:szCs w:val="21"/>
          <w14:textFill>
            <w14:solidFill>
              <w14:schemeClr w14:val="tx1"/>
            </w14:solidFill>
          </w14:textFill>
        </w:rPr>
        <w:t xml:space="preserve"> </w:t>
      </w:r>
      <w:r>
        <w:rPr>
          <w:rFonts w:ascii="宋体" w:hAnsi="宋体"/>
          <w:bCs/>
          <w:color w:val="000000" w:themeColor="text1"/>
          <w:kern w:val="0"/>
          <w:szCs w:val="21"/>
          <w14:textFill>
            <w14:solidFill>
              <w14:schemeClr w14:val="tx1"/>
            </w14:solidFill>
          </w14:textFill>
        </w:rPr>
        <w:t>企业须按照有关法律、《排污许可管理条例》《环境监测管理办法》的规定，对排污状况进行监测，保存原始监测记录，并按照排污许可证规定如实公开污染物排放信息。</w:t>
      </w:r>
    </w:p>
    <w:p>
      <w:pPr>
        <w:widowControl w:val="0"/>
        <w:tabs>
          <w:tab w:val="left" w:pos="420"/>
        </w:tabs>
        <w:spacing w:line="340" w:lineRule="exact"/>
        <w:rPr>
          <w:rFonts w:hint="default" w:ascii="宋体" w:hAnsi="宋体"/>
          <w:bCs/>
          <w:kern w:val="0"/>
          <w:szCs w:val="21"/>
        </w:rPr>
      </w:pPr>
      <w:r>
        <w:rPr>
          <w:rFonts w:ascii="黑体" w:hAnsi="黑体" w:eastAsia="黑体"/>
          <w:bCs/>
          <w:kern w:val="0"/>
          <w:szCs w:val="21"/>
        </w:rPr>
        <w:t xml:space="preserve">5.1.2  </w:t>
      </w:r>
      <w:r>
        <w:rPr>
          <w:rFonts w:ascii="宋体" w:hAnsi="宋体"/>
          <w:bCs/>
          <w:kern w:val="0"/>
          <w:szCs w:val="21"/>
        </w:rPr>
        <w:t>新建企业和现有企业安装污染物排放自动监控设备的要求，按有关法律和污染源自动监控管理的规定执行，</w:t>
      </w:r>
      <w:r>
        <w:rPr>
          <w:rFonts w:hint="default" w:ascii="宋体" w:hAnsi="宋体"/>
          <w:kern w:val="0"/>
          <w:szCs w:val="21"/>
        </w:rPr>
        <w:t>并按照HJ</w:t>
      </w:r>
      <w:r>
        <w:rPr>
          <w:rFonts w:ascii="宋体" w:hAnsi="宋体"/>
          <w:kern w:val="0"/>
          <w:szCs w:val="21"/>
        </w:rPr>
        <w:t xml:space="preserve"> </w:t>
      </w:r>
      <w:r>
        <w:rPr>
          <w:rFonts w:hint="default" w:ascii="宋体" w:hAnsi="宋体"/>
          <w:kern w:val="0"/>
          <w:szCs w:val="21"/>
        </w:rPr>
        <w:t>75的要求定期对自动监测设备进行校准、维护、校验等。</w:t>
      </w:r>
    </w:p>
    <w:p>
      <w:pPr>
        <w:widowControl w:val="0"/>
        <w:tabs>
          <w:tab w:val="left" w:pos="420"/>
        </w:tabs>
        <w:spacing w:line="340" w:lineRule="exact"/>
        <w:rPr>
          <w:rFonts w:hint="default" w:ascii="宋体" w:hAnsi="宋体"/>
          <w:bCs/>
          <w:kern w:val="0"/>
          <w:szCs w:val="21"/>
        </w:rPr>
      </w:pPr>
      <w:r>
        <w:rPr>
          <w:rFonts w:ascii="黑体" w:hAnsi="黑体" w:eastAsia="黑体"/>
          <w:bCs/>
          <w:kern w:val="0"/>
          <w:szCs w:val="21"/>
        </w:rPr>
        <w:t xml:space="preserve">5.1.3  </w:t>
      </w:r>
      <w:r>
        <w:rPr>
          <w:rFonts w:ascii="宋体" w:hAnsi="宋体"/>
          <w:bCs/>
          <w:kern w:val="0"/>
          <w:szCs w:val="21"/>
        </w:rPr>
        <w:t>企业应按照环境监测管理规定和技术规范的要求，设计、建设、维护永久性采样口、采样测试平台和排污口标志。</w:t>
      </w:r>
    </w:p>
    <w:p>
      <w:pPr>
        <w:widowControl w:val="0"/>
        <w:tabs>
          <w:tab w:val="left" w:pos="420"/>
        </w:tabs>
        <w:spacing w:line="340" w:lineRule="exact"/>
        <w:rPr>
          <w:rFonts w:hint="default" w:ascii="宋体" w:hAnsi="宋体"/>
          <w:bCs/>
          <w:kern w:val="0"/>
          <w:szCs w:val="21"/>
        </w:rPr>
      </w:pPr>
      <w:r>
        <w:rPr>
          <w:rFonts w:ascii="黑体" w:hAnsi="黑体" w:eastAsia="黑体"/>
          <w:bCs/>
          <w:kern w:val="0"/>
          <w:szCs w:val="21"/>
        </w:rPr>
        <w:t xml:space="preserve">5.1.4  </w:t>
      </w:r>
      <w:r>
        <w:rPr>
          <w:rFonts w:ascii="宋体" w:hAnsi="宋体"/>
          <w:bCs/>
          <w:kern w:val="0"/>
          <w:szCs w:val="21"/>
        </w:rPr>
        <w:t>大气污染物监测应在规定的监控位置进行。有废气处理设施的，应在处理设施后监测。根据企业使用的原料、生产工艺过程、生产的产品等，确定需要监测的污染物项目。</w:t>
      </w:r>
    </w:p>
    <w:p>
      <w:pPr>
        <w:widowControl w:val="0"/>
        <w:tabs>
          <w:tab w:val="left" w:pos="420"/>
        </w:tabs>
        <w:spacing w:line="340" w:lineRule="exact"/>
        <w:rPr>
          <w:rFonts w:hint="default" w:ascii="宋体" w:hAnsi="宋体"/>
          <w:bCs/>
          <w:color w:val="000000" w:themeColor="text1"/>
          <w:kern w:val="0"/>
          <w:szCs w:val="21"/>
          <w14:textFill>
            <w14:solidFill>
              <w14:schemeClr w14:val="tx1"/>
            </w14:solidFill>
          </w14:textFill>
        </w:rPr>
      </w:pPr>
      <w:r>
        <w:rPr>
          <w:rFonts w:ascii="黑体" w:hAnsi="黑体" w:eastAsia="黑体"/>
          <w:bCs/>
          <w:color w:val="000000" w:themeColor="text1"/>
          <w:kern w:val="0"/>
          <w:szCs w:val="21"/>
          <w14:textFill>
            <w14:solidFill>
              <w14:schemeClr w14:val="tx1"/>
            </w14:solidFill>
          </w14:textFill>
        </w:rPr>
        <w:t>5.1.5</w:t>
      </w:r>
      <w:r>
        <w:rPr>
          <w:rFonts w:ascii="宋体" w:hAnsi="宋体"/>
          <w:bCs/>
          <w:color w:val="000000" w:themeColor="text1"/>
          <w:kern w:val="0"/>
          <w:szCs w:val="21"/>
          <w14:textFill>
            <w14:solidFill>
              <w14:schemeClr w14:val="tx1"/>
            </w14:solidFill>
          </w14:textFill>
        </w:rPr>
        <w:t xml:space="preserve">  对厂区内颗粒物无组织排放监控时，在厂房门窗或通风口、其他开口（孔）等排放口</w:t>
      </w:r>
      <w:r>
        <w:rPr>
          <w:rFonts w:hint="eastAsia" w:ascii="宋体" w:hAnsi="宋体"/>
          <w:bCs/>
          <w:color w:val="000000" w:themeColor="text1"/>
          <w:kern w:val="0"/>
          <w:szCs w:val="21"/>
          <w:lang w:eastAsia="zh-CN"/>
          <w14:textFill>
            <w14:solidFill>
              <w14:schemeClr w14:val="tx1"/>
            </w14:solidFill>
          </w14:textFill>
        </w:rPr>
        <w:t>外</w:t>
      </w:r>
      <w:r>
        <w:rPr>
          <w:rFonts w:ascii="宋体" w:hAnsi="宋体"/>
          <w:bCs/>
          <w:color w:val="000000" w:themeColor="text1"/>
          <w:kern w:val="0"/>
          <w:szCs w:val="21"/>
          <w14:textFill>
            <w14:solidFill>
              <w14:schemeClr w14:val="tx1"/>
            </w14:solidFill>
          </w14:textFill>
        </w:rPr>
        <w:t>1m，距离地面1.5m以上位置处进行监测。若炉窑露天设置或厂房不完整（如有顶无围墙或围墙不完整），监测点应选在距炉窑下风向5m或操作工位下风向1m，距离地面1.5m以上位置处进行监测。</w:t>
      </w:r>
      <w:bookmarkStart w:id="47" w:name="_GoBack"/>
      <w:bookmarkEnd w:id="47"/>
    </w:p>
    <w:p>
      <w:pPr>
        <w:widowControl w:val="0"/>
        <w:tabs>
          <w:tab w:val="left" w:pos="420"/>
        </w:tabs>
        <w:spacing w:line="340" w:lineRule="exact"/>
        <w:rPr>
          <w:rFonts w:hint="default" w:ascii="宋体" w:hAnsi="宋体"/>
          <w:bCs/>
          <w:color w:val="000000" w:themeColor="text1"/>
          <w:kern w:val="0"/>
          <w:szCs w:val="21"/>
          <w14:textFill>
            <w14:solidFill>
              <w14:schemeClr w14:val="tx1"/>
            </w14:solidFill>
          </w14:textFill>
        </w:rPr>
      </w:pPr>
      <w:r>
        <w:rPr>
          <w:rFonts w:hint="default" w:ascii="黑体" w:hAnsi="黑体" w:eastAsia="黑体"/>
          <w:bCs/>
          <w:color w:val="000000" w:themeColor="text1"/>
          <w:kern w:val="0"/>
          <w:szCs w:val="21"/>
          <w14:textFill>
            <w14:solidFill>
              <w14:schemeClr w14:val="tx1"/>
            </w14:solidFill>
          </w14:textFill>
        </w:rPr>
        <w:t>5</w:t>
      </w:r>
      <w:r>
        <w:rPr>
          <w:rFonts w:ascii="黑体" w:hAnsi="黑体" w:eastAsia="黑体"/>
          <w:bCs/>
          <w:color w:val="000000" w:themeColor="text1"/>
          <w:kern w:val="0"/>
          <w:szCs w:val="21"/>
          <w14:textFill>
            <w14:solidFill>
              <w14:schemeClr w14:val="tx1"/>
            </w14:solidFill>
          </w14:textFill>
        </w:rPr>
        <w:t>.1.</w:t>
      </w:r>
      <w:r>
        <w:rPr>
          <w:rFonts w:hint="default" w:ascii="黑体" w:hAnsi="黑体" w:eastAsia="黑体"/>
          <w:bCs/>
          <w:color w:val="000000" w:themeColor="text1"/>
          <w:kern w:val="0"/>
          <w:szCs w:val="21"/>
          <w14:textFill>
            <w14:solidFill>
              <w14:schemeClr w14:val="tx1"/>
            </w14:solidFill>
          </w14:textFill>
        </w:rPr>
        <w:t>6</w:t>
      </w:r>
      <w:r>
        <w:rPr>
          <w:rFonts w:hint="default" w:ascii="宋体" w:hAnsi="宋体"/>
          <w:bCs/>
          <w:color w:val="000000" w:themeColor="text1"/>
          <w:kern w:val="0"/>
          <w:szCs w:val="21"/>
          <w14:textFill>
            <w14:solidFill>
              <w14:schemeClr w14:val="tx1"/>
            </w14:solidFill>
          </w14:textFill>
        </w:rPr>
        <w:t xml:space="preserve">  </w:t>
      </w:r>
      <w:r>
        <w:rPr>
          <w:rFonts w:ascii="宋体" w:hAnsi="宋体"/>
          <w:bCs/>
          <w:color w:val="000000" w:themeColor="text1"/>
          <w:kern w:val="0"/>
          <w:szCs w:val="21"/>
          <w14:textFill>
            <w14:solidFill>
              <w14:schemeClr w14:val="tx1"/>
            </w14:solidFill>
          </w14:textFill>
        </w:rPr>
        <w:t>企业应按照HJ 944要求建立台账，记录无组织排放废气收集系统、污染治理设施及其他无组织排放控制措施的主要运行信息，如运行时间、废气处理量、喷淋/喷雾（水或其他化学稳定剂）作业周期和用量等；记录无组织排放监控点浓度。台账保存期限不少于3年。无组织排放点安装视频监控系统，数据保存3个月以上。</w:t>
      </w:r>
    </w:p>
    <w:p>
      <w:pPr>
        <w:pStyle w:val="19"/>
        <w:widowControl w:val="0"/>
        <w:spacing w:before="120" w:after="120" w:line="340" w:lineRule="exact"/>
        <w:rPr>
          <w:rFonts w:ascii="黑体" w:hAnsi="黑体"/>
        </w:rPr>
      </w:pPr>
      <w:bookmarkStart w:id="28" w:name="_Toc66431591"/>
      <w:bookmarkStart w:id="29" w:name="_Toc66113007"/>
      <w:r>
        <w:rPr>
          <w:rFonts w:ascii="黑体" w:hAnsi="黑体"/>
        </w:rPr>
        <w:t>5.2  采样与分析方法</w:t>
      </w:r>
      <w:bookmarkEnd w:id="28"/>
      <w:bookmarkEnd w:id="29"/>
    </w:p>
    <w:p>
      <w:pPr>
        <w:widowControl w:val="0"/>
        <w:tabs>
          <w:tab w:val="left" w:pos="420"/>
        </w:tabs>
        <w:spacing w:line="340" w:lineRule="exact"/>
        <w:rPr>
          <w:rFonts w:hint="default" w:ascii="宋体" w:hAnsi="宋体"/>
          <w:bCs/>
          <w:color w:val="000000" w:themeColor="text1"/>
          <w:kern w:val="0"/>
          <w:szCs w:val="21"/>
          <w14:textFill>
            <w14:solidFill>
              <w14:schemeClr w14:val="tx1"/>
            </w14:solidFill>
          </w14:textFill>
        </w:rPr>
      </w:pPr>
      <w:r>
        <w:rPr>
          <w:rFonts w:ascii="黑体" w:hAnsi="黑体" w:eastAsia="黑体"/>
          <w:bCs/>
          <w:kern w:val="0"/>
          <w:szCs w:val="21"/>
        </w:rPr>
        <w:t xml:space="preserve">5.2.1  </w:t>
      </w:r>
      <w:r>
        <w:rPr>
          <w:rFonts w:ascii="宋体" w:hAnsi="宋体"/>
          <w:bCs/>
          <w:kern w:val="0"/>
          <w:szCs w:val="21"/>
        </w:rPr>
        <w:t>排气筒中大气污染物的监测采样按</w:t>
      </w:r>
      <w:r>
        <w:rPr>
          <w:rFonts w:hint="default" w:ascii="宋体" w:hAnsi="宋体"/>
          <w:bCs/>
          <w:kern w:val="0"/>
          <w:szCs w:val="21"/>
        </w:rPr>
        <w:t>GB/T 16157</w:t>
      </w:r>
      <w:r>
        <w:rPr>
          <w:rFonts w:ascii="宋体" w:hAnsi="宋体"/>
          <w:bCs/>
          <w:kern w:val="0"/>
          <w:szCs w:val="21"/>
        </w:rPr>
        <w:t>、HJ/T 397、HJ 75的规定执行，</w:t>
      </w:r>
      <w:r>
        <w:rPr>
          <w:rFonts w:ascii="宋体" w:hAnsi="宋体"/>
          <w:bCs/>
          <w:color w:val="000000" w:themeColor="text1"/>
          <w:kern w:val="0"/>
          <w:szCs w:val="21"/>
          <w14:textFill>
            <w14:solidFill>
              <w14:schemeClr w14:val="tx1"/>
            </w14:solidFill>
          </w14:textFill>
        </w:rPr>
        <w:t>厂区内颗粒物无组织排放的监测采样按HJ/T 55规定执行，分析采用GB/T 15432规定的方法。</w:t>
      </w:r>
    </w:p>
    <w:p>
      <w:pPr>
        <w:tabs>
          <w:tab w:val="left" w:pos="840"/>
        </w:tabs>
        <w:spacing w:line="340" w:lineRule="exact"/>
        <w:rPr>
          <w:rFonts w:hint="default" w:ascii="宋体" w:hAnsi="宋体"/>
          <w:color w:val="000000" w:themeColor="text1"/>
          <w:kern w:val="0"/>
          <w:szCs w:val="21"/>
          <w14:textFill>
            <w14:solidFill>
              <w14:schemeClr w14:val="tx1"/>
            </w14:solidFill>
          </w14:textFill>
        </w:rPr>
      </w:pPr>
      <w:r>
        <w:rPr>
          <w:rFonts w:ascii="黑体" w:hAnsi="黑体" w:eastAsia="黑体"/>
          <w:color w:val="000000" w:themeColor="text1"/>
          <w:kern w:val="0"/>
          <w:szCs w:val="21"/>
          <w14:textFill>
            <w14:solidFill>
              <w14:schemeClr w14:val="tx1"/>
            </w14:solidFill>
          </w14:textFill>
        </w:rPr>
        <w:t xml:space="preserve">5.2.2  </w:t>
      </w:r>
      <w:r>
        <w:rPr>
          <w:rFonts w:ascii="宋体" w:hAnsi="宋体"/>
          <w:color w:val="000000" w:themeColor="text1"/>
          <w:kern w:val="0"/>
          <w:szCs w:val="21"/>
          <w14:textFill>
            <w14:solidFill>
              <w14:schemeClr w14:val="tx1"/>
            </w14:solidFill>
          </w14:textFill>
        </w:rPr>
        <w:t>对大气污染物的监测，应按照HJ/T 373和HJ 75的要求进行质量保证和质量控制。</w:t>
      </w:r>
    </w:p>
    <w:p>
      <w:pPr>
        <w:tabs>
          <w:tab w:val="left" w:pos="840"/>
        </w:tabs>
        <w:spacing w:line="340" w:lineRule="exact"/>
        <w:rPr>
          <w:rFonts w:hint="default" w:ascii="宋体" w:hAnsi="宋体"/>
          <w:kern w:val="0"/>
          <w:szCs w:val="21"/>
        </w:rPr>
      </w:pPr>
      <w:r>
        <w:rPr>
          <w:rFonts w:ascii="黑体" w:hAnsi="黑体" w:eastAsia="黑体"/>
          <w:kern w:val="0"/>
          <w:szCs w:val="21"/>
        </w:rPr>
        <w:t xml:space="preserve">5.2.3  </w:t>
      </w:r>
      <w:r>
        <w:rPr>
          <w:rFonts w:hint="default" w:ascii="宋体" w:hAnsi="宋体"/>
          <w:kern w:val="0"/>
          <w:szCs w:val="21"/>
        </w:rPr>
        <w:t>大气污染物的分析测定</w:t>
      </w:r>
      <w:r>
        <w:rPr>
          <w:rFonts w:ascii="宋体" w:hAnsi="宋体"/>
          <w:kern w:val="0"/>
          <w:szCs w:val="21"/>
        </w:rPr>
        <w:t>应按照</w:t>
      </w:r>
      <w:r>
        <w:rPr>
          <w:rFonts w:hint="default" w:ascii="宋体" w:hAnsi="宋体"/>
          <w:kern w:val="0"/>
          <w:szCs w:val="21"/>
        </w:rPr>
        <w:t>表</w:t>
      </w:r>
      <w:r>
        <w:rPr>
          <w:rFonts w:ascii="宋体" w:hAnsi="宋体"/>
          <w:kern w:val="0"/>
          <w:szCs w:val="21"/>
        </w:rPr>
        <w:t>3所列方法标准的适用范围，选择适宜的测定方法。</w:t>
      </w:r>
    </w:p>
    <w:p>
      <w:pPr>
        <w:tabs>
          <w:tab w:val="left" w:pos="840"/>
        </w:tabs>
        <w:spacing w:line="340" w:lineRule="exact"/>
        <w:rPr>
          <w:rFonts w:hint="default" w:ascii="宋体" w:hAnsi="宋体"/>
          <w:kern w:val="0"/>
          <w:szCs w:val="21"/>
        </w:rPr>
      </w:pPr>
      <w:r>
        <w:rPr>
          <w:rFonts w:ascii="黑体" w:hAnsi="黑体" w:eastAsia="黑体"/>
          <w:kern w:val="0"/>
          <w:szCs w:val="21"/>
        </w:rPr>
        <w:t xml:space="preserve">5.2.4  </w:t>
      </w:r>
      <w:r>
        <w:rPr>
          <w:rFonts w:hint="default" w:ascii="宋体" w:hAnsi="宋体"/>
          <w:kern w:val="0"/>
          <w:szCs w:val="21"/>
        </w:rPr>
        <w:t>本标准实施后国家发布的污染物监测方法标准，如适用性满足要求，同样适用于本标准相应污染物的测定</w:t>
      </w:r>
      <w:r>
        <w:rPr>
          <w:rFonts w:ascii="宋体" w:hAnsi="宋体"/>
          <w:kern w:val="0"/>
          <w:szCs w:val="21"/>
        </w:rPr>
        <w:t>。</w:t>
      </w:r>
    </w:p>
    <w:p>
      <w:pPr>
        <w:spacing w:before="120" w:beforeLines="50" w:after="120" w:afterLines="50" w:line="340" w:lineRule="exact"/>
        <w:jc w:val="center"/>
        <w:rPr>
          <w:rFonts w:hint="default" w:ascii="黑体" w:hAnsi="黑体" w:eastAsia="黑体"/>
          <w:kern w:val="0"/>
        </w:rPr>
      </w:pPr>
      <w:r>
        <w:rPr>
          <w:rFonts w:ascii="黑体" w:hAnsi="黑体" w:eastAsia="黑体"/>
          <w:kern w:val="0"/>
        </w:rPr>
        <w:t>表3  大气污染物测定技术规范</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80"/>
        <w:gridCol w:w="1402"/>
        <w:gridCol w:w="6075"/>
        <w:gridCol w:w="135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序号</w:t>
            </w:r>
          </w:p>
        </w:tc>
        <w:tc>
          <w:tcPr>
            <w:tcW w:w="744" w:type="pc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污染物项目</w:t>
            </w:r>
          </w:p>
        </w:tc>
        <w:tc>
          <w:tcPr>
            <w:tcW w:w="3223" w:type="pc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技术规范名称</w:t>
            </w:r>
          </w:p>
        </w:tc>
        <w:tc>
          <w:tcPr>
            <w:tcW w:w="716" w:type="pc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技术规范编号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restar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1</w:t>
            </w:r>
          </w:p>
        </w:tc>
        <w:tc>
          <w:tcPr>
            <w:tcW w:w="744" w:type="pct"/>
            <w:vMerge w:val="restar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颗粒物</w:t>
            </w: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环境空气  总悬浮颗粒物的测定  重量法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GB/T 15432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固定污染源排气中颗粒物测定与气态污染物采样方法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GB/T 16157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低浓度颗粒物的测定  重量法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305" w:hRule="atLeast"/>
          <w:jc w:val="center"/>
        </w:trPr>
        <w:tc>
          <w:tcPr>
            <w:tcW w:w="308" w:type="pct"/>
            <w:vMerge w:val="restar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2</w:t>
            </w:r>
          </w:p>
        </w:tc>
        <w:tc>
          <w:tcPr>
            <w:tcW w:w="744" w:type="pct"/>
            <w:vMerge w:val="restar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二氧化硫</w:t>
            </w: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环境空气  二氧化硫的测定  甲醛吸收-副玫瑰苯胺分光光度法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305"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环境空气  二氧化硫的测定  四氯汞盐吸收-副玫瑰苯胺分光光度法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305"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highlight w:val="yellow"/>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highlight w:val="yellow"/>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固定污染源排气中二氧化硫的测定  碘量法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HJ/T 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highlight w:val="yellow"/>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highlight w:val="yellow"/>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二氧化硫的测定  定电位电解法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highlight w:val="yellow"/>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highlight w:val="yellow"/>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二氧化硫的测定  非分散红外吸收法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gridAfter w:val="1"/>
          <w:wAfter w:w="9" w:type="pct"/>
          <w:trHeight w:val="284"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highlight w:val="yellow"/>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highlight w:val="yellow"/>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二氧化硫的测定  便携式紫外吸收法</w:t>
            </w:r>
          </w:p>
        </w:tc>
        <w:tc>
          <w:tcPr>
            <w:tcW w:w="716" w:type="pc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1131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restart"/>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3</w:t>
            </w:r>
          </w:p>
        </w:tc>
        <w:tc>
          <w:tcPr>
            <w:tcW w:w="744" w:type="pct"/>
            <w:vMerge w:val="restart"/>
            <w:vAlign w:val="center"/>
          </w:tcPr>
          <w:p>
            <w:pPr>
              <w:spacing w:line="0" w:lineRule="atLeast"/>
              <w:jc w:val="center"/>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氮氧化物</w:t>
            </w: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固定污染源排气中氮氧化物的测定  紫外分光光度法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HJ/T 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固定污染源排气中氮氧化物的测定  盐酸萘乙二胺分光光度法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HJ/T 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氮氧化物的测定  非分散红外吸收法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氮氧化物的测定  定电位电解法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固定污染源废气  氮氧化物的测定  便携式紫外吸收法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1132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restart"/>
            <w:vAlign w:val="center"/>
          </w:tcPr>
          <w:p>
            <w:pPr>
              <w:spacing w:line="0" w:lineRule="atLeast"/>
              <w:jc w:val="center"/>
              <w:rPr>
                <w:rFonts w:hint="default" w:ascii="Times New Roman" w:hAnsi="Times New Roman" w:eastAsiaTheme="minorEastAsia"/>
                <w:color w:val="000000" w:themeColor="text1"/>
                <w:kern w:val="0"/>
                <w:sz w:val="18"/>
                <w:szCs w:val="18"/>
                <w14:textFill>
                  <w14:solidFill>
                    <w14:schemeClr w14:val="tx1"/>
                  </w14:solidFill>
                </w14:textFill>
              </w:rPr>
            </w:pPr>
            <w:bookmarkStart w:id="30" w:name="_Hlk112402479"/>
            <w:r>
              <w:rPr>
                <w:rFonts w:hint="default" w:ascii="Times New Roman" w:hAnsi="Times New Roman" w:eastAsiaTheme="minorEastAsia"/>
                <w:color w:val="000000" w:themeColor="text1"/>
                <w:kern w:val="0"/>
                <w:sz w:val="18"/>
                <w:szCs w:val="18"/>
                <w14:textFill>
                  <w14:solidFill>
                    <w14:schemeClr w14:val="tx1"/>
                  </w14:solidFill>
                </w14:textFill>
              </w:rPr>
              <w:t>4</w:t>
            </w:r>
          </w:p>
        </w:tc>
        <w:tc>
          <w:tcPr>
            <w:tcW w:w="744" w:type="pct"/>
            <w:vMerge w:val="restart"/>
            <w:vAlign w:val="center"/>
          </w:tcPr>
          <w:p>
            <w:pPr>
              <w:spacing w:line="0" w:lineRule="atLeast"/>
              <w:jc w:val="center"/>
              <w:rPr>
                <w:rFonts w:hint="default" w:asciiTheme="minorEastAsia" w:hAnsiTheme="minorEastAsia" w:eastAsiaTheme="minorEastAsia"/>
                <w:color w:val="000000" w:themeColor="text1"/>
                <w:kern w:val="0"/>
                <w:sz w:val="18"/>
                <w:szCs w:val="18"/>
                <w14:textFill>
                  <w14:solidFill>
                    <w14:schemeClr w14:val="tx1"/>
                  </w14:solidFill>
                </w14:textFill>
              </w:rPr>
            </w:pPr>
            <w:r>
              <w:rPr>
                <w:rFonts w:hint="default" w:asciiTheme="minorEastAsia" w:hAnsiTheme="minorEastAsia" w:eastAsiaTheme="minorEastAsia"/>
                <w:color w:val="000000" w:themeColor="text1"/>
                <w:kern w:val="0"/>
                <w:sz w:val="18"/>
                <w:szCs w:val="18"/>
                <w14:textFill>
                  <w14:solidFill>
                    <w14:schemeClr w14:val="tx1"/>
                  </w14:solidFill>
                </w14:textFill>
              </w:rPr>
              <w:t>氨</w:t>
            </w:r>
          </w:p>
        </w:tc>
        <w:tc>
          <w:tcPr>
            <w:tcW w:w="3223" w:type="pct"/>
            <w:vAlign w:val="center"/>
          </w:tcPr>
          <w:p>
            <w:pPr>
              <w:spacing w:line="0" w:lineRule="atLeast"/>
              <w:rPr>
                <w:rFonts w:hint="default" w:asciiTheme="minorEastAsia" w:hAnsiTheme="minorEastAsia" w:eastAsiaTheme="minorEastAsia"/>
                <w:color w:val="000000" w:themeColor="text1"/>
                <w:kern w:val="0"/>
                <w:sz w:val="18"/>
                <w:szCs w:val="18"/>
                <w14:textFill>
                  <w14:solidFill>
                    <w14:schemeClr w14:val="tx1"/>
                  </w14:solidFill>
                </w14:textFill>
              </w:rPr>
            </w:pPr>
            <w:r>
              <w:rPr>
                <w:rFonts w:asciiTheme="minorEastAsia" w:hAnsiTheme="minorEastAsia" w:eastAsiaTheme="minorEastAsia"/>
                <w:color w:val="000000" w:themeColor="text1"/>
                <w:kern w:val="0"/>
                <w:sz w:val="18"/>
                <w:szCs w:val="18"/>
                <w14:textFill>
                  <w14:solidFill>
                    <w14:schemeClr w14:val="tx1"/>
                  </w14:solidFill>
                </w14:textFill>
              </w:rPr>
              <w:t>空气质量  氨的测定  离子选择电极法</w:t>
            </w:r>
          </w:p>
        </w:tc>
        <w:tc>
          <w:tcPr>
            <w:tcW w:w="725" w:type="pct"/>
            <w:gridSpan w:val="2"/>
            <w:vAlign w:val="center"/>
          </w:tcPr>
          <w:p>
            <w:pPr>
              <w:spacing w:line="0" w:lineRule="atLeast"/>
              <w:jc w:val="center"/>
              <w:rPr>
                <w:rFonts w:hint="default" w:ascii="Times New Roman" w:hAnsi="Times New Roman" w:eastAsiaTheme="minorEastAsia"/>
                <w:color w:val="000000" w:themeColor="text1"/>
                <w:kern w:val="0"/>
                <w:sz w:val="18"/>
                <w:szCs w:val="18"/>
                <w14:textFill>
                  <w14:solidFill>
                    <w14:schemeClr w14:val="tx1"/>
                  </w14:solidFill>
                </w14:textFill>
              </w:rPr>
            </w:pPr>
            <w:r>
              <w:rPr>
                <w:rFonts w:hint="default" w:ascii="Times New Roman" w:hAnsi="Times New Roman" w:eastAsiaTheme="minorEastAsia"/>
                <w:color w:val="000000" w:themeColor="text1"/>
                <w:kern w:val="0"/>
                <w:sz w:val="18"/>
                <w:szCs w:val="18"/>
                <w14:textFill>
                  <w14:solidFill>
                    <w14:schemeClr w14:val="tx1"/>
                  </w14:solidFill>
                </w14:textFill>
              </w:rPr>
              <w:t>GB/T 14669</w:t>
            </w:r>
          </w:p>
        </w:tc>
      </w:tr>
      <w:bookmark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08" w:type="pct"/>
            <w:vMerge w:val="continue"/>
            <w:vAlign w:val="center"/>
          </w:tcPr>
          <w:p>
            <w:pPr>
              <w:spacing w:line="0" w:lineRule="atLeast"/>
              <w:jc w:val="center"/>
              <w:rPr>
                <w:rFonts w:hint="default" w:ascii="Times New Roman" w:hAnsi="Times New Roman" w:eastAsiaTheme="minorEastAsia"/>
                <w:kern w:val="0"/>
                <w:sz w:val="18"/>
                <w:szCs w:val="18"/>
              </w:rPr>
            </w:pPr>
          </w:p>
        </w:tc>
        <w:tc>
          <w:tcPr>
            <w:tcW w:w="744" w:type="pct"/>
            <w:vMerge w:val="continue"/>
            <w:vAlign w:val="center"/>
          </w:tcPr>
          <w:p>
            <w:pPr>
              <w:spacing w:line="0" w:lineRule="atLeast"/>
              <w:jc w:val="center"/>
              <w:rPr>
                <w:rFonts w:hint="default" w:asciiTheme="minorEastAsia" w:hAnsiTheme="minorEastAsia" w:eastAsiaTheme="minorEastAsia"/>
                <w:kern w:val="0"/>
                <w:sz w:val="18"/>
                <w:szCs w:val="18"/>
              </w:rPr>
            </w:pPr>
          </w:p>
        </w:tc>
        <w:tc>
          <w:tcPr>
            <w:tcW w:w="3223" w:type="pct"/>
            <w:vAlign w:val="center"/>
          </w:tcPr>
          <w:p>
            <w:pPr>
              <w:spacing w:line="0" w:lineRule="atLeast"/>
              <w:rPr>
                <w:rFonts w:hint="default" w:asciiTheme="minorEastAsia" w:hAnsiTheme="minorEastAsia" w:eastAsiaTheme="minorEastAsia"/>
                <w:kern w:val="0"/>
                <w:sz w:val="18"/>
                <w:szCs w:val="18"/>
              </w:rPr>
            </w:pPr>
            <w:r>
              <w:rPr>
                <w:rFonts w:hint="default" w:asciiTheme="minorEastAsia" w:hAnsiTheme="minorEastAsia" w:eastAsiaTheme="minorEastAsia"/>
                <w:kern w:val="0"/>
                <w:sz w:val="18"/>
                <w:szCs w:val="18"/>
              </w:rPr>
              <w:t>环境空气和废气  氨的测定  纳氏试剂分光光度法</w:t>
            </w:r>
          </w:p>
        </w:tc>
        <w:tc>
          <w:tcPr>
            <w:tcW w:w="725" w:type="pct"/>
            <w:gridSpan w:val="2"/>
            <w:vAlign w:val="center"/>
          </w:tcPr>
          <w:p>
            <w:pPr>
              <w:spacing w:line="0" w:lineRule="atLeast"/>
              <w:jc w:val="center"/>
              <w:rPr>
                <w:rFonts w:hint="default" w:ascii="Times New Roman" w:hAnsi="Times New Roman" w:eastAsiaTheme="minorEastAsia"/>
                <w:kern w:val="0"/>
                <w:sz w:val="18"/>
                <w:szCs w:val="18"/>
              </w:rPr>
            </w:pPr>
            <w:r>
              <w:rPr>
                <w:rFonts w:hint="default" w:ascii="Times New Roman" w:hAnsi="Times New Roman" w:eastAsiaTheme="minorEastAsia"/>
                <w:kern w:val="0"/>
                <w:sz w:val="18"/>
                <w:szCs w:val="18"/>
              </w:rPr>
              <w:t>HJ 533</w:t>
            </w:r>
          </w:p>
        </w:tc>
      </w:tr>
    </w:tbl>
    <w:p>
      <w:pPr>
        <w:spacing w:before="240" w:beforeLines="100" w:after="240" w:afterLines="100" w:line="340" w:lineRule="exact"/>
        <w:outlineLvl w:val="0"/>
        <w:rPr>
          <w:rFonts w:hint="default" w:ascii="黑体" w:hAnsi="黑体" w:eastAsia="黑体"/>
          <w:bCs/>
          <w:kern w:val="0"/>
          <w:szCs w:val="21"/>
        </w:rPr>
      </w:pPr>
      <w:bookmarkStart w:id="31" w:name="_Toc66431592"/>
      <w:r>
        <w:rPr>
          <w:rFonts w:hint="default" w:ascii="黑体" w:hAnsi="黑体" w:eastAsia="黑体"/>
          <w:bCs/>
          <w:kern w:val="0"/>
          <w:szCs w:val="21"/>
        </w:rPr>
        <w:t xml:space="preserve">6  </w:t>
      </w:r>
      <w:r>
        <w:rPr>
          <w:rFonts w:ascii="黑体" w:hAnsi="黑体" w:eastAsia="黑体"/>
          <w:bCs/>
          <w:kern w:val="0"/>
          <w:szCs w:val="21"/>
        </w:rPr>
        <w:t>达标判定要求</w:t>
      </w:r>
      <w:bookmarkEnd w:id="31"/>
    </w:p>
    <w:p>
      <w:pPr>
        <w:spacing w:line="340" w:lineRule="exact"/>
        <w:jc w:val="left"/>
        <w:outlineLvl w:val="1"/>
        <w:rPr>
          <w:rFonts w:hint="default" w:ascii="宋体" w:hAnsi="宋体"/>
        </w:rPr>
      </w:pPr>
      <w:bookmarkStart w:id="32" w:name="_Toc66431593"/>
      <w:r>
        <w:rPr>
          <w:rFonts w:ascii="黑体" w:hAnsi="黑体" w:eastAsia="黑体"/>
        </w:rPr>
        <w:t xml:space="preserve">6.1  </w:t>
      </w:r>
      <w:r>
        <w:rPr>
          <w:rFonts w:ascii="宋体" w:hAnsi="宋体"/>
        </w:rPr>
        <w:t>对于有组织排放、无组织排放，采用手工监测或在线监测时，按照相关监测规范要求测得的任意1小时平均浓度值超过本标准规定的排放浓度限值，判定为超标。</w:t>
      </w:r>
      <w:bookmarkEnd w:id="32"/>
    </w:p>
    <w:p>
      <w:pPr>
        <w:spacing w:line="340" w:lineRule="exact"/>
        <w:jc w:val="left"/>
        <w:outlineLvl w:val="1"/>
        <w:rPr>
          <w:rFonts w:hint="default" w:ascii="宋体" w:hAnsi="宋体"/>
          <w:color w:val="000000" w:themeColor="text1"/>
          <w14:textFill>
            <w14:solidFill>
              <w14:schemeClr w14:val="tx1"/>
            </w14:solidFill>
          </w14:textFill>
        </w:rPr>
      </w:pPr>
      <w:bookmarkStart w:id="33" w:name="_Toc66431595"/>
      <w:r>
        <w:rPr>
          <w:rFonts w:ascii="黑体" w:hAnsi="黑体" w:eastAsia="黑体"/>
        </w:rPr>
        <w:t xml:space="preserve">6.2  </w:t>
      </w:r>
      <w:r>
        <w:rPr>
          <w:rFonts w:ascii="宋体" w:hAnsi="宋体"/>
        </w:rPr>
        <w:t>若同一时段、同一监测监控点位的现场手工监测数据与有效自动监测数据不一致，</w:t>
      </w:r>
      <w:r>
        <w:rPr>
          <w:rFonts w:ascii="宋体" w:hAnsi="宋体"/>
          <w:color w:val="000000" w:themeColor="text1"/>
          <w14:textFill>
            <w14:solidFill>
              <w14:schemeClr w14:val="tx1"/>
            </w14:solidFill>
          </w14:textFill>
        </w:rPr>
        <w:t>以符合法定监测规范和监测方法标准的现场手工监测数据作为判定依据。</w:t>
      </w:r>
      <w:bookmarkEnd w:id="33"/>
    </w:p>
    <w:p>
      <w:pPr>
        <w:spacing w:line="340" w:lineRule="exact"/>
        <w:jc w:val="left"/>
        <w:outlineLvl w:val="1"/>
        <w:rPr>
          <w:rFonts w:hint="default" w:ascii="宋体" w:hAnsi="宋体"/>
        </w:rPr>
      </w:pPr>
      <w:r>
        <w:rPr>
          <w:rFonts w:ascii="黑体" w:hAnsi="黑体" w:eastAsia="黑体"/>
          <w:color w:val="000000" w:themeColor="text1"/>
          <w14:textFill>
            <w14:solidFill>
              <w14:schemeClr w14:val="tx1"/>
            </w14:solidFill>
          </w14:textFill>
        </w:rPr>
        <w:t>6.3</w:t>
      </w:r>
      <w:r>
        <w:rPr>
          <w:rFonts w:hint="default" w:ascii="黑体" w:hAnsi="黑体" w:eastAsia="黑体"/>
          <w:color w:val="000000" w:themeColor="text1"/>
          <w14:textFill>
            <w14:solidFill>
              <w14:schemeClr w14:val="tx1"/>
            </w14:solidFill>
          </w14:textFill>
        </w:rPr>
        <w:t xml:space="preserve"> </w:t>
      </w:r>
      <w:r>
        <w:rPr>
          <w:rFonts w:ascii="黑体" w:hAnsi="黑体" w:eastAsia="黑体"/>
          <w:color w:val="000000" w:themeColor="text1"/>
          <w14:textFill>
            <w14:solidFill>
              <w14:schemeClr w14:val="tx1"/>
            </w14:solidFill>
          </w14:textFill>
        </w:rPr>
        <w:t xml:space="preserve"> </w:t>
      </w:r>
      <w:r>
        <w:rPr>
          <w:rFonts w:ascii="宋体" w:hAnsi="宋体"/>
          <w:color w:val="000000" w:themeColor="text1"/>
          <w14:textFill>
            <w14:solidFill>
              <w14:schemeClr w14:val="tx1"/>
            </w14:solidFill>
          </w14:textFill>
        </w:rPr>
        <w:t>启动、停机或者事故等非正常情况下，符合排污许可申请与核发技术规范相关管理办法的</w:t>
      </w:r>
      <w:r>
        <w:rPr>
          <w:rFonts w:ascii="宋体" w:hAnsi="宋体"/>
        </w:rPr>
        <w:t>自动监测数据，可不认定为污染物超标排放。</w:t>
      </w:r>
    </w:p>
    <w:p>
      <w:pPr>
        <w:spacing w:line="340" w:lineRule="exact"/>
        <w:jc w:val="left"/>
        <w:outlineLvl w:val="1"/>
        <w:rPr>
          <w:rFonts w:hint="default" w:ascii="宋体" w:hAnsi="宋体"/>
        </w:rPr>
      </w:pPr>
      <w:bookmarkStart w:id="34" w:name="_Toc66113011"/>
      <w:bookmarkStart w:id="35" w:name="_Toc66431596"/>
      <w:r>
        <w:rPr>
          <w:rFonts w:ascii="黑体" w:hAnsi="黑体" w:eastAsia="黑体"/>
        </w:rPr>
        <w:t>6.4</w:t>
      </w:r>
      <w:r>
        <w:rPr>
          <w:rFonts w:hint="default" w:ascii="黑体" w:hAnsi="黑体" w:eastAsia="黑体"/>
        </w:rPr>
        <w:t xml:space="preserve"> </w:t>
      </w:r>
      <w:r>
        <w:rPr>
          <w:rFonts w:ascii="黑体" w:hAnsi="黑体" w:eastAsia="黑体"/>
        </w:rPr>
        <w:t xml:space="preserve"> </w:t>
      </w:r>
      <w:r>
        <w:rPr>
          <w:rFonts w:ascii="宋体" w:hAnsi="宋体"/>
        </w:rPr>
        <w:t>石灰窑的基准含氧量为10%，实测石灰窑的大气污染物排放浓度，应按式（1）换算为基准氧含量条件下的大气污染物基准排放浓度，并以此作为达标判定依据。</w:t>
      </w:r>
      <w:bookmarkEnd w:id="34"/>
      <w:bookmarkEnd w:id="35"/>
    </w:p>
    <w:tbl>
      <w:tblPr>
        <w:tblStyle w:val="13"/>
        <w:tblW w:w="0" w:type="auto"/>
        <w:jc w:val="center"/>
        <w:tblLayout w:type="autofit"/>
        <w:tblCellMar>
          <w:top w:w="0" w:type="dxa"/>
          <w:left w:w="0" w:type="dxa"/>
          <w:bottom w:w="0" w:type="dxa"/>
          <w:right w:w="0" w:type="dxa"/>
        </w:tblCellMar>
      </w:tblPr>
      <w:tblGrid>
        <w:gridCol w:w="8501"/>
        <w:gridCol w:w="867"/>
      </w:tblGrid>
      <w:tr>
        <w:tblPrEx>
          <w:tblCellMar>
            <w:top w:w="0" w:type="dxa"/>
            <w:left w:w="0" w:type="dxa"/>
            <w:bottom w:w="0" w:type="dxa"/>
            <w:right w:w="0" w:type="dxa"/>
          </w:tblCellMar>
        </w:tblPrEx>
        <w:trPr>
          <w:jc w:val="center"/>
        </w:trPr>
        <w:tc>
          <w:tcPr>
            <w:tcW w:w="8501" w:type="dxa"/>
            <w:vAlign w:val="center"/>
          </w:tcPr>
          <w:p>
            <w:pPr>
              <w:spacing w:line="0" w:lineRule="atLeast"/>
              <w:jc w:val="center"/>
              <w:rPr>
                <w:rFonts w:hint="default" w:ascii="宋体" w:hAnsi="宋体"/>
                <w:bCs/>
                <w:kern w:val="0"/>
                <w:szCs w:val="21"/>
              </w:rPr>
            </w:pPr>
            <w:r>
              <w:rPr>
                <w:position w:val="-32"/>
              </w:rPr>
              <w:object>
                <v:shape id="_x0000_i1025" o:spt="75" type="#_x0000_t75" style="height:40.05pt;width:105.25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p>
        </w:tc>
        <w:tc>
          <w:tcPr>
            <w:tcW w:w="867" w:type="dxa"/>
            <w:vAlign w:val="center"/>
          </w:tcPr>
          <w:p>
            <w:pPr>
              <w:spacing w:line="0" w:lineRule="atLeast"/>
              <w:jc w:val="center"/>
              <w:rPr>
                <w:rFonts w:hint="default" w:ascii="宋体" w:hAnsi="宋体"/>
                <w:bCs/>
                <w:kern w:val="0"/>
                <w:szCs w:val="21"/>
              </w:rPr>
            </w:pPr>
            <w:r>
              <w:rPr>
                <w:rFonts w:ascii="宋体" w:hAnsi="宋体"/>
                <w:bCs/>
                <w:kern w:val="0"/>
                <w:szCs w:val="21"/>
              </w:rPr>
              <w:t>（1）</w:t>
            </w:r>
          </w:p>
        </w:tc>
      </w:tr>
    </w:tbl>
    <w:p>
      <w:pPr>
        <w:ind w:right="-23"/>
        <w:rPr>
          <w:rFonts w:hint="default" w:ascii="宋体" w:hAnsi="宋体"/>
        </w:rPr>
      </w:pPr>
      <w:r>
        <w:t>式中：</w:t>
      </w:r>
      <w:r>
        <w:rPr>
          <w:rFonts w:hint="default" w:ascii="宋体" w:hAnsi="宋体"/>
          <w:position w:val="-12"/>
        </w:rPr>
        <w:object>
          <v:shape id="_x0000_i1026" o:spt="75" type="#_x0000_t75" style="height:18.15pt;width:18.15pt;" o:ole="t" filled="f" o:preferrelative="t" stroked="f" coordsize="21600,21600">
            <v:path/>
            <v:fill on="f" focussize="0,0"/>
            <v:stroke on="f" joinstyle="miter"/>
            <v:imagedata r:id="rId14" o:title=""/>
            <o:lock v:ext="edit" aspectratio="t"/>
            <w10:wrap type="none"/>
            <w10:anchorlock/>
          </v:shape>
          <o:OLEObject Type="Embed" ProgID="Equation.3" ShapeID="_x0000_i1026" DrawAspect="Content" ObjectID="_1468075726" r:id="rId13">
            <o:LockedField>false</o:LockedField>
          </o:OLEObject>
        </w:object>
      </w:r>
      <w:r>
        <w:rPr>
          <w:rFonts w:hint="default" w:ascii="宋体" w:hAnsi="宋体"/>
        </w:rPr>
        <w:t>——大气污染物基准氧含量排放浓度，mg/m</w:t>
      </w:r>
      <w:r>
        <w:rPr>
          <w:rFonts w:hint="default" w:ascii="宋体" w:hAnsi="宋体"/>
          <w:vertAlign w:val="superscript"/>
        </w:rPr>
        <w:t>3</w:t>
      </w:r>
      <w:r>
        <w:rPr>
          <w:rFonts w:ascii="宋体" w:hAnsi="宋体"/>
        </w:rPr>
        <w:t>；</w:t>
      </w:r>
    </w:p>
    <w:p>
      <w:pPr>
        <w:ind w:left="562" w:right="-23"/>
        <w:rPr>
          <w:rFonts w:hint="default" w:ascii="宋体" w:hAnsi="宋体"/>
        </w:rPr>
      </w:pPr>
      <w:r>
        <w:rPr>
          <w:rFonts w:hint="default" w:ascii="宋体" w:hAnsi="宋体"/>
          <w:position w:val="-12"/>
        </w:rPr>
        <w:object>
          <v:shape id="_x0000_i1027" o:spt="75" type="#_x0000_t75" style="height:18.15pt;width:18.8pt;" o:ole="t" filled="f" o:preferrelative="t" stroked="f" coordsize="21600,21600">
            <v:path/>
            <v:fill on="f" focussize="0,0"/>
            <v:stroke on="f" joinstyle="miter"/>
            <v:imagedata r:id="rId16" o:title=""/>
            <o:lock v:ext="edit" aspectratio="t"/>
            <w10:wrap type="none"/>
            <w10:anchorlock/>
          </v:shape>
          <o:OLEObject Type="Embed" ProgID="Equation.3" ShapeID="_x0000_i1027" DrawAspect="Content" ObjectID="_1468075727" r:id="rId15">
            <o:LockedField>false</o:LockedField>
          </o:OLEObject>
        </w:object>
      </w:r>
      <w:r>
        <w:rPr>
          <w:rFonts w:hint="default" w:ascii="宋体" w:hAnsi="宋体"/>
        </w:rPr>
        <w:t>——干烟气基准氧含量，%</w:t>
      </w:r>
      <w:r>
        <w:rPr>
          <w:rFonts w:ascii="宋体" w:hAnsi="宋体"/>
        </w:rPr>
        <w:t>；</w:t>
      </w:r>
    </w:p>
    <w:p>
      <w:pPr>
        <w:ind w:left="562" w:right="-23"/>
        <w:rPr>
          <w:rFonts w:hint="default" w:ascii="宋体" w:hAnsi="宋体"/>
        </w:rPr>
      </w:pPr>
      <w:r>
        <w:rPr>
          <w:rFonts w:hint="default" w:ascii="宋体" w:hAnsi="宋体"/>
          <w:position w:val="-14"/>
        </w:rPr>
        <w:object>
          <v:shape id="_x0000_i1028" o:spt="75" type="#_x0000_t75" style="height:18.8pt;width:18.15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17">
            <o:LockedField>false</o:LockedField>
          </o:OLEObject>
        </w:object>
      </w:r>
      <w:r>
        <w:rPr>
          <w:rFonts w:hint="default" w:ascii="宋体" w:hAnsi="宋体"/>
        </w:rPr>
        <w:t>——实测大气污染物排放浓度</w:t>
      </w:r>
      <w:r>
        <w:rPr>
          <w:rFonts w:ascii="宋体" w:hAnsi="宋体"/>
          <w:iCs/>
        </w:rPr>
        <w:t>，</w:t>
      </w:r>
      <w:r>
        <w:rPr>
          <w:rFonts w:hint="default" w:ascii="宋体" w:hAnsi="宋体"/>
        </w:rPr>
        <w:t>mg/m</w:t>
      </w:r>
      <w:r>
        <w:rPr>
          <w:rFonts w:ascii="宋体" w:hAnsi="宋体"/>
          <w:vertAlign w:val="superscript"/>
        </w:rPr>
        <w:t>3</w:t>
      </w:r>
      <w:r>
        <w:rPr>
          <w:rFonts w:ascii="宋体" w:hAnsi="宋体"/>
        </w:rPr>
        <w:t>；</w:t>
      </w:r>
    </w:p>
    <w:p>
      <w:pPr>
        <w:tabs>
          <w:tab w:val="left" w:pos="840"/>
        </w:tabs>
        <w:ind w:left="562" w:right="-23"/>
        <w:rPr>
          <w:rFonts w:hint="default" w:ascii="宋体" w:hAnsi="宋体"/>
        </w:rPr>
      </w:pPr>
      <w:r>
        <w:rPr>
          <w:rFonts w:hint="default" w:ascii="宋体" w:hAnsi="宋体"/>
          <w:position w:val="-14"/>
        </w:rPr>
        <w:object>
          <v:shape id="_x0000_i1029" o:spt="75" type="#_x0000_t75" style="height:18.8pt;width:18.8pt;" o:ole="t" filled="f" o:preferrelative="t" stroked="f" coordsize="21600,21600">
            <v:path/>
            <v:fill on="f" focussize="0,0"/>
            <v:stroke on="f" joinstyle="miter"/>
            <v:imagedata r:id="rId20" o:title=""/>
            <o:lock v:ext="edit" aspectratio="t"/>
            <w10:wrap type="none"/>
            <w10:anchorlock/>
          </v:shape>
          <o:OLEObject Type="Embed" ProgID="Equation.3" ShapeID="_x0000_i1029" DrawAspect="Content" ObjectID="_1468075729" r:id="rId19">
            <o:LockedField>false</o:LockedField>
          </o:OLEObject>
        </w:object>
      </w:r>
      <w:r>
        <w:rPr>
          <w:rFonts w:hint="default" w:ascii="宋体" w:hAnsi="宋体"/>
        </w:rPr>
        <w:t>——</w:t>
      </w:r>
      <w:r>
        <w:rPr>
          <w:rFonts w:ascii="宋体" w:hAnsi="宋体"/>
        </w:rPr>
        <w:t>实测的干烟气氧含量，%。</w:t>
      </w:r>
    </w:p>
    <w:p>
      <w:pPr>
        <w:tabs>
          <w:tab w:val="left" w:pos="840"/>
        </w:tabs>
        <w:spacing w:line="340" w:lineRule="exact"/>
        <w:outlineLvl w:val="1"/>
        <w:rPr>
          <w:rFonts w:hint="default" w:ascii="黑体" w:hAnsi="黑体" w:eastAsia="黑体"/>
          <w:szCs w:val="21"/>
        </w:rPr>
      </w:pPr>
      <w:bookmarkStart w:id="36" w:name="_Toc66113012"/>
      <w:bookmarkStart w:id="37" w:name="_Toc66431597"/>
      <w:r>
        <w:rPr>
          <w:rFonts w:ascii="黑体" w:hAnsi="黑体" w:eastAsia="黑体"/>
        </w:rPr>
        <w:t xml:space="preserve">6.5  </w:t>
      </w:r>
      <w:r>
        <w:rPr>
          <w:rFonts w:ascii="宋体" w:hAnsi="宋体"/>
        </w:rPr>
        <w:t>其他生产设施排气以实测浓度作为达标判定依据。</w:t>
      </w:r>
      <w:bookmarkEnd w:id="36"/>
      <w:bookmarkEnd w:id="37"/>
    </w:p>
    <w:p>
      <w:pPr>
        <w:tabs>
          <w:tab w:val="left" w:pos="840"/>
        </w:tabs>
        <w:spacing w:line="340" w:lineRule="exact"/>
        <w:outlineLvl w:val="1"/>
        <w:rPr>
          <w:rFonts w:hint="default" w:ascii="黑体" w:hAnsi="黑体" w:eastAsia="黑体"/>
          <w:szCs w:val="21"/>
        </w:rPr>
      </w:pPr>
      <w:bookmarkStart w:id="38" w:name="_Toc66113013"/>
      <w:bookmarkStart w:id="39" w:name="_Toc66431598"/>
      <w:r>
        <w:rPr>
          <w:rFonts w:ascii="黑体" w:hAnsi="黑体" w:eastAsia="黑体"/>
          <w:szCs w:val="21"/>
        </w:rPr>
        <w:t xml:space="preserve">6.6  </w:t>
      </w:r>
      <w:r>
        <w:rPr>
          <w:szCs w:val="21"/>
        </w:rPr>
        <w:t>国家对达标判定另有要求的，从其规定。</w:t>
      </w:r>
      <w:bookmarkEnd w:id="38"/>
      <w:bookmarkEnd w:id="39"/>
    </w:p>
    <w:p>
      <w:pPr>
        <w:spacing w:before="240" w:beforeLines="100" w:after="240" w:afterLines="100" w:line="340" w:lineRule="exact"/>
        <w:outlineLvl w:val="0"/>
        <w:rPr>
          <w:rFonts w:hint="default" w:ascii="黑体" w:hAnsi="黑体" w:eastAsia="黑体"/>
          <w:bCs/>
          <w:kern w:val="0"/>
          <w:szCs w:val="21"/>
        </w:rPr>
      </w:pPr>
      <w:bookmarkStart w:id="40" w:name="_Toc66431599"/>
      <w:r>
        <w:rPr>
          <w:rFonts w:ascii="黑体" w:hAnsi="黑体" w:eastAsia="黑体"/>
          <w:bCs/>
          <w:kern w:val="0"/>
          <w:szCs w:val="21"/>
        </w:rPr>
        <w:t>7  实施与监督</w:t>
      </w:r>
      <w:bookmarkEnd w:id="40"/>
    </w:p>
    <w:p>
      <w:pPr>
        <w:widowControl w:val="0"/>
        <w:tabs>
          <w:tab w:val="left" w:pos="840"/>
        </w:tabs>
        <w:spacing w:line="340" w:lineRule="exact"/>
        <w:outlineLvl w:val="1"/>
        <w:rPr>
          <w:rFonts w:hint="default" w:ascii="宋体" w:hAnsi="宋体"/>
          <w:szCs w:val="21"/>
        </w:rPr>
      </w:pPr>
      <w:bookmarkStart w:id="41" w:name="_Toc66431600"/>
      <w:bookmarkStart w:id="42" w:name="_Toc66113015"/>
      <w:r>
        <w:rPr>
          <w:rFonts w:ascii="黑体" w:hAnsi="黑体" w:eastAsia="黑体"/>
          <w:szCs w:val="21"/>
        </w:rPr>
        <w:t>7</w:t>
      </w:r>
      <w:r>
        <w:rPr>
          <w:rFonts w:hint="default" w:ascii="黑体" w:hAnsi="黑体" w:eastAsia="黑体"/>
          <w:szCs w:val="21"/>
        </w:rPr>
        <w:t xml:space="preserve">.1  </w:t>
      </w:r>
      <w:r>
        <w:rPr>
          <w:rFonts w:hint="default" w:ascii="宋体" w:hAnsi="宋体"/>
          <w:szCs w:val="21"/>
        </w:rPr>
        <w:t>本标准由县级以上人民政府生态环境主管部门负责监督实施</w:t>
      </w:r>
      <w:r>
        <w:rPr>
          <w:rFonts w:ascii="宋体" w:hAnsi="宋体"/>
          <w:szCs w:val="21"/>
        </w:rPr>
        <w:t>。</w:t>
      </w:r>
      <w:bookmarkEnd w:id="41"/>
      <w:bookmarkEnd w:id="42"/>
    </w:p>
    <w:p>
      <w:pPr>
        <w:tabs>
          <w:tab w:val="left" w:pos="840"/>
        </w:tabs>
        <w:spacing w:line="340" w:lineRule="exact"/>
        <w:outlineLvl w:val="1"/>
        <w:rPr>
          <w:rFonts w:hint="default"/>
          <w:color w:val="000000" w:themeColor="text1"/>
          <w:szCs w:val="21"/>
          <w14:textFill>
            <w14:solidFill>
              <w14:schemeClr w14:val="tx1"/>
            </w14:solidFill>
          </w14:textFill>
        </w:rPr>
      </w:pPr>
      <w:bookmarkStart w:id="43" w:name="_Toc66113016"/>
      <w:bookmarkStart w:id="44" w:name="_Toc66431601"/>
      <w:r>
        <w:rPr>
          <w:rFonts w:ascii="黑体" w:hAnsi="黑体" w:eastAsia="黑体"/>
          <w:color w:val="000000" w:themeColor="text1"/>
          <w:szCs w:val="21"/>
          <w14:textFill>
            <w14:solidFill>
              <w14:schemeClr w14:val="tx1"/>
            </w14:solidFill>
          </w14:textFill>
        </w:rPr>
        <w:t>7</w:t>
      </w:r>
      <w:r>
        <w:rPr>
          <w:rFonts w:hint="default"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2</w:t>
      </w:r>
      <w:r>
        <w:rPr>
          <w:rFonts w:hint="default" w:ascii="黑体" w:hAnsi="黑体" w:eastAsia="黑体"/>
          <w:color w:val="000000" w:themeColor="text1"/>
          <w:szCs w:val="21"/>
          <w14:textFill>
            <w14:solidFill>
              <w14:schemeClr w14:val="tx1"/>
            </w14:solidFill>
          </w14:textFill>
        </w:rPr>
        <w:t xml:space="preserve">  </w:t>
      </w:r>
      <w:bookmarkEnd w:id="43"/>
      <w:bookmarkEnd w:id="44"/>
      <w:r>
        <w:rPr>
          <w:color w:val="000000" w:themeColor="text1"/>
          <w:szCs w:val="21"/>
          <w14:textFill>
            <w14:solidFill>
              <w14:schemeClr w14:val="tx1"/>
            </w14:solidFill>
          </w14:textFill>
        </w:rPr>
        <w:t>本标准颁布实施后，国家出台相应行业污染物排放标准严于本标准的，执行国家标准；涉及本标准未做规定的污染物项目以及污染控制要求的，执行国家标准。</w:t>
      </w:r>
    </w:p>
    <w:p>
      <w:pPr>
        <w:tabs>
          <w:tab w:val="left" w:pos="840"/>
        </w:tabs>
        <w:spacing w:line="340" w:lineRule="exact"/>
        <w:outlineLvl w:val="1"/>
        <w:rPr>
          <w:rFonts w:hint="default"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7.3   </w:t>
      </w:r>
      <w:r>
        <w:rPr>
          <w:color w:val="000000" w:themeColor="text1"/>
          <w:szCs w:val="21"/>
          <w14:textFill>
            <w14:solidFill>
              <w14:schemeClr w14:val="tx1"/>
            </w14:solidFill>
          </w14:textFill>
        </w:rPr>
        <w:t>本标准颁布实施后，现有企业排污许可证规定的内容与本标准不一致的，应当在本标准规定生效的时限前变更排污许可证。</w:t>
      </w:r>
    </w:p>
    <w:p>
      <w:pPr>
        <w:tabs>
          <w:tab w:val="left" w:pos="840"/>
        </w:tabs>
        <w:spacing w:line="340" w:lineRule="exact"/>
        <w:outlineLvl w:val="1"/>
        <w:rPr>
          <w:rFonts w:hint="default"/>
          <w:szCs w:val="21"/>
        </w:rPr>
      </w:pPr>
      <w:bookmarkStart w:id="45" w:name="_Toc66431602"/>
      <w:bookmarkStart w:id="46" w:name="_Toc66113017"/>
      <w:r>
        <w:rPr>
          <w:rFonts w:ascii="黑体" w:hAnsi="黑体" w:eastAsia="黑体"/>
          <w:szCs w:val="21"/>
        </w:rPr>
        <w:t>7</w:t>
      </w:r>
      <w:r>
        <w:rPr>
          <w:rFonts w:hint="default" w:ascii="黑体" w:hAnsi="黑体" w:eastAsia="黑体"/>
          <w:szCs w:val="21"/>
        </w:rPr>
        <w:t>.</w:t>
      </w:r>
      <w:r>
        <w:rPr>
          <w:rFonts w:ascii="黑体" w:hAnsi="黑体" w:eastAsia="黑体"/>
          <w:szCs w:val="21"/>
        </w:rPr>
        <w:t>4</w:t>
      </w:r>
      <w:r>
        <w:rPr>
          <w:rFonts w:hint="default" w:ascii="黑体" w:hAnsi="黑体" w:eastAsia="黑体"/>
          <w:szCs w:val="21"/>
        </w:rPr>
        <w:t xml:space="preserve">  </w:t>
      </w:r>
      <w:r>
        <w:rPr>
          <w:rFonts w:hint="default"/>
          <w:szCs w:val="21"/>
        </w:rPr>
        <w:t>在任何情况下，企业均应遵守本标准的污染物排放控制要求，采取必要措施保证污染防治设施正常运行</w:t>
      </w:r>
      <w:r>
        <w:rPr>
          <w:szCs w:val="21"/>
        </w:rPr>
        <w:t>。</w:t>
      </w:r>
      <w:bookmarkEnd w:id="45"/>
      <w:bookmarkEnd w:id="46"/>
    </w:p>
    <w:p>
      <w:pPr>
        <w:tabs>
          <w:tab w:val="left" w:pos="840"/>
        </w:tabs>
        <w:spacing w:line="360" w:lineRule="auto"/>
        <w:ind w:firstLine="420" w:firstLineChars="200"/>
        <w:rPr>
          <w:rFonts w:hint="default"/>
          <w:szCs w:val="21"/>
        </w:rPr>
      </w:pPr>
    </w:p>
    <w:p>
      <w:pPr>
        <w:tabs>
          <w:tab w:val="left" w:pos="840"/>
        </w:tabs>
        <w:spacing w:line="360" w:lineRule="auto"/>
        <w:ind w:firstLine="420" w:firstLineChars="200"/>
        <w:rPr>
          <w:rFonts w:hint="default"/>
          <w:szCs w:val="21"/>
        </w:rPr>
      </w:pPr>
    </w:p>
    <w:p>
      <w:pPr>
        <w:tabs>
          <w:tab w:val="left" w:pos="840"/>
        </w:tabs>
        <w:spacing w:line="360" w:lineRule="auto"/>
        <w:ind w:firstLine="420" w:firstLineChars="200"/>
        <w:rPr>
          <w:rFonts w:hint="default"/>
          <w:kern w:val="0"/>
        </w:rPr>
      </w:pPr>
      <w:r>
        <w:rPr>
          <w:rFonts w:ascii="黑体" w:hAnsi="黑体" w:eastAsia="黑体"/>
          <w:szCs w:val="21"/>
        </w:rPr>
        <mc:AlternateContent>
          <mc:Choice Requires="wps">
            <w:drawing>
              <wp:anchor distT="0" distB="0" distL="114300" distR="114300" simplePos="0" relativeHeight="251662336" behindDoc="1" locked="0" layoutInCell="1" allowOverlap="1">
                <wp:simplePos x="0" y="0"/>
                <wp:positionH relativeFrom="page">
                  <wp:posOffset>2643505</wp:posOffset>
                </wp:positionH>
                <wp:positionV relativeFrom="paragraph">
                  <wp:posOffset>29210</wp:posOffset>
                </wp:positionV>
                <wp:extent cx="2202180" cy="12700"/>
                <wp:effectExtent l="5080" t="10160" r="12065" b="0"/>
                <wp:wrapNone/>
                <wp:docPr id="7" name="任意多边形 5"/>
                <wp:cNvGraphicFramePr/>
                <a:graphic xmlns:a="http://schemas.openxmlformats.org/drawingml/2006/main">
                  <a:graphicData uri="http://schemas.microsoft.com/office/word/2010/wordprocessingShape">
                    <wps:wsp>
                      <wps:cNvSpPr/>
                      <wps:spPr bwMode="auto">
                        <a:xfrm>
                          <a:off x="0" y="0"/>
                          <a:ext cx="2202180" cy="12700"/>
                        </a:xfrm>
                        <a:custGeom>
                          <a:avLst/>
                          <a:gdLst>
                            <a:gd name="T0" fmla="*/ 0 w 3468"/>
                            <a:gd name="T1" fmla="*/ 0 h 20"/>
                            <a:gd name="T2" fmla="*/ 3468 w 3468"/>
                            <a:gd name="T3" fmla="*/ 0 h 20"/>
                            <a:gd name="T4" fmla="*/ 0 w 3468"/>
                            <a:gd name="T5" fmla="*/ 0 h 20"/>
                            <a:gd name="T6" fmla="*/ 3468 w 3468"/>
                            <a:gd name="T7" fmla="*/ 20 h 20"/>
                          </a:gdLst>
                          <a:ahLst/>
                          <a:cxnLst>
                            <a:cxn ang="0">
                              <a:pos x="T0" y="T1"/>
                            </a:cxn>
                            <a:cxn ang="0">
                              <a:pos x="T2" y="T3"/>
                            </a:cxn>
                          </a:cxnLst>
                          <a:rect l="T4" t="T5" r="T6" b="T7"/>
                          <a:pathLst>
                            <a:path w="3468" h="20">
                              <a:moveTo>
                                <a:pt x="0" y="0"/>
                              </a:moveTo>
                              <a:lnTo>
                                <a:pt x="3468" y="0"/>
                              </a:lnTo>
                            </a:path>
                          </a:pathLst>
                        </a:custGeom>
                        <a:noFill/>
                        <a:ln w="5364" cap="flat" cmpd="sng">
                          <a:solidFill>
                            <a:srgbClr val="000000"/>
                          </a:solidFill>
                          <a:round/>
                        </a:ln>
                      </wps:spPr>
                      <wps:bodyPr rot="0" vert="horz" wrap="square" lIns="91440" tIns="45720" rIns="91440" bIns="45720" anchor="t" anchorCtr="0" upright="1">
                        <a:noAutofit/>
                      </wps:bodyPr>
                    </wps:wsp>
                  </a:graphicData>
                </a:graphic>
              </wp:anchor>
            </w:drawing>
          </mc:Choice>
          <mc:Fallback>
            <w:pict>
              <v:shape id="任意多边形 5" o:spid="_x0000_s1026" o:spt="100" style="position:absolute;left:0pt;margin-left:208.15pt;margin-top:2.3pt;height:1pt;width:173.4pt;mso-position-horizontal-relative:page;z-index:-251654144;mso-width-relative:page;mso-height-relative:page;" filled="f" stroked="t" coordsize="3468,20" o:gfxdata="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CQkFkDVAAAABwEAAA8AAAAAAAAAAQAgAAAAIgAAAGRycy9k&#10;b3ducmV2LnhtbFBLAQIUABQAAAAIAIdO4kCYJKyu6QIAAHIGAAAOAAAAAAAAAAEAIAAAACQBAABk&#10;cnMvZTJvRG9jLnhtbFBLBQYAAAAABgAGAFkBAAB/BgAAAAA=&#10;" path="m0,0l3468,0e">
                <v:path o:connectlocs="0,0;2202180,0" o:connectangles="0,0"/>
                <v:fill on="f" focussize="0,0"/>
                <v:stroke weight="0.422362204724409pt" color="#000000" joinstyle="round"/>
                <v:imagedata o:title=""/>
                <o:lock v:ext="edit" aspectratio="f"/>
              </v:shape>
            </w:pict>
          </mc:Fallback>
        </mc:AlternateContent>
      </w:r>
    </w:p>
    <w:sectPr>
      <w:headerReference r:id="rId6" w:type="default"/>
      <w:footerReference r:id="rId8" w:type="default"/>
      <w:headerReference r:id="rId7" w:type="even"/>
      <w:footerReference r:id="rId9" w:type="even"/>
      <w:pgSz w:w="11920" w:h="16840"/>
      <w:pgMar w:top="1134" w:right="1134" w:bottom="1134" w:left="1418" w:header="1219" w:footer="1140"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087" w:usb1="28AF4000" w:usb2="00000016" w:usb3="00000000" w:csb0="00100009"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7785" cy="139700"/>
              <wp:effectExtent l="0" t="0" r="0" b="0"/>
              <wp:wrapNone/>
              <wp:docPr id="6" name="文本框 1048"/>
              <wp:cNvGraphicFramePr/>
              <a:graphic xmlns:a="http://schemas.openxmlformats.org/drawingml/2006/main">
                <a:graphicData uri="http://schemas.microsoft.com/office/word/2010/wordprocessingShape">
                  <wps:wsp>
                    <wps:cNvSpPr txBox="1">
                      <a:spLocks noChangeArrowheads="1"/>
                    </wps:cNvSpPr>
                    <wps:spPr bwMode="auto">
                      <a:xfrm>
                        <a:off x="0" y="0"/>
                        <a:ext cx="57785" cy="1397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48" o:spid="_x0000_s1026" o:spt="202" type="#_x0000_t202" style="position:absolute;left:0pt;margin-top:0pt;height:11pt;width:4.55pt;mso-position-horizontal:outside;mso-position-horizontal-relative:margin;mso-wrap-style:none;z-index:251661312;mso-width-relative:page;mso-height-relative:page;" filled="f" stroked="f" coordsize="21600,21600" o:gfxdata="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HYtxM8AAAACAQAADwAAAAAAAAABACAAAAAiAAAAZHJz&#10;L2Rvd25yZXYueG1sUEsBAhQAFAAAAAgAh07iQKUVNZcNAgAABAQAAA4AAAAAAAAAAQAgAAAAHgEA&#10;AGRycy9lMm9Eb2MueG1sUEsFBgAAAAAGAAYAWQEAAJ0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v:shape>
          </w:pict>
        </mc:Fallback>
      </mc:AlternateContent>
    </w:r>
    <w:r>
      <w:fldChar w:fldCharType="begin"/>
    </w:r>
    <w:r>
      <w:instrText xml:space="preserve"> = 1 \* ROMAN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29210" cy="139700"/>
              <wp:effectExtent l="0" t="0" r="0" b="0"/>
              <wp:wrapNone/>
              <wp:docPr id="5" name="文本框 1047"/>
              <wp:cNvGraphicFramePr/>
              <a:graphic xmlns:a="http://schemas.openxmlformats.org/drawingml/2006/main">
                <a:graphicData uri="http://schemas.microsoft.com/office/word/2010/wordprocessingShape">
                  <wps:wsp>
                    <wps:cNvSpPr txBox="1">
                      <a:spLocks noChangeArrowheads="1"/>
                    </wps:cNvSpPr>
                    <wps:spPr bwMode="auto">
                      <a:xfrm>
                        <a:off x="0" y="0"/>
                        <a:ext cx="29210" cy="1397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47" o:spid="_x0000_s1026" o:spt="202" type="#_x0000_t202" style="position:absolute;left:0pt;margin-top:0pt;height:11pt;width:2.3pt;mso-position-horizontal:outside;mso-position-horizontal-relative:margin;mso-wrap-style:none;z-index:251664384;mso-width-relative:page;mso-height-relative:page;" filled="f" stroked="f" coordsize="21600,21600" o:gfxdata="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9E1HNAAAAACAQAADwAAAAAAAAABACAAAAAiAAAAZHJz&#10;L2Rvd25yZXYueG1sUEsBAhQAFAAAAAgAh07iQIie4H0MAgAABAQAAA4AAAAAAAAAAQAgAAAAHwEA&#10;AGRycy9lMm9Eb2MueG1sUEsFBgAAAAAGAAYAWQEAAJ0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58420" cy="139700"/>
              <wp:effectExtent l="0" t="0" r="0" b="0"/>
              <wp:wrapNone/>
              <wp:docPr id="1" name="文本框 1055"/>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55" o:spid="_x0000_s1026" o:spt="202" type="#_x0000_t202" style="position:absolute;left:0pt;margin-top:0pt;height:11pt;width:4.6pt;mso-position-horizontal:outside;mso-position-horizontal-relative:margin;mso-wrap-style:none;z-index:251662336;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LW7l30AAAAAIBAAAPAAAAAAAAAAEAIAAAACIAAABkcnMv&#10;ZG93bnJldi54bWxQSwECFAAUAAAACACHTuJAqnLZmgsCAAAEBAAADgAAAAAAAAABACAAAAAfAQAA&#10;ZHJzL2Uyb0RvYy54bWxQSwUGAAAAAAYABgBZAQAAnAU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720"/>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58420" cy="139700"/>
              <wp:effectExtent l="0" t="0" r="0" b="0"/>
              <wp:wrapNone/>
              <wp:docPr id="2" name="文本框 1056"/>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056" o:spid="_x0000_s1026" o:spt="202" type="#_x0000_t202" style="position:absolute;left:0pt;margin-top:0pt;height:11pt;width:4.6pt;mso-position-horizontal:outside;mso-position-horizontal-relative:margin;mso-wrap-style:none;z-index:251663360;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1u5d9AAAAACAQAADwAAAAAAAAABACAAAAAiAAAAZHJz&#10;L2Rvd25yZXYueG1sUEsBAhQAFAAAAAgAh07iQOa3PDgMAgAABAQAAA4AAAAAAAAAAQAgAAAAHwEA&#10;AGRycy9lMm9Eb2MueG1sUEsFBgAAAAAGAAYAWQEAAJ0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jc w:val="left"/>
      <w:rPr>
        <w:rFonts w:hint="default" w:ascii="Microsoft JhengHei" w:hAnsi="Microsoft JhengHei" w:eastAsia="等线"/>
        <w:sz w:val="20"/>
      </w:rPr>
    </w:pPr>
    <w:r>
      <mc:AlternateContent>
        <mc:Choice Requires="wps">
          <w:drawing>
            <wp:anchor distT="0" distB="0" distL="114300" distR="114300" simplePos="0" relativeHeight="251659264" behindDoc="1" locked="0" layoutInCell="1" allowOverlap="1">
              <wp:simplePos x="0" y="0"/>
              <wp:positionH relativeFrom="page">
                <wp:posOffset>5730240</wp:posOffset>
              </wp:positionH>
              <wp:positionV relativeFrom="page">
                <wp:posOffset>666750</wp:posOffset>
              </wp:positionV>
              <wp:extent cx="1080135" cy="167005"/>
              <wp:effectExtent l="0" t="0" r="0" b="4445"/>
              <wp:wrapNone/>
              <wp:docPr id="3" name="文本框 1026"/>
              <wp:cNvGraphicFramePr/>
              <a:graphic xmlns:a="http://schemas.openxmlformats.org/drawingml/2006/main">
                <a:graphicData uri="http://schemas.microsoft.com/office/word/2010/wordprocessingShape">
                  <wps:wsp>
                    <wps:cNvSpPr txBox="1">
                      <a:spLocks noChangeArrowheads="1"/>
                    </wps:cNvSpPr>
                    <wps:spPr bwMode="auto">
                      <a:xfrm>
                        <a:off x="0" y="0"/>
                        <a:ext cx="1080135" cy="167005"/>
                      </a:xfrm>
                      <a:prstGeom prst="rect">
                        <a:avLst/>
                      </a:prstGeom>
                      <a:noFill/>
                      <a:ln>
                        <a:noFill/>
                      </a:ln>
                    </wps:spPr>
                    <wps:txbx>
                      <w:txbxContent>
                        <w:p>
                          <w:pPr>
                            <w:spacing w:line="255" w:lineRule="exact"/>
                            <w:ind w:left="20" w:right="-53"/>
                            <w:jc w:val="left"/>
                            <w:rPr>
                              <w:rFonts w:hint="default" w:ascii="Microsoft JhengHei" w:hAnsi="Microsoft JhengHei"/>
                              <w:color w:val="000000" w:themeColor="text1"/>
                              <w14:textFill>
                                <w14:solidFill>
                                  <w14:schemeClr w14:val="tx1"/>
                                </w14:solidFill>
                              </w14:textFill>
                            </w:rPr>
                          </w:pPr>
                          <w:r>
                            <w:rPr>
                              <w:rFonts w:hint="default" w:ascii="Microsoft JhengHei" w:hAnsi="Microsoft JhengHei" w:eastAsia="Microsoft JhengHei"/>
                              <w:w w:val="85"/>
                            </w:rPr>
                            <w:t>DB13/</w:t>
                          </w:r>
                          <w:r>
                            <w:rPr>
                              <w:rFonts w:ascii="Microsoft JhengHei" w:hAnsi="Microsoft JhengHei"/>
                              <w:w w:val="85"/>
                            </w:rPr>
                            <w:t xml:space="preserve"> xxxx</w:t>
                          </w:r>
                          <w:r>
                            <w:rPr>
                              <w:rFonts w:hint="default" w:ascii="Microsoft JhengHei" w:hAnsi="Microsoft JhengHei" w:eastAsia="Microsoft JhengHei"/>
                              <w:w w:val="85"/>
                            </w:rPr>
                            <w:t>-</w:t>
                          </w:r>
                          <w:r>
                            <w:rPr>
                              <w:rFonts w:ascii="Microsoft JhengHei" w:hAnsi="Microsoft JhengHei"/>
                              <w:color w:val="000000" w:themeColor="text1"/>
                              <w:w w:val="85"/>
                              <w14:textFill>
                                <w14:solidFill>
                                  <w14:schemeClr w14:val="tx1"/>
                                </w14:solidFill>
                              </w14:textFill>
                            </w:rPr>
                            <w:t>2022</w:t>
                          </w:r>
                        </w:p>
                      </w:txbxContent>
                    </wps:txbx>
                    <wps:bodyPr rot="0" vert="horz" wrap="square" lIns="0" tIns="0" rIns="0" bIns="0" anchor="t" anchorCtr="0" upright="1">
                      <a:noAutofit/>
                    </wps:bodyPr>
                  </wps:wsp>
                </a:graphicData>
              </a:graphic>
            </wp:anchor>
          </w:drawing>
        </mc:Choice>
        <mc:Fallback>
          <w:pict>
            <v:shape id="文本框 1026" o:spid="_x0000_s1026" o:spt="202" type="#_x0000_t202" style="position:absolute;left:0pt;margin-left:451.2pt;margin-top:52.5pt;height:13.15pt;width:85.05pt;mso-position-horizontal-relative:page;mso-position-vertical-relative:page;z-index:-251657216;mso-width-relative:page;mso-height-relative:page;" filled="f" stroked="f" coordsize="21600,21600" o:gfxdata="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KEI0L2gAAAAwBAAAPAAAAAAAA&#10;AAEAIAAAACIAAABkcnMvZG93bnJldi54bWxQSwECFAAUAAAACACHTuJAodpKrxACAAAIBAAADgAA&#10;AAAAAAABACAAAAApAQAAZHJzL2Uyb0RvYy54bWxQSwUGAAAAAAYABgBZAQAAqwUAAAAA&#10;">
              <v:fill on="f" focussize="0,0"/>
              <v:stroke on="f"/>
              <v:imagedata o:title=""/>
              <o:lock v:ext="edit" aspectratio="f"/>
              <v:textbox inset="0mm,0mm,0mm,0mm">
                <w:txbxContent>
                  <w:p>
                    <w:pPr>
                      <w:spacing w:line="255" w:lineRule="exact"/>
                      <w:ind w:left="20" w:right="-53"/>
                      <w:jc w:val="left"/>
                      <w:rPr>
                        <w:rFonts w:hint="default" w:ascii="Microsoft JhengHei" w:hAnsi="Microsoft JhengHei"/>
                        <w:color w:val="000000" w:themeColor="text1"/>
                        <w14:textFill>
                          <w14:solidFill>
                            <w14:schemeClr w14:val="tx1"/>
                          </w14:solidFill>
                        </w14:textFill>
                      </w:rPr>
                    </w:pPr>
                    <w:r>
                      <w:rPr>
                        <w:rFonts w:hint="default" w:ascii="Microsoft JhengHei" w:hAnsi="Microsoft JhengHei" w:eastAsia="Microsoft JhengHei"/>
                        <w:w w:val="85"/>
                      </w:rPr>
                      <w:t>DB13/</w:t>
                    </w:r>
                    <w:r>
                      <w:rPr>
                        <w:rFonts w:ascii="Microsoft JhengHei" w:hAnsi="Microsoft JhengHei"/>
                        <w:w w:val="85"/>
                      </w:rPr>
                      <w:t xml:space="preserve"> xxxx</w:t>
                    </w:r>
                    <w:r>
                      <w:rPr>
                        <w:rFonts w:hint="default" w:ascii="Microsoft JhengHei" w:hAnsi="Microsoft JhengHei" w:eastAsia="Microsoft JhengHei"/>
                        <w:w w:val="85"/>
                      </w:rPr>
                      <w:t>-</w:t>
                    </w:r>
                    <w:r>
                      <w:rPr>
                        <w:rFonts w:ascii="Microsoft JhengHei" w:hAnsi="Microsoft JhengHei"/>
                        <w:color w:val="000000" w:themeColor="text1"/>
                        <w:w w:val="85"/>
                        <w14:textFill>
                          <w14:solidFill>
                            <w14:schemeClr w14:val="tx1"/>
                          </w14:solidFill>
                        </w14:textFill>
                      </w:rPr>
                      <w:t>2022</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r>
      <mc:AlternateContent>
        <mc:Choice Requires="wps">
          <w:drawing>
            <wp:anchor distT="0" distB="0" distL="114300" distR="114300" simplePos="0" relativeHeight="251660288" behindDoc="1" locked="0" layoutInCell="1" allowOverlap="1">
              <wp:simplePos x="0" y="0"/>
              <wp:positionH relativeFrom="page">
                <wp:posOffset>1149985</wp:posOffset>
              </wp:positionH>
              <wp:positionV relativeFrom="page">
                <wp:posOffset>699770</wp:posOffset>
              </wp:positionV>
              <wp:extent cx="1094105" cy="167005"/>
              <wp:effectExtent l="0" t="4445" r="381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94105" cy="167005"/>
                      </a:xfrm>
                      <a:prstGeom prst="rect">
                        <a:avLst/>
                      </a:prstGeom>
                      <a:noFill/>
                      <a:ln>
                        <a:noFill/>
                      </a:ln>
                    </wps:spPr>
                    <wps:txbx>
                      <w:txbxContent>
                        <w:p>
                          <w:pPr>
                            <w:spacing w:line="255" w:lineRule="exact"/>
                            <w:ind w:left="20" w:right="-53"/>
                            <w:jc w:val="left"/>
                            <w:rPr>
                              <w:rFonts w:hint="default" w:ascii="Microsoft JhengHei" w:hAnsi="Microsoft JhengHei"/>
                            </w:rPr>
                          </w:pPr>
                          <w:r>
                            <w:rPr>
                              <w:rFonts w:hint="default" w:ascii="Microsoft JhengHei" w:hAnsi="Microsoft JhengHei" w:eastAsia="Microsoft JhengHei"/>
                              <w:w w:val="85"/>
                            </w:rPr>
                            <w:t>DB13/</w:t>
                          </w:r>
                          <w:r>
                            <w:rPr>
                              <w:rFonts w:ascii="Microsoft JhengHei" w:hAnsi="Microsoft JhengHei"/>
                              <w:w w:val="85"/>
                            </w:rPr>
                            <w:t xml:space="preserve">     </w:t>
                          </w:r>
                          <w:r>
                            <w:rPr>
                              <w:rFonts w:hint="default" w:ascii="Microsoft JhengHei" w:hAnsi="Microsoft JhengHei" w:eastAsia="Microsoft JhengHei"/>
                              <w:w w:val="85"/>
                            </w:rPr>
                            <w:t>-</w:t>
                          </w:r>
                          <w:r>
                            <w:rPr>
                              <w:rFonts w:ascii="Microsoft JhengHei" w:hAnsi="Microsoft JhengHei"/>
                              <w:w w:val="85"/>
                            </w:rPr>
                            <w:t>2022</w:t>
                          </w:r>
                        </w:p>
                      </w:txbxContent>
                    </wps:txbx>
                    <wps:bodyPr rot="0" vert="horz" wrap="square" lIns="0" tIns="0" rIns="0" bIns="0" anchor="t" anchorCtr="0" upright="1">
                      <a:noAutofit/>
                    </wps:bodyPr>
                  </wps:wsp>
                </a:graphicData>
              </a:graphic>
            </wp:anchor>
          </w:drawing>
        </mc:Choice>
        <mc:Fallback>
          <w:pict>
            <v:shape id="文本框 2" o:spid="_x0000_s1026" o:spt="202" type="#_x0000_t202" style="position:absolute;left:0pt;margin-left:90.55pt;margin-top:55.1pt;height:13.15pt;width:86.15pt;mso-position-horizontal-relative:page;mso-position-vertical-relative:page;z-index:-251656192;mso-width-relative:page;mso-height-relative:page;" filled="f" stroked="f" coordsize="21600,21600" o:gfxdata="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mL3KtkAAAALAQAADwAAAAAAAAABACAA&#10;AAAiAAAAZHJzL2Rvd25yZXYueG1sUEsBAhQAFAAAAAgAh07iQKdcOaoMAgAABQQAAA4AAAAAAAAA&#10;AQAgAAAAKAEAAGRycy9lMm9Eb2MueG1sUEsFBgAAAAAGAAYAWQEAAKYFAAAAAA==&#10;">
              <v:fill on="f" focussize="0,0"/>
              <v:stroke on="f"/>
              <v:imagedata o:title=""/>
              <o:lock v:ext="edit" aspectratio="f"/>
              <v:textbox inset="0mm,0mm,0mm,0mm">
                <w:txbxContent>
                  <w:p>
                    <w:pPr>
                      <w:spacing w:line="255" w:lineRule="exact"/>
                      <w:ind w:left="20" w:right="-53"/>
                      <w:jc w:val="left"/>
                      <w:rPr>
                        <w:rFonts w:hint="default" w:ascii="Microsoft JhengHei" w:hAnsi="Microsoft JhengHei"/>
                      </w:rPr>
                    </w:pPr>
                    <w:r>
                      <w:rPr>
                        <w:rFonts w:hint="default" w:ascii="Microsoft JhengHei" w:hAnsi="Microsoft JhengHei" w:eastAsia="Microsoft JhengHei"/>
                        <w:w w:val="85"/>
                      </w:rPr>
                      <w:t>DB13/</w:t>
                    </w:r>
                    <w:r>
                      <w:rPr>
                        <w:rFonts w:ascii="Microsoft JhengHei" w:hAnsi="Microsoft JhengHei"/>
                        <w:w w:val="85"/>
                      </w:rPr>
                      <w:t xml:space="preserve">     </w:t>
                    </w:r>
                    <w:r>
                      <w:rPr>
                        <w:rFonts w:hint="default" w:ascii="Microsoft JhengHei" w:hAnsi="Microsoft JhengHei" w:eastAsia="Microsoft JhengHei"/>
                        <w:w w:val="85"/>
                      </w:rPr>
                      <w:t>-</w:t>
                    </w:r>
                    <w:r>
                      <w:rPr>
                        <w:rFonts w:ascii="Microsoft JhengHei" w:hAnsi="Microsoft JhengHei"/>
                        <w:w w:val="85"/>
                      </w:rPr>
                      <w:t>2022</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evenAndOddHeaders w:val="1"/>
  <w:drawingGridHorizontalSpacing w:val="120"/>
  <w:drawingGridVerticalSpacing w:val="120"/>
  <w:doNotUseMarginsForDrawingGridOrigin w:val="1"/>
  <w:drawingGridHorizontalOrigin w:val="1800"/>
  <w:drawingGridVerticalOrigin w:val="1440"/>
  <w:doNotShadeFormData w:val="1"/>
  <w:noPunctuationKerning w:val="1"/>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MzNkY2Q5YjU5M2E4ZDFkYzRmMTRhZmMyOTVkMTkifQ=="/>
  </w:docVars>
  <w:rsids>
    <w:rsidRoot w:val="00172A27"/>
    <w:rsid w:val="00001037"/>
    <w:rsid w:val="00002F46"/>
    <w:rsid w:val="000038CD"/>
    <w:rsid w:val="000076B8"/>
    <w:rsid w:val="00007EC6"/>
    <w:rsid w:val="000135EA"/>
    <w:rsid w:val="00015286"/>
    <w:rsid w:val="00015722"/>
    <w:rsid w:val="000159C1"/>
    <w:rsid w:val="00020C94"/>
    <w:rsid w:val="00032C01"/>
    <w:rsid w:val="0004313E"/>
    <w:rsid w:val="000455F1"/>
    <w:rsid w:val="00047EFD"/>
    <w:rsid w:val="00050E82"/>
    <w:rsid w:val="00052282"/>
    <w:rsid w:val="00060C1B"/>
    <w:rsid w:val="00061F8F"/>
    <w:rsid w:val="000639CE"/>
    <w:rsid w:val="0007237E"/>
    <w:rsid w:val="00075F7C"/>
    <w:rsid w:val="00080D64"/>
    <w:rsid w:val="00080F81"/>
    <w:rsid w:val="0008626B"/>
    <w:rsid w:val="000A3819"/>
    <w:rsid w:val="000A5209"/>
    <w:rsid w:val="000B0307"/>
    <w:rsid w:val="000B293F"/>
    <w:rsid w:val="000B5B09"/>
    <w:rsid w:val="000C291F"/>
    <w:rsid w:val="000C5ECD"/>
    <w:rsid w:val="000D19BE"/>
    <w:rsid w:val="000D56AC"/>
    <w:rsid w:val="0010210A"/>
    <w:rsid w:val="0011113C"/>
    <w:rsid w:val="00112E02"/>
    <w:rsid w:val="00113078"/>
    <w:rsid w:val="00115B9B"/>
    <w:rsid w:val="00126115"/>
    <w:rsid w:val="00144695"/>
    <w:rsid w:val="001543B0"/>
    <w:rsid w:val="001554FD"/>
    <w:rsid w:val="0016088E"/>
    <w:rsid w:val="0016279D"/>
    <w:rsid w:val="00167167"/>
    <w:rsid w:val="00172A27"/>
    <w:rsid w:val="00183CFC"/>
    <w:rsid w:val="00187D40"/>
    <w:rsid w:val="00192EBA"/>
    <w:rsid w:val="00196AF5"/>
    <w:rsid w:val="001A0567"/>
    <w:rsid w:val="001A2156"/>
    <w:rsid w:val="001A5882"/>
    <w:rsid w:val="001B1FA5"/>
    <w:rsid w:val="001B5189"/>
    <w:rsid w:val="001C1F1B"/>
    <w:rsid w:val="001C305F"/>
    <w:rsid w:val="001C4A2D"/>
    <w:rsid w:val="001C6536"/>
    <w:rsid w:val="001C6BB5"/>
    <w:rsid w:val="001D4CAE"/>
    <w:rsid w:val="001E1EFC"/>
    <w:rsid w:val="001E3A6E"/>
    <w:rsid w:val="001E6326"/>
    <w:rsid w:val="001F0694"/>
    <w:rsid w:val="001F6CB6"/>
    <w:rsid w:val="002030E9"/>
    <w:rsid w:val="00203199"/>
    <w:rsid w:val="0020448E"/>
    <w:rsid w:val="002045DE"/>
    <w:rsid w:val="0020686C"/>
    <w:rsid w:val="00212321"/>
    <w:rsid w:val="00233ADD"/>
    <w:rsid w:val="002425FD"/>
    <w:rsid w:val="00254341"/>
    <w:rsid w:val="002579EF"/>
    <w:rsid w:val="0026787F"/>
    <w:rsid w:val="0027152E"/>
    <w:rsid w:val="00273487"/>
    <w:rsid w:val="00273D2E"/>
    <w:rsid w:val="002830F8"/>
    <w:rsid w:val="00284BAF"/>
    <w:rsid w:val="002A3AD8"/>
    <w:rsid w:val="002A5A8B"/>
    <w:rsid w:val="002A74C5"/>
    <w:rsid w:val="002C492E"/>
    <w:rsid w:val="002D094C"/>
    <w:rsid w:val="002D0978"/>
    <w:rsid w:val="002D7C2A"/>
    <w:rsid w:val="002E3145"/>
    <w:rsid w:val="002F22F2"/>
    <w:rsid w:val="003045B7"/>
    <w:rsid w:val="0031576C"/>
    <w:rsid w:val="00323811"/>
    <w:rsid w:val="00324774"/>
    <w:rsid w:val="00327EB6"/>
    <w:rsid w:val="0035649E"/>
    <w:rsid w:val="00357FBE"/>
    <w:rsid w:val="00380D2F"/>
    <w:rsid w:val="00382996"/>
    <w:rsid w:val="00386AAC"/>
    <w:rsid w:val="00395B4D"/>
    <w:rsid w:val="00397A1D"/>
    <w:rsid w:val="003A40E4"/>
    <w:rsid w:val="003B26EA"/>
    <w:rsid w:val="003C3851"/>
    <w:rsid w:val="003D1720"/>
    <w:rsid w:val="003D6C2D"/>
    <w:rsid w:val="003E32C6"/>
    <w:rsid w:val="003F26FD"/>
    <w:rsid w:val="003F3FB4"/>
    <w:rsid w:val="003F443B"/>
    <w:rsid w:val="003F70FA"/>
    <w:rsid w:val="0042317B"/>
    <w:rsid w:val="004235F2"/>
    <w:rsid w:val="0043426C"/>
    <w:rsid w:val="004359EF"/>
    <w:rsid w:val="004406DD"/>
    <w:rsid w:val="00443AA8"/>
    <w:rsid w:val="00443AC0"/>
    <w:rsid w:val="00447A0D"/>
    <w:rsid w:val="00461104"/>
    <w:rsid w:val="00462990"/>
    <w:rsid w:val="00462E70"/>
    <w:rsid w:val="004677BF"/>
    <w:rsid w:val="00473B74"/>
    <w:rsid w:val="004742FB"/>
    <w:rsid w:val="00481184"/>
    <w:rsid w:val="00484FD8"/>
    <w:rsid w:val="004948DB"/>
    <w:rsid w:val="00494DB0"/>
    <w:rsid w:val="004A36D5"/>
    <w:rsid w:val="004A48EC"/>
    <w:rsid w:val="004C2145"/>
    <w:rsid w:val="004D3604"/>
    <w:rsid w:val="004D4843"/>
    <w:rsid w:val="004D7D9B"/>
    <w:rsid w:val="004E0821"/>
    <w:rsid w:val="0050487E"/>
    <w:rsid w:val="00506CEC"/>
    <w:rsid w:val="00524B0B"/>
    <w:rsid w:val="00532A31"/>
    <w:rsid w:val="00532CDF"/>
    <w:rsid w:val="005400B9"/>
    <w:rsid w:val="00541156"/>
    <w:rsid w:val="005450BF"/>
    <w:rsid w:val="00556FCB"/>
    <w:rsid w:val="00570DFE"/>
    <w:rsid w:val="005717DE"/>
    <w:rsid w:val="005725CA"/>
    <w:rsid w:val="00582450"/>
    <w:rsid w:val="005829E1"/>
    <w:rsid w:val="00594767"/>
    <w:rsid w:val="005A38A7"/>
    <w:rsid w:val="005A3E73"/>
    <w:rsid w:val="005B08E8"/>
    <w:rsid w:val="005B1CB5"/>
    <w:rsid w:val="005D4BEE"/>
    <w:rsid w:val="005D5937"/>
    <w:rsid w:val="005E21AF"/>
    <w:rsid w:val="005E3D69"/>
    <w:rsid w:val="005F137A"/>
    <w:rsid w:val="005F4028"/>
    <w:rsid w:val="006005EB"/>
    <w:rsid w:val="006009C9"/>
    <w:rsid w:val="00600E93"/>
    <w:rsid w:val="00612AF0"/>
    <w:rsid w:val="00613197"/>
    <w:rsid w:val="006133D9"/>
    <w:rsid w:val="00615418"/>
    <w:rsid w:val="00626E1B"/>
    <w:rsid w:val="006315CB"/>
    <w:rsid w:val="00634402"/>
    <w:rsid w:val="0065207B"/>
    <w:rsid w:val="00657E88"/>
    <w:rsid w:val="00660FDE"/>
    <w:rsid w:val="00666C09"/>
    <w:rsid w:val="00677323"/>
    <w:rsid w:val="00680B7F"/>
    <w:rsid w:val="006A0966"/>
    <w:rsid w:val="006A206D"/>
    <w:rsid w:val="006B503C"/>
    <w:rsid w:val="006C12E8"/>
    <w:rsid w:val="006D00C7"/>
    <w:rsid w:val="006D08CA"/>
    <w:rsid w:val="006D3A70"/>
    <w:rsid w:val="006D7409"/>
    <w:rsid w:val="006E2F8E"/>
    <w:rsid w:val="006F073A"/>
    <w:rsid w:val="006F227D"/>
    <w:rsid w:val="00707580"/>
    <w:rsid w:val="00710713"/>
    <w:rsid w:val="00711E4F"/>
    <w:rsid w:val="00737E76"/>
    <w:rsid w:val="00742E20"/>
    <w:rsid w:val="007433B2"/>
    <w:rsid w:val="007440BE"/>
    <w:rsid w:val="0074555F"/>
    <w:rsid w:val="00747A07"/>
    <w:rsid w:val="007522FA"/>
    <w:rsid w:val="00753162"/>
    <w:rsid w:val="0075367B"/>
    <w:rsid w:val="00785498"/>
    <w:rsid w:val="00790729"/>
    <w:rsid w:val="00792D57"/>
    <w:rsid w:val="00792DB2"/>
    <w:rsid w:val="007939C2"/>
    <w:rsid w:val="007A0900"/>
    <w:rsid w:val="007A1695"/>
    <w:rsid w:val="007A3ACF"/>
    <w:rsid w:val="007A44FE"/>
    <w:rsid w:val="007A49E6"/>
    <w:rsid w:val="007B2347"/>
    <w:rsid w:val="007B699A"/>
    <w:rsid w:val="007B74F0"/>
    <w:rsid w:val="007C26A2"/>
    <w:rsid w:val="007C6953"/>
    <w:rsid w:val="007D10F8"/>
    <w:rsid w:val="007E0E58"/>
    <w:rsid w:val="007E4F3F"/>
    <w:rsid w:val="007F1FA7"/>
    <w:rsid w:val="007F2DC5"/>
    <w:rsid w:val="007F3269"/>
    <w:rsid w:val="007F4B13"/>
    <w:rsid w:val="007F5D13"/>
    <w:rsid w:val="00801400"/>
    <w:rsid w:val="00803882"/>
    <w:rsid w:val="008043A8"/>
    <w:rsid w:val="008049B0"/>
    <w:rsid w:val="00805A6B"/>
    <w:rsid w:val="00811551"/>
    <w:rsid w:val="008124D8"/>
    <w:rsid w:val="008276BF"/>
    <w:rsid w:val="00834B3F"/>
    <w:rsid w:val="00844EE6"/>
    <w:rsid w:val="00853E2D"/>
    <w:rsid w:val="0085640B"/>
    <w:rsid w:val="00861B26"/>
    <w:rsid w:val="00867F32"/>
    <w:rsid w:val="00876254"/>
    <w:rsid w:val="00886E90"/>
    <w:rsid w:val="00894267"/>
    <w:rsid w:val="008B1110"/>
    <w:rsid w:val="008B38B5"/>
    <w:rsid w:val="008C5232"/>
    <w:rsid w:val="008D014B"/>
    <w:rsid w:val="008D5184"/>
    <w:rsid w:val="008D6C76"/>
    <w:rsid w:val="008E064B"/>
    <w:rsid w:val="008F2418"/>
    <w:rsid w:val="00906786"/>
    <w:rsid w:val="00906D78"/>
    <w:rsid w:val="00913855"/>
    <w:rsid w:val="00915FC6"/>
    <w:rsid w:val="00922358"/>
    <w:rsid w:val="00930C5E"/>
    <w:rsid w:val="00934F7E"/>
    <w:rsid w:val="009430F6"/>
    <w:rsid w:val="009460EB"/>
    <w:rsid w:val="00963534"/>
    <w:rsid w:val="00971174"/>
    <w:rsid w:val="009764A2"/>
    <w:rsid w:val="00977237"/>
    <w:rsid w:val="009802AD"/>
    <w:rsid w:val="00981EDB"/>
    <w:rsid w:val="00986623"/>
    <w:rsid w:val="00990E9B"/>
    <w:rsid w:val="00992E14"/>
    <w:rsid w:val="00997E9D"/>
    <w:rsid w:val="009A2C4E"/>
    <w:rsid w:val="009A3148"/>
    <w:rsid w:val="009B1CEA"/>
    <w:rsid w:val="009B7185"/>
    <w:rsid w:val="009C1EE8"/>
    <w:rsid w:val="009C7D9E"/>
    <w:rsid w:val="009E12B8"/>
    <w:rsid w:val="009E304D"/>
    <w:rsid w:val="009E6373"/>
    <w:rsid w:val="009F69C3"/>
    <w:rsid w:val="00A05FA8"/>
    <w:rsid w:val="00A06599"/>
    <w:rsid w:val="00A07C80"/>
    <w:rsid w:val="00A153F7"/>
    <w:rsid w:val="00A17DAA"/>
    <w:rsid w:val="00A2194C"/>
    <w:rsid w:val="00A222F6"/>
    <w:rsid w:val="00A304B3"/>
    <w:rsid w:val="00A362B4"/>
    <w:rsid w:val="00A4336C"/>
    <w:rsid w:val="00A44300"/>
    <w:rsid w:val="00A5379F"/>
    <w:rsid w:val="00A55D9B"/>
    <w:rsid w:val="00A561B9"/>
    <w:rsid w:val="00A710B5"/>
    <w:rsid w:val="00A865A0"/>
    <w:rsid w:val="00AB10C2"/>
    <w:rsid w:val="00AB6377"/>
    <w:rsid w:val="00AC6109"/>
    <w:rsid w:val="00AC6BC0"/>
    <w:rsid w:val="00AC784B"/>
    <w:rsid w:val="00AD0309"/>
    <w:rsid w:val="00AD06F2"/>
    <w:rsid w:val="00AE001C"/>
    <w:rsid w:val="00AE182F"/>
    <w:rsid w:val="00AE3037"/>
    <w:rsid w:val="00AE3EC9"/>
    <w:rsid w:val="00AF4881"/>
    <w:rsid w:val="00AF7A13"/>
    <w:rsid w:val="00B027DF"/>
    <w:rsid w:val="00B047B2"/>
    <w:rsid w:val="00B07342"/>
    <w:rsid w:val="00B101E5"/>
    <w:rsid w:val="00B11CF0"/>
    <w:rsid w:val="00B150BA"/>
    <w:rsid w:val="00B2490E"/>
    <w:rsid w:val="00B30509"/>
    <w:rsid w:val="00B44A4C"/>
    <w:rsid w:val="00B45A94"/>
    <w:rsid w:val="00B467A9"/>
    <w:rsid w:val="00B46CD6"/>
    <w:rsid w:val="00B52998"/>
    <w:rsid w:val="00B62ADB"/>
    <w:rsid w:val="00B6596A"/>
    <w:rsid w:val="00B66C25"/>
    <w:rsid w:val="00B705D3"/>
    <w:rsid w:val="00B71190"/>
    <w:rsid w:val="00B74CAF"/>
    <w:rsid w:val="00B76BBA"/>
    <w:rsid w:val="00B83DA2"/>
    <w:rsid w:val="00B87A8B"/>
    <w:rsid w:val="00B87D07"/>
    <w:rsid w:val="00B95B34"/>
    <w:rsid w:val="00BA16B9"/>
    <w:rsid w:val="00BA4408"/>
    <w:rsid w:val="00BA6773"/>
    <w:rsid w:val="00BB7719"/>
    <w:rsid w:val="00BC66F5"/>
    <w:rsid w:val="00BC7559"/>
    <w:rsid w:val="00BD4CD9"/>
    <w:rsid w:val="00BE2B98"/>
    <w:rsid w:val="00BE73E1"/>
    <w:rsid w:val="00BF1CE7"/>
    <w:rsid w:val="00C02AE4"/>
    <w:rsid w:val="00C17D1D"/>
    <w:rsid w:val="00C222AF"/>
    <w:rsid w:val="00C27485"/>
    <w:rsid w:val="00C31A3D"/>
    <w:rsid w:val="00C446DE"/>
    <w:rsid w:val="00C54E09"/>
    <w:rsid w:val="00C60180"/>
    <w:rsid w:val="00C73F00"/>
    <w:rsid w:val="00CA3A18"/>
    <w:rsid w:val="00CA445F"/>
    <w:rsid w:val="00CB6BB4"/>
    <w:rsid w:val="00CB7768"/>
    <w:rsid w:val="00CB7D15"/>
    <w:rsid w:val="00CC1704"/>
    <w:rsid w:val="00CC237B"/>
    <w:rsid w:val="00CC3A2F"/>
    <w:rsid w:val="00CC4B28"/>
    <w:rsid w:val="00CC4D77"/>
    <w:rsid w:val="00CC5F10"/>
    <w:rsid w:val="00CC7122"/>
    <w:rsid w:val="00CD0DD8"/>
    <w:rsid w:val="00CD4972"/>
    <w:rsid w:val="00CE23E3"/>
    <w:rsid w:val="00CF38A8"/>
    <w:rsid w:val="00CF7ECF"/>
    <w:rsid w:val="00D1074F"/>
    <w:rsid w:val="00D15A04"/>
    <w:rsid w:val="00D228D1"/>
    <w:rsid w:val="00D32C01"/>
    <w:rsid w:val="00D3698C"/>
    <w:rsid w:val="00D6157A"/>
    <w:rsid w:val="00D62354"/>
    <w:rsid w:val="00D63D82"/>
    <w:rsid w:val="00D66868"/>
    <w:rsid w:val="00D66915"/>
    <w:rsid w:val="00D67B59"/>
    <w:rsid w:val="00D743B5"/>
    <w:rsid w:val="00D82526"/>
    <w:rsid w:val="00D82D5D"/>
    <w:rsid w:val="00D87B98"/>
    <w:rsid w:val="00D94759"/>
    <w:rsid w:val="00D95AE6"/>
    <w:rsid w:val="00D970DF"/>
    <w:rsid w:val="00DA22F4"/>
    <w:rsid w:val="00DA348D"/>
    <w:rsid w:val="00DA4909"/>
    <w:rsid w:val="00DB13A4"/>
    <w:rsid w:val="00DB4580"/>
    <w:rsid w:val="00DC177A"/>
    <w:rsid w:val="00DC2B74"/>
    <w:rsid w:val="00DC3FFD"/>
    <w:rsid w:val="00DC623F"/>
    <w:rsid w:val="00DD2F3A"/>
    <w:rsid w:val="00DD46BA"/>
    <w:rsid w:val="00DE22D4"/>
    <w:rsid w:val="00DE44D5"/>
    <w:rsid w:val="00DE7303"/>
    <w:rsid w:val="00E024F8"/>
    <w:rsid w:val="00E069E0"/>
    <w:rsid w:val="00E127A5"/>
    <w:rsid w:val="00E15A3C"/>
    <w:rsid w:val="00E16614"/>
    <w:rsid w:val="00E16AC5"/>
    <w:rsid w:val="00E24AAC"/>
    <w:rsid w:val="00E3366E"/>
    <w:rsid w:val="00E531B6"/>
    <w:rsid w:val="00E53381"/>
    <w:rsid w:val="00E6209F"/>
    <w:rsid w:val="00E635EF"/>
    <w:rsid w:val="00E7369D"/>
    <w:rsid w:val="00E753B6"/>
    <w:rsid w:val="00E830FD"/>
    <w:rsid w:val="00E831BB"/>
    <w:rsid w:val="00E85B06"/>
    <w:rsid w:val="00E90DF4"/>
    <w:rsid w:val="00EA0620"/>
    <w:rsid w:val="00EA0B2E"/>
    <w:rsid w:val="00EA488B"/>
    <w:rsid w:val="00EB5F7A"/>
    <w:rsid w:val="00EC32D6"/>
    <w:rsid w:val="00EE00E0"/>
    <w:rsid w:val="00EE2CD3"/>
    <w:rsid w:val="00EE6CB6"/>
    <w:rsid w:val="00EF0075"/>
    <w:rsid w:val="00EF420E"/>
    <w:rsid w:val="00EF497F"/>
    <w:rsid w:val="00F01B32"/>
    <w:rsid w:val="00F0420D"/>
    <w:rsid w:val="00F050D0"/>
    <w:rsid w:val="00F0610C"/>
    <w:rsid w:val="00F07AF5"/>
    <w:rsid w:val="00F13CB0"/>
    <w:rsid w:val="00F16779"/>
    <w:rsid w:val="00F178AC"/>
    <w:rsid w:val="00F23F54"/>
    <w:rsid w:val="00F24217"/>
    <w:rsid w:val="00F276EB"/>
    <w:rsid w:val="00F301ED"/>
    <w:rsid w:val="00F31E6F"/>
    <w:rsid w:val="00F403CA"/>
    <w:rsid w:val="00F41299"/>
    <w:rsid w:val="00F42417"/>
    <w:rsid w:val="00F61640"/>
    <w:rsid w:val="00F67612"/>
    <w:rsid w:val="00F8588B"/>
    <w:rsid w:val="00F87DE4"/>
    <w:rsid w:val="00F90B49"/>
    <w:rsid w:val="00F9126D"/>
    <w:rsid w:val="00FA2854"/>
    <w:rsid w:val="00FA6A65"/>
    <w:rsid w:val="00FA7E05"/>
    <w:rsid w:val="00FB6581"/>
    <w:rsid w:val="00FD78E9"/>
    <w:rsid w:val="00FE48A6"/>
    <w:rsid w:val="00FF270C"/>
    <w:rsid w:val="00FF3405"/>
    <w:rsid w:val="00FF65CB"/>
    <w:rsid w:val="00FF729A"/>
    <w:rsid w:val="01085F0E"/>
    <w:rsid w:val="01224F04"/>
    <w:rsid w:val="0123584C"/>
    <w:rsid w:val="012713F4"/>
    <w:rsid w:val="015C7F36"/>
    <w:rsid w:val="01894492"/>
    <w:rsid w:val="01904525"/>
    <w:rsid w:val="019C4363"/>
    <w:rsid w:val="01FE4FAB"/>
    <w:rsid w:val="02143157"/>
    <w:rsid w:val="022961F2"/>
    <w:rsid w:val="02463846"/>
    <w:rsid w:val="02BC7D06"/>
    <w:rsid w:val="02BE4668"/>
    <w:rsid w:val="03333B89"/>
    <w:rsid w:val="0341020B"/>
    <w:rsid w:val="0352341D"/>
    <w:rsid w:val="03792864"/>
    <w:rsid w:val="03894064"/>
    <w:rsid w:val="0391596B"/>
    <w:rsid w:val="03AC1B29"/>
    <w:rsid w:val="03DC4C74"/>
    <w:rsid w:val="03E57A27"/>
    <w:rsid w:val="040A4AA1"/>
    <w:rsid w:val="043B6033"/>
    <w:rsid w:val="04473600"/>
    <w:rsid w:val="04623E3F"/>
    <w:rsid w:val="046666F4"/>
    <w:rsid w:val="04667D5E"/>
    <w:rsid w:val="04780FD7"/>
    <w:rsid w:val="04910D1F"/>
    <w:rsid w:val="049722AB"/>
    <w:rsid w:val="04BC1795"/>
    <w:rsid w:val="051F215F"/>
    <w:rsid w:val="05367928"/>
    <w:rsid w:val="0543026B"/>
    <w:rsid w:val="054F4EDB"/>
    <w:rsid w:val="05897354"/>
    <w:rsid w:val="058F1FAB"/>
    <w:rsid w:val="05C73C10"/>
    <w:rsid w:val="05D35821"/>
    <w:rsid w:val="05D37841"/>
    <w:rsid w:val="05D46E29"/>
    <w:rsid w:val="05DE7F94"/>
    <w:rsid w:val="0647155F"/>
    <w:rsid w:val="06597282"/>
    <w:rsid w:val="065F67EE"/>
    <w:rsid w:val="066E3AD1"/>
    <w:rsid w:val="06DF1583"/>
    <w:rsid w:val="07004637"/>
    <w:rsid w:val="07031372"/>
    <w:rsid w:val="071505D1"/>
    <w:rsid w:val="072E0163"/>
    <w:rsid w:val="073F0AA0"/>
    <w:rsid w:val="07904F63"/>
    <w:rsid w:val="07AF068E"/>
    <w:rsid w:val="07EC308B"/>
    <w:rsid w:val="07FA3589"/>
    <w:rsid w:val="07FB321F"/>
    <w:rsid w:val="08492175"/>
    <w:rsid w:val="08C51D1B"/>
    <w:rsid w:val="08D51B22"/>
    <w:rsid w:val="090715AF"/>
    <w:rsid w:val="09175C96"/>
    <w:rsid w:val="0926237D"/>
    <w:rsid w:val="09286D01"/>
    <w:rsid w:val="096B491A"/>
    <w:rsid w:val="09741BF2"/>
    <w:rsid w:val="097F6D34"/>
    <w:rsid w:val="099F1B2C"/>
    <w:rsid w:val="09C31E0C"/>
    <w:rsid w:val="0A282BC8"/>
    <w:rsid w:val="0A73299E"/>
    <w:rsid w:val="0A7A49BE"/>
    <w:rsid w:val="0A8E7F9F"/>
    <w:rsid w:val="0A953142"/>
    <w:rsid w:val="0AA12CDE"/>
    <w:rsid w:val="0AAB35D0"/>
    <w:rsid w:val="0B200D91"/>
    <w:rsid w:val="0B34528F"/>
    <w:rsid w:val="0B44626A"/>
    <w:rsid w:val="0B481C5F"/>
    <w:rsid w:val="0B8344FA"/>
    <w:rsid w:val="0BBB303D"/>
    <w:rsid w:val="0BE73EE6"/>
    <w:rsid w:val="0BF92918"/>
    <w:rsid w:val="0C120997"/>
    <w:rsid w:val="0C7D6246"/>
    <w:rsid w:val="0C896682"/>
    <w:rsid w:val="0C9615C8"/>
    <w:rsid w:val="0CFF5F16"/>
    <w:rsid w:val="0D007E76"/>
    <w:rsid w:val="0D1A203A"/>
    <w:rsid w:val="0D2658A2"/>
    <w:rsid w:val="0D490918"/>
    <w:rsid w:val="0D682564"/>
    <w:rsid w:val="0D9057B2"/>
    <w:rsid w:val="0DE51F4B"/>
    <w:rsid w:val="0E0A15BF"/>
    <w:rsid w:val="0E2A1C4C"/>
    <w:rsid w:val="0E63372C"/>
    <w:rsid w:val="0E8B4F88"/>
    <w:rsid w:val="0E9E29B6"/>
    <w:rsid w:val="0EFF7C94"/>
    <w:rsid w:val="0F526FC5"/>
    <w:rsid w:val="0F806853"/>
    <w:rsid w:val="0FA92028"/>
    <w:rsid w:val="0FC14BAE"/>
    <w:rsid w:val="0FD53E17"/>
    <w:rsid w:val="0FD53E86"/>
    <w:rsid w:val="0FF1461B"/>
    <w:rsid w:val="10094774"/>
    <w:rsid w:val="10521E36"/>
    <w:rsid w:val="107E7E0F"/>
    <w:rsid w:val="10994EC9"/>
    <w:rsid w:val="10BB1FA8"/>
    <w:rsid w:val="10EA1EE2"/>
    <w:rsid w:val="10FD6B23"/>
    <w:rsid w:val="10FF6E3B"/>
    <w:rsid w:val="11157371"/>
    <w:rsid w:val="113A33C7"/>
    <w:rsid w:val="116D6D40"/>
    <w:rsid w:val="118F1F5E"/>
    <w:rsid w:val="11A84015"/>
    <w:rsid w:val="11DD13E7"/>
    <w:rsid w:val="121E12EA"/>
    <w:rsid w:val="12335F3C"/>
    <w:rsid w:val="12695089"/>
    <w:rsid w:val="127A31E0"/>
    <w:rsid w:val="12802B6B"/>
    <w:rsid w:val="12893182"/>
    <w:rsid w:val="12A27C7E"/>
    <w:rsid w:val="12D74CF9"/>
    <w:rsid w:val="134A2234"/>
    <w:rsid w:val="136518B8"/>
    <w:rsid w:val="13694156"/>
    <w:rsid w:val="13A740BB"/>
    <w:rsid w:val="13AE3DA0"/>
    <w:rsid w:val="14212208"/>
    <w:rsid w:val="14213E6D"/>
    <w:rsid w:val="142B02F3"/>
    <w:rsid w:val="144018BF"/>
    <w:rsid w:val="14426ABB"/>
    <w:rsid w:val="1443390C"/>
    <w:rsid w:val="14683062"/>
    <w:rsid w:val="14770FD6"/>
    <w:rsid w:val="14CD0E37"/>
    <w:rsid w:val="14CD7179"/>
    <w:rsid w:val="14CE3F1D"/>
    <w:rsid w:val="152A5E53"/>
    <w:rsid w:val="152F114F"/>
    <w:rsid w:val="154B5AD2"/>
    <w:rsid w:val="156D6A36"/>
    <w:rsid w:val="15AB0EB5"/>
    <w:rsid w:val="15B8561D"/>
    <w:rsid w:val="15BC252B"/>
    <w:rsid w:val="16135A37"/>
    <w:rsid w:val="16243300"/>
    <w:rsid w:val="16563A01"/>
    <w:rsid w:val="166C2391"/>
    <w:rsid w:val="16895CFA"/>
    <w:rsid w:val="168E3310"/>
    <w:rsid w:val="16917DF9"/>
    <w:rsid w:val="1692330D"/>
    <w:rsid w:val="169F478E"/>
    <w:rsid w:val="16A74C6D"/>
    <w:rsid w:val="16BC445C"/>
    <w:rsid w:val="16EF3DAF"/>
    <w:rsid w:val="171B58ED"/>
    <w:rsid w:val="17204E32"/>
    <w:rsid w:val="172854F4"/>
    <w:rsid w:val="17485C55"/>
    <w:rsid w:val="174E6FE2"/>
    <w:rsid w:val="17824C23"/>
    <w:rsid w:val="17E37964"/>
    <w:rsid w:val="180F2190"/>
    <w:rsid w:val="181E5B0F"/>
    <w:rsid w:val="183A21D1"/>
    <w:rsid w:val="183B3351"/>
    <w:rsid w:val="18461555"/>
    <w:rsid w:val="184D3FD0"/>
    <w:rsid w:val="185C493C"/>
    <w:rsid w:val="187A3B4C"/>
    <w:rsid w:val="188F0958"/>
    <w:rsid w:val="18B557B0"/>
    <w:rsid w:val="19110958"/>
    <w:rsid w:val="194B0BAC"/>
    <w:rsid w:val="19597C05"/>
    <w:rsid w:val="197F507D"/>
    <w:rsid w:val="198E0F2D"/>
    <w:rsid w:val="19FB1DAA"/>
    <w:rsid w:val="19FF01CB"/>
    <w:rsid w:val="1A057B4D"/>
    <w:rsid w:val="1A06498D"/>
    <w:rsid w:val="1A293505"/>
    <w:rsid w:val="1A3E7997"/>
    <w:rsid w:val="1A534654"/>
    <w:rsid w:val="1A567515"/>
    <w:rsid w:val="1AA27949"/>
    <w:rsid w:val="1B012302"/>
    <w:rsid w:val="1B0B7E00"/>
    <w:rsid w:val="1B141FB9"/>
    <w:rsid w:val="1B2E01CA"/>
    <w:rsid w:val="1B353A94"/>
    <w:rsid w:val="1B391570"/>
    <w:rsid w:val="1B5D61F4"/>
    <w:rsid w:val="1B6E6522"/>
    <w:rsid w:val="1BB514C0"/>
    <w:rsid w:val="1BBB2D19"/>
    <w:rsid w:val="1BD70170"/>
    <w:rsid w:val="1BE76BC6"/>
    <w:rsid w:val="1C093B64"/>
    <w:rsid w:val="1C0B07F6"/>
    <w:rsid w:val="1C0B434A"/>
    <w:rsid w:val="1C1442B7"/>
    <w:rsid w:val="1C224D2E"/>
    <w:rsid w:val="1C7A236C"/>
    <w:rsid w:val="1C8876D2"/>
    <w:rsid w:val="1C9C36AC"/>
    <w:rsid w:val="1CEE5294"/>
    <w:rsid w:val="1CFD26DA"/>
    <w:rsid w:val="1CFE2A48"/>
    <w:rsid w:val="1D1F3AD3"/>
    <w:rsid w:val="1D564B29"/>
    <w:rsid w:val="1D6E79F7"/>
    <w:rsid w:val="1D74271C"/>
    <w:rsid w:val="1D923B73"/>
    <w:rsid w:val="1D9C1C99"/>
    <w:rsid w:val="1DB6753A"/>
    <w:rsid w:val="1DD0447E"/>
    <w:rsid w:val="1DDD5720"/>
    <w:rsid w:val="1DE9463C"/>
    <w:rsid w:val="1E0315B2"/>
    <w:rsid w:val="1E0932D4"/>
    <w:rsid w:val="1E1742B4"/>
    <w:rsid w:val="1E3B62B8"/>
    <w:rsid w:val="1E44321E"/>
    <w:rsid w:val="1E517DA2"/>
    <w:rsid w:val="1E59791D"/>
    <w:rsid w:val="1EB86920"/>
    <w:rsid w:val="1EF27F08"/>
    <w:rsid w:val="1F176FAC"/>
    <w:rsid w:val="1F1D5ED7"/>
    <w:rsid w:val="1F6D6C0A"/>
    <w:rsid w:val="1F7C71B6"/>
    <w:rsid w:val="1FA246AC"/>
    <w:rsid w:val="1FA9162B"/>
    <w:rsid w:val="1FC1161D"/>
    <w:rsid w:val="1FE45AE0"/>
    <w:rsid w:val="1FF658F5"/>
    <w:rsid w:val="20125B9D"/>
    <w:rsid w:val="20286146"/>
    <w:rsid w:val="20451C9A"/>
    <w:rsid w:val="20487F5A"/>
    <w:rsid w:val="205A49C0"/>
    <w:rsid w:val="207A372D"/>
    <w:rsid w:val="208F0A5B"/>
    <w:rsid w:val="20A949B3"/>
    <w:rsid w:val="20C04549"/>
    <w:rsid w:val="20DD7896"/>
    <w:rsid w:val="210D6CE3"/>
    <w:rsid w:val="211C7E96"/>
    <w:rsid w:val="21372C78"/>
    <w:rsid w:val="21435ADF"/>
    <w:rsid w:val="215C64E4"/>
    <w:rsid w:val="21B37E6D"/>
    <w:rsid w:val="21D343D6"/>
    <w:rsid w:val="21F150A3"/>
    <w:rsid w:val="21F3513D"/>
    <w:rsid w:val="21F66939"/>
    <w:rsid w:val="21FB6D07"/>
    <w:rsid w:val="22093074"/>
    <w:rsid w:val="220B7F0B"/>
    <w:rsid w:val="220F2FA0"/>
    <w:rsid w:val="22512103"/>
    <w:rsid w:val="225615FE"/>
    <w:rsid w:val="22651ACE"/>
    <w:rsid w:val="226E61FF"/>
    <w:rsid w:val="22777AF7"/>
    <w:rsid w:val="227B1B34"/>
    <w:rsid w:val="22EB2753"/>
    <w:rsid w:val="22FD4865"/>
    <w:rsid w:val="234B19E1"/>
    <w:rsid w:val="23803177"/>
    <w:rsid w:val="239F627A"/>
    <w:rsid w:val="23AA6240"/>
    <w:rsid w:val="23AB51AB"/>
    <w:rsid w:val="23D315F0"/>
    <w:rsid w:val="23D51059"/>
    <w:rsid w:val="23DE07D1"/>
    <w:rsid w:val="23E9602A"/>
    <w:rsid w:val="23F82895"/>
    <w:rsid w:val="241035B6"/>
    <w:rsid w:val="241C20AB"/>
    <w:rsid w:val="24335B6F"/>
    <w:rsid w:val="244F4DCE"/>
    <w:rsid w:val="245264CB"/>
    <w:rsid w:val="24573E4C"/>
    <w:rsid w:val="24B605F3"/>
    <w:rsid w:val="24DE697A"/>
    <w:rsid w:val="25104831"/>
    <w:rsid w:val="253004A6"/>
    <w:rsid w:val="25B91C2D"/>
    <w:rsid w:val="25F907D3"/>
    <w:rsid w:val="26286C7C"/>
    <w:rsid w:val="26323CB8"/>
    <w:rsid w:val="263F01CE"/>
    <w:rsid w:val="26422767"/>
    <w:rsid w:val="265B635F"/>
    <w:rsid w:val="267A60FC"/>
    <w:rsid w:val="269229A8"/>
    <w:rsid w:val="26AE0DBD"/>
    <w:rsid w:val="2711497A"/>
    <w:rsid w:val="2723487F"/>
    <w:rsid w:val="27723A43"/>
    <w:rsid w:val="27981E46"/>
    <w:rsid w:val="27C25D59"/>
    <w:rsid w:val="27C94223"/>
    <w:rsid w:val="27FE5D96"/>
    <w:rsid w:val="283878C2"/>
    <w:rsid w:val="28407999"/>
    <w:rsid w:val="286B30FE"/>
    <w:rsid w:val="28926659"/>
    <w:rsid w:val="289B03A0"/>
    <w:rsid w:val="28E10889"/>
    <w:rsid w:val="29017326"/>
    <w:rsid w:val="29120ED9"/>
    <w:rsid w:val="29122FDC"/>
    <w:rsid w:val="297F36EE"/>
    <w:rsid w:val="298E4D5C"/>
    <w:rsid w:val="29A575AE"/>
    <w:rsid w:val="29AA34EF"/>
    <w:rsid w:val="29C54E43"/>
    <w:rsid w:val="29DD03DE"/>
    <w:rsid w:val="29FA5430"/>
    <w:rsid w:val="2A763DF5"/>
    <w:rsid w:val="2A7B4014"/>
    <w:rsid w:val="2A825CFD"/>
    <w:rsid w:val="2AA26F69"/>
    <w:rsid w:val="2AA708EA"/>
    <w:rsid w:val="2ACC5AD0"/>
    <w:rsid w:val="2AD34DF3"/>
    <w:rsid w:val="2AE07284"/>
    <w:rsid w:val="2AE213D9"/>
    <w:rsid w:val="2AEA42A2"/>
    <w:rsid w:val="2AF113B5"/>
    <w:rsid w:val="2AFE03CB"/>
    <w:rsid w:val="2B053749"/>
    <w:rsid w:val="2B1219C2"/>
    <w:rsid w:val="2B451D33"/>
    <w:rsid w:val="2B494B54"/>
    <w:rsid w:val="2B503EE9"/>
    <w:rsid w:val="2C215E14"/>
    <w:rsid w:val="2C496F5D"/>
    <w:rsid w:val="2C812C78"/>
    <w:rsid w:val="2CCA6C88"/>
    <w:rsid w:val="2D144117"/>
    <w:rsid w:val="2D5575B8"/>
    <w:rsid w:val="2D7056CB"/>
    <w:rsid w:val="2D7F7443"/>
    <w:rsid w:val="2D8A0707"/>
    <w:rsid w:val="2DC84F02"/>
    <w:rsid w:val="2DF24A54"/>
    <w:rsid w:val="2E0C1555"/>
    <w:rsid w:val="2E0F02DD"/>
    <w:rsid w:val="2E27236A"/>
    <w:rsid w:val="2E3452DF"/>
    <w:rsid w:val="2E3B02C3"/>
    <w:rsid w:val="2E3B0FE4"/>
    <w:rsid w:val="2E61467A"/>
    <w:rsid w:val="2E764F15"/>
    <w:rsid w:val="2EAD0B50"/>
    <w:rsid w:val="2F0432AC"/>
    <w:rsid w:val="2F1D4921"/>
    <w:rsid w:val="2F3C025B"/>
    <w:rsid w:val="2F4830D6"/>
    <w:rsid w:val="2F677755"/>
    <w:rsid w:val="2F69722B"/>
    <w:rsid w:val="2FAD247A"/>
    <w:rsid w:val="2FB670B0"/>
    <w:rsid w:val="2FDB58CB"/>
    <w:rsid w:val="2FEE17E3"/>
    <w:rsid w:val="30445969"/>
    <w:rsid w:val="306302BF"/>
    <w:rsid w:val="30A9607F"/>
    <w:rsid w:val="30DD0CC4"/>
    <w:rsid w:val="30E90BF6"/>
    <w:rsid w:val="30FF4C26"/>
    <w:rsid w:val="31070ABD"/>
    <w:rsid w:val="314C43EF"/>
    <w:rsid w:val="316816FA"/>
    <w:rsid w:val="318850D4"/>
    <w:rsid w:val="318904BF"/>
    <w:rsid w:val="31994BEB"/>
    <w:rsid w:val="31B95191"/>
    <w:rsid w:val="31C91AF0"/>
    <w:rsid w:val="31D30804"/>
    <w:rsid w:val="31E06C60"/>
    <w:rsid w:val="31EC619B"/>
    <w:rsid w:val="321F1129"/>
    <w:rsid w:val="32264A0A"/>
    <w:rsid w:val="32382152"/>
    <w:rsid w:val="327162AD"/>
    <w:rsid w:val="329B1C92"/>
    <w:rsid w:val="32F24425"/>
    <w:rsid w:val="330E785B"/>
    <w:rsid w:val="33151A45"/>
    <w:rsid w:val="331C225A"/>
    <w:rsid w:val="332874AD"/>
    <w:rsid w:val="333E4328"/>
    <w:rsid w:val="33883169"/>
    <w:rsid w:val="33B92DCA"/>
    <w:rsid w:val="33C53455"/>
    <w:rsid w:val="344829D1"/>
    <w:rsid w:val="344933C9"/>
    <w:rsid w:val="34513553"/>
    <w:rsid w:val="345741A7"/>
    <w:rsid w:val="348B5DC7"/>
    <w:rsid w:val="34A43DEB"/>
    <w:rsid w:val="34A81F80"/>
    <w:rsid w:val="34D249BE"/>
    <w:rsid w:val="34F95FDE"/>
    <w:rsid w:val="34FA1E45"/>
    <w:rsid w:val="351836F2"/>
    <w:rsid w:val="35890E75"/>
    <w:rsid w:val="359A53D6"/>
    <w:rsid w:val="35B0561A"/>
    <w:rsid w:val="35C83CF1"/>
    <w:rsid w:val="35D42696"/>
    <w:rsid w:val="3611254C"/>
    <w:rsid w:val="36917737"/>
    <w:rsid w:val="369B31B3"/>
    <w:rsid w:val="36D81DE8"/>
    <w:rsid w:val="36E25908"/>
    <w:rsid w:val="36EF5599"/>
    <w:rsid w:val="37011057"/>
    <w:rsid w:val="37083255"/>
    <w:rsid w:val="37D6709E"/>
    <w:rsid w:val="37EA5604"/>
    <w:rsid w:val="37F43A05"/>
    <w:rsid w:val="37FE16F9"/>
    <w:rsid w:val="387655E6"/>
    <w:rsid w:val="38B21FEE"/>
    <w:rsid w:val="38C50120"/>
    <w:rsid w:val="38EC222B"/>
    <w:rsid w:val="390949DB"/>
    <w:rsid w:val="394E5212"/>
    <w:rsid w:val="39800AEC"/>
    <w:rsid w:val="399A7F8D"/>
    <w:rsid w:val="399C171C"/>
    <w:rsid w:val="39A433CD"/>
    <w:rsid w:val="39B92931"/>
    <w:rsid w:val="39BE1F2A"/>
    <w:rsid w:val="39BE46B5"/>
    <w:rsid w:val="39BF2D7F"/>
    <w:rsid w:val="39DE1050"/>
    <w:rsid w:val="39EC72E4"/>
    <w:rsid w:val="3A013C75"/>
    <w:rsid w:val="3A3048E8"/>
    <w:rsid w:val="3A3053C1"/>
    <w:rsid w:val="3A3F7664"/>
    <w:rsid w:val="3A464E60"/>
    <w:rsid w:val="3A856BEB"/>
    <w:rsid w:val="3AE91579"/>
    <w:rsid w:val="3AEF3CE0"/>
    <w:rsid w:val="3B082DE1"/>
    <w:rsid w:val="3B2D45F6"/>
    <w:rsid w:val="3B404BDA"/>
    <w:rsid w:val="3B485DC6"/>
    <w:rsid w:val="3B7542B9"/>
    <w:rsid w:val="3B88451C"/>
    <w:rsid w:val="3B892174"/>
    <w:rsid w:val="3B9231CB"/>
    <w:rsid w:val="3B946CD8"/>
    <w:rsid w:val="3BB14E0A"/>
    <w:rsid w:val="3BB33C54"/>
    <w:rsid w:val="3BB865B6"/>
    <w:rsid w:val="3BC913BB"/>
    <w:rsid w:val="3BE73194"/>
    <w:rsid w:val="3BED099C"/>
    <w:rsid w:val="3C146324"/>
    <w:rsid w:val="3C183703"/>
    <w:rsid w:val="3C1A2241"/>
    <w:rsid w:val="3C484E1F"/>
    <w:rsid w:val="3C5A3112"/>
    <w:rsid w:val="3C632916"/>
    <w:rsid w:val="3C84078D"/>
    <w:rsid w:val="3CE82ECA"/>
    <w:rsid w:val="3CE9581E"/>
    <w:rsid w:val="3CFE364A"/>
    <w:rsid w:val="3DED7E10"/>
    <w:rsid w:val="3DF82B60"/>
    <w:rsid w:val="3DFE600A"/>
    <w:rsid w:val="3E4D1237"/>
    <w:rsid w:val="3E4F6B06"/>
    <w:rsid w:val="3E931C13"/>
    <w:rsid w:val="3E974CF5"/>
    <w:rsid w:val="3EA642DC"/>
    <w:rsid w:val="3EAE3EDF"/>
    <w:rsid w:val="3ECC24EB"/>
    <w:rsid w:val="3EDC3E4B"/>
    <w:rsid w:val="3F013667"/>
    <w:rsid w:val="3F546E90"/>
    <w:rsid w:val="3F675129"/>
    <w:rsid w:val="3F927CCD"/>
    <w:rsid w:val="3FA71BB5"/>
    <w:rsid w:val="3FB10C0A"/>
    <w:rsid w:val="3FB674FB"/>
    <w:rsid w:val="3FC82569"/>
    <w:rsid w:val="3FED0A5A"/>
    <w:rsid w:val="3FF252B8"/>
    <w:rsid w:val="401D76F3"/>
    <w:rsid w:val="40215813"/>
    <w:rsid w:val="404B6EE3"/>
    <w:rsid w:val="40644F5E"/>
    <w:rsid w:val="40760A96"/>
    <w:rsid w:val="407B73DA"/>
    <w:rsid w:val="407F6228"/>
    <w:rsid w:val="409018AF"/>
    <w:rsid w:val="409A36FF"/>
    <w:rsid w:val="411A4727"/>
    <w:rsid w:val="419571B1"/>
    <w:rsid w:val="41BB6D38"/>
    <w:rsid w:val="41DD28D2"/>
    <w:rsid w:val="422E0FE4"/>
    <w:rsid w:val="426779F8"/>
    <w:rsid w:val="426E3423"/>
    <w:rsid w:val="428745B9"/>
    <w:rsid w:val="42B40431"/>
    <w:rsid w:val="42E82285"/>
    <w:rsid w:val="42E843C1"/>
    <w:rsid w:val="42EA174A"/>
    <w:rsid w:val="42FF46C0"/>
    <w:rsid w:val="43556CA1"/>
    <w:rsid w:val="436C0555"/>
    <w:rsid w:val="43916164"/>
    <w:rsid w:val="43C967C1"/>
    <w:rsid w:val="43DB1093"/>
    <w:rsid w:val="43FC035A"/>
    <w:rsid w:val="44103433"/>
    <w:rsid w:val="44256314"/>
    <w:rsid w:val="44466E54"/>
    <w:rsid w:val="448061F3"/>
    <w:rsid w:val="448D38FA"/>
    <w:rsid w:val="44CE3CCA"/>
    <w:rsid w:val="44D206E8"/>
    <w:rsid w:val="44EC4AEC"/>
    <w:rsid w:val="44F33334"/>
    <w:rsid w:val="45147445"/>
    <w:rsid w:val="4531392A"/>
    <w:rsid w:val="45361EC8"/>
    <w:rsid w:val="454D7C42"/>
    <w:rsid w:val="457753D1"/>
    <w:rsid w:val="459B56C5"/>
    <w:rsid w:val="45D06BE2"/>
    <w:rsid w:val="45ED5539"/>
    <w:rsid w:val="45EE1552"/>
    <w:rsid w:val="4609638B"/>
    <w:rsid w:val="46693F66"/>
    <w:rsid w:val="4691330C"/>
    <w:rsid w:val="46A2512C"/>
    <w:rsid w:val="46A75AF4"/>
    <w:rsid w:val="46A9338E"/>
    <w:rsid w:val="46E63B29"/>
    <w:rsid w:val="46E91D19"/>
    <w:rsid w:val="47160842"/>
    <w:rsid w:val="472A46E5"/>
    <w:rsid w:val="472F0F51"/>
    <w:rsid w:val="474A34C5"/>
    <w:rsid w:val="474F7B4D"/>
    <w:rsid w:val="476C2BCB"/>
    <w:rsid w:val="479C5074"/>
    <w:rsid w:val="47B17CD9"/>
    <w:rsid w:val="47CB015E"/>
    <w:rsid w:val="47CB0A33"/>
    <w:rsid w:val="47DA0270"/>
    <w:rsid w:val="47E8326C"/>
    <w:rsid w:val="48156BB8"/>
    <w:rsid w:val="481D241F"/>
    <w:rsid w:val="48440B68"/>
    <w:rsid w:val="486509B5"/>
    <w:rsid w:val="48A3770F"/>
    <w:rsid w:val="48B63E7D"/>
    <w:rsid w:val="48E722C0"/>
    <w:rsid w:val="49865A95"/>
    <w:rsid w:val="49BC5FFD"/>
    <w:rsid w:val="49CF3BD9"/>
    <w:rsid w:val="49FD1DE0"/>
    <w:rsid w:val="4A183041"/>
    <w:rsid w:val="4A8F3996"/>
    <w:rsid w:val="4AA131A4"/>
    <w:rsid w:val="4ABA1C9A"/>
    <w:rsid w:val="4AC12232"/>
    <w:rsid w:val="4AFA05B9"/>
    <w:rsid w:val="4AFF20B1"/>
    <w:rsid w:val="4B17247C"/>
    <w:rsid w:val="4B473779"/>
    <w:rsid w:val="4B6620EF"/>
    <w:rsid w:val="4B6D1C21"/>
    <w:rsid w:val="4B7416F8"/>
    <w:rsid w:val="4B754380"/>
    <w:rsid w:val="4B792611"/>
    <w:rsid w:val="4BF34FE7"/>
    <w:rsid w:val="4BF70836"/>
    <w:rsid w:val="4BFD41B8"/>
    <w:rsid w:val="4C4576CC"/>
    <w:rsid w:val="4C663E24"/>
    <w:rsid w:val="4C67679A"/>
    <w:rsid w:val="4C86044E"/>
    <w:rsid w:val="4C9A01D2"/>
    <w:rsid w:val="4C9B1D07"/>
    <w:rsid w:val="4CE8387C"/>
    <w:rsid w:val="4CFB4471"/>
    <w:rsid w:val="4D3D79FE"/>
    <w:rsid w:val="4D9B5122"/>
    <w:rsid w:val="4DBA61BD"/>
    <w:rsid w:val="4DD06923"/>
    <w:rsid w:val="4E1C252D"/>
    <w:rsid w:val="4E1D1CBB"/>
    <w:rsid w:val="4E236C06"/>
    <w:rsid w:val="4E3A058F"/>
    <w:rsid w:val="4E42314D"/>
    <w:rsid w:val="4E5A32C9"/>
    <w:rsid w:val="4E7B0DCB"/>
    <w:rsid w:val="4E8E3D4F"/>
    <w:rsid w:val="4EB754CA"/>
    <w:rsid w:val="4EE72FE2"/>
    <w:rsid w:val="4EF61A6A"/>
    <w:rsid w:val="4EFB16F8"/>
    <w:rsid w:val="4F031368"/>
    <w:rsid w:val="4F1558EA"/>
    <w:rsid w:val="4F1B2C8C"/>
    <w:rsid w:val="4F275969"/>
    <w:rsid w:val="4F3E4E5B"/>
    <w:rsid w:val="4F5A1A06"/>
    <w:rsid w:val="4F74488F"/>
    <w:rsid w:val="4F7853EE"/>
    <w:rsid w:val="4F9F794D"/>
    <w:rsid w:val="4FF2017F"/>
    <w:rsid w:val="50147E11"/>
    <w:rsid w:val="50252724"/>
    <w:rsid w:val="50292683"/>
    <w:rsid w:val="502F2E92"/>
    <w:rsid w:val="505B432E"/>
    <w:rsid w:val="506B7C43"/>
    <w:rsid w:val="50B06593"/>
    <w:rsid w:val="50D464B8"/>
    <w:rsid w:val="50F9524E"/>
    <w:rsid w:val="51123B4A"/>
    <w:rsid w:val="51571A5C"/>
    <w:rsid w:val="51705511"/>
    <w:rsid w:val="518514D3"/>
    <w:rsid w:val="51922560"/>
    <w:rsid w:val="51962884"/>
    <w:rsid w:val="51BC6105"/>
    <w:rsid w:val="51FF260F"/>
    <w:rsid w:val="520607C1"/>
    <w:rsid w:val="52232583"/>
    <w:rsid w:val="522409BD"/>
    <w:rsid w:val="52AB734D"/>
    <w:rsid w:val="52EA737D"/>
    <w:rsid w:val="530661BE"/>
    <w:rsid w:val="530A729F"/>
    <w:rsid w:val="531663DE"/>
    <w:rsid w:val="53442577"/>
    <w:rsid w:val="53491DD3"/>
    <w:rsid w:val="53554DEB"/>
    <w:rsid w:val="53814FEA"/>
    <w:rsid w:val="53876594"/>
    <w:rsid w:val="538E74C6"/>
    <w:rsid w:val="53945FB3"/>
    <w:rsid w:val="53B10390"/>
    <w:rsid w:val="53CB13FA"/>
    <w:rsid w:val="53F00B8B"/>
    <w:rsid w:val="54146BB7"/>
    <w:rsid w:val="5424083B"/>
    <w:rsid w:val="548C11D4"/>
    <w:rsid w:val="549E4143"/>
    <w:rsid w:val="54E55D26"/>
    <w:rsid w:val="550F6DEF"/>
    <w:rsid w:val="551B5793"/>
    <w:rsid w:val="55342CF9"/>
    <w:rsid w:val="553623E7"/>
    <w:rsid w:val="55424284"/>
    <w:rsid w:val="5556454B"/>
    <w:rsid w:val="55696B1E"/>
    <w:rsid w:val="55955FFB"/>
    <w:rsid w:val="55A878A9"/>
    <w:rsid w:val="55E14D57"/>
    <w:rsid w:val="55F4726B"/>
    <w:rsid w:val="560F7D1A"/>
    <w:rsid w:val="56161330"/>
    <w:rsid w:val="562B3973"/>
    <w:rsid w:val="563C098D"/>
    <w:rsid w:val="5645161A"/>
    <w:rsid w:val="567A0398"/>
    <w:rsid w:val="568E7E62"/>
    <w:rsid w:val="56936790"/>
    <w:rsid w:val="56AD7E5C"/>
    <w:rsid w:val="56B0359A"/>
    <w:rsid w:val="56C9121F"/>
    <w:rsid w:val="56CC757E"/>
    <w:rsid w:val="56E80A30"/>
    <w:rsid w:val="5713447D"/>
    <w:rsid w:val="571701DC"/>
    <w:rsid w:val="57172F7D"/>
    <w:rsid w:val="57243CF3"/>
    <w:rsid w:val="57250B4B"/>
    <w:rsid w:val="5793586E"/>
    <w:rsid w:val="57A23F4A"/>
    <w:rsid w:val="57A33754"/>
    <w:rsid w:val="57BC01FF"/>
    <w:rsid w:val="57C01A8B"/>
    <w:rsid w:val="57DF519E"/>
    <w:rsid w:val="58056E9C"/>
    <w:rsid w:val="5829466B"/>
    <w:rsid w:val="584B7ADC"/>
    <w:rsid w:val="59063B43"/>
    <w:rsid w:val="59130655"/>
    <w:rsid w:val="592A2FF6"/>
    <w:rsid w:val="595219A0"/>
    <w:rsid w:val="59772079"/>
    <w:rsid w:val="597731B4"/>
    <w:rsid w:val="59794F0B"/>
    <w:rsid w:val="598643AB"/>
    <w:rsid w:val="5988329A"/>
    <w:rsid w:val="59B15953"/>
    <w:rsid w:val="59D923F5"/>
    <w:rsid w:val="59E33B14"/>
    <w:rsid w:val="59E55823"/>
    <w:rsid w:val="59E91410"/>
    <w:rsid w:val="5A6D524C"/>
    <w:rsid w:val="5A7E0554"/>
    <w:rsid w:val="5AB846C6"/>
    <w:rsid w:val="5AC01760"/>
    <w:rsid w:val="5AE510C8"/>
    <w:rsid w:val="5AFB3E79"/>
    <w:rsid w:val="5AFC3668"/>
    <w:rsid w:val="5B183836"/>
    <w:rsid w:val="5B8610DE"/>
    <w:rsid w:val="5BAD4CB4"/>
    <w:rsid w:val="5C0C4088"/>
    <w:rsid w:val="5C0E5B5A"/>
    <w:rsid w:val="5C241562"/>
    <w:rsid w:val="5C264128"/>
    <w:rsid w:val="5C326C78"/>
    <w:rsid w:val="5C517C75"/>
    <w:rsid w:val="5CC26E3C"/>
    <w:rsid w:val="5D057D54"/>
    <w:rsid w:val="5D284EF1"/>
    <w:rsid w:val="5D5749AC"/>
    <w:rsid w:val="5D6857F1"/>
    <w:rsid w:val="5D6C7688"/>
    <w:rsid w:val="5D8F0BC9"/>
    <w:rsid w:val="5DC866E0"/>
    <w:rsid w:val="5E3E0745"/>
    <w:rsid w:val="5E6672B6"/>
    <w:rsid w:val="5E711001"/>
    <w:rsid w:val="5E872AA3"/>
    <w:rsid w:val="5EE44A74"/>
    <w:rsid w:val="5EFC04E3"/>
    <w:rsid w:val="5EFD1D73"/>
    <w:rsid w:val="5F035731"/>
    <w:rsid w:val="5F0C07BA"/>
    <w:rsid w:val="5F114111"/>
    <w:rsid w:val="5F211DCB"/>
    <w:rsid w:val="5F2E2DF9"/>
    <w:rsid w:val="5F36040E"/>
    <w:rsid w:val="5F5035FC"/>
    <w:rsid w:val="5F64242D"/>
    <w:rsid w:val="5F8C70CE"/>
    <w:rsid w:val="603B06DA"/>
    <w:rsid w:val="604C76CB"/>
    <w:rsid w:val="60653279"/>
    <w:rsid w:val="608C62D9"/>
    <w:rsid w:val="60AF430E"/>
    <w:rsid w:val="60C07EFC"/>
    <w:rsid w:val="60C92157"/>
    <w:rsid w:val="60EF0CB9"/>
    <w:rsid w:val="60FF286F"/>
    <w:rsid w:val="6111642E"/>
    <w:rsid w:val="61181B23"/>
    <w:rsid w:val="61360B20"/>
    <w:rsid w:val="61454E11"/>
    <w:rsid w:val="615467A0"/>
    <w:rsid w:val="616B40B4"/>
    <w:rsid w:val="618A65BE"/>
    <w:rsid w:val="618C3478"/>
    <w:rsid w:val="61AF72CD"/>
    <w:rsid w:val="61BE7C85"/>
    <w:rsid w:val="61E47E4A"/>
    <w:rsid w:val="61F00508"/>
    <w:rsid w:val="61F046B2"/>
    <w:rsid w:val="6214064C"/>
    <w:rsid w:val="62273DC1"/>
    <w:rsid w:val="622D7CEB"/>
    <w:rsid w:val="627F20DB"/>
    <w:rsid w:val="628169DC"/>
    <w:rsid w:val="62856942"/>
    <w:rsid w:val="62903C44"/>
    <w:rsid w:val="62960501"/>
    <w:rsid w:val="62CE657C"/>
    <w:rsid w:val="63330B66"/>
    <w:rsid w:val="63352116"/>
    <w:rsid w:val="636F191D"/>
    <w:rsid w:val="63A044A3"/>
    <w:rsid w:val="63A6275C"/>
    <w:rsid w:val="63AB120B"/>
    <w:rsid w:val="63BA261B"/>
    <w:rsid w:val="63FC798F"/>
    <w:rsid w:val="64027AAC"/>
    <w:rsid w:val="64275AC5"/>
    <w:rsid w:val="64534828"/>
    <w:rsid w:val="646D2035"/>
    <w:rsid w:val="647F3558"/>
    <w:rsid w:val="64D97B5D"/>
    <w:rsid w:val="64E42046"/>
    <w:rsid w:val="65160B5E"/>
    <w:rsid w:val="6531690D"/>
    <w:rsid w:val="6533640C"/>
    <w:rsid w:val="654B6537"/>
    <w:rsid w:val="658F2F2B"/>
    <w:rsid w:val="65A30754"/>
    <w:rsid w:val="65AB473B"/>
    <w:rsid w:val="65CD2ADA"/>
    <w:rsid w:val="65D07CD0"/>
    <w:rsid w:val="65D113C0"/>
    <w:rsid w:val="65FA41CB"/>
    <w:rsid w:val="660E79F6"/>
    <w:rsid w:val="66236B9E"/>
    <w:rsid w:val="66255199"/>
    <w:rsid w:val="664D3C1B"/>
    <w:rsid w:val="66507FAE"/>
    <w:rsid w:val="6663643E"/>
    <w:rsid w:val="66691769"/>
    <w:rsid w:val="6679056C"/>
    <w:rsid w:val="668D0F98"/>
    <w:rsid w:val="66E82852"/>
    <w:rsid w:val="67154667"/>
    <w:rsid w:val="67757E3B"/>
    <w:rsid w:val="67791027"/>
    <w:rsid w:val="677F6056"/>
    <w:rsid w:val="67812F1C"/>
    <w:rsid w:val="67DF3D79"/>
    <w:rsid w:val="67E41B4B"/>
    <w:rsid w:val="67E90D04"/>
    <w:rsid w:val="681F496E"/>
    <w:rsid w:val="68295FC1"/>
    <w:rsid w:val="68352263"/>
    <w:rsid w:val="68670BFB"/>
    <w:rsid w:val="686A4F67"/>
    <w:rsid w:val="68751482"/>
    <w:rsid w:val="687E2F2C"/>
    <w:rsid w:val="688431F8"/>
    <w:rsid w:val="688F22C8"/>
    <w:rsid w:val="68B31B24"/>
    <w:rsid w:val="68B43ADD"/>
    <w:rsid w:val="68C22E48"/>
    <w:rsid w:val="68FC4D1B"/>
    <w:rsid w:val="69176502"/>
    <w:rsid w:val="692D7B5B"/>
    <w:rsid w:val="693D73C3"/>
    <w:rsid w:val="69BF3458"/>
    <w:rsid w:val="69C7171C"/>
    <w:rsid w:val="69E70B0E"/>
    <w:rsid w:val="6A31350E"/>
    <w:rsid w:val="6A415844"/>
    <w:rsid w:val="6A460D99"/>
    <w:rsid w:val="6A4A6C40"/>
    <w:rsid w:val="6A706568"/>
    <w:rsid w:val="6AD73228"/>
    <w:rsid w:val="6AE515ED"/>
    <w:rsid w:val="6AEE54F0"/>
    <w:rsid w:val="6B0539D5"/>
    <w:rsid w:val="6B0B19AE"/>
    <w:rsid w:val="6B340B54"/>
    <w:rsid w:val="6B5E62A6"/>
    <w:rsid w:val="6B8579B3"/>
    <w:rsid w:val="6B9F6CC6"/>
    <w:rsid w:val="6BC24763"/>
    <w:rsid w:val="6BC643FB"/>
    <w:rsid w:val="6BCB46A8"/>
    <w:rsid w:val="6C1D4C49"/>
    <w:rsid w:val="6C403538"/>
    <w:rsid w:val="6C787522"/>
    <w:rsid w:val="6C820189"/>
    <w:rsid w:val="6C9A16A8"/>
    <w:rsid w:val="6CAB169B"/>
    <w:rsid w:val="6CB4429F"/>
    <w:rsid w:val="6CFD0CD4"/>
    <w:rsid w:val="6D0F713D"/>
    <w:rsid w:val="6D3B6BE5"/>
    <w:rsid w:val="6D565D6F"/>
    <w:rsid w:val="6D725D15"/>
    <w:rsid w:val="6D863D78"/>
    <w:rsid w:val="6D9F6D37"/>
    <w:rsid w:val="6DD64CBC"/>
    <w:rsid w:val="6DF734CC"/>
    <w:rsid w:val="6E071E2C"/>
    <w:rsid w:val="6E406840"/>
    <w:rsid w:val="6E4622A1"/>
    <w:rsid w:val="6E4E22DE"/>
    <w:rsid w:val="6E6B2CCD"/>
    <w:rsid w:val="6E6F2E8B"/>
    <w:rsid w:val="6E9F2B3A"/>
    <w:rsid w:val="6EB5235D"/>
    <w:rsid w:val="6EDA00EA"/>
    <w:rsid w:val="6EF236AC"/>
    <w:rsid w:val="6EFF062B"/>
    <w:rsid w:val="6F011A46"/>
    <w:rsid w:val="6F0E5640"/>
    <w:rsid w:val="6F226265"/>
    <w:rsid w:val="6F651FD5"/>
    <w:rsid w:val="6F674856"/>
    <w:rsid w:val="6F793B24"/>
    <w:rsid w:val="6F9B646B"/>
    <w:rsid w:val="6F9E7067"/>
    <w:rsid w:val="6FAD28F4"/>
    <w:rsid w:val="6FE23551"/>
    <w:rsid w:val="6FE909E2"/>
    <w:rsid w:val="6FF57047"/>
    <w:rsid w:val="6FF9271D"/>
    <w:rsid w:val="703D085C"/>
    <w:rsid w:val="708054CD"/>
    <w:rsid w:val="70C46D11"/>
    <w:rsid w:val="70FC391B"/>
    <w:rsid w:val="71267B87"/>
    <w:rsid w:val="714962F2"/>
    <w:rsid w:val="715648CF"/>
    <w:rsid w:val="71A21659"/>
    <w:rsid w:val="71BC7EA6"/>
    <w:rsid w:val="71E014D8"/>
    <w:rsid w:val="72084E9A"/>
    <w:rsid w:val="722F1F5D"/>
    <w:rsid w:val="72323CC5"/>
    <w:rsid w:val="723F26F4"/>
    <w:rsid w:val="72A000BB"/>
    <w:rsid w:val="731D2F13"/>
    <w:rsid w:val="73733D80"/>
    <w:rsid w:val="739C294B"/>
    <w:rsid w:val="73AF5E09"/>
    <w:rsid w:val="73B06FFE"/>
    <w:rsid w:val="73C3118C"/>
    <w:rsid w:val="73D338A9"/>
    <w:rsid w:val="73D66CAC"/>
    <w:rsid w:val="73DE2356"/>
    <w:rsid w:val="73DE666B"/>
    <w:rsid w:val="73ED73B7"/>
    <w:rsid w:val="73FB7A21"/>
    <w:rsid w:val="73FE2A50"/>
    <w:rsid w:val="74016A41"/>
    <w:rsid w:val="740312B9"/>
    <w:rsid w:val="740863C9"/>
    <w:rsid w:val="741C1422"/>
    <w:rsid w:val="741E194A"/>
    <w:rsid w:val="742064CB"/>
    <w:rsid w:val="74324450"/>
    <w:rsid w:val="74584D63"/>
    <w:rsid w:val="749B2F2D"/>
    <w:rsid w:val="749D35F0"/>
    <w:rsid w:val="75047B9A"/>
    <w:rsid w:val="75676A2A"/>
    <w:rsid w:val="7571236E"/>
    <w:rsid w:val="7577036C"/>
    <w:rsid w:val="75BF09E2"/>
    <w:rsid w:val="75D215AC"/>
    <w:rsid w:val="760B00AB"/>
    <w:rsid w:val="76143E0D"/>
    <w:rsid w:val="76672FFF"/>
    <w:rsid w:val="768E7163"/>
    <w:rsid w:val="76AA4771"/>
    <w:rsid w:val="76AC2297"/>
    <w:rsid w:val="76BB32ED"/>
    <w:rsid w:val="76D11CFE"/>
    <w:rsid w:val="76F24787"/>
    <w:rsid w:val="7702150D"/>
    <w:rsid w:val="771B11CB"/>
    <w:rsid w:val="773B693B"/>
    <w:rsid w:val="773F4E98"/>
    <w:rsid w:val="776515C1"/>
    <w:rsid w:val="77935BF4"/>
    <w:rsid w:val="77AA0B11"/>
    <w:rsid w:val="77BC4E22"/>
    <w:rsid w:val="77D150A9"/>
    <w:rsid w:val="77EB6894"/>
    <w:rsid w:val="77F13C0F"/>
    <w:rsid w:val="781C51FB"/>
    <w:rsid w:val="78256A1F"/>
    <w:rsid w:val="782C547A"/>
    <w:rsid w:val="78410094"/>
    <w:rsid w:val="7884392E"/>
    <w:rsid w:val="788F00C3"/>
    <w:rsid w:val="78CB3305"/>
    <w:rsid w:val="78E433A9"/>
    <w:rsid w:val="792C714F"/>
    <w:rsid w:val="79724977"/>
    <w:rsid w:val="797D0F20"/>
    <w:rsid w:val="79DC7338"/>
    <w:rsid w:val="79DD6352"/>
    <w:rsid w:val="79E53EE0"/>
    <w:rsid w:val="79F93123"/>
    <w:rsid w:val="7A074084"/>
    <w:rsid w:val="7A120A14"/>
    <w:rsid w:val="7A4A0831"/>
    <w:rsid w:val="7A9F14F3"/>
    <w:rsid w:val="7AC524F9"/>
    <w:rsid w:val="7AF73F14"/>
    <w:rsid w:val="7B05466C"/>
    <w:rsid w:val="7B075317"/>
    <w:rsid w:val="7B1C768D"/>
    <w:rsid w:val="7B23777C"/>
    <w:rsid w:val="7B641393"/>
    <w:rsid w:val="7B6512CD"/>
    <w:rsid w:val="7B747D64"/>
    <w:rsid w:val="7BBC5437"/>
    <w:rsid w:val="7BFF10BB"/>
    <w:rsid w:val="7C254E36"/>
    <w:rsid w:val="7C511AFC"/>
    <w:rsid w:val="7C6717D3"/>
    <w:rsid w:val="7CB421DD"/>
    <w:rsid w:val="7CE16335"/>
    <w:rsid w:val="7CE7232B"/>
    <w:rsid w:val="7D05188A"/>
    <w:rsid w:val="7D553689"/>
    <w:rsid w:val="7D897BD1"/>
    <w:rsid w:val="7DCC4A82"/>
    <w:rsid w:val="7DCE3F0A"/>
    <w:rsid w:val="7DF05160"/>
    <w:rsid w:val="7DF675A9"/>
    <w:rsid w:val="7E1952EC"/>
    <w:rsid w:val="7E3C65F7"/>
    <w:rsid w:val="7E7D7DCD"/>
    <w:rsid w:val="7EBC57BE"/>
    <w:rsid w:val="7F5646F6"/>
    <w:rsid w:val="7F5E0943"/>
    <w:rsid w:val="7F724799"/>
    <w:rsid w:val="7F733957"/>
    <w:rsid w:val="7F946B3E"/>
    <w:rsid w:val="7F985AAF"/>
    <w:rsid w:val="7FC05B96"/>
    <w:rsid w:val="7FC65CAF"/>
    <w:rsid w:val="7FFB3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9" w:name="heading 3"/>
    <w:lsdException w:qFormat="1" w:uiPriority="99" w:name="heading 4"/>
    <w:lsdException w:qFormat="1" w:uiPriority="99" w:name="heading 5"/>
    <w:lsdException w:qFormat="1" w:uiPriority="99" w:name="heading 6"/>
    <w:lsdException w:qFormat="1" w:uiPriority="99" w:name="heading 7"/>
    <w:lsdException w:qFormat="1" w:uiPriority="99" w:name="heading 8"/>
    <w:lsdException w:qFormat="1" w:uiPriority="99"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nhideWhenUsed="0" w:uiPriority="39" w:semiHidden="0" w:name="toc 1"/>
    <w:lsdException w:qFormat="1" w:unhideWhenUsed="0" w:uiPriority="39" w:semiHidden="0" w:name="toc 2"/>
    <w:lsdException w:qFormat="1" w:uiPriority="99" w:name="toc 3"/>
    <w:lsdException w:qFormat="1" w:uiPriority="99" w:name="toc 4"/>
    <w:lsdException w:qFormat="1" w:uiPriority="99" w:name="toc 5"/>
    <w:lsdException w:qFormat="1" w:uiPriority="99" w:name="toc 6"/>
    <w:lsdException w:qFormat="1" w:uiPriority="99" w:name="toc 7"/>
    <w:lsdException w:qFormat="1" w:uiPriority="99" w:name="toc 8"/>
    <w:lsdException w:qFormat="1" w:uiPriority="99" w:name="toc 9"/>
    <w:lsdException w:qFormat="1"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qFormat="1" w:uiPriority="99" w:name="index heading"/>
    <w:lsdException w:qFormat="1" w:uiPriority="99"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semiHidden="0"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nhideWhenUsed="0" w:uiPriority="99" w:semiHidden="0" w:name="table of authorities"/>
    <w:lsdException w:qFormat="1" w:uiPriority="99" w:name="macro"/>
    <w:lsdException w:qFormat="1" w:uiPriority="99" w:name="toa heading"/>
    <w:lsdException w:qFormat="1" w:unhideWhenUsed="0" w:uiPriority="99" w:semiHidden="0" w:name="List"/>
    <w:lsdException w:qFormat="1" w:unhideWhenUsed="0" w:uiPriority="99" w:semiHidden="0"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99" w:semiHidden="0" w:name="Title"/>
    <w:lsdException w:qFormat="1" w:uiPriority="99" w:name="Closing"/>
    <w:lsdException w:qFormat="1" w:uiPriority="99" w:name="Signature"/>
    <w:lsdException w:uiPriority="1" w:name="Default Paragraph Font"/>
    <w:lsdException w:qFormat="1" w:unhideWhenUsed="0" w:uiPriority="0" w:semiHidden="0" w:name="Body Text"/>
    <w:lsdException w:qFormat="1" w:uiPriority="99" w:name="Body Text Indent"/>
    <w:lsdException w:qFormat="1" w:uiPriority="99"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iPriority="99" w:name="Message Header"/>
    <w:lsdException w:qFormat="1" w:unhideWhenUsed="0" w:uiPriority="99" w:semiHidden="0" w:name="Subtitle"/>
    <w:lsdException w:qFormat="1" w:uiPriority="99" w:name="Salutation"/>
    <w:lsdException w:qFormat="1" w:uiPriority="99" w:semiHidden="0"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99" w:semiHidden="0" w:name="Emphasis"/>
    <w:lsdException w:qFormat="1" w:uiPriority="99" w:name="Document Map"/>
    <w:lsdException w:qFormat="1" w:uiPriority="99" w:name="Plain Text"/>
    <w:lsdException w:qFormat="1" w:uiPriority="99" w:name="E-mail Signature"/>
    <w:lsdException w:qFormat="1" w:uiPriority="99"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uiPriority="99" w:name="Normal Table"/>
    <w:lsdException w:qFormat="1"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nhideWhenUsed="0" w:uiPriority="99" w:semiHidden="0" w:name="Balloon Text"/>
    <w:lsdException w:qFormat="1" w:unhideWhenUsed="0" w:uiPriority="99"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hint="eastAsia" w:ascii="Calibri" w:hAnsi="Calibri" w:eastAsia="宋体" w:cs="Times New Roman"/>
      <w:kern w:val="2"/>
      <w:sz w:val="21"/>
      <w:lang w:val="en-US" w:eastAsia="zh-CN" w:bidi="ar-SA"/>
    </w:rPr>
  </w:style>
  <w:style w:type="paragraph" w:styleId="2">
    <w:name w:val="heading 1"/>
    <w:basedOn w:val="1"/>
    <w:next w:val="1"/>
    <w:qFormat/>
    <w:uiPriority w:val="99"/>
    <w:pPr>
      <w:spacing w:before="100" w:beforeAutospacing="1" w:after="100" w:afterAutospacing="1"/>
      <w:jc w:val="left"/>
      <w:outlineLvl w:val="0"/>
    </w:pPr>
    <w:rPr>
      <w:rFonts w:ascii="宋体" w:hAnsi="宋体"/>
      <w:b/>
      <w:kern w:val="44"/>
      <w:sz w:val="48"/>
      <w:szCs w:val="48"/>
    </w:rPr>
  </w:style>
  <w:style w:type="paragraph" w:styleId="3">
    <w:name w:val="heading 2"/>
    <w:basedOn w:val="1"/>
    <w:next w:val="1"/>
    <w:qFormat/>
    <w:uiPriority w:val="99"/>
    <w:pPr>
      <w:spacing w:before="100" w:beforeAutospacing="1" w:after="100" w:afterAutospacing="1"/>
      <w:jc w:val="left"/>
      <w:outlineLvl w:val="1"/>
    </w:pPr>
    <w:rPr>
      <w:rFonts w:ascii="宋体" w:hAnsi="宋体"/>
      <w:b/>
      <w:kern w:val="0"/>
      <w:sz w:val="36"/>
      <w:szCs w:val="36"/>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link w:val="20"/>
    <w:qFormat/>
    <w:uiPriority w:val="0"/>
    <w:pPr>
      <w:autoSpaceDE w:val="0"/>
      <w:autoSpaceDN w:val="0"/>
      <w:adjustRightInd w:val="0"/>
      <w:ind w:left="535"/>
      <w:jc w:val="left"/>
    </w:pPr>
    <w:rPr>
      <w:rFonts w:ascii="宋体"/>
      <w:kern w:val="0"/>
      <w:sz w:val="20"/>
      <w:szCs w:val="21"/>
    </w:rPr>
  </w:style>
  <w:style w:type="paragraph" w:styleId="6">
    <w:name w:val="Date"/>
    <w:basedOn w:val="1"/>
    <w:next w:val="1"/>
    <w:link w:val="29"/>
    <w:unhideWhenUsed/>
    <w:qFormat/>
    <w:uiPriority w:val="99"/>
    <w:pPr>
      <w:ind w:left="100" w:leftChars="2500"/>
    </w:pPr>
    <w:rPr>
      <w:rFonts w:hint="default"/>
      <w:kern w:val="0"/>
      <w:sz w:val="24"/>
    </w:rPr>
  </w:style>
  <w:style w:type="paragraph" w:styleId="7">
    <w:name w:val="Balloon Text"/>
    <w:basedOn w:val="1"/>
    <w:link w:val="28"/>
    <w:qFormat/>
    <w:uiPriority w:val="99"/>
    <w:rPr>
      <w:rFonts w:hint="default"/>
      <w:sz w:val="18"/>
      <w:szCs w:val="18"/>
    </w:rPr>
  </w:style>
  <w:style w:type="paragraph" w:styleId="8">
    <w:name w:val="footer"/>
    <w:basedOn w:val="1"/>
    <w:link w:val="21"/>
    <w:unhideWhenUsed/>
    <w:qFormat/>
    <w:uiPriority w:val="99"/>
    <w:pPr>
      <w:tabs>
        <w:tab w:val="center" w:pos="4153"/>
        <w:tab w:val="right" w:pos="8306"/>
      </w:tabs>
      <w:snapToGrid w:val="0"/>
      <w:jc w:val="left"/>
    </w:pPr>
    <w:rPr>
      <w:rFonts w:hint="default"/>
      <w:kern w:val="0"/>
      <w:sz w:val="18"/>
    </w:rPr>
  </w:style>
  <w:style w:type="paragraph" w:styleId="9">
    <w:name w:val="header"/>
    <w:basedOn w:val="1"/>
    <w:link w:val="27"/>
    <w:unhideWhenUsed/>
    <w:qFormat/>
    <w:uiPriority w:val="99"/>
    <w:pPr>
      <w:pBdr>
        <w:bottom w:val="single" w:color="auto" w:sz="6" w:space="1"/>
      </w:pBdr>
      <w:tabs>
        <w:tab w:val="center" w:pos="4153"/>
        <w:tab w:val="right" w:pos="8306"/>
      </w:tabs>
      <w:snapToGrid w:val="0"/>
      <w:jc w:val="center"/>
    </w:pPr>
    <w:rPr>
      <w:rFonts w:hint="default"/>
      <w:kern w:val="0"/>
      <w:sz w:val="18"/>
    </w:rPr>
  </w:style>
  <w:style w:type="paragraph" w:styleId="10">
    <w:name w:val="toc 1"/>
    <w:basedOn w:val="1"/>
    <w:next w:val="1"/>
    <w:qFormat/>
    <w:uiPriority w:val="39"/>
    <w:pPr>
      <w:widowControl w:val="0"/>
    </w:pPr>
    <w:rPr>
      <w:rFonts w:hint="default"/>
      <w:szCs w:val="24"/>
    </w:rPr>
  </w:style>
  <w:style w:type="paragraph" w:styleId="11">
    <w:name w:val="toc 2"/>
    <w:basedOn w:val="1"/>
    <w:next w:val="1"/>
    <w:qFormat/>
    <w:uiPriority w:val="39"/>
    <w:pPr>
      <w:widowControl w:val="0"/>
      <w:ind w:left="420" w:leftChars="200"/>
    </w:pPr>
    <w:rPr>
      <w:rFonts w:hint="default"/>
      <w:szCs w:val="21"/>
    </w:rPr>
  </w:style>
  <w:style w:type="paragraph" w:styleId="12">
    <w:name w:val="annotation subject"/>
    <w:basedOn w:val="4"/>
    <w:next w:val="4"/>
    <w:link w:val="31"/>
    <w:unhideWhenUsed/>
    <w:qFormat/>
    <w:uiPriority w:val="99"/>
    <w:rPr>
      <w:b/>
      <w:bCs/>
    </w:r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qFormat/>
    <w:uiPriority w:val="99"/>
    <w:rPr>
      <w:color w:val="0000FF"/>
      <w:u w:val="single"/>
    </w:rPr>
  </w:style>
  <w:style w:type="character" w:styleId="17">
    <w:name w:val="annotation reference"/>
    <w:unhideWhenUsed/>
    <w:qFormat/>
    <w:uiPriority w:val="99"/>
    <w:rPr>
      <w:sz w:val="21"/>
      <w:szCs w:val="21"/>
    </w:rPr>
  </w:style>
  <w:style w:type="character" w:customStyle="1" w:styleId="18">
    <w:name w:val="标准标题2 字符"/>
    <w:link w:val="19"/>
    <w:qFormat/>
    <w:uiPriority w:val="0"/>
    <w:rPr>
      <w:rFonts w:eastAsia="黑体"/>
      <w:sz w:val="21"/>
      <w:szCs w:val="21"/>
    </w:rPr>
  </w:style>
  <w:style w:type="paragraph" w:customStyle="1" w:styleId="19">
    <w:name w:val="标准标题2"/>
    <w:basedOn w:val="1"/>
    <w:link w:val="18"/>
    <w:qFormat/>
    <w:uiPriority w:val="0"/>
    <w:pPr>
      <w:tabs>
        <w:tab w:val="left" w:pos="1360"/>
      </w:tabs>
      <w:spacing w:beforeLines="50" w:afterLines="50"/>
      <w:outlineLvl w:val="1"/>
    </w:pPr>
    <w:rPr>
      <w:rFonts w:hint="default" w:eastAsia="黑体"/>
      <w:kern w:val="0"/>
      <w:szCs w:val="21"/>
    </w:rPr>
  </w:style>
  <w:style w:type="character" w:customStyle="1" w:styleId="20">
    <w:name w:val="正文文本 Char"/>
    <w:link w:val="5"/>
    <w:qFormat/>
    <w:uiPriority w:val="0"/>
    <w:rPr>
      <w:rFonts w:ascii="宋体"/>
      <w:szCs w:val="21"/>
    </w:rPr>
  </w:style>
  <w:style w:type="character" w:customStyle="1" w:styleId="21">
    <w:name w:val="页脚 Char"/>
    <w:link w:val="8"/>
    <w:unhideWhenUsed/>
    <w:qFormat/>
    <w:locked/>
    <w:uiPriority w:val="99"/>
    <w:rPr>
      <w:rFonts w:hint="default" w:ascii="Times New Roman" w:hAnsi="Times New Roman" w:eastAsia="宋体"/>
      <w:sz w:val="18"/>
    </w:rPr>
  </w:style>
  <w:style w:type="character" w:customStyle="1" w:styleId="22">
    <w:name w:val="批注文字 Char"/>
    <w:link w:val="4"/>
    <w:qFormat/>
    <w:uiPriority w:val="99"/>
    <w:rPr>
      <w:kern w:val="2"/>
      <w:sz w:val="21"/>
    </w:rPr>
  </w:style>
  <w:style w:type="character" w:customStyle="1" w:styleId="23">
    <w:name w:val="页脚 字符1"/>
    <w:qFormat/>
    <w:uiPriority w:val="0"/>
    <w:rPr>
      <w:sz w:val="18"/>
      <w:szCs w:val="18"/>
    </w:rPr>
  </w:style>
  <w:style w:type="character" w:customStyle="1" w:styleId="24">
    <w:name w:val="页眉 字符1"/>
    <w:qFormat/>
    <w:uiPriority w:val="0"/>
    <w:rPr>
      <w:sz w:val="18"/>
      <w:szCs w:val="18"/>
    </w:rPr>
  </w:style>
  <w:style w:type="character" w:customStyle="1" w:styleId="25">
    <w:name w:val="标准标题1 字符"/>
    <w:link w:val="26"/>
    <w:qFormat/>
    <w:uiPriority w:val="0"/>
    <w:rPr>
      <w:rFonts w:ascii="黑体" w:hAnsi="黑体" w:eastAsia="黑体"/>
      <w:bCs/>
      <w:sz w:val="21"/>
      <w:szCs w:val="21"/>
    </w:rPr>
  </w:style>
  <w:style w:type="paragraph" w:customStyle="1" w:styleId="26">
    <w:name w:val="标准标题1"/>
    <w:basedOn w:val="1"/>
    <w:link w:val="25"/>
    <w:qFormat/>
    <w:uiPriority w:val="0"/>
    <w:pPr>
      <w:tabs>
        <w:tab w:val="left" w:pos="420"/>
      </w:tabs>
      <w:spacing w:beforeLines="100" w:afterLines="100"/>
      <w:outlineLvl w:val="0"/>
    </w:pPr>
    <w:rPr>
      <w:rFonts w:hint="default" w:ascii="黑体" w:hAnsi="黑体" w:eastAsia="黑体"/>
      <w:bCs/>
      <w:kern w:val="0"/>
      <w:szCs w:val="21"/>
    </w:rPr>
  </w:style>
  <w:style w:type="character" w:customStyle="1" w:styleId="27">
    <w:name w:val="页眉 Char"/>
    <w:link w:val="9"/>
    <w:unhideWhenUsed/>
    <w:qFormat/>
    <w:locked/>
    <w:uiPriority w:val="99"/>
    <w:rPr>
      <w:rFonts w:hint="default" w:ascii="Times New Roman" w:hAnsi="Times New Roman" w:eastAsia="宋体"/>
      <w:sz w:val="18"/>
    </w:rPr>
  </w:style>
  <w:style w:type="character" w:customStyle="1" w:styleId="28">
    <w:name w:val="批注框文本 Char"/>
    <w:link w:val="7"/>
    <w:qFormat/>
    <w:uiPriority w:val="99"/>
    <w:rPr>
      <w:rFonts w:hint="default"/>
      <w:kern w:val="2"/>
      <w:sz w:val="18"/>
      <w:szCs w:val="18"/>
    </w:rPr>
  </w:style>
  <w:style w:type="character" w:customStyle="1" w:styleId="29">
    <w:name w:val="日期 Char"/>
    <w:link w:val="6"/>
    <w:unhideWhenUsed/>
    <w:qFormat/>
    <w:locked/>
    <w:uiPriority w:val="99"/>
    <w:rPr>
      <w:rFonts w:hint="default" w:ascii="Times New Roman" w:hAnsi="Times New Roman" w:eastAsia="宋体"/>
      <w:sz w:val="24"/>
    </w:rPr>
  </w:style>
  <w:style w:type="character" w:customStyle="1" w:styleId="30">
    <w:name w:val="正文文本 (2) + 8.5 pt"/>
    <w:qFormat/>
    <w:uiPriority w:val="0"/>
    <w:rPr>
      <w:rFonts w:ascii="宋体" w:hAnsi="宋体" w:eastAsia="宋体" w:cs="宋体"/>
      <w:color w:val="000000"/>
      <w:spacing w:val="0"/>
      <w:w w:val="100"/>
      <w:position w:val="0"/>
      <w:sz w:val="17"/>
      <w:szCs w:val="17"/>
      <w:u w:val="none"/>
      <w:shd w:val="clear" w:color="auto" w:fill="FFFFFF"/>
      <w:lang w:val="zh-TW" w:eastAsia="zh-TW" w:bidi="zh-TW"/>
    </w:rPr>
  </w:style>
  <w:style w:type="character" w:customStyle="1" w:styleId="31">
    <w:name w:val="批注主题 Char"/>
    <w:link w:val="12"/>
    <w:semiHidden/>
    <w:qFormat/>
    <w:uiPriority w:val="99"/>
    <w:rPr>
      <w:b/>
      <w:bCs/>
      <w:kern w:val="2"/>
      <w:sz w:val="21"/>
    </w:rPr>
  </w:style>
  <w:style w:type="character" w:customStyle="1" w:styleId="32">
    <w:name w:val="段 Char Char"/>
    <w:qFormat/>
    <w:uiPriority w:val="0"/>
    <w:rPr>
      <w:rFonts w:ascii="宋体"/>
      <w:sz w:val="21"/>
      <w:lang w:val="en-US" w:eastAsia="zh-CN" w:bidi="ar-SA"/>
    </w:rPr>
  </w:style>
  <w:style w:type="character" w:customStyle="1" w:styleId="33">
    <w:name w:val="占位符文本1"/>
    <w:unhideWhenUsed/>
    <w:qFormat/>
    <w:uiPriority w:val="99"/>
    <w:rPr>
      <w:rFonts w:hint="default"/>
      <w:color w:val="808080"/>
      <w:sz w:val="24"/>
    </w:rPr>
  </w:style>
  <w:style w:type="paragraph" w:customStyle="1" w:styleId="34">
    <w:name w:val="封面标准代替信息"/>
    <w:qFormat/>
    <w:uiPriority w:val="0"/>
    <w:pPr>
      <w:spacing w:before="57" w:line="280" w:lineRule="exact"/>
      <w:jc w:val="right"/>
    </w:pPr>
    <w:rPr>
      <w:rFonts w:ascii="宋体" w:hAnsi="Calibri" w:eastAsia="宋体" w:cs="Times New Roman"/>
      <w:sz w:val="21"/>
      <w:szCs w:val="21"/>
      <w:lang w:val="en-US" w:eastAsia="zh-CN" w:bidi="ar-SA"/>
    </w:rPr>
  </w:style>
  <w:style w:type="paragraph" w:customStyle="1" w:styleId="35">
    <w:name w:val="其他实施日期"/>
    <w:basedOn w:val="1"/>
    <w:qFormat/>
    <w:uiPriority w:val="0"/>
    <w:pPr>
      <w:jc w:val="right"/>
    </w:pPr>
    <w:rPr>
      <w:rFonts w:hint="default" w:eastAsia="黑体"/>
      <w:kern w:val="0"/>
      <w:sz w:val="28"/>
    </w:rPr>
  </w:style>
  <w:style w:type="paragraph" w:customStyle="1" w:styleId="36">
    <w:name w:val="封面标准名称"/>
    <w:qFormat/>
    <w:uiPriority w:val="0"/>
    <w:pPr>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3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 w:type="paragraph" w:customStyle="1" w:styleId="38">
    <w:name w:val="封面标准号2"/>
    <w:qFormat/>
    <w:uiPriority w:val="0"/>
    <w:pPr>
      <w:spacing w:before="357" w:line="280" w:lineRule="exact"/>
      <w:jc w:val="right"/>
    </w:pPr>
    <w:rPr>
      <w:rFonts w:ascii="黑体" w:hAnsi="Calibri" w:eastAsia="黑体" w:cs="Times New Roman"/>
      <w:sz w:val="28"/>
      <w:szCs w:val="28"/>
      <w:lang w:val="en-US" w:eastAsia="zh-CN" w:bidi="ar-SA"/>
    </w:rPr>
  </w:style>
  <w:style w:type="paragraph" w:customStyle="1" w:styleId="39">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40">
    <w:name w:val="标准书脚_奇数页"/>
    <w:qFormat/>
    <w:uiPriority w:val="99"/>
    <w:pPr>
      <w:spacing w:before="120"/>
      <w:ind w:right="198"/>
      <w:jc w:val="right"/>
    </w:pPr>
    <w:rPr>
      <w:rFonts w:ascii="宋体" w:hAnsi="Calibri" w:eastAsia="宋体" w:cs="宋体"/>
      <w:sz w:val="18"/>
      <w:szCs w:val="18"/>
      <w:lang w:val="en-US" w:eastAsia="zh-CN" w:bidi="ar-SA"/>
    </w:rPr>
  </w:style>
  <w:style w:type="paragraph" w:customStyle="1" w:styleId="41">
    <w:name w:val="正文文本 (2)"/>
    <w:basedOn w:val="1"/>
    <w:qFormat/>
    <w:uiPriority w:val="0"/>
    <w:pPr>
      <w:shd w:val="clear" w:color="auto" w:fill="FFFFFF"/>
      <w:spacing w:before="540" w:line="312" w:lineRule="exact"/>
      <w:jc w:val="distribute"/>
    </w:pPr>
    <w:rPr>
      <w:rFonts w:ascii="宋体" w:hAnsi="宋体"/>
      <w:kern w:val="0"/>
      <w:sz w:val="20"/>
      <w:shd w:val="clear" w:color="auto" w:fill="FFFFFF"/>
    </w:rPr>
  </w:style>
  <w:style w:type="paragraph" w:customStyle="1" w:styleId="42">
    <w:name w:val="Default"/>
    <w:unhideWhenUsed/>
    <w:qFormat/>
    <w:uiPriority w:val="0"/>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43">
    <w:name w:val="其他发布日期"/>
    <w:basedOn w:val="1"/>
    <w:qFormat/>
    <w:uiPriority w:val="0"/>
    <w:pPr>
      <w:jc w:val="left"/>
    </w:pPr>
    <w:rPr>
      <w:rFonts w:hint="default" w:eastAsia="黑体"/>
      <w:kern w:val="0"/>
      <w:sz w:val="28"/>
    </w:rPr>
  </w:style>
  <w:style w:type="paragraph" w:customStyle="1" w:styleId="44">
    <w:name w:val="其他标准标志"/>
    <w:basedOn w:val="1"/>
    <w:qFormat/>
    <w:uiPriority w:val="0"/>
    <w:pPr>
      <w:shd w:val="solid" w:color="FFFFFF" w:fill="FFFFFF"/>
      <w:spacing w:line="0" w:lineRule="atLeast"/>
      <w:jc w:val="right"/>
    </w:pPr>
    <w:rPr>
      <w:rFonts w:hint="default"/>
      <w:b/>
      <w:w w:val="130"/>
      <w:kern w:val="0"/>
      <w:sz w:val="96"/>
      <w:szCs w:val="96"/>
    </w:rPr>
  </w:style>
  <w:style w:type="paragraph" w:customStyle="1" w:styleId="45">
    <w:name w:val="文献分类号"/>
    <w:qFormat/>
    <w:uiPriority w:val="0"/>
    <w:pPr>
      <w:widowControl w:val="0"/>
      <w:textAlignment w:val="center"/>
    </w:pPr>
    <w:rPr>
      <w:rFonts w:ascii="黑体" w:hAnsi="Calibri" w:eastAsia="黑体" w:cs="Times New Roman"/>
      <w:sz w:val="21"/>
      <w:szCs w:val="21"/>
      <w:lang w:val="en-US" w:eastAsia="zh-CN" w:bidi="ar-SA"/>
    </w:rPr>
  </w:style>
  <w:style w:type="paragraph" w:customStyle="1" w:styleId="46">
    <w:name w:val="标准书眉_奇数页"/>
    <w:next w:val="1"/>
    <w:qFormat/>
    <w:uiPriority w:val="99"/>
    <w:pPr>
      <w:tabs>
        <w:tab w:val="center" w:pos="4154"/>
        <w:tab w:val="right" w:pos="8306"/>
      </w:tabs>
      <w:spacing w:after="220"/>
      <w:jc w:val="right"/>
    </w:pPr>
    <w:rPr>
      <w:rFonts w:ascii="黑体" w:hAnsi="Calibri" w:eastAsia="黑体" w:cs="黑体"/>
      <w:sz w:val="21"/>
      <w:szCs w:val="21"/>
      <w:lang w:val="en-US" w:eastAsia="zh-CN" w:bidi="ar-SA"/>
    </w:rPr>
  </w:style>
  <w:style w:type="paragraph" w:customStyle="1" w:styleId="47">
    <w:name w:val="修订1"/>
    <w:hidden/>
    <w:semiHidden/>
    <w:qFormat/>
    <w:uiPriority w:val="99"/>
    <w:rPr>
      <w:rFonts w:hint="eastAsia"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4.wmf"/><Relationship Id="rId17" Type="http://schemas.openxmlformats.org/officeDocument/2006/relationships/oleObject" Target="embeddings/oleObject4.bin"/><Relationship Id="rId16" Type="http://schemas.openxmlformats.org/officeDocument/2006/relationships/image" Target="media/image3.wmf"/><Relationship Id="rId15" Type="http://schemas.openxmlformats.org/officeDocument/2006/relationships/oleObject" Target="embeddings/oleObject3.bin"/><Relationship Id="rId14" Type="http://schemas.openxmlformats.org/officeDocument/2006/relationships/image" Target="media/image2.wmf"/><Relationship Id="rId13" Type="http://schemas.openxmlformats.org/officeDocument/2006/relationships/oleObject" Target="embeddings/oleObject2.bin"/><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9</Pages>
  <Words>4695</Words>
  <Characters>5359</Characters>
  <Lines>47</Lines>
  <Paragraphs>13</Paragraphs>
  <TotalTime>9</TotalTime>
  <ScaleCrop>false</ScaleCrop>
  <LinksUpToDate>false</LinksUpToDate>
  <CharactersWithSpaces>5711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2022-08-31T11:35:00Z</dcterms:created>
  <dc:creator>Administrator</dc:creator>
  <cp:lastModifiedBy>糖豆</cp:lastModifiedBy>
  <cp:lastPrinted>2020-12-17T03:35:00Z</cp:lastPrinted>
  <dcterms:modified xsi:type="dcterms:W3CDTF">2022-09-07T00:37:39Z</dcterms:modified>
  <dc:title>DB13</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D6D886E4019D4A689D90EA81A026501A</vt:lpwstr>
  </property>
</Properties>
</file>