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0"/>
        <w:framePr w:wrap="around"/>
        <w:rPr>
          <w:rFonts w:ascii="Times New Roman"/>
        </w:rPr>
      </w:pPr>
      <w:r>
        <w:rPr>
          <w:rFonts w:ascii="Times New Roman"/>
        </w:rPr>
        <w:t> </w:t>
      </w:r>
      <w:r>
        <w:rPr>
          <w:rFonts w:ascii="Times New Roman"/>
        </w:rPr>
        <w:fldChar w:fldCharType="begin">
          <w:ffData>
            <w:name w:val="ICS"/>
            <w:enabled/>
            <w:calcOnExit w:val="0"/>
            <w:helpText w:type="text" w:val="请输入正确的ICS号："/>
            <w:textInput>
              <w:default w:val="点击此处添加ICS号"/>
            </w:textInput>
          </w:ffData>
        </w:fldChar>
      </w:r>
      <w:bookmarkStart w:id="0" w:name="ICS"/>
      <w:r>
        <w:rPr>
          <w:rFonts w:ascii="Times New Roman"/>
        </w:rPr>
        <w:instrText xml:space="preserve"> FORMTEXT </w:instrText>
      </w:r>
      <w:r>
        <w:rPr>
          <w:rFonts w:ascii="Times New Roman"/>
        </w:rPr>
        <w:fldChar w:fldCharType="separate"/>
      </w:r>
      <w:r>
        <w:rPr>
          <w:rFonts w:ascii="Times New Roman"/>
        </w:rPr>
        <w:t>点击此处添加ICS号</w:t>
      </w:r>
      <w:r>
        <w:rPr>
          <w:rFonts w:ascii="Times New Roman"/>
        </w:rPr>
        <w:fldChar w:fldCharType="end"/>
      </w:r>
      <w:bookmarkEnd w:id="0"/>
    </w:p>
    <w:p>
      <w:pPr>
        <w:pStyle w:val="120"/>
        <w:framePr w:wrap="around"/>
        <w:rPr>
          <w:rFonts w:ascii="Times New Roman"/>
        </w:rPr>
      </w:pPr>
      <w:r>
        <w:rPr>
          <w:rFonts w:ascii="Times New Roman"/>
        </w:rPr>
        <w:fldChar w:fldCharType="begin">
          <w:ffData>
            <w:name w:val="WXFLH"/>
            <w:enabled/>
            <w:calcOnExit w:val="0"/>
            <w:helpText w:type="text" w:val="请输入中国标准文献分类号："/>
            <w:textInput>
              <w:default w:val="点击此处添加中国标准文献分类号"/>
            </w:textInput>
          </w:ffData>
        </w:fldChar>
      </w:r>
      <w:bookmarkStart w:id="1" w:name="WXFLH"/>
      <w:r>
        <w:rPr>
          <w:rFonts w:ascii="Times New Roman"/>
        </w:rPr>
        <w:instrText xml:space="preserve"> FORMTEXT </w:instrText>
      </w:r>
      <w:r>
        <w:rPr>
          <w:rFonts w:ascii="Times New Roman"/>
        </w:rPr>
        <w:fldChar w:fldCharType="separate"/>
      </w:r>
      <w:r>
        <w:rPr>
          <w:rFonts w:ascii="Times New Roman"/>
        </w:rPr>
        <w:t>点击此处添加中国标准文献分类号</w:t>
      </w:r>
      <w:r>
        <w:rPr>
          <w:rFonts w:ascii="Times New Roman"/>
        </w:rPr>
        <w:fldChar w:fldCharType="end"/>
      </w:r>
      <w:bookmarkEnd w:id="1"/>
    </w:p>
    <w:tbl>
      <w:tblPr>
        <w:tblStyle w:val="31"/>
        <w:tblW w:w="957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71" w:type="dxa"/>
            <w:tcBorders>
              <w:top w:val="nil"/>
              <w:left w:val="nil"/>
              <w:bottom w:val="nil"/>
              <w:right w:val="nil"/>
            </w:tcBorders>
            <w:shd w:val="clear" w:color="auto" w:fill="auto"/>
          </w:tcPr>
          <w:p>
            <w:pPr>
              <w:pStyle w:val="120"/>
              <w:framePr w:wrap="around"/>
              <w:rPr>
                <w:rFonts w:ascii="Times New Roman"/>
              </w:rPr>
            </w:pPr>
            <w:r>
              <w:rPr>
                <w:rFonts w:ascii="Times New Roman"/>
              </w:rPr>
              <w:fldChar w:fldCharType="begin">
                <w:ffData>
                  <w:name w:val="BAH"/>
                  <w:enabled/>
                  <w:calcOnExit w:val="0"/>
                  <w:textInput/>
                </w:ffData>
              </w:fldChar>
            </w:r>
            <w:bookmarkStart w:id="2" w:name="BAH"/>
            <w:r>
              <w:rPr>
                <w:rFonts w:ascii="Times New Roman"/>
              </w:rPr>
              <w:instrText xml:space="preserve"> FORMTEXT </w:instrText>
            </w:r>
            <w:r>
              <w:rPr>
                <w:rFonts w:ascii="Times New Roman"/>
              </w:rPr>
              <w:fldChar w:fldCharType="separate"/>
            </w:r>
            <w:r>
              <w:rPr>
                <w:rFonts w:ascii="Times New Roman"/>
              </w:rPr>
              <w:t>     </w:t>
            </w:r>
            <w:r>
              <w:rPr>
                <w:rFonts w:ascii="Times New Roman"/>
              </w:rPr>
              <w:fldChar w:fldCharType="end"/>
            </w:r>
            <w:bookmarkEnd w:id="2"/>
          </w:p>
        </w:tc>
      </w:tr>
    </w:tbl>
    <w:p>
      <w:pPr>
        <w:pStyle w:val="106"/>
        <w:framePr w:wrap="around"/>
      </w:pPr>
      <w:r>
        <w:t>D</w:t>
      </w:r>
      <w:r>
        <w:rPr>
          <w:spacing w:val="100"/>
        </w:rPr>
        <w:t>B</w:t>
      </w:r>
      <w:r>
        <w:fldChar w:fldCharType="begin">
          <w:ffData>
            <w:name w:val="c3"/>
            <w:enabled/>
            <w:calcOnExit w:val="0"/>
            <w:entryMacro w:val="ShowHelp16"/>
            <w:textInput/>
          </w:ffData>
        </w:fldChar>
      </w:r>
      <w:bookmarkStart w:id="3" w:name="c3"/>
      <w:r>
        <w:instrText xml:space="preserve"> FORMTEXT </w:instrText>
      </w:r>
      <w:r>
        <w:fldChar w:fldCharType="separate"/>
      </w:r>
      <w:r>
        <w:t>11</w:t>
      </w:r>
      <w:r>
        <w:fldChar w:fldCharType="end"/>
      </w:r>
      <w:bookmarkEnd w:id="3"/>
    </w:p>
    <w:p>
      <w:pPr>
        <w:pStyle w:val="107"/>
        <w:framePr w:wrap="around"/>
        <w:rPr>
          <w:rFonts w:ascii="Times New Roman" w:hAnsi="Times New Roman"/>
        </w:rPr>
      </w:pPr>
      <w:r>
        <w:rPr>
          <w:rFonts w:hint="eastAsia" w:ascii="Times New Roman" w:hAnsi="Times New Roman"/>
        </w:rPr>
        <w:t>河北省</w:t>
      </w:r>
      <w:r>
        <w:rPr>
          <w:rFonts w:ascii="Times New Roman" w:hAnsi="Times New Roman"/>
        </w:rPr>
        <w:t>地方标准</w:t>
      </w:r>
    </w:p>
    <w:p>
      <w:pPr>
        <w:pStyle w:val="44"/>
        <w:framePr w:wrap="around"/>
        <w:rPr>
          <w:rFonts w:ascii="Times New Roman"/>
        </w:rPr>
      </w:pPr>
      <w:r>
        <w:rPr>
          <w:rFonts w:ascii="Times New Roman"/>
        </w:rPr>
        <w:t xml:space="preserve">DB13/T </w:t>
      </w:r>
      <w:r>
        <w:rPr>
          <w:rFonts w:ascii="Times New Roman"/>
        </w:rPr>
        <w:fldChar w:fldCharType="begin">
          <w:ffData>
            <w:name w:val="StdNo1"/>
            <w:enabled/>
            <w:calcOnExit w:val="0"/>
            <w:textInput>
              <w:default w:val="××××"/>
            </w:textInput>
          </w:ffData>
        </w:fldChar>
      </w:r>
      <w:bookmarkStart w:id="4" w:name="StdNo1"/>
      <w:r>
        <w:rPr>
          <w:rFonts w:ascii="Times New Roman"/>
        </w:rPr>
        <w:instrText xml:space="preserve"> FORMTEXT </w:instrText>
      </w:r>
      <w:r>
        <w:rPr>
          <w:rFonts w:ascii="Times New Roman"/>
        </w:rPr>
        <w:fldChar w:fldCharType="separate"/>
      </w:r>
      <w:r>
        <w:rPr>
          <w:rFonts w:ascii="Times New Roman"/>
        </w:rPr>
        <w:t>××××</w:t>
      </w:r>
      <w:r>
        <w:rPr>
          <w:rFonts w:ascii="Times New Roman"/>
        </w:rPr>
        <w:fldChar w:fldCharType="end"/>
      </w:r>
      <w:bookmarkEnd w:id="4"/>
      <w:r>
        <w:rPr>
          <w:rFonts w:ascii="Times New Roman"/>
        </w:rPr>
        <w:t>—2022</w:t>
      </w:r>
    </w:p>
    <w:tbl>
      <w:tblPr>
        <w:tblStyle w:val="31"/>
        <w:tblW w:w="913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30" w:type="dxa"/>
            <w:tcBorders>
              <w:top w:val="nil"/>
              <w:left w:val="nil"/>
              <w:bottom w:val="nil"/>
              <w:right w:val="nil"/>
            </w:tcBorders>
            <w:shd w:val="clear" w:color="auto" w:fill="auto"/>
          </w:tcPr>
          <w:p>
            <w:pPr>
              <w:pStyle w:val="73"/>
              <w:framePr w:wrap="around"/>
              <w:rPr>
                <w:rFonts w:ascii="Times New Roman" w:eastAsia="黑体"/>
              </w:rPr>
            </w:pPr>
            <w:r>
              <w:rPr>
                <w:rFonts w:ascii="Times New Roman" w:eastAsia="黑体"/>
              </w:rPr>
              <w:pict>
                <v:rect id="DT" o:spid="_x0000_s1033" o:spt="1" style="position:absolute;left:0pt;margin-left:367.4pt;margin-top:2.7pt;height:18pt;width:90pt;z-index:-251653120;v-text-anchor:middle;mso-width-relative:page;mso-height-relative:page;" stroked="f" coordsize="21600,21600" o:gfxdata="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xZ7k&#10;/9MAAAAIAQAADwAAAAAAAAABACAAAAAiAAAAZHJzL2Rvd25yZXYueG1sUEsBAhQAFAAAAAgAh07i&#10;QJBG8Di1AQAAewMAAA4AAAAAAAAAAQAgAAAAIgEAAGRycy9lMm9Eb2MueG1sUEsFBgAAAAAGAAYA&#10;WQEAAEkFAAAAAA==&#10;">
                  <v:path/>
                  <v:fill focussize="0,0"/>
                  <v:stroke on="f" weight="2pt"/>
                  <v:imagedata o:title=""/>
                  <o:lock v:ext="edit"/>
                  <v:textbox>
                    <w:txbxContent>
                      <w:p/>
                    </w:txbxContent>
                  </v:textbox>
                </v:rect>
              </w:pict>
            </w:r>
            <w:r>
              <w:rPr>
                <w:rFonts w:ascii="Times New Roman" w:eastAsia="黑体"/>
              </w:rPr>
              <w:fldChar w:fldCharType="begin">
                <w:ffData>
                  <w:name w:val="DT"/>
                  <w:enabled/>
                  <w:calcOnExit w:val="0"/>
                  <w:entryMacro w:val="ShowHelp4"/>
                  <w:textInput/>
                </w:ffData>
              </w:fldChar>
            </w:r>
            <w:bookmarkStart w:id="5" w:name="DT"/>
            <w:r>
              <w:rPr>
                <w:rFonts w:ascii="Times New Roman" w:eastAsia="黑体"/>
              </w:rPr>
              <w:instrText xml:space="preserve"> FORMTEXT </w:instrText>
            </w:r>
            <w:r>
              <w:rPr>
                <w:rFonts w:ascii="Times New Roman" w:eastAsia="黑体"/>
              </w:rPr>
              <w:fldChar w:fldCharType="separate"/>
            </w:r>
            <w:r>
              <w:rPr>
                <w:rFonts w:ascii="Times New Roman" w:eastAsia="黑体"/>
              </w:rPr>
              <w:t>     </w:t>
            </w:r>
            <w:r>
              <w:rPr>
                <w:rFonts w:ascii="Times New Roman" w:eastAsia="黑体"/>
              </w:rPr>
              <w:fldChar w:fldCharType="end"/>
            </w:r>
            <w:bookmarkEnd w:id="5"/>
          </w:p>
        </w:tc>
      </w:tr>
    </w:tbl>
    <w:p>
      <w:pPr>
        <w:pStyle w:val="44"/>
        <w:framePr w:wrap="around"/>
        <w:rPr>
          <w:rFonts w:ascii="Times New Roman"/>
        </w:rPr>
      </w:pPr>
    </w:p>
    <w:p>
      <w:pPr>
        <w:pStyle w:val="44"/>
        <w:framePr w:wrap="around"/>
        <w:rPr>
          <w:rFonts w:ascii="Times New Roman"/>
        </w:rPr>
      </w:pPr>
    </w:p>
    <w:p>
      <w:pPr>
        <w:pStyle w:val="75"/>
        <w:framePr w:wrap="around"/>
        <w:rPr>
          <w:rFonts w:ascii="Times New Roman"/>
        </w:rPr>
      </w:pPr>
      <w:r>
        <w:rPr>
          <w:rFonts w:ascii="Times New Roman"/>
        </w:rPr>
        <w:fldChar w:fldCharType="begin">
          <w:ffData>
            <w:name w:val="StdName"/>
            <w:enabled/>
            <w:calcOnExit w:val="0"/>
            <w:textInput>
              <w:default w:val="蜜蜂微孢子虫病绿色防治技术规程"/>
            </w:textInput>
          </w:ffData>
        </w:fldChar>
      </w:r>
      <w:bookmarkStart w:id="6" w:name="StdName"/>
      <w:r>
        <w:rPr>
          <w:rFonts w:ascii="Times New Roman"/>
        </w:rPr>
        <w:instrText xml:space="preserve"> FORMTEXT </w:instrText>
      </w:r>
      <w:r>
        <w:rPr>
          <w:rFonts w:ascii="Times New Roman"/>
        </w:rPr>
        <w:fldChar w:fldCharType="separate"/>
      </w:r>
      <w:r>
        <w:rPr>
          <w:rFonts w:hint="eastAsia" w:ascii="Times New Roman"/>
        </w:rPr>
        <w:t>蜜蜂微孢子虫病绿色防治技术规程</w:t>
      </w:r>
      <w:r>
        <w:rPr>
          <w:rFonts w:ascii="Times New Roman"/>
        </w:rPr>
        <w:fldChar w:fldCharType="end"/>
      </w:r>
      <w:bookmarkEnd w:id="6"/>
    </w:p>
    <w:p>
      <w:pPr>
        <w:pStyle w:val="77"/>
        <w:framePr w:wrap="around"/>
        <w:rPr>
          <w:rFonts w:ascii="Times New Roman" w:eastAsia="黑体"/>
        </w:rPr>
      </w:pPr>
      <w:r>
        <w:rPr>
          <w:rFonts w:ascii="Times New Roman" w:eastAsia="黑体"/>
        </w:rPr>
        <w:fldChar w:fldCharType="begin">
          <w:ffData>
            <w:name w:val="YZBS"/>
            <w:enabled/>
            <w:calcOnExit w:val="0"/>
            <w:textInput>
              <w:default w:val="点击此处添加与国际标准一致性程度的标识"/>
            </w:textInput>
          </w:ffData>
        </w:fldChar>
      </w:r>
      <w:bookmarkStart w:id="7" w:name="YZBS"/>
      <w:r>
        <w:rPr>
          <w:rFonts w:ascii="Times New Roman" w:eastAsia="黑体"/>
        </w:rPr>
        <w:instrText xml:space="preserve"> FORMTEXT </w:instrText>
      </w:r>
      <w:r>
        <w:rPr>
          <w:rFonts w:ascii="Times New Roman" w:eastAsia="黑体"/>
        </w:rPr>
        <w:fldChar w:fldCharType="separate"/>
      </w:r>
      <w:r>
        <w:rPr>
          <w:rFonts w:ascii="Times New Roman" w:eastAsia="黑体"/>
        </w:rPr>
        <w:t>点击此处添加与国际标准一致性程度的标识</w:t>
      </w:r>
      <w:r>
        <w:rPr>
          <w:rFonts w:ascii="Times New Roman" w:eastAsia="黑体"/>
        </w:rPr>
        <w:fldChar w:fldCharType="end"/>
      </w:r>
      <w:bookmarkEnd w:id="7"/>
    </w:p>
    <w:tbl>
      <w:tblPr>
        <w:tblStyle w:val="31"/>
        <w:tblW w:w="9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629" w:type="dxa"/>
            <w:tcBorders>
              <w:top w:val="nil"/>
              <w:left w:val="nil"/>
              <w:bottom w:val="nil"/>
              <w:right w:val="nil"/>
            </w:tcBorders>
            <w:shd w:val="clear" w:color="auto" w:fill="auto"/>
          </w:tcPr>
          <w:p>
            <w:pPr>
              <w:pStyle w:val="78"/>
              <w:framePr w:wrap="around"/>
              <w:rPr>
                <w:rFonts w:ascii="Times New Roman"/>
              </w:rPr>
            </w:pPr>
            <w:r>
              <w:rPr>
                <w:rFonts w:ascii="Times New Roman"/>
              </w:rPr>
              <w:pict>
                <v:rect id="RQ" o:spid="_x0000_s1032" o:spt="1" style="position:absolute;left:0pt;margin-left:167.9pt;margin-top:45.15pt;height:20pt;width:150pt;z-index:-251651072;v-text-anchor:middle;mso-width-relative:page;mso-height-relative:page;" stroked="f" coordsize="21600,21600" o:gfxdata="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Iojhd0wAA&#10;AAoBAAAPAAAAAAAAAAEAIAAAACIAAABkcnMvZG93bnJldi54bWxQSwECFAAUAAAACACHTuJAjbkH&#10;orEBAAB7AwAADgAAAAAAAAABACAAAAAiAQAAZHJzL2Uyb0RvYy54bWxQSwUGAAAAAAYABgBZAQAA&#10;RQUAAAAA&#10;">
                  <v:path/>
                  <v:fill focussize="0,0"/>
                  <v:stroke on="f" weight="2pt"/>
                  <v:imagedata o:title=""/>
                  <o:lock v:ext="edit"/>
                  <v:textbox>
                    <w:txbxContent>
                      <w:p/>
                    </w:txbxContent>
                  </v:textbox>
                  <w10:anchorlock/>
                </v:rect>
              </w:pict>
            </w:r>
            <w:r>
              <w:rPr>
                <w:rFonts w:ascii="Times New Roman"/>
              </w:rPr>
              <w:pict>
                <v:rect id="LB" o:spid="_x0000_s1031" o:spt="1" style="position:absolute;left:0pt;margin-left:187.9pt;margin-top:20.15pt;height:24pt;width:100pt;z-index:-251652096;v-text-anchor:middle;mso-width-relative:page;mso-height-relative:page;" stroked="f" coordsize="21600,21600" o:gfxdata="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N&#10;IEcv1AAAAAkBAAAPAAAAAAAAAAEAIAAAACIAAABkcnMvZG93bnJldi54bWxQSwECFAAUAAAACACH&#10;TuJAJzWlVbYBAAB7AwAADgAAAAAAAAABACAAAAAjAQAAZHJzL2Uyb0RvYy54bWxQSwUGAAAAAAYA&#10;BgBZAQAASwUAAAAA&#10;">
                  <v:path/>
                  <v:fill focussize="0,0"/>
                  <v:stroke on="f" weight="2pt"/>
                  <v:imagedata o:title=""/>
                  <o:lock v:ext="edit"/>
                  <v:textbox>
                    <w:txbxContent>
                      <w:p/>
                    </w:txbxContent>
                  </v:textbox>
                </v:rect>
              </w:pic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29" w:type="dxa"/>
            <w:tcBorders>
              <w:top w:val="nil"/>
              <w:left w:val="nil"/>
              <w:bottom w:val="nil"/>
              <w:right w:val="nil"/>
            </w:tcBorders>
            <w:shd w:val="clear" w:color="auto" w:fill="auto"/>
          </w:tcPr>
          <w:p>
            <w:pPr>
              <w:pStyle w:val="79"/>
              <w:framePr w:wrap="around"/>
              <w:rPr>
                <w:rFonts w:ascii="Times New Roman"/>
                <w:sz w:val="28"/>
              </w:rPr>
            </w:pPr>
            <w:r>
              <w:rPr>
                <w:rFonts w:hint="eastAsia" w:ascii="Times New Roman"/>
                <w:sz w:val="28"/>
              </w:rPr>
              <w:t>（征求意见稿）</w:t>
            </w:r>
          </w:p>
          <w:p>
            <w:pPr>
              <w:framePr w:wrap="around" w:vAnchor="margin" w:hAnchor="text" w:y="1"/>
              <w:jc w:val="center"/>
              <w:rPr>
                <w:rFonts w:ascii="宋体"/>
                <w:sz w:val="24"/>
              </w:rPr>
            </w:pPr>
            <w:r>
              <w:rPr>
                <w:rFonts w:ascii="宋体" w:hAnsi="宋体"/>
                <w:sz w:val="24"/>
              </w:rPr>
              <w:t>（本草案完成时间：</w:t>
            </w:r>
            <w:r>
              <w:rPr>
                <w:rFonts w:hint="eastAsia" w:ascii="宋体" w:cs="Calibri"/>
                <w:sz w:val="24"/>
              </w:rPr>
              <w:t>2022</w:t>
            </w:r>
            <w:r>
              <w:rPr>
                <w:rFonts w:hint="eastAsia" w:ascii="宋体" w:hAnsi="宋体"/>
                <w:sz w:val="24"/>
              </w:rPr>
              <w:t>年</w:t>
            </w:r>
            <w:r>
              <w:rPr>
                <w:rFonts w:ascii="宋体" w:cs="Calibri"/>
                <w:sz w:val="24"/>
              </w:rPr>
              <w:t>8</w:t>
            </w:r>
            <w:r>
              <w:rPr>
                <w:rFonts w:hint="eastAsia" w:ascii="宋体" w:hAnsi="宋体"/>
                <w:sz w:val="24"/>
              </w:rPr>
              <w:t>月</w:t>
            </w:r>
            <w:r>
              <w:rPr>
                <w:rFonts w:ascii="宋体" w:cs="Calibri"/>
                <w:sz w:val="24"/>
              </w:rPr>
              <w:t>16</w:t>
            </w:r>
            <w:r>
              <w:rPr>
                <w:rFonts w:hint="eastAsia" w:ascii="宋体" w:hAnsi="宋体"/>
                <w:sz w:val="24"/>
              </w:rPr>
              <w:t>日</w:t>
            </w:r>
            <w:r>
              <w:rPr>
                <w:rFonts w:ascii="宋体" w:hAnsi="宋体"/>
                <w:sz w:val="24"/>
              </w:rPr>
              <w:t>）</w:t>
            </w:r>
          </w:p>
          <w:p>
            <w:pPr>
              <w:pStyle w:val="79"/>
              <w:framePr w:wrap="around"/>
              <w:rPr>
                <w:rFonts w:ascii="Times New Roman"/>
              </w:rPr>
            </w:pPr>
          </w:p>
        </w:tc>
      </w:tr>
    </w:tbl>
    <w:p>
      <w:pPr>
        <w:pStyle w:val="127"/>
        <w:framePr w:wrap="around"/>
      </w:pPr>
      <w:r>
        <w:t xml:space="preserve">2022 - </w:t>
      </w:r>
      <w:r>
        <w:fldChar w:fldCharType="begin">
          <w:ffData>
            <w:name w:val="FM"/>
            <w:enabled/>
            <w:calcOnExit w:val="0"/>
            <w:entryMacro w:val="ShowHelp8"/>
            <w:textInput>
              <w:default w:val="××"/>
              <w:maxLength w:val="2"/>
            </w:textInput>
          </w:ffData>
        </w:fldChar>
      </w:r>
      <w:r>
        <w:instrText xml:space="preserve"> FORMTEXT </w:instrText>
      </w:r>
      <w:r>
        <w:fldChar w:fldCharType="separate"/>
      </w:r>
      <w:r>
        <w:t>××</w:t>
      </w:r>
      <w:r>
        <w:fldChar w:fldCharType="end"/>
      </w:r>
      <w:r>
        <w:t xml:space="preserve"> - </w:t>
      </w:r>
      <w:r>
        <w:fldChar w:fldCharType="begin">
          <w:ffData>
            <w:name w:val="FD"/>
            <w:enabled/>
            <w:calcOnExit w:val="0"/>
            <w:entryMacro w:val="ShowHelp8"/>
            <w:textInput>
              <w:default w:val="××"/>
              <w:maxLength w:val="2"/>
            </w:textInput>
          </w:ffData>
        </w:fldChar>
      </w:r>
      <w:bookmarkStart w:id="8" w:name="FD"/>
      <w:r>
        <w:instrText xml:space="preserve"> FORMTEXT </w:instrText>
      </w:r>
      <w:r>
        <w:fldChar w:fldCharType="separate"/>
      </w:r>
      <w:r>
        <w:t>××</w:t>
      </w:r>
      <w:r>
        <w:fldChar w:fldCharType="end"/>
      </w:r>
      <w:bookmarkEnd w:id="8"/>
      <w:r>
        <w:t>发布</w:t>
      </w:r>
      <w:r>
        <w:pict>
          <v:line id="直接连接符 2" o:spid="_x0000_s1030" o:spt="20" style="position:absolute;left:0pt;margin-left:-0.05pt;margin-top:184.25pt;height:0pt;width:481.9pt;z-index:251660288;mso-width-relative:page;mso-height-relative:page;"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JB4l/XAAAACQEAAA8AAAAA&#10;AAAAAQAgAAAAIgAAAGRycy9kb3ducmV2LnhtbFBLAQIUABQAAAAIAIdO4kAfbM0A3AEAAKgDAAAO&#10;AAAAAAAAAAEAIAAAACYBAABkcnMvZTJvRG9jLnhtbFBLBQYAAAAABgAGAFkBAAB0BQAAAAA=&#10;">
            <v:path arrowok="t"/>
            <v:fill focussize="0,0"/>
            <v:stroke/>
            <v:imagedata o:title=""/>
            <o:lock v:ext="edit"/>
          </v:line>
        </w:pict>
      </w:r>
      <w:r>
        <w:pict>
          <v:line id="直接连接符 1" o:spid="_x0000_s1029" o:spt="20" style="position:absolute;left:0pt;margin-left:-0.05pt;margin-top:700.15pt;height:0pt;width:481.9pt;z-index:251659264;mso-width-relative:page;mso-height-relative:page;" coordsize="21600,21600" o:gfxdata="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28W589YAAAALAQAADwAAAAAA&#10;AAABACAAAAAiAAAAZHJzL2Rvd25yZXYueG1sUEsBAhQAFAAAAAgAh07iQI2pjCTcAQAAqAMAAA4A&#10;AAAAAAAAAQAgAAAAJQEAAGRycy9lMm9Eb2MueG1sUEsFBgAAAAAGAAYAWQEAAHMFAAAAAA==&#10;">
            <v:path arrowok="t"/>
            <v:fill focussize="0,0"/>
            <v:stroke/>
            <v:imagedata o:title=""/>
            <o:lock v:ext="edit"/>
          </v:line>
        </w:pict>
      </w:r>
    </w:p>
    <w:p>
      <w:pPr>
        <w:pStyle w:val="128"/>
        <w:framePr w:wrap="around"/>
      </w:pPr>
      <w:r>
        <w:t xml:space="preserve">2022 - </w:t>
      </w:r>
      <w:r>
        <w:fldChar w:fldCharType="begin">
          <w:ffData>
            <w:name w:val="SM"/>
            <w:enabled/>
            <w:calcOnExit w:val="0"/>
            <w:entryMacro w:val="ShowHelp9"/>
            <w:textInput>
              <w:default w:val="××"/>
              <w:maxLength w:val="2"/>
            </w:textInput>
          </w:ffData>
        </w:fldChar>
      </w:r>
      <w:bookmarkStart w:id="9" w:name="SM"/>
      <w:r>
        <w:instrText xml:space="preserve"> FORMTEXT </w:instrText>
      </w:r>
      <w:r>
        <w:fldChar w:fldCharType="separate"/>
      </w:r>
      <w:r>
        <w:t>××</w:t>
      </w:r>
      <w:r>
        <w:fldChar w:fldCharType="end"/>
      </w:r>
      <w:bookmarkEnd w:id="9"/>
      <w:r>
        <w:t xml:space="preserve"> - </w:t>
      </w:r>
      <w:r>
        <w:fldChar w:fldCharType="begin">
          <w:ffData>
            <w:name w:val="SD"/>
            <w:enabled/>
            <w:calcOnExit w:val="0"/>
            <w:entryMacro w:val="ShowHelp9"/>
            <w:textInput>
              <w:default w:val="××"/>
              <w:maxLength w:val="2"/>
            </w:textInput>
          </w:ffData>
        </w:fldChar>
      </w:r>
      <w:bookmarkStart w:id="10" w:name="SD"/>
      <w:r>
        <w:instrText xml:space="preserve"> FORMTEXT </w:instrText>
      </w:r>
      <w:r>
        <w:fldChar w:fldCharType="separate"/>
      </w:r>
      <w:r>
        <w:t>××</w:t>
      </w:r>
      <w:r>
        <w:fldChar w:fldCharType="end"/>
      </w:r>
      <w:bookmarkEnd w:id="10"/>
      <w:r>
        <w:t>实施</w:t>
      </w:r>
    </w:p>
    <w:p>
      <w:pPr>
        <w:pStyle w:val="108"/>
        <w:framePr w:wrap="around"/>
        <w:rPr>
          <w:rFonts w:ascii="Times New Roman"/>
        </w:rPr>
      </w:pPr>
      <w:r>
        <w:rPr>
          <w:rFonts w:ascii="Times New Roman"/>
        </w:rPr>
        <w:fldChar w:fldCharType="begin">
          <w:ffData>
            <w:name w:val="fm"/>
            <w:enabled/>
            <w:calcOnExit w:val="0"/>
            <w:textInput>
              <w:default w:val="石家庄市市场监督管理局"/>
            </w:textInput>
          </w:ffData>
        </w:fldChar>
      </w:r>
      <w:bookmarkStart w:id="11" w:name="fm"/>
      <w:r>
        <w:rPr>
          <w:rFonts w:ascii="Times New Roman"/>
        </w:rPr>
        <w:instrText xml:space="preserve"> FORMTEXT </w:instrText>
      </w:r>
      <w:r>
        <w:rPr>
          <w:rFonts w:ascii="Times New Roman"/>
        </w:rPr>
        <w:fldChar w:fldCharType="separate"/>
      </w:r>
      <w:r>
        <w:rPr>
          <w:rFonts w:hint="eastAsia" w:ascii="Times New Roman"/>
        </w:rPr>
        <w:t>河北省</w:t>
      </w:r>
      <w:r>
        <w:rPr>
          <w:rFonts w:ascii="Times New Roman"/>
        </w:rPr>
        <w:t>市场监督管理局</w:t>
      </w:r>
      <w:r>
        <w:rPr>
          <w:rFonts w:ascii="Times New Roman"/>
        </w:rPr>
        <w:fldChar w:fldCharType="end"/>
      </w:r>
      <w:bookmarkEnd w:id="11"/>
      <w:r>
        <w:rPr>
          <w:rStyle w:val="70"/>
          <w:rFonts w:ascii="Times New Roman"/>
        </w:rPr>
        <w:t>发布</w:t>
      </w:r>
    </w:p>
    <w:p>
      <w:pPr>
        <w:pStyle w:val="22"/>
        <w:rPr>
          <w:rFonts w:ascii="Times New Roman"/>
        </w:rPr>
        <w:sectPr>
          <w:headerReference r:id="rId3" w:type="even"/>
          <w:footerReference r:id="rId4" w:type="even"/>
          <w:pgSz w:w="11906" w:h="16838"/>
          <w:pgMar w:top="567" w:right="1134" w:bottom="1134" w:left="1417" w:header="0" w:footer="0" w:gutter="0"/>
          <w:pgNumType w:fmt="upperRoman" w:start="1"/>
          <w:cols w:space="425" w:num="1"/>
          <w:docGrid w:type="lines" w:linePitch="312" w:charSpace="0"/>
        </w:sectPr>
      </w:pPr>
      <w:r>
        <w:rPr>
          <w:rFonts w:ascii="Times New Roman"/>
        </w:rPr>
        <w:pict>
          <v:rect id="BAH" o:spid="_x0000_s1028" o:spt="1" style="position:absolute;left:0pt;margin-left:-5.25pt;margin-top:31.2pt;height:15.6pt;width:68.25pt;z-index:-251650048;v-text-anchor:middle;mso-width-relative:page;mso-height-relative:page;" stroked="f" coordsize="21600,21600" o:gfxdata="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1ptsc1QAAAAkBAAAPAAAAAAAAAAEAIAAAACIAAABkcnMvZG93bnJldi54bWxQSwECFAAU&#10;AAAACACHTuJAooxlD7sBAAB7AwAADgAAAAAAAAABACAAAAAkAQAAZHJzL2Uyb0RvYy54bWxQSwUG&#10;AAAAAAYABgBZAQAAUQUAAAAA&#10;">
            <v:path/>
            <v:fill focussize="0,0"/>
            <v:stroke on="f" weight="2pt"/>
            <v:imagedata o:title=""/>
            <o:lock v:ext="edit"/>
            <v:textbox>
              <w:txbxContent>
                <w:p/>
              </w:txbxContent>
            </v:textbox>
          </v:rect>
        </w:pict>
      </w:r>
      <w:r>
        <w:rPr>
          <w:rFonts w:ascii="Times New Roman"/>
        </w:rPr>
        <w:pict>
          <v:line id="直接连接符 4" o:spid="_x0000_s1027" o:spt="20" style="position:absolute;left:0pt;margin-left:-0.05pt;margin-top:184.25pt;height:0pt;width:481.9pt;z-index:251662336;mso-width-relative:page;mso-height-relative:page;"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JB4l/XAAAACQEAAA8AAAAA&#10;AAAAAQAgAAAAIgAAAGRycy9kb3ducmV2LnhtbFBLAQIUABQAAAAIAIdO4kBTWrSE3AEAAKgDAAAO&#10;AAAAAAAAAAEAIAAAACYBAABkcnMvZTJvRG9jLnhtbFBLBQYAAAAABgAGAFkBAAB0BQAAAAA=&#10;">
            <v:path arrowok="t"/>
            <v:fill focussize="0,0"/>
            <v:stroke/>
            <v:imagedata o:title=""/>
            <o:lock v:ext="edit"/>
          </v:line>
        </w:pict>
      </w:r>
      <w:r>
        <w:rPr>
          <w:rFonts w:ascii="Times New Roman"/>
        </w:rPr>
        <w:pict>
          <v:line id="直接连接符 3" o:spid="_x0000_s1026" o:spt="20" style="position:absolute;left:0pt;margin-left:-0.05pt;margin-top:700.15pt;height:0pt;width:481.9pt;z-index:251661312;mso-width-relative:page;mso-height-relative:page;" coordsize="21600,21600" o:gfxdata="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28W589YAAAALAQAADwAAAAAA&#10;AAABACAAAAAiAAAAZHJzL2Rvd25yZXYueG1sUEsBAhQAFAAAAAgAh07iQCH5XpTcAQAAqAMAAA4A&#10;AAAAAAAAAQAgAAAAJQEAAGRycy9lMm9Eb2MueG1sUEsFBgAAAAAGAAYAWQEAAHMFAAAAAA==&#10;">
            <v:path arrowok="t"/>
            <v:fill focussize="0,0"/>
            <v:stroke/>
            <v:imagedata o:title=""/>
            <o:lock v:ext="edit"/>
          </v:line>
        </w:pict>
      </w:r>
    </w:p>
    <w:p>
      <w:pPr>
        <w:pStyle w:val="47"/>
        <w:rPr>
          <w:rFonts w:ascii="Times New Roman"/>
        </w:rPr>
      </w:pPr>
      <w:r>
        <w:rPr>
          <w:rFonts w:ascii="Times New Roman"/>
        </w:rPr>
        <w:t>目</w:t>
      </w:r>
      <w:bookmarkStart w:id="12" w:name="BKML"/>
      <w:r>
        <w:rPr>
          <w:rFonts w:ascii="Times New Roman"/>
        </w:rPr>
        <w:t>  次</w:t>
      </w:r>
      <w:bookmarkEnd w:id="12"/>
    </w:p>
    <w:p>
      <w:pPr>
        <w:pStyle w:val="18"/>
        <w:spacing w:before="78" w:after="78"/>
        <w:rPr>
          <w:rFonts w:ascii="Times New Roman" w:eastAsiaTheme="minorEastAsia"/>
          <w:szCs w:val="22"/>
        </w:rPr>
      </w:pPr>
      <w:r>
        <w:rPr>
          <w:rFonts w:ascii="Times New Roman"/>
        </w:rPr>
        <w:fldChar w:fldCharType="begin" w:fldLock="1"/>
      </w:r>
      <w:r>
        <w:rPr>
          <w:rFonts w:ascii="Times New Roman"/>
        </w:rPr>
        <w:instrText xml:space="preserve"> TOC \h \z \t"前言、引言标题,1,参考文献、索引标题,1,章标题,1,参考文献,1,附录标识,1,一级条标题, 3,二级条标题, 4" \* MERGEFORMAT </w:instrText>
      </w:r>
      <w:r>
        <w:rPr>
          <w:rFonts w:ascii="Times New Roman"/>
        </w:rPr>
        <w:fldChar w:fldCharType="separate"/>
      </w:r>
      <w:r>
        <w:fldChar w:fldCharType="begin"/>
      </w:r>
      <w:r>
        <w:instrText xml:space="preserve"> HYPERLINK \l "_Toc17878125" </w:instrText>
      </w:r>
      <w:r>
        <w:fldChar w:fldCharType="separate"/>
      </w:r>
      <w:r>
        <w:rPr>
          <w:rStyle w:val="36"/>
          <w:rFonts w:ascii="Times New Roman"/>
        </w:rPr>
        <w:t>前言</w:t>
      </w:r>
      <w:r>
        <w:rPr>
          <w:rFonts w:ascii="Times New Roman"/>
        </w:rPr>
        <w:tab/>
      </w:r>
      <w:r>
        <w:rPr>
          <w:rFonts w:hint="eastAsia" w:ascii="Times New Roman"/>
        </w:rPr>
        <w:t>2</w:t>
      </w:r>
      <w:r>
        <w:rPr>
          <w:rFonts w:hint="eastAsia" w:ascii="Times New Roman"/>
        </w:rPr>
        <w:fldChar w:fldCharType="end"/>
      </w:r>
    </w:p>
    <w:p>
      <w:pPr>
        <w:pStyle w:val="18"/>
        <w:spacing w:before="78" w:after="78"/>
        <w:rPr>
          <w:rFonts w:ascii="Times New Roman" w:eastAsiaTheme="minorEastAsia"/>
          <w:szCs w:val="22"/>
        </w:rPr>
      </w:pPr>
      <w:r>
        <w:fldChar w:fldCharType="begin"/>
      </w:r>
      <w:r>
        <w:instrText xml:space="preserve"> HYPERLINK \l "_Toc17878127" </w:instrText>
      </w:r>
      <w:r>
        <w:fldChar w:fldCharType="separate"/>
      </w:r>
      <w:r>
        <w:rPr>
          <w:rStyle w:val="36"/>
          <w:rFonts w:ascii="Times New Roman"/>
        </w:rPr>
        <w:t>1　范围</w:t>
      </w:r>
      <w:r>
        <w:rPr>
          <w:rFonts w:ascii="Times New Roman"/>
        </w:rPr>
        <w:tab/>
      </w:r>
      <w:r>
        <w:rPr>
          <w:rFonts w:ascii="Times New Roman"/>
        </w:rPr>
        <w:t>3</w:t>
      </w:r>
      <w:r>
        <w:rPr>
          <w:rFonts w:ascii="Times New Roman"/>
        </w:rPr>
        <w:fldChar w:fldCharType="end"/>
      </w:r>
    </w:p>
    <w:p>
      <w:pPr>
        <w:pStyle w:val="18"/>
        <w:spacing w:before="78" w:after="78"/>
        <w:rPr>
          <w:rFonts w:ascii="Times New Roman" w:eastAsiaTheme="minorEastAsia"/>
          <w:szCs w:val="22"/>
        </w:rPr>
      </w:pPr>
      <w:r>
        <w:fldChar w:fldCharType="begin"/>
      </w:r>
      <w:r>
        <w:instrText xml:space="preserve"> HYPERLINK \l "_Toc17878128" </w:instrText>
      </w:r>
      <w:r>
        <w:fldChar w:fldCharType="separate"/>
      </w:r>
      <w:r>
        <w:rPr>
          <w:rStyle w:val="36"/>
          <w:rFonts w:ascii="Times New Roman"/>
        </w:rPr>
        <w:t>2　规范性引用文件</w:t>
      </w:r>
      <w:r>
        <w:rPr>
          <w:rFonts w:ascii="Times New Roman"/>
        </w:rPr>
        <w:tab/>
      </w:r>
      <w:r>
        <w:rPr>
          <w:rFonts w:ascii="Times New Roman"/>
        </w:rPr>
        <w:t>3</w:t>
      </w:r>
      <w:r>
        <w:rPr>
          <w:rFonts w:ascii="Times New Roman"/>
        </w:rPr>
        <w:fldChar w:fldCharType="end"/>
      </w:r>
    </w:p>
    <w:p>
      <w:pPr>
        <w:pStyle w:val="18"/>
        <w:spacing w:before="78" w:after="78"/>
        <w:rPr>
          <w:rFonts w:ascii="Times New Roman"/>
        </w:rPr>
      </w:pPr>
      <w:r>
        <w:fldChar w:fldCharType="begin"/>
      </w:r>
      <w:r>
        <w:instrText xml:space="preserve"> HYPERLINK \l "_Toc17878129" </w:instrText>
      </w:r>
      <w:r>
        <w:fldChar w:fldCharType="separate"/>
      </w:r>
      <w:r>
        <w:rPr>
          <w:rStyle w:val="36"/>
          <w:rFonts w:ascii="Times New Roman"/>
        </w:rPr>
        <w:t>3  术语和定义</w:t>
      </w:r>
      <w:r>
        <w:rPr>
          <w:rFonts w:ascii="Times New Roman"/>
        </w:rPr>
        <w:tab/>
      </w:r>
      <w:r>
        <w:rPr>
          <w:rFonts w:ascii="Times New Roman"/>
        </w:rPr>
        <w:t>3</w:t>
      </w:r>
      <w:r>
        <w:rPr>
          <w:rFonts w:ascii="Times New Roman"/>
        </w:rPr>
        <w:fldChar w:fldCharType="end"/>
      </w:r>
    </w:p>
    <w:p>
      <w:pPr>
        <w:pStyle w:val="18"/>
        <w:spacing w:before="78" w:after="78"/>
        <w:rPr>
          <w:rFonts w:ascii="Times New Roman"/>
        </w:rPr>
      </w:pPr>
      <w:bookmarkStart w:id="13" w:name="_Hlk55207708"/>
      <w:r>
        <w:rPr>
          <w:rFonts w:ascii="Times New Roman"/>
        </w:rPr>
        <w:fldChar w:fldCharType="begin"/>
      </w:r>
      <w:r>
        <w:rPr>
          <w:rFonts w:ascii="Times New Roman"/>
        </w:rPr>
        <w:instrText xml:space="preserve"> HYPERLINK \l "_Toc17878129" </w:instrText>
      </w:r>
      <w:r>
        <w:rPr>
          <w:rFonts w:ascii="Times New Roman"/>
        </w:rPr>
        <w:fldChar w:fldCharType="separate"/>
      </w:r>
      <w:r>
        <w:rPr>
          <w:rStyle w:val="36"/>
          <w:rFonts w:ascii="Times New Roman"/>
        </w:rPr>
        <w:t>4  诊断与鉴定</w:t>
      </w:r>
      <w:r>
        <w:rPr>
          <w:rFonts w:ascii="Times New Roman"/>
        </w:rPr>
        <w:tab/>
      </w:r>
      <w:r>
        <w:rPr>
          <w:rFonts w:hint="eastAsia" w:ascii="Times New Roman"/>
        </w:rPr>
        <w:t>3</w:t>
      </w:r>
      <w:r>
        <w:rPr>
          <w:rFonts w:ascii="Times New Roman"/>
        </w:rPr>
        <w:fldChar w:fldCharType="end"/>
      </w:r>
    </w:p>
    <w:bookmarkEnd w:id="13"/>
    <w:p>
      <w:pPr>
        <w:pStyle w:val="18"/>
        <w:spacing w:before="78" w:after="78"/>
        <w:rPr>
          <w:rFonts w:ascii="Times New Roman"/>
        </w:rPr>
      </w:pPr>
      <w:r>
        <w:rPr>
          <w:rFonts w:ascii="Times New Roman"/>
        </w:rPr>
        <w:fldChar w:fldCharType="begin"/>
      </w:r>
      <w:r>
        <w:rPr>
          <w:rFonts w:ascii="Times New Roman"/>
        </w:rPr>
        <w:instrText xml:space="preserve"> HYPERLINK \l "_Toc17878129" </w:instrText>
      </w:r>
      <w:r>
        <w:rPr>
          <w:rFonts w:ascii="Times New Roman"/>
        </w:rPr>
        <w:fldChar w:fldCharType="separate"/>
      </w:r>
      <w:r>
        <w:rPr>
          <w:rStyle w:val="36"/>
          <w:rFonts w:ascii="Times New Roman"/>
        </w:rPr>
        <w:t>5  防控</w:t>
      </w:r>
      <w:r>
        <w:rPr>
          <w:rFonts w:ascii="Times New Roman"/>
        </w:rPr>
        <w:tab/>
      </w:r>
      <w:r>
        <w:rPr>
          <w:rFonts w:hint="eastAsia" w:ascii="Times New Roman"/>
        </w:rPr>
        <w:t>5</w:t>
      </w:r>
      <w:r>
        <w:rPr>
          <w:rFonts w:ascii="Times New Roman"/>
        </w:rPr>
        <w:fldChar w:fldCharType="end"/>
      </w:r>
    </w:p>
    <w:p>
      <w:pPr>
        <w:pStyle w:val="18"/>
        <w:spacing w:before="78" w:after="78"/>
        <w:rPr>
          <w:rFonts w:ascii="Times New Roman"/>
        </w:rPr>
      </w:pPr>
      <w:r>
        <w:fldChar w:fldCharType="begin"/>
      </w:r>
      <w:r>
        <w:instrText xml:space="preserve"> HYPERLINK \l "_Toc17878130" </w:instrText>
      </w:r>
      <w:r>
        <w:fldChar w:fldCharType="separate"/>
      </w:r>
      <w:r>
        <w:rPr>
          <w:rStyle w:val="36"/>
          <w:rFonts w:ascii="Times New Roman"/>
        </w:rPr>
        <w:t>附录A（</w:t>
      </w:r>
      <w:r>
        <w:rPr>
          <w:rStyle w:val="36"/>
          <w:rFonts w:hint="eastAsia" w:ascii="Times New Roman"/>
        </w:rPr>
        <w:t>规范</w:t>
      </w:r>
      <w:r>
        <w:rPr>
          <w:rStyle w:val="36"/>
          <w:rFonts w:ascii="Times New Roman"/>
        </w:rPr>
        <w:t>性）　</w:t>
      </w:r>
      <w:r>
        <w:rPr>
          <w:rStyle w:val="36"/>
          <w:rFonts w:hint="eastAsia" w:ascii="Times New Roman"/>
        </w:rPr>
        <w:t>PCR反应体系及引物序列</w:t>
      </w:r>
      <w:r>
        <w:rPr>
          <w:rFonts w:ascii="Times New Roman"/>
        </w:rPr>
        <w:tab/>
      </w:r>
      <w:r>
        <w:rPr>
          <w:rFonts w:hint="eastAsia" w:ascii="Times New Roman"/>
        </w:rPr>
        <w:t>7</w:t>
      </w:r>
      <w:r>
        <w:rPr>
          <w:rFonts w:hint="eastAsia" w:ascii="Times New Roman"/>
        </w:rPr>
        <w:fldChar w:fldCharType="end"/>
      </w:r>
    </w:p>
    <w:p>
      <w:pPr>
        <w:pStyle w:val="22"/>
        <w:rPr>
          <w:rFonts w:ascii="Times New Roman"/>
        </w:rPr>
      </w:pPr>
      <w:r>
        <w:rPr>
          <w:rFonts w:ascii="Times New Roman"/>
        </w:rPr>
        <w:fldChar w:fldCharType="end"/>
      </w:r>
    </w:p>
    <w:p>
      <w:pPr>
        <w:pStyle w:val="109"/>
        <w:tabs>
          <w:tab w:val="left" w:pos="1105"/>
          <w:tab w:val="center" w:pos="4677"/>
        </w:tabs>
        <w:jc w:val="left"/>
        <w:rPr>
          <w:rFonts w:ascii="Times New Roman"/>
        </w:rPr>
      </w:pPr>
      <w:bookmarkStart w:id="14" w:name="_Toc17878125"/>
      <w:r>
        <w:rPr>
          <w:rFonts w:ascii="Times New Roman"/>
        </w:rPr>
        <w:tab/>
      </w:r>
      <w:r>
        <w:rPr>
          <w:rFonts w:ascii="Times New Roman"/>
        </w:rPr>
        <w:tab/>
      </w:r>
      <w:r>
        <w:rPr>
          <w:rFonts w:ascii="Times New Roman"/>
        </w:rPr>
        <w:t>前</w:t>
      </w:r>
      <w:bookmarkStart w:id="15" w:name="BKQY"/>
      <w:r>
        <w:rPr>
          <w:rFonts w:ascii="Times New Roman"/>
        </w:rPr>
        <w:t>  言</w:t>
      </w:r>
      <w:bookmarkEnd w:id="14"/>
      <w:bookmarkEnd w:id="15"/>
    </w:p>
    <w:p>
      <w:pPr>
        <w:pStyle w:val="22"/>
        <w:rPr>
          <w:rFonts w:ascii="Times New Roman"/>
        </w:rPr>
      </w:pPr>
      <w:r>
        <w:rPr>
          <w:rFonts w:ascii="Times New Roman"/>
        </w:rPr>
        <w:t>本文件按照GB/T 1.1—2020《标准化工作导则第1部分：标准化文件的结构和起草规则》的规定起草。</w:t>
      </w:r>
    </w:p>
    <w:p>
      <w:pPr>
        <w:pStyle w:val="22"/>
        <w:rPr>
          <w:rFonts w:ascii="Times New Roman"/>
        </w:rPr>
      </w:pPr>
      <w:r>
        <w:rPr>
          <w:rFonts w:ascii="Times New Roman"/>
        </w:rPr>
        <w:t>本文件提出单位：石家庄市农业农村局</w:t>
      </w:r>
    </w:p>
    <w:p>
      <w:pPr>
        <w:pStyle w:val="22"/>
        <w:rPr>
          <w:rFonts w:ascii="Times New Roman"/>
        </w:rPr>
      </w:pPr>
      <w:r>
        <w:rPr>
          <w:rFonts w:ascii="Times New Roman"/>
        </w:rPr>
        <w:t>本文件归口单位：石家庄市农业农村局</w:t>
      </w:r>
    </w:p>
    <w:p>
      <w:pPr>
        <w:pStyle w:val="22"/>
        <w:rPr>
          <w:rFonts w:ascii="Times New Roman"/>
        </w:rPr>
      </w:pPr>
      <w:r>
        <w:rPr>
          <w:rFonts w:ascii="Times New Roman"/>
        </w:rPr>
        <w:t>本文件起草单位：石家庄赞皇县蕊源蜂业有限公司</w:t>
      </w:r>
      <w:r>
        <w:rPr>
          <w:rFonts w:hint="eastAsia" w:ascii="Times New Roman"/>
        </w:rPr>
        <w:t>、</w:t>
      </w:r>
      <w:r>
        <w:rPr>
          <w:rFonts w:ascii="Times New Roman"/>
        </w:rPr>
        <w:t>中国农业科学院蜜蜂研究所、石家庄市动物疫病预防控制中心</w:t>
      </w:r>
    </w:p>
    <w:p>
      <w:pPr>
        <w:pStyle w:val="22"/>
        <w:ind w:firstLine="0" w:firstLineChars="0"/>
        <w:rPr>
          <w:rFonts w:ascii="Times New Roman"/>
        </w:rPr>
      </w:pPr>
      <w:r>
        <w:rPr>
          <w:rFonts w:ascii="Times New Roman"/>
        </w:rPr>
        <w:t>本文件主要起草人：王强、王荣申、王岳森、</w:t>
      </w:r>
      <w:r>
        <w:rPr>
          <w:rFonts w:hint="eastAsia" w:ascii="Times New Roman"/>
        </w:rPr>
        <w:t>魏月、</w:t>
      </w:r>
      <w:r>
        <w:rPr>
          <w:rFonts w:ascii="Times New Roman"/>
        </w:rPr>
        <w:t>王岳峰、</w:t>
      </w:r>
      <w:r>
        <w:rPr>
          <w:rFonts w:hint="eastAsia" w:ascii="Times New Roman"/>
        </w:rPr>
        <w:t>孟君丽、许亚改、陈海军</w:t>
      </w:r>
      <w:r>
        <w:rPr>
          <w:rFonts w:hint="eastAsia" w:ascii="Times New Roman"/>
        </w:rPr>
        <w:t>、郭伟婷、张艳红、刘旭东、孙继强、谢峰、马丽荣、路伟、杜义明、</w:t>
      </w:r>
      <w:r>
        <w:rPr>
          <w:rFonts w:ascii="Times New Roman"/>
        </w:rPr>
        <w:t>王聪敏</w:t>
      </w:r>
    </w:p>
    <w:p>
      <w:pPr>
        <w:pStyle w:val="22"/>
        <w:ind w:firstLine="0" w:firstLineChars="0"/>
        <w:rPr>
          <w:rFonts w:ascii="Times New Roman"/>
        </w:rPr>
      </w:pPr>
    </w:p>
    <w:p>
      <w:pPr>
        <w:pStyle w:val="22"/>
        <w:rPr>
          <w:rFonts w:ascii="Times New Roman"/>
        </w:rPr>
      </w:pPr>
      <w:bookmarkStart w:id="24" w:name="_GoBack"/>
      <w:bookmarkEnd w:id="24"/>
    </w:p>
    <w:p>
      <w:pPr>
        <w:pStyle w:val="134"/>
        <w:rPr>
          <w:rFonts w:ascii="Times New Roman"/>
        </w:rPr>
      </w:pPr>
      <w:sdt>
        <w:sdtPr>
          <w:rPr>
            <w:rFonts w:ascii="Times New Roman"/>
          </w:rPr>
          <w:alias w:val="标准名称"/>
          <w:tag w:val="标准名称"/>
          <w:id w:val="1795105741"/>
          <w:lock w:val="sdtLocked"/>
          <w:placeholder>
            <w:docPart w:val="111"/>
          </w:placeholder>
          <w:text w:multiLine="1"/>
        </w:sdtPr>
        <w:sdtEndPr>
          <w:rPr>
            <w:rFonts w:ascii="Times New Roman"/>
          </w:rPr>
        </w:sdtEndPr>
        <w:sdtContent>
          <w:r>
            <w:rPr>
              <w:rFonts w:ascii="Times New Roman"/>
            </w:rPr>
            <w:t>蜜蜂微孢子虫病</w:t>
          </w:r>
          <w:r>
            <w:rPr>
              <w:rFonts w:hint="eastAsia" w:ascii="Times New Roman"/>
            </w:rPr>
            <w:t>绿色</w:t>
          </w:r>
          <w:r>
            <w:rPr>
              <w:rFonts w:ascii="Times New Roman"/>
            </w:rPr>
            <w:t>防治技术规程</w:t>
          </w:r>
        </w:sdtContent>
      </w:sdt>
      <w:bookmarkStart w:id="16" w:name="StandardName"/>
      <w:bookmarkEnd w:id="16"/>
    </w:p>
    <w:p>
      <w:pPr>
        <w:pStyle w:val="42"/>
        <w:spacing w:before="312" w:after="312"/>
        <w:ind w:left="0"/>
        <w:jc w:val="left"/>
        <w:rPr>
          <w:rFonts w:ascii="Times New Roman"/>
        </w:rPr>
      </w:pPr>
      <w:bookmarkStart w:id="17" w:name="_Toc17878127"/>
      <w:r>
        <w:rPr>
          <w:rFonts w:ascii="Times New Roman"/>
        </w:rPr>
        <w:t>范围</w:t>
      </w:r>
      <w:bookmarkEnd w:id="17"/>
    </w:p>
    <w:p>
      <w:pPr>
        <w:pStyle w:val="22"/>
        <w:rPr>
          <w:rFonts w:ascii="Times New Roman"/>
        </w:rPr>
      </w:pPr>
      <w:r>
        <w:rPr>
          <w:rFonts w:ascii="Times New Roman"/>
        </w:rPr>
        <w:t>本文件规定了蜜蜂微孢子虫病诊断与鉴定、防控的方法。</w:t>
      </w:r>
    </w:p>
    <w:p>
      <w:pPr>
        <w:pStyle w:val="22"/>
        <w:rPr>
          <w:rFonts w:ascii="Times New Roman"/>
        </w:rPr>
      </w:pPr>
      <w:r>
        <w:rPr>
          <w:rFonts w:ascii="Times New Roman"/>
        </w:rPr>
        <w:t>本文件适用于蜜蜂微孢子虫病症状、形态及分子生物学诊断和综合防治。</w:t>
      </w:r>
    </w:p>
    <w:p>
      <w:pPr>
        <w:pStyle w:val="42"/>
        <w:spacing w:before="312" w:after="312"/>
        <w:ind w:left="0"/>
        <w:rPr>
          <w:rFonts w:ascii="Times New Roman"/>
        </w:rPr>
      </w:pPr>
      <w:bookmarkStart w:id="18" w:name="_Toc17878128"/>
      <w:r>
        <w:rPr>
          <w:rFonts w:ascii="Times New Roman"/>
        </w:rPr>
        <w:t>规范性引用文件</w:t>
      </w:r>
      <w:bookmarkEnd w:id="18"/>
    </w:p>
    <w:p>
      <w:pPr>
        <w:pStyle w:val="22"/>
        <w:rPr>
          <w:rFonts w:ascii="Times New Roman"/>
        </w:rPr>
      </w:pPr>
      <w:r>
        <w:rPr>
          <w:rFonts w:ascii="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22"/>
        <w:rPr>
          <w:rFonts w:ascii="Times New Roman"/>
        </w:rPr>
      </w:pPr>
      <w:r>
        <w:rPr>
          <w:rFonts w:ascii="Times New Roman"/>
        </w:rPr>
        <w:t>GB/T 19168 蜜蜂病虫害综合防治规范</w:t>
      </w:r>
    </w:p>
    <w:p>
      <w:pPr>
        <w:pStyle w:val="22"/>
        <w:rPr>
          <w:rFonts w:ascii="Times New Roman"/>
        </w:rPr>
      </w:pPr>
      <w:r>
        <w:rPr>
          <w:rFonts w:ascii="Times New Roman"/>
        </w:rPr>
        <w:t>SN/T 1683 蜜蜂微孢子虫病诊断方法</w:t>
      </w:r>
    </w:p>
    <w:p>
      <w:pPr>
        <w:pStyle w:val="22"/>
        <w:rPr>
          <w:rFonts w:ascii="Times New Roman"/>
        </w:rPr>
      </w:pPr>
      <w:r>
        <w:rPr>
          <w:rFonts w:ascii="Times New Roman"/>
        </w:rPr>
        <w:t>OIE 陆生动物卫生法典</w:t>
      </w:r>
    </w:p>
    <w:p>
      <w:pPr>
        <w:pStyle w:val="42"/>
        <w:spacing w:before="312" w:after="312"/>
        <w:ind w:left="0"/>
        <w:rPr>
          <w:rFonts w:ascii="Times New Roman"/>
        </w:rPr>
      </w:pPr>
      <w:r>
        <w:rPr>
          <w:rFonts w:ascii="Times New Roman"/>
        </w:rPr>
        <w:t>术语和定义</w:t>
      </w:r>
    </w:p>
    <w:p>
      <w:pPr>
        <w:pStyle w:val="22"/>
        <w:rPr>
          <w:rFonts w:ascii="Times New Roman"/>
        </w:rPr>
      </w:pPr>
      <w:r>
        <w:rPr>
          <w:rFonts w:ascii="Times New Roman"/>
        </w:rPr>
        <w:t>下列术语和定义适用于本文件。</w:t>
      </w:r>
    </w:p>
    <w:p>
      <w:pPr>
        <w:pStyle w:val="39"/>
        <w:spacing w:before="156" w:after="156"/>
        <w:rPr>
          <w:rFonts w:ascii="Times New Roman"/>
        </w:rPr>
      </w:pPr>
      <w:r>
        <w:rPr>
          <w:rFonts w:ascii="Times New Roman"/>
        </w:rPr>
        <w:t>蜜蜂微孢子虫</w:t>
      </w:r>
    </w:p>
    <w:p>
      <w:pPr>
        <w:pStyle w:val="22"/>
        <w:rPr>
          <w:rFonts w:ascii="Times New Roman"/>
        </w:rPr>
      </w:pPr>
      <w:r>
        <w:rPr>
          <w:rFonts w:ascii="Times New Roman"/>
        </w:rPr>
        <w:t>是一种侵染成年蜜蜂中肠上皮细胞引起蜜蜂发病的致病性真菌，包括蜜蜂微孢子虫和东方蜜蜂微孢子</w:t>
      </w:r>
      <w:r>
        <w:rPr>
          <w:rFonts w:hint="eastAsia" w:ascii="Times New Roman"/>
        </w:rPr>
        <w:t>虫</w:t>
      </w:r>
      <w:r>
        <w:rPr>
          <w:rFonts w:ascii="Times New Roman"/>
        </w:rPr>
        <w:t>2个种。</w:t>
      </w:r>
    </w:p>
    <w:p>
      <w:pPr>
        <w:pStyle w:val="39"/>
        <w:spacing w:before="156" w:after="156"/>
        <w:rPr>
          <w:rFonts w:ascii="Times New Roman"/>
        </w:rPr>
      </w:pPr>
      <w:r>
        <w:rPr>
          <w:rFonts w:ascii="Times New Roman"/>
        </w:rPr>
        <w:t>消毒</w:t>
      </w:r>
    </w:p>
    <w:p>
      <w:pPr>
        <w:pStyle w:val="22"/>
        <w:rPr>
          <w:rFonts w:ascii="Times New Roman"/>
        </w:rPr>
      </w:pPr>
      <w:r>
        <w:rPr>
          <w:rFonts w:ascii="Times New Roman"/>
        </w:rPr>
        <w:t>指为</w:t>
      </w:r>
      <w:r>
        <w:rPr>
          <w:rFonts w:hint="eastAsia" w:ascii="Times New Roman"/>
        </w:rPr>
        <w:t>杀</w:t>
      </w:r>
      <w:r>
        <w:rPr>
          <w:rFonts w:ascii="Times New Roman"/>
        </w:rPr>
        <w:t>灭包括蜜蜂疫病</w:t>
      </w:r>
      <w:r>
        <w:rPr>
          <w:rFonts w:hint="eastAsia" w:ascii="Times New Roman"/>
        </w:rPr>
        <w:t>病原体</w:t>
      </w:r>
      <w:r>
        <w:rPr>
          <w:rFonts w:ascii="Times New Roman"/>
        </w:rPr>
        <w:t>或寄生虫而</w:t>
      </w:r>
      <w:r>
        <w:rPr>
          <w:rFonts w:hint="eastAsia" w:ascii="Times New Roman"/>
        </w:rPr>
        <w:t>采取的一种措施</w:t>
      </w:r>
      <w:r>
        <w:rPr>
          <w:rFonts w:ascii="Times New Roman"/>
        </w:rPr>
        <w:t>，适用于可能被直接或间接污染的场所、工具及各种物体</w:t>
      </w:r>
    </w:p>
    <w:p>
      <w:pPr>
        <w:pStyle w:val="22"/>
        <w:rPr>
          <w:rFonts w:ascii="Times New Roman"/>
        </w:rPr>
      </w:pPr>
      <w:r>
        <w:rPr>
          <w:rFonts w:ascii="Times New Roman"/>
        </w:rPr>
        <w:t>[来源：OIE 陆生动物卫生法典，有修改]</w:t>
      </w:r>
    </w:p>
    <w:p>
      <w:pPr>
        <w:pStyle w:val="39"/>
        <w:spacing w:before="156" w:after="156"/>
        <w:rPr>
          <w:rFonts w:ascii="Times New Roman"/>
        </w:rPr>
      </w:pPr>
      <w:r>
        <w:rPr>
          <w:rFonts w:ascii="Times New Roman"/>
        </w:rPr>
        <w:t>监测</w:t>
      </w:r>
    </w:p>
    <w:p>
      <w:pPr>
        <w:pStyle w:val="22"/>
        <w:rPr>
          <w:rFonts w:ascii="Times New Roman"/>
        </w:rPr>
      </w:pPr>
      <w:r>
        <w:rPr>
          <w:rFonts w:ascii="Times New Roman"/>
        </w:rPr>
        <w:t>指系统而持续地收集、整理和分析与</w:t>
      </w:r>
      <w:r>
        <w:rPr>
          <w:rFonts w:hint="eastAsia" w:ascii="Times New Roman"/>
        </w:rPr>
        <w:t>蜜蜂微孢子虫病有</w:t>
      </w:r>
      <w:r>
        <w:rPr>
          <w:rFonts w:ascii="Times New Roman"/>
        </w:rPr>
        <w:t>关的信息，并及时向相关人士传递信息以便采取相应的措施。</w:t>
      </w:r>
    </w:p>
    <w:p>
      <w:pPr>
        <w:pStyle w:val="22"/>
        <w:rPr>
          <w:rFonts w:ascii="Times New Roman"/>
        </w:rPr>
      </w:pPr>
      <w:r>
        <w:rPr>
          <w:rFonts w:ascii="Times New Roman"/>
        </w:rPr>
        <w:t>[来源：OIE 陆生动物卫生法典，有修改]</w:t>
      </w:r>
    </w:p>
    <w:p>
      <w:pPr>
        <w:pStyle w:val="42"/>
        <w:spacing w:before="312" w:after="312"/>
        <w:ind w:left="0"/>
        <w:rPr>
          <w:rFonts w:ascii="Times New Roman"/>
        </w:rPr>
      </w:pPr>
      <w:r>
        <w:rPr>
          <w:rFonts w:ascii="Times New Roman"/>
        </w:rPr>
        <w:t>诊断与鉴定</w:t>
      </w:r>
    </w:p>
    <w:p>
      <w:pPr>
        <w:pStyle w:val="39"/>
        <w:spacing w:before="156" w:after="156"/>
        <w:rPr>
          <w:rFonts w:ascii="Times New Roman"/>
        </w:rPr>
      </w:pPr>
      <w:r>
        <w:rPr>
          <w:rFonts w:ascii="Times New Roman"/>
        </w:rPr>
        <w:t>诊断流程</w:t>
      </w:r>
    </w:p>
    <w:p>
      <w:pPr>
        <w:pStyle w:val="22"/>
        <w:rPr>
          <w:rFonts w:ascii="Times New Roman"/>
        </w:rPr>
      </w:pPr>
      <w:r>
        <w:rPr>
          <w:rFonts w:hint="eastAsia" w:ascii="Times New Roman"/>
        </w:rPr>
        <w:t>当观察到蜂群出现典型症状时应遵循先通过个体症状观察初步确诊，再取样后通过显微镜鉴定即可确诊。如需对没有明显症状的蜂群进行早期诊断或例行养蜂场的病害监控则可采用PCR鉴定方法。</w:t>
      </w:r>
    </w:p>
    <w:p>
      <w:pPr>
        <w:pStyle w:val="39"/>
        <w:spacing w:before="156" w:after="156"/>
        <w:rPr>
          <w:rFonts w:ascii="Times New Roman"/>
        </w:rPr>
      </w:pPr>
      <w:r>
        <w:rPr>
          <w:rFonts w:ascii="Times New Roman"/>
        </w:rPr>
        <w:t>症状</w:t>
      </w:r>
    </w:p>
    <w:p>
      <w:pPr>
        <w:pStyle w:val="43"/>
        <w:spacing w:before="156" w:after="156"/>
        <w:rPr>
          <w:rFonts w:ascii="Times New Roman"/>
        </w:rPr>
      </w:pPr>
      <w:r>
        <w:rPr>
          <w:rFonts w:ascii="Times New Roman"/>
        </w:rPr>
        <w:t>蜂群症状</w:t>
      </w:r>
    </w:p>
    <w:p>
      <w:pPr>
        <w:pStyle w:val="22"/>
        <w:ind w:firstLine="0" w:firstLineChars="0"/>
        <w:rPr>
          <w:rFonts w:ascii="Times New Roman"/>
        </w:rPr>
      </w:pPr>
      <w:r>
        <w:rPr>
          <w:rFonts w:ascii="Times New Roman"/>
        </w:rPr>
        <w:t>4.2.1.1 急性重症感染</w:t>
      </w:r>
    </w:p>
    <w:p>
      <w:pPr>
        <w:pStyle w:val="22"/>
        <w:numPr>
          <w:ilvl w:val="0"/>
          <w:numId w:val="18"/>
        </w:numPr>
        <w:ind w:firstLineChars="0"/>
        <w:rPr>
          <w:rFonts w:ascii="Times New Roman"/>
        </w:rPr>
      </w:pPr>
      <w:r>
        <w:rPr>
          <w:rFonts w:hint="eastAsia" w:ascii="Times New Roman"/>
        </w:rPr>
        <w:t>蜂群</w:t>
      </w:r>
      <w:r>
        <w:rPr>
          <w:rFonts w:ascii="Times New Roman"/>
        </w:rPr>
        <w:t>粪便</w:t>
      </w:r>
      <w:r>
        <w:rPr>
          <w:rFonts w:hint="eastAsia" w:ascii="Times New Roman"/>
        </w:rPr>
        <w:t>：</w:t>
      </w:r>
      <w:r>
        <w:rPr>
          <w:rFonts w:ascii="Times New Roman"/>
        </w:rPr>
        <w:t>蜂箱外壁或周围地面会出现大量棕色约0.5 cm长的细长条状粪便</w:t>
      </w:r>
      <w:r>
        <w:rPr>
          <w:rFonts w:hint="eastAsia" w:ascii="Times New Roman"/>
        </w:rPr>
        <w:t>，或出现</w:t>
      </w:r>
      <w:r>
        <w:rPr>
          <w:rFonts w:ascii="Times New Roman"/>
        </w:rPr>
        <w:t>粪便</w:t>
      </w:r>
      <w:r>
        <w:rPr>
          <w:rFonts w:hint="eastAsia" w:ascii="Times New Roman"/>
        </w:rPr>
        <w:t>变稀、颜色变深现象</w:t>
      </w:r>
      <w:r>
        <w:rPr>
          <w:rFonts w:ascii="Times New Roman"/>
        </w:rPr>
        <w:t>。</w:t>
      </w:r>
    </w:p>
    <w:p>
      <w:pPr>
        <w:pStyle w:val="22"/>
        <w:numPr>
          <w:ilvl w:val="0"/>
          <w:numId w:val="18"/>
        </w:numPr>
        <w:ind w:firstLineChars="0"/>
        <w:rPr>
          <w:rFonts w:ascii="Times New Roman"/>
        </w:rPr>
      </w:pPr>
      <w:r>
        <w:rPr>
          <w:rFonts w:hint="eastAsia" w:ascii="Times New Roman"/>
        </w:rPr>
        <w:t>蜂群表现：</w:t>
      </w:r>
      <w:r>
        <w:rPr>
          <w:rFonts w:ascii="Times New Roman"/>
        </w:rPr>
        <w:t>在蜂巢入口处</w:t>
      </w:r>
      <w:r>
        <w:rPr>
          <w:rFonts w:hint="eastAsia" w:ascii="Times New Roman"/>
        </w:rPr>
        <w:t>及养蜂场地面</w:t>
      </w:r>
      <w:r>
        <w:rPr>
          <w:rFonts w:ascii="Times New Roman"/>
        </w:rPr>
        <w:t>，会见到患病</w:t>
      </w:r>
      <w:r>
        <w:rPr>
          <w:rFonts w:hint="eastAsia" w:ascii="Times New Roman"/>
        </w:rPr>
        <w:t>爬行的</w:t>
      </w:r>
      <w:r>
        <w:rPr>
          <w:rFonts w:ascii="Times New Roman"/>
        </w:rPr>
        <w:t>和死去的蜜蜂</w:t>
      </w:r>
      <w:r>
        <w:rPr>
          <w:rFonts w:hint="eastAsia" w:ascii="Times New Roman"/>
        </w:rPr>
        <w:t>。且蜂群群势急速下降</w:t>
      </w:r>
      <w:r>
        <w:rPr>
          <w:rFonts w:ascii="Times New Roman"/>
        </w:rPr>
        <w:t>。</w:t>
      </w:r>
    </w:p>
    <w:p>
      <w:pPr>
        <w:pStyle w:val="22"/>
        <w:ind w:firstLine="0" w:firstLineChars="0"/>
        <w:rPr>
          <w:rFonts w:ascii="Times New Roman"/>
        </w:rPr>
      </w:pPr>
      <w:r>
        <w:rPr>
          <w:rFonts w:ascii="Times New Roman"/>
        </w:rPr>
        <w:t>4.2.1.2 轻度感染</w:t>
      </w:r>
    </w:p>
    <w:p>
      <w:pPr>
        <w:pStyle w:val="22"/>
        <w:ind w:firstLine="424" w:firstLineChars="202"/>
        <w:rPr>
          <w:rFonts w:ascii="Times New Roman"/>
        </w:rPr>
      </w:pPr>
      <w:r>
        <w:rPr>
          <w:rFonts w:ascii="Times New Roman"/>
        </w:rPr>
        <w:t>除了部分成年蜜蜂在蜂箱外爬行外</w:t>
      </w:r>
      <w:r>
        <w:rPr>
          <w:rFonts w:hint="eastAsia" w:ascii="Times New Roman"/>
        </w:rPr>
        <w:t>，</w:t>
      </w:r>
      <w:r>
        <w:rPr>
          <w:rFonts w:ascii="Times New Roman"/>
        </w:rPr>
        <w:t>没有其他</w:t>
      </w:r>
      <w:r>
        <w:rPr>
          <w:rFonts w:hint="eastAsia" w:ascii="Times New Roman"/>
        </w:rPr>
        <w:t>异常表现</w:t>
      </w:r>
      <w:r>
        <w:rPr>
          <w:rFonts w:ascii="Times New Roman"/>
        </w:rPr>
        <w:t>。</w:t>
      </w:r>
    </w:p>
    <w:p>
      <w:pPr>
        <w:pStyle w:val="43"/>
        <w:spacing w:before="156" w:after="156"/>
        <w:rPr>
          <w:rFonts w:ascii="Times New Roman"/>
        </w:rPr>
      </w:pPr>
      <w:r>
        <w:rPr>
          <w:rFonts w:ascii="Times New Roman"/>
        </w:rPr>
        <w:t>蜜蜂个体症状</w:t>
      </w:r>
    </w:p>
    <w:p>
      <w:pPr>
        <w:pStyle w:val="22"/>
      </w:pPr>
      <w:r>
        <w:rPr>
          <w:rFonts w:hint="eastAsia"/>
        </w:rPr>
        <w:t>蜜蜂个体感染病原后可通过如下症状进行初步判断。</w:t>
      </w:r>
    </w:p>
    <w:p>
      <w:pPr>
        <w:pStyle w:val="140"/>
        <w:numPr>
          <w:ilvl w:val="0"/>
          <w:numId w:val="19"/>
        </w:numPr>
        <w:tabs>
          <w:tab w:val="center" w:pos="851"/>
        </w:tabs>
        <w:ind w:left="420"/>
      </w:pPr>
      <w:r>
        <w:rPr>
          <w:rFonts w:hint="eastAsia"/>
          <w:kern w:val="0"/>
          <w:szCs w:val="20"/>
        </w:rPr>
        <w:t>病蜂活动状况，患病蜜蜂表现出行动迟滞，腹部膨大，飞翔无力等症状。</w:t>
      </w:r>
    </w:p>
    <w:p>
      <w:pPr>
        <w:pStyle w:val="22"/>
        <w:numPr>
          <w:ilvl w:val="0"/>
          <w:numId w:val="19"/>
        </w:numPr>
        <w:tabs>
          <w:tab w:val="center" w:pos="851"/>
          <w:tab w:val="clear" w:pos="4201"/>
        </w:tabs>
        <w:ind w:left="420"/>
        <w:rPr>
          <w:rFonts w:ascii="Times New Roman"/>
        </w:rPr>
      </w:pPr>
      <w:r>
        <w:rPr>
          <w:rFonts w:ascii="Times New Roman"/>
        </w:rPr>
        <w:t>用镊子从具有典型症状的蜜蜂腹部末端夹出中肠及后肠仔细观察</w:t>
      </w:r>
      <w:r>
        <w:rPr>
          <w:rFonts w:hint="eastAsia" w:ascii="Times New Roman"/>
        </w:rPr>
        <w:t>，</w:t>
      </w:r>
      <w:r>
        <w:rPr>
          <w:rFonts w:ascii="Times New Roman"/>
        </w:rPr>
        <w:t>健康蜜蜂中肠呈棕色，环纹明显，并且具有弹性和光泽。如观察到蜜蜂中肠膨大，呈乳白色，环纹不清，失去弹性和光泽，可初步确定为蜜蜂微孢子虫病。</w:t>
      </w:r>
    </w:p>
    <w:p>
      <w:pPr>
        <w:pStyle w:val="39"/>
        <w:spacing w:before="156" w:after="156"/>
        <w:rPr>
          <w:rFonts w:ascii="Times New Roman"/>
        </w:rPr>
      </w:pPr>
      <w:r>
        <w:rPr>
          <w:rFonts w:ascii="Times New Roman"/>
        </w:rPr>
        <w:t>实验室鉴定</w:t>
      </w:r>
    </w:p>
    <w:p>
      <w:pPr>
        <w:pStyle w:val="43"/>
        <w:spacing w:before="156" w:after="156"/>
        <w:rPr>
          <w:rFonts w:ascii="Times New Roman"/>
        </w:rPr>
      </w:pPr>
      <w:r>
        <w:rPr>
          <w:rFonts w:ascii="Times New Roman"/>
        </w:rPr>
        <w:t>显微镜鉴定</w:t>
      </w:r>
    </w:p>
    <w:p>
      <w:pPr>
        <w:pStyle w:val="22"/>
        <w:ind w:firstLine="0" w:firstLineChars="0"/>
        <w:rPr>
          <w:rFonts w:ascii="Times New Roman"/>
        </w:rPr>
      </w:pPr>
      <w:r>
        <w:rPr>
          <w:rFonts w:ascii="Times New Roman"/>
        </w:rPr>
        <w:t>4.</w:t>
      </w:r>
      <w:r>
        <w:rPr>
          <w:rFonts w:hint="eastAsia" w:ascii="Times New Roman"/>
        </w:rPr>
        <w:t>3</w:t>
      </w:r>
      <w:r>
        <w:rPr>
          <w:rFonts w:ascii="Times New Roman"/>
        </w:rPr>
        <w:t>.1.1 样品处理</w:t>
      </w:r>
    </w:p>
    <w:p>
      <w:pPr>
        <w:pStyle w:val="22"/>
        <w:ind w:firstLine="424" w:firstLineChars="202"/>
        <w:rPr>
          <w:rFonts w:ascii="Times New Roman"/>
        </w:rPr>
      </w:pPr>
      <w:r>
        <w:rPr>
          <w:rFonts w:ascii="Times New Roman"/>
        </w:rPr>
        <w:t>将采集的蜜蜂样本，分离腹部置于研钵</w:t>
      </w:r>
      <w:r>
        <w:rPr>
          <w:rFonts w:hint="eastAsia" w:ascii="Times New Roman"/>
        </w:rPr>
        <w:t>中</w:t>
      </w:r>
      <w:r>
        <w:rPr>
          <w:rFonts w:ascii="Times New Roman"/>
        </w:rPr>
        <w:t>，加入5-10 mL蒸馏水研磨。取研磨的组织涂片，在明场或相差光学显微镜下以400 - 600倍进行检查。</w:t>
      </w:r>
    </w:p>
    <w:p>
      <w:pPr>
        <w:pStyle w:val="22"/>
        <w:ind w:firstLine="0" w:firstLineChars="0"/>
        <w:rPr>
          <w:rFonts w:ascii="Times New Roman"/>
        </w:rPr>
      </w:pPr>
      <w:r>
        <w:rPr>
          <w:rFonts w:ascii="Times New Roman"/>
        </w:rPr>
        <w:t>4.</w:t>
      </w:r>
      <w:r>
        <w:rPr>
          <w:rFonts w:hint="eastAsia" w:ascii="Times New Roman"/>
        </w:rPr>
        <w:t>3</w:t>
      </w:r>
      <w:r>
        <w:rPr>
          <w:rFonts w:ascii="Times New Roman"/>
        </w:rPr>
        <w:t>.1.</w:t>
      </w:r>
      <w:r>
        <w:rPr>
          <w:rFonts w:hint="eastAsia" w:ascii="Times New Roman"/>
        </w:rPr>
        <w:t>2</w:t>
      </w:r>
      <w:r>
        <w:rPr>
          <w:rFonts w:ascii="Times New Roman"/>
        </w:rPr>
        <w:t>鉴定</w:t>
      </w:r>
    </w:p>
    <w:p>
      <w:pPr>
        <w:pStyle w:val="22"/>
        <w:ind w:firstLine="0" w:firstLineChars="0"/>
        <w:rPr>
          <w:rFonts w:ascii="Times New Roman"/>
        </w:rPr>
      </w:pPr>
      <w:r>
        <w:rPr>
          <w:rFonts w:ascii="Times New Roman"/>
        </w:rPr>
        <w:t>4.</w:t>
      </w:r>
      <w:r>
        <w:rPr>
          <w:rFonts w:hint="eastAsia" w:ascii="Times New Roman"/>
        </w:rPr>
        <w:t>3</w:t>
      </w:r>
      <w:r>
        <w:rPr>
          <w:rFonts w:ascii="Times New Roman"/>
        </w:rPr>
        <w:t>.1.</w:t>
      </w:r>
      <w:r>
        <w:rPr>
          <w:rFonts w:hint="eastAsia" w:ascii="Times New Roman"/>
        </w:rPr>
        <w:t>2</w:t>
      </w:r>
      <w:r>
        <w:rPr>
          <w:rFonts w:ascii="Times New Roman"/>
        </w:rPr>
        <w:t>.1 初诊</w:t>
      </w:r>
    </w:p>
    <w:p>
      <w:pPr>
        <w:pStyle w:val="22"/>
        <w:ind w:firstLine="424" w:firstLineChars="202"/>
        <w:rPr>
          <w:rFonts w:ascii="Times New Roman"/>
        </w:rPr>
      </w:pPr>
      <w:r>
        <w:rPr>
          <w:rFonts w:ascii="Times New Roman"/>
        </w:rPr>
        <w:t>如在视野中见到长约5 - 7 µm，宽约3 - 4 µm，椭圆形的孢子，边界折光明显，则可初步确诊。</w:t>
      </w:r>
    </w:p>
    <w:p>
      <w:pPr>
        <w:pStyle w:val="22"/>
        <w:ind w:firstLine="0" w:firstLineChars="0"/>
        <w:rPr>
          <w:rFonts w:ascii="Times New Roman"/>
        </w:rPr>
      </w:pPr>
      <w:r>
        <w:rPr>
          <w:rFonts w:ascii="Times New Roman"/>
        </w:rPr>
        <w:t>4.</w:t>
      </w:r>
      <w:r>
        <w:rPr>
          <w:rFonts w:hint="eastAsia" w:ascii="Times New Roman"/>
        </w:rPr>
        <w:t>3</w:t>
      </w:r>
      <w:r>
        <w:rPr>
          <w:rFonts w:ascii="Times New Roman"/>
        </w:rPr>
        <w:t>.1.</w:t>
      </w:r>
      <w:r>
        <w:rPr>
          <w:rFonts w:hint="eastAsia" w:ascii="Times New Roman"/>
        </w:rPr>
        <w:t>2</w:t>
      </w:r>
      <w:r>
        <w:rPr>
          <w:rFonts w:ascii="Times New Roman"/>
        </w:rPr>
        <w:t>.2 鉴别</w:t>
      </w:r>
    </w:p>
    <w:p>
      <w:pPr>
        <w:pStyle w:val="22"/>
        <w:ind w:firstLine="424" w:firstLineChars="202"/>
        <w:rPr>
          <w:rFonts w:ascii="Times New Roman"/>
        </w:rPr>
      </w:pPr>
      <w:r>
        <w:rPr>
          <w:rFonts w:ascii="Times New Roman"/>
        </w:rPr>
        <w:t>按SN/T 1683相关方法与酵母、真菌孢子、脂肪体或马氏管变形虫囊包进行鉴别。</w:t>
      </w:r>
    </w:p>
    <w:p>
      <w:pPr>
        <w:pStyle w:val="43"/>
        <w:spacing w:before="156" w:after="156"/>
        <w:rPr>
          <w:rFonts w:ascii="Times New Roman"/>
        </w:rPr>
      </w:pPr>
      <w:r>
        <w:rPr>
          <w:rFonts w:ascii="Times New Roman"/>
        </w:rPr>
        <w:t>PCR鉴定</w:t>
      </w:r>
    </w:p>
    <w:p>
      <w:pPr>
        <w:pStyle w:val="22"/>
        <w:ind w:firstLine="0" w:firstLineChars="0"/>
        <w:rPr>
          <w:rFonts w:ascii="Times New Roman"/>
        </w:rPr>
      </w:pPr>
      <w:r>
        <w:rPr>
          <w:rFonts w:ascii="Times New Roman"/>
        </w:rPr>
        <w:t>4.</w:t>
      </w:r>
      <w:r>
        <w:rPr>
          <w:rFonts w:hint="eastAsia" w:ascii="Times New Roman"/>
        </w:rPr>
        <w:t>3</w:t>
      </w:r>
      <w:r>
        <w:rPr>
          <w:rFonts w:ascii="Times New Roman"/>
        </w:rPr>
        <w:t>.2.1 DNA提取</w:t>
      </w:r>
    </w:p>
    <w:p>
      <w:pPr>
        <w:pStyle w:val="22"/>
        <w:ind w:firstLine="424" w:firstLineChars="202"/>
        <w:rPr>
          <w:rFonts w:ascii="Times New Roman"/>
        </w:rPr>
      </w:pPr>
      <w:r>
        <w:rPr>
          <w:rFonts w:ascii="Times New Roman"/>
        </w:rPr>
        <w:t>提取缓冲液配方见表1。</w:t>
      </w:r>
    </w:p>
    <w:p>
      <w:pPr>
        <w:pStyle w:val="22"/>
        <w:jc w:val="center"/>
        <w:rPr>
          <w:rFonts w:ascii="Times New Roman" w:eastAsia="黑体"/>
        </w:rPr>
      </w:pPr>
      <w:r>
        <w:rPr>
          <w:rFonts w:ascii="Times New Roman" w:eastAsia="黑体"/>
        </w:rPr>
        <w:t>表1  DNA提取缓冲液配方</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27"/>
        <w:gridCol w:w="2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7" w:type="dxa"/>
          </w:tcPr>
          <w:p>
            <w:pPr>
              <w:pStyle w:val="22"/>
              <w:ind w:firstLine="0" w:firstLineChars="0"/>
              <w:jc w:val="center"/>
              <w:rPr>
                <w:rFonts w:ascii="Times New Roman"/>
                <w:szCs w:val="18"/>
              </w:rPr>
            </w:pPr>
            <w:r>
              <w:rPr>
                <w:rFonts w:ascii="Times New Roman"/>
                <w:szCs w:val="18"/>
              </w:rPr>
              <w:t>试剂名称</w:t>
            </w:r>
          </w:p>
        </w:tc>
        <w:tc>
          <w:tcPr>
            <w:tcW w:w="2582" w:type="dxa"/>
          </w:tcPr>
          <w:p>
            <w:pPr>
              <w:pStyle w:val="22"/>
              <w:ind w:firstLine="0" w:firstLineChars="0"/>
              <w:jc w:val="center"/>
              <w:rPr>
                <w:rFonts w:ascii="Times New Roman"/>
                <w:szCs w:val="18"/>
              </w:rPr>
            </w:pPr>
            <w:r>
              <w:rPr>
                <w:rFonts w:ascii="Times New Roman"/>
                <w:szCs w:val="18"/>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7" w:type="dxa"/>
          </w:tcPr>
          <w:p>
            <w:pPr>
              <w:pStyle w:val="22"/>
              <w:ind w:firstLine="0" w:firstLineChars="0"/>
              <w:jc w:val="center"/>
              <w:rPr>
                <w:rFonts w:ascii="Times New Roman"/>
                <w:szCs w:val="18"/>
              </w:rPr>
            </w:pPr>
            <w:r>
              <w:rPr>
                <w:rFonts w:ascii="Times New Roman"/>
                <w:szCs w:val="18"/>
              </w:rPr>
              <w:t>CTAB</w:t>
            </w:r>
          </w:p>
        </w:tc>
        <w:tc>
          <w:tcPr>
            <w:tcW w:w="2582" w:type="dxa"/>
          </w:tcPr>
          <w:p>
            <w:pPr>
              <w:pStyle w:val="22"/>
              <w:ind w:firstLine="0" w:firstLineChars="0"/>
              <w:jc w:val="center"/>
              <w:rPr>
                <w:rFonts w:ascii="Times New Roman"/>
                <w:szCs w:val="18"/>
              </w:rPr>
            </w:pPr>
            <w:r>
              <w:rPr>
                <w:rFonts w:ascii="Times New Roman"/>
                <w:szCs w:val="18"/>
              </w:rPr>
              <w:t>0.03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7" w:type="dxa"/>
          </w:tcPr>
          <w:p>
            <w:pPr>
              <w:pStyle w:val="22"/>
              <w:ind w:firstLine="0" w:firstLineChars="0"/>
              <w:jc w:val="center"/>
              <w:rPr>
                <w:rFonts w:ascii="Times New Roman"/>
                <w:szCs w:val="18"/>
              </w:rPr>
            </w:pPr>
            <w:r>
              <w:rPr>
                <w:rFonts w:ascii="Times New Roman"/>
                <w:szCs w:val="18"/>
              </w:rPr>
              <w:t>Tris</w:t>
            </w:r>
          </w:p>
        </w:tc>
        <w:tc>
          <w:tcPr>
            <w:tcW w:w="2582" w:type="dxa"/>
          </w:tcPr>
          <w:p>
            <w:pPr>
              <w:pStyle w:val="22"/>
              <w:ind w:firstLine="0" w:firstLineChars="0"/>
              <w:jc w:val="center"/>
              <w:rPr>
                <w:rFonts w:ascii="Times New Roman"/>
                <w:szCs w:val="18"/>
              </w:rPr>
            </w:pPr>
            <w:r>
              <w:rPr>
                <w:rFonts w:ascii="Times New Roman"/>
                <w:szCs w:val="18"/>
              </w:rPr>
              <w:t>0.05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7" w:type="dxa"/>
          </w:tcPr>
          <w:p>
            <w:pPr>
              <w:pStyle w:val="22"/>
              <w:ind w:firstLine="0" w:firstLineChars="0"/>
              <w:jc w:val="center"/>
              <w:rPr>
                <w:rFonts w:ascii="Times New Roman"/>
                <w:szCs w:val="18"/>
              </w:rPr>
            </w:pPr>
            <w:r>
              <w:rPr>
                <w:rFonts w:ascii="Times New Roman"/>
                <w:szCs w:val="18"/>
              </w:rPr>
              <w:t>EDTA</w:t>
            </w:r>
          </w:p>
        </w:tc>
        <w:tc>
          <w:tcPr>
            <w:tcW w:w="2582" w:type="dxa"/>
          </w:tcPr>
          <w:p>
            <w:pPr>
              <w:pStyle w:val="22"/>
              <w:ind w:firstLine="0" w:firstLineChars="0"/>
              <w:jc w:val="center"/>
              <w:rPr>
                <w:rFonts w:ascii="Times New Roman"/>
                <w:szCs w:val="18"/>
              </w:rPr>
            </w:pPr>
            <w:r>
              <w:rPr>
                <w:rFonts w:ascii="Times New Roman"/>
                <w:szCs w:val="18"/>
              </w:rPr>
              <w:t>0.01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7" w:type="dxa"/>
          </w:tcPr>
          <w:p>
            <w:pPr>
              <w:pStyle w:val="22"/>
              <w:ind w:firstLine="0" w:firstLineChars="0"/>
              <w:jc w:val="center"/>
              <w:rPr>
                <w:rFonts w:ascii="Times New Roman"/>
                <w:szCs w:val="18"/>
              </w:rPr>
            </w:pPr>
            <w:r>
              <w:rPr>
                <w:rFonts w:ascii="Times New Roman"/>
                <w:szCs w:val="18"/>
              </w:rPr>
              <w:t>NaCl</w:t>
            </w:r>
          </w:p>
        </w:tc>
        <w:tc>
          <w:tcPr>
            <w:tcW w:w="2582" w:type="dxa"/>
          </w:tcPr>
          <w:p>
            <w:pPr>
              <w:pStyle w:val="22"/>
              <w:ind w:firstLine="0" w:firstLineChars="0"/>
              <w:jc w:val="center"/>
              <w:rPr>
                <w:rFonts w:ascii="Times New Roman"/>
                <w:szCs w:val="18"/>
              </w:rPr>
            </w:pPr>
            <w:r>
              <w:rPr>
                <w:rFonts w:ascii="Times New Roman"/>
                <w:szCs w:val="18"/>
              </w:rPr>
              <w:t>1.1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09" w:type="dxa"/>
            <w:gridSpan w:val="2"/>
          </w:tcPr>
          <w:p>
            <w:pPr>
              <w:widowControl/>
              <w:tabs>
                <w:tab w:val="center" w:pos="4201"/>
                <w:tab w:val="right" w:leader="dot" w:pos="9298"/>
              </w:tabs>
              <w:autoSpaceDE w:val="0"/>
              <w:autoSpaceDN w:val="0"/>
              <w:rPr>
                <w:szCs w:val="18"/>
              </w:rPr>
            </w:pPr>
            <w:r>
              <w:rPr>
                <w:rFonts w:eastAsia="黑体"/>
                <w:kern w:val="0"/>
                <w:sz w:val="18"/>
                <w:szCs w:val="18"/>
              </w:rPr>
              <w:t>注：缓冲液最终用ddH2O将pH值调至8.0</w:t>
            </w:r>
          </w:p>
        </w:tc>
      </w:tr>
    </w:tbl>
    <w:p>
      <w:pPr>
        <w:pStyle w:val="22"/>
        <w:ind w:firstLine="424" w:firstLineChars="202"/>
        <w:rPr>
          <w:rFonts w:ascii="Times New Roman"/>
        </w:rPr>
      </w:pPr>
      <w:r>
        <w:rPr>
          <w:rFonts w:ascii="Times New Roman"/>
        </w:rPr>
        <w:t>操作步骤如下：</w:t>
      </w:r>
    </w:p>
    <w:p>
      <w:pPr>
        <w:pStyle w:val="22"/>
        <w:numPr>
          <w:ilvl w:val="0"/>
          <w:numId w:val="20"/>
        </w:numPr>
        <w:tabs>
          <w:tab w:val="center" w:pos="742"/>
          <w:tab w:val="clear" w:pos="4201"/>
        </w:tabs>
        <w:ind w:firstLineChars="0"/>
        <w:rPr>
          <w:rFonts w:ascii="Times New Roman"/>
        </w:rPr>
      </w:pPr>
      <w:r>
        <w:rPr>
          <w:rFonts w:ascii="Times New Roman"/>
        </w:rPr>
        <w:t>取蜜蜂的中肠（取样部位见图1），置于一个预冷的（加入液氮）1.5 mL离心管中并匀浆。</w:t>
      </w:r>
    </w:p>
    <w:p>
      <w:pPr>
        <w:pStyle w:val="22"/>
        <w:numPr>
          <w:ilvl w:val="0"/>
          <w:numId w:val="20"/>
        </w:numPr>
        <w:tabs>
          <w:tab w:val="center" w:pos="756"/>
          <w:tab w:val="clear" w:pos="4201"/>
        </w:tabs>
        <w:ind w:left="-284" w:firstLine="704" w:firstLineChars="0"/>
        <w:rPr>
          <w:rFonts w:ascii="Times New Roman"/>
        </w:rPr>
      </w:pPr>
      <w:r>
        <w:rPr>
          <w:rFonts w:ascii="Times New Roman"/>
        </w:rPr>
        <w:t>离心管中加入300 µL提取缓冲液以及4 µL 20 mg/mL</w:t>
      </w:r>
      <w:r>
        <w:rPr>
          <w:rFonts w:hint="eastAsia" w:ascii="Times New Roman"/>
        </w:rPr>
        <w:t>的</w:t>
      </w:r>
      <w:r>
        <w:rPr>
          <w:rFonts w:ascii="Times New Roman"/>
        </w:rPr>
        <w:t>蛋白酶K溶液，置于60 ℃水浴3 h。</w:t>
      </w:r>
    </w:p>
    <w:p>
      <w:pPr>
        <w:pStyle w:val="22"/>
        <w:numPr>
          <w:ilvl w:val="0"/>
          <w:numId w:val="20"/>
        </w:numPr>
        <w:tabs>
          <w:tab w:val="center" w:pos="756"/>
          <w:tab w:val="clear" w:pos="4201"/>
        </w:tabs>
        <w:ind w:firstLineChars="0"/>
        <w:rPr>
          <w:rFonts w:ascii="Times New Roman"/>
        </w:rPr>
      </w:pPr>
      <w:r>
        <w:rPr>
          <w:rFonts w:ascii="Times New Roman"/>
        </w:rPr>
        <w:t>加入等体积（300 µL）的</w:t>
      </w:r>
      <w:bookmarkStart w:id="19" w:name="_Hlk57210624"/>
      <w:r>
        <w:rPr>
          <w:rFonts w:ascii="Times New Roman"/>
        </w:rPr>
        <w:t>苯酚:氯仿为1 : 1的混合液</w:t>
      </w:r>
      <w:bookmarkEnd w:id="19"/>
      <w:r>
        <w:rPr>
          <w:rFonts w:ascii="Times New Roman"/>
        </w:rPr>
        <w:t>并轻轻混匀，13000 rpm离心15 min。</w:t>
      </w:r>
    </w:p>
    <w:p>
      <w:pPr>
        <w:pStyle w:val="22"/>
        <w:numPr>
          <w:ilvl w:val="0"/>
          <w:numId w:val="20"/>
        </w:numPr>
        <w:tabs>
          <w:tab w:val="center" w:pos="770"/>
          <w:tab w:val="clear" w:pos="4201"/>
        </w:tabs>
        <w:ind w:left="-284" w:firstLine="704" w:firstLineChars="0"/>
        <w:rPr>
          <w:rFonts w:ascii="Times New Roman"/>
        </w:rPr>
      </w:pPr>
      <w:r>
        <w:rPr>
          <w:rFonts w:ascii="Times New Roman"/>
        </w:rPr>
        <w:t>将上清液移至另一个新管中，沉淀</w:t>
      </w:r>
      <w:r>
        <w:rPr>
          <w:rFonts w:hint="eastAsia" w:ascii="Times New Roman"/>
        </w:rPr>
        <w:t>物</w:t>
      </w:r>
      <w:r>
        <w:rPr>
          <w:rFonts w:ascii="Times New Roman"/>
        </w:rPr>
        <w:t>重复用苯酚:氯仿为1 : 1的混合液混匀并离心1次，合并2次的上清液。</w:t>
      </w:r>
    </w:p>
    <w:p>
      <w:pPr>
        <w:pStyle w:val="22"/>
        <w:numPr>
          <w:ilvl w:val="0"/>
          <w:numId w:val="20"/>
        </w:numPr>
        <w:tabs>
          <w:tab w:val="center" w:pos="756"/>
          <w:tab w:val="clear" w:pos="4201"/>
        </w:tabs>
        <w:ind w:firstLineChars="0"/>
        <w:rPr>
          <w:rFonts w:ascii="Times New Roman"/>
        </w:rPr>
      </w:pPr>
      <w:r>
        <w:rPr>
          <w:rFonts w:ascii="Times New Roman"/>
        </w:rPr>
        <w:t>加入预冷的600 µL 95%的乙醇后加入30 µL 3M的NaOAc，轻轻混匀，置于-20℃下过夜。</w:t>
      </w:r>
    </w:p>
    <w:p>
      <w:pPr>
        <w:pStyle w:val="22"/>
        <w:numPr>
          <w:ilvl w:val="0"/>
          <w:numId w:val="20"/>
        </w:numPr>
        <w:tabs>
          <w:tab w:val="center" w:pos="756"/>
          <w:tab w:val="clear" w:pos="4201"/>
        </w:tabs>
        <w:ind w:firstLineChars="0"/>
        <w:rPr>
          <w:rFonts w:ascii="Times New Roman"/>
        </w:rPr>
      </w:pPr>
      <w:r>
        <w:rPr>
          <w:rFonts w:ascii="Times New Roman"/>
        </w:rPr>
        <w:t>10000 rpm离心15 min，移去上清液，沉淀用1 mL70%的乙醇洗涤两次。</w:t>
      </w:r>
    </w:p>
    <w:p>
      <w:pPr>
        <w:pStyle w:val="22"/>
        <w:numPr>
          <w:ilvl w:val="0"/>
          <w:numId w:val="20"/>
        </w:numPr>
        <w:tabs>
          <w:tab w:val="center" w:pos="756"/>
          <w:tab w:val="clear" w:pos="4201"/>
        </w:tabs>
        <w:ind w:firstLineChars="0"/>
        <w:rPr>
          <w:rFonts w:ascii="Times New Roman"/>
        </w:rPr>
      </w:pPr>
      <w:r>
        <w:rPr>
          <w:rFonts w:ascii="Times New Roman"/>
        </w:rPr>
        <w:t>烘干10 min后加入30 µL ddH</w:t>
      </w:r>
      <w:r>
        <w:rPr>
          <w:rFonts w:ascii="Times New Roman"/>
          <w:vertAlign w:val="subscript"/>
        </w:rPr>
        <w:t>2</w:t>
      </w:r>
      <w:r>
        <w:rPr>
          <w:rFonts w:ascii="Times New Roman"/>
        </w:rPr>
        <w:t>O，置于65℃水浴10 min，轻轻溶解混匀管中的沉淀物。</w:t>
      </w:r>
    </w:p>
    <w:p>
      <w:pPr>
        <w:pStyle w:val="22"/>
        <w:numPr>
          <w:ilvl w:val="0"/>
          <w:numId w:val="20"/>
        </w:numPr>
        <w:tabs>
          <w:tab w:val="center" w:pos="756"/>
          <w:tab w:val="clear" w:pos="4201"/>
        </w:tabs>
        <w:ind w:firstLineChars="0"/>
        <w:rPr>
          <w:rFonts w:ascii="Times New Roman"/>
        </w:rPr>
      </w:pPr>
      <w:r>
        <w:rPr>
          <w:rFonts w:ascii="Times New Roman"/>
        </w:rPr>
        <w:t>10000 rpm离心10 s以除去未溶解的物质，即得蜜蜂中肠组织的DNA。</w:t>
      </w:r>
    </w:p>
    <w:p>
      <w:pPr>
        <w:pStyle w:val="22"/>
        <w:numPr>
          <w:ilvl w:val="0"/>
          <w:numId w:val="20"/>
        </w:numPr>
        <w:tabs>
          <w:tab w:val="center" w:pos="756"/>
          <w:tab w:val="clear" w:pos="4201"/>
        </w:tabs>
        <w:ind w:firstLineChars="0"/>
        <w:rPr>
          <w:rFonts w:ascii="Times New Roman"/>
        </w:rPr>
      </w:pPr>
      <w:r>
        <w:rPr>
          <w:rFonts w:ascii="Times New Roman"/>
        </w:rPr>
        <w:t>提取的DNA溶液置于-20 ℃保存，备用。</w:t>
      </w:r>
    </w:p>
    <w:p>
      <w:pPr>
        <w:pStyle w:val="22"/>
        <w:tabs>
          <w:tab w:val="center" w:pos="756"/>
          <w:tab w:val="clear" w:pos="4201"/>
        </w:tabs>
        <w:ind w:firstLineChars="0"/>
        <w:jc w:val="center"/>
        <w:rPr>
          <w:rFonts w:ascii="Times New Roman"/>
        </w:rPr>
      </w:pPr>
      <w:r>
        <w:rPr>
          <w:rFonts w:ascii="Times New Roman"/>
        </w:rPr>
        <w:drawing>
          <wp:inline distT="0" distB="0" distL="0" distR="0">
            <wp:extent cx="2475230" cy="668655"/>
            <wp:effectExtent l="19050" t="19050" r="20320" b="17145"/>
            <wp:docPr id="18" name="图片 18" descr="图片包含 食物, 水, 游戏机, 汤&#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片包含 食物, 水, 游戏机, 汤&#10;&#10;描述已自动生成"/>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75260" cy="669154"/>
                    </a:xfrm>
                    <a:prstGeom prst="rect">
                      <a:avLst/>
                    </a:prstGeom>
                    <a:ln w="12700" cap="sq">
                      <a:solidFill>
                        <a:srgbClr val="000000"/>
                      </a:solidFill>
                      <a:miter lim="800000"/>
                      <a:headEnd/>
                      <a:tailEnd/>
                    </a:ln>
                    <a:effectLst/>
                  </pic:spPr>
                </pic:pic>
              </a:graphicData>
            </a:graphic>
          </wp:inline>
        </w:drawing>
      </w:r>
    </w:p>
    <w:p>
      <w:pPr>
        <w:pStyle w:val="22"/>
        <w:jc w:val="center"/>
        <w:rPr>
          <w:rFonts w:ascii="Times New Roman" w:eastAsia="黑体"/>
        </w:rPr>
      </w:pPr>
      <w:r>
        <w:rPr>
          <w:rFonts w:ascii="Times New Roman" w:eastAsia="黑体"/>
        </w:rPr>
        <w:t>图1 蜜蜂中肠取样部位</w:t>
      </w:r>
    </w:p>
    <w:p>
      <w:pPr>
        <w:pStyle w:val="22"/>
        <w:jc w:val="center"/>
        <w:rPr>
          <w:rFonts w:ascii="Times New Roman" w:eastAsia="黑体"/>
        </w:rPr>
      </w:pPr>
      <w:r>
        <w:rPr>
          <w:rFonts w:ascii="Times New Roman" w:eastAsia="黑体"/>
        </w:rPr>
        <w:t>A：中肠； B：小肠；C：后肠；D：蛰针</w:t>
      </w:r>
    </w:p>
    <w:p>
      <w:pPr>
        <w:pStyle w:val="22"/>
        <w:ind w:firstLine="0" w:firstLineChars="0"/>
        <w:rPr>
          <w:rFonts w:ascii="Times New Roman"/>
        </w:rPr>
      </w:pPr>
      <w:r>
        <w:rPr>
          <w:rFonts w:ascii="Times New Roman"/>
        </w:rPr>
        <w:t>4.</w:t>
      </w:r>
      <w:r>
        <w:rPr>
          <w:rFonts w:hint="eastAsia" w:ascii="Times New Roman"/>
        </w:rPr>
        <w:t>3</w:t>
      </w:r>
      <w:r>
        <w:rPr>
          <w:rFonts w:ascii="Times New Roman"/>
        </w:rPr>
        <w:t>.2.2 PCR扩增</w:t>
      </w:r>
    </w:p>
    <w:p>
      <w:pPr>
        <w:pStyle w:val="22"/>
        <w:ind w:firstLine="424" w:firstLineChars="202"/>
        <w:rPr>
          <w:rFonts w:ascii="Times New Roman"/>
        </w:rPr>
      </w:pPr>
      <w:r>
        <w:rPr>
          <w:rFonts w:ascii="Times New Roman"/>
        </w:rPr>
        <w:t>将前</w:t>
      </w:r>
      <w:r>
        <w:rPr>
          <w:rFonts w:hint="eastAsia" w:ascii="Times New Roman"/>
        </w:rPr>
        <w:t>步</w:t>
      </w:r>
      <w:r>
        <w:rPr>
          <w:rFonts w:ascii="Times New Roman"/>
        </w:rPr>
        <w:t>所提取的DNA样品稀释5倍进行PCR反应，反应体系及引物参见附录A。将15 μL PCR反应体系准确吸取至PCR板孔中，设定反应程序为：</w:t>
      </w:r>
    </w:p>
    <w:p>
      <w:pPr>
        <w:pStyle w:val="22"/>
        <w:numPr>
          <w:ilvl w:val="0"/>
          <w:numId w:val="21"/>
        </w:numPr>
        <w:tabs>
          <w:tab w:val="center" w:pos="756"/>
          <w:tab w:val="clear" w:pos="4201"/>
        </w:tabs>
        <w:ind w:firstLineChars="0"/>
        <w:rPr>
          <w:rFonts w:ascii="Times New Roman"/>
        </w:rPr>
      </w:pPr>
      <w:r>
        <w:rPr>
          <w:rFonts w:ascii="Times New Roman"/>
        </w:rPr>
        <w:t>94 ℃ 2.5 min</w:t>
      </w:r>
    </w:p>
    <w:p>
      <w:pPr>
        <w:pStyle w:val="22"/>
        <w:numPr>
          <w:ilvl w:val="0"/>
          <w:numId w:val="21"/>
        </w:numPr>
        <w:tabs>
          <w:tab w:val="center" w:pos="756"/>
          <w:tab w:val="clear" w:pos="4201"/>
        </w:tabs>
        <w:ind w:firstLineChars="0"/>
        <w:rPr>
          <w:rFonts w:ascii="Times New Roman"/>
        </w:rPr>
      </w:pPr>
      <w:r>
        <w:rPr>
          <w:rFonts w:ascii="Times New Roman"/>
        </w:rPr>
        <w:t>94 ℃ 15 s，61.8 ℃ 30 s，72℃ 45 s，</w:t>
      </w:r>
      <w:r>
        <w:rPr>
          <w:rFonts w:hint="eastAsia" w:ascii="Times New Roman"/>
        </w:rPr>
        <w:t>共</w:t>
      </w:r>
      <w:r>
        <w:rPr>
          <w:rFonts w:ascii="Times New Roman"/>
        </w:rPr>
        <w:t>36个循环</w:t>
      </w:r>
    </w:p>
    <w:p>
      <w:pPr>
        <w:pStyle w:val="22"/>
        <w:numPr>
          <w:ilvl w:val="0"/>
          <w:numId w:val="21"/>
        </w:numPr>
        <w:tabs>
          <w:tab w:val="center" w:pos="756"/>
          <w:tab w:val="clear" w:pos="4201"/>
        </w:tabs>
        <w:ind w:firstLineChars="0"/>
        <w:rPr>
          <w:rFonts w:ascii="Times New Roman"/>
        </w:rPr>
      </w:pPr>
      <w:r>
        <w:rPr>
          <w:rFonts w:ascii="Times New Roman"/>
        </w:rPr>
        <w:t>72 ℃延伸7 min</w:t>
      </w:r>
    </w:p>
    <w:p>
      <w:pPr>
        <w:pStyle w:val="22"/>
        <w:ind w:firstLine="0" w:firstLineChars="0"/>
        <w:rPr>
          <w:rFonts w:ascii="Times New Roman"/>
        </w:rPr>
      </w:pPr>
      <w:r>
        <w:rPr>
          <w:rFonts w:ascii="Times New Roman"/>
        </w:rPr>
        <w:t>4.</w:t>
      </w:r>
      <w:r>
        <w:rPr>
          <w:rFonts w:hint="eastAsia" w:ascii="Times New Roman"/>
        </w:rPr>
        <w:t>3</w:t>
      </w:r>
      <w:r>
        <w:rPr>
          <w:rFonts w:ascii="Times New Roman"/>
        </w:rPr>
        <w:t>.2.3 扩增产物的分离与鉴定</w:t>
      </w:r>
    </w:p>
    <w:p>
      <w:pPr>
        <w:pStyle w:val="22"/>
        <w:ind w:firstLine="424" w:firstLineChars="202"/>
        <w:rPr>
          <w:rFonts w:ascii="Times New Roman"/>
        </w:rPr>
      </w:pPr>
      <w:r>
        <w:rPr>
          <w:rFonts w:ascii="Times New Roman"/>
        </w:rPr>
        <w:t>扩增产物用2.0%的琼脂糖凝胶电泳进行分离，GoldView染色，照胶；</w:t>
      </w:r>
    </w:p>
    <w:p>
      <w:pPr>
        <w:pStyle w:val="22"/>
        <w:ind w:firstLine="0" w:firstLineChars="0"/>
        <w:rPr>
          <w:rFonts w:ascii="Times New Roman"/>
        </w:rPr>
      </w:pPr>
      <w:r>
        <w:rPr>
          <w:rFonts w:ascii="Times New Roman"/>
        </w:rPr>
        <w:t>4.</w:t>
      </w:r>
      <w:r>
        <w:rPr>
          <w:rFonts w:hint="eastAsia" w:ascii="Times New Roman"/>
        </w:rPr>
        <w:t>3</w:t>
      </w:r>
      <w:r>
        <w:rPr>
          <w:rFonts w:ascii="Times New Roman"/>
        </w:rPr>
        <w:t>.2.4 诊断结果与辨别</w:t>
      </w:r>
    </w:p>
    <w:p>
      <w:pPr>
        <w:pStyle w:val="22"/>
        <w:numPr>
          <w:ilvl w:val="0"/>
          <w:numId w:val="22"/>
        </w:numPr>
        <w:tabs>
          <w:tab w:val="center" w:pos="756"/>
          <w:tab w:val="clear" w:pos="4201"/>
        </w:tabs>
        <w:ind w:firstLineChars="0"/>
        <w:rPr>
          <w:rFonts w:ascii="Times New Roman"/>
        </w:rPr>
      </w:pPr>
      <w:r>
        <w:rPr>
          <w:rFonts w:ascii="Times New Roman"/>
        </w:rPr>
        <w:t>记录电泳片段大小。</w:t>
      </w:r>
    </w:p>
    <w:p>
      <w:pPr>
        <w:pStyle w:val="22"/>
        <w:numPr>
          <w:ilvl w:val="0"/>
          <w:numId w:val="22"/>
        </w:numPr>
        <w:tabs>
          <w:tab w:val="center" w:pos="756"/>
          <w:tab w:val="clear" w:pos="4201"/>
        </w:tabs>
        <w:ind w:firstLineChars="0"/>
        <w:rPr>
          <w:rFonts w:ascii="Times New Roman"/>
        </w:rPr>
      </w:pPr>
      <w:r>
        <w:rPr>
          <w:rFonts w:ascii="Times New Roman"/>
        </w:rPr>
        <w:t>只有当凝胶中115 bp位置有明显条带时结果可信。</w:t>
      </w:r>
    </w:p>
    <w:p>
      <w:pPr>
        <w:pStyle w:val="22"/>
        <w:numPr>
          <w:ilvl w:val="0"/>
          <w:numId w:val="22"/>
        </w:numPr>
        <w:tabs>
          <w:tab w:val="center" w:pos="756"/>
          <w:tab w:val="clear" w:pos="4201"/>
        </w:tabs>
        <w:ind w:firstLineChars="0"/>
        <w:rPr>
          <w:rFonts w:ascii="Times New Roman"/>
        </w:rPr>
      </w:pPr>
      <w:r>
        <w:rPr>
          <w:rFonts w:ascii="Times New Roman"/>
        </w:rPr>
        <w:t>当凝胶中在218 bp位置有明显条带时即可认为样品中含有东方蜜蜂微孢子虫。</w:t>
      </w:r>
    </w:p>
    <w:p>
      <w:pPr>
        <w:pStyle w:val="22"/>
        <w:numPr>
          <w:ilvl w:val="0"/>
          <w:numId w:val="22"/>
        </w:numPr>
        <w:tabs>
          <w:tab w:val="center" w:pos="756"/>
          <w:tab w:val="clear" w:pos="4201"/>
        </w:tabs>
        <w:ind w:firstLineChars="0"/>
        <w:rPr>
          <w:rFonts w:ascii="Times New Roman"/>
        </w:rPr>
      </w:pPr>
      <w:r>
        <w:rPr>
          <w:rFonts w:ascii="Times New Roman"/>
        </w:rPr>
        <w:t>当凝胶中在321 bp位置有明显条带时即可判定样品中含有蜜蜂微孢子虫。</w:t>
      </w:r>
    </w:p>
    <w:p>
      <w:pPr>
        <w:pStyle w:val="39"/>
        <w:spacing w:before="156" w:after="156"/>
        <w:rPr>
          <w:rFonts w:ascii="Times New Roman"/>
        </w:rPr>
      </w:pPr>
      <w:r>
        <w:rPr>
          <w:rFonts w:ascii="Times New Roman"/>
        </w:rPr>
        <w:t>取样</w:t>
      </w:r>
    </w:p>
    <w:p>
      <w:pPr>
        <w:pStyle w:val="43"/>
        <w:spacing w:before="156" w:after="156"/>
        <w:rPr>
          <w:rFonts w:ascii="Times New Roman"/>
        </w:rPr>
      </w:pPr>
      <w:r>
        <w:rPr>
          <w:rFonts w:ascii="Times New Roman"/>
        </w:rPr>
        <w:t>取样数量</w:t>
      </w:r>
    </w:p>
    <w:p>
      <w:pPr>
        <w:pStyle w:val="22"/>
        <w:tabs>
          <w:tab w:val="center" w:pos="756"/>
          <w:tab w:val="clear" w:pos="4201"/>
        </w:tabs>
        <w:ind w:left="420" w:firstLine="0" w:firstLineChars="0"/>
        <w:rPr>
          <w:rFonts w:ascii="Times New Roman"/>
        </w:rPr>
      </w:pPr>
      <w:r>
        <w:rPr>
          <w:rFonts w:hint="eastAsia" w:ascii="Times New Roman"/>
        </w:rPr>
        <w:t xml:space="preserve">a) </w:t>
      </w:r>
      <w:r>
        <w:rPr>
          <w:rFonts w:ascii="Times New Roman"/>
        </w:rPr>
        <w:t>蜂群数量50群（含）以下的</w:t>
      </w:r>
      <w:r>
        <w:rPr>
          <w:rFonts w:hint="eastAsia" w:ascii="Times New Roman"/>
        </w:rPr>
        <w:t>养</w:t>
      </w:r>
      <w:r>
        <w:rPr>
          <w:rFonts w:ascii="Times New Roman"/>
        </w:rPr>
        <w:t>蜂场选取1群取样，每群取样约20-30只蜜蜂。</w:t>
      </w:r>
    </w:p>
    <w:p>
      <w:pPr>
        <w:pStyle w:val="22"/>
        <w:tabs>
          <w:tab w:val="center" w:pos="756"/>
          <w:tab w:val="clear" w:pos="4201"/>
        </w:tabs>
        <w:ind w:left="420" w:firstLine="0" w:firstLineChars="0"/>
        <w:rPr>
          <w:rFonts w:ascii="Times New Roman"/>
        </w:rPr>
      </w:pPr>
      <w:r>
        <w:rPr>
          <w:rFonts w:hint="eastAsia" w:ascii="Times New Roman"/>
        </w:rPr>
        <w:t>b)</w:t>
      </w:r>
      <w:r>
        <w:rPr>
          <w:rFonts w:ascii="Times New Roman"/>
        </w:rPr>
        <w:t>蜂群数量50群以上的</w:t>
      </w:r>
      <w:r>
        <w:rPr>
          <w:rFonts w:hint="eastAsia" w:ascii="Times New Roman"/>
        </w:rPr>
        <w:t>养</w:t>
      </w:r>
      <w:r>
        <w:rPr>
          <w:rFonts w:ascii="Times New Roman"/>
        </w:rPr>
        <w:t>蜂场选取3群取样，每群取样约20-30只蜜蜂。</w:t>
      </w:r>
    </w:p>
    <w:p>
      <w:pPr>
        <w:pStyle w:val="43"/>
        <w:spacing w:before="156" w:after="156"/>
        <w:rPr>
          <w:rFonts w:ascii="Times New Roman"/>
        </w:rPr>
      </w:pPr>
      <w:r>
        <w:rPr>
          <w:rFonts w:ascii="Times New Roman"/>
        </w:rPr>
        <w:t>取样方法</w:t>
      </w:r>
    </w:p>
    <w:p>
      <w:pPr>
        <w:pStyle w:val="22"/>
        <w:tabs>
          <w:tab w:val="center" w:pos="756"/>
          <w:tab w:val="clear" w:pos="4201"/>
        </w:tabs>
        <w:ind w:left="420" w:firstLine="0" w:firstLineChars="0"/>
        <w:rPr>
          <w:rFonts w:ascii="Times New Roman"/>
        </w:rPr>
      </w:pPr>
      <w:r>
        <w:rPr>
          <w:rFonts w:hint="eastAsia" w:ascii="Times New Roman"/>
        </w:rPr>
        <w:t>a)</w:t>
      </w:r>
      <w:r>
        <w:rPr>
          <w:rFonts w:ascii="Times New Roman"/>
        </w:rPr>
        <w:t>非定量诊断时，直接从蜂巢入口附近选取具有典型症状的成年蜜蜂。</w:t>
      </w:r>
    </w:p>
    <w:p>
      <w:pPr>
        <w:pStyle w:val="22"/>
        <w:tabs>
          <w:tab w:val="center" w:pos="742"/>
          <w:tab w:val="clear" w:pos="4201"/>
        </w:tabs>
        <w:ind w:left="420" w:firstLine="0" w:firstLineChars="0"/>
        <w:rPr>
          <w:rFonts w:ascii="Times New Roman"/>
        </w:rPr>
      </w:pPr>
      <w:r>
        <w:rPr>
          <w:rFonts w:hint="eastAsia" w:ascii="Times New Roman"/>
        </w:rPr>
        <w:t>b)</w:t>
      </w:r>
      <w:r>
        <w:rPr>
          <w:rFonts w:ascii="Times New Roman"/>
        </w:rPr>
        <w:t>定量调查蜂群受感染程度时，随机选取蜂群并随机提取群内1张巢脾，随机抓取脾上的成年蜜蜂。</w:t>
      </w:r>
    </w:p>
    <w:p>
      <w:pPr>
        <w:pStyle w:val="43"/>
        <w:spacing w:before="156" w:after="156"/>
        <w:rPr>
          <w:rFonts w:ascii="Times New Roman"/>
        </w:rPr>
      </w:pPr>
      <w:r>
        <w:rPr>
          <w:rFonts w:ascii="Times New Roman"/>
        </w:rPr>
        <w:t>样品保存</w:t>
      </w:r>
    </w:p>
    <w:p>
      <w:pPr>
        <w:pStyle w:val="22"/>
        <w:tabs>
          <w:tab w:val="center" w:pos="756"/>
          <w:tab w:val="clear" w:pos="4201"/>
        </w:tabs>
        <w:ind w:left="420" w:firstLine="0" w:firstLineChars="0"/>
        <w:rPr>
          <w:rFonts w:ascii="Times New Roman"/>
        </w:rPr>
      </w:pPr>
      <w:r>
        <w:rPr>
          <w:rFonts w:ascii="Times New Roman"/>
        </w:rPr>
        <w:t>常温</w:t>
      </w:r>
      <w:r>
        <w:rPr>
          <w:rFonts w:hint="eastAsia" w:ascii="Times New Roman"/>
        </w:rPr>
        <w:t>、干燥</w:t>
      </w:r>
      <w:r>
        <w:rPr>
          <w:rFonts w:ascii="Times New Roman"/>
        </w:rPr>
        <w:t>保存于纸盒内</w:t>
      </w:r>
    </w:p>
    <w:p>
      <w:pPr>
        <w:pStyle w:val="42"/>
        <w:spacing w:before="312" w:after="312"/>
        <w:ind w:left="0"/>
        <w:rPr>
          <w:rFonts w:ascii="Times New Roman"/>
        </w:rPr>
      </w:pPr>
      <w:r>
        <w:rPr>
          <w:rFonts w:ascii="Times New Roman"/>
        </w:rPr>
        <w:t>防控</w:t>
      </w:r>
    </w:p>
    <w:p>
      <w:pPr>
        <w:pStyle w:val="39"/>
        <w:spacing w:before="156" w:after="156"/>
        <w:rPr>
          <w:rFonts w:ascii="Times New Roman"/>
        </w:rPr>
      </w:pPr>
      <w:r>
        <w:rPr>
          <w:rFonts w:hint="eastAsia" w:ascii="Times New Roman"/>
        </w:rPr>
        <w:t xml:space="preserve"> 养</w:t>
      </w:r>
      <w:r>
        <w:rPr>
          <w:rFonts w:ascii="Times New Roman"/>
        </w:rPr>
        <w:t>蜂场场址选择</w:t>
      </w:r>
    </w:p>
    <w:p>
      <w:pPr>
        <w:pStyle w:val="22"/>
        <w:ind w:firstLine="424" w:firstLineChars="202"/>
        <w:rPr>
          <w:rFonts w:ascii="Times New Roman"/>
        </w:rPr>
      </w:pPr>
      <w:r>
        <w:rPr>
          <w:rFonts w:hint="eastAsia" w:ascii="Times New Roman"/>
        </w:rPr>
        <w:t>养</w:t>
      </w:r>
      <w:r>
        <w:rPr>
          <w:rFonts w:ascii="Times New Roman"/>
        </w:rPr>
        <w:t>蜂场场址按GB/T 19168给出的要求进行选择。</w:t>
      </w:r>
    </w:p>
    <w:p>
      <w:pPr>
        <w:pStyle w:val="39"/>
        <w:spacing w:before="156" w:after="156"/>
        <w:rPr>
          <w:rFonts w:ascii="Times New Roman"/>
        </w:rPr>
      </w:pPr>
      <w:r>
        <w:rPr>
          <w:rFonts w:ascii="Times New Roman"/>
        </w:rPr>
        <w:t>饲养管理</w:t>
      </w:r>
    </w:p>
    <w:p>
      <w:pPr>
        <w:pStyle w:val="43"/>
        <w:spacing w:before="156" w:after="156"/>
        <w:rPr>
          <w:rFonts w:ascii="Times New Roman"/>
        </w:rPr>
      </w:pPr>
      <w:r>
        <w:rPr>
          <w:rFonts w:ascii="Times New Roman"/>
        </w:rPr>
        <w:t>饲料</w:t>
      </w:r>
    </w:p>
    <w:p>
      <w:pPr>
        <w:pStyle w:val="22"/>
        <w:ind w:firstLine="0" w:firstLineChars="0"/>
        <w:rPr>
          <w:rFonts w:ascii="Times New Roman"/>
        </w:rPr>
      </w:pPr>
      <w:r>
        <w:rPr>
          <w:rFonts w:ascii="Times New Roman"/>
        </w:rPr>
        <w:t>5.</w:t>
      </w:r>
      <w:r>
        <w:rPr>
          <w:rFonts w:hint="eastAsia" w:ascii="Times New Roman"/>
        </w:rPr>
        <w:t>2</w:t>
      </w:r>
      <w:r>
        <w:rPr>
          <w:rFonts w:ascii="Times New Roman"/>
        </w:rPr>
        <w:t>.1.1 春繁饲料</w:t>
      </w:r>
    </w:p>
    <w:p>
      <w:pPr>
        <w:pStyle w:val="22"/>
        <w:ind w:firstLine="424" w:firstLineChars="202"/>
        <w:rPr>
          <w:rFonts w:ascii="Times New Roman"/>
        </w:rPr>
      </w:pPr>
      <w:r>
        <w:rPr>
          <w:rFonts w:ascii="Times New Roman"/>
        </w:rPr>
        <w:t>春繁期饲喂蜂蜜花粉时，不使用来历不明的花粉，饲喂前应对花粉进行不少于20</w:t>
      </w:r>
      <w:r>
        <w:rPr>
          <w:rFonts w:hint="eastAsia" w:ascii="Times New Roman"/>
        </w:rPr>
        <w:t xml:space="preserve"> min</w:t>
      </w:r>
      <w:r>
        <w:rPr>
          <w:rFonts w:ascii="Times New Roman"/>
        </w:rPr>
        <w:t>的蒸汽消毒。</w:t>
      </w:r>
    </w:p>
    <w:p>
      <w:pPr>
        <w:pStyle w:val="22"/>
        <w:ind w:firstLine="0" w:firstLineChars="0"/>
        <w:rPr>
          <w:rFonts w:ascii="Times New Roman"/>
        </w:rPr>
      </w:pPr>
      <w:r>
        <w:rPr>
          <w:rFonts w:ascii="Times New Roman"/>
        </w:rPr>
        <w:t>5.</w:t>
      </w:r>
      <w:r>
        <w:rPr>
          <w:rFonts w:hint="eastAsia" w:ascii="Times New Roman"/>
        </w:rPr>
        <w:t>2</w:t>
      </w:r>
      <w:r>
        <w:rPr>
          <w:rFonts w:ascii="Times New Roman"/>
        </w:rPr>
        <w:t>.1.</w:t>
      </w:r>
      <w:r>
        <w:rPr>
          <w:rFonts w:hint="eastAsia" w:ascii="Times New Roman"/>
        </w:rPr>
        <w:t>2</w:t>
      </w:r>
      <w:r>
        <w:rPr>
          <w:rFonts w:ascii="Times New Roman"/>
        </w:rPr>
        <w:t>越冬饲料</w:t>
      </w:r>
    </w:p>
    <w:p>
      <w:pPr>
        <w:pStyle w:val="22"/>
        <w:ind w:firstLine="424" w:firstLineChars="202"/>
        <w:rPr>
          <w:rFonts w:ascii="Times New Roman"/>
        </w:rPr>
      </w:pPr>
      <w:r>
        <w:rPr>
          <w:rFonts w:hint="eastAsia" w:ascii="Times New Roman"/>
        </w:rPr>
        <w:t>1）</w:t>
      </w:r>
      <w:r>
        <w:rPr>
          <w:rFonts w:ascii="Times New Roman"/>
        </w:rPr>
        <w:t>饲喂越冬饲料前应对蜂群内贮存的饲料进行显微镜检查，如巢脾中的蜂蜜或花粉中发现有微孢子虫则应对巢脾及饲料进行消毒</w:t>
      </w:r>
      <w:r>
        <w:rPr>
          <w:rFonts w:hint="eastAsia" w:ascii="Times New Roman"/>
        </w:rPr>
        <w:t>；</w:t>
      </w:r>
    </w:p>
    <w:p>
      <w:pPr>
        <w:pStyle w:val="22"/>
        <w:ind w:firstLine="424" w:firstLineChars="202"/>
        <w:rPr>
          <w:rFonts w:ascii="Times New Roman"/>
        </w:rPr>
      </w:pPr>
      <w:r>
        <w:rPr>
          <w:rFonts w:hint="eastAsia" w:ascii="Times New Roman"/>
        </w:rPr>
        <w:t>2）</w:t>
      </w:r>
      <w:r>
        <w:rPr>
          <w:rFonts w:ascii="Times New Roman"/>
        </w:rPr>
        <w:t>补饲选</w:t>
      </w:r>
      <w:r>
        <w:rPr>
          <w:rFonts w:hint="eastAsia" w:ascii="Times New Roman"/>
        </w:rPr>
        <w:t>择</w:t>
      </w:r>
      <w:r>
        <w:rPr>
          <w:rFonts w:ascii="Times New Roman"/>
        </w:rPr>
        <w:t>蜂蜜或白糖。</w:t>
      </w:r>
    </w:p>
    <w:p>
      <w:pPr>
        <w:pStyle w:val="22"/>
        <w:ind w:firstLine="424" w:firstLineChars="202"/>
        <w:rPr>
          <w:rFonts w:ascii="Times New Roman"/>
        </w:rPr>
      </w:pPr>
      <w:r>
        <w:rPr>
          <w:rFonts w:hint="eastAsia" w:ascii="Times New Roman"/>
        </w:rPr>
        <w:t>3）</w:t>
      </w:r>
      <w:r>
        <w:rPr>
          <w:rFonts w:ascii="Times New Roman"/>
        </w:rPr>
        <w:t>越冬饲料，</w:t>
      </w:r>
      <w:r>
        <w:rPr>
          <w:rFonts w:hint="eastAsia" w:ascii="Times New Roman"/>
        </w:rPr>
        <w:t>视群势强弱与越冬期长短贮备</w:t>
      </w:r>
      <w:r>
        <w:rPr>
          <w:rFonts w:ascii="Times New Roman"/>
        </w:rPr>
        <w:t>蜜脾。</w:t>
      </w:r>
    </w:p>
    <w:p>
      <w:pPr>
        <w:pStyle w:val="43"/>
        <w:spacing w:before="156" w:after="156"/>
        <w:rPr>
          <w:rFonts w:ascii="Times New Roman"/>
        </w:rPr>
      </w:pPr>
      <w:r>
        <w:rPr>
          <w:rFonts w:ascii="Times New Roman"/>
        </w:rPr>
        <w:t>预防消毒</w:t>
      </w:r>
    </w:p>
    <w:p>
      <w:pPr>
        <w:pStyle w:val="22"/>
        <w:numPr>
          <w:ilvl w:val="0"/>
          <w:numId w:val="23"/>
        </w:numPr>
        <w:tabs>
          <w:tab w:val="center" w:pos="756"/>
          <w:tab w:val="clear" w:pos="4201"/>
        </w:tabs>
        <w:ind w:left="0" w:firstLine="420" w:firstLineChars="0"/>
        <w:rPr>
          <w:rFonts w:ascii="Times New Roman"/>
        </w:rPr>
      </w:pPr>
      <w:r>
        <w:rPr>
          <w:rFonts w:ascii="Times New Roman"/>
        </w:rPr>
        <w:t>春繁前应对养蜂器具进行修整，巢框、巢脾及起刮刀等养蜂器具用2%-3%氢氧化钠溶液浸泡30 min后清水清洗晾干再使用。蜂箱消毒可用火焰喷灯灼烧至微变色。</w:t>
      </w:r>
    </w:p>
    <w:p>
      <w:pPr>
        <w:pStyle w:val="22"/>
        <w:numPr>
          <w:ilvl w:val="0"/>
          <w:numId w:val="23"/>
        </w:numPr>
        <w:tabs>
          <w:tab w:val="center" w:pos="756"/>
          <w:tab w:val="clear" w:pos="4201"/>
        </w:tabs>
        <w:ind w:left="0" w:firstLine="420" w:firstLineChars="0"/>
        <w:rPr>
          <w:rFonts w:ascii="Times New Roman"/>
        </w:rPr>
      </w:pPr>
      <w:r>
        <w:rPr>
          <w:rFonts w:ascii="Times New Roman"/>
        </w:rPr>
        <w:t>长期保存的巢脾应</w:t>
      </w:r>
      <w:r>
        <w:rPr>
          <w:rFonts w:hint="eastAsia" w:ascii="Times New Roman"/>
        </w:rPr>
        <w:t>置</w:t>
      </w:r>
      <w:r>
        <w:rPr>
          <w:rFonts w:ascii="Times New Roman"/>
        </w:rPr>
        <w:t>于空蜂箱中，蜂箱应整齐叠放并将所有缝隙密封，然后将盛有50 mL浓度4%冰醋酸的容器放入蜂箱进行熏蒸消毒。</w:t>
      </w:r>
    </w:p>
    <w:p>
      <w:pPr>
        <w:pStyle w:val="22"/>
        <w:numPr>
          <w:ilvl w:val="0"/>
          <w:numId w:val="23"/>
        </w:numPr>
        <w:tabs>
          <w:tab w:val="center" w:pos="756"/>
          <w:tab w:val="clear" w:pos="4201"/>
        </w:tabs>
        <w:ind w:left="0" w:firstLine="420" w:firstLineChars="0"/>
        <w:rPr>
          <w:rFonts w:ascii="Times New Roman"/>
        </w:rPr>
      </w:pPr>
      <w:r>
        <w:rPr>
          <w:rFonts w:ascii="Times New Roman"/>
        </w:rPr>
        <w:t>随时收集</w:t>
      </w:r>
      <w:r>
        <w:rPr>
          <w:rFonts w:hint="eastAsia" w:ascii="Times New Roman"/>
        </w:rPr>
        <w:t>养</w:t>
      </w:r>
      <w:r>
        <w:rPr>
          <w:rFonts w:ascii="Times New Roman"/>
        </w:rPr>
        <w:t>蜂场地面的病蜂及死</w:t>
      </w:r>
      <w:r>
        <w:rPr>
          <w:rFonts w:hint="eastAsia" w:ascii="Times New Roman"/>
        </w:rPr>
        <w:t>亡</w:t>
      </w:r>
      <w:r>
        <w:rPr>
          <w:rFonts w:ascii="Times New Roman"/>
        </w:rPr>
        <w:t>蜂</w:t>
      </w:r>
      <w:r>
        <w:rPr>
          <w:rFonts w:hint="eastAsia" w:ascii="Times New Roman"/>
        </w:rPr>
        <w:t>，</w:t>
      </w:r>
      <w:r>
        <w:rPr>
          <w:rFonts w:ascii="Times New Roman"/>
        </w:rPr>
        <w:t>集中焚烧或深埋，并在</w:t>
      </w:r>
      <w:r>
        <w:rPr>
          <w:rFonts w:hint="eastAsia" w:ascii="Times New Roman"/>
        </w:rPr>
        <w:t>养</w:t>
      </w:r>
      <w:r>
        <w:rPr>
          <w:rFonts w:ascii="Times New Roman"/>
        </w:rPr>
        <w:t>蜂场地面撒生石灰消毒。</w:t>
      </w:r>
    </w:p>
    <w:p>
      <w:pPr>
        <w:pStyle w:val="39"/>
        <w:spacing w:before="156" w:after="156"/>
        <w:rPr>
          <w:rFonts w:ascii="Times New Roman"/>
        </w:rPr>
      </w:pPr>
      <w:r>
        <w:rPr>
          <w:rFonts w:ascii="Times New Roman"/>
        </w:rPr>
        <w:t>监测</w:t>
      </w:r>
    </w:p>
    <w:p>
      <w:pPr>
        <w:pStyle w:val="22"/>
        <w:tabs>
          <w:tab w:val="center" w:pos="756"/>
          <w:tab w:val="clear" w:pos="4201"/>
        </w:tabs>
        <w:ind w:firstLineChars="0"/>
        <w:rPr>
          <w:rFonts w:ascii="Times New Roman"/>
        </w:rPr>
      </w:pPr>
      <w:r>
        <w:rPr>
          <w:rFonts w:ascii="Times New Roman"/>
        </w:rPr>
        <w:t>每年从去除越冬包装开始，直至下次越冬包装前</w:t>
      </w:r>
      <w:r>
        <w:rPr>
          <w:rFonts w:hint="eastAsia" w:ascii="Times New Roman"/>
        </w:rPr>
        <w:t>，</w:t>
      </w:r>
      <w:r>
        <w:rPr>
          <w:rFonts w:ascii="Times New Roman"/>
        </w:rPr>
        <w:t>应至少每3个月</w:t>
      </w:r>
      <w:r>
        <w:rPr>
          <w:rFonts w:hint="eastAsia" w:ascii="Times New Roman"/>
        </w:rPr>
        <w:t>对</w:t>
      </w:r>
      <w:r>
        <w:rPr>
          <w:rFonts w:ascii="Times New Roman"/>
        </w:rPr>
        <w:t>蜂群进行1次蜜蜂微孢子虫病的病原监测，定量调查蜂群受感染程度。根据上</w:t>
      </w:r>
      <w:r>
        <w:rPr>
          <w:rFonts w:hint="eastAsia" w:ascii="Times New Roman"/>
        </w:rPr>
        <w:t>两</w:t>
      </w:r>
      <w:r>
        <w:rPr>
          <w:rFonts w:ascii="Times New Roman"/>
        </w:rPr>
        <w:t>个年度的监测记录及当前监测结果随时调整本年的防控</w:t>
      </w:r>
      <w:r>
        <w:rPr>
          <w:rFonts w:hint="eastAsia" w:ascii="Times New Roman"/>
        </w:rPr>
        <w:t>措施</w:t>
      </w:r>
      <w:r>
        <w:rPr>
          <w:rFonts w:ascii="Times New Roman"/>
        </w:rPr>
        <w:t>。</w:t>
      </w:r>
    </w:p>
    <w:p>
      <w:pPr>
        <w:pStyle w:val="39"/>
        <w:spacing w:before="156" w:after="156"/>
        <w:rPr>
          <w:rFonts w:ascii="Times New Roman"/>
        </w:rPr>
      </w:pPr>
      <w:r>
        <w:rPr>
          <w:rFonts w:ascii="Times New Roman"/>
        </w:rPr>
        <w:t>防治</w:t>
      </w:r>
    </w:p>
    <w:p>
      <w:pPr>
        <w:pStyle w:val="43"/>
        <w:spacing w:before="156" w:after="156"/>
        <w:rPr>
          <w:rFonts w:ascii="Times New Roman"/>
        </w:rPr>
      </w:pPr>
      <w:r>
        <w:rPr>
          <w:rFonts w:ascii="Times New Roman"/>
        </w:rPr>
        <w:t>预防</w:t>
      </w:r>
    </w:p>
    <w:p>
      <w:pPr>
        <w:pStyle w:val="22"/>
        <w:rPr>
          <w:rFonts w:ascii="Times New Roman"/>
        </w:rPr>
      </w:pPr>
      <w:r>
        <w:rPr>
          <w:rFonts w:ascii="Times New Roman"/>
        </w:rPr>
        <w:t>结合蜂群的饲喂，将1 g食品级柠檬酸粉剂加入1000 g饲料中，持续饲喂7</w:t>
      </w:r>
      <w:r>
        <w:rPr>
          <w:rFonts w:hint="eastAsia" w:ascii="Times New Roman"/>
        </w:rPr>
        <w:t>d</w:t>
      </w:r>
      <w:r>
        <w:rPr>
          <w:rFonts w:ascii="Times New Roman"/>
        </w:rPr>
        <w:t>。</w:t>
      </w:r>
    </w:p>
    <w:p>
      <w:pPr>
        <w:pStyle w:val="43"/>
        <w:spacing w:before="156" w:after="156"/>
        <w:rPr>
          <w:rFonts w:ascii="Times New Roman"/>
        </w:rPr>
      </w:pPr>
      <w:r>
        <w:rPr>
          <w:rFonts w:ascii="Times New Roman"/>
        </w:rPr>
        <w:t>治疗</w:t>
      </w:r>
    </w:p>
    <w:p>
      <w:pPr>
        <w:pStyle w:val="22"/>
        <w:rPr>
          <w:rFonts w:ascii="Times New Roman"/>
        </w:rPr>
      </w:pPr>
      <w:r>
        <w:rPr>
          <w:rFonts w:ascii="Times New Roman"/>
        </w:rPr>
        <w:t>当蜂群出现大量因排泄不畅的爬蜂时，取4 g大黄苏打片，溶于1000 mL浓度为1:1的蔗糖水中，喷脾，每张脾100 mL。大流蜜期内及之前1个月内不得使用。</w:t>
      </w:r>
    </w:p>
    <w:p>
      <w:pPr>
        <w:pStyle w:val="22"/>
        <w:rPr>
          <w:rFonts w:ascii="Times New Roman"/>
        </w:rPr>
      </w:pPr>
    </w:p>
    <w:p>
      <w:pPr>
        <w:pStyle w:val="22"/>
        <w:rPr>
          <w:rFonts w:ascii="Times New Roman"/>
        </w:rPr>
      </w:pPr>
    </w:p>
    <w:p>
      <w:pPr>
        <w:pStyle w:val="22"/>
        <w:rPr>
          <w:rFonts w:ascii="Times New Roman"/>
        </w:rPr>
      </w:pPr>
    </w:p>
    <w:p>
      <w:pPr>
        <w:pStyle w:val="22"/>
        <w:rPr>
          <w:rFonts w:ascii="Times New Roman"/>
        </w:rPr>
      </w:pPr>
    </w:p>
    <w:p>
      <w:pPr>
        <w:pStyle w:val="22"/>
        <w:rPr>
          <w:rFonts w:ascii="Times New Roman"/>
        </w:rPr>
      </w:pPr>
    </w:p>
    <w:p>
      <w:pPr>
        <w:pStyle w:val="22"/>
        <w:rPr>
          <w:rFonts w:ascii="Times New Roman"/>
        </w:rPr>
      </w:pPr>
    </w:p>
    <w:p>
      <w:pPr>
        <w:pStyle w:val="22"/>
        <w:rPr>
          <w:rFonts w:ascii="Times New Roman"/>
        </w:rPr>
      </w:pPr>
    </w:p>
    <w:p>
      <w:pPr>
        <w:pStyle w:val="22"/>
        <w:rPr>
          <w:rFonts w:ascii="Times New Roman"/>
        </w:rPr>
      </w:pPr>
    </w:p>
    <w:p>
      <w:pPr>
        <w:pStyle w:val="22"/>
        <w:rPr>
          <w:rFonts w:ascii="Times New Roman"/>
        </w:rPr>
      </w:pPr>
    </w:p>
    <w:p>
      <w:pPr>
        <w:pStyle w:val="22"/>
        <w:rPr>
          <w:rFonts w:ascii="Times New Roman"/>
        </w:rPr>
      </w:pPr>
    </w:p>
    <w:p>
      <w:pPr>
        <w:pStyle w:val="81"/>
        <w:rPr>
          <w:rFonts w:ascii="Times New Roman"/>
        </w:rPr>
      </w:pPr>
      <w:bookmarkStart w:id="20" w:name="_Hlk57220550"/>
    </w:p>
    <w:p>
      <w:pPr>
        <w:pStyle w:val="81"/>
        <w:rPr>
          <w:rFonts w:ascii="Times New Roman"/>
        </w:rPr>
      </w:pPr>
      <w:r>
        <w:rPr>
          <w:rFonts w:ascii="Times New Roman"/>
        </w:rPr>
        <w:t>（规范性）</w:t>
      </w:r>
      <w:bookmarkEnd w:id="20"/>
    </w:p>
    <w:p>
      <w:pPr>
        <w:pStyle w:val="81"/>
        <w:rPr>
          <w:rFonts w:ascii="Times New Roman"/>
        </w:rPr>
      </w:pPr>
      <w:r>
        <w:rPr>
          <w:rFonts w:ascii="Times New Roman"/>
        </w:rPr>
        <w:t>PCR反应体系及引物序列</w:t>
      </w:r>
    </w:p>
    <w:p>
      <w:pPr>
        <w:pStyle w:val="99"/>
        <w:tabs>
          <w:tab w:val="clear" w:pos="360"/>
        </w:tabs>
        <w:spacing w:before="156" w:beforeLines="50" w:after="156" w:afterLines="50"/>
        <w:rPr>
          <w:rFonts w:ascii="Times New Roman"/>
        </w:rPr>
      </w:pPr>
      <w:r>
        <w:rPr>
          <w:rFonts w:ascii="Times New Roman"/>
        </w:rPr>
        <w:t>PCR反应体系</w:t>
      </w:r>
    </w:p>
    <w:p>
      <w:pPr>
        <w:pStyle w:val="84"/>
        <w:tabs>
          <w:tab w:val="clear" w:pos="0"/>
        </w:tabs>
        <w:spacing w:before="156" w:after="156"/>
        <w:ind w:left="0" w:firstLine="0"/>
        <w:rPr>
          <w:rFonts w:ascii="Times New Roman"/>
        </w:rPr>
      </w:pPr>
      <w:r>
        <w:rPr>
          <w:rFonts w:ascii="Times New Roman"/>
        </w:rPr>
        <w:t>PCR反应体系试剂配比</w:t>
      </w:r>
    </w:p>
    <w:tbl>
      <w:tblPr>
        <w:tblStyle w:val="30"/>
        <w:tblW w:w="5944"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914"/>
        <w:gridCol w:w="1914"/>
        <w:gridCol w:w="211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914" w:type="dxa"/>
          </w:tcPr>
          <w:p>
            <w:pPr>
              <w:widowControl/>
              <w:tabs>
                <w:tab w:val="center" w:pos="4201"/>
                <w:tab w:val="right" w:leader="dot" w:pos="9298"/>
              </w:tabs>
              <w:autoSpaceDE w:val="0"/>
              <w:autoSpaceDN w:val="0"/>
              <w:jc w:val="center"/>
              <w:rPr>
                <w:kern w:val="0"/>
                <w:szCs w:val="18"/>
              </w:rPr>
            </w:pPr>
            <w:r>
              <w:rPr>
                <w:kern w:val="0"/>
                <w:szCs w:val="18"/>
              </w:rPr>
              <w:t>试剂</w:t>
            </w:r>
          </w:p>
        </w:tc>
        <w:tc>
          <w:tcPr>
            <w:tcW w:w="1914" w:type="dxa"/>
          </w:tcPr>
          <w:p>
            <w:pPr>
              <w:widowControl/>
              <w:tabs>
                <w:tab w:val="center" w:pos="4201"/>
                <w:tab w:val="right" w:leader="dot" w:pos="9298"/>
              </w:tabs>
              <w:autoSpaceDE w:val="0"/>
              <w:autoSpaceDN w:val="0"/>
              <w:jc w:val="center"/>
              <w:rPr>
                <w:kern w:val="0"/>
                <w:szCs w:val="18"/>
              </w:rPr>
            </w:pPr>
            <w:r>
              <w:rPr>
                <w:kern w:val="0"/>
                <w:szCs w:val="18"/>
              </w:rPr>
              <w:t>剂量</w:t>
            </w:r>
            <w:r>
              <w:rPr>
                <w:rFonts w:hint="eastAsia"/>
                <w:kern w:val="0"/>
                <w:szCs w:val="18"/>
              </w:rPr>
              <w:t>（</w:t>
            </w:r>
            <w:r>
              <w:rPr>
                <w:rStyle w:val="141"/>
                <w:color w:val="000000"/>
                <w:szCs w:val="21"/>
                <w:shd w:val="clear" w:color="auto" w:fill="FFFFFF"/>
              </w:rPr>
              <w:t>μL</w:t>
            </w:r>
            <w:r>
              <w:rPr>
                <w:rFonts w:hint="eastAsia"/>
                <w:kern w:val="0"/>
                <w:szCs w:val="18"/>
              </w:rPr>
              <w:t>）</w:t>
            </w:r>
          </w:p>
        </w:tc>
        <w:tc>
          <w:tcPr>
            <w:tcW w:w="2116" w:type="dxa"/>
          </w:tcPr>
          <w:p>
            <w:pPr>
              <w:widowControl/>
              <w:tabs>
                <w:tab w:val="center" w:pos="4201"/>
                <w:tab w:val="right" w:leader="dot" w:pos="9298"/>
              </w:tabs>
              <w:autoSpaceDE w:val="0"/>
              <w:autoSpaceDN w:val="0"/>
              <w:jc w:val="center"/>
              <w:rPr>
                <w:kern w:val="0"/>
                <w:szCs w:val="18"/>
              </w:rPr>
            </w:pPr>
            <w:r>
              <w:rPr>
                <w:kern w:val="0"/>
                <w:szCs w:val="18"/>
              </w:rPr>
              <w:t>浓度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914" w:type="dxa"/>
          </w:tcPr>
          <w:p>
            <w:pPr>
              <w:jc w:val="center"/>
            </w:pPr>
            <w:r>
              <w:t>5×PCR buffer</w:t>
            </w:r>
          </w:p>
        </w:tc>
        <w:tc>
          <w:tcPr>
            <w:tcW w:w="1914" w:type="dxa"/>
          </w:tcPr>
          <w:p>
            <w:pPr>
              <w:widowControl/>
              <w:tabs>
                <w:tab w:val="center" w:pos="4201"/>
                <w:tab w:val="right" w:leader="dot" w:pos="9298"/>
              </w:tabs>
              <w:autoSpaceDE w:val="0"/>
              <w:autoSpaceDN w:val="0"/>
              <w:jc w:val="center"/>
              <w:rPr>
                <w:kern w:val="0"/>
                <w:szCs w:val="18"/>
              </w:rPr>
            </w:pPr>
            <w:r>
              <w:rPr>
                <w:rStyle w:val="141"/>
                <w:color w:val="000000"/>
                <w:szCs w:val="21"/>
                <w:shd w:val="clear" w:color="auto" w:fill="FFFFFF"/>
              </w:rPr>
              <w:t>3</w:t>
            </w:r>
          </w:p>
        </w:tc>
        <w:tc>
          <w:tcPr>
            <w:tcW w:w="2116" w:type="dxa"/>
          </w:tcPr>
          <w:p>
            <w:pPr>
              <w:widowControl/>
              <w:tabs>
                <w:tab w:val="center" w:pos="4201"/>
                <w:tab w:val="right" w:leader="dot" w:pos="9298"/>
              </w:tabs>
              <w:autoSpaceDE w:val="0"/>
              <w:autoSpaceDN w:val="0"/>
              <w:jc w:val="center"/>
              <w:rPr>
                <w:kern w:val="0"/>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914" w:type="dxa"/>
          </w:tcPr>
          <w:p>
            <w:pPr>
              <w:jc w:val="center"/>
            </w:pPr>
            <w:r>
              <w:t>引物</w:t>
            </w:r>
          </w:p>
        </w:tc>
        <w:tc>
          <w:tcPr>
            <w:tcW w:w="1914" w:type="dxa"/>
          </w:tcPr>
          <w:p>
            <w:pPr>
              <w:widowControl/>
              <w:tabs>
                <w:tab w:val="center" w:pos="4201"/>
                <w:tab w:val="right" w:leader="dot" w:pos="9298"/>
              </w:tabs>
              <w:autoSpaceDE w:val="0"/>
              <w:autoSpaceDN w:val="0"/>
              <w:jc w:val="center"/>
              <w:rPr>
                <w:kern w:val="0"/>
                <w:szCs w:val="18"/>
              </w:rPr>
            </w:pPr>
            <w:bookmarkStart w:id="21" w:name="OLE_LINK13"/>
            <w:bookmarkStart w:id="22" w:name="OLE_LINK4"/>
            <w:bookmarkStart w:id="23" w:name="OLE_LINK5"/>
            <w:r>
              <w:rPr>
                <w:rStyle w:val="141"/>
                <w:color w:val="000000"/>
                <w:szCs w:val="21"/>
                <w:shd w:val="clear" w:color="auto" w:fill="FFFFFF"/>
              </w:rPr>
              <w:t>6</w:t>
            </w:r>
            <w:bookmarkEnd w:id="21"/>
            <w:bookmarkEnd w:id="22"/>
            <w:bookmarkEnd w:id="23"/>
          </w:p>
        </w:tc>
        <w:tc>
          <w:tcPr>
            <w:tcW w:w="2116" w:type="dxa"/>
          </w:tcPr>
          <w:p>
            <w:pPr>
              <w:widowControl/>
              <w:tabs>
                <w:tab w:val="center" w:pos="4201"/>
                <w:tab w:val="right" w:leader="dot" w:pos="9298"/>
              </w:tabs>
              <w:autoSpaceDE w:val="0"/>
              <w:autoSpaceDN w:val="0"/>
              <w:jc w:val="center"/>
              <w:rPr>
                <w:kern w:val="0"/>
                <w:szCs w:val="18"/>
              </w:rPr>
            </w:pPr>
            <w:r>
              <w:t>10 μM</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914" w:type="dxa"/>
          </w:tcPr>
          <w:p>
            <w:pPr>
              <w:jc w:val="center"/>
            </w:pPr>
            <w:r>
              <w:t>One Taq聚合酶</w:t>
            </w:r>
          </w:p>
        </w:tc>
        <w:tc>
          <w:tcPr>
            <w:tcW w:w="1914" w:type="dxa"/>
          </w:tcPr>
          <w:p>
            <w:pPr>
              <w:widowControl/>
              <w:tabs>
                <w:tab w:val="center" w:pos="4201"/>
                <w:tab w:val="right" w:leader="dot" w:pos="9298"/>
              </w:tabs>
              <w:autoSpaceDE w:val="0"/>
              <w:autoSpaceDN w:val="0"/>
              <w:jc w:val="center"/>
              <w:rPr>
                <w:kern w:val="0"/>
                <w:szCs w:val="18"/>
              </w:rPr>
            </w:pPr>
            <w:r>
              <w:rPr>
                <w:rStyle w:val="141"/>
                <w:color w:val="000000"/>
                <w:szCs w:val="21"/>
                <w:shd w:val="clear" w:color="auto" w:fill="FFFFFF"/>
              </w:rPr>
              <w:t>0.2</w:t>
            </w:r>
          </w:p>
        </w:tc>
        <w:tc>
          <w:tcPr>
            <w:tcW w:w="2116" w:type="dxa"/>
          </w:tcPr>
          <w:p>
            <w:pPr>
              <w:widowControl/>
              <w:tabs>
                <w:tab w:val="center" w:pos="4201"/>
                <w:tab w:val="right" w:leader="dot" w:pos="9298"/>
              </w:tabs>
              <w:autoSpaceDE w:val="0"/>
              <w:autoSpaceDN w:val="0"/>
              <w:jc w:val="center"/>
              <w:rPr>
                <w:kern w:val="0"/>
                <w:szCs w:val="18"/>
              </w:rPr>
            </w:pPr>
            <w:r>
              <w:t>5 U/μL</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914" w:type="dxa"/>
          </w:tcPr>
          <w:p>
            <w:pPr>
              <w:jc w:val="center"/>
            </w:pPr>
            <w:r>
              <w:t>dNTPs</w:t>
            </w:r>
          </w:p>
        </w:tc>
        <w:tc>
          <w:tcPr>
            <w:tcW w:w="1914" w:type="dxa"/>
          </w:tcPr>
          <w:p>
            <w:pPr>
              <w:widowControl/>
              <w:tabs>
                <w:tab w:val="center" w:pos="4201"/>
                <w:tab w:val="right" w:leader="dot" w:pos="9298"/>
              </w:tabs>
              <w:autoSpaceDE w:val="0"/>
              <w:autoSpaceDN w:val="0"/>
              <w:jc w:val="center"/>
              <w:rPr>
                <w:kern w:val="0"/>
                <w:szCs w:val="18"/>
              </w:rPr>
            </w:pPr>
            <w:r>
              <w:rPr>
                <w:rStyle w:val="141"/>
                <w:color w:val="000000"/>
                <w:szCs w:val="21"/>
                <w:shd w:val="clear" w:color="auto" w:fill="FFFFFF"/>
              </w:rPr>
              <w:t>0.5</w:t>
            </w:r>
          </w:p>
        </w:tc>
        <w:tc>
          <w:tcPr>
            <w:tcW w:w="2116" w:type="dxa"/>
          </w:tcPr>
          <w:p>
            <w:pPr>
              <w:widowControl/>
              <w:tabs>
                <w:tab w:val="center" w:pos="4201"/>
                <w:tab w:val="right" w:leader="dot" w:pos="9298"/>
              </w:tabs>
              <w:autoSpaceDE w:val="0"/>
              <w:autoSpaceDN w:val="0"/>
              <w:jc w:val="center"/>
              <w:rPr>
                <w:kern w:val="0"/>
                <w:szCs w:val="18"/>
              </w:rPr>
            </w:pPr>
            <w:r>
              <w:t>10 mM</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914" w:type="dxa"/>
          </w:tcPr>
          <w:p>
            <w:pPr>
              <w:jc w:val="center"/>
            </w:pPr>
            <w:r>
              <w:t>DNA模板</w:t>
            </w:r>
          </w:p>
        </w:tc>
        <w:tc>
          <w:tcPr>
            <w:tcW w:w="1914" w:type="dxa"/>
          </w:tcPr>
          <w:p>
            <w:pPr>
              <w:widowControl/>
              <w:tabs>
                <w:tab w:val="center" w:pos="4201"/>
                <w:tab w:val="right" w:leader="dot" w:pos="9298"/>
              </w:tabs>
              <w:autoSpaceDE w:val="0"/>
              <w:autoSpaceDN w:val="0"/>
              <w:jc w:val="center"/>
              <w:rPr>
                <w:kern w:val="0"/>
                <w:szCs w:val="18"/>
              </w:rPr>
            </w:pPr>
            <w:r>
              <w:rPr>
                <w:rStyle w:val="141"/>
                <w:color w:val="000000"/>
                <w:szCs w:val="21"/>
                <w:shd w:val="clear" w:color="auto" w:fill="FFFFFF"/>
              </w:rPr>
              <w:t>2</w:t>
            </w:r>
          </w:p>
        </w:tc>
        <w:tc>
          <w:tcPr>
            <w:tcW w:w="2116" w:type="dxa"/>
          </w:tcPr>
          <w:p>
            <w:pPr>
              <w:widowControl/>
              <w:tabs>
                <w:tab w:val="center" w:pos="4201"/>
                <w:tab w:val="right" w:leader="dot" w:pos="9298"/>
              </w:tabs>
              <w:autoSpaceDE w:val="0"/>
              <w:autoSpaceDN w:val="0"/>
              <w:jc w:val="center"/>
              <w:rPr>
                <w:kern w:val="0"/>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914" w:type="dxa"/>
          </w:tcPr>
          <w:p>
            <w:pPr>
              <w:jc w:val="center"/>
            </w:pPr>
            <w:r>
              <w:rPr>
                <w:rStyle w:val="141"/>
                <w:color w:val="000000"/>
                <w:szCs w:val="21"/>
                <w:shd w:val="clear" w:color="auto" w:fill="FFFFFF"/>
              </w:rPr>
              <w:t>ddH</w:t>
            </w:r>
            <w:r>
              <w:rPr>
                <w:rStyle w:val="141"/>
                <w:color w:val="000000"/>
                <w:shd w:val="clear" w:color="auto" w:fill="FFFFFF"/>
                <w:vertAlign w:val="subscript"/>
              </w:rPr>
              <w:t>2</w:t>
            </w:r>
            <w:r>
              <w:rPr>
                <w:rStyle w:val="141"/>
                <w:color w:val="000000"/>
                <w:szCs w:val="21"/>
                <w:shd w:val="clear" w:color="auto" w:fill="FFFFFF"/>
              </w:rPr>
              <w:t>O</w:t>
            </w:r>
          </w:p>
        </w:tc>
        <w:tc>
          <w:tcPr>
            <w:tcW w:w="1914" w:type="dxa"/>
          </w:tcPr>
          <w:p>
            <w:pPr>
              <w:widowControl/>
              <w:tabs>
                <w:tab w:val="center" w:pos="4201"/>
                <w:tab w:val="right" w:leader="dot" w:pos="9298"/>
              </w:tabs>
              <w:autoSpaceDE w:val="0"/>
              <w:autoSpaceDN w:val="0"/>
              <w:jc w:val="center"/>
              <w:rPr>
                <w:rStyle w:val="141"/>
                <w:color w:val="000000"/>
                <w:szCs w:val="21"/>
                <w:shd w:val="clear" w:color="auto" w:fill="FFFFFF"/>
              </w:rPr>
            </w:pPr>
            <w:r>
              <w:rPr>
                <w:rStyle w:val="141"/>
                <w:color w:val="000000"/>
                <w:szCs w:val="21"/>
                <w:shd w:val="clear" w:color="auto" w:fill="FFFFFF"/>
              </w:rPr>
              <w:t>3.3</w:t>
            </w:r>
          </w:p>
        </w:tc>
        <w:tc>
          <w:tcPr>
            <w:tcW w:w="2116" w:type="dxa"/>
          </w:tcPr>
          <w:p>
            <w:pPr>
              <w:widowControl/>
              <w:tabs>
                <w:tab w:val="center" w:pos="4201"/>
                <w:tab w:val="right" w:leader="dot" w:pos="9298"/>
              </w:tabs>
              <w:autoSpaceDE w:val="0"/>
              <w:autoSpaceDN w:val="0"/>
              <w:jc w:val="center"/>
              <w:rPr>
                <w:kern w:val="0"/>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5944" w:type="dxa"/>
            <w:gridSpan w:val="3"/>
          </w:tcPr>
          <w:p>
            <w:pPr>
              <w:widowControl/>
              <w:tabs>
                <w:tab w:val="center" w:pos="4201"/>
                <w:tab w:val="right" w:leader="dot" w:pos="9298"/>
              </w:tabs>
              <w:autoSpaceDE w:val="0"/>
              <w:autoSpaceDN w:val="0"/>
              <w:rPr>
                <w:rFonts w:eastAsia="黑体"/>
                <w:kern w:val="0"/>
                <w:sz w:val="18"/>
                <w:szCs w:val="18"/>
              </w:rPr>
            </w:pPr>
            <w:r>
              <w:rPr>
                <w:rFonts w:eastAsia="黑体"/>
                <w:kern w:val="0"/>
                <w:sz w:val="18"/>
                <w:szCs w:val="18"/>
              </w:rPr>
              <w:t>注1：3对引物的正负引物各1 μL</w:t>
            </w:r>
          </w:p>
          <w:p>
            <w:pPr>
              <w:widowControl/>
              <w:tabs>
                <w:tab w:val="center" w:pos="4201"/>
                <w:tab w:val="right" w:leader="dot" w:pos="9298"/>
              </w:tabs>
              <w:autoSpaceDE w:val="0"/>
              <w:autoSpaceDN w:val="0"/>
              <w:rPr>
                <w:rFonts w:eastAsia="黑体"/>
                <w:kern w:val="0"/>
                <w:sz w:val="18"/>
                <w:szCs w:val="18"/>
              </w:rPr>
            </w:pPr>
            <w:r>
              <w:rPr>
                <w:rFonts w:eastAsia="黑体"/>
                <w:kern w:val="0"/>
                <w:sz w:val="18"/>
                <w:szCs w:val="18"/>
              </w:rPr>
              <w:t>注2：反应体系15 μL</w:t>
            </w:r>
          </w:p>
        </w:tc>
      </w:tr>
    </w:tbl>
    <w:p>
      <w:pPr>
        <w:pStyle w:val="99"/>
        <w:tabs>
          <w:tab w:val="clear" w:pos="360"/>
        </w:tabs>
        <w:spacing w:before="156" w:beforeLines="50" w:after="156" w:afterLines="50"/>
        <w:rPr>
          <w:rFonts w:ascii="Times New Roman"/>
        </w:rPr>
      </w:pPr>
      <w:r>
        <w:rPr>
          <w:rFonts w:ascii="Times New Roman"/>
        </w:rPr>
        <w:t>引物序列</w:t>
      </w:r>
    </w:p>
    <w:p>
      <w:pPr>
        <w:pStyle w:val="84"/>
        <w:tabs>
          <w:tab w:val="clear" w:pos="0"/>
        </w:tabs>
        <w:spacing w:before="156" w:after="156"/>
        <w:ind w:left="0" w:firstLine="0"/>
        <w:rPr>
          <w:rFonts w:ascii="Times New Roman"/>
        </w:rPr>
      </w:pPr>
      <w:r>
        <w:rPr>
          <w:rFonts w:ascii="Times New Roman"/>
        </w:rPr>
        <w:t>引物序列及</w:t>
      </w:r>
      <w:r>
        <w:rPr>
          <w:rFonts w:hint="eastAsia" w:ascii="Times New Roman"/>
        </w:rPr>
        <w:t>扩增</w:t>
      </w:r>
      <w:r>
        <w:rPr>
          <w:rFonts w:ascii="Times New Roman"/>
        </w:rPr>
        <w:t>产物信息</w:t>
      </w:r>
    </w:p>
    <w:tbl>
      <w:tblPr>
        <w:tblStyle w:val="30"/>
        <w:tblpPr w:leftFromText="180" w:rightFromText="180" w:vertAnchor="text" w:horzAnchor="margin" w:tblpX="-10" w:tblpY="24"/>
        <w:tblW w:w="9356"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117"/>
        <w:gridCol w:w="3052"/>
        <w:gridCol w:w="3053"/>
        <w:gridCol w:w="113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c>
          <w:tcPr>
            <w:tcW w:w="2117" w:type="dxa"/>
            <w:vAlign w:val="center"/>
          </w:tcPr>
          <w:p>
            <w:pPr>
              <w:widowControl/>
              <w:tabs>
                <w:tab w:val="center" w:pos="4201"/>
                <w:tab w:val="right" w:leader="dot" w:pos="9298"/>
              </w:tabs>
              <w:autoSpaceDE w:val="0"/>
              <w:autoSpaceDN w:val="0"/>
              <w:jc w:val="center"/>
              <w:rPr>
                <w:kern w:val="0"/>
                <w:szCs w:val="18"/>
              </w:rPr>
            </w:pPr>
            <w:r>
              <w:rPr>
                <w:kern w:val="0"/>
                <w:szCs w:val="18"/>
              </w:rPr>
              <w:t>病原名称</w:t>
            </w:r>
          </w:p>
        </w:tc>
        <w:tc>
          <w:tcPr>
            <w:tcW w:w="3052" w:type="dxa"/>
            <w:vAlign w:val="center"/>
          </w:tcPr>
          <w:p>
            <w:pPr>
              <w:widowControl/>
              <w:tabs>
                <w:tab w:val="center" w:pos="4201"/>
                <w:tab w:val="right" w:leader="dot" w:pos="9298"/>
              </w:tabs>
              <w:autoSpaceDE w:val="0"/>
              <w:autoSpaceDN w:val="0"/>
              <w:jc w:val="center"/>
              <w:rPr>
                <w:kern w:val="0"/>
                <w:szCs w:val="18"/>
              </w:rPr>
            </w:pPr>
            <w:r>
              <w:rPr>
                <w:kern w:val="0"/>
                <w:szCs w:val="18"/>
              </w:rPr>
              <w:t>Forward Primer</w:t>
            </w:r>
          </w:p>
        </w:tc>
        <w:tc>
          <w:tcPr>
            <w:tcW w:w="3053" w:type="dxa"/>
            <w:vAlign w:val="center"/>
          </w:tcPr>
          <w:p>
            <w:pPr>
              <w:widowControl/>
              <w:tabs>
                <w:tab w:val="center" w:pos="4201"/>
                <w:tab w:val="right" w:leader="dot" w:pos="9298"/>
              </w:tabs>
              <w:autoSpaceDE w:val="0"/>
              <w:autoSpaceDN w:val="0"/>
              <w:jc w:val="center"/>
              <w:rPr>
                <w:kern w:val="0"/>
                <w:szCs w:val="18"/>
              </w:rPr>
            </w:pPr>
            <w:r>
              <w:rPr>
                <w:kern w:val="0"/>
                <w:szCs w:val="18"/>
              </w:rPr>
              <w:t>Reverse Primer</w:t>
            </w:r>
          </w:p>
        </w:tc>
        <w:tc>
          <w:tcPr>
            <w:tcW w:w="1134" w:type="dxa"/>
            <w:vAlign w:val="center"/>
          </w:tcPr>
          <w:p>
            <w:pPr>
              <w:widowControl/>
              <w:tabs>
                <w:tab w:val="center" w:pos="4201"/>
                <w:tab w:val="right" w:leader="dot" w:pos="9298"/>
              </w:tabs>
              <w:autoSpaceDE w:val="0"/>
              <w:autoSpaceDN w:val="0"/>
              <w:jc w:val="center"/>
              <w:rPr>
                <w:kern w:val="0"/>
                <w:szCs w:val="18"/>
              </w:rPr>
            </w:pPr>
            <w:r>
              <w:rPr>
                <w:kern w:val="0"/>
                <w:szCs w:val="18"/>
              </w:rPr>
              <w:t>产物大小（bp）</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11" w:hRule="atLeast"/>
        </w:trPr>
        <w:tc>
          <w:tcPr>
            <w:tcW w:w="2117" w:type="dxa"/>
            <w:vAlign w:val="center"/>
          </w:tcPr>
          <w:p>
            <w:pPr>
              <w:jc w:val="center"/>
            </w:pPr>
            <w:r>
              <w:t>东方蜜蜂微孢子虫（</w:t>
            </w:r>
            <w:r>
              <w:rPr>
                <w:i/>
                <w:iCs/>
              </w:rPr>
              <w:t>Nosema Ceranae</w:t>
            </w:r>
            <w:r>
              <w:t>）</w:t>
            </w:r>
          </w:p>
        </w:tc>
        <w:tc>
          <w:tcPr>
            <w:tcW w:w="3052" w:type="dxa"/>
            <w:vAlign w:val="center"/>
          </w:tcPr>
          <w:p>
            <w:r>
              <w:rPr>
                <w:rStyle w:val="141"/>
                <w:color w:val="000000"/>
                <w:szCs w:val="21"/>
                <w:shd w:val="clear" w:color="auto" w:fill="FFFFFF"/>
              </w:rPr>
              <w:t>CGGCGACGATGTGATATGAAAATATTAA</w:t>
            </w:r>
          </w:p>
        </w:tc>
        <w:tc>
          <w:tcPr>
            <w:tcW w:w="3053" w:type="dxa"/>
            <w:vAlign w:val="center"/>
          </w:tcPr>
          <w:p>
            <w:r>
              <w:rPr>
                <w:rStyle w:val="141"/>
                <w:color w:val="000000"/>
                <w:szCs w:val="21"/>
                <w:shd w:val="clear" w:color="auto" w:fill="FFFFFF"/>
              </w:rPr>
              <w:t>CCCGGTCATTCTCAAACAAAAAACCG</w:t>
            </w:r>
          </w:p>
        </w:tc>
        <w:tc>
          <w:tcPr>
            <w:tcW w:w="1134" w:type="dxa"/>
            <w:vAlign w:val="center"/>
          </w:tcPr>
          <w:p>
            <w:pPr>
              <w:jc w:val="center"/>
            </w:pPr>
            <w:r>
              <w:rPr>
                <w:rStyle w:val="141"/>
                <w:color w:val="000000"/>
                <w:szCs w:val="21"/>
                <w:shd w:val="clear" w:color="auto" w:fill="FFFFFF"/>
              </w:rPr>
              <w:t>218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47" w:hRule="atLeast"/>
        </w:trPr>
        <w:tc>
          <w:tcPr>
            <w:tcW w:w="2117" w:type="dxa"/>
            <w:vAlign w:val="center"/>
          </w:tcPr>
          <w:p>
            <w:pPr>
              <w:jc w:val="center"/>
            </w:pPr>
            <w:r>
              <w:t>蜜蜂微孢子虫</w:t>
            </w:r>
          </w:p>
          <w:p>
            <w:pPr>
              <w:jc w:val="center"/>
            </w:pPr>
            <w:r>
              <w:t>（</w:t>
            </w:r>
            <w:r>
              <w:rPr>
                <w:i/>
                <w:iCs/>
              </w:rPr>
              <w:t>Nosema Apis</w:t>
            </w:r>
            <w:r>
              <w:t>）</w:t>
            </w:r>
          </w:p>
        </w:tc>
        <w:tc>
          <w:tcPr>
            <w:tcW w:w="3052" w:type="dxa"/>
            <w:vAlign w:val="center"/>
          </w:tcPr>
          <w:p>
            <w:r>
              <w:rPr>
                <w:rStyle w:val="141"/>
                <w:color w:val="000000"/>
                <w:szCs w:val="21"/>
                <w:shd w:val="clear" w:color="auto" w:fill="FFFFFF"/>
              </w:rPr>
              <w:t>GGGGGCATGTCTTTGACGTACTATGTA</w:t>
            </w:r>
          </w:p>
        </w:tc>
        <w:tc>
          <w:tcPr>
            <w:tcW w:w="3053" w:type="dxa"/>
            <w:vAlign w:val="center"/>
          </w:tcPr>
          <w:p>
            <w:r>
              <w:rPr>
                <w:rStyle w:val="141"/>
                <w:color w:val="000000"/>
                <w:szCs w:val="21"/>
                <w:shd w:val="clear" w:color="auto" w:fill="FFFFFF"/>
              </w:rPr>
              <w:t>GGGGGGCGTTTAAAATGTGAAACAACTATG</w:t>
            </w:r>
          </w:p>
        </w:tc>
        <w:tc>
          <w:tcPr>
            <w:tcW w:w="1134" w:type="dxa"/>
            <w:vAlign w:val="center"/>
          </w:tcPr>
          <w:p>
            <w:pPr>
              <w:jc w:val="center"/>
            </w:pPr>
            <w:r>
              <w:rPr>
                <w:rStyle w:val="141"/>
                <w:color w:val="000000"/>
                <w:szCs w:val="21"/>
                <w:shd w:val="clear" w:color="auto" w:fill="FFFFFF"/>
              </w:rPr>
              <w:t>321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11" w:hRule="atLeast"/>
        </w:trPr>
        <w:tc>
          <w:tcPr>
            <w:tcW w:w="2117" w:type="dxa"/>
            <w:vAlign w:val="center"/>
          </w:tcPr>
          <w:p>
            <w:pPr>
              <w:jc w:val="center"/>
            </w:pPr>
            <w:r>
              <w:t>内参基因</w:t>
            </w:r>
          </w:p>
          <w:p>
            <w:pPr>
              <w:jc w:val="center"/>
            </w:pPr>
            <w:r>
              <w:t>（RpS5）</w:t>
            </w:r>
          </w:p>
        </w:tc>
        <w:tc>
          <w:tcPr>
            <w:tcW w:w="3052" w:type="dxa"/>
            <w:vAlign w:val="center"/>
          </w:tcPr>
          <w:p>
            <w:r>
              <w:rPr>
                <w:rStyle w:val="141"/>
                <w:color w:val="000000"/>
                <w:szCs w:val="21"/>
                <w:shd w:val="clear" w:color="auto" w:fill="FFFFFF"/>
              </w:rPr>
              <w:t>AATTATTTGGTCGCTGGAATTG</w:t>
            </w:r>
          </w:p>
        </w:tc>
        <w:tc>
          <w:tcPr>
            <w:tcW w:w="3053" w:type="dxa"/>
            <w:vAlign w:val="center"/>
          </w:tcPr>
          <w:p>
            <w:r>
              <w:rPr>
                <w:rStyle w:val="141"/>
                <w:color w:val="000000"/>
                <w:szCs w:val="21"/>
                <w:shd w:val="clear" w:color="auto" w:fill="FFFFFF"/>
              </w:rPr>
              <w:t>TAACGTCCAGCAGAATGTGGTA</w:t>
            </w:r>
          </w:p>
        </w:tc>
        <w:tc>
          <w:tcPr>
            <w:tcW w:w="1134" w:type="dxa"/>
            <w:vAlign w:val="center"/>
          </w:tcPr>
          <w:p>
            <w:pPr>
              <w:jc w:val="center"/>
            </w:pPr>
            <w:r>
              <w:t>115</w:t>
            </w:r>
          </w:p>
        </w:tc>
      </w:tr>
    </w:tbl>
    <w:p>
      <w:pPr>
        <w:pStyle w:val="22"/>
        <w:rPr>
          <w:rFonts w:ascii="Times New Roman"/>
        </w:rPr>
      </w:pPr>
    </w:p>
    <w:p>
      <w:pPr>
        <w:pStyle w:val="22"/>
        <w:rPr>
          <w:rFonts w:ascii="Times New Roman"/>
        </w:rPr>
      </w:pPr>
    </w:p>
    <w:p>
      <w:pPr>
        <w:pStyle w:val="22"/>
        <w:rPr>
          <w:rFonts w:ascii="Times New Roman"/>
        </w:rPr>
      </w:pPr>
    </w:p>
    <w:p>
      <w:pPr>
        <w:pStyle w:val="22"/>
        <w:rPr>
          <w:rFonts w:ascii="Times New Roman"/>
        </w:rPr>
      </w:pPr>
    </w:p>
    <w:p>
      <w:pPr>
        <w:pStyle w:val="83"/>
      </w:pPr>
      <w:r>
        <w:t>范性）</w:t>
      </w:r>
    </w:p>
    <w:p>
      <w:pPr>
        <w:pStyle w:val="22"/>
      </w:pPr>
    </w:p>
    <w:p>
      <w:pPr>
        <w:pStyle w:val="126"/>
        <w:framePr w:wrap="around" w:hAnchor="page" w:x="4410" w:y="263"/>
      </w:pPr>
      <w:r>
        <w:t>_________________________________</w:t>
      </w:r>
    </w:p>
    <w:p>
      <w:pPr>
        <w:pStyle w:val="22"/>
        <w:ind w:firstLine="0" w:firstLineChars="0"/>
        <w:rPr>
          <w:rFonts w:ascii="Times New Roman" w:eastAsia="黑体"/>
        </w:rPr>
      </w:pPr>
    </w:p>
    <w:p>
      <w:pPr>
        <w:pStyle w:val="22"/>
        <w:ind w:firstLine="0" w:firstLineChars="0"/>
        <w:rPr>
          <w:rFonts w:ascii="Times New Roman" w:eastAsia="黑体"/>
        </w:rPr>
      </w:pPr>
    </w:p>
    <w:p>
      <w:pPr>
        <w:pStyle w:val="22"/>
        <w:ind w:firstLine="0" w:firstLineChars="0"/>
        <w:rPr>
          <w:rFonts w:ascii="Times New Roman"/>
          <w:color w:val="FF0000"/>
        </w:rPr>
      </w:pPr>
    </w:p>
    <w:sectPr>
      <w:headerReference r:id="rId5" w:type="default"/>
      <w:footerReference r:id="rId7" w:type="default"/>
      <w:headerReference r:id="rId6" w:type="even"/>
      <w:footerReference r:id="rId8" w:type="even"/>
      <w:pgSz w:w="11906" w:h="16838"/>
      <w:pgMar w:top="567" w:right="1134" w:bottom="1134" w:left="1417" w:header="1418" w:footer="1134" w:gutter="0"/>
      <w:pgNumType w:start="1"/>
      <w:cols w:space="425"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5"/>
      <w:jc w:val="right"/>
    </w:pPr>
    <w:r>
      <w:fldChar w:fldCharType="begin"/>
    </w:r>
    <w:r>
      <w:instrText xml:space="preserve"> PAGE  \* MERGEFORMAT </w:instrText>
    </w:r>
    <w:r>
      <w:fldChar w:fldCharType="separate"/>
    </w:r>
    <w:r>
      <w:t>II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pPr>
    <w:r>
      <w:fldChar w:fldCharType="begin"/>
    </w:r>
    <w:r>
      <w:instrText xml:space="preserve"> PAGE  \* MERGEFORMAT </w:instrText>
    </w:r>
    <w:r>
      <w:fldChar w:fldCharType="separate"/>
    </w:r>
    <w: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5"/>
    </w:pPr>
    <w:r>
      <w:fldChar w:fldCharType="begin"/>
    </w:r>
    <w:r>
      <w:instrText xml:space="preserve"> PAGE  \* MERGEFORMAT </w:instrText>
    </w:r>
    <w:r>
      <w:fldChar w:fldCharType="separate"/>
    </w:r>
    <w:r>
      <w:t>2</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6"/>
      <w:jc w:val="right"/>
    </w:pPr>
    <w:r>
      <w:t>DB11/T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t>DB11/T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6"/>
    </w:pPr>
    <w:r>
      <w:t>DB11/T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5A49A7"/>
    <w:multiLevelType w:val="singleLevel"/>
    <w:tmpl w:val="E15A49A7"/>
    <w:lvl w:ilvl="0" w:tentative="0">
      <w:start w:val="1"/>
      <w:numFmt w:val="lowerLetter"/>
      <w:suff w:val="space"/>
      <w:lvlText w:val="%1)"/>
      <w:lvlJc w:val="left"/>
    </w:lvl>
  </w:abstractNum>
  <w:abstractNum w:abstractNumId="1">
    <w:nsid w:val="01221F52"/>
    <w:multiLevelType w:val="multilevel"/>
    <w:tmpl w:val="01221F52"/>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0A952887"/>
    <w:multiLevelType w:val="multilevel"/>
    <w:tmpl w:val="0A952887"/>
    <w:lvl w:ilvl="0" w:tentative="0">
      <w:start w:val="1"/>
      <w:numFmt w:val="decimal"/>
      <w:pStyle w:val="62"/>
      <w:suff w:val="nothing"/>
      <w:lvlText w:val="注%1："/>
      <w:lvlJc w:val="left"/>
      <w:pPr>
        <w:ind w:left="0" w:firstLine="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
    <w:nsid w:val="0F805D97"/>
    <w:multiLevelType w:val="multilevel"/>
    <w:tmpl w:val="0F805D97"/>
    <w:lvl w:ilvl="0" w:tentative="0">
      <w:start w:val="1"/>
      <w:numFmt w:val="none"/>
      <w:pStyle w:val="54"/>
      <w:suff w:val="nothing"/>
      <w:lvlText w:val="注%1："/>
      <w:lvlJc w:val="left"/>
      <w:pPr>
        <w:ind w:left="0" w:firstLine="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4">
    <w:nsid w:val="1FC91163"/>
    <w:multiLevelType w:val="multilevel"/>
    <w:tmpl w:val="1FC91163"/>
    <w:lvl w:ilvl="0" w:tentative="0">
      <w:start w:val="1"/>
      <w:numFmt w:val="decimal"/>
      <w:pStyle w:val="42"/>
      <w:suff w:val="nothing"/>
      <w:lvlText w:val="%1　"/>
      <w:lvlJc w:val="left"/>
      <w:pPr>
        <w:ind w:left="1560" w:firstLine="0"/>
      </w:pPr>
      <w:rPr>
        <w:rFonts w:hint="eastAsia" w:ascii="黑体" w:hAnsi="Times New Roman" w:eastAsia="黑体"/>
        <w:b w:val="0"/>
        <w:i w:val="0"/>
        <w:sz w:val="21"/>
        <w:szCs w:val="21"/>
      </w:rPr>
    </w:lvl>
    <w:lvl w:ilvl="1" w:tentative="0">
      <w:start w:val="1"/>
      <w:numFmt w:val="decimal"/>
      <w:pStyle w:val="39"/>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43"/>
      <w:suff w:val="nothing"/>
      <w:lvlText w:val="%1.%2.%3　"/>
      <w:lvlJc w:val="left"/>
      <w:pPr>
        <w:ind w:left="0" w:firstLine="0"/>
      </w:pPr>
      <w:rPr>
        <w:rFonts w:hint="eastAsia" w:ascii="黑体" w:hAnsi="Times New Roman" w:eastAsia="黑体"/>
        <w:b w:val="0"/>
        <w:i w:val="0"/>
        <w:sz w:val="21"/>
      </w:rPr>
    </w:lvl>
    <w:lvl w:ilvl="3" w:tentative="0">
      <w:start w:val="1"/>
      <w:numFmt w:val="decimal"/>
      <w:pStyle w:val="48"/>
      <w:suff w:val="nothing"/>
      <w:lvlText w:val="%1.%2.%3.%4　"/>
      <w:lvlJc w:val="left"/>
      <w:pPr>
        <w:ind w:left="0" w:firstLine="0"/>
      </w:pPr>
      <w:rPr>
        <w:rFonts w:hint="eastAsia" w:ascii="黑体" w:hAnsi="Times New Roman" w:eastAsia="黑体"/>
        <w:b w:val="0"/>
        <w:i w:val="0"/>
        <w:sz w:val="21"/>
      </w:rPr>
    </w:lvl>
    <w:lvl w:ilvl="4" w:tentative="0">
      <w:start w:val="1"/>
      <w:numFmt w:val="decimal"/>
      <w:pStyle w:val="52"/>
      <w:suff w:val="nothing"/>
      <w:lvlText w:val="%1.%2.%3.%4.%5　"/>
      <w:lvlJc w:val="left"/>
      <w:pPr>
        <w:ind w:left="0" w:firstLine="0"/>
      </w:pPr>
      <w:rPr>
        <w:rFonts w:hint="eastAsia" w:ascii="黑体" w:hAnsi="Times New Roman" w:eastAsia="黑体"/>
        <w:b w:val="0"/>
        <w:i w:val="0"/>
        <w:sz w:val="21"/>
      </w:rPr>
    </w:lvl>
    <w:lvl w:ilvl="5" w:tentative="0">
      <w:start w:val="1"/>
      <w:numFmt w:val="decimal"/>
      <w:pStyle w:val="53"/>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5">
    <w:nsid w:val="24B435DB"/>
    <w:multiLevelType w:val="multilevel"/>
    <w:tmpl w:val="24B435DB"/>
    <w:lvl w:ilvl="0" w:tentative="0">
      <w:start w:val="1"/>
      <w:numFmt w:val="lowerLetter"/>
      <w:pStyle w:val="118"/>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6">
    <w:nsid w:val="26750412"/>
    <w:multiLevelType w:val="multilevel"/>
    <w:tmpl w:val="26750412"/>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29707437"/>
    <w:multiLevelType w:val="multilevel"/>
    <w:tmpl w:val="29707437"/>
    <w:lvl w:ilvl="0" w:tentative="0">
      <w:start w:val="1"/>
      <w:numFmt w:val="none"/>
      <w:pStyle w:val="61"/>
      <w:suff w:val="nothing"/>
      <w:lvlText w:val="%1注："/>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8">
    <w:nsid w:val="2A8F7113"/>
    <w:multiLevelType w:val="multilevel"/>
    <w:tmpl w:val="2A8F7113"/>
    <w:lvl w:ilvl="0" w:tentative="0">
      <w:start w:val="1"/>
      <w:numFmt w:val="upperLetter"/>
      <w:pStyle w:val="95"/>
      <w:suff w:val="space"/>
      <w:lvlText w:val="%1"/>
      <w:lvlJc w:val="left"/>
      <w:pPr>
        <w:ind w:left="623" w:hanging="425"/>
      </w:pPr>
      <w:rPr>
        <w:rFonts w:hint="eastAsia"/>
      </w:rPr>
    </w:lvl>
    <w:lvl w:ilvl="1" w:tentative="0">
      <w:start w:val="1"/>
      <w:numFmt w:val="decimal"/>
      <w:pStyle w:val="96"/>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9">
    <w:nsid w:val="2C5917C3"/>
    <w:multiLevelType w:val="multilevel"/>
    <w:tmpl w:val="2C5917C3"/>
    <w:lvl w:ilvl="0" w:tentative="0">
      <w:start w:val="1"/>
      <w:numFmt w:val="none"/>
      <w:pStyle w:val="45"/>
      <w:suff w:val="nothing"/>
      <w:lvlText w:val="%1——"/>
      <w:lvlJc w:val="left"/>
      <w:pPr>
        <w:ind w:left="833" w:hanging="408"/>
      </w:pPr>
      <w:rPr>
        <w:rFonts w:hint="eastAsia"/>
      </w:rPr>
    </w:lvl>
    <w:lvl w:ilvl="1" w:tentative="0">
      <w:start w:val="1"/>
      <w:numFmt w:val="bullet"/>
      <w:pStyle w:val="46"/>
      <w:lvlText w:val=""/>
      <w:lvlJc w:val="left"/>
      <w:pPr>
        <w:tabs>
          <w:tab w:val="left" w:pos="760"/>
        </w:tabs>
        <w:ind w:left="1264" w:hanging="413"/>
      </w:pPr>
      <w:rPr>
        <w:rFonts w:hint="default" w:ascii="Symbol" w:hAnsi="Symbol"/>
        <w:color w:val="auto"/>
      </w:rPr>
    </w:lvl>
    <w:lvl w:ilvl="2" w:tentative="0">
      <w:start w:val="1"/>
      <w:numFmt w:val="bullet"/>
      <w:pStyle w:val="57"/>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0">
    <w:nsid w:val="3D733618"/>
    <w:multiLevelType w:val="multilevel"/>
    <w:tmpl w:val="3D733618"/>
    <w:lvl w:ilvl="0" w:tentative="0">
      <w:start w:val="1"/>
      <w:numFmt w:val="decimal"/>
      <w:pStyle w:val="23"/>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1">
    <w:nsid w:val="44C50F90"/>
    <w:multiLevelType w:val="multilevel"/>
    <w:tmpl w:val="44C50F90"/>
    <w:lvl w:ilvl="0" w:tentative="0">
      <w:start w:val="1"/>
      <w:numFmt w:val="lowerLetter"/>
      <w:pStyle w:val="56"/>
      <w:lvlText w:val="%1)"/>
      <w:lvlJc w:val="left"/>
      <w:pPr>
        <w:tabs>
          <w:tab w:val="left" w:pos="840"/>
        </w:tabs>
        <w:ind w:left="839" w:hanging="419"/>
      </w:pPr>
      <w:rPr>
        <w:rFonts w:hint="eastAsia" w:ascii="宋体" w:eastAsia="宋体"/>
        <w:b w:val="0"/>
        <w:i w:val="0"/>
        <w:sz w:val="21"/>
        <w:szCs w:val="21"/>
      </w:rPr>
    </w:lvl>
    <w:lvl w:ilvl="1" w:tentative="0">
      <w:start w:val="1"/>
      <w:numFmt w:val="decimal"/>
      <w:pStyle w:val="51"/>
      <w:lvlText w:val="%2)"/>
      <w:lvlJc w:val="left"/>
      <w:pPr>
        <w:tabs>
          <w:tab w:val="left" w:pos="1260"/>
        </w:tabs>
        <w:ind w:left="1259" w:hanging="419"/>
      </w:pPr>
      <w:rPr>
        <w:rFonts w:hint="eastAsia"/>
      </w:rPr>
    </w:lvl>
    <w:lvl w:ilvl="2" w:tentative="0">
      <w:start w:val="1"/>
      <w:numFmt w:val="decimal"/>
      <w:pStyle w:val="58"/>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2">
    <w:nsid w:val="4EC360E6"/>
    <w:multiLevelType w:val="multilevel"/>
    <w:tmpl w:val="4EC360E6"/>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3">
    <w:nsid w:val="4ED61F7B"/>
    <w:multiLevelType w:val="multilevel"/>
    <w:tmpl w:val="4ED61F7B"/>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4">
    <w:nsid w:val="520F62E9"/>
    <w:multiLevelType w:val="multilevel"/>
    <w:tmpl w:val="520F62E9"/>
    <w:lvl w:ilvl="0" w:tentative="0">
      <w:start w:val="1"/>
      <w:numFmt w:val="decimal"/>
      <w:pStyle w:val="125"/>
      <w:suff w:val="nothing"/>
      <w:lvlText w:val="图%1　"/>
      <w:lvlJc w:val="left"/>
      <w:pPr>
        <w:ind w:left="0" w:firstLine="0"/>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5">
    <w:nsid w:val="56FE2933"/>
    <w:multiLevelType w:val="multilevel"/>
    <w:tmpl w:val="56FE2933"/>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5E63562F"/>
    <w:multiLevelType w:val="multilevel"/>
    <w:tmpl w:val="5E63562F"/>
    <w:lvl w:ilvl="0" w:tentative="0">
      <w:start w:val="1"/>
      <w:numFmt w:val="decimal"/>
      <w:pStyle w:val="55"/>
      <w:suff w:val="nothing"/>
      <w:lvlText w:val="注%1："/>
      <w:lvlJc w:val="left"/>
      <w:pPr>
        <w:ind w:left="0" w:firstLine="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17">
    <w:nsid w:val="60B55DC2"/>
    <w:multiLevelType w:val="multilevel"/>
    <w:tmpl w:val="60B55DC2"/>
    <w:lvl w:ilvl="0" w:tentative="0">
      <w:start w:val="1"/>
      <w:numFmt w:val="upperLetter"/>
      <w:pStyle w:val="83"/>
      <w:lvlText w:val="%1"/>
      <w:lvlJc w:val="left"/>
      <w:pPr>
        <w:tabs>
          <w:tab w:val="left" w:pos="0"/>
        </w:tabs>
        <w:ind w:left="0" w:hanging="425"/>
      </w:pPr>
      <w:rPr>
        <w:rFonts w:hint="eastAsia"/>
      </w:rPr>
    </w:lvl>
    <w:lvl w:ilvl="1" w:tentative="0">
      <w:start w:val="1"/>
      <w:numFmt w:val="decimal"/>
      <w:pStyle w:val="84"/>
      <w:suff w:val="nothing"/>
      <w:lvlText w:val="表%1.%2　"/>
      <w:lvlJc w:val="left"/>
      <w:pPr>
        <w:ind w:left="6947" w:hanging="567"/>
      </w:pPr>
      <w:rPr>
        <w:rFonts w:hint="eastAsia"/>
        <w:color w:val="auto"/>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8">
    <w:nsid w:val="63404DBE"/>
    <w:multiLevelType w:val="multilevel"/>
    <w:tmpl w:val="63404DBE"/>
    <w:lvl w:ilvl="0" w:tentative="0">
      <w:start w:val="1"/>
      <w:numFmt w:val="none"/>
      <w:pStyle w:val="49"/>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19">
    <w:nsid w:val="63AF7EBF"/>
    <w:multiLevelType w:val="multilevel"/>
    <w:tmpl w:val="63AF7EBF"/>
    <w:lvl w:ilvl="0" w:tentative="0">
      <w:start w:val="1"/>
      <w:numFmt w:val="decimal"/>
      <w:pStyle w:val="123"/>
      <w:suff w:val="nothing"/>
      <w:lvlText w:val="表%1　"/>
      <w:lvlJc w:val="left"/>
      <w:pPr>
        <w:ind w:left="0" w:firstLine="0"/>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657D3FBC"/>
    <w:multiLevelType w:val="multilevel"/>
    <w:tmpl w:val="657D3FBC"/>
    <w:lvl w:ilvl="0" w:tentative="0">
      <w:start w:val="1"/>
      <w:numFmt w:val="upperLetter"/>
      <w:pStyle w:val="81"/>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99"/>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00"/>
      <w:suff w:val="nothing"/>
      <w:lvlText w:val="%1.%2.%3　"/>
      <w:lvlJc w:val="left"/>
      <w:pPr>
        <w:ind w:left="0" w:firstLine="0"/>
      </w:pPr>
      <w:rPr>
        <w:rFonts w:hint="eastAsia" w:ascii="黑体" w:hAnsi="Times New Roman" w:eastAsia="黑体"/>
        <w:b w:val="0"/>
        <w:i w:val="0"/>
        <w:sz w:val="21"/>
      </w:rPr>
    </w:lvl>
    <w:lvl w:ilvl="3" w:tentative="0">
      <w:start w:val="1"/>
      <w:numFmt w:val="decimal"/>
      <w:pStyle w:val="85"/>
      <w:suff w:val="nothing"/>
      <w:lvlText w:val="%1.%2.%3.%4　"/>
      <w:lvlJc w:val="left"/>
      <w:pPr>
        <w:ind w:left="0" w:firstLine="0"/>
      </w:pPr>
      <w:rPr>
        <w:rFonts w:hint="eastAsia" w:ascii="黑体" w:hAnsi="Times New Roman" w:eastAsia="黑体"/>
        <w:b w:val="0"/>
        <w:i w:val="0"/>
        <w:sz w:val="21"/>
      </w:rPr>
    </w:lvl>
    <w:lvl w:ilvl="4" w:tentative="0">
      <w:start w:val="1"/>
      <w:numFmt w:val="decimal"/>
      <w:pStyle w:val="90"/>
      <w:suff w:val="nothing"/>
      <w:lvlText w:val="%1.%2.%3.%4.%5　"/>
      <w:lvlJc w:val="left"/>
      <w:pPr>
        <w:ind w:left="0" w:firstLine="0"/>
      </w:pPr>
      <w:rPr>
        <w:rFonts w:hint="eastAsia" w:ascii="黑体" w:hAnsi="Times New Roman" w:eastAsia="黑体"/>
        <w:b w:val="0"/>
        <w:i w:val="0"/>
        <w:sz w:val="21"/>
      </w:rPr>
    </w:lvl>
    <w:lvl w:ilvl="5" w:tentative="0">
      <w:start w:val="1"/>
      <w:numFmt w:val="decimal"/>
      <w:pStyle w:val="93"/>
      <w:suff w:val="nothing"/>
      <w:lvlText w:val="%1.%2.%3.%4.%5.%6　"/>
      <w:lvlJc w:val="left"/>
      <w:pPr>
        <w:ind w:left="0" w:firstLine="0"/>
      </w:pPr>
      <w:rPr>
        <w:rFonts w:hint="eastAsia" w:ascii="黑体" w:hAnsi="Times New Roman" w:eastAsia="黑体"/>
        <w:b w:val="0"/>
        <w:i w:val="0"/>
        <w:sz w:val="21"/>
      </w:rPr>
    </w:lvl>
    <w:lvl w:ilvl="6" w:tentative="0">
      <w:start w:val="1"/>
      <w:numFmt w:val="decimal"/>
      <w:pStyle w:val="97"/>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1">
    <w:nsid w:val="6AB870ED"/>
    <w:multiLevelType w:val="multilevel"/>
    <w:tmpl w:val="6AB870ED"/>
    <w:lvl w:ilvl="0" w:tentative="0">
      <w:start w:val="1"/>
      <w:numFmt w:val="decimal"/>
      <w:pStyle w:val="59"/>
      <w:suff w:val="nothing"/>
      <w:lvlText w:val="示例%1："/>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22">
    <w:nsid w:val="6D6C07CD"/>
    <w:multiLevelType w:val="multilevel"/>
    <w:tmpl w:val="6D6C07CD"/>
    <w:lvl w:ilvl="0" w:tentative="0">
      <w:start w:val="1"/>
      <w:numFmt w:val="lowerLetter"/>
      <w:pStyle w:val="102"/>
      <w:lvlText w:val="%1)"/>
      <w:lvlJc w:val="left"/>
      <w:pPr>
        <w:tabs>
          <w:tab w:val="left" w:pos="839"/>
        </w:tabs>
        <w:ind w:left="839" w:hanging="419"/>
      </w:pPr>
      <w:rPr>
        <w:rFonts w:hint="eastAsia" w:ascii="宋体" w:eastAsia="宋体"/>
        <w:b w:val="0"/>
        <w:i w:val="0"/>
        <w:sz w:val="21"/>
      </w:rPr>
    </w:lvl>
    <w:lvl w:ilvl="1" w:tentative="0">
      <w:start w:val="1"/>
      <w:numFmt w:val="decimal"/>
      <w:pStyle w:val="92"/>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num w:numId="1">
    <w:abstractNumId w:val="10"/>
  </w:num>
  <w:num w:numId="2">
    <w:abstractNumId w:val="4"/>
  </w:num>
  <w:num w:numId="3">
    <w:abstractNumId w:val="9"/>
  </w:num>
  <w:num w:numId="4">
    <w:abstractNumId w:val="18"/>
  </w:num>
  <w:num w:numId="5">
    <w:abstractNumId w:val="11"/>
  </w:num>
  <w:num w:numId="6">
    <w:abstractNumId w:val="3"/>
  </w:num>
  <w:num w:numId="7">
    <w:abstractNumId w:val="16"/>
  </w:num>
  <w:num w:numId="8">
    <w:abstractNumId w:val="21"/>
  </w:num>
  <w:num w:numId="9">
    <w:abstractNumId w:val="7"/>
  </w:num>
  <w:num w:numId="10">
    <w:abstractNumId w:val="2"/>
  </w:num>
  <w:num w:numId="11">
    <w:abstractNumId w:val="20"/>
  </w:num>
  <w:num w:numId="12">
    <w:abstractNumId w:val="17"/>
  </w:num>
  <w:num w:numId="13">
    <w:abstractNumId w:val="22"/>
  </w:num>
  <w:num w:numId="14">
    <w:abstractNumId w:val="8"/>
  </w:num>
  <w:num w:numId="15">
    <w:abstractNumId w:val="5"/>
  </w:num>
  <w:num w:numId="16">
    <w:abstractNumId w:val="19"/>
  </w:num>
  <w:num w:numId="17">
    <w:abstractNumId w:val="14"/>
  </w:num>
  <w:num w:numId="18">
    <w:abstractNumId w:val="6"/>
  </w:num>
  <w:num w:numId="19">
    <w:abstractNumId w:val="0"/>
  </w:num>
  <w:num w:numId="20">
    <w:abstractNumId w:val="13"/>
  </w:num>
  <w:num w:numId="21">
    <w:abstractNumId w:val="12"/>
  </w:num>
  <w:num w:numId="22">
    <w:abstractNumId w:val="1"/>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MyMWNlODcyNjk3YWFhYzAxMzMzZjllMmU3M2FkMjEifQ=="/>
  </w:docVars>
  <w:rsids>
    <w:rsidRoot w:val="00854E2E"/>
    <w:rsid w:val="00152D93"/>
    <w:rsid w:val="001E4437"/>
    <w:rsid w:val="001F695E"/>
    <w:rsid w:val="00286B8C"/>
    <w:rsid w:val="002E3BD6"/>
    <w:rsid w:val="003C26DE"/>
    <w:rsid w:val="003D2933"/>
    <w:rsid w:val="00631827"/>
    <w:rsid w:val="00693C31"/>
    <w:rsid w:val="007500A0"/>
    <w:rsid w:val="007572D3"/>
    <w:rsid w:val="00854E2E"/>
    <w:rsid w:val="008D3426"/>
    <w:rsid w:val="008E437F"/>
    <w:rsid w:val="009332E7"/>
    <w:rsid w:val="00A1401E"/>
    <w:rsid w:val="00AA7ADE"/>
    <w:rsid w:val="00AE2945"/>
    <w:rsid w:val="00BF5BC1"/>
    <w:rsid w:val="00C41655"/>
    <w:rsid w:val="00C5380C"/>
    <w:rsid w:val="00CB1A84"/>
    <w:rsid w:val="00CD2CE9"/>
    <w:rsid w:val="00D94109"/>
    <w:rsid w:val="00DA4626"/>
    <w:rsid w:val="00F6491F"/>
    <w:rsid w:val="00F90234"/>
    <w:rsid w:val="00FA0419"/>
    <w:rsid w:val="021358C1"/>
    <w:rsid w:val="08D1191A"/>
    <w:rsid w:val="0D444B80"/>
    <w:rsid w:val="0EE7610B"/>
    <w:rsid w:val="11550FEC"/>
    <w:rsid w:val="15704948"/>
    <w:rsid w:val="1609105D"/>
    <w:rsid w:val="1C53520C"/>
    <w:rsid w:val="2104465E"/>
    <w:rsid w:val="214F7EDA"/>
    <w:rsid w:val="249A0079"/>
    <w:rsid w:val="255C030E"/>
    <w:rsid w:val="287A6420"/>
    <w:rsid w:val="2B1D55F4"/>
    <w:rsid w:val="2B6F3905"/>
    <w:rsid w:val="2C113D8C"/>
    <w:rsid w:val="2C942F95"/>
    <w:rsid w:val="3327655E"/>
    <w:rsid w:val="38104D34"/>
    <w:rsid w:val="41601CA9"/>
    <w:rsid w:val="42E40AC6"/>
    <w:rsid w:val="4A1152EA"/>
    <w:rsid w:val="4A17094B"/>
    <w:rsid w:val="4F225AE8"/>
    <w:rsid w:val="4FCE6B79"/>
    <w:rsid w:val="504D3FED"/>
    <w:rsid w:val="54945C97"/>
    <w:rsid w:val="5BD0690E"/>
    <w:rsid w:val="60523268"/>
    <w:rsid w:val="619F55CF"/>
    <w:rsid w:val="61CA1B71"/>
    <w:rsid w:val="62111F3A"/>
    <w:rsid w:val="632779F9"/>
    <w:rsid w:val="636C00B0"/>
    <w:rsid w:val="65FF51E8"/>
    <w:rsid w:val="69B85044"/>
    <w:rsid w:val="6EEF5AE5"/>
    <w:rsid w:val="74B55D83"/>
    <w:rsid w:val="7531542C"/>
    <w:rsid w:val="77786839"/>
    <w:rsid w:val="78AF48A1"/>
    <w:rsid w:val="792E51E6"/>
    <w:rsid w:val="7DD5663F"/>
    <w:rsid w:val="7EB93A95"/>
    <w:rsid w:val="7EFD63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uiPriority="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2">
    <w:name w:val="Default Paragraph Font"/>
    <w:semiHidden/>
    <w:unhideWhenUsed/>
    <w:uiPriority w:val="1"/>
  </w:style>
  <w:style w:type="table" w:default="1" w:styleId="30">
    <w:name w:val="Normal Table"/>
    <w:semiHidden/>
    <w:unhideWhenUsed/>
    <w:uiPriority w:val="99"/>
    <w:tblPr>
      <w:tblCellMar>
        <w:top w:w="0" w:type="dxa"/>
        <w:left w:w="108" w:type="dxa"/>
        <w:bottom w:w="0" w:type="dxa"/>
        <w:right w:w="108" w:type="dxa"/>
      </w:tblCellMar>
    </w:tblPr>
  </w:style>
  <w:style w:type="paragraph" w:styleId="2">
    <w:name w:val="toc 7"/>
    <w:basedOn w:val="1"/>
    <w:next w:val="1"/>
    <w:semiHidden/>
    <w:qFormat/>
    <w:uiPriority w:val="0"/>
    <w:pPr>
      <w:tabs>
        <w:tab w:val="right" w:leader="dot" w:pos="9241"/>
      </w:tabs>
      <w:ind w:firstLine="505" w:firstLineChars="500"/>
      <w:jc w:val="left"/>
    </w:pPr>
    <w:rPr>
      <w:rFonts w:ascii="宋体"/>
      <w:szCs w:val="21"/>
    </w:rPr>
  </w:style>
  <w:style w:type="paragraph" w:styleId="3">
    <w:name w:val="index 8"/>
    <w:basedOn w:val="1"/>
    <w:next w:val="1"/>
    <w:qFormat/>
    <w:uiPriority w:val="0"/>
    <w:pPr>
      <w:ind w:left="1680" w:hanging="210"/>
      <w:jc w:val="left"/>
    </w:pPr>
    <w:rPr>
      <w:rFonts w:ascii="Calibri" w:hAnsi="Calibri"/>
      <w:sz w:val="20"/>
      <w:szCs w:val="20"/>
    </w:rPr>
  </w:style>
  <w:style w:type="paragraph" w:styleId="4">
    <w:name w:val="caption"/>
    <w:basedOn w:val="1"/>
    <w:next w:val="1"/>
    <w:qFormat/>
    <w:uiPriority w:val="0"/>
    <w:pPr>
      <w:spacing w:before="152" w:after="160"/>
    </w:pPr>
    <w:rPr>
      <w:rFonts w:ascii="Arial" w:hAnsi="Arial" w:eastAsia="黑体" w:cs="Arial"/>
      <w:sz w:val="20"/>
      <w:szCs w:val="20"/>
    </w:rPr>
  </w:style>
  <w:style w:type="paragraph" w:styleId="5">
    <w:name w:val="index 5"/>
    <w:basedOn w:val="1"/>
    <w:next w:val="1"/>
    <w:qFormat/>
    <w:uiPriority w:val="0"/>
    <w:pPr>
      <w:ind w:left="1050" w:hanging="210"/>
      <w:jc w:val="left"/>
    </w:pPr>
    <w:rPr>
      <w:rFonts w:ascii="Calibri" w:hAnsi="Calibri"/>
      <w:sz w:val="20"/>
      <w:szCs w:val="20"/>
    </w:rPr>
  </w:style>
  <w:style w:type="paragraph" w:styleId="6">
    <w:name w:val="Document Map"/>
    <w:basedOn w:val="1"/>
    <w:semiHidden/>
    <w:qFormat/>
    <w:uiPriority w:val="0"/>
    <w:pPr>
      <w:shd w:val="clear" w:color="auto" w:fill="000080"/>
    </w:pPr>
  </w:style>
  <w:style w:type="paragraph" w:styleId="7">
    <w:name w:val="index 6"/>
    <w:basedOn w:val="1"/>
    <w:next w:val="1"/>
    <w:qFormat/>
    <w:uiPriority w:val="0"/>
    <w:pPr>
      <w:ind w:left="1260" w:hanging="210"/>
      <w:jc w:val="left"/>
    </w:pPr>
    <w:rPr>
      <w:rFonts w:ascii="Calibri" w:hAnsi="Calibri"/>
      <w:sz w:val="20"/>
      <w:szCs w:val="20"/>
    </w:rPr>
  </w:style>
  <w:style w:type="paragraph" w:styleId="8">
    <w:name w:val="index 4"/>
    <w:basedOn w:val="1"/>
    <w:next w:val="1"/>
    <w:qFormat/>
    <w:uiPriority w:val="0"/>
    <w:pPr>
      <w:ind w:left="840" w:hanging="210"/>
      <w:jc w:val="left"/>
    </w:pPr>
    <w:rPr>
      <w:rFonts w:ascii="Calibri" w:hAnsi="Calibri"/>
      <w:sz w:val="20"/>
      <w:szCs w:val="20"/>
    </w:rPr>
  </w:style>
  <w:style w:type="paragraph" w:styleId="9">
    <w:name w:val="toc 5"/>
    <w:basedOn w:val="1"/>
    <w:next w:val="1"/>
    <w:semiHidden/>
    <w:qFormat/>
    <w:uiPriority w:val="0"/>
    <w:pPr>
      <w:tabs>
        <w:tab w:val="right" w:leader="dot" w:pos="9241"/>
      </w:tabs>
      <w:ind w:firstLine="300" w:firstLineChars="300"/>
      <w:jc w:val="left"/>
    </w:pPr>
    <w:rPr>
      <w:rFonts w:ascii="宋体"/>
      <w:szCs w:val="21"/>
    </w:rPr>
  </w:style>
  <w:style w:type="paragraph" w:styleId="10">
    <w:name w:val="toc 3"/>
    <w:basedOn w:val="1"/>
    <w:next w:val="1"/>
    <w:semiHidden/>
    <w:qFormat/>
    <w:uiPriority w:val="0"/>
    <w:pPr>
      <w:tabs>
        <w:tab w:val="right" w:leader="dot" w:pos="9241"/>
      </w:tabs>
      <w:ind w:firstLine="102" w:firstLineChars="100"/>
      <w:jc w:val="left"/>
    </w:pPr>
    <w:rPr>
      <w:rFonts w:ascii="宋体"/>
      <w:szCs w:val="21"/>
    </w:rPr>
  </w:style>
  <w:style w:type="paragraph" w:styleId="11">
    <w:name w:val="toc 8"/>
    <w:basedOn w:val="1"/>
    <w:next w:val="1"/>
    <w:semiHidden/>
    <w:qFormat/>
    <w:uiPriority w:val="0"/>
    <w:pPr>
      <w:tabs>
        <w:tab w:val="right" w:leader="dot" w:pos="9241"/>
      </w:tabs>
      <w:ind w:firstLine="607" w:firstLineChars="600"/>
      <w:jc w:val="left"/>
    </w:pPr>
    <w:rPr>
      <w:rFonts w:ascii="宋体"/>
      <w:szCs w:val="21"/>
    </w:rPr>
  </w:style>
  <w:style w:type="paragraph" w:styleId="12">
    <w:name w:val="index 3"/>
    <w:basedOn w:val="1"/>
    <w:next w:val="1"/>
    <w:qFormat/>
    <w:uiPriority w:val="0"/>
    <w:pPr>
      <w:ind w:left="630" w:hanging="210"/>
      <w:jc w:val="left"/>
    </w:pPr>
    <w:rPr>
      <w:rFonts w:ascii="Calibri" w:hAnsi="Calibri"/>
      <w:sz w:val="20"/>
      <w:szCs w:val="20"/>
    </w:rPr>
  </w:style>
  <w:style w:type="paragraph" w:styleId="13">
    <w:name w:val="Date"/>
    <w:basedOn w:val="1"/>
    <w:next w:val="1"/>
    <w:link w:val="139"/>
    <w:qFormat/>
    <w:uiPriority w:val="0"/>
    <w:pPr>
      <w:ind w:left="100" w:leftChars="2500"/>
    </w:pPr>
  </w:style>
  <w:style w:type="paragraph" w:styleId="14">
    <w:name w:val="endnote text"/>
    <w:basedOn w:val="1"/>
    <w:semiHidden/>
    <w:qFormat/>
    <w:uiPriority w:val="0"/>
    <w:pPr>
      <w:snapToGrid w:val="0"/>
      <w:jc w:val="left"/>
    </w:pPr>
  </w:style>
  <w:style w:type="paragraph" w:styleId="15">
    <w:name w:val="Balloon Text"/>
    <w:basedOn w:val="1"/>
    <w:link w:val="138"/>
    <w:qFormat/>
    <w:uiPriority w:val="0"/>
    <w:rPr>
      <w:sz w:val="18"/>
      <w:szCs w:val="18"/>
    </w:rPr>
  </w:style>
  <w:style w:type="paragraph" w:styleId="16">
    <w:name w:val="footer"/>
    <w:basedOn w:val="1"/>
    <w:qFormat/>
    <w:uiPriority w:val="0"/>
    <w:pPr>
      <w:snapToGrid w:val="0"/>
      <w:ind w:right="210" w:rightChars="100"/>
      <w:jc w:val="right"/>
    </w:pPr>
    <w:rPr>
      <w:sz w:val="18"/>
      <w:szCs w:val="18"/>
    </w:rPr>
  </w:style>
  <w:style w:type="paragraph" w:styleId="17">
    <w:name w:val="header"/>
    <w:basedOn w:val="1"/>
    <w:qFormat/>
    <w:uiPriority w:val="0"/>
    <w:pPr>
      <w:snapToGrid w:val="0"/>
      <w:jc w:val="left"/>
    </w:pPr>
    <w:rPr>
      <w:sz w:val="18"/>
      <w:szCs w:val="18"/>
    </w:rPr>
  </w:style>
  <w:style w:type="paragraph" w:styleId="18">
    <w:name w:val="toc 1"/>
    <w:basedOn w:val="1"/>
    <w:next w:val="1"/>
    <w:qFormat/>
    <w:uiPriority w:val="39"/>
    <w:pPr>
      <w:tabs>
        <w:tab w:val="right" w:leader="dot" w:pos="9241"/>
      </w:tabs>
      <w:spacing w:beforeLines="25" w:afterLines="25"/>
      <w:jc w:val="left"/>
    </w:pPr>
    <w:rPr>
      <w:rFonts w:ascii="宋体"/>
      <w:szCs w:val="21"/>
    </w:rPr>
  </w:style>
  <w:style w:type="paragraph" w:styleId="19">
    <w:name w:val="toc 4"/>
    <w:basedOn w:val="1"/>
    <w:next w:val="1"/>
    <w:semiHidden/>
    <w:qFormat/>
    <w:uiPriority w:val="0"/>
    <w:pPr>
      <w:tabs>
        <w:tab w:val="right" w:leader="dot" w:pos="9241"/>
      </w:tabs>
      <w:ind w:firstLine="198" w:firstLineChars="200"/>
      <w:jc w:val="left"/>
    </w:pPr>
    <w:rPr>
      <w:rFonts w:ascii="宋体"/>
      <w:szCs w:val="21"/>
    </w:rPr>
  </w:style>
  <w:style w:type="paragraph" w:styleId="20">
    <w:name w:val="index heading"/>
    <w:basedOn w:val="1"/>
    <w:next w:val="21"/>
    <w:qFormat/>
    <w:uiPriority w:val="0"/>
    <w:pPr>
      <w:spacing w:before="120" w:after="120"/>
      <w:jc w:val="center"/>
    </w:pPr>
    <w:rPr>
      <w:rFonts w:ascii="Calibri" w:hAnsi="Calibri"/>
      <w:b/>
      <w:bCs/>
      <w:iCs/>
      <w:szCs w:val="20"/>
    </w:rPr>
  </w:style>
  <w:style w:type="paragraph" w:styleId="21">
    <w:name w:val="index 1"/>
    <w:basedOn w:val="1"/>
    <w:next w:val="22"/>
    <w:qFormat/>
    <w:uiPriority w:val="0"/>
    <w:pPr>
      <w:tabs>
        <w:tab w:val="right" w:leader="dot" w:pos="9299"/>
      </w:tabs>
      <w:jc w:val="left"/>
    </w:pPr>
    <w:rPr>
      <w:rFonts w:ascii="宋体"/>
      <w:szCs w:val="21"/>
    </w:rPr>
  </w:style>
  <w:style w:type="paragraph" w:customStyle="1" w:styleId="22">
    <w:name w:val="段"/>
    <w:link w:val="38"/>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3">
    <w:name w:val="footnote text"/>
    <w:basedOn w:val="1"/>
    <w:qFormat/>
    <w:uiPriority w:val="0"/>
    <w:pPr>
      <w:numPr>
        <w:ilvl w:val="0"/>
        <w:numId w:val="1"/>
      </w:numPr>
      <w:snapToGrid w:val="0"/>
      <w:jc w:val="left"/>
    </w:pPr>
    <w:rPr>
      <w:rFonts w:ascii="宋体"/>
      <w:sz w:val="18"/>
      <w:szCs w:val="18"/>
    </w:rPr>
  </w:style>
  <w:style w:type="paragraph" w:styleId="24">
    <w:name w:val="toc 6"/>
    <w:basedOn w:val="1"/>
    <w:next w:val="1"/>
    <w:semiHidden/>
    <w:qFormat/>
    <w:uiPriority w:val="0"/>
    <w:pPr>
      <w:tabs>
        <w:tab w:val="right" w:leader="dot" w:pos="9241"/>
      </w:tabs>
      <w:ind w:firstLine="403" w:firstLineChars="400"/>
      <w:jc w:val="left"/>
    </w:pPr>
    <w:rPr>
      <w:rFonts w:ascii="宋体"/>
      <w:szCs w:val="21"/>
    </w:rPr>
  </w:style>
  <w:style w:type="paragraph" w:styleId="25">
    <w:name w:val="index 7"/>
    <w:basedOn w:val="1"/>
    <w:next w:val="1"/>
    <w:qFormat/>
    <w:uiPriority w:val="0"/>
    <w:pPr>
      <w:ind w:left="1470" w:hanging="210"/>
      <w:jc w:val="left"/>
    </w:pPr>
    <w:rPr>
      <w:rFonts w:ascii="Calibri" w:hAnsi="Calibri"/>
      <w:sz w:val="20"/>
      <w:szCs w:val="20"/>
    </w:rPr>
  </w:style>
  <w:style w:type="paragraph" w:styleId="26">
    <w:name w:val="index 9"/>
    <w:basedOn w:val="1"/>
    <w:next w:val="1"/>
    <w:qFormat/>
    <w:uiPriority w:val="0"/>
    <w:pPr>
      <w:ind w:left="1890" w:hanging="210"/>
      <w:jc w:val="left"/>
    </w:pPr>
    <w:rPr>
      <w:rFonts w:ascii="Calibri" w:hAnsi="Calibri"/>
      <w:sz w:val="20"/>
      <w:szCs w:val="20"/>
    </w:rPr>
  </w:style>
  <w:style w:type="paragraph" w:styleId="27">
    <w:name w:val="toc 2"/>
    <w:basedOn w:val="1"/>
    <w:next w:val="1"/>
    <w:semiHidden/>
    <w:qFormat/>
    <w:uiPriority w:val="0"/>
    <w:pPr>
      <w:tabs>
        <w:tab w:val="right" w:leader="dot" w:pos="9241"/>
      </w:tabs>
    </w:pPr>
    <w:rPr>
      <w:rFonts w:ascii="宋体"/>
      <w:szCs w:val="21"/>
    </w:rPr>
  </w:style>
  <w:style w:type="paragraph" w:styleId="28">
    <w:name w:val="toc 9"/>
    <w:basedOn w:val="1"/>
    <w:next w:val="1"/>
    <w:semiHidden/>
    <w:qFormat/>
    <w:uiPriority w:val="0"/>
    <w:pPr>
      <w:ind w:left="1470"/>
      <w:jc w:val="left"/>
    </w:pPr>
    <w:rPr>
      <w:sz w:val="20"/>
      <w:szCs w:val="20"/>
    </w:rPr>
  </w:style>
  <w:style w:type="paragraph" w:styleId="29">
    <w:name w:val="index 2"/>
    <w:basedOn w:val="1"/>
    <w:next w:val="1"/>
    <w:qFormat/>
    <w:uiPriority w:val="0"/>
    <w:pPr>
      <w:ind w:left="420" w:hanging="210"/>
      <w:jc w:val="left"/>
    </w:pPr>
    <w:rPr>
      <w:rFonts w:ascii="Calibri" w:hAnsi="Calibri"/>
      <w:sz w:val="20"/>
      <w:szCs w:val="20"/>
    </w:rPr>
  </w:style>
  <w:style w:type="table" w:styleId="31">
    <w:name w:val="Table Grid"/>
    <w:basedOn w:val="30"/>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3">
    <w:name w:val="endnote reference"/>
    <w:semiHidden/>
    <w:qFormat/>
    <w:uiPriority w:val="0"/>
    <w:rPr>
      <w:vertAlign w:val="superscript"/>
    </w:rPr>
  </w:style>
  <w:style w:type="character" w:styleId="34">
    <w:name w:val="page number"/>
    <w:qFormat/>
    <w:uiPriority w:val="0"/>
    <w:rPr>
      <w:rFonts w:ascii="Times New Roman" w:hAnsi="Times New Roman" w:eastAsia="宋体"/>
      <w:sz w:val="18"/>
    </w:rPr>
  </w:style>
  <w:style w:type="character" w:styleId="35">
    <w:name w:val="FollowedHyperlink"/>
    <w:qFormat/>
    <w:uiPriority w:val="0"/>
    <w:rPr>
      <w:color w:val="800080"/>
      <w:u w:val="single"/>
    </w:rPr>
  </w:style>
  <w:style w:type="character" w:styleId="36">
    <w:name w:val="Hyperlink"/>
    <w:qFormat/>
    <w:uiPriority w:val="99"/>
    <w:rPr>
      <w:color w:val="0000FF"/>
      <w:spacing w:val="0"/>
      <w:w w:val="100"/>
      <w:szCs w:val="21"/>
      <w:u w:val="single"/>
    </w:rPr>
  </w:style>
  <w:style w:type="character" w:styleId="37">
    <w:name w:val="footnote reference"/>
    <w:semiHidden/>
    <w:qFormat/>
    <w:uiPriority w:val="0"/>
    <w:rPr>
      <w:vertAlign w:val="superscript"/>
    </w:rPr>
  </w:style>
  <w:style w:type="character" w:customStyle="1" w:styleId="38">
    <w:name w:val="段 Char"/>
    <w:link w:val="22"/>
    <w:qFormat/>
    <w:uiPriority w:val="0"/>
    <w:rPr>
      <w:rFonts w:ascii="宋体"/>
      <w:sz w:val="21"/>
      <w:lang w:val="en-US" w:eastAsia="zh-CN" w:bidi="ar-SA"/>
    </w:rPr>
  </w:style>
  <w:style w:type="paragraph" w:customStyle="1" w:styleId="39">
    <w:name w:val="一级条标题"/>
    <w:next w:val="22"/>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40">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1">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2">
    <w:name w:val="章标题"/>
    <w:next w:val="22"/>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43">
    <w:name w:val="二级条标题"/>
    <w:basedOn w:val="39"/>
    <w:next w:val="22"/>
    <w:qFormat/>
    <w:uiPriority w:val="0"/>
    <w:pPr>
      <w:numPr>
        <w:ilvl w:val="2"/>
      </w:numPr>
      <w:spacing w:before="50" w:after="50"/>
      <w:outlineLvl w:val="3"/>
    </w:pPr>
  </w:style>
  <w:style w:type="paragraph" w:customStyle="1" w:styleId="44">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45">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46">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47">
    <w:name w:val="目次、标准名称标题"/>
    <w:basedOn w:val="1"/>
    <w:next w:val="22"/>
    <w:link w:val="13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48">
    <w:name w:val="三级条标题"/>
    <w:basedOn w:val="43"/>
    <w:next w:val="22"/>
    <w:qFormat/>
    <w:uiPriority w:val="0"/>
    <w:pPr>
      <w:numPr>
        <w:ilvl w:val="3"/>
      </w:numPr>
      <w:outlineLvl w:val="4"/>
    </w:pPr>
  </w:style>
  <w:style w:type="paragraph" w:customStyle="1" w:styleId="49">
    <w:name w:val="示例"/>
    <w:next w:val="50"/>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0">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1">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52">
    <w:name w:val="四级条标题"/>
    <w:basedOn w:val="48"/>
    <w:next w:val="22"/>
    <w:qFormat/>
    <w:uiPriority w:val="0"/>
    <w:pPr>
      <w:numPr>
        <w:ilvl w:val="4"/>
      </w:numPr>
      <w:outlineLvl w:val="5"/>
    </w:pPr>
  </w:style>
  <w:style w:type="paragraph" w:customStyle="1" w:styleId="53">
    <w:name w:val="五级条标题"/>
    <w:basedOn w:val="52"/>
    <w:next w:val="22"/>
    <w:qFormat/>
    <w:uiPriority w:val="0"/>
    <w:pPr>
      <w:numPr>
        <w:ilvl w:val="5"/>
      </w:numPr>
      <w:outlineLvl w:val="6"/>
    </w:pPr>
  </w:style>
  <w:style w:type="paragraph" w:customStyle="1" w:styleId="54">
    <w:name w:val="注："/>
    <w:next w:val="22"/>
    <w:qFormat/>
    <w:uiPriority w:val="0"/>
    <w:pPr>
      <w:widowControl w:val="0"/>
      <w:numPr>
        <w:ilvl w:val="0"/>
        <w:numId w:val="6"/>
      </w:numPr>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55">
    <w:name w:val="注×："/>
    <w:qFormat/>
    <w:uiPriority w:val="0"/>
    <w:pPr>
      <w:widowControl w:val="0"/>
      <w:numPr>
        <w:ilvl w:val="0"/>
        <w:numId w:val="7"/>
      </w:numPr>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56">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57">
    <w:name w:val="列项◆（三级）"/>
    <w:basedOn w:val="1"/>
    <w:qFormat/>
    <w:uiPriority w:val="0"/>
    <w:pPr>
      <w:numPr>
        <w:ilvl w:val="2"/>
        <w:numId w:val="3"/>
      </w:numPr>
    </w:pPr>
    <w:rPr>
      <w:rFonts w:ascii="宋体"/>
      <w:szCs w:val="21"/>
    </w:rPr>
  </w:style>
  <w:style w:type="paragraph" w:customStyle="1" w:styleId="58">
    <w:name w:val="编号列项（三级）"/>
    <w:qFormat/>
    <w:uiPriority w:val="0"/>
    <w:pPr>
      <w:numPr>
        <w:ilvl w:val="2"/>
        <w:numId w:val="5"/>
      </w:numPr>
    </w:pPr>
    <w:rPr>
      <w:rFonts w:ascii="宋体" w:hAnsi="Times New Roman" w:eastAsia="宋体" w:cs="Times New Roman"/>
      <w:sz w:val="21"/>
      <w:lang w:val="en-US" w:eastAsia="zh-CN" w:bidi="ar-SA"/>
    </w:rPr>
  </w:style>
  <w:style w:type="paragraph" w:customStyle="1" w:styleId="59">
    <w:name w:val="示例×："/>
    <w:basedOn w:val="42"/>
    <w:qFormat/>
    <w:uiPriority w:val="0"/>
    <w:pPr>
      <w:numPr>
        <w:numId w:val="8"/>
      </w:numPr>
      <w:spacing w:beforeLines="0" w:afterLines="0"/>
      <w:outlineLvl w:val="9"/>
    </w:pPr>
    <w:rPr>
      <w:rFonts w:ascii="宋体" w:eastAsia="宋体"/>
      <w:sz w:val="18"/>
      <w:szCs w:val="18"/>
    </w:rPr>
  </w:style>
  <w:style w:type="paragraph" w:customStyle="1" w:styleId="60">
    <w:name w:val="二级无"/>
    <w:basedOn w:val="43"/>
    <w:qFormat/>
    <w:uiPriority w:val="0"/>
    <w:pPr>
      <w:spacing w:beforeLines="0" w:afterLines="0"/>
    </w:pPr>
    <w:rPr>
      <w:rFonts w:ascii="宋体" w:eastAsia="宋体"/>
    </w:rPr>
  </w:style>
  <w:style w:type="paragraph" w:customStyle="1" w:styleId="61">
    <w:name w:val="注：（正文）"/>
    <w:basedOn w:val="54"/>
    <w:next w:val="22"/>
    <w:qFormat/>
    <w:uiPriority w:val="0"/>
    <w:pPr>
      <w:numPr>
        <w:numId w:val="9"/>
      </w:numPr>
      <w:ind w:left="726" w:hanging="363"/>
    </w:pPr>
  </w:style>
  <w:style w:type="paragraph" w:customStyle="1" w:styleId="62">
    <w:name w:val="注×：（正文）"/>
    <w:qFormat/>
    <w:uiPriority w:val="0"/>
    <w:pPr>
      <w:numPr>
        <w:ilvl w:val="0"/>
        <w:numId w:val="10"/>
      </w:numPr>
      <w:ind w:left="811" w:hanging="448"/>
      <w:jc w:val="both"/>
    </w:pPr>
    <w:rPr>
      <w:rFonts w:ascii="宋体" w:hAnsi="Times New Roman" w:eastAsia="宋体" w:cs="Times New Roman"/>
      <w:sz w:val="18"/>
      <w:szCs w:val="18"/>
      <w:lang w:val="en-US" w:eastAsia="zh-CN" w:bidi="ar-SA"/>
    </w:rPr>
  </w:style>
  <w:style w:type="paragraph" w:customStyle="1" w:styleId="63">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4">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65">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66">
    <w:name w:val="标准书眉_偶数页"/>
    <w:basedOn w:val="41"/>
    <w:next w:val="1"/>
    <w:qFormat/>
    <w:uiPriority w:val="0"/>
    <w:pPr>
      <w:jc w:val="left"/>
    </w:pPr>
  </w:style>
  <w:style w:type="paragraph" w:customStyle="1" w:styleId="67">
    <w:name w:val="标准书眉一"/>
    <w:qFormat/>
    <w:uiPriority w:val="0"/>
    <w:pPr>
      <w:jc w:val="both"/>
    </w:pPr>
    <w:rPr>
      <w:rFonts w:ascii="Times New Roman" w:hAnsi="Times New Roman" w:eastAsia="宋体" w:cs="Times New Roman"/>
      <w:lang w:val="en-US" w:eastAsia="zh-CN" w:bidi="ar-SA"/>
    </w:rPr>
  </w:style>
  <w:style w:type="paragraph" w:customStyle="1" w:styleId="68">
    <w:name w:val="参考文献"/>
    <w:basedOn w:val="1"/>
    <w:next w:val="22"/>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69">
    <w:name w:val="参考文献、索引标题"/>
    <w:basedOn w:val="1"/>
    <w:next w:val="22"/>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0">
    <w:name w:val="发布"/>
    <w:qFormat/>
    <w:uiPriority w:val="0"/>
    <w:rPr>
      <w:rFonts w:ascii="黑体" w:eastAsia="黑体"/>
      <w:spacing w:val="85"/>
      <w:w w:val="100"/>
      <w:position w:val="3"/>
      <w:sz w:val="28"/>
      <w:szCs w:val="28"/>
    </w:rPr>
  </w:style>
  <w:style w:type="paragraph" w:customStyle="1" w:styleId="71">
    <w:name w:val="发布部门"/>
    <w:next w:val="22"/>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2">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3">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74">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75">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6">
    <w:name w:val="封面标准英文名称"/>
    <w:basedOn w:val="75"/>
    <w:qFormat/>
    <w:uiPriority w:val="0"/>
    <w:pPr>
      <w:framePr w:wrap="around"/>
      <w:spacing w:before="370" w:line="400" w:lineRule="exact"/>
    </w:pPr>
    <w:rPr>
      <w:rFonts w:ascii="Times New Roman"/>
      <w:sz w:val="28"/>
      <w:szCs w:val="28"/>
    </w:rPr>
  </w:style>
  <w:style w:type="paragraph" w:customStyle="1" w:styleId="77">
    <w:name w:val="封面一致性程度标识"/>
    <w:basedOn w:val="76"/>
    <w:qFormat/>
    <w:uiPriority w:val="0"/>
    <w:pPr>
      <w:framePr w:wrap="around"/>
      <w:spacing w:before="440"/>
    </w:pPr>
    <w:rPr>
      <w:rFonts w:ascii="宋体" w:eastAsia="宋体"/>
    </w:rPr>
  </w:style>
  <w:style w:type="paragraph" w:customStyle="1" w:styleId="78">
    <w:name w:val="封面标准文稿类别"/>
    <w:basedOn w:val="77"/>
    <w:qFormat/>
    <w:uiPriority w:val="0"/>
    <w:pPr>
      <w:framePr w:wrap="around"/>
      <w:spacing w:after="160" w:line="240" w:lineRule="auto"/>
    </w:pPr>
    <w:rPr>
      <w:sz w:val="24"/>
    </w:rPr>
  </w:style>
  <w:style w:type="paragraph" w:customStyle="1" w:styleId="79">
    <w:name w:val="封面标准文稿编辑信息"/>
    <w:basedOn w:val="78"/>
    <w:qFormat/>
    <w:uiPriority w:val="0"/>
    <w:pPr>
      <w:framePr w:wrap="around"/>
      <w:spacing w:before="180" w:line="180" w:lineRule="exact"/>
    </w:pPr>
    <w:rPr>
      <w:sz w:val="21"/>
    </w:rPr>
  </w:style>
  <w:style w:type="paragraph" w:customStyle="1" w:styleId="80">
    <w:name w:val="封面正文"/>
    <w:qFormat/>
    <w:uiPriority w:val="0"/>
    <w:pPr>
      <w:jc w:val="both"/>
    </w:pPr>
    <w:rPr>
      <w:rFonts w:ascii="Times New Roman" w:hAnsi="Times New Roman" w:eastAsia="宋体" w:cs="Times New Roman"/>
      <w:lang w:val="en-US" w:eastAsia="zh-CN" w:bidi="ar-SA"/>
    </w:rPr>
  </w:style>
  <w:style w:type="paragraph" w:customStyle="1" w:styleId="81">
    <w:name w:val="附录标识"/>
    <w:basedOn w:val="1"/>
    <w:next w:val="22"/>
    <w:qFormat/>
    <w:uiPriority w:val="0"/>
    <w:pPr>
      <w:keepNext/>
      <w:widowControl/>
      <w:numPr>
        <w:ilvl w:val="0"/>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2">
    <w:name w:val="附录标题"/>
    <w:basedOn w:val="22"/>
    <w:next w:val="22"/>
    <w:qFormat/>
    <w:uiPriority w:val="0"/>
    <w:pPr>
      <w:ind w:firstLine="0" w:firstLineChars="0"/>
      <w:jc w:val="center"/>
    </w:pPr>
    <w:rPr>
      <w:rFonts w:ascii="黑体" w:eastAsia="黑体"/>
    </w:rPr>
  </w:style>
  <w:style w:type="paragraph" w:customStyle="1" w:styleId="83">
    <w:name w:val="附录表标号"/>
    <w:basedOn w:val="1"/>
    <w:next w:val="22"/>
    <w:qFormat/>
    <w:uiPriority w:val="0"/>
    <w:pPr>
      <w:numPr>
        <w:ilvl w:val="0"/>
        <w:numId w:val="12"/>
      </w:numPr>
      <w:spacing w:line="14" w:lineRule="exact"/>
      <w:jc w:val="center"/>
      <w:outlineLvl w:val="0"/>
    </w:pPr>
    <w:rPr>
      <w:color w:val="FFFFFF"/>
    </w:rPr>
  </w:style>
  <w:style w:type="paragraph" w:customStyle="1" w:styleId="84">
    <w:name w:val="附录表标题"/>
    <w:basedOn w:val="1"/>
    <w:next w:val="22"/>
    <w:qFormat/>
    <w:uiPriority w:val="0"/>
    <w:pPr>
      <w:numPr>
        <w:ilvl w:val="1"/>
        <w:numId w:val="12"/>
      </w:numPr>
      <w:tabs>
        <w:tab w:val="left" w:pos="0"/>
        <w:tab w:val="left" w:pos="180"/>
      </w:tabs>
      <w:spacing w:beforeLines="50" w:afterLines="50"/>
      <w:jc w:val="center"/>
    </w:pPr>
    <w:rPr>
      <w:rFonts w:ascii="黑体" w:eastAsia="黑体"/>
      <w:szCs w:val="21"/>
    </w:rPr>
  </w:style>
  <w:style w:type="paragraph" w:customStyle="1" w:styleId="85">
    <w:name w:val="附录二级条标题"/>
    <w:basedOn w:val="1"/>
    <w:next w:val="22"/>
    <w:qFormat/>
    <w:uiPriority w:val="0"/>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86">
    <w:name w:val="附录二级无"/>
    <w:basedOn w:val="85"/>
    <w:qFormat/>
    <w:uiPriority w:val="0"/>
    <w:pPr>
      <w:tabs>
        <w:tab w:val="clear" w:pos="360"/>
      </w:tabs>
      <w:spacing w:beforeLines="0" w:afterLines="0"/>
    </w:pPr>
    <w:rPr>
      <w:rFonts w:ascii="宋体" w:eastAsia="宋体"/>
      <w:szCs w:val="21"/>
    </w:rPr>
  </w:style>
  <w:style w:type="paragraph" w:customStyle="1" w:styleId="87">
    <w:name w:val="附录公式"/>
    <w:basedOn w:val="22"/>
    <w:next w:val="22"/>
    <w:link w:val="88"/>
    <w:qFormat/>
    <w:uiPriority w:val="0"/>
  </w:style>
  <w:style w:type="character" w:customStyle="1" w:styleId="88">
    <w:name w:val="附录公式 Char"/>
    <w:basedOn w:val="38"/>
    <w:link w:val="87"/>
    <w:qFormat/>
    <w:uiPriority w:val="0"/>
    <w:rPr>
      <w:rFonts w:ascii="宋体"/>
      <w:sz w:val="21"/>
      <w:lang w:val="en-US" w:eastAsia="zh-CN" w:bidi="ar-SA"/>
    </w:rPr>
  </w:style>
  <w:style w:type="paragraph" w:customStyle="1" w:styleId="89">
    <w:name w:val="附录公式编号制表符"/>
    <w:basedOn w:val="1"/>
    <w:next w:val="22"/>
    <w:qFormat/>
    <w:uiPriority w:val="0"/>
    <w:pPr>
      <w:widowControl/>
      <w:tabs>
        <w:tab w:val="center" w:pos="4201"/>
        <w:tab w:val="right" w:leader="dot" w:pos="9298"/>
      </w:tabs>
      <w:autoSpaceDE w:val="0"/>
      <w:autoSpaceDN w:val="0"/>
    </w:pPr>
    <w:rPr>
      <w:rFonts w:ascii="宋体"/>
      <w:kern w:val="0"/>
      <w:szCs w:val="20"/>
    </w:rPr>
  </w:style>
  <w:style w:type="paragraph" w:customStyle="1" w:styleId="90">
    <w:name w:val="附录三级条标题"/>
    <w:basedOn w:val="85"/>
    <w:next w:val="22"/>
    <w:qFormat/>
    <w:uiPriority w:val="0"/>
    <w:pPr>
      <w:numPr>
        <w:ilvl w:val="4"/>
      </w:numPr>
      <w:outlineLvl w:val="4"/>
    </w:pPr>
  </w:style>
  <w:style w:type="paragraph" w:customStyle="1" w:styleId="91">
    <w:name w:val="附录三级无"/>
    <w:basedOn w:val="90"/>
    <w:qFormat/>
    <w:uiPriority w:val="0"/>
    <w:pPr>
      <w:tabs>
        <w:tab w:val="clear" w:pos="360"/>
      </w:tabs>
      <w:spacing w:beforeLines="0" w:afterLines="0"/>
    </w:pPr>
    <w:rPr>
      <w:rFonts w:ascii="宋体" w:eastAsia="宋体"/>
      <w:szCs w:val="21"/>
    </w:rPr>
  </w:style>
  <w:style w:type="paragraph" w:customStyle="1" w:styleId="92">
    <w:name w:val="附录数字编号列项（二级）"/>
    <w:qFormat/>
    <w:uiPriority w:val="0"/>
    <w:pPr>
      <w:numPr>
        <w:ilvl w:val="1"/>
        <w:numId w:val="13"/>
      </w:numPr>
    </w:pPr>
    <w:rPr>
      <w:rFonts w:ascii="宋体" w:hAnsi="Times New Roman" w:eastAsia="宋体" w:cs="Times New Roman"/>
      <w:sz w:val="21"/>
      <w:lang w:val="en-US" w:eastAsia="zh-CN" w:bidi="ar-SA"/>
    </w:rPr>
  </w:style>
  <w:style w:type="paragraph" w:customStyle="1" w:styleId="93">
    <w:name w:val="附录四级条标题"/>
    <w:basedOn w:val="90"/>
    <w:next w:val="22"/>
    <w:qFormat/>
    <w:uiPriority w:val="0"/>
    <w:pPr>
      <w:numPr>
        <w:ilvl w:val="5"/>
      </w:numPr>
      <w:outlineLvl w:val="5"/>
    </w:pPr>
  </w:style>
  <w:style w:type="paragraph" w:customStyle="1" w:styleId="94">
    <w:name w:val="附录四级无"/>
    <w:basedOn w:val="93"/>
    <w:qFormat/>
    <w:uiPriority w:val="0"/>
    <w:pPr>
      <w:tabs>
        <w:tab w:val="clear" w:pos="360"/>
      </w:tabs>
      <w:spacing w:beforeLines="0" w:afterLines="0"/>
    </w:pPr>
    <w:rPr>
      <w:rFonts w:ascii="宋体" w:eastAsia="宋体"/>
      <w:szCs w:val="21"/>
    </w:rPr>
  </w:style>
  <w:style w:type="paragraph" w:customStyle="1" w:styleId="95">
    <w:name w:val="附录图标号"/>
    <w:basedOn w:val="1"/>
    <w:qFormat/>
    <w:uiPriority w:val="0"/>
    <w:pPr>
      <w:keepNext/>
      <w:pageBreakBefore/>
      <w:widowControl/>
      <w:numPr>
        <w:ilvl w:val="0"/>
        <w:numId w:val="14"/>
      </w:numPr>
      <w:spacing w:line="14" w:lineRule="exact"/>
      <w:ind w:left="0" w:firstLine="363"/>
      <w:jc w:val="center"/>
      <w:outlineLvl w:val="0"/>
    </w:pPr>
    <w:rPr>
      <w:color w:val="FFFFFF"/>
    </w:rPr>
  </w:style>
  <w:style w:type="paragraph" w:customStyle="1" w:styleId="96">
    <w:name w:val="附录图标题"/>
    <w:basedOn w:val="1"/>
    <w:next w:val="22"/>
    <w:qFormat/>
    <w:uiPriority w:val="0"/>
    <w:pPr>
      <w:numPr>
        <w:ilvl w:val="1"/>
        <w:numId w:val="14"/>
      </w:numPr>
      <w:tabs>
        <w:tab w:val="left" w:pos="363"/>
      </w:tabs>
      <w:spacing w:beforeLines="50" w:afterLines="50"/>
      <w:ind w:left="0" w:firstLine="0"/>
      <w:jc w:val="center"/>
    </w:pPr>
    <w:rPr>
      <w:rFonts w:ascii="黑体" w:eastAsia="黑体"/>
      <w:szCs w:val="21"/>
    </w:rPr>
  </w:style>
  <w:style w:type="paragraph" w:customStyle="1" w:styleId="97">
    <w:name w:val="附录五级条标题"/>
    <w:basedOn w:val="93"/>
    <w:next w:val="22"/>
    <w:qFormat/>
    <w:uiPriority w:val="0"/>
    <w:pPr>
      <w:numPr>
        <w:ilvl w:val="6"/>
      </w:numPr>
      <w:outlineLvl w:val="6"/>
    </w:pPr>
  </w:style>
  <w:style w:type="paragraph" w:customStyle="1" w:styleId="98">
    <w:name w:val="附录五级无"/>
    <w:basedOn w:val="97"/>
    <w:qFormat/>
    <w:uiPriority w:val="0"/>
    <w:pPr>
      <w:tabs>
        <w:tab w:val="clear" w:pos="360"/>
      </w:tabs>
      <w:spacing w:beforeLines="0" w:afterLines="0"/>
    </w:pPr>
    <w:rPr>
      <w:rFonts w:ascii="宋体" w:eastAsia="宋体"/>
      <w:szCs w:val="21"/>
    </w:rPr>
  </w:style>
  <w:style w:type="paragraph" w:customStyle="1" w:styleId="99">
    <w:name w:val="附录章标题"/>
    <w:next w:val="22"/>
    <w:qFormat/>
    <w:uiPriority w:val="0"/>
    <w:pPr>
      <w:numPr>
        <w:ilvl w:val="1"/>
        <w:numId w:val="11"/>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0">
    <w:name w:val="附录一级条标题"/>
    <w:basedOn w:val="99"/>
    <w:next w:val="22"/>
    <w:qFormat/>
    <w:uiPriority w:val="0"/>
    <w:pPr>
      <w:numPr>
        <w:ilvl w:val="2"/>
      </w:numPr>
      <w:autoSpaceDN w:val="0"/>
      <w:spacing w:beforeLines="50" w:afterLines="50"/>
      <w:outlineLvl w:val="2"/>
    </w:pPr>
  </w:style>
  <w:style w:type="paragraph" w:customStyle="1" w:styleId="101">
    <w:name w:val="附录一级无"/>
    <w:basedOn w:val="100"/>
    <w:qFormat/>
    <w:uiPriority w:val="0"/>
    <w:pPr>
      <w:tabs>
        <w:tab w:val="clear" w:pos="360"/>
      </w:tabs>
      <w:spacing w:beforeLines="0" w:afterLines="0"/>
    </w:pPr>
    <w:rPr>
      <w:rFonts w:ascii="宋体" w:eastAsia="宋体"/>
      <w:szCs w:val="21"/>
    </w:rPr>
  </w:style>
  <w:style w:type="paragraph" w:customStyle="1" w:styleId="102">
    <w:name w:val="附录字母编号列项（一级）"/>
    <w:qFormat/>
    <w:uiPriority w:val="0"/>
    <w:pPr>
      <w:numPr>
        <w:ilvl w:val="0"/>
        <w:numId w:val="13"/>
      </w:numPr>
    </w:pPr>
    <w:rPr>
      <w:rFonts w:ascii="宋体" w:hAnsi="Times New Roman" w:eastAsia="宋体" w:cs="Times New Roman"/>
      <w:sz w:val="21"/>
      <w:lang w:val="en-US" w:eastAsia="zh-CN" w:bidi="ar-SA"/>
    </w:rPr>
  </w:style>
  <w:style w:type="paragraph" w:customStyle="1" w:styleId="103">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4">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05">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06">
    <w:name w:val="其他标准标志"/>
    <w:basedOn w:val="63"/>
    <w:qFormat/>
    <w:uiPriority w:val="0"/>
    <w:pPr>
      <w:framePr w:w="6101" w:wrap="around" w:vAnchor="page" w:hAnchor="page" w:x="4673" w:y="942"/>
    </w:pPr>
    <w:rPr>
      <w:w w:val="130"/>
    </w:rPr>
  </w:style>
  <w:style w:type="paragraph" w:customStyle="1" w:styleId="107">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08">
    <w:name w:val="其他发布部门"/>
    <w:basedOn w:val="71"/>
    <w:qFormat/>
    <w:uiPriority w:val="0"/>
    <w:pPr>
      <w:framePr w:wrap="around" w:y="15310"/>
      <w:spacing w:line="0" w:lineRule="atLeast"/>
    </w:pPr>
    <w:rPr>
      <w:rFonts w:ascii="黑体" w:eastAsia="黑体"/>
      <w:b w:val="0"/>
    </w:rPr>
  </w:style>
  <w:style w:type="paragraph" w:customStyle="1" w:styleId="109">
    <w:name w:val="前言、引言标题"/>
    <w:next w:val="22"/>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0">
    <w:name w:val="三级无"/>
    <w:basedOn w:val="48"/>
    <w:qFormat/>
    <w:uiPriority w:val="0"/>
    <w:pPr>
      <w:spacing w:beforeLines="0" w:afterLines="0"/>
    </w:pPr>
    <w:rPr>
      <w:rFonts w:ascii="宋体" w:eastAsia="宋体"/>
    </w:rPr>
  </w:style>
  <w:style w:type="paragraph" w:customStyle="1" w:styleId="111">
    <w:name w:val="实施日期"/>
    <w:qFormat/>
    <w:uiPriority w:val="0"/>
    <w:pPr>
      <w:framePr w:w="3997" w:h="471" w:hRule="exact" w:vSpace="181" w:wrap="around" w:vAnchor="page" w:hAnchor="page" w:x="7089" w:y="14097"/>
      <w:jc w:val="right"/>
    </w:pPr>
    <w:rPr>
      <w:rFonts w:ascii="Times New Roman" w:hAnsi="Times New Roman" w:eastAsia="黑体" w:cs="Times New Roman"/>
      <w:sz w:val="28"/>
      <w:lang w:val="en-US" w:eastAsia="zh-CN" w:bidi="ar-SA"/>
    </w:rPr>
  </w:style>
  <w:style w:type="paragraph" w:customStyle="1" w:styleId="112">
    <w:name w:val="示例后文字"/>
    <w:basedOn w:val="22"/>
    <w:next w:val="22"/>
    <w:qFormat/>
    <w:uiPriority w:val="0"/>
    <w:pPr>
      <w:ind w:firstLine="360"/>
    </w:pPr>
    <w:rPr>
      <w:sz w:val="18"/>
    </w:rPr>
  </w:style>
  <w:style w:type="paragraph" w:customStyle="1" w:styleId="113">
    <w:name w:val="首示例"/>
    <w:next w:val="22"/>
    <w:link w:val="114"/>
    <w:qFormat/>
    <w:uiPriority w:val="0"/>
    <w:pPr>
      <w:tabs>
        <w:tab w:val="left" w:pos="360"/>
      </w:tabs>
    </w:pPr>
    <w:rPr>
      <w:rFonts w:ascii="宋体" w:hAnsi="宋体" w:eastAsia="宋体" w:cs="Times New Roman"/>
      <w:kern w:val="2"/>
      <w:sz w:val="18"/>
      <w:szCs w:val="18"/>
      <w:lang w:val="en-US" w:eastAsia="zh-CN" w:bidi="ar-SA"/>
    </w:rPr>
  </w:style>
  <w:style w:type="character" w:customStyle="1" w:styleId="114">
    <w:name w:val="首示例 Char"/>
    <w:link w:val="113"/>
    <w:qFormat/>
    <w:uiPriority w:val="0"/>
    <w:rPr>
      <w:rFonts w:ascii="宋体" w:hAnsi="宋体"/>
      <w:kern w:val="2"/>
      <w:sz w:val="18"/>
      <w:szCs w:val="18"/>
    </w:rPr>
  </w:style>
  <w:style w:type="paragraph" w:customStyle="1" w:styleId="115">
    <w:name w:val="四级无"/>
    <w:basedOn w:val="52"/>
    <w:qFormat/>
    <w:uiPriority w:val="0"/>
    <w:pPr>
      <w:spacing w:beforeLines="0" w:afterLines="0"/>
    </w:pPr>
    <w:rPr>
      <w:rFonts w:ascii="宋体" w:eastAsia="宋体"/>
    </w:rPr>
  </w:style>
  <w:style w:type="paragraph" w:customStyle="1" w:styleId="116">
    <w:name w:val="条文脚注"/>
    <w:basedOn w:val="23"/>
    <w:qFormat/>
    <w:uiPriority w:val="0"/>
    <w:pPr>
      <w:numPr>
        <w:numId w:val="0"/>
      </w:numPr>
      <w:jc w:val="both"/>
    </w:pPr>
  </w:style>
  <w:style w:type="paragraph" w:customStyle="1" w:styleId="117">
    <w:name w:val="图标脚注说明"/>
    <w:basedOn w:val="22"/>
    <w:qFormat/>
    <w:uiPriority w:val="0"/>
    <w:pPr>
      <w:ind w:left="840" w:hanging="420" w:firstLineChars="0"/>
    </w:pPr>
    <w:rPr>
      <w:sz w:val="18"/>
      <w:szCs w:val="18"/>
    </w:rPr>
  </w:style>
  <w:style w:type="paragraph" w:customStyle="1" w:styleId="118">
    <w:name w:val="图表脚注说明"/>
    <w:basedOn w:val="1"/>
    <w:qFormat/>
    <w:uiPriority w:val="0"/>
    <w:pPr>
      <w:numPr>
        <w:ilvl w:val="0"/>
        <w:numId w:val="15"/>
      </w:numPr>
    </w:pPr>
    <w:rPr>
      <w:rFonts w:ascii="宋体"/>
      <w:sz w:val="18"/>
      <w:szCs w:val="18"/>
    </w:rPr>
  </w:style>
  <w:style w:type="paragraph" w:customStyle="1" w:styleId="119">
    <w:name w:val="图的脚注"/>
    <w:next w:val="22"/>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0">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1">
    <w:name w:val="五级无"/>
    <w:basedOn w:val="53"/>
    <w:qFormat/>
    <w:uiPriority w:val="0"/>
    <w:pPr>
      <w:spacing w:beforeLines="0" w:afterLines="0"/>
    </w:pPr>
    <w:rPr>
      <w:rFonts w:ascii="宋体" w:eastAsia="宋体"/>
    </w:rPr>
  </w:style>
  <w:style w:type="paragraph" w:customStyle="1" w:styleId="122">
    <w:name w:val="一级无"/>
    <w:basedOn w:val="39"/>
    <w:qFormat/>
    <w:uiPriority w:val="0"/>
    <w:pPr>
      <w:spacing w:beforeLines="0" w:afterLines="0"/>
    </w:pPr>
    <w:rPr>
      <w:rFonts w:ascii="宋体" w:eastAsia="宋体"/>
    </w:rPr>
  </w:style>
  <w:style w:type="paragraph" w:customStyle="1" w:styleId="123">
    <w:name w:val="正文表标题"/>
    <w:next w:val="22"/>
    <w:qFormat/>
    <w:uiPriority w:val="0"/>
    <w:pPr>
      <w:numPr>
        <w:ilvl w:val="0"/>
        <w:numId w:val="16"/>
      </w:numPr>
      <w:spacing w:beforeLines="50" w:afterLines="50"/>
      <w:jc w:val="center"/>
    </w:pPr>
    <w:rPr>
      <w:rFonts w:ascii="黑体" w:hAnsi="Times New Roman" w:eastAsia="黑体" w:cs="Times New Roman"/>
      <w:sz w:val="21"/>
      <w:lang w:val="en-US" w:eastAsia="zh-CN" w:bidi="ar-SA"/>
    </w:rPr>
  </w:style>
  <w:style w:type="paragraph" w:customStyle="1" w:styleId="124">
    <w:name w:val="正文公式编号制表符"/>
    <w:basedOn w:val="22"/>
    <w:next w:val="22"/>
    <w:qFormat/>
    <w:uiPriority w:val="0"/>
    <w:pPr>
      <w:ind w:firstLine="0" w:firstLineChars="0"/>
    </w:pPr>
  </w:style>
  <w:style w:type="paragraph" w:customStyle="1" w:styleId="125">
    <w:name w:val="正文图标题"/>
    <w:next w:val="22"/>
    <w:qFormat/>
    <w:uiPriority w:val="0"/>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26">
    <w:name w:val="终结线"/>
    <w:basedOn w:val="1"/>
    <w:qFormat/>
    <w:uiPriority w:val="0"/>
    <w:pPr>
      <w:framePr w:hSpace="181" w:vSpace="181" w:wrap="around" w:vAnchor="text" w:hAnchor="margin" w:xAlign="center" w:y="285"/>
    </w:pPr>
  </w:style>
  <w:style w:type="paragraph" w:customStyle="1" w:styleId="127">
    <w:name w:val="其他发布日期"/>
    <w:qFormat/>
    <w:uiPriority w:val="0"/>
    <w:pPr>
      <w:framePr w:w="3997" w:h="471" w:hRule="exact" w:vSpace="181" w:wrap="around" w:vAnchor="page" w:hAnchor="page" w:x="1419" w:y="14097" w:anchorLock="1"/>
    </w:pPr>
    <w:rPr>
      <w:rFonts w:ascii="Times New Roman" w:hAnsi="Times New Roman" w:eastAsia="黑体" w:cs="Times New Roman"/>
      <w:sz w:val="28"/>
      <w:lang w:val="en-US" w:eastAsia="zh-CN" w:bidi="ar-SA"/>
    </w:rPr>
  </w:style>
  <w:style w:type="paragraph" w:customStyle="1" w:styleId="128">
    <w:name w:val="其他实施日期"/>
    <w:basedOn w:val="111"/>
    <w:qFormat/>
    <w:uiPriority w:val="0"/>
    <w:pPr>
      <w:framePr w:wrap="around"/>
    </w:pPr>
  </w:style>
  <w:style w:type="paragraph" w:customStyle="1" w:styleId="129">
    <w:name w:val="封面标准名称2"/>
    <w:basedOn w:val="75"/>
    <w:qFormat/>
    <w:uiPriority w:val="0"/>
    <w:pPr>
      <w:framePr w:wrap="around" w:y="4469"/>
      <w:spacing w:beforeLines="630"/>
    </w:pPr>
  </w:style>
  <w:style w:type="paragraph" w:customStyle="1" w:styleId="130">
    <w:name w:val="封面标准英文名称2"/>
    <w:basedOn w:val="76"/>
    <w:qFormat/>
    <w:uiPriority w:val="0"/>
    <w:pPr>
      <w:framePr w:wrap="around" w:y="4469"/>
    </w:pPr>
  </w:style>
  <w:style w:type="paragraph" w:customStyle="1" w:styleId="131">
    <w:name w:val="封面一致性程度标识2"/>
    <w:basedOn w:val="77"/>
    <w:qFormat/>
    <w:uiPriority w:val="0"/>
    <w:pPr>
      <w:framePr w:wrap="around" w:y="4469"/>
    </w:pPr>
  </w:style>
  <w:style w:type="paragraph" w:customStyle="1" w:styleId="132">
    <w:name w:val="封面标准文稿类别2"/>
    <w:basedOn w:val="78"/>
    <w:qFormat/>
    <w:uiPriority w:val="0"/>
    <w:pPr>
      <w:framePr w:wrap="around" w:y="4469"/>
    </w:pPr>
  </w:style>
  <w:style w:type="paragraph" w:customStyle="1" w:styleId="133">
    <w:name w:val="封面标准文稿编辑信息2"/>
    <w:basedOn w:val="79"/>
    <w:qFormat/>
    <w:uiPriority w:val="0"/>
    <w:pPr>
      <w:framePr w:wrap="around" w:y="4469"/>
    </w:pPr>
  </w:style>
  <w:style w:type="paragraph" w:customStyle="1" w:styleId="134">
    <w:name w:val="标准名称"/>
    <w:basedOn w:val="47"/>
    <w:link w:val="137"/>
    <w:qFormat/>
    <w:uiPriority w:val="0"/>
  </w:style>
  <w:style w:type="character" w:customStyle="1" w:styleId="135">
    <w:name w:val="占位符文本1"/>
    <w:basedOn w:val="32"/>
    <w:semiHidden/>
    <w:qFormat/>
    <w:uiPriority w:val="99"/>
    <w:rPr>
      <w:color w:val="808080"/>
    </w:rPr>
  </w:style>
  <w:style w:type="character" w:customStyle="1" w:styleId="136">
    <w:name w:val="目次、标准名称标题 Char"/>
    <w:basedOn w:val="32"/>
    <w:link w:val="47"/>
    <w:qFormat/>
    <w:uiPriority w:val="0"/>
    <w:rPr>
      <w:rFonts w:ascii="黑体" w:eastAsia="黑体"/>
      <w:sz w:val="32"/>
      <w:shd w:val="clear" w:color="FFFFFF" w:fill="FFFFFF"/>
    </w:rPr>
  </w:style>
  <w:style w:type="character" w:customStyle="1" w:styleId="137">
    <w:name w:val="标准名称 Char"/>
    <w:basedOn w:val="136"/>
    <w:link w:val="134"/>
    <w:qFormat/>
    <w:uiPriority w:val="0"/>
    <w:rPr>
      <w:rFonts w:ascii="黑体" w:eastAsia="黑体"/>
      <w:sz w:val="32"/>
      <w:shd w:val="clear" w:color="FFFFFF" w:fill="FFFFFF"/>
    </w:rPr>
  </w:style>
  <w:style w:type="character" w:customStyle="1" w:styleId="138">
    <w:name w:val="批注框文本 字符"/>
    <w:basedOn w:val="32"/>
    <w:link w:val="15"/>
    <w:qFormat/>
    <w:uiPriority w:val="0"/>
    <w:rPr>
      <w:kern w:val="2"/>
      <w:sz w:val="18"/>
      <w:szCs w:val="18"/>
    </w:rPr>
  </w:style>
  <w:style w:type="character" w:customStyle="1" w:styleId="139">
    <w:name w:val="日期 字符"/>
    <w:basedOn w:val="32"/>
    <w:link w:val="13"/>
    <w:qFormat/>
    <w:uiPriority w:val="0"/>
    <w:rPr>
      <w:kern w:val="2"/>
      <w:sz w:val="21"/>
      <w:szCs w:val="24"/>
    </w:rPr>
  </w:style>
  <w:style w:type="paragraph" w:styleId="140">
    <w:name w:val="List Paragraph"/>
    <w:basedOn w:val="1"/>
    <w:qFormat/>
    <w:uiPriority w:val="99"/>
    <w:pPr>
      <w:ind w:firstLine="420" w:firstLineChars="200"/>
    </w:pPr>
  </w:style>
  <w:style w:type="character" w:customStyle="1" w:styleId="141">
    <w:name w:val="apple-converted-space"/>
    <w:qFormat/>
    <w:uiPriority w:val="0"/>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glossaryDocument" Target="glossary/document.xml"/><Relationship Id="rId15" Type="http://schemas.openxmlformats.org/officeDocument/2006/relationships/fontTable" Target="fontTable.xml"/><Relationship Id="rId14" Type="http://schemas.microsoft.com/office/2006/relationships/keyMapCustomizations" Target="customizations.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111"/>
        <w:style w:val=""/>
        <w:category>
          <w:name w:val="常规"/>
          <w:gallery w:val="placeholder"/>
        </w:category>
        <w:types>
          <w:type w:val="bbPlcHdr"/>
        </w:types>
        <w:behaviors>
          <w:behavior w:val="content"/>
        </w:behaviors>
        <w:description w:val=""/>
        <w:guid w:val="{028989F2-0355-49D4-BDA6-4D56B5D374C0}"/>
      </w:docPartPr>
      <w:docPartBody>
        <w:p>
          <w:pPr>
            <w:pStyle w:val="5"/>
          </w:pPr>
          <w:r>
            <w:rPr>
              <w:rStyle w:val="4"/>
              <w:rFonts w:hint="eastAsia"/>
            </w:rPr>
            <w:t>标准名称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F7737"/>
    <w:rsid w:val="000B3B55"/>
    <w:rsid w:val="000F7737"/>
    <w:rsid w:val="007A6084"/>
    <w:rsid w:val="009C4183"/>
    <w:rsid w:val="00C73A06"/>
    <w:rsid w:val="00CE7CD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atentStyles>
  <w:style w:type="paragraph" w:default="1" w:styleId="1">
    <w:name w:val="Normal"/>
    <w:qFormat/>
    <w:uiPriority w:val="0"/>
    <w:pPr>
      <w:widowControl w:val="0"/>
      <w:jc w:val="both"/>
    </w:pPr>
    <w:rPr>
      <w:rFonts w:cs="Times New Roman" w:asciiTheme="minorHAnsi" w:hAnsiTheme="minorHAnsi" w:eastAsiaTheme="minorEastAsia"/>
      <w:kern w:val="2"/>
      <w:sz w:val="3276"/>
      <w:szCs w:val="3276"/>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4">
    <w:name w:val="占位符文本1"/>
    <w:basedOn w:val="2"/>
    <w:semiHidden/>
    <w:qFormat/>
    <w:uiPriority w:val="99"/>
    <w:rPr>
      <w:color w:val="808080"/>
    </w:rPr>
  </w:style>
  <w:style w:type="paragraph" w:customStyle="1" w:styleId="5">
    <w:name w:val="1112"/>
    <w:qFormat/>
    <w:uiPriority w:val="0"/>
    <w:pPr>
      <w:keepNext/>
      <w:pageBreakBefore/>
      <w:shd w:val="clear" w:color="FFFFFF" w:fill="FFFFFF"/>
      <w:spacing w:before="640" w:after="560" w:line="460" w:lineRule="exact"/>
      <w:jc w:val="center"/>
      <w:outlineLvl w:val="0"/>
    </w:pPr>
    <w:rPr>
      <w:rFonts w:ascii="黑体" w:hAnsi="Times New Roman" w:eastAsia="黑体" w:cs="Times New Roman"/>
      <w:sz w:val="3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3"/>
    <customShpInfo spid="_x0000_s1032"/>
    <customShpInfo spid="_x0000_s1031"/>
    <customShpInfo spid="_x0000_s1030"/>
    <customShpInfo spid="_x0000_s1029"/>
    <customShpInfo spid="_x0000_s1028"/>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258DFF-164B-4046-A277-1FA6040E462E}">
  <ds:schemaRefs/>
</ds:datastoreItem>
</file>

<file path=docProps/app.xml><?xml version="1.0" encoding="utf-8"?>
<Properties xmlns="http://schemas.openxmlformats.org/officeDocument/2006/extended-properties" xmlns:vt="http://schemas.openxmlformats.org/officeDocument/2006/docPropsVTypes">
  <Template>Normal</Template>
  <Company>zle</Company>
  <Pages>10</Pages>
  <Words>2828</Words>
  <Characters>3488</Characters>
  <Lines>30</Lines>
  <Paragraphs>8</Paragraphs>
  <TotalTime>0</TotalTime>
  <ScaleCrop>false</ScaleCrop>
  <LinksUpToDate>false</LinksUpToDate>
  <CharactersWithSpaces>3620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2022-07-31T13:06:00Z</dcterms:created>
  <dc:creator>CNIS</dc:creator>
  <cp:lastModifiedBy>春雨无声</cp:lastModifiedBy>
  <cp:lastPrinted>2020-11-25T00:52:00Z</cp:lastPrinted>
  <dcterms:modified xsi:type="dcterms:W3CDTF">2022-08-18T07:23:21Z</dcterms:modified>
  <dc:title>标准名称</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CDC1D9E8282742ABA9FA59A99E77212C</vt:lpwstr>
  </property>
</Properties>
</file>