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jc w:val="center"/>
        <w:textAlignment w:val="baseline"/>
        <w:rPr>
          <w:rFonts w:hint="eastAsia" w:ascii="黑体" w:hAnsi="黑体" w:eastAsia="黑体" w:cs="黑体"/>
          <w:spacing w:val="-1"/>
          <w:sz w:val="52"/>
          <w:szCs w:val="52"/>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jc w:val="center"/>
        <w:textAlignment w:val="baseline"/>
        <w:rPr>
          <w:rFonts w:hint="eastAsia" w:ascii="黑体" w:hAnsi="黑体" w:eastAsia="黑体" w:cs="黑体"/>
          <w:spacing w:val="-1"/>
          <w:sz w:val="52"/>
          <w:szCs w:val="52"/>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jc w:val="center"/>
        <w:textAlignment w:val="baseline"/>
        <w:rPr>
          <w:rFonts w:hint="eastAsia" w:ascii="黑体" w:hAnsi="黑体" w:eastAsia="黑体" w:cs="黑体"/>
          <w:spacing w:val="-1"/>
          <w:sz w:val="52"/>
          <w:szCs w:val="52"/>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jc w:val="center"/>
        <w:textAlignment w:val="baseline"/>
        <w:rPr>
          <w:rFonts w:hint="eastAsia" w:ascii="黑体" w:hAnsi="黑体" w:eastAsia="黑体" w:cs="黑体"/>
          <w:spacing w:val="-1"/>
          <w:sz w:val="52"/>
          <w:szCs w:val="52"/>
        </w:rPr>
      </w:pPr>
      <w:r>
        <w:rPr>
          <w:rFonts w:hint="eastAsia" w:ascii="黑体" w:hAnsi="黑体" w:eastAsia="黑体" w:cs="黑体"/>
          <w:spacing w:val="-1"/>
          <w:sz w:val="52"/>
          <w:szCs w:val="52"/>
        </w:rPr>
        <w:t>河北省地方标准</w:t>
      </w:r>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jc w:val="center"/>
        <w:textAlignment w:val="baseline"/>
        <w:rPr>
          <w:rFonts w:hint="eastAsia" w:ascii="黑体" w:hAnsi="黑体" w:eastAsia="黑体" w:cs="黑体"/>
          <w:spacing w:val="-1"/>
          <w:sz w:val="52"/>
          <w:szCs w:val="52"/>
        </w:rPr>
      </w:pPr>
      <w:r>
        <w:rPr>
          <w:rFonts w:hint="eastAsia" w:ascii="黑体" w:hAnsi="黑体" w:eastAsia="黑体" w:cs="黑体"/>
          <w:spacing w:val="-1"/>
          <w:sz w:val="52"/>
          <w:szCs w:val="52"/>
        </w:rPr>
        <w:t>《金属非金属地下矿山人员精准定位系统建设规范》</w:t>
      </w:r>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jc w:val="center"/>
        <w:textAlignment w:val="baseline"/>
        <w:rPr>
          <w:rFonts w:hint="eastAsia" w:ascii="黑体" w:hAnsi="黑体" w:eastAsia="黑体" w:cs="黑体"/>
          <w:spacing w:val="-1"/>
          <w:sz w:val="52"/>
          <w:szCs w:val="52"/>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jc w:val="center"/>
        <w:textAlignment w:val="baseline"/>
        <w:rPr>
          <w:rFonts w:hint="eastAsia" w:ascii="黑体" w:hAnsi="黑体" w:eastAsia="黑体" w:cs="黑体"/>
          <w:spacing w:val="-1"/>
          <w:sz w:val="52"/>
          <w:szCs w:val="52"/>
        </w:rPr>
      </w:pPr>
      <w:r>
        <w:rPr>
          <w:rFonts w:hint="eastAsia" w:ascii="黑体" w:hAnsi="黑体" w:eastAsia="黑体" w:cs="黑体"/>
          <w:spacing w:val="-1"/>
          <w:sz w:val="52"/>
          <w:szCs w:val="52"/>
        </w:rPr>
        <w:t>编</w:t>
      </w:r>
      <w:r>
        <w:rPr>
          <w:rFonts w:hint="eastAsia" w:ascii="黑体" w:hAnsi="黑体" w:eastAsia="黑体" w:cs="黑体"/>
          <w:spacing w:val="-1"/>
          <w:sz w:val="52"/>
          <w:szCs w:val="52"/>
          <w:lang w:val="en-US" w:eastAsia="zh-CN"/>
        </w:rPr>
        <w:t xml:space="preserve"> </w:t>
      </w:r>
      <w:r>
        <w:rPr>
          <w:rFonts w:hint="eastAsia" w:ascii="黑体" w:hAnsi="黑体" w:eastAsia="黑体" w:cs="黑体"/>
          <w:spacing w:val="-1"/>
          <w:sz w:val="52"/>
          <w:szCs w:val="52"/>
        </w:rPr>
        <w:t>制</w:t>
      </w:r>
      <w:r>
        <w:rPr>
          <w:rFonts w:hint="eastAsia" w:ascii="黑体" w:hAnsi="黑体" w:eastAsia="黑体" w:cs="黑体"/>
          <w:spacing w:val="-1"/>
          <w:sz w:val="52"/>
          <w:szCs w:val="52"/>
          <w:lang w:val="en-US" w:eastAsia="zh-CN"/>
        </w:rPr>
        <w:t xml:space="preserve"> </w:t>
      </w:r>
      <w:r>
        <w:rPr>
          <w:rFonts w:hint="eastAsia" w:ascii="黑体" w:hAnsi="黑体" w:eastAsia="黑体" w:cs="黑体"/>
          <w:spacing w:val="-1"/>
          <w:sz w:val="52"/>
          <w:szCs w:val="52"/>
        </w:rPr>
        <w:t>说</w:t>
      </w:r>
      <w:r>
        <w:rPr>
          <w:rFonts w:hint="eastAsia" w:ascii="黑体" w:hAnsi="黑体" w:eastAsia="黑体" w:cs="黑体"/>
          <w:spacing w:val="-1"/>
          <w:sz w:val="52"/>
          <w:szCs w:val="52"/>
          <w:lang w:val="en-US" w:eastAsia="zh-CN"/>
        </w:rPr>
        <w:t xml:space="preserve"> </w:t>
      </w:r>
      <w:r>
        <w:rPr>
          <w:rFonts w:hint="eastAsia" w:ascii="黑体" w:hAnsi="黑体" w:eastAsia="黑体" w:cs="黑体"/>
          <w:spacing w:val="-1"/>
          <w:sz w:val="52"/>
          <w:szCs w:val="52"/>
        </w:rPr>
        <w:t>明</w:t>
      </w: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before="118" w:line="320" w:lineRule="auto"/>
        <w:ind w:right="1189"/>
        <w:rPr>
          <w:rFonts w:ascii="宋体" w:hAnsi="宋体" w:eastAsia="宋体" w:cs="宋体"/>
          <w:sz w:val="36"/>
          <w:szCs w:val="36"/>
          <w14:textOutline w14:w="6537" w14:cap="sq" w14:cmpd="sng">
            <w14:solidFill>
              <w14:srgbClr w14:val="000000"/>
            </w14:solidFill>
            <w14:prstDash w14:val="solid"/>
            <w14:bevel/>
          </w14:textOutline>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jc w:val="center"/>
        <w:textAlignment w:val="baseline"/>
        <w:rPr>
          <w:rFonts w:hint="eastAsia" w:ascii="黑体" w:hAnsi="黑体" w:eastAsia="黑体" w:cs="黑体"/>
          <w:spacing w:val="-1"/>
          <w:sz w:val="36"/>
          <w:szCs w:val="36"/>
        </w:rPr>
      </w:pPr>
      <w:r>
        <w:rPr>
          <w:rFonts w:hint="eastAsia" w:ascii="黑体" w:hAnsi="黑体" w:eastAsia="黑体" w:cs="黑体"/>
          <w:spacing w:val="-1"/>
          <w:sz w:val="36"/>
          <w:szCs w:val="36"/>
        </w:rPr>
        <w:t>河北</w:t>
      </w:r>
      <w:r>
        <w:rPr>
          <w:rFonts w:hint="eastAsia" w:ascii="黑体" w:hAnsi="黑体" w:eastAsia="黑体" w:cs="黑体"/>
          <w:spacing w:val="-1"/>
          <w:sz w:val="36"/>
          <w:szCs w:val="36"/>
          <w:lang w:val="en-US" w:eastAsia="zh-CN"/>
        </w:rPr>
        <w:t>冀拓应急科技</w:t>
      </w:r>
      <w:r>
        <w:rPr>
          <w:rFonts w:hint="eastAsia" w:ascii="黑体" w:hAnsi="黑体" w:eastAsia="黑体" w:cs="黑体"/>
          <w:spacing w:val="-1"/>
          <w:sz w:val="36"/>
          <w:szCs w:val="36"/>
        </w:rPr>
        <w:t>有限公司</w:t>
      </w:r>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jc w:val="center"/>
        <w:textAlignment w:val="baseline"/>
      </w:pPr>
      <w:r>
        <w:rPr>
          <w:rFonts w:hint="eastAsia" w:ascii="黑体" w:hAnsi="黑体" w:eastAsia="黑体" w:cs="黑体"/>
          <w:spacing w:val="-1"/>
          <w:sz w:val="36"/>
          <w:szCs w:val="36"/>
        </w:rPr>
        <w:t>二○二</w:t>
      </w:r>
      <w:r>
        <w:rPr>
          <w:rFonts w:hint="eastAsia" w:ascii="黑体" w:hAnsi="黑体" w:eastAsia="黑体" w:cs="黑体"/>
          <w:spacing w:val="-1"/>
          <w:sz w:val="36"/>
          <w:szCs w:val="36"/>
          <w:lang w:val="en-US" w:eastAsia="zh-CN"/>
        </w:rPr>
        <w:t>二</w:t>
      </w:r>
      <w:r>
        <w:rPr>
          <w:rFonts w:hint="eastAsia" w:ascii="黑体" w:hAnsi="黑体" w:eastAsia="黑体" w:cs="黑体"/>
          <w:spacing w:val="-1"/>
          <w:sz w:val="36"/>
          <w:szCs w:val="36"/>
        </w:rPr>
        <w:t>年</w:t>
      </w:r>
      <w:r>
        <w:rPr>
          <w:rFonts w:hint="eastAsia" w:ascii="黑体" w:hAnsi="黑体" w:eastAsia="黑体" w:cs="黑体"/>
          <w:spacing w:val="-1"/>
          <w:sz w:val="36"/>
          <w:szCs w:val="36"/>
          <w:lang w:val="en-US" w:eastAsia="zh-CN"/>
        </w:rPr>
        <w:t>七</w:t>
      </w:r>
      <w:r>
        <w:rPr>
          <w:rFonts w:hint="eastAsia" w:ascii="黑体" w:hAnsi="黑体" w:eastAsia="黑体" w:cs="黑体"/>
          <w:spacing w:val="-1"/>
          <w:sz w:val="36"/>
          <w:szCs w:val="36"/>
        </w:rPr>
        <w:t>月</w:t>
      </w:r>
    </w:p>
    <w:p/>
    <w:p/>
    <w:p>
      <w:pPr>
        <w:sectPr>
          <w:pgSz w:w="11907" w:h="16840"/>
          <w:pgMar w:top="1417" w:right="1417" w:bottom="1134" w:left="1134" w:header="851" w:footer="992" w:gutter="227"/>
          <w:pgNumType w:fmt="decimal" w:start="1"/>
          <w:cols w:space="0" w:num="1"/>
          <w:rtlGutter w:val="0"/>
          <w:docGrid w:linePitch="312" w:charSpace="0"/>
        </w:sectPr>
      </w:pPr>
    </w:p>
    <w:p>
      <w:pPr>
        <w:pStyle w:val="4"/>
        <w:keepNext w:val="0"/>
        <w:keepLines w:val="0"/>
        <w:pageBreakBefore/>
        <w:widowControl w:val="0"/>
        <w:tabs>
          <w:tab w:val="right" w:leader="dot" w:pos="9413"/>
        </w:tabs>
        <w:kinsoku/>
        <w:wordWrap/>
        <w:overflowPunct/>
        <w:topLinePunct w:val="0"/>
        <w:autoSpaceDE/>
        <w:autoSpaceDN/>
        <w:bidi w:val="0"/>
        <w:adjustRightInd/>
        <w:snapToGrid/>
        <w:spacing w:before="850" w:after="680"/>
        <w:jc w:val="center"/>
        <w:textAlignment w:val="auto"/>
        <w:outlineLvl w:val="0"/>
        <w:rPr>
          <w:rFonts w:hint="eastAsia" w:ascii="黑体" w:hAnsi="黑体" w:eastAsia="黑体" w:cs="黑体"/>
          <w:sz w:val="32"/>
          <w:szCs w:val="32"/>
          <w:lang w:val="en-US" w:eastAsia="zh-CN"/>
        </w:rPr>
      </w:pPr>
      <w:bookmarkStart w:id="0" w:name="_Toc23567"/>
      <w:bookmarkStart w:id="1" w:name="_Toc30653"/>
      <w:bookmarkStart w:id="2" w:name="_Toc519761648"/>
      <w:r>
        <w:rPr>
          <w:rFonts w:hint="eastAsia" w:ascii="黑体" w:hAnsi="黑体" w:eastAsia="黑体" w:cs="黑体"/>
          <w:sz w:val="32"/>
          <w:szCs w:val="32"/>
          <w:lang w:val="en-US" w:eastAsia="zh-CN"/>
        </w:rPr>
        <w:t>目次</w:t>
      </w:r>
      <w:bookmarkEnd w:id="0"/>
      <w:bookmarkEnd w:id="1"/>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TOC \o "1-1" \h \u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_Toc5615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1</w:t>
      </w:r>
      <w:r>
        <w:rPr>
          <w:rFonts w:hint="eastAsia" w:ascii="宋体" w:hAnsi="宋体" w:eastAsia="宋体" w:cs="宋体"/>
          <w:bCs w:val="0"/>
          <w:spacing w:val="9"/>
          <w:sz w:val="21"/>
          <w:szCs w:val="21"/>
        </w:rPr>
        <w:t xml:space="preserve">  </w:t>
      </w:r>
      <w:r>
        <w:rPr>
          <w:rFonts w:hint="eastAsia" w:ascii="宋体" w:hAnsi="宋体" w:eastAsia="宋体" w:cs="宋体"/>
          <w:bCs w:val="0"/>
          <w:spacing w:val="9"/>
          <w:sz w:val="21"/>
          <w:szCs w:val="21"/>
          <w:lang w:val="en-US" w:eastAsia="zh-CN"/>
        </w:rPr>
        <w:t>项目基本情况</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_Toc5615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_Toc32136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2  制定标准的背景和意义</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_Toc32136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_Toc30404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3  标准的编制过程</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_Toc30404 \h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_Toc27624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4  标准适用范围和主要内容</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_Toc27624 \h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_Toc22303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5  标准的编制原则和依据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_Toc22303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_Toc11777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6  对促进我省技术进步、经济发展的作用与预期的效果</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_Toc11777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_Toc13946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7  标准中涉及专利的情况</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_Toc13946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_Toc12709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8  与国际、国外同类标准技术内容的对比情况及采标情况</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_Toc12709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_Toc3731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9  与现行相关法律、法规、规章及相关标准的关系</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_Toc3731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_Toc10216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10  重大分歧意见的处理经过和依据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_Toc10216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_Toc14651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11  标准性质的建议说明</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_Toc14651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_Toc25664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12  贯彻标准的要求和措施建议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_Toc25664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_Toc8553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13  废止现行相关标准的建议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_Toc8553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pStyle w:val="4"/>
        <w:tabs>
          <w:tab w:val="right" w:leader="dot" w:pos="9129"/>
        </w:tabs>
        <w:rPr>
          <w:rFonts w:hint="eastAsia" w:ascii="宋体" w:hAnsi="宋体" w:eastAsia="宋体" w:cs="宋体"/>
          <w:sz w:val="21"/>
          <w:szCs w:val="21"/>
        </w:rPr>
      </w:pPr>
      <w:r>
        <w:rPr>
          <w:rFonts w:hint="eastAsia" w:ascii="宋体" w:hAnsi="宋体" w:eastAsia="宋体" w:cs="宋体"/>
          <w:snapToGrid/>
          <w:kern w:val="2"/>
          <w:sz w:val="21"/>
          <w:szCs w:val="21"/>
          <w:lang w:val="en-US" w:eastAsia="zh-CN" w:bidi="ar-SA"/>
        </w:rPr>
        <w:fldChar w:fldCharType="begin"/>
      </w:r>
      <w:r>
        <w:rPr>
          <w:rFonts w:hint="eastAsia" w:ascii="宋体" w:hAnsi="宋体" w:eastAsia="宋体" w:cs="宋体"/>
          <w:snapToGrid/>
          <w:kern w:val="2"/>
          <w:sz w:val="21"/>
          <w:szCs w:val="21"/>
          <w:lang w:val="en-US" w:eastAsia="zh-CN" w:bidi="ar-SA"/>
        </w:rPr>
        <w:instrText xml:space="preserve"> HYPERLINK \l _Toc23986 </w:instrText>
      </w:r>
      <w:r>
        <w:rPr>
          <w:rFonts w:hint="eastAsia" w:ascii="宋体" w:hAnsi="宋体" w:eastAsia="宋体" w:cs="宋体"/>
          <w:snapToGrid/>
          <w:kern w:val="2"/>
          <w:sz w:val="21"/>
          <w:szCs w:val="21"/>
          <w:lang w:val="en-US" w:eastAsia="zh-CN" w:bidi="ar-SA"/>
        </w:rPr>
        <w:fldChar w:fldCharType="separate"/>
      </w:r>
      <w:r>
        <w:rPr>
          <w:rFonts w:hint="eastAsia" w:ascii="宋体" w:hAnsi="宋体" w:eastAsia="宋体" w:cs="宋体"/>
          <w:bCs w:val="0"/>
          <w:spacing w:val="9"/>
          <w:sz w:val="21"/>
          <w:szCs w:val="21"/>
          <w:lang w:val="en-US" w:eastAsia="zh-CN"/>
        </w:rPr>
        <w:t>14  其他应予说明的事项</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_Toc23986 \h </w:instrText>
      </w:r>
      <w:r>
        <w:rPr>
          <w:rFonts w:hint="eastAsia" w:ascii="宋体" w:hAnsi="宋体" w:eastAsia="宋体" w:cs="宋体"/>
          <w:sz w:val="21"/>
          <w:szCs w:val="21"/>
        </w:rPr>
        <w:fldChar w:fldCharType="separate"/>
      </w:r>
      <w:r>
        <w:rPr>
          <w:rFonts w:hint="eastAsia" w:ascii="宋体" w:hAnsi="宋体" w:eastAsia="宋体" w:cs="宋体"/>
          <w:sz w:val="21"/>
          <w:szCs w:val="21"/>
        </w:rPr>
        <w:t>5</w:t>
      </w:r>
      <w:r>
        <w:rPr>
          <w:rFonts w:hint="eastAsia" w:ascii="宋体" w:hAnsi="宋体" w:eastAsia="宋体" w:cs="宋体"/>
          <w:sz w:val="21"/>
          <w:szCs w:val="21"/>
        </w:rPr>
        <w:fldChar w:fldCharType="end"/>
      </w:r>
      <w:r>
        <w:rPr>
          <w:rFonts w:hint="eastAsia" w:ascii="宋体" w:hAnsi="宋体" w:eastAsia="宋体" w:cs="宋体"/>
          <w:snapToGrid/>
          <w:kern w:val="2"/>
          <w:sz w:val="21"/>
          <w:szCs w:val="21"/>
          <w:lang w:val="en-US" w:eastAsia="zh-CN" w:bidi="ar-SA"/>
        </w:rPr>
        <w:fldChar w:fldCharType="end"/>
      </w:r>
    </w:p>
    <w:p>
      <w:pPr>
        <w:rPr>
          <w:rFonts w:hint="eastAsia" w:ascii="宋体" w:hAnsi="宋体" w:eastAsia="宋体" w:cs="宋体"/>
          <w:snapToGrid/>
          <w:kern w:val="2"/>
          <w:sz w:val="21"/>
          <w:szCs w:val="21"/>
          <w:lang w:val="en-US" w:eastAsia="zh-CN" w:bidi="ar-SA"/>
        </w:rPr>
        <w:sectPr>
          <w:footerReference r:id="rId5" w:type="default"/>
          <w:pgSz w:w="11907" w:h="16840"/>
          <w:pgMar w:top="1417" w:right="1417" w:bottom="1134" w:left="1134" w:header="851" w:footer="992" w:gutter="227"/>
          <w:pgNumType w:fmt="upperRoman" w:start="1"/>
          <w:cols w:space="0" w:num="1"/>
          <w:rtlGutter w:val="0"/>
          <w:docGrid w:linePitch="312" w:charSpace="0"/>
        </w:sectPr>
      </w:pPr>
      <w:r>
        <w:rPr>
          <w:rFonts w:hint="eastAsia" w:ascii="宋体" w:hAnsi="宋体" w:eastAsia="宋体" w:cs="宋体"/>
          <w:snapToGrid/>
          <w:kern w:val="2"/>
          <w:sz w:val="21"/>
          <w:szCs w:val="21"/>
          <w:lang w:val="en-US" w:eastAsia="zh-CN" w:bidi="ar-SA"/>
        </w:rPr>
        <w:fldChar w:fldCharType="end"/>
      </w:r>
      <w:bookmarkEnd w:id="2"/>
    </w:p>
    <w:p>
      <w:pPr>
        <w:keepNext w:val="0"/>
        <w:keepLines w:val="0"/>
        <w:pageBreakBefore w:val="0"/>
        <w:widowControl/>
        <w:kinsoku w:val="0"/>
        <w:wordWrap/>
        <w:overflowPunct/>
        <w:topLinePunct w:val="0"/>
        <w:autoSpaceDE w:val="0"/>
        <w:autoSpaceDN w:val="0"/>
        <w:bidi w:val="0"/>
        <w:adjustRightInd w:val="0"/>
        <w:snapToGrid w:val="0"/>
        <w:spacing w:before="850" w:line="240" w:lineRule="auto"/>
        <w:ind w:right="0" w:firstLine="0"/>
        <w:jc w:val="center"/>
        <w:textAlignment w:val="baseline"/>
        <w:outlineLvl w:val="9"/>
        <w:rPr>
          <w:rFonts w:hint="eastAsia" w:ascii="黑体" w:hAnsi="黑体" w:eastAsia="黑体" w:cs="黑体"/>
          <w:spacing w:val="-1"/>
          <w:sz w:val="32"/>
          <w:szCs w:val="32"/>
        </w:rPr>
      </w:pPr>
      <w:r>
        <w:rPr>
          <w:rFonts w:hint="eastAsia" w:ascii="黑体" w:hAnsi="黑体" w:eastAsia="黑体" w:cs="黑体"/>
          <w:spacing w:val="-1"/>
          <w:sz w:val="32"/>
          <w:szCs w:val="32"/>
        </w:rPr>
        <w:t>河北省地方标准</w:t>
      </w:r>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jc w:val="center"/>
        <w:textAlignment w:val="baseline"/>
        <w:outlineLvl w:val="9"/>
        <w:rPr>
          <w:rFonts w:hint="eastAsia" w:ascii="黑体" w:hAnsi="黑体" w:eastAsia="黑体" w:cs="黑体"/>
          <w:spacing w:val="-1"/>
          <w:sz w:val="32"/>
          <w:szCs w:val="32"/>
        </w:rPr>
      </w:pPr>
      <w:bookmarkStart w:id="3" w:name="_Toc2492"/>
      <w:r>
        <w:rPr>
          <w:rFonts w:hint="eastAsia" w:ascii="黑体" w:hAnsi="黑体" w:eastAsia="黑体" w:cs="黑体"/>
          <w:spacing w:val="-1"/>
          <w:sz w:val="32"/>
          <w:szCs w:val="32"/>
        </w:rPr>
        <w:t>《金属非金属地下矿山人员精准定位系统建设规范》</w:t>
      </w:r>
      <w:bookmarkEnd w:id="3"/>
    </w:p>
    <w:p>
      <w:pPr>
        <w:keepNext w:val="0"/>
        <w:keepLines w:val="0"/>
        <w:pageBreakBefore w:val="0"/>
        <w:widowControl/>
        <w:kinsoku w:val="0"/>
        <w:wordWrap/>
        <w:overflowPunct/>
        <w:topLinePunct w:val="0"/>
        <w:autoSpaceDE w:val="0"/>
        <w:autoSpaceDN w:val="0"/>
        <w:bidi w:val="0"/>
        <w:adjustRightInd w:val="0"/>
        <w:snapToGrid w:val="0"/>
        <w:spacing w:after="680" w:line="240" w:lineRule="auto"/>
        <w:ind w:right="0" w:firstLine="0"/>
        <w:jc w:val="center"/>
        <w:textAlignment w:val="baseline"/>
        <w:outlineLvl w:val="9"/>
        <w:rPr>
          <w:rFonts w:hint="eastAsia" w:ascii="黑体" w:hAnsi="黑体" w:eastAsia="黑体" w:cs="黑体"/>
          <w:spacing w:val="-1"/>
          <w:sz w:val="32"/>
          <w:szCs w:val="32"/>
        </w:rPr>
      </w:pPr>
      <w:bookmarkStart w:id="4" w:name="_Toc1641"/>
      <w:r>
        <w:rPr>
          <w:rFonts w:hint="eastAsia" w:ascii="黑体" w:hAnsi="黑体" w:eastAsia="黑体" w:cs="黑体"/>
          <w:spacing w:val="-1"/>
          <w:sz w:val="32"/>
          <w:szCs w:val="32"/>
        </w:rPr>
        <w:t>编 制 说 明</w:t>
      </w:r>
      <w:bookmarkEnd w:id="4"/>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default" w:ascii="黑体" w:hAnsi="黑体" w:eastAsia="黑体" w:cs="黑体"/>
          <w:b w:val="0"/>
          <w:bCs w:val="0"/>
          <w:sz w:val="21"/>
          <w:szCs w:val="21"/>
          <w:lang w:val="en-US"/>
        </w:rPr>
      </w:pPr>
      <w:bookmarkStart w:id="5" w:name="_Toc6412"/>
      <w:bookmarkStart w:id="6" w:name="_Toc32546"/>
      <w:bookmarkStart w:id="7" w:name="_Toc5615"/>
      <w:r>
        <w:rPr>
          <w:rFonts w:hint="eastAsia" w:ascii="黑体" w:hAnsi="黑体" w:eastAsia="黑体" w:cs="黑体"/>
          <w:b w:val="0"/>
          <w:bCs w:val="0"/>
          <w:spacing w:val="9"/>
          <w:sz w:val="21"/>
          <w:szCs w:val="21"/>
          <w:lang w:val="en-US" w:eastAsia="zh-CN"/>
        </w:rPr>
        <w:t>1</w:t>
      </w:r>
      <w:r>
        <w:rPr>
          <w:rFonts w:hint="eastAsia" w:ascii="黑体" w:hAnsi="黑体" w:eastAsia="黑体" w:cs="黑体"/>
          <w:b w:val="0"/>
          <w:bCs w:val="0"/>
          <w:spacing w:val="9"/>
          <w:sz w:val="21"/>
          <w:szCs w:val="21"/>
        </w:rPr>
        <w:t xml:space="preserve">  </w:t>
      </w:r>
      <w:bookmarkEnd w:id="5"/>
      <w:bookmarkEnd w:id="6"/>
      <w:r>
        <w:rPr>
          <w:rFonts w:hint="eastAsia" w:ascii="黑体" w:hAnsi="黑体" w:eastAsia="黑体" w:cs="黑体"/>
          <w:b w:val="0"/>
          <w:bCs w:val="0"/>
          <w:spacing w:val="9"/>
          <w:sz w:val="21"/>
          <w:szCs w:val="21"/>
          <w:lang w:val="en-US" w:eastAsia="zh-CN"/>
        </w:rPr>
        <w:t>项目基本情况</w:t>
      </w:r>
      <w:bookmarkEnd w:id="7"/>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bookmarkStart w:id="8" w:name="_Toc28869"/>
      <w:r>
        <w:rPr>
          <w:rFonts w:hint="eastAsia" w:ascii="黑体" w:hAnsi="黑体" w:eastAsia="黑体" w:cs="黑体"/>
          <w:b w:val="0"/>
          <w:bCs w:val="0"/>
          <w:spacing w:val="9"/>
          <w:sz w:val="21"/>
          <w:szCs w:val="21"/>
          <w:lang w:val="en-US" w:eastAsia="zh-CN"/>
        </w:rPr>
        <w:t>1.1  任务来源</w:t>
      </w:r>
      <w:bookmarkEnd w:id="8"/>
    </w:p>
    <w:p>
      <w:pPr>
        <w:keepNext w:val="0"/>
        <w:keepLines w:val="0"/>
        <w:pageBreakBefore w:val="0"/>
        <w:widowControl/>
        <w:kinsoku w:val="0"/>
        <w:wordWrap/>
        <w:overflowPunct/>
        <w:topLinePunct w:val="0"/>
        <w:autoSpaceDE w:val="0"/>
        <w:autoSpaceDN w:val="0"/>
        <w:bidi w:val="0"/>
        <w:adjustRightInd w:val="0"/>
        <w:snapToGrid w:val="0"/>
        <w:spacing w:before="283" w:line="240" w:lineRule="auto"/>
        <w:ind w:right="0" w:firstLine="420" w:firstLineChars="200"/>
        <w:jc w:val="both"/>
        <w:textAlignment w:val="baseline"/>
        <w:rPr>
          <w:rFonts w:ascii="宋体" w:hAnsi="宋体" w:eastAsia="宋体" w:cs="宋体"/>
          <w:spacing w:val="0"/>
          <w:sz w:val="21"/>
          <w:szCs w:val="21"/>
        </w:rPr>
      </w:pPr>
      <w:r>
        <w:rPr>
          <w:rFonts w:ascii="宋体" w:hAnsi="宋体" w:eastAsia="宋体" w:cs="宋体"/>
          <w:spacing w:val="0"/>
          <w:sz w:val="21"/>
          <w:szCs w:val="21"/>
        </w:rPr>
        <w:t>河北省市场监督管理局“关于下达 2021 年河北省地方标准制修订项目计划(第二批)的通知”（冀市监函〔2021〕</w:t>
      </w:r>
      <w:r>
        <w:rPr>
          <w:rFonts w:hint="eastAsia" w:ascii="宋体" w:hAnsi="宋体" w:eastAsia="宋体" w:cs="宋体"/>
          <w:spacing w:val="0"/>
          <w:sz w:val="21"/>
          <w:szCs w:val="21"/>
          <w:lang w:val="en-US" w:eastAsia="zh-CN"/>
        </w:rPr>
        <w:t>448</w:t>
      </w:r>
      <w:r>
        <w:rPr>
          <w:rFonts w:ascii="宋体" w:hAnsi="宋体" w:eastAsia="宋体" w:cs="宋体"/>
          <w:spacing w:val="0"/>
          <w:sz w:val="21"/>
          <w:szCs w:val="21"/>
        </w:rPr>
        <w:t xml:space="preserve"> 号），项目编号： FW20213</w:t>
      </w:r>
      <w:r>
        <w:rPr>
          <w:rFonts w:hint="eastAsia" w:ascii="宋体" w:hAnsi="宋体" w:eastAsia="宋体" w:cs="宋体"/>
          <w:spacing w:val="0"/>
          <w:sz w:val="21"/>
          <w:szCs w:val="21"/>
          <w:lang w:val="en-US" w:eastAsia="zh-CN"/>
        </w:rPr>
        <w:t>6</w:t>
      </w:r>
      <w:r>
        <w:rPr>
          <w:rFonts w:ascii="宋体" w:hAnsi="宋体" w:eastAsia="宋体" w:cs="宋体"/>
          <w:spacing w:val="0"/>
          <w:sz w:val="21"/>
          <w:szCs w:val="21"/>
        </w:rPr>
        <w:t>。</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bookmarkStart w:id="9" w:name="_Toc13839"/>
      <w:r>
        <w:rPr>
          <w:rFonts w:hint="eastAsia" w:ascii="黑体" w:hAnsi="黑体" w:eastAsia="黑体" w:cs="黑体"/>
          <w:b w:val="0"/>
          <w:bCs w:val="0"/>
          <w:spacing w:val="9"/>
          <w:sz w:val="21"/>
          <w:szCs w:val="21"/>
          <w:lang w:val="en-US" w:eastAsia="zh-CN"/>
        </w:rPr>
        <w:t>1.2  归口单位</w:t>
      </w:r>
      <w:bookmarkEnd w:id="9"/>
    </w:p>
    <w:p>
      <w:pPr>
        <w:keepNext w:val="0"/>
        <w:keepLines w:val="0"/>
        <w:pageBreakBefore w:val="0"/>
        <w:widowControl/>
        <w:kinsoku w:val="0"/>
        <w:wordWrap/>
        <w:overflowPunct/>
        <w:topLinePunct w:val="0"/>
        <w:autoSpaceDE w:val="0"/>
        <w:autoSpaceDN w:val="0"/>
        <w:bidi w:val="0"/>
        <w:adjustRightInd w:val="0"/>
        <w:snapToGrid w:val="0"/>
        <w:spacing w:before="283" w:line="240" w:lineRule="auto"/>
        <w:ind w:right="0" w:firstLine="420" w:firstLineChars="200"/>
        <w:jc w:val="both"/>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河北省应急管理厅。</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r>
        <w:rPr>
          <w:rFonts w:hint="eastAsia" w:ascii="黑体" w:hAnsi="黑体" w:eastAsia="黑体" w:cs="黑体"/>
          <w:b w:val="0"/>
          <w:bCs w:val="0"/>
          <w:spacing w:val="9"/>
          <w:sz w:val="21"/>
          <w:szCs w:val="21"/>
          <w:lang w:val="en-US" w:eastAsia="zh-CN"/>
        </w:rPr>
        <w:t>1.3  起草单位</w:t>
      </w:r>
    </w:p>
    <w:p>
      <w:pPr>
        <w:keepNext w:val="0"/>
        <w:keepLines w:val="0"/>
        <w:pageBreakBefore w:val="0"/>
        <w:widowControl/>
        <w:kinsoku w:val="0"/>
        <w:wordWrap/>
        <w:overflowPunct/>
        <w:topLinePunct w:val="0"/>
        <w:autoSpaceDE w:val="0"/>
        <w:autoSpaceDN w:val="0"/>
        <w:bidi w:val="0"/>
        <w:adjustRightInd w:val="0"/>
        <w:snapToGrid w:val="0"/>
        <w:spacing w:before="283" w:line="240" w:lineRule="auto"/>
        <w:ind w:right="0" w:firstLine="420" w:firstLineChars="200"/>
        <w:textAlignment w:val="baseline"/>
        <w:rPr>
          <w:rFonts w:ascii="宋体" w:hAnsi="宋体" w:eastAsia="宋体" w:cs="宋体"/>
          <w:spacing w:val="0"/>
          <w:sz w:val="21"/>
          <w:szCs w:val="21"/>
        </w:rPr>
      </w:pPr>
      <w:r>
        <w:rPr>
          <w:rFonts w:hint="eastAsia" w:ascii="宋体" w:hAnsi="宋体" w:eastAsia="宋体" w:cs="宋体"/>
          <w:spacing w:val="0"/>
          <w:sz w:val="21"/>
          <w:szCs w:val="21"/>
        </w:rPr>
        <w:t>河北冀拓应急科技有限公司</w:t>
      </w:r>
      <w:r>
        <w:rPr>
          <w:rFonts w:ascii="宋体" w:hAnsi="宋体" w:eastAsia="宋体" w:cs="宋体"/>
          <w:spacing w:val="0"/>
          <w:sz w:val="21"/>
          <w:szCs w:val="21"/>
        </w:rPr>
        <w:t>。</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bookmarkStart w:id="10" w:name="_Toc14017"/>
      <w:r>
        <w:rPr>
          <w:rFonts w:hint="eastAsia" w:ascii="黑体" w:hAnsi="黑体" w:eastAsia="黑体" w:cs="黑体"/>
          <w:b w:val="0"/>
          <w:bCs w:val="0"/>
          <w:spacing w:val="9"/>
          <w:sz w:val="21"/>
          <w:szCs w:val="21"/>
          <w:lang w:val="en-US" w:eastAsia="zh-CN"/>
        </w:rPr>
        <w:t>1.4  主要起草人</w:t>
      </w:r>
      <w:bookmarkEnd w:id="10"/>
    </w:p>
    <w:p>
      <w:pPr>
        <w:keepNext w:val="0"/>
        <w:keepLines w:val="0"/>
        <w:pageBreakBefore w:val="0"/>
        <w:widowControl/>
        <w:kinsoku w:val="0"/>
        <w:wordWrap/>
        <w:overflowPunct/>
        <w:topLinePunct w:val="0"/>
        <w:autoSpaceDE w:val="0"/>
        <w:autoSpaceDN w:val="0"/>
        <w:bidi w:val="0"/>
        <w:adjustRightInd w:val="0"/>
        <w:snapToGrid w:val="0"/>
        <w:spacing w:before="283" w:line="240" w:lineRule="auto"/>
        <w:ind w:right="0" w:firstLine="420" w:firstLineChars="200"/>
        <w:jc w:val="both"/>
        <w:textAlignment w:val="baseline"/>
        <w:rPr>
          <w:rFonts w:hint="eastAsia" w:ascii="宋体" w:hAnsi="宋体" w:eastAsia="宋体" w:cs="宋体"/>
          <w:spacing w:val="0"/>
          <w:sz w:val="21"/>
          <w:szCs w:val="21"/>
        </w:rPr>
      </w:pPr>
      <w:r>
        <w:rPr>
          <w:rFonts w:hint="eastAsia" w:ascii="宋体" w:hAnsi="宋体" w:eastAsia="宋体" w:cs="宋体"/>
          <w:spacing w:val="0"/>
          <w:sz w:val="21"/>
          <w:szCs w:val="21"/>
        </w:rPr>
        <w:t>赵清华、张鹏、刘卫云、魏景瑞、张华、孔晓峰、孟航、侯华飞、李欣、马会鹏、郭世豪、侯佳斌、李少华、魏波</w:t>
      </w:r>
      <w:r>
        <w:rPr>
          <w:rFonts w:hint="eastAsia"/>
          <w:sz w:val="21"/>
          <w:szCs w:val="21"/>
          <w:lang w:eastAsia="zh-CN"/>
        </w:rPr>
        <w:t>、</w:t>
      </w:r>
      <w:r>
        <w:rPr>
          <w:rFonts w:hint="eastAsia"/>
          <w:sz w:val="21"/>
          <w:szCs w:val="21"/>
          <w:lang w:val="en-US" w:eastAsia="zh-CN"/>
        </w:rPr>
        <w:t>杨庆元、贾永报、陈树彬</w:t>
      </w:r>
      <w:r>
        <w:rPr>
          <w:rFonts w:hint="eastAsia" w:ascii="宋体" w:hAnsi="宋体" w:eastAsia="宋体" w:cs="宋体"/>
          <w:spacing w:val="0"/>
          <w:sz w:val="21"/>
          <w:szCs w:val="21"/>
        </w:rPr>
        <w:t>。</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11" w:name="_Toc32136"/>
      <w:bookmarkStart w:id="12" w:name="_Toc24869"/>
      <w:bookmarkStart w:id="13" w:name="_Toc28407"/>
      <w:r>
        <w:rPr>
          <w:rFonts w:hint="eastAsia" w:ascii="黑体" w:hAnsi="黑体" w:eastAsia="黑体" w:cs="黑体"/>
          <w:b w:val="0"/>
          <w:bCs w:val="0"/>
          <w:spacing w:val="9"/>
          <w:sz w:val="21"/>
          <w:szCs w:val="21"/>
          <w:lang w:val="en-US" w:eastAsia="zh-CN"/>
        </w:rPr>
        <w:t>2  制定标准的背景和意义</w:t>
      </w:r>
      <w:bookmarkEnd w:id="11"/>
      <w:bookmarkEnd w:id="12"/>
      <w:bookmarkEnd w:id="13"/>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bookmarkStart w:id="14" w:name="_Toc16890"/>
      <w:r>
        <w:rPr>
          <w:rFonts w:hint="eastAsia" w:ascii="黑体" w:hAnsi="黑体" w:eastAsia="黑体" w:cs="黑体"/>
          <w:b w:val="0"/>
          <w:bCs w:val="0"/>
          <w:spacing w:val="9"/>
          <w:sz w:val="21"/>
          <w:szCs w:val="21"/>
          <w:lang w:val="en-US" w:eastAsia="zh-CN"/>
        </w:rPr>
        <w:t>2.1  制定标准的必要性</w:t>
      </w:r>
      <w:bookmarkEnd w:id="14"/>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rPr>
      </w:pPr>
      <w:r>
        <w:rPr>
          <w:rFonts w:hint="eastAsia" w:ascii="宋体" w:hAnsi="宋体" w:eastAsia="宋体" w:cs="宋体"/>
          <w:spacing w:val="0"/>
          <w:sz w:val="21"/>
          <w:szCs w:val="21"/>
        </w:rPr>
        <w:t>随着我国安全生产标准、规范的逐步健全，原国家安监总局出台了《金属非金属地下矿山人员定位系统建设规范》（AQ2032-2011），但金属非金属地下矿山人员定位系统质量参差不齐，部分地下矿山人员定位系统覆盖范围小、定位精度低、兼容性较差，井下人员精准定位系统要求不统一，原规范并未对精准定位技术做出细化说明，到目前为止河北省并没有配套出台金属非金属地下矿山人员精准定位系统建设规范。为进一步规范金属非金属地下矿山人员精准定位系统技术管理，并为人员精准定位系统设计、安装、验收等提供依据，拟制定</w:t>
      </w:r>
      <w:r>
        <w:rPr>
          <w:rFonts w:hint="eastAsia" w:ascii="宋体" w:hAnsi="宋体" w:eastAsia="宋体" w:cs="宋体"/>
          <w:spacing w:val="0"/>
          <w:sz w:val="21"/>
          <w:szCs w:val="21"/>
          <w:lang w:val="en-US" w:eastAsia="zh-CN"/>
        </w:rPr>
        <w:t>河北省</w:t>
      </w:r>
      <w:r>
        <w:rPr>
          <w:rFonts w:hint="eastAsia" w:ascii="宋体" w:hAnsi="宋体" w:eastAsia="宋体" w:cs="宋体"/>
          <w:spacing w:val="0"/>
          <w:sz w:val="21"/>
          <w:szCs w:val="21"/>
        </w:rPr>
        <w:t>地方标准《金属非金属地下矿山人员精准定位系统建设规范》。</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bookmarkStart w:id="15" w:name="_Toc3883"/>
      <w:r>
        <w:rPr>
          <w:rFonts w:hint="eastAsia" w:ascii="黑体" w:hAnsi="黑体" w:eastAsia="黑体" w:cs="黑体"/>
          <w:b w:val="0"/>
          <w:bCs w:val="0"/>
          <w:spacing w:val="9"/>
          <w:sz w:val="21"/>
          <w:szCs w:val="21"/>
          <w:lang w:val="en-US" w:eastAsia="zh-CN"/>
        </w:rPr>
        <w:t>2.2  制定标准的目的和意义</w:t>
      </w:r>
      <w:bookmarkEnd w:id="15"/>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rPr>
      </w:pPr>
      <w:r>
        <w:rPr>
          <w:rFonts w:hint="eastAsia" w:ascii="宋体" w:hAnsi="宋体" w:eastAsia="宋体" w:cs="宋体"/>
          <w:spacing w:val="0"/>
          <w:sz w:val="21"/>
          <w:szCs w:val="21"/>
        </w:rPr>
        <w:t>随着矿井生产的机械化和现代化程度不断提高，现代科学技术越来越多地应用在目前矿山的开采、爆破、运输和选矿等方面，这些技术的应用改善了矿山安全生产状况并且提高了生产效率，但依然还普遍存在入井人员和井下设备管理困难，井上人员不能及时了解井下人员的动态分布情况。金属非金属地下矿山人员定位系统质量参差不齐，部分矿山井下人员精准定位系统覆盖范围小、定位精度低、兼容性较差，对井下人员的抢救缺乏精确可靠的位置信息，也缺乏语音通信手段，抢险救灾、安全救护的效率低，难以施展及时可靠的抢救工作。</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eastAsia="zh-CN"/>
        </w:rPr>
      </w:pPr>
      <w:r>
        <w:rPr>
          <w:rFonts w:hint="eastAsia" w:ascii="宋体" w:hAnsi="宋体" w:eastAsia="宋体" w:cs="宋体"/>
          <w:spacing w:val="0"/>
          <w:sz w:val="21"/>
          <w:szCs w:val="21"/>
        </w:rPr>
        <w:t>山东五彩龙投资有限公司栖霞市笏山金矿“1·10”重大爆炸事故发生后，矿山安全生产事故引发我们思考：怎样可以减少采矿业事故发生</w:t>
      </w:r>
      <w:r>
        <w:rPr>
          <w:rFonts w:hint="eastAsia" w:ascii="宋体" w:hAnsi="宋体" w:eastAsia="宋体" w:cs="宋体"/>
          <w:spacing w:val="0"/>
          <w:sz w:val="21"/>
          <w:szCs w:val="21"/>
          <w:lang w:eastAsia="zh-CN"/>
        </w:rPr>
        <w:t>；</w:t>
      </w:r>
      <w:r>
        <w:rPr>
          <w:rFonts w:hint="eastAsia" w:ascii="宋体" w:hAnsi="宋体" w:eastAsia="宋体" w:cs="宋体"/>
          <w:spacing w:val="0"/>
          <w:sz w:val="21"/>
          <w:szCs w:val="21"/>
        </w:rPr>
        <w:t>当人们与矿难事故“不期而遇”时，如何绝地求生</w:t>
      </w:r>
      <w:r>
        <w:rPr>
          <w:rFonts w:hint="eastAsia" w:ascii="宋体" w:hAnsi="宋体" w:eastAsia="宋体" w:cs="宋体"/>
          <w:spacing w:val="0"/>
          <w:sz w:val="21"/>
          <w:szCs w:val="21"/>
          <w:lang w:eastAsia="zh-CN"/>
        </w:rPr>
        <w:t>；</w:t>
      </w:r>
      <w:r>
        <w:rPr>
          <w:rFonts w:hint="eastAsia" w:ascii="宋体" w:hAnsi="宋体" w:eastAsia="宋体" w:cs="宋体"/>
          <w:spacing w:val="0"/>
          <w:sz w:val="21"/>
          <w:szCs w:val="21"/>
        </w:rPr>
        <w:t>如何做到应急救援及时准确</w:t>
      </w:r>
      <w:r>
        <w:rPr>
          <w:rFonts w:hint="eastAsia" w:ascii="宋体" w:hAnsi="宋体" w:eastAsia="宋体" w:cs="宋体"/>
          <w:spacing w:val="0"/>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rPr>
      </w:pPr>
      <w:r>
        <w:rPr>
          <w:rFonts w:hint="eastAsia" w:ascii="宋体" w:hAnsi="宋体" w:eastAsia="宋体" w:cs="宋体"/>
          <w:spacing w:val="0"/>
          <w:sz w:val="21"/>
          <w:szCs w:val="21"/>
        </w:rPr>
        <w:t>要想提高矿山的安全生产系数，不仅要强化井下作业人员的安全意识、完善相关的法律、法规、安全生产制度与作业规程，更要利用好当今先进的技术与设备，为安全生产保驾护航。在现有井下安全生产与救援信息系统的基础上，建立井下人员精准定位系统，使其在平时对安全生产进行监控，提前做好事故的预防工作，更能够提高劳动效率，合理安排生产，逐步将人工机械化生产变为智能机械化生产</w:t>
      </w:r>
      <w:r>
        <w:rPr>
          <w:rFonts w:hint="eastAsia" w:ascii="宋体" w:hAnsi="宋体" w:eastAsia="宋体" w:cs="宋体"/>
          <w:spacing w:val="0"/>
          <w:sz w:val="21"/>
          <w:szCs w:val="21"/>
          <w:lang w:eastAsia="zh-CN"/>
        </w:rPr>
        <w:t>；</w:t>
      </w:r>
      <w:r>
        <w:rPr>
          <w:rFonts w:hint="eastAsia" w:ascii="宋体" w:hAnsi="宋体" w:eastAsia="宋体" w:cs="宋体"/>
          <w:spacing w:val="0"/>
          <w:sz w:val="21"/>
          <w:szCs w:val="21"/>
        </w:rPr>
        <w:t>在事故发生后，通过提供详细的事故区的人员坐标数据，使救援人员做出最佳的营救决定，缩短救援时间，提高人员搜救效率。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ascii="宋体" w:hAnsi="宋体" w:eastAsia="宋体" w:cs="宋体"/>
          <w:sz w:val="24"/>
          <w:szCs w:val="24"/>
        </w:rPr>
      </w:pPr>
      <w:r>
        <w:rPr>
          <w:rFonts w:hint="eastAsia" w:ascii="宋体" w:hAnsi="宋体" w:eastAsia="宋体" w:cs="宋体"/>
          <w:spacing w:val="0"/>
          <w:sz w:val="21"/>
          <w:szCs w:val="21"/>
        </w:rPr>
        <w:t>河北省现有金属非金属地下矿山七百余座，从业人员三万余人，《金属非金属地下矿山人员精准定位系统建设规范》的制定将对金属非金属地下矿山人员精准定位系统的安全监管提供依据，对金属非金属地下矿山事故发生或出现紧急情况时，及时采取相应的救援措施，提高应急救援工作的效率，保障生命和财产安全，维护社会和谐稳定，具有积极的推动作用。</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16" w:name="_Toc30404"/>
      <w:bookmarkStart w:id="17" w:name="_Toc28615"/>
      <w:bookmarkStart w:id="18" w:name="_Toc27001"/>
      <w:r>
        <w:rPr>
          <w:rFonts w:hint="eastAsia" w:ascii="黑体" w:hAnsi="黑体" w:eastAsia="黑体" w:cs="黑体"/>
          <w:b w:val="0"/>
          <w:bCs w:val="0"/>
          <w:spacing w:val="9"/>
          <w:sz w:val="21"/>
          <w:szCs w:val="21"/>
          <w:lang w:val="en-US" w:eastAsia="zh-CN"/>
        </w:rPr>
        <w:t>3  标准的编制过程</w:t>
      </w:r>
      <w:bookmarkEnd w:id="16"/>
      <w:bookmarkEnd w:id="17"/>
      <w:bookmarkEnd w:id="18"/>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bookmarkStart w:id="19" w:name="_Toc8730"/>
      <w:r>
        <w:rPr>
          <w:rFonts w:hint="eastAsia" w:ascii="黑体" w:hAnsi="黑体" w:eastAsia="黑体" w:cs="黑体"/>
          <w:b w:val="0"/>
          <w:bCs w:val="0"/>
          <w:spacing w:val="9"/>
          <w:sz w:val="21"/>
          <w:szCs w:val="21"/>
          <w:lang w:val="en-US" w:eastAsia="zh-CN"/>
        </w:rPr>
        <w:t>3.1  前期工作准备</w:t>
      </w:r>
      <w:bookmarkEnd w:id="19"/>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color w:val="auto"/>
          <w:spacing w:val="0"/>
          <w:sz w:val="21"/>
          <w:szCs w:val="21"/>
        </w:rPr>
      </w:pPr>
      <w:r>
        <w:rPr>
          <w:rFonts w:hint="eastAsia" w:ascii="宋体" w:hAnsi="宋体" w:eastAsia="宋体" w:cs="宋体"/>
          <w:color w:val="auto"/>
          <w:spacing w:val="0"/>
          <w:sz w:val="21"/>
          <w:szCs w:val="21"/>
        </w:rPr>
        <w:t>（1）成立标准编制小组。2021年9月初，在接到省地方标准《金属非金属地下矿山人员精准定位系统建设规范》编制任务后，</w:t>
      </w:r>
      <w:r>
        <w:rPr>
          <w:rFonts w:hint="eastAsia" w:ascii="宋体" w:hAnsi="宋体" w:eastAsia="宋体" w:cs="宋体"/>
          <w:color w:val="auto"/>
          <w:spacing w:val="0"/>
          <w:sz w:val="21"/>
          <w:szCs w:val="21"/>
          <w:lang w:val="en-US" w:eastAsia="zh-CN"/>
        </w:rPr>
        <w:t>河北冀拓应急科技有限公司</w:t>
      </w:r>
      <w:r>
        <w:rPr>
          <w:rFonts w:hint="eastAsia" w:ascii="宋体" w:hAnsi="宋体" w:eastAsia="宋体" w:cs="宋体"/>
          <w:color w:val="auto"/>
          <w:spacing w:val="0"/>
          <w:sz w:val="21"/>
          <w:szCs w:val="21"/>
        </w:rPr>
        <w:t>作为本标准的起草单位，</w:t>
      </w:r>
      <w:r>
        <w:rPr>
          <w:rFonts w:hint="eastAsia" w:ascii="宋体" w:hAnsi="宋体" w:eastAsia="宋体" w:cs="宋体"/>
          <w:color w:val="auto"/>
          <w:spacing w:val="0"/>
          <w:sz w:val="21"/>
          <w:szCs w:val="21"/>
          <w:lang w:val="en-US" w:eastAsia="zh-CN"/>
        </w:rPr>
        <w:t>各级</w:t>
      </w:r>
      <w:r>
        <w:rPr>
          <w:rFonts w:hint="eastAsia" w:ascii="宋体" w:hAnsi="宋体" w:eastAsia="宋体" w:cs="宋体"/>
          <w:color w:val="auto"/>
          <w:spacing w:val="0"/>
          <w:sz w:val="21"/>
          <w:szCs w:val="21"/>
        </w:rPr>
        <w:t>领导非常重视这项工作，</w:t>
      </w:r>
      <w:r>
        <w:rPr>
          <w:rFonts w:hint="eastAsia" w:ascii="宋体" w:hAnsi="宋体" w:eastAsia="宋体" w:cs="宋体"/>
          <w:color w:val="auto"/>
          <w:spacing w:val="0"/>
          <w:sz w:val="21"/>
          <w:szCs w:val="21"/>
          <w:lang w:val="en-US" w:eastAsia="zh-CN"/>
        </w:rPr>
        <w:t>在行业领域和公司内部选配了责任心强、业务水平高、理论扎实丰富的业内精英人员成立了</w:t>
      </w:r>
      <w:r>
        <w:rPr>
          <w:rFonts w:hint="eastAsia" w:ascii="宋体" w:hAnsi="宋体" w:eastAsia="宋体" w:cs="宋体"/>
          <w:color w:val="auto"/>
          <w:spacing w:val="0"/>
          <w:sz w:val="21"/>
          <w:szCs w:val="21"/>
        </w:rPr>
        <w:t>标准编写小组，负责标准的编制工作，</w:t>
      </w:r>
      <w:r>
        <w:rPr>
          <w:rFonts w:hint="eastAsia" w:ascii="宋体" w:hAnsi="宋体" w:eastAsia="宋体" w:cs="宋体"/>
          <w:color w:val="auto"/>
          <w:spacing w:val="0"/>
          <w:sz w:val="21"/>
          <w:szCs w:val="21"/>
          <w:lang w:val="en-US" w:eastAsia="zh-CN"/>
        </w:rPr>
        <w:t>同时</w:t>
      </w:r>
      <w:r>
        <w:rPr>
          <w:rFonts w:hint="eastAsia" w:ascii="宋体" w:hAnsi="宋体" w:eastAsia="宋体" w:cs="宋体"/>
          <w:color w:val="auto"/>
          <w:spacing w:val="0"/>
          <w:sz w:val="21"/>
          <w:szCs w:val="21"/>
        </w:rPr>
        <w:t>进行了任务分工，并明确了每位成员的工作职责、工作内容和工作进度。</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default"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rPr>
        <w:t>（2）</w:t>
      </w:r>
      <w:r>
        <w:rPr>
          <w:rFonts w:hint="eastAsia" w:ascii="宋体" w:hAnsi="宋体" w:eastAsia="宋体" w:cs="宋体"/>
          <w:color w:val="auto"/>
          <w:spacing w:val="0"/>
          <w:sz w:val="21"/>
          <w:szCs w:val="21"/>
          <w:lang w:val="en-US" w:eastAsia="zh-CN"/>
        </w:rPr>
        <w:t>设备技术调研</w:t>
      </w:r>
      <w:r>
        <w:rPr>
          <w:rFonts w:hint="eastAsia" w:ascii="宋体" w:hAnsi="宋体" w:eastAsia="宋体" w:cs="宋体"/>
          <w:color w:val="auto"/>
          <w:spacing w:val="0"/>
          <w:sz w:val="21"/>
          <w:szCs w:val="21"/>
        </w:rPr>
        <w:t>，收集资料。2021年9月10日至</w:t>
      </w:r>
      <w:r>
        <w:rPr>
          <w:rFonts w:hint="eastAsia" w:ascii="宋体" w:hAnsi="宋体" w:eastAsia="宋体" w:cs="宋体"/>
          <w:color w:val="auto"/>
          <w:spacing w:val="0"/>
          <w:sz w:val="21"/>
          <w:szCs w:val="21"/>
          <w:lang w:val="en-US" w:eastAsia="zh-CN"/>
        </w:rPr>
        <w:t>10</w:t>
      </w:r>
      <w:r>
        <w:rPr>
          <w:rFonts w:hint="eastAsia" w:ascii="宋体" w:hAnsi="宋体" w:eastAsia="宋体" w:cs="宋体"/>
          <w:color w:val="auto"/>
          <w:spacing w:val="0"/>
          <w:sz w:val="21"/>
          <w:szCs w:val="21"/>
        </w:rPr>
        <w:t>月</w:t>
      </w:r>
      <w:r>
        <w:rPr>
          <w:rFonts w:hint="eastAsia" w:ascii="宋体" w:hAnsi="宋体" w:eastAsia="宋体" w:cs="宋体"/>
          <w:color w:val="auto"/>
          <w:spacing w:val="0"/>
          <w:sz w:val="21"/>
          <w:szCs w:val="21"/>
          <w:lang w:val="en-US" w:eastAsia="zh-CN"/>
        </w:rPr>
        <w:t>3</w:t>
      </w:r>
      <w:r>
        <w:rPr>
          <w:rFonts w:hint="eastAsia" w:ascii="宋体" w:hAnsi="宋体" w:eastAsia="宋体" w:cs="宋体"/>
          <w:color w:val="auto"/>
          <w:spacing w:val="0"/>
          <w:sz w:val="21"/>
          <w:szCs w:val="21"/>
        </w:rPr>
        <w:t>0日，标准编写小组</w:t>
      </w:r>
      <w:r>
        <w:rPr>
          <w:rFonts w:hint="eastAsia" w:ascii="宋体" w:hAnsi="宋体" w:eastAsia="宋体" w:cs="宋体"/>
          <w:color w:val="auto"/>
          <w:spacing w:val="0"/>
          <w:sz w:val="21"/>
          <w:szCs w:val="21"/>
          <w:lang w:val="en-US" w:eastAsia="zh-CN"/>
        </w:rPr>
        <w:t>对高精度定位系统设备厂家及设备进行了调研，并对大、中、小型矿山企业进行现场调研，目前企业主要采用Zigbee定位技术和UWB定位技术，但均未形成统一的精准定位要求，设备型号也多种多样，总体对定位技术及定位设备有了清楚的认识。</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ascii="宋体" w:hAnsi="宋体" w:eastAsia="宋体" w:cs="宋体"/>
          <w:color w:val="auto"/>
          <w:sz w:val="24"/>
          <w:szCs w:val="24"/>
        </w:rPr>
      </w:pPr>
      <w:r>
        <w:rPr>
          <w:rFonts w:hint="eastAsia" w:ascii="宋体" w:hAnsi="宋体" w:eastAsia="宋体" w:cs="宋体"/>
          <w:color w:val="auto"/>
          <w:spacing w:val="0"/>
          <w:sz w:val="21"/>
          <w:szCs w:val="21"/>
        </w:rPr>
        <w:t>（3）收集法律法规、规章、标准。标准编写小组收集整理了有关安全生产的法律、法规、标准、规章，对可能引用或借鉴到的国家和我省的有关法律、法规、标准、规章进行了全面识别和梳理，收集整理</w:t>
      </w:r>
      <w:r>
        <w:rPr>
          <w:rFonts w:hint="eastAsia" w:ascii="宋体" w:hAnsi="宋体" w:eastAsia="宋体" w:cs="宋体"/>
          <w:color w:val="auto"/>
          <w:spacing w:val="0"/>
          <w:sz w:val="21"/>
          <w:szCs w:val="21"/>
          <w:lang w:val="en-US" w:eastAsia="zh-CN"/>
        </w:rPr>
        <w:t>国家法律2个、</w:t>
      </w:r>
      <w:r>
        <w:rPr>
          <w:rFonts w:hint="eastAsia" w:ascii="宋体" w:hAnsi="宋体" w:eastAsia="宋体" w:cs="宋体"/>
          <w:color w:val="auto"/>
          <w:spacing w:val="0"/>
          <w:sz w:val="21"/>
          <w:szCs w:val="21"/>
        </w:rPr>
        <w:t>国家标准</w:t>
      </w:r>
      <w:r>
        <w:rPr>
          <w:rFonts w:hint="eastAsia" w:ascii="宋体" w:hAnsi="宋体" w:eastAsia="宋体" w:cs="宋体"/>
          <w:color w:val="auto"/>
          <w:spacing w:val="0"/>
          <w:sz w:val="21"/>
          <w:szCs w:val="21"/>
          <w:lang w:val="en-US" w:eastAsia="zh-CN"/>
        </w:rPr>
        <w:t>2个</w:t>
      </w:r>
      <w:r>
        <w:rPr>
          <w:rFonts w:hint="eastAsia" w:ascii="宋体" w:hAnsi="宋体" w:eastAsia="宋体" w:cs="宋体"/>
          <w:color w:val="auto"/>
          <w:spacing w:val="0"/>
          <w:sz w:val="21"/>
          <w:szCs w:val="21"/>
        </w:rPr>
        <w:t>、</w:t>
      </w:r>
      <w:r>
        <w:rPr>
          <w:rFonts w:hint="eastAsia" w:ascii="宋体" w:hAnsi="宋体" w:eastAsia="宋体" w:cs="宋体"/>
          <w:color w:val="auto"/>
          <w:spacing w:val="0"/>
          <w:sz w:val="21"/>
          <w:szCs w:val="21"/>
          <w:lang w:val="en-US" w:eastAsia="zh-CN"/>
        </w:rPr>
        <w:t>行业标准2个，</w:t>
      </w:r>
      <w:r>
        <w:rPr>
          <w:rFonts w:hint="eastAsia" w:ascii="宋体" w:hAnsi="宋体" w:eastAsia="宋体" w:cs="宋体"/>
          <w:color w:val="auto"/>
          <w:spacing w:val="0"/>
          <w:sz w:val="21"/>
          <w:szCs w:val="21"/>
        </w:rPr>
        <w:t>可借鉴的标准</w:t>
      </w:r>
      <w:r>
        <w:rPr>
          <w:rFonts w:hint="eastAsia" w:ascii="宋体" w:hAnsi="宋体" w:eastAsia="宋体" w:cs="宋体"/>
          <w:color w:val="auto"/>
          <w:spacing w:val="0"/>
          <w:sz w:val="21"/>
          <w:szCs w:val="21"/>
          <w:lang w:val="en-US" w:eastAsia="zh-CN"/>
        </w:rPr>
        <w:t>3</w:t>
      </w:r>
      <w:r>
        <w:rPr>
          <w:rFonts w:hint="eastAsia" w:ascii="宋体" w:hAnsi="宋体" w:eastAsia="宋体" w:cs="宋体"/>
          <w:color w:val="auto"/>
          <w:spacing w:val="0"/>
          <w:sz w:val="21"/>
          <w:szCs w:val="21"/>
        </w:rPr>
        <w:t>个</w:t>
      </w:r>
      <w:r>
        <w:rPr>
          <w:rFonts w:hint="eastAsia" w:ascii="宋体" w:hAnsi="宋体" w:eastAsia="宋体" w:cs="宋体"/>
          <w:color w:val="auto"/>
          <w:spacing w:val="0"/>
          <w:sz w:val="21"/>
          <w:szCs w:val="21"/>
          <w:lang w:val="en-US" w:eastAsia="zh-CN"/>
        </w:rPr>
        <w:t>,部门规章6个</w:t>
      </w:r>
      <w:r>
        <w:rPr>
          <w:rFonts w:hint="eastAsia" w:ascii="宋体" w:hAnsi="宋体" w:eastAsia="宋体" w:cs="宋体"/>
          <w:color w:val="auto"/>
          <w:spacing w:val="0"/>
          <w:sz w:val="21"/>
          <w:szCs w:val="21"/>
        </w:rPr>
        <w:t>。</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bookmarkStart w:id="20" w:name="_Toc14855"/>
      <w:r>
        <w:rPr>
          <w:rFonts w:hint="eastAsia" w:ascii="黑体" w:hAnsi="黑体" w:eastAsia="黑体" w:cs="黑体"/>
          <w:b w:val="0"/>
          <w:bCs w:val="0"/>
          <w:spacing w:val="9"/>
          <w:sz w:val="21"/>
          <w:szCs w:val="21"/>
          <w:lang w:val="en-US" w:eastAsia="zh-CN"/>
        </w:rPr>
        <w:t>3.2  形成标准初稿</w:t>
      </w:r>
      <w:bookmarkEnd w:id="20"/>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color w:val="auto"/>
          <w:spacing w:val="0"/>
          <w:sz w:val="21"/>
          <w:szCs w:val="21"/>
        </w:rPr>
      </w:pPr>
      <w:r>
        <w:rPr>
          <w:rFonts w:hint="eastAsia" w:ascii="宋体" w:hAnsi="宋体" w:eastAsia="宋体" w:cs="宋体"/>
          <w:color w:val="auto"/>
          <w:spacing w:val="0"/>
          <w:sz w:val="21"/>
          <w:szCs w:val="21"/>
        </w:rPr>
        <w:t>标准编写小组在编制标准的过程中，对收集的资料进行了汇总、梳理和分析，提出了编制标准的方案，确定了标准所涵盖的内容和范围，标准编制人员按照 GB/T 1.1-2020《标准化工作导则</w:t>
      </w:r>
      <w:r>
        <w:rPr>
          <w:rFonts w:hint="eastAsia" w:ascii="宋体" w:hAnsi="宋体" w:eastAsia="宋体" w:cs="宋体"/>
          <w:color w:val="auto"/>
          <w:spacing w:val="0"/>
          <w:sz w:val="21"/>
          <w:szCs w:val="21"/>
          <w:lang w:val="en-US" w:eastAsia="zh-CN"/>
        </w:rPr>
        <w:t xml:space="preserve"> </w:t>
      </w:r>
      <w:r>
        <w:rPr>
          <w:rFonts w:hint="eastAsia" w:ascii="宋体" w:hAnsi="宋体" w:eastAsia="宋体" w:cs="宋体"/>
          <w:color w:val="auto"/>
          <w:spacing w:val="0"/>
          <w:sz w:val="21"/>
          <w:szCs w:val="21"/>
        </w:rPr>
        <w:t>第 1 部分：标准化文件的结构和起草规则》 的要求，起草了标准初稿。标准编写小组先后组织了3次小组内部会议对标准初稿编制情况进行研讨，编写过程中同时</w:t>
      </w:r>
      <w:r>
        <w:rPr>
          <w:rFonts w:hint="eastAsia" w:ascii="宋体" w:hAnsi="宋体" w:eastAsia="宋体" w:cs="宋体"/>
          <w:color w:val="auto"/>
          <w:spacing w:val="0"/>
          <w:sz w:val="21"/>
          <w:szCs w:val="21"/>
          <w:lang w:val="en-US" w:eastAsia="zh-CN"/>
        </w:rPr>
        <w:t>问询了</w:t>
      </w:r>
      <w:r>
        <w:rPr>
          <w:rFonts w:hint="eastAsia" w:ascii="宋体" w:hAnsi="宋体" w:eastAsia="宋体" w:cs="宋体"/>
          <w:color w:val="auto"/>
          <w:spacing w:val="0"/>
          <w:sz w:val="21"/>
          <w:szCs w:val="21"/>
        </w:rPr>
        <w:t>安全生产专家、企业安全管理人员、中介服务机构的相关意见，经多次修改，于202</w:t>
      </w:r>
      <w:r>
        <w:rPr>
          <w:rFonts w:hint="eastAsia" w:ascii="宋体" w:hAnsi="宋体" w:eastAsia="宋体" w:cs="宋体"/>
          <w:color w:val="auto"/>
          <w:spacing w:val="0"/>
          <w:sz w:val="21"/>
          <w:szCs w:val="21"/>
          <w:lang w:val="en-US" w:eastAsia="zh-CN"/>
        </w:rPr>
        <w:t>2</w:t>
      </w:r>
      <w:r>
        <w:rPr>
          <w:rFonts w:hint="eastAsia" w:ascii="宋体" w:hAnsi="宋体" w:eastAsia="宋体" w:cs="宋体"/>
          <w:color w:val="auto"/>
          <w:spacing w:val="0"/>
          <w:sz w:val="21"/>
          <w:szCs w:val="21"/>
        </w:rPr>
        <w:t>年</w:t>
      </w:r>
      <w:r>
        <w:rPr>
          <w:rFonts w:hint="eastAsia" w:ascii="宋体" w:hAnsi="宋体" w:eastAsia="宋体" w:cs="宋体"/>
          <w:color w:val="auto"/>
          <w:spacing w:val="0"/>
          <w:sz w:val="21"/>
          <w:szCs w:val="21"/>
          <w:lang w:val="en-US" w:eastAsia="zh-CN"/>
        </w:rPr>
        <w:t>2</w:t>
      </w:r>
      <w:r>
        <w:rPr>
          <w:rFonts w:hint="eastAsia" w:ascii="宋体" w:hAnsi="宋体" w:eastAsia="宋体" w:cs="宋体"/>
          <w:color w:val="auto"/>
          <w:spacing w:val="0"/>
          <w:sz w:val="21"/>
          <w:szCs w:val="21"/>
        </w:rPr>
        <w:t>月完成了标准初稿的编制工作。</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default" w:ascii="黑体" w:hAnsi="黑体" w:eastAsia="黑体" w:cs="黑体"/>
          <w:b w:val="0"/>
          <w:bCs w:val="0"/>
          <w:spacing w:val="9"/>
          <w:sz w:val="21"/>
          <w:szCs w:val="21"/>
          <w:lang w:val="en-US" w:eastAsia="zh-CN"/>
        </w:rPr>
      </w:pPr>
      <w:r>
        <w:rPr>
          <w:rFonts w:hint="eastAsia" w:ascii="黑体" w:hAnsi="黑体" w:eastAsia="黑体" w:cs="黑体"/>
          <w:b w:val="0"/>
          <w:bCs w:val="0"/>
          <w:spacing w:val="9"/>
          <w:sz w:val="21"/>
          <w:szCs w:val="21"/>
          <w:lang w:val="en-US" w:eastAsia="zh-CN"/>
        </w:rPr>
        <w:t>3.2  广泛征求意见</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color w:val="auto"/>
          <w:spacing w:val="0"/>
          <w:sz w:val="21"/>
          <w:szCs w:val="21"/>
        </w:rPr>
      </w:pPr>
      <w:r>
        <w:rPr>
          <w:rFonts w:hint="eastAsia" w:ascii="宋体" w:hAnsi="宋体" w:eastAsia="宋体" w:cs="宋体"/>
          <w:color w:val="auto"/>
          <w:spacing w:val="0"/>
          <w:sz w:val="21"/>
          <w:szCs w:val="21"/>
        </w:rPr>
        <w:t>（1）意见征集。202</w:t>
      </w:r>
      <w:r>
        <w:rPr>
          <w:rFonts w:hint="eastAsia" w:ascii="宋体" w:hAnsi="宋体" w:eastAsia="宋体" w:cs="宋体"/>
          <w:color w:val="auto"/>
          <w:spacing w:val="0"/>
          <w:sz w:val="21"/>
          <w:szCs w:val="21"/>
          <w:lang w:val="en-US" w:eastAsia="zh-CN"/>
        </w:rPr>
        <w:t>2</w:t>
      </w:r>
      <w:r>
        <w:rPr>
          <w:rFonts w:hint="eastAsia" w:ascii="宋体" w:hAnsi="宋体" w:eastAsia="宋体" w:cs="宋体"/>
          <w:color w:val="auto"/>
          <w:spacing w:val="0"/>
          <w:sz w:val="21"/>
          <w:szCs w:val="21"/>
        </w:rPr>
        <w:t>年</w:t>
      </w:r>
      <w:r>
        <w:rPr>
          <w:rFonts w:hint="eastAsia" w:ascii="宋体" w:hAnsi="宋体" w:eastAsia="宋体" w:cs="宋体"/>
          <w:color w:val="auto"/>
          <w:spacing w:val="0"/>
          <w:sz w:val="21"/>
          <w:szCs w:val="21"/>
          <w:lang w:val="en-US" w:eastAsia="zh-CN"/>
        </w:rPr>
        <w:t>3月</w:t>
      </w:r>
      <w:r>
        <w:rPr>
          <w:rFonts w:hint="eastAsia" w:ascii="宋体" w:hAnsi="宋体" w:eastAsia="宋体" w:cs="宋体"/>
          <w:color w:val="auto"/>
          <w:spacing w:val="0"/>
          <w:sz w:val="21"/>
          <w:szCs w:val="21"/>
        </w:rPr>
        <w:t>，标准编写小组先后征集了安全生产专家、</w:t>
      </w:r>
      <w:r>
        <w:rPr>
          <w:rFonts w:hint="eastAsia" w:ascii="宋体" w:hAnsi="宋体" w:eastAsia="宋体" w:cs="宋体"/>
          <w:color w:val="auto"/>
          <w:spacing w:val="0"/>
          <w:sz w:val="21"/>
          <w:szCs w:val="21"/>
          <w:lang w:val="en-US" w:eastAsia="zh-CN"/>
        </w:rPr>
        <w:t>矿山企业</w:t>
      </w:r>
      <w:r>
        <w:rPr>
          <w:rFonts w:hint="eastAsia" w:ascii="宋体" w:hAnsi="宋体" w:eastAsia="宋体" w:cs="宋体"/>
          <w:color w:val="auto"/>
          <w:spacing w:val="0"/>
          <w:sz w:val="21"/>
          <w:szCs w:val="21"/>
        </w:rPr>
        <w:t>、中介服务机构的相关意见。针对征集的意见，标准编写小组召开了论证研讨会，先后</w:t>
      </w:r>
      <w:r>
        <w:rPr>
          <w:rFonts w:hint="eastAsia" w:ascii="宋体" w:hAnsi="宋体" w:eastAsia="宋体" w:cs="宋体"/>
          <w:color w:val="auto"/>
          <w:spacing w:val="0"/>
          <w:sz w:val="21"/>
          <w:szCs w:val="21"/>
          <w:lang w:val="en-US" w:eastAsia="zh-CN"/>
        </w:rPr>
        <w:t>2</w:t>
      </w:r>
      <w:r>
        <w:rPr>
          <w:rFonts w:hint="eastAsia" w:ascii="宋体" w:hAnsi="宋体" w:eastAsia="宋体" w:cs="宋体"/>
          <w:color w:val="auto"/>
          <w:spacing w:val="0"/>
          <w:sz w:val="21"/>
          <w:szCs w:val="21"/>
        </w:rPr>
        <w:t>次修改标准草案，形成了《金属非金属地下矿山人员精准定位系统建设规范》（征求意见稿）。</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color w:val="auto"/>
          <w:spacing w:val="0"/>
          <w:sz w:val="21"/>
          <w:szCs w:val="21"/>
        </w:rPr>
      </w:pPr>
      <w:r>
        <w:rPr>
          <w:rFonts w:hint="eastAsia" w:ascii="宋体" w:hAnsi="宋体" w:eastAsia="宋体" w:cs="宋体"/>
          <w:color w:val="auto"/>
          <w:spacing w:val="0"/>
          <w:sz w:val="21"/>
          <w:szCs w:val="21"/>
        </w:rPr>
        <w:t>（2）征求意见单位回函。202</w:t>
      </w:r>
      <w:r>
        <w:rPr>
          <w:rFonts w:hint="eastAsia" w:ascii="宋体" w:hAnsi="宋体" w:eastAsia="宋体" w:cs="宋体"/>
          <w:color w:val="auto"/>
          <w:spacing w:val="0"/>
          <w:sz w:val="21"/>
          <w:szCs w:val="21"/>
          <w:lang w:val="en-US" w:eastAsia="zh-CN"/>
        </w:rPr>
        <w:t>2</w:t>
      </w:r>
      <w:r>
        <w:rPr>
          <w:rFonts w:hint="eastAsia" w:ascii="宋体" w:hAnsi="宋体" w:eastAsia="宋体" w:cs="宋体"/>
          <w:color w:val="auto"/>
          <w:spacing w:val="0"/>
          <w:sz w:val="21"/>
          <w:szCs w:val="21"/>
        </w:rPr>
        <w:t>年</w:t>
      </w:r>
      <w:r>
        <w:rPr>
          <w:rFonts w:hint="eastAsia" w:ascii="宋体" w:hAnsi="宋体" w:eastAsia="宋体" w:cs="宋体"/>
          <w:color w:val="auto"/>
          <w:spacing w:val="0"/>
          <w:sz w:val="21"/>
          <w:szCs w:val="21"/>
          <w:lang w:val="en-US" w:eastAsia="zh-CN"/>
        </w:rPr>
        <w:t>4</w:t>
      </w:r>
      <w:r>
        <w:rPr>
          <w:rFonts w:hint="eastAsia" w:ascii="宋体" w:hAnsi="宋体" w:eastAsia="宋体" w:cs="宋体"/>
          <w:color w:val="auto"/>
          <w:spacing w:val="0"/>
          <w:sz w:val="21"/>
          <w:szCs w:val="21"/>
        </w:rPr>
        <w:t>月将《金属非金属地下矿山人员精准定位系统建设规范》（征求意见稿）发送</w:t>
      </w:r>
      <w:r>
        <w:rPr>
          <w:rFonts w:hint="eastAsia" w:ascii="宋体" w:hAnsi="宋体" w:eastAsia="宋体" w:cs="宋体"/>
          <w:color w:val="auto"/>
          <w:spacing w:val="0"/>
          <w:sz w:val="21"/>
          <w:szCs w:val="21"/>
          <w:lang w:val="en-US" w:eastAsia="zh-CN"/>
        </w:rPr>
        <w:t>至</w:t>
      </w:r>
      <w:r>
        <w:rPr>
          <w:rFonts w:hint="eastAsia" w:ascii="宋体" w:hAnsi="宋体" w:eastAsia="宋体" w:cs="宋体"/>
          <w:color w:val="auto"/>
          <w:spacing w:val="0"/>
          <w:sz w:val="21"/>
          <w:szCs w:val="21"/>
        </w:rPr>
        <w:t>石家庄、秦皇岛、唐山、邯郸、邢台等市</w:t>
      </w:r>
      <w:r>
        <w:rPr>
          <w:rFonts w:hint="eastAsia" w:ascii="宋体" w:hAnsi="宋体" w:eastAsia="宋体" w:cs="宋体"/>
          <w:color w:val="auto"/>
          <w:spacing w:val="0"/>
          <w:sz w:val="21"/>
          <w:szCs w:val="21"/>
          <w:lang w:val="en-US" w:eastAsia="zh-CN"/>
        </w:rPr>
        <w:t>市场监督管理局及相关企业</w:t>
      </w:r>
      <w:r>
        <w:rPr>
          <w:rFonts w:hint="eastAsia" w:ascii="宋体" w:hAnsi="宋体" w:eastAsia="宋体" w:cs="宋体"/>
          <w:color w:val="auto"/>
          <w:spacing w:val="0"/>
          <w:sz w:val="21"/>
          <w:szCs w:val="21"/>
        </w:rPr>
        <w:t>广泛征求意见</w:t>
      </w:r>
      <w:r>
        <w:rPr>
          <w:rFonts w:hint="eastAsia" w:ascii="宋体" w:hAnsi="宋体" w:eastAsia="宋体" w:cs="宋体"/>
          <w:color w:val="auto"/>
          <w:spacing w:val="0"/>
          <w:sz w:val="21"/>
          <w:szCs w:val="21"/>
          <w:lang w:eastAsia="zh-CN"/>
        </w:rPr>
        <w:t>，</w:t>
      </w:r>
      <w:r>
        <w:rPr>
          <w:rFonts w:hint="eastAsia" w:ascii="宋体" w:hAnsi="宋体" w:eastAsia="宋体" w:cs="宋体"/>
          <w:color w:val="auto"/>
          <w:spacing w:val="0"/>
          <w:sz w:val="21"/>
          <w:szCs w:val="21"/>
          <w:lang w:val="en-US" w:eastAsia="zh-CN"/>
        </w:rPr>
        <w:t>并在河北冀拓应急科技有限公司官网公开征求意见，</w:t>
      </w:r>
      <w:r>
        <w:rPr>
          <w:rFonts w:hint="eastAsia" w:ascii="宋体" w:hAnsi="宋体" w:eastAsia="宋体" w:cs="宋体"/>
          <w:color w:val="auto"/>
          <w:spacing w:val="0"/>
          <w:sz w:val="21"/>
          <w:szCs w:val="21"/>
        </w:rPr>
        <w:t>共收到回函共</w:t>
      </w:r>
      <w:r>
        <w:rPr>
          <w:rFonts w:hint="eastAsia" w:ascii="宋体" w:hAnsi="宋体" w:eastAsia="宋体" w:cs="宋体"/>
          <w:color w:val="auto"/>
          <w:spacing w:val="0"/>
          <w:sz w:val="21"/>
          <w:szCs w:val="21"/>
          <w:lang w:val="en-US" w:eastAsia="zh-CN"/>
        </w:rPr>
        <w:t>7份</w:t>
      </w:r>
      <w:r>
        <w:rPr>
          <w:rFonts w:hint="eastAsia" w:ascii="宋体" w:hAnsi="宋体" w:eastAsia="宋体" w:cs="宋体"/>
          <w:color w:val="auto"/>
          <w:spacing w:val="0"/>
          <w:sz w:val="21"/>
          <w:szCs w:val="21"/>
        </w:rPr>
        <w:t>，</w:t>
      </w:r>
      <w:r>
        <w:rPr>
          <w:rFonts w:hint="eastAsia" w:ascii="宋体" w:hAnsi="宋体" w:eastAsia="宋体" w:cs="宋体"/>
          <w:color w:val="auto"/>
          <w:spacing w:val="0"/>
          <w:sz w:val="21"/>
          <w:szCs w:val="21"/>
          <w:lang w:val="en-US" w:eastAsia="zh-CN"/>
        </w:rPr>
        <w:t>反馈意见44条，</w:t>
      </w:r>
      <w:r>
        <w:rPr>
          <w:rFonts w:hint="eastAsia" w:ascii="宋体" w:hAnsi="宋体" w:eastAsia="宋体" w:cs="宋体"/>
          <w:color w:val="auto"/>
          <w:spacing w:val="0"/>
          <w:sz w:val="21"/>
          <w:szCs w:val="21"/>
        </w:rPr>
        <w:t>经标准编制小组会议讨论分析，对其中的</w:t>
      </w:r>
      <w:r>
        <w:rPr>
          <w:rFonts w:hint="eastAsia" w:ascii="宋体" w:hAnsi="宋体" w:eastAsia="宋体" w:cs="宋体"/>
          <w:color w:val="auto"/>
          <w:spacing w:val="0"/>
          <w:sz w:val="21"/>
          <w:szCs w:val="21"/>
          <w:lang w:val="en-US" w:eastAsia="zh-CN"/>
        </w:rPr>
        <w:t>33</w:t>
      </w:r>
      <w:r>
        <w:rPr>
          <w:rFonts w:hint="eastAsia" w:ascii="宋体" w:hAnsi="宋体" w:eastAsia="宋体" w:cs="宋体"/>
          <w:color w:val="auto"/>
          <w:spacing w:val="0"/>
          <w:sz w:val="21"/>
          <w:szCs w:val="21"/>
        </w:rPr>
        <w:t>条建议予以采纳</w:t>
      </w:r>
      <w:r>
        <w:rPr>
          <w:rFonts w:hint="eastAsia" w:ascii="宋体" w:hAnsi="宋体" w:eastAsia="宋体" w:cs="宋体"/>
          <w:color w:val="auto"/>
          <w:spacing w:val="0"/>
          <w:sz w:val="21"/>
          <w:szCs w:val="21"/>
          <w:lang w:eastAsia="zh-CN"/>
        </w:rPr>
        <w:t>、</w:t>
      </w:r>
      <w:r>
        <w:rPr>
          <w:rFonts w:hint="eastAsia" w:ascii="宋体" w:hAnsi="宋体" w:eastAsia="宋体" w:cs="宋体"/>
          <w:color w:val="auto"/>
          <w:spacing w:val="0"/>
          <w:sz w:val="21"/>
          <w:szCs w:val="21"/>
          <w:lang w:val="en-US" w:eastAsia="zh-CN"/>
        </w:rPr>
        <w:t>3</w:t>
      </w:r>
      <w:r>
        <w:rPr>
          <w:rFonts w:hint="eastAsia" w:ascii="宋体" w:hAnsi="宋体" w:eastAsia="宋体" w:cs="宋体"/>
          <w:color w:val="auto"/>
          <w:spacing w:val="0"/>
          <w:sz w:val="21"/>
          <w:szCs w:val="21"/>
        </w:rPr>
        <w:t>条建议部分采纳</w:t>
      </w:r>
      <w:r>
        <w:rPr>
          <w:rFonts w:hint="eastAsia" w:ascii="宋体" w:hAnsi="宋体" w:eastAsia="宋体" w:cs="宋体"/>
          <w:color w:val="auto"/>
          <w:spacing w:val="0"/>
          <w:sz w:val="21"/>
          <w:szCs w:val="21"/>
          <w:lang w:eastAsia="zh-CN"/>
        </w:rPr>
        <w:t>、</w:t>
      </w:r>
      <w:r>
        <w:rPr>
          <w:rFonts w:hint="eastAsia" w:ascii="宋体" w:hAnsi="宋体" w:eastAsia="宋体" w:cs="宋体"/>
          <w:color w:val="auto"/>
          <w:spacing w:val="0"/>
          <w:sz w:val="21"/>
          <w:szCs w:val="21"/>
          <w:lang w:val="en-US" w:eastAsia="zh-CN"/>
        </w:rPr>
        <w:t>8</w:t>
      </w:r>
      <w:r>
        <w:rPr>
          <w:rFonts w:hint="eastAsia" w:ascii="宋体" w:hAnsi="宋体" w:eastAsia="宋体" w:cs="宋体"/>
          <w:color w:val="auto"/>
          <w:spacing w:val="0"/>
          <w:sz w:val="21"/>
          <w:szCs w:val="21"/>
        </w:rPr>
        <w:t>条建议未采纳，对标准条款内容进行了修改补充</w:t>
      </w:r>
      <w:r>
        <w:rPr>
          <w:rFonts w:hint="eastAsia" w:ascii="宋体" w:hAnsi="宋体" w:eastAsia="宋体" w:cs="宋体"/>
          <w:color w:val="auto"/>
          <w:spacing w:val="0"/>
          <w:sz w:val="21"/>
          <w:szCs w:val="21"/>
          <w:lang w:eastAsia="zh-CN"/>
        </w:rPr>
        <w:t>，</w:t>
      </w:r>
      <w:r>
        <w:rPr>
          <w:rFonts w:hint="eastAsia" w:ascii="宋体" w:hAnsi="宋体" w:eastAsia="宋体" w:cs="宋体"/>
          <w:color w:val="auto"/>
          <w:spacing w:val="0"/>
          <w:sz w:val="21"/>
          <w:szCs w:val="21"/>
        </w:rPr>
        <w:t>再次修订标准</w:t>
      </w:r>
      <w:r>
        <w:rPr>
          <w:rFonts w:hint="eastAsia" w:ascii="宋体" w:hAnsi="宋体" w:eastAsia="宋体" w:cs="宋体"/>
          <w:color w:val="auto"/>
          <w:spacing w:val="0"/>
          <w:sz w:val="21"/>
          <w:szCs w:val="21"/>
          <w:lang w:val="en-US" w:eastAsia="zh-CN"/>
        </w:rPr>
        <w:t>后</w:t>
      </w:r>
      <w:r>
        <w:rPr>
          <w:rFonts w:hint="eastAsia" w:ascii="宋体" w:hAnsi="宋体" w:eastAsia="宋体" w:cs="宋体"/>
          <w:color w:val="auto"/>
          <w:spacing w:val="0"/>
          <w:sz w:val="21"/>
          <w:szCs w:val="21"/>
        </w:rPr>
        <w:t>形成本次</w:t>
      </w:r>
      <w:r>
        <w:rPr>
          <w:rFonts w:hint="eastAsia" w:ascii="宋体" w:hAnsi="宋体" w:eastAsia="宋体" w:cs="宋体"/>
          <w:color w:val="auto"/>
          <w:spacing w:val="0"/>
          <w:sz w:val="21"/>
          <w:szCs w:val="21"/>
          <w:lang w:val="en-US" w:eastAsia="zh-CN"/>
        </w:rPr>
        <w:t>网上征求意见</w:t>
      </w:r>
      <w:r>
        <w:rPr>
          <w:rFonts w:hint="eastAsia" w:ascii="宋体" w:hAnsi="宋体" w:eastAsia="宋体" w:cs="宋体"/>
          <w:color w:val="auto"/>
          <w:spacing w:val="0"/>
          <w:sz w:val="21"/>
          <w:szCs w:val="21"/>
        </w:rPr>
        <w:t>稿。</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21" w:name="_Toc23454"/>
      <w:bookmarkStart w:id="22" w:name="_Toc12068"/>
      <w:bookmarkStart w:id="23" w:name="_Toc27624"/>
      <w:r>
        <w:rPr>
          <w:rFonts w:hint="eastAsia" w:ascii="黑体" w:hAnsi="黑体" w:eastAsia="黑体" w:cs="黑体"/>
          <w:b w:val="0"/>
          <w:bCs w:val="0"/>
          <w:spacing w:val="9"/>
          <w:sz w:val="21"/>
          <w:szCs w:val="21"/>
          <w:lang w:val="en-US" w:eastAsia="zh-CN"/>
        </w:rPr>
        <w:t>4  标准适用范围和主要内容</w:t>
      </w:r>
      <w:bookmarkEnd w:id="21"/>
      <w:bookmarkEnd w:id="22"/>
      <w:bookmarkEnd w:id="23"/>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bookmarkStart w:id="24" w:name="_Toc24612"/>
      <w:r>
        <w:rPr>
          <w:rFonts w:hint="eastAsia" w:ascii="黑体" w:hAnsi="黑体" w:eastAsia="黑体" w:cs="黑体"/>
          <w:b w:val="0"/>
          <w:bCs w:val="0"/>
          <w:spacing w:val="9"/>
          <w:sz w:val="21"/>
          <w:szCs w:val="21"/>
          <w:lang w:val="en-US" w:eastAsia="zh-CN"/>
        </w:rPr>
        <w:t>4.1  适用范围</w:t>
      </w:r>
      <w:bookmarkEnd w:id="24"/>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本标准规定了金属非金属地下矿山人员精准定位系统的技术、设计、安装、使用、维护和管理的要求。不适用于与煤共生、伴生的金属非金属地下矿山。</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bookmarkStart w:id="25" w:name="_Toc3341"/>
      <w:r>
        <w:rPr>
          <w:rFonts w:hint="eastAsia" w:ascii="黑体" w:hAnsi="黑体" w:eastAsia="黑体" w:cs="黑体"/>
          <w:b w:val="0"/>
          <w:bCs w:val="0"/>
          <w:spacing w:val="9"/>
          <w:sz w:val="21"/>
          <w:szCs w:val="21"/>
          <w:lang w:val="en-US" w:eastAsia="zh-CN"/>
        </w:rPr>
        <w:t>4.2  主要内容</w:t>
      </w:r>
      <w:bookmarkEnd w:id="25"/>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标准的主要内容包括：术语和定义、技术要求、 设计和安装要求、使用与维护和其他。</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（1）术语和定义</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对本标准的术语和定义进行了说明，以便更好地理解本标准相关内容。其中包括人员精准定位系统、分站、识别卡、精准定位、静态定位误差、动态定位误差、识别区域、限制区域、有效识别距离L。</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技术要求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right="0" w:rightChars="0" w:firstLine="420" w:firstLineChars="200"/>
        <w:jc w:val="both"/>
        <w:textAlignment w:val="baseline"/>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从基本要求、联网要求、软件要求、功能要求、设计和安装要求几个方面对金属非金属地下矿山人员精准定位系统做出了规定。基本要求对建设要求、遵循规范、设备要求和避雷等做出了具体规定；联网要求对系统的数据联网、安全生产风险监测预警系统政府端数据对接和远程异地登录等做出了具体规定；软件要求对系统软件的界面展示、窗口规划、用户等级管理和自评估诊断等做出了具体规定；功能要求对系统的软件和硬件需具备的功能做出了规定。</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240" w:lineRule="auto"/>
        <w:ind w:left="0" w:leftChars="0" w:right="0" w:firstLine="420" w:firstLineChars="200"/>
        <w:jc w:val="both"/>
        <w:textAlignment w:val="baseline"/>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设计和安装要求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right="0" w:rightChars="0" w:firstLine="420" w:firstLineChars="200"/>
        <w:jc w:val="left"/>
        <w:textAlignment w:val="baseline"/>
        <w:rPr>
          <w:rFonts w:hint="default"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从设计角度，规定了系统构架、环网建设、定位精度、防护能力、供配电及基站安装位置等方面做出了规定。从设备安装角度，规定了线缆、分站、集中供电设备、标识的安装要求。</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240" w:lineRule="auto"/>
        <w:ind w:left="0" w:leftChars="0" w:right="0" w:firstLine="420" w:firstLineChars="200"/>
        <w:jc w:val="both"/>
        <w:textAlignment w:val="baseline"/>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使用与维护</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Chars="200" w:right="0" w:rightChars="0"/>
        <w:jc w:val="both"/>
        <w:textAlignment w:val="baseline"/>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对管理部门、管理人员、管理制度、值班制度、检查制度、报告制度及留存记录做了规定。</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240" w:lineRule="auto"/>
        <w:ind w:left="0" w:leftChars="0" w:right="0" w:firstLine="420" w:firstLineChars="200"/>
        <w:jc w:val="both"/>
        <w:textAlignment w:val="baseline"/>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其他</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Chars="200" w:right="0" w:rightChars="0"/>
        <w:jc w:val="both"/>
        <w:textAlignment w:val="baseline"/>
        <w:rPr>
          <w:rFonts w:hint="default"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对图纸和资料、备件和升级改造等做出了规定。</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26" w:name="_Toc22303"/>
      <w:bookmarkStart w:id="27" w:name="_Toc28600"/>
      <w:bookmarkStart w:id="28" w:name="_Toc21579"/>
      <w:r>
        <w:rPr>
          <w:rFonts w:hint="eastAsia" w:ascii="黑体" w:hAnsi="黑体" w:eastAsia="黑体" w:cs="黑体"/>
          <w:b w:val="0"/>
          <w:bCs w:val="0"/>
          <w:spacing w:val="9"/>
          <w:sz w:val="21"/>
          <w:szCs w:val="21"/>
          <w:lang w:val="en-US" w:eastAsia="zh-CN"/>
        </w:rPr>
        <w:t>5  标准的编制原则和依据</w:t>
      </w:r>
      <w:bookmarkEnd w:id="26"/>
      <w:bookmarkEnd w:id="27"/>
      <w:bookmarkEnd w:id="28"/>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bookmarkStart w:id="29" w:name="_Toc11157"/>
      <w:r>
        <w:rPr>
          <w:rFonts w:hint="eastAsia" w:ascii="黑体" w:hAnsi="黑体" w:eastAsia="黑体" w:cs="黑体"/>
          <w:b w:val="0"/>
          <w:bCs w:val="0"/>
          <w:spacing w:val="9"/>
          <w:sz w:val="21"/>
          <w:szCs w:val="21"/>
          <w:lang w:val="en-US" w:eastAsia="zh-CN"/>
        </w:rPr>
        <w:t>5.1  编制原则</w:t>
      </w:r>
      <w:bookmarkEnd w:id="29"/>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outlineLvl w:val="9"/>
        <w:rPr>
          <w:rFonts w:hint="eastAsia" w:ascii="宋体" w:hAnsi="宋体" w:eastAsia="宋体" w:cs="宋体"/>
          <w:color w:val="auto"/>
          <w:spacing w:val="0"/>
          <w:sz w:val="21"/>
          <w:szCs w:val="21"/>
          <w:lang w:val="en-US" w:eastAsia="zh-CN"/>
        </w:rPr>
      </w:pPr>
      <w:bookmarkStart w:id="30" w:name="_Toc6617"/>
      <w:r>
        <w:rPr>
          <w:rFonts w:hint="eastAsia" w:ascii="宋体" w:hAnsi="宋体" w:eastAsia="宋体" w:cs="宋体"/>
          <w:color w:val="auto"/>
          <w:spacing w:val="0"/>
          <w:sz w:val="21"/>
          <w:szCs w:val="21"/>
          <w:lang w:val="en-US" w:eastAsia="zh-CN"/>
        </w:rPr>
        <w:t>（1）法律、法规、标准、规章符合性</w:t>
      </w:r>
      <w:bookmarkEnd w:id="30"/>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outlineLvl w:val="9"/>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本标准符合《中华人民共和国安全生产法》和《河北省安全生产条例》 的有关规定。</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outlineLvl w:val="9"/>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本标准编制中参考了国家、行业标准和部门规章的有关条款内容，在此基础上形成了相关条款的设置，本标准确定的各项要求均不低于国家有关法律、法规、标准、规章的规定。</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outlineLvl w:val="9"/>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本标准适用于河北省区域内金属非金属地下矿山人员精准定位系统建设项目中的技术、设计、安装、使用和维护，尚属首次制定。标准条款中凡涉及国家或行业标准的，均采用现行有效的版本规范。</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outlineLvl w:val="9"/>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本标准按照 GB/T 1.1有关标准结构的规定，确定标准的结构和内在关系，特别是内容的划分和层次的划分符合 GB/T 1.1的规定。</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outlineLvl w:val="9"/>
        <w:rPr>
          <w:rFonts w:hint="eastAsia" w:ascii="宋体" w:hAnsi="宋体" w:eastAsia="宋体" w:cs="宋体"/>
          <w:color w:val="auto"/>
          <w:spacing w:val="0"/>
          <w:sz w:val="21"/>
          <w:szCs w:val="21"/>
          <w:lang w:val="en-US" w:eastAsia="zh-CN"/>
        </w:rPr>
      </w:pPr>
      <w:bookmarkStart w:id="31" w:name="_Toc16665"/>
      <w:r>
        <w:rPr>
          <w:rFonts w:hint="eastAsia" w:ascii="宋体" w:hAnsi="宋体" w:eastAsia="宋体" w:cs="宋体"/>
          <w:color w:val="auto"/>
          <w:spacing w:val="0"/>
          <w:sz w:val="21"/>
          <w:szCs w:val="21"/>
          <w:lang w:val="en-US" w:eastAsia="zh-CN"/>
        </w:rPr>
        <w:t>（2）适用性</w:t>
      </w:r>
      <w:bookmarkEnd w:id="31"/>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outlineLvl w:val="9"/>
        <w:rPr>
          <w:rFonts w:hint="eastAsia"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本标准制定过程中，充分考虑到标准的适用性，便于标准使用者直接使用，每项条款都具有可操作性。</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1"/>
        <w:rPr>
          <w:rFonts w:hint="eastAsia" w:ascii="黑体" w:hAnsi="黑体" w:eastAsia="黑体" w:cs="黑体"/>
          <w:b w:val="0"/>
          <w:bCs w:val="0"/>
          <w:spacing w:val="9"/>
          <w:sz w:val="21"/>
          <w:szCs w:val="21"/>
          <w:lang w:val="en-US" w:eastAsia="zh-CN"/>
        </w:rPr>
      </w:pPr>
      <w:bookmarkStart w:id="32" w:name="_Toc18912"/>
      <w:r>
        <w:rPr>
          <w:rFonts w:hint="eastAsia" w:ascii="黑体" w:hAnsi="黑体" w:eastAsia="黑体" w:cs="黑体"/>
          <w:b w:val="0"/>
          <w:bCs w:val="0"/>
          <w:spacing w:val="9"/>
          <w:sz w:val="21"/>
          <w:szCs w:val="21"/>
          <w:lang w:val="en-US" w:eastAsia="zh-CN"/>
        </w:rPr>
        <w:t>5.2  编制依据和参考文献及标准</w:t>
      </w:r>
      <w:bookmarkEnd w:id="32"/>
      <w:bookmarkStart w:id="60" w:name="_GoBack"/>
      <w:bookmarkEnd w:id="60"/>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 xml:space="preserve">本标准主要依据 </w:t>
      </w:r>
      <w:r>
        <w:rPr>
          <w:rFonts w:hint="eastAsia" w:ascii="宋体" w:hAnsi="宋体" w:eastAsia="宋体" w:cs="宋体"/>
          <w:b w:val="0"/>
          <w:bCs w:val="0"/>
          <w:spacing w:val="0"/>
          <w:sz w:val="21"/>
          <w:szCs w:val="21"/>
          <w:lang w:val="en-US" w:eastAsia="zh-CN"/>
        </w:rPr>
        <w:t xml:space="preserve">GB 16423-2020 </w:t>
      </w:r>
      <w:r>
        <w:rPr>
          <w:rFonts w:hint="eastAsia" w:ascii="宋体" w:hAnsi="宋体" w:eastAsia="宋体" w:cs="宋体"/>
          <w:spacing w:val="0"/>
          <w:sz w:val="21"/>
          <w:szCs w:val="21"/>
          <w:lang w:val="en-US" w:eastAsia="zh-CN"/>
        </w:rPr>
        <w:t>《金属非金属矿山安全规程》和 AQ 2032-2011 《金属非金属地下矿山人员定位系统建设规范》，并结合现有精准定位设备和技术现状进行编制。</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编制过程中主要参考了以下文献及标准：</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val="en-US" w:eastAsia="zh-CN"/>
        </w:rPr>
      </w:pPr>
      <w:r>
        <w:rPr>
          <w:rFonts w:hint="default" w:ascii="Times New Roman" w:hAnsi="Times New Roman" w:eastAsia="宋体" w:cs="Times New Roman"/>
          <w:spacing w:val="0"/>
          <w:sz w:val="21"/>
          <w:szCs w:val="21"/>
          <w:lang w:val="en-US" w:eastAsia="zh-CN"/>
        </w:rPr>
        <w:t>——</w:t>
      </w:r>
      <w:r>
        <w:rPr>
          <w:rFonts w:hint="eastAsia" w:ascii="宋体" w:hAnsi="宋体" w:eastAsia="宋体" w:cs="宋体"/>
          <w:spacing w:val="0"/>
          <w:sz w:val="21"/>
          <w:szCs w:val="21"/>
          <w:lang w:val="en-US" w:eastAsia="zh-CN"/>
        </w:rPr>
        <w:t>《中华人民共和国安全生产法》（2021年6月10日第十三届全国人民代表大会常务委员会第二十九次会议《关于修改&lt;中华人民共和国安全生产法&gt;的决定》第三次修正）</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val="en-US" w:eastAsia="zh-CN"/>
        </w:rPr>
      </w:pPr>
      <w:r>
        <w:rPr>
          <w:rFonts w:hint="default" w:ascii="Times New Roman" w:hAnsi="Times New Roman" w:eastAsia="宋体" w:cs="Times New Roman"/>
          <w:spacing w:val="0"/>
          <w:sz w:val="21"/>
          <w:szCs w:val="21"/>
          <w:lang w:val="en-US" w:eastAsia="zh-CN"/>
        </w:rPr>
        <w:t>——</w:t>
      </w:r>
      <w:r>
        <w:rPr>
          <w:rFonts w:hint="eastAsia" w:ascii="宋体" w:hAnsi="宋体" w:eastAsia="宋体" w:cs="宋体"/>
          <w:spacing w:val="0"/>
          <w:sz w:val="21"/>
          <w:szCs w:val="21"/>
          <w:lang w:val="en-US" w:eastAsia="zh-CN"/>
        </w:rPr>
        <w:t>《河北省安全生产条例》（2017年1月12日河北省第十二届人民代表大会第五次会议通过）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val="en-US" w:eastAsia="zh-CN"/>
        </w:rPr>
      </w:pPr>
      <w:r>
        <w:rPr>
          <w:rFonts w:hint="default" w:ascii="Times New Roman" w:hAnsi="Times New Roman" w:eastAsia="宋体" w:cs="Times New Roman"/>
          <w:spacing w:val="0"/>
          <w:sz w:val="21"/>
          <w:szCs w:val="21"/>
          <w:lang w:val="en-US" w:eastAsia="zh-CN"/>
        </w:rPr>
        <w:t>——</w:t>
      </w:r>
      <w:r>
        <w:rPr>
          <w:rFonts w:hint="eastAsia" w:ascii="宋体" w:hAnsi="宋体" w:eastAsia="宋体" w:cs="宋体"/>
          <w:spacing w:val="0"/>
          <w:sz w:val="21"/>
          <w:szCs w:val="21"/>
          <w:lang w:val="en-US" w:eastAsia="zh-CN"/>
        </w:rPr>
        <w:t>GB/T 1.1-2020  标准化工作导则 第1部分：标准的结构和编写</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w:t>
      </w:r>
      <w:r>
        <w:rPr>
          <w:rFonts w:hint="eastAsia" w:ascii="宋体" w:hAnsi="宋体" w:eastAsia="宋体" w:cs="宋体"/>
          <w:spacing w:val="0"/>
          <w:sz w:val="21"/>
          <w:szCs w:val="21"/>
          <w:lang w:val="en-US" w:eastAsia="zh-CN"/>
        </w:rPr>
        <w:t>GB 16423-2020</w:t>
      </w:r>
      <w:r>
        <w:rPr>
          <w:rFonts w:hint="eastAsia" w:ascii="Times New Roman" w:hAnsi="Times New Roman" w:eastAsia="宋体" w:cs="Times New Roman"/>
          <w:spacing w:val="0"/>
          <w:sz w:val="21"/>
          <w:szCs w:val="21"/>
          <w:lang w:val="en-US" w:eastAsia="zh-CN"/>
        </w:rPr>
        <w:t xml:space="preserve">   金属非金属矿山安全规程</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w:t>
      </w:r>
      <w:r>
        <w:rPr>
          <w:rFonts w:hint="eastAsia" w:ascii="宋体" w:hAnsi="宋体" w:eastAsia="宋体" w:cs="宋体"/>
          <w:spacing w:val="0"/>
          <w:sz w:val="21"/>
          <w:szCs w:val="21"/>
          <w:lang w:val="en-US" w:eastAsia="zh-CN"/>
        </w:rPr>
        <w:t xml:space="preserve">GB 50057-2010 </w:t>
      </w:r>
      <w:r>
        <w:rPr>
          <w:rFonts w:hint="eastAsia" w:ascii="Times New Roman" w:hAnsi="Times New Roman" w:eastAsia="宋体" w:cs="Times New Roman"/>
          <w:spacing w:val="0"/>
          <w:sz w:val="21"/>
          <w:szCs w:val="21"/>
          <w:lang w:val="en-US" w:eastAsia="zh-CN"/>
        </w:rPr>
        <w:t xml:space="preserve">  建筑物防雷设计规范</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val="en-US" w:eastAsia="zh-CN"/>
        </w:rPr>
      </w:pPr>
      <w:r>
        <w:rPr>
          <w:rFonts w:hint="default" w:ascii="Times New Roman" w:hAnsi="Times New Roman" w:eastAsia="宋体" w:cs="Times New Roman"/>
          <w:spacing w:val="0"/>
          <w:sz w:val="21"/>
          <w:szCs w:val="21"/>
          <w:lang w:val="en-US" w:eastAsia="zh-CN"/>
        </w:rPr>
        <w:t>——</w:t>
      </w:r>
      <w:r>
        <w:rPr>
          <w:rFonts w:hint="eastAsia" w:ascii="宋体" w:hAnsi="宋体" w:eastAsia="宋体" w:cs="宋体"/>
          <w:spacing w:val="0"/>
          <w:sz w:val="21"/>
          <w:szCs w:val="21"/>
          <w:lang w:val="en-US" w:eastAsia="zh-CN"/>
        </w:rPr>
        <w:t>AQ2032-2011  金属非金属地下矿山人员定位系统建设规范</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val="en-US" w:eastAsia="zh-CN"/>
        </w:rPr>
      </w:pPr>
      <w:r>
        <w:rPr>
          <w:rFonts w:hint="default" w:ascii="Times New Roman" w:hAnsi="Times New Roman" w:eastAsia="宋体" w:cs="Times New Roman"/>
          <w:spacing w:val="0"/>
          <w:sz w:val="21"/>
          <w:szCs w:val="21"/>
          <w:lang w:val="en-US" w:eastAsia="zh-CN"/>
        </w:rPr>
        <w:t>——</w:t>
      </w:r>
      <w:r>
        <w:rPr>
          <w:rFonts w:hint="eastAsia" w:ascii="宋体" w:hAnsi="宋体" w:eastAsia="宋体" w:cs="宋体"/>
          <w:spacing w:val="0"/>
          <w:sz w:val="21"/>
          <w:szCs w:val="21"/>
          <w:lang w:val="en-US" w:eastAsia="zh-CN"/>
        </w:rPr>
        <w:t>AQ/T 2051-2016  金属非金属地下矿山人员定位系统通用技术要求</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default" w:ascii="宋体" w:hAnsi="宋体" w:eastAsia="宋体" w:cs="宋体"/>
          <w:spacing w:val="0"/>
          <w:sz w:val="21"/>
          <w:szCs w:val="21"/>
          <w:lang w:val="en-US" w:eastAsia="zh-CN"/>
        </w:rPr>
      </w:pPr>
      <w:r>
        <w:rPr>
          <w:rFonts w:hint="default" w:ascii="Times New Roman" w:hAnsi="Times New Roman" w:eastAsia="宋体" w:cs="Times New Roman"/>
          <w:spacing w:val="0"/>
          <w:sz w:val="21"/>
          <w:szCs w:val="21"/>
          <w:lang w:val="en-US" w:eastAsia="zh-CN"/>
        </w:rPr>
        <w:t>——</w:t>
      </w:r>
      <w:r>
        <w:rPr>
          <w:rFonts w:hint="default" w:ascii="宋体" w:hAnsi="宋体" w:eastAsia="宋体" w:cs="宋体"/>
          <w:spacing w:val="0"/>
          <w:sz w:val="21"/>
          <w:szCs w:val="21"/>
          <w:lang w:val="en-US" w:eastAsia="zh-CN"/>
        </w:rPr>
        <w:t>AQ1048-2007  煤矿井下作业人员管理系统使用与管理规范</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default" w:ascii="宋体" w:hAnsi="宋体" w:eastAsia="宋体" w:cs="宋体"/>
          <w:spacing w:val="0"/>
          <w:sz w:val="21"/>
          <w:szCs w:val="21"/>
          <w:lang w:val="en-US" w:eastAsia="zh-CN"/>
        </w:rPr>
      </w:pPr>
      <w:r>
        <w:rPr>
          <w:rFonts w:hint="default" w:ascii="Times New Roman" w:hAnsi="Times New Roman" w:eastAsia="宋体" w:cs="Times New Roman"/>
          <w:spacing w:val="0"/>
          <w:sz w:val="21"/>
          <w:szCs w:val="21"/>
          <w:lang w:val="en-US" w:eastAsia="zh-CN"/>
        </w:rPr>
        <w:t>——</w:t>
      </w:r>
      <w:r>
        <w:rPr>
          <w:rFonts w:hint="default" w:ascii="宋体" w:hAnsi="宋体" w:eastAsia="宋体" w:cs="宋体"/>
          <w:spacing w:val="0"/>
          <w:sz w:val="21"/>
          <w:szCs w:val="21"/>
          <w:lang w:val="en-US" w:eastAsia="zh-CN"/>
        </w:rPr>
        <w:t>AQ6210-2007  煤矿井下作业人员管理系统通用技术条件</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val="en-US" w:eastAsia="zh-CN"/>
        </w:rPr>
      </w:pPr>
      <w:r>
        <w:rPr>
          <w:rFonts w:hint="default" w:ascii="Times New Roman" w:hAnsi="Times New Roman" w:eastAsia="宋体" w:cs="Times New Roman"/>
          <w:spacing w:val="0"/>
          <w:sz w:val="21"/>
          <w:szCs w:val="21"/>
          <w:lang w:val="en-US" w:eastAsia="zh-CN"/>
        </w:rPr>
        <w:t>——</w:t>
      </w:r>
      <w:r>
        <w:rPr>
          <w:rFonts w:hint="eastAsia" w:ascii="宋体" w:hAnsi="宋体" w:eastAsia="宋体" w:cs="宋体"/>
          <w:spacing w:val="0"/>
          <w:sz w:val="21"/>
          <w:szCs w:val="21"/>
          <w:lang w:val="en-US" w:eastAsia="zh-CN"/>
        </w:rPr>
        <w:t>DB51/T1412—2011  煤矿井下人员定位系统安全技术规范</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default" w:ascii="宋体" w:hAnsi="宋体" w:eastAsia="宋体" w:cs="宋体"/>
          <w:spacing w:val="0"/>
          <w:sz w:val="21"/>
          <w:szCs w:val="21"/>
          <w:lang w:val="en-US" w:eastAsia="zh-CN"/>
        </w:rPr>
      </w:pPr>
      <w:r>
        <w:rPr>
          <w:rFonts w:hint="default" w:ascii="Times New Roman" w:hAnsi="Times New Roman" w:eastAsia="宋体" w:cs="Times New Roman"/>
          <w:spacing w:val="0"/>
          <w:sz w:val="21"/>
          <w:szCs w:val="21"/>
          <w:lang w:val="en-US" w:eastAsia="zh-CN"/>
        </w:rPr>
        <w:t>——</w:t>
      </w:r>
      <w:r>
        <w:rPr>
          <w:rFonts w:hint="default" w:ascii="宋体" w:hAnsi="宋体" w:eastAsia="宋体" w:cs="宋体"/>
          <w:spacing w:val="0"/>
          <w:sz w:val="21"/>
          <w:szCs w:val="21"/>
          <w:lang w:val="en-US" w:eastAsia="zh-CN"/>
        </w:rPr>
        <w:t>AQ1048-2007</w:t>
      </w:r>
      <w:r>
        <w:rPr>
          <w:rFonts w:hint="eastAsia" w:ascii="宋体" w:hAnsi="宋体" w:eastAsia="宋体" w:cs="宋体"/>
          <w:spacing w:val="0"/>
          <w:sz w:val="21"/>
          <w:szCs w:val="21"/>
          <w:lang w:val="en-US" w:eastAsia="zh-CN"/>
        </w:rPr>
        <w:t xml:space="preserve">  煤矿井下作业人员管理系统使用与管理规范</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——矿安〔2022〕4号  国家矿山安全监察局关于印发《关于加强非煤矿山安全生产工作的指导意见》的通知</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——安监总规划字[2005]83号  《关于金属与非金属矿山实施矿用产品安全标志管理的通知》</w:t>
      </w:r>
    </w:p>
    <w:p>
      <w:pPr>
        <w:pStyle w:val="7"/>
        <w:keepNext w:val="0"/>
        <w:keepLines w:val="0"/>
        <w:pageBreakBefore w:val="0"/>
        <w:widowControl w:val="0"/>
        <w:numPr>
          <w:ilvl w:val="0"/>
          <w:numId w:val="0"/>
        </w:numPr>
        <w:kinsoku/>
        <w:wordWrap/>
        <w:overflowPunct/>
        <w:topLinePunct w:val="0"/>
        <w:autoSpaceDE w:val="0"/>
        <w:autoSpaceDN w:val="0"/>
        <w:bidi w:val="0"/>
        <w:adjustRightInd/>
        <w:snapToGrid/>
        <w:ind w:firstLine="420" w:firstLineChars="200"/>
        <w:jc w:val="left"/>
        <w:textAlignment w:val="auto"/>
        <w:outlineLvl w:val="9"/>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——安标国家中心〔2021〕58号  关于发布《煤矿井下人员定位系统安全标志管理方案（试行）》</w:t>
      </w:r>
      <w:r>
        <w:rPr>
          <w:rFonts w:hint="eastAsia" w:hAnsi="宋体" w:cs="宋体"/>
          <w:sz w:val="21"/>
          <w:szCs w:val="21"/>
          <w:lang w:val="en-US" w:eastAsia="zh-CN"/>
        </w:rPr>
        <w:t>《煤矿井下人员定位系统安全技术要求（试行）》《煤矿井下人员定位系统安全标志检验方案（试行）》的通知</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——冀应急函〔2021〕43号  河北省应急管理厅关于建设完善金属非金属矿山安全生产风险监测预警系统的通知</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——冀应急函〔2021〕54号  河北省应急管理厅关于《河北省金属非金属矿山安全生产风险监测预警系统企业端建设方案》的通知</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0" w:firstLineChars="200"/>
        <w:jc w:val="both"/>
        <w:textAlignment w:val="baseline"/>
        <w:rPr>
          <w:rFonts w:hint="eastAsia" w:ascii="宋体" w:hAnsi="宋体" w:eastAsia="宋体" w:cs="宋体"/>
          <w:spacing w:val="0"/>
          <w:sz w:val="21"/>
          <w:szCs w:val="21"/>
          <w:lang w:val="en-US" w:eastAsia="zh-CN"/>
        </w:rPr>
      </w:pPr>
      <w:r>
        <w:rPr>
          <w:rFonts w:hint="default" w:ascii="Times New Roman" w:hAnsi="Times New Roman" w:eastAsia="宋体" w:cs="Times New Roman"/>
          <w:spacing w:val="0"/>
          <w:sz w:val="21"/>
          <w:szCs w:val="21"/>
          <w:lang w:val="en-US" w:eastAsia="zh-CN"/>
        </w:rPr>
        <w:t>——鲁煤监技装〔2019〕55号  山东省煤矿安全监察局关于印发《山东煤矿人员精准定位系统技术要求（试行）》的通知</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33" w:name="_Toc30179"/>
      <w:bookmarkStart w:id="34" w:name="_Toc11777"/>
      <w:bookmarkStart w:id="35" w:name="_Toc1341"/>
      <w:r>
        <w:rPr>
          <w:rFonts w:hint="eastAsia" w:ascii="黑体" w:hAnsi="黑体" w:eastAsia="黑体" w:cs="黑体"/>
          <w:b w:val="0"/>
          <w:bCs w:val="0"/>
          <w:spacing w:val="9"/>
          <w:sz w:val="21"/>
          <w:szCs w:val="21"/>
          <w:lang w:val="en-US" w:eastAsia="zh-CN"/>
        </w:rPr>
        <w:t>6  对促进我省技术进步、经济发展的作用与预期的效果</w:t>
      </w:r>
      <w:bookmarkEnd w:id="33"/>
      <w:bookmarkEnd w:id="34"/>
      <w:bookmarkEnd w:id="35"/>
    </w:p>
    <w:p>
      <w:pPr>
        <w:keepNext w:val="0"/>
        <w:keepLines w:val="0"/>
        <w:pageBreakBefore w:val="0"/>
        <w:widowControl/>
        <w:kinsoku w:val="0"/>
        <w:wordWrap/>
        <w:overflowPunct/>
        <w:topLinePunct w:val="0"/>
        <w:autoSpaceDE w:val="0"/>
        <w:autoSpaceDN w:val="0"/>
        <w:bidi w:val="0"/>
        <w:adjustRightInd w:val="0"/>
        <w:snapToGrid w:val="0"/>
        <w:spacing w:before="284" w:line="240" w:lineRule="auto"/>
        <w:ind w:right="2" w:firstLine="482"/>
        <w:textAlignment w:val="baseline"/>
        <w:rPr>
          <w:rFonts w:hint="default" w:ascii="宋体" w:hAnsi="宋体" w:eastAsia="宋体" w:cs="宋体"/>
          <w:color w:val="auto"/>
          <w:spacing w:val="0"/>
          <w:sz w:val="21"/>
          <w:szCs w:val="21"/>
          <w:lang w:val="en-US" w:eastAsia="zh-CN"/>
        </w:rPr>
      </w:pPr>
      <w:r>
        <w:rPr>
          <w:rFonts w:hint="eastAsia" w:ascii="宋体" w:hAnsi="宋体" w:eastAsia="宋体" w:cs="宋体"/>
          <w:color w:val="auto"/>
          <w:spacing w:val="0"/>
          <w:sz w:val="21"/>
          <w:szCs w:val="21"/>
          <w:lang w:val="en-US" w:eastAsia="zh-CN"/>
        </w:rPr>
        <w:t>标准发布实施后，将会填补我省行政区域内金属非金属地下矿山人员精准定位系统建设的空白，全面规范金属非金属地下矿山人员精准定位系统的技术、设计、安装、使用、维护和管理要求的标准，为井下人员精准定位系统的设计、安装和验收提供依据，有效提高金属非金属地下矿山的安全生产水平。</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36" w:name="_Toc1312"/>
      <w:bookmarkStart w:id="37" w:name="_Toc6400"/>
      <w:bookmarkStart w:id="38" w:name="_Toc13946"/>
      <w:r>
        <w:rPr>
          <w:rFonts w:hint="eastAsia" w:ascii="黑体" w:hAnsi="黑体" w:eastAsia="黑体" w:cs="黑体"/>
          <w:b w:val="0"/>
          <w:bCs w:val="0"/>
          <w:spacing w:val="9"/>
          <w:sz w:val="21"/>
          <w:szCs w:val="21"/>
          <w:lang w:val="en-US" w:eastAsia="zh-CN"/>
        </w:rPr>
        <w:t>7  标准中涉及专利的情况</w:t>
      </w:r>
      <w:bookmarkEnd w:id="36"/>
      <w:bookmarkEnd w:id="37"/>
      <w:bookmarkEnd w:id="38"/>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420" w:firstLineChars="200"/>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本标准不涉及专利问题。</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39" w:name="_Toc25170"/>
      <w:bookmarkStart w:id="40" w:name="_Toc2985"/>
      <w:bookmarkStart w:id="41" w:name="_Toc12709"/>
      <w:r>
        <w:rPr>
          <w:rFonts w:hint="eastAsia" w:ascii="黑体" w:hAnsi="黑体" w:eastAsia="黑体" w:cs="黑体"/>
          <w:b w:val="0"/>
          <w:bCs w:val="0"/>
          <w:spacing w:val="9"/>
          <w:sz w:val="21"/>
          <w:szCs w:val="21"/>
          <w:lang w:val="en-US" w:eastAsia="zh-CN"/>
        </w:rPr>
        <w:t>8  与国际、国外同类标准技术内容的对比情况及采标情况</w:t>
      </w:r>
      <w:bookmarkEnd w:id="39"/>
      <w:bookmarkEnd w:id="40"/>
      <w:bookmarkEnd w:id="41"/>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420" w:firstLineChars="200"/>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经查对，目前国外尚无此种结构或类型的标准，无可比性。</w:t>
      </w:r>
    </w:p>
    <w:p>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420" w:firstLineChars="200"/>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未采用国际国外标准。</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42" w:name="_Toc27489"/>
      <w:bookmarkStart w:id="43" w:name="_Toc3731"/>
      <w:bookmarkStart w:id="44" w:name="_Toc6556"/>
      <w:r>
        <w:rPr>
          <w:rFonts w:hint="eastAsia" w:ascii="黑体" w:hAnsi="黑体" w:eastAsia="黑体" w:cs="黑体"/>
          <w:b w:val="0"/>
          <w:bCs w:val="0"/>
          <w:spacing w:val="9"/>
          <w:sz w:val="21"/>
          <w:szCs w:val="21"/>
          <w:lang w:val="en-US" w:eastAsia="zh-CN"/>
        </w:rPr>
        <w:t>9  与现行相关法律、法规、规章及相关标准的关系</w:t>
      </w:r>
      <w:bookmarkEnd w:id="42"/>
      <w:bookmarkEnd w:id="43"/>
      <w:bookmarkEnd w:id="44"/>
    </w:p>
    <w:p>
      <w:pPr>
        <w:keepNext w:val="0"/>
        <w:keepLines w:val="0"/>
        <w:pageBreakBefore w:val="0"/>
        <w:widowControl/>
        <w:kinsoku w:val="0"/>
        <w:wordWrap/>
        <w:overflowPunct/>
        <w:topLinePunct w:val="0"/>
        <w:autoSpaceDE w:val="0"/>
        <w:autoSpaceDN w:val="0"/>
        <w:bidi w:val="0"/>
        <w:adjustRightInd w:val="0"/>
        <w:snapToGrid w:val="0"/>
        <w:spacing w:before="284" w:line="240" w:lineRule="auto"/>
        <w:ind w:right="2" w:firstLine="482"/>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本标准与现行的法律、法规及相关标准、规章协调一致。</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45" w:name="_Toc530"/>
      <w:bookmarkStart w:id="46" w:name="_Toc10216"/>
      <w:bookmarkStart w:id="47" w:name="_Toc5837"/>
      <w:r>
        <w:rPr>
          <w:rFonts w:hint="eastAsia" w:ascii="黑体" w:hAnsi="黑体" w:eastAsia="黑体" w:cs="黑体"/>
          <w:b w:val="0"/>
          <w:bCs w:val="0"/>
          <w:spacing w:val="9"/>
          <w:sz w:val="21"/>
          <w:szCs w:val="21"/>
          <w:lang w:val="en-US" w:eastAsia="zh-CN"/>
        </w:rPr>
        <w:t>10  重大分歧意见的处理经过和依据</w:t>
      </w:r>
      <w:bookmarkEnd w:id="45"/>
      <w:bookmarkEnd w:id="46"/>
      <w:bookmarkEnd w:id="47"/>
    </w:p>
    <w:p>
      <w:pPr>
        <w:keepNext w:val="0"/>
        <w:keepLines w:val="0"/>
        <w:pageBreakBefore w:val="0"/>
        <w:widowControl/>
        <w:kinsoku w:val="0"/>
        <w:wordWrap/>
        <w:overflowPunct/>
        <w:topLinePunct w:val="0"/>
        <w:autoSpaceDE w:val="0"/>
        <w:autoSpaceDN w:val="0"/>
        <w:bidi w:val="0"/>
        <w:adjustRightInd w:val="0"/>
        <w:snapToGrid w:val="0"/>
        <w:spacing w:before="284" w:line="240" w:lineRule="auto"/>
        <w:ind w:right="2" w:firstLine="482"/>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目前未出现重大分歧意见。</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48" w:name="_Toc14651"/>
      <w:bookmarkStart w:id="49" w:name="_Toc17828"/>
      <w:bookmarkStart w:id="50" w:name="_Toc18172"/>
      <w:r>
        <w:rPr>
          <w:rFonts w:hint="eastAsia" w:ascii="黑体" w:hAnsi="黑体" w:eastAsia="黑体" w:cs="黑体"/>
          <w:b w:val="0"/>
          <w:bCs w:val="0"/>
          <w:spacing w:val="9"/>
          <w:sz w:val="21"/>
          <w:szCs w:val="21"/>
          <w:lang w:val="en-US" w:eastAsia="zh-CN"/>
        </w:rPr>
        <w:t>11  标准性质的建议说明</w:t>
      </w:r>
      <w:bookmarkEnd w:id="48"/>
      <w:bookmarkEnd w:id="49"/>
      <w:bookmarkEnd w:id="50"/>
    </w:p>
    <w:p>
      <w:pPr>
        <w:keepNext w:val="0"/>
        <w:keepLines w:val="0"/>
        <w:pageBreakBefore w:val="0"/>
        <w:widowControl/>
        <w:kinsoku w:val="0"/>
        <w:wordWrap/>
        <w:overflowPunct/>
        <w:topLinePunct w:val="0"/>
        <w:autoSpaceDE w:val="0"/>
        <w:autoSpaceDN w:val="0"/>
        <w:bidi w:val="0"/>
        <w:adjustRightInd w:val="0"/>
        <w:snapToGrid w:val="0"/>
        <w:spacing w:before="284" w:line="240" w:lineRule="auto"/>
        <w:ind w:right="2" w:firstLine="482"/>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根据《标准化法》和《地方标准管理办法》的规定，地方标准均为推荐性标准，故建议本标准确定为推荐性省级地方标准。</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51" w:name="_Toc10348"/>
      <w:bookmarkStart w:id="52" w:name="_Toc25664"/>
      <w:bookmarkStart w:id="53" w:name="_Toc19548"/>
      <w:r>
        <w:rPr>
          <w:rFonts w:hint="eastAsia" w:ascii="黑体" w:hAnsi="黑体" w:eastAsia="黑体" w:cs="黑体"/>
          <w:b w:val="0"/>
          <w:bCs w:val="0"/>
          <w:spacing w:val="9"/>
          <w:sz w:val="21"/>
          <w:szCs w:val="21"/>
          <w:lang w:val="en-US" w:eastAsia="zh-CN"/>
        </w:rPr>
        <w:t>12  贯彻标准的要求和措施建议</w:t>
      </w:r>
      <w:bookmarkEnd w:id="51"/>
      <w:bookmarkEnd w:id="52"/>
      <w:bookmarkEnd w:id="53"/>
    </w:p>
    <w:p>
      <w:pPr>
        <w:keepNext w:val="0"/>
        <w:keepLines w:val="0"/>
        <w:pageBreakBefore w:val="0"/>
        <w:widowControl/>
        <w:kinsoku w:val="0"/>
        <w:wordWrap/>
        <w:overflowPunct/>
        <w:topLinePunct w:val="0"/>
        <w:autoSpaceDE w:val="0"/>
        <w:autoSpaceDN w:val="0"/>
        <w:bidi w:val="0"/>
        <w:adjustRightInd w:val="0"/>
        <w:snapToGrid w:val="0"/>
        <w:spacing w:before="284" w:line="240" w:lineRule="auto"/>
        <w:ind w:right="2" w:firstLine="482"/>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鼓励我省矿山企业、设计单位及安全技术服务单位积极采用。</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54" w:name="_Toc8553"/>
      <w:bookmarkStart w:id="55" w:name="_Toc4841"/>
      <w:bookmarkStart w:id="56" w:name="_Toc27212"/>
      <w:r>
        <w:rPr>
          <w:rFonts w:hint="eastAsia" w:ascii="黑体" w:hAnsi="黑体" w:eastAsia="黑体" w:cs="黑体"/>
          <w:b w:val="0"/>
          <w:bCs w:val="0"/>
          <w:spacing w:val="9"/>
          <w:sz w:val="21"/>
          <w:szCs w:val="21"/>
          <w:lang w:val="en-US" w:eastAsia="zh-CN"/>
        </w:rPr>
        <w:t>13  废止现行相关标准的建议</w:t>
      </w:r>
      <w:bookmarkEnd w:id="54"/>
      <w:bookmarkEnd w:id="55"/>
      <w:bookmarkEnd w:id="56"/>
    </w:p>
    <w:p>
      <w:pPr>
        <w:keepNext w:val="0"/>
        <w:keepLines w:val="0"/>
        <w:pageBreakBefore w:val="0"/>
        <w:widowControl/>
        <w:kinsoku w:val="0"/>
        <w:wordWrap/>
        <w:overflowPunct/>
        <w:topLinePunct w:val="0"/>
        <w:autoSpaceDE w:val="0"/>
        <w:autoSpaceDN w:val="0"/>
        <w:bidi w:val="0"/>
        <w:adjustRightInd w:val="0"/>
        <w:snapToGrid w:val="0"/>
        <w:spacing w:before="284" w:line="240" w:lineRule="auto"/>
        <w:ind w:right="2" w:firstLine="482"/>
        <w:textAlignment w:val="baseline"/>
        <w:rPr>
          <w:rFonts w:hint="default"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240" w:lineRule="auto"/>
        <w:ind w:firstLine="0"/>
        <w:textAlignment w:val="baseline"/>
        <w:outlineLvl w:val="0"/>
        <w:rPr>
          <w:rFonts w:hint="eastAsia" w:ascii="黑体" w:hAnsi="黑体" w:eastAsia="黑体" w:cs="黑体"/>
          <w:b w:val="0"/>
          <w:bCs w:val="0"/>
          <w:spacing w:val="9"/>
          <w:sz w:val="21"/>
          <w:szCs w:val="21"/>
          <w:lang w:val="en-US" w:eastAsia="zh-CN"/>
        </w:rPr>
      </w:pPr>
      <w:bookmarkStart w:id="57" w:name="_Toc23986"/>
      <w:bookmarkStart w:id="58" w:name="_Toc19952"/>
      <w:bookmarkStart w:id="59" w:name="_Toc12775"/>
      <w:r>
        <w:rPr>
          <w:rFonts w:hint="eastAsia" w:ascii="黑体" w:hAnsi="黑体" w:eastAsia="黑体" w:cs="黑体"/>
          <w:b w:val="0"/>
          <w:bCs w:val="0"/>
          <w:spacing w:val="9"/>
          <w:sz w:val="21"/>
          <w:szCs w:val="21"/>
          <w:lang w:val="en-US" w:eastAsia="zh-CN"/>
        </w:rPr>
        <w:t>14  其他应予说明的事项</w:t>
      </w:r>
      <w:bookmarkEnd w:id="57"/>
      <w:bookmarkEnd w:id="58"/>
      <w:bookmarkEnd w:id="59"/>
    </w:p>
    <w:p>
      <w:pPr>
        <w:keepNext w:val="0"/>
        <w:keepLines w:val="0"/>
        <w:pageBreakBefore w:val="0"/>
        <w:widowControl/>
        <w:kinsoku w:val="0"/>
        <w:wordWrap/>
        <w:overflowPunct/>
        <w:topLinePunct w:val="0"/>
        <w:autoSpaceDE w:val="0"/>
        <w:autoSpaceDN w:val="0"/>
        <w:bidi w:val="0"/>
        <w:adjustRightInd w:val="0"/>
        <w:snapToGrid w:val="0"/>
        <w:spacing w:before="284" w:line="240" w:lineRule="auto"/>
        <w:ind w:right="2" w:firstLine="482"/>
        <w:textAlignment w:val="baseline"/>
        <w:rPr>
          <w:rFonts w:hint="default"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无。</w:t>
      </w:r>
    </w:p>
    <w:p>
      <w:pPr>
        <w:rPr>
          <w:rFonts w:hint="eastAsia" w:ascii="宋体" w:hAnsi="宋体" w:eastAsia="宋体" w:cs="宋体"/>
          <w:snapToGrid/>
          <w:kern w:val="2"/>
          <w:sz w:val="21"/>
          <w:szCs w:val="21"/>
          <w:lang w:val="en-US" w:eastAsia="zh-CN" w:bidi="ar-SA"/>
        </w:rPr>
      </w:pPr>
    </w:p>
    <w:sectPr>
      <w:footerReference r:id="rId6" w:type="default"/>
      <w:pgSz w:w="11907" w:h="16840"/>
      <w:pgMar w:top="1417" w:right="1417" w:bottom="1134" w:left="1134" w:header="851" w:footer="992" w:gutter="227"/>
      <w:pgNumType w:fmt="decimal" w:start="1"/>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DA6B1B"/>
    <w:multiLevelType w:val="singleLevel"/>
    <w:tmpl w:val="70DA6B1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jMTg5YjE1OGZkMWUwZGM3YjVhZjRhZGQ4MTMxN2IifQ=="/>
  </w:docVars>
  <w:rsids>
    <w:rsidRoot w:val="28FC52A1"/>
    <w:rsid w:val="01DA4179"/>
    <w:rsid w:val="01E46EBD"/>
    <w:rsid w:val="021C5833"/>
    <w:rsid w:val="06E43BDB"/>
    <w:rsid w:val="06FE2D82"/>
    <w:rsid w:val="09EF1A56"/>
    <w:rsid w:val="10DD3D9E"/>
    <w:rsid w:val="11887358"/>
    <w:rsid w:val="123F4757"/>
    <w:rsid w:val="12A254DE"/>
    <w:rsid w:val="13620456"/>
    <w:rsid w:val="149123D9"/>
    <w:rsid w:val="16180300"/>
    <w:rsid w:val="168F2A19"/>
    <w:rsid w:val="215738F7"/>
    <w:rsid w:val="24EA16EA"/>
    <w:rsid w:val="275D1E4B"/>
    <w:rsid w:val="27871E99"/>
    <w:rsid w:val="280B5F58"/>
    <w:rsid w:val="28E834D8"/>
    <w:rsid w:val="28FC52A1"/>
    <w:rsid w:val="2C1F263A"/>
    <w:rsid w:val="2DE41E90"/>
    <w:rsid w:val="2E223B3E"/>
    <w:rsid w:val="30C104E2"/>
    <w:rsid w:val="327C14B5"/>
    <w:rsid w:val="3C59474A"/>
    <w:rsid w:val="3FB81E96"/>
    <w:rsid w:val="431F5BAE"/>
    <w:rsid w:val="43B671B2"/>
    <w:rsid w:val="44C67F95"/>
    <w:rsid w:val="47D15501"/>
    <w:rsid w:val="481D440E"/>
    <w:rsid w:val="4B4C0E28"/>
    <w:rsid w:val="4BA44460"/>
    <w:rsid w:val="4F1D6AC1"/>
    <w:rsid w:val="4F363EF1"/>
    <w:rsid w:val="578D4498"/>
    <w:rsid w:val="596B3B33"/>
    <w:rsid w:val="5BC30189"/>
    <w:rsid w:val="5C681524"/>
    <w:rsid w:val="5E3B5C71"/>
    <w:rsid w:val="5F7111C0"/>
    <w:rsid w:val="5FF94923"/>
    <w:rsid w:val="62C3328D"/>
    <w:rsid w:val="63A0699C"/>
    <w:rsid w:val="658B77D8"/>
    <w:rsid w:val="6B1C1E0E"/>
    <w:rsid w:val="6C5D19E9"/>
    <w:rsid w:val="6C8E4FE4"/>
    <w:rsid w:val="6F290A5B"/>
    <w:rsid w:val="78437731"/>
    <w:rsid w:val="79E46056"/>
    <w:rsid w:val="7B5C64C2"/>
    <w:rsid w:val="7C7C47A7"/>
    <w:rsid w:val="7D3B2348"/>
    <w:rsid w:val="7E2355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semiHidden/>
    <w:qFormat/>
    <w:uiPriority w:val="0"/>
    <w:rPr>
      <w:rFonts w:ascii="宋体" w:hAnsi="宋体"/>
      <w:sz w:val="28"/>
      <w:szCs w:val="28"/>
    </w:rPr>
  </w:style>
  <w:style w:type="paragraph" w:customStyle="1" w:styleId="7">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4558</Words>
  <Characters>4839</Characters>
  <Lines>0</Lines>
  <Paragraphs>0</Paragraphs>
  <TotalTime>29</TotalTime>
  <ScaleCrop>false</ScaleCrop>
  <LinksUpToDate>false</LinksUpToDate>
  <CharactersWithSpaces>5000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2022-03-29T06:59:00Z</dcterms:created>
  <dc:creator>航</dc:creator>
  <cp:lastModifiedBy>华姐</cp:lastModifiedBy>
  <dcterms:modified xsi:type="dcterms:W3CDTF">2022-07-14T07:50:47Z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ABAAFD805C7D4C21BD8618924FD5FA7F</vt:lpwstr>
  </property>
</Properties>
</file>